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iagrams/data1.xml" ContentType="application/vnd.openxmlformats-officedocument.drawingml.diagramData+xml"/>
  <Override PartName="/word/drawings/drawing6.xml" ContentType="application/vnd.openxmlformats-officedocument.drawingml.chartshape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4.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drawings/drawing14.xml" ContentType="application/vnd.openxmlformats-officedocument.drawingml.chartshapes+xml"/>
  <Override PartName="/word/charts/chart55.xml" ContentType="application/vnd.openxmlformats-officedocument.drawingml.chart+xml"/>
  <Override PartName="/word/footer3.xml" ContentType="application/vnd.openxmlformats-officedocument.wordprocessingml.footer+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drawings/drawing12.xml" ContentType="application/vnd.openxmlformats-officedocument.drawingml.chartshapes+xml"/>
  <Override PartName="/word/charts/chart53.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drawings/drawing10.xml" ContentType="application/vnd.openxmlformats-officedocument.drawingml.chartshapes+xml"/>
  <Override PartName="/word/charts/chart5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diagrams/layout1.xml" ContentType="application/vnd.openxmlformats-officedocument.drawingml.diagramLayout+xml"/>
  <Default Extension="png" ContentType="image/png"/>
  <Override PartName="/word/diagrams/quickStyle1.xml" ContentType="application/vnd.openxmlformats-officedocument.drawingml.diagramStyle+xml"/>
  <Override PartName="/word/drawings/drawing9.xml" ContentType="application/vnd.openxmlformats-officedocument.drawingml.chartshapes+xml"/>
  <Default Extension="emf" ContentType="image/x-emf"/>
  <Default Extension="jpeg" ContentType="image/jpeg"/>
  <Override PartName="/word/drawings/drawing7.xml" ContentType="application/vnd.openxmlformats-officedocument.drawingml.chartshapes+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footer2.xml" ContentType="application/vnd.openxmlformats-officedocument.wordprocessingml.footer+xml"/>
  <Override PartName="/word/diagrams/drawing1.xml" ContentType="application/vnd.ms-office.drawingml.diagramDrawing+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drawings/drawing13.xml" ContentType="application/vnd.openxmlformats-officedocument.drawingml.chartshapes+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drawings/drawing11.xml" ContentType="application/vnd.openxmlformats-officedocument.drawingml.chartshapes+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4C3" w:rsidRPr="005F120D" w:rsidRDefault="006F34C3" w:rsidP="00C437AA">
      <w:pPr>
        <w:pStyle w:val="Secondarytext"/>
        <w:spacing w:line="276" w:lineRule="auto"/>
        <w:jc w:val="left"/>
        <w:rPr>
          <w:rFonts w:asciiTheme="minorHAnsi" w:hAnsiTheme="minorHAnsi" w:cstheme="minorHAnsi"/>
          <w:color w:val="FF0000"/>
        </w:rPr>
      </w:pPr>
    </w:p>
    <w:p w:rsidR="00D748C3" w:rsidRPr="005F120D" w:rsidRDefault="00734D22" w:rsidP="00C437AA">
      <w:pPr>
        <w:pStyle w:val="Secondarytext"/>
        <w:spacing w:line="276" w:lineRule="auto"/>
        <w:jc w:val="left"/>
        <w:rPr>
          <w:rFonts w:asciiTheme="minorHAnsi" w:hAnsiTheme="minorHAnsi" w:cstheme="minorHAnsi"/>
          <w:color w:val="FF0000"/>
        </w:rPr>
      </w:pPr>
      <w:r w:rsidRPr="005F120D">
        <w:rPr>
          <w:rFonts w:asciiTheme="minorHAnsi" w:hAnsiTheme="minorHAnsi" w:cstheme="minorHAnsi"/>
          <w:noProof/>
          <w:color w:val="FF0000"/>
          <w:lang w:val="en-US" w:eastAsia="en-US"/>
        </w:rPr>
        <w:drawing>
          <wp:anchor distT="0" distB="0" distL="114300" distR="114300" simplePos="0" relativeHeight="251601920" behindDoc="0" locked="0" layoutInCell="1" allowOverlap="1">
            <wp:simplePos x="0" y="0"/>
            <wp:positionH relativeFrom="column">
              <wp:posOffset>2204113</wp:posOffset>
            </wp:positionH>
            <wp:positionV relativeFrom="paragraph">
              <wp:posOffset>287389</wp:posOffset>
            </wp:positionV>
            <wp:extent cx="1644556" cy="1637731"/>
            <wp:effectExtent l="19050" t="0" r="0" b="0"/>
            <wp:wrapNone/>
            <wp:docPr id="11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556" cy="1637731"/>
                    </a:xfrm>
                    <a:prstGeom prst="rect">
                      <a:avLst/>
                    </a:prstGeom>
                    <a:noFill/>
                    <a:ln>
                      <a:noFill/>
                    </a:ln>
                  </pic:spPr>
                </pic:pic>
              </a:graphicData>
            </a:graphic>
          </wp:anchor>
        </w:drawing>
      </w:r>
    </w:p>
    <w:p w:rsidR="00D748C3" w:rsidRPr="005F120D" w:rsidRDefault="00D748C3" w:rsidP="00C437AA">
      <w:pPr>
        <w:pStyle w:val="Secondarytext"/>
        <w:spacing w:line="276" w:lineRule="auto"/>
        <w:rPr>
          <w:rFonts w:asciiTheme="minorHAnsi" w:hAnsiTheme="minorHAnsi" w:cstheme="minorHAnsi"/>
          <w:color w:val="FF0000"/>
        </w:rPr>
      </w:pPr>
    </w:p>
    <w:p w:rsidR="00D748C3" w:rsidRPr="005F120D" w:rsidRDefault="00D748C3" w:rsidP="00C437AA">
      <w:pPr>
        <w:pStyle w:val="Secondarytext"/>
        <w:spacing w:line="276" w:lineRule="auto"/>
        <w:rPr>
          <w:rFonts w:asciiTheme="minorHAnsi" w:hAnsiTheme="minorHAnsi" w:cstheme="minorHAnsi"/>
          <w:color w:val="FF0000"/>
        </w:rPr>
      </w:pPr>
    </w:p>
    <w:p w:rsidR="00D748C3" w:rsidRPr="005F120D" w:rsidRDefault="00D748C3" w:rsidP="00C437AA">
      <w:pPr>
        <w:spacing w:line="276" w:lineRule="auto"/>
        <w:jc w:val="right"/>
        <w:rPr>
          <w:rFonts w:asciiTheme="minorHAnsi" w:hAnsiTheme="minorHAnsi" w:cstheme="minorHAnsi"/>
          <w:color w:val="FF0000"/>
        </w:rPr>
      </w:pPr>
    </w:p>
    <w:p w:rsidR="007B6A68" w:rsidRPr="005F120D" w:rsidRDefault="007B6A68" w:rsidP="007B6A68">
      <w:pPr>
        <w:spacing w:line="276" w:lineRule="auto"/>
        <w:rPr>
          <w:rFonts w:asciiTheme="minorHAnsi" w:hAnsiTheme="minorHAnsi" w:cstheme="minorHAnsi"/>
          <w:color w:val="FF0000"/>
        </w:rPr>
      </w:pPr>
    </w:p>
    <w:p w:rsidR="007B6A68" w:rsidRPr="005F120D" w:rsidRDefault="007B6A68" w:rsidP="00C437AA">
      <w:pPr>
        <w:spacing w:line="276" w:lineRule="auto"/>
        <w:jc w:val="right"/>
        <w:rPr>
          <w:rFonts w:asciiTheme="minorHAnsi" w:hAnsiTheme="minorHAnsi" w:cstheme="minorHAnsi"/>
          <w:color w:val="FF0000"/>
        </w:rPr>
      </w:pPr>
    </w:p>
    <w:p w:rsidR="00183844" w:rsidRPr="005F120D" w:rsidRDefault="00387EDB" w:rsidP="007B6A68">
      <w:pPr>
        <w:spacing w:line="276" w:lineRule="auto"/>
        <w:jc w:val="right"/>
        <w:rPr>
          <w:rFonts w:asciiTheme="minorHAnsi" w:hAnsiTheme="minorHAnsi" w:cstheme="minorHAnsi"/>
          <w:color w:val="FF0000"/>
          <w:szCs w:val="32"/>
        </w:rPr>
      </w:pPr>
      <w:r w:rsidRPr="005F120D">
        <w:rPr>
          <w:rFonts w:asciiTheme="minorHAnsi" w:hAnsiTheme="minorHAnsi" w:cstheme="minorHAnsi"/>
          <w:color w:val="FF0000"/>
          <w:szCs w:val="32"/>
        </w:rPr>
        <w:t>Final 2016</w:t>
      </w:r>
      <w:r w:rsidR="00C4591B">
        <w:rPr>
          <w:rFonts w:asciiTheme="minorHAnsi" w:hAnsiTheme="minorHAnsi" w:cstheme="minorHAnsi"/>
          <w:color w:val="FF0000"/>
          <w:szCs w:val="32"/>
        </w:rPr>
        <w:t xml:space="preserve"> </w:t>
      </w:r>
      <w:r w:rsidR="00C63A06" w:rsidRPr="005F120D">
        <w:rPr>
          <w:rFonts w:asciiTheme="minorHAnsi" w:hAnsiTheme="minorHAnsi" w:cstheme="minorHAnsi"/>
          <w:color w:val="FF0000"/>
          <w:szCs w:val="32"/>
        </w:rPr>
        <w:t>ASPR</w:t>
      </w:r>
      <w:r w:rsidR="009E71D5" w:rsidRPr="005F120D">
        <w:rPr>
          <w:rFonts w:asciiTheme="minorHAnsi" w:hAnsiTheme="minorHAnsi" w:cstheme="minorHAnsi"/>
          <w:color w:val="FF0000"/>
          <w:szCs w:val="32"/>
        </w:rPr>
        <w:t xml:space="preserve">, </w:t>
      </w:r>
      <w:r w:rsidR="008968E7">
        <w:rPr>
          <w:rFonts w:asciiTheme="minorHAnsi" w:hAnsiTheme="minorHAnsi" w:cstheme="minorHAnsi"/>
          <w:color w:val="FF0000"/>
          <w:szCs w:val="32"/>
        </w:rPr>
        <w:t>28</w:t>
      </w:r>
      <w:r w:rsidR="00547734">
        <w:rPr>
          <w:rFonts w:asciiTheme="minorHAnsi" w:hAnsiTheme="minorHAnsi" w:cstheme="minorHAnsi"/>
          <w:color w:val="FF0000"/>
          <w:szCs w:val="32"/>
        </w:rPr>
        <w:t xml:space="preserve"> </w:t>
      </w:r>
      <w:r w:rsidR="008968E7">
        <w:rPr>
          <w:rFonts w:asciiTheme="minorHAnsi" w:hAnsiTheme="minorHAnsi" w:cstheme="minorHAnsi"/>
          <w:color w:val="FF0000"/>
          <w:szCs w:val="32"/>
        </w:rPr>
        <w:t>September</w:t>
      </w:r>
      <w:r w:rsidR="009E71D5" w:rsidRPr="005F120D">
        <w:rPr>
          <w:rFonts w:asciiTheme="minorHAnsi" w:hAnsiTheme="minorHAnsi" w:cstheme="minorHAnsi"/>
          <w:color w:val="FF0000"/>
          <w:szCs w:val="32"/>
        </w:rPr>
        <w:t xml:space="preserve"> 2016</w:t>
      </w:r>
      <w:r w:rsidR="008968E7">
        <w:rPr>
          <w:rFonts w:asciiTheme="minorHAnsi" w:hAnsiTheme="minorHAnsi" w:cstheme="minorHAnsi"/>
          <w:color w:val="FF0000"/>
          <w:szCs w:val="32"/>
        </w:rPr>
        <w:t xml:space="preserve"> (M&amp;E)</w:t>
      </w:r>
    </w:p>
    <w:p w:rsidR="007B6A68" w:rsidRPr="005F120D" w:rsidRDefault="007B6A68" w:rsidP="00C437AA">
      <w:pPr>
        <w:spacing w:line="276" w:lineRule="auto"/>
        <w:rPr>
          <w:rFonts w:asciiTheme="minorHAnsi" w:hAnsiTheme="minorHAnsi" w:cstheme="minorHAnsi"/>
          <w:szCs w:val="32"/>
        </w:rPr>
      </w:pPr>
    </w:p>
    <w:p w:rsidR="00D748C3" w:rsidRPr="005F120D" w:rsidRDefault="00D748C3" w:rsidP="00C437AA">
      <w:pPr>
        <w:spacing w:line="276" w:lineRule="auto"/>
        <w:jc w:val="center"/>
        <w:rPr>
          <w:rFonts w:asciiTheme="minorHAnsi" w:hAnsiTheme="minorHAnsi" w:cstheme="minorHAnsi"/>
          <w:b/>
          <w:color w:val="006600"/>
          <w:sz w:val="36"/>
          <w:szCs w:val="32"/>
        </w:rPr>
      </w:pPr>
      <w:r w:rsidRPr="005F120D">
        <w:rPr>
          <w:rFonts w:asciiTheme="minorHAnsi" w:hAnsiTheme="minorHAnsi" w:cstheme="minorHAnsi"/>
          <w:b/>
          <w:color w:val="006600"/>
          <w:sz w:val="36"/>
          <w:szCs w:val="32"/>
        </w:rPr>
        <w:t xml:space="preserve">Bangladesh Primary </w:t>
      </w:r>
      <w:r w:rsidR="003C42F2" w:rsidRPr="005F120D">
        <w:rPr>
          <w:rFonts w:asciiTheme="minorHAnsi" w:hAnsiTheme="minorHAnsi" w:cstheme="minorHAnsi"/>
          <w:b/>
          <w:color w:val="006600"/>
          <w:sz w:val="36"/>
          <w:szCs w:val="32"/>
        </w:rPr>
        <w:t>E</w:t>
      </w:r>
      <w:r w:rsidRPr="005F120D">
        <w:rPr>
          <w:rFonts w:asciiTheme="minorHAnsi" w:hAnsiTheme="minorHAnsi" w:cstheme="minorHAnsi"/>
          <w:b/>
          <w:color w:val="006600"/>
          <w:sz w:val="36"/>
          <w:szCs w:val="32"/>
        </w:rPr>
        <w:t xml:space="preserve">ducation </w:t>
      </w:r>
      <w:r w:rsidRPr="005F120D">
        <w:rPr>
          <w:rFonts w:asciiTheme="minorHAnsi" w:hAnsiTheme="minorHAnsi" w:cstheme="minorHAnsi"/>
          <w:b/>
          <w:color w:val="006600"/>
          <w:sz w:val="36"/>
          <w:szCs w:val="32"/>
        </w:rPr>
        <w:br/>
        <w:t>Annual Sector Performance Report - 201</w:t>
      </w:r>
      <w:r w:rsidR="009E71D5" w:rsidRPr="005F120D">
        <w:rPr>
          <w:rFonts w:asciiTheme="minorHAnsi" w:hAnsiTheme="minorHAnsi" w:cstheme="minorHAnsi"/>
          <w:b/>
          <w:color w:val="006600"/>
          <w:sz w:val="36"/>
          <w:szCs w:val="32"/>
        </w:rPr>
        <w:t>6</w:t>
      </w:r>
    </w:p>
    <w:p w:rsidR="00D748C3" w:rsidRPr="005F120D" w:rsidRDefault="00D748C3" w:rsidP="00C437AA">
      <w:pPr>
        <w:spacing w:line="276" w:lineRule="auto"/>
        <w:rPr>
          <w:rFonts w:asciiTheme="minorHAnsi" w:hAnsiTheme="minorHAnsi" w:cstheme="minorHAnsi"/>
        </w:rPr>
      </w:pPr>
    </w:p>
    <w:p w:rsidR="00915572" w:rsidRPr="005F120D" w:rsidRDefault="00915572" w:rsidP="00C437AA">
      <w:pPr>
        <w:spacing w:line="276" w:lineRule="auto"/>
        <w:rPr>
          <w:rFonts w:asciiTheme="minorHAnsi" w:hAnsiTheme="minorHAnsi" w:cstheme="minorHAnsi"/>
        </w:rPr>
      </w:pPr>
    </w:p>
    <w:p w:rsidR="00915572" w:rsidRPr="005F120D" w:rsidRDefault="00915572" w:rsidP="00C437AA">
      <w:pPr>
        <w:spacing w:line="276" w:lineRule="auto"/>
        <w:rPr>
          <w:rFonts w:asciiTheme="minorHAnsi" w:hAnsiTheme="minorHAnsi" w:cstheme="minorHAnsi"/>
        </w:rPr>
      </w:pPr>
    </w:p>
    <w:p w:rsidR="00D748C3" w:rsidRPr="005F120D" w:rsidRDefault="006002E6" w:rsidP="00C437AA">
      <w:pPr>
        <w:pStyle w:val="Secondarytext"/>
        <w:spacing w:line="276" w:lineRule="auto"/>
        <w:rPr>
          <w:rFonts w:asciiTheme="minorHAnsi" w:hAnsiTheme="minorHAnsi" w:cstheme="minorHAnsi"/>
        </w:rPr>
      </w:pPr>
      <w:r w:rsidRPr="005F120D">
        <w:rPr>
          <w:rFonts w:asciiTheme="minorHAnsi" w:hAnsiTheme="minorHAnsi" w:cstheme="minorHAnsi"/>
          <w:noProof/>
          <w:lang w:val="en-US" w:eastAsia="en-US"/>
        </w:rPr>
        <w:drawing>
          <wp:inline distT="0" distB="0" distL="0" distR="0">
            <wp:extent cx="116205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143000"/>
                    </a:xfrm>
                    <a:prstGeom prst="rect">
                      <a:avLst/>
                    </a:prstGeom>
                    <a:noFill/>
                    <a:ln>
                      <a:noFill/>
                    </a:ln>
                  </pic:spPr>
                </pic:pic>
              </a:graphicData>
            </a:graphic>
          </wp:inline>
        </w:drawing>
      </w:r>
    </w:p>
    <w:p w:rsidR="00183844" w:rsidRPr="005F120D" w:rsidRDefault="00183844" w:rsidP="00C437AA">
      <w:pPr>
        <w:pStyle w:val="Secondarytext"/>
        <w:spacing w:line="276" w:lineRule="auto"/>
        <w:jc w:val="left"/>
        <w:rPr>
          <w:rFonts w:asciiTheme="minorHAnsi" w:hAnsiTheme="minorHAnsi" w:cstheme="minorHAnsi"/>
        </w:rPr>
      </w:pPr>
    </w:p>
    <w:p w:rsidR="00A51540" w:rsidRPr="005F120D" w:rsidRDefault="00A51540" w:rsidP="00C437AA">
      <w:pPr>
        <w:pStyle w:val="Secondarytext"/>
        <w:spacing w:line="276" w:lineRule="auto"/>
        <w:jc w:val="left"/>
        <w:rPr>
          <w:rFonts w:asciiTheme="minorHAnsi" w:hAnsiTheme="minorHAnsi" w:cstheme="minorHAnsi"/>
        </w:rPr>
      </w:pPr>
    </w:p>
    <w:p w:rsidR="00915572" w:rsidRPr="005F120D" w:rsidRDefault="00915572" w:rsidP="00C437AA">
      <w:pPr>
        <w:pStyle w:val="Secondarytext"/>
        <w:spacing w:line="276" w:lineRule="auto"/>
        <w:jc w:val="left"/>
        <w:rPr>
          <w:rFonts w:asciiTheme="minorHAnsi" w:hAnsiTheme="minorHAnsi" w:cstheme="minorHAnsi"/>
        </w:rPr>
      </w:pPr>
    </w:p>
    <w:p w:rsidR="00D748C3" w:rsidRPr="005F120D" w:rsidRDefault="00D748C3" w:rsidP="00C437AA">
      <w:pPr>
        <w:pStyle w:val="Secondarytext"/>
        <w:spacing w:after="0" w:line="276" w:lineRule="auto"/>
        <w:rPr>
          <w:rFonts w:asciiTheme="minorHAnsi" w:hAnsiTheme="minorHAnsi" w:cstheme="minorHAnsi"/>
        </w:rPr>
      </w:pPr>
      <w:r w:rsidRPr="005F120D">
        <w:rPr>
          <w:rFonts w:asciiTheme="minorHAnsi" w:hAnsiTheme="minorHAnsi" w:cstheme="minorHAnsi"/>
        </w:rPr>
        <w:t xml:space="preserve">Monitoring and Evaluation Division </w:t>
      </w:r>
    </w:p>
    <w:p w:rsidR="00D748C3" w:rsidRPr="005F120D" w:rsidRDefault="00D748C3" w:rsidP="00C437AA">
      <w:pPr>
        <w:pStyle w:val="Secondarytext"/>
        <w:spacing w:after="0" w:line="276" w:lineRule="auto"/>
        <w:rPr>
          <w:rFonts w:asciiTheme="minorHAnsi" w:hAnsiTheme="minorHAnsi" w:cstheme="minorHAnsi"/>
        </w:rPr>
      </w:pPr>
      <w:r w:rsidRPr="005F120D">
        <w:rPr>
          <w:rFonts w:asciiTheme="minorHAnsi" w:hAnsiTheme="minorHAnsi" w:cstheme="minorHAnsi"/>
        </w:rPr>
        <w:t>Directorate of Primary Education</w:t>
      </w:r>
    </w:p>
    <w:p w:rsidR="00D748C3" w:rsidRPr="005F120D" w:rsidRDefault="00D748C3" w:rsidP="00C437AA">
      <w:pPr>
        <w:pStyle w:val="Secondarytext"/>
        <w:spacing w:after="0" w:line="276" w:lineRule="auto"/>
        <w:rPr>
          <w:rFonts w:asciiTheme="minorHAnsi" w:hAnsiTheme="minorHAnsi" w:cstheme="minorHAnsi"/>
        </w:rPr>
      </w:pPr>
      <w:r w:rsidRPr="005F120D">
        <w:rPr>
          <w:rFonts w:asciiTheme="minorHAnsi" w:hAnsiTheme="minorHAnsi" w:cstheme="minorHAnsi"/>
        </w:rPr>
        <w:t>Government of the People’s Republic of Bangladesh</w:t>
      </w:r>
    </w:p>
    <w:p w:rsidR="00035381" w:rsidRPr="005F120D" w:rsidRDefault="00035381" w:rsidP="00C437AA">
      <w:pPr>
        <w:pStyle w:val="Secondarytext"/>
        <w:spacing w:after="0" w:line="276" w:lineRule="auto"/>
        <w:rPr>
          <w:rFonts w:asciiTheme="minorHAnsi" w:hAnsiTheme="minorHAnsi" w:cstheme="minorHAnsi"/>
        </w:rPr>
      </w:pPr>
    </w:p>
    <w:p w:rsidR="00115308" w:rsidRPr="005F120D" w:rsidRDefault="00035381" w:rsidP="00C437AA">
      <w:pPr>
        <w:pStyle w:val="Secondarytext"/>
        <w:spacing w:after="0" w:line="276" w:lineRule="auto"/>
        <w:rPr>
          <w:rFonts w:asciiTheme="minorHAnsi" w:hAnsiTheme="minorHAnsi" w:cstheme="minorHAnsi"/>
          <w:b/>
          <w:sz w:val="24"/>
          <w:szCs w:val="24"/>
        </w:rPr>
      </w:pPr>
      <w:r w:rsidRPr="005F120D">
        <w:rPr>
          <w:rFonts w:asciiTheme="minorHAnsi" w:hAnsiTheme="minorHAnsi" w:cstheme="minorHAnsi"/>
          <w:b/>
          <w:sz w:val="24"/>
          <w:szCs w:val="24"/>
        </w:rPr>
        <w:t>May 201</w:t>
      </w:r>
      <w:r w:rsidR="009E71D5" w:rsidRPr="005F120D">
        <w:rPr>
          <w:rFonts w:asciiTheme="minorHAnsi" w:hAnsiTheme="minorHAnsi" w:cstheme="minorHAnsi"/>
          <w:b/>
          <w:sz w:val="24"/>
          <w:szCs w:val="24"/>
        </w:rPr>
        <w:t>6</w:t>
      </w:r>
    </w:p>
    <w:p w:rsidR="00D748C3" w:rsidRPr="005F120D" w:rsidRDefault="00D748C3" w:rsidP="00C437AA">
      <w:pPr>
        <w:pStyle w:val="Secondarytext"/>
        <w:spacing w:after="0" w:line="276" w:lineRule="auto"/>
        <w:rPr>
          <w:rFonts w:asciiTheme="minorHAnsi" w:hAnsiTheme="minorHAnsi" w:cstheme="minorHAnsi"/>
        </w:rPr>
        <w:sectPr w:rsidR="00D748C3" w:rsidRPr="005F120D" w:rsidSect="006F34C3">
          <w:type w:val="nextColumn"/>
          <w:pgSz w:w="11909" w:h="16834" w:code="9"/>
          <w:pgMar w:top="1440" w:right="1440" w:bottom="1152" w:left="1440" w:header="720" w:footer="720" w:gutter="0"/>
          <w:cols w:space="720"/>
          <w:docGrid w:linePitch="360"/>
        </w:sectPr>
      </w:pPr>
    </w:p>
    <w:tbl>
      <w:tblPr>
        <w:tblW w:w="5000" w:type="pct"/>
        <w:tblLook w:val="04A0"/>
      </w:tblPr>
      <w:tblGrid>
        <w:gridCol w:w="4014"/>
        <w:gridCol w:w="5231"/>
      </w:tblGrid>
      <w:tr w:rsidR="00D748C3" w:rsidRPr="005F120D" w:rsidTr="00E0666D">
        <w:tc>
          <w:tcPr>
            <w:tcW w:w="2171" w:type="pct"/>
            <w:shd w:val="clear" w:color="auto" w:fill="auto"/>
          </w:tcPr>
          <w:p w:rsidR="00D748C3" w:rsidRPr="005F120D" w:rsidRDefault="006002E6" w:rsidP="00C437AA">
            <w:pPr>
              <w:spacing w:line="276" w:lineRule="auto"/>
              <w:rPr>
                <w:rFonts w:asciiTheme="minorHAnsi" w:eastAsia="Calibri" w:hAnsiTheme="minorHAnsi" w:cstheme="minorHAnsi"/>
                <w:color w:val="FF0000"/>
                <w:szCs w:val="22"/>
              </w:rPr>
            </w:pPr>
            <w:r w:rsidRPr="005F120D">
              <w:rPr>
                <w:rFonts w:asciiTheme="minorHAnsi" w:eastAsia="Calibri" w:hAnsiTheme="minorHAnsi" w:cstheme="minorHAnsi"/>
                <w:noProof/>
                <w:color w:val="FF0000"/>
                <w:szCs w:val="22"/>
                <w:lang w:eastAsia="en-US"/>
              </w:rPr>
              <w:lastRenderedPageBreak/>
              <w:drawing>
                <wp:inline distT="0" distB="0" distL="0" distR="0">
                  <wp:extent cx="1206500" cy="10255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00" cy="1025525"/>
                          </a:xfrm>
                          <a:prstGeom prst="rect">
                            <a:avLst/>
                          </a:prstGeom>
                          <a:noFill/>
                          <a:ln>
                            <a:noFill/>
                          </a:ln>
                        </pic:spPr>
                      </pic:pic>
                    </a:graphicData>
                  </a:graphic>
                </wp:inline>
              </w:drawing>
            </w:r>
          </w:p>
        </w:tc>
        <w:tc>
          <w:tcPr>
            <w:tcW w:w="2829" w:type="pct"/>
            <w:shd w:val="clear" w:color="auto" w:fill="auto"/>
          </w:tcPr>
          <w:p w:rsidR="00D748C3" w:rsidRPr="005F120D" w:rsidRDefault="00D748C3" w:rsidP="00C437AA">
            <w:pPr>
              <w:spacing w:line="276" w:lineRule="auto"/>
              <w:rPr>
                <w:rFonts w:asciiTheme="minorHAnsi" w:eastAsia="Calibri" w:hAnsiTheme="minorHAnsi" w:cstheme="minorHAnsi"/>
                <w:b/>
                <w:color w:val="FF0000"/>
                <w:sz w:val="28"/>
                <w:szCs w:val="28"/>
              </w:rPr>
            </w:pPr>
          </w:p>
          <w:p w:rsidR="00D748C3" w:rsidRPr="005F120D" w:rsidRDefault="00D748C3" w:rsidP="00C437AA">
            <w:pPr>
              <w:pStyle w:val="Heading1NONUM"/>
              <w:spacing w:line="276" w:lineRule="auto"/>
              <w:rPr>
                <w:rFonts w:eastAsia="Calibri" w:cstheme="minorHAnsi"/>
                <w:color w:val="006600"/>
              </w:rPr>
            </w:pPr>
            <w:bookmarkStart w:id="0" w:name="_Toc385242073"/>
            <w:bookmarkStart w:id="1" w:name="_Toc385245699"/>
            <w:bookmarkStart w:id="2" w:name="_Toc448575217"/>
            <w:bookmarkStart w:id="3" w:name="_Toc462837163"/>
            <w:r w:rsidRPr="005F120D">
              <w:rPr>
                <w:rFonts w:eastAsia="Calibri" w:cstheme="minorHAnsi"/>
                <w:color w:val="006600"/>
              </w:rPr>
              <w:t>Preface</w:t>
            </w:r>
            <w:bookmarkEnd w:id="0"/>
            <w:bookmarkEnd w:id="1"/>
            <w:bookmarkEnd w:id="2"/>
            <w:bookmarkEnd w:id="3"/>
          </w:p>
        </w:tc>
      </w:tr>
    </w:tbl>
    <w:p w:rsidR="00361EDC" w:rsidRPr="005F120D" w:rsidRDefault="00361EDC" w:rsidP="00C437AA">
      <w:pPr>
        <w:spacing w:before="240" w:line="276" w:lineRule="auto"/>
        <w:jc w:val="both"/>
        <w:rPr>
          <w:rFonts w:asciiTheme="minorHAnsi" w:hAnsiTheme="minorHAnsi" w:cstheme="minorHAnsi"/>
          <w:szCs w:val="22"/>
        </w:rPr>
      </w:pPr>
      <w:r w:rsidRPr="005F120D">
        <w:rPr>
          <w:rFonts w:asciiTheme="minorHAnsi" w:hAnsiTheme="minorHAnsi" w:cstheme="minorHAnsi"/>
          <w:szCs w:val="22"/>
        </w:rPr>
        <w:t xml:space="preserve">Article 17 of the Constitution outlines the goal of education as one offering a mass oriented, universal, free and compulsory education to all children in Bangladesh.  In line with this goal, the focus of PEDP3 is to establish “an efficient, inclusive, and equitable primary education system delivering effective and relevant child-friendly learning to all Bangladesh’s children from pre-primary through Grade </w:t>
      </w:r>
      <w:r w:rsidR="00FD52CA" w:rsidRPr="005F120D">
        <w:rPr>
          <w:rFonts w:asciiTheme="minorHAnsi" w:hAnsiTheme="minorHAnsi" w:cstheme="minorHAnsi"/>
          <w:szCs w:val="22"/>
        </w:rPr>
        <w:t>5</w:t>
      </w:r>
      <w:r w:rsidRPr="005F120D">
        <w:rPr>
          <w:rFonts w:asciiTheme="minorHAnsi" w:hAnsiTheme="minorHAnsi" w:cstheme="minorHAnsi"/>
          <w:szCs w:val="22"/>
        </w:rPr>
        <w:t xml:space="preserve"> primary”. </w:t>
      </w:r>
    </w:p>
    <w:p w:rsidR="00361EDC" w:rsidRPr="005F120D" w:rsidRDefault="00361EDC" w:rsidP="00C437AA">
      <w:pPr>
        <w:spacing w:before="240" w:line="276" w:lineRule="auto"/>
        <w:jc w:val="both"/>
        <w:rPr>
          <w:rFonts w:asciiTheme="minorHAnsi" w:hAnsiTheme="minorHAnsi" w:cstheme="minorHAnsi"/>
          <w:szCs w:val="22"/>
        </w:rPr>
      </w:pPr>
      <w:r w:rsidRPr="005F120D">
        <w:rPr>
          <w:rFonts w:asciiTheme="minorHAnsi" w:hAnsiTheme="minorHAnsi" w:cstheme="minorHAnsi"/>
          <w:szCs w:val="22"/>
        </w:rPr>
        <w:t>The Directorate of Primary Education</w:t>
      </w:r>
      <w:r w:rsidR="00FD52CA" w:rsidRPr="005F120D">
        <w:rPr>
          <w:rFonts w:asciiTheme="minorHAnsi" w:hAnsiTheme="minorHAnsi" w:cstheme="minorHAnsi"/>
          <w:szCs w:val="22"/>
        </w:rPr>
        <w:t xml:space="preserve"> (DPE)</w:t>
      </w:r>
      <w:r w:rsidRPr="005F120D">
        <w:rPr>
          <w:rFonts w:asciiTheme="minorHAnsi" w:hAnsiTheme="minorHAnsi" w:cstheme="minorHAnsi"/>
          <w:szCs w:val="22"/>
        </w:rPr>
        <w:t xml:space="preserve">, through its Monitoring and Evaluation division, uses the Result Based Management (RBM) approach to provide information to facilitate planning and decision-making.  To that end, the DPE needs a comprehensive evaluation of the progress of primary education </w:t>
      </w:r>
      <w:r w:rsidR="00FD52CA" w:rsidRPr="005F120D">
        <w:rPr>
          <w:rFonts w:asciiTheme="minorHAnsi" w:hAnsiTheme="minorHAnsi" w:cstheme="minorHAnsi"/>
          <w:szCs w:val="22"/>
        </w:rPr>
        <w:t xml:space="preserve">on </w:t>
      </w:r>
      <w:r w:rsidRPr="005F120D">
        <w:rPr>
          <w:rFonts w:asciiTheme="minorHAnsi" w:hAnsiTheme="minorHAnsi" w:cstheme="minorHAnsi"/>
          <w:szCs w:val="22"/>
        </w:rPr>
        <w:t xml:space="preserve">an annual basis.  The First Annual Sector </w:t>
      </w:r>
      <w:r w:rsidR="00FD52CA" w:rsidRPr="005F120D">
        <w:rPr>
          <w:rFonts w:asciiTheme="minorHAnsi" w:hAnsiTheme="minorHAnsi" w:cstheme="minorHAnsi"/>
          <w:szCs w:val="22"/>
        </w:rPr>
        <w:t>Performance Report</w:t>
      </w:r>
      <w:r w:rsidRPr="005F120D">
        <w:rPr>
          <w:rFonts w:asciiTheme="minorHAnsi" w:hAnsiTheme="minorHAnsi" w:cstheme="minorHAnsi"/>
          <w:szCs w:val="22"/>
        </w:rPr>
        <w:t xml:space="preserve"> (ASPR) was produced in 2009</w:t>
      </w:r>
      <w:r w:rsidR="00FD52CA" w:rsidRPr="005F120D">
        <w:rPr>
          <w:rFonts w:asciiTheme="minorHAnsi" w:hAnsiTheme="minorHAnsi" w:cstheme="minorHAnsi"/>
          <w:szCs w:val="22"/>
        </w:rPr>
        <w:t xml:space="preserve"> following the pilot version in 2008</w:t>
      </w:r>
      <w:r w:rsidRPr="005F120D">
        <w:rPr>
          <w:rFonts w:asciiTheme="minorHAnsi" w:hAnsiTheme="minorHAnsi" w:cstheme="minorHAnsi"/>
          <w:szCs w:val="22"/>
        </w:rPr>
        <w:t xml:space="preserve">.  </w:t>
      </w:r>
    </w:p>
    <w:p w:rsidR="00361EDC" w:rsidRPr="005F120D" w:rsidRDefault="00361EDC" w:rsidP="00C437AA">
      <w:pPr>
        <w:spacing w:line="276" w:lineRule="auto"/>
        <w:jc w:val="both"/>
        <w:rPr>
          <w:rFonts w:asciiTheme="minorHAnsi" w:hAnsiTheme="minorHAnsi" w:cstheme="minorHAnsi"/>
          <w:szCs w:val="22"/>
        </w:rPr>
      </w:pPr>
      <w:r w:rsidRPr="005F120D">
        <w:rPr>
          <w:rFonts w:asciiTheme="minorHAnsi" w:hAnsiTheme="minorHAnsi" w:cstheme="minorHAnsi"/>
          <w:szCs w:val="22"/>
        </w:rPr>
        <w:t>The 2016 ASPR gives an in-depth analysis of primary education: outlining expected results by the PEDP3 Program Framework and then the actual results; evidence on medium-term performance (outcomes) and on short-term performance (outputs); and the sector budget trend and implementation.</w:t>
      </w:r>
    </w:p>
    <w:p w:rsidR="00361EDC" w:rsidRPr="005F120D" w:rsidRDefault="00361EDC" w:rsidP="00C437AA">
      <w:pPr>
        <w:spacing w:line="276" w:lineRule="auto"/>
        <w:jc w:val="both"/>
        <w:rPr>
          <w:rFonts w:asciiTheme="minorHAnsi" w:hAnsiTheme="minorHAnsi" w:cstheme="minorHAnsi"/>
          <w:szCs w:val="22"/>
        </w:rPr>
      </w:pPr>
      <w:r w:rsidRPr="005F120D">
        <w:rPr>
          <w:rFonts w:asciiTheme="minorHAnsi" w:hAnsiTheme="minorHAnsi" w:cstheme="minorHAnsi"/>
          <w:szCs w:val="22"/>
        </w:rPr>
        <w:t xml:space="preserve">The main data sources for the ASPR are the Annual Primary Census Report (APSC), the National Student Assessment </w:t>
      </w:r>
      <w:r w:rsidR="00685E7D">
        <w:rPr>
          <w:rFonts w:asciiTheme="minorHAnsi" w:hAnsiTheme="minorHAnsi" w:cstheme="minorHAnsi"/>
          <w:szCs w:val="22"/>
        </w:rPr>
        <w:t>(NSA), the Primary and Madrasha</w:t>
      </w:r>
      <w:r w:rsidRPr="005F120D">
        <w:rPr>
          <w:rFonts w:asciiTheme="minorHAnsi" w:hAnsiTheme="minorHAnsi" w:cstheme="minorHAnsi"/>
          <w:szCs w:val="22"/>
        </w:rPr>
        <w:t xml:space="preserve"> Education Completion Examination (PECE/EECE), the Household Income and Expenditure Survey (HIES), Education Household Survey</w:t>
      </w:r>
      <w:r w:rsidR="006267A2" w:rsidRPr="005F120D">
        <w:rPr>
          <w:rFonts w:asciiTheme="minorHAnsi" w:hAnsiTheme="minorHAnsi" w:cstheme="minorHAnsi"/>
          <w:szCs w:val="22"/>
        </w:rPr>
        <w:t xml:space="preserve"> (EHS)</w:t>
      </w:r>
      <w:r w:rsidRPr="005F120D">
        <w:rPr>
          <w:rFonts w:asciiTheme="minorHAnsi" w:hAnsiTheme="minorHAnsi" w:cstheme="minorHAnsi"/>
          <w:szCs w:val="22"/>
        </w:rPr>
        <w:t>, Education Watch C</w:t>
      </w:r>
      <w:r w:rsidR="00FD52CA" w:rsidRPr="005F120D">
        <w:rPr>
          <w:rFonts w:asciiTheme="minorHAnsi" w:hAnsiTheme="minorHAnsi" w:cstheme="minorHAnsi"/>
          <w:szCs w:val="22"/>
        </w:rPr>
        <w:t>ampaign for Popular Education (C</w:t>
      </w:r>
      <w:r w:rsidRPr="005F120D">
        <w:rPr>
          <w:rFonts w:asciiTheme="minorHAnsi" w:hAnsiTheme="minorHAnsi" w:cstheme="minorHAnsi"/>
          <w:szCs w:val="22"/>
        </w:rPr>
        <w:t>AMPE</w:t>
      </w:r>
      <w:r w:rsidR="00FD52CA" w:rsidRPr="005F120D">
        <w:rPr>
          <w:rFonts w:asciiTheme="minorHAnsi" w:hAnsiTheme="minorHAnsi" w:cstheme="minorHAnsi"/>
          <w:szCs w:val="22"/>
        </w:rPr>
        <w:t>)</w:t>
      </w:r>
      <w:r w:rsidRPr="005F120D">
        <w:rPr>
          <w:rFonts w:asciiTheme="minorHAnsi" w:hAnsiTheme="minorHAnsi" w:cstheme="minorHAnsi"/>
          <w:szCs w:val="22"/>
        </w:rPr>
        <w:t xml:space="preserve"> surveys and </w:t>
      </w:r>
      <w:r w:rsidR="00FD52CA" w:rsidRPr="005F120D">
        <w:rPr>
          <w:rFonts w:asciiTheme="minorHAnsi" w:hAnsiTheme="minorHAnsi" w:cstheme="minorHAnsi"/>
          <w:szCs w:val="22"/>
        </w:rPr>
        <w:t>Multiple Indicators Cluster Survey (</w:t>
      </w:r>
      <w:r w:rsidRPr="005F120D">
        <w:rPr>
          <w:rFonts w:asciiTheme="minorHAnsi" w:hAnsiTheme="minorHAnsi" w:cstheme="minorHAnsi"/>
          <w:szCs w:val="22"/>
        </w:rPr>
        <w:t>MICS</w:t>
      </w:r>
      <w:r w:rsidR="00FD52CA" w:rsidRPr="005F120D">
        <w:rPr>
          <w:rFonts w:asciiTheme="minorHAnsi" w:hAnsiTheme="minorHAnsi" w:cstheme="minorHAnsi"/>
          <w:szCs w:val="22"/>
        </w:rPr>
        <w:t>)</w:t>
      </w:r>
      <w:r w:rsidRPr="005F120D">
        <w:rPr>
          <w:rFonts w:asciiTheme="minorHAnsi" w:hAnsiTheme="minorHAnsi" w:cstheme="minorHAnsi"/>
          <w:szCs w:val="22"/>
        </w:rPr>
        <w:t xml:space="preserve"> as well as other </w:t>
      </w:r>
      <w:r w:rsidR="006267A2" w:rsidRPr="005F120D">
        <w:rPr>
          <w:rFonts w:asciiTheme="minorHAnsi" w:hAnsiTheme="minorHAnsi" w:cstheme="minorHAnsi"/>
          <w:szCs w:val="22"/>
        </w:rPr>
        <w:t>reliable</w:t>
      </w:r>
      <w:r w:rsidRPr="005F120D">
        <w:rPr>
          <w:rFonts w:asciiTheme="minorHAnsi" w:hAnsiTheme="minorHAnsi" w:cstheme="minorHAnsi"/>
          <w:szCs w:val="22"/>
        </w:rPr>
        <w:t xml:space="preserve"> sources.</w:t>
      </w:r>
    </w:p>
    <w:p w:rsidR="00C20450" w:rsidRPr="005F120D" w:rsidRDefault="00361EDC" w:rsidP="00C437AA">
      <w:pPr>
        <w:spacing w:line="276" w:lineRule="auto"/>
        <w:jc w:val="both"/>
        <w:rPr>
          <w:rFonts w:asciiTheme="minorHAnsi" w:hAnsiTheme="minorHAnsi" w:cstheme="minorHAnsi"/>
        </w:rPr>
      </w:pPr>
      <w:r w:rsidRPr="005F120D">
        <w:rPr>
          <w:rFonts w:asciiTheme="minorHAnsi" w:hAnsiTheme="minorHAnsi" w:cstheme="minorHAnsi"/>
          <w:szCs w:val="22"/>
        </w:rPr>
        <w:t xml:space="preserve">I am pleased to present the 2016 </w:t>
      </w:r>
      <w:r w:rsidR="00FD52CA" w:rsidRPr="005F120D">
        <w:rPr>
          <w:rFonts w:asciiTheme="minorHAnsi" w:hAnsiTheme="minorHAnsi" w:cstheme="minorHAnsi"/>
          <w:szCs w:val="22"/>
        </w:rPr>
        <w:t>ASPR.</w:t>
      </w:r>
      <w:r w:rsidRPr="005F120D">
        <w:rPr>
          <w:rFonts w:asciiTheme="minorHAnsi" w:hAnsiTheme="minorHAnsi" w:cstheme="minorHAnsi"/>
          <w:szCs w:val="22"/>
        </w:rPr>
        <w:t xml:space="preserve">  I offer my thanks to the </w:t>
      </w:r>
      <w:r w:rsidR="006267A2" w:rsidRPr="005F120D">
        <w:rPr>
          <w:rFonts w:asciiTheme="minorHAnsi" w:hAnsiTheme="minorHAnsi" w:cstheme="minorHAnsi"/>
          <w:szCs w:val="22"/>
        </w:rPr>
        <w:t xml:space="preserve">Monitoring and Evaluation and </w:t>
      </w:r>
      <w:r w:rsidRPr="005F120D">
        <w:rPr>
          <w:rFonts w:asciiTheme="minorHAnsi" w:hAnsiTheme="minorHAnsi" w:cstheme="minorHAnsi"/>
          <w:szCs w:val="22"/>
        </w:rPr>
        <w:t xml:space="preserve">Information Management Divisions, the ASPR Task Team, and all those who contributed to producing this </w:t>
      </w:r>
      <w:r w:rsidR="00FD52CA" w:rsidRPr="005F120D">
        <w:rPr>
          <w:rFonts w:asciiTheme="minorHAnsi" w:hAnsiTheme="minorHAnsi" w:cstheme="minorHAnsi"/>
          <w:szCs w:val="22"/>
        </w:rPr>
        <w:t>report</w:t>
      </w:r>
      <w:r w:rsidRPr="005F120D">
        <w:rPr>
          <w:rFonts w:asciiTheme="minorHAnsi" w:hAnsiTheme="minorHAnsi" w:cstheme="minorHAnsi"/>
          <w:szCs w:val="22"/>
        </w:rPr>
        <w:t>, thereby helping to promote an inclusive education for all the children of Bangladesh</w:t>
      </w:r>
      <w:r w:rsidR="00660426" w:rsidRPr="005F120D">
        <w:rPr>
          <w:rFonts w:asciiTheme="minorHAnsi" w:hAnsiTheme="minorHAnsi" w:cstheme="minorHAnsi"/>
        </w:rPr>
        <w:t>.</w:t>
      </w:r>
    </w:p>
    <w:p w:rsidR="00C20450" w:rsidRPr="005F120D" w:rsidRDefault="00C20450" w:rsidP="00C437AA">
      <w:pPr>
        <w:spacing w:line="276" w:lineRule="auto"/>
        <w:rPr>
          <w:rFonts w:asciiTheme="minorHAnsi" w:hAnsiTheme="minorHAnsi" w:cstheme="minorHAnsi"/>
        </w:rPr>
      </w:pPr>
    </w:p>
    <w:p w:rsidR="00B24CA1" w:rsidRPr="005F120D" w:rsidRDefault="00B24CA1" w:rsidP="00C437AA">
      <w:pPr>
        <w:spacing w:after="0" w:line="276" w:lineRule="auto"/>
        <w:rPr>
          <w:rFonts w:asciiTheme="minorHAnsi" w:hAnsiTheme="minorHAnsi" w:cstheme="minorHAnsi"/>
        </w:rPr>
      </w:pPr>
    </w:p>
    <w:p w:rsidR="00B24CA1" w:rsidRPr="005F120D" w:rsidRDefault="00B24CA1" w:rsidP="00C437AA">
      <w:pPr>
        <w:spacing w:after="0" w:line="276" w:lineRule="auto"/>
        <w:rPr>
          <w:rFonts w:asciiTheme="minorHAnsi" w:hAnsiTheme="minorHAnsi" w:cstheme="minorHAnsi"/>
        </w:rPr>
      </w:pPr>
    </w:p>
    <w:p w:rsidR="00B24CA1" w:rsidRPr="005F120D" w:rsidRDefault="00B24CA1" w:rsidP="00C437AA">
      <w:pPr>
        <w:spacing w:after="0" w:line="276" w:lineRule="auto"/>
        <w:rPr>
          <w:rFonts w:asciiTheme="minorHAnsi" w:hAnsiTheme="minorHAnsi" w:cstheme="minorHAnsi"/>
        </w:rPr>
      </w:pPr>
    </w:p>
    <w:p w:rsidR="00C20450" w:rsidRPr="005F120D" w:rsidRDefault="009C7BCF" w:rsidP="00C437AA">
      <w:pPr>
        <w:spacing w:after="0" w:line="276" w:lineRule="auto"/>
        <w:rPr>
          <w:rFonts w:asciiTheme="minorHAnsi" w:hAnsiTheme="minorHAnsi" w:cstheme="minorHAnsi"/>
        </w:rPr>
      </w:pPr>
      <w:r w:rsidRPr="005F120D">
        <w:rPr>
          <w:rFonts w:asciiTheme="minorHAnsi" w:hAnsiTheme="minorHAnsi" w:cstheme="minorHAnsi"/>
        </w:rPr>
        <w:t>Mohammad Alamgir</w:t>
      </w:r>
    </w:p>
    <w:p w:rsidR="00C20450" w:rsidRPr="005F120D" w:rsidRDefault="00C20450" w:rsidP="00C437AA">
      <w:pPr>
        <w:spacing w:after="0" w:line="276" w:lineRule="auto"/>
        <w:rPr>
          <w:rFonts w:asciiTheme="minorHAnsi" w:hAnsiTheme="minorHAnsi" w:cstheme="minorHAnsi"/>
        </w:rPr>
      </w:pPr>
      <w:r w:rsidRPr="005F120D">
        <w:rPr>
          <w:rFonts w:asciiTheme="minorHAnsi" w:hAnsiTheme="minorHAnsi" w:cstheme="minorHAnsi"/>
        </w:rPr>
        <w:t>Director General</w:t>
      </w:r>
      <w:r w:rsidRPr="005F120D">
        <w:rPr>
          <w:rFonts w:asciiTheme="minorHAnsi" w:hAnsiTheme="minorHAnsi" w:cstheme="minorHAnsi"/>
        </w:rPr>
        <w:tab/>
      </w:r>
    </w:p>
    <w:p w:rsidR="00C20450" w:rsidRPr="005F120D" w:rsidRDefault="00C20450" w:rsidP="00C437AA">
      <w:pPr>
        <w:spacing w:after="0" w:line="276" w:lineRule="auto"/>
        <w:rPr>
          <w:rFonts w:asciiTheme="minorHAnsi" w:hAnsiTheme="minorHAnsi" w:cstheme="minorHAnsi"/>
        </w:rPr>
      </w:pPr>
      <w:r w:rsidRPr="005F120D">
        <w:rPr>
          <w:rFonts w:asciiTheme="minorHAnsi" w:hAnsiTheme="minorHAnsi" w:cstheme="minorHAnsi"/>
        </w:rPr>
        <w:t>Directorate of Primary Education</w:t>
      </w:r>
    </w:p>
    <w:p w:rsidR="00115308" w:rsidRPr="005F120D" w:rsidRDefault="00C20450" w:rsidP="00C437AA">
      <w:pPr>
        <w:spacing w:after="0" w:line="276" w:lineRule="auto"/>
        <w:rPr>
          <w:rFonts w:asciiTheme="minorHAnsi" w:hAnsiTheme="minorHAnsi" w:cstheme="minorHAnsi"/>
        </w:rPr>
      </w:pPr>
      <w:r w:rsidRPr="005F120D">
        <w:rPr>
          <w:rFonts w:asciiTheme="minorHAnsi" w:hAnsiTheme="minorHAnsi" w:cstheme="minorHAnsi"/>
        </w:rPr>
        <w:t>Ministry of Primary and Mass Education</w:t>
      </w:r>
    </w:p>
    <w:p w:rsidR="00115308" w:rsidRPr="005F120D" w:rsidRDefault="00115308">
      <w:pPr>
        <w:spacing w:after="0"/>
        <w:rPr>
          <w:rFonts w:asciiTheme="minorHAnsi" w:hAnsiTheme="minorHAnsi" w:cstheme="minorHAnsi"/>
        </w:rPr>
      </w:pPr>
      <w:r w:rsidRPr="005F120D">
        <w:rPr>
          <w:rFonts w:asciiTheme="minorHAnsi" w:hAnsiTheme="minorHAnsi" w:cstheme="minorHAnsi"/>
        </w:rPr>
        <w:br w:type="page"/>
      </w:r>
    </w:p>
    <w:p w:rsidR="00A833D6" w:rsidRPr="005F120D" w:rsidRDefault="00A833D6" w:rsidP="00C437AA">
      <w:pPr>
        <w:spacing w:line="276" w:lineRule="auto"/>
        <w:rPr>
          <w:rFonts w:asciiTheme="minorHAnsi" w:hAnsiTheme="minorHAnsi" w:cstheme="minorHAnsi"/>
          <w:color w:val="FF0000"/>
        </w:rPr>
      </w:pPr>
    </w:p>
    <w:tbl>
      <w:tblPr>
        <w:tblW w:w="5000" w:type="pct"/>
        <w:tblLook w:val="04A0"/>
      </w:tblPr>
      <w:tblGrid>
        <w:gridCol w:w="3493"/>
        <w:gridCol w:w="5752"/>
      </w:tblGrid>
      <w:tr w:rsidR="00D748C3" w:rsidRPr="005F120D" w:rsidTr="009C5DC8">
        <w:trPr>
          <w:trHeight w:val="1350"/>
        </w:trPr>
        <w:tc>
          <w:tcPr>
            <w:tcW w:w="1889" w:type="pct"/>
            <w:shd w:val="clear" w:color="auto" w:fill="auto"/>
          </w:tcPr>
          <w:p w:rsidR="00D748C3" w:rsidRPr="005F120D" w:rsidRDefault="00D748C3" w:rsidP="00C437AA">
            <w:pPr>
              <w:spacing w:line="276" w:lineRule="auto"/>
              <w:rPr>
                <w:rFonts w:asciiTheme="minorHAnsi" w:eastAsia="Calibri" w:hAnsiTheme="minorHAnsi" w:cstheme="minorHAnsi"/>
                <w:color w:val="FF0000"/>
                <w:szCs w:val="22"/>
              </w:rPr>
            </w:pPr>
            <w:r w:rsidRPr="005F120D">
              <w:rPr>
                <w:rFonts w:asciiTheme="minorHAnsi" w:hAnsiTheme="minorHAnsi" w:cstheme="minorHAnsi"/>
                <w:color w:val="FF0000"/>
              </w:rPr>
              <w:br w:type="page"/>
            </w:r>
            <w:r w:rsidR="006002E6" w:rsidRPr="005F120D">
              <w:rPr>
                <w:rFonts w:asciiTheme="minorHAnsi" w:eastAsia="Calibri" w:hAnsiTheme="minorHAnsi" w:cstheme="minorHAnsi"/>
                <w:noProof/>
                <w:color w:val="FF0000"/>
                <w:szCs w:val="22"/>
                <w:lang w:eastAsia="en-US"/>
              </w:rPr>
              <w:drawing>
                <wp:inline distT="0" distB="0" distL="0" distR="0">
                  <wp:extent cx="1146806" cy="854015"/>
                  <wp:effectExtent l="19050" t="0" r="0" b="0"/>
                  <wp:docPr id="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1181"/>
                          </a:xfrm>
                          <a:prstGeom prst="rect">
                            <a:avLst/>
                          </a:prstGeom>
                          <a:noFill/>
                          <a:ln>
                            <a:noFill/>
                          </a:ln>
                        </pic:spPr>
                      </pic:pic>
                    </a:graphicData>
                  </a:graphic>
                </wp:inline>
              </w:drawing>
            </w:r>
          </w:p>
        </w:tc>
        <w:tc>
          <w:tcPr>
            <w:tcW w:w="3111" w:type="pct"/>
            <w:shd w:val="clear" w:color="auto" w:fill="auto"/>
          </w:tcPr>
          <w:p w:rsidR="00D748C3" w:rsidRPr="005F120D" w:rsidRDefault="00D748C3" w:rsidP="00C437AA">
            <w:pPr>
              <w:pStyle w:val="Heading1NONUM"/>
              <w:spacing w:line="276" w:lineRule="auto"/>
              <w:rPr>
                <w:rFonts w:eastAsia="Calibri" w:cstheme="minorHAnsi"/>
                <w:color w:val="006600"/>
              </w:rPr>
            </w:pPr>
            <w:bookmarkStart w:id="4" w:name="_Toc385242074"/>
            <w:bookmarkStart w:id="5" w:name="_Toc385245700"/>
            <w:bookmarkStart w:id="6" w:name="_Toc462837164"/>
            <w:r w:rsidRPr="005F120D">
              <w:rPr>
                <w:rFonts w:eastAsia="Calibri" w:cstheme="minorHAnsi"/>
                <w:color w:val="006600"/>
              </w:rPr>
              <w:t>Acknowledgement</w:t>
            </w:r>
            <w:bookmarkEnd w:id="4"/>
            <w:bookmarkEnd w:id="5"/>
            <w:r w:rsidR="009770FD" w:rsidRPr="005F120D">
              <w:rPr>
                <w:rFonts w:eastAsia="Calibri" w:cstheme="minorHAnsi"/>
                <w:color w:val="006600"/>
              </w:rPr>
              <w:t>s</w:t>
            </w:r>
            <w:bookmarkEnd w:id="6"/>
          </w:p>
        </w:tc>
      </w:tr>
    </w:tbl>
    <w:p w:rsidR="000C0A45" w:rsidRPr="005F120D" w:rsidRDefault="000C0A45" w:rsidP="00C437AA">
      <w:pPr>
        <w:pStyle w:val="BodyText1"/>
        <w:jc w:val="both"/>
        <w:rPr>
          <w:rFonts w:asciiTheme="minorHAnsi" w:hAnsiTheme="minorHAnsi" w:cstheme="minorHAnsi"/>
          <w:b w:val="0"/>
        </w:rPr>
      </w:pPr>
      <w:r w:rsidRPr="005F120D">
        <w:rPr>
          <w:rFonts w:asciiTheme="minorHAnsi" w:hAnsiTheme="minorHAnsi" w:cstheme="minorHAnsi"/>
          <w:b w:val="0"/>
        </w:rPr>
        <w:t>The Monitoring and Evaluation</w:t>
      </w:r>
      <w:r w:rsidR="002152D1" w:rsidRPr="005F120D">
        <w:rPr>
          <w:rFonts w:asciiTheme="minorHAnsi" w:hAnsiTheme="minorHAnsi" w:cstheme="minorHAnsi"/>
          <w:b w:val="0"/>
        </w:rPr>
        <w:t xml:space="preserve"> (M&amp;E)</w:t>
      </w:r>
      <w:r w:rsidRPr="005F120D">
        <w:rPr>
          <w:rFonts w:asciiTheme="minorHAnsi" w:hAnsiTheme="minorHAnsi" w:cstheme="minorHAnsi"/>
          <w:b w:val="0"/>
        </w:rPr>
        <w:t xml:space="preserve"> Division of DPE has been publishing the ASPR since</w:t>
      </w:r>
      <w:r w:rsidR="002152D1" w:rsidRPr="005F120D">
        <w:rPr>
          <w:rFonts w:asciiTheme="minorHAnsi" w:hAnsiTheme="minorHAnsi" w:cstheme="minorHAnsi"/>
          <w:b w:val="0"/>
        </w:rPr>
        <w:t xml:space="preserve"> 2009 including a pilot version in</w:t>
      </w:r>
      <w:r w:rsidRPr="005F120D">
        <w:rPr>
          <w:rFonts w:asciiTheme="minorHAnsi" w:hAnsiTheme="minorHAnsi" w:cstheme="minorHAnsi"/>
          <w:b w:val="0"/>
        </w:rPr>
        <w:t xml:space="preserve"> 2008. In its efforts to improve management for development results, the DPE is moving towards results-based management practices and a reporting system designed to inform planning and policy-making. The </w:t>
      </w:r>
      <w:r w:rsidR="002152D1" w:rsidRPr="005F120D">
        <w:rPr>
          <w:rFonts w:asciiTheme="minorHAnsi" w:hAnsiTheme="minorHAnsi" w:cstheme="minorHAnsi"/>
          <w:b w:val="0"/>
        </w:rPr>
        <w:t>main information sources of</w:t>
      </w:r>
      <w:r w:rsidRPr="005F120D">
        <w:rPr>
          <w:rFonts w:asciiTheme="minorHAnsi" w:hAnsiTheme="minorHAnsi" w:cstheme="minorHAnsi"/>
          <w:b w:val="0"/>
        </w:rPr>
        <w:t xml:space="preserve"> ASPR</w:t>
      </w:r>
      <w:r w:rsidR="002152D1" w:rsidRPr="005F120D">
        <w:rPr>
          <w:rFonts w:asciiTheme="minorHAnsi" w:hAnsiTheme="minorHAnsi" w:cstheme="minorHAnsi"/>
          <w:b w:val="0"/>
        </w:rPr>
        <w:t xml:space="preserve"> 2016</w:t>
      </w:r>
      <w:r w:rsidRPr="005F120D">
        <w:rPr>
          <w:rFonts w:asciiTheme="minorHAnsi" w:hAnsiTheme="minorHAnsi" w:cstheme="minorHAnsi"/>
          <w:b w:val="0"/>
        </w:rPr>
        <w:t xml:space="preserve"> are the Annual Primary School Census (APSC) and the National Student Assessment (NSA).  </w:t>
      </w:r>
    </w:p>
    <w:p w:rsidR="000C0A45" w:rsidRPr="005F120D" w:rsidRDefault="002152D1" w:rsidP="00C437AA">
      <w:pPr>
        <w:pStyle w:val="BodyText1"/>
        <w:jc w:val="both"/>
        <w:rPr>
          <w:rFonts w:asciiTheme="minorHAnsi" w:hAnsiTheme="minorHAnsi" w:cstheme="minorHAnsi"/>
          <w:b w:val="0"/>
        </w:rPr>
      </w:pPr>
      <w:r w:rsidRPr="005F120D">
        <w:rPr>
          <w:rFonts w:asciiTheme="minorHAnsi" w:hAnsiTheme="minorHAnsi" w:cstheme="minorHAnsi"/>
          <w:b w:val="0"/>
        </w:rPr>
        <w:t>The</w:t>
      </w:r>
      <w:r w:rsidR="00C4591B">
        <w:rPr>
          <w:rFonts w:asciiTheme="minorHAnsi" w:hAnsiTheme="minorHAnsi" w:cstheme="minorHAnsi"/>
          <w:b w:val="0"/>
        </w:rPr>
        <w:t xml:space="preserve"> </w:t>
      </w:r>
      <w:r w:rsidR="00840D8B" w:rsidRPr="005F120D">
        <w:rPr>
          <w:rFonts w:asciiTheme="minorHAnsi" w:hAnsiTheme="minorHAnsi" w:cstheme="minorHAnsi"/>
          <w:b w:val="0"/>
        </w:rPr>
        <w:t xml:space="preserve">purpose of </w:t>
      </w:r>
      <w:r w:rsidR="000C0A45" w:rsidRPr="005F120D">
        <w:rPr>
          <w:rFonts w:asciiTheme="minorHAnsi" w:hAnsiTheme="minorHAnsi" w:cstheme="minorHAnsi"/>
          <w:b w:val="0"/>
        </w:rPr>
        <w:t xml:space="preserve">ASPR is to integrate all available and </w:t>
      </w:r>
      <w:r w:rsidR="00840D8B" w:rsidRPr="005F120D">
        <w:rPr>
          <w:rFonts w:asciiTheme="minorHAnsi" w:hAnsiTheme="minorHAnsi" w:cstheme="minorHAnsi"/>
          <w:b w:val="0"/>
        </w:rPr>
        <w:t>reliable</w:t>
      </w:r>
      <w:r w:rsidR="000C0A45" w:rsidRPr="005F120D">
        <w:rPr>
          <w:rFonts w:asciiTheme="minorHAnsi" w:hAnsiTheme="minorHAnsi" w:cstheme="minorHAnsi"/>
          <w:b w:val="0"/>
        </w:rPr>
        <w:t xml:space="preserve"> sources of information </w:t>
      </w:r>
      <w:r w:rsidRPr="005F120D">
        <w:rPr>
          <w:rFonts w:asciiTheme="minorHAnsi" w:hAnsiTheme="minorHAnsi" w:cstheme="minorHAnsi"/>
          <w:b w:val="0"/>
        </w:rPr>
        <w:t xml:space="preserve">on </w:t>
      </w:r>
      <w:r w:rsidR="00840D8B" w:rsidRPr="005F120D">
        <w:rPr>
          <w:rFonts w:asciiTheme="minorHAnsi" w:hAnsiTheme="minorHAnsi" w:cstheme="minorHAnsi"/>
          <w:b w:val="0"/>
        </w:rPr>
        <w:t xml:space="preserve">the </w:t>
      </w:r>
      <w:r w:rsidR="000C0A45" w:rsidRPr="005F120D">
        <w:rPr>
          <w:rFonts w:asciiTheme="minorHAnsi" w:hAnsiTheme="minorHAnsi" w:cstheme="minorHAnsi"/>
          <w:b w:val="0"/>
        </w:rPr>
        <w:t>primary education</w:t>
      </w:r>
      <w:r w:rsidRPr="005F120D">
        <w:rPr>
          <w:rFonts w:asciiTheme="minorHAnsi" w:hAnsiTheme="minorHAnsi" w:cstheme="minorHAnsi"/>
          <w:b w:val="0"/>
        </w:rPr>
        <w:t xml:space="preserve"> sector</w:t>
      </w:r>
      <w:r w:rsidR="000C0A45" w:rsidRPr="005F120D">
        <w:rPr>
          <w:rFonts w:asciiTheme="minorHAnsi" w:hAnsiTheme="minorHAnsi" w:cstheme="minorHAnsi"/>
          <w:b w:val="0"/>
        </w:rPr>
        <w:t xml:space="preserve">. Accordingly, the key findings on CAMPE 2014, BANBEIS 2015, MICS 2012-13, EHS 2014 and HIES 2010 surveys are included in this report. </w:t>
      </w:r>
    </w:p>
    <w:p w:rsidR="000C0A45" w:rsidRPr="005F120D" w:rsidRDefault="000C0A45" w:rsidP="00C437AA">
      <w:pPr>
        <w:pStyle w:val="BodyText1"/>
        <w:jc w:val="both"/>
        <w:rPr>
          <w:rFonts w:asciiTheme="minorHAnsi" w:hAnsiTheme="minorHAnsi" w:cstheme="minorHAnsi"/>
          <w:b w:val="0"/>
        </w:rPr>
      </w:pPr>
      <w:r w:rsidRPr="005F120D">
        <w:rPr>
          <w:rFonts w:asciiTheme="minorHAnsi" w:hAnsiTheme="minorHAnsi" w:cstheme="minorHAnsi"/>
          <w:b w:val="0"/>
        </w:rPr>
        <w:t xml:space="preserve">The 2016 ASPR is intended to put beneficiary level results in focus and so improve the effectiveness of measures taken to support the primary education sector. This intention is closely in line both with the objectives of the Government of Bangladesh and of the Paris Declaration on Aid Effectiveness on managing for results. </w:t>
      </w:r>
    </w:p>
    <w:p w:rsidR="000C0A45" w:rsidRPr="005F120D" w:rsidRDefault="000C0A45" w:rsidP="00C437AA">
      <w:pPr>
        <w:pStyle w:val="BodyText1"/>
        <w:jc w:val="both"/>
        <w:rPr>
          <w:rFonts w:asciiTheme="minorHAnsi" w:hAnsiTheme="minorHAnsi" w:cstheme="minorHAnsi"/>
          <w:b w:val="0"/>
        </w:rPr>
      </w:pPr>
      <w:r w:rsidRPr="005F120D">
        <w:rPr>
          <w:rFonts w:asciiTheme="minorHAnsi" w:hAnsiTheme="minorHAnsi" w:cstheme="minorHAnsi"/>
          <w:b w:val="0"/>
        </w:rPr>
        <w:t>The DPE finds itself in a unique position to forge a focus on children in primary education through its sector wide program of co-operation with the development community: the PEDP3 offers an opportunity to share an analysis of sector performance and oper</w:t>
      </w:r>
      <w:r w:rsidR="00D63D61" w:rsidRPr="005F120D">
        <w:rPr>
          <w:rFonts w:asciiTheme="minorHAnsi" w:hAnsiTheme="minorHAnsi" w:cstheme="minorHAnsi"/>
          <w:b w:val="0"/>
        </w:rPr>
        <w:t>ational options that strengthen</w:t>
      </w:r>
      <w:r w:rsidRPr="005F120D">
        <w:rPr>
          <w:rFonts w:asciiTheme="minorHAnsi" w:hAnsiTheme="minorHAnsi" w:cstheme="minorHAnsi"/>
          <w:b w:val="0"/>
        </w:rPr>
        <w:t xml:space="preserve"> accountability.</w:t>
      </w:r>
    </w:p>
    <w:p w:rsidR="000C0A45" w:rsidRPr="005F120D" w:rsidRDefault="000C0A45" w:rsidP="00C437AA">
      <w:pPr>
        <w:spacing w:line="276" w:lineRule="auto"/>
        <w:jc w:val="both"/>
        <w:rPr>
          <w:rFonts w:asciiTheme="minorHAnsi" w:hAnsiTheme="minorHAnsi" w:cstheme="minorHAnsi"/>
        </w:rPr>
      </w:pPr>
      <w:r w:rsidRPr="005F120D">
        <w:rPr>
          <w:rFonts w:asciiTheme="minorHAnsi" w:hAnsiTheme="minorHAnsi" w:cstheme="minorHAnsi"/>
        </w:rPr>
        <w:t xml:space="preserve">I feel proud of the leadership of the DPE for </w:t>
      </w:r>
      <w:r w:rsidR="00D63D61" w:rsidRPr="005F120D">
        <w:rPr>
          <w:rFonts w:asciiTheme="minorHAnsi" w:hAnsiTheme="minorHAnsi" w:cstheme="minorHAnsi"/>
        </w:rPr>
        <w:t xml:space="preserve">organizing </w:t>
      </w:r>
      <w:r w:rsidRPr="005F120D">
        <w:rPr>
          <w:rFonts w:asciiTheme="minorHAnsi" w:hAnsiTheme="minorHAnsi" w:cstheme="minorHAnsi"/>
        </w:rPr>
        <w:t>the preparation of the 9</w:t>
      </w:r>
      <w:r w:rsidRPr="005F120D">
        <w:rPr>
          <w:rFonts w:asciiTheme="minorHAnsi" w:hAnsiTheme="minorHAnsi" w:cstheme="minorHAnsi"/>
          <w:vertAlign w:val="superscript"/>
        </w:rPr>
        <w:t>th</w:t>
      </w:r>
      <w:r w:rsidRPr="005F120D">
        <w:rPr>
          <w:rFonts w:asciiTheme="minorHAnsi" w:hAnsiTheme="minorHAnsi" w:cstheme="minorHAnsi"/>
        </w:rPr>
        <w:t xml:space="preserve"> ASPR. I express my sincere gratitude to the other DPE line divisions for their cooperation in linking statistical evidence on results with the realities of the planning process, to the PEDP3 donor consortium for its enduring efforts in supporting the capacity of DPE to improve results-based management practices, and to the RBM TA team in preparing this report. In spite of our best efforts, some unintentional errors may have crept into this report. Suggestions and comments are highly appreciated and will be appropriately addressed in the next ASPR.</w:t>
      </w:r>
    </w:p>
    <w:p w:rsidR="00C20450" w:rsidRPr="005F120D" w:rsidRDefault="000C0A45" w:rsidP="00C437AA">
      <w:pPr>
        <w:spacing w:line="276" w:lineRule="auto"/>
        <w:jc w:val="both"/>
        <w:rPr>
          <w:rFonts w:asciiTheme="minorHAnsi" w:hAnsiTheme="minorHAnsi" w:cstheme="minorHAnsi"/>
        </w:rPr>
      </w:pPr>
      <w:r w:rsidRPr="005F120D">
        <w:rPr>
          <w:rFonts w:asciiTheme="minorHAnsi" w:hAnsiTheme="minorHAnsi" w:cstheme="minorHAnsi"/>
        </w:rPr>
        <w:t>Finally, I would like to express my gratitude to Mr. Mohammad Alamgir, Director General, DPE and Dr. Md. Abu Hena Mostofa Kamal, ndc, Additional Director General, DPE for their guidance and active support for the preparation of this report</w:t>
      </w:r>
      <w:r w:rsidR="00C20450" w:rsidRPr="005F120D">
        <w:rPr>
          <w:rFonts w:asciiTheme="minorHAnsi" w:hAnsiTheme="minorHAnsi" w:cstheme="minorHAnsi"/>
        </w:rPr>
        <w:t>.</w:t>
      </w:r>
    </w:p>
    <w:p w:rsidR="00B24CA1" w:rsidRPr="005F120D" w:rsidRDefault="00B24CA1" w:rsidP="00C437AA">
      <w:pPr>
        <w:pStyle w:val="NoSpacing"/>
        <w:spacing w:line="276" w:lineRule="auto"/>
        <w:rPr>
          <w:rFonts w:asciiTheme="minorHAnsi" w:hAnsiTheme="minorHAnsi" w:cstheme="minorHAnsi"/>
        </w:rPr>
      </w:pPr>
    </w:p>
    <w:p w:rsidR="00B24CA1" w:rsidRPr="005F120D" w:rsidRDefault="00B24CA1" w:rsidP="00C437AA">
      <w:pPr>
        <w:pStyle w:val="NoSpacing"/>
        <w:spacing w:line="276" w:lineRule="auto"/>
        <w:rPr>
          <w:rFonts w:asciiTheme="minorHAnsi" w:hAnsiTheme="minorHAnsi" w:cstheme="minorHAnsi"/>
        </w:rPr>
      </w:pPr>
    </w:p>
    <w:p w:rsidR="00C20450" w:rsidRPr="005F120D" w:rsidRDefault="00C20450" w:rsidP="00C437AA">
      <w:pPr>
        <w:pStyle w:val="NoSpacing"/>
        <w:spacing w:line="276" w:lineRule="auto"/>
        <w:rPr>
          <w:rFonts w:asciiTheme="minorHAnsi" w:hAnsiTheme="minorHAnsi" w:cstheme="minorHAnsi"/>
        </w:rPr>
      </w:pPr>
      <w:r w:rsidRPr="005F120D">
        <w:rPr>
          <w:rFonts w:asciiTheme="minorHAnsi" w:hAnsiTheme="minorHAnsi" w:cstheme="minorHAnsi"/>
        </w:rPr>
        <w:t xml:space="preserve">Md. </w:t>
      </w:r>
      <w:r w:rsidR="009C7BCF" w:rsidRPr="005F120D">
        <w:rPr>
          <w:rFonts w:asciiTheme="minorHAnsi" w:hAnsiTheme="minorHAnsi" w:cstheme="minorHAnsi"/>
        </w:rPr>
        <w:t>Saber Hossain</w:t>
      </w:r>
    </w:p>
    <w:p w:rsidR="00C20450" w:rsidRPr="005F120D" w:rsidRDefault="00C20450" w:rsidP="00C437AA">
      <w:pPr>
        <w:pStyle w:val="NoSpacing"/>
        <w:spacing w:line="276" w:lineRule="auto"/>
        <w:rPr>
          <w:rFonts w:asciiTheme="minorHAnsi" w:hAnsiTheme="minorHAnsi" w:cstheme="minorHAnsi"/>
        </w:rPr>
      </w:pPr>
      <w:r w:rsidRPr="005F120D">
        <w:rPr>
          <w:rFonts w:asciiTheme="minorHAnsi" w:hAnsiTheme="minorHAnsi" w:cstheme="minorHAnsi"/>
        </w:rPr>
        <w:t>Director</w:t>
      </w:r>
      <w:r w:rsidR="009C7BCF" w:rsidRPr="005F120D">
        <w:rPr>
          <w:rFonts w:asciiTheme="minorHAnsi" w:hAnsiTheme="minorHAnsi" w:cstheme="minorHAnsi"/>
        </w:rPr>
        <w:t xml:space="preserve">, </w:t>
      </w:r>
      <w:r w:rsidRPr="005F120D">
        <w:rPr>
          <w:rFonts w:asciiTheme="minorHAnsi" w:hAnsiTheme="minorHAnsi" w:cstheme="minorHAnsi"/>
        </w:rPr>
        <w:t xml:space="preserve">M&amp;E Division </w:t>
      </w:r>
    </w:p>
    <w:p w:rsidR="00115308" w:rsidRPr="005F120D" w:rsidRDefault="00C20450" w:rsidP="00C437AA">
      <w:pPr>
        <w:pStyle w:val="NoSpacing"/>
        <w:spacing w:line="276" w:lineRule="auto"/>
        <w:rPr>
          <w:rFonts w:asciiTheme="minorHAnsi" w:hAnsiTheme="minorHAnsi" w:cstheme="minorHAnsi"/>
        </w:rPr>
      </w:pPr>
      <w:r w:rsidRPr="005F120D">
        <w:rPr>
          <w:rFonts w:asciiTheme="minorHAnsi" w:hAnsiTheme="minorHAnsi" w:cstheme="minorHAnsi"/>
        </w:rPr>
        <w:t>Directorate of Primary Education</w:t>
      </w:r>
    </w:p>
    <w:p w:rsidR="00BA1689" w:rsidRDefault="00BA1689" w:rsidP="00115308">
      <w:pPr>
        <w:spacing w:after="0"/>
        <w:rPr>
          <w:rFonts w:asciiTheme="minorHAnsi" w:hAnsiTheme="minorHAnsi" w:cstheme="minorHAnsi"/>
          <w:b/>
          <w:color w:val="006600"/>
          <w:sz w:val="28"/>
          <w:szCs w:val="28"/>
        </w:rPr>
      </w:pPr>
    </w:p>
    <w:p w:rsidR="00D748C3" w:rsidRPr="005F120D" w:rsidRDefault="00734D22" w:rsidP="00115308">
      <w:pPr>
        <w:spacing w:after="0"/>
        <w:rPr>
          <w:rFonts w:asciiTheme="minorHAnsi" w:hAnsiTheme="minorHAnsi" w:cstheme="minorHAnsi"/>
          <w:b/>
          <w:sz w:val="28"/>
          <w:szCs w:val="28"/>
        </w:rPr>
      </w:pPr>
      <w:r w:rsidRPr="005F120D">
        <w:rPr>
          <w:rFonts w:asciiTheme="minorHAnsi" w:hAnsiTheme="minorHAnsi" w:cstheme="minorHAnsi"/>
          <w:b/>
          <w:color w:val="006600"/>
          <w:sz w:val="28"/>
          <w:szCs w:val="28"/>
        </w:rPr>
        <w:lastRenderedPageBreak/>
        <w:t>Acronyms</w:t>
      </w:r>
    </w:p>
    <w:p w:rsidR="00183844" w:rsidRPr="005F120D" w:rsidRDefault="00183844" w:rsidP="00C437AA">
      <w:pPr>
        <w:pStyle w:val="NoSpacing"/>
        <w:spacing w:line="276" w:lineRule="auto"/>
        <w:rPr>
          <w:rFonts w:asciiTheme="minorHAnsi" w:hAnsiTheme="minorHAnsi" w:cstheme="minorHAnsi"/>
        </w:rPr>
      </w:pPr>
    </w:p>
    <w:p w:rsidR="008366A5" w:rsidRPr="005F120D" w:rsidRDefault="008366A5"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ACER</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Australian Cou</w:t>
      </w:r>
      <w:r w:rsidR="00051033" w:rsidRPr="005F120D">
        <w:rPr>
          <w:rFonts w:asciiTheme="minorHAnsi" w:hAnsiTheme="minorHAnsi" w:cstheme="minorHAnsi"/>
          <w:sz w:val="20"/>
        </w:rPr>
        <w:t>ncil for Educational</w:t>
      </w:r>
      <w:r w:rsidRPr="005F120D">
        <w:rPr>
          <w:rFonts w:asciiTheme="minorHAnsi" w:hAnsiTheme="minorHAnsi" w:cstheme="minorHAnsi"/>
          <w:sz w:val="20"/>
        </w:rPr>
        <w:t xml:space="preserve"> Research</w:t>
      </w:r>
    </w:p>
    <w:p w:rsidR="008366A5" w:rsidRPr="005F120D" w:rsidRDefault="008366A5"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ADB</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Annual Development Budget</w:t>
      </w:r>
      <w:r w:rsidR="00F413E8" w:rsidRPr="005F120D">
        <w:rPr>
          <w:rFonts w:asciiTheme="minorHAnsi" w:hAnsiTheme="minorHAnsi" w:cstheme="minorHAnsi"/>
          <w:sz w:val="20"/>
        </w:rPr>
        <w:t>/</w:t>
      </w:r>
      <w:r w:rsidR="006C089B" w:rsidRPr="005F120D">
        <w:rPr>
          <w:rFonts w:asciiTheme="minorHAnsi" w:hAnsiTheme="minorHAnsi" w:cstheme="minorHAnsi"/>
          <w:sz w:val="20"/>
        </w:rPr>
        <w:t>Asian Development Bank</w:t>
      </w:r>
    </w:p>
    <w:p w:rsidR="008366A5" w:rsidRPr="005F120D" w:rsidRDefault="008366A5"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 xml:space="preserve">ADPEO </w:t>
      </w:r>
      <w:r w:rsidRPr="005F120D">
        <w:rPr>
          <w:rFonts w:asciiTheme="minorHAnsi" w:hAnsiTheme="minorHAnsi" w:cstheme="minorHAnsi"/>
          <w:sz w:val="20"/>
        </w:rPr>
        <w:tab/>
      </w:r>
      <w:r w:rsidR="002D34DD"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Assistant District Primary Education Officer</w:t>
      </w:r>
    </w:p>
    <w:p w:rsidR="008366A5" w:rsidRPr="005F120D" w:rsidRDefault="008366A5"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AOP</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Annual Operation Plan</w:t>
      </w:r>
    </w:p>
    <w:p w:rsidR="003F3A8D" w:rsidRPr="005F120D" w:rsidRDefault="003F3A8D"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APSC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Annual Primary School Census</w:t>
      </w:r>
    </w:p>
    <w:p w:rsidR="003F3A8D" w:rsidRPr="005F120D" w:rsidRDefault="003F3A8D"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ASC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Annu</w:t>
      </w:r>
      <w:r w:rsidR="00051033" w:rsidRPr="005F120D">
        <w:rPr>
          <w:rFonts w:asciiTheme="minorHAnsi" w:hAnsiTheme="minorHAnsi" w:cstheme="minorHAnsi"/>
          <w:sz w:val="20"/>
        </w:rPr>
        <w:t>al School Census (Re-phrasing by MoPME</w:t>
      </w:r>
      <w:r w:rsidRPr="005F120D">
        <w:rPr>
          <w:rFonts w:asciiTheme="minorHAnsi" w:hAnsiTheme="minorHAnsi" w:cstheme="minorHAnsi"/>
          <w:sz w:val="20"/>
        </w:rPr>
        <w:t xml:space="preserve"> as APSC)</w:t>
      </w:r>
    </w:p>
    <w:p w:rsidR="003F3A8D" w:rsidRPr="005F120D" w:rsidRDefault="003F3A8D"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ASPR</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Annual Sector Performance Report</w:t>
      </w:r>
    </w:p>
    <w:p w:rsidR="008366A5" w:rsidRPr="005F120D" w:rsidRDefault="008366A5"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ATEO</w:t>
      </w:r>
      <w:r w:rsidR="002D34DD" w:rsidRPr="005F120D">
        <w:rPr>
          <w:rFonts w:asciiTheme="minorHAnsi" w:hAnsiTheme="minorHAnsi" w:cstheme="minorHAnsi"/>
          <w:sz w:val="20"/>
        </w:rPr>
        <w:t>/AUEO</w:t>
      </w:r>
      <w:r w:rsidR="002D34DD"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Assistant Thana</w:t>
      </w:r>
      <w:r w:rsidR="002D34DD" w:rsidRPr="005F120D">
        <w:rPr>
          <w:rFonts w:asciiTheme="minorHAnsi" w:hAnsiTheme="minorHAnsi" w:cstheme="minorHAnsi"/>
          <w:sz w:val="20"/>
        </w:rPr>
        <w:t xml:space="preserve">/ Upazila </w:t>
      </w:r>
      <w:r w:rsidRPr="005F120D">
        <w:rPr>
          <w:rFonts w:asciiTheme="minorHAnsi" w:hAnsiTheme="minorHAnsi" w:cstheme="minorHAnsi"/>
          <w:sz w:val="20"/>
        </w:rPr>
        <w:t>Education Officer</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BANBEIS</w:t>
      </w:r>
      <w:r w:rsidRPr="005F120D">
        <w:rPr>
          <w:rFonts w:asciiTheme="minorHAnsi" w:hAnsiTheme="minorHAnsi" w:cstheme="minorHAnsi"/>
          <w:sz w:val="20"/>
        </w:rPr>
        <w:tab/>
      </w:r>
      <w:r w:rsidR="00C47C7D" w:rsidRPr="005F120D">
        <w:rPr>
          <w:rFonts w:asciiTheme="minorHAnsi" w:hAnsiTheme="minorHAnsi" w:cstheme="minorHAnsi"/>
          <w:sz w:val="20"/>
        </w:rPr>
        <w:tab/>
      </w:r>
      <w:r w:rsidR="005A78B0" w:rsidRPr="005F120D">
        <w:rPr>
          <w:rFonts w:asciiTheme="minorHAnsi" w:hAnsiTheme="minorHAnsi" w:cstheme="minorHAnsi"/>
          <w:sz w:val="20"/>
        </w:rPr>
        <w:tab/>
      </w:r>
      <w:r w:rsidRPr="005F120D">
        <w:rPr>
          <w:rFonts w:asciiTheme="minorHAnsi" w:hAnsiTheme="minorHAnsi" w:cstheme="minorHAnsi"/>
          <w:sz w:val="20"/>
        </w:rPr>
        <w:t>Bangladesh Bureau of Educational Information and Statistics</w:t>
      </w:r>
    </w:p>
    <w:p w:rsidR="003F3A8D" w:rsidRPr="005F120D" w:rsidRDefault="003F3A8D"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BBS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Bangladesh Bureau of Statistics</w:t>
      </w:r>
    </w:p>
    <w:p w:rsidR="003F3A8D" w:rsidRPr="005F120D" w:rsidRDefault="003F3A8D"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B. Ed.</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Bachelor of Education</w:t>
      </w:r>
    </w:p>
    <w:p w:rsidR="003F3A8D" w:rsidRPr="005F120D" w:rsidRDefault="003F3A8D"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 xml:space="preserve">BDT </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Bangladeshi Taka</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BNFE</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Bureau of Non-Formal Education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BRAC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Bangladesh Rural Advancement Committee</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C-in-Ed</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Certificate in Education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CAMPE</w:t>
      </w:r>
      <w:r w:rsidRPr="005F120D">
        <w:rPr>
          <w:rFonts w:asciiTheme="minorHAnsi" w:hAnsiTheme="minorHAnsi" w:cstheme="minorHAnsi"/>
          <w:sz w:val="20"/>
        </w:rPr>
        <w:tab/>
      </w:r>
      <w:r w:rsidR="00D13B2D"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Campaign for Popular Education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CDVAT</w:t>
      </w:r>
      <w:r w:rsidRPr="005F120D">
        <w:rPr>
          <w:rFonts w:asciiTheme="minorHAnsi" w:hAnsiTheme="minorHAnsi" w:cstheme="minorHAnsi"/>
          <w:sz w:val="20"/>
        </w:rPr>
        <w:tab/>
      </w:r>
      <w:r w:rsidR="00D13B2D"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Custom Duty and Value-Added Tax</w:t>
      </w:r>
    </w:p>
    <w:p w:rsidR="00D748C3" w:rsidRPr="005F120D" w:rsidRDefault="00D748C3" w:rsidP="00C437AA">
      <w:pPr>
        <w:pStyle w:val="NoSpacing"/>
        <w:spacing w:line="276" w:lineRule="auto"/>
        <w:rPr>
          <w:rFonts w:asciiTheme="minorHAnsi" w:hAnsiTheme="minorHAnsi" w:cstheme="minorHAnsi"/>
          <w:bCs/>
          <w:sz w:val="20"/>
        </w:rPr>
      </w:pPr>
      <w:r w:rsidRPr="005F120D">
        <w:rPr>
          <w:rFonts w:asciiTheme="minorHAnsi" w:hAnsiTheme="minorHAnsi" w:cstheme="minorHAnsi"/>
          <w:sz w:val="20"/>
        </w:rPr>
        <w:t>CELS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bCs/>
          <w:sz w:val="20"/>
        </w:rPr>
        <w:t>Child Education and Literacy Survey</w:t>
      </w:r>
    </w:p>
    <w:p w:rsidR="00D748C3" w:rsidRPr="005F120D" w:rsidRDefault="00D748C3" w:rsidP="00C437AA">
      <w:pPr>
        <w:pStyle w:val="NoSpacing"/>
        <w:spacing w:line="276" w:lineRule="auto"/>
        <w:rPr>
          <w:rFonts w:asciiTheme="minorHAnsi" w:hAnsiTheme="minorHAnsi" w:cstheme="minorHAnsi"/>
          <w:bCs/>
          <w:sz w:val="20"/>
        </w:rPr>
      </w:pPr>
      <w:r w:rsidRPr="005F120D">
        <w:rPr>
          <w:rFonts w:asciiTheme="minorHAnsi" w:hAnsiTheme="minorHAnsi" w:cstheme="minorHAnsi"/>
          <w:bCs/>
          <w:sz w:val="20"/>
        </w:rPr>
        <w:t>CHTs</w:t>
      </w:r>
      <w:r w:rsidRPr="005F120D">
        <w:rPr>
          <w:rFonts w:asciiTheme="minorHAnsi" w:hAnsiTheme="minorHAnsi" w:cstheme="minorHAnsi"/>
          <w:bCs/>
          <w:sz w:val="20"/>
        </w:rPr>
        <w:tab/>
      </w:r>
      <w:r w:rsidRPr="005F120D">
        <w:rPr>
          <w:rFonts w:asciiTheme="minorHAnsi" w:hAnsiTheme="minorHAnsi" w:cstheme="minorHAnsi"/>
          <w:bCs/>
          <w:sz w:val="20"/>
        </w:rPr>
        <w:tab/>
      </w:r>
      <w:r w:rsidR="00C47C7D" w:rsidRPr="005F120D">
        <w:rPr>
          <w:rFonts w:asciiTheme="minorHAnsi" w:hAnsiTheme="minorHAnsi" w:cstheme="minorHAnsi"/>
          <w:bCs/>
          <w:sz w:val="20"/>
        </w:rPr>
        <w:tab/>
      </w:r>
      <w:r w:rsidRPr="005F120D">
        <w:rPr>
          <w:rFonts w:asciiTheme="minorHAnsi" w:hAnsiTheme="minorHAnsi" w:cstheme="minorHAnsi"/>
          <w:bCs/>
          <w:sz w:val="20"/>
        </w:rPr>
        <w:t>Chittagong Hill Tracts</w:t>
      </w:r>
    </w:p>
    <w:p w:rsidR="00D748C3" w:rsidRPr="005F120D" w:rsidRDefault="00D748C3" w:rsidP="00C437AA">
      <w:pPr>
        <w:pStyle w:val="NoSpacing"/>
        <w:spacing w:line="276" w:lineRule="auto"/>
        <w:rPr>
          <w:rFonts w:asciiTheme="minorHAnsi" w:hAnsiTheme="minorHAnsi" w:cstheme="minorHAnsi"/>
          <w:bCs/>
          <w:sz w:val="20"/>
        </w:rPr>
      </w:pPr>
      <w:r w:rsidRPr="005F120D">
        <w:rPr>
          <w:rFonts w:asciiTheme="minorHAnsi" w:hAnsiTheme="minorHAnsi" w:cstheme="minorHAnsi"/>
          <w:bCs/>
          <w:sz w:val="20"/>
        </w:rPr>
        <w:t>CPD</w:t>
      </w:r>
      <w:r w:rsidRPr="005F120D">
        <w:rPr>
          <w:rFonts w:asciiTheme="minorHAnsi" w:hAnsiTheme="minorHAnsi" w:cstheme="minorHAnsi"/>
          <w:bCs/>
          <w:sz w:val="20"/>
        </w:rPr>
        <w:tab/>
      </w:r>
      <w:r w:rsidRPr="005F120D">
        <w:rPr>
          <w:rFonts w:asciiTheme="minorHAnsi" w:hAnsiTheme="minorHAnsi" w:cstheme="minorHAnsi"/>
          <w:bCs/>
          <w:sz w:val="20"/>
        </w:rPr>
        <w:tab/>
      </w:r>
      <w:r w:rsidR="00C47C7D" w:rsidRPr="005F120D">
        <w:rPr>
          <w:rFonts w:asciiTheme="minorHAnsi" w:hAnsiTheme="minorHAnsi" w:cstheme="minorHAnsi"/>
          <w:bCs/>
          <w:sz w:val="20"/>
        </w:rPr>
        <w:tab/>
      </w:r>
      <w:r w:rsidRPr="005F120D">
        <w:rPr>
          <w:rFonts w:asciiTheme="minorHAnsi" w:hAnsiTheme="minorHAnsi" w:cstheme="minorHAnsi"/>
          <w:bCs/>
          <w:sz w:val="20"/>
        </w:rPr>
        <w:t xml:space="preserve">Continuous Professional Development </w:t>
      </w:r>
      <w:r w:rsidR="00051033" w:rsidRPr="005F120D">
        <w:rPr>
          <w:rFonts w:asciiTheme="minorHAnsi" w:hAnsiTheme="minorHAnsi" w:cstheme="minorHAnsi"/>
          <w:bCs/>
          <w:sz w:val="20"/>
        </w:rPr>
        <w:t>(</w:t>
      </w:r>
      <w:r w:rsidRPr="005F120D">
        <w:rPr>
          <w:rFonts w:asciiTheme="minorHAnsi" w:hAnsiTheme="minorHAnsi" w:cstheme="minorHAnsi"/>
          <w:bCs/>
          <w:sz w:val="20"/>
        </w:rPr>
        <w:t>Training</w:t>
      </w:r>
      <w:r w:rsidR="00051033" w:rsidRPr="005F120D">
        <w:rPr>
          <w:rFonts w:asciiTheme="minorHAnsi" w:hAnsiTheme="minorHAnsi" w:cstheme="minorHAnsi"/>
          <w:bCs/>
          <w:sz w:val="20"/>
        </w:rPr>
        <w:t>)</w:t>
      </w:r>
    </w:p>
    <w:p w:rsidR="00D748C3" w:rsidRPr="005F120D" w:rsidRDefault="00D748C3" w:rsidP="00C437AA">
      <w:pPr>
        <w:pStyle w:val="NoSpacing"/>
        <w:spacing w:line="276" w:lineRule="auto"/>
        <w:rPr>
          <w:rFonts w:asciiTheme="minorHAnsi" w:hAnsiTheme="minorHAnsi" w:cstheme="minorHAnsi"/>
          <w:bCs/>
          <w:sz w:val="20"/>
        </w:rPr>
      </w:pPr>
      <w:r w:rsidRPr="005F120D">
        <w:rPr>
          <w:rFonts w:asciiTheme="minorHAnsi" w:hAnsiTheme="minorHAnsi" w:cstheme="minorHAnsi"/>
          <w:bCs/>
          <w:sz w:val="20"/>
        </w:rPr>
        <w:t>DFID</w:t>
      </w:r>
      <w:r w:rsidRPr="005F120D">
        <w:rPr>
          <w:rFonts w:asciiTheme="minorHAnsi" w:hAnsiTheme="minorHAnsi" w:cstheme="minorHAnsi"/>
          <w:bCs/>
          <w:sz w:val="20"/>
        </w:rPr>
        <w:tab/>
      </w:r>
      <w:r w:rsidRPr="005F120D">
        <w:rPr>
          <w:rFonts w:asciiTheme="minorHAnsi" w:hAnsiTheme="minorHAnsi" w:cstheme="minorHAnsi"/>
          <w:bCs/>
          <w:sz w:val="20"/>
        </w:rPr>
        <w:tab/>
      </w:r>
      <w:r w:rsidR="00C47C7D" w:rsidRPr="005F120D">
        <w:rPr>
          <w:rFonts w:asciiTheme="minorHAnsi" w:hAnsiTheme="minorHAnsi" w:cstheme="minorHAnsi"/>
          <w:bCs/>
          <w:sz w:val="20"/>
        </w:rPr>
        <w:tab/>
      </w:r>
      <w:r w:rsidRPr="005F120D">
        <w:rPr>
          <w:rFonts w:asciiTheme="minorHAnsi" w:hAnsiTheme="minorHAnsi" w:cstheme="minorHAnsi"/>
          <w:bCs/>
          <w:sz w:val="20"/>
        </w:rPr>
        <w:t>UK Department for International Development</w:t>
      </w:r>
    </w:p>
    <w:p w:rsidR="00051033" w:rsidRPr="005F120D" w:rsidRDefault="0005103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DLI</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 xml:space="preserve">Disbursement </w:t>
      </w:r>
      <w:r w:rsidR="003F3A8D" w:rsidRPr="005F120D">
        <w:rPr>
          <w:rFonts w:asciiTheme="minorHAnsi" w:hAnsiTheme="minorHAnsi" w:cstheme="minorHAnsi"/>
          <w:sz w:val="20"/>
        </w:rPr>
        <w:t>Linked Indicator</w:t>
      </w:r>
    </w:p>
    <w:p w:rsidR="00D748C3" w:rsidRPr="005F120D" w:rsidRDefault="00DE6E52" w:rsidP="00C437AA">
      <w:pPr>
        <w:pStyle w:val="NoSpacing"/>
        <w:spacing w:line="276" w:lineRule="auto"/>
        <w:rPr>
          <w:rFonts w:asciiTheme="minorHAnsi" w:hAnsiTheme="minorHAnsi" w:cstheme="minorHAnsi"/>
          <w:bCs/>
          <w:sz w:val="20"/>
        </w:rPr>
      </w:pPr>
      <w:r w:rsidRPr="005F120D">
        <w:rPr>
          <w:rFonts w:asciiTheme="minorHAnsi" w:hAnsiTheme="minorHAnsi" w:cstheme="minorHAnsi"/>
          <w:bCs/>
          <w:sz w:val="20"/>
        </w:rPr>
        <w:t>DP</w:t>
      </w:r>
      <w:r w:rsidR="00051033" w:rsidRPr="005F120D">
        <w:rPr>
          <w:rFonts w:asciiTheme="minorHAnsi" w:hAnsiTheme="minorHAnsi" w:cstheme="minorHAnsi"/>
          <w:bCs/>
          <w:sz w:val="20"/>
        </w:rPr>
        <w:t>Ed</w:t>
      </w:r>
      <w:r w:rsidR="00D748C3" w:rsidRPr="005F120D">
        <w:rPr>
          <w:rFonts w:asciiTheme="minorHAnsi" w:hAnsiTheme="minorHAnsi" w:cstheme="minorHAnsi"/>
          <w:bCs/>
          <w:sz w:val="20"/>
        </w:rPr>
        <w:tab/>
      </w:r>
      <w:r w:rsidR="00303B7A" w:rsidRPr="005F120D">
        <w:rPr>
          <w:rFonts w:asciiTheme="minorHAnsi" w:hAnsiTheme="minorHAnsi" w:cstheme="minorHAnsi"/>
          <w:bCs/>
          <w:sz w:val="20"/>
        </w:rPr>
        <w:tab/>
      </w:r>
      <w:r w:rsidR="00C47C7D" w:rsidRPr="005F120D">
        <w:rPr>
          <w:rFonts w:asciiTheme="minorHAnsi" w:hAnsiTheme="minorHAnsi" w:cstheme="minorHAnsi"/>
          <w:bCs/>
          <w:sz w:val="20"/>
        </w:rPr>
        <w:tab/>
      </w:r>
      <w:r w:rsidR="00D748C3" w:rsidRPr="005F120D">
        <w:rPr>
          <w:rFonts w:asciiTheme="minorHAnsi" w:hAnsiTheme="minorHAnsi" w:cstheme="minorHAnsi"/>
          <w:bCs/>
          <w:sz w:val="20"/>
        </w:rPr>
        <w:t xml:space="preserve">Diploma </w:t>
      </w:r>
      <w:r w:rsidR="00051033" w:rsidRPr="005F120D">
        <w:rPr>
          <w:rFonts w:asciiTheme="minorHAnsi" w:hAnsiTheme="minorHAnsi" w:cstheme="minorHAnsi"/>
          <w:bCs/>
          <w:sz w:val="20"/>
        </w:rPr>
        <w:t xml:space="preserve">in Primary </w:t>
      </w:r>
      <w:r w:rsidR="00D748C3" w:rsidRPr="005F120D">
        <w:rPr>
          <w:rFonts w:asciiTheme="minorHAnsi" w:hAnsiTheme="minorHAnsi" w:cstheme="minorHAnsi"/>
          <w:bCs/>
          <w:sz w:val="20"/>
        </w:rPr>
        <w:t>Education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DP</w:t>
      </w:r>
      <w:r w:rsidR="00051033" w:rsidRPr="005F120D">
        <w:rPr>
          <w:rFonts w:asciiTheme="minorHAnsi" w:hAnsiTheme="minorHAnsi" w:cstheme="minorHAnsi"/>
          <w:sz w:val="20"/>
        </w:rPr>
        <w:t>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Development Partner</w:t>
      </w:r>
      <w:r w:rsidR="00051033" w:rsidRPr="005F120D">
        <w:rPr>
          <w:rFonts w:asciiTheme="minorHAnsi" w:hAnsiTheme="minorHAnsi" w:cstheme="minorHAnsi"/>
          <w:sz w:val="20"/>
        </w:rPr>
        <w:t>s</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DPE</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Directorate of Primary Education</w:t>
      </w:r>
    </w:p>
    <w:p w:rsidR="00ED239B" w:rsidRPr="005F120D" w:rsidRDefault="00ED239B"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DR</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Descriptive Role</w:t>
      </w:r>
    </w:p>
    <w:p w:rsidR="00F44241" w:rsidRPr="005F120D" w:rsidRDefault="00F44241"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ECL</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Each Child Learns</w:t>
      </w:r>
    </w:p>
    <w:p w:rsidR="00F44241" w:rsidRPr="005F120D" w:rsidRDefault="008366A5"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ECNEC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Executive Committee for National Economic Council</w:t>
      </w:r>
    </w:p>
    <w:p w:rsidR="00B1360F" w:rsidRPr="005F120D" w:rsidRDefault="00B1360F"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EDI</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Education Development Index</w:t>
      </w:r>
    </w:p>
    <w:p w:rsidR="00B1360F" w:rsidRPr="005F120D" w:rsidRDefault="00B1360F"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EECE</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006B3A22" w:rsidRPr="005F120D">
        <w:rPr>
          <w:rFonts w:asciiTheme="minorHAnsi" w:hAnsiTheme="minorHAnsi" w:cstheme="minorHAnsi"/>
          <w:sz w:val="20"/>
        </w:rPr>
        <w:t>Ebtedayee</w:t>
      </w:r>
      <w:r w:rsidRPr="005F120D">
        <w:rPr>
          <w:rFonts w:asciiTheme="minorHAnsi" w:hAnsiTheme="minorHAnsi" w:cstheme="minorHAnsi"/>
          <w:sz w:val="20"/>
        </w:rPr>
        <w:t xml:space="preserve"> Education Completion Examination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EFA</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 xml:space="preserve">Education </w:t>
      </w:r>
      <w:r w:rsidR="00205E6B" w:rsidRPr="005F120D">
        <w:rPr>
          <w:rFonts w:asciiTheme="minorHAnsi" w:hAnsiTheme="minorHAnsi" w:cstheme="minorHAnsi"/>
          <w:sz w:val="20"/>
        </w:rPr>
        <w:t>for</w:t>
      </w:r>
      <w:r w:rsidRPr="005F120D">
        <w:rPr>
          <w:rFonts w:asciiTheme="minorHAnsi" w:hAnsiTheme="minorHAnsi" w:cstheme="minorHAnsi"/>
          <w:sz w:val="20"/>
        </w:rPr>
        <w:t xml:space="preserve"> All</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EHS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Education Household Survey</w:t>
      </w:r>
    </w:p>
    <w:p w:rsidR="00B1360F" w:rsidRPr="005F120D" w:rsidRDefault="00B1360F"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EIA</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English in Action</w:t>
      </w:r>
    </w:p>
    <w:p w:rsidR="00CA1ACB" w:rsidRPr="005F120D" w:rsidRDefault="00CA1ACB"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ESR</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Education Sector Report</w:t>
      </w:r>
    </w:p>
    <w:p w:rsidR="00B1360F" w:rsidRPr="005F120D" w:rsidRDefault="00B1360F"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EU</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European Union</w:t>
      </w:r>
    </w:p>
    <w:p w:rsidR="00694DBA" w:rsidRPr="005F120D" w:rsidRDefault="00694DBA"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GAR</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Gross Attendance Rate</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GER</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 xml:space="preserve">Gross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Rate</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GPS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Government Primary School</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HIES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Household Income and Expenditure Survey</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ICT</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Information and Communication Technology</w:t>
      </w:r>
    </w:p>
    <w:p w:rsidR="00CA1ACB" w:rsidRPr="005F120D" w:rsidRDefault="00CA1ACB"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JARM</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Joint Annual Review Mission</w:t>
      </w:r>
    </w:p>
    <w:p w:rsidR="006821FF" w:rsidRPr="005F120D" w:rsidRDefault="006821FF"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JICA</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Japan International Cooperation Agency</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KPI</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Key Performance Indicator</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LOC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Learning Outcome Category</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MICS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Multiple Cluster Indicator Survey</w:t>
      </w:r>
    </w:p>
    <w:p w:rsidR="00303B7A" w:rsidRPr="005F120D" w:rsidRDefault="00303B7A"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M&amp;E</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 xml:space="preserve">Monitoring and Evaluation </w:t>
      </w:r>
      <w:r w:rsidR="009572B7" w:rsidRPr="005F120D">
        <w:rPr>
          <w:rFonts w:asciiTheme="minorHAnsi" w:hAnsiTheme="minorHAnsi" w:cstheme="minorHAnsi"/>
          <w:sz w:val="20"/>
        </w:rPr>
        <w:t>(</w:t>
      </w:r>
      <w:r w:rsidRPr="005F120D">
        <w:rPr>
          <w:rFonts w:asciiTheme="minorHAnsi" w:hAnsiTheme="minorHAnsi" w:cstheme="minorHAnsi"/>
          <w:sz w:val="20"/>
        </w:rPr>
        <w:t>Division</w:t>
      </w:r>
      <w:r w:rsidR="009572B7" w:rsidRPr="005F120D">
        <w:rPr>
          <w:rFonts w:asciiTheme="minorHAnsi" w:hAnsiTheme="minorHAnsi" w:cstheme="minorHAnsi"/>
          <w:sz w:val="20"/>
        </w:rPr>
        <w:t>)</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lastRenderedPageBreak/>
        <w:t>IMD</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Information Management Division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MOC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Ministry of Commerce</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MOE</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Ministry of Education</w:t>
      </w:r>
    </w:p>
    <w:p w:rsidR="00D748C3" w:rsidRPr="005F120D" w:rsidRDefault="00783AEC"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MO</w:t>
      </w:r>
      <w:r w:rsidR="009D7438" w:rsidRPr="005F120D">
        <w:rPr>
          <w:rFonts w:asciiTheme="minorHAnsi" w:hAnsiTheme="minorHAnsi" w:cstheme="minorHAnsi"/>
          <w:sz w:val="20"/>
        </w:rPr>
        <w:t>PA</w:t>
      </w:r>
      <w:r w:rsidR="009D7438" w:rsidRPr="005F120D">
        <w:rPr>
          <w:rFonts w:asciiTheme="minorHAnsi" w:hAnsiTheme="minorHAnsi" w:cstheme="minorHAnsi"/>
          <w:sz w:val="20"/>
        </w:rPr>
        <w:tab/>
      </w:r>
      <w:r w:rsidR="00D748C3" w:rsidRPr="005F120D">
        <w:rPr>
          <w:rFonts w:asciiTheme="minorHAnsi" w:hAnsiTheme="minorHAnsi" w:cstheme="minorHAnsi"/>
          <w:sz w:val="20"/>
        </w:rPr>
        <w:tab/>
      </w:r>
      <w:r w:rsidR="00C47C7D" w:rsidRPr="005F120D">
        <w:rPr>
          <w:rFonts w:asciiTheme="minorHAnsi" w:hAnsiTheme="minorHAnsi" w:cstheme="minorHAnsi"/>
          <w:sz w:val="20"/>
        </w:rPr>
        <w:tab/>
      </w:r>
      <w:r w:rsidR="00D748C3" w:rsidRPr="005F120D">
        <w:rPr>
          <w:rFonts w:asciiTheme="minorHAnsi" w:hAnsiTheme="minorHAnsi" w:cstheme="minorHAnsi"/>
          <w:sz w:val="20"/>
        </w:rPr>
        <w:t>Minist</w:t>
      </w:r>
      <w:r w:rsidR="009D7438" w:rsidRPr="005F120D">
        <w:rPr>
          <w:rFonts w:asciiTheme="minorHAnsi" w:hAnsiTheme="minorHAnsi" w:cstheme="minorHAnsi"/>
          <w:sz w:val="20"/>
        </w:rPr>
        <w:t>ry of Public Administration</w:t>
      </w:r>
    </w:p>
    <w:p w:rsidR="009D7438" w:rsidRPr="005F120D" w:rsidRDefault="00783AEC"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MO</w:t>
      </w:r>
      <w:r w:rsidR="009D7438" w:rsidRPr="005F120D">
        <w:rPr>
          <w:rFonts w:asciiTheme="minorHAnsi" w:hAnsiTheme="minorHAnsi" w:cstheme="minorHAnsi"/>
          <w:sz w:val="20"/>
        </w:rPr>
        <w:t>PME</w:t>
      </w:r>
      <w:r w:rsidR="009D7438" w:rsidRPr="005F120D">
        <w:rPr>
          <w:rFonts w:asciiTheme="minorHAnsi" w:hAnsiTheme="minorHAnsi" w:cstheme="minorHAnsi"/>
          <w:sz w:val="20"/>
        </w:rPr>
        <w:tab/>
      </w:r>
      <w:r w:rsidR="00C47C7D" w:rsidRPr="005F120D">
        <w:rPr>
          <w:rFonts w:asciiTheme="minorHAnsi" w:hAnsiTheme="minorHAnsi" w:cstheme="minorHAnsi"/>
          <w:sz w:val="20"/>
        </w:rPr>
        <w:tab/>
      </w:r>
      <w:r w:rsidR="005A78B0" w:rsidRPr="005F120D">
        <w:rPr>
          <w:rFonts w:asciiTheme="minorHAnsi" w:hAnsiTheme="minorHAnsi" w:cstheme="minorHAnsi"/>
          <w:sz w:val="20"/>
        </w:rPr>
        <w:tab/>
      </w:r>
      <w:r w:rsidR="009D7438" w:rsidRPr="005F120D">
        <w:rPr>
          <w:rFonts w:asciiTheme="minorHAnsi" w:hAnsiTheme="minorHAnsi" w:cstheme="minorHAnsi"/>
          <w:sz w:val="20"/>
        </w:rPr>
        <w:t>Ministry of Primary and Mass Education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MOSW</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Ministry of Social Welfare</w:t>
      </w:r>
    </w:p>
    <w:p w:rsidR="008366A5" w:rsidRPr="005F120D" w:rsidRDefault="008366A5"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MSS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Mean Scale Score</w:t>
      </w:r>
    </w:p>
    <w:p w:rsidR="005A78B0" w:rsidRPr="005F120D" w:rsidRDefault="005A78B0" w:rsidP="00C437AA">
      <w:pPr>
        <w:pStyle w:val="NoSpacing"/>
        <w:spacing w:line="276" w:lineRule="auto"/>
        <w:rPr>
          <w:rFonts w:asciiTheme="minorHAnsi" w:hAnsiTheme="minorHAnsi" w:cstheme="minorHAnsi"/>
          <w:sz w:val="20"/>
        </w:rPr>
      </w:pPr>
      <w:r w:rsidRPr="005F120D">
        <w:rPr>
          <w:rFonts w:asciiTheme="minorHAnsi" w:hAnsiTheme="minorHAnsi" w:cstheme="minorHAnsi"/>
          <w:lang w:eastAsia="ja-JP"/>
        </w:rPr>
        <w:t>MTBF</w:t>
      </w:r>
      <w:r w:rsidRPr="005F120D">
        <w:rPr>
          <w:rFonts w:asciiTheme="minorHAnsi" w:hAnsiTheme="minorHAnsi" w:cstheme="minorHAnsi"/>
          <w:lang w:eastAsia="ja-JP"/>
        </w:rPr>
        <w:tab/>
      </w:r>
      <w:r w:rsidRPr="005F120D">
        <w:rPr>
          <w:rFonts w:asciiTheme="minorHAnsi" w:hAnsiTheme="minorHAnsi" w:cstheme="minorHAnsi"/>
          <w:lang w:eastAsia="ja-JP"/>
        </w:rPr>
        <w:tab/>
      </w:r>
      <w:r w:rsidRPr="005F120D">
        <w:rPr>
          <w:rFonts w:asciiTheme="minorHAnsi" w:hAnsiTheme="minorHAnsi" w:cstheme="minorHAnsi"/>
          <w:lang w:eastAsia="ja-JP"/>
        </w:rPr>
        <w:tab/>
        <w:t xml:space="preserve">Medium-Term Budgetary Framework </w:t>
      </w:r>
    </w:p>
    <w:p w:rsidR="00387CB3" w:rsidRPr="005F120D" w:rsidRDefault="00387CB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MTR</w:t>
      </w:r>
      <w:r w:rsidRPr="005F120D">
        <w:rPr>
          <w:rFonts w:asciiTheme="minorHAnsi" w:hAnsiTheme="minorHAnsi" w:cstheme="minorHAnsi"/>
          <w:sz w:val="20"/>
        </w:rPr>
        <w:tab/>
      </w:r>
      <w:r w:rsidRPr="005F120D">
        <w:rPr>
          <w:rFonts w:asciiTheme="minorHAnsi" w:hAnsiTheme="minorHAnsi" w:cstheme="minorHAnsi"/>
          <w:sz w:val="20"/>
        </w:rPr>
        <w:tab/>
      </w:r>
      <w:r w:rsidRPr="005F120D">
        <w:rPr>
          <w:rFonts w:asciiTheme="minorHAnsi" w:hAnsiTheme="minorHAnsi" w:cstheme="minorHAnsi"/>
          <w:sz w:val="20"/>
        </w:rPr>
        <w:tab/>
        <w:t>Mid-Term Review of PEDP3</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NAC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National Assessment Cell</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NAPE</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National Academy for Primary Education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NAR</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Net Attendance Rate</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NCTB</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National Curriculum and Textbook Board</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NER</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 xml:space="preserve">Net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Rate</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NFE</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Non-Formal Education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NGO</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 xml:space="preserve">Non-Government </w:t>
      </w:r>
      <w:r w:rsidR="009D7438" w:rsidRPr="005F120D">
        <w:rPr>
          <w:rFonts w:asciiTheme="minorHAnsi" w:hAnsiTheme="minorHAnsi" w:cstheme="minorHAnsi"/>
          <w:sz w:val="20"/>
        </w:rPr>
        <w:t>Organization</w:t>
      </w:r>
    </w:p>
    <w:p w:rsidR="0078042B" w:rsidRPr="005F120D" w:rsidRDefault="003C42F2"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NNPS</w:t>
      </w:r>
      <w:r w:rsidR="0051511D" w:rsidRPr="005F120D">
        <w:rPr>
          <w:rFonts w:asciiTheme="minorHAnsi" w:hAnsiTheme="minorHAnsi" w:cstheme="minorHAnsi"/>
          <w:sz w:val="20"/>
        </w:rPr>
        <w:tab/>
      </w:r>
      <w:r w:rsidR="0051511D" w:rsidRPr="005F120D">
        <w:rPr>
          <w:rFonts w:asciiTheme="minorHAnsi" w:hAnsiTheme="minorHAnsi" w:cstheme="minorHAnsi"/>
          <w:sz w:val="20"/>
        </w:rPr>
        <w:tab/>
      </w:r>
      <w:r w:rsidR="00C47C7D" w:rsidRPr="005F120D">
        <w:rPr>
          <w:rFonts w:asciiTheme="minorHAnsi" w:hAnsiTheme="minorHAnsi" w:cstheme="minorHAnsi"/>
          <w:sz w:val="20"/>
        </w:rPr>
        <w:tab/>
      </w:r>
      <w:r w:rsidR="0051511D" w:rsidRPr="005F120D">
        <w:rPr>
          <w:rFonts w:asciiTheme="minorHAnsi" w:hAnsiTheme="minorHAnsi" w:cstheme="minorHAnsi"/>
          <w:sz w:val="20"/>
        </w:rPr>
        <w:t xml:space="preserve">Newly Nationalized </w:t>
      </w:r>
      <w:r w:rsidR="0078042B" w:rsidRPr="005F120D">
        <w:rPr>
          <w:rFonts w:asciiTheme="minorHAnsi" w:hAnsiTheme="minorHAnsi" w:cstheme="minorHAnsi"/>
          <w:sz w:val="20"/>
        </w:rPr>
        <w:t>Primary School</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NSA</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National Student Assessment</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PECE</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Primary Education Completion Examination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PEDP</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Primary</w:t>
      </w:r>
      <w:r w:rsidR="00783AEC" w:rsidRPr="005F120D">
        <w:rPr>
          <w:rFonts w:asciiTheme="minorHAnsi" w:hAnsiTheme="minorHAnsi" w:cstheme="minorHAnsi"/>
          <w:sz w:val="20"/>
        </w:rPr>
        <w:t xml:space="preserve"> Education Development Program</w:t>
      </w:r>
    </w:p>
    <w:p w:rsidR="00CF1EF8" w:rsidRPr="005F120D" w:rsidRDefault="00CF1EF8"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PETS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Public Expenditure Tracking Survey</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PPE</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Pre-Primary Education</w:t>
      </w:r>
    </w:p>
    <w:p w:rsidR="008366A5" w:rsidRPr="005F120D" w:rsidRDefault="008366A5"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PPRC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Power and Participation Research Centre</w:t>
      </w:r>
    </w:p>
    <w:p w:rsidR="00CA1ACB" w:rsidRPr="005F120D" w:rsidRDefault="00CA1ACB"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PPS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Probability Proportionate to Size</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PSQL</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Primary School Quality Level</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PTI</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 xml:space="preserve">Primary Training Institute </w:t>
      </w:r>
    </w:p>
    <w:p w:rsidR="00D748C3" w:rsidRPr="005F120D" w:rsidRDefault="00783AEC"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RBM</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 xml:space="preserve">Result </w:t>
      </w:r>
      <w:r w:rsidR="00D748C3" w:rsidRPr="005F120D">
        <w:rPr>
          <w:rFonts w:asciiTheme="minorHAnsi" w:hAnsiTheme="minorHAnsi" w:cstheme="minorHAnsi"/>
          <w:sz w:val="20"/>
        </w:rPr>
        <w:t>Based Management</w:t>
      </w:r>
    </w:p>
    <w:p w:rsidR="00D748C3" w:rsidRPr="005F120D" w:rsidRDefault="0078042B"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R</w:t>
      </w:r>
      <w:r w:rsidR="0053438D" w:rsidRPr="005F120D">
        <w:rPr>
          <w:rFonts w:asciiTheme="minorHAnsi" w:hAnsiTheme="minorHAnsi" w:cstheme="minorHAnsi"/>
          <w:sz w:val="20"/>
        </w:rPr>
        <w:t>NGPS</w:t>
      </w:r>
      <w:r w:rsidR="00D748C3" w:rsidRPr="005F120D">
        <w:rPr>
          <w:rFonts w:asciiTheme="minorHAnsi" w:hAnsiTheme="minorHAnsi" w:cstheme="minorHAnsi"/>
          <w:sz w:val="20"/>
        </w:rPr>
        <w:tab/>
      </w:r>
      <w:r w:rsidR="00D748C3" w:rsidRPr="005F120D">
        <w:rPr>
          <w:rFonts w:asciiTheme="minorHAnsi" w:hAnsiTheme="minorHAnsi" w:cstheme="minorHAnsi"/>
          <w:sz w:val="20"/>
        </w:rPr>
        <w:tab/>
      </w:r>
      <w:r w:rsidR="00C47C7D" w:rsidRPr="005F120D">
        <w:rPr>
          <w:rFonts w:asciiTheme="minorHAnsi" w:hAnsiTheme="minorHAnsi" w:cstheme="minorHAnsi"/>
          <w:sz w:val="20"/>
        </w:rPr>
        <w:tab/>
      </w:r>
      <w:r w:rsidR="0026497C" w:rsidRPr="005F120D">
        <w:rPr>
          <w:rFonts w:asciiTheme="minorHAnsi" w:hAnsiTheme="minorHAnsi" w:cstheme="minorHAnsi"/>
          <w:sz w:val="20"/>
        </w:rPr>
        <w:t>Registered Non-</w:t>
      </w:r>
      <w:r w:rsidR="00D748C3" w:rsidRPr="005F120D">
        <w:rPr>
          <w:rFonts w:asciiTheme="minorHAnsi" w:hAnsiTheme="minorHAnsi" w:cstheme="minorHAnsi"/>
          <w:sz w:val="20"/>
        </w:rPr>
        <w:t>Government Primary School</w:t>
      </w:r>
      <w:r w:rsidR="00907CA2" w:rsidRPr="005F120D">
        <w:rPr>
          <w:rFonts w:asciiTheme="minorHAnsi" w:hAnsiTheme="minorHAnsi" w:cstheme="minorHAnsi"/>
          <w:sz w:val="20"/>
        </w:rPr>
        <w:t xml:space="preserve"> (currently NNPS)</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ROSC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Reaching Out-of-School Children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SCR</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Student–Classroom Ratio</w:t>
      </w:r>
    </w:p>
    <w:p w:rsidR="00D748C3" w:rsidRPr="005F120D" w:rsidRDefault="00CE2250"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SIDA</w:t>
      </w:r>
      <w:r w:rsidR="00D748C3" w:rsidRPr="005F120D">
        <w:rPr>
          <w:rFonts w:asciiTheme="minorHAnsi" w:hAnsiTheme="minorHAnsi" w:cstheme="minorHAnsi"/>
          <w:sz w:val="20"/>
        </w:rPr>
        <w:tab/>
      </w:r>
      <w:r w:rsidR="00D748C3" w:rsidRPr="005F120D">
        <w:rPr>
          <w:rFonts w:asciiTheme="minorHAnsi" w:hAnsiTheme="minorHAnsi" w:cstheme="minorHAnsi"/>
          <w:sz w:val="20"/>
        </w:rPr>
        <w:tab/>
      </w:r>
      <w:r w:rsidR="00C47C7D" w:rsidRPr="005F120D">
        <w:rPr>
          <w:rFonts w:asciiTheme="minorHAnsi" w:hAnsiTheme="minorHAnsi" w:cstheme="minorHAnsi"/>
          <w:sz w:val="20"/>
        </w:rPr>
        <w:tab/>
      </w:r>
      <w:r w:rsidR="00D748C3" w:rsidRPr="005F120D">
        <w:rPr>
          <w:rFonts w:asciiTheme="minorHAnsi" w:hAnsiTheme="minorHAnsi" w:cstheme="minorHAnsi"/>
          <w:sz w:val="20"/>
        </w:rPr>
        <w:t xml:space="preserve">Swedish International </w:t>
      </w:r>
      <w:r w:rsidRPr="005F120D">
        <w:rPr>
          <w:rFonts w:asciiTheme="minorHAnsi" w:hAnsiTheme="minorHAnsi" w:cstheme="minorHAnsi"/>
          <w:sz w:val="20"/>
        </w:rPr>
        <w:t>Development Agency</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SLIP</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00CE2250" w:rsidRPr="005F120D">
        <w:rPr>
          <w:rFonts w:asciiTheme="minorHAnsi" w:hAnsiTheme="minorHAnsi" w:cstheme="minorHAnsi"/>
          <w:sz w:val="20"/>
        </w:rPr>
        <w:t xml:space="preserve">School </w:t>
      </w:r>
      <w:r w:rsidRPr="005F120D">
        <w:rPr>
          <w:rFonts w:asciiTheme="minorHAnsi" w:hAnsiTheme="minorHAnsi" w:cstheme="minorHAnsi"/>
          <w:sz w:val="20"/>
        </w:rPr>
        <w:t>Level</w:t>
      </w:r>
      <w:r w:rsidR="00F44241" w:rsidRPr="005F120D">
        <w:rPr>
          <w:rFonts w:asciiTheme="minorHAnsi" w:hAnsiTheme="minorHAnsi" w:cstheme="minorHAnsi"/>
          <w:sz w:val="20"/>
        </w:rPr>
        <w:t xml:space="preserve"> Improvement Plan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SMC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School Management Committee</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SSPS</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Social Sector Performance Survey</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STR</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Student–Teacher Ratio</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SWAp</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Sector-Wide Approach</w:t>
      </w:r>
    </w:p>
    <w:p w:rsidR="00776648" w:rsidRPr="005F120D" w:rsidRDefault="00776648"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TPEP</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Thana Primary Education Plan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UEO</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Upazila Education Officer</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UEPP</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Upazila Education Performance Profile</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UK</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United Kingdom</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UNICEF</w:t>
      </w:r>
      <w:r w:rsidRPr="005F120D">
        <w:rPr>
          <w:rFonts w:asciiTheme="minorHAnsi" w:hAnsiTheme="minorHAnsi" w:cstheme="minorHAnsi"/>
          <w:sz w:val="20"/>
        </w:rPr>
        <w:tab/>
      </w:r>
      <w:r w:rsidR="002D34DD"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United Nations Children</w:t>
      </w:r>
      <w:r w:rsidR="004B1109" w:rsidRPr="005F120D">
        <w:rPr>
          <w:rFonts w:asciiTheme="minorHAnsi" w:hAnsiTheme="minorHAnsi" w:cstheme="minorHAnsi"/>
          <w:sz w:val="20"/>
        </w:rPr>
        <w:t>’s</w:t>
      </w:r>
      <w:r w:rsidRPr="005F120D">
        <w:rPr>
          <w:rFonts w:asciiTheme="minorHAnsi" w:hAnsiTheme="minorHAnsi" w:cstheme="minorHAnsi"/>
          <w:sz w:val="20"/>
        </w:rPr>
        <w:t xml:space="preserve"> Fund</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UNESCO</w:t>
      </w:r>
      <w:r w:rsidRPr="005F120D">
        <w:rPr>
          <w:rFonts w:asciiTheme="minorHAnsi" w:hAnsiTheme="minorHAnsi" w:cstheme="minorHAnsi"/>
          <w:sz w:val="20"/>
        </w:rPr>
        <w:tab/>
      </w:r>
      <w:r w:rsidR="00C47C7D" w:rsidRPr="005F120D">
        <w:rPr>
          <w:rFonts w:asciiTheme="minorHAnsi" w:hAnsiTheme="minorHAnsi" w:cstheme="minorHAnsi"/>
          <w:sz w:val="20"/>
        </w:rPr>
        <w:tab/>
      </w:r>
      <w:r w:rsidR="005A78B0" w:rsidRPr="005F120D">
        <w:rPr>
          <w:rFonts w:asciiTheme="minorHAnsi" w:hAnsiTheme="minorHAnsi" w:cstheme="minorHAnsi"/>
          <w:sz w:val="20"/>
        </w:rPr>
        <w:tab/>
      </w:r>
      <w:r w:rsidRPr="005F120D">
        <w:rPr>
          <w:rFonts w:asciiTheme="minorHAnsi" w:hAnsiTheme="minorHAnsi" w:cstheme="minorHAnsi"/>
          <w:sz w:val="20"/>
        </w:rPr>
        <w:t xml:space="preserve">United Nations Educational Scientific and Cultural </w:t>
      </w:r>
      <w:r w:rsidR="009D7438" w:rsidRPr="005F120D">
        <w:rPr>
          <w:rFonts w:asciiTheme="minorHAnsi" w:hAnsiTheme="minorHAnsi" w:cstheme="minorHAnsi"/>
          <w:sz w:val="20"/>
        </w:rPr>
        <w:t>Organization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UPEP</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Upazila Primary Education Plan</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URC</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Upazila Resource Centre</w:t>
      </w:r>
    </w:p>
    <w:p w:rsidR="00D748C3" w:rsidRPr="005F120D" w:rsidRDefault="00D748C3"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WB</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World Bank</w:t>
      </w:r>
    </w:p>
    <w:p w:rsidR="00584769" w:rsidRPr="005F120D" w:rsidRDefault="00CE2250" w:rsidP="00C437AA">
      <w:pPr>
        <w:pStyle w:val="NoSpacing"/>
        <w:spacing w:line="276" w:lineRule="auto"/>
        <w:rPr>
          <w:rFonts w:asciiTheme="minorHAnsi" w:hAnsiTheme="minorHAnsi" w:cstheme="minorHAnsi"/>
          <w:sz w:val="20"/>
        </w:rPr>
      </w:pPr>
      <w:r w:rsidRPr="005F120D">
        <w:rPr>
          <w:rFonts w:asciiTheme="minorHAnsi" w:hAnsiTheme="minorHAnsi" w:cstheme="minorHAnsi"/>
          <w:sz w:val="20"/>
        </w:rPr>
        <w:t>WFP</w:t>
      </w:r>
      <w:r w:rsidRPr="005F120D">
        <w:rPr>
          <w:rFonts w:asciiTheme="minorHAnsi" w:hAnsiTheme="minorHAnsi" w:cstheme="minorHAnsi"/>
          <w:sz w:val="20"/>
        </w:rPr>
        <w:tab/>
      </w:r>
      <w:r w:rsidRPr="005F120D">
        <w:rPr>
          <w:rFonts w:asciiTheme="minorHAnsi" w:hAnsiTheme="minorHAnsi" w:cstheme="minorHAnsi"/>
          <w:sz w:val="20"/>
        </w:rPr>
        <w:tab/>
      </w:r>
      <w:r w:rsidR="00C47C7D" w:rsidRPr="005F120D">
        <w:rPr>
          <w:rFonts w:asciiTheme="minorHAnsi" w:hAnsiTheme="minorHAnsi" w:cstheme="minorHAnsi"/>
          <w:sz w:val="20"/>
        </w:rPr>
        <w:tab/>
      </w:r>
      <w:r w:rsidRPr="005F120D">
        <w:rPr>
          <w:rFonts w:asciiTheme="minorHAnsi" w:hAnsiTheme="minorHAnsi" w:cstheme="minorHAnsi"/>
          <w:sz w:val="20"/>
        </w:rPr>
        <w:t>World Food Program</w:t>
      </w:r>
    </w:p>
    <w:p w:rsidR="005A78B0" w:rsidRPr="005F120D" w:rsidRDefault="005A78B0" w:rsidP="00C437AA">
      <w:pPr>
        <w:pStyle w:val="NoSpacing"/>
        <w:spacing w:line="276" w:lineRule="auto"/>
        <w:rPr>
          <w:rFonts w:asciiTheme="minorHAnsi" w:hAnsiTheme="minorHAnsi" w:cstheme="minorHAnsi"/>
          <w:sz w:val="20"/>
        </w:rPr>
      </w:pPr>
    </w:p>
    <w:p w:rsidR="005A78B0" w:rsidRPr="005F120D" w:rsidRDefault="005A78B0" w:rsidP="00C437AA">
      <w:pPr>
        <w:pStyle w:val="NoSpacing"/>
        <w:spacing w:line="276" w:lineRule="auto"/>
        <w:rPr>
          <w:rFonts w:asciiTheme="minorHAnsi" w:hAnsiTheme="minorHAnsi" w:cstheme="minorHAnsi"/>
          <w:sz w:val="20"/>
        </w:rPr>
      </w:pPr>
    </w:p>
    <w:p w:rsidR="006E7F3D" w:rsidRPr="00975710" w:rsidRDefault="00FF77D5" w:rsidP="00975710">
      <w:pPr>
        <w:pStyle w:val="Heading1NONUM"/>
        <w:spacing w:after="0"/>
        <w:jc w:val="center"/>
        <w:rPr>
          <w:rFonts w:cstheme="minorHAnsi"/>
          <w:color w:val="006600"/>
          <w:szCs w:val="32"/>
        </w:rPr>
      </w:pPr>
      <w:bookmarkStart w:id="7" w:name="_Toc462837165"/>
      <w:r w:rsidRPr="00975710">
        <w:rPr>
          <w:rFonts w:cstheme="minorHAnsi"/>
          <w:color w:val="006600"/>
          <w:szCs w:val="32"/>
        </w:rPr>
        <w:lastRenderedPageBreak/>
        <w:t>Table of Content</w:t>
      </w:r>
      <w:r w:rsidR="00CE2250" w:rsidRPr="00975710">
        <w:rPr>
          <w:rFonts w:cstheme="minorHAnsi"/>
          <w:color w:val="006600"/>
          <w:szCs w:val="32"/>
        </w:rPr>
        <w:t>s</w:t>
      </w:r>
      <w:bookmarkEnd w:id="7"/>
    </w:p>
    <w:p w:rsidR="00975710" w:rsidRPr="00975710" w:rsidRDefault="002E2ED5" w:rsidP="00975710">
      <w:pPr>
        <w:pStyle w:val="TOC2"/>
        <w:rPr>
          <w:rFonts w:asciiTheme="minorHAnsi" w:eastAsiaTheme="minorEastAsia" w:hAnsiTheme="minorHAnsi"/>
          <w:b w:val="0"/>
          <w:smallCaps w:val="0"/>
          <w:lang w:eastAsia="en-US"/>
        </w:rPr>
      </w:pPr>
      <w:r w:rsidRPr="00975710">
        <w:rPr>
          <w:rFonts w:asciiTheme="minorHAnsi" w:hAnsiTheme="minorHAnsi"/>
          <w:b w:val="0"/>
        </w:rPr>
        <w:fldChar w:fldCharType="begin"/>
      </w:r>
      <w:r w:rsidR="00BB0846" w:rsidRPr="00975710">
        <w:rPr>
          <w:rFonts w:asciiTheme="minorHAnsi" w:hAnsiTheme="minorHAnsi"/>
          <w:b w:val="0"/>
        </w:rPr>
        <w:instrText xml:space="preserve"> TOC \o "1-2" \h \z \u </w:instrText>
      </w:r>
      <w:r w:rsidRPr="00975710">
        <w:rPr>
          <w:rFonts w:asciiTheme="minorHAnsi" w:hAnsiTheme="minorHAnsi"/>
          <w:b w:val="0"/>
        </w:rPr>
        <w:fldChar w:fldCharType="separate"/>
      </w:r>
      <w:hyperlink w:anchor="_Toc462837163" w:history="1">
        <w:r w:rsidR="00975710" w:rsidRPr="00975710">
          <w:rPr>
            <w:rStyle w:val="Hyperlink"/>
            <w:rFonts w:asciiTheme="minorHAnsi" w:hAnsiTheme="minorHAnsi"/>
            <w:b w:val="0"/>
          </w:rPr>
          <w:t>Preface</w:t>
        </w:r>
        <w:r w:rsidR="00975710" w:rsidRPr="00975710">
          <w:rPr>
            <w:rFonts w:asciiTheme="minorHAnsi" w:hAnsiTheme="minorHAnsi"/>
            <w:b w:val="0"/>
            <w:webHidden/>
          </w:rPr>
          <w:tab/>
          <w:t>………………………………………………………………………………………</w:t>
        </w:r>
        <w:r w:rsidR="00975710">
          <w:rPr>
            <w:rFonts w:asciiTheme="minorHAnsi" w:hAnsiTheme="minorHAnsi"/>
            <w:b w:val="0"/>
            <w:webHidden/>
          </w:rPr>
          <w:t>……………….</w:t>
        </w:r>
        <w:r w:rsidR="00975710" w:rsidRPr="00975710">
          <w:rPr>
            <w:rFonts w:asciiTheme="minorHAnsi" w:hAnsiTheme="minorHAnsi"/>
            <w:b w:val="0"/>
            <w:webHidden/>
          </w:rPr>
          <w:t>………………………………………………</w:t>
        </w:r>
        <w:r w:rsidR="00975710" w:rsidRPr="00975710">
          <w:rPr>
            <w:rFonts w:asciiTheme="minorHAnsi" w:hAnsiTheme="minorHAnsi"/>
            <w:b w:val="0"/>
            <w:webHidden/>
          </w:rPr>
          <w:fldChar w:fldCharType="begin"/>
        </w:r>
        <w:r w:rsidR="00975710" w:rsidRPr="00975710">
          <w:rPr>
            <w:rFonts w:asciiTheme="minorHAnsi" w:hAnsiTheme="minorHAnsi"/>
            <w:b w:val="0"/>
            <w:webHidden/>
          </w:rPr>
          <w:instrText xml:space="preserve"> PAGEREF _Toc462837163 \h </w:instrText>
        </w:r>
        <w:r w:rsidR="00975710" w:rsidRPr="00975710">
          <w:rPr>
            <w:rFonts w:asciiTheme="minorHAnsi" w:hAnsiTheme="minorHAnsi"/>
            <w:b w:val="0"/>
            <w:webHidden/>
          </w:rPr>
        </w:r>
        <w:r w:rsidR="00975710" w:rsidRPr="00975710">
          <w:rPr>
            <w:rFonts w:asciiTheme="minorHAnsi" w:hAnsiTheme="minorHAnsi"/>
            <w:b w:val="0"/>
            <w:webHidden/>
          </w:rPr>
          <w:fldChar w:fldCharType="separate"/>
        </w:r>
        <w:r w:rsidR="00975710" w:rsidRPr="00975710">
          <w:rPr>
            <w:rFonts w:asciiTheme="minorHAnsi" w:hAnsiTheme="minorHAnsi"/>
            <w:b w:val="0"/>
            <w:webHidden/>
          </w:rPr>
          <w:t>1</w:t>
        </w:r>
        <w:r w:rsidR="00975710"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64" w:history="1">
        <w:r w:rsidRPr="00975710">
          <w:rPr>
            <w:rStyle w:val="Hyperlink"/>
            <w:rFonts w:asciiTheme="minorHAnsi" w:hAnsiTheme="minorHAnsi"/>
            <w:b w:val="0"/>
          </w:rPr>
          <w:t>Acknowledgements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_Toc462837164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65" w:history="1">
        <w:r w:rsidRPr="00975710">
          <w:rPr>
            <w:rStyle w:val="Hyperlink"/>
            <w:rFonts w:asciiTheme="minorHAnsi" w:hAnsiTheme="minorHAnsi"/>
            <w:b w:val="0"/>
          </w:rPr>
          <w:t>Table of Contents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_Toc462837165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5</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66" w:history="1">
        <w:r w:rsidRPr="00975710">
          <w:rPr>
            <w:rStyle w:val="Hyperlink"/>
            <w:rFonts w:asciiTheme="minorHAnsi" w:hAnsiTheme="minorHAnsi"/>
            <w:b w:val="0"/>
          </w:rPr>
          <w:t>List of Tables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_Toc462837166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6</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67" w:history="1">
        <w:r w:rsidRPr="00975710">
          <w:rPr>
            <w:rStyle w:val="Hyperlink"/>
            <w:rFonts w:asciiTheme="minorHAnsi" w:hAnsiTheme="minorHAnsi"/>
            <w:b w:val="0"/>
          </w:rPr>
          <w:t>List of Figures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_Toc462837167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8</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68" w:history="1">
        <w:r w:rsidRPr="00975710">
          <w:rPr>
            <w:rStyle w:val="Hyperlink"/>
            <w:rFonts w:asciiTheme="minorHAnsi" w:hAnsiTheme="minorHAnsi"/>
            <w:b w:val="0"/>
          </w:rPr>
          <w:t>Executive Summary</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_Toc462837168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10</w:t>
        </w:r>
        <w:r w:rsidRPr="00975710">
          <w:rPr>
            <w:rFonts w:asciiTheme="minorHAnsi" w:hAnsiTheme="minorHAnsi"/>
            <w:b w:val="0"/>
            <w:webHidden/>
          </w:rPr>
          <w:fldChar w:fldCharType="end"/>
        </w:r>
      </w:hyperlink>
    </w:p>
    <w:p w:rsidR="00975710" w:rsidRPr="00975710" w:rsidRDefault="00975710" w:rsidP="00975710">
      <w:pPr>
        <w:pStyle w:val="TOC1"/>
        <w:tabs>
          <w:tab w:val="left" w:pos="480"/>
          <w:tab w:val="right" w:leader="dot" w:pos="9019"/>
        </w:tabs>
        <w:spacing w:before="0" w:after="0" w:line="276" w:lineRule="auto"/>
        <w:rPr>
          <w:rFonts w:asciiTheme="minorHAnsi" w:eastAsiaTheme="minorEastAsia" w:hAnsiTheme="minorHAnsi" w:cstheme="minorHAnsi"/>
          <w:b w:val="0"/>
          <w:caps w:val="0"/>
          <w:noProof/>
          <w:lang w:eastAsia="en-US"/>
        </w:rPr>
      </w:pPr>
      <w:hyperlink w:anchor="_Toc462837169" w:history="1">
        <w:r w:rsidRPr="00975710">
          <w:rPr>
            <w:rStyle w:val="Hyperlink"/>
            <w:rFonts w:asciiTheme="minorHAnsi" w:hAnsiTheme="minorHAnsi" w:cstheme="minorHAnsi"/>
            <w:b w:val="0"/>
            <w:noProof/>
          </w:rPr>
          <w:t>1.</w:t>
        </w:r>
        <w:r w:rsidRPr="00975710">
          <w:rPr>
            <w:rFonts w:asciiTheme="minorHAnsi" w:eastAsiaTheme="minorEastAsia" w:hAnsiTheme="minorHAnsi" w:cstheme="minorHAnsi"/>
            <w:b w:val="0"/>
            <w:caps w:val="0"/>
            <w:noProof/>
            <w:lang w:eastAsia="en-US"/>
          </w:rPr>
          <w:tab/>
        </w:r>
        <w:r w:rsidRPr="00975710">
          <w:rPr>
            <w:rStyle w:val="Hyperlink"/>
            <w:rFonts w:asciiTheme="minorHAnsi" w:hAnsiTheme="minorHAnsi" w:cstheme="minorHAnsi"/>
            <w:b w:val="0"/>
            <w:noProof/>
          </w:rPr>
          <w:t>Introduction</w:t>
        </w:r>
        <w:r w:rsidRPr="00975710">
          <w:rPr>
            <w:rFonts w:asciiTheme="minorHAnsi" w:hAnsiTheme="minorHAnsi" w:cstheme="minorHAnsi"/>
            <w:b w:val="0"/>
            <w:noProof/>
            <w:webHidden/>
          </w:rPr>
          <w:tab/>
        </w:r>
        <w:r w:rsidRPr="00975710">
          <w:rPr>
            <w:rFonts w:asciiTheme="minorHAnsi" w:hAnsiTheme="minorHAnsi" w:cstheme="minorHAnsi"/>
            <w:b w:val="0"/>
            <w:noProof/>
            <w:webHidden/>
          </w:rPr>
          <w:fldChar w:fldCharType="begin"/>
        </w:r>
        <w:r w:rsidRPr="00975710">
          <w:rPr>
            <w:rFonts w:asciiTheme="minorHAnsi" w:hAnsiTheme="minorHAnsi" w:cstheme="minorHAnsi"/>
            <w:b w:val="0"/>
            <w:noProof/>
            <w:webHidden/>
          </w:rPr>
          <w:instrText xml:space="preserve"> PAGEREF _Toc462837169 \h </w:instrText>
        </w:r>
        <w:r w:rsidRPr="00975710">
          <w:rPr>
            <w:rFonts w:asciiTheme="minorHAnsi" w:hAnsiTheme="minorHAnsi" w:cstheme="minorHAnsi"/>
            <w:b w:val="0"/>
            <w:noProof/>
            <w:webHidden/>
          </w:rPr>
        </w:r>
        <w:r w:rsidRPr="00975710">
          <w:rPr>
            <w:rFonts w:asciiTheme="minorHAnsi" w:hAnsiTheme="minorHAnsi" w:cstheme="minorHAnsi"/>
            <w:b w:val="0"/>
            <w:noProof/>
            <w:webHidden/>
          </w:rPr>
          <w:fldChar w:fldCharType="separate"/>
        </w:r>
        <w:r w:rsidRPr="00975710">
          <w:rPr>
            <w:rFonts w:asciiTheme="minorHAnsi" w:hAnsiTheme="minorHAnsi" w:cstheme="minorHAnsi"/>
            <w:b w:val="0"/>
            <w:noProof/>
            <w:webHidden/>
          </w:rPr>
          <w:t>20</w:t>
        </w:r>
        <w:r w:rsidRPr="00975710">
          <w:rPr>
            <w:rFonts w:asciiTheme="minorHAnsi" w:hAnsiTheme="minorHAnsi" w:cstheme="minorHAnsi"/>
            <w:b w:val="0"/>
            <w:noProof/>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70" w:history="1">
        <w:r w:rsidRPr="00975710">
          <w:rPr>
            <w:rStyle w:val="Hyperlink"/>
            <w:rFonts w:asciiTheme="minorHAnsi" w:hAnsiTheme="minorHAnsi"/>
            <w:b w:val="0"/>
          </w:rPr>
          <w:t>1.1</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Purpose of the Report</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_Toc462837170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20</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71" w:history="1">
        <w:r w:rsidRPr="00975710">
          <w:rPr>
            <w:rStyle w:val="Hyperlink"/>
            <w:rFonts w:asciiTheme="minorHAnsi" w:hAnsiTheme="minorHAnsi"/>
            <w:b w:val="0"/>
          </w:rPr>
          <w:t>1.2</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Sources of Data</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_Toc462837171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22</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72" w:history="1">
        <w:r w:rsidRPr="00975710">
          <w:rPr>
            <w:rStyle w:val="Hyperlink"/>
            <w:rFonts w:asciiTheme="minorHAnsi" w:hAnsiTheme="minorHAnsi"/>
            <w:b w:val="0"/>
          </w:rPr>
          <w:t>1.3</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Data on Primary Education</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_Toc462837172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26</w:t>
        </w:r>
        <w:r w:rsidRPr="00975710">
          <w:rPr>
            <w:rFonts w:asciiTheme="minorHAnsi" w:hAnsiTheme="minorHAnsi"/>
            <w:b w:val="0"/>
            <w:webHidden/>
          </w:rPr>
          <w:fldChar w:fldCharType="end"/>
        </w:r>
      </w:hyperlink>
    </w:p>
    <w:p w:rsidR="00975710" w:rsidRPr="00975710" w:rsidRDefault="00975710" w:rsidP="00975710">
      <w:pPr>
        <w:pStyle w:val="TOC1"/>
        <w:tabs>
          <w:tab w:val="left" w:pos="480"/>
          <w:tab w:val="right" w:leader="dot" w:pos="9019"/>
        </w:tabs>
        <w:spacing w:before="0" w:after="0" w:line="276" w:lineRule="auto"/>
        <w:rPr>
          <w:rFonts w:asciiTheme="minorHAnsi" w:eastAsiaTheme="minorEastAsia" w:hAnsiTheme="minorHAnsi" w:cstheme="minorHAnsi"/>
          <w:b w:val="0"/>
          <w:caps w:val="0"/>
          <w:noProof/>
          <w:lang w:eastAsia="en-US"/>
        </w:rPr>
      </w:pPr>
      <w:hyperlink w:anchor="_Toc462837173" w:history="1">
        <w:r w:rsidRPr="00975710">
          <w:rPr>
            <w:rStyle w:val="Hyperlink"/>
            <w:rFonts w:asciiTheme="minorHAnsi" w:hAnsiTheme="minorHAnsi" w:cstheme="minorHAnsi"/>
            <w:b w:val="0"/>
            <w:noProof/>
          </w:rPr>
          <w:t>2.</w:t>
        </w:r>
        <w:r w:rsidRPr="00975710">
          <w:rPr>
            <w:rFonts w:asciiTheme="minorHAnsi" w:eastAsiaTheme="minorEastAsia" w:hAnsiTheme="minorHAnsi" w:cstheme="minorHAnsi"/>
            <w:b w:val="0"/>
            <w:caps w:val="0"/>
            <w:noProof/>
            <w:lang w:eastAsia="en-US"/>
          </w:rPr>
          <w:tab/>
        </w:r>
        <w:r w:rsidRPr="00975710">
          <w:rPr>
            <w:rStyle w:val="Hyperlink"/>
            <w:rFonts w:asciiTheme="minorHAnsi" w:hAnsiTheme="minorHAnsi" w:cstheme="minorHAnsi"/>
            <w:b w:val="0"/>
            <w:noProof/>
          </w:rPr>
          <w:t>Expected results and summary of actual results</w:t>
        </w:r>
        <w:r w:rsidRPr="00975710">
          <w:rPr>
            <w:rFonts w:asciiTheme="minorHAnsi" w:hAnsiTheme="minorHAnsi" w:cstheme="minorHAnsi"/>
            <w:b w:val="0"/>
            <w:noProof/>
            <w:webHidden/>
          </w:rPr>
          <w:tab/>
        </w:r>
        <w:r w:rsidRPr="00975710">
          <w:rPr>
            <w:rFonts w:asciiTheme="minorHAnsi" w:hAnsiTheme="minorHAnsi" w:cstheme="minorHAnsi"/>
            <w:b w:val="0"/>
            <w:noProof/>
            <w:webHidden/>
          </w:rPr>
          <w:fldChar w:fldCharType="begin"/>
        </w:r>
        <w:r w:rsidRPr="00975710">
          <w:rPr>
            <w:rFonts w:asciiTheme="minorHAnsi" w:hAnsiTheme="minorHAnsi" w:cstheme="minorHAnsi"/>
            <w:b w:val="0"/>
            <w:noProof/>
            <w:webHidden/>
          </w:rPr>
          <w:instrText xml:space="preserve"> PAGEREF _Toc462837173 \h </w:instrText>
        </w:r>
        <w:r w:rsidRPr="00975710">
          <w:rPr>
            <w:rFonts w:asciiTheme="minorHAnsi" w:hAnsiTheme="minorHAnsi" w:cstheme="minorHAnsi"/>
            <w:b w:val="0"/>
            <w:noProof/>
            <w:webHidden/>
          </w:rPr>
        </w:r>
        <w:r w:rsidRPr="00975710">
          <w:rPr>
            <w:rFonts w:asciiTheme="minorHAnsi" w:hAnsiTheme="minorHAnsi" w:cstheme="minorHAnsi"/>
            <w:b w:val="0"/>
            <w:noProof/>
            <w:webHidden/>
          </w:rPr>
          <w:fldChar w:fldCharType="separate"/>
        </w:r>
        <w:r w:rsidRPr="00975710">
          <w:rPr>
            <w:rFonts w:asciiTheme="minorHAnsi" w:hAnsiTheme="minorHAnsi" w:cstheme="minorHAnsi"/>
            <w:b w:val="0"/>
            <w:noProof/>
            <w:webHidden/>
          </w:rPr>
          <w:t>18</w:t>
        </w:r>
        <w:r w:rsidRPr="00975710">
          <w:rPr>
            <w:rFonts w:asciiTheme="minorHAnsi" w:hAnsiTheme="minorHAnsi" w:cstheme="minorHAnsi"/>
            <w:b w:val="0"/>
            <w:noProof/>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74" w:history="1">
        <w:r w:rsidRPr="00975710">
          <w:rPr>
            <w:rStyle w:val="Hyperlink"/>
            <w:rFonts w:asciiTheme="minorHAnsi" w:hAnsiTheme="minorHAnsi"/>
            <w:b w:val="0"/>
          </w:rPr>
          <w:t>2.1</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PEDP3 Expected Results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_Toc462837174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18</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75" w:history="1">
        <w:r w:rsidRPr="00975710">
          <w:rPr>
            <w:rStyle w:val="Hyperlink"/>
            <w:rFonts w:asciiTheme="minorHAnsi" w:hAnsiTheme="minorHAnsi"/>
            <w:b w:val="0"/>
          </w:rPr>
          <w:t>2.2</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PEDP3 Result Areas and DPE Model of RBM Approach</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_Toc462837175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21</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76" w:history="1">
        <w:r w:rsidRPr="00975710">
          <w:rPr>
            <w:rStyle w:val="Hyperlink"/>
            <w:rFonts w:asciiTheme="minorHAnsi" w:hAnsiTheme="minorHAnsi"/>
            <w:b w:val="0"/>
          </w:rPr>
          <w:t>2.3</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DPE Model of RBM Approach</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_Toc462837176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22</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77" w:history="1">
        <w:r w:rsidRPr="00975710">
          <w:rPr>
            <w:rStyle w:val="Hyperlink"/>
            <w:rFonts w:asciiTheme="minorHAnsi" w:hAnsiTheme="minorHAnsi"/>
            <w:b w:val="0"/>
          </w:rPr>
          <w:t>2.4</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Measuring the Performance (actual result achieved) in 2015</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_Toc462837177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23</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78" w:history="1">
        <w:r w:rsidRPr="00975710">
          <w:rPr>
            <w:rStyle w:val="Hyperlink"/>
            <w:rFonts w:asciiTheme="minorHAnsi" w:hAnsiTheme="minorHAnsi"/>
            <w:b w:val="0"/>
          </w:rPr>
          <w:t>2.5</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Sub-component Progress Report</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_Toc462837178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34</w:t>
        </w:r>
        <w:r w:rsidRPr="00975710">
          <w:rPr>
            <w:rFonts w:asciiTheme="minorHAnsi" w:hAnsiTheme="minorHAnsi"/>
            <w:b w:val="0"/>
            <w:webHidden/>
          </w:rPr>
          <w:fldChar w:fldCharType="end"/>
        </w:r>
      </w:hyperlink>
    </w:p>
    <w:p w:rsidR="00975710" w:rsidRPr="00975710" w:rsidRDefault="00975710" w:rsidP="00975710">
      <w:pPr>
        <w:pStyle w:val="TOC1"/>
        <w:tabs>
          <w:tab w:val="left" w:pos="480"/>
          <w:tab w:val="right" w:leader="dot" w:pos="9019"/>
        </w:tabs>
        <w:spacing w:before="0" w:after="0" w:line="276" w:lineRule="auto"/>
        <w:rPr>
          <w:rFonts w:asciiTheme="minorHAnsi" w:eastAsiaTheme="minorEastAsia" w:hAnsiTheme="minorHAnsi" w:cstheme="minorHAnsi"/>
          <w:b w:val="0"/>
          <w:caps w:val="0"/>
          <w:noProof/>
          <w:lang w:eastAsia="en-US"/>
        </w:rPr>
      </w:pPr>
      <w:hyperlink w:anchor="_Toc462837179" w:history="1">
        <w:r w:rsidRPr="00975710">
          <w:rPr>
            <w:rStyle w:val="Hyperlink"/>
            <w:rFonts w:asciiTheme="minorHAnsi" w:hAnsiTheme="minorHAnsi" w:cstheme="minorHAnsi"/>
            <w:b w:val="0"/>
            <w:noProof/>
          </w:rPr>
          <w:t>3.</w:t>
        </w:r>
        <w:r w:rsidRPr="00975710">
          <w:rPr>
            <w:rFonts w:asciiTheme="minorHAnsi" w:eastAsiaTheme="minorEastAsia" w:hAnsiTheme="minorHAnsi" w:cstheme="minorHAnsi"/>
            <w:b w:val="0"/>
            <w:caps w:val="0"/>
            <w:noProof/>
            <w:lang w:eastAsia="en-US"/>
          </w:rPr>
          <w:tab/>
        </w:r>
        <w:r w:rsidRPr="00975710">
          <w:rPr>
            <w:rStyle w:val="Hyperlink"/>
            <w:rFonts w:asciiTheme="minorHAnsi" w:hAnsiTheme="minorHAnsi" w:cstheme="minorHAnsi"/>
            <w:b w:val="0"/>
            <w:noProof/>
          </w:rPr>
          <w:t>Sector Performance and Outcomes</w:t>
        </w:r>
        <w:r w:rsidRPr="00975710">
          <w:rPr>
            <w:rFonts w:asciiTheme="minorHAnsi" w:hAnsiTheme="minorHAnsi" w:cstheme="minorHAnsi"/>
            <w:b w:val="0"/>
            <w:noProof/>
            <w:webHidden/>
          </w:rPr>
          <w:tab/>
        </w:r>
        <w:r w:rsidRPr="00975710">
          <w:rPr>
            <w:rFonts w:asciiTheme="minorHAnsi" w:hAnsiTheme="minorHAnsi" w:cstheme="minorHAnsi"/>
            <w:b w:val="0"/>
            <w:noProof/>
            <w:webHidden/>
          </w:rPr>
          <w:fldChar w:fldCharType="begin"/>
        </w:r>
        <w:r w:rsidRPr="00975710">
          <w:rPr>
            <w:rFonts w:asciiTheme="minorHAnsi" w:hAnsiTheme="minorHAnsi" w:cstheme="minorHAnsi"/>
            <w:b w:val="0"/>
            <w:noProof/>
            <w:webHidden/>
          </w:rPr>
          <w:instrText xml:space="preserve"> PAGEREF _Toc462837179 \h </w:instrText>
        </w:r>
        <w:r w:rsidRPr="00975710">
          <w:rPr>
            <w:rFonts w:asciiTheme="minorHAnsi" w:hAnsiTheme="minorHAnsi" w:cstheme="minorHAnsi"/>
            <w:b w:val="0"/>
            <w:noProof/>
            <w:webHidden/>
          </w:rPr>
        </w:r>
        <w:r w:rsidRPr="00975710">
          <w:rPr>
            <w:rFonts w:asciiTheme="minorHAnsi" w:hAnsiTheme="minorHAnsi" w:cstheme="minorHAnsi"/>
            <w:b w:val="0"/>
            <w:noProof/>
            <w:webHidden/>
          </w:rPr>
          <w:fldChar w:fldCharType="separate"/>
        </w:r>
        <w:r w:rsidRPr="00975710">
          <w:rPr>
            <w:rFonts w:asciiTheme="minorHAnsi" w:hAnsiTheme="minorHAnsi" w:cstheme="minorHAnsi"/>
            <w:b w:val="0"/>
            <w:noProof/>
            <w:webHidden/>
          </w:rPr>
          <w:t>53</w:t>
        </w:r>
        <w:r w:rsidRPr="00975710">
          <w:rPr>
            <w:rFonts w:asciiTheme="minorHAnsi" w:hAnsiTheme="minorHAnsi" w:cstheme="minorHAnsi"/>
            <w:b w:val="0"/>
            <w:noProof/>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80" w:history="1">
        <w:r w:rsidRPr="00975710">
          <w:rPr>
            <w:rStyle w:val="Hyperlink"/>
            <w:rFonts w:asciiTheme="minorHAnsi" w:hAnsiTheme="minorHAnsi"/>
            <w:b w:val="0"/>
          </w:rPr>
          <w:t>3.1</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Component 1: Teaching and Learning</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_Toc462837180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54</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81" w:history="1">
        <w:r w:rsidRPr="00975710">
          <w:rPr>
            <w:rStyle w:val="Hyperlink"/>
            <w:rFonts w:asciiTheme="minorHAnsi" w:hAnsiTheme="minorHAnsi"/>
            <w:b w:val="0"/>
          </w:rPr>
          <w:t>3.2</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Component 2: Participation and Disparities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_Toc462837181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67</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82" w:history="1">
        <w:r w:rsidRPr="00975710">
          <w:rPr>
            <w:rStyle w:val="Hyperlink"/>
            <w:rFonts w:asciiTheme="minorHAnsi" w:hAnsiTheme="minorHAnsi"/>
            <w:b w:val="0"/>
          </w:rPr>
          <w:t>3.3</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Component 3: Decentralization and Effectiveness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_Toc462837182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93</w:t>
        </w:r>
        <w:r w:rsidRPr="00975710">
          <w:rPr>
            <w:rFonts w:asciiTheme="minorHAnsi" w:hAnsiTheme="minorHAnsi"/>
            <w:b w:val="0"/>
            <w:webHidden/>
          </w:rPr>
          <w:fldChar w:fldCharType="end"/>
        </w:r>
      </w:hyperlink>
    </w:p>
    <w:p w:rsidR="00975710" w:rsidRPr="00975710" w:rsidRDefault="00975710" w:rsidP="00975710">
      <w:pPr>
        <w:pStyle w:val="TOC1"/>
        <w:tabs>
          <w:tab w:val="right" w:leader="dot" w:pos="9019"/>
        </w:tabs>
        <w:spacing w:before="0" w:after="0" w:line="276" w:lineRule="auto"/>
        <w:rPr>
          <w:rFonts w:asciiTheme="minorHAnsi" w:eastAsiaTheme="minorEastAsia" w:hAnsiTheme="minorHAnsi" w:cstheme="minorHAnsi"/>
          <w:b w:val="0"/>
          <w:caps w:val="0"/>
          <w:noProof/>
          <w:lang w:eastAsia="en-US"/>
        </w:rPr>
      </w:pPr>
      <w:hyperlink w:anchor="_Toc462837183" w:history="1">
        <w:r w:rsidRPr="00975710">
          <w:rPr>
            <w:rStyle w:val="Hyperlink"/>
            <w:rFonts w:asciiTheme="minorHAnsi" w:hAnsiTheme="minorHAnsi" w:cstheme="minorHAnsi"/>
            <w:b w:val="0"/>
            <w:bCs/>
            <w:noProof/>
            <w:kern w:val="36"/>
          </w:rPr>
          <w:t>Primary Completion Rate, Total (% of relevant age group)</w:t>
        </w:r>
        <w:r w:rsidRPr="00975710">
          <w:rPr>
            <w:rFonts w:asciiTheme="minorHAnsi" w:hAnsiTheme="minorHAnsi" w:cstheme="minorHAnsi"/>
            <w:b w:val="0"/>
            <w:noProof/>
            <w:webHidden/>
          </w:rPr>
          <w:tab/>
        </w:r>
        <w:r w:rsidRPr="00975710">
          <w:rPr>
            <w:rFonts w:asciiTheme="minorHAnsi" w:hAnsiTheme="minorHAnsi" w:cstheme="minorHAnsi"/>
            <w:b w:val="0"/>
            <w:noProof/>
            <w:webHidden/>
          </w:rPr>
          <w:fldChar w:fldCharType="begin"/>
        </w:r>
        <w:r w:rsidRPr="00975710">
          <w:rPr>
            <w:rFonts w:asciiTheme="minorHAnsi" w:hAnsiTheme="minorHAnsi" w:cstheme="minorHAnsi"/>
            <w:b w:val="0"/>
            <w:noProof/>
            <w:webHidden/>
          </w:rPr>
          <w:instrText xml:space="preserve"> PAGEREF _Toc462837183 \h </w:instrText>
        </w:r>
        <w:r w:rsidRPr="00975710">
          <w:rPr>
            <w:rFonts w:asciiTheme="minorHAnsi" w:hAnsiTheme="minorHAnsi" w:cstheme="minorHAnsi"/>
            <w:b w:val="0"/>
            <w:noProof/>
            <w:webHidden/>
          </w:rPr>
        </w:r>
        <w:r w:rsidRPr="00975710">
          <w:rPr>
            <w:rFonts w:asciiTheme="minorHAnsi" w:hAnsiTheme="minorHAnsi" w:cstheme="minorHAnsi"/>
            <w:b w:val="0"/>
            <w:noProof/>
            <w:webHidden/>
          </w:rPr>
          <w:fldChar w:fldCharType="separate"/>
        </w:r>
        <w:r w:rsidRPr="00975710">
          <w:rPr>
            <w:rFonts w:asciiTheme="minorHAnsi" w:hAnsiTheme="minorHAnsi" w:cstheme="minorHAnsi"/>
            <w:b w:val="0"/>
            <w:noProof/>
            <w:webHidden/>
          </w:rPr>
          <w:t>111</w:t>
        </w:r>
        <w:r w:rsidRPr="00975710">
          <w:rPr>
            <w:rFonts w:asciiTheme="minorHAnsi" w:hAnsiTheme="minorHAnsi" w:cstheme="minorHAnsi"/>
            <w:b w:val="0"/>
            <w:noProof/>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84" w:history="1">
        <w:r w:rsidRPr="00975710">
          <w:rPr>
            <w:rStyle w:val="Hyperlink"/>
            <w:rFonts w:asciiTheme="minorHAnsi" w:hAnsiTheme="minorHAnsi"/>
            <w:b w:val="0"/>
          </w:rPr>
          <w:t>3.4</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Component 4: Program Planning and Management</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_Toc462837184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114</w:t>
        </w:r>
        <w:r w:rsidRPr="00975710">
          <w:rPr>
            <w:rFonts w:asciiTheme="minorHAnsi" w:hAnsiTheme="minorHAnsi"/>
            <w:b w:val="0"/>
            <w:webHidden/>
          </w:rPr>
          <w:fldChar w:fldCharType="end"/>
        </w:r>
      </w:hyperlink>
    </w:p>
    <w:p w:rsidR="00975710" w:rsidRPr="00975710" w:rsidRDefault="00975710" w:rsidP="00975710">
      <w:pPr>
        <w:pStyle w:val="TOC1"/>
        <w:tabs>
          <w:tab w:val="left" w:pos="480"/>
          <w:tab w:val="right" w:leader="dot" w:pos="9019"/>
        </w:tabs>
        <w:spacing w:before="0" w:after="0" w:line="276" w:lineRule="auto"/>
        <w:rPr>
          <w:rFonts w:asciiTheme="minorHAnsi" w:eastAsiaTheme="minorEastAsia" w:hAnsiTheme="minorHAnsi" w:cstheme="minorHAnsi"/>
          <w:b w:val="0"/>
          <w:caps w:val="0"/>
          <w:noProof/>
          <w:lang w:eastAsia="en-US"/>
        </w:rPr>
      </w:pPr>
      <w:hyperlink w:anchor="_Toc462837185" w:history="1">
        <w:r w:rsidRPr="00975710">
          <w:rPr>
            <w:rStyle w:val="Hyperlink"/>
            <w:rFonts w:asciiTheme="minorHAnsi" w:hAnsiTheme="minorHAnsi" w:cstheme="minorHAnsi"/>
            <w:b w:val="0"/>
            <w:noProof/>
          </w:rPr>
          <w:t>4.</w:t>
        </w:r>
        <w:r w:rsidRPr="00975710">
          <w:rPr>
            <w:rFonts w:asciiTheme="minorHAnsi" w:eastAsiaTheme="minorEastAsia" w:hAnsiTheme="minorHAnsi" w:cstheme="minorHAnsi"/>
            <w:b w:val="0"/>
            <w:caps w:val="0"/>
            <w:noProof/>
            <w:lang w:eastAsia="en-US"/>
          </w:rPr>
          <w:tab/>
        </w:r>
        <w:r w:rsidRPr="00975710">
          <w:rPr>
            <w:rStyle w:val="Hyperlink"/>
            <w:rFonts w:asciiTheme="minorHAnsi" w:hAnsiTheme="minorHAnsi" w:cstheme="minorHAnsi"/>
            <w:b w:val="0"/>
            <w:noProof/>
          </w:rPr>
          <w:t>Sector Outputs:  PSQL Indicators</w:t>
        </w:r>
        <w:r w:rsidRPr="00975710">
          <w:rPr>
            <w:rFonts w:asciiTheme="minorHAnsi" w:hAnsiTheme="minorHAnsi" w:cstheme="minorHAnsi"/>
            <w:b w:val="0"/>
            <w:noProof/>
            <w:webHidden/>
          </w:rPr>
          <w:tab/>
        </w:r>
        <w:r w:rsidRPr="00975710">
          <w:rPr>
            <w:rFonts w:asciiTheme="minorHAnsi" w:hAnsiTheme="minorHAnsi" w:cstheme="minorHAnsi"/>
            <w:b w:val="0"/>
            <w:noProof/>
            <w:webHidden/>
          </w:rPr>
          <w:fldChar w:fldCharType="begin"/>
        </w:r>
        <w:r w:rsidRPr="00975710">
          <w:rPr>
            <w:rFonts w:asciiTheme="minorHAnsi" w:hAnsiTheme="minorHAnsi" w:cstheme="minorHAnsi"/>
            <w:b w:val="0"/>
            <w:noProof/>
            <w:webHidden/>
          </w:rPr>
          <w:instrText xml:space="preserve"> PAGEREF _Toc462837185 \h </w:instrText>
        </w:r>
        <w:r w:rsidRPr="00975710">
          <w:rPr>
            <w:rFonts w:asciiTheme="minorHAnsi" w:hAnsiTheme="minorHAnsi" w:cstheme="minorHAnsi"/>
            <w:b w:val="0"/>
            <w:noProof/>
            <w:webHidden/>
          </w:rPr>
        </w:r>
        <w:r w:rsidRPr="00975710">
          <w:rPr>
            <w:rFonts w:asciiTheme="minorHAnsi" w:hAnsiTheme="minorHAnsi" w:cstheme="minorHAnsi"/>
            <w:b w:val="0"/>
            <w:noProof/>
            <w:webHidden/>
          </w:rPr>
          <w:fldChar w:fldCharType="separate"/>
        </w:r>
        <w:r w:rsidRPr="00975710">
          <w:rPr>
            <w:rFonts w:asciiTheme="minorHAnsi" w:hAnsiTheme="minorHAnsi" w:cstheme="minorHAnsi"/>
            <w:b w:val="0"/>
            <w:noProof/>
            <w:webHidden/>
          </w:rPr>
          <w:t>115</w:t>
        </w:r>
        <w:r w:rsidRPr="00975710">
          <w:rPr>
            <w:rFonts w:asciiTheme="minorHAnsi" w:hAnsiTheme="minorHAnsi" w:cstheme="minorHAnsi"/>
            <w:b w:val="0"/>
            <w:noProof/>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86" w:history="1">
        <w:r w:rsidRPr="00975710">
          <w:rPr>
            <w:rStyle w:val="Hyperlink"/>
            <w:rFonts w:asciiTheme="minorHAnsi" w:hAnsiTheme="minorHAnsi"/>
            <w:b w:val="0"/>
          </w:rPr>
          <w:t>4.1</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Teaching and Learning</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_Toc462837186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116</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87" w:history="1">
        <w:r w:rsidRPr="00975710">
          <w:rPr>
            <w:rStyle w:val="Hyperlink"/>
            <w:rFonts w:asciiTheme="minorHAnsi" w:hAnsiTheme="minorHAnsi"/>
            <w:b w:val="0"/>
          </w:rPr>
          <w:t>4.2</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Access and Equity</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_Toc462837187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128</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88" w:history="1">
        <w:r w:rsidRPr="00975710">
          <w:rPr>
            <w:rStyle w:val="Hyperlink"/>
            <w:rFonts w:asciiTheme="minorHAnsi" w:hAnsiTheme="minorHAnsi"/>
            <w:b w:val="0"/>
          </w:rPr>
          <w:t>4.3</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Water and Sanitation</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_Toc462837188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131</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89" w:history="1">
        <w:r w:rsidRPr="00975710">
          <w:rPr>
            <w:rStyle w:val="Hyperlink"/>
            <w:rFonts w:asciiTheme="minorHAnsi" w:hAnsiTheme="minorHAnsi"/>
            <w:b w:val="0"/>
          </w:rPr>
          <w:t>4.4</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School Infrastructure</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_Toc462837189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133</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90" w:history="1">
        <w:r w:rsidRPr="00975710">
          <w:rPr>
            <w:rStyle w:val="Hyperlink"/>
            <w:rFonts w:asciiTheme="minorHAnsi" w:hAnsiTheme="minorHAnsi"/>
            <w:b w:val="0"/>
          </w:rPr>
          <w:t>4.5</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Education Decentralization</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_Toc462837190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138</w:t>
        </w:r>
        <w:r w:rsidRPr="00975710">
          <w:rPr>
            <w:rFonts w:asciiTheme="minorHAnsi" w:hAnsiTheme="minorHAnsi"/>
            <w:b w:val="0"/>
            <w:webHidden/>
          </w:rPr>
          <w:fldChar w:fldCharType="end"/>
        </w:r>
      </w:hyperlink>
    </w:p>
    <w:p w:rsidR="00975710" w:rsidRPr="00975710" w:rsidRDefault="00975710" w:rsidP="00975710">
      <w:pPr>
        <w:pStyle w:val="TOC1"/>
        <w:tabs>
          <w:tab w:val="left" w:pos="480"/>
          <w:tab w:val="right" w:leader="dot" w:pos="9019"/>
        </w:tabs>
        <w:spacing w:before="0" w:after="0" w:line="276" w:lineRule="auto"/>
        <w:rPr>
          <w:rFonts w:asciiTheme="minorHAnsi" w:eastAsiaTheme="minorEastAsia" w:hAnsiTheme="minorHAnsi" w:cstheme="minorHAnsi"/>
          <w:b w:val="0"/>
          <w:caps w:val="0"/>
          <w:noProof/>
          <w:lang w:eastAsia="en-US"/>
        </w:rPr>
      </w:pPr>
      <w:hyperlink w:anchor="_Toc462837191" w:history="1">
        <w:r w:rsidRPr="00975710">
          <w:rPr>
            <w:rStyle w:val="Hyperlink"/>
            <w:rFonts w:asciiTheme="minorHAnsi" w:hAnsiTheme="minorHAnsi" w:cstheme="minorHAnsi"/>
            <w:b w:val="0"/>
            <w:noProof/>
          </w:rPr>
          <w:t>5.</w:t>
        </w:r>
        <w:r w:rsidRPr="00975710">
          <w:rPr>
            <w:rFonts w:asciiTheme="minorHAnsi" w:eastAsiaTheme="minorEastAsia" w:hAnsiTheme="minorHAnsi" w:cstheme="minorHAnsi"/>
            <w:b w:val="0"/>
            <w:caps w:val="0"/>
            <w:noProof/>
            <w:lang w:eastAsia="en-US"/>
          </w:rPr>
          <w:tab/>
        </w:r>
        <w:r w:rsidRPr="00975710">
          <w:rPr>
            <w:rStyle w:val="Hyperlink"/>
            <w:rFonts w:asciiTheme="minorHAnsi" w:hAnsiTheme="minorHAnsi" w:cstheme="minorHAnsi"/>
            <w:b w:val="0"/>
            <w:noProof/>
          </w:rPr>
          <w:t>Activities</w:t>
        </w:r>
        <w:r w:rsidRPr="00975710">
          <w:rPr>
            <w:rFonts w:asciiTheme="minorHAnsi" w:hAnsiTheme="minorHAnsi" w:cstheme="minorHAnsi"/>
            <w:b w:val="0"/>
            <w:noProof/>
            <w:webHidden/>
          </w:rPr>
          <w:tab/>
        </w:r>
        <w:r w:rsidRPr="00975710">
          <w:rPr>
            <w:rFonts w:asciiTheme="minorHAnsi" w:hAnsiTheme="minorHAnsi" w:cstheme="minorHAnsi"/>
            <w:b w:val="0"/>
            <w:noProof/>
            <w:webHidden/>
          </w:rPr>
          <w:fldChar w:fldCharType="begin"/>
        </w:r>
        <w:r w:rsidRPr="00975710">
          <w:rPr>
            <w:rFonts w:asciiTheme="minorHAnsi" w:hAnsiTheme="minorHAnsi" w:cstheme="minorHAnsi"/>
            <w:b w:val="0"/>
            <w:noProof/>
            <w:webHidden/>
          </w:rPr>
          <w:instrText xml:space="preserve"> PAGEREF _Toc462837191 \h </w:instrText>
        </w:r>
        <w:r w:rsidRPr="00975710">
          <w:rPr>
            <w:rFonts w:asciiTheme="minorHAnsi" w:hAnsiTheme="minorHAnsi" w:cstheme="minorHAnsi"/>
            <w:b w:val="0"/>
            <w:noProof/>
            <w:webHidden/>
          </w:rPr>
        </w:r>
        <w:r w:rsidRPr="00975710">
          <w:rPr>
            <w:rFonts w:asciiTheme="minorHAnsi" w:hAnsiTheme="minorHAnsi" w:cstheme="minorHAnsi"/>
            <w:b w:val="0"/>
            <w:noProof/>
            <w:webHidden/>
          </w:rPr>
          <w:fldChar w:fldCharType="separate"/>
        </w:r>
        <w:r w:rsidRPr="00975710">
          <w:rPr>
            <w:rFonts w:asciiTheme="minorHAnsi" w:hAnsiTheme="minorHAnsi" w:cstheme="minorHAnsi"/>
            <w:b w:val="0"/>
            <w:noProof/>
            <w:webHidden/>
          </w:rPr>
          <w:t>142</w:t>
        </w:r>
        <w:r w:rsidRPr="00975710">
          <w:rPr>
            <w:rFonts w:asciiTheme="minorHAnsi" w:hAnsiTheme="minorHAnsi" w:cstheme="minorHAnsi"/>
            <w:b w:val="0"/>
            <w:noProof/>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92" w:history="1">
        <w:r w:rsidRPr="00975710">
          <w:rPr>
            <w:rStyle w:val="Hyperlink"/>
            <w:rFonts w:asciiTheme="minorHAnsi" w:hAnsiTheme="minorHAnsi"/>
            <w:b w:val="0"/>
          </w:rPr>
          <w:t>5.1</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PEDP3 Activities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_Toc462837192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142</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93" w:history="1">
        <w:r w:rsidRPr="00975710">
          <w:rPr>
            <w:rStyle w:val="Hyperlink"/>
            <w:rFonts w:asciiTheme="minorHAnsi" w:hAnsiTheme="minorHAnsi"/>
            <w:b w:val="0"/>
          </w:rPr>
          <w:t>5.2</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PEDP3 Activities not covered in the AOP</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_Toc462837193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145</w:t>
        </w:r>
        <w:r w:rsidRPr="00975710">
          <w:rPr>
            <w:rFonts w:asciiTheme="minorHAnsi" w:hAnsiTheme="minorHAnsi"/>
            <w:b w:val="0"/>
            <w:webHidden/>
          </w:rPr>
          <w:fldChar w:fldCharType="end"/>
        </w:r>
      </w:hyperlink>
    </w:p>
    <w:p w:rsidR="00975710" w:rsidRPr="00975710" w:rsidRDefault="00975710" w:rsidP="00975710">
      <w:pPr>
        <w:pStyle w:val="TOC1"/>
        <w:tabs>
          <w:tab w:val="left" w:pos="480"/>
          <w:tab w:val="right" w:leader="dot" w:pos="9019"/>
        </w:tabs>
        <w:spacing w:before="0" w:after="0" w:line="276" w:lineRule="auto"/>
        <w:rPr>
          <w:rFonts w:asciiTheme="minorHAnsi" w:eastAsiaTheme="minorEastAsia" w:hAnsiTheme="minorHAnsi" w:cstheme="minorHAnsi"/>
          <w:b w:val="0"/>
          <w:caps w:val="0"/>
          <w:noProof/>
          <w:lang w:eastAsia="en-US"/>
        </w:rPr>
      </w:pPr>
      <w:hyperlink w:anchor="_Toc462837194" w:history="1">
        <w:r w:rsidRPr="00975710">
          <w:rPr>
            <w:rStyle w:val="Hyperlink"/>
            <w:rFonts w:asciiTheme="minorHAnsi" w:hAnsiTheme="minorHAnsi" w:cstheme="minorHAnsi"/>
            <w:b w:val="0"/>
            <w:noProof/>
          </w:rPr>
          <w:t>6.</w:t>
        </w:r>
        <w:r w:rsidRPr="00975710">
          <w:rPr>
            <w:rFonts w:asciiTheme="minorHAnsi" w:eastAsiaTheme="minorEastAsia" w:hAnsiTheme="minorHAnsi" w:cstheme="minorHAnsi"/>
            <w:b w:val="0"/>
            <w:caps w:val="0"/>
            <w:noProof/>
            <w:lang w:eastAsia="en-US"/>
          </w:rPr>
          <w:tab/>
        </w:r>
        <w:r w:rsidRPr="00975710">
          <w:rPr>
            <w:rStyle w:val="Hyperlink"/>
            <w:rFonts w:asciiTheme="minorHAnsi" w:hAnsiTheme="minorHAnsi" w:cstheme="minorHAnsi"/>
            <w:b w:val="0"/>
            <w:noProof/>
          </w:rPr>
          <w:t>inputs</w:t>
        </w:r>
        <w:r w:rsidRPr="00975710">
          <w:rPr>
            <w:rFonts w:asciiTheme="minorHAnsi" w:hAnsiTheme="minorHAnsi" w:cstheme="minorHAnsi"/>
            <w:b w:val="0"/>
            <w:noProof/>
            <w:webHidden/>
          </w:rPr>
          <w:tab/>
        </w:r>
        <w:r w:rsidRPr="00975710">
          <w:rPr>
            <w:rFonts w:asciiTheme="minorHAnsi" w:hAnsiTheme="minorHAnsi" w:cstheme="minorHAnsi"/>
            <w:b w:val="0"/>
            <w:noProof/>
            <w:webHidden/>
          </w:rPr>
          <w:fldChar w:fldCharType="begin"/>
        </w:r>
        <w:r w:rsidRPr="00975710">
          <w:rPr>
            <w:rFonts w:asciiTheme="minorHAnsi" w:hAnsiTheme="minorHAnsi" w:cstheme="minorHAnsi"/>
            <w:b w:val="0"/>
            <w:noProof/>
            <w:webHidden/>
          </w:rPr>
          <w:instrText xml:space="preserve"> PAGEREF _Toc462837194 \h </w:instrText>
        </w:r>
        <w:r w:rsidRPr="00975710">
          <w:rPr>
            <w:rFonts w:asciiTheme="minorHAnsi" w:hAnsiTheme="minorHAnsi" w:cstheme="minorHAnsi"/>
            <w:b w:val="0"/>
            <w:noProof/>
            <w:webHidden/>
          </w:rPr>
        </w:r>
        <w:r w:rsidRPr="00975710">
          <w:rPr>
            <w:rFonts w:asciiTheme="minorHAnsi" w:hAnsiTheme="minorHAnsi" w:cstheme="minorHAnsi"/>
            <w:b w:val="0"/>
            <w:noProof/>
            <w:webHidden/>
          </w:rPr>
          <w:fldChar w:fldCharType="separate"/>
        </w:r>
        <w:r w:rsidRPr="00975710">
          <w:rPr>
            <w:rFonts w:asciiTheme="minorHAnsi" w:hAnsiTheme="minorHAnsi" w:cstheme="minorHAnsi"/>
            <w:b w:val="0"/>
            <w:noProof/>
            <w:webHidden/>
          </w:rPr>
          <w:t>147</w:t>
        </w:r>
        <w:r w:rsidRPr="00975710">
          <w:rPr>
            <w:rFonts w:asciiTheme="minorHAnsi" w:hAnsiTheme="minorHAnsi" w:cstheme="minorHAnsi"/>
            <w:b w:val="0"/>
            <w:noProof/>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95" w:history="1">
        <w:r w:rsidRPr="00975710">
          <w:rPr>
            <w:rStyle w:val="Hyperlink"/>
            <w:rFonts w:asciiTheme="minorHAnsi" w:hAnsiTheme="minorHAnsi"/>
            <w:b w:val="0"/>
          </w:rPr>
          <w:t>6.1</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Overview of Primary Education Budget (Inputs)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_Toc462837195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147</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96" w:history="1">
        <w:r w:rsidRPr="00975710">
          <w:rPr>
            <w:rStyle w:val="Hyperlink"/>
            <w:rFonts w:asciiTheme="minorHAnsi" w:hAnsiTheme="minorHAnsi"/>
            <w:b w:val="0"/>
          </w:rPr>
          <w:t>6.2</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PEDP3 Component Planned and Actual Budget</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_Toc462837196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152</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97" w:history="1">
        <w:r w:rsidRPr="00975710">
          <w:rPr>
            <w:rStyle w:val="Hyperlink"/>
            <w:rFonts w:asciiTheme="minorHAnsi" w:hAnsiTheme="minorHAnsi"/>
            <w:b w:val="0"/>
          </w:rPr>
          <w:t>6.3</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Discrete Projects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_Toc462837197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154</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198" w:history="1">
        <w:r w:rsidRPr="00975710">
          <w:rPr>
            <w:rStyle w:val="Hyperlink"/>
            <w:rFonts w:asciiTheme="minorHAnsi" w:hAnsiTheme="minorHAnsi"/>
            <w:b w:val="0"/>
          </w:rPr>
          <w:t>6.4</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Training materials Developed by the DPE during PEDP3</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_Toc462837198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158</w:t>
        </w:r>
        <w:r w:rsidRPr="00975710">
          <w:rPr>
            <w:rFonts w:asciiTheme="minorHAnsi" w:hAnsiTheme="minorHAnsi"/>
            <w:b w:val="0"/>
            <w:webHidden/>
          </w:rPr>
          <w:fldChar w:fldCharType="end"/>
        </w:r>
      </w:hyperlink>
    </w:p>
    <w:p w:rsidR="00975710" w:rsidRPr="00975710" w:rsidRDefault="00975710" w:rsidP="00975710">
      <w:pPr>
        <w:pStyle w:val="TOC1"/>
        <w:tabs>
          <w:tab w:val="left" w:pos="480"/>
          <w:tab w:val="right" w:leader="dot" w:pos="9019"/>
        </w:tabs>
        <w:spacing w:before="0" w:after="0" w:line="276" w:lineRule="auto"/>
        <w:rPr>
          <w:rFonts w:asciiTheme="minorHAnsi" w:eastAsiaTheme="minorEastAsia" w:hAnsiTheme="minorHAnsi" w:cstheme="minorHAnsi"/>
          <w:b w:val="0"/>
          <w:caps w:val="0"/>
          <w:noProof/>
          <w:lang w:eastAsia="en-US"/>
        </w:rPr>
      </w:pPr>
      <w:hyperlink w:anchor="_Toc462837199" w:history="1">
        <w:r w:rsidRPr="00975710">
          <w:rPr>
            <w:rStyle w:val="Hyperlink"/>
            <w:rFonts w:asciiTheme="minorHAnsi" w:hAnsiTheme="minorHAnsi" w:cstheme="minorHAnsi"/>
            <w:b w:val="0"/>
            <w:noProof/>
          </w:rPr>
          <w:t>7.</w:t>
        </w:r>
        <w:r w:rsidRPr="00975710">
          <w:rPr>
            <w:rFonts w:asciiTheme="minorHAnsi" w:eastAsiaTheme="minorEastAsia" w:hAnsiTheme="minorHAnsi" w:cstheme="minorHAnsi"/>
            <w:b w:val="0"/>
            <w:caps w:val="0"/>
            <w:noProof/>
            <w:lang w:eastAsia="en-US"/>
          </w:rPr>
          <w:tab/>
        </w:r>
        <w:r w:rsidRPr="00975710">
          <w:rPr>
            <w:rStyle w:val="Hyperlink"/>
            <w:rFonts w:asciiTheme="minorHAnsi" w:hAnsiTheme="minorHAnsi" w:cstheme="minorHAnsi"/>
            <w:b w:val="0"/>
            <w:noProof/>
          </w:rPr>
          <w:t>Conclusion</w:t>
        </w:r>
        <w:r w:rsidRPr="00975710">
          <w:rPr>
            <w:rFonts w:asciiTheme="minorHAnsi" w:hAnsiTheme="minorHAnsi" w:cstheme="minorHAnsi"/>
            <w:b w:val="0"/>
            <w:noProof/>
            <w:webHidden/>
          </w:rPr>
          <w:tab/>
        </w:r>
        <w:r w:rsidRPr="00975710">
          <w:rPr>
            <w:rFonts w:asciiTheme="minorHAnsi" w:hAnsiTheme="minorHAnsi" w:cstheme="minorHAnsi"/>
            <w:b w:val="0"/>
            <w:noProof/>
            <w:webHidden/>
          </w:rPr>
          <w:fldChar w:fldCharType="begin"/>
        </w:r>
        <w:r w:rsidRPr="00975710">
          <w:rPr>
            <w:rFonts w:asciiTheme="minorHAnsi" w:hAnsiTheme="minorHAnsi" w:cstheme="minorHAnsi"/>
            <w:b w:val="0"/>
            <w:noProof/>
            <w:webHidden/>
          </w:rPr>
          <w:instrText xml:space="preserve"> PAGEREF _Toc462837199 \h </w:instrText>
        </w:r>
        <w:r w:rsidRPr="00975710">
          <w:rPr>
            <w:rFonts w:asciiTheme="minorHAnsi" w:hAnsiTheme="minorHAnsi" w:cstheme="minorHAnsi"/>
            <w:b w:val="0"/>
            <w:noProof/>
            <w:webHidden/>
          </w:rPr>
        </w:r>
        <w:r w:rsidRPr="00975710">
          <w:rPr>
            <w:rFonts w:asciiTheme="minorHAnsi" w:hAnsiTheme="minorHAnsi" w:cstheme="minorHAnsi"/>
            <w:b w:val="0"/>
            <w:noProof/>
            <w:webHidden/>
          </w:rPr>
          <w:fldChar w:fldCharType="separate"/>
        </w:r>
        <w:r w:rsidRPr="00975710">
          <w:rPr>
            <w:rFonts w:asciiTheme="minorHAnsi" w:hAnsiTheme="minorHAnsi" w:cstheme="minorHAnsi"/>
            <w:b w:val="0"/>
            <w:noProof/>
            <w:webHidden/>
          </w:rPr>
          <w:t>159</w:t>
        </w:r>
        <w:r w:rsidRPr="00975710">
          <w:rPr>
            <w:rFonts w:asciiTheme="minorHAnsi" w:hAnsiTheme="minorHAnsi" w:cstheme="minorHAnsi"/>
            <w:b w:val="0"/>
            <w:noProof/>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00" w:history="1">
        <w:r w:rsidRPr="00975710">
          <w:rPr>
            <w:rStyle w:val="Hyperlink"/>
            <w:rFonts w:asciiTheme="minorHAnsi" w:hAnsiTheme="minorHAnsi"/>
            <w:b w:val="0"/>
          </w:rPr>
          <w:t>7.1</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Summary of Key Achievement</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_Toc462837200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159</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01" w:history="1">
        <w:r w:rsidRPr="00975710">
          <w:rPr>
            <w:rStyle w:val="Hyperlink"/>
            <w:rFonts w:asciiTheme="minorHAnsi" w:hAnsiTheme="minorHAnsi"/>
            <w:b w:val="0"/>
          </w:rPr>
          <w:t>7.2</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Suggested areas for further research</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_Toc462837201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161</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02" w:history="1">
        <w:r w:rsidRPr="00975710">
          <w:rPr>
            <w:rStyle w:val="Hyperlink"/>
            <w:rFonts w:asciiTheme="minorHAnsi" w:hAnsiTheme="minorHAnsi"/>
            <w:b w:val="0"/>
          </w:rPr>
          <w:t>7.3</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Data issues and suggested actions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_Toc462837202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163</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03" w:history="1">
        <w:r w:rsidRPr="00975710">
          <w:rPr>
            <w:rStyle w:val="Hyperlink"/>
            <w:rFonts w:asciiTheme="minorHAnsi" w:hAnsiTheme="minorHAnsi"/>
            <w:b w:val="0"/>
          </w:rPr>
          <w:t>7.4</w:t>
        </w:r>
        <w:r w:rsidRPr="00975710">
          <w:rPr>
            <w:rFonts w:asciiTheme="minorHAnsi" w:eastAsiaTheme="minorEastAsia" w:hAnsiTheme="minorHAnsi"/>
            <w:b w:val="0"/>
            <w:smallCaps w:val="0"/>
            <w:lang w:eastAsia="en-US"/>
          </w:rPr>
          <w:tab/>
        </w:r>
        <w:r w:rsidRPr="00975710">
          <w:rPr>
            <w:rStyle w:val="Hyperlink"/>
            <w:rFonts w:asciiTheme="minorHAnsi" w:hAnsiTheme="minorHAnsi"/>
            <w:b w:val="0"/>
          </w:rPr>
          <w:t>Conclusion:</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_Toc462837203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165</w:t>
        </w:r>
        <w:r w:rsidRPr="00975710">
          <w:rPr>
            <w:rFonts w:asciiTheme="minorHAnsi" w:hAnsiTheme="minorHAnsi"/>
            <w:b w:val="0"/>
            <w:webHidden/>
          </w:rPr>
          <w:fldChar w:fldCharType="end"/>
        </w:r>
      </w:hyperlink>
    </w:p>
    <w:p w:rsidR="00975710" w:rsidRPr="00975710" w:rsidRDefault="00975710" w:rsidP="00975710">
      <w:pPr>
        <w:pStyle w:val="TOC1"/>
        <w:tabs>
          <w:tab w:val="left" w:pos="480"/>
          <w:tab w:val="right" w:leader="dot" w:pos="9019"/>
        </w:tabs>
        <w:spacing w:before="0" w:after="0" w:line="276" w:lineRule="auto"/>
        <w:rPr>
          <w:rFonts w:asciiTheme="minorHAnsi" w:eastAsiaTheme="minorEastAsia" w:hAnsiTheme="minorHAnsi" w:cstheme="minorHAnsi"/>
          <w:b w:val="0"/>
          <w:caps w:val="0"/>
          <w:noProof/>
          <w:lang w:eastAsia="en-US"/>
        </w:rPr>
      </w:pPr>
      <w:hyperlink w:anchor="_Toc462837204" w:history="1">
        <w:r w:rsidRPr="00975710">
          <w:rPr>
            <w:rStyle w:val="Hyperlink"/>
            <w:rFonts w:asciiTheme="minorHAnsi" w:hAnsiTheme="minorHAnsi" w:cstheme="minorHAnsi"/>
            <w:b w:val="0"/>
            <w:noProof/>
          </w:rPr>
          <w:t>8.</w:t>
        </w:r>
        <w:r w:rsidRPr="00975710">
          <w:rPr>
            <w:rFonts w:asciiTheme="minorHAnsi" w:eastAsiaTheme="minorEastAsia" w:hAnsiTheme="minorHAnsi" w:cstheme="minorHAnsi"/>
            <w:b w:val="0"/>
            <w:caps w:val="0"/>
            <w:noProof/>
            <w:lang w:eastAsia="en-US"/>
          </w:rPr>
          <w:tab/>
        </w:r>
        <w:r w:rsidRPr="00975710">
          <w:rPr>
            <w:rStyle w:val="Hyperlink"/>
            <w:rFonts w:asciiTheme="minorHAnsi" w:hAnsiTheme="minorHAnsi" w:cstheme="minorHAnsi"/>
            <w:b w:val="0"/>
            <w:noProof/>
          </w:rPr>
          <w:t>References</w:t>
        </w:r>
        <w:r w:rsidRPr="00975710">
          <w:rPr>
            <w:rFonts w:asciiTheme="minorHAnsi" w:hAnsiTheme="minorHAnsi" w:cstheme="minorHAnsi"/>
            <w:b w:val="0"/>
            <w:noProof/>
            <w:webHidden/>
          </w:rPr>
          <w:tab/>
        </w:r>
        <w:r w:rsidRPr="00975710">
          <w:rPr>
            <w:rFonts w:asciiTheme="minorHAnsi" w:hAnsiTheme="minorHAnsi" w:cstheme="minorHAnsi"/>
            <w:b w:val="0"/>
            <w:noProof/>
            <w:webHidden/>
          </w:rPr>
          <w:fldChar w:fldCharType="begin"/>
        </w:r>
        <w:r w:rsidRPr="00975710">
          <w:rPr>
            <w:rFonts w:asciiTheme="minorHAnsi" w:hAnsiTheme="minorHAnsi" w:cstheme="minorHAnsi"/>
            <w:b w:val="0"/>
            <w:noProof/>
            <w:webHidden/>
          </w:rPr>
          <w:instrText xml:space="preserve"> PAGEREF _Toc462837204 \h </w:instrText>
        </w:r>
        <w:r w:rsidRPr="00975710">
          <w:rPr>
            <w:rFonts w:asciiTheme="minorHAnsi" w:hAnsiTheme="minorHAnsi" w:cstheme="minorHAnsi"/>
            <w:b w:val="0"/>
            <w:noProof/>
            <w:webHidden/>
          </w:rPr>
        </w:r>
        <w:r w:rsidRPr="00975710">
          <w:rPr>
            <w:rFonts w:asciiTheme="minorHAnsi" w:hAnsiTheme="minorHAnsi" w:cstheme="minorHAnsi"/>
            <w:b w:val="0"/>
            <w:noProof/>
            <w:webHidden/>
          </w:rPr>
          <w:fldChar w:fldCharType="separate"/>
        </w:r>
        <w:r w:rsidRPr="00975710">
          <w:rPr>
            <w:rFonts w:asciiTheme="minorHAnsi" w:hAnsiTheme="minorHAnsi" w:cstheme="minorHAnsi"/>
            <w:b w:val="0"/>
            <w:noProof/>
            <w:webHidden/>
          </w:rPr>
          <w:t>166</w:t>
        </w:r>
        <w:r w:rsidRPr="00975710">
          <w:rPr>
            <w:rFonts w:asciiTheme="minorHAnsi" w:hAnsiTheme="minorHAnsi" w:cstheme="minorHAnsi"/>
            <w:b w:val="0"/>
            <w:noProof/>
            <w:webHidden/>
          </w:rPr>
          <w:fldChar w:fldCharType="end"/>
        </w:r>
      </w:hyperlink>
    </w:p>
    <w:p w:rsidR="00975710" w:rsidRPr="00975710" w:rsidRDefault="00975710" w:rsidP="00975710">
      <w:pPr>
        <w:pStyle w:val="TOC1"/>
        <w:tabs>
          <w:tab w:val="left" w:pos="480"/>
          <w:tab w:val="right" w:leader="dot" w:pos="9019"/>
        </w:tabs>
        <w:spacing w:before="0" w:after="0" w:line="276" w:lineRule="auto"/>
        <w:rPr>
          <w:rFonts w:asciiTheme="minorHAnsi" w:eastAsiaTheme="minorEastAsia" w:hAnsiTheme="minorHAnsi" w:cstheme="minorHAnsi"/>
          <w:b w:val="0"/>
          <w:caps w:val="0"/>
          <w:noProof/>
          <w:lang w:eastAsia="en-US"/>
        </w:rPr>
      </w:pPr>
      <w:hyperlink w:anchor="_Toc462837205" w:history="1">
        <w:r w:rsidRPr="00975710">
          <w:rPr>
            <w:rStyle w:val="Hyperlink"/>
            <w:rFonts w:asciiTheme="minorHAnsi" w:hAnsiTheme="minorHAnsi" w:cstheme="minorHAnsi"/>
            <w:b w:val="0"/>
            <w:noProof/>
          </w:rPr>
          <w:t>9.</w:t>
        </w:r>
        <w:r w:rsidRPr="00975710">
          <w:rPr>
            <w:rFonts w:asciiTheme="minorHAnsi" w:eastAsiaTheme="minorEastAsia" w:hAnsiTheme="minorHAnsi" w:cstheme="minorHAnsi"/>
            <w:b w:val="0"/>
            <w:caps w:val="0"/>
            <w:noProof/>
            <w:lang w:eastAsia="en-US"/>
          </w:rPr>
          <w:tab/>
        </w:r>
        <w:r w:rsidRPr="00975710">
          <w:rPr>
            <w:rStyle w:val="Hyperlink"/>
            <w:rFonts w:asciiTheme="minorHAnsi" w:hAnsiTheme="minorHAnsi" w:cstheme="minorHAnsi"/>
            <w:b w:val="0"/>
            <w:noProof/>
          </w:rPr>
          <w:t>Annexes</w:t>
        </w:r>
        <w:r w:rsidRPr="00975710">
          <w:rPr>
            <w:rFonts w:asciiTheme="minorHAnsi" w:hAnsiTheme="minorHAnsi" w:cstheme="minorHAnsi"/>
            <w:b w:val="0"/>
            <w:noProof/>
            <w:webHidden/>
          </w:rPr>
          <w:tab/>
        </w:r>
        <w:r w:rsidRPr="00975710">
          <w:rPr>
            <w:rFonts w:asciiTheme="minorHAnsi" w:hAnsiTheme="minorHAnsi" w:cstheme="minorHAnsi"/>
            <w:b w:val="0"/>
            <w:noProof/>
            <w:webHidden/>
          </w:rPr>
          <w:fldChar w:fldCharType="begin"/>
        </w:r>
        <w:r w:rsidRPr="00975710">
          <w:rPr>
            <w:rFonts w:asciiTheme="minorHAnsi" w:hAnsiTheme="minorHAnsi" w:cstheme="minorHAnsi"/>
            <w:b w:val="0"/>
            <w:noProof/>
            <w:webHidden/>
          </w:rPr>
          <w:instrText xml:space="preserve"> PAGEREF _Toc462837205 \h </w:instrText>
        </w:r>
        <w:r w:rsidRPr="00975710">
          <w:rPr>
            <w:rFonts w:asciiTheme="minorHAnsi" w:hAnsiTheme="minorHAnsi" w:cstheme="minorHAnsi"/>
            <w:b w:val="0"/>
            <w:noProof/>
            <w:webHidden/>
          </w:rPr>
        </w:r>
        <w:r w:rsidRPr="00975710">
          <w:rPr>
            <w:rFonts w:asciiTheme="minorHAnsi" w:hAnsiTheme="minorHAnsi" w:cstheme="minorHAnsi"/>
            <w:b w:val="0"/>
            <w:noProof/>
            <w:webHidden/>
          </w:rPr>
          <w:fldChar w:fldCharType="separate"/>
        </w:r>
        <w:r w:rsidRPr="00975710">
          <w:rPr>
            <w:rFonts w:asciiTheme="minorHAnsi" w:hAnsiTheme="minorHAnsi" w:cstheme="minorHAnsi"/>
            <w:b w:val="0"/>
            <w:noProof/>
            <w:webHidden/>
          </w:rPr>
          <w:t>168</w:t>
        </w:r>
        <w:r w:rsidRPr="00975710">
          <w:rPr>
            <w:rFonts w:asciiTheme="minorHAnsi" w:hAnsiTheme="minorHAnsi" w:cstheme="minorHAnsi"/>
            <w:b w:val="0"/>
            <w:noProof/>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06" w:history="1">
        <w:r w:rsidRPr="00975710">
          <w:rPr>
            <w:rStyle w:val="Hyperlink"/>
            <w:rFonts w:asciiTheme="minorHAnsi" w:hAnsiTheme="minorHAnsi"/>
            <w:b w:val="0"/>
          </w:rPr>
          <w:t>Annex A. PEDP3 Result Chain</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_Toc462837206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168</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07" w:history="1">
        <w:r w:rsidRPr="00975710">
          <w:rPr>
            <w:rStyle w:val="Hyperlink"/>
            <w:rFonts w:asciiTheme="minorHAnsi" w:hAnsiTheme="minorHAnsi"/>
            <w:b w:val="0"/>
          </w:rPr>
          <w:t>Annex B: Upazila composite performance indicator</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_Toc462837207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173</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08" w:history="1">
        <w:r w:rsidRPr="00975710">
          <w:rPr>
            <w:rStyle w:val="Hyperlink"/>
            <w:rFonts w:asciiTheme="minorHAnsi" w:hAnsiTheme="minorHAnsi"/>
            <w:b w:val="0"/>
          </w:rPr>
          <w:t>Annex C: Upazila performance on selected KPI and Non-KPI indicators in 2015</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_Toc462837208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175</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09" w:history="1">
        <w:r w:rsidRPr="00975710">
          <w:rPr>
            <w:rStyle w:val="Hyperlink"/>
            <w:rFonts w:asciiTheme="minorHAnsi" w:hAnsiTheme="minorHAnsi"/>
            <w:b w:val="0"/>
          </w:rPr>
          <w:t>Annex D: Upazila performance on selected PSQL indicators in 2015</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_Toc462837209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177</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10" w:history="1">
        <w:r w:rsidRPr="00975710">
          <w:rPr>
            <w:rStyle w:val="Hyperlink"/>
            <w:rFonts w:asciiTheme="minorHAnsi" w:hAnsiTheme="minorHAnsi"/>
            <w:b w:val="0"/>
          </w:rPr>
          <w:t>Annex E:  AOP 2014-15 Implementation</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_Toc462837210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179</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11" w:history="1">
        <w:r w:rsidRPr="00975710">
          <w:rPr>
            <w:rStyle w:val="Hyperlink"/>
            <w:rFonts w:asciiTheme="minorHAnsi" w:hAnsiTheme="minorHAnsi"/>
            <w:b w:val="0"/>
          </w:rPr>
          <w:t>Annex F:  Summary Description of Discrete Projects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_Toc462837211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189</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12" w:history="1">
        <w:r w:rsidRPr="00975710">
          <w:rPr>
            <w:rStyle w:val="Hyperlink"/>
            <w:rFonts w:asciiTheme="minorHAnsi" w:hAnsiTheme="minorHAnsi"/>
            <w:b w:val="0"/>
          </w:rPr>
          <w:t>Annex G. Each Child Learn</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_Toc462837212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204</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13" w:history="1">
        <w:r w:rsidRPr="00975710">
          <w:rPr>
            <w:rStyle w:val="Hyperlink"/>
            <w:rFonts w:asciiTheme="minorHAnsi" w:hAnsiTheme="minorHAnsi"/>
            <w:b w:val="0"/>
          </w:rPr>
          <w:t>Annex H. Interaction with Local Communities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_Toc462837213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206</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14" w:history="1">
        <w:r w:rsidRPr="00975710">
          <w:rPr>
            <w:rStyle w:val="Hyperlink"/>
            <w:rFonts w:asciiTheme="minorHAnsi" w:hAnsiTheme="minorHAnsi"/>
            <w:b w:val="0"/>
          </w:rPr>
          <w:t>Annex I. CDIP Intervention: in Primary Education Sector to Support for Disadvantaged First Generation Learners in Rural Areas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_Toc462837214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209</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15" w:history="1">
        <w:r w:rsidRPr="00975710">
          <w:rPr>
            <w:rStyle w:val="Hyperlink"/>
            <w:rFonts w:asciiTheme="minorHAnsi" w:hAnsiTheme="minorHAnsi"/>
            <w:b w:val="0"/>
          </w:rPr>
          <w:t>The Centre for Development, Innovation and Practices: From a Small Beginning to a National Movement</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_Toc462837215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209</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16" w:history="1">
        <w:r w:rsidRPr="00975710">
          <w:rPr>
            <w:rStyle w:val="Hyperlink"/>
            <w:rFonts w:asciiTheme="minorHAnsi" w:hAnsiTheme="minorHAnsi"/>
            <w:b w:val="0"/>
          </w:rPr>
          <w:t>Annex J: Glossary</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_Toc462837216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212</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17" w:history="1">
        <w:r w:rsidRPr="00975710">
          <w:rPr>
            <w:rStyle w:val="Hyperlink"/>
            <w:rFonts w:asciiTheme="minorHAnsi" w:hAnsiTheme="minorHAnsi"/>
            <w:b w:val="0"/>
          </w:rPr>
          <w:t>Annex K: UNESCO Re-constructed Cohort Model 2014</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_Toc462837217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218</w:t>
        </w:r>
        <w:r w:rsidRPr="00975710">
          <w:rPr>
            <w:rFonts w:asciiTheme="minorHAnsi" w:hAnsiTheme="minorHAnsi"/>
            <w:b w:val="0"/>
            <w:webHidden/>
          </w:rPr>
          <w:fldChar w:fldCharType="end"/>
        </w:r>
      </w:hyperlink>
    </w:p>
    <w:p w:rsidR="00975710" w:rsidRPr="00975710" w:rsidRDefault="00975710" w:rsidP="00975710">
      <w:pPr>
        <w:pStyle w:val="TOC2"/>
        <w:rPr>
          <w:rFonts w:asciiTheme="minorHAnsi" w:eastAsiaTheme="minorEastAsia" w:hAnsiTheme="minorHAnsi"/>
          <w:b w:val="0"/>
          <w:smallCaps w:val="0"/>
          <w:lang w:eastAsia="en-US"/>
        </w:rPr>
      </w:pPr>
      <w:hyperlink w:anchor="_Toc462837218" w:history="1">
        <w:r w:rsidRPr="00975710">
          <w:rPr>
            <w:rStyle w:val="Hyperlink"/>
            <w:rFonts w:asciiTheme="minorHAnsi" w:hAnsiTheme="minorHAnsi"/>
            <w:b w:val="0"/>
          </w:rPr>
          <w:t>Annex L: List of PEDP3 Indicators</w:t>
        </w:r>
        <w:r w:rsidRPr="00975710">
          <w:rPr>
            <w:rFonts w:asciiTheme="minorHAnsi" w:hAnsiTheme="minorHAnsi"/>
            <w:b w:val="0"/>
            <w:webHidden/>
          </w:rPr>
          <w:tab/>
        </w:r>
        <w:r w:rsidRPr="00975710">
          <w:rPr>
            <w:rFonts w:asciiTheme="minorHAnsi" w:hAnsiTheme="minorHAnsi"/>
            <w:b w:val="0"/>
            <w:webHidden/>
          </w:rPr>
          <w:fldChar w:fldCharType="begin"/>
        </w:r>
        <w:r w:rsidRPr="00975710">
          <w:rPr>
            <w:rFonts w:asciiTheme="minorHAnsi" w:hAnsiTheme="minorHAnsi"/>
            <w:b w:val="0"/>
            <w:webHidden/>
          </w:rPr>
          <w:instrText xml:space="preserve"> PAGEREF _Toc462837218 \h </w:instrText>
        </w:r>
        <w:r w:rsidRPr="00975710">
          <w:rPr>
            <w:rFonts w:asciiTheme="minorHAnsi" w:hAnsiTheme="minorHAnsi"/>
            <w:b w:val="0"/>
            <w:webHidden/>
          </w:rPr>
        </w:r>
        <w:r w:rsidRPr="00975710">
          <w:rPr>
            <w:rFonts w:asciiTheme="minorHAnsi" w:hAnsiTheme="minorHAnsi"/>
            <w:b w:val="0"/>
            <w:webHidden/>
          </w:rPr>
          <w:fldChar w:fldCharType="separate"/>
        </w:r>
        <w:r w:rsidRPr="00975710">
          <w:rPr>
            <w:rFonts w:asciiTheme="minorHAnsi" w:hAnsiTheme="minorHAnsi"/>
            <w:b w:val="0"/>
            <w:webHidden/>
          </w:rPr>
          <w:t>219</w:t>
        </w:r>
        <w:r w:rsidRPr="00975710">
          <w:rPr>
            <w:rFonts w:asciiTheme="minorHAnsi" w:hAnsiTheme="minorHAnsi"/>
            <w:b w:val="0"/>
            <w:webHidden/>
          </w:rPr>
          <w:fldChar w:fldCharType="end"/>
        </w:r>
      </w:hyperlink>
    </w:p>
    <w:p w:rsidR="00BB0846" w:rsidRPr="00E1354E" w:rsidRDefault="002E2ED5" w:rsidP="00975710">
      <w:pPr>
        <w:spacing w:beforeLines="20" w:afterLines="20"/>
        <w:rPr>
          <w:rFonts w:asciiTheme="minorHAnsi" w:hAnsiTheme="minorHAnsi" w:cstheme="minorHAnsi"/>
          <w:color w:val="FF0000"/>
          <w:sz w:val="20"/>
        </w:rPr>
      </w:pPr>
      <w:r w:rsidRPr="00975710">
        <w:rPr>
          <w:rFonts w:asciiTheme="minorHAnsi" w:hAnsiTheme="minorHAnsi" w:cstheme="minorHAnsi"/>
          <w:color w:val="FF0000"/>
          <w:sz w:val="20"/>
        </w:rPr>
        <w:fldChar w:fldCharType="end"/>
      </w:r>
    </w:p>
    <w:p w:rsidR="00FF77D5" w:rsidRPr="005F120D" w:rsidRDefault="00FF77D5" w:rsidP="00C437AA">
      <w:pPr>
        <w:pStyle w:val="Heading1NONUM"/>
        <w:spacing w:line="276" w:lineRule="auto"/>
        <w:jc w:val="center"/>
        <w:rPr>
          <w:rFonts w:cstheme="minorHAnsi"/>
          <w:color w:val="006600"/>
          <w:szCs w:val="32"/>
        </w:rPr>
      </w:pPr>
      <w:bookmarkStart w:id="8" w:name="_Toc462837166"/>
      <w:r w:rsidRPr="005F120D">
        <w:rPr>
          <w:rFonts w:cstheme="minorHAnsi"/>
          <w:color w:val="006600"/>
          <w:szCs w:val="32"/>
        </w:rPr>
        <w:t>List of Table</w:t>
      </w:r>
      <w:r w:rsidR="00745071" w:rsidRPr="005F120D">
        <w:rPr>
          <w:rFonts w:cstheme="minorHAnsi"/>
          <w:color w:val="006600"/>
          <w:szCs w:val="32"/>
        </w:rPr>
        <w:t>s</w:t>
      </w:r>
      <w:bookmarkEnd w:id="8"/>
    </w:p>
    <w:p w:rsidR="00975710" w:rsidRPr="00975710" w:rsidRDefault="002E2ED5"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r w:rsidRPr="002E2ED5">
        <w:rPr>
          <w:rFonts w:asciiTheme="minorHAnsi" w:hAnsiTheme="minorHAnsi" w:cstheme="minorHAnsi"/>
          <w:b/>
          <w:color w:val="FF0000"/>
          <w:sz w:val="17"/>
          <w:szCs w:val="17"/>
        </w:rPr>
        <w:fldChar w:fldCharType="begin"/>
      </w:r>
      <w:r w:rsidR="00E57133" w:rsidRPr="005F120D">
        <w:rPr>
          <w:rFonts w:asciiTheme="minorHAnsi" w:hAnsiTheme="minorHAnsi" w:cstheme="minorHAnsi"/>
          <w:b/>
          <w:color w:val="FF0000"/>
          <w:sz w:val="17"/>
          <w:szCs w:val="17"/>
        </w:rPr>
        <w:instrText xml:space="preserve"> TOC \h \z \c "Table" </w:instrText>
      </w:r>
      <w:r w:rsidRPr="002E2ED5">
        <w:rPr>
          <w:rFonts w:asciiTheme="minorHAnsi" w:hAnsiTheme="minorHAnsi" w:cstheme="minorHAnsi"/>
          <w:b/>
          <w:color w:val="FF0000"/>
          <w:sz w:val="17"/>
          <w:szCs w:val="17"/>
        </w:rPr>
        <w:fldChar w:fldCharType="separate"/>
      </w:r>
      <w:hyperlink w:anchor="_Toc462837219" w:history="1">
        <w:r w:rsidR="00975710" w:rsidRPr="00975710">
          <w:rPr>
            <w:rStyle w:val="Hyperlink"/>
            <w:rFonts w:asciiTheme="minorHAnsi" w:hAnsiTheme="minorHAnsi" w:cstheme="minorHAnsi"/>
            <w:noProof/>
            <w:sz w:val="20"/>
          </w:rPr>
          <w:t>Table 1.1: Number of Primary Educational Institutions, Teachers, Students and Student Teacher Ratio (STR) by Educational Institute Type: APSC 2015</w:t>
        </w:r>
        <w:r w:rsidR="00975710" w:rsidRPr="00975710">
          <w:rPr>
            <w:rFonts w:asciiTheme="minorHAnsi" w:hAnsiTheme="minorHAnsi" w:cstheme="minorHAnsi"/>
            <w:noProof/>
            <w:webHidden/>
            <w:sz w:val="20"/>
          </w:rPr>
          <w:tab/>
        </w:r>
        <w:r w:rsidR="00975710" w:rsidRPr="00975710">
          <w:rPr>
            <w:rFonts w:asciiTheme="minorHAnsi" w:hAnsiTheme="minorHAnsi" w:cstheme="minorHAnsi"/>
            <w:noProof/>
            <w:webHidden/>
            <w:sz w:val="20"/>
          </w:rPr>
          <w:fldChar w:fldCharType="begin"/>
        </w:r>
        <w:r w:rsidR="00975710" w:rsidRPr="00975710">
          <w:rPr>
            <w:rFonts w:asciiTheme="minorHAnsi" w:hAnsiTheme="minorHAnsi" w:cstheme="minorHAnsi"/>
            <w:noProof/>
            <w:webHidden/>
            <w:sz w:val="20"/>
          </w:rPr>
          <w:instrText xml:space="preserve"> PAGEREF _Toc462837219 \h </w:instrText>
        </w:r>
        <w:r w:rsidR="00975710" w:rsidRPr="00975710">
          <w:rPr>
            <w:rFonts w:asciiTheme="minorHAnsi" w:hAnsiTheme="minorHAnsi" w:cstheme="minorHAnsi"/>
            <w:noProof/>
            <w:webHidden/>
            <w:sz w:val="20"/>
          </w:rPr>
        </w:r>
        <w:r w:rsidR="00975710" w:rsidRPr="00975710">
          <w:rPr>
            <w:rFonts w:asciiTheme="minorHAnsi" w:hAnsiTheme="minorHAnsi" w:cstheme="minorHAnsi"/>
            <w:noProof/>
            <w:webHidden/>
            <w:sz w:val="20"/>
          </w:rPr>
          <w:fldChar w:fldCharType="separate"/>
        </w:r>
        <w:r w:rsidR="00975710" w:rsidRPr="00975710">
          <w:rPr>
            <w:rFonts w:asciiTheme="minorHAnsi" w:hAnsiTheme="minorHAnsi" w:cstheme="minorHAnsi"/>
            <w:noProof/>
            <w:webHidden/>
            <w:sz w:val="20"/>
          </w:rPr>
          <w:t>29</w:t>
        </w:r>
        <w:r w:rsidR="00975710"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20" w:history="1">
        <w:r w:rsidRPr="00975710">
          <w:rPr>
            <w:rStyle w:val="Hyperlink"/>
            <w:rFonts w:asciiTheme="minorHAnsi" w:hAnsiTheme="minorHAnsi" w:cstheme="minorHAnsi"/>
            <w:noProof/>
            <w:sz w:val="20"/>
          </w:rPr>
          <w:t>Table 1.2: Number of Schools and Madrasha in APSC and Primary and Madrasha Education Completion Examination (PECE/EECE) 2014- 2015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_Toc462837220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21" w:history="1">
        <w:r w:rsidRPr="00975710">
          <w:rPr>
            <w:rStyle w:val="Hyperlink"/>
            <w:rFonts w:asciiTheme="minorHAnsi" w:hAnsiTheme="minorHAnsi" w:cstheme="minorHAnsi"/>
            <w:noProof/>
            <w:sz w:val="20"/>
          </w:rPr>
          <w:t>Table 1.3:Percentage of Children by Age and Grade in the APSC (2010-15) and MICS (2009)</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_Toc462837221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22" w:history="1">
        <w:r w:rsidRPr="00975710">
          <w:rPr>
            <w:rStyle w:val="Hyperlink"/>
            <w:rFonts w:asciiTheme="minorHAnsi" w:hAnsiTheme="minorHAnsi" w:cstheme="minorHAnsi"/>
            <w:noProof/>
            <w:sz w:val="20"/>
          </w:rPr>
          <w:t>Table1.4: Estimated Primary School Cohort Age 6-10 Years 2005-2015 (in millions)</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_Toc462837222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23" w:history="1">
        <w:r w:rsidRPr="00975710">
          <w:rPr>
            <w:rStyle w:val="Hyperlink"/>
            <w:rFonts w:asciiTheme="minorHAnsi" w:hAnsiTheme="minorHAnsi" w:cstheme="minorHAnsi"/>
            <w:noProof/>
            <w:sz w:val="20"/>
          </w:rPr>
          <w:t>Table 2.1:</w:t>
        </w:r>
        <w:r w:rsidRPr="00975710">
          <w:rPr>
            <w:rStyle w:val="Hyperlink"/>
            <w:rFonts w:asciiTheme="minorHAnsi" w:hAnsiTheme="minorHAnsi" w:cstheme="minorHAnsi"/>
            <w:bCs/>
            <w:noProof/>
            <w:sz w:val="20"/>
          </w:rPr>
          <w:t xml:space="preserve"> PEDP3 Results WEB:</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_Toc462837223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20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24" w:history="1">
        <w:r w:rsidRPr="00975710">
          <w:rPr>
            <w:rStyle w:val="Hyperlink"/>
            <w:rFonts w:asciiTheme="minorHAnsi" w:hAnsiTheme="minorHAnsi" w:cstheme="minorHAnsi"/>
            <w:noProof/>
            <w:sz w:val="20"/>
          </w:rPr>
          <w:t>Table 2.2: Key (15) and Non-Key (12) Performance Indicators of PEDP3 2005, 2010 –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_Toc462837224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24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25" w:history="1">
        <w:r w:rsidRPr="00975710">
          <w:rPr>
            <w:rStyle w:val="Hyperlink"/>
            <w:rFonts w:asciiTheme="minorHAnsi" w:hAnsiTheme="minorHAnsi" w:cstheme="minorHAnsi"/>
            <w:noProof/>
            <w:sz w:val="20"/>
          </w:rPr>
          <w:t>Table 2.3: Non-KPIs Indicators of PEDP3 (GPS &amp;NNPS)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_Toc462837225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27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26" w:history="1">
        <w:r w:rsidRPr="00975710">
          <w:rPr>
            <w:rStyle w:val="Hyperlink"/>
            <w:rFonts w:asciiTheme="minorHAnsi" w:hAnsiTheme="minorHAnsi" w:cstheme="minorHAnsi"/>
            <w:noProof/>
            <w:sz w:val="20"/>
          </w:rPr>
          <w:t>Table 2.4: Primary School Quality Level Indicators (PSQLs) of PEDP3 (GPS &amp;NNPS)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_Toc462837226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28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27" w:history="1">
        <w:r w:rsidRPr="00975710">
          <w:rPr>
            <w:rStyle w:val="Hyperlink"/>
            <w:rFonts w:asciiTheme="minorHAnsi" w:hAnsiTheme="minorHAnsi" w:cstheme="minorHAnsi"/>
            <w:noProof/>
            <w:sz w:val="20"/>
          </w:rPr>
          <w:t>Table 2.5: DLIs Milestones and Dates for meeting DLIs as of April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_Toc462837227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28" w:history="1">
        <w:r w:rsidRPr="00975710">
          <w:rPr>
            <w:rStyle w:val="Hyperlink"/>
            <w:rFonts w:asciiTheme="minorHAnsi" w:hAnsiTheme="minorHAnsi" w:cstheme="minorHAnsi"/>
            <w:noProof/>
            <w:sz w:val="20"/>
          </w:rPr>
          <w:t>Table 2.6: Each Child Learns: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_Toc462837228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29" w:history="1">
        <w:r w:rsidRPr="00975710">
          <w:rPr>
            <w:rStyle w:val="Hyperlink"/>
            <w:rFonts w:asciiTheme="minorHAnsi" w:hAnsiTheme="minorHAnsi" w:cstheme="minorHAnsi"/>
            <w:noProof/>
            <w:sz w:val="20"/>
          </w:rPr>
          <w:t>Table 2.7: School and Classroom Based Assessment: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_Toc462837229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30" w:history="1">
        <w:r w:rsidRPr="00975710">
          <w:rPr>
            <w:rStyle w:val="Hyperlink"/>
            <w:rFonts w:asciiTheme="minorHAnsi" w:hAnsiTheme="minorHAnsi" w:cstheme="minorHAnsi"/>
            <w:noProof/>
            <w:sz w:val="20"/>
          </w:rPr>
          <w:t>Table 2.8: Curriculum and Textbooks Strengthened: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_Toc462837230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31" w:history="1">
        <w:r w:rsidRPr="00975710">
          <w:rPr>
            <w:rStyle w:val="Hyperlink"/>
            <w:rFonts w:asciiTheme="minorHAnsi" w:hAnsiTheme="minorHAnsi" w:cstheme="minorHAnsi"/>
            <w:noProof/>
            <w:sz w:val="20"/>
          </w:rPr>
          <w:t>Table 2.9: Textbook Production and Distribution: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_Toc462837231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32" w:history="1">
        <w:r w:rsidRPr="00975710">
          <w:rPr>
            <w:rStyle w:val="Hyperlink"/>
            <w:rFonts w:asciiTheme="minorHAnsi" w:hAnsiTheme="minorHAnsi" w:cstheme="minorHAnsi"/>
            <w:noProof/>
            <w:sz w:val="20"/>
          </w:rPr>
          <w:t>Table 2.10: ICT in Education: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_Toc462837232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33" w:history="1">
        <w:r w:rsidRPr="00975710">
          <w:rPr>
            <w:rStyle w:val="Hyperlink"/>
            <w:rFonts w:asciiTheme="minorHAnsi" w:hAnsiTheme="minorHAnsi" w:cstheme="minorHAnsi"/>
            <w:noProof/>
            <w:sz w:val="20"/>
          </w:rPr>
          <w:t>Table 2.11: Teacher Education and Development: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_Toc462837233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34" w:history="1">
        <w:r w:rsidRPr="00975710">
          <w:rPr>
            <w:rStyle w:val="Hyperlink"/>
            <w:rFonts w:asciiTheme="minorHAnsi" w:hAnsiTheme="minorHAnsi" w:cstheme="minorHAnsi"/>
            <w:noProof/>
            <w:sz w:val="20"/>
          </w:rPr>
          <w:t>Table 2.12: Second Chance and Alternative Education: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_Toc462837234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35" w:history="1">
        <w:r w:rsidRPr="00975710">
          <w:rPr>
            <w:rStyle w:val="Hyperlink"/>
            <w:rFonts w:asciiTheme="minorHAnsi" w:hAnsiTheme="minorHAnsi" w:cstheme="minorHAnsi"/>
            <w:noProof/>
            <w:sz w:val="20"/>
          </w:rPr>
          <w:t>Table 2.13: Pre Primary Education (PPE):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_Toc462837235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36" w:history="1">
        <w:r w:rsidRPr="00975710">
          <w:rPr>
            <w:rStyle w:val="Hyperlink"/>
            <w:rFonts w:asciiTheme="minorHAnsi" w:hAnsiTheme="minorHAnsi" w:cstheme="minorHAnsi"/>
            <w:noProof/>
            <w:sz w:val="20"/>
          </w:rPr>
          <w:t>Table 2.14: Mainstreaming Gender and Inclusive Education (IE): Cost and Expenditure,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_Toc462837236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37" w:history="1">
        <w:r w:rsidRPr="00975710">
          <w:rPr>
            <w:rStyle w:val="Hyperlink"/>
            <w:rFonts w:asciiTheme="minorHAnsi" w:hAnsiTheme="minorHAnsi" w:cstheme="minorHAnsi"/>
            <w:noProof/>
            <w:sz w:val="20"/>
          </w:rPr>
          <w:t>Table 2.15: Education in Emergencies (EiE):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_Toc462837237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38" w:history="1">
        <w:r w:rsidRPr="00975710">
          <w:rPr>
            <w:rStyle w:val="Hyperlink"/>
            <w:rFonts w:asciiTheme="minorHAnsi" w:hAnsiTheme="minorHAnsi" w:cstheme="minorHAnsi"/>
            <w:noProof/>
            <w:sz w:val="20"/>
          </w:rPr>
          <w:t>Table 2.16: Communication and Social Mobilization: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_Toc462837238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39" w:history="1">
        <w:r w:rsidRPr="00975710">
          <w:rPr>
            <w:rStyle w:val="Hyperlink"/>
            <w:rFonts w:asciiTheme="minorHAnsi" w:hAnsiTheme="minorHAnsi" w:cstheme="minorHAnsi"/>
            <w:noProof/>
            <w:sz w:val="20"/>
          </w:rPr>
          <w:t>Table 2.17: Targeted Stipends: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_Toc462837239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40" w:history="1">
        <w:r w:rsidRPr="00975710">
          <w:rPr>
            <w:rStyle w:val="Hyperlink"/>
            <w:rFonts w:asciiTheme="minorHAnsi" w:hAnsiTheme="minorHAnsi" w:cstheme="minorHAnsi"/>
            <w:noProof/>
            <w:sz w:val="20"/>
          </w:rPr>
          <w:t>Table 2.18: School Health and School Feeding: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_Toc462837240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41" w:history="1">
        <w:r w:rsidRPr="00975710">
          <w:rPr>
            <w:rStyle w:val="Hyperlink"/>
            <w:rFonts w:asciiTheme="minorHAnsi" w:hAnsiTheme="minorHAnsi" w:cstheme="minorHAnsi"/>
            <w:noProof/>
            <w:sz w:val="20"/>
          </w:rPr>
          <w:t xml:space="preserve">Table 2.19: </w:t>
        </w:r>
        <w:r w:rsidRPr="00975710">
          <w:rPr>
            <w:rStyle w:val="Hyperlink"/>
            <w:rFonts w:asciiTheme="minorHAnsi" w:hAnsiTheme="minorHAnsi" w:cstheme="minorHAnsi"/>
            <w:i/>
            <w:iCs/>
            <w:noProof/>
            <w:sz w:val="20"/>
          </w:rPr>
          <w:t>School Environment Improvement</w:t>
        </w:r>
        <w:r w:rsidRPr="00975710">
          <w:rPr>
            <w:rStyle w:val="Hyperlink"/>
            <w:rFonts w:asciiTheme="minorHAnsi" w:hAnsiTheme="minorHAnsi" w:cstheme="minorHAnsi"/>
            <w:noProof/>
            <w:sz w:val="20"/>
          </w:rPr>
          <w:t xml:space="preserve">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_Toc462837241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42" w:history="1">
        <w:r w:rsidRPr="00975710">
          <w:rPr>
            <w:rStyle w:val="Hyperlink"/>
            <w:rFonts w:asciiTheme="minorHAnsi" w:hAnsiTheme="minorHAnsi" w:cstheme="minorHAnsi"/>
            <w:noProof/>
            <w:sz w:val="20"/>
          </w:rPr>
          <w:t>Table 2.20: Needs Based Infrastructure Development: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_Toc462837242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43" w:history="1">
        <w:r w:rsidRPr="00975710">
          <w:rPr>
            <w:rStyle w:val="Hyperlink"/>
            <w:rFonts w:asciiTheme="minorHAnsi" w:hAnsiTheme="minorHAnsi" w:cstheme="minorHAnsi"/>
            <w:noProof/>
            <w:sz w:val="20"/>
          </w:rPr>
          <w:t>Table 2.21: Field-Level Offices Strengthened: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_Toc462837243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44" w:history="1">
        <w:r w:rsidRPr="00975710">
          <w:rPr>
            <w:rStyle w:val="Hyperlink"/>
            <w:rFonts w:asciiTheme="minorHAnsi" w:hAnsiTheme="minorHAnsi" w:cstheme="minorHAnsi"/>
            <w:noProof/>
            <w:sz w:val="20"/>
          </w:rPr>
          <w:t>Table 2.22: Decentralized School Management and Governance: Cost and Expend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_Toc462837244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45" w:history="1">
        <w:r w:rsidRPr="00975710">
          <w:rPr>
            <w:rStyle w:val="Hyperlink"/>
            <w:rFonts w:asciiTheme="minorHAnsi" w:hAnsiTheme="minorHAnsi" w:cstheme="minorHAnsi"/>
            <w:noProof/>
            <w:sz w:val="20"/>
          </w:rPr>
          <w:t>Table 2.23: School Level Leadership and Development: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_Toc462837245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46" w:history="1">
        <w:r w:rsidRPr="00975710">
          <w:rPr>
            <w:rStyle w:val="Hyperlink"/>
            <w:rFonts w:asciiTheme="minorHAnsi" w:hAnsiTheme="minorHAnsi" w:cstheme="minorHAnsi"/>
            <w:noProof/>
            <w:sz w:val="20"/>
          </w:rPr>
          <w:t>Table 2.24: Organizational Review and Strengthening: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_Toc462837246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47" w:history="1">
        <w:r w:rsidRPr="00975710">
          <w:rPr>
            <w:rStyle w:val="Hyperlink"/>
            <w:rFonts w:asciiTheme="minorHAnsi" w:hAnsiTheme="minorHAnsi" w:cstheme="minorHAnsi"/>
            <w:noProof/>
            <w:sz w:val="20"/>
          </w:rPr>
          <w:t>Table 2.25: Grade 5 PECE Strengthened: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_Toc462837247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48" w:history="1">
        <w:r w:rsidRPr="00975710">
          <w:rPr>
            <w:rStyle w:val="Hyperlink"/>
            <w:rFonts w:asciiTheme="minorHAnsi" w:hAnsiTheme="minorHAnsi" w:cstheme="minorHAnsi"/>
            <w:noProof/>
            <w:sz w:val="20"/>
          </w:rPr>
          <w:t>Table 2.26: Teacher Recruitment, Promotion and Deployment: Cost and Expenditure,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_Toc462837248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49" w:history="1">
        <w:r w:rsidRPr="00975710">
          <w:rPr>
            <w:rStyle w:val="Hyperlink"/>
            <w:rFonts w:asciiTheme="minorHAnsi" w:hAnsiTheme="minorHAnsi" w:cstheme="minorHAnsi"/>
            <w:noProof/>
            <w:sz w:val="20"/>
          </w:rPr>
          <w:t>Table 2.27: Annual Primary School Census (APSC):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_Toc462837249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50" w:history="1">
        <w:r w:rsidRPr="00975710">
          <w:rPr>
            <w:rStyle w:val="Hyperlink"/>
            <w:rFonts w:asciiTheme="minorHAnsi" w:hAnsiTheme="minorHAnsi" w:cstheme="minorHAnsi"/>
            <w:noProof/>
            <w:sz w:val="20"/>
          </w:rPr>
          <w:t>Table 2.28: National Assessment of Students (NSA):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_Toc462837250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51" w:history="1">
        <w:r w:rsidRPr="00975710">
          <w:rPr>
            <w:rStyle w:val="Hyperlink"/>
            <w:rFonts w:asciiTheme="minorHAnsi" w:hAnsiTheme="minorHAnsi" w:cstheme="minorHAnsi"/>
            <w:noProof/>
            <w:sz w:val="20"/>
          </w:rPr>
          <w:t>Table 2.29: PEDP3 Management and Governance: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_Toc462837251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52" w:history="1">
        <w:r w:rsidRPr="00975710">
          <w:rPr>
            <w:rStyle w:val="Hyperlink"/>
            <w:rFonts w:asciiTheme="minorHAnsi" w:hAnsiTheme="minorHAnsi" w:cstheme="minorHAnsi"/>
            <w:noProof/>
            <w:sz w:val="20"/>
          </w:rPr>
          <w:t>Table 2.30: PEDP3 Financial Management: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_Toc462837252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49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53" w:history="1">
        <w:r w:rsidRPr="00975710">
          <w:rPr>
            <w:rStyle w:val="Hyperlink"/>
            <w:rFonts w:asciiTheme="minorHAnsi" w:hAnsiTheme="minorHAnsi" w:cstheme="minorHAnsi"/>
            <w:noProof/>
            <w:sz w:val="20"/>
          </w:rPr>
          <w:t>Table 2.31: Sector Finance: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_Toc462837253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54" w:history="1">
        <w:r w:rsidRPr="00975710">
          <w:rPr>
            <w:rStyle w:val="Hyperlink"/>
            <w:rFonts w:asciiTheme="minorHAnsi" w:hAnsiTheme="minorHAnsi" w:cstheme="minorHAnsi"/>
            <w:noProof/>
            <w:sz w:val="20"/>
          </w:rPr>
          <w:t>Table 2.32: Strengthening Monitoring Functions: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_Toc462837254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55" w:history="1">
        <w:r w:rsidRPr="00975710">
          <w:rPr>
            <w:rStyle w:val="Hyperlink"/>
            <w:rFonts w:asciiTheme="minorHAnsi" w:hAnsiTheme="minorHAnsi" w:cstheme="minorHAnsi"/>
            <w:noProof/>
            <w:sz w:val="20"/>
          </w:rPr>
          <w:t>Table 2.33: Human Resource Development: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_Toc462837255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56" w:history="1">
        <w:r w:rsidRPr="00975710">
          <w:rPr>
            <w:rStyle w:val="Hyperlink"/>
            <w:rFonts w:asciiTheme="minorHAnsi" w:hAnsiTheme="minorHAnsi" w:cstheme="minorHAnsi"/>
            <w:noProof/>
            <w:sz w:val="20"/>
          </w:rPr>
          <w:t>Table 2.34: Public-Private Partnerships (PPP): Cost and Expenditure as of June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_Toc462837256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57" w:history="1">
        <w:r w:rsidRPr="00975710">
          <w:rPr>
            <w:rStyle w:val="Hyperlink"/>
            <w:rFonts w:asciiTheme="minorHAnsi" w:hAnsiTheme="minorHAnsi" w:cstheme="minorHAnsi"/>
            <w:noProof/>
            <w:sz w:val="20"/>
          </w:rPr>
          <w:t>Table 2.35: Status of the Sub-components based on their Implementation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_Toc462837257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58" w:history="1">
        <w:r w:rsidRPr="00975710">
          <w:rPr>
            <w:rStyle w:val="Hyperlink"/>
            <w:rFonts w:asciiTheme="minorHAnsi" w:hAnsiTheme="minorHAnsi" w:cstheme="minorHAnsi"/>
            <w:noProof/>
            <w:sz w:val="20"/>
          </w:rPr>
          <w:t>Table 3.1: Key and Non-Key Performance Indicators (KPIs&amp; Non-KPIs) by PEDP3 Result Areas</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_Toc462837258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59" w:history="1">
        <w:r w:rsidRPr="00975710">
          <w:rPr>
            <w:rStyle w:val="Hyperlink"/>
            <w:rFonts w:asciiTheme="minorHAnsi" w:hAnsiTheme="minorHAnsi" w:cstheme="minorHAnsi"/>
            <w:noProof/>
            <w:sz w:val="20"/>
          </w:rPr>
          <w:t>Table 3.2: Band Distribution in Bangla Language by Grade 2013 NSA</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_Toc462837259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60" w:history="1">
        <w:r w:rsidRPr="00975710">
          <w:rPr>
            <w:rStyle w:val="Hyperlink"/>
            <w:rFonts w:asciiTheme="minorHAnsi" w:hAnsiTheme="minorHAnsi" w:cstheme="minorHAnsi"/>
            <w:noProof/>
            <w:sz w:val="20"/>
          </w:rPr>
          <w:t>Table 3.3: Band Distribution in Mathematics by Grade 2013 NSA</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_Toc462837260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61" w:history="1">
        <w:r w:rsidRPr="00975710">
          <w:rPr>
            <w:rStyle w:val="Hyperlink"/>
            <w:rFonts w:asciiTheme="minorHAnsi" w:hAnsiTheme="minorHAnsi" w:cstheme="minorHAnsi"/>
            <w:noProof/>
            <w:sz w:val="20"/>
          </w:rPr>
          <w:t xml:space="preserve">Table 3.4: </w:t>
        </w:r>
        <w:r w:rsidRPr="00975710">
          <w:rPr>
            <w:rStyle w:val="Hyperlink"/>
            <w:rFonts w:asciiTheme="minorHAnsi" w:hAnsiTheme="minorHAnsi" w:cstheme="minorHAnsi"/>
            <w:noProof/>
            <w:sz w:val="20"/>
            <w:lang w:eastAsia="ja-JP"/>
          </w:rPr>
          <w:t>Regression Analysis on Factors Correlated with Students’ Learning, NSA 2011</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_Toc462837261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62" w:history="1">
        <w:r w:rsidRPr="00975710">
          <w:rPr>
            <w:rStyle w:val="Hyperlink"/>
            <w:rFonts w:asciiTheme="minorHAnsi" w:hAnsiTheme="minorHAnsi" w:cstheme="minorHAnsi"/>
            <w:noProof/>
            <w:sz w:val="20"/>
          </w:rPr>
          <w:t>Table3.5: Results of Primary Education Completion Examination [PECE] 2009-2015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_Toc462837262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63" w:history="1">
        <w:r w:rsidRPr="00975710">
          <w:rPr>
            <w:rStyle w:val="Hyperlink"/>
            <w:rFonts w:asciiTheme="minorHAnsi" w:hAnsiTheme="minorHAnsi" w:cstheme="minorHAnsi"/>
            <w:noProof/>
            <w:sz w:val="20"/>
          </w:rPr>
          <w:t>Table 3.6: Results of Ebtedayee Education Completion Examination [EECE]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_Toc462837263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64" w:history="1">
        <w:r w:rsidRPr="00975710">
          <w:rPr>
            <w:rStyle w:val="Hyperlink"/>
            <w:rFonts w:asciiTheme="minorHAnsi" w:hAnsiTheme="minorHAnsi" w:cstheme="minorHAnsi"/>
            <w:noProof/>
            <w:sz w:val="20"/>
          </w:rPr>
          <w:t>Table 3.7: Results of Primary Education Completion Examination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_Toc462837264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65" w:history="1">
        <w:r w:rsidRPr="00975710">
          <w:rPr>
            <w:rStyle w:val="Hyperlink"/>
            <w:rFonts w:asciiTheme="minorHAnsi" w:hAnsiTheme="minorHAnsi" w:cstheme="minorHAnsi"/>
            <w:noProof/>
            <w:sz w:val="20"/>
          </w:rPr>
          <w:t>Table 3.8: Number of NFE Children appeared in the PECE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_Toc462837265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66" w:history="1">
        <w:r w:rsidRPr="00975710">
          <w:rPr>
            <w:rStyle w:val="Hyperlink"/>
            <w:rFonts w:asciiTheme="minorHAnsi" w:hAnsiTheme="minorHAnsi" w:cstheme="minorHAnsi"/>
            <w:noProof/>
            <w:sz w:val="20"/>
          </w:rPr>
          <w:t>Table 3.9 Gross and Net Intake Rate (GIR &amp; NIR) by Gender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_Toc462837266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67" w:history="1">
        <w:r w:rsidRPr="00975710">
          <w:rPr>
            <w:rStyle w:val="Hyperlink"/>
            <w:rFonts w:asciiTheme="minorHAnsi" w:hAnsiTheme="minorHAnsi" w:cstheme="minorHAnsi"/>
            <w:noProof/>
            <w:sz w:val="20"/>
          </w:rPr>
          <w:t>Table 3.10: Gross and Net Enrolment Rate (GERs and NERs) 2005 –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_Toc462837267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68" w:history="1">
        <w:r w:rsidRPr="00975710">
          <w:rPr>
            <w:rStyle w:val="Hyperlink"/>
            <w:rFonts w:asciiTheme="minorHAnsi" w:hAnsiTheme="minorHAnsi" w:cstheme="minorHAnsi"/>
            <w:noProof/>
            <w:sz w:val="20"/>
          </w:rPr>
          <w:t>Table 3.11: Primary Gross &amp; Net Attendance Rate: Slum Children Comparison</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_Toc462837268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69" w:history="1">
        <w:r w:rsidRPr="00975710">
          <w:rPr>
            <w:rStyle w:val="Hyperlink"/>
            <w:rFonts w:asciiTheme="minorHAnsi" w:hAnsiTheme="minorHAnsi" w:cstheme="minorHAnsi"/>
            <w:noProof/>
            <w:sz w:val="20"/>
          </w:rPr>
          <w:t>Table 3.12: Primary Schools in Slum Areas by School Types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_Toc462837269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70" w:history="1">
        <w:r w:rsidRPr="00975710">
          <w:rPr>
            <w:rStyle w:val="Hyperlink"/>
            <w:rFonts w:asciiTheme="minorHAnsi" w:hAnsiTheme="minorHAnsi" w:cstheme="minorHAnsi"/>
            <w:noProof/>
            <w:sz w:val="20"/>
          </w:rPr>
          <w:t>Table 3.13: Number of Institutes Providing Pre-primary Education by Type of Schools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_Toc462837270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71" w:history="1">
        <w:r w:rsidRPr="00975710">
          <w:rPr>
            <w:rStyle w:val="Hyperlink"/>
            <w:rFonts w:asciiTheme="minorHAnsi" w:hAnsiTheme="minorHAnsi" w:cstheme="minorHAnsi"/>
            <w:noProof/>
            <w:sz w:val="20"/>
          </w:rPr>
          <w:t>Table 3.14: Enrolment in Pre-primary Education (GPS and NNPS only) 2010- 2015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_Toc462837271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72" w:history="1">
        <w:r w:rsidRPr="00975710">
          <w:rPr>
            <w:rStyle w:val="Hyperlink"/>
            <w:rFonts w:asciiTheme="minorHAnsi" w:hAnsiTheme="minorHAnsi" w:cstheme="minorHAnsi"/>
            <w:noProof/>
            <w:sz w:val="20"/>
          </w:rPr>
          <w:t>Table 3.15: Grade1 Students with Pre-Primary Education (GPS &amp;NNPS)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_Toc462837272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73" w:history="1">
        <w:r w:rsidRPr="00975710">
          <w:rPr>
            <w:rStyle w:val="Hyperlink"/>
            <w:rFonts w:asciiTheme="minorHAnsi" w:hAnsiTheme="minorHAnsi" w:cstheme="minorHAnsi"/>
            <w:noProof/>
            <w:sz w:val="20"/>
          </w:rPr>
          <w:t>Table 3.16: Repetition Rate by Grade and Gender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_Toc462837273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74" w:history="1">
        <w:r w:rsidRPr="00975710">
          <w:rPr>
            <w:rStyle w:val="Hyperlink"/>
            <w:rFonts w:asciiTheme="minorHAnsi" w:hAnsiTheme="minorHAnsi" w:cstheme="minorHAnsi"/>
            <w:noProof/>
            <w:sz w:val="20"/>
          </w:rPr>
          <w:t>Table 3.17: Student Attendance Rate, Stipend and Non-Stipend Students PESP 2010</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_Toc462837274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80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75" w:history="1">
        <w:r w:rsidRPr="00975710">
          <w:rPr>
            <w:rStyle w:val="Hyperlink"/>
            <w:rFonts w:asciiTheme="minorHAnsi" w:hAnsiTheme="minorHAnsi" w:cstheme="minorHAnsi"/>
            <w:noProof/>
            <w:sz w:val="20"/>
          </w:rPr>
          <w:t>Table 3.18:NAR Range between Top and Bottom 20% Households by Consumption Quintiles</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_Toc462837275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85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76" w:history="1">
        <w:r w:rsidRPr="00975710">
          <w:rPr>
            <w:rStyle w:val="Hyperlink"/>
            <w:rFonts w:asciiTheme="minorHAnsi" w:hAnsiTheme="minorHAnsi" w:cstheme="minorHAnsi"/>
            <w:noProof/>
            <w:sz w:val="20"/>
          </w:rPr>
          <w:t>Table 3.19: Upazila Composite Index Value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_Toc462837276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86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77" w:history="1">
        <w:r w:rsidRPr="00975710">
          <w:rPr>
            <w:rStyle w:val="Hyperlink"/>
            <w:rFonts w:asciiTheme="minorHAnsi" w:hAnsiTheme="minorHAnsi" w:cstheme="minorHAnsi"/>
            <w:noProof/>
            <w:sz w:val="20"/>
          </w:rPr>
          <w:t>Table 3.20: Number of Days School is Open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_Toc462837277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91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78" w:history="1">
        <w:r w:rsidRPr="00975710">
          <w:rPr>
            <w:rStyle w:val="Hyperlink"/>
            <w:rFonts w:asciiTheme="minorHAnsi" w:hAnsiTheme="minorHAnsi" w:cstheme="minorHAnsi"/>
            <w:noProof/>
            <w:sz w:val="20"/>
          </w:rPr>
          <w:t>Table 3.21: Contact Hours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_Toc462837278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92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79" w:history="1">
        <w:r w:rsidRPr="00975710">
          <w:rPr>
            <w:rStyle w:val="Hyperlink"/>
            <w:rFonts w:asciiTheme="minorHAnsi" w:hAnsiTheme="minorHAnsi" w:cstheme="minorHAnsi"/>
            <w:noProof/>
            <w:sz w:val="20"/>
          </w:rPr>
          <w:t>Table 3.22: Type and Number of Decentralized Functions</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_Toc462837279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94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80" w:history="1">
        <w:r w:rsidRPr="00975710">
          <w:rPr>
            <w:rStyle w:val="Hyperlink"/>
            <w:rFonts w:asciiTheme="minorHAnsi" w:hAnsiTheme="minorHAnsi" w:cstheme="minorHAnsi"/>
            <w:noProof/>
            <w:sz w:val="20"/>
          </w:rPr>
          <w:t>Table 3.23: PEDP3 Component Estimated Costs and Original Budget 2015/16 in Lac Taka</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_Toc462837280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96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81" w:history="1">
        <w:r w:rsidRPr="00975710">
          <w:rPr>
            <w:rStyle w:val="Hyperlink"/>
            <w:rFonts w:asciiTheme="minorHAnsi" w:hAnsiTheme="minorHAnsi" w:cstheme="minorHAnsi"/>
            <w:noProof/>
            <w:sz w:val="20"/>
          </w:rPr>
          <w:t>Table 3.24: Block Grant Budget FY 2015-16</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_Toc462837281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97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82" w:history="1">
        <w:r w:rsidRPr="00975710">
          <w:rPr>
            <w:rStyle w:val="Hyperlink"/>
            <w:rFonts w:asciiTheme="minorHAnsi" w:hAnsiTheme="minorHAnsi" w:cstheme="minorHAnsi"/>
            <w:noProof/>
            <w:sz w:val="20"/>
          </w:rPr>
          <w:t>Table 3.25: Block Grant Budget and Expenditures FY 2015-16</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_Toc462837282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98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83" w:history="1">
        <w:r w:rsidRPr="00975710">
          <w:rPr>
            <w:rStyle w:val="Hyperlink"/>
            <w:rFonts w:asciiTheme="minorHAnsi" w:hAnsiTheme="minorHAnsi" w:cstheme="minorHAnsi"/>
            <w:noProof/>
            <w:sz w:val="20"/>
          </w:rPr>
          <w:t>Table 3.26: Sanctioned and Vacant Post of DPE staff as of March 2016</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_Toc462837283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99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84" w:history="1">
        <w:r w:rsidRPr="00975710">
          <w:rPr>
            <w:rStyle w:val="Hyperlink"/>
            <w:rFonts w:asciiTheme="minorHAnsi" w:hAnsiTheme="minorHAnsi" w:cstheme="minorHAnsi"/>
            <w:noProof/>
            <w:sz w:val="20"/>
          </w:rPr>
          <w:t>Table 3.27: Primary Cycle Completion Rate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_Toc462837284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85" w:history="1">
        <w:r w:rsidRPr="00975710">
          <w:rPr>
            <w:rStyle w:val="Hyperlink"/>
            <w:rFonts w:asciiTheme="minorHAnsi" w:hAnsiTheme="minorHAnsi" w:cstheme="minorHAnsi"/>
            <w:noProof/>
            <w:sz w:val="20"/>
          </w:rPr>
          <w:t>Table 3.28: Primary Cycle Dropout Rate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_Toc462837285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86" w:history="1">
        <w:r w:rsidRPr="00975710">
          <w:rPr>
            <w:rStyle w:val="Hyperlink"/>
            <w:rFonts w:asciiTheme="minorHAnsi" w:hAnsiTheme="minorHAnsi" w:cstheme="minorHAnsi"/>
            <w:noProof/>
            <w:sz w:val="20"/>
          </w:rPr>
          <w:t>Table 3.29: Primary Cycle Dropout Rate by Grade and Gender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_Toc462837286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87" w:history="1">
        <w:r w:rsidRPr="00975710">
          <w:rPr>
            <w:rStyle w:val="Hyperlink"/>
            <w:rFonts w:asciiTheme="minorHAnsi" w:hAnsiTheme="minorHAnsi" w:cstheme="minorHAnsi"/>
            <w:noProof/>
            <w:sz w:val="20"/>
          </w:rPr>
          <w:t>Table 3.30: Comparisons between APSC, MICS and CAPME Data</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_Toc462837287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88" w:history="1">
        <w:r w:rsidRPr="00975710">
          <w:rPr>
            <w:rStyle w:val="Hyperlink"/>
            <w:rFonts w:asciiTheme="minorHAnsi" w:hAnsiTheme="minorHAnsi" w:cstheme="minorHAnsi"/>
            <w:noProof/>
            <w:sz w:val="20"/>
          </w:rPr>
          <w:t>Table 3.31: Internal Efficiency Indicators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_Toc462837288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89" w:history="1">
        <w:r w:rsidRPr="00975710">
          <w:rPr>
            <w:rStyle w:val="Hyperlink"/>
            <w:rFonts w:asciiTheme="minorHAnsi" w:hAnsiTheme="minorHAnsi" w:cstheme="minorHAnsi"/>
            <w:noProof/>
            <w:sz w:val="20"/>
          </w:rPr>
          <w:t>Table 3.32: Percentage of All Schools that Met 3 out of 4 PSQLs by School Type,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_Toc462837289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90" w:history="1">
        <w:r w:rsidRPr="00975710">
          <w:rPr>
            <w:rStyle w:val="Hyperlink"/>
            <w:rFonts w:asciiTheme="minorHAnsi" w:hAnsiTheme="minorHAnsi" w:cstheme="minorHAnsi"/>
            <w:noProof/>
            <w:sz w:val="20"/>
          </w:rPr>
          <w:t>Table 3.33: Gross Completion rate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_Toc462837290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91" w:history="1">
        <w:r w:rsidRPr="00975710">
          <w:rPr>
            <w:rStyle w:val="Hyperlink"/>
            <w:rFonts w:asciiTheme="minorHAnsi" w:hAnsiTheme="minorHAnsi" w:cstheme="minorHAnsi"/>
            <w:noProof/>
            <w:sz w:val="20"/>
          </w:rPr>
          <w:t>Table 3.34: Public Education Expenditure as Percentage of GDP &amp; Total Expenditure 2010-15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_Toc462837291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92" w:history="1">
        <w:r w:rsidRPr="00975710">
          <w:rPr>
            <w:rStyle w:val="Hyperlink"/>
            <w:rFonts w:asciiTheme="minorHAnsi" w:hAnsiTheme="minorHAnsi" w:cstheme="minorHAnsi"/>
            <w:noProof/>
            <w:sz w:val="20"/>
          </w:rPr>
          <w:t>Table 4.1: PSQL Indicators by Thematic Areas</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_Toc462837292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93" w:history="1">
        <w:r w:rsidRPr="00975710">
          <w:rPr>
            <w:rStyle w:val="Hyperlink"/>
            <w:rFonts w:asciiTheme="minorHAnsi" w:hAnsiTheme="minorHAnsi" w:cstheme="minorHAnsi"/>
            <w:noProof/>
            <w:sz w:val="20"/>
          </w:rPr>
          <w:t>Table 4.2: Percentage of Schools Receiving Textbook Delivery by Division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_Toc462837293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94" w:history="1">
        <w:r w:rsidRPr="00975710">
          <w:rPr>
            <w:rStyle w:val="Hyperlink"/>
            <w:rFonts w:asciiTheme="minorHAnsi" w:hAnsiTheme="minorHAnsi" w:cstheme="minorHAnsi"/>
            <w:noProof/>
            <w:sz w:val="20"/>
          </w:rPr>
          <w:t>Table 4.3: Textbooks Demand and Supply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_Toc462837294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95" w:history="1">
        <w:r w:rsidRPr="00975710">
          <w:rPr>
            <w:rStyle w:val="Hyperlink"/>
            <w:rFonts w:asciiTheme="minorHAnsi" w:hAnsiTheme="minorHAnsi" w:cstheme="minorHAnsi"/>
            <w:noProof/>
            <w:sz w:val="20"/>
          </w:rPr>
          <w:t>Table 4.4:  Schools (GPS and NNPS) Which Meet the Students-per-Teacher Standard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_Toc462837295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96" w:history="1">
        <w:r w:rsidRPr="00975710">
          <w:rPr>
            <w:rStyle w:val="Hyperlink"/>
            <w:rFonts w:asciiTheme="minorHAnsi" w:hAnsiTheme="minorHAnsi" w:cstheme="minorHAnsi"/>
            <w:noProof/>
            <w:sz w:val="20"/>
          </w:rPr>
          <w:t>Table 4.5: Existing Number of Teachers in GPS and NNPS as of February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_Toc462837296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97" w:history="1">
        <w:r w:rsidRPr="00975710">
          <w:rPr>
            <w:rStyle w:val="Hyperlink"/>
            <w:rFonts w:asciiTheme="minorHAnsi" w:hAnsiTheme="minorHAnsi" w:cstheme="minorHAnsi"/>
            <w:noProof/>
            <w:sz w:val="20"/>
          </w:rPr>
          <w:t xml:space="preserve">Table 4.6:  </w:t>
        </w:r>
        <w:r w:rsidRPr="00975710">
          <w:rPr>
            <w:rStyle w:val="Hyperlink"/>
            <w:rFonts w:asciiTheme="minorHAnsi" w:eastAsia="Calibri" w:hAnsiTheme="minorHAnsi" w:cstheme="minorHAnsi"/>
            <w:noProof/>
            <w:sz w:val="20"/>
          </w:rPr>
          <w:t>Percentage of schools (GPS) with pre-primary classes 2010-15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_Toc462837297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98" w:history="1">
        <w:r w:rsidRPr="00975710">
          <w:rPr>
            <w:rStyle w:val="Hyperlink"/>
            <w:rFonts w:asciiTheme="minorHAnsi" w:hAnsiTheme="minorHAnsi" w:cstheme="minorHAnsi"/>
            <w:noProof/>
            <w:sz w:val="20"/>
          </w:rPr>
          <w:t>Table 4.7:  Number of Enrolled Children with Special Needs in GPS and NNPS,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_Toc462837298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299" w:history="1">
        <w:r w:rsidRPr="00975710">
          <w:rPr>
            <w:rStyle w:val="Hyperlink"/>
            <w:rFonts w:asciiTheme="minorHAnsi" w:hAnsiTheme="minorHAnsi" w:cstheme="minorHAnsi"/>
            <w:noProof/>
            <w:sz w:val="20"/>
          </w:rPr>
          <w:t>Table 4.8:</w:t>
        </w:r>
        <w:r w:rsidRPr="00975710">
          <w:rPr>
            <w:rStyle w:val="Hyperlink"/>
            <w:rFonts w:asciiTheme="minorHAnsi" w:hAnsiTheme="minorHAnsi" w:cstheme="minorHAnsi"/>
            <w:bCs/>
            <w:noProof/>
            <w:sz w:val="20"/>
          </w:rPr>
          <w:t xml:space="preserve"> Year wise Enrolment of Special Need Children by Gender 2005- 2015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_Toc462837299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00" w:history="1">
        <w:r w:rsidRPr="00975710">
          <w:rPr>
            <w:rStyle w:val="Hyperlink"/>
            <w:rFonts w:asciiTheme="minorHAnsi" w:hAnsiTheme="minorHAnsi" w:cstheme="minorHAnsi"/>
            <w:noProof/>
            <w:sz w:val="20"/>
          </w:rPr>
          <w:t>Table 4.9:  Water Supply (GPS and NNPS) 2010-15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_Toc462837300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132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01" w:history="1">
        <w:r w:rsidRPr="00975710">
          <w:rPr>
            <w:rStyle w:val="Hyperlink"/>
            <w:rFonts w:asciiTheme="minorHAnsi" w:hAnsiTheme="minorHAnsi" w:cstheme="minorHAnsi"/>
            <w:noProof/>
            <w:sz w:val="20"/>
          </w:rPr>
          <w:t>Table 4.10: Schools (GPS and NNPS) which Meet the Students-per-Classroom Standard (40:1)</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_Toc462837301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133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02" w:history="1">
        <w:r w:rsidRPr="00975710">
          <w:rPr>
            <w:rStyle w:val="Hyperlink"/>
            <w:rFonts w:asciiTheme="minorHAnsi" w:hAnsiTheme="minorHAnsi" w:cstheme="minorHAnsi"/>
            <w:noProof/>
            <w:sz w:val="20"/>
          </w:rPr>
          <w:t>Table 4.11: Classroom (GPS and NNPS) Conditions 2012-13 and 2014-15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_Toc462837302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137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03" w:history="1">
        <w:r w:rsidRPr="00975710">
          <w:rPr>
            <w:rStyle w:val="Hyperlink"/>
            <w:rFonts w:asciiTheme="minorHAnsi" w:hAnsiTheme="minorHAnsi" w:cstheme="minorHAnsi"/>
            <w:noProof/>
            <w:sz w:val="20"/>
          </w:rPr>
          <w:t>Table 5.1: Planned Activities in 2015/16 AOP</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_Toc462837303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142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04" w:history="1">
        <w:r w:rsidRPr="00975710">
          <w:rPr>
            <w:rStyle w:val="Hyperlink"/>
            <w:rFonts w:asciiTheme="minorHAnsi" w:hAnsiTheme="minorHAnsi" w:cstheme="minorHAnsi"/>
            <w:noProof/>
            <w:sz w:val="20"/>
          </w:rPr>
          <w:t>Table 6.1: Assistance of Development Partners in PEDP3</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_Toc462837304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147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05" w:history="1">
        <w:r w:rsidRPr="00975710">
          <w:rPr>
            <w:rStyle w:val="Hyperlink"/>
            <w:rFonts w:asciiTheme="minorHAnsi" w:hAnsiTheme="minorHAnsi" w:cstheme="minorHAnsi"/>
            <w:noProof/>
            <w:sz w:val="20"/>
          </w:rPr>
          <w:t>Table 6.2: Comparison between PEDP3 Original and Revised Cost 2011-16/17</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_Toc462837305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148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06" w:history="1">
        <w:r w:rsidRPr="00975710">
          <w:rPr>
            <w:rStyle w:val="Hyperlink"/>
            <w:rFonts w:asciiTheme="minorHAnsi" w:hAnsiTheme="minorHAnsi" w:cstheme="minorHAnsi"/>
            <w:noProof/>
            <w:sz w:val="20"/>
          </w:rPr>
          <w:t>Table 6.3:  Education Budget Overview:  Five Year Trend</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_Toc462837306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149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07" w:history="1">
        <w:r w:rsidRPr="00975710">
          <w:rPr>
            <w:rStyle w:val="Hyperlink"/>
            <w:rFonts w:asciiTheme="minorHAnsi" w:hAnsiTheme="minorHAnsi" w:cstheme="minorHAnsi"/>
            <w:noProof/>
            <w:sz w:val="20"/>
          </w:rPr>
          <w:t>Table 6.4: MoPME Budget and MTBF 2010-16</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_Toc462837307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149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08" w:history="1">
        <w:r w:rsidRPr="00975710">
          <w:rPr>
            <w:rStyle w:val="Hyperlink"/>
            <w:rFonts w:asciiTheme="minorHAnsi" w:hAnsiTheme="minorHAnsi" w:cstheme="minorHAnsi"/>
            <w:noProof/>
            <w:sz w:val="20"/>
          </w:rPr>
          <w:t>Table 6.5:  Comparison of MoPME original and revised budget 2012/13to 2014/15 and 2015-16</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_Toc462837308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151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09" w:history="1">
        <w:r w:rsidRPr="00975710">
          <w:rPr>
            <w:rStyle w:val="Hyperlink"/>
            <w:rFonts w:asciiTheme="minorHAnsi" w:hAnsiTheme="minorHAnsi" w:cstheme="minorHAnsi"/>
            <w:noProof/>
            <w:sz w:val="20"/>
          </w:rPr>
          <w:t>Table 6.6:  MoPME Budget Execution Rates for 2011/12 - 2015/16 (%)</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_Toc462837309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151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10" w:history="1">
        <w:r w:rsidRPr="00975710">
          <w:rPr>
            <w:rStyle w:val="Hyperlink"/>
            <w:rFonts w:asciiTheme="minorHAnsi" w:hAnsiTheme="minorHAnsi" w:cstheme="minorHAnsi"/>
            <w:noProof/>
            <w:sz w:val="20"/>
          </w:rPr>
          <w:t>Table 6.7:  PEDP3 component budget and expenditure FY 2012/13- 2014/15 and Disbursement 2015/16 as of March 2016</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_Toc462837310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152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11" w:history="1">
        <w:r w:rsidRPr="00975710">
          <w:rPr>
            <w:rStyle w:val="Hyperlink"/>
            <w:rFonts w:asciiTheme="minorHAnsi" w:hAnsiTheme="minorHAnsi" w:cstheme="minorHAnsi"/>
            <w:noProof/>
            <w:sz w:val="20"/>
          </w:rPr>
          <w:t>Table 6.8:  PEDP3 Component Budget Revision and Execution Rate FY 2014/15 (%)</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_Toc462837311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153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12" w:history="1">
        <w:r w:rsidRPr="00975710">
          <w:rPr>
            <w:rStyle w:val="Hyperlink"/>
            <w:rFonts w:asciiTheme="minorHAnsi" w:hAnsiTheme="minorHAnsi" w:cstheme="minorHAnsi"/>
            <w:noProof/>
            <w:sz w:val="20"/>
          </w:rPr>
          <w:t>Table 6.9: Discrete Projects Financing Sources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_Toc462837312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154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13" w:history="1">
        <w:r w:rsidRPr="00975710">
          <w:rPr>
            <w:rStyle w:val="Hyperlink"/>
            <w:rFonts w:asciiTheme="minorHAnsi" w:hAnsiTheme="minorHAnsi" w:cstheme="minorHAnsi"/>
            <w:noProof/>
            <w:sz w:val="20"/>
          </w:rPr>
          <w:t>Table 6.10: Discrete Projects by PEDP3 Result Areas:</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_Toc462837313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155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314" w:history="1">
        <w:r w:rsidRPr="00975710">
          <w:rPr>
            <w:rStyle w:val="Hyperlink"/>
            <w:rFonts w:asciiTheme="minorHAnsi" w:hAnsiTheme="minorHAnsi" w:cstheme="minorHAnsi"/>
            <w:noProof/>
            <w:sz w:val="20"/>
          </w:rPr>
          <w:t>Table 6.11 Discrete Projects managed by BNFE</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_Toc462837314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155</w:t>
        </w:r>
        <w:r w:rsidRPr="00975710">
          <w:rPr>
            <w:rFonts w:asciiTheme="minorHAnsi" w:hAnsiTheme="minorHAnsi" w:cstheme="minorHAnsi"/>
            <w:noProof/>
            <w:webHidden/>
            <w:sz w:val="20"/>
          </w:rPr>
          <w:fldChar w:fldCharType="end"/>
        </w:r>
      </w:hyperlink>
    </w:p>
    <w:p w:rsidR="00975710" w:rsidRDefault="00975710" w:rsidP="00975710">
      <w:pPr>
        <w:pStyle w:val="TableofFigures"/>
        <w:tabs>
          <w:tab w:val="right" w:leader="dot" w:pos="9019"/>
        </w:tabs>
        <w:spacing w:after="0" w:line="276" w:lineRule="auto"/>
        <w:rPr>
          <w:rFonts w:asciiTheme="minorHAnsi" w:eastAsiaTheme="minorEastAsia" w:hAnsiTheme="minorHAnsi" w:cstheme="minorBidi"/>
          <w:smallCaps w:val="0"/>
          <w:noProof/>
          <w:sz w:val="22"/>
          <w:szCs w:val="22"/>
          <w:lang w:eastAsia="en-US"/>
        </w:rPr>
      </w:pPr>
      <w:hyperlink w:anchor="_Toc462837315" w:history="1">
        <w:r w:rsidRPr="00975710">
          <w:rPr>
            <w:rStyle w:val="Hyperlink"/>
            <w:rFonts w:asciiTheme="minorHAnsi" w:hAnsiTheme="minorHAnsi" w:cstheme="minorHAnsi"/>
            <w:noProof/>
            <w:sz w:val="20"/>
          </w:rPr>
          <w:t>Table 6.12: Budget Trend of Primary Education Discrete Projects 2011/12 – 2015/16</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_Toc462837315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157</w:t>
        </w:r>
        <w:r w:rsidRPr="00975710">
          <w:rPr>
            <w:rFonts w:asciiTheme="minorHAnsi" w:hAnsiTheme="minorHAnsi" w:cstheme="minorHAnsi"/>
            <w:noProof/>
            <w:webHidden/>
            <w:sz w:val="20"/>
          </w:rPr>
          <w:fldChar w:fldCharType="end"/>
        </w:r>
      </w:hyperlink>
    </w:p>
    <w:p w:rsidR="00E1354E" w:rsidRPr="00E1354E" w:rsidRDefault="002E2ED5" w:rsidP="00E1354E">
      <w:pPr>
        <w:pStyle w:val="NoSpacing"/>
        <w:spacing w:line="276" w:lineRule="auto"/>
        <w:rPr>
          <w:rFonts w:asciiTheme="minorHAnsi" w:hAnsiTheme="minorHAnsi" w:cstheme="minorHAnsi"/>
          <w:color w:val="FF0000"/>
        </w:rPr>
      </w:pPr>
      <w:r w:rsidRPr="005F120D">
        <w:rPr>
          <w:rFonts w:asciiTheme="minorHAnsi" w:hAnsiTheme="minorHAnsi" w:cstheme="minorHAnsi"/>
          <w:b/>
          <w:color w:val="FF0000"/>
          <w:sz w:val="17"/>
          <w:szCs w:val="17"/>
        </w:rPr>
        <w:fldChar w:fldCharType="end"/>
      </w:r>
    </w:p>
    <w:p w:rsidR="006E7F3D" w:rsidRPr="00E1354E" w:rsidRDefault="00FF77D5" w:rsidP="00E1354E">
      <w:pPr>
        <w:pStyle w:val="Heading1NONUM"/>
        <w:spacing w:line="276" w:lineRule="auto"/>
        <w:jc w:val="center"/>
        <w:rPr>
          <w:rFonts w:cstheme="minorHAnsi"/>
          <w:color w:val="006600"/>
        </w:rPr>
      </w:pPr>
      <w:bookmarkStart w:id="9" w:name="_Toc462837167"/>
      <w:r w:rsidRPr="005F120D">
        <w:rPr>
          <w:rFonts w:cstheme="minorHAnsi"/>
          <w:color w:val="006600"/>
        </w:rPr>
        <w:t>List of Figures</w:t>
      </w:r>
      <w:bookmarkEnd w:id="9"/>
    </w:p>
    <w:p w:rsidR="00975710" w:rsidRPr="00975710" w:rsidRDefault="002E2ED5"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r w:rsidRPr="002E2ED5">
        <w:rPr>
          <w:rFonts w:asciiTheme="minorHAnsi" w:hAnsiTheme="minorHAnsi" w:cstheme="minorHAnsi"/>
          <w:color w:val="FF0000"/>
          <w:sz w:val="20"/>
        </w:rPr>
        <w:fldChar w:fldCharType="begin"/>
      </w:r>
      <w:r w:rsidR="00E57133" w:rsidRPr="005F120D">
        <w:rPr>
          <w:rFonts w:asciiTheme="minorHAnsi" w:hAnsiTheme="minorHAnsi" w:cstheme="minorHAnsi"/>
          <w:color w:val="FF0000"/>
          <w:sz w:val="20"/>
        </w:rPr>
        <w:instrText xml:space="preserve"> TOC \h \z \c "Figure" </w:instrText>
      </w:r>
      <w:r w:rsidRPr="002E2ED5">
        <w:rPr>
          <w:rFonts w:asciiTheme="minorHAnsi" w:hAnsiTheme="minorHAnsi" w:cstheme="minorHAnsi"/>
          <w:color w:val="FF0000"/>
          <w:sz w:val="20"/>
        </w:rPr>
        <w:fldChar w:fldCharType="separate"/>
      </w:r>
      <w:hyperlink w:anchor="_Toc462837402" w:history="1">
        <w:r w:rsidR="00975710" w:rsidRPr="00975710">
          <w:rPr>
            <w:rStyle w:val="Hyperlink"/>
            <w:rFonts w:asciiTheme="minorHAnsi" w:hAnsiTheme="minorHAnsi" w:cstheme="minorHAnsi"/>
            <w:noProof/>
            <w:sz w:val="20"/>
          </w:rPr>
          <w:t>Figure 1.1:Percentage of Primary Level Educational Institutes by Type 2015</w:t>
        </w:r>
        <w:r w:rsidR="00975710" w:rsidRPr="00975710">
          <w:rPr>
            <w:rFonts w:asciiTheme="minorHAnsi" w:hAnsiTheme="minorHAnsi" w:cstheme="minorHAnsi"/>
            <w:noProof/>
            <w:webHidden/>
            <w:sz w:val="20"/>
          </w:rPr>
          <w:tab/>
        </w:r>
        <w:r w:rsidR="00975710" w:rsidRPr="00975710">
          <w:rPr>
            <w:rFonts w:asciiTheme="minorHAnsi" w:hAnsiTheme="minorHAnsi" w:cstheme="minorHAnsi"/>
            <w:noProof/>
            <w:webHidden/>
            <w:sz w:val="20"/>
          </w:rPr>
          <w:fldChar w:fldCharType="begin"/>
        </w:r>
        <w:r w:rsidR="00975710" w:rsidRPr="00975710">
          <w:rPr>
            <w:rFonts w:asciiTheme="minorHAnsi" w:hAnsiTheme="minorHAnsi" w:cstheme="minorHAnsi"/>
            <w:noProof/>
            <w:webHidden/>
            <w:sz w:val="20"/>
          </w:rPr>
          <w:instrText xml:space="preserve"> PAGEREF _Toc462837402 \h </w:instrText>
        </w:r>
        <w:r w:rsidR="00975710" w:rsidRPr="00975710">
          <w:rPr>
            <w:rFonts w:asciiTheme="minorHAnsi" w:hAnsiTheme="minorHAnsi" w:cstheme="minorHAnsi"/>
            <w:noProof/>
            <w:webHidden/>
            <w:sz w:val="20"/>
          </w:rPr>
        </w:r>
        <w:r w:rsidR="00975710" w:rsidRPr="00975710">
          <w:rPr>
            <w:rFonts w:asciiTheme="minorHAnsi" w:hAnsiTheme="minorHAnsi" w:cstheme="minorHAnsi"/>
            <w:noProof/>
            <w:webHidden/>
            <w:sz w:val="20"/>
          </w:rPr>
          <w:fldChar w:fldCharType="separate"/>
        </w:r>
        <w:r w:rsidR="00975710" w:rsidRPr="00975710">
          <w:rPr>
            <w:rFonts w:asciiTheme="minorHAnsi" w:hAnsiTheme="minorHAnsi" w:cstheme="minorHAnsi"/>
            <w:noProof/>
            <w:webHidden/>
            <w:sz w:val="20"/>
          </w:rPr>
          <w:t>29</w:t>
        </w:r>
        <w:r w:rsidR="00975710"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03" w:history="1">
        <w:r w:rsidRPr="00975710">
          <w:rPr>
            <w:rStyle w:val="Hyperlink"/>
            <w:rFonts w:asciiTheme="minorHAnsi" w:hAnsiTheme="minorHAnsi" w:cstheme="minorHAnsi"/>
            <w:noProof/>
            <w:sz w:val="20"/>
          </w:rPr>
          <w:t>Figure 1.2: Percentage of Others Types of Schools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_Toc462837403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29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04" w:history="1">
        <w:r w:rsidRPr="00975710">
          <w:rPr>
            <w:rStyle w:val="Hyperlink"/>
            <w:rFonts w:asciiTheme="minorHAnsi" w:hAnsiTheme="minorHAnsi" w:cstheme="minorHAnsi"/>
            <w:noProof/>
            <w:sz w:val="20"/>
          </w:rPr>
          <w:t>Figure 1.3: Percentage of Primary Level Institutes Managed by GoB Ministries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_Toc462837404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05" w:history="1">
        <w:r w:rsidRPr="00975710">
          <w:rPr>
            <w:rStyle w:val="Hyperlink"/>
            <w:rFonts w:asciiTheme="minorHAnsi" w:hAnsiTheme="minorHAnsi" w:cstheme="minorHAnsi"/>
            <w:noProof/>
            <w:sz w:val="20"/>
          </w:rPr>
          <w:t>Figure 1.4: Percentage of Primary Level Teachers Managed by GoB Ministries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_Toc462837405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06" w:history="1">
        <w:r w:rsidRPr="00975710">
          <w:rPr>
            <w:rStyle w:val="Hyperlink"/>
            <w:rFonts w:asciiTheme="minorHAnsi" w:hAnsiTheme="minorHAnsi" w:cstheme="minorHAnsi"/>
            <w:noProof/>
            <w:sz w:val="20"/>
          </w:rPr>
          <w:t>Figure 1.5: Percentage of Students Managed by GoB Ministries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_Toc462837406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07" w:history="1">
        <w:r w:rsidRPr="00975710">
          <w:rPr>
            <w:rStyle w:val="Hyperlink"/>
            <w:rFonts w:asciiTheme="minorHAnsi" w:hAnsiTheme="minorHAnsi" w:cstheme="minorHAnsi"/>
            <w:noProof/>
            <w:sz w:val="20"/>
          </w:rPr>
          <w:t>Figure 1.6:Percentage of Schools Located in the Geographical areas2015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_Toc462837407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08" w:history="1">
        <w:r w:rsidRPr="00975710">
          <w:rPr>
            <w:rStyle w:val="Hyperlink"/>
            <w:rFonts w:asciiTheme="minorHAnsi" w:hAnsiTheme="minorHAnsi" w:cstheme="minorHAnsi"/>
            <w:noProof/>
            <w:sz w:val="20"/>
          </w:rPr>
          <w:t>Figure 1.7: Number of School Located in Geographical areas (excluding plain land schools)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_Toc462837408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09" w:history="1">
        <w:r w:rsidRPr="00975710">
          <w:rPr>
            <w:rStyle w:val="Hyperlink"/>
            <w:rFonts w:asciiTheme="minorHAnsi" w:hAnsiTheme="minorHAnsi" w:cstheme="minorHAnsi"/>
            <w:noProof/>
            <w:sz w:val="20"/>
          </w:rPr>
          <w:t>Figure 1.8: Comparison of APSC and PECE Institutional Coverage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_Toc462837409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34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10" w:history="1">
        <w:r w:rsidRPr="00975710">
          <w:rPr>
            <w:rStyle w:val="Hyperlink"/>
            <w:rFonts w:asciiTheme="minorHAnsi" w:hAnsiTheme="minorHAnsi" w:cstheme="minorHAnsi"/>
            <w:noProof/>
            <w:sz w:val="20"/>
          </w:rPr>
          <w:t>Figure 3.1: Percentage of Students in Bands for Grade 3 and 5 Bangla 2011 and 2013</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_Toc462837410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11" w:history="1">
        <w:r w:rsidRPr="00975710">
          <w:rPr>
            <w:rStyle w:val="Hyperlink"/>
            <w:rFonts w:asciiTheme="minorHAnsi" w:hAnsiTheme="minorHAnsi" w:cstheme="minorHAnsi"/>
            <w:noProof/>
            <w:sz w:val="20"/>
          </w:rPr>
          <w:t>Figure 3.2: Percentage of Students in Bands for Grade 3 and 5 Mathematics 2011 &amp; 2013</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_Toc462837411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56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12" w:history="1">
        <w:r w:rsidRPr="00975710">
          <w:rPr>
            <w:rStyle w:val="Hyperlink"/>
            <w:rFonts w:asciiTheme="minorHAnsi" w:hAnsiTheme="minorHAnsi" w:cstheme="minorHAnsi"/>
            <w:noProof/>
            <w:sz w:val="20"/>
          </w:rPr>
          <w:t>Figure 3.3: Mean No. and Trend of Competencies achieved by School Type 2000, 2008 and 2014</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_Toc462837412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13" w:history="1">
        <w:r w:rsidRPr="00975710">
          <w:rPr>
            <w:rStyle w:val="Hyperlink"/>
            <w:rFonts w:asciiTheme="minorHAnsi" w:hAnsiTheme="minorHAnsi" w:cstheme="minorHAnsi"/>
            <w:noProof/>
            <w:sz w:val="20"/>
          </w:rPr>
          <w:t>Figure 3.4: PECE and EECE Pass Rate by Type of schools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_Toc462837413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14" w:history="1">
        <w:r w:rsidRPr="00975710">
          <w:rPr>
            <w:rStyle w:val="Hyperlink"/>
            <w:rFonts w:asciiTheme="minorHAnsi" w:hAnsiTheme="minorHAnsi" w:cstheme="minorHAnsi"/>
            <w:noProof/>
            <w:sz w:val="20"/>
          </w:rPr>
          <w:t>Figure 3.5: PECE Pass Rate among Eligible Students by Upazila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_Toc462837414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15" w:history="1">
        <w:r w:rsidRPr="00975710">
          <w:rPr>
            <w:rStyle w:val="Hyperlink"/>
            <w:rFonts w:asciiTheme="minorHAnsi" w:hAnsiTheme="minorHAnsi" w:cstheme="minorHAnsi"/>
            <w:noProof/>
            <w:sz w:val="20"/>
          </w:rPr>
          <w:t>Figure 3.6: Number of Children from NFE institutes taking PECE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_Toc462837415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16" w:history="1">
        <w:r w:rsidRPr="00975710">
          <w:rPr>
            <w:rStyle w:val="Hyperlink"/>
            <w:rFonts w:asciiTheme="minorHAnsi" w:hAnsiTheme="minorHAnsi" w:cstheme="minorHAnsi"/>
            <w:noProof/>
            <w:sz w:val="20"/>
          </w:rPr>
          <w:t>Figure 3.7: Primary Enrolment and Population Cohort 2005–2015 (in millions)</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_Toc462837416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17" w:history="1">
        <w:r w:rsidRPr="00975710">
          <w:rPr>
            <w:rStyle w:val="Hyperlink"/>
            <w:rFonts w:asciiTheme="minorHAnsi" w:hAnsiTheme="minorHAnsi" w:cstheme="minorHAnsi"/>
            <w:noProof/>
            <w:sz w:val="20"/>
          </w:rPr>
          <w:t>Figure 3.8: Gross Intake Rate by Gender (GIR) 2005, 2010 - 2015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_Toc462837417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18" w:history="1">
        <w:r w:rsidRPr="00975710">
          <w:rPr>
            <w:rStyle w:val="Hyperlink"/>
            <w:rFonts w:asciiTheme="minorHAnsi" w:hAnsiTheme="minorHAnsi" w:cstheme="minorHAnsi"/>
            <w:noProof/>
            <w:sz w:val="20"/>
          </w:rPr>
          <w:t>Figure 3.9: Net Intake Rate by Gender (NIR) 2005, 2010 -2015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_Toc462837418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69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19" w:history="1">
        <w:r w:rsidRPr="00975710">
          <w:rPr>
            <w:rStyle w:val="Hyperlink"/>
            <w:rFonts w:asciiTheme="minorHAnsi" w:hAnsiTheme="minorHAnsi" w:cstheme="minorHAnsi"/>
            <w:noProof/>
            <w:sz w:val="20"/>
          </w:rPr>
          <w:t>Figure 3.10: Primary Education: Gross and Net Enrolment Rate by Gender2005, 2010- 2015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_Toc462837419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20" w:history="1">
        <w:r w:rsidRPr="00975710">
          <w:rPr>
            <w:rStyle w:val="Hyperlink"/>
            <w:rFonts w:asciiTheme="minorHAnsi" w:hAnsiTheme="minorHAnsi" w:cstheme="minorHAnsi"/>
            <w:noProof/>
            <w:sz w:val="20"/>
          </w:rPr>
          <w:t>Figure 3.11: Children aged 6-10 Years by Education Status, Household Surveys in Different Years</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_Toc462837420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21" w:history="1">
        <w:r w:rsidRPr="00975710">
          <w:rPr>
            <w:rStyle w:val="Hyperlink"/>
            <w:rFonts w:asciiTheme="minorHAnsi" w:hAnsiTheme="minorHAnsi" w:cstheme="minorHAnsi"/>
            <w:noProof/>
            <w:sz w:val="20"/>
          </w:rPr>
          <w:t>Figure 3.12: Estimation of Out of School Children Aged 6-10 Years 1998-2015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_Toc462837421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22" w:history="1">
        <w:r w:rsidRPr="00975710">
          <w:rPr>
            <w:rStyle w:val="Hyperlink"/>
            <w:rFonts w:asciiTheme="minorHAnsi" w:hAnsiTheme="minorHAnsi" w:cstheme="minorHAnsi"/>
            <w:noProof/>
            <w:sz w:val="20"/>
          </w:rPr>
          <w:t>Figure 3.13: Enrollment of Special Need Children in Pre-primary Education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_Toc462837422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23" w:history="1">
        <w:r w:rsidRPr="00975710">
          <w:rPr>
            <w:rStyle w:val="Hyperlink"/>
            <w:rFonts w:asciiTheme="minorHAnsi" w:hAnsiTheme="minorHAnsi" w:cstheme="minorHAnsi"/>
            <w:noProof/>
            <w:sz w:val="20"/>
          </w:rPr>
          <w:t>Figure 3.14: Grade1 Students with Pre-Primary Education (GPS &amp;NNPS)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_Toc462837423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24" w:history="1">
        <w:r w:rsidRPr="00975710">
          <w:rPr>
            <w:rStyle w:val="Hyperlink"/>
            <w:rFonts w:asciiTheme="minorHAnsi" w:hAnsiTheme="minorHAnsi" w:cstheme="minorHAnsi"/>
            <w:noProof/>
            <w:sz w:val="20"/>
          </w:rPr>
          <w:t>Figure 3.15: Repetition Rate (GPS and NNPS) by Year and Gender 2005,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_Toc462837424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25" w:history="1">
        <w:r w:rsidRPr="00975710">
          <w:rPr>
            <w:rStyle w:val="Hyperlink"/>
            <w:rFonts w:asciiTheme="minorHAnsi" w:hAnsiTheme="minorHAnsi" w:cstheme="minorHAnsi"/>
            <w:noProof/>
            <w:sz w:val="20"/>
          </w:rPr>
          <w:t>Figure 3.16: Student Attendance Rate (GPS and NNPS) 2000, 2005, 2008,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_Toc462837425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79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26" w:history="1">
        <w:r w:rsidRPr="00975710">
          <w:rPr>
            <w:rStyle w:val="Hyperlink"/>
            <w:rFonts w:asciiTheme="minorHAnsi" w:hAnsiTheme="minorHAnsi" w:cstheme="minorHAnsi"/>
            <w:noProof/>
            <w:sz w:val="20"/>
          </w:rPr>
          <w:t>Figure 3.17: Gender Parity Index: GER &amp; NER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_Toc462837426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81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27" w:history="1">
        <w:r w:rsidRPr="00975710">
          <w:rPr>
            <w:rStyle w:val="Hyperlink"/>
            <w:rFonts w:asciiTheme="minorHAnsi" w:hAnsiTheme="minorHAnsi" w:cstheme="minorHAnsi"/>
            <w:noProof/>
            <w:sz w:val="20"/>
          </w:rPr>
          <w:t>Figure 3.18: Primary Education Enrolment by Gender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_Toc462837427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82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28" w:history="1">
        <w:r w:rsidRPr="00975710">
          <w:rPr>
            <w:rStyle w:val="Hyperlink"/>
            <w:rFonts w:asciiTheme="minorHAnsi" w:hAnsiTheme="minorHAnsi" w:cstheme="minorHAnsi"/>
            <w:noProof/>
            <w:sz w:val="20"/>
          </w:rPr>
          <w:t>Figure 3.19: Proportion of Male Students in GPS and NNPS by Upazila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_Toc462837428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83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29" w:history="1">
        <w:r w:rsidRPr="00975710">
          <w:rPr>
            <w:rStyle w:val="Hyperlink"/>
            <w:rFonts w:asciiTheme="minorHAnsi" w:hAnsiTheme="minorHAnsi" w:cstheme="minorHAnsi"/>
            <w:noProof/>
            <w:sz w:val="20"/>
          </w:rPr>
          <w:t>Figure 3.20: Proportion of Female Teachers in GPS and NNPS 2005–2015 (%)</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_Toc462837429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84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30" w:history="1">
        <w:r w:rsidRPr="00975710">
          <w:rPr>
            <w:rStyle w:val="Hyperlink"/>
            <w:rFonts w:asciiTheme="minorHAnsi" w:hAnsiTheme="minorHAnsi" w:cstheme="minorHAnsi"/>
            <w:noProof/>
            <w:sz w:val="20"/>
          </w:rPr>
          <w:t>Figure 3.21: Trends in Survival Rate to Grade 5 by Gender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_Toc462837430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87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31" w:history="1">
        <w:r w:rsidRPr="00975710">
          <w:rPr>
            <w:rStyle w:val="Hyperlink"/>
            <w:rFonts w:asciiTheme="minorHAnsi" w:hAnsiTheme="minorHAnsi" w:cstheme="minorHAnsi"/>
            <w:noProof/>
            <w:sz w:val="20"/>
          </w:rPr>
          <w:t>Figure 3.22: Survival Rate to Grade 5, Selected Areas,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_Toc462837431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88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32" w:history="1">
        <w:r w:rsidRPr="00975710">
          <w:rPr>
            <w:rStyle w:val="Hyperlink"/>
            <w:rFonts w:asciiTheme="minorHAnsi" w:hAnsiTheme="minorHAnsi" w:cstheme="minorHAnsi"/>
            <w:noProof/>
            <w:sz w:val="20"/>
          </w:rPr>
          <w:t>Figure 3.23: Survival Rate to Grade 5 in GPS and NNPS, by Upazila,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_Toc462837432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89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33" w:history="1">
        <w:r w:rsidRPr="00975710">
          <w:rPr>
            <w:rStyle w:val="Hyperlink"/>
            <w:rFonts w:asciiTheme="minorHAnsi" w:hAnsiTheme="minorHAnsi" w:cstheme="minorHAnsi"/>
            <w:noProof/>
            <w:sz w:val="20"/>
          </w:rPr>
          <w:t>Figure 3.24: Single-shift Schools (%) 2005,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_Toc462837433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90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34" w:history="1">
        <w:r w:rsidRPr="00975710">
          <w:rPr>
            <w:rStyle w:val="Hyperlink"/>
            <w:rFonts w:asciiTheme="minorHAnsi" w:hAnsiTheme="minorHAnsi" w:cstheme="minorHAnsi"/>
            <w:noProof/>
            <w:sz w:val="20"/>
          </w:rPr>
          <w:t>Figure 3.25: Effectiveness and Efficiency Indicators 2015 APSC</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_Toc462837434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35" w:history="1">
        <w:r w:rsidRPr="00975710">
          <w:rPr>
            <w:rStyle w:val="Hyperlink"/>
            <w:rFonts w:asciiTheme="minorHAnsi" w:hAnsiTheme="minorHAnsi" w:cstheme="minorHAnsi"/>
            <w:noProof/>
            <w:sz w:val="20"/>
          </w:rPr>
          <w:t>Figure 3.26: Primary Cycle Completion Rate (%)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_Toc462837435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36" w:history="1">
        <w:r w:rsidRPr="00975710">
          <w:rPr>
            <w:rStyle w:val="Hyperlink"/>
            <w:rFonts w:asciiTheme="minorHAnsi" w:hAnsiTheme="minorHAnsi" w:cstheme="minorHAnsi"/>
            <w:noProof/>
            <w:sz w:val="20"/>
          </w:rPr>
          <w:t>Figure 3.27: Trend of Primary Cycle Dropout Rate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_Toc462837436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37" w:history="1">
        <w:r w:rsidRPr="00975710">
          <w:rPr>
            <w:rStyle w:val="Hyperlink"/>
            <w:rFonts w:asciiTheme="minorHAnsi" w:hAnsiTheme="minorHAnsi" w:cstheme="minorHAnsi"/>
            <w:noProof/>
            <w:sz w:val="20"/>
          </w:rPr>
          <w:t>Figure 3.28: Dropout Rate in GPS and NNPS by Upazila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_Toc462837437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38" w:history="1">
        <w:r w:rsidRPr="00975710">
          <w:rPr>
            <w:rStyle w:val="Hyperlink"/>
            <w:rFonts w:asciiTheme="minorHAnsi" w:hAnsiTheme="minorHAnsi" w:cstheme="minorHAnsi"/>
            <w:noProof/>
            <w:sz w:val="20"/>
          </w:rPr>
          <w:t>Figure 3.29: Coefficient of Efficiency by Gender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_Toc462837438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39" w:history="1">
        <w:r w:rsidRPr="00975710">
          <w:rPr>
            <w:rStyle w:val="Hyperlink"/>
            <w:rFonts w:asciiTheme="minorHAnsi" w:hAnsiTheme="minorHAnsi" w:cstheme="minorHAnsi"/>
            <w:noProof/>
            <w:sz w:val="20"/>
          </w:rPr>
          <w:t>Figure 3.30: Years Input per Graduate by Gender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_Toc462837439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40" w:history="1">
        <w:r w:rsidRPr="00975710">
          <w:rPr>
            <w:rStyle w:val="Hyperlink"/>
            <w:rFonts w:asciiTheme="minorHAnsi" w:hAnsiTheme="minorHAnsi" w:cstheme="minorHAnsi"/>
            <w:noProof/>
            <w:sz w:val="20"/>
          </w:rPr>
          <w:t>Figure 3.31: Coefficient of Efficiency by Upazila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_Toc462837440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41" w:history="1">
        <w:r w:rsidRPr="00975710">
          <w:rPr>
            <w:rStyle w:val="Hyperlink"/>
            <w:rFonts w:asciiTheme="minorHAnsi" w:hAnsiTheme="minorHAnsi" w:cstheme="minorHAnsi"/>
            <w:noProof/>
            <w:sz w:val="20"/>
          </w:rPr>
          <w:t>Figure 3.32: GPS/NNPS Results on PSQL Composite Index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_Toc462837441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109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42" w:history="1">
        <w:r w:rsidRPr="00975710">
          <w:rPr>
            <w:rStyle w:val="Hyperlink"/>
            <w:rFonts w:asciiTheme="minorHAnsi" w:hAnsiTheme="minorHAnsi" w:cstheme="minorHAnsi"/>
            <w:noProof/>
            <w:sz w:val="20"/>
          </w:rPr>
          <w:t>Figure 3.33: By Upazila Completion Rate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_Toc462837442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43" w:history="1">
        <w:r w:rsidRPr="00975710">
          <w:rPr>
            <w:rStyle w:val="Hyperlink"/>
            <w:rFonts w:asciiTheme="minorHAnsi" w:hAnsiTheme="minorHAnsi" w:cstheme="minorHAnsi"/>
            <w:noProof/>
            <w:sz w:val="20"/>
          </w:rPr>
          <w:t>Figure 3.34: Transition Rate in GPS and NNPS by District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_Toc462837443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44" w:history="1">
        <w:r w:rsidRPr="00975710">
          <w:rPr>
            <w:rStyle w:val="Hyperlink"/>
            <w:rFonts w:asciiTheme="minorHAnsi" w:hAnsiTheme="minorHAnsi" w:cstheme="minorHAnsi"/>
            <w:noProof/>
            <w:sz w:val="20"/>
          </w:rPr>
          <w:t>Figure 4.1:  Status of Delivery of Textbooks2015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_Toc462837444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117</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45" w:history="1">
        <w:r w:rsidRPr="00975710">
          <w:rPr>
            <w:rStyle w:val="Hyperlink"/>
            <w:rFonts w:asciiTheme="minorHAnsi" w:hAnsiTheme="minorHAnsi" w:cstheme="minorHAnsi"/>
            <w:noProof/>
            <w:sz w:val="20"/>
          </w:rPr>
          <w:t>Figure 4.2: Percentage of Teachers with Qualifications at Different Education Levels by Gender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_Toc462837445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46" w:history="1">
        <w:r w:rsidRPr="00975710">
          <w:rPr>
            <w:rStyle w:val="Hyperlink"/>
            <w:rFonts w:asciiTheme="minorHAnsi" w:hAnsiTheme="minorHAnsi" w:cstheme="minorHAnsi"/>
            <w:noProof/>
            <w:sz w:val="20"/>
          </w:rPr>
          <w:t>Figure 4.3: Number of Teachers (GPS &amp; NNPS) with C-in-Ed and DPEd as of March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_Toc462837446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119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47" w:history="1">
        <w:r w:rsidRPr="00975710">
          <w:rPr>
            <w:rStyle w:val="Hyperlink"/>
            <w:rFonts w:asciiTheme="minorHAnsi" w:hAnsiTheme="minorHAnsi" w:cstheme="minorHAnsi"/>
            <w:noProof/>
            <w:sz w:val="20"/>
          </w:rPr>
          <w:t>Figure 4.4: Proportion of Teachers (in GPS and NNPS) with At Least C-in-Ed 2010-2015 (%)</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_Toc462837447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48" w:history="1">
        <w:r w:rsidRPr="00975710">
          <w:rPr>
            <w:rStyle w:val="Hyperlink"/>
            <w:rFonts w:asciiTheme="minorHAnsi" w:hAnsiTheme="minorHAnsi" w:cstheme="minorHAnsi"/>
            <w:noProof/>
            <w:sz w:val="20"/>
          </w:rPr>
          <w:t>Figure 4.5:  Percentage of Teachers (GPS &amp;NNPS) who Received Subject based Training by Gender 2005, 2010–2015 (%)</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_Toc462837448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121</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49" w:history="1">
        <w:r w:rsidRPr="00975710">
          <w:rPr>
            <w:rStyle w:val="Hyperlink"/>
            <w:rFonts w:asciiTheme="minorHAnsi" w:hAnsiTheme="minorHAnsi" w:cstheme="minorHAnsi"/>
            <w:noProof/>
            <w:sz w:val="20"/>
          </w:rPr>
          <w:t>Figure 4.6: Trends in Percentage of Teachers received Sub-cluster Training by Gender (GPS and NNPS) 2005, 2010–2015 (%)</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_Toc462837449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122</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50" w:history="1">
        <w:r w:rsidRPr="00975710">
          <w:rPr>
            <w:rStyle w:val="Hyperlink"/>
            <w:rFonts w:asciiTheme="minorHAnsi" w:hAnsiTheme="minorHAnsi" w:cstheme="minorHAnsi"/>
            <w:noProof/>
            <w:sz w:val="20"/>
          </w:rPr>
          <w:t>Figure 4.7:  Proportion of GPS/NNPS Teacher Received In-Service Training 2005–2015 (%)</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_Toc462837450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51" w:history="1">
        <w:r w:rsidRPr="00975710">
          <w:rPr>
            <w:rStyle w:val="Hyperlink"/>
            <w:rFonts w:asciiTheme="minorHAnsi" w:hAnsiTheme="minorHAnsi" w:cstheme="minorHAnsi"/>
            <w:noProof/>
            <w:sz w:val="20"/>
          </w:rPr>
          <w:t>Figure 4.8:  Proportion of Head/Assistant Teacher Received In-Service Training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_Toc462837451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123</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52" w:history="1">
        <w:r w:rsidRPr="00975710">
          <w:rPr>
            <w:rStyle w:val="Hyperlink"/>
            <w:rFonts w:asciiTheme="minorHAnsi" w:hAnsiTheme="minorHAnsi" w:cstheme="minorHAnsi"/>
            <w:noProof/>
            <w:sz w:val="20"/>
          </w:rPr>
          <w:t>Figure 4.9:  Proportion of Teacher who received In-Service Training by Gender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_Toc462837452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124</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53" w:history="1">
        <w:r w:rsidRPr="00975710">
          <w:rPr>
            <w:rStyle w:val="Hyperlink"/>
            <w:rFonts w:asciiTheme="minorHAnsi" w:hAnsiTheme="minorHAnsi" w:cstheme="minorHAnsi"/>
            <w:noProof/>
            <w:sz w:val="20"/>
          </w:rPr>
          <w:t>Figure 4.10: Average Number of Teachers per School (GPS and NNPS) 2005–2015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_Toc462837453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126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54" w:history="1">
        <w:r w:rsidRPr="00975710">
          <w:rPr>
            <w:rStyle w:val="Hyperlink"/>
            <w:rFonts w:asciiTheme="minorHAnsi" w:hAnsiTheme="minorHAnsi" w:cstheme="minorHAnsi"/>
            <w:noProof/>
            <w:sz w:val="20"/>
          </w:rPr>
          <w:t>Figure 4.11: Number of Physically Challenged Children Enrolled in GPS and NNPS, 2005, 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_Toc462837454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130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55" w:history="1">
        <w:r w:rsidRPr="00975710">
          <w:rPr>
            <w:rStyle w:val="Hyperlink"/>
            <w:rFonts w:asciiTheme="minorHAnsi" w:hAnsiTheme="minorHAnsi" w:cstheme="minorHAnsi"/>
            <w:noProof/>
            <w:sz w:val="20"/>
          </w:rPr>
          <w:t xml:space="preserve">Figure 4.12: Proportion of classrooms which are </w:t>
        </w:r>
        <w:r w:rsidRPr="00975710">
          <w:rPr>
            <w:rStyle w:val="Hyperlink"/>
            <w:rFonts w:asciiTheme="minorHAnsi" w:hAnsiTheme="minorHAnsi" w:cstheme="minorHAnsi"/>
            <w:i/>
            <w:noProof/>
            <w:sz w:val="20"/>
          </w:rPr>
          <w:t>standard size and</w:t>
        </w:r>
        <w:r w:rsidRPr="00975710">
          <w:rPr>
            <w:rStyle w:val="Hyperlink"/>
            <w:rFonts w:asciiTheme="minorHAnsi" w:hAnsiTheme="minorHAnsi" w:cstheme="minorHAnsi"/>
            <w:noProof/>
            <w:sz w:val="20"/>
          </w:rPr>
          <w:t xml:space="preserve"> larger2010-2015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_Toc462837455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135</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56" w:history="1">
        <w:r w:rsidRPr="00975710">
          <w:rPr>
            <w:rStyle w:val="Hyperlink"/>
            <w:rFonts w:asciiTheme="minorHAnsi" w:hAnsiTheme="minorHAnsi" w:cstheme="minorHAnsi"/>
            <w:noProof/>
            <w:sz w:val="20"/>
          </w:rPr>
          <w:t>Figure 4.13: Use of Rooms (GPS &amp; NNPS) 2014 and 2015</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_Toc462837456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136</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57" w:history="1">
        <w:r w:rsidRPr="00975710">
          <w:rPr>
            <w:rStyle w:val="Hyperlink"/>
            <w:rFonts w:asciiTheme="minorHAnsi" w:hAnsiTheme="minorHAnsi" w:cstheme="minorHAnsi"/>
            <w:noProof/>
            <w:sz w:val="20"/>
          </w:rPr>
          <w:t>Figure 4.14: Percentage of Schools Received Local Contribution for implementing SLIP 2015/16</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_Toc462837457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139</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58" w:history="1">
        <w:r w:rsidRPr="00975710">
          <w:rPr>
            <w:rStyle w:val="Hyperlink"/>
            <w:rFonts w:asciiTheme="minorHAnsi" w:hAnsiTheme="minorHAnsi" w:cstheme="minorHAnsi"/>
            <w:noProof/>
            <w:sz w:val="20"/>
          </w:rPr>
          <w:t>Figure 4.15: Trends and Percentage of Head Teachers (GPS and NNPS) received Training on School Management and Leadership 2010–2015 (%)</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_Toc462837458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140</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59" w:history="1">
        <w:r w:rsidRPr="00975710">
          <w:rPr>
            <w:rStyle w:val="Hyperlink"/>
            <w:rFonts w:asciiTheme="minorHAnsi" w:hAnsiTheme="minorHAnsi" w:cstheme="minorHAnsi"/>
            <w:noProof/>
            <w:sz w:val="20"/>
          </w:rPr>
          <w:t>Figure 6.1: PEDP3 Original and Revised Program Costas per DPP and RDPP 2011/12 -2016/17</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_Toc462837459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148</w:t>
        </w:r>
        <w:r w:rsidRPr="00975710">
          <w:rPr>
            <w:rFonts w:asciiTheme="minorHAnsi" w:hAnsiTheme="minorHAnsi" w:cstheme="minorHAnsi"/>
            <w:noProof/>
            <w:webHidden/>
            <w:sz w:val="20"/>
          </w:rPr>
          <w:fldChar w:fldCharType="end"/>
        </w:r>
      </w:hyperlink>
    </w:p>
    <w:p w:rsidR="00975710" w:rsidRPr="00975710" w:rsidRDefault="00975710" w:rsidP="00975710">
      <w:pPr>
        <w:pStyle w:val="TableofFigures"/>
        <w:tabs>
          <w:tab w:val="right" w:leader="dot" w:pos="9019"/>
        </w:tabs>
        <w:spacing w:after="0" w:line="276" w:lineRule="auto"/>
        <w:rPr>
          <w:rFonts w:asciiTheme="minorHAnsi" w:eastAsiaTheme="minorEastAsia" w:hAnsiTheme="minorHAnsi" w:cstheme="minorHAnsi"/>
          <w:smallCaps w:val="0"/>
          <w:noProof/>
          <w:sz w:val="20"/>
          <w:lang w:eastAsia="en-US"/>
        </w:rPr>
      </w:pPr>
      <w:hyperlink w:anchor="_Toc462837460" w:history="1">
        <w:r w:rsidRPr="00975710">
          <w:rPr>
            <w:rStyle w:val="Hyperlink"/>
            <w:rFonts w:asciiTheme="minorHAnsi" w:hAnsiTheme="minorHAnsi" w:cstheme="minorHAnsi"/>
            <w:noProof/>
            <w:sz w:val="20"/>
          </w:rPr>
          <w:t>Figure 6.2: MoPME budget by type of budget, 2014/15 and 2015/16</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_Toc462837460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150</w:t>
        </w:r>
        <w:r w:rsidRPr="00975710">
          <w:rPr>
            <w:rFonts w:asciiTheme="minorHAnsi" w:hAnsiTheme="minorHAnsi" w:cstheme="minorHAnsi"/>
            <w:noProof/>
            <w:webHidden/>
            <w:sz w:val="20"/>
          </w:rPr>
          <w:fldChar w:fldCharType="end"/>
        </w:r>
      </w:hyperlink>
    </w:p>
    <w:p w:rsidR="00975710" w:rsidRDefault="00975710" w:rsidP="00975710">
      <w:pPr>
        <w:pStyle w:val="TableofFigures"/>
        <w:tabs>
          <w:tab w:val="right" w:leader="dot" w:pos="9019"/>
        </w:tabs>
        <w:spacing w:after="0" w:line="276" w:lineRule="auto"/>
        <w:rPr>
          <w:rFonts w:asciiTheme="minorHAnsi" w:eastAsiaTheme="minorEastAsia" w:hAnsiTheme="minorHAnsi" w:cstheme="minorBidi"/>
          <w:smallCaps w:val="0"/>
          <w:noProof/>
          <w:sz w:val="22"/>
          <w:szCs w:val="22"/>
          <w:lang w:eastAsia="en-US"/>
        </w:rPr>
      </w:pPr>
      <w:hyperlink w:anchor="_Toc462837461" w:history="1">
        <w:r w:rsidRPr="00975710">
          <w:rPr>
            <w:rStyle w:val="Hyperlink"/>
            <w:rFonts w:asciiTheme="minorHAnsi" w:hAnsiTheme="minorHAnsi" w:cstheme="minorHAnsi"/>
            <w:noProof/>
            <w:sz w:val="20"/>
          </w:rPr>
          <w:t>Figure 6.3:  Discrete Projects Budget by PEDP3 Components 2015/16</w:t>
        </w:r>
        <w:r w:rsidRPr="00975710">
          <w:rPr>
            <w:rFonts w:asciiTheme="minorHAnsi" w:hAnsiTheme="minorHAnsi" w:cstheme="minorHAnsi"/>
            <w:noProof/>
            <w:webHidden/>
            <w:sz w:val="20"/>
          </w:rPr>
          <w:tab/>
        </w:r>
        <w:r w:rsidRPr="00975710">
          <w:rPr>
            <w:rFonts w:asciiTheme="minorHAnsi" w:hAnsiTheme="minorHAnsi" w:cstheme="minorHAnsi"/>
            <w:noProof/>
            <w:webHidden/>
            <w:sz w:val="20"/>
          </w:rPr>
          <w:fldChar w:fldCharType="begin"/>
        </w:r>
        <w:r w:rsidRPr="00975710">
          <w:rPr>
            <w:rFonts w:asciiTheme="minorHAnsi" w:hAnsiTheme="minorHAnsi" w:cstheme="minorHAnsi"/>
            <w:noProof/>
            <w:webHidden/>
            <w:sz w:val="20"/>
          </w:rPr>
          <w:instrText xml:space="preserve"> PAGEREF _Toc462837461 \h </w:instrText>
        </w:r>
        <w:r w:rsidRPr="00975710">
          <w:rPr>
            <w:rFonts w:asciiTheme="minorHAnsi" w:hAnsiTheme="minorHAnsi" w:cstheme="minorHAnsi"/>
            <w:noProof/>
            <w:webHidden/>
            <w:sz w:val="20"/>
          </w:rPr>
        </w:r>
        <w:r w:rsidRPr="00975710">
          <w:rPr>
            <w:rFonts w:asciiTheme="minorHAnsi" w:hAnsiTheme="minorHAnsi" w:cstheme="minorHAnsi"/>
            <w:noProof/>
            <w:webHidden/>
            <w:sz w:val="20"/>
          </w:rPr>
          <w:fldChar w:fldCharType="separate"/>
        </w:r>
        <w:r w:rsidRPr="00975710">
          <w:rPr>
            <w:rFonts w:asciiTheme="minorHAnsi" w:hAnsiTheme="minorHAnsi" w:cstheme="minorHAnsi"/>
            <w:noProof/>
            <w:webHidden/>
            <w:sz w:val="20"/>
          </w:rPr>
          <w:t>155</w:t>
        </w:r>
        <w:r w:rsidRPr="00975710">
          <w:rPr>
            <w:rFonts w:asciiTheme="minorHAnsi" w:hAnsiTheme="minorHAnsi" w:cstheme="minorHAnsi"/>
            <w:noProof/>
            <w:webHidden/>
            <w:sz w:val="20"/>
          </w:rPr>
          <w:fldChar w:fldCharType="end"/>
        </w:r>
      </w:hyperlink>
    </w:p>
    <w:p w:rsidR="00115308" w:rsidRPr="005F120D" w:rsidRDefault="002E2ED5" w:rsidP="00C437AA">
      <w:pPr>
        <w:pStyle w:val="Heading1NONUM"/>
        <w:spacing w:before="0" w:after="0" w:line="276" w:lineRule="auto"/>
        <w:rPr>
          <w:rFonts w:cstheme="minorHAnsi"/>
          <w:color w:val="FF0000"/>
          <w:sz w:val="20"/>
        </w:rPr>
      </w:pPr>
      <w:r w:rsidRPr="005F120D">
        <w:rPr>
          <w:rFonts w:cstheme="minorHAnsi"/>
          <w:color w:val="FF0000"/>
          <w:sz w:val="20"/>
        </w:rPr>
        <w:fldChar w:fldCharType="end"/>
      </w:r>
    </w:p>
    <w:p w:rsidR="00115308" w:rsidRPr="005F120D" w:rsidRDefault="00115308" w:rsidP="00115308">
      <w:pPr>
        <w:pStyle w:val="BodyText1"/>
        <w:rPr>
          <w:rFonts w:asciiTheme="minorHAnsi" w:hAnsiTheme="minorHAnsi" w:cstheme="minorHAnsi"/>
        </w:rPr>
      </w:pPr>
      <w:r w:rsidRPr="005F120D">
        <w:rPr>
          <w:rFonts w:asciiTheme="minorHAnsi" w:hAnsiTheme="minorHAnsi" w:cstheme="minorHAnsi"/>
        </w:rPr>
        <w:br w:type="page"/>
      </w:r>
    </w:p>
    <w:p w:rsidR="00494FD7" w:rsidRPr="005F120D" w:rsidRDefault="00494FD7" w:rsidP="00C437AA">
      <w:pPr>
        <w:pStyle w:val="Heading1NONUM"/>
        <w:spacing w:before="0" w:after="0" w:line="276" w:lineRule="auto"/>
        <w:jc w:val="center"/>
        <w:rPr>
          <w:rFonts w:cstheme="minorHAnsi"/>
          <w:color w:val="008000"/>
        </w:rPr>
      </w:pPr>
      <w:bookmarkStart w:id="10" w:name="_Toc462837168"/>
      <w:r w:rsidRPr="005F120D">
        <w:rPr>
          <w:rFonts w:cstheme="minorHAnsi"/>
          <w:color w:val="008000"/>
        </w:rPr>
        <w:lastRenderedPageBreak/>
        <w:t>Executive Summary</w:t>
      </w:r>
      <w:bookmarkEnd w:id="10"/>
    </w:p>
    <w:p w:rsidR="002C0F5A" w:rsidRPr="002C0F5A" w:rsidRDefault="002C0F5A" w:rsidP="002C0F5A">
      <w:pPr>
        <w:spacing w:before="240" w:line="276" w:lineRule="auto"/>
        <w:jc w:val="both"/>
        <w:rPr>
          <w:rFonts w:asciiTheme="minorHAnsi" w:hAnsiTheme="minorHAnsi" w:cstheme="minorHAnsi"/>
          <w:szCs w:val="22"/>
        </w:rPr>
      </w:pPr>
      <w:r w:rsidRPr="002C0F5A">
        <w:rPr>
          <w:rFonts w:asciiTheme="minorHAnsi" w:hAnsiTheme="minorHAnsi" w:cstheme="minorHAnsi"/>
          <w:szCs w:val="22"/>
        </w:rPr>
        <w:t xml:space="preserve">The Annual Sector Performance Report (ASPR) is one of the most substantial reports that Directorate of Primary Education (DPE) has been publishing since 2009. </w:t>
      </w:r>
      <w:r w:rsidR="00C4591B">
        <w:rPr>
          <w:rFonts w:asciiTheme="minorHAnsi" w:hAnsiTheme="minorHAnsi" w:cstheme="minorHAnsi"/>
          <w:szCs w:val="22"/>
        </w:rPr>
        <w:t>The main purpose of this report</w:t>
      </w:r>
      <w:r w:rsidRPr="002C0F5A">
        <w:rPr>
          <w:rFonts w:asciiTheme="minorHAnsi" w:hAnsiTheme="minorHAnsi" w:cstheme="minorHAnsi"/>
          <w:szCs w:val="22"/>
        </w:rPr>
        <w:t xml:space="preserve"> is to describe the status and achievement trend of Primary educa</w:t>
      </w:r>
      <w:r w:rsidR="00C4591B">
        <w:rPr>
          <w:rFonts w:asciiTheme="minorHAnsi" w:hAnsiTheme="minorHAnsi" w:cstheme="minorHAnsi"/>
          <w:szCs w:val="22"/>
        </w:rPr>
        <w:t>tion in Bangladesh</w:t>
      </w:r>
      <w:r w:rsidRPr="002C0F5A">
        <w:rPr>
          <w:rFonts w:asciiTheme="minorHAnsi" w:hAnsiTheme="minorHAnsi" w:cstheme="minorHAnsi"/>
          <w:szCs w:val="22"/>
        </w:rPr>
        <w:t>. The primary data sources of the ASPR are the Annual Primary School Census(APSC) , the National Student Assessment (NSA),the primary Education Completion Examination (PECE) result,</w:t>
      </w:r>
      <w:r w:rsidR="00C4591B">
        <w:rPr>
          <w:rFonts w:asciiTheme="minorHAnsi" w:hAnsiTheme="minorHAnsi" w:cstheme="minorHAnsi"/>
          <w:szCs w:val="22"/>
        </w:rPr>
        <w:t xml:space="preserve"> </w:t>
      </w:r>
      <w:r w:rsidRPr="002C0F5A">
        <w:rPr>
          <w:rFonts w:asciiTheme="minorHAnsi" w:hAnsiTheme="minorHAnsi" w:cstheme="minorHAnsi"/>
          <w:szCs w:val="22"/>
        </w:rPr>
        <w:t>the Household Income and Expenditure Survey(HIES),the Education Hous</w:t>
      </w:r>
      <w:r w:rsidR="00C4591B">
        <w:rPr>
          <w:rFonts w:asciiTheme="minorHAnsi" w:hAnsiTheme="minorHAnsi" w:cstheme="minorHAnsi"/>
          <w:szCs w:val="22"/>
        </w:rPr>
        <w:t>ehold Survey (EHS) ,reports from</w:t>
      </w:r>
      <w:r w:rsidRPr="002C0F5A">
        <w:rPr>
          <w:rFonts w:asciiTheme="minorHAnsi" w:hAnsiTheme="minorHAnsi" w:cstheme="minorHAnsi"/>
          <w:szCs w:val="22"/>
        </w:rPr>
        <w:t xml:space="preserve"> DPE line divisions and other credible sources of data such as Bangladesh Bureau of Educational Information &amp; Statistics (BANBEIS), the Multiple Indicator cluster Survey (MICS) and the Edu</w:t>
      </w:r>
      <w:r w:rsidR="00C4591B">
        <w:rPr>
          <w:rFonts w:asciiTheme="minorHAnsi" w:hAnsiTheme="minorHAnsi" w:cstheme="minorHAnsi"/>
          <w:szCs w:val="22"/>
        </w:rPr>
        <w:t>c</w:t>
      </w:r>
      <w:r w:rsidRPr="002C0F5A">
        <w:rPr>
          <w:rFonts w:asciiTheme="minorHAnsi" w:hAnsiTheme="minorHAnsi" w:cstheme="minorHAnsi"/>
          <w:szCs w:val="22"/>
        </w:rPr>
        <w:t>ation Watch survey by the Campaign for popular Edu</w:t>
      </w:r>
      <w:r w:rsidR="00C4591B">
        <w:rPr>
          <w:rFonts w:asciiTheme="minorHAnsi" w:hAnsiTheme="minorHAnsi" w:cstheme="minorHAnsi"/>
          <w:szCs w:val="22"/>
        </w:rPr>
        <w:t>c</w:t>
      </w:r>
      <w:r w:rsidRPr="002C0F5A">
        <w:rPr>
          <w:rFonts w:asciiTheme="minorHAnsi" w:hAnsiTheme="minorHAnsi" w:cstheme="minorHAnsi"/>
          <w:szCs w:val="22"/>
        </w:rPr>
        <w:t>ation (CAMPE)etc.</w:t>
      </w:r>
    </w:p>
    <w:p w:rsidR="004B175E" w:rsidRDefault="002C0F5A" w:rsidP="00903D6B">
      <w:pPr>
        <w:spacing w:before="240" w:line="276" w:lineRule="auto"/>
        <w:jc w:val="both"/>
        <w:rPr>
          <w:rFonts w:asciiTheme="minorHAnsi" w:hAnsiTheme="minorHAnsi" w:cstheme="minorHAnsi"/>
          <w:szCs w:val="22"/>
        </w:rPr>
      </w:pPr>
      <w:r w:rsidRPr="002C0F5A">
        <w:rPr>
          <w:rFonts w:asciiTheme="minorHAnsi" w:hAnsiTheme="minorHAnsi" w:cstheme="minorHAnsi"/>
          <w:szCs w:val="22"/>
        </w:rPr>
        <w:t>The Third Primary Education Development Program (PEDP3) has synchronized all of its activities through Results Based Management (RBM) approach its g</w:t>
      </w:r>
      <w:r w:rsidR="00C4591B">
        <w:rPr>
          <w:rFonts w:asciiTheme="minorHAnsi" w:hAnsiTheme="minorHAnsi" w:cstheme="minorHAnsi"/>
          <w:szCs w:val="22"/>
        </w:rPr>
        <w:t>oal. The experiences learnt from</w:t>
      </w:r>
      <w:r w:rsidRPr="002C0F5A">
        <w:rPr>
          <w:rFonts w:asciiTheme="minorHAnsi" w:hAnsiTheme="minorHAnsi" w:cstheme="minorHAnsi"/>
          <w:szCs w:val="22"/>
        </w:rPr>
        <w:t xml:space="preserve"> PEDP -2,</w:t>
      </w:r>
      <w:r w:rsidR="00C4591B">
        <w:rPr>
          <w:rFonts w:asciiTheme="minorHAnsi" w:hAnsiTheme="minorHAnsi" w:cstheme="minorHAnsi"/>
          <w:szCs w:val="22"/>
        </w:rPr>
        <w:t xml:space="preserve"> </w:t>
      </w:r>
      <w:r w:rsidRPr="002C0F5A">
        <w:rPr>
          <w:rFonts w:asciiTheme="minorHAnsi" w:hAnsiTheme="minorHAnsi" w:cstheme="minorHAnsi"/>
          <w:szCs w:val="22"/>
        </w:rPr>
        <w:t xml:space="preserve">helped DPE to follow RBM approach to achieve a large proportion of expected results under this program. </w:t>
      </w:r>
      <w:r>
        <w:rPr>
          <w:rFonts w:asciiTheme="minorHAnsi" w:hAnsiTheme="minorHAnsi" w:cstheme="minorHAnsi"/>
          <w:szCs w:val="22"/>
        </w:rPr>
        <w:t xml:space="preserve">The RBM uses </w:t>
      </w:r>
      <w:r w:rsidR="00381409">
        <w:rPr>
          <w:rFonts w:asciiTheme="minorHAnsi" w:hAnsiTheme="minorHAnsi" w:cstheme="minorHAnsi"/>
          <w:szCs w:val="22"/>
        </w:rPr>
        <w:t>‘</w:t>
      </w:r>
      <w:r>
        <w:rPr>
          <w:rFonts w:asciiTheme="minorHAnsi" w:hAnsiTheme="minorHAnsi" w:cstheme="minorHAnsi"/>
          <w:szCs w:val="22"/>
        </w:rPr>
        <w:t xml:space="preserve">the results </w:t>
      </w:r>
      <w:r w:rsidR="00040A1A">
        <w:rPr>
          <w:rFonts w:asciiTheme="minorHAnsi" w:hAnsiTheme="minorHAnsi" w:cstheme="minorHAnsi"/>
          <w:szCs w:val="22"/>
        </w:rPr>
        <w:t>chain’ which</w:t>
      </w:r>
      <w:r w:rsidR="00C4591B">
        <w:rPr>
          <w:rFonts w:asciiTheme="minorHAnsi" w:hAnsiTheme="minorHAnsi" w:cstheme="minorHAnsi"/>
          <w:szCs w:val="22"/>
        </w:rPr>
        <w:t xml:space="preserve"> </w:t>
      </w:r>
      <w:r w:rsidR="00040A1A">
        <w:rPr>
          <w:rFonts w:asciiTheme="minorHAnsi" w:hAnsiTheme="minorHAnsi" w:cstheme="minorHAnsi"/>
          <w:szCs w:val="22"/>
        </w:rPr>
        <w:t>demonstrates</w:t>
      </w:r>
      <w:r>
        <w:rPr>
          <w:rFonts w:asciiTheme="minorHAnsi" w:hAnsiTheme="minorHAnsi" w:cstheme="minorHAnsi"/>
          <w:szCs w:val="22"/>
        </w:rPr>
        <w:t xml:space="preserve"> how re</w:t>
      </w:r>
      <w:r w:rsidR="00C4591B">
        <w:rPr>
          <w:rFonts w:asciiTheme="minorHAnsi" w:hAnsiTheme="minorHAnsi" w:cstheme="minorHAnsi"/>
          <w:szCs w:val="22"/>
        </w:rPr>
        <w:t xml:space="preserve">sources </w:t>
      </w:r>
      <w:r w:rsidR="00040A1A">
        <w:rPr>
          <w:rFonts w:asciiTheme="minorHAnsi" w:hAnsiTheme="minorHAnsi" w:cstheme="minorHAnsi"/>
          <w:szCs w:val="22"/>
        </w:rPr>
        <w:t>(inputs) are deployed (for `activities’)</w:t>
      </w:r>
      <w:r w:rsidR="00381409">
        <w:rPr>
          <w:rFonts w:asciiTheme="minorHAnsi" w:hAnsiTheme="minorHAnsi" w:cstheme="minorHAnsi"/>
          <w:szCs w:val="22"/>
        </w:rPr>
        <w:t xml:space="preserve"> t</w:t>
      </w:r>
      <w:r w:rsidR="00040A1A">
        <w:rPr>
          <w:rFonts w:asciiTheme="minorHAnsi" w:hAnsiTheme="minorHAnsi" w:cstheme="minorHAnsi"/>
          <w:szCs w:val="22"/>
        </w:rPr>
        <w:t>o produce short term results (</w:t>
      </w:r>
      <w:r w:rsidR="00381409">
        <w:rPr>
          <w:rFonts w:asciiTheme="minorHAnsi" w:hAnsiTheme="minorHAnsi" w:cstheme="minorHAnsi"/>
          <w:szCs w:val="22"/>
        </w:rPr>
        <w:t>‘</w:t>
      </w:r>
      <w:r w:rsidR="00040A1A">
        <w:rPr>
          <w:rFonts w:asciiTheme="minorHAnsi" w:hAnsiTheme="minorHAnsi" w:cstheme="minorHAnsi"/>
          <w:szCs w:val="22"/>
        </w:rPr>
        <w:t>outputs</w:t>
      </w:r>
      <w:r w:rsidR="00381409">
        <w:rPr>
          <w:rFonts w:asciiTheme="minorHAnsi" w:hAnsiTheme="minorHAnsi" w:cstheme="minorHAnsi"/>
          <w:szCs w:val="22"/>
        </w:rPr>
        <w:t>’</w:t>
      </w:r>
      <w:r w:rsidR="00040A1A">
        <w:rPr>
          <w:rFonts w:asciiTheme="minorHAnsi" w:hAnsiTheme="minorHAnsi" w:cstheme="minorHAnsi"/>
          <w:szCs w:val="22"/>
        </w:rPr>
        <w:t xml:space="preserve">). These </w:t>
      </w:r>
      <w:r w:rsidR="00381409">
        <w:rPr>
          <w:rFonts w:asciiTheme="minorHAnsi" w:hAnsiTheme="minorHAnsi" w:cstheme="minorHAnsi"/>
          <w:szCs w:val="22"/>
        </w:rPr>
        <w:t>‘</w:t>
      </w:r>
      <w:r w:rsidR="00040A1A">
        <w:rPr>
          <w:rFonts w:asciiTheme="minorHAnsi" w:hAnsiTheme="minorHAnsi" w:cstheme="minorHAnsi"/>
          <w:szCs w:val="22"/>
        </w:rPr>
        <w:t>outputs’ in turn, lead to a better</w:t>
      </w:r>
      <w:r w:rsidR="00C4591B">
        <w:rPr>
          <w:rFonts w:asciiTheme="minorHAnsi" w:hAnsiTheme="minorHAnsi" w:cstheme="minorHAnsi"/>
          <w:szCs w:val="22"/>
        </w:rPr>
        <w:t xml:space="preserve"> </w:t>
      </w:r>
      <w:r w:rsidR="00381409">
        <w:rPr>
          <w:rFonts w:asciiTheme="minorHAnsi" w:hAnsiTheme="minorHAnsi" w:cstheme="minorHAnsi"/>
          <w:szCs w:val="22"/>
        </w:rPr>
        <w:t xml:space="preserve">education for children in schools in the medium term (‘outcomes’), as well as, to long term benefits for the primary education of the country as a whole.  </w:t>
      </w:r>
      <w:r w:rsidRPr="002C0F5A">
        <w:rPr>
          <w:rFonts w:asciiTheme="minorHAnsi" w:hAnsiTheme="minorHAnsi" w:cstheme="minorHAnsi"/>
          <w:szCs w:val="22"/>
        </w:rPr>
        <w:t xml:space="preserve">Simultaneously a number of discrete projects under formal and non-formal education also contribute for advancing the quality of primary education. This report aims to incorporate a wide range of information including the above mentioned discrete projects so that it could support the decision makers to plan and take decision effectively.PEDP3 has emphasized to institutionalize many of its activities which expect to create </w:t>
      </w:r>
      <w:r w:rsidR="00C4591B" w:rsidRPr="002C0F5A">
        <w:rPr>
          <w:rFonts w:asciiTheme="minorHAnsi" w:hAnsiTheme="minorHAnsi" w:cstheme="minorHAnsi"/>
          <w:szCs w:val="22"/>
        </w:rPr>
        <w:t>opportunities</w:t>
      </w:r>
      <w:r w:rsidRPr="002C0F5A">
        <w:rPr>
          <w:rFonts w:asciiTheme="minorHAnsi" w:hAnsiTheme="minorHAnsi" w:cstheme="minorHAnsi"/>
          <w:szCs w:val="22"/>
        </w:rPr>
        <w:t xml:space="preserve"> in improving the quality of primary education . This report focuses on both of the </w:t>
      </w:r>
      <w:r w:rsidR="00C4591B" w:rsidRPr="002C0F5A">
        <w:rPr>
          <w:rFonts w:asciiTheme="minorHAnsi" w:hAnsiTheme="minorHAnsi" w:cstheme="minorHAnsi"/>
          <w:szCs w:val="22"/>
        </w:rPr>
        <w:t>activities</w:t>
      </w:r>
      <w:r w:rsidRPr="002C0F5A">
        <w:rPr>
          <w:rFonts w:asciiTheme="minorHAnsi" w:hAnsiTheme="minorHAnsi" w:cstheme="minorHAnsi"/>
          <w:szCs w:val="22"/>
        </w:rPr>
        <w:t xml:space="preserve"> of PEDP3 and discrete projects which have been used in its situational analysis to understand the Primary Education Sector Performance</w:t>
      </w:r>
      <w:r w:rsidR="00704F97">
        <w:rPr>
          <w:rFonts w:asciiTheme="minorHAnsi" w:hAnsiTheme="minorHAnsi" w:cstheme="minorHAnsi"/>
          <w:szCs w:val="22"/>
        </w:rPr>
        <w:t xml:space="preserve"> of Bangladesh as a w</w:t>
      </w:r>
      <w:r w:rsidRPr="002C0F5A">
        <w:rPr>
          <w:rFonts w:asciiTheme="minorHAnsi" w:hAnsiTheme="minorHAnsi" w:cstheme="minorHAnsi"/>
          <w:szCs w:val="22"/>
        </w:rPr>
        <w:t>hole.</w:t>
      </w:r>
    </w:p>
    <w:p w:rsidR="009D66FA" w:rsidRPr="005F120D" w:rsidRDefault="009D66FA" w:rsidP="009D66FA">
      <w:pPr>
        <w:spacing w:after="0" w:line="276" w:lineRule="auto"/>
        <w:jc w:val="both"/>
        <w:rPr>
          <w:rFonts w:asciiTheme="minorHAnsi" w:hAnsiTheme="minorHAnsi" w:cstheme="minorHAnsi"/>
          <w:b/>
          <w:color w:val="008000"/>
          <w:szCs w:val="22"/>
        </w:rPr>
      </w:pPr>
      <w:r w:rsidRPr="005F120D">
        <w:rPr>
          <w:rFonts w:asciiTheme="minorHAnsi" w:hAnsiTheme="minorHAnsi" w:cstheme="minorHAnsi"/>
          <w:b/>
          <w:color w:val="008000"/>
          <w:szCs w:val="22"/>
        </w:rPr>
        <w:t>Main Findings</w:t>
      </w:r>
    </w:p>
    <w:p w:rsidR="009D66FA" w:rsidRPr="005F120D" w:rsidRDefault="009D66FA" w:rsidP="009D66FA">
      <w:pPr>
        <w:spacing w:before="120" w:after="120" w:line="276" w:lineRule="auto"/>
        <w:jc w:val="both"/>
        <w:rPr>
          <w:rFonts w:asciiTheme="minorHAnsi" w:hAnsiTheme="minorHAnsi" w:cstheme="minorHAnsi"/>
          <w:b/>
          <w:color w:val="008000"/>
          <w:szCs w:val="22"/>
        </w:rPr>
      </w:pPr>
      <w:r w:rsidRPr="005F120D">
        <w:rPr>
          <w:rFonts w:asciiTheme="minorHAnsi" w:hAnsiTheme="minorHAnsi" w:cstheme="minorHAnsi"/>
          <w:b/>
          <w:color w:val="3333FF"/>
          <w:szCs w:val="22"/>
        </w:rPr>
        <w:t xml:space="preserve">Basic Information on Primary Education </w:t>
      </w:r>
    </w:p>
    <w:p w:rsidR="00903D6B" w:rsidRPr="005F120D" w:rsidRDefault="00903D6B" w:rsidP="00903D6B">
      <w:pPr>
        <w:numPr>
          <w:ilvl w:val="0"/>
          <w:numId w:val="52"/>
        </w:numPr>
        <w:spacing w:before="120" w:after="120" w:line="276" w:lineRule="auto"/>
        <w:contextualSpacing/>
        <w:jc w:val="both"/>
        <w:rPr>
          <w:rFonts w:asciiTheme="minorHAnsi" w:hAnsiTheme="minorHAnsi" w:cstheme="minorHAnsi"/>
          <w:bCs/>
          <w:szCs w:val="22"/>
        </w:rPr>
      </w:pPr>
      <w:r w:rsidRPr="005F120D">
        <w:rPr>
          <w:rFonts w:asciiTheme="minorHAnsi" w:hAnsiTheme="minorHAnsi" w:cstheme="minorHAnsi"/>
          <w:szCs w:val="22"/>
        </w:rPr>
        <w:t xml:space="preserve">The 2015 school census covered 122,176 (25 types) formal and non-formal primary level educational institutes. Among those, 38,306 (31.4%) are Government Primary School (GPS); 25,240 (20.7%) are Newly Nationalized Primary School (NNPS); 18,318 (15%) are Kindergartens; 13,522 (11%) are BRAC schools; 6,258 (5.1%) are ROSC Anandya schools; 2,877 (2%) </w:t>
      </w:r>
      <w:r w:rsidR="0089702D">
        <w:rPr>
          <w:rFonts w:asciiTheme="minorHAnsi" w:hAnsiTheme="minorHAnsi" w:cstheme="minorHAnsi"/>
          <w:szCs w:val="22"/>
        </w:rPr>
        <w:t>are Ebtedayee Madrasha</w:t>
      </w:r>
      <w:r w:rsidRPr="005F120D">
        <w:rPr>
          <w:rFonts w:asciiTheme="minorHAnsi" w:hAnsiTheme="minorHAnsi" w:cstheme="minorHAnsi"/>
          <w:szCs w:val="22"/>
        </w:rPr>
        <w:t>;</w:t>
      </w:r>
      <w:r w:rsidR="0089702D">
        <w:rPr>
          <w:rFonts w:asciiTheme="minorHAnsi" w:hAnsiTheme="minorHAnsi" w:cstheme="minorHAnsi"/>
          <w:szCs w:val="22"/>
        </w:rPr>
        <w:t xml:space="preserve"> 5,599 (4.6%) are High Madrasha</w:t>
      </w:r>
      <w:r w:rsidRPr="005F120D">
        <w:rPr>
          <w:rFonts w:asciiTheme="minorHAnsi" w:hAnsiTheme="minorHAnsi" w:cstheme="minorHAnsi"/>
          <w:szCs w:val="22"/>
        </w:rPr>
        <w:t xml:space="preserve"> attached Ebtedayee, </w:t>
      </w:r>
      <w:r w:rsidRPr="005F120D">
        <w:rPr>
          <w:rFonts w:asciiTheme="minorHAnsi" w:hAnsiTheme="minorHAnsi" w:cstheme="minorHAnsi"/>
          <w:bCs/>
          <w:szCs w:val="22"/>
        </w:rPr>
        <w:t>112 (0.1%)</w:t>
      </w:r>
      <w:r w:rsidRPr="005F120D">
        <w:rPr>
          <w:rFonts w:asciiTheme="minorHAnsi" w:hAnsiTheme="minorHAnsi" w:cstheme="minorHAnsi"/>
          <w:szCs w:val="22"/>
        </w:rPr>
        <w:t xml:space="preserve"> are Registered Non-Government Primary School (</w:t>
      </w:r>
      <w:r w:rsidRPr="005F120D">
        <w:rPr>
          <w:rFonts w:asciiTheme="minorHAnsi" w:hAnsiTheme="minorHAnsi" w:cstheme="minorHAnsi"/>
          <w:bCs/>
          <w:szCs w:val="22"/>
        </w:rPr>
        <w:t>RNGPS); 1,926 (1.6%) are Non-</w:t>
      </w:r>
      <w:r w:rsidRPr="005F120D">
        <w:rPr>
          <w:rFonts w:asciiTheme="minorHAnsi" w:hAnsiTheme="minorHAnsi" w:cstheme="minorHAnsi"/>
          <w:szCs w:val="22"/>
        </w:rPr>
        <w:t>Registered Non-Government Primary School (</w:t>
      </w:r>
      <w:r w:rsidRPr="005F120D">
        <w:rPr>
          <w:rFonts w:asciiTheme="minorHAnsi" w:hAnsiTheme="minorHAnsi" w:cstheme="minorHAnsi"/>
          <w:bCs/>
          <w:szCs w:val="22"/>
        </w:rPr>
        <w:t>NRNGPS); 55 (0.05%) are PTI Experimental schools; 106 (0.1%) Community schools; and 152 (0.1%) are Shishu Kollyan schools.</w:t>
      </w:r>
    </w:p>
    <w:p w:rsidR="00903D6B" w:rsidRPr="005F120D" w:rsidRDefault="00903D6B" w:rsidP="00903D6B">
      <w:pPr>
        <w:spacing w:before="120" w:after="120" w:line="276" w:lineRule="auto"/>
        <w:ind w:left="360"/>
        <w:contextualSpacing/>
        <w:jc w:val="both"/>
        <w:rPr>
          <w:rFonts w:asciiTheme="minorHAnsi" w:hAnsiTheme="minorHAnsi" w:cstheme="minorHAnsi"/>
          <w:bCs/>
          <w:szCs w:val="22"/>
        </w:rPr>
      </w:pPr>
    </w:p>
    <w:p w:rsidR="00903D6B" w:rsidRPr="005F120D" w:rsidRDefault="00903D6B" w:rsidP="00903D6B">
      <w:pPr>
        <w:numPr>
          <w:ilvl w:val="0"/>
          <w:numId w:val="52"/>
        </w:numPr>
        <w:spacing w:before="120" w:after="120" w:line="276" w:lineRule="auto"/>
        <w:contextualSpacing/>
        <w:jc w:val="both"/>
        <w:rPr>
          <w:rFonts w:asciiTheme="minorHAnsi" w:hAnsiTheme="minorHAnsi" w:cstheme="minorHAnsi"/>
          <w:color w:val="FF0000"/>
          <w:szCs w:val="22"/>
        </w:rPr>
      </w:pPr>
      <w:r w:rsidRPr="005F120D">
        <w:rPr>
          <w:rFonts w:asciiTheme="minorHAnsi" w:hAnsiTheme="minorHAnsi" w:cstheme="minorHAnsi"/>
          <w:szCs w:val="22"/>
        </w:rPr>
        <w:t>The total student enrolment in 2015 was 19,067,761 (Boys 9,369,079 and girls 9,698,682) in all primary level educational institutes. The percentage of girls was 50.9% overall. The percentages of girls in the two major categories of schools - GPS and NNPS - were 51.9% and 51.2% respectively.</w:t>
      </w:r>
    </w:p>
    <w:p w:rsidR="00903D6B" w:rsidRPr="005F120D" w:rsidRDefault="00903D6B" w:rsidP="00903D6B">
      <w:pPr>
        <w:spacing w:before="240" w:line="276" w:lineRule="auto"/>
        <w:contextualSpacing/>
        <w:jc w:val="both"/>
        <w:rPr>
          <w:rFonts w:asciiTheme="minorHAnsi" w:hAnsiTheme="minorHAnsi" w:cstheme="minorHAnsi"/>
          <w:color w:val="FF0000"/>
          <w:szCs w:val="22"/>
        </w:rPr>
      </w:pPr>
    </w:p>
    <w:p w:rsidR="00903D6B" w:rsidRPr="005F120D" w:rsidRDefault="00903D6B" w:rsidP="00903D6B">
      <w:pPr>
        <w:numPr>
          <w:ilvl w:val="0"/>
          <w:numId w:val="52"/>
        </w:numPr>
        <w:spacing w:before="240" w:line="276" w:lineRule="auto"/>
        <w:contextualSpacing/>
        <w:jc w:val="both"/>
        <w:rPr>
          <w:rFonts w:asciiTheme="minorHAnsi" w:hAnsiTheme="minorHAnsi" w:cstheme="minorHAnsi"/>
          <w:szCs w:val="22"/>
        </w:rPr>
      </w:pPr>
      <w:r w:rsidRPr="005F120D">
        <w:rPr>
          <w:rFonts w:asciiTheme="minorHAnsi" w:hAnsiTheme="minorHAnsi" w:cstheme="minorHAnsi"/>
          <w:szCs w:val="22"/>
        </w:rPr>
        <w:lastRenderedPageBreak/>
        <w:t xml:space="preserve">Employed teachers numbered 527,798. Of these, male teachers comprised 213,499 (40.5%) and female teachers </w:t>
      </w:r>
      <w:r w:rsidRPr="005F120D">
        <w:rPr>
          <w:rFonts w:asciiTheme="minorHAnsi" w:hAnsiTheme="minorHAnsi" w:cstheme="minorHAnsi"/>
          <w:szCs w:val="22"/>
          <w:lang w:eastAsia="zh-CN"/>
        </w:rPr>
        <w:t>314,299 (59.5%)</w:t>
      </w:r>
      <w:r w:rsidRPr="005F120D">
        <w:rPr>
          <w:rFonts w:asciiTheme="minorHAnsi" w:hAnsiTheme="minorHAnsi" w:cstheme="minorHAnsi"/>
          <w:szCs w:val="22"/>
        </w:rPr>
        <w:t>. The percentages of female teachers in the two major categories of schools - GPS and NNPS – were 66.4% and 51% respectively. The share of female teachers has increased significantly over the past six years from 43.5% in 2009 to 59.5% in 2015.</w:t>
      </w:r>
    </w:p>
    <w:p w:rsidR="00903D6B" w:rsidRPr="005F120D" w:rsidRDefault="00903D6B" w:rsidP="00903D6B">
      <w:pPr>
        <w:spacing w:before="240" w:line="276" w:lineRule="auto"/>
        <w:contextualSpacing/>
        <w:jc w:val="both"/>
        <w:rPr>
          <w:rFonts w:asciiTheme="minorHAnsi" w:hAnsiTheme="minorHAnsi" w:cstheme="minorHAnsi"/>
          <w:szCs w:val="22"/>
        </w:rPr>
      </w:pPr>
    </w:p>
    <w:p w:rsidR="00903D6B" w:rsidRPr="005F120D" w:rsidRDefault="00903D6B" w:rsidP="00903D6B">
      <w:pPr>
        <w:numPr>
          <w:ilvl w:val="0"/>
          <w:numId w:val="52"/>
        </w:numPr>
        <w:spacing w:before="240" w:line="276" w:lineRule="auto"/>
        <w:contextualSpacing/>
        <w:jc w:val="both"/>
        <w:rPr>
          <w:rFonts w:asciiTheme="minorHAnsi" w:hAnsiTheme="minorHAnsi" w:cstheme="minorHAnsi"/>
          <w:szCs w:val="22"/>
        </w:rPr>
      </w:pPr>
      <w:r w:rsidRPr="005F120D">
        <w:rPr>
          <w:rFonts w:asciiTheme="minorHAnsi" w:hAnsiTheme="minorHAnsi" w:cstheme="minorHAnsi"/>
          <w:szCs w:val="22"/>
        </w:rPr>
        <w:t>The Ministry of Primary and Mass Education (MoPME) is the main primary education provider. In 2015, the number of MoPME-managed schools was 72,155 (60%) with 75% of the country’s students and 64% of teachers.  Other major providers of primary education included the Ministry of Education (MoE) at 8.2%, the Ministry of Commerce (MoC) at 15% and the NGOs under the NGO Bureau at 13.3%.</w:t>
      </w:r>
    </w:p>
    <w:p w:rsidR="00903D6B" w:rsidRPr="005F120D" w:rsidRDefault="00903D6B" w:rsidP="00903D6B">
      <w:pPr>
        <w:spacing w:before="240" w:line="276" w:lineRule="auto"/>
        <w:contextualSpacing/>
        <w:jc w:val="both"/>
        <w:rPr>
          <w:rFonts w:asciiTheme="minorHAnsi" w:hAnsiTheme="minorHAnsi" w:cstheme="minorHAnsi"/>
          <w:szCs w:val="22"/>
        </w:rPr>
      </w:pPr>
    </w:p>
    <w:p w:rsidR="009D66FA" w:rsidRPr="005F120D" w:rsidRDefault="00903D6B" w:rsidP="00903D6B">
      <w:pPr>
        <w:numPr>
          <w:ilvl w:val="0"/>
          <w:numId w:val="52"/>
        </w:numPr>
        <w:spacing w:before="240" w:line="276" w:lineRule="auto"/>
        <w:contextualSpacing/>
        <w:jc w:val="both"/>
        <w:rPr>
          <w:rFonts w:asciiTheme="minorHAnsi" w:hAnsiTheme="minorHAnsi" w:cstheme="minorHAnsi"/>
          <w:szCs w:val="22"/>
        </w:rPr>
      </w:pPr>
      <w:r w:rsidRPr="005F120D">
        <w:rPr>
          <w:rFonts w:asciiTheme="minorHAnsi" w:hAnsiTheme="minorHAnsi" w:cstheme="minorHAnsi"/>
          <w:szCs w:val="22"/>
        </w:rPr>
        <w:t xml:space="preserve">There are different types of </w:t>
      </w:r>
      <w:r w:rsidRPr="005F120D">
        <w:rPr>
          <w:rFonts w:asciiTheme="minorHAnsi" w:hAnsiTheme="minorHAnsi" w:cstheme="minorHAnsi"/>
          <w:bCs/>
          <w:szCs w:val="22"/>
        </w:rPr>
        <w:t>non-formal</w:t>
      </w:r>
      <w:r w:rsidRPr="005F120D">
        <w:rPr>
          <w:rFonts w:asciiTheme="minorHAnsi" w:hAnsiTheme="minorHAnsi" w:cstheme="minorHAnsi"/>
          <w:szCs w:val="22"/>
        </w:rPr>
        <w:t xml:space="preserve"> institutes in Bangladesh. Around 500 NGOs run Learning Centers (only Grade 1 or Grade 1-2) or full-fledged schools. BRAC is the largest NGO operating primary schools.  There are about 532,335 students in 17,826 schools managed directly by BRAC and 148,416 students in 4,965 schools managed by BRAC’s partner NGOs, as shown in BRAC’s administrative records for 2015</w:t>
      </w:r>
      <w:r w:rsidR="009D66FA" w:rsidRPr="005F120D">
        <w:rPr>
          <w:rFonts w:asciiTheme="minorHAnsi" w:hAnsiTheme="minorHAnsi" w:cstheme="minorHAnsi"/>
          <w:szCs w:val="22"/>
        </w:rPr>
        <w:t>.</w:t>
      </w:r>
    </w:p>
    <w:p w:rsidR="009D66FA" w:rsidRPr="005F120D" w:rsidRDefault="009D66FA" w:rsidP="009D66FA">
      <w:pPr>
        <w:spacing w:before="240" w:line="276" w:lineRule="auto"/>
        <w:ind w:left="360"/>
        <w:contextualSpacing/>
        <w:jc w:val="both"/>
        <w:rPr>
          <w:rFonts w:asciiTheme="minorHAnsi" w:hAnsiTheme="minorHAnsi" w:cstheme="minorHAnsi"/>
          <w:szCs w:val="22"/>
        </w:rPr>
      </w:pPr>
    </w:p>
    <w:p w:rsidR="009D66FA" w:rsidRPr="005F120D" w:rsidRDefault="009D66FA" w:rsidP="009D66FA">
      <w:pPr>
        <w:spacing w:before="120" w:after="120" w:line="276" w:lineRule="auto"/>
        <w:rPr>
          <w:rFonts w:asciiTheme="minorHAnsi" w:hAnsiTheme="minorHAnsi" w:cstheme="minorHAnsi"/>
          <w:b/>
          <w:color w:val="3333FF"/>
          <w:szCs w:val="22"/>
        </w:rPr>
      </w:pPr>
      <w:r w:rsidRPr="005F120D">
        <w:rPr>
          <w:rFonts w:asciiTheme="minorHAnsi" w:hAnsiTheme="minorHAnsi" w:cstheme="minorHAnsi"/>
          <w:b/>
          <w:color w:val="3333FF"/>
          <w:szCs w:val="22"/>
        </w:rPr>
        <w:t xml:space="preserve">Learning Outcomes </w:t>
      </w:r>
    </w:p>
    <w:p w:rsidR="00903D6B" w:rsidRPr="005F120D" w:rsidRDefault="00903D6B" w:rsidP="00903D6B">
      <w:pPr>
        <w:pStyle w:val="BodyText1"/>
        <w:jc w:val="both"/>
        <w:rPr>
          <w:rFonts w:asciiTheme="minorHAnsi" w:hAnsiTheme="minorHAnsi" w:cstheme="minorHAnsi"/>
          <w:b w:val="0"/>
        </w:rPr>
      </w:pPr>
      <w:r w:rsidRPr="005F120D">
        <w:rPr>
          <w:rFonts w:asciiTheme="minorHAnsi" w:hAnsiTheme="minorHAnsi" w:cstheme="minorHAnsi"/>
          <w:b w:val="0"/>
        </w:rPr>
        <w:t>Student le</w:t>
      </w:r>
      <w:r w:rsidRPr="005F120D">
        <w:rPr>
          <w:rFonts w:asciiTheme="minorHAnsi" w:hAnsiTheme="minorHAnsi" w:cstheme="minorHAnsi"/>
          <w:b w:val="0"/>
          <w:color w:val="000000"/>
        </w:rPr>
        <w:t xml:space="preserve">arning achievement is the core goal of the PEDP3. In this report, Learning Outcomes are measured, using the National Student Assessment (NSA) and the Primary Education Completion Examination (PECE), </w:t>
      </w:r>
      <w:r w:rsidR="003F2235" w:rsidRPr="005F120D">
        <w:rPr>
          <w:rFonts w:asciiTheme="minorHAnsi" w:hAnsiTheme="minorHAnsi" w:cstheme="minorHAnsi"/>
          <w:b w:val="0"/>
          <w:color w:val="000000"/>
        </w:rPr>
        <w:t xml:space="preserve">and </w:t>
      </w:r>
      <w:r w:rsidRPr="005F120D">
        <w:rPr>
          <w:rFonts w:asciiTheme="minorHAnsi" w:hAnsiTheme="minorHAnsi" w:cstheme="minorHAnsi"/>
          <w:b w:val="0"/>
          <w:color w:val="000000"/>
        </w:rPr>
        <w:t xml:space="preserve">discussed </w:t>
      </w:r>
      <w:r w:rsidRPr="005F120D">
        <w:rPr>
          <w:rFonts w:asciiTheme="minorHAnsi" w:hAnsiTheme="minorHAnsi" w:cstheme="minorHAnsi"/>
          <w:b w:val="0"/>
        </w:rPr>
        <w:t>in Chapter 3. The PECE, which has taken place annually since 2009, is complemented by the NSA, which takes place every two years.</w:t>
      </w:r>
    </w:p>
    <w:p w:rsidR="00903D6B" w:rsidRPr="005F120D" w:rsidRDefault="00903D6B" w:rsidP="00903D6B">
      <w:pPr>
        <w:pStyle w:val="BodyText1"/>
        <w:jc w:val="both"/>
        <w:rPr>
          <w:rFonts w:asciiTheme="minorHAnsi" w:hAnsiTheme="minorHAnsi" w:cstheme="minorHAnsi"/>
          <w:b w:val="0"/>
        </w:rPr>
      </w:pPr>
      <w:r w:rsidRPr="005F120D">
        <w:rPr>
          <w:rFonts w:asciiTheme="minorHAnsi" w:hAnsiTheme="minorHAnsi" w:cstheme="minorHAnsi"/>
          <w:b w:val="0"/>
        </w:rPr>
        <w:t xml:space="preserve">The percentage of students who pass these exams appears to be broadly similar. The pass rate for the PECE (which means the student gets a score of 33% or above) was 98% in 2015. In the NSA, to achieve the required Grade level of “competencies’’ or “learning outcomes”, a student has to score 50% or more. About 75% of Grade 3 students in Bangla and 57% in Mathematics were </w:t>
      </w:r>
      <w:r w:rsidR="00AC356B" w:rsidRPr="005F120D">
        <w:rPr>
          <w:rFonts w:asciiTheme="minorHAnsi" w:hAnsiTheme="minorHAnsi" w:cstheme="minorHAnsi"/>
          <w:b w:val="0"/>
        </w:rPr>
        <w:t>successful</w:t>
      </w:r>
      <w:r w:rsidRPr="005F120D">
        <w:rPr>
          <w:rFonts w:asciiTheme="minorHAnsi" w:hAnsiTheme="minorHAnsi" w:cstheme="minorHAnsi"/>
          <w:b w:val="0"/>
        </w:rPr>
        <w:t xml:space="preserve"> and about 25% of Grade 5 students in Bangla and Mathematics achieved that score in 2013. </w:t>
      </w:r>
    </w:p>
    <w:p w:rsidR="00903D6B" w:rsidRPr="005F120D" w:rsidRDefault="00903D6B" w:rsidP="00903D6B">
      <w:pPr>
        <w:pStyle w:val="BodyText1"/>
        <w:jc w:val="both"/>
        <w:rPr>
          <w:rFonts w:asciiTheme="minorHAnsi" w:hAnsiTheme="minorHAnsi" w:cstheme="minorHAnsi"/>
          <w:b w:val="0"/>
        </w:rPr>
      </w:pPr>
      <w:r w:rsidRPr="005F120D">
        <w:rPr>
          <w:rFonts w:asciiTheme="minorHAnsi" w:hAnsiTheme="minorHAnsi" w:cstheme="minorHAnsi"/>
          <w:b w:val="0"/>
        </w:rPr>
        <w:t xml:space="preserve">However, the tests themselves are different. The National Student Assessment aims to test more of the critical thinking skills and competencies </w:t>
      </w:r>
      <w:r w:rsidR="003F2235" w:rsidRPr="005F120D">
        <w:rPr>
          <w:rFonts w:asciiTheme="minorHAnsi" w:hAnsiTheme="minorHAnsi" w:cstheme="minorHAnsi"/>
          <w:b w:val="0"/>
        </w:rPr>
        <w:t xml:space="preserve">that </w:t>
      </w:r>
      <w:r w:rsidRPr="005F120D">
        <w:rPr>
          <w:rFonts w:asciiTheme="minorHAnsi" w:hAnsiTheme="minorHAnsi" w:cstheme="minorHAnsi"/>
          <w:b w:val="0"/>
        </w:rPr>
        <w:t xml:space="preserve">students need. The PECE is more traditional. An important task for the PEDP3 is to improve the national curriculum and the competency based Grade 5 PECE test items so that students learn and are tested on the skills needed for life. </w:t>
      </w:r>
    </w:p>
    <w:p w:rsidR="00903D6B" w:rsidRPr="005F120D" w:rsidRDefault="00903D6B" w:rsidP="00903D6B">
      <w:pPr>
        <w:pStyle w:val="BodyText1"/>
        <w:jc w:val="both"/>
        <w:rPr>
          <w:rFonts w:asciiTheme="minorHAnsi" w:hAnsiTheme="minorHAnsi" w:cstheme="minorHAnsi"/>
          <w:b w:val="0"/>
        </w:rPr>
      </w:pPr>
      <w:r w:rsidRPr="005F120D">
        <w:rPr>
          <w:rFonts w:asciiTheme="minorHAnsi" w:hAnsiTheme="minorHAnsi" w:cstheme="minorHAnsi"/>
          <w:b w:val="0"/>
        </w:rPr>
        <w:t xml:space="preserve">As highlighted in Chapter 3, in previous years, there was no systematic information </w:t>
      </w:r>
      <w:r w:rsidRPr="005F120D">
        <w:rPr>
          <w:rFonts w:asciiTheme="minorHAnsi" w:hAnsiTheme="minorHAnsi" w:cstheme="minorHAnsi"/>
          <w:b w:val="0"/>
          <w:color w:val="000000"/>
        </w:rPr>
        <w:t>on learning outcomes that could be used for trend analysis. However, the evidence over the last ten yea</w:t>
      </w:r>
      <w:r w:rsidRPr="005F120D">
        <w:rPr>
          <w:rFonts w:asciiTheme="minorHAnsi" w:hAnsiTheme="minorHAnsi" w:cstheme="minorHAnsi"/>
          <w:b w:val="0"/>
        </w:rPr>
        <w:t xml:space="preserve">rs (NSA and Education Watch Survey) suggests there is progress. The analysis of the 2013 National Student Assessment shows that the factors most closely associated with student achievement are teacher qualifications, class size and number of days the school is open.  All of these improved steadily during PEDP3 and will continue to be a focus of Post-PEDP3. Ways of measuring them will also be </w:t>
      </w:r>
      <w:r w:rsidR="003F2235" w:rsidRPr="005F120D">
        <w:rPr>
          <w:rFonts w:asciiTheme="minorHAnsi" w:hAnsiTheme="minorHAnsi" w:cstheme="minorHAnsi"/>
          <w:b w:val="0"/>
        </w:rPr>
        <w:t>raised</w:t>
      </w:r>
      <w:r w:rsidRPr="005F120D">
        <w:rPr>
          <w:rFonts w:asciiTheme="minorHAnsi" w:hAnsiTheme="minorHAnsi" w:cstheme="minorHAnsi"/>
          <w:b w:val="0"/>
        </w:rPr>
        <w:t xml:space="preserve"> to an international standard.</w:t>
      </w:r>
    </w:p>
    <w:p w:rsidR="00903D6B" w:rsidRPr="005F120D" w:rsidRDefault="00903D6B" w:rsidP="00903D6B">
      <w:pPr>
        <w:pStyle w:val="BodyText1"/>
        <w:jc w:val="both"/>
        <w:rPr>
          <w:rFonts w:asciiTheme="minorHAnsi" w:hAnsiTheme="minorHAnsi" w:cstheme="minorHAnsi"/>
          <w:b w:val="0"/>
        </w:rPr>
      </w:pPr>
      <w:r w:rsidRPr="005F120D">
        <w:rPr>
          <w:rFonts w:asciiTheme="minorHAnsi" w:hAnsiTheme="minorHAnsi" w:cstheme="minorHAnsi"/>
          <w:b w:val="0"/>
        </w:rPr>
        <w:t xml:space="preserve">Many things influence learning. So it is difficult to identify exactly what will be most effective when trying to improve learning outcomes. Exams that only test rote-learning and ability to recall facts </w:t>
      </w:r>
      <w:r w:rsidRPr="005F120D">
        <w:rPr>
          <w:rFonts w:asciiTheme="minorHAnsi" w:hAnsiTheme="minorHAnsi" w:cstheme="minorHAnsi"/>
          <w:b w:val="0"/>
        </w:rPr>
        <w:lastRenderedPageBreak/>
        <w:t>have a strongly negative influence on creativity and teacher innovation. Teachers need encouragement to try new teaching ideas. An examination that tests thinking skills can help to support more creative teaching. The new curriculum and examinations will also give teachers and students a better understanding of the skills they</w:t>
      </w:r>
      <w:r w:rsidR="003F2235" w:rsidRPr="005F120D">
        <w:rPr>
          <w:rFonts w:asciiTheme="minorHAnsi" w:hAnsiTheme="minorHAnsi" w:cstheme="minorHAnsi"/>
          <w:b w:val="0"/>
        </w:rPr>
        <w:t>, the students</w:t>
      </w:r>
      <w:r w:rsidR="003C0596" w:rsidRPr="005F120D">
        <w:rPr>
          <w:rFonts w:asciiTheme="minorHAnsi" w:hAnsiTheme="minorHAnsi" w:cstheme="minorHAnsi"/>
          <w:b w:val="0"/>
        </w:rPr>
        <w:t>, must acquire</w:t>
      </w:r>
      <w:r w:rsidRPr="005F120D">
        <w:rPr>
          <w:rFonts w:asciiTheme="minorHAnsi" w:hAnsiTheme="minorHAnsi" w:cstheme="minorHAnsi"/>
          <w:b w:val="0"/>
        </w:rPr>
        <w:t xml:space="preserve">. </w:t>
      </w:r>
    </w:p>
    <w:p w:rsidR="009D66FA" w:rsidRPr="005F120D" w:rsidRDefault="00903D6B" w:rsidP="00903D6B">
      <w:pPr>
        <w:spacing w:before="120" w:after="120" w:line="276" w:lineRule="auto"/>
        <w:jc w:val="both"/>
        <w:rPr>
          <w:rFonts w:asciiTheme="minorHAnsi" w:hAnsiTheme="minorHAnsi" w:cstheme="minorHAnsi"/>
          <w:b/>
          <w:color w:val="3333FF"/>
          <w:szCs w:val="22"/>
        </w:rPr>
      </w:pPr>
      <w:r w:rsidRPr="005F120D">
        <w:rPr>
          <w:rFonts w:asciiTheme="minorHAnsi" w:hAnsiTheme="minorHAnsi" w:cstheme="minorHAnsi"/>
        </w:rPr>
        <w:t>Support for the NAPE and NCTB that developed the new curriculum and examination system is a major task of the PEDP3. The work of the National Assessment Cell (NAC) in the M&amp;E Division, the National Curriculum and Textbook Board (NCTB) and the National Academy of Primary Education (NAPE)</w:t>
      </w:r>
      <w:r w:rsidR="00375B39" w:rsidRPr="005F120D">
        <w:rPr>
          <w:rFonts w:asciiTheme="minorHAnsi" w:hAnsiTheme="minorHAnsi" w:cstheme="minorHAnsi"/>
        </w:rPr>
        <w:t xml:space="preserve"> has</w:t>
      </w:r>
      <w:r w:rsidR="00704F97">
        <w:rPr>
          <w:rFonts w:asciiTheme="minorHAnsi" w:hAnsiTheme="minorHAnsi" w:cstheme="minorHAnsi"/>
        </w:rPr>
        <w:t xml:space="preserve"> </w:t>
      </w:r>
      <w:r w:rsidR="003F2235" w:rsidRPr="005F120D">
        <w:rPr>
          <w:rFonts w:asciiTheme="minorHAnsi" w:hAnsiTheme="minorHAnsi" w:cstheme="minorHAnsi"/>
        </w:rPr>
        <w:t xml:space="preserve">had </w:t>
      </w:r>
      <w:r w:rsidRPr="005F120D">
        <w:rPr>
          <w:rFonts w:asciiTheme="minorHAnsi" w:hAnsiTheme="minorHAnsi" w:cstheme="minorHAnsi"/>
        </w:rPr>
        <w:t>undoubtedly a positive effect on learning outcomes. Teacher training, both pre- and in-service, through the PTIs and URCs</w:t>
      </w:r>
      <w:r w:rsidR="003C0596" w:rsidRPr="005F120D">
        <w:rPr>
          <w:rFonts w:asciiTheme="minorHAnsi" w:hAnsiTheme="minorHAnsi" w:cstheme="minorHAnsi"/>
        </w:rPr>
        <w:t>,</w:t>
      </w:r>
      <w:r w:rsidR="00704F97">
        <w:rPr>
          <w:rFonts w:asciiTheme="minorHAnsi" w:hAnsiTheme="minorHAnsi" w:cstheme="minorHAnsi"/>
        </w:rPr>
        <w:t xml:space="preserve"> </w:t>
      </w:r>
      <w:r w:rsidR="003F2235" w:rsidRPr="005F120D">
        <w:rPr>
          <w:rFonts w:asciiTheme="minorHAnsi" w:hAnsiTheme="minorHAnsi" w:cstheme="minorHAnsi"/>
        </w:rPr>
        <w:t xml:space="preserve">has </w:t>
      </w:r>
      <w:r w:rsidRPr="005F120D">
        <w:rPr>
          <w:rFonts w:asciiTheme="minorHAnsi" w:hAnsiTheme="minorHAnsi" w:cstheme="minorHAnsi"/>
        </w:rPr>
        <w:t>also play</w:t>
      </w:r>
      <w:r w:rsidR="003F2235" w:rsidRPr="005F120D">
        <w:rPr>
          <w:rFonts w:asciiTheme="minorHAnsi" w:hAnsiTheme="minorHAnsi" w:cstheme="minorHAnsi"/>
        </w:rPr>
        <w:t>ed</w:t>
      </w:r>
      <w:r w:rsidRPr="005F120D">
        <w:rPr>
          <w:rFonts w:asciiTheme="minorHAnsi" w:hAnsiTheme="minorHAnsi" w:cstheme="minorHAnsi"/>
        </w:rPr>
        <w:t xml:space="preserve"> an important related role. But it is necessary </w:t>
      </w:r>
      <w:r w:rsidRPr="005F120D">
        <w:rPr>
          <w:rFonts w:asciiTheme="minorHAnsi" w:hAnsiTheme="minorHAnsi" w:cstheme="minorHAnsi"/>
          <w:color w:val="000000"/>
        </w:rPr>
        <w:t>to</w:t>
      </w:r>
      <w:r w:rsidRPr="005F120D">
        <w:rPr>
          <w:rFonts w:asciiTheme="minorHAnsi" w:hAnsiTheme="minorHAnsi" w:cstheme="minorHAnsi"/>
        </w:rPr>
        <w:t xml:space="preserve"> carefully monitor outputs and outcomes (student achievement) separately from the work of the organizations just mentioned to be able to compare and identify the determining factors of student learning achievement</w:t>
      </w:r>
      <w:r w:rsidR="009D66FA" w:rsidRPr="005F120D">
        <w:rPr>
          <w:rFonts w:asciiTheme="minorHAnsi" w:hAnsiTheme="minorHAnsi" w:cstheme="minorHAnsi"/>
        </w:rPr>
        <w:t>.</w:t>
      </w:r>
    </w:p>
    <w:p w:rsidR="009D66FA" w:rsidRPr="005F120D" w:rsidRDefault="009D66FA" w:rsidP="009D66FA">
      <w:pPr>
        <w:spacing w:before="120" w:after="120" w:line="276" w:lineRule="auto"/>
        <w:rPr>
          <w:rFonts w:asciiTheme="minorHAnsi" w:hAnsiTheme="minorHAnsi" w:cstheme="minorHAnsi"/>
          <w:b/>
          <w:color w:val="008000"/>
          <w:sz w:val="24"/>
          <w:szCs w:val="24"/>
        </w:rPr>
      </w:pPr>
      <w:r w:rsidRPr="005F120D">
        <w:rPr>
          <w:rFonts w:asciiTheme="minorHAnsi" w:hAnsiTheme="minorHAnsi" w:cstheme="minorHAnsi"/>
          <w:b/>
          <w:color w:val="008000"/>
          <w:sz w:val="24"/>
          <w:szCs w:val="24"/>
        </w:rPr>
        <w:t>Universal Access and Participation</w:t>
      </w:r>
    </w:p>
    <w:p w:rsidR="00375B39" w:rsidRPr="005F120D" w:rsidRDefault="00375B39" w:rsidP="00375B39">
      <w:pPr>
        <w:pStyle w:val="BodyText1"/>
        <w:spacing w:before="240"/>
        <w:jc w:val="both"/>
        <w:rPr>
          <w:rFonts w:asciiTheme="minorHAnsi" w:hAnsiTheme="minorHAnsi" w:cstheme="minorHAnsi"/>
          <w:b w:val="0"/>
          <w:color w:val="000000"/>
        </w:rPr>
      </w:pPr>
      <w:r w:rsidRPr="005F120D">
        <w:rPr>
          <w:rFonts w:asciiTheme="minorHAnsi" w:hAnsiTheme="minorHAnsi" w:cstheme="minorHAnsi"/>
          <w:b w:val="0"/>
        </w:rPr>
        <w:t xml:space="preserve">The goal of PEDP3 is that all children of primary school age go to school. In PEDP3, emphasis is also put on pre-primary schooling: children who attend pre-primary schools learn better and stay longer when they enter primary school. </w:t>
      </w:r>
      <w:r w:rsidRPr="005F120D">
        <w:rPr>
          <w:rFonts w:asciiTheme="minorHAnsi" w:hAnsiTheme="minorHAnsi" w:cstheme="minorHAnsi"/>
          <w:b w:val="0"/>
          <w:color w:val="000000"/>
        </w:rPr>
        <w:t xml:space="preserve">The provision of pre-primary education (PPE), in other words ‘baby classes’, has seen tremendous growth. The Government has now formalised the provision of PPE in DPE-managed primary schools; PEDP3 will support the implementation of this framework. This year has </w:t>
      </w:r>
      <w:r w:rsidR="003F2235" w:rsidRPr="005F120D">
        <w:rPr>
          <w:rFonts w:asciiTheme="minorHAnsi" w:hAnsiTheme="minorHAnsi" w:cstheme="minorHAnsi"/>
          <w:b w:val="0"/>
          <w:color w:val="000000"/>
        </w:rPr>
        <w:t>seen</w:t>
      </w:r>
      <w:r w:rsidRPr="005F120D">
        <w:rPr>
          <w:rFonts w:asciiTheme="minorHAnsi" w:hAnsiTheme="minorHAnsi" w:cstheme="minorHAnsi"/>
          <w:b w:val="0"/>
          <w:color w:val="000000"/>
        </w:rPr>
        <w:t xml:space="preserve"> a substantial increase in Grade 1 enrol</w:t>
      </w:r>
      <w:r w:rsidR="003F2235" w:rsidRPr="005F120D">
        <w:rPr>
          <w:rFonts w:asciiTheme="minorHAnsi" w:hAnsiTheme="minorHAnsi" w:cstheme="minorHAnsi"/>
          <w:b w:val="0"/>
          <w:color w:val="000000"/>
        </w:rPr>
        <w:t>ment of those who completed the</w:t>
      </w:r>
      <w:r w:rsidR="00704F97">
        <w:rPr>
          <w:rFonts w:asciiTheme="minorHAnsi" w:hAnsiTheme="minorHAnsi" w:cstheme="minorHAnsi"/>
          <w:b w:val="0"/>
          <w:color w:val="000000"/>
        </w:rPr>
        <w:t xml:space="preserve"> </w:t>
      </w:r>
      <w:r w:rsidRPr="005F120D">
        <w:rPr>
          <w:rFonts w:asciiTheme="minorHAnsi" w:hAnsiTheme="minorHAnsi" w:cstheme="minorHAnsi"/>
          <w:b w:val="0"/>
          <w:color w:val="000000"/>
        </w:rPr>
        <w:t>baby class in the previous year (96% in 2015 up from 42% in 2010)</w:t>
      </w:r>
      <w:r w:rsidR="00AC356B" w:rsidRPr="005F120D">
        <w:rPr>
          <w:rFonts w:asciiTheme="minorHAnsi" w:hAnsiTheme="minorHAnsi" w:cstheme="minorHAnsi"/>
          <w:b w:val="0"/>
          <w:color w:val="000000"/>
        </w:rPr>
        <w:t xml:space="preserve">.  In 2015, 97% </w:t>
      </w:r>
      <w:r w:rsidRPr="005F120D">
        <w:rPr>
          <w:rFonts w:asciiTheme="minorHAnsi" w:hAnsiTheme="minorHAnsi" w:cstheme="minorHAnsi"/>
          <w:b w:val="0"/>
          <w:color w:val="000000"/>
        </w:rPr>
        <w:t xml:space="preserve">GPS and NNPS </w:t>
      </w:r>
      <w:r w:rsidR="003F2235" w:rsidRPr="005F120D">
        <w:rPr>
          <w:rFonts w:asciiTheme="minorHAnsi" w:hAnsiTheme="minorHAnsi" w:cstheme="minorHAnsi"/>
          <w:b w:val="0"/>
          <w:color w:val="000000"/>
        </w:rPr>
        <w:t>have</w:t>
      </w:r>
      <w:r w:rsidR="00704F97">
        <w:rPr>
          <w:rFonts w:asciiTheme="minorHAnsi" w:hAnsiTheme="minorHAnsi" w:cstheme="minorHAnsi"/>
          <w:b w:val="0"/>
          <w:color w:val="000000"/>
        </w:rPr>
        <w:t xml:space="preserve"> </w:t>
      </w:r>
      <w:r w:rsidRPr="005F120D">
        <w:rPr>
          <w:rFonts w:asciiTheme="minorHAnsi" w:hAnsiTheme="minorHAnsi" w:cstheme="minorHAnsi"/>
          <w:b w:val="0"/>
          <w:color w:val="000000"/>
        </w:rPr>
        <w:t>operate</w:t>
      </w:r>
      <w:r w:rsidR="00AC356B" w:rsidRPr="005F120D">
        <w:rPr>
          <w:rFonts w:asciiTheme="minorHAnsi" w:hAnsiTheme="minorHAnsi" w:cstheme="minorHAnsi"/>
          <w:b w:val="0"/>
          <w:color w:val="000000"/>
        </w:rPr>
        <w:t>d</w:t>
      </w:r>
      <w:r w:rsidRPr="005F120D">
        <w:rPr>
          <w:rFonts w:asciiTheme="minorHAnsi" w:hAnsiTheme="minorHAnsi" w:cstheme="minorHAnsi"/>
          <w:b w:val="0"/>
          <w:color w:val="000000"/>
        </w:rPr>
        <w:t xml:space="preserve"> pre-primary classes.</w:t>
      </w:r>
    </w:p>
    <w:p w:rsidR="00375B39" w:rsidRPr="005F120D" w:rsidRDefault="00375B39" w:rsidP="00375B39">
      <w:pPr>
        <w:pStyle w:val="BodyText1"/>
        <w:spacing w:before="240"/>
        <w:jc w:val="both"/>
        <w:rPr>
          <w:rFonts w:asciiTheme="minorHAnsi" w:hAnsiTheme="minorHAnsi" w:cstheme="minorHAnsi"/>
          <w:b w:val="0"/>
          <w:color w:val="000000"/>
        </w:rPr>
      </w:pPr>
      <w:r w:rsidRPr="005F120D">
        <w:rPr>
          <w:rFonts w:asciiTheme="minorHAnsi" w:hAnsiTheme="minorHAnsi" w:cstheme="minorHAnsi"/>
          <w:b w:val="0"/>
        </w:rPr>
        <w:t>The gross enrolment rate (GER) - in other words the number of children enrolled in Grades 1</w:t>
      </w:r>
      <w:r w:rsidRPr="005F120D">
        <w:rPr>
          <w:rFonts w:asciiTheme="minorHAnsi" w:hAnsiTheme="minorHAnsi" w:cstheme="minorHAnsi"/>
          <w:b w:val="0"/>
          <w:color w:val="000000"/>
        </w:rPr>
        <w:t>–</w:t>
      </w:r>
      <w:r w:rsidRPr="005F120D">
        <w:rPr>
          <w:rFonts w:asciiTheme="minorHAnsi" w:hAnsiTheme="minorHAnsi" w:cstheme="minorHAnsi"/>
          <w:b w:val="0"/>
        </w:rPr>
        <w:t>5 relative to the total population of children aged 6</w:t>
      </w:r>
      <w:r w:rsidRPr="005F120D">
        <w:rPr>
          <w:rFonts w:asciiTheme="minorHAnsi" w:hAnsiTheme="minorHAnsi" w:cstheme="minorHAnsi"/>
          <w:b w:val="0"/>
          <w:color w:val="000000"/>
        </w:rPr>
        <w:t>–</w:t>
      </w:r>
      <w:r w:rsidRPr="005F120D">
        <w:rPr>
          <w:rFonts w:asciiTheme="minorHAnsi" w:hAnsiTheme="minorHAnsi" w:cstheme="minorHAnsi"/>
          <w:b w:val="0"/>
        </w:rPr>
        <w:t>10 (official primary school age) - was 109.2% in 2015 (up from 107.7% in 2010). The net enrolment rate (NER) - in other words the number of children of official primary school age (6</w:t>
      </w:r>
      <w:r w:rsidRPr="005F120D">
        <w:rPr>
          <w:rFonts w:asciiTheme="minorHAnsi" w:hAnsiTheme="minorHAnsi" w:cstheme="minorHAnsi"/>
          <w:b w:val="0"/>
          <w:color w:val="000000"/>
        </w:rPr>
        <w:t>–</w:t>
      </w:r>
      <w:r w:rsidRPr="005F120D">
        <w:rPr>
          <w:rFonts w:asciiTheme="minorHAnsi" w:hAnsiTheme="minorHAnsi" w:cstheme="minorHAnsi"/>
          <w:b w:val="0"/>
        </w:rPr>
        <w:t>10 years) enrolled in Grades 1</w:t>
      </w:r>
      <w:r w:rsidRPr="005F120D">
        <w:rPr>
          <w:rFonts w:asciiTheme="minorHAnsi" w:hAnsiTheme="minorHAnsi" w:cstheme="minorHAnsi"/>
          <w:b w:val="0"/>
          <w:color w:val="000000"/>
        </w:rPr>
        <w:t>–</w:t>
      </w:r>
      <w:r w:rsidRPr="005F120D">
        <w:rPr>
          <w:rFonts w:asciiTheme="minorHAnsi" w:hAnsiTheme="minorHAnsi" w:cstheme="minorHAnsi"/>
          <w:b w:val="0"/>
        </w:rPr>
        <w:t>5 relative to the total population of children aged 6</w:t>
      </w:r>
      <w:r w:rsidRPr="005F120D">
        <w:rPr>
          <w:rFonts w:asciiTheme="minorHAnsi" w:hAnsiTheme="minorHAnsi" w:cstheme="minorHAnsi"/>
          <w:b w:val="0"/>
          <w:color w:val="000000"/>
        </w:rPr>
        <w:t>–</w:t>
      </w:r>
      <w:r w:rsidRPr="005F120D">
        <w:rPr>
          <w:rFonts w:asciiTheme="minorHAnsi" w:hAnsiTheme="minorHAnsi" w:cstheme="minorHAnsi"/>
          <w:b w:val="0"/>
        </w:rPr>
        <w:t>10 years - was calculated to be 97.9% (up from 94.8% in 2010).</w:t>
      </w:r>
      <w:r w:rsidRPr="005F120D">
        <w:rPr>
          <w:rFonts w:asciiTheme="minorHAnsi" w:hAnsiTheme="minorHAnsi" w:cstheme="minorHAnsi"/>
          <w:b w:val="0"/>
          <w:color w:val="000000"/>
        </w:rPr>
        <w:t xml:space="preserve"> The total enrolment in formal primary education of children aged 6–10 has increased considerably since 2010, but declined noticeably in 2015 (by 0.5 million pupils).The enrolment increase is attributed to: the communication campaign for 100% enrolment by the Government; Stipend Program; School Feeding Program; Operationalize Pre-primary Education; introduction of PECE; etc.  The decline is due to a gradual </w:t>
      </w:r>
      <w:r w:rsidR="003C0596" w:rsidRPr="005F120D">
        <w:rPr>
          <w:rFonts w:asciiTheme="minorHAnsi" w:hAnsiTheme="minorHAnsi" w:cstheme="minorHAnsi"/>
          <w:b w:val="0"/>
          <w:color w:val="000000"/>
        </w:rPr>
        <w:t>decrease</w:t>
      </w:r>
      <w:r w:rsidRPr="005F120D">
        <w:rPr>
          <w:rFonts w:asciiTheme="minorHAnsi" w:hAnsiTheme="minorHAnsi" w:cstheme="minorHAnsi"/>
          <w:b w:val="0"/>
          <w:color w:val="000000"/>
        </w:rPr>
        <w:t xml:space="preserve"> in population growth, which is consistent with </w:t>
      </w:r>
      <w:r w:rsidR="003F2235" w:rsidRPr="005F120D">
        <w:rPr>
          <w:rFonts w:asciiTheme="minorHAnsi" w:hAnsiTheme="minorHAnsi" w:cstheme="minorHAnsi"/>
          <w:b w:val="0"/>
          <w:color w:val="000000"/>
        </w:rPr>
        <w:t xml:space="preserve">the </w:t>
      </w:r>
      <w:r w:rsidRPr="005F120D">
        <w:rPr>
          <w:rFonts w:asciiTheme="minorHAnsi" w:hAnsiTheme="minorHAnsi" w:cstheme="minorHAnsi"/>
          <w:b w:val="0"/>
          <w:color w:val="000000"/>
        </w:rPr>
        <w:t>lower intake in primary education.</w:t>
      </w:r>
    </w:p>
    <w:p w:rsidR="00375B39" w:rsidRPr="005F120D" w:rsidRDefault="00375B39" w:rsidP="00375B39">
      <w:pPr>
        <w:pStyle w:val="BodyText1"/>
        <w:jc w:val="both"/>
        <w:rPr>
          <w:rFonts w:asciiTheme="minorHAnsi" w:hAnsiTheme="minorHAnsi" w:cstheme="minorHAnsi"/>
          <w:b w:val="0"/>
        </w:rPr>
      </w:pPr>
      <w:r w:rsidRPr="005F120D">
        <w:rPr>
          <w:rFonts w:asciiTheme="minorHAnsi" w:hAnsiTheme="minorHAnsi" w:cstheme="minorHAnsi"/>
          <w:b w:val="0"/>
        </w:rPr>
        <w:t xml:space="preserve">Although almost all girls go to school, an improved situation since the commencement of the PEDP3, it now seems that boys in some </w:t>
      </w:r>
      <w:r w:rsidR="00704F97" w:rsidRPr="005F120D">
        <w:rPr>
          <w:rFonts w:asciiTheme="minorHAnsi" w:hAnsiTheme="minorHAnsi" w:cstheme="minorHAnsi"/>
          <w:b w:val="0"/>
        </w:rPr>
        <w:t>Upazilas</w:t>
      </w:r>
      <w:r w:rsidRPr="005F120D">
        <w:rPr>
          <w:rFonts w:asciiTheme="minorHAnsi" w:hAnsiTheme="minorHAnsi" w:cstheme="minorHAnsi"/>
          <w:b w:val="0"/>
        </w:rPr>
        <w:t xml:space="preserve"> may be leaving school early. Enrolments have improved considerably since the PEDP3 2010 baseline, but areas with out-of-school children persist, according to EHS with around 17% children aged 6-10 years out of school. According to various household surveys conducted over the past decade, </w:t>
      </w:r>
      <w:r w:rsidRPr="005F120D">
        <w:rPr>
          <w:rFonts w:asciiTheme="minorHAnsi" w:hAnsiTheme="minorHAnsi" w:cstheme="minorHAnsi"/>
          <w:b w:val="0"/>
          <w:color w:val="000000"/>
        </w:rPr>
        <w:t xml:space="preserve">the proportion of children who are out of school has fluctuated between 7% and 25%. </w:t>
      </w:r>
      <w:r w:rsidRPr="005F120D">
        <w:rPr>
          <w:rFonts w:asciiTheme="minorHAnsi" w:hAnsiTheme="minorHAnsi" w:cstheme="minorHAnsi"/>
          <w:b w:val="0"/>
        </w:rPr>
        <w:t xml:space="preserve">Those families, who traditionally find it hard to send their children to school (poorer, disadvantaged and ethnic families), will also find it harder in future to send their children to school without new approaches. </w:t>
      </w:r>
    </w:p>
    <w:p w:rsidR="00375B39" w:rsidRPr="005F120D" w:rsidRDefault="00375B39" w:rsidP="00375B39">
      <w:pPr>
        <w:pStyle w:val="BodyText1"/>
        <w:jc w:val="both"/>
        <w:rPr>
          <w:rFonts w:asciiTheme="minorHAnsi" w:hAnsiTheme="minorHAnsi" w:cstheme="minorHAnsi"/>
          <w:b w:val="0"/>
          <w:color w:val="000000"/>
        </w:rPr>
      </w:pPr>
      <w:r w:rsidRPr="005F120D">
        <w:rPr>
          <w:rFonts w:asciiTheme="minorHAnsi" w:hAnsiTheme="minorHAnsi" w:cstheme="minorHAnsi"/>
          <w:b w:val="0"/>
          <w:color w:val="000000"/>
        </w:rPr>
        <w:lastRenderedPageBreak/>
        <w:t>There is a substantial variation in rates of primary school exclusion across the seven divisions: in 2011, the proportion of out-of-school children varied from 19.7% in Khulna to 26.6% in Sylhet. The disparity at lower geographical units is even more marked. Participation rates in primary school also vary by poverty status. Household survey data from 2014 reveal that the gap in the NAR between the poorest and richest households was 11 percentage points. This gap in NAR for the poorest and richest households was much larger for boys (15 percentage points) than for girls (five percentage points).</w:t>
      </w:r>
    </w:p>
    <w:p w:rsidR="00375B39" w:rsidRPr="005F120D" w:rsidRDefault="00375B39" w:rsidP="00375B39">
      <w:pPr>
        <w:pStyle w:val="BodyText1"/>
        <w:jc w:val="both"/>
        <w:rPr>
          <w:rFonts w:asciiTheme="minorHAnsi" w:hAnsiTheme="minorHAnsi" w:cstheme="minorHAnsi"/>
          <w:b w:val="0"/>
          <w:color w:val="000000"/>
        </w:rPr>
      </w:pPr>
      <w:r w:rsidRPr="005F120D">
        <w:rPr>
          <w:rFonts w:asciiTheme="minorHAnsi" w:hAnsiTheme="minorHAnsi" w:cstheme="minorHAnsi"/>
          <w:b w:val="0"/>
          <w:color w:val="000000"/>
        </w:rPr>
        <w:t>The number of children with disabilities enrolled (total 67,840, boys 37,564 and girls 30,276) in GPS and NNPS rose faster for children with physical disabilities and eyesight problems including those children in pre-primary classes (total 11,272, boys 6,334 and girls 4,938) than those children with mental disabilities.</w:t>
      </w:r>
    </w:p>
    <w:p w:rsidR="009D66FA" w:rsidRPr="005F120D" w:rsidRDefault="00375B39" w:rsidP="00321444">
      <w:pPr>
        <w:pStyle w:val="BodyText1"/>
        <w:spacing w:before="120" w:after="120"/>
        <w:jc w:val="both"/>
        <w:rPr>
          <w:rFonts w:asciiTheme="minorHAnsi" w:hAnsiTheme="minorHAnsi" w:cstheme="minorHAnsi"/>
          <w:b w:val="0"/>
          <w:color w:val="000000"/>
        </w:rPr>
      </w:pPr>
      <w:r w:rsidRPr="005F120D">
        <w:rPr>
          <w:rFonts w:asciiTheme="minorHAnsi" w:hAnsiTheme="minorHAnsi" w:cstheme="minorHAnsi"/>
          <w:b w:val="0"/>
        </w:rPr>
        <w:t xml:space="preserve">During the five year </w:t>
      </w:r>
      <w:r w:rsidR="00810DA2">
        <w:rPr>
          <w:rFonts w:asciiTheme="minorHAnsi" w:hAnsiTheme="minorHAnsi" w:cstheme="minorHAnsi"/>
          <w:b w:val="0"/>
        </w:rPr>
        <w:t xml:space="preserve">period </w:t>
      </w:r>
      <w:r w:rsidRPr="005F120D">
        <w:rPr>
          <w:rFonts w:asciiTheme="minorHAnsi" w:hAnsiTheme="minorHAnsi" w:cstheme="minorHAnsi"/>
          <w:b w:val="0"/>
        </w:rPr>
        <w:t xml:space="preserve">of PEDP3, the quality of information on education in Bangladesh has improved a lot. Before the end of PEDP3, it is expected that the preparation of reliable population projections at the </w:t>
      </w:r>
      <w:r w:rsidR="00EE6322" w:rsidRPr="005F120D">
        <w:rPr>
          <w:rFonts w:asciiTheme="minorHAnsi" w:hAnsiTheme="minorHAnsi" w:cstheme="minorHAnsi"/>
          <w:b w:val="0"/>
        </w:rPr>
        <w:t>Upazila</w:t>
      </w:r>
      <w:r w:rsidRPr="005F120D">
        <w:rPr>
          <w:rFonts w:asciiTheme="minorHAnsi" w:hAnsiTheme="minorHAnsi" w:cstheme="minorHAnsi"/>
          <w:b w:val="0"/>
        </w:rPr>
        <w:t xml:space="preserve"> level will be available to calculate enrolment and completion rates, and this will also continue into Post-PEDP3. A plan needs to be developed to strengthen cooperation between DPE and other institutions that gather school information to ensure the tim</w:t>
      </w:r>
      <w:r w:rsidRPr="005F120D">
        <w:rPr>
          <w:rFonts w:asciiTheme="minorHAnsi" w:hAnsiTheme="minorHAnsi" w:cstheme="minorHAnsi"/>
          <w:b w:val="0"/>
          <w:color w:val="000000"/>
        </w:rPr>
        <w:t>ely collection of accurate data through APSC from all types of</w:t>
      </w:r>
      <w:r w:rsidRPr="005F120D">
        <w:rPr>
          <w:rFonts w:asciiTheme="minorHAnsi" w:hAnsiTheme="minorHAnsi" w:cstheme="minorHAnsi"/>
          <w:b w:val="0"/>
        </w:rPr>
        <w:t xml:space="preserve"> schools. This will enable PEDP3 to compare the performance of each upazila and to focus </w:t>
      </w:r>
      <w:r w:rsidR="003F2235" w:rsidRPr="005F120D">
        <w:rPr>
          <w:rFonts w:asciiTheme="minorHAnsi" w:hAnsiTheme="minorHAnsi" w:cstheme="minorHAnsi"/>
          <w:b w:val="0"/>
        </w:rPr>
        <w:t>support where it is most needed;</w:t>
      </w:r>
      <w:r w:rsidRPr="005F120D">
        <w:rPr>
          <w:rFonts w:asciiTheme="minorHAnsi" w:hAnsiTheme="minorHAnsi" w:cstheme="minorHAnsi"/>
          <w:b w:val="0"/>
        </w:rPr>
        <w:t xml:space="preserve"> and then </w:t>
      </w:r>
      <w:r w:rsidR="003C0596" w:rsidRPr="005F120D">
        <w:rPr>
          <w:rFonts w:asciiTheme="minorHAnsi" w:hAnsiTheme="minorHAnsi" w:cstheme="minorHAnsi"/>
          <w:b w:val="0"/>
        </w:rPr>
        <w:t>to</w:t>
      </w:r>
      <w:r w:rsidRPr="005F120D">
        <w:rPr>
          <w:rFonts w:asciiTheme="minorHAnsi" w:hAnsiTheme="minorHAnsi" w:cstheme="minorHAnsi"/>
          <w:b w:val="0"/>
        </w:rPr>
        <w:t>measure the effect of that support on further improvement of access to, and participation of all children in primary education</w:t>
      </w:r>
      <w:r w:rsidR="009D66FA" w:rsidRPr="005F120D">
        <w:rPr>
          <w:rFonts w:asciiTheme="minorHAnsi" w:hAnsiTheme="minorHAnsi" w:cstheme="minorHAnsi"/>
          <w:b w:val="0"/>
        </w:rPr>
        <w:t xml:space="preserve">. </w:t>
      </w:r>
    </w:p>
    <w:p w:rsidR="009D66FA" w:rsidRPr="005F120D" w:rsidRDefault="009D66FA" w:rsidP="00321444">
      <w:pPr>
        <w:pStyle w:val="BodyText1"/>
        <w:spacing w:before="120" w:after="120"/>
        <w:jc w:val="both"/>
        <w:rPr>
          <w:rFonts w:asciiTheme="minorHAnsi" w:hAnsiTheme="minorHAnsi" w:cstheme="minorHAnsi"/>
          <w:color w:val="008000"/>
          <w:sz w:val="24"/>
          <w:szCs w:val="24"/>
        </w:rPr>
      </w:pPr>
      <w:r w:rsidRPr="005F120D">
        <w:rPr>
          <w:rFonts w:asciiTheme="minorHAnsi" w:hAnsiTheme="minorHAnsi" w:cstheme="minorHAnsi"/>
          <w:color w:val="008000"/>
          <w:sz w:val="24"/>
          <w:szCs w:val="24"/>
        </w:rPr>
        <w:t>Disparities</w:t>
      </w:r>
    </w:p>
    <w:p w:rsidR="00375B39" w:rsidRPr="005F120D" w:rsidRDefault="00810DA2" w:rsidP="00375B39">
      <w:pPr>
        <w:pStyle w:val="BodyText1"/>
        <w:jc w:val="both"/>
        <w:rPr>
          <w:rFonts w:asciiTheme="minorHAnsi" w:hAnsiTheme="minorHAnsi" w:cstheme="minorHAnsi"/>
          <w:b w:val="0"/>
        </w:rPr>
      </w:pPr>
      <w:r>
        <w:rPr>
          <w:rFonts w:asciiTheme="minorHAnsi" w:hAnsiTheme="minorHAnsi" w:cstheme="minorHAnsi"/>
          <w:b w:val="0"/>
          <w:color w:val="000000"/>
        </w:rPr>
        <w:t xml:space="preserve">In spite of some impressive achievements in PEDP-lll, an education divide persists in primary cycle completion rates and learning outcomes between geographical locations (urban, urban slum, rural and remote areas as well as between children from families with different levels of income.  </w:t>
      </w:r>
      <w:r w:rsidR="00375B39" w:rsidRPr="005F120D">
        <w:rPr>
          <w:rFonts w:asciiTheme="minorHAnsi" w:hAnsiTheme="minorHAnsi" w:cstheme="minorHAnsi"/>
          <w:b w:val="0"/>
          <w:color w:val="000000"/>
        </w:rPr>
        <w:t xml:space="preserve"> Enrolment disparities continue between boys and girls. In 2015, the gender parity index was 1.08% for the GER (and 1.02% for the NER), indicating that a higher proportion of girls than boys attend primary school. The lowest percentage of male students was observed in the east of the country along a belt that begins in Cox’s Bazar and continued through Comilla to Sylhet including Dhaka and adjacent districts of Dhaka. </w:t>
      </w:r>
      <w:r w:rsidR="00375B39" w:rsidRPr="005F120D">
        <w:rPr>
          <w:rFonts w:asciiTheme="minorHAnsi" w:hAnsiTheme="minorHAnsi" w:cstheme="minorHAnsi"/>
          <w:b w:val="0"/>
        </w:rPr>
        <w:t>Poorer families and those from ethnic minorities are more at risk of dropping out of school before Grade 5. Chapter 3 provides a general picture of the geographical areas where students are more at risk of failing to complete school, or of passing the Grade 5 examination. Education indicators in areas with challenging geographic, climatic and economic characteristics, such as the haor and char areas, are lower than in the rest of the country. Additional assistance is a priority for the PEDP3 in reducing these disparities.</w:t>
      </w:r>
    </w:p>
    <w:p w:rsidR="00375B39" w:rsidRPr="005F120D" w:rsidRDefault="00375B39" w:rsidP="00375B39">
      <w:pPr>
        <w:pStyle w:val="BodyText1"/>
        <w:jc w:val="both"/>
        <w:rPr>
          <w:rFonts w:asciiTheme="minorHAnsi" w:hAnsiTheme="minorHAnsi" w:cstheme="minorHAnsi"/>
          <w:b w:val="0"/>
        </w:rPr>
      </w:pPr>
      <w:r w:rsidRPr="005F120D">
        <w:rPr>
          <w:rFonts w:asciiTheme="minorHAnsi" w:hAnsiTheme="minorHAnsi" w:cstheme="minorHAnsi"/>
          <w:b w:val="0"/>
        </w:rPr>
        <w:t xml:space="preserve">School feeding (provided to 1.4m children), and stipends (given to 13 million children) encourage poor families to keep children in school, and the ROSC Project (3 lac) gives them a second chance for education. DPE needs to monitor closely </w:t>
      </w:r>
      <w:r w:rsidR="003F2235" w:rsidRPr="005F120D">
        <w:rPr>
          <w:rFonts w:asciiTheme="minorHAnsi" w:hAnsiTheme="minorHAnsi" w:cstheme="minorHAnsi"/>
          <w:b w:val="0"/>
        </w:rPr>
        <w:t xml:space="preserve">those </w:t>
      </w:r>
      <w:r w:rsidRPr="005F120D">
        <w:rPr>
          <w:rFonts w:asciiTheme="minorHAnsi" w:hAnsiTheme="minorHAnsi" w:cstheme="minorHAnsi"/>
          <w:b w:val="0"/>
        </w:rPr>
        <w:t xml:space="preserve">who </w:t>
      </w:r>
      <w:r w:rsidR="003F2235" w:rsidRPr="005F120D">
        <w:rPr>
          <w:rFonts w:asciiTheme="minorHAnsi" w:hAnsiTheme="minorHAnsi" w:cstheme="minorHAnsi"/>
          <w:b w:val="0"/>
        </w:rPr>
        <w:t>are</w:t>
      </w:r>
      <w:r w:rsidRPr="005F120D">
        <w:rPr>
          <w:rFonts w:asciiTheme="minorHAnsi" w:hAnsiTheme="minorHAnsi" w:cstheme="minorHAnsi"/>
          <w:b w:val="0"/>
        </w:rPr>
        <w:t xml:space="preserve"> receiving these benefits to ensure that the support goes to those </w:t>
      </w:r>
      <w:r w:rsidR="003F2235" w:rsidRPr="005F120D">
        <w:rPr>
          <w:rFonts w:asciiTheme="minorHAnsi" w:hAnsiTheme="minorHAnsi" w:cstheme="minorHAnsi"/>
          <w:b w:val="0"/>
        </w:rPr>
        <w:t xml:space="preserve">children </w:t>
      </w:r>
      <w:r w:rsidRPr="005F120D">
        <w:rPr>
          <w:rFonts w:asciiTheme="minorHAnsi" w:hAnsiTheme="minorHAnsi" w:cstheme="minorHAnsi"/>
          <w:b w:val="0"/>
        </w:rPr>
        <w:t>who need it most.</w:t>
      </w:r>
    </w:p>
    <w:p w:rsidR="00375B39" w:rsidRPr="005F120D" w:rsidRDefault="00375B39" w:rsidP="00375B39">
      <w:pPr>
        <w:pStyle w:val="BodyText1"/>
        <w:jc w:val="both"/>
        <w:rPr>
          <w:rFonts w:asciiTheme="minorHAnsi" w:hAnsiTheme="minorHAnsi" w:cstheme="minorHAnsi"/>
          <w:b w:val="0"/>
        </w:rPr>
      </w:pPr>
      <w:r w:rsidRPr="005F120D">
        <w:rPr>
          <w:rFonts w:asciiTheme="minorHAnsi" w:hAnsiTheme="minorHAnsi" w:cstheme="minorHAnsi"/>
          <w:b w:val="0"/>
        </w:rPr>
        <w:t>In Bangladesh</w:t>
      </w:r>
      <w:r w:rsidR="003F2235" w:rsidRPr="005F120D">
        <w:rPr>
          <w:rFonts w:asciiTheme="minorHAnsi" w:hAnsiTheme="minorHAnsi" w:cstheme="minorHAnsi"/>
          <w:b w:val="0"/>
        </w:rPr>
        <w:t>,</w:t>
      </w:r>
      <w:r w:rsidRPr="005F120D">
        <w:rPr>
          <w:rFonts w:asciiTheme="minorHAnsi" w:hAnsiTheme="minorHAnsi" w:cstheme="minorHAnsi"/>
          <w:b w:val="0"/>
        </w:rPr>
        <w:t xml:space="preserve"> there are around two million people from ethnic minorities, who between them speak thirty different languages. Most live in tribal areas and are very poor. These minority children </w:t>
      </w:r>
      <w:r w:rsidRPr="005F120D">
        <w:rPr>
          <w:rFonts w:asciiTheme="minorHAnsi" w:hAnsiTheme="minorHAnsi" w:cstheme="minorHAnsi"/>
          <w:b w:val="0"/>
        </w:rPr>
        <w:lastRenderedPageBreak/>
        <w:t xml:space="preserve">have less access to school than other children. The Government </w:t>
      </w:r>
      <w:r w:rsidR="003F2235" w:rsidRPr="005F120D">
        <w:rPr>
          <w:rFonts w:asciiTheme="minorHAnsi" w:hAnsiTheme="minorHAnsi" w:cstheme="minorHAnsi"/>
          <w:b w:val="0"/>
        </w:rPr>
        <w:t>has been</w:t>
      </w:r>
      <w:r w:rsidRPr="005F120D">
        <w:rPr>
          <w:rFonts w:asciiTheme="minorHAnsi" w:hAnsiTheme="minorHAnsi" w:cstheme="minorHAnsi"/>
          <w:b w:val="0"/>
        </w:rPr>
        <w:t xml:space="preserve"> continuing its efforts since the beginning of the PEDP3 to educate these </w:t>
      </w:r>
      <w:r w:rsidR="003F2235" w:rsidRPr="005F120D">
        <w:rPr>
          <w:rFonts w:asciiTheme="minorHAnsi" w:hAnsiTheme="minorHAnsi" w:cstheme="minorHAnsi"/>
          <w:b w:val="0"/>
        </w:rPr>
        <w:t>children</w:t>
      </w:r>
      <w:r w:rsidRPr="005F120D">
        <w:rPr>
          <w:rFonts w:asciiTheme="minorHAnsi" w:hAnsiTheme="minorHAnsi" w:cstheme="minorHAnsi"/>
          <w:b w:val="0"/>
        </w:rPr>
        <w:t xml:space="preserve"> in their mother tongues and to develop textbooks in </w:t>
      </w:r>
      <w:r w:rsidR="00810DA2">
        <w:rPr>
          <w:rFonts w:asciiTheme="minorHAnsi" w:hAnsiTheme="minorHAnsi" w:cstheme="minorHAnsi"/>
          <w:b w:val="0"/>
        </w:rPr>
        <w:t>5 ethnic group languages.</w:t>
      </w:r>
      <w:r w:rsidRPr="005F120D">
        <w:rPr>
          <w:rFonts w:asciiTheme="minorHAnsi" w:hAnsiTheme="minorHAnsi" w:cstheme="minorHAnsi"/>
          <w:b w:val="0"/>
        </w:rPr>
        <w:t>.</w:t>
      </w:r>
    </w:p>
    <w:p w:rsidR="00375B39" w:rsidRPr="005F120D" w:rsidRDefault="00375B39" w:rsidP="00375B39">
      <w:pPr>
        <w:pStyle w:val="BodyText1"/>
        <w:jc w:val="both"/>
        <w:rPr>
          <w:rFonts w:asciiTheme="minorHAnsi" w:hAnsiTheme="minorHAnsi" w:cstheme="minorHAnsi"/>
          <w:b w:val="0"/>
        </w:rPr>
      </w:pPr>
      <w:r w:rsidRPr="005F120D">
        <w:rPr>
          <w:rFonts w:asciiTheme="minorHAnsi" w:hAnsiTheme="minorHAnsi" w:cstheme="minorHAnsi"/>
          <w:b w:val="0"/>
        </w:rPr>
        <w:t xml:space="preserve">The Government </w:t>
      </w:r>
      <w:r w:rsidR="003F2235" w:rsidRPr="005F120D">
        <w:rPr>
          <w:rFonts w:asciiTheme="minorHAnsi" w:hAnsiTheme="minorHAnsi" w:cstheme="minorHAnsi"/>
          <w:b w:val="0"/>
        </w:rPr>
        <w:t>has</w:t>
      </w:r>
      <w:r w:rsidRPr="005F120D">
        <w:rPr>
          <w:rFonts w:asciiTheme="minorHAnsi" w:hAnsiTheme="minorHAnsi" w:cstheme="minorHAnsi"/>
          <w:b w:val="0"/>
        </w:rPr>
        <w:t xml:space="preserve"> also give</w:t>
      </w:r>
      <w:r w:rsidR="003F2235" w:rsidRPr="005F120D">
        <w:rPr>
          <w:rFonts w:asciiTheme="minorHAnsi" w:hAnsiTheme="minorHAnsi" w:cstheme="minorHAnsi"/>
          <w:b w:val="0"/>
        </w:rPr>
        <w:t>n</w:t>
      </w:r>
      <w:r w:rsidRPr="005F120D">
        <w:rPr>
          <w:rFonts w:asciiTheme="minorHAnsi" w:hAnsiTheme="minorHAnsi" w:cstheme="minorHAnsi"/>
          <w:b w:val="0"/>
        </w:rPr>
        <w:t xml:space="preserve"> priority to construction, teacher training and materials for schools in areas that need more support. To provide all villages with schools, the Government constructed 1500 schools in non-school areas through a discrete project. This will help reduce disparities between regions. The strategies </w:t>
      </w:r>
      <w:r w:rsidR="008A2A61">
        <w:rPr>
          <w:rFonts w:asciiTheme="minorHAnsi" w:hAnsiTheme="minorHAnsi" w:cstheme="minorHAnsi"/>
          <w:b w:val="0"/>
        </w:rPr>
        <w:t>are</w:t>
      </w:r>
      <w:r w:rsidR="00C4591B">
        <w:rPr>
          <w:rFonts w:asciiTheme="minorHAnsi" w:hAnsiTheme="minorHAnsi" w:cstheme="minorHAnsi"/>
          <w:b w:val="0"/>
        </w:rPr>
        <w:t xml:space="preserve"> </w:t>
      </w:r>
      <w:r w:rsidR="008A2A61">
        <w:rPr>
          <w:rFonts w:asciiTheme="minorHAnsi" w:hAnsiTheme="minorHAnsi" w:cstheme="minorHAnsi"/>
          <w:b w:val="0"/>
        </w:rPr>
        <w:t>target</w:t>
      </w:r>
      <w:r w:rsidR="004C56DC">
        <w:rPr>
          <w:rFonts w:asciiTheme="minorHAnsi" w:hAnsiTheme="minorHAnsi" w:cstheme="minorHAnsi"/>
          <w:b w:val="0"/>
        </w:rPr>
        <w:t>ing</w:t>
      </w:r>
      <w:r w:rsidR="008A2A61">
        <w:rPr>
          <w:rFonts w:asciiTheme="minorHAnsi" w:hAnsiTheme="minorHAnsi" w:cstheme="minorHAnsi"/>
          <w:b w:val="0"/>
        </w:rPr>
        <w:t xml:space="preserve"> the </w:t>
      </w:r>
      <w:r w:rsidRPr="005F120D">
        <w:rPr>
          <w:rFonts w:asciiTheme="minorHAnsi" w:hAnsiTheme="minorHAnsi" w:cstheme="minorHAnsi"/>
          <w:b w:val="0"/>
        </w:rPr>
        <w:t>childr</w:t>
      </w:r>
      <w:r w:rsidR="003F2235" w:rsidRPr="005F120D">
        <w:rPr>
          <w:rFonts w:asciiTheme="minorHAnsi" w:hAnsiTheme="minorHAnsi" w:cstheme="minorHAnsi"/>
          <w:b w:val="0"/>
        </w:rPr>
        <w:t xml:space="preserve">en </w:t>
      </w:r>
      <w:r w:rsidR="008A2A61">
        <w:rPr>
          <w:rFonts w:asciiTheme="minorHAnsi" w:hAnsiTheme="minorHAnsi" w:cstheme="minorHAnsi"/>
          <w:b w:val="0"/>
        </w:rPr>
        <w:t xml:space="preserve">from ultra-poor family </w:t>
      </w:r>
      <w:r w:rsidR="003F2235" w:rsidRPr="005F120D">
        <w:rPr>
          <w:rFonts w:asciiTheme="minorHAnsi" w:hAnsiTheme="minorHAnsi" w:cstheme="minorHAnsi"/>
          <w:b w:val="0"/>
        </w:rPr>
        <w:t xml:space="preserve">in the </w:t>
      </w:r>
      <w:r w:rsidR="008A2A61">
        <w:rPr>
          <w:rFonts w:asciiTheme="minorHAnsi" w:hAnsiTheme="minorHAnsi" w:cstheme="minorHAnsi"/>
          <w:b w:val="0"/>
        </w:rPr>
        <w:t>marginalized</w:t>
      </w:r>
      <w:r w:rsidR="003F2235" w:rsidRPr="005F120D">
        <w:rPr>
          <w:rFonts w:asciiTheme="minorHAnsi" w:hAnsiTheme="minorHAnsi" w:cstheme="minorHAnsi"/>
          <w:b w:val="0"/>
        </w:rPr>
        <w:t xml:space="preserve"> areas include</w:t>
      </w:r>
      <w:r w:rsidRPr="005F120D">
        <w:rPr>
          <w:rFonts w:asciiTheme="minorHAnsi" w:hAnsiTheme="minorHAnsi" w:cstheme="minorHAnsi"/>
          <w:b w:val="0"/>
        </w:rPr>
        <w:t xml:space="preserve"> the Reaching Out-of-School Children Project and Second Chance Education.</w:t>
      </w:r>
    </w:p>
    <w:p w:rsidR="009D66FA" w:rsidRPr="005F120D" w:rsidRDefault="00375B39" w:rsidP="00375B39">
      <w:pPr>
        <w:pStyle w:val="BodyText1"/>
        <w:jc w:val="both"/>
        <w:rPr>
          <w:rFonts w:asciiTheme="minorHAnsi" w:hAnsiTheme="minorHAnsi" w:cstheme="minorHAnsi"/>
          <w:b w:val="0"/>
        </w:rPr>
      </w:pPr>
      <w:r w:rsidRPr="005F120D">
        <w:rPr>
          <w:rFonts w:asciiTheme="minorHAnsi" w:hAnsiTheme="minorHAnsi" w:cstheme="minorHAnsi"/>
          <w:b w:val="0"/>
        </w:rPr>
        <w:t xml:space="preserve">With better information and greater capacity at upazila level, it will be possible for PEDP3 to monitor the weakest upazilas and the areas where performance is poorest (see Chapter 3 in Table 2.2 of KPI-9 and 15 for the PEDP3). </w:t>
      </w:r>
      <w:r w:rsidR="00C15536" w:rsidRPr="005F120D">
        <w:rPr>
          <w:rFonts w:asciiTheme="minorHAnsi" w:hAnsiTheme="minorHAnsi" w:cstheme="minorHAnsi"/>
          <w:b w:val="0"/>
        </w:rPr>
        <w:t>Table 2.2</w:t>
      </w:r>
      <w:r w:rsidRPr="005F120D">
        <w:rPr>
          <w:rFonts w:asciiTheme="minorHAnsi" w:hAnsiTheme="minorHAnsi" w:cstheme="minorHAnsi"/>
          <w:b w:val="0"/>
        </w:rPr>
        <w:t xml:space="preserve"> verifies, through a PSQL and KPI based composite indicators that a minimum standard of infrastructure and professional support is in place in each school. This information can target assistance to low performing upazilas to reduce the disparity between the lowest and the highest performing areas</w:t>
      </w:r>
      <w:r w:rsidR="009D66FA" w:rsidRPr="005F120D">
        <w:rPr>
          <w:rFonts w:asciiTheme="minorHAnsi" w:hAnsiTheme="minorHAnsi" w:cstheme="minorHAnsi"/>
          <w:b w:val="0"/>
        </w:rPr>
        <w:t>.</w:t>
      </w:r>
    </w:p>
    <w:p w:rsidR="009D66FA" w:rsidRPr="005F120D" w:rsidRDefault="009D66FA" w:rsidP="009D66FA">
      <w:pPr>
        <w:pStyle w:val="Heading3NONUM"/>
        <w:rPr>
          <w:rFonts w:asciiTheme="minorHAnsi" w:hAnsiTheme="minorHAnsi" w:cstheme="minorHAnsi"/>
          <w:szCs w:val="24"/>
        </w:rPr>
      </w:pPr>
      <w:r w:rsidRPr="005F120D">
        <w:rPr>
          <w:rFonts w:asciiTheme="minorHAnsi" w:hAnsiTheme="minorHAnsi" w:cstheme="minorHAnsi"/>
          <w:szCs w:val="24"/>
        </w:rPr>
        <w:t>Decentralisation</w:t>
      </w:r>
    </w:p>
    <w:p w:rsidR="00375B39" w:rsidRPr="005F120D" w:rsidRDefault="00375B39" w:rsidP="00375B39">
      <w:pPr>
        <w:pStyle w:val="BodyText1"/>
        <w:jc w:val="both"/>
        <w:rPr>
          <w:rFonts w:asciiTheme="minorHAnsi" w:hAnsiTheme="minorHAnsi" w:cstheme="minorHAnsi"/>
          <w:b w:val="0"/>
        </w:rPr>
      </w:pPr>
      <w:r w:rsidRPr="005F120D">
        <w:rPr>
          <w:rFonts w:asciiTheme="minorHAnsi" w:hAnsiTheme="minorHAnsi" w:cstheme="minorHAnsi"/>
          <w:b w:val="0"/>
          <w:lang w:eastAsia="ja-JP"/>
        </w:rPr>
        <w:t xml:space="preserve">A key dimension of </w:t>
      </w:r>
      <w:r w:rsidRPr="005F120D">
        <w:rPr>
          <w:rFonts w:asciiTheme="minorHAnsi" w:hAnsiTheme="minorHAnsi" w:cstheme="minorHAnsi"/>
          <w:b w:val="0"/>
        </w:rPr>
        <w:t>the</w:t>
      </w:r>
      <w:r w:rsidRPr="005F120D">
        <w:rPr>
          <w:rFonts w:asciiTheme="minorHAnsi" w:hAnsiTheme="minorHAnsi" w:cstheme="minorHAnsi"/>
          <w:b w:val="0"/>
          <w:lang w:eastAsia="ja-JP"/>
        </w:rPr>
        <w:t xml:space="preserve"> PEDP3 is the expansion of decentralized planning, management and monitoring at district, upazila and school levels. The preparation and implementation of the School Level Improvement Plans (SLIP) and Upazila Primary Education Plans (UPEP) play a role in reducing disparities and increasing participation within schools and upazilas. Another dimension of decentralization is the delegation of </w:t>
      </w:r>
      <w:r w:rsidR="00C15536" w:rsidRPr="005F120D">
        <w:rPr>
          <w:rFonts w:asciiTheme="minorHAnsi" w:hAnsiTheme="minorHAnsi" w:cstheme="minorHAnsi"/>
          <w:b w:val="0"/>
          <w:lang w:eastAsia="ja-JP"/>
        </w:rPr>
        <w:t xml:space="preserve">certain </w:t>
      </w:r>
      <w:r w:rsidRPr="005F120D">
        <w:rPr>
          <w:rFonts w:asciiTheme="minorHAnsi" w:hAnsiTheme="minorHAnsi" w:cstheme="minorHAnsi"/>
          <w:b w:val="0"/>
          <w:lang w:eastAsia="ja-JP"/>
        </w:rPr>
        <w:t xml:space="preserve">administrative powers and functions of DPE in a more comprehensive and systematic manner, including the strengthening of field level offices through filling vacancies at PTIs, UEOs and URCs. This will involve capacity building programs to strengthen the planning and monitoring functions of field level offices and </w:t>
      </w:r>
      <w:r w:rsidR="00514B1A" w:rsidRPr="005F120D">
        <w:rPr>
          <w:rFonts w:asciiTheme="minorHAnsi" w:hAnsiTheme="minorHAnsi" w:cstheme="minorHAnsi"/>
          <w:b w:val="0"/>
          <w:lang w:eastAsia="ja-JP"/>
        </w:rPr>
        <w:t>to</w:t>
      </w:r>
      <w:r w:rsidR="00C15536" w:rsidRPr="005F120D">
        <w:rPr>
          <w:rFonts w:asciiTheme="minorHAnsi" w:hAnsiTheme="minorHAnsi" w:cstheme="minorHAnsi"/>
          <w:b w:val="0"/>
          <w:lang w:eastAsia="ja-JP"/>
        </w:rPr>
        <w:t xml:space="preserve"> provide</w:t>
      </w:r>
      <w:r w:rsidRPr="005F120D">
        <w:rPr>
          <w:rFonts w:asciiTheme="minorHAnsi" w:hAnsiTheme="minorHAnsi" w:cstheme="minorHAnsi"/>
          <w:b w:val="0"/>
          <w:lang w:eastAsia="ja-JP"/>
        </w:rPr>
        <w:t xml:space="preserve"> personnel with leadership development.</w:t>
      </w:r>
    </w:p>
    <w:p w:rsidR="00375B39" w:rsidRPr="005F120D" w:rsidRDefault="00375B39" w:rsidP="00375B39">
      <w:pPr>
        <w:pStyle w:val="BodyText1"/>
        <w:jc w:val="both"/>
        <w:rPr>
          <w:rFonts w:asciiTheme="minorHAnsi" w:hAnsiTheme="minorHAnsi" w:cstheme="minorHAnsi"/>
          <w:b w:val="0"/>
        </w:rPr>
      </w:pPr>
      <w:r w:rsidRPr="005F120D">
        <w:rPr>
          <w:rFonts w:asciiTheme="minorHAnsi" w:hAnsiTheme="minorHAnsi" w:cstheme="minorHAnsi"/>
          <w:b w:val="0"/>
        </w:rPr>
        <w:t>The UPEPs and the SLIP programs received greater support from the PEDP3 than from PEDP 11, but UPEP has not yet received any fund for implementation of the plan. A total of 40% of upazilas just received funding for preparing the plan only.  Consequently, the upazilas have not followed carefully the instructions f</w:t>
      </w:r>
      <w:r w:rsidR="00C15536" w:rsidRPr="005F120D">
        <w:rPr>
          <w:rFonts w:asciiTheme="minorHAnsi" w:hAnsiTheme="minorHAnsi" w:cstheme="minorHAnsi"/>
          <w:b w:val="0"/>
        </w:rPr>
        <w:t>or preparing</w:t>
      </w:r>
      <w:r w:rsidRPr="005F120D">
        <w:rPr>
          <w:rFonts w:asciiTheme="minorHAnsi" w:hAnsiTheme="minorHAnsi" w:cstheme="minorHAnsi"/>
          <w:b w:val="0"/>
        </w:rPr>
        <w:t xml:space="preserve"> the plan.</w:t>
      </w:r>
    </w:p>
    <w:p w:rsidR="00375B39" w:rsidRPr="005F120D" w:rsidRDefault="00703844" w:rsidP="00375B39">
      <w:pPr>
        <w:pStyle w:val="BodyText1"/>
        <w:jc w:val="both"/>
        <w:rPr>
          <w:rFonts w:asciiTheme="minorHAnsi" w:hAnsiTheme="minorHAnsi" w:cstheme="minorHAnsi"/>
          <w:b w:val="0"/>
        </w:rPr>
      </w:pPr>
      <w:r w:rsidRPr="005F120D">
        <w:rPr>
          <w:rFonts w:asciiTheme="minorHAnsi" w:hAnsiTheme="minorHAnsi" w:cstheme="minorHAnsi"/>
          <w:b w:val="0"/>
        </w:rPr>
        <w:t xml:space="preserve">Despite </w:t>
      </w:r>
      <w:r w:rsidR="00375B39" w:rsidRPr="005F120D">
        <w:rPr>
          <w:rFonts w:asciiTheme="minorHAnsi" w:hAnsiTheme="minorHAnsi" w:cstheme="minorHAnsi"/>
          <w:b w:val="0"/>
        </w:rPr>
        <w:t>recent achievements, an education divide persists between regions (urban, urban slum, rural, and remote areas) and between children from well-off and less well-off families.  As mentioned, the PEDP3 is addressing the needs of the more disadvantaged groups through targeted stipends and school feeding programs. Regional disparities are addressed in part through a progressive, needs based initiative to</w:t>
      </w:r>
      <w:r w:rsidRPr="005F120D">
        <w:rPr>
          <w:rFonts w:asciiTheme="minorHAnsi" w:hAnsiTheme="minorHAnsi" w:cstheme="minorHAnsi"/>
          <w:b w:val="0"/>
        </w:rPr>
        <w:t xml:space="preserve"> improve the school environment</w:t>
      </w:r>
      <w:r w:rsidR="00375B39" w:rsidRPr="005F120D">
        <w:rPr>
          <w:rFonts w:asciiTheme="minorHAnsi" w:hAnsiTheme="minorHAnsi" w:cstheme="minorHAnsi"/>
          <w:b w:val="0"/>
        </w:rPr>
        <w:t xml:space="preserve"> and infrastructure.</w:t>
      </w:r>
    </w:p>
    <w:p w:rsidR="00375B39" w:rsidRPr="005F120D" w:rsidRDefault="00375B39" w:rsidP="00375B39">
      <w:pPr>
        <w:spacing w:line="276" w:lineRule="auto"/>
        <w:jc w:val="both"/>
        <w:rPr>
          <w:rFonts w:asciiTheme="minorHAnsi" w:hAnsiTheme="minorHAnsi" w:cstheme="minorHAnsi"/>
        </w:rPr>
      </w:pPr>
      <w:r w:rsidRPr="005F120D">
        <w:rPr>
          <w:rFonts w:asciiTheme="minorHAnsi" w:hAnsiTheme="minorHAnsi" w:cstheme="minorHAnsi"/>
        </w:rPr>
        <w:t xml:space="preserve">The functions decentralized in Division, District and the Upazila Education offices and schools can be categorized into two types: 1) Administration and 2) Financial Management.  These functions are delegated to the local education authority as per the Government Orders (GOs) issued by MoPME, which are updated from time to time in accordance with changes in central government policies, and gradually expanded under the PEDP3. Altogether, there have been four Government Orders (GOs) </w:t>
      </w:r>
      <w:r w:rsidRPr="005F120D">
        <w:rPr>
          <w:rFonts w:asciiTheme="minorHAnsi" w:hAnsiTheme="minorHAnsi" w:cstheme="minorHAnsi"/>
        </w:rPr>
        <w:lastRenderedPageBreak/>
        <w:t>issued by MoPME relating to functional assignment</w:t>
      </w:r>
      <w:r w:rsidR="00703844" w:rsidRPr="005F120D">
        <w:rPr>
          <w:rFonts w:asciiTheme="minorHAnsi" w:hAnsiTheme="minorHAnsi" w:cstheme="minorHAnsi"/>
        </w:rPr>
        <w:t>s</w:t>
      </w:r>
      <w:r w:rsidRPr="005F120D">
        <w:rPr>
          <w:rFonts w:asciiTheme="minorHAnsi" w:hAnsiTheme="minorHAnsi" w:cstheme="minorHAnsi"/>
        </w:rPr>
        <w:t xml:space="preserve"> at different levels (district levels 21, upazila levels 12 and school level 1) </w:t>
      </w:r>
    </w:p>
    <w:p w:rsidR="009D66FA" w:rsidRPr="005F120D" w:rsidRDefault="00375B39" w:rsidP="00375B39">
      <w:pPr>
        <w:pStyle w:val="BodyText1"/>
        <w:jc w:val="both"/>
        <w:rPr>
          <w:rFonts w:asciiTheme="minorHAnsi" w:hAnsiTheme="minorHAnsi" w:cstheme="minorHAnsi"/>
          <w:b w:val="0"/>
        </w:rPr>
      </w:pPr>
      <w:r w:rsidRPr="005F120D">
        <w:rPr>
          <w:rFonts w:asciiTheme="minorHAnsi" w:hAnsiTheme="minorHAnsi" w:cstheme="minorHAnsi"/>
          <w:b w:val="0"/>
        </w:rPr>
        <w:t xml:space="preserve">In the PEDP3, field staff will have greater responsibility for management decisions </w:t>
      </w:r>
      <w:r w:rsidR="00703844" w:rsidRPr="005F120D">
        <w:rPr>
          <w:rFonts w:asciiTheme="minorHAnsi" w:hAnsiTheme="minorHAnsi" w:cstheme="minorHAnsi"/>
          <w:b w:val="0"/>
        </w:rPr>
        <w:t>on</w:t>
      </w:r>
      <w:r w:rsidR="00C4591B">
        <w:rPr>
          <w:rFonts w:asciiTheme="minorHAnsi" w:hAnsiTheme="minorHAnsi" w:cstheme="minorHAnsi"/>
          <w:b w:val="0"/>
        </w:rPr>
        <w:t xml:space="preserve"> </w:t>
      </w:r>
      <w:r w:rsidR="006E0127" w:rsidRPr="005F120D">
        <w:rPr>
          <w:rFonts w:asciiTheme="minorHAnsi" w:hAnsiTheme="minorHAnsi" w:cstheme="minorHAnsi"/>
          <w:b w:val="0"/>
        </w:rPr>
        <w:t xml:space="preserve">both </w:t>
      </w:r>
      <w:r w:rsidRPr="005F120D">
        <w:rPr>
          <w:rFonts w:asciiTheme="minorHAnsi" w:hAnsiTheme="minorHAnsi" w:cstheme="minorHAnsi"/>
          <w:b w:val="0"/>
        </w:rPr>
        <w:t xml:space="preserve">the use of resources and accountability for results. Training, support for data collection and close monitoring the utilization of SLIP grant will be serious responsibilities for </w:t>
      </w:r>
      <w:r w:rsidR="00703844" w:rsidRPr="005F120D">
        <w:rPr>
          <w:rFonts w:asciiTheme="minorHAnsi" w:hAnsiTheme="minorHAnsi" w:cstheme="minorHAnsi"/>
          <w:b w:val="0"/>
        </w:rPr>
        <w:t>field staff</w:t>
      </w:r>
      <w:r w:rsidRPr="005F120D">
        <w:rPr>
          <w:rFonts w:asciiTheme="minorHAnsi" w:hAnsiTheme="minorHAnsi" w:cstheme="minorHAnsi"/>
          <w:b w:val="0"/>
        </w:rPr>
        <w:t>. The work of school inspectors will also become more important as in the Post-PEDP3 program, and this will be more effectively connected to the PEDP3 targets</w:t>
      </w:r>
      <w:r w:rsidR="009D66FA" w:rsidRPr="005F120D">
        <w:rPr>
          <w:rFonts w:asciiTheme="minorHAnsi" w:hAnsiTheme="minorHAnsi" w:cstheme="minorHAnsi"/>
          <w:b w:val="0"/>
        </w:rPr>
        <w:t>.</w:t>
      </w:r>
    </w:p>
    <w:p w:rsidR="009D66FA" w:rsidRPr="005F120D" w:rsidRDefault="009D66FA" w:rsidP="009D66FA">
      <w:pPr>
        <w:pStyle w:val="Heading3NONUM"/>
        <w:rPr>
          <w:rFonts w:asciiTheme="minorHAnsi" w:hAnsiTheme="minorHAnsi" w:cstheme="minorHAnsi"/>
          <w:szCs w:val="24"/>
        </w:rPr>
      </w:pPr>
      <w:r w:rsidRPr="005F120D">
        <w:rPr>
          <w:rFonts w:asciiTheme="minorHAnsi" w:hAnsiTheme="minorHAnsi" w:cstheme="minorHAnsi"/>
          <w:szCs w:val="24"/>
        </w:rPr>
        <w:t xml:space="preserve">Effectiveness </w:t>
      </w:r>
    </w:p>
    <w:p w:rsidR="00375B39" w:rsidRPr="005F120D" w:rsidRDefault="00083AF4" w:rsidP="00375B39">
      <w:pPr>
        <w:pStyle w:val="BodyText1"/>
        <w:jc w:val="both"/>
        <w:rPr>
          <w:rFonts w:asciiTheme="minorHAnsi" w:hAnsiTheme="minorHAnsi" w:cstheme="minorHAnsi"/>
          <w:b w:val="0"/>
          <w:color w:val="FF0000"/>
        </w:rPr>
      </w:pPr>
      <w:r>
        <w:rPr>
          <w:rFonts w:asciiTheme="minorHAnsi" w:hAnsiTheme="minorHAnsi" w:cstheme="minorHAnsi"/>
          <w:b w:val="0"/>
        </w:rPr>
        <w:t>Easily accessible information and strong</w:t>
      </w:r>
      <w:r w:rsidR="00375B39" w:rsidRPr="005F120D">
        <w:rPr>
          <w:rFonts w:asciiTheme="minorHAnsi" w:hAnsiTheme="minorHAnsi" w:cstheme="minorHAnsi"/>
          <w:b w:val="0"/>
        </w:rPr>
        <w:t xml:space="preserve"> local management will help to ensure that the planned support provided through PEDP3 goes to those who need it most, and it will also show whether the programs are effective or </w:t>
      </w:r>
      <w:r w:rsidR="00472C77" w:rsidRPr="005F120D">
        <w:rPr>
          <w:rFonts w:asciiTheme="minorHAnsi" w:hAnsiTheme="minorHAnsi" w:cstheme="minorHAnsi"/>
          <w:b w:val="0"/>
        </w:rPr>
        <w:t>not</w:t>
      </w:r>
      <w:r w:rsidR="00375B39" w:rsidRPr="005F120D">
        <w:rPr>
          <w:rFonts w:asciiTheme="minorHAnsi" w:hAnsiTheme="minorHAnsi" w:cstheme="minorHAnsi"/>
          <w:b w:val="0"/>
        </w:rPr>
        <w:t>. With further support for planning and monitoring - such as that provided for field staff through RBM, Inclusive Education (IE), School Level Improvement Plan (SLIP) and</w:t>
      </w:r>
      <w:r w:rsidR="00472C77" w:rsidRPr="005F120D">
        <w:rPr>
          <w:rFonts w:asciiTheme="minorHAnsi" w:hAnsiTheme="minorHAnsi" w:cstheme="minorHAnsi"/>
          <w:b w:val="0"/>
        </w:rPr>
        <w:t xml:space="preserve"> Upazila Education Performance P</w:t>
      </w:r>
      <w:r w:rsidR="00375B39" w:rsidRPr="005F120D">
        <w:rPr>
          <w:rFonts w:asciiTheme="minorHAnsi" w:hAnsiTheme="minorHAnsi" w:cstheme="minorHAnsi"/>
          <w:b w:val="0"/>
        </w:rPr>
        <w:t xml:space="preserve">rofile (UEPP) related training during the PEDP3 </w:t>
      </w:r>
      <w:r w:rsidR="00472C77" w:rsidRPr="005F120D">
        <w:rPr>
          <w:rFonts w:asciiTheme="minorHAnsi" w:hAnsiTheme="minorHAnsi" w:cstheme="minorHAnsi"/>
          <w:b w:val="0"/>
        </w:rPr>
        <w:t xml:space="preserve">–Head Teachers and </w:t>
      </w:r>
      <w:r w:rsidR="00375B39" w:rsidRPr="005F120D">
        <w:rPr>
          <w:rFonts w:asciiTheme="minorHAnsi" w:hAnsiTheme="minorHAnsi" w:cstheme="minorHAnsi"/>
          <w:b w:val="0"/>
        </w:rPr>
        <w:t xml:space="preserve">managers in schools and </w:t>
      </w:r>
      <w:r w:rsidR="00EE6322" w:rsidRPr="005F120D">
        <w:rPr>
          <w:rFonts w:asciiTheme="minorHAnsi" w:hAnsiTheme="minorHAnsi" w:cstheme="minorHAnsi"/>
          <w:b w:val="0"/>
        </w:rPr>
        <w:t>Upazilas</w:t>
      </w:r>
      <w:r w:rsidR="00375B39" w:rsidRPr="005F120D">
        <w:rPr>
          <w:rFonts w:asciiTheme="minorHAnsi" w:hAnsiTheme="minorHAnsi" w:cstheme="minorHAnsi"/>
          <w:b w:val="0"/>
        </w:rPr>
        <w:t xml:space="preserve"> will have a better understanding of targets, and local performance and priorities. Plans to increase local decision-making on budget disbursement will be strengthened with greater accountability for results by UEOs and Head Teachers.</w:t>
      </w:r>
    </w:p>
    <w:p w:rsidR="00375B39" w:rsidRPr="005F120D" w:rsidRDefault="00375B39" w:rsidP="00375B39">
      <w:pPr>
        <w:pStyle w:val="BodyText1"/>
        <w:spacing w:before="240"/>
        <w:jc w:val="both"/>
        <w:rPr>
          <w:rFonts w:asciiTheme="minorHAnsi" w:hAnsiTheme="minorHAnsi" w:cstheme="minorHAnsi"/>
          <w:b w:val="0"/>
        </w:rPr>
      </w:pPr>
      <w:r w:rsidRPr="005F120D">
        <w:rPr>
          <w:rFonts w:asciiTheme="minorHAnsi" w:hAnsiTheme="minorHAnsi" w:cstheme="minorHAnsi"/>
          <w:b w:val="0"/>
          <w:color w:val="000000"/>
        </w:rPr>
        <w:t>Repetition rates have dropped ov</w:t>
      </w:r>
      <w:r w:rsidR="00472C77" w:rsidRPr="005F120D">
        <w:rPr>
          <w:rFonts w:asciiTheme="minorHAnsi" w:hAnsiTheme="minorHAnsi" w:cstheme="minorHAnsi"/>
          <w:b w:val="0"/>
          <w:color w:val="000000"/>
        </w:rPr>
        <w:t>er the period 2010-2015 and stoo</w:t>
      </w:r>
      <w:r w:rsidRPr="005F120D">
        <w:rPr>
          <w:rFonts w:asciiTheme="minorHAnsi" w:hAnsiTheme="minorHAnsi" w:cstheme="minorHAnsi"/>
          <w:b w:val="0"/>
          <w:color w:val="000000"/>
        </w:rPr>
        <w:t xml:space="preserve">d at 6.2% in 2015. Repetition </w:t>
      </w:r>
      <w:r w:rsidR="00472C77" w:rsidRPr="005F120D">
        <w:rPr>
          <w:rFonts w:asciiTheme="minorHAnsi" w:hAnsiTheme="minorHAnsi" w:cstheme="minorHAnsi"/>
          <w:b w:val="0"/>
          <w:color w:val="000000"/>
        </w:rPr>
        <w:t>was</w:t>
      </w:r>
      <w:r w:rsidRPr="005F120D">
        <w:rPr>
          <w:rFonts w:asciiTheme="minorHAnsi" w:hAnsiTheme="minorHAnsi" w:cstheme="minorHAnsi"/>
          <w:b w:val="0"/>
          <w:color w:val="000000"/>
        </w:rPr>
        <w:t xml:space="preserve"> considerably lower in Grade 5 than in other grades. Dropout rates have been falling in all grades in recent years (20.4% in 2015), with the exception of Grade 4. </w:t>
      </w:r>
      <w:r w:rsidRPr="005F120D">
        <w:rPr>
          <w:rFonts w:asciiTheme="minorHAnsi" w:hAnsiTheme="minorHAnsi" w:cstheme="minorHAnsi"/>
          <w:b w:val="0"/>
        </w:rPr>
        <w:t xml:space="preserve">The cycle completion rate or cohort completion rate – the percentage of students reaching Grade 5 and taking the PECE - has seen a gradual improvement since 2010. The rate </w:t>
      </w:r>
      <w:r w:rsidR="00472C77" w:rsidRPr="005F120D">
        <w:rPr>
          <w:rFonts w:asciiTheme="minorHAnsi" w:hAnsiTheme="minorHAnsi" w:cstheme="minorHAnsi"/>
          <w:b w:val="0"/>
        </w:rPr>
        <w:t>increased</w:t>
      </w:r>
      <w:r w:rsidRPr="005F120D">
        <w:rPr>
          <w:rFonts w:asciiTheme="minorHAnsi" w:hAnsiTheme="minorHAnsi" w:cstheme="minorHAnsi"/>
          <w:b w:val="0"/>
        </w:rPr>
        <w:t xml:space="preserve"> more significantly between 2010 and 2011, from 60.2% to 70.3%</w:t>
      </w:r>
      <w:r w:rsidR="00472C77" w:rsidRPr="005F120D">
        <w:rPr>
          <w:rFonts w:asciiTheme="minorHAnsi" w:hAnsiTheme="minorHAnsi" w:cstheme="minorHAnsi"/>
          <w:b w:val="0"/>
        </w:rPr>
        <w:t>,</w:t>
      </w:r>
      <w:r w:rsidR="006E0127" w:rsidRPr="005F120D">
        <w:rPr>
          <w:rFonts w:asciiTheme="minorHAnsi" w:hAnsiTheme="minorHAnsi" w:cstheme="minorHAnsi"/>
          <w:b w:val="0"/>
        </w:rPr>
        <w:t xml:space="preserve"> a raise</w:t>
      </w:r>
      <w:r w:rsidRPr="005F120D">
        <w:rPr>
          <w:rFonts w:asciiTheme="minorHAnsi" w:hAnsiTheme="minorHAnsi" w:cstheme="minorHAnsi"/>
          <w:b w:val="0"/>
        </w:rPr>
        <w:t xml:space="preserve"> of over 10%. While this is a positive development, there is still significant geographic variation in the number of students who make it to Grade 5, with the best performing Upazila</w:t>
      </w:r>
      <w:r w:rsidRPr="005F120D">
        <w:rPr>
          <w:rFonts w:asciiTheme="minorHAnsi" w:hAnsiTheme="minorHAnsi" w:cstheme="minorHAnsi"/>
          <w:b w:val="0"/>
          <w:i/>
        </w:rPr>
        <w:t>s</w:t>
      </w:r>
      <w:r w:rsidRPr="005F120D">
        <w:rPr>
          <w:rFonts w:asciiTheme="minorHAnsi" w:hAnsiTheme="minorHAnsi" w:cstheme="minorHAnsi"/>
          <w:b w:val="0"/>
        </w:rPr>
        <w:t xml:space="preserve"> in parts of Dhaka, Khulna and Chittagong divisions, and the least performing ones in the northern part of the country. Due to late enrolment and repetition, many children do not complete primary education until the age of 14–15 years.</w:t>
      </w:r>
    </w:p>
    <w:p w:rsidR="009D66FA" w:rsidRPr="005F120D" w:rsidRDefault="00375B39" w:rsidP="00375B39">
      <w:pPr>
        <w:pStyle w:val="BodyText1"/>
        <w:spacing w:before="240"/>
        <w:jc w:val="both"/>
        <w:rPr>
          <w:rFonts w:asciiTheme="minorHAnsi" w:hAnsiTheme="minorHAnsi" w:cstheme="minorHAnsi"/>
          <w:b w:val="0"/>
          <w:color w:val="000000"/>
        </w:rPr>
      </w:pPr>
      <w:r w:rsidRPr="005F120D">
        <w:rPr>
          <w:rFonts w:asciiTheme="minorHAnsi" w:hAnsiTheme="minorHAnsi" w:cstheme="minorHAnsi"/>
          <w:b w:val="0"/>
          <w:color w:val="000000"/>
        </w:rPr>
        <w:t xml:space="preserve">The coefficient of efficiency (a measure of repetition and dropout) has improved considerably between 2010 and 2015, from 62% to 80%. On an average, it dropped 3.6 percentage points in each year. The number of input years per graduate has improved to 6.2 years, exceeding the PEDP3 target of 7.5 years but still far from the ideal five years. </w:t>
      </w:r>
      <w:r w:rsidRPr="005F120D">
        <w:rPr>
          <w:rFonts w:asciiTheme="minorHAnsi" w:hAnsiTheme="minorHAnsi" w:cstheme="minorHAnsi"/>
          <w:b w:val="0"/>
        </w:rPr>
        <w:t xml:space="preserve">Transition rate to Grade 6 increased from 94% in 2013 (source: MICS) to 94.6% in 2014 (boys 96.8% and girls 94.6%) and </w:t>
      </w:r>
      <w:r w:rsidR="001B0A56" w:rsidRPr="005F120D">
        <w:rPr>
          <w:rFonts w:asciiTheme="minorHAnsi" w:hAnsiTheme="minorHAnsi" w:cstheme="minorHAnsi"/>
          <w:b w:val="0"/>
        </w:rPr>
        <w:t xml:space="preserve">to </w:t>
      </w:r>
      <w:r w:rsidRPr="005F120D">
        <w:rPr>
          <w:rFonts w:asciiTheme="minorHAnsi" w:hAnsiTheme="minorHAnsi" w:cstheme="minorHAnsi"/>
          <w:b w:val="0"/>
        </w:rPr>
        <w:t>96.1% in 2015 (Source: BANBEIS)</w:t>
      </w:r>
      <w:r w:rsidR="009D66FA" w:rsidRPr="005F120D">
        <w:rPr>
          <w:rFonts w:asciiTheme="minorHAnsi" w:hAnsiTheme="minorHAnsi" w:cstheme="minorHAnsi"/>
          <w:b w:val="0"/>
        </w:rPr>
        <w:t xml:space="preserve">. </w:t>
      </w:r>
    </w:p>
    <w:p w:rsidR="009D66FA" w:rsidRPr="005F120D" w:rsidRDefault="009D66FA" w:rsidP="009D66FA">
      <w:pPr>
        <w:pStyle w:val="BodyText1"/>
        <w:spacing w:before="240"/>
        <w:jc w:val="both"/>
        <w:rPr>
          <w:rFonts w:asciiTheme="minorHAnsi" w:hAnsiTheme="minorHAnsi" w:cstheme="minorHAnsi"/>
          <w:color w:val="3333FF"/>
        </w:rPr>
      </w:pPr>
      <w:r w:rsidRPr="005F120D">
        <w:rPr>
          <w:rFonts w:asciiTheme="minorHAnsi" w:hAnsiTheme="minorHAnsi" w:cstheme="minorHAnsi"/>
          <w:color w:val="3333FF"/>
        </w:rPr>
        <w:t>Outputs Level Achievement</w:t>
      </w:r>
    </w:p>
    <w:p w:rsidR="00375B39" w:rsidRPr="005F120D" w:rsidRDefault="00375B39" w:rsidP="00375B39">
      <w:pPr>
        <w:spacing w:before="240" w:line="276" w:lineRule="auto"/>
        <w:jc w:val="both"/>
        <w:rPr>
          <w:rFonts w:asciiTheme="minorHAnsi" w:hAnsiTheme="minorHAnsi" w:cstheme="minorHAnsi"/>
          <w:szCs w:val="22"/>
        </w:rPr>
      </w:pPr>
      <w:r w:rsidRPr="005F120D">
        <w:rPr>
          <w:rFonts w:asciiTheme="minorHAnsi" w:hAnsiTheme="minorHAnsi" w:cstheme="minorHAnsi"/>
          <w:szCs w:val="22"/>
        </w:rPr>
        <w:t xml:space="preserve">Primary School Quality Level (PSQL) indicators were first used to ensure minimum standards in primary schools under PEDPII and were continued under PEDP3. The </w:t>
      </w:r>
      <w:r w:rsidR="001B0A56" w:rsidRPr="005F120D">
        <w:rPr>
          <w:rFonts w:asciiTheme="minorHAnsi" w:hAnsiTheme="minorHAnsi" w:cstheme="minorHAnsi"/>
          <w:szCs w:val="22"/>
        </w:rPr>
        <w:t xml:space="preserve">2015 </w:t>
      </w:r>
      <w:r w:rsidRPr="005F120D">
        <w:rPr>
          <w:rFonts w:asciiTheme="minorHAnsi" w:hAnsiTheme="minorHAnsi" w:cstheme="minorHAnsi"/>
          <w:szCs w:val="22"/>
        </w:rPr>
        <w:t>achievements of PSQL indicators are as follows:</w:t>
      </w:r>
    </w:p>
    <w:p w:rsidR="00375B39" w:rsidRPr="005F120D" w:rsidRDefault="00375B39" w:rsidP="00375B39">
      <w:pPr>
        <w:pStyle w:val="ListParagraph"/>
        <w:numPr>
          <w:ilvl w:val="0"/>
          <w:numId w:val="134"/>
        </w:numPr>
        <w:spacing w:before="240" w:line="276" w:lineRule="auto"/>
        <w:jc w:val="both"/>
        <w:rPr>
          <w:rFonts w:asciiTheme="minorHAnsi" w:hAnsiTheme="minorHAnsi" w:cstheme="minorHAnsi"/>
        </w:rPr>
      </w:pPr>
      <w:r w:rsidRPr="005F120D">
        <w:rPr>
          <w:rFonts w:asciiTheme="minorHAnsi" w:hAnsiTheme="minorHAnsi" w:cstheme="minorHAnsi"/>
        </w:rPr>
        <w:lastRenderedPageBreak/>
        <w:t xml:space="preserve">Almost all (99.9%) schools now get free textbooks in the first month of the school academic year (PSQL1), </w:t>
      </w:r>
      <w:r w:rsidR="001B0A56" w:rsidRPr="005F120D">
        <w:rPr>
          <w:rFonts w:asciiTheme="minorHAnsi" w:hAnsiTheme="minorHAnsi" w:cstheme="minorHAnsi"/>
        </w:rPr>
        <w:t xml:space="preserve">and </w:t>
      </w:r>
      <w:r w:rsidRPr="005F120D">
        <w:rPr>
          <w:rFonts w:asciiTheme="minorHAnsi" w:hAnsiTheme="minorHAnsi" w:cstheme="minorHAnsi"/>
        </w:rPr>
        <w:t>87% before starting the academic year</w:t>
      </w:r>
      <w:r w:rsidR="001B0A56" w:rsidRPr="005F120D">
        <w:rPr>
          <w:rFonts w:asciiTheme="minorHAnsi" w:hAnsiTheme="minorHAnsi" w:cstheme="minorHAnsi"/>
        </w:rPr>
        <w:t>,</w:t>
      </w:r>
      <w:r w:rsidRPr="005F120D">
        <w:rPr>
          <w:rFonts w:asciiTheme="minorHAnsi" w:hAnsiTheme="minorHAnsi" w:cstheme="minorHAnsi"/>
        </w:rPr>
        <w:t xml:space="preserve"> in contrast to only one-third of the schools </w:t>
      </w:r>
      <w:r w:rsidR="001B0A56" w:rsidRPr="005F120D">
        <w:rPr>
          <w:rFonts w:asciiTheme="minorHAnsi" w:hAnsiTheme="minorHAnsi" w:cstheme="minorHAnsi"/>
        </w:rPr>
        <w:t xml:space="preserve">that </w:t>
      </w:r>
      <w:r w:rsidRPr="005F120D">
        <w:rPr>
          <w:rFonts w:asciiTheme="minorHAnsi" w:hAnsiTheme="minorHAnsi" w:cstheme="minorHAnsi"/>
        </w:rPr>
        <w:t>received their textbooks in time in 2010.</w:t>
      </w:r>
    </w:p>
    <w:p w:rsidR="00375B39" w:rsidRPr="005F120D" w:rsidRDefault="00375B39" w:rsidP="00375B39">
      <w:pPr>
        <w:pStyle w:val="ListParagraph"/>
        <w:numPr>
          <w:ilvl w:val="0"/>
          <w:numId w:val="0"/>
        </w:numPr>
        <w:spacing w:before="240" w:line="276" w:lineRule="auto"/>
        <w:ind w:left="720"/>
        <w:jc w:val="both"/>
        <w:rPr>
          <w:rFonts w:asciiTheme="minorHAnsi" w:hAnsiTheme="minorHAnsi" w:cstheme="minorHAnsi"/>
        </w:rPr>
      </w:pPr>
    </w:p>
    <w:p w:rsidR="00375B39" w:rsidRPr="005F120D" w:rsidRDefault="00375B39" w:rsidP="00375B39">
      <w:pPr>
        <w:pStyle w:val="ListParagraph"/>
        <w:numPr>
          <w:ilvl w:val="0"/>
          <w:numId w:val="134"/>
        </w:numPr>
        <w:spacing w:before="240" w:line="276" w:lineRule="auto"/>
        <w:jc w:val="both"/>
        <w:rPr>
          <w:rFonts w:asciiTheme="minorHAnsi" w:hAnsiTheme="minorHAnsi" w:cstheme="minorHAnsi"/>
        </w:rPr>
      </w:pPr>
      <w:r w:rsidRPr="005F120D">
        <w:rPr>
          <w:rFonts w:asciiTheme="minorHAnsi" w:hAnsiTheme="minorHAnsi" w:cstheme="minorHAnsi"/>
        </w:rPr>
        <w:t xml:space="preserve">The majority of Head and Assistant teachers have </w:t>
      </w:r>
      <w:r w:rsidR="001B0A56" w:rsidRPr="005F120D">
        <w:rPr>
          <w:rFonts w:asciiTheme="minorHAnsi" w:hAnsiTheme="minorHAnsi" w:cstheme="minorHAnsi"/>
        </w:rPr>
        <w:t>the required teaching and training qualifications</w:t>
      </w:r>
      <w:r w:rsidRPr="005F120D">
        <w:rPr>
          <w:rFonts w:asciiTheme="minorHAnsi" w:hAnsiTheme="minorHAnsi" w:cstheme="minorHAnsi"/>
        </w:rPr>
        <w:t xml:space="preserve"> (PSQLs 2, 3, 4 &amp;13). </w:t>
      </w:r>
      <w:r w:rsidRPr="005F120D">
        <w:rPr>
          <w:rFonts w:asciiTheme="minorHAnsi" w:hAnsiTheme="minorHAnsi" w:cstheme="minorHAnsi"/>
          <w:color w:val="000000"/>
        </w:rPr>
        <w:t xml:space="preserve">In 2015. 88.7% </w:t>
      </w:r>
      <w:r w:rsidR="001B0A56" w:rsidRPr="005F120D">
        <w:rPr>
          <w:rFonts w:asciiTheme="minorHAnsi" w:hAnsiTheme="minorHAnsi" w:cstheme="minorHAnsi"/>
          <w:color w:val="000000"/>
        </w:rPr>
        <w:t>of teachers had</w:t>
      </w:r>
      <w:r w:rsidRPr="005F120D">
        <w:rPr>
          <w:rFonts w:asciiTheme="minorHAnsi" w:hAnsiTheme="minorHAnsi" w:cstheme="minorHAnsi"/>
          <w:color w:val="000000"/>
        </w:rPr>
        <w:t xml:space="preserve"> a professional qualification</w:t>
      </w:r>
      <w:r w:rsidR="001B0A56" w:rsidRPr="005F120D">
        <w:rPr>
          <w:rFonts w:asciiTheme="minorHAnsi" w:hAnsiTheme="minorHAnsi" w:cstheme="minorHAnsi"/>
          <w:color w:val="000000"/>
        </w:rPr>
        <w:t xml:space="preserve"> (C-in-Ed, B.Ed., M.Ed. and DPEd</w:t>
      </w:r>
      <w:r w:rsidRPr="005F120D">
        <w:rPr>
          <w:rFonts w:asciiTheme="minorHAnsi" w:hAnsiTheme="minorHAnsi" w:cstheme="minorHAnsi"/>
          <w:color w:val="000000"/>
        </w:rPr>
        <w:t>) up from 83% in 2010. Female</w:t>
      </w:r>
      <w:r w:rsidR="006C3FF3" w:rsidRPr="005F120D">
        <w:rPr>
          <w:rFonts w:asciiTheme="minorHAnsi" w:hAnsiTheme="minorHAnsi" w:cstheme="minorHAnsi"/>
          <w:color w:val="000000"/>
        </w:rPr>
        <w:t xml:space="preserve"> assistant teachers of NNPS are </w:t>
      </w:r>
      <w:r w:rsidR="001B0A56" w:rsidRPr="005F120D">
        <w:rPr>
          <w:rFonts w:asciiTheme="minorHAnsi" w:hAnsiTheme="minorHAnsi" w:cstheme="minorHAnsi"/>
          <w:color w:val="000000"/>
        </w:rPr>
        <w:t>constitute</w:t>
      </w:r>
      <w:r w:rsidR="006C3FF3" w:rsidRPr="005F120D">
        <w:rPr>
          <w:rFonts w:asciiTheme="minorHAnsi" w:hAnsiTheme="minorHAnsi" w:cstheme="minorHAnsi"/>
          <w:color w:val="000000"/>
        </w:rPr>
        <w:t>s</w:t>
      </w:r>
      <w:r w:rsidR="00C4591B">
        <w:rPr>
          <w:rFonts w:asciiTheme="minorHAnsi" w:hAnsiTheme="minorHAnsi" w:cstheme="minorHAnsi"/>
          <w:color w:val="000000"/>
        </w:rPr>
        <w:t xml:space="preserve"> </w:t>
      </w:r>
      <w:r w:rsidRPr="005F120D">
        <w:rPr>
          <w:rFonts w:asciiTheme="minorHAnsi" w:hAnsiTheme="minorHAnsi" w:cstheme="minorHAnsi"/>
          <w:color w:val="000000"/>
        </w:rPr>
        <w:t xml:space="preserve">the group of teachers furthest from achieving the target (only 76% are trained in NNPS compared to 88.7% in GPS). </w:t>
      </w:r>
      <w:r w:rsidRPr="005F120D">
        <w:rPr>
          <w:rFonts w:asciiTheme="minorHAnsi" w:hAnsiTheme="minorHAnsi" w:cstheme="minorHAnsi"/>
        </w:rPr>
        <w:t xml:space="preserve">Regarding in-service training, only 73.4% (male 79.1 % and female 69.9%) of teachers (Head and Assistant) received subject-based training in 2015. This was slightly lower than the PEDP3 baseline of 84.7% in 2010. </w:t>
      </w:r>
      <w:r w:rsidRPr="005F120D">
        <w:rPr>
          <w:rFonts w:asciiTheme="minorHAnsi" w:hAnsiTheme="minorHAnsi" w:cstheme="minorHAnsi"/>
          <w:color w:val="000000"/>
        </w:rPr>
        <w:t xml:space="preserve">Participation of females (70%) lagged behind that of males (79%). </w:t>
      </w:r>
      <w:r w:rsidRPr="005F120D">
        <w:rPr>
          <w:rFonts w:asciiTheme="minorHAnsi" w:hAnsiTheme="minorHAnsi" w:cstheme="minorHAnsi"/>
        </w:rPr>
        <w:t>About 89.7% of teachers (Head and Assistant) (male 90% and female 89%) received Sub-cluster training compared to 88% of teachers (Head and Assistant), male (8</w:t>
      </w:r>
      <w:r w:rsidR="001B0A56" w:rsidRPr="005F120D">
        <w:rPr>
          <w:rFonts w:asciiTheme="minorHAnsi" w:hAnsiTheme="minorHAnsi" w:cstheme="minorHAnsi"/>
        </w:rPr>
        <w:t>7% and female 88%) in 2010.</w:t>
      </w:r>
      <w:r w:rsidRPr="005F120D">
        <w:rPr>
          <w:rFonts w:asciiTheme="minorHAnsi" w:hAnsiTheme="minorHAnsi" w:cstheme="minorHAnsi"/>
        </w:rPr>
        <w:t xml:space="preserve"> 50%</w:t>
      </w:r>
      <w:r w:rsidR="006E0127" w:rsidRPr="005F120D">
        <w:rPr>
          <w:rFonts w:asciiTheme="minorHAnsi" w:hAnsiTheme="minorHAnsi" w:cstheme="minorHAnsi"/>
        </w:rPr>
        <w:t xml:space="preserve"> of</w:t>
      </w:r>
      <w:r w:rsidRPr="005F120D">
        <w:rPr>
          <w:rFonts w:asciiTheme="minorHAnsi" w:hAnsiTheme="minorHAnsi" w:cstheme="minorHAnsi"/>
        </w:rPr>
        <w:t xml:space="preserve"> GPS and 49%</w:t>
      </w:r>
      <w:r w:rsidR="006E0127" w:rsidRPr="005F120D">
        <w:rPr>
          <w:rFonts w:asciiTheme="minorHAnsi" w:hAnsiTheme="minorHAnsi" w:cstheme="minorHAnsi"/>
        </w:rPr>
        <w:t xml:space="preserve"> of</w:t>
      </w:r>
      <w:r w:rsidRPr="005F120D">
        <w:rPr>
          <w:rFonts w:asciiTheme="minorHAnsi" w:hAnsiTheme="minorHAnsi" w:cstheme="minorHAnsi"/>
        </w:rPr>
        <w:t xml:space="preserve"> NNPS Head Teachers received training on school management and leadership in 2015, compared to 25%</w:t>
      </w:r>
      <w:r w:rsidR="006E0127" w:rsidRPr="005F120D">
        <w:rPr>
          <w:rFonts w:asciiTheme="minorHAnsi" w:hAnsiTheme="minorHAnsi" w:cstheme="minorHAnsi"/>
        </w:rPr>
        <w:t xml:space="preserve"> of</w:t>
      </w:r>
      <w:r w:rsidRPr="005F120D">
        <w:rPr>
          <w:rFonts w:asciiTheme="minorHAnsi" w:hAnsiTheme="minorHAnsi" w:cstheme="minorHAnsi"/>
        </w:rPr>
        <w:t xml:space="preserve"> GPS and 26% </w:t>
      </w:r>
      <w:r w:rsidR="006E0127" w:rsidRPr="005F120D">
        <w:rPr>
          <w:rFonts w:asciiTheme="minorHAnsi" w:hAnsiTheme="minorHAnsi" w:cstheme="minorHAnsi"/>
        </w:rPr>
        <w:t xml:space="preserve">of </w:t>
      </w:r>
      <w:r w:rsidRPr="005F120D">
        <w:rPr>
          <w:rFonts w:asciiTheme="minorHAnsi" w:hAnsiTheme="minorHAnsi" w:cstheme="minorHAnsi"/>
        </w:rPr>
        <w:t xml:space="preserve">NNPS in 2014 and 75% and 64% in 2010. </w:t>
      </w:r>
    </w:p>
    <w:p w:rsidR="00375B39" w:rsidRPr="005F120D" w:rsidRDefault="00375B39" w:rsidP="00375B39">
      <w:pPr>
        <w:pStyle w:val="BodyText1"/>
        <w:numPr>
          <w:ilvl w:val="0"/>
          <w:numId w:val="134"/>
        </w:numPr>
        <w:spacing w:before="240"/>
        <w:jc w:val="both"/>
        <w:rPr>
          <w:rFonts w:asciiTheme="minorHAnsi" w:hAnsiTheme="minorHAnsi" w:cstheme="minorHAnsi"/>
          <w:b w:val="0"/>
        </w:rPr>
      </w:pPr>
      <w:r w:rsidRPr="005F120D">
        <w:rPr>
          <w:rFonts w:asciiTheme="minorHAnsi" w:hAnsiTheme="minorHAnsi" w:cstheme="minorHAnsi"/>
          <w:b w:val="0"/>
        </w:rPr>
        <w:t>About 90.6% of GPS and 82.7% of NNPS have at least one functioning toilet, which is below the PEDP3 baseline of 95% for both GPS and NNPS.  Overall, around 12% of all types of primary educational institutes do not have at least one functioning toilet.  It is uncertain why this indicator has been on a</w:t>
      </w:r>
      <w:r w:rsidR="00810346" w:rsidRPr="005F120D">
        <w:rPr>
          <w:rFonts w:asciiTheme="minorHAnsi" w:hAnsiTheme="minorHAnsi" w:cstheme="minorHAnsi"/>
          <w:b w:val="0"/>
        </w:rPr>
        <w:t xml:space="preserve"> downward trend since 2012.  P</w:t>
      </w:r>
      <w:r w:rsidRPr="005F120D">
        <w:rPr>
          <w:rFonts w:asciiTheme="minorHAnsi" w:hAnsiTheme="minorHAnsi" w:cstheme="minorHAnsi"/>
          <w:b w:val="0"/>
        </w:rPr>
        <w:t>ossible reason</w:t>
      </w:r>
      <w:r w:rsidR="00810346" w:rsidRPr="005F120D">
        <w:rPr>
          <w:rFonts w:asciiTheme="minorHAnsi" w:hAnsiTheme="minorHAnsi" w:cstheme="minorHAnsi"/>
          <w:b w:val="0"/>
        </w:rPr>
        <w:t>s</w:t>
      </w:r>
      <w:r w:rsidRPr="005F120D">
        <w:rPr>
          <w:rFonts w:asciiTheme="minorHAnsi" w:hAnsiTheme="minorHAnsi" w:cstheme="minorHAnsi"/>
          <w:b w:val="0"/>
        </w:rPr>
        <w:t xml:space="preserve"> may be: (i) the rephrasing of this question in the APSC, which led to different school responses; (ii) lack of proper toilet maintenance; and (iii) the introduction of the new wash block, which may have resulted in the slow replacement of non-functioning toilets.</w:t>
      </w:r>
    </w:p>
    <w:p w:rsidR="00375B39" w:rsidRPr="005F120D" w:rsidRDefault="00375B39" w:rsidP="00375B39">
      <w:pPr>
        <w:pStyle w:val="BodyText1"/>
        <w:numPr>
          <w:ilvl w:val="0"/>
          <w:numId w:val="134"/>
        </w:numPr>
        <w:spacing w:before="240"/>
        <w:jc w:val="both"/>
        <w:rPr>
          <w:rFonts w:asciiTheme="minorHAnsi" w:hAnsiTheme="minorHAnsi" w:cstheme="minorHAnsi"/>
          <w:b w:val="0"/>
          <w:color w:val="000000"/>
        </w:rPr>
      </w:pPr>
      <w:r w:rsidRPr="005F120D">
        <w:rPr>
          <w:rFonts w:asciiTheme="minorHAnsi" w:hAnsiTheme="minorHAnsi" w:cstheme="minorHAnsi"/>
          <w:b w:val="0"/>
        </w:rPr>
        <w:t>There has been a tremendous growth in improving the provision of separate toilet</w:t>
      </w:r>
      <w:r w:rsidR="00810346" w:rsidRPr="005F120D">
        <w:rPr>
          <w:rFonts w:asciiTheme="minorHAnsi" w:hAnsiTheme="minorHAnsi" w:cstheme="minorHAnsi"/>
          <w:b w:val="0"/>
        </w:rPr>
        <w:t>s</w:t>
      </w:r>
      <w:r w:rsidRPr="005F120D">
        <w:rPr>
          <w:rFonts w:asciiTheme="minorHAnsi" w:hAnsiTheme="minorHAnsi" w:cstheme="minorHAnsi"/>
          <w:b w:val="0"/>
        </w:rPr>
        <w:t xml:space="preserve"> for girls, despite some decline in 2015 and 2014. The PEDP3 target was for at least 95% of GPS to have separate toilets by the end of the PEDP3 (June 2017). In 2015, the proportion of GPS with separate toilets particularly for girls was 57.6% compared to 69.2% in 2014; for NNPS the percentage was 45% compared to 58.4% in 2014, which, nonetheless, was a major improvement for both over the PEDP3 2010 baseline of 37% in GPS and 20% in NNPS. In 2015, WASH blocks were constructed instead of toilets, which were not included in the 2015 calculations.</w:t>
      </w:r>
      <w:r w:rsidRPr="005F120D">
        <w:rPr>
          <w:rFonts w:asciiTheme="minorHAnsi" w:hAnsiTheme="minorHAnsi" w:cstheme="minorHAnsi"/>
          <w:b w:val="0"/>
          <w:color w:val="000000"/>
        </w:rPr>
        <w:t xml:space="preserve"> With regard to the provision of toilets for </w:t>
      </w:r>
      <w:r w:rsidR="00810346" w:rsidRPr="005F120D">
        <w:rPr>
          <w:rFonts w:asciiTheme="minorHAnsi" w:hAnsiTheme="minorHAnsi" w:cstheme="minorHAnsi"/>
          <w:b w:val="0"/>
          <w:color w:val="000000"/>
        </w:rPr>
        <w:t>student</w:t>
      </w:r>
      <w:r w:rsidRPr="005F120D">
        <w:rPr>
          <w:rFonts w:asciiTheme="minorHAnsi" w:hAnsiTheme="minorHAnsi" w:cstheme="minorHAnsi"/>
          <w:b w:val="0"/>
          <w:color w:val="000000"/>
        </w:rPr>
        <w:t>s with physical disabilities, in the 2015 school census</w:t>
      </w:r>
      <w:r w:rsidR="00810346" w:rsidRPr="005F120D">
        <w:rPr>
          <w:rFonts w:asciiTheme="minorHAnsi" w:hAnsiTheme="minorHAnsi" w:cstheme="minorHAnsi"/>
          <w:b w:val="0"/>
          <w:color w:val="000000"/>
        </w:rPr>
        <w:t>,</w:t>
      </w:r>
      <w:r w:rsidRPr="005F120D">
        <w:rPr>
          <w:rFonts w:asciiTheme="minorHAnsi" w:hAnsiTheme="minorHAnsi" w:cstheme="minorHAnsi"/>
          <w:b w:val="0"/>
          <w:color w:val="000000"/>
        </w:rPr>
        <w:t xml:space="preserve"> Head teachers seem to have taken a rather limited interpretation of this need, and as a result, only 1% of GPS and 0.6% of NNPS have appropriate toilet facilities for these children.</w:t>
      </w:r>
    </w:p>
    <w:p w:rsidR="00375B39" w:rsidRPr="005F120D" w:rsidRDefault="00375B39" w:rsidP="00375B39">
      <w:pPr>
        <w:pStyle w:val="BodyText1"/>
        <w:numPr>
          <w:ilvl w:val="0"/>
          <w:numId w:val="134"/>
        </w:numPr>
        <w:spacing w:before="240"/>
        <w:jc w:val="both"/>
        <w:rPr>
          <w:rFonts w:asciiTheme="minorHAnsi" w:hAnsiTheme="minorHAnsi" w:cstheme="minorHAnsi"/>
          <w:b w:val="0"/>
          <w:color w:val="000000"/>
        </w:rPr>
      </w:pPr>
      <w:r w:rsidRPr="005F120D">
        <w:rPr>
          <w:rFonts w:asciiTheme="minorHAnsi" w:hAnsiTheme="minorHAnsi" w:cstheme="minorHAnsi"/>
          <w:b w:val="0"/>
        </w:rPr>
        <w:t>‘Percentage</w:t>
      </w:r>
      <w:r w:rsidRPr="005F120D">
        <w:rPr>
          <w:rFonts w:asciiTheme="minorHAnsi" w:hAnsiTheme="minorHAnsi" w:cstheme="minorHAnsi"/>
          <w:b w:val="0"/>
          <w:i/>
        </w:rPr>
        <w:t xml:space="preserve"> of schools with safe water sources: functioning tube wells and other sources</w:t>
      </w:r>
      <w:r w:rsidRPr="005F120D">
        <w:rPr>
          <w:rFonts w:asciiTheme="minorHAnsi" w:hAnsiTheme="minorHAnsi" w:cstheme="minorHAnsi"/>
          <w:b w:val="0"/>
        </w:rPr>
        <w:t xml:space="preserve">’.  In 2010, 84% of GPS and 83% of NNPS reported positively on this indicator, compared with 75.6% of GPS and 69.5% of NNPS in 2015. A possible explanation for this declining trend is </w:t>
      </w:r>
      <w:r w:rsidR="00810346" w:rsidRPr="005F120D">
        <w:rPr>
          <w:rFonts w:asciiTheme="minorHAnsi" w:hAnsiTheme="minorHAnsi" w:cstheme="minorHAnsi"/>
          <w:b w:val="0"/>
        </w:rPr>
        <w:t xml:space="preserve">again </w:t>
      </w:r>
      <w:r w:rsidRPr="005F120D">
        <w:rPr>
          <w:rFonts w:asciiTheme="minorHAnsi" w:hAnsiTheme="minorHAnsi" w:cstheme="minorHAnsi"/>
          <w:b w:val="0"/>
        </w:rPr>
        <w:t xml:space="preserve">the introduction of the new wash block, which led to a slow replacement of broken toilets. </w:t>
      </w:r>
      <w:r w:rsidRPr="005F120D">
        <w:rPr>
          <w:rFonts w:asciiTheme="minorHAnsi" w:hAnsiTheme="minorHAnsi" w:cstheme="minorHAnsi"/>
          <w:b w:val="0"/>
          <w:color w:val="000000"/>
        </w:rPr>
        <w:t>There was also a substantial reduction in the numb</w:t>
      </w:r>
      <w:r w:rsidR="00810346" w:rsidRPr="005F120D">
        <w:rPr>
          <w:rFonts w:asciiTheme="minorHAnsi" w:hAnsiTheme="minorHAnsi" w:cstheme="minorHAnsi"/>
          <w:b w:val="0"/>
          <w:color w:val="000000"/>
        </w:rPr>
        <w:t>er of tube wells, which had</w:t>
      </w:r>
      <w:r w:rsidRPr="005F120D">
        <w:rPr>
          <w:rFonts w:asciiTheme="minorHAnsi" w:hAnsiTheme="minorHAnsi" w:cstheme="minorHAnsi"/>
          <w:b w:val="0"/>
          <w:color w:val="000000"/>
        </w:rPr>
        <w:t xml:space="preserve"> not been tested for arsenic, </w:t>
      </w:r>
      <w:r w:rsidR="00810346" w:rsidRPr="005F120D">
        <w:rPr>
          <w:rFonts w:asciiTheme="minorHAnsi" w:hAnsiTheme="minorHAnsi" w:cstheme="minorHAnsi"/>
          <w:b w:val="0"/>
          <w:color w:val="000000"/>
        </w:rPr>
        <w:t>down from 34.9% in 2010</w:t>
      </w:r>
      <w:r w:rsidRPr="005F120D">
        <w:rPr>
          <w:rFonts w:asciiTheme="minorHAnsi" w:hAnsiTheme="minorHAnsi" w:cstheme="minorHAnsi"/>
          <w:b w:val="0"/>
          <w:color w:val="000000"/>
        </w:rPr>
        <w:t xml:space="preserve"> to 12.3% in 2012. At the </w:t>
      </w:r>
      <w:r w:rsidRPr="005F120D">
        <w:rPr>
          <w:rFonts w:asciiTheme="minorHAnsi" w:hAnsiTheme="minorHAnsi" w:cstheme="minorHAnsi"/>
          <w:b w:val="0"/>
        </w:rPr>
        <w:t xml:space="preserve">same time, there </w:t>
      </w:r>
      <w:r w:rsidRPr="005F120D">
        <w:rPr>
          <w:rFonts w:asciiTheme="minorHAnsi" w:hAnsiTheme="minorHAnsi" w:cstheme="minorHAnsi"/>
          <w:b w:val="0"/>
        </w:rPr>
        <w:lastRenderedPageBreak/>
        <w:t>was a significant increase in the proportion of wells testing positive for arsenic (from 6% to 9%). This increase may reflect the reduction of tube wells.</w:t>
      </w:r>
    </w:p>
    <w:p w:rsidR="00375B39" w:rsidRPr="005F120D" w:rsidRDefault="00375B39" w:rsidP="00375B39">
      <w:pPr>
        <w:pStyle w:val="BodyText1"/>
        <w:numPr>
          <w:ilvl w:val="0"/>
          <w:numId w:val="134"/>
        </w:numPr>
        <w:spacing w:before="240"/>
        <w:jc w:val="both"/>
        <w:rPr>
          <w:rFonts w:asciiTheme="minorHAnsi" w:hAnsiTheme="minorHAnsi" w:cstheme="minorHAnsi"/>
          <w:b w:val="0"/>
          <w:color w:val="000000"/>
        </w:rPr>
      </w:pPr>
      <w:r w:rsidRPr="005F120D">
        <w:rPr>
          <w:rFonts w:asciiTheme="minorHAnsi" w:hAnsiTheme="minorHAnsi" w:cstheme="minorHAnsi"/>
          <w:b w:val="0"/>
          <w:color w:val="000000"/>
        </w:rPr>
        <w:t>With regard to single shift scho</w:t>
      </w:r>
      <w:r w:rsidR="005C0650" w:rsidRPr="005F120D">
        <w:rPr>
          <w:rFonts w:asciiTheme="minorHAnsi" w:hAnsiTheme="minorHAnsi" w:cstheme="minorHAnsi"/>
          <w:b w:val="0"/>
          <w:color w:val="000000"/>
        </w:rPr>
        <w:t>ols, only 28.7% schools met the</w:t>
      </w:r>
      <w:r w:rsidRPr="005F120D">
        <w:rPr>
          <w:rFonts w:asciiTheme="minorHAnsi" w:hAnsiTheme="minorHAnsi" w:cstheme="minorHAnsi"/>
          <w:b w:val="0"/>
          <w:color w:val="000000"/>
        </w:rPr>
        <w:t xml:space="preserve"> standard of 40 students per classroom (SCR 40:1). 77% </w:t>
      </w:r>
      <w:r w:rsidR="00810346" w:rsidRPr="005F120D">
        <w:rPr>
          <w:rFonts w:asciiTheme="minorHAnsi" w:hAnsiTheme="minorHAnsi" w:cstheme="minorHAnsi"/>
          <w:b w:val="0"/>
          <w:color w:val="000000"/>
        </w:rPr>
        <w:t xml:space="preserve">of </w:t>
      </w:r>
      <w:r w:rsidRPr="005F120D">
        <w:rPr>
          <w:rFonts w:asciiTheme="minorHAnsi" w:hAnsiTheme="minorHAnsi" w:cstheme="minorHAnsi"/>
          <w:b w:val="0"/>
          <w:color w:val="000000"/>
        </w:rPr>
        <w:t>schools met the ‘effective’ classroom standard. This takes double-shifting of classrooms into consideration. If double-shifting is ignored, then only 32.7% of schools meet the SCR 40:1, a rise of twelve percentage points from 2010. The original aim of PEDPII was to have 30,000 new classrooms constructed; and in 2009 this target was updated to 43,350. Under PEDP3, the target is 33,484.  According to DPE records, 55,440 classrooms had been constructed by March 2015. This rate of construction appears to have been only sufficient to meet the enrolment growth.</w:t>
      </w:r>
    </w:p>
    <w:p w:rsidR="00375B39" w:rsidRPr="005F120D" w:rsidRDefault="00375B39" w:rsidP="00375B39">
      <w:pPr>
        <w:pStyle w:val="ListParagraph"/>
        <w:numPr>
          <w:ilvl w:val="0"/>
          <w:numId w:val="134"/>
        </w:numPr>
        <w:spacing w:before="240" w:line="276" w:lineRule="auto"/>
        <w:jc w:val="both"/>
        <w:rPr>
          <w:rFonts w:asciiTheme="minorHAnsi" w:hAnsiTheme="minorHAnsi" w:cstheme="minorHAnsi"/>
        </w:rPr>
      </w:pPr>
      <w:r w:rsidRPr="005F120D">
        <w:rPr>
          <w:rFonts w:asciiTheme="minorHAnsi" w:hAnsiTheme="minorHAnsi" w:cstheme="minorHAnsi"/>
          <w:color w:val="000000"/>
        </w:rPr>
        <w:t>The standard of this PSQL is the proportion of schools, which meet the minimum standard student–teacher ratio (STR) of 46:1.  While 77% of schools that met the definition of an ‘e</w:t>
      </w:r>
      <w:r w:rsidR="00810346" w:rsidRPr="005F120D">
        <w:rPr>
          <w:rFonts w:asciiTheme="minorHAnsi" w:hAnsiTheme="minorHAnsi" w:cstheme="minorHAnsi"/>
          <w:color w:val="000000"/>
        </w:rPr>
        <w:t>ffective’ classroom standard</w:t>
      </w:r>
      <w:r w:rsidRPr="005F120D">
        <w:rPr>
          <w:rFonts w:asciiTheme="minorHAnsi" w:hAnsiTheme="minorHAnsi" w:cstheme="minorHAnsi"/>
          <w:color w:val="000000"/>
        </w:rPr>
        <w:t xml:space="preserve"> increased markedly in GPS from 35% in 2005 to 45% in 2011, over the same period the percentage dropped in NNGPS from 59% to 47%. The trend in GPS is partly explained by the substantial recruitment of additional teachers (about 45,000) over the PEDPII and the PEDP3 period</w:t>
      </w:r>
      <w:r w:rsidR="00810346" w:rsidRPr="005F120D">
        <w:rPr>
          <w:rFonts w:asciiTheme="minorHAnsi" w:hAnsiTheme="minorHAnsi" w:cstheme="minorHAnsi"/>
          <w:color w:val="000000"/>
        </w:rPr>
        <w:t>s</w:t>
      </w:r>
      <w:r w:rsidRPr="005F120D">
        <w:rPr>
          <w:rFonts w:asciiTheme="minorHAnsi" w:hAnsiTheme="minorHAnsi" w:cstheme="minorHAnsi"/>
          <w:color w:val="000000"/>
        </w:rPr>
        <w:t>. If the common practice of double-shifting of teachers is taken into account, 94% of schools meet the standard of 46 students per ‘effective’ classroom.</w:t>
      </w:r>
    </w:p>
    <w:p w:rsidR="00375B39" w:rsidRPr="005F120D" w:rsidRDefault="00375B39" w:rsidP="00375B39">
      <w:pPr>
        <w:pStyle w:val="BodyText1"/>
        <w:numPr>
          <w:ilvl w:val="0"/>
          <w:numId w:val="134"/>
        </w:numPr>
        <w:spacing w:before="240"/>
        <w:jc w:val="both"/>
        <w:rPr>
          <w:rFonts w:asciiTheme="minorHAnsi" w:hAnsiTheme="minorHAnsi" w:cstheme="minorHAnsi"/>
          <w:b w:val="0"/>
          <w:color w:val="000000"/>
        </w:rPr>
      </w:pPr>
      <w:r w:rsidRPr="005F120D">
        <w:rPr>
          <w:rFonts w:asciiTheme="minorHAnsi" w:hAnsiTheme="minorHAnsi" w:cstheme="minorHAnsi"/>
          <w:b w:val="0"/>
          <w:color w:val="000000"/>
        </w:rPr>
        <w:t xml:space="preserve">The proportion of single-shift schools was targeted to rise to 28% by the end of </w:t>
      </w:r>
      <w:r w:rsidRPr="005F120D">
        <w:rPr>
          <w:rFonts w:asciiTheme="minorHAnsi" w:hAnsiTheme="minorHAnsi" w:cstheme="minorHAnsi"/>
          <w:b w:val="0"/>
        </w:rPr>
        <w:t>the</w:t>
      </w:r>
      <w:r w:rsidRPr="005F120D">
        <w:rPr>
          <w:rFonts w:asciiTheme="minorHAnsi" w:hAnsiTheme="minorHAnsi" w:cstheme="minorHAnsi"/>
          <w:b w:val="0"/>
          <w:color w:val="000000"/>
        </w:rPr>
        <w:t xml:space="preserve"> PEDP3. There was significant progress towards the target, as the proportion of GPS operating on a single shift increased from 12% in 2005 to 21% in 2010 and to 21.6% in 2015. However, the situation in NNPS appears to have declined and now stands at only 2.4% of single-shift schools.</w:t>
      </w:r>
    </w:p>
    <w:p w:rsidR="009D66FA" w:rsidRPr="005F120D" w:rsidRDefault="00375B39" w:rsidP="00375B39">
      <w:pPr>
        <w:pStyle w:val="BodyText1"/>
        <w:spacing w:before="240"/>
        <w:jc w:val="both"/>
        <w:rPr>
          <w:rFonts w:asciiTheme="minorHAnsi" w:hAnsiTheme="minorHAnsi" w:cstheme="minorHAnsi"/>
          <w:b w:val="0"/>
          <w:i/>
          <w:color w:val="FF0000"/>
        </w:rPr>
      </w:pPr>
      <w:r w:rsidRPr="005F120D">
        <w:rPr>
          <w:rFonts w:asciiTheme="minorHAnsi" w:hAnsiTheme="minorHAnsi" w:cstheme="minorHAnsi"/>
          <w:b w:val="0"/>
        </w:rPr>
        <w:t xml:space="preserve">There is a PSQL based composite indicator (KPI-15), which measures the percentage of schools that meet three out of four PSQL indicators: (i) Availability of girls’ toilets; (ii) availability of potable water; (3) Student- classroom ratio; and (iv). Student-teacher ratio. In 2015, 29.3% of the GPS/NNPS (31.6% all types) schools met three out of the four PSQLs, up from 24% in 2013 and 28% in 2014 respectively.  The value of this index increased 12 percentage points in 2015 compared to the PEDP3 baseline (2010). The majority of the schools (38%) met 2 out of the 4 PSQLS.  Only 7% of the schools met all 4 PSQLs and </w:t>
      </w:r>
      <w:r w:rsidR="00810346" w:rsidRPr="005F120D">
        <w:rPr>
          <w:rFonts w:asciiTheme="minorHAnsi" w:hAnsiTheme="minorHAnsi" w:cstheme="minorHAnsi"/>
          <w:b w:val="0"/>
        </w:rPr>
        <w:t xml:space="preserve">another </w:t>
      </w:r>
      <w:r w:rsidRPr="005F120D">
        <w:rPr>
          <w:rFonts w:asciiTheme="minorHAnsi" w:hAnsiTheme="minorHAnsi" w:cstheme="minorHAnsi"/>
          <w:b w:val="0"/>
        </w:rPr>
        <w:t>7% (was 8% in 2014) of the schools did not met any of the four PSQL standards</w:t>
      </w:r>
      <w:r w:rsidR="009D66FA" w:rsidRPr="005F120D">
        <w:rPr>
          <w:rFonts w:asciiTheme="minorHAnsi" w:hAnsiTheme="minorHAnsi" w:cstheme="minorHAnsi"/>
          <w:b w:val="0"/>
        </w:rPr>
        <w:t>.</w:t>
      </w:r>
    </w:p>
    <w:p w:rsidR="009D66FA" w:rsidRPr="005F120D" w:rsidRDefault="009D66FA" w:rsidP="009D66FA">
      <w:pPr>
        <w:spacing w:before="240" w:line="276" w:lineRule="auto"/>
        <w:rPr>
          <w:rFonts w:asciiTheme="minorHAnsi" w:hAnsiTheme="minorHAnsi" w:cstheme="minorHAnsi"/>
          <w:b/>
          <w:color w:val="3333FF"/>
          <w:szCs w:val="22"/>
        </w:rPr>
      </w:pPr>
      <w:r w:rsidRPr="005F120D">
        <w:rPr>
          <w:rFonts w:asciiTheme="minorHAnsi" w:hAnsiTheme="minorHAnsi" w:cstheme="minorHAnsi"/>
          <w:b/>
          <w:color w:val="3333FF"/>
          <w:szCs w:val="22"/>
        </w:rPr>
        <w:t xml:space="preserve">Inputs </w:t>
      </w:r>
    </w:p>
    <w:p w:rsidR="009D66FA" w:rsidRPr="005F120D" w:rsidRDefault="00375B39" w:rsidP="009D66FA">
      <w:pPr>
        <w:pStyle w:val="BodyText1"/>
        <w:spacing w:before="240"/>
        <w:jc w:val="both"/>
        <w:rPr>
          <w:rFonts w:asciiTheme="minorHAnsi" w:hAnsiTheme="minorHAnsi" w:cstheme="minorHAnsi"/>
          <w:b w:val="0"/>
          <w:color w:val="000000"/>
        </w:rPr>
      </w:pPr>
      <w:r w:rsidRPr="005F120D">
        <w:rPr>
          <w:rFonts w:asciiTheme="minorHAnsi" w:hAnsiTheme="minorHAnsi" w:cstheme="minorHAnsi"/>
          <w:b w:val="0"/>
          <w:color w:val="000000"/>
        </w:rPr>
        <w:t xml:space="preserve">In the 2015/16 financial year, the allocation for the development budget increased significantly between the original 2015/16 and revised 2014/15. In the f/y 2015/16, total development budget is 5,541 crore taka (TK. 3,740 crore for the PEDP3, TK 1,260 crore for the discrete projects, TK 416 crore for the Block allocation and TK 125 crore for the BNFE) up from 4,333 crore taka in the revised 2014/15 taka (TK. 2,404 crore for the PEDP3, TK 1,753 crore for the discrete projects, TK 172.92 crore for the Block allocation and TK 2.9 crore for the BNFE). </w:t>
      </w:r>
      <w:r w:rsidR="005C0650" w:rsidRPr="005F120D">
        <w:rPr>
          <w:rFonts w:asciiTheme="minorHAnsi" w:hAnsiTheme="minorHAnsi" w:cstheme="minorHAnsi"/>
          <w:b w:val="0"/>
          <w:color w:val="000000"/>
        </w:rPr>
        <w:t>The main source of the increase</w:t>
      </w:r>
      <w:r w:rsidRPr="005F120D">
        <w:rPr>
          <w:rFonts w:asciiTheme="minorHAnsi" w:hAnsiTheme="minorHAnsi" w:cstheme="minorHAnsi"/>
          <w:b w:val="0"/>
          <w:color w:val="000000"/>
        </w:rPr>
        <w:t xml:space="preserve"> is </w:t>
      </w:r>
      <w:r w:rsidR="00685E0C" w:rsidRPr="005F120D">
        <w:rPr>
          <w:rFonts w:asciiTheme="minorHAnsi" w:hAnsiTheme="minorHAnsi" w:cstheme="minorHAnsi"/>
          <w:b w:val="0"/>
          <w:color w:val="000000"/>
        </w:rPr>
        <w:t xml:space="preserve">both </w:t>
      </w:r>
      <w:r w:rsidRPr="005F120D">
        <w:rPr>
          <w:rFonts w:asciiTheme="minorHAnsi" w:hAnsiTheme="minorHAnsi" w:cstheme="minorHAnsi"/>
          <w:b w:val="0"/>
          <w:color w:val="000000"/>
        </w:rPr>
        <w:t xml:space="preserve">the infrastructure development </w:t>
      </w:r>
      <w:r w:rsidR="00685E0C" w:rsidRPr="005F120D">
        <w:rPr>
          <w:rFonts w:asciiTheme="minorHAnsi" w:hAnsiTheme="minorHAnsi" w:cstheme="minorHAnsi"/>
          <w:b w:val="0"/>
          <w:color w:val="000000"/>
        </w:rPr>
        <w:t xml:space="preserve">and </w:t>
      </w:r>
      <w:r w:rsidR="005C0650" w:rsidRPr="005F120D">
        <w:rPr>
          <w:rFonts w:asciiTheme="minorHAnsi" w:hAnsiTheme="minorHAnsi" w:cstheme="minorHAnsi"/>
          <w:b w:val="0"/>
          <w:color w:val="000000"/>
        </w:rPr>
        <w:t xml:space="preserve">the </w:t>
      </w:r>
      <w:r w:rsidR="00685E0C" w:rsidRPr="005F120D">
        <w:rPr>
          <w:rFonts w:asciiTheme="minorHAnsi" w:hAnsiTheme="minorHAnsi" w:cstheme="minorHAnsi"/>
          <w:b w:val="0"/>
          <w:color w:val="000000"/>
        </w:rPr>
        <w:t>discrete project</w:t>
      </w:r>
      <w:r w:rsidRPr="005F120D">
        <w:rPr>
          <w:rFonts w:asciiTheme="minorHAnsi" w:hAnsiTheme="minorHAnsi" w:cstheme="minorHAnsi"/>
          <w:b w:val="0"/>
          <w:color w:val="000000"/>
        </w:rPr>
        <w:t xml:space="preserve"> allocation</w:t>
      </w:r>
      <w:r w:rsidR="00685E0C" w:rsidRPr="005F120D">
        <w:rPr>
          <w:rFonts w:asciiTheme="minorHAnsi" w:hAnsiTheme="minorHAnsi" w:cstheme="minorHAnsi"/>
          <w:b w:val="0"/>
          <w:color w:val="000000"/>
        </w:rPr>
        <w:t>s</w:t>
      </w:r>
      <w:r w:rsidRPr="005F120D">
        <w:rPr>
          <w:rFonts w:asciiTheme="minorHAnsi" w:hAnsiTheme="minorHAnsi" w:cstheme="minorHAnsi"/>
          <w:b w:val="0"/>
          <w:color w:val="000000"/>
        </w:rPr>
        <w:t xml:space="preserve"> especially the Government </w:t>
      </w:r>
      <w:r w:rsidRPr="005F120D">
        <w:rPr>
          <w:rFonts w:asciiTheme="minorHAnsi" w:hAnsiTheme="minorHAnsi" w:cstheme="minorHAnsi"/>
          <w:b w:val="0"/>
          <w:color w:val="000000"/>
        </w:rPr>
        <w:lastRenderedPageBreak/>
        <w:t>school repair and renovation discrete projection, which increased significantly from 5,500 lac Taka in 2014/15 to 20,045 lac Taka in 2015/16 and school feeding project in the poverty prone areas from 41,880 lac Taka in 2014/15 to 56,000 lac Taka in 20115/16</w:t>
      </w:r>
      <w:r w:rsidR="009D66FA" w:rsidRPr="005F120D">
        <w:rPr>
          <w:rFonts w:asciiTheme="minorHAnsi" w:hAnsiTheme="minorHAnsi" w:cstheme="minorHAnsi"/>
          <w:b w:val="0"/>
          <w:color w:val="000000"/>
        </w:rPr>
        <w:t>.</w:t>
      </w:r>
    </w:p>
    <w:p w:rsidR="009D66FA" w:rsidRPr="005F120D" w:rsidRDefault="009D66FA" w:rsidP="009D66FA">
      <w:pPr>
        <w:pStyle w:val="BodyText1"/>
        <w:spacing w:before="240"/>
        <w:jc w:val="both"/>
        <w:rPr>
          <w:rFonts w:asciiTheme="minorHAnsi" w:hAnsiTheme="minorHAnsi" w:cstheme="minorHAnsi"/>
          <w:color w:val="000000"/>
          <w:lang w:val="en-US"/>
        </w:rPr>
      </w:pPr>
      <w:r w:rsidRPr="005F120D">
        <w:rPr>
          <w:rFonts w:asciiTheme="minorHAnsi" w:hAnsiTheme="minorHAnsi" w:cstheme="minorHAnsi"/>
          <w:bCs/>
          <w:color w:val="000000"/>
          <w:lang w:val="en-US"/>
        </w:rPr>
        <w:t>There were five subcomponents with no budget in 2015/16 AOP</w:t>
      </w:r>
    </w:p>
    <w:p w:rsidR="009D66FA" w:rsidRPr="005F120D" w:rsidRDefault="009D66FA" w:rsidP="00960BD5">
      <w:pPr>
        <w:pStyle w:val="BodyText1"/>
        <w:numPr>
          <w:ilvl w:val="1"/>
          <w:numId w:val="129"/>
        </w:numPr>
        <w:tabs>
          <w:tab w:val="left" w:pos="720"/>
        </w:tabs>
        <w:spacing w:before="120" w:after="120"/>
        <w:jc w:val="both"/>
        <w:rPr>
          <w:rFonts w:asciiTheme="minorHAnsi" w:hAnsiTheme="minorHAnsi" w:cstheme="minorHAnsi"/>
          <w:b w:val="0"/>
          <w:color w:val="000000"/>
          <w:lang w:val="en-US"/>
        </w:rPr>
      </w:pPr>
      <w:r w:rsidRPr="005F120D">
        <w:rPr>
          <w:rFonts w:asciiTheme="minorHAnsi" w:hAnsiTheme="minorHAnsi" w:cstheme="minorHAnsi"/>
          <w:b w:val="0"/>
          <w:color w:val="000000"/>
          <w:lang w:val="en-US"/>
        </w:rPr>
        <w:t>School and Classroom Based Assessment</w:t>
      </w:r>
      <w:r w:rsidR="00685E0C" w:rsidRPr="005F120D">
        <w:rPr>
          <w:rFonts w:asciiTheme="minorHAnsi" w:hAnsiTheme="minorHAnsi" w:cstheme="minorHAnsi"/>
          <w:b w:val="0"/>
          <w:color w:val="000000"/>
          <w:lang w:val="en-US"/>
        </w:rPr>
        <w:t>;</w:t>
      </w:r>
    </w:p>
    <w:p w:rsidR="009D66FA" w:rsidRPr="005F120D" w:rsidRDefault="009D66FA" w:rsidP="00960BD5">
      <w:pPr>
        <w:pStyle w:val="BodyText1"/>
        <w:numPr>
          <w:ilvl w:val="1"/>
          <w:numId w:val="129"/>
        </w:numPr>
        <w:tabs>
          <w:tab w:val="left" w:pos="720"/>
        </w:tabs>
        <w:spacing w:before="120" w:after="120"/>
        <w:jc w:val="both"/>
        <w:rPr>
          <w:rFonts w:asciiTheme="minorHAnsi" w:hAnsiTheme="minorHAnsi" w:cstheme="minorHAnsi"/>
          <w:b w:val="0"/>
          <w:color w:val="000000"/>
          <w:lang w:val="en-US"/>
        </w:rPr>
      </w:pPr>
      <w:r w:rsidRPr="005F120D">
        <w:rPr>
          <w:rFonts w:asciiTheme="minorHAnsi" w:hAnsiTheme="minorHAnsi" w:cstheme="minorHAnsi"/>
          <w:b w:val="0"/>
          <w:color w:val="000000"/>
          <w:lang w:val="en-US"/>
        </w:rPr>
        <w:t>Curriculum and Textbooks Strengthened</w:t>
      </w:r>
      <w:r w:rsidR="00685E0C" w:rsidRPr="005F120D">
        <w:rPr>
          <w:rFonts w:asciiTheme="minorHAnsi" w:hAnsiTheme="minorHAnsi" w:cstheme="minorHAnsi"/>
          <w:b w:val="0"/>
          <w:color w:val="000000"/>
          <w:lang w:val="en-US"/>
        </w:rPr>
        <w:t>;</w:t>
      </w:r>
    </w:p>
    <w:p w:rsidR="009D66FA" w:rsidRPr="005F120D" w:rsidRDefault="009D66FA" w:rsidP="00960BD5">
      <w:pPr>
        <w:pStyle w:val="BodyText1"/>
        <w:numPr>
          <w:ilvl w:val="1"/>
          <w:numId w:val="129"/>
        </w:numPr>
        <w:tabs>
          <w:tab w:val="left" w:pos="720"/>
        </w:tabs>
        <w:spacing w:before="120" w:after="120"/>
        <w:jc w:val="both"/>
        <w:rPr>
          <w:rFonts w:asciiTheme="minorHAnsi" w:hAnsiTheme="minorHAnsi" w:cstheme="minorHAnsi"/>
          <w:b w:val="0"/>
          <w:color w:val="000000"/>
          <w:lang w:val="en-US"/>
        </w:rPr>
      </w:pPr>
      <w:r w:rsidRPr="005F120D">
        <w:rPr>
          <w:rFonts w:asciiTheme="minorHAnsi" w:hAnsiTheme="minorHAnsi" w:cstheme="minorHAnsi"/>
          <w:b w:val="0"/>
          <w:color w:val="000000"/>
          <w:lang w:val="en-US"/>
        </w:rPr>
        <w:t>Education in Emergencies</w:t>
      </w:r>
      <w:r w:rsidR="00685E0C" w:rsidRPr="005F120D">
        <w:rPr>
          <w:rFonts w:asciiTheme="minorHAnsi" w:hAnsiTheme="minorHAnsi" w:cstheme="minorHAnsi"/>
          <w:b w:val="0"/>
          <w:color w:val="000000"/>
          <w:lang w:val="en-US"/>
        </w:rPr>
        <w:t>;</w:t>
      </w:r>
    </w:p>
    <w:p w:rsidR="009D66FA" w:rsidRPr="005F120D" w:rsidRDefault="009D66FA" w:rsidP="00960BD5">
      <w:pPr>
        <w:pStyle w:val="BodyText1"/>
        <w:numPr>
          <w:ilvl w:val="1"/>
          <w:numId w:val="129"/>
        </w:numPr>
        <w:tabs>
          <w:tab w:val="left" w:pos="720"/>
        </w:tabs>
        <w:spacing w:before="120" w:after="120"/>
        <w:jc w:val="both"/>
        <w:rPr>
          <w:rFonts w:asciiTheme="minorHAnsi" w:hAnsiTheme="minorHAnsi" w:cstheme="minorHAnsi"/>
          <w:b w:val="0"/>
          <w:color w:val="000000"/>
          <w:lang w:val="en-US"/>
        </w:rPr>
      </w:pPr>
      <w:r w:rsidRPr="005F120D">
        <w:rPr>
          <w:rFonts w:asciiTheme="minorHAnsi" w:hAnsiTheme="minorHAnsi" w:cstheme="minorHAnsi"/>
          <w:b w:val="0"/>
          <w:color w:val="000000"/>
          <w:lang w:val="en-US"/>
        </w:rPr>
        <w:t>School Health and School Feeding</w:t>
      </w:r>
      <w:r w:rsidR="00685E0C" w:rsidRPr="005F120D">
        <w:rPr>
          <w:rFonts w:asciiTheme="minorHAnsi" w:hAnsiTheme="minorHAnsi" w:cstheme="minorHAnsi"/>
          <w:b w:val="0"/>
          <w:color w:val="000000"/>
          <w:lang w:val="en-US"/>
        </w:rPr>
        <w:t>; and</w:t>
      </w:r>
    </w:p>
    <w:p w:rsidR="009D66FA" w:rsidRPr="005F120D" w:rsidRDefault="009D66FA" w:rsidP="00960BD5">
      <w:pPr>
        <w:pStyle w:val="BodyText1"/>
        <w:numPr>
          <w:ilvl w:val="1"/>
          <w:numId w:val="129"/>
        </w:numPr>
        <w:spacing w:before="120" w:after="120"/>
        <w:jc w:val="both"/>
        <w:rPr>
          <w:rFonts w:asciiTheme="minorHAnsi" w:hAnsiTheme="minorHAnsi" w:cstheme="minorHAnsi"/>
          <w:b w:val="0"/>
          <w:color w:val="000000"/>
          <w:lang w:val="en-US"/>
        </w:rPr>
      </w:pPr>
      <w:r w:rsidRPr="005F120D">
        <w:rPr>
          <w:rFonts w:asciiTheme="minorHAnsi" w:hAnsiTheme="minorHAnsi" w:cstheme="minorHAnsi"/>
          <w:b w:val="0"/>
          <w:color w:val="000000"/>
          <w:lang w:val="en-US"/>
        </w:rPr>
        <w:t xml:space="preserve">Public Private Partnership </w:t>
      </w:r>
    </w:p>
    <w:p w:rsidR="009D66FA" w:rsidRPr="005F120D" w:rsidRDefault="009D66FA" w:rsidP="009D66FA">
      <w:pPr>
        <w:pStyle w:val="Heading2NONUM"/>
        <w:spacing w:before="240"/>
        <w:rPr>
          <w:rFonts w:asciiTheme="minorHAnsi" w:hAnsiTheme="minorHAnsi" w:cstheme="minorHAnsi"/>
          <w:color w:val="3333FF"/>
        </w:rPr>
      </w:pPr>
      <w:r w:rsidRPr="005F120D">
        <w:rPr>
          <w:rFonts w:asciiTheme="minorHAnsi" w:hAnsiTheme="minorHAnsi" w:cstheme="minorHAnsi"/>
          <w:color w:val="3333FF"/>
        </w:rPr>
        <w:t>Progress and future needs</w:t>
      </w:r>
    </w:p>
    <w:p w:rsidR="00375B39" w:rsidRPr="005F120D" w:rsidRDefault="00375B39" w:rsidP="00375B39">
      <w:pPr>
        <w:pStyle w:val="BodyText1"/>
        <w:jc w:val="both"/>
        <w:rPr>
          <w:rFonts w:asciiTheme="minorHAnsi" w:hAnsiTheme="minorHAnsi" w:cstheme="minorHAnsi"/>
          <w:b w:val="0"/>
        </w:rPr>
      </w:pPr>
      <w:r w:rsidRPr="005F120D">
        <w:rPr>
          <w:rFonts w:asciiTheme="minorHAnsi" w:hAnsiTheme="minorHAnsi" w:cstheme="minorHAnsi"/>
          <w:b w:val="0"/>
        </w:rPr>
        <w:t xml:space="preserve">The outcomes and outputs discussed in this report show the progress made since 2010 under the PEDP3. However, </w:t>
      </w:r>
      <w:r w:rsidR="0060310C">
        <w:rPr>
          <w:rFonts w:asciiTheme="minorHAnsi" w:hAnsiTheme="minorHAnsi" w:cstheme="minorHAnsi"/>
          <w:b w:val="0"/>
        </w:rPr>
        <w:t xml:space="preserve">there are still some challenges. </w:t>
      </w:r>
      <w:r w:rsidRPr="005F120D">
        <w:rPr>
          <w:rFonts w:asciiTheme="minorHAnsi" w:hAnsiTheme="minorHAnsi" w:cstheme="minorHAnsi"/>
          <w:b w:val="0"/>
        </w:rPr>
        <w:t xml:space="preserve"> The most important issues are: </w:t>
      </w:r>
    </w:p>
    <w:p w:rsidR="00375B39" w:rsidRPr="005F120D" w:rsidRDefault="00375B39" w:rsidP="00375B39">
      <w:pPr>
        <w:pStyle w:val="ListBullet4"/>
        <w:numPr>
          <w:ilvl w:val="0"/>
          <w:numId w:val="128"/>
        </w:numPr>
        <w:spacing w:line="276" w:lineRule="auto"/>
        <w:rPr>
          <w:b w:val="0"/>
          <w:color w:val="auto"/>
        </w:rPr>
      </w:pPr>
      <w:r w:rsidRPr="005F120D">
        <w:rPr>
          <w:b w:val="0"/>
          <w:color w:val="auto"/>
        </w:rPr>
        <w:t xml:space="preserve">Despite good results in the Grade 5 PECE, improvements are still needed in the knowledge, critical and creative skills that children need for their education, </w:t>
      </w:r>
      <w:r w:rsidR="00685E0C" w:rsidRPr="005F120D">
        <w:rPr>
          <w:b w:val="0"/>
          <w:color w:val="auto"/>
        </w:rPr>
        <w:t>economic and social development;</w:t>
      </w:r>
    </w:p>
    <w:p w:rsidR="00375B39" w:rsidRPr="005F120D" w:rsidRDefault="00375B39" w:rsidP="00375B39">
      <w:pPr>
        <w:pStyle w:val="ListBullet4"/>
        <w:numPr>
          <w:ilvl w:val="0"/>
          <w:numId w:val="128"/>
        </w:numPr>
        <w:spacing w:line="276" w:lineRule="auto"/>
        <w:rPr>
          <w:b w:val="0"/>
          <w:color w:val="auto"/>
        </w:rPr>
      </w:pPr>
      <w:r w:rsidRPr="005F120D">
        <w:rPr>
          <w:b w:val="0"/>
          <w:color w:val="auto"/>
        </w:rPr>
        <w:t xml:space="preserve">The dropout rate is still </w:t>
      </w:r>
      <w:r w:rsidR="00685E0C" w:rsidRPr="005F120D">
        <w:rPr>
          <w:b w:val="0"/>
          <w:color w:val="auto"/>
        </w:rPr>
        <w:t>too high especially in Grade 4;</w:t>
      </w:r>
    </w:p>
    <w:p w:rsidR="00375B39" w:rsidRPr="005F120D" w:rsidRDefault="00375B39" w:rsidP="00375B39">
      <w:pPr>
        <w:pStyle w:val="ListBullet4"/>
        <w:numPr>
          <w:ilvl w:val="0"/>
          <w:numId w:val="128"/>
        </w:numPr>
        <w:spacing w:line="276" w:lineRule="auto"/>
        <w:rPr>
          <w:b w:val="0"/>
          <w:color w:val="auto"/>
        </w:rPr>
      </w:pPr>
      <w:r w:rsidRPr="005F120D">
        <w:rPr>
          <w:b w:val="0"/>
          <w:color w:val="auto"/>
        </w:rPr>
        <w:t>Differences between upazila performances are still great, and the ability to target specific upazilas for improvement or for districts to take speci</w:t>
      </w:r>
      <w:r w:rsidR="00685E0C" w:rsidRPr="005F120D">
        <w:rPr>
          <w:b w:val="0"/>
          <w:color w:val="auto"/>
        </w:rPr>
        <w:t>fic action is not yet developed;</w:t>
      </w:r>
    </w:p>
    <w:p w:rsidR="0060310C" w:rsidRDefault="0060310C" w:rsidP="00375B39">
      <w:pPr>
        <w:pStyle w:val="ListBullet4"/>
        <w:numPr>
          <w:ilvl w:val="0"/>
          <w:numId w:val="128"/>
        </w:numPr>
        <w:spacing w:line="276" w:lineRule="auto"/>
        <w:rPr>
          <w:b w:val="0"/>
          <w:color w:val="auto"/>
        </w:rPr>
      </w:pPr>
      <w:r w:rsidRPr="0060310C">
        <w:rPr>
          <w:b w:val="0"/>
          <w:color w:val="auto"/>
        </w:rPr>
        <w:t>The m</w:t>
      </w:r>
      <w:r w:rsidR="00375B39" w:rsidRPr="0060310C">
        <w:rPr>
          <w:b w:val="0"/>
          <w:color w:val="auto"/>
        </w:rPr>
        <w:t>anagement is still centralized</w:t>
      </w:r>
      <w:r w:rsidRPr="0060310C">
        <w:rPr>
          <w:b w:val="0"/>
          <w:color w:val="auto"/>
        </w:rPr>
        <w:t xml:space="preserve"> to some extent.</w:t>
      </w:r>
    </w:p>
    <w:p w:rsidR="00375B39" w:rsidRPr="0060310C" w:rsidRDefault="00375B39" w:rsidP="00375B39">
      <w:pPr>
        <w:pStyle w:val="ListBullet4"/>
        <w:numPr>
          <w:ilvl w:val="0"/>
          <w:numId w:val="128"/>
        </w:numPr>
        <w:spacing w:line="276" w:lineRule="auto"/>
        <w:rPr>
          <w:b w:val="0"/>
          <w:color w:val="auto"/>
        </w:rPr>
      </w:pPr>
      <w:r w:rsidRPr="0060310C">
        <w:rPr>
          <w:b w:val="0"/>
          <w:color w:val="auto"/>
        </w:rPr>
        <w:t xml:space="preserve">The education budget is planned to increase especially for SLIP and UPEP. </w:t>
      </w:r>
      <w:r w:rsidR="007C5CF3">
        <w:rPr>
          <w:b w:val="0"/>
          <w:color w:val="auto"/>
        </w:rPr>
        <w:t>T</w:t>
      </w:r>
      <w:r w:rsidRPr="0060310C">
        <w:rPr>
          <w:b w:val="0"/>
          <w:color w:val="auto"/>
        </w:rPr>
        <w:t>here needs to be greater attention paid to targeting funds for t</w:t>
      </w:r>
      <w:r w:rsidR="00000A42">
        <w:rPr>
          <w:b w:val="0"/>
          <w:color w:val="auto"/>
        </w:rPr>
        <w:t xml:space="preserve">he efficient use of activities and it should be </w:t>
      </w:r>
      <w:r w:rsidR="00685E0C" w:rsidRPr="0060310C">
        <w:rPr>
          <w:b w:val="0"/>
          <w:color w:val="auto"/>
        </w:rPr>
        <w:t xml:space="preserve"> more carefully monitored;</w:t>
      </w:r>
    </w:p>
    <w:p w:rsidR="00375B39" w:rsidRPr="005F120D" w:rsidRDefault="00375B39" w:rsidP="00375B39">
      <w:pPr>
        <w:pStyle w:val="BodyText1"/>
        <w:numPr>
          <w:ilvl w:val="0"/>
          <w:numId w:val="128"/>
        </w:numPr>
        <w:jc w:val="both"/>
        <w:rPr>
          <w:rFonts w:asciiTheme="minorHAnsi" w:hAnsiTheme="minorHAnsi" w:cstheme="minorHAnsi"/>
          <w:b w:val="0"/>
        </w:rPr>
      </w:pPr>
      <w:r w:rsidRPr="005F120D">
        <w:rPr>
          <w:rFonts w:asciiTheme="minorHAnsi" w:hAnsiTheme="minorHAnsi" w:cstheme="minorHAnsi"/>
          <w:b w:val="0"/>
        </w:rPr>
        <w:t xml:space="preserve">Better ways are needed to measure the performance of the education system. Current data are sometimes neither complete nor clear. They do not cover all institutions where primary school age children receive </w:t>
      </w:r>
      <w:r w:rsidR="00685E0C" w:rsidRPr="005F120D">
        <w:rPr>
          <w:rFonts w:asciiTheme="minorHAnsi" w:hAnsiTheme="minorHAnsi" w:cstheme="minorHAnsi"/>
          <w:b w:val="0"/>
        </w:rPr>
        <w:t xml:space="preserve">their </w:t>
      </w:r>
      <w:r w:rsidRPr="005F120D">
        <w:rPr>
          <w:rFonts w:asciiTheme="minorHAnsi" w:hAnsiTheme="minorHAnsi" w:cstheme="minorHAnsi"/>
          <w:b w:val="0"/>
        </w:rPr>
        <w:t>education. The education system should be unified (though not made uniform) through common examinations, a common core curriculum and better information sharing. Although the assessment of learning outcomes began during PEDPII, the system needs to send a strong message to teachers and students that an exam pass is evidence of r</w:t>
      </w:r>
      <w:r w:rsidR="00685E0C" w:rsidRPr="005F120D">
        <w:rPr>
          <w:rFonts w:asciiTheme="minorHAnsi" w:hAnsiTheme="minorHAnsi" w:cstheme="minorHAnsi"/>
          <w:b w:val="0"/>
        </w:rPr>
        <w:t>eal learning and useful skills;</w:t>
      </w:r>
    </w:p>
    <w:p w:rsidR="00375B39" w:rsidRPr="005F120D" w:rsidRDefault="00375B39" w:rsidP="00375B39">
      <w:pPr>
        <w:pStyle w:val="BodyText1"/>
        <w:numPr>
          <w:ilvl w:val="0"/>
          <w:numId w:val="128"/>
        </w:numPr>
        <w:jc w:val="both"/>
        <w:rPr>
          <w:rFonts w:asciiTheme="minorHAnsi" w:hAnsiTheme="minorHAnsi" w:cstheme="minorHAnsi"/>
          <w:b w:val="0"/>
        </w:rPr>
      </w:pPr>
      <w:r w:rsidRPr="005F120D">
        <w:rPr>
          <w:rFonts w:asciiTheme="minorHAnsi" w:hAnsiTheme="minorHAnsi" w:cstheme="minorHAnsi"/>
          <w:b w:val="0"/>
        </w:rPr>
        <w:t>The experience gained during PEDP3 has helped plan for Post-PEDP3. Impr</w:t>
      </w:r>
      <w:r w:rsidR="00685E0C" w:rsidRPr="005F120D">
        <w:rPr>
          <w:rFonts w:asciiTheme="minorHAnsi" w:hAnsiTheme="minorHAnsi" w:cstheme="minorHAnsi"/>
          <w:b w:val="0"/>
        </w:rPr>
        <w:t>ovements in measurement, analyse</w:t>
      </w:r>
      <w:r w:rsidRPr="005F120D">
        <w:rPr>
          <w:rFonts w:asciiTheme="minorHAnsi" w:hAnsiTheme="minorHAnsi" w:cstheme="minorHAnsi"/>
          <w:b w:val="0"/>
        </w:rPr>
        <w:t xml:space="preserve">s and management will be carried out during the next program. Post- PEDP3 will be even more comprehensive, gradually covering all projects and programs which provide inputs to schools and families, i.e. new classrooms, textbooks, examinations, grants, teacher training and stipends. This does not mean that only state provided options matter, but that there is </w:t>
      </w:r>
      <w:r w:rsidR="00685E0C" w:rsidRPr="005F120D">
        <w:rPr>
          <w:rFonts w:asciiTheme="minorHAnsi" w:hAnsiTheme="minorHAnsi" w:cstheme="minorHAnsi"/>
          <w:b w:val="0"/>
        </w:rPr>
        <w:t xml:space="preserve">a </w:t>
      </w:r>
      <w:r w:rsidRPr="005F120D">
        <w:rPr>
          <w:rFonts w:asciiTheme="minorHAnsi" w:hAnsiTheme="minorHAnsi" w:cstheme="minorHAnsi"/>
          <w:b w:val="0"/>
        </w:rPr>
        <w:t>clear responsibility for</w:t>
      </w:r>
      <w:r w:rsidR="00685E0C" w:rsidRPr="005F120D">
        <w:rPr>
          <w:rFonts w:asciiTheme="minorHAnsi" w:hAnsiTheme="minorHAnsi" w:cstheme="minorHAnsi"/>
          <w:b w:val="0"/>
        </w:rPr>
        <w:t>,</w:t>
      </w:r>
      <w:r w:rsidRPr="005F120D">
        <w:rPr>
          <w:rFonts w:asciiTheme="minorHAnsi" w:hAnsiTheme="minorHAnsi" w:cstheme="minorHAnsi"/>
          <w:b w:val="0"/>
        </w:rPr>
        <w:t xml:space="preserve"> and information o</w:t>
      </w:r>
      <w:r w:rsidR="00685E0C" w:rsidRPr="005F120D">
        <w:rPr>
          <w:rFonts w:asciiTheme="minorHAnsi" w:hAnsiTheme="minorHAnsi" w:cstheme="minorHAnsi"/>
          <w:b w:val="0"/>
        </w:rPr>
        <w:t>n the education of all children;</w:t>
      </w:r>
    </w:p>
    <w:p w:rsidR="00375B39" w:rsidRPr="005F120D" w:rsidRDefault="00375B39" w:rsidP="00375B39">
      <w:pPr>
        <w:pStyle w:val="Listnumberfinal"/>
        <w:numPr>
          <w:ilvl w:val="0"/>
          <w:numId w:val="128"/>
        </w:numPr>
        <w:jc w:val="both"/>
        <w:rPr>
          <w:rFonts w:asciiTheme="minorHAnsi" w:hAnsiTheme="minorHAnsi" w:cstheme="minorHAnsi"/>
        </w:rPr>
      </w:pPr>
      <w:r w:rsidRPr="005F120D">
        <w:rPr>
          <w:rFonts w:asciiTheme="minorHAnsi" w:hAnsiTheme="minorHAnsi" w:cstheme="minorHAnsi"/>
        </w:rPr>
        <w:lastRenderedPageBreak/>
        <w:t>The ASPR will be even more important in Post-PEDP3. The new Results Framework will have a greater focus on management, including financial management, and greater emphasis on reliable and valid information for planning and the measurement of resul</w:t>
      </w:r>
      <w:r w:rsidR="00685E0C" w:rsidRPr="005F120D">
        <w:rPr>
          <w:rFonts w:asciiTheme="minorHAnsi" w:hAnsiTheme="minorHAnsi" w:cstheme="minorHAnsi"/>
        </w:rPr>
        <w:t>ts at central and local levels; and</w:t>
      </w:r>
    </w:p>
    <w:p w:rsidR="005560C3" w:rsidRPr="005F120D" w:rsidRDefault="00375B39" w:rsidP="005560C3">
      <w:pPr>
        <w:pStyle w:val="Listnumberfinal"/>
        <w:numPr>
          <w:ilvl w:val="0"/>
          <w:numId w:val="128"/>
        </w:numPr>
        <w:jc w:val="both"/>
        <w:rPr>
          <w:rFonts w:asciiTheme="minorHAnsi" w:hAnsiTheme="minorHAnsi" w:cstheme="minorHAnsi"/>
        </w:rPr>
      </w:pPr>
      <w:r w:rsidRPr="005F120D">
        <w:rPr>
          <w:rFonts w:asciiTheme="minorHAnsi" w:hAnsiTheme="minorHAnsi" w:cstheme="minorHAnsi"/>
        </w:rPr>
        <w:t>Post-PEDP3 implementation will use government systems for financial management, procurement and monitoring. Reporting will be more important because external financing will be linked to the achievement of annual targets as defined by new Disbursement Linked Indicators (DLIs). There will be a greater focus on how inputs are used to improve learning in the classroom</w:t>
      </w:r>
      <w:r w:rsidR="009D66FA" w:rsidRPr="005F120D">
        <w:rPr>
          <w:rFonts w:asciiTheme="minorHAnsi" w:hAnsiTheme="minorHAnsi" w:cstheme="minorHAnsi"/>
        </w:rPr>
        <w:t>.</w:t>
      </w:r>
    </w:p>
    <w:p w:rsidR="005560C3" w:rsidRPr="005F120D" w:rsidRDefault="009D66FA" w:rsidP="005560C3">
      <w:pPr>
        <w:pStyle w:val="Listnumberfinal"/>
        <w:numPr>
          <w:ilvl w:val="0"/>
          <w:numId w:val="0"/>
        </w:numPr>
        <w:spacing w:before="240"/>
        <w:ind w:left="360" w:hanging="360"/>
        <w:jc w:val="both"/>
        <w:rPr>
          <w:rFonts w:asciiTheme="minorHAnsi" w:hAnsiTheme="minorHAnsi" w:cstheme="minorHAnsi"/>
          <w:b/>
          <w:color w:val="3333FF"/>
        </w:rPr>
      </w:pPr>
      <w:r w:rsidRPr="005F120D">
        <w:rPr>
          <w:rFonts w:asciiTheme="minorHAnsi" w:hAnsiTheme="minorHAnsi" w:cstheme="minorHAnsi"/>
          <w:b/>
          <w:color w:val="3333FF"/>
        </w:rPr>
        <w:t>Implications for AOP</w:t>
      </w:r>
    </w:p>
    <w:p w:rsidR="009D66FA" w:rsidRPr="005F120D" w:rsidRDefault="009D66FA" w:rsidP="005560C3">
      <w:pPr>
        <w:pStyle w:val="Listnumberfinal"/>
        <w:numPr>
          <w:ilvl w:val="0"/>
          <w:numId w:val="0"/>
        </w:numPr>
        <w:spacing w:before="240"/>
        <w:jc w:val="both"/>
        <w:rPr>
          <w:rFonts w:asciiTheme="minorHAnsi" w:hAnsiTheme="minorHAnsi" w:cstheme="minorHAnsi"/>
          <w:b/>
          <w:color w:val="3333FF"/>
        </w:rPr>
      </w:pPr>
      <w:r w:rsidRPr="005F120D">
        <w:rPr>
          <w:rFonts w:asciiTheme="minorHAnsi" w:hAnsiTheme="minorHAnsi" w:cstheme="minorHAnsi"/>
        </w:rPr>
        <w:t>There are three main findings, which emerge from this ASPR, ea</w:t>
      </w:r>
      <w:r w:rsidR="00375B39" w:rsidRPr="005F120D">
        <w:rPr>
          <w:rFonts w:asciiTheme="minorHAnsi" w:hAnsiTheme="minorHAnsi" w:cstheme="minorHAnsi"/>
        </w:rPr>
        <w:t xml:space="preserve">ch with implications for annual </w:t>
      </w:r>
      <w:r w:rsidRPr="005F120D">
        <w:rPr>
          <w:rFonts w:asciiTheme="minorHAnsi" w:hAnsiTheme="minorHAnsi" w:cstheme="minorHAnsi"/>
        </w:rPr>
        <w:t xml:space="preserve">operational planning. </w:t>
      </w:r>
    </w:p>
    <w:p w:rsidR="009D66FA" w:rsidRPr="005F120D" w:rsidRDefault="009D66FA" w:rsidP="00EF0858">
      <w:pPr>
        <w:pStyle w:val="BodyText1"/>
        <w:numPr>
          <w:ilvl w:val="0"/>
          <w:numId w:val="118"/>
        </w:numPr>
        <w:spacing w:before="120" w:after="120"/>
        <w:jc w:val="both"/>
        <w:rPr>
          <w:rFonts w:asciiTheme="minorHAnsi" w:hAnsiTheme="minorHAnsi" w:cstheme="minorHAnsi"/>
          <w:b w:val="0"/>
          <w:color w:val="000000"/>
        </w:rPr>
      </w:pPr>
      <w:r w:rsidRPr="005F120D">
        <w:rPr>
          <w:rFonts w:asciiTheme="minorHAnsi" w:hAnsiTheme="minorHAnsi" w:cstheme="minorHAnsi"/>
          <w:i/>
        </w:rPr>
        <w:t xml:space="preserve">Addressing low participation rates - </w:t>
      </w:r>
      <w:r w:rsidRPr="005F120D">
        <w:rPr>
          <w:rFonts w:asciiTheme="minorHAnsi" w:hAnsiTheme="minorHAnsi" w:cstheme="minorHAnsi"/>
          <w:b w:val="0"/>
        </w:rPr>
        <w:t>primary school aged children who are most likely to be out of school, based on the evidence in this report</w:t>
      </w:r>
      <w:r w:rsidRPr="005F120D">
        <w:rPr>
          <w:rFonts w:asciiTheme="minorHAnsi" w:hAnsiTheme="minorHAnsi" w:cstheme="minorHAnsi"/>
          <w:b w:val="0"/>
          <w:color w:val="000000"/>
        </w:rPr>
        <w:t>;</w:t>
      </w:r>
    </w:p>
    <w:p w:rsidR="009D66FA" w:rsidRPr="005F120D" w:rsidRDefault="009D66FA" w:rsidP="00EF0858">
      <w:pPr>
        <w:pStyle w:val="BodyText1"/>
        <w:numPr>
          <w:ilvl w:val="0"/>
          <w:numId w:val="118"/>
        </w:numPr>
        <w:spacing w:before="120" w:after="120"/>
        <w:jc w:val="both"/>
        <w:rPr>
          <w:rFonts w:asciiTheme="minorHAnsi" w:hAnsiTheme="minorHAnsi" w:cstheme="minorHAnsi"/>
          <w:b w:val="0"/>
          <w:color w:val="000000"/>
        </w:rPr>
      </w:pPr>
      <w:r w:rsidRPr="005F120D">
        <w:rPr>
          <w:rFonts w:asciiTheme="minorHAnsi" w:hAnsiTheme="minorHAnsi" w:cstheme="minorHAnsi"/>
          <w:i/>
          <w:color w:val="000000"/>
        </w:rPr>
        <w:t xml:space="preserve">Targeting the group of children who are working below their grade level in Bangla and mathematics </w:t>
      </w:r>
      <w:r w:rsidRPr="005F120D">
        <w:rPr>
          <w:rFonts w:asciiTheme="minorHAnsi" w:hAnsiTheme="minorHAnsi" w:cstheme="minorHAnsi"/>
          <w:b w:val="0"/>
          <w:i/>
          <w:color w:val="000000"/>
        </w:rPr>
        <w:t>– as per NSA findings</w:t>
      </w:r>
      <w:r w:rsidRPr="005F120D">
        <w:rPr>
          <w:rFonts w:asciiTheme="minorHAnsi" w:hAnsiTheme="minorHAnsi" w:cstheme="minorHAnsi"/>
          <w:b w:val="0"/>
          <w:color w:val="000000"/>
        </w:rPr>
        <w:t>; and</w:t>
      </w:r>
    </w:p>
    <w:p w:rsidR="009D66FA" w:rsidRPr="005F120D" w:rsidRDefault="009D66FA" w:rsidP="00EF0858">
      <w:pPr>
        <w:pStyle w:val="BodyText1"/>
        <w:numPr>
          <w:ilvl w:val="0"/>
          <w:numId w:val="118"/>
        </w:numPr>
        <w:spacing w:before="120" w:after="120"/>
        <w:jc w:val="both"/>
        <w:rPr>
          <w:rFonts w:asciiTheme="minorHAnsi" w:hAnsiTheme="minorHAnsi" w:cstheme="minorHAnsi"/>
          <w:b w:val="0"/>
          <w:color w:val="000000"/>
        </w:rPr>
      </w:pPr>
      <w:r w:rsidRPr="005F120D">
        <w:rPr>
          <w:rFonts w:asciiTheme="minorHAnsi" w:hAnsiTheme="minorHAnsi" w:cstheme="minorHAnsi"/>
          <w:i/>
          <w:color w:val="000000"/>
        </w:rPr>
        <w:t xml:space="preserve">Improving </w:t>
      </w:r>
      <w:r w:rsidRPr="005F120D">
        <w:rPr>
          <w:rFonts w:asciiTheme="minorHAnsi" w:hAnsiTheme="minorHAnsi" w:cstheme="minorHAnsi"/>
          <w:b w:val="0"/>
          <w:i/>
          <w:color w:val="000000"/>
        </w:rPr>
        <w:t>the</w:t>
      </w:r>
      <w:r w:rsidRPr="005F120D">
        <w:rPr>
          <w:rFonts w:asciiTheme="minorHAnsi" w:hAnsiTheme="minorHAnsi" w:cstheme="minorHAnsi"/>
          <w:i/>
          <w:color w:val="000000"/>
        </w:rPr>
        <w:t xml:space="preserve"> provision of basic infrastructure and teachers</w:t>
      </w:r>
      <w:r w:rsidRPr="005F120D">
        <w:rPr>
          <w:rFonts w:asciiTheme="minorHAnsi" w:hAnsiTheme="minorHAnsi" w:cstheme="minorHAnsi"/>
          <w:b w:val="0"/>
          <w:i/>
          <w:color w:val="000000"/>
        </w:rPr>
        <w:t>:</w:t>
      </w:r>
      <w:r w:rsidRPr="005F120D">
        <w:rPr>
          <w:rFonts w:asciiTheme="minorHAnsi" w:hAnsiTheme="minorHAnsi" w:cstheme="minorHAnsi"/>
          <w:b w:val="0"/>
          <w:color w:val="000000"/>
        </w:rPr>
        <w:t xml:space="preserve"> Just less than one-third of schools (both GPS and NNPS) meet three out of four key PSQL indicators.</w:t>
      </w:r>
    </w:p>
    <w:p w:rsidR="009D66FA" w:rsidRPr="005F120D" w:rsidRDefault="005C0650" w:rsidP="009D66FA">
      <w:pPr>
        <w:pStyle w:val="BodyText1"/>
        <w:spacing w:before="120" w:after="120"/>
        <w:jc w:val="both"/>
        <w:rPr>
          <w:rFonts w:asciiTheme="minorHAnsi" w:hAnsiTheme="minorHAnsi" w:cstheme="minorHAnsi"/>
          <w:b w:val="0"/>
          <w:color w:val="0000FF"/>
        </w:rPr>
      </w:pPr>
      <w:r w:rsidRPr="005F120D">
        <w:rPr>
          <w:rFonts w:asciiTheme="minorHAnsi" w:hAnsiTheme="minorHAnsi" w:cstheme="minorHAnsi"/>
          <w:color w:val="0000FF"/>
        </w:rPr>
        <w:t>Areas for F</w:t>
      </w:r>
      <w:r w:rsidR="009D66FA" w:rsidRPr="005F120D">
        <w:rPr>
          <w:rFonts w:asciiTheme="minorHAnsi" w:hAnsiTheme="minorHAnsi" w:cstheme="minorHAnsi"/>
          <w:color w:val="0000FF"/>
        </w:rPr>
        <w:t>urther Study</w:t>
      </w:r>
    </w:p>
    <w:p w:rsidR="00BF7E60" w:rsidRPr="005F120D" w:rsidRDefault="00BF7E60" w:rsidP="00BF7E60">
      <w:pPr>
        <w:spacing w:before="120" w:after="120" w:line="276" w:lineRule="auto"/>
        <w:jc w:val="both"/>
        <w:rPr>
          <w:rFonts w:asciiTheme="minorHAnsi" w:hAnsiTheme="minorHAnsi" w:cstheme="minorHAnsi"/>
          <w:szCs w:val="22"/>
        </w:rPr>
      </w:pPr>
      <w:r w:rsidRPr="005F120D">
        <w:rPr>
          <w:rFonts w:asciiTheme="minorHAnsi" w:hAnsiTheme="minorHAnsi" w:cstheme="minorHAnsi"/>
          <w:szCs w:val="22"/>
        </w:rPr>
        <w:t>The following are the main issues for further study:</w:t>
      </w:r>
    </w:p>
    <w:p w:rsidR="00BF7E60" w:rsidRPr="005F120D" w:rsidRDefault="00BF7E60" w:rsidP="00BF7E60">
      <w:pPr>
        <w:numPr>
          <w:ilvl w:val="0"/>
          <w:numId w:val="130"/>
        </w:numPr>
        <w:spacing w:before="120" w:after="120" w:line="276" w:lineRule="auto"/>
        <w:rPr>
          <w:rFonts w:asciiTheme="minorHAnsi" w:eastAsia="Calibri" w:hAnsiTheme="minorHAnsi" w:cstheme="minorHAnsi"/>
          <w:szCs w:val="22"/>
          <w:lang w:eastAsia="en-US"/>
        </w:rPr>
      </w:pPr>
      <w:r w:rsidRPr="005F120D">
        <w:rPr>
          <w:rFonts w:asciiTheme="minorHAnsi" w:eastAsia="Calibri" w:hAnsiTheme="minorHAnsi" w:cstheme="minorHAnsi"/>
          <w:szCs w:val="22"/>
          <w:lang w:eastAsia="en-US"/>
        </w:rPr>
        <w:t>Impact of in-service teacher training;</w:t>
      </w:r>
    </w:p>
    <w:p w:rsidR="00685E0C" w:rsidRPr="005F120D" w:rsidRDefault="00BF7E60" w:rsidP="00685E0C">
      <w:pPr>
        <w:numPr>
          <w:ilvl w:val="0"/>
          <w:numId w:val="130"/>
        </w:numPr>
        <w:spacing w:before="120" w:after="120" w:line="276" w:lineRule="auto"/>
        <w:rPr>
          <w:rFonts w:asciiTheme="minorHAnsi" w:eastAsia="Calibri" w:hAnsiTheme="minorHAnsi" w:cstheme="minorHAnsi"/>
          <w:szCs w:val="22"/>
          <w:lang w:eastAsia="en-US"/>
        </w:rPr>
      </w:pPr>
      <w:r w:rsidRPr="005F120D">
        <w:rPr>
          <w:rFonts w:asciiTheme="minorHAnsi" w:eastAsia="Calibri" w:hAnsiTheme="minorHAnsi" w:cstheme="minorHAnsi"/>
          <w:szCs w:val="22"/>
          <w:lang w:eastAsia="en-US"/>
        </w:rPr>
        <w:t>Governance of Schools, Head Teacher, SMCs and Upazila;</w:t>
      </w:r>
      <w:r w:rsidR="00685E0C" w:rsidRPr="005F120D">
        <w:rPr>
          <w:rFonts w:asciiTheme="minorHAnsi" w:eastAsia="Calibri" w:hAnsiTheme="minorHAnsi" w:cstheme="minorHAnsi"/>
          <w:szCs w:val="22"/>
          <w:lang w:eastAsia="en-US"/>
        </w:rPr>
        <w:t xml:space="preserve"> and</w:t>
      </w:r>
    </w:p>
    <w:p w:rsidR="00BF7E60" w:rsidRPr="005F120D" w:rsidRDefault="00BF7E60" w:rsidP="00685E0C">
      <w:pPr>
        <w:numPr>
          <w:ilvl w:val="0"/>
          <w:numId w:val="130"/>
        </w:numPr>
        <w:spacing w:before="120" w:after="120" w:line="276" w:lineRule="auto"/>
        <w:rPr>
          <w:rFonts w:asciiTheme="minorHAnsi" w:eastAsia="Calibri" w:hAnsiTheme="minorHAnsi" w:cstheme="minorHAnsi"/>
          <w:szCs w:val="22"/>
          <w:lang w:eastAsia="en-US"/>
        </w:rPr>
      </w:pPr>
      <w:r w:rsidRPr="005F120D">
        <w:rPr>
          <w:rFonts w:asciiTheme="minorHAnsi" w:eastAsia="Calibri" w:hAnsiTheme="minorHAnsi" w:cstheme="minorHAnsi"/>
          <w:szCs w:val="22"/>
          <w:lang w:eastAsia="en-US"/>
        </w:rPr>
        <w:t>Quality o</w:t>
      </w:r>
      <w:r w:rsidR="005C0650" w:rsidRPr="005F120D">
        <w:rPr>
          <w:rFonts w:asciiTheme="minorHAnsi" w:eastAsia="Calibri" w:hAnsiTheme="minorHAnsi" w:cstheme="minorHAnsi"/>
          <w:szCs w:val="22"/>
          <w:lang w:eastAsia="en-US"/>
        </w:rPr>
        <w:t>f the school inspection process.</w:t>
      </w:r>
    </w:p>
    <w:p w:rsidR="00115308" w:rsidRPr="005F120D" w:rsidRDefault="00115308" w:rsidP="00BF7E60">
      <w:pPr>
        <w:spacing w:before="240" w:line="276" w:lineRule="auto"/>
        <w:ind w:left="450" w:hanging="360"/>
        <w:rPr>
          <w:rFonts w:asciiTheme="minorHAnsi" w:hAnsiTheme="minorHAnsi" w:cstheme="minorHAnsi"/>
        </w:rPr>
      </w:pPr>
    </w:p>
    <w:p w:rsidR="00115308" w:rsidRPr="005F120D" w:rsidRDefault="00115308">
      <w:pPr>
        <w:spacing w:after="0"/>
        <w:rPr>
          <w:rFonts w:asciiTheme="minorHAnsi" w:hAnsiTheme="minorHAnsi" w:cstheme="minorHAnsi"/>
        </w:rPr>
      </w:pPr>
      <w:r w:rsidRPr="005F120D">
        <w:rPr>
          <w:rFonts w:asciiTheme="minorHAnsi" w:hAnsiTheme="minorHAnsi" w:cstheme="minorHAnsi"/>
        </w:rPr>
        <w:br w:type="page"/>
      </w:r>
    </w:p>
    <w:p w:rsidR="00D748C3" w:rsidRPr="005F120D" w:rsidRDefault="00D748C3" w:rsidP="003F5F17">
      <w:pPr>
        <w:pStyle w:val="Heading1"/>
      </w:pPr>
      <w:bookmarkStart w:id="11" w:name="_Toc385242076"/>
      <w:bookmarkStart w:id="12" w:name="_Toc385245702"/>
      <w:bookmarkStart w:id="13" w:name="_Toc462837169"/>
      <w:r w:rsidRPr="005F120D">
        <w:lastRenderedPageBreak/>
        <w:t>Introduction</w:t>
      </w:r>
      <w:bookmarkEnd w:id="11"/>
      <w:bookmarkEnd w:id="12"/>
      <w:bookmarkEnd w:id="13"/>
    </w:p>
    <w:p w:rsidR="00D748C3" w:rsidRPr="005F120D" w:rsidRDefault="00D748C3" w:rsidP="00C437AA">
      <w:pPr>
        <w:pStyle w:val="Heading2"/>
        <w:spacing w:line="276" w:lineRule="auto"/>
        <w:rPr>
          <w:rFonts w:cstheme="minorHAnsi"/>
        </w:rPr>
      </w:pPr>
      <w:bookmarkStart w:id="14" w:name="_Toc385242077"/>
      <w:bookmarkStart w:id="15" w:name="_Toc385245703"/>
      <w:bookmarkStart w:id="16" w:name="_Toc462837170"/>
      <w:r w:rsidRPr="005F120D">
        <w:rPr>
          <w:rFonts w:cstheme="minorHAnsi"/>
        </w:rPr>
        <w:t xml:space="preserve">Purpose of the </w:t>
      </w:r>
      <w:r w:rsidR="00DC7B8F" w:rsidRPr="005F120D">
        <w:rPr>
          <w:rFonts w:cstheme="minorHAnsi"/>
        </w:rPr>
        <w:t>R</w:t>
      </w:r>
      <w:r w:rsidRPr="005F120D">
        <w:rPr>
          <w:rFonts w:cstheme="minorHAnsi"/>
        </w:rPr>
        <w:t>eport</w:t>
      </w:r>
      <w:bookmarkEnd w:id="14"/>
      <w:bookmarkEnd w:id="15"/>
      <w:bookmarkEnd w:id="16"/>
    </w:p>
    <w:p w:rsidR="006E7651" w:rsidRPr="005F120D" w:rsidRDefault="00A804F7" w:rsidP="00C437AA">
      <w:pPr>
        <w:spacing w:line="276" w:lineRule="auto"/>
        <w:jc w:val="both"/>
        <w:rPr>
          <w:rFonts w:asciiTheme="minorHAnsi" w:hAnsiTheme="minorHAnsi" w:cstheme="minorHAnsi"/>
        </w:rPr>
      </w:pPr>
      <w:r w:rsidRPr="005F120D">
        <w:rPr>
          <w:rFonts w:asciiTheme="minorHAnsi" w:hAnsiTheme="minorHAnsi" w:cstheme="minorHAnsi"/>
        </w:rPr>
        <w:t>The Directorate of Primary Education</w:t>
      </w:r>
      <w:r w:rsidR="00004922">
        <w:rPr>
          <w:rFonts w:asciiTheme="minorHAnsi" w:hAnsiTheme="minorHAnsi" w:cstheme="minorHAnsi"/>
        </w:rPr>
        <w:t xml:space="preserve"> (DPE) is committed to improve</w:t>
      </w:r>
      <w:r w:rsidRPr="005F120D">
        <w:rPr>
          <w:rFonts w:asciiTheme="minorHAnsi" w:hAnsiTheme="minorHAnsi" w:cstheme="minorHAnsi"/>
        </w:rPr>
        <w:t xml:space="preserve"> teaching and learning in all its primary schools.  Primary education provides the foundation for further learning, thereby enabling young people to lead successful and satisfying lives while, at the same time, cont</w:t>
      </w:r>
      <w:r w:rsidR="00EB27A2">
        <w:rPr>
          <w:rFonts w:asciiTheme="minorHAnsi" w:hAnsiTheme="minorHAnsi" w:cstheme="minorHAnsi"/>
        </w:rPr>
        <w:t>ributing to the economy and well-</w:t>
      </w:r>
      <w:r w:rsidRPr="005F120D">
        <w:rPr>
          <w:rFonts w:asciiTheme="minorHAnsi" w:hAnsiTheme="minorHAnsi" w:cstheme="minorHAnsi"/>
        </w:rPr>
        <w:t xml:space="preserve">being of Bangladesh. The Annual Sector Performance Report (ASPR) outlines the progress of </w:t>
      </w:r>
      <w:r w:rsidR="00C43B79" w:rsidRPr="005F120D">
        <w:rPr>
          <w:rFonts w:asciiTheme="minorHAnsi" w:hAnsiTheme="minorHAnsi" w:cstheme="minorHAnsi"/>
        </w:rPr>
        <w:t xml:space="preserve">the </w:t>
      </w:r>
      <w:r w:rsidRPr="005F120D">
        <w:rPr>
          <w:rFonts w:asciiTheme="minorHAnsi" w:hAnsiTheme="minorHAnsi" w:cstheme="minorHAnsi"/>
        </w:rPr>
        <w:t xml:space="preserve">primary education sector </w:t>
      </w:r>
      <w:r w:rsidR="006E7651" w:rsidRPr="005F120D">
        <w:rPr>
          <w:rFonts w:asciiTheme="minorHAnsi" w:hAnsiTheme="minorHAnsi" w:cstheme="minorHAnsi"/>
        </w:rPr>
        <w:t xml:space="preserve">an annual basis </w:t>
      </w:r>
      <w:r w:rsidRPr="005F120D">
        <w:rPr>
          <w:rFonts w:asciiTheme="minorHAnsi" w:hAnsiTheme="minorHAnsi" w:cstheme="minorHAnsi"/>
        </w:rPr>
        <w:t>to enable the DPE to develop relevant policies and plans, and make informed decisions on the advancement of primary education. Specifically, the ASPR summarizes the main achievements over the previous year by highlighting the results of all the main processes as activities, inputs and outcomes. The DPE has used the Result Based Management (RBM) approach since 2008 for implementing and monitoring its activities under</w:t>
      </w:r>
      <w:r w:rsidR="00C43B79" w:rsidRPr="005F120D">
        <w:rPr>
          <w:rFonts w:asciiTheme="minorHAnsi" w:hAnsiTheme="minorHAnsi" w:cstheme="minorHAnsi"/>
        </w:rPr>
        <w:t xml:space="preserve"> the Second Primary Education program(PEDP</w:t>
      </w:r>
      <w:r w:rsidRPr="005F120D">
        <w:rPr>
          <w:rFonts w:asciiTheme="minorHAnsi" w:hAnsiTheme="minorHAnsi" w:cstheme="minorHAnsi"/>
        </w:rPr>
        <w:t>II</w:t>
      </w:r>
      <w:r w:rsidR="00C43B79" w:rsidRPr="005F120D">
        <w:rPr>
          <w:rFonts w:asciiTheme="minorHAnsi" w:hAnsiTheme="minorHAnsi" w:cstheme="minorHAnsi"/>
        </w:rPr>
        <w:t>)</w:t>
      </w:r>
      <w:r w:rsidRPr="005F120D">
        <w:rPr>
          <w:rFonts w:asciiTheme="minorHAnsi" w:hAnsiTheme="minorHAnsi" w:cstheme="minorHAnsi"/>
        </w:rPr>
        <w:t xml:space="preserve"> and </w:t>
      </w:r>
      <w:r w:rsidR="00C43B79" w:rsidRPr="005F120D">
        <w:rPr>
          <w:rFonts w:asciiTheme="minorHAnsi" w:hAnsiTheme="minorHAnsi" w:cstheme="minorHAnsi"/>
        </w:rPr>
        <w:t xml:space="preserve">the </w:t>
      </w:r>
      <w:r w:rsidRPr="005F120D">
        <w:rPr>
          <w:rFonts w:asciiTheme="minorHAnsi" w:hAnsiTheme="minorHAnsi" w:cstheme="minorHAnsi"/>
        </w:rPr>
        <w:t xml:space="preserve">PEDP3. On the national level, </w:t>
      </w:r>
      <w:r w:rsidR="006E7651" w:rsidRPr="005F120D">
        <w:rPr>
          <w:rFonts w:asciiTheme="minorHAnsi" w:hAnsiTheme="minorHAnsi" w:cstheme="minorHAnsi"/>
        </w:rPr>
        <w:t>t</w:t>
      </w:r>
      <w:r w:rsidRPr="005F120D">
        <w:rPr>
          <w:rFonts w:asciiTheme="minorHAnsi" w:hAnsiTheme="minorHAnsi" w:cstheme="minorHAnsi"/>
        </w:rPr>
        <w:t xml:space="preserve">he RBM approach creates opportunities for </w:t>
      </w:r>
      <w:r w:rsidR="00EB27A2">
        <w:rPr>
          <w:rFonts w:asciiTheme="minorHAnsi" w:hAnsiTheme="minorHAnsi" w:cstheme="minorHAnsi"/>
        </w:rPr>
        <w:t>the Government of Bangladesh (GO</w:t>
      </w:r>
      <w:r w:rsidRPr="005F120D">
        <w:rPr>
          <w:rFonts w:asciiTheme="minorHAnsi" w:hAnsiTheme="minorHAnsi" w:cstheme="minorHAnsi"/>
        </w:rPr>
        <w:t xml:space="preserve">B) and </w:t>
      </w:r>
      <w:r w:rsidR="00C43B79" w:rsidRPr="005F120D">
        <w:rPr>
          <w:rFonts w:asciiTheme="minorHAnsi" w:hAnsiTheme="minorHAnsi" w:cstheme="minorHAnsi"/>
        </w:rPr>
        <w:t>its</w:t>
      </w:r>
      <w:r w:rsidRPr="005F120D">
        <w:rPr>
          <w:rFonts w:asciiTheme="minorHAnsi" w:hAnsiTheme="minorHAnsi" w:cstheme="minorHAnsi"/>
        </w:rPr>
        <w:t xml:space="preserve"> Development Partners (DPs) </w:t>
      </w:r>
      <w:r w:rsidR="006E7651" w:rsidRPr="005F120D">
        <w:rPr>
          <w:rFonts w:asciiTheme="minorHAnsi" w:hAnsiTheme="minorHAnsi" w:cstheme="minorHAnsi"/>
        </w:rPr>
        <w:t xml:space="preserve">to </w:t>
      </w:r>
      <w:r w:rsidR="00C43B79" w:rsidRPr="005F120D">
        <w:rPr>
          <w:rFonts w:asciiTheme="minorHAnsi" w:hAnsiTheme="minorHAnsi" w:cstheme="minorHAnsi"/>
        </w:rPr>
        <w:t>make evidence based</w:t>
      </w:r>
      <w:r w:rsidRPr="005F120D">
        <w:rPr>
          <w:rFonts w:asciiTheme="minorHAnsi" w:hAnsiTheme="minorHAnsi" w:cstheme="minorHAnsi"/>
        </w:rPr>
        <w:t xml:space="preserve"> decisions to improve sector performance, based on the progress and identified constraints identified in ASPR. </w:t>
      </w:r>
    </w:p>
    <w:p w:rsidR="001B5B24" w:rsidRPr="005F120D" w:rsidRDefault="00A804F7" w:rsidP="00C437AA">
      <w:pPr>
        <w:spacing w:line="276" w:lineRule="auto"/>
        <w:jc w:val="both"/>
        <w:rPr>
          <w:rFonts w:asciiTheme="minorHAnsi" w:hAnsiTheme="minorHAnsi" w:cstheme="minorHAnsi"/>
        </w:rPr>
      </w:pPr>
      <w:r w:rsidRPr="005F120D">
        <w:rPr>
          <w:rFonts w:asciiTheme="minorHAnsi" w:hAnsiTheme="minorHAnsi" w:cstheme="minorHAnsi"/>
        </w:rPr>
        <w:t>RBM differs from previous approaches, which focused mainly on inputs and activities with insufficient attention paid to promoting better learning outcomes for children.RBM puts the emphasis on results rather than on activities. This approach is supported by evidence-based planning. When RBM presents data for planning purposes, it uses ‘the results chain’. With the results chain, it is then possible to see how resources (‘inputs’) are used (for ‘activities’) to produce short-term results (‘outputs’). These ‘outputs’, in turn, lead to better education for children in schools in the medium term (‘outcomes’), as well as long-term benefits for society as a whole (‘impact’)</w:t>
      </w:r>
    </w:p>
    <w:tbl>
      <w:tblPr>
        <w:tblW w:w="5000" w:type="pct"/>
        <w:jc w:val="center"/>
        <w:tblLook w:val="01E0"/>
      </w:tblPr>
      <w:tblGrid>
        <w:gridCol w:w="1449"/>
        <w:gridCol w:w="328"/>
        <w:gridCol w:w="1407"/>
        <w:gridCol w:w="274"/>
        <w:gridCol w:w="1398"/>
        <w:gridCol w:w="418"/>
        <w:gridCol w:w="2234"/>
        <w:gridCol w:w="274"/>
        <w:gridCol w:w="1463"/>
      </w:tblGrid>
      <w:tr w:rsidR="00D748C3" w:rsidRPr="005F120D" w:rsidTr="00555B9A">
        <w:trPr>
          <w:jc w:val="center"/>
        </w:trPr>
        <w:tc>
          <w:tcPr>
            <w:tcW w:w="784" w:type="pct"/>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178" w:type="pct"/>
            <w:tcBorders>
              <w:left w:val="nil"/>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761" w:type="pct"/>
            <w:vAlign w:val="center"/>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148" w:type="pct"/>
            <w:tcBorders>
              <w:left w:val="nil"/>
              <w:right w:val="single" w:sz="12" w:space="0" w:color="31849B" w:themeColor="accent5" w:themeShade="BF"/>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756" w:type="pct"/>
            <w:tcBorders>
              <w:top w:val="single" w:sz="12" w:space="0" w:color="31849B" w:themeColor="accent5" w:themeShade="BF"/>
              <w:left w:val="single" w:sz="12" w:space="0" w:color="31849B" w:themeColor="accent5" w:themeShade="BF"/>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226" w:type="pct"/>
            <w:tcBorders>
              <w:top w:val="single" w:sz="12" w:space="0" w:color="31849B" w:themeColor="accent5" w:themeShade="BF"/>
            </w:tcBorders>
          </w:tcPr>
          <w:p w:rsidR="00D748C3" w:rsidRPr="005F120D" w:rsidRDefault="00D748C3" w:rsidP="00C437AA">
            <w:pPr>
              <w:pStyle w:val="Tabletext"/>
              <w:spacing w:after="0" w:line="276" w:lineRule="auto"/>
              <w:rPr>
                <w:rFonts w:asciiTheme="minorHAnsi" w:hAnsiTheme="minorHAnsi" w:cstheme="minorHAnsi"/>
                <w:b/>
                <w:sz w:val="22"/>
                <w:szCs w:val="22"/>
              </w:rPr>
            </w:pPr>
          </w:p>
        </w:tc>
        <w:tc>
          <w:tcPr>
            <w:tcW w:w="1208" w:type="pct"/>
            <w:tcBorders>
              <w:top w:val="single" w:sz="12" w:space="0" w:color="31849B" w:themeColor="accent5" w:themeShade="BF"/>
              <w:left w:val="nil"/>
            </w:tcBorders>
          </w:tcPr>
          <w:p w:rsidR="00D748C3" w:rsidRPr="005F120D" w:rsidRDefault="00D748C3" w:rsidP="00C437AA">
            <w:pPr>
              <w:pStyle w:val="Tabletext"/>
              <w:spacing w:after="0" w:line="276" w:lineRule="auto"/>
              <w:jc w:val="center"/>
              <w:rPr>
                <w:rFonts w:asciiTheme="minorHAnsi" w:hAnsiTheme="minorHAnsi" w:cstheme="minorHAnsi"/>
                <w:b/>
                <w:sz w:val="22"/>
                <w:szCs w:val="22"/>
              </w:rPr>
            </w:pPr>
            <w:r w:rsidRPr="005F120D">
              <w:rPr>
                <w:rFonts w:asciiTheme="minorHAnsi" w:hAnsiTheme="minorHAnsi" w:cstheme="minorHAnsi"/>
                <w:b/>
                <w:sz w:val="22"/>
                <w:szCs w:val="22"/>
              </w:rPr>
              <w:t>RESULTS</w:t>
            </w:r>
          </w:p>
        </w:tc>
        <w:tc>
          <w:tcPr>
            <w:tcW w:w="148" w:type="pct"/>
            <w:tcBorders>
              <w:top w:val="single" w:sz="12" w:space="0" w:color="31849B" w:themeColor="accent5" w:themeShade="BF"/>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791" w:type="pct"/>
            <w:tcBorders>
              <w:top w:val="single" w:sz="12" w:space="0" w:color="31849B" w:themeColor="accent5" w:themeShade="BF"/>
              <w:left w:val="nil"/>
              <w:right w:val="single" w:sz="12" w:space="0" w:color="31849B" w:themeColor="accent5" w:themeShade="BF"/>
            </w:tcBorders>
          </w:tcPr>
          <w:p w:rsidR="00D748C3" w:rsidRPr="005F120D" w:rsidRDefault="00D748C3" w:rsidP="00C437AA">
            <w:pPr>
              <w:pStyle w:val="Tabletext"/>
              <w:spacing w:after="0" w:line="276" w:lineRule="auto"/>
              <w:rPr>
                <w:rFonts w:asciiTheme="minorHAnsi" w:hAnsiTheme="minorHAnsi" w:cstheme="minorHAnsi"/>
                <w:sz w:val="22"/>
                <w:szCs w:val="22"/>
              </w:rPr>
            </w:pPr>
          </w:p>
        </w:tc>
      </w:tr>
      <w:tr w:rsidR="00D748C3" w:rsidRPr="005F120D" w:rsidTr="00555B9A">
        <w:trPr>
          <w:jc w:val="center"/>
        </w:trPr>
        <w:tc>
          <w:tcPr>
            <w:tcW w:w="784" w:type="pct"/>
            <w:tcBorders>
              <w:bottom w:val="single" w:sz="12" w:space="0" w:color="31849B" w:themeColor="accent5" w:themeShade="BF"/>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178" w:type="pct"/>
            <w:tcBorders>
              <w:left w:val="nil"/>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761" w:type="pct"/>
            <w:tcBorders>
              <w:bottom w:val="single" w:sz="12" w:space="0" w:color="31849B" w:themeColor="accent5" w:themeShade="BF"/>
            </w:tcBorders>
            <w:vAlign w:val="center"/>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148" w:type="pct"/>
            <w:tcBorders>
              <w:left w:val="nil"/>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756" w:type="pct"/>
            <w:tcBorders>
              <w:bottom w:val="single" w:sz="12" w:space="0" w:color="31849B" w:themeColor="accent5" w:themeShade="BF"/>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226" w:type="pct"/>
          </w:tcPr>
          <w:p w:rsidR="00D748C3" w:rsidRPr="005F120D" w:rsidRDefault="00D748C3" w:rsidP="00C437AA">
            <w:pPr>
              <w:pStyle w:val="Tabletext"/>
              <w:spacing w:after="0" w:line="276" w:lineRule="auto"/>
              <w:rPr>
                <w:rFonts w:asciiTheme="minorHAnsi" w:hAnsiTheme="minorHAnsi" w:cstheme="minorHAnsi"/>
                <w:b/>
                <w:sz w:val="22"/>
                <w:szCs w:val="22"/>
              </w:rPr>
            </w:pPr>
          </w:p>
        </w:tc>
        <w:tc>
          <w:tcPr>
            <w:tcW w:w="1208" w:type="pct"/>
            <w:tcBorders>
              <w:left w:val="nil"/>
              <w:bottom w:val="single" w:sz="12" w:space="0" w:color="auto"/>
            </w:tcBorders>
          </w:tcPr>
          <w:p w:rsidR="00D748C3" w:rsidRPr="005F120D" w:rsidRDefault="00D748C3" w:rsidP="00C437AA">
            <w:pPr>
              <w:pStyle w:val="Tabletext"/>
              <w:spacing w:after="0" w:line="276" w:lineRule="auto"/>
              <w:rPr>
                <w:rFonts w:asciiTheme="minorHAnsi" w:hAnsiTheme="minorHAnsi" w:cstheme="minorHAnsi"/>
                <w:b/>
                <w:sz w:val="22"/>
                <w:szCs w:val="22"/>
              </w:rPr>
            </w:pPr>
          </w:p>
        </w:tc>
        <w:tc>
          <w:tcPr>
            <w:tcW w:w="148" w:type="pct"/>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791" w:type="pct"/>
            <w:tcBorders>
              <w:left w:val="nil"/>
              <w:bottom w:val="single" w:sz="12" w:space="0" w:color="auto"/>
            </w:tcBorders>
          </w:tcPr>
          <w:p w:rsidR="00D748C3" w:rsidRPr="005F120D" w:rsidRDefault="00D748C3" w:rsidP="00C437AA">
            <w:pPr>
              <w:pStyle w:val="Tabletext"/>
              <w:spacing w:after="0" w:line="276" w:lineRule="auto"/>
              <w:rPr>
                <w:rFonts w:asciiTheme="minorHAnsi" w:hAnsiTheme="minorHAnsi" w:cstheme="minorHAnsi"/>
                <w:sz w:val="22"/>
                <w:szCs w:val="22"/>
              </w:rPr>
            </w:pPr>
          </w:p>
        </w:tc>
      </w:tr>
      <w:tr w:rsidR="00555B9A" w:rsidRPr="005F120D" w:rsidTr="00555B9A">
        <w:trPr>
          <w:jc w:val="center"/>
        </w:trPr>
        <w:tc>
          <w:tcPr>
            <w:tcW w:w="784" w:type="pct"/>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DAEEF3" w:themeFill="accent5" w:themeFillTint="33"/>
          </w:tcPr>
          <w:p w:rsidR="00D748C3" w:rsidRPr="005F120D" w:rsidRDefault="00D748C3" w:rsidP="00C437AA">
            <w:pPr>
              <w:pStyle w:val="Tabletext"/>
              <w:spacing w:after="0" w:line="276" w:lineRule="auto"/>
              <w:jc w:val="center"/>
              <w:rPr>
                <w:rFonts w:asciiTheme="minorHAnsi" w:hAnsiTheme="minorHAnsi" w:cstheme="minorHAnsi"/>
                <w:b/>
                <w:sz w:val="22"/>
                <w:szCs w:val="22"/>
              </w:rPr>
            </w:pPr>
          </w:p>
          <w:p w:rsidR="00D748C3" w:rsidRPr="005F120D" w:rsidRDefault="00D748C3" w:rsidP="00C437AA">
            <w:pPr>
              <w:pStyle w:val="Tabletext"/>
              <w:spacing w:after="0" w:line="276" w:lineRule="auto"/>
              <w:jc w:val="center"/>
              <w:rPr>
                <w:rFonts w:asciiTheme="minorHAnsi" w:hAnsiTheme="minorHAnsi" w:cstheme="minorHAnsi"/>
                <w:b/>
                <w:sz w:val="22"/>
                <w:szCs w:val="22"/>
              </w:rPr>
            </w:pPr>
            <w:r w:rsidRPr="005F120D">
              <w:rPr>
                <w:rFonts w:asciiTheme="minorHAnsi" w:hAnsiTheme="minorHAnsi" w:cstheme="minorHAnsi"/>
                <w:b/>
                <w:sz w:val="22"/>
                <w:szCs w:val="22"/>
              </w:rPr>
              <w:t>Inputs</w:t>
            </w:r>
          </w:p>
          <w:p w:rsidR="00D748C3" w:rsidRPr="005F120D" w:rsidRDefault="00D748C3" w:rsidP="00C437AA">
            <w:pPr>
              <w:pStyle w:val="Tabletext"/>
              <w:spacing w:after="0" w:line="276" w:lineRule="auto"/>
              <w:jc w:val="center"/>
              <w:rPr>
                <w:rFonts w:asciiTheme="minorHAnsi" w:hAnsiTheme="minorHAnsi" w:cstheme="minorHAnsi"/>
                <w:b/>
                <w:sz w:val="22"/>
                <w:szCs w:val="22"/>
              </w:rPr>
            </w:pPr>
          </w:p>
        </w:tc>
        <w:tc>
          <w:tcPr>
            <w:tcW w:w="178" w:type="pct"/>
            <w:tcBorders>
              <w:left w:val="single" w:sz="12" w:space="0" w:color="31849B" w:themeColor="accent5" w:themeShade="BF"/>
              <w:right w:val="single" w:sz="12" w:space="0" w:color="31849B" w:themeColor="accent5" w:themeShade="BF"/>
            </w:tcBorders>
          </w:tcPr>
          <w:p w:rsidR="00D748C3" w:rsidRPr="005F120D" w:rsidRDefault="00D748C3" w:rsidP="00C437AA">
            <w:pPr>
              <w:pStyle w:val="Tabletext"/>
              <w:spacing w:after="0" w:line="276" w:lineRule="auto"/>
              <w:jc w:val="center"/>
              <w:rPr>
                <w:rFonts w:asciiTheme="minorHAnsi" w:hAnsiTheme="minorHAnsi" w:cstheme="minorHAnsi"/>
                <w:b/>
                <w:sz w:val="22"/>
                <w:szCs w:val="22"/>
              </w:rPr>
            </w:pPr>
          </w:p>
        </w:tc>
        <w:tc>
          <w:tcPr>
            <w:tcW w:w="761" w:type="pct"/>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B6DDE8" w:themeFill="accent5" w:themeFillTint="66"/>
            <w:vAlign w:val="center"/>
          </w:tcPr>
          <w:p w:rsidR="00D748C3" w:rsidRPr="005F120D" w:rsidRDefault="00D748C3" w:rsidP="00C437AA">
            <w:pPr>
              <w:pStyle w:val="Tabletext"/>
              <w:spacing w:after="0" w:line="276" w:lineRule="auto"/>
              <w:jc w:val="center"/>
              <w:rPr>
                <w:rFonts w:asciiTheme="minorHAnsi" w:hAnsiTheme="minorHAnsi" w:cstheme="minorHAnsi"/>
                <w:b/>
                <w:sz w:val="22"/>
                <w:szCs w:val="22"/>
              </w:rPr>
            </w:pPr>
            <w:r w:rsidRPr="005F120D">
              <w:rPr>
                <w:rFonts w:asciiTheme="minorHAnsi" w:hAnsiTheme="minorHAnsi" w:cstheme="minorHAnsi"/>
                <w:b/>
                <w:sz w:val="22"/>
                <w:szCs w:val="22"/>
              </w:rPr>
              <w:t>Activities</w:t>
            </w:r>
          </w:p>
        </w:tc>
        <w:tc>
          <w:tcPr>
            <w:tcW w:w="148" w:type="pct"/>
            <w:tcBorders>
              <w:left w:val="single" w:sz="12" w:space="0" w:color="31849B" w:themeColor="accent5" w:themeShade="BF"/>
              <w:right w:val="single" w:sz="12" w:space="0" w:color="31849B" w:themeColor="accent5" w:themeShade="BF"/>
            </w:tcBorders>
          </w:tcPr>
          <w:p w:rsidR="00D748C3" w:rsidRPr="005F120D" w:rsidRDefault="00D748C3" w:rsidP="00C437AA">
            <w:pPr>
              <w:pStyle w:val="Tabletext"/>
              <w:spacing w:after="0" w:line="276" w:lineRule="auto"/>
              <w:jc w:val="center"/>
              <w:rPr>
                <w:rFonts w:asciiTheme="minorHAnsi" w:hAnsiTheme="minorHAnsi" w:cstheme="minorHAnsi"/>
                <w:b/>
                <w:sz w:val="22"/>
                <w:szCs w:val="22"/>
              </w:rPr>
            </w:pPr>
          </w:p>
        </w:tc>
        <w:tc>
          <w:tcPr>
            <w:tcW w:w="756" w:type="pct"/>
            <w:tc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92CDDC" w:themeFill="accent5" w:themeFillTint="99"/>
          </w:tcPr>
          <w:p w:rsidR="00D748C3" w:rsidRPr="005F120D" w:rsidRDefault="00D748C3" w:rsidP="00C437AA">
            <w:pPr>
              <w:pStyle w:val="Tabletext"/>
              <w:spacing w:after="0" w:line="276" w:lineRule="auto"/>
              <w:jc w:val="center"/>
              <w:rPr>
                <w:rFonts w:asciiTheme="minorHAnsi" w:hAnsiTheme="minorHAnsi" w:cstheme="minorHAnsi"/>
                <w:b/>
                <w:sz w:val="22"/>
                <w:szCs w:val="22"/>
              </w:rPr>
            </w:pPr>
          </w:p>
          <w:p w:rsidR="00D748C3" w:rsidRPr="005F120D" w:rsidRDefault="00D748C3" w:rsidP="00C437AA">
            <w:pPr>
              <w:pStyle w:val="Tabletext"/>
              <w:spacing w:after="0" w:line="276" w:lineRule="auto"/>
              <w:jc w:val="center"/>
              <w:rPr>
                <w:rFonts w:asciiTheme="minorHAnsi" w:hAnsiTheme="minorHAnsi" w:cstheme="minorHAnsi"/>
                <w:b/>
                <w:color w:val="FFFFFF" w:themeColor="background1"/>
                <w:sz w:val="22"/>
                <w:szCs w:val="22"/>
              </w:rPr>
            </w:pPr>
            <w:r w:rsidRPr="005F120D">
              <w:rPr>
                <w:rFonts w:asciiTheme="minorHAnsi" w:hAnsiTheme="minorHAnsi" w:cstheme="minorHAnsi"/>
                <w:b/>
                <w:color w:val="FFFFFF" w:themeColor="background1"/>
                <w:sz w:val="22"/>
                <w:szCs w:val="22"/>
                <w:shd w:val="clear" w:color="auto" w:fill="92CDDC" w:themeFill="accent5" w:themeFillTint="99"/>
              </w:rPr>
              <w:t>Outputs</w:t>
            </w:r>
          </w:p>
        </w:tc>
        <w:tc>
          <w:tcPr>
            <w:tcW w:w="226" w:type="pct"/>
            <w:tcBorders>
              <w:left w:val="single" w:sz="12" w:space="0" w:color="31849B" w:themeColor="accent5" w:themeShade="BF"/>
              <w:right w:val="single" w:sz="12" w:space="0" w:color="auto"/>
            </w:tcBorders>
          </w:tcPr>
          <w:p w:rsidR="00D748C3" w:rsidRPr="005F120D" w:rsidRDefault="00D748C3" w:rsidP="00C437AA">
            <w:pPr>
              <w:pStyle w:val="Tabletext"/>
              <w:spacing w:after="0" w:line="276" w:lineRule="auto"/>
              <w:jc w:val="center"/>
              <w:rPr>
                <w:rFonts w:asciiTheme="minorHAnsi" w:hAnsiTheme="minorHAnsi" w:cstheme="minorHAnsi"/>
                <w:b/>
                <w:sz w:val="22"/>
                <w:szCs w:val="22"/>
              </w:rPr>
            </w:pPr>
          </w:p>
        </w:tc>
        <w:tc>
          <w:tcPr>
            <w:tcW w:w="1208" w:type="pct"/>
            <w:tcBorders>
              <w:top w:val="single" w:sz="12" w:space="0" w:color="auto"/>
              <w:left w:val="single" w:sz="12" w:space="0" w:color="auto"/>
              <w:bottom w:val="single" w:sz="12" w:space="0" w:color="auto"/>
              <w:right w:val="single" w:sz="12" w:space="0" w:color="auto"/>
            </w:tcBorders>
            <w:shd w:val="clear" w:color="auto" w:fill="31849B" w:themeFill="accent5" w:themeFillShade="BF"/>
          </w:tcPr>
          <w:p w:rsidR="00D748C3" w:rsidRPr="005F120D" w:rsidRDefault="00D748C3" w:rsidP="00C437AA">
            <w:pPr>
              <w:pStyle w:val="Tabletext"/>
              <w:spacing w:after="0" w:line="276" w:lineRule="auto"/>
              <w:jc w:val="center"/>
              <w:rPr>
                <w:rFonts w:asciiTheme="minorHAnsi" w:hAnsiTheme="minorHAnsi" w:cstheme="minorHAnsi"/>
                <w:b/>
                <w:color w:val="FFFFFF" w:themeColor="background1"/>
                <w:sz w:val="22"/>
                <w:szCs w:val="22"/>
              </w:rPr>
            </w:pPr>
          </w:p>
          <w:p w:rsidR="00D748C3" w:rsidRPr="005F120D" w:rsidRDefault="00D748C3" w:rsidP="00C437AA">
            <w:pPr>
              <w:pStyle w:val="Tabletext"/>
              <w:spacing w:after="0" w:line="276" w:lineRule="auto"/>
              <w:jc w:val="center"/>
              <w:rPr>
                <w:rFonts w:asciiTheme="minorHAnsi" w:hAnsiTheme="minorHAnsi" w:cstheme="minorHAnsi"/>
                <w:b/>
                <w:color w:val="FFFFFF" w:themeColor="background1"/>
                <w:sz w:val="22"/>
                <w:szCs w:val="22"/>
              </w:rPr>
            </w:pPr>
            <w:r w:rsidRPr="005F120D">
              <w:rPr>
                <w:rFonts w:asciiTheme="minorHAnsi" w:hAnsiTheme="minorHAnsi" w:cstheme="minorHAnsi"/>
                <w:b/>
                <w:color w:val="FFFFFF" w:themeColor="background1"/>
                <w:sz w:val="22"/>
                <w:szCs w:val="22"/>
              </w:rPr>
              <w:t>Outcomes</w:t>
            </w:r>
          </w:p>
        </w:tc>
        <w:tc>
          <w:tcPr>
            <w:tcW w:w="148" w:type="pct"/>
            <w:tcBorders>
              <w:left w:val="single" w:sz="12" w:space="0" w:color="auto"/>
              <w:right w:val="single" w:sz="12" w:space="0" w:color="auto"/>
            </w:tcBorders>
          </w:tcPr>
          <w:p w:rsidR="00D748C3" w:rsidRPr="005F120D" w:rsidRDefault="00D748C3" w:rsidP="00C437AA">
            <w:pPr>
              <w:pStyle w:val="Tabletext"/>
              <w:spacing w:after="0" w:line="276" w:lineRule="auto"/>
              <w:jc w:val="center"/>
              <w:rPr>
                <w:rFonts w:asciiTheme="minorHAnsi" w:hAnsiTheme="minorHAnsi" w:cstheme="minorHAnsi"/>
                <w:b/>
                <w:color w:val="FFFFFF" w:themeColor="background1"/>
                <w:sz w:val="22"/>
                <w:szCs w:val="22"/>
              </w:rPr>
            </w:pPr>
          </w:p>
        </w:tc>
        <w:tc>
          <w:tcPr>
            <w:tcW w:w="791" w:type="pct"/>
            <w:tcBorders>
              <w:top w:val="single" w:sz="12" w:space="0" w:color="auto"/>
              <w:left w:val="single" w:sz="12" w:space="0" w:color="auto"/>
              <w:bottom w:val="single" w:sz="12" w:space="0" w:color="auto"/>
              <w:right w:val="single" w:sz="12" w:space="0" w:color="auto"/>
            </w:tcBorders>
            <w:shd w:val="clear" w:color="auto" w:fill="31849B" w:themeFill="accent5" w:themeFillShade="BF"/>
          </w:tcPr>
          <w:p w:rsidR="00D748C3" w:rsidRPr="005F120D" w:rsidRDefault="00D748C3" w:rsidP="00C437AA">
            <w:pPr>
              <w:pStyle w:val="Tabletext"/>
              <w:spacing w:after="0" w:line="276" w:lineRule="auto"/>
              <w:jc w:val="center"/>
              <w:rPr>
                <w:rFonts w:asciiTheme="minorHAnsi" w:hAnsiTheme="minorHAnsi" w:cstheme="minorHAnsi"/>
                <w:b/>
                <w:color w:val="FFFFFF" w:themeColor="background1"/>
                <w:sz w:val="22"/>
                <w:szCs w:val="22"/>
              </w:rPr>
            </w:pPr>
          </w:p>
          <w:p w:rsidR="00D748C3" w:rsidRPr="005F120D" w:rsidRDefault="00D748C3" w:rsidP="00C437AA">
            <w:pPr>
              <w:pStyle w:val="Tabletext"/>
              <w:spacing w:after="0" w:line="276" w:lineRule="auto"/>
              <w:jc w:val="center"/>
              <w:rPr>
                <w:rFonts w:asciiTheme="minorHAnsi" w:hAnsiTheme="minorHAnsi" w:cstheme="minorHAnsi"/>
                <w:b/>
                <w:color w:val="FFFFFF" w:themeColor="background1"/>
                <w:sz w:val="22"/>
                <w:szCs w:val="22"/>
              </w:rPr>
            </w:pPr>
            <w:r w:rsidRPr="005F120D">
              <w:rPr>
                <w:rFonts w:asciiTheme="minorHAnsi" w:hAnsiTheme="minorHAnsi" w:cstheme="minorHAnsi"/>
                <w:b/>
                <w:color w:val="FFFFFF" w:themeColor="background1"/>
                <w:sz w:val="22"/>
                <w:szCs w:val="22"/>
              </w:rPr>
              <w:t>Impact</w:t>
            </w:r>
          </w:p>
        </w:tc>
      </w:tr>
      <w:tr w:rsidR="00D748C3" w:rsidRPr="005F120D" w:rsidTr="00555B9A">
        <w:trPr>
          <w:trHeight w:hRule="exact" w:val="113"/>
          <w:jc w:val="center"/>
        </w:trPr>
        <w:tc>
          <w:tcPr>
            <w:tcW w:w="784" w:type="pct"/>
            <w:tcBorders>
              <w:top w:val="single" w:sz="12" w:space="0" w:color="31849B" w:themeColor="accent5" w:themeShade="BF"/>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178" w:type="pct"/>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761" w:type="pct"/>
            <w:tcBorders>
              <w:top w:val="single" w:sz="12" w:space="0" w:color="31849B" w:themeColor="accent5" w:themeShade="BF"/>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148" w:type="pct"/>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756" w:type="pct"/>
            <w:tcBorders>
              <w:top w:val="single" w:sz="12" w:space="0" w:color="31849B" w:themeColor="accent5" w:themeShade="BF"/>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226" w:type="pct"/>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1208" w:type="pct"/>
            <w:tcBorders>
              <w:top w:val="single" w:sz="12" w:space="0" w:color="auto"/>
            </w:tcBorders>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148" w:type="pct"/>
          </w:tcPr>
          <w:p w:rsidR="00D748C3" w:rsidRPr="005F120D" w:rsidRDefault="00D748C3" w:rsidP="00C437AA">
            <w:pPr>
              <w:pStyle w:val="Tabletext"/>
              <w:spacing w:after="0" w:line="276" w:lineRule="auto"/>
              <w:rPr>
                <w:rFonts w:asciiTheme="minorHAnsi" w:hAnsiTheme="minorHAnsi" w:cstheme="minorHAnsi"/>
                <w:sz w:val="22"/>
                <w:szCs w:val="22"/>
              </w:rPr>
            </w:pPr>
          </w:p>
        </w:tc>
        <w:tc>
          <w:tcPr>
            <w:tcW w:w="791" w:type="pct"/>
            <w:tcBorders>
              <w:top w:val="single" w:sz="12" w:space="0" w:color="auto"/>
            </w:tcBorders>
          </w:tcPr>
          <w:p w:rsidR="00D748C3" w:rsidRPr="005F120D" w:rsidRDefault="00D748C3" w:rsidP="00C437AA">
            <w:pPr>
              <w:pStyle w:val="Tabletext"/>
              <w:spacing w:after="0" w:line="276" w:lineRule="auto"/>
              <w:rPr>
                <w:rFonts w:asciiTheme="minorHAnsi" w:hAnsiTheme="minorHAnsi" w:cstheme="minorHAnsi"/>
                <w:sz w:val="22"/>
                <w:szCs w:val="22"/>
              </w:rPr>
            </w:pPr>
          </w:p>
        </w:tc>
      </w:tr>
      <w:tr w:rsidR="00D748C3" w:rsidRPr="005F120D" w:rsidTr="00D748C3">
        <w:trPr>
          <w:jc w:val="center"/>
        </w:trPr>
        <w:tc>
          <w:tcPr>
            <w:tcW w:w="784" w:type="pct"/>
          </w:tcPr>
          <w:p w:rsidR="00D748C3" w:rsidRPr="005F120D" w:rsidRDefault="00D748C3" w:rsidP="00C437AA">
            <w:pPr>
              <w:pStyle w:val="Tabletext"/>
              <w:spacing w:after="0" w:line="276" w:lineRule="auto"/>
              <w:rPr>
                <w:rFonts w:asciiTheme="minorHAnsi" w:hAnsiTheme="minorHAnsi" w:cstheme="minorHAnsi"/>
                <w:b/>
                <w:sz w:val="22"/>
                <w:szCs w:val="22"/>
              </w:rPr>
            </w:pPr>
          </w:p>
          <w:p w:rsidR="00D748C3" w:rsidRPr="005F120D" w:rsidRDefault="00D748C3" w:rsidP="00C437AA">
            <w:pPr>
              <w:pStyle w:val="Tabletext"/>
              <w:spacing w:after="0" w:line="276" w:lineRule="auto"/>
              <w:rPr>
                <w:rFonts w:asciiTheme="minorHAnsi" w:hAnsiTheme="minorHAnsi" w:cstheme="minorHAnsi"/>
                <w:b/>
                <w:sz w:val="22"/>
                <w:szCs w:val="22"/>
              </w:rPr>
            </w:pPr>
          </w:p>
        </w:tc>
        <w:tc>
          <w:tcPr>
            <w:tcW w:w="178" w:type="pct"/>
          </w:tcPr>
          <w:p w:rsidR="00D748C3" w:rsidRPr="005F120D" w:rsidRDefault="00D748C3" w:rsidP="00C437AA">
            <w:pPr>
              <w:pStyle w:val="Tabletext"/>
              <w:spacing w:after="0" w:line="276" w:lineRule="auto"/>
              <w:rPr>
                <w:rFonts w:asciiTheme="minorHAnsi" w:hAnsiTheme="minorHAnsi" w:cstheme="minorHAnsi"/>
                <w:b/>
                <w:sz w:val="22"/>
                <w:szCs w:val="22"/>
              </w:rPr>
            </w:pPr>
          </w:p>
        </w:tc>
        <w:tc>
          <w:tcPr>
            <w:tcW w:w="761" w:type="pct"/>
          </w:tcPr>
          <w:p w:rsidR="00D748C3" w:rsidRPr="005F120D" w:rsidRDefault="00D748C3" w:rsidP="00C437AA">
            <w:pPr>
              <w:pStyle w:val="Tabletext"/>
              <w:spacing w:after="0" w:line="276" w:lineRule="auto"/>
              <w:rPr>
                <w:rFonts w:asciiTheme="minorHAnsi" w:hAnsiTheme="minorHAnsi" w:cstheme="minorHAnsi"/>
                <w:b/>
                <w:sz w:val="22"/>
                <w:szCs w:val="22"/>
              </w:rPr>
            </w:pPr>
          </w:p>
        </w:tc>
        <w:tc>
          <w:tcPr>
            <w:tcW w:w="148" w:type="pct"/>
          </w:tcPr>
          <w:p w:rsidR="00D748C3" w:rsidRPr="005F120D" w:rsidRDefault="002E2ED5" w:rsidP="00C437AA">
            <w:pPr>
              <w:pStyle w:val="Tabletext"/>
              <w:spacing w:after="0" w:line="276" w:lineRule="auto"/>
              <w:rPr>
                <w:rFonts w:asciiTheme="minorHAnsi" w:hAnsiTheme="minorHAnsi" w:cstheme="minorHAnsi"/>
                <w:b/>
                <w:sz w:val="22"/>
                <w:szCs w:val="22"/>
              </w:rPr>
            </w:pPr>
            <w:r>
              <w:rPr>
                <w:rFonts w:asciiTheme="minorHAnsi" w:hAnsiTheme="minorHAnsi" w:cstheme="minorHAnsi"/>
                <w:b/>
                <w:noProof/>
                <w:sz w:val="22"/>
                <w:szCs w:val="22"/>
                <w:lang w:val="en-US" w:eastAsia="en-US"/>
              </w:rPr>
              <w:pict>
                <v:line id="Line 63" o:spid="_x0000_s1026" style="position:absolute;z-index:251615232;visibility:visible;mso-wrap-distance-top:-1e-4mm;mso-wrap-distance-bottom:-1e-4mm;mso-position-horizontal-relative:text;mso-position-vertical-relative:text" from=".1pt,25.15pt" to="300.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" strokecolor="#31849b [2408]" strokeweight="1.75pt">
                  <v:stroke endarrow="block"/>
                </v:line>
              </w:pict>
            </w:r>
          </w:p>
        </w:tc>
        <w:tc>
          <w:tcPr>
            <w:tcW w:w="756" w:type="pct"/>
          </w:tcPr>
          <w:p w:rsidR="00183844" w:rsidRPr="005F120D" w:rsidRDefault="00183844" w:rsidP="00C437AA">
            <w:pPr>
              <w:pStyle w:val="Tabletext"/>
              <w:spacing w:after="0" w:line="276" w:lineRule="auto"/>
              <w:rPr>
                <w:rFonts w:asciiTheme="minorHAnsi" w:hAnsiTheme="minorHAnsi" w:cstheme="minorHAnsi"/>
                <w:b/>
                <w:sz w:val="22"/>
                <w:szCs w:val="22"/>
              </w:rPr>
            </w:pPr>
            <w:r w:rsidRPr="005F120D">
              <w:rPr>
                <w:rFonts w:asciiTheme="minorHAnsi" w:hAnsiTheme="minorHAnsi" w:cstheme="minorHAnsi"/>
                <w:b/>
                <w:sz w:val="22"/>
                <w:szCs w:val="22"/>
              </w:rPr>
              <w:t>Short term</w:t>
            </w:r>
          </w:p>
          <w:p w:rsidR="00D748C3" w:rsidRPr="005F120D" w:rsidRDefault="00D748C3" w:rsidP="00C437AA">
            <w:pPr>
              <w:pStyle w:val="Tabletext"/>
              <w:spacing w:after="0" w:line="276" w:lineRule="auto"/>
              <w:rPr>
                <w:rFonts w:asciiTheme="minorHAnsi" w:hAnsiTheme="minorHAnsi" w:cstheme="minorHAnsi"/>
                <w:b/>
                <w:sz w:val="22"/>
                <w:szCs w:val="22"/>
              </w:rPr>
            </w:pPr>
          </w:p>
        </w:tc>
        <w:tc>
          <w:tcPr>
            <w:tcW w:w="226" w:type="pct"/>
          </w:tcPr>
          <w:p w:rsidR="00D748C3" w:rsidRPr="005F120D" w:rsidRDefault="00D748C3" w:rsidP="00C437AA">
            <w:pPr>
              <w:pStyle w:val="Tabletext"/>
              <w:spacing w:after="0" w:line="276" w:lineRule="auto"/>
              <w:rPr>
                <w:rFonts w:asciiTheme="minorHAnsi" w:hAnsiTheme="minorHAnsi" w:cstheme="minorHAnsi"/>
                <w:b/>
                <w:sz w:val="22"/>
                <w:szCs w:val="22"/>
              </w:rPr>
            </w:pPr>
          </w:p>
        </w:tc>
        <w:tc>
          <w:tcPr>
            <w:tcW w:w="1208" w:type="pct"/>
          </w:tcPr>
          <w:p w:rsidR="00183844" w:rsidRPr="005F120D" w:rsidRDefault="00183844" w:rsidP="00C437AA">
            <w:pPr>
              <w:pStyle w:val="Tabletext"/>
              <w:spacing w:after="0" w:line="276" w:lineRule="auto"/>
              <w:rPr>
                <w:rFonts w:asciiTheme="minorHAnsi" w:hAnsiTheme="minorHAnsi" w:cstheme="minorHAnsi"/>
                <w:b/>
                <w:sz w:val="22"/>
                <w:szCs w:val="22"/>
              </w:rPr>
            </w:pPr>
          </w:p>
          <w:p w:rsidR="00183844" w:rsidRPr="005F120D" w:rsidRDefault="00183844" w:rsidP="00C437AA">
            <w:pPr>
              <w:pStyle w:val="Tabletext"/>
              <w:spacing w:after="0" w:line="276" w:lineRule="auto"/>
              <w:rPr>
                <w:rFonts w:asciiTheme="minorHAnsi" w:hAnsiTheme="minorHAnsi" w:cstheme="minorHAnsi"/>
                <w:b/>
                <w:sz w:val="22"/>
                <w:szCs w:val="22"/>
              </w:rPr>
            </w:pPr>
          </w:p>
          <w:p w:rsidR="00D748C3" w:rsidRPr="005F120D" w:rsidRDefault="00183844" w:rsidP="00C437AA">
            <w:pPr>
              <w:pStyle w:val="Tabletext"/>
              <w:spacing w:after="0" w:line="276" w:lineRule="auto"/>
              <w:jc w:val="center"/>
              <w:rPr>
                <w:rFonts w:asciiTheme="minorHAnsi" w:hAnsiTheme="minorHAnsi" w:cstheme="minorHAnsi"/>
                <w:b/>
                <w:sz w:val="22"/>
                <w:szCs w:val="22"/>
              </w:rPr>
            </w:pPr>
            <w:r w:rsidRPr="005F120D">
              <w:rPr>
                <w:rFonts w:asciiTheme="minorHAnsi" w:hAnsiTheme="minorHAnsi" w:cstheme="minorHAnsi"/>
                <w:b/>
                <w:sz w:val="22"/>
                <w:szCs w:val="22"/>
              </w:rPr>
              <w:t>Timeline</w:t>
            </w:r>
          </w:p>
        </w:tc>
        <w:tc>
          <w:tcPr>
            <w:tcW w:w="148" w:type="pct"/>
          </w:tcPr>
          <w:p w:rsidR="00D748C3" w:rsidRPr="005F120D" w:rsidRDefault="00D748C3" w:rsidP="00C437AA">
            <w:pPr>
              <w:pStyle w:val="Tabletext"/>
              <w:spacing w:after="0" w:line="276" w:lineRule="auto"/>
              <w:rPr>
                <w:rFonts w:asciiTheme="minorHAnsi" w:hAnsiTheme="minorHAnsi" w:cstheme="minorHAnsi"/>
                <w:b/>
                <w:sz w:val="22"/>
                <w:szCs w:val="22"/>
              </w:rPr>
            </w:pPr>
          </w:p>
        </w:tc>
        <w:tc>
          <w:tcPr>
            <w:tcW w:w="791" w:type="pct"/>
          </w:tcPr>
          <w:p w:rsidR="00D748C3" w:rsidRPr="005F120D" w:rsidRDefault="00D748C3" w:rsidP="00C437AA">
            <w:pPr>
              <w:pStyle w:val="Tabletext"/>
              <w:spacing w:after="0" w:line="276" w:lineRule="auto"/>
              <w:rPr>
                <w:rFonts w:asciiTheme="minorHAnsi" w:hAnsiTheme="minorHAnsi" w:cstheme="minorHAnsi"/>
                <w:b/>
                <w:sz w:val="22"/>
                <w:szCs w:val="22"/>
              </w:rPr>
            </w:pPr>
            <w:r w:rsidRPr="005F120D">
              <w:rPr>
                <w:rFonts w:asciiTheme="minorHAnsi" w:hAnsiTheme="minorHAnsi" w:cstheme="minorHAnsi"/>
                <w:b/>
                <w:sz w:val="22"/>
                <w:szCs w:val="22"/>
              </w:rPr>
              <w:t>Long term</w:t>
            </w:r>
          </w:p>
        </w:tc>
      </w:tr>
    </w:tbl>
    <w:tbl>
      <w:tblPr>
        <w:tblpPr w:leftFromText="180" w:rightFromText="180" w:vertAnchor="text" w:horzAnchor="margin" w:tblpY="182"/>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AEEF3" w:themeFill="accent5" w:themeFillTint="33"/>
        <w:tblLook w:val="01E0"/>
      </w:tblPr>
      <w:tblGrid>
        <w:gridCol w:w="9245"/>
      </w:tblGrid>
      <w:tr w:rsidR="009835EE" w:rsidRPr="005F120D" w:rsidTr="00C43B79">
        <w:trPr>
          <w:trHeight w:val="240"/>
        </w:trPr>
        <w:tc>
          <w:tcPr>
            <w:tcW w:w="5000" w:type="pct"/>
            <w:shd w:val="clear" w:color="auto" w:fill="DAEEF3" w:themeFill="accent5" w:themeFillTint="33"/>
          </w:tcPr>
          <w:p w:rsidR="00A804F7" w:rsidRPr="005F120D" w:rsidRDefault="00A804F7" w:rsidP="00C437AA">
            <w:pPr>
              <w:pStyle w:val="Tabletitle"/>
              <w:rPr>
                <w:rFonts w:asciiTheme="minorHAnsi" w:hAnsiTheme="minorHAnsi" w:cstheme="minorHAnsi"/>
                <w:sz w:val="18"/>
                <w:szCs w:val="18"/>
              </w:rPr>
            </w:pPr>
            <w:r w:rsidRPr="005F120D">
              <w:rPr>
                <w:rFonts w:asciiTheme="minorHAnsi" w:hAnsiTheme="minorHAnsi" w:cstheme="minorHAnsi"/>
                <w:sz w:val="18"/>
                <w:szCs w:val="18"/>
              </w:rPr>
              <w:t>Planning process used in RBM approach</w:t>
            </w:r>
          </w:p>
          <w:p w:rsidR="009835EE" w:rsidRPr="005F120D" w:rsidRDefault="00A804F7" w:rsidP="00C437AA">
            <w:pPr>
              <w:pStyle w:val="Tabletext"/>
              <w:rPr>
                <w:rFonts w:asciiTheme="minorHAnsi" w:hAnsiTheme="minorHAnsi" w:cstheme="minorHAnsi"/>
                <w:sz w:val="18"/>
                <w:szCs w:val="18"/>
              </w:rPr>
            </w:pPr>
            <w:r w:rsidRPr="005F120D">
              <w:rPr>
                <w:rFonts w:asciiTheme="minorHAnsi" w:hAnsiTheme="minorHAnsi" w:cstheme="minorHAnsi"/>
                <w:sz w:val="18"/>
                <w:szCs w:val="18"/>
              </w:rPr>
              <w:t>In evidence-based planning, policy makers begin by deciding what outcomes should be achieved. These outcomes are then stated clearly as ‘indicators’ that can be measured in a</w:t>
            </w:r>
            <w:r w:rsidR="006E7651" w:rsidRPr="005F120D">
              <w:rPr>
                <w:rFonts w:asciiTheme="minorHAnsi" w:hAnsiTheme="minorHAnsi" w:cstheme="minorHAnsi"/>
                <w:sz w:val="18"/>
                <w:szCs w:val="18"/>
              </w:rPr>
              <w:t>n objective</w:t>
            </w:r>
            <w:r w:rsidR="005C0650" w:rsidRPr="005F120D">
              <w:rPr>
                <w:rFonts w:asciiTheme="minorHAnsi" w:hAnsiTheme="minorHAnsi" w:cstheme="minorHAnsi"/>
                <w:sz w:val="18"/>
                <w:szCs w:val="18"/>
              </w:rPr>
              <w:t xml:space="preserve"> manner</w:t>
            </w:r>
            <w:r w:rsidRPr="005F120D">
              <w:rPr>
                <w:rFonts w:asciiTheme="minorHAnsi" w:hAnsiTheme="minorHAnsi" w:cstheme="minorHAnsi"/>
                <w:sz w:val="18"/>
                <w:szCs w:val="18"/>
              </w:rPr>
              <w:t>. Only after these desired outcomes are decided are the necessary inputs, activities and outputs identified. For planning purposes, this means starting at the right end of the figure above</w:t>
            </w:r>
            <w:r w:rsidR="006E7651" w:rsidRPr="005F120D">
              <w:rPr>
                <w:rFonts w:asciiTheme="minorHAnsi" w:hAnsiTheme="minorHAnsi" w:cstheme="minorHAnsi"/>
                <w:sz w:val="18"/>
                <w:szCs w:val="18"/>
              </w:rPr>
              <w:t>,</w:t>
            </w:r>
            <w:r w:rsidRPr="005F120D">
              <w:rPr>
                <w:rFonts w:asciiTheme="minorHAnsi" w:hAnsiTheme="minorHAnsi" w:cstheme="minorHAnsi"/>
                <w:sz w:val="18"/>
                <w:szCs w:val="18"/>
              </w:rPr>
              <w:t xml:space="preserve"> at impact. The planner then moves along the chain to the left: from the desired impact back to the inputs and activities that are necessary to achieve that impact. This holds true both for the six-year planning of </w:t>
            </w:r>
            <w:r w:rsidR="00C43B79" w:rsidRPr="005F120D">
              <w:rPr>
                <w:rFonts w:asciiTheme="minorHAnsi" w:hAnsiTheme="minorHAnsi" w:cstheme="minorHAnsi"/>
                <w:sz w:val="18"/>
                <w:szCs w:val="18"/>
              </w:rPr>
              <w:t>the PEDP3</w:t>
            </w:r>
            <w:r w:rsidRPr="005F120D">
              <w:rPr>
                <w:rFonts w:asciiTheme="minorHAnsi" w:hAnsiTheme="minorHAnsi" w:cstheme="minorHAnsi"/>
                <w:sz w:val="18"/>
                <w:szCs w:val="18"/>
              </w:rPr>
              <w:t xml:space="preserve"> and also for yearly planning (Annual Operation Plan (AOP) at central level).</w:t>
            </w:r>
          </w:p>
        </w:tc>
      </w:tr>
    </w:tbl>
    <w:p w:rsidR="006E7651" w:rsidRPr="005F120D" w:rsidRDefault="006E7651" w:rsidP="00C437AA">
      <w:pPr>
        <w:spacing w:line="276" w:lineRule="auto"/>
        <w:jc w:val="both"/>
        <w:rPr>
          <w:rFonts w:asciiTheme="minorHAnsi" w:hAnsiTheme="minorHAnsi" w:cstheme="minorHAnsi"/>
        </w:rPr>
      </w:pPr>
    </w:p>
    <w:p w:rsidR="00A804F7" w:rsidRPr="005F120D" w:rsidRDefault="00A804F7" w:rsidP="00C437AA">
      <w:pPr>
        <w:spacing w:line="276" w:lineRule="auto"/>
        <w:jc w:val="both"/>
        <w:rPr>
          <w:rFonts w:asciiTheme="minorHAnsi" w:hAnsiTheme="minorHAnsi" w:cstheme="minorHAnsi"/>
        </w:rPr>
      </w:pPr>
      <w:r w:rsidRPr="005F120D">
        <w:rPr>
          <w:rFonts w:asciiTheme="minorHAnsi" w:hAnsiTheme="minorHAnsi" w:cstheme="minorHAnsi"/>
        </w:rPr>
        <w:lastRenderedPageBreak/>
        <w:t xml:space="preserve">This report aims to strengthen the planning process. It links implementation </w:t>
      </w:r>
      <w:r w:rsidRPr="005F120D">
        <w:rPr>
          <w:rFonts w:asciiTheme="minorHAnsi" w:hAnsiTheme="minorHAnsi" w:cstheme="minorHAnsi"/>
          <w:color w:val="0033CC"/>
        </w:rPr>
        <w:t>(input → activities → output</w:t>
      </w:r>
      <w:r w:rsidRPr="005F120D">
        <w:rPr>
          <w:rFonts w:asciiTheme="minorHAnsi" w:hAnsiTheme="minorHAnsi" w:cstheme="minorHAnsi"/>
        </w:rPr>
        <w:t xml:space="preserve">) with the sector performance </w:t>
      </w:r>
      <w:r w:rsidRPr="005F120D">
        <w:rPr>
          <w:rFonts w:asciiTheme="minorHAnsi" w:hAnsiTheme="minorHAnsi" w:cstheme="minorHAnsi"/>
          <w:color w:val="0033CC"/>
        </w:rPr>
        <w:t>(outcome → impact)</w:t>
      </w:r>
      <w:r w:rsidRPr="005F120D">
        <w:rPr>
          <w:rFonts w:asciiTheme="minorHAnsi" w:hAnsiTheme="minorHAnsi" w:cstheme="minorHAnsi"/>
        </w:rPr>
        <w:t xml:space="preserve"> through the use of information and statistics. </w:t>
      </w:r>
      <w:r w:rsidR="00082E6E" w:rsidRPr="005F120D">
        <w:rPr>
          <w:rFonts w:asciiTheme="minorHAnsi" w:hAnsiTheme="minorHAnsi" w:cstheme="minorHAnsi"/>
        </w:rPr>
        <w:t>The report</w:t>
      </w:r>
      <w:r w:rsidRPr="005F120D">
        <w:rPr>
          <w:rFonts w:asciiTheme="minorHAnsi" w:hAnsiTheme="minorHAnsi" w:cstheme="minorHAnsi"/>
        </w:rPr>
        <w:t xml:space="preserve"> is a basis for a planning dialogue in DPE and the other key implementing agencies and in the annual planning cycle of </w:t>
      </w:r>
      <w:r w:rsidR="00C43B79" w:rsidRPr="005F120D">
        <w:rPr>
          <w:rFonts w:asciiTheme="minorHAnsi" w:hAnsiTheme="minorHAnsi" w:cstheme="minorHAnsi"/>
        </w:rPr>
        <w:t>the PEDP3</w:t>
      </w:r>
      <w:r w:rsidRPr="005F120D">
        <w:rPr>
          <w:rFonts w:asciiTheme="minorHAnsi" w:hAnsiTheme="minorHAnsi" w:cstheme="minorHAnsi"/>
        </w:rPr>
        <w:t>. The report provides evidence, which helps to pinpoint what is and is not working well towards the achievement of desired results. Based on this evidence, decision makers and planners can adjust the inputs and activities as necessary to improve outputs and outcomes.</w:t>
      </w:r>
    </w:p>
    <w:p w:rsidR="00A804F7" w:rsidRPr="005F120D" w:rsidRDefault="00A804F7" w:rsidP="00C437AA">
      <w:pPr>
        <w:spacing w:line="276" w:lineRule="auto"/>
        <w:jc w:val="both"/>
        <w:rPr>
          <w:rFonts w:asciiTheme="minorHAnsi" w:hAnsiTheme="minorHAnsi" w:cstheme="minorHAnsi"/>
        </w:rPr>
      </w:pPr>
      <w:r w:rsidRPr="005F120D">
        <w:rPr>
          <w:rFonts w:asciiTheme="minorHAnsi" w:hAnsiTheme="minorHAnsi" w:cstheme="minorHAnsi"/>
        </w:rPr>
        <w:t>In the primary education sector, the PEDP3 covers a large proportion of the activities and expected results over the six-year period 2011-2017.</w:t>
      </w:r>
      <w:r w:rsidRPr="005F120D">
        <w:rPr>
          <w:rStyle w:val="FootnoteReference"/>
          <w:rFonts w:asciiTheme="minorHAnsi" w:hAnsiTheme="minorHAnsi" w:cstheme="minorHAnsi"/>
        </w:rPr>
        <w:footnoteReference w:id="2"/>
      </w:r>
      <w:r w:rsidRPr="005F120D">
        <w:rPr>
          <w:rFonts w:asciiTheme="minorHAnsi" w:hAnsiTheme="minorHAnsi" w:cstheme="minorHAnsi"/>
        </w:rPr>
        <w:t xml:space="preserve"> For that reason, the ASPR describes sector performance from the point of view of </w:t>
      </w:r>
      <w:r w:rsidR="00C43B79" w:rsidRPr="005F120D">
        <w:rPr>
          <w:rFonts w:asciiTheme="minorHAnsi" w:hAnsiTheme="minorHAnsi" w:cstheme="minorHAnsi"/>
        </w:rPr>
        <w:t xml:space="preserve">the </w:t>
      </w:r>
      <w:r w:rsidRPr="005F120D">
        <w:rPr>
          <w:rFonts w:asciiTheme="minorHAnsi" w:hAnsiTheme="minorHAnsi" w:cstheme="minorHAnsi"/>
        </w:rPr>
        <w:t>PEDP3 implementation and achievement of results. It is hoped that the next ASPR will continue to reflect progress in other areas of the primary sector as a</w:t>
      </w:r>
      <w:r w:rsidR="0089702D">
        <w:rPr>
          <w:rFonts w:asciiTheme="minorHAnsi" w:hAnsiTheme="minorHAnsi" w:cstheme="minorHAnsi"/>
        </w:rPr>
        <w:t xml:space="preserve"> whole including Quami Madrasha</w:t>
      </w:r>
      <w:r w:rsidRPr="005F120D">
        <w:rPr>
          <w:rFonts w:asciiTheme="minorHAnsi" w:hAnsiTheme="minorHAnsi" w:cstheme="minorHAnsi"/>
        </w:rPr>
        <w:t>, English Medium Schools, a</w:t>
      </w:r>
      <w:r w:rsidR="00082E6E" w:rsidRPr="005F120D">
        <w:rPr>
          <w:rFonts w:asciiTheme="minorHAnsi" w:hAnsiTheme="minorHAnsi" w:cstheme="minorHAnsi"/>
        </w:rPr>
        <w:t>nd Second Chance/Non-Formal E</w:t>
      </w:r>
      <w:r w:rsidRPr="005F120D">
        <w:rPr>
          <w:rFonts w:asciiTheme="minorHAnsi" w:hAnsiTheme="minorHAnsi" w:cstheme="minorHAnsi"/>
        </w:rPr>
        <w:t xml:space="preserve">ducation, all three of which lie outside </w:t>
      </w:r>
      <w:r w:rsidR="00C43B79" w:rsidRPr="005F120D">
        <w:rPr>
          <w:rFonts w:asciiTheme="minorHAnsi" w:hAnsiTheme="minorHAnsi" w:cstheme="minorHAnsi"/>
        </w:rPr>
        <w:t xml:space="preserve">the </w:t>
      </w:r>
      <w:r w:rsidRPr="005F120D">
        <w:rPr>
          <w:rFonts w:asciiTheme="minorHAnsi" w:hAnsiTheme="minorHAnsi" w:cstheme="minorHAnsi"/>
        </w:rPr>
        <w:t>PEDP3.</w:t>
      </w:r>
    </w:p>
    <w:p w:rsidR="00A804F7" w:rsidRPr="005F120D" w:rsidRDefault="00C43B79" w:rsidP="00C437AA">
      <w:pPr>
        <w:spacing w:line="276" w:lineRule="auto"/>
        <w:jc w:val="both"/>
        <w:rPr>
          <w:rFonts w:asciiTheme="minorHAnsi" w:hAnsiTheme="minorHAnsi" w:cstheme="minorHAnsi"/>
        </w:rPr>
      </w:pPr>
      <w:r w:rsidRPr="005F120D">
        <w:rPr>
          <w:rFonts w:asciiTheme="minorHAnsi" w:hAnsiTheme="minorHAnsi" w:cstheme="minorHAnsi"/>
        </w:rPr>
        <w:t xml:space="preserve">The </w:t>
      </w:r>
      <w:r w:rsidR="00A804F7" w:rsidRPr="005F120D">
        <w:rPr>
          <w:rFonts w:asciiTheme="minorHAnsi" w:hAnsiTheme="minorHAnsi" w:cstheme="minorHAnsi"/>
        </w:rPr>
        <w:t>PEDP3 is guided by its Program and M&amp;E Matr</w:t>
      </w:r>
      <w:r w:rsidR="00082E6E" w:rsidRPr="005F120D">
        <w:rPr>
          <w:rFonts w:asciiTheme="minorHAnsi" w:hAnsiTheme="minorHAnsi" w:cstheme="minorHAnsi"/>
        </w:rPr>
        <w:t>ix, which a logical framework</w:t>
      </w:r>
      <w:r w:rsidR="00A804F7" w:rsidRPr="005F120D">
        <w:rPr>
          <w:rFonts w:asciiTheme="minorHAnsi" w:hAnsiTheme="minorHAnsi" w:cstheme="minorHAnsi"/>
        </w:rPr>
        <w:t xml:space="preserve"> summarizing what the program will do and what it plans to </w:t>
      </w:r>
      <w:r w:rsidR="00962815" w:rsidRPr="005F120D">
        <w:rPr>
          <w:rFonts w:asciiTheme="minorHAnsi" w:hAnsiTheme="minorHAnsi" w:cstheme="minorHAnsi"/>
        </w:rPr>
        <w:t>have</w:t>
      </w:r>
      <w:r w:rsidR="00A804F7" w:rsidRPr="005F120D">
        <w:rPr>
          <w:rFonts w:asciiTheme="minorHAnsi" w:hAnsiTheme="minorHAnsi" w:cstheme="minorHAnsi"/>
        </w:rPr>
        <w:t xml:space="preserve"> achieved by 2017. The PE</w:t>
      </w:r>
      <w:r w:rsidR="00962815" w:rsidRPr="005F120D">
        <w:rPr>
          <w:rFonts w:asciiTheme="minorHAnsi" w:hAnsiTheme="minorHAnsi" w:cstheme="minorHAnsi"/>
        </w:rPr>
        <w:t>DP3 M&amp;E Matrix is shown in the January 2015 Revised PEDP3 Program D</w:t>
      </w:r>
      <w:r w:rsidR="00A804F7" w:rsidRPr="005F120D">
        <w:rPr>
          <w:rFonts w:asciiTheme="minorHAnsi" w:hAnsiTheme="minorHAnsi" w:cstheme="minorHAnsi"/>
        </w:rPr>
        <w:t>ocument (see Table C5, page 151). It includes 15 Key Performance Indicators (KPIs), 12 Non-KPIs, 14 PSQLs, 67 sub-component indicators and describes the results against inputs and activities that need to be monitored and evaluated to support the PEDP3 planning process. The analyses of these three sets of indicators (KPIs, Non-KPIs and PSQLs) and related sub-components results and trend are the focus of the ASPR.</w:t>
      </w:r>
    </w:p>
    <w:p w:rsidR="00A804F7" w:rsidRPr="005F120D" w:rsidRDefault="00A804F7" w:rsidP="00C437AA">
      <w:pPr>
        <w:spacing w:line="276" w:lineRule="auto"/>
        <w:jc w:val="both"/>
        <w:rPr>
          <w:rFonts w:asciiTheme="minorHAnsi" w:hAnsiTheme="minorHAnsi" w:cstheme="minorHAnsi"/>
        </w:rPr>
      </w:pPr>
      <w:r w:rsidRPr="005F120D">
        <w:rPr>
          <w:rFonts w:asciiTheme="minorHAnsi" w:hAnsiTheme="minorHAnsi" w:cstheme="minorHAnsi"/>
        </w:rPr>
        <w:t xml:space="preserve">The principles, design and structure of </w:t>
      </w:r>
      <w:r w:rsidR="00C43B79" w:rsidRPr="005F120D">
        <w:rPr>
          <w:rFonts w:asciiTheme="minorHAnsi" w:hAnsiTheme="minorHAnsi" w:cstheme="minorHAnsi"/>
        </w:rPr>
        <w:t xml:space="preserve">the </w:t>
      </w:r>
      <w:r w:rsidRPr="005F120D">
        <w:rPr>
          <w:rFonts w:asciiTheme="minorHAnsi" w:hAnsiTheme="minorHAnsi" w:cstheme="minorHAnsi"/>
        </w:rPr>
        <w:t xml:space="preserve">PEDP3 strongly follow the RBM approach: “Program implementation will be carried out through a RBM Approach” (Revised </w:t>
      </w:r>
      <w:r w:rsidR="00962815" w:rsidRPr="005F120D">
        <w:rPr>
          <w:rFonts w:asciiTheme="minorHAnsi" w:hAnsiTheme="minorHAnsi" w:cstheme="minorHAnsi"/>
        </w:rPr>
        <w:t xml:space="preserve">PEDP3 Program </w:t>
      </w:r>
      <w:r w:rsidRPr="005F120D">
        <w:rPr>
          <w:rFonts w:asciiTheme="minorHAnsi" w:hAnsiTheme="minorHAnsi" w:cstheme="minorHAnsi"/>
        </w:rPr>
        <w:t>Document, page 21-41). PEDP3 identifies the Impact –</w:t>
      </w:r>
      <w:r w:rsidRPr="005F120D">
        <w:rPr>
          <w:rFonts w:asciiTheme="minorHAnsi" w:hAnsiTheme="minorHAnsi" w:cstheme="minorHAnsi"/>
          <w:i/>
          <w:color w:val="0033CC"/>
        </w:rPr>
        <w:t>‘Quality education for all our children’</w:t>
      </w:r>
      <w:r w:rsidRPr="005F120D">
        <w:rPr>
          <w:rFonts w:asciiTheme="minorHAnsi" w:hAnsiTheme="minorHAnsi" w:cstheme="minorHAnsi"/>
        </w:rPr>
        <w:t xml:space="preserve">– together with clearly defined results at the Outcome level summarized as – </w:t>
      </w:r>
      <w:r w:rsidRPr="005F120D">
        <w:rPr>
          <w:rFonts w:asciiTheme="minorHAnsi" w:hAnsiTheme="minorHAnsi" w:cstheme="minorHAnsi"/>
          <w:i/>
          <w:color w:val="0033CC"/>
        </w:rPr>
        <w:t>‘An efficient, inclusive and equitable primary education system delivering effective and relevant child-friendly learning to all Bangladesh’s children for pre-primary through Grade V primary’</w:t>
      </w:r>
      <w:r w:rsidRPr="005F120D">
        <w:rPr>
          <w:rFonts w:asciiTheme="minorHAnsi" w:hAnsiTheme="minorHAnsi" w:cstheme="minorHAnsi"/>
        </w:rPr>
        <w:t xml:space="preserve">. RBM also specifies </w:t>
      </w:r>
      <w:r w:rsidR="00533563" w:rsidRPr="005F120D">
        <w:rPr>
          <w:rFonts w:asciiTheme="minorHAnsi" w:hAnsiTheme="minorHAnsi" w:cstheme="minorHAnsi"/>
        </w:rPr>
        <w:t xml:space="preserve">the </w:t>
      </w:r>
      <w:r w:rsidRPr="005F120D">
        <w:rPr>
          <w:rFonts w:asciiTheme="minorHAnsi" w:hAnsiTheme="minorHAnsi" w:cstheme="minorHAnsi"/>
        </w:rPr>
        <w:t>outputs and outcomes indicators which are to be used to monitor progress. Therefore, it is clear that the RBM approach is not limited to a narrow M&amp;E function of the program; rather, it infuses the PEDP3 in its entirety.</w:t>
      </w:r>
    </w:p>
    <w:p w:rsidR="009835EE" w:rsidRPr="005F120D" w:rsidRDefault="00A804F7" w:rsidP="00C437AA">
      <w:pPr>
        <w:spacing w:line="276" w:lineRule="auto"/>
        <w:jc w:val="both"/>
        <w:rPr>
          <w:rFonts w:asciiTheme="minorHAnsi" w:hAnsiTheme="minorHAnsi" w:cstheme="minorHAnsi"/>
        </w:rPr>
      </w:pPr>
      <w:r w:rsidRPr="005F120D">
        <w:rPr>
          <w:rFonts w:asciiTheme="minorHAnsi" w:hAnsiTheme="minorHAnsi" w:cstheme="minorHAnsi"/>
        </w:rPr>
        <w:t>Outcome expectations and targets are set</w:t>
      </w:r>
      <w:r w:rsidR="00082E6E" w:rsidRPr="005F120D">
        <w:rPr>
          <w:rFonts w:asciiTheme="minorHAnsi" w:hAnsiTheme="minorHAnsi" w:cstheme="minorHAnsi"/>
        </w:rPr>
        <w:t>,</w:t>
      </w:r>
      <w:r w:rsidRPr="005F120D">
        <w:rPr>
          <w:rFonts w:asciiTheme="minorHAnsi" w:hAnsiTheme="minorHAnsi" w:cstheme="minorHAnsi"/>
        </w:rPr>
        <w:t xml:space="preserve"> not to establish absolute links between implementation and outcome performance, but to create a basis for monitoring, evaluation, analysis and planning that takes information and explanations into account in decision-making and policy dialogue. It is difficult to establish direct links between program outputs and outcomes because many of the factors at work in producing outcomes, are outside management control. But this does not lessen the importance of outcome indicators for analytical and planning purposes. It is through an investigation of actual outcome patterns that the planners can arrive at a reasonable understanding about what to do, i.e. what works and what does not work. The information and explanations given in the ASPR therefore contribute to policy dialogue and decision-making, and these in turn lead to any change-making to be considered for PEDP3 over its six-year life-cycle</w:t>
      </w:r>
      <w:r w:rsidR="009835EE" w:rsidRPr="005F120D">
        <w:rPr>
          <w:rFonts w:asciiTheme="minorHAnsi" w:hAnsiTheme="minorHAnsi" w:cstheme="minorHAnsi"/>
        </w:rPr>
        <w:t xml:space="preserve">. </w:t>
      </w:r>
    </w:p>
    <w:p w:rsidR="009835EE" w:rsidRPr="005F120D" w:rsidRDefault="009835EE" w:rsidP="00C437AA">
      <w:pPr>
        <w:pStyle w:val="Heading3NONUM"/>
        <w:spacing w:line="276" w:lineRule="auto"/>
        <w:rPr>
          <w:rFonts w:asciiTheme="minorHAnsi" w:hAnsiTheme="minorHAnsi" w:cstheme="minorHAnsi"/>
        </w:rPr>
      </w:pPr>
      <w:r w:rsidRPr="005F120D">
        <w:rPr>
          <w:rFonts w:asciiTheme="minorHAnsi" w:hAnsiTheme="minorHAnsi" w:cstheme="minorHAnsi"/>
        </w:rPr>
        <w:lastRenderedPageBreak/>
        <w:t>The ASPR is structured as follows:</w:t>
      </w:r>
    </w:p>
    <w:p w:rsidR="00D03C0C" w:rsidRPr="005F120D" w:rsidRDefault="00421771" w:rsidP="00C437AA">
      <w:pPr>
        <w:numPr>
          <w:ilvl w:val="0"/>
          <w:numId w:val="9"/>
        </w:numPr>
        <w:spacing w:after="0" w:line="276" w:lineRule="auto"/>
        <w:jc w:val="both"/>
        <w:rPr>
          <w:rFonts w:asciiTheme="minorHAnsi" w:hAnsiTheme="minorHAnsi" w:cstheme="minorHAnsi"/>
          <w:szCs w:val="22"/>
        </w:rPr>
      </w:pPr>
      <w:r w:rsidRPr="005F120D">
        <w:rPr>
          <w:rFonts w:asciiTheme="minorHAnsi" w:hAnsiTheme="minorHAnsi" w:cstheme="minorHAnsi"/>
          <w:b/>
          <w:szCs w:val="22"/>
        </w:rPr>
        <w:t xml:space="preserve">Chapter </w:t>
      </w:r>
      <w:r w:rsidR="00D03C0C" w:rsidRPr="005F120D">
        <w:rPr>
          <w:rFonts w:asciiTheme="minorHAnsi" w:hAnsiTheme="minorHAnsi" w:cstheme="minorHAnsi"/>
          <w:b/>
          <w:szCs w:val="22"/>
        </w:rPr>
        <w:t>1</w:t>
      </w:r>
      <w:r w:rsidR="00D03C0C" w:rsidRPr="005F120D">
        <w:rPr>
          <w:rFonts w:asciiTheme="minorHAnsi" w:hAnsiTheme="minorHAnsi" w:cstheme="minorHAnsi"/>
          <w:szCs w:val="22"/>
        </w:rPr>
        <w:t xml:space="preserve"> introduces the report, describes and explains the results-based approach in the context of PEDP3, including the results chain and identifies the sources of data used to prepare this report;</w:t>
      </w:r>
    </w:p>
    <w:p w:rsidR="00D03C0C" w:rsidRPr="005F120D" w:rsidRDefault="00D03C0C" w:rsidP="00C437AA">
      <w:pPr>
        <w:numPr>
          <w:ilvl w:val="0"/>
          <w:numId w:val="9"/>
        </w:numPr>
        <w:spacing w:after="0" w:line="276" w:lineRule="auto"/>
        <w:jc w:val="both"/>
        <w:rPr>
          <w:rFonts w:asciiTheme="minorHAnsi" w:hAnsiTheme="minorHAnsi" w:cstheme="minorHAnsi"/>
          <w:szCs w:val="22"/>
        </w:rPr>
      </w:pPr>
      <w:r w:rsidRPr="005F120D">
        <w:rPr>
          <w:rFonts w:asciiTheme="minorHAnsi" w:hAnsiTheme="minorHAnsi" w:cstheme="minorHAnsi"/>
          <w:b/>
          <w:szCs w:val="22"/>
        </w:rPr>
        <w:t>Chapter 2</w:t>
      </w:r>
      <w:r w:rsidRPr="005F120D">
        <w:rPr>
          <w:rFonts w:asciiTheme="minorHAnsi" w:hAnsiTheme="minorHAnsi" w:cstheme="minorHAnsi"/>
          <w:szCs w:val="22"/>
        </w:rPr>
        <w:t xml:space="preserve"> outlines the results expected by the PEDP3 Program Framework and presents three summary tables of actual results achieved between 2005, 2010-2015;</w:t>
      </w:r>
    </w:p>
    <w:p w:rsidR="00D03C0C" w:rsidRPr="005F120D" w:rsidRDefault="00D03C0C" w:rsidP="00C437AA">
      <w:pPr>
        <w:numPr>
          <w:ilvl w:val="0"/>
          <w:numId w:val="9"/>
        </w:numPr>
        <w:spacing w:after="0" w:line="276" w:lineRule="auto"/>
        <w:jc w:val="both"/>
        <w:rPr>
          <w:rFonts w:asciiTheme="minorHAnsi" w:hAnsiTheme="minorHAnsi" w:cstheme="minorHAnsi"/>
          <w:szCs w:val="22"/>
        </w:rPr>
      </w:pPr>
      <w:r w:rsidRPr="005F120D">
        <w:rPr>
          <w:rFonts w:asciiTheme="minorHAnsi" w:hAnsiTheme="minorHAnsi" w:cstheme="minorHAnsi"/>
          <w:b/>
          <w:szCs w:val="22"/>
        </w:rPr>
        <w:t>Chapter 3</w:t>
      </w:r>
      <w:r w:rsidRPr="005F120D">
        <w:rPr>
          <w:rFonts w:asciiTheme="minorHAnsi" w:hAnsiTheme="minorHAnsi" w:cstheme="minorHAnsi"/>
          <w:szCs w:val="22"/>
        </w:rPr>
        <w:t xml:space="preserve"> shows the evidence on medium-term performance (outcomes) from 2005, 2010 to 2015;</w:t>
      </w:r>
    </w:p>
    <w:p w:rsidR="00D03C0C" w:rsidRPr="005F120D" w:rsidRDefault="00D03C0C" w:rsidP="00C437AA">
      <w:pPr>
        <w:numPr>
          <w:ilvl w:val="0"/>
          <w:numId w:val="9"/>
        </w:numPr>
        <w:spacing w:after="0" w:line="276" w:lineRule="auto"/>
        <w:jc w:val="both"/>
        <w:rPr>
          <w:rFonts w:asciiTheme="minorHAnsi" w:hAnsiTheme="minorHAnsi" w:cstheme="minorHAnsi"/>
          <w:szCs w:val="22"/>
        </w:rPr>
      </w:pPr>
      <w:r w:rsidRPr="005F120D">
        <w:rPr>
          <w:rFonts w:asciiTheme="minorHAnsi" w:hAnsiTheme="minorHAnsi" w:cstheme="minorHAnsi"/>
          <w:b/>
          <w:szCs w:val="22"/>
        </w:rPr>
        <w:t>Chapter 4</w:t>
      </w:r>
      <w:r w:rsidRPr="005F120D">
        <w:rPr>
          <w:rFonts w:asciiTheme="minorHAnsi" w:hAnsiTheme="minorHAnsi" w:cstheme="minorHAnsi"/>
          <w:szCs w:val="22"/>
        </w:rPr>
        <w:t xml:space="preserve"> provides the evidence on short-term performance (outputs) from 2005, 2010 to 2015;</w:t>
      </w:r>
    </w:p>
    <w:p w:rsidR="00D03C0C" w:rsidRPr="005F120D" w:rsidRDefault="00D03C0C" w:rsidP="00C437AA">
      <w:pPr>
        <w:numPr>
          <w:ilvl w:val="0"/>
          <w:numId w:val="9"/>
        </w:numPr>
        <w:spacing w:after="0" w:line="276" w:lineRule="auto"/>
        <w:jc w:val="both"/>
        <w:rPr>
          <w:rFonts w:asciiTheme="minorHAnsi" w:hAnsiTheme="minorHAnsi" w:cstheme="minorHAnsi"/>
          <w:szCs w:val="22"/>
        </w:rPr>
      </w:pPr>
      <w:r w:rsidRPr="005F120D">
        <w:rPr>
          <w:rFonts w:asciiTheme="minorHAnsi" w:hAnsiTheme="minorHAnsi" w:cstheme="minorHAnsi"/>
          <w:b/>
          <w:szCs w:val="22"/>
        </w:rPr>
        <w:t>Chapter 5</w:t>
      </w:r>
      <w:r w:rsidR="006A3127" w:rsidRPr="005F120D">
        <w:rPr>
          <w:rFonts w:asciiTheme="minorHAnsi" w:hAnsiTheme="minorHAnsi" w:cstheme="minorHAnsi"/>
          <w:szCs w:val="22"/>
        </w:rPr>
        <w:t>analyse</w:t>
      </w:r>
      <w:r w:rsidR="002052AF" w:rsidRPr="005F120D">
        <w:rPr>
          <w:rFonts w:asciiTheme="minorHAnsi" w:hAnsiTheme="minorHAnsi" w:cstheme="minorHAnsi"/>
          <w:szCs w:val="22"/>
        </w:rPr>
        <w:t>s</w:t>
      </w:r>
      <w:r w:rsidR="00A60893" w:rsidRPr="005F120D">
        <w:rPr>
          <w:rFonts w:asciiTheme="minorHAnsi" w:hAnsiTheme="minorHAnsi" w:cstheme="minorHAnsi"/>
          <w:szCs w:val="22"/>
        </w:rPr>
        <w:t xml:space="preserve">of </w:t>
      </w:r>
      <w:r w:rsidR="006A3127" w:rsidRPr="005F120D">
        <w:rPr>
          <w:rFonts w:asciiTheme="minorHAnsi" w:hAnsiTheme="minorHAnsi" w:cstheme="minorHAnsi"/>
          <w:szCs w:val="22"/>
        </w:rPr>
        <w:t>sector a</w:t>
      </w:r>
      <w:r w:rsidRPr="005F120D">
        <w:rPr>
          <w:rFonts w:asciiTheme="minorHAnsi" w:hAnsiTheme="minorHAnsi" w:cstheme="minorHAnsi"/>
          <w:szCs w:val="22"/>
        </w:rPr>
        <w:t>ctivities (implementation)</w:t>
      </w:r>
    </w:p>
    <w:p w:rsidR="001A4BAD" w:rsidRPr="005F120D" w:rsidRDefault="001A4BAD" w:rsidP="00C437AA">
      <w:pPr>
        <w:numPr>
          <w:ilvl w:val="0"/>
          <w:numId w:val="9"/>
        </w:numPr>
        <w:spacing w:after="0" w:line="276" w:lineRule="auto"/>
        <w:jc w:val="both"/>
        <w:rPr>
          <w:rFonts w:asciiTheme="minorHAnsi" w:hAnsiTheme="minorHAnsi" w:cstheme="minorHAnsi"/>
          <w:szCs w:val="22"/>
        </w:rPr>
      </w:pPr>
      <w:r w:rsidRPr="005F120D">
        <w:rPr>
          <w:rFonts w:asciiTheme="minorHAnsi" w:hAnsiTheme="minorHAnsi" w:cstheme="minorHAnsi"/>
          <w:b/>
          <w:szCs w:val="22"/>
        </w:rPr>
        <w:t>Chapter 6</w:t>
      </w:r>
      <w:r w:rsidR="006A3127" w:rsidRPr="005F120D">
        <w:rPr>
          <w:rFonts w:asciiTheme="minorHAnsi" w:hAnsiTheme="minorHAnsi" w:cstheme="minorHAnsi"/>
          <w:szCs w:val="22"/>
        </w:rPr>
        <w:t>analyse</w:t>
      </w:r>
      <w:r w:rsidRPr="005F120D">
        <w:rPr>
          <w:rFonts w:asciiTheme="minorHAnsi" w:hAnsiTheme="minorHAnsi" w:cstheme="minorHAnsi"/>
          <w:szCs w:val="22"/>
        </w:rPr>
        <w:t xml:space="preserve">s </w:t>
      </w:r>
      <w:r w:rsidR="00A60893" w:rsidRPr="005F120D">
        <w:rPr>
          <w:rFonts w:asciiTheme="minorHAnsi" w:hAnsiTheme="minorHAnsi" w:cstheme="minorHAnsi"/>
          <w:szCs w:val="22"/>
        </w:rPr>
        <w:t xml:space="preserve">of </w:t>
      </w:r>
      <w:r w:rsidRPr="005F120D">
        <w:rPr>
          <w:rFonts w:asciiTheme="minorHAnsi" w:hAnsiTheme="minorHAnsi" w:cstheme="minorHAnsi"/>
          <w:szCs w:val="22"/>
        </w:rPr>
        <w:t>sector inputs (budget trend and implementation)</w:t>
      </w:r>
    </w:p>
    <w:p w:rsidR="00D03C0C" w:rsidRPr="005F120D" w:rsidRDefault="00D03C0C" w:rsidP="00C437AA">
      <w:pPr>
        <w:numPr>
          <w:ilvl w:val="0"/>
          <w:numId w:val="9"/>
        </w:numPr>
        <w:spacing w:after="0" w:line="276" w:lineRule="auto"/>
        <w:jc w:val="both"/>
        <w:rPr>
          <w:rFonts w:asciiTheme="minorHAnsi" w:hAnsiTheme="minorHAnsi" w:cstheme="minorHAnsi"/>
          <w:szCs w:val="22"/>
        </w:rPr>
      </w:pPr>
      <w:r w:rsidRPr="005F120D">
        <w:rPr>
          <w:rFonts w:asciiTheme="minorHAnsi" w:hAnsiTheme="minorHAnsi" w:cstheme="minorHAnsi"/>
          <w:b/>
          <w:szCs w:val="22"/>
        </w:rPr>
        <w:t xml:space="preserve">Chapter </w:t>
      </w:r>
      <w:r w:rsidR="001A4BAD" w:rsidRPr="005F120D">
        <w:rPr>
          <w:rFonts w:asciiTheme="minorHAnsi" w:hAnsiTheme="minorHAnsi" w:cstheme="minorHAnsi"/>
          <w:b/>
          <w:szCs w:val="22"/>
        </w:rPr>
        <w:t>7</w:t>
      </w:r>
      <w:r w:rsidRPr="005F120D">
        <w:rPr>
          <w:rFonts w:asciiTheme="minorHAnsi" w:hAnsiTheme="minorHAnsi" w:cstheme="minorHAnsi"/>
          <w:szCs w:val="22"/>
        </w:rPr>
        <w:t xml:space="preserve"> concludes the report</w:t>
      </w:r>
    </w:p>
    <w:p w:rsidR="00D03C0C" w:rsidRPr="005F120D" w:rsidRDefault="00D03C0C" w:rsidP="00C437AA">
      <w:pPr>
        <w:numPr>
          <w:ilvl w:val="0"/>
          <w:numId w:val="9"/>
        </w:numPr>
        <w:spacing w:after="0" w:line="276" w:lineRule="auto"/>
        <w:jc w:val="both"/>
        <w:rPr>
          <w:rFonts w:asciiTheme="minorHAnsi" w:hAnsiTheme="minorHAnsi" w:cstheme="minorHAnsi"/>
          <w:szCs w:val="22"/>
        </w:rPr>
      </w:pPr>
      <w:r w:rsidRPr="005F120D">
        <w:rPr>
          <w:rFonts w:asciiTheme="minorHAnsi" w:hAnsiTheme="minorHAnsi" w:cstheme="minorHAnsi"/>
          <w:b/>
          <w:szCs w:val="22"/>
        </w:rPr>
        <w:t xml:space="preserve">Chapter </w:t>
      </w:r>
      <w:r w:rsidR="001A4BAD" w:rsidRPr="005F120D">
        <w:rPr>
          <w:rFonts w:asciiTheme="minorHAnsi" w:hAnsiTheme="minorHAnsi" w:cstheme="minorHAnsi"/>
          <w:b/>
          <w:szCs w:val="22"/>
        </w:rPr>
        <w:t>8</w:t>
      </w:r>
      <w:r w:rsidRPr="005F120D">
        <w:rPr>
          <w:rFonts w:asciiTheme="minorHAnsi" w:hAnsiTheme="minorHAnsi" w:cstheme="minorHAnsi"/>
          <w:szCs w:val="22"/>
        </w:rPr>
        <w:t xml:space="preserve"> lists the references</w:t>
      </w:r>
    </w:p>
    <w:p w:rsidR="00914659" w:rsidRPr="005F120D" w:rsidRDefault="00D03C0C" w:rsidP="00C437AA">
      <w:pPr>
        <w:numPr>
          <w:ilvl w:val="0"/>
          <w:numId w:val="9"/>
        </w:numPr>
        <w:spacing w:after="0" w:line="276" w:lineRule="auto"/>
        <w:jc w:val="both"/>
        <w:rPr>
          <w:rFonts w:asciiTheme="minorHAnsi" w:hAnsiTheme="minorHAnsi" w:cstheme="minorHAnsi"/>
          <w:szCs w:val="22"/>
        </w:rPr>
      </w:pPr>
      <w:r w:rsidRPr="005F120D">
        <w:rPr>
          <w:rFonts w:asciiTheme="minorHAnsi" w:hAnsiTheme="minorHAnsi" w:cstheme="minorHAnsi"/>
          <w:b/>
          <w:szCs w:val="22"/>
        </w:rPr>
        <w:t xml:space="preserve">Chapter </w:t>
      </w:r>
      <w:r w:rsidR="001A4BAD" w:rsidRPr="005F120D">
        <w:rPr>
          <w:rFonts w:asciiTheme="minorHAnsi" w:hAnsiTheme="minorHAnsi" w:cstheme="minorHAnsi"/>
          <w:b/>
          <w:szCs w:val="22"/>
        </w:rPr>
        <w:t>9</w:t>
      </w:r>
      <w:r w:rsidRPr="005F120D">
        <w:rPr>
          <w:rFonts w:asciiTheme="minorHAnsi" w:hAnsiTheme="minorHAnsi" w:cstheme="minorHAnsi"/>
          <w:szCs w:val="22"/>
        </w:rPr>
        <w:t xml:space="preserve"> presents the annexure (Annex A to Annex I)</w:t>
      </w:r>
    </w:p>
    <w:p w:rsidR="00E524BA" w:rsidRPr="005F120D" w:rsidRDefault="00E524BA" w:rsidP="00C437AA">
      <w:pPr>
        <w:pStyle w:val="Heading2"/>
        <w:spacing w:line="276" w:lineRule="auto"/>
        <w:rPr>
          <w:rFonts w:cstheme="minorHAnsi"/>
        </w:rPr>
      </w:pPr>
      <w:bookmarkStart w:id="17" w:name="_Toc338856141"/>
      <w:bookmarkStart w:id="18" w:name="_Toc385242078"/>
      <w:bookmarkStart w:id="19" w:name="_Toc385245704"/>
      <w:bookmarkStart w:id="20" w:name="_Toc462837171"/>
      <w:r w:rsidRPr="005F120D">
        <w:rPr>
          <w:rFonts w:cstheme="minorHAnsi"/>
        </w:rPr>
        <w:t>Source</w:t>
      </w:r>
      <w:r w:rsidR="00A43950" w:rsidRPr="005F120D">
        <w:rPr>
          <w:rFonts w:cstheme="minorHAnsi"/>
        </w:rPr>
        <w:t>s</w:t>
      </w:r>
      <w:r w:rsidRPr="005F120D">
        <w:rPr>
          <w:rFonts w:cstheme="minorHAnsi"/>
        </w:rPr>
        <w:t xml:space="preserve"> of </w:t>
      </w:r>
      <w:r w:rsidR="00D748C3" w:rsidRPr="005F120D">
        <w:rPr>
          <w:rFonts w:cstheme="minorHAnsi"/>
        </w:rPr>
        <w:t>D</w:t>
      </w:r>
      <w:r w:rsidR="00AC5F61" w:rsidRPr="005F120D">
        <w:rPr>
          <w:rFonts w:cstheme="minorHAnsi"/>
        </w:rPr>
        <w:t>ata</w:t>
      </w:r>
      <w:bookmarkStart w:id="21" w:name="_Toc338839586"/>
      <w:bookmarkEnd w:id="17"/>
      <w:bookmarkEnd w:id="18"/>
      <w:bookmarkEnd w:id="19"/>
      <w:bookmarkEnd w:id="20"/>
    </w:p>
    <w:p w:rsidR="00421771" w:rsidRPr="005F120D" w:rsidRDefault="00421771" w:rsidP="00C437AA">
      <w:pPr>
        <w:spacing w:after="0" w:line="276" w:lineRule="auto"/>
        <w:jc w:val="both"/>
        <w:rPr>
          <w:rFonts w:asciiTheme="minorHAnsi" w:hAnsiTheme="minorHAnsi" w:cstheme="minorHAnsi"/>
          <w:szCs w:val="22"/>
        </w:rPr>
      </w:pPr>
      <w:r w:rsidRPr="005F120D">
        <w:rPr>
          <w:rFonts w:asciiTheme="minorHAnsi" w:hAnsiTheme="minorHAnsi" w:cstheme="minorHAnsi"/>
          <w:szCs w:val="22"/>
        </w:rPr>
        <w:t>The primary data sources of the ASPR are the different years’ Annual Primary School Census (APSC), the National Student Assessment (NSA), the Primary Education Completion Examination (PECE) result, the Household Income and Expenditure Survey (HIES), the Education Household Survey (EHS), reports from DPE line divisions and other relevant sources of data such as Bangladesh Bureau of Educational Information &amp; Statistics (BANBEIS), the Multiple Indicator Cluster Survey (MICS) and the Education Watch survey produced by the Campaign for Popular Education (CAMPE).</w:t>
      </w:r>
    </w:p>
    <w:p w:rsidR="009835EE" w:rsidRPr="005F120D" w:rsidRDefault="00421771" w:rsidP="00C437AA">
      <w:pPr>
        <w:spacing w:before="240" w:line="276" w:lineRule="auto"/>
        <w:jc w:val="both"/>
        <w:rPr>
          <w:rFonts w:asciiTheme="minorHAnsi" w:hAnsiTheme="minorHAnsi" w:cstheme="minorHAnsi"/>
          <w:szCs w:val="22"/>
        </w:rPr>
      </w:pPr>
      <w:r w:rsidRPr="005F120D">
        <w:rPr>
          <w:rFonts w:asciiTheme="minorHAnsi" w:hAnsiTheme="minorHAnsi" w:cstheme="minorHAnsi"/>
          <w:szCs w:val="22"/>
        </w:rPr>
        <w:t>The above mentioned sources are separated into two main categories: (1) administrative data or records; and (2) census/surveys/studies</w:t>
      </w:r>
      <w:r w:rsidR="009835EE" w:rsidRPr="005F120D">
        <w:rPr>
          <w:rFonts w:asciiTheme="minorHAnsi" w:hAnsiTheme="minorHAnsi" w:cstheme="minorHAnsi"/>
          <w:szCs w:val="22"/>
        </w:rPr>
        <w:t>.</w:t>
      </w:r>
    </w:p>
    <w:p w:rsidR="009835EE" w:rsidRPr="005F120D" w:rsidRDefault="009835EE" w:rsidP="00C437AA">
      <w:pPr>
        <w:pStyle w:val="Heading3NONUM"/>
        <w:spacing w:line="276" w:lineRule="auto"/>
        <w:rPr>
          <w:rFonts w:asciiTheme="minorHAnsi" w:hAnsiTheme="minorHAnsi" w:cstheme="minorHAnsi"/>
          <w:szCs w:val="22"/>
        </w:rPr>
      </w:pPr>
      <w:bookmarkStart w:id="22" w:name="_Toc338839494"/>
      <w:bookmarkStart w:id="23" w:name="_Toc338856143"/>
      <w:r w:rsidRPr="005F120D">
        <w:rPr>
          <w:rFonts w:asciiTheme="minorHAnsi" w:hAnsiTheme="minorHAnsi" w:cstheme="minorHAnsi"/>
          <w:szCs w:val="22"/>
        </w:rPr>
        <w:t xml:space="preserve">Administrative </w:t>
      </w:r>
      <w:r w:rsidR="00421771" w:rsidRPr="005F120D">
        <w:rPr>
          <w:rFonts w:asciiTheme="minorHAnsi" w:hAnsiTheme="minorHAnsi" w:cstheme="minorHAnsi"/>
          <w:szCs w:val="22"/>
        </w:rPr>
        <w:t>D</w:t>
      </w:r>
      <w:r w:rsidRPr="005F120D">
        <w:rPr>
          <w:rFonts w:asciiTheme="minorHAnsi" w:hAnsiTheme="minorHAnsi" w:cstheme="minorHAnsi"/>
          <w:szCs w:val="22"/>
        </w:rPr>
        <w:t>ata</w:t>
      </w:r>
      <w:bookmarkEnd w:id="22"/>
      <w:bookmarkEnd w:id="23"/>
    </w:p>
    <w:p w:rsidR="00421771" w:rsidRPr="005F120D" w:rsidRDefault="00421771" w:rsidP="00C437AA">
      <w:pPr>
        <w:pStyle w:val="BodyText1"/>
        <w:tabs>
          <w:tab w:val="clear" w:pos="720"/>
          <w:tab w:val="left" w:pos="1080"/>
        </w:tabs>
        <w:spacing w:before="240" w:after="0"/>
        <w:jc w:val="both"/>
        <w:rPr>
          <w:rFonts w:asciiTheme="minorHAnsi" w:hAnsiTheme="minorHAnsi" w:cstheme="minorHAnsi"/>
          <w:b w:val="0"/>
        </w:rPr>
      </w:pPr>
      <w:bookmarkStart w:id="24" w:name="_Toc338839495"/>
      <w:bookmarkStart w:id="25" w:name="_Toc338856144"/>
      <w:r w:rsidRPr="005F120D">
        <w:rPr>
          <w:rFonts w:asciiTheme="minorHAnsi" w:hAnsiTheme="minorHAnsi" w:cstheme="minorHAnsi"/>
          <w:b w:val="0"/>
        </w:rPr>
        <w:t>The following are the Administrative data:</w:t>
      </w:r>
    </w:p>
    <w:p w:rsidR="00421771" w:rsidRPr="005F120D" w:rsidRDefault="00421771" w:rsidP="00C437AA">
      <w:pPr>
        <w:pStyle w:val="BodyText1"/>
        <w:tabs>
          <w:tab w:val="clear" w:pos="720"/>
          <w:tab w:val="left" w:pos="1080"/>
        </w:tabs>
        <w:spacing w:before="240" w:after="0"/>
        <w:jc w:val="both"/>
        <w:rPr>
          <w:rFonts w:asciiTheme="minorHAnsi" w:hAnsiTheme="minorHAnsi" w:cstheme="minorHAnsi"/>
          <w:b w:val="0"/>
        </w:rPr>
      </w:pPr>
      <w:r w:rsidRPr="005F120D">
        <w:rPr>
          <w:rFonts w:asciiTheme="minorHAnsi" w:hAnsiTheme="minorHAnsi" w:cstheme="minorHAnsi"/>
          <w:color w:val="3333CC"/>
        </w:rPr>
        <w:t>Annual Primary School Census (APSC):</w:t>
      </w:r>
      <w:r w:rsidRPr="005F120D">
        <w:rPr>
          <w:rFonts w:asciiTheme="minorHAnsi" w:hAnsiTheme="minorHAnsi" w:cstheme="minorHAnsi"/>
          <w:b w:val="0"/>
        </w:rPr>
        <w:t xml:space="preserve"> The APSC is an indispensable and reliable source of information for the greater part of the primary education system. There is, however, a need to improve the process so that results are timely and widely available. The APSC has been in full operation since 2002, when it received technical support from the ESTEEM project of the Cambridge Education Committee (CEC) supported by the </w:t>
      </w:r>
      <w:r w:rsidR="002052AF" w:rsidRPr="005F120D">
        <w:rPr>
          <w:rFonts w:asciiTheme="minorHAnsi" w:hAnsiTheme="minorHAnsi" w:cstheme="minorHAnsi"/>
          <w:b w:val="0"/>
        </w:rPr>
        <w:t>UK Department for International Development (</w:t>
      </w:r>
      <w:r w:rsidRPr="005F120D">
        <w:rPr>
          <w:rFonts w:asciiTheme="minorHAnsi" w:hAnsiTheme="minorHAnsi" w:cstheme="minorHAnsi"/>
          <w:b w:val="0"/>
        </w:rPr>
        <w:t>DFID</w:t>
      </w:r>
      <w:r w:rsidR="002052AF" w:rsidRPr="005F120D">
        <w:rPr>
          <w:rFonts w:asciiTheme="minorHAnsi" w:hAnsiTheme="minorHAnsi" w:cstheme="minorHAnsi"/>
          <w:b w:val="0"/>
        </w:rPr>
        <w:t xml:space="preserve">). Only </w:t>
      </w:r>
      <w:r w:rsidR="00E63B2E" w:rsidRPr="005F120D">
        <w:rPr>
          <w:rFonts w:asciiTheme="minorHAnsi" w:hAnsiTheme="minorHAnsi" w:cstheme="minorHAnsi"/>
          <w:b w:val="0"/>
        </w:rPr>
        <w:t xml:space="preserve">4 types of </w:t>
      </w:r>
      <w:r w:rsidR="002052AF" w:rsidRPr="005F120D">
        <w:rPr>
          <w:rFonts w:asciiTheme="minorHAnsi" w:hAnsiTheme="minorHAnsi" w:cstheme="minorHAnsi"/>
          <w:b w:val="0"/>
        </w:rPr>
        <w:t>school</w:t>
      </w:r>
      <w:r w:rsidR="00E63B2E" w:rsidRPr="005F120D">
        <w:rPr>
          <w:rFonts w:asciiTheme="minorHAnsi" w:hAnsiTheme="minorHAnsi" w:cstheme="minorHAnsi"/>
          <w:b w:val="0"/>
        </w:rPr>
        <w:t xml:space="preserve">s i.e. </w:t>
      </w:r>
      <w:r w:rsidR="002052AF" w:rsidRPr="005F120D">
        <w:rPr>
          <w:rFonts w:asciiTheme="minorHAnsi" w:hAnsiTheme="minorHAnsi" w:cstheme="minorHAnsi"/>
          <w:b w:val="0"/>
        </w:rPr>
        <w:t>G</w:t>
      </w:r>
      <w:r w:rsidR="00E63B2E" w:rsidRPr="005F120D">
        <w:rPr>
          <w:rFonts w:asciiTheme="minorHAnsi" w:hAnsiTheme="minorHAnsi" w:cstheme="minorHAnsi"/>
          <w:b w:val="0"/>
        </w:rPr>
        <w:t xml:space="preserve">overnment </w:t>
      </w:r>
      <w:r w:rsidR="002052AF" w:rsidRPr="005F120D">
        <w:rPr>
          <w:rFonts w:asciiTheme="minorHAnsi" w:hAnsiTheme="minorHAnsi" w:cstheme="minorHAnsi"/>
          <w:b w:val="0"/>
        </w:rPr>
        <w:t>P</w:t>
      </w:r>
      <w:r w:rsidR="00E63B2E" w:rsidRPr="005F120D">
        <w:rPr>
          <w:rFonts w:asciiTheme="minorHAnsi" w:hAnsiTheme="minorHAnsi" w:cstheme="minorHAnsi"/>
          <w:b w:val="0"/>
        </w:rPr>
        <w:t xml:space="preserve">rimary </w:t>
      </w:r>
      <w:r w:rsidR="002052AF" w:rsidRPr="005F120D">
        <w:rPr>
          <w:rFonts w:asciiTheme="minorHAnsi" w:hAnsiTheme="minorHAnsi" w:cstheme="minorHAnsi"/>
          <w:b w:val="0"/>
        </w:rPr>
        <w:t>S</w:t>
      </w:r>
      <w:r w:rsidR="00E63B2E" w:rsidRPr="005F120D">
        <w:rPr>
          <w:rFonts w:asciiTheme="minorHAnsi" w:hAnsiTheme="minorHAnsi" w:cstheme="minorHAnsi"/>
          <w:b w:val="0"/>
        </w:rPr>
        <w:t>chool (GPS)</w:t>
      </w:r>
      <w:r w:rsidR="002052AF" w:rsidRPr="005F120D">
        <w:rPr>
          <w:rFonts w:asciiTheme="minorHAnsi" w:hAnsiTheme="minorHAnsi" w:cstheme="minorHAnsi"/>
          <w:b w:val="0"/>
        </w:rPr>
        <w:t>,</w:t>
      </w:r>
      <w:r w:rsidR="00E63B2E" w:rsidRPr="005F120D">
        <w:rPr>
          <w:rFonts w:asciiTheme="minorHAnsi" w:hAnsiTheme="minorHAnsi" w:cstheme="minorHAnsi"/>
          <w:b w:val="0"/>
        </w:rPr>
        <w:t xml:space="preserve"> Newly Nationalized Primary School (</w:t>
      </w:r>
      <w:r w:rsidR="002052AF" w:rsidRPr="005F120D">
        <w:rPr>
          <w:rFonts w:asciiTheme="minorHAnsi" w:hAnsiTheme="minorHAnsi" w:cstheme="minorHAnsi"/>
          <w:b w:val="0"/>
        </w:rPr>
        <w:t>NNPS</w:t>
      </w:r>
      <w:r w:rsidR="00E63B2E" w:rsidRPr="005F120D">
        <w:rPr>
          <w:rFonts w:asciiTheme="minorHAnsi" w:hAnsiTheme="minorHAnsi" w:cstheme="minorHAnsi"/>
          <w:b w:val="0"/>
        </w:rPr>
        <w:t>)</w:t>
      </w:r>
      <w:r w:rsidRPr="005F120D">
        <w:rPr>
          <w:rFonts w:asciiTheme="minorHAnsi" w:hAnsiTheme="minorHAnsi" w:cstheme="minorHAnsi"/>
          <w:b w:val="0"/>
        </w:rPr>
        <w:t xml:space="preserve">, </w:t>
      </w:r>
      <w:r w:rsidR="00E63B2E" w:rsidRPr="005F120D">
        <w:rPr>
          <w:rFonts w:asciiTheme="minorHAnsi" w:hAnsiTheme="minorHAnsi" w:cstheme="minorHAnsi"/>
          <w:b w:val="0"/>
        </w:rPr>
        <w:t xml:space="preserve">PTI </w:t>
      </w:r>
      <w:r w:rsidR="002052AF" w:rsidRPr="005F120D">
        <w:rPr>
          <w:rFonts w:asciiTheme="minorHAnsi" w:hAnsiTheme="minorHAnsi" w:cstheme="minorHAnsi"/>
          <w:b w:val="0"/>
        </w:rPr>
        <w:t>Experimental</w:t>
      </w:r>
      <w:r w:rsidRPr="005F120D">
        <w:rPr>
          <w:rFonts w:asciiTheme="minorHAnsi" w:hAnsiTheme="minorHAnsi" w:cstheme="minorHAnsi"/>
          <w:b w:val="0"/>
        </w:rPr>
        <w:t xml:space="preserve"> and </w:t>
      </w:r>
      <w:r w:rsidR="002052AF" w:rsidRPr="005F120D">
        <w:rPr>
          <w:rFonts w:asciiTheme="minorHAnsi" w:hAnsiTheme="minorHAnsi" w:cstheme="minorHAnsi"/>
          <w:b w:val="0"/>
        </w:rPr>
        <w:t>Community</w:t>
      </w:r>
      <w:r w:rsidR="00C4591B">
        <w:rPr>
          <w:rFonts w:asciiTheme="minorHAnsi" w:hAnsiTheme="minorHAnsi" w:cstheme="minorHAnsi"/>
          <w:b w:val="0"/>
        </w:rPr>
        <w:t xml:space="preserve"> </w:t>
      </w:r>
      <w:r w:rsidR="004607C3" w:rsidRPr="005F120D">
        <w:rPr>
          <w:rFonts w:asciiTheme="minorHAnsi" w:hAnsiTheme="minorHAnsi" w:cstheme="minorHAnsi"/>
          <w:b w:val="0"/>
        </w:rPr>
        <w:t xml:space="preserve">schools </w:t>
      </w:r>
      <w:r w:rsidRPr="005F120D">
        <w:rPr>
          <w:rFonts w:asciiTheme="minorHAnsi" w:hAnsiTheme="minorHAnsi" w:cstheme="minorHAnsi"/>
          <w:b w:val="0"/>
        </w:rPr>
        <w:t>(</w:t>
      </w:r>
      <w:r w:rsidR="00E63B2E" w:rsidRPr="005F120D">
        <w:rPr>
          <w:rFonts w:asciiTheme="minorHAnsi" w:hAnsiTheme="minorHAnsi" w:cstheme="minorHAnsi"/>
          <w:b w:val="0"/>
        </w:rPr>
        <w:t>see Table 1.1)</w:t>
      </w:r>
      <w:r w:rsidR="00C4591B">
        <w:rPr>
          <w:rFonts w:asciiTheme="minorHAnsi" w:hAnsiTheme="minorHAnsi" w:cstheme="minorHAnsi"/>
          <w:b w:val="0"/>
        </w:rPr>
        <w:t xml:space="preserve"> </w:t>
      </w:r>
      <w:r w:rsidR="004607C3" w:rsidRPr="005F120D">
        <w:rPr>
          <w:rFonts w:asciiTheme="minorHAnsi" w:hAnsiTheme="minorHAnsi" w:cstheme="minorHAnsi"/>
          <w:b w:val="0"/>
        </w:rPr>
        <w:t>were</w:t>
      </w:r>
      <w:r w:rsidRPr="005F120D">
        <w:rPr>
          <w:rFonts w:asciiTheme="minorHAnsi" w:hAnsiTheme="minorHAnsi" w:cstheme="minorHAnsi"/>
          <w:b w:val="0"/>
        </w:rPr>
        <w:t xml:space="preserve"> followed syste</w:t>
      </w:r>
      <w:r w:rsidR="004607C3" w:rsidRPr="005F120D">
        <w:rPr>
          <w:rFonts w:asciiTheme="minorHAnsi" w:hAnsiTheme="minorHAnsi" w:cstheme="minorHAnsi"/>
          <w:b w:val="0"/>
        </w:rPr>
        <w:t xml:space="preserve">matically between 2005 and 2009. </w:t>
      </w:r>
      <w:r w:rsidR="00A60893" w:rsidRPr="005F120D">
        <w:rPr>
          <w:rFonts w:asciiTheme="minorHAnsi" w:hAnsiTheme="minorHAnsi" w:cstheme="minorHAnsi"/>
          <w:b w:val="0"/>
        </w:rPr>
        <w:t>Since 2010 D</w:t>
      </w:r>
      <w:r w:rsidR="00872B33" w:rsidRPr="005F120D">
        <w:rPr>
          <w:rFonts w:asciiTheme="minorHAnsi" w:hAnsiTheme="minorHAnsi" w:cstheme="minorHAnsi"/>
          <w:b w:val="0"/>
        </w:rPr>
        <w:t xml:space="preserve">PE </w:t>
      </w:r>
      <w:r w:rsidR="00A60893" w:rsidRPr="005F120D">
        <w:rPr>
          <w:rFonts w:asciiTheme="minorHAnsi" w:hAnsiTheme="minorHAnsi" w:cstheme="minorHAnsi"/>
          <w:b w:val="0"/>
        </w:rPr>
        <w:t xml:space="preserve">has </w:t>
      </w:r>
      <w:r w:rsidR="00872B33" w:rsidRPr="005F120D">
        <w:rPr>
          <w:rFonts w:asciiTheme="minorHAnsi" w:hAnsiTheme="minorHAnsi" w:cstheme="minorHAnsi"/>
          <w:b w:val="0"/>
        </w:rPr>
        <w:t>managed e</w:t>
      </w:r>
      <w:r w:rsidR="004607C3" w:rsidRPr="005F120D">
        <w:rPr>
          <w:rFonts w:asciiTheme="minorHAnsi" w:hAnsiTheme="minorHAnsi" w:cstheme="minorHAnsi"/>
          <w:b w:val="0"/>
        </w:rPr>
        <w:t>ight</w:t>
      </w:r>
      <w:r w:rsidR="00E63B2E" w:rsidRPr="005F120D">
        <w:rPr>
          <w:rFonts w:asciiTheme="minorHAnsi" w:hAnsiTheme="minorHAnsi" w:cstheme="minorHAnsi"/>
          <w:b w:val="0"/>
        </w:rPr>
        <w:t xml:space="preserve"> types of schools i.e. GPS, NNPS, Registered Non-government Primary School (RNGPS), Non-Registered Non-government Primary School (NRNGPS), PTI Experimental, Community</w:t>
      </w:r>
      <w:r w:rsidR="00F32E3C" w:rsidRPr="005F120D">
        <w:rPr>
          <w:rFonts w:asciiTheme="minorHAnsi" w:hAnsiTheme="minorHAnsi" w:cstheme="minorHAnsi"/>
          <w:b w:val="0"/>
        </w:rPr>
        <w:t>, Shishu Kollyan and Anandya School manage</w:t>
      </w:r>
      <w:r w:rsidR="004607C3" w:rsidRPr="005F120D">
        <w:rPr>
          <w:rFonts w:asciiTheme="minorHAnsi" w:hAnsiTheme="minorHAnsi" w:cstheme="minorHAnsi"/>
          <w:b w:val="0"/>
        </w:rPr>
        <w:t>d</w:t>
      </w:r>
      <w:r w:rsidR="00F32E3C" w:rsidRPr="005F120D">
        <w:rPr>
          <w:rFonts w:asciiTheme="minorHAnsi" w:hAnsiTheme="minorHAnsi" w:cstheme="minorHAnsi"/>
          <w:b w:val="0"/>
        </w:rPr>
        <w:t xml:space="preserve"> by </w:t>
      </w:r>
      <w:r w:rsidR="00A60893" w:rsidRPr="005F120D">
        <w:rPr>
          <w:rFonts w:asciiTheme="minorHAnsi" w:hAnsiTheme="minorHAnsi" w:cstheme="minorHAnsi"/>
          <w:b w:val="0"/>
        </w:rPr>
        <w:t xml:space="preserve">the </w:t>
      </w:r>
      <w:r w:rsidR="004607C3" w:rsidRPr="005F120D">
        <w:rPr>
          <w:rFonts w:asciiTheme="minorHAnsi" w:hAnsiTheme="minorHAnsi" w:cstheme="minorHAnsi"/>
          <w:b w:val="0"/>
        </w:rPr>
        <w:t>‘</w:t>
      </w:r>
      <w:r w:rsidR="00F32E3C" w:rsidRPr="005F120D">
        <w:rPr>
          <w:rFonts w:asciiTheme="minorHAnsi" w:hAnsiTheme="minorHAnsi" w:cstheme="minorHAnsi"/>
          <w:b w:val="0"/>
        </w:rPr>
        <w:t>Reaching Out of School Children</w:t>
      </w:r>
      <w:r w:rsidR="004607C3" w:rsidRPr="005F120D">
        <w:rPr>
          <w:rFonts w:asciiTheme="minorHAnsi" w:hAnsiTheme="minorHAnsi" w:cstheme="minorHAnsi"/>
          <w:b w:val="0"/>
        </w:rPr>
        <w:t>’</w:t>
      </w:r>
      <w:r w:rsidR="00F32E3C" w:rsidRPr="005F120D">
        <w:rPr>
          <w:rFonts w:asciiTheme="minorHAnsi" w:hAnsiTheme="minorHAnsi" w:cstheme="minorHAnsi"/>
          <w:b w:val="0"/>
        </w:rPr>
        <w:t xml:space="preserve"> (ROSC) Project</w:t>
      </w:r>
      <w:r w:rsidRPr="005F120D">
        <w:rPr>
          <w:rFonts w:asciiTheme="minorHAnsi" w:hAnsiTheme="minorHAnsi" w:cstheme="minorHAnsi"/>
          <w:b w:val="0"/>
        </w:rPr>
        <w:t>.</w:t>
      </w:r>
      <w:r w:rsidR="00C4591B">
        <w:rPr>
          <w:rFonts w:asciiTheme="minorHAnsi" w:hAnsiTheme="minorHAnsi" w:cstheme="minorHAnsi"/>
          <w:b w:val="0"/>
        </w:rPr>
        <w:t xml:space="preserve"> </w:t>
      </w:r>
      <w:r w:rsidRPr="005F120D">
        <w:rPr>
          <w:rFonts w:asciiTheme="minorHAnsi" w:hAnsiTheme="minorHAnsi" w:cstheme="minorHAnsi"/>
          <w:b w:val="0"/>
        </w:rPr>
        <w:t>The questionnaire,</w:t>
      </w:r>
      <w:r w:rsidR="00744487" w:rsidRPr="005F120D">
        <w:rPr>
          <w:rFonts w:asciiTheme="minorHAnsi" w:hAnsiTheme="minorHAnsi" w:cstheme="minorHAnsi"/>
          <w:b w:val="0"/>
        </w:rPr>
        <w:t xml:space="preserve"> management of data, the analyse</w:t>
      </w:r>
      <w:r w:rsidRPr="005F120D">
        <w:rPr>
          <w:rFonts w:asciiTheme="minorHAnsi" w:hAnsiTheme="minorHAnsi" w:cstheme="minorHAnsi"/>
          <w:b w:val="0"/>
        </w:rPr>
        <w:t xml:space="preserve">s and interpretation of data have improved gradually and expanded to meet PEDP3 </w:t>
      </w:r>
      <w:r w:rsidRPr="005F120D">
        <w:rPr>
          <w:rFonts w:asciiTheme="minorHAnsi" w:hAnsiTheme="minorHAnsi" w:cstheme="minorHAnsi"/>
          <w:b w:val="0"/>
        </w:rPr>
        <w:lastRenderedPageBreak/>
        <w:t xml:space="preserve">requirements. APSC school coverage has also expanded in recent </w:t>
      </w:r>
      <w:r w:rsidR="00744487" w:rsidRPr="005F120D">
        <w:rPr>
          <w:rFonts w:asciiTheme="minorHAnsi" w:hAnsiTheme="minorHAnsi" w:cstheme="minorHAnsi"/>
          <w:b w:val="0"/>
        </w:rPr>
        <w:t>years,</w:t>
      </w:r>
      <w:r w:rsidRPr="005F120D">
        <w:rPr>
          <w:rFonts w:asciiTheme="minorHAnsi" w:hAnsiTheme="minorHAnsi" w:cstheme="minorHAnsi"/>
          <w:b w:val="0"/>
        </w:rPr>
        <w:t xml:space="preserve"> covering 25 different types of schools in 2015 (see Table 1.1). </w:t>
      </w:r>
      <w:r w:rsidR="00744487" w:rsidRPr="005F120D">
        <w:rPr>
          <w:rFonts w:asciiTheme="minorHAnsi" w:hAnsiTheme="minorHAnsi" w:cstheme="minorHAnsi"/>
          <w:b w:val="0"/>
        </w:rPr>
        <w:t>However, t</w:t>
      </w:r>
      <w:r w:rsidRPr="005F120D">
        <w:rPr>
          <w:rFonts w:asciiTheme="minorHAnsi" w:hAnsiTheme="minorHAnsi" w:cstheme="minorHAnsi"/>
          <w:b w:val="0"/>
        </w:rPr>
        <w:t xml:space="preserve">he APSC mainly focuses on eight types of DPE managed school namely: </w:t>
      </w:r>
      <w:r w:rsidR="00FC1FB3" w:rsidRPr="005F120D">
        <w:rPr>
          <w:rFonts w:asciiTheme="minorHAnsi" w:hAnsiTheme="minorHAnsi" w:cstheme="minorHAnsi"/>
          <w:b w:val="0"/>
        </w:rPr>
        <w:t xml:space="preserve">(i) Government Primary Schools </w:t>
      </w:r>
      <w:r w:rsidRPr="005F120D">
        <w:rPr>
          <w:rFonts w:asciiTheme="minorHAnsi" w:hAnsiTheme="minorHAnsi" w:cstheme="minorHAnsi"/>
          <w:b w:val="0"/>
        </w:rPr>
        <w:t>GPS); (ii) Newly Nationalized Primary Schools (NNPS) for</w:t>
      </w:r>
      <w:r w:rsidR="00FC1FB3" w:rsidRPr="005F120D">
        <w:rPr>
          <w:rFonts w:asciiTheme="minorHAnsi" w:hAnsiTheme="minorHAnsi" w:cstheme="minorHAnsi"/>
          <w:b w:val="0"/>
        </w:rPr>
        <w:t xml:space="preserve">mer </w:t>
      </w:r>
      <w:r w:rsidRPr="005F120D">
        <w:rPr>
          <w:rFonts w:asciiTheme="minorHAnsi" w:hAnsiTheme="minorHAnsi" w:cstheme="minorHAnsi"/>
          <w:b w:val="0"/>
        </w:rPr>
        <w:t>R</w:t>
      </w:r>
      <w:r w:rsidR="00FC1FB3" w:rsidRPr="005F120D">
        <w:rPr>
          <w:rFonts w:asciiTheme="minorHAnsi" w:hAnsiTheme="minorHAnsi" w:cstheme="minorHAnsi"/>
          <w:b w:val="0"/>
        </w:rPr>
        <w:t xml:space="preserve">egistered </w:t>
      </w:r>
      <w:r w:rsidRPr="005F120D">
        <w:rPr>
          <w:rFonts w:asciiTheme="minorHAnsi" w:hAnsiTheme="minorHAnsi" w:cstheme="minorHAnsi"/>
          <w:b w:val="0"/>
        </w:rPr>
        <w:t>N</w:t>
      </w:r>
      <w:r w:rsidR="00FC1FB3" w:rsidRPr="005F120D">
        <w:rPr>
          <w:rFonts w:asciiTheme="minorHAnsi" w:hAnsiTheme="minorHAnsi" w:cstheme="minorHAnsi"/>
          <w:b w:val="0"/>
        </w:rPr>
        <w:t>on-government Primary Schools (RNGPS); (iii) Registered Non-government Primary Schools (RNGPS)</w:t>
      </w:r>
      <w:r w:rsidR="00897905" w:rsidRPr="005F120D">
        <w:rPr>
          <w:rFonts w:asciiTheme="minorHAnsi" w:hAnsiTheme="minorHAnsi" w:cstheme="minorHAnsi"/>
          <w:b w:val="0"/>
        </w:rPr>
        <w:t>;</w:t>
      </w:r>
      <w:r w:rsidRPr="005F120D">
        <w:rPr>
          <w:rFonts w:asciiTheme="minorHAnsi" w:hAnsiTheme="minorHAnsi" w:cstheme="minorHAnsi"/>
          <w:b w:val="0"/>
        </w:rPr>
        <w:t xml:space="preserve"> (iv). </w:t>
      </w:r>
      <w:r w:rsidR="00897905" w:rsidRPr="005F120D">
        <w:rPr>
          <w:rFonts w:asciiTheme="minorHAnsi" w:hAnsiTheme="minorHAnsi" w:cstheme="minorHAnsi"/>
          <w:b w:val="0"/>
        </w:rPr>
        <w:t>Non-Registered Non-government Primary School (NRNGPS)</w:t>
      </w:r>
      <w:r w:rsidRPr="005F120D">
        <w:rPr>
          <w:rFonts w:asciiTheme="minorHAnsi" w:hAnsiTheme="minorHAnsi" w:cstheme="minorHAnsi"/>
          <w:b w:val="0"/>
        </w:rPr>
        <w:t xml:space="preserve">; (v) </w:t>
      </w:r>
      <w:r w:rsidR="00897905" w:rsidRPr="005F120D">
        <w:rPr>
          <w:rFonts w:asciiTheme="minorHAnsi" w:hAnsiTheme="minorHAnsi" w:cstheme="minorHAnsi"/>
          <w:b w:val="0"/>
        </w:rPr>
        <w:t xml:space="preserve">PTI </w:t>
      </w:r>
      <w:r w:rsidRPr="005F120D">
        <w:rPr>
          <w:rFonts w:asciiTheme="minorHAnsi" w:hAnsiTheme="minorHAnsi" w:cstheme="minorHAnsi"/>
          <w:b w:val="0"/>
        </w:rPr>
        <w:t>Experimental Schools; (vi) Community Schools; (vii) ROSC/Anandya Schools; and (viii) Shishu Kollyan Schools (see Table 1.1).</w:t>
      </w:r>
    </w:p>
    <w:p w:rsidR="00421771" w:rsidRPr="005F120D" w:rsidRDefault="00421771" w:rsidP="00C437AA">
      <w:pPr>
        <w:pStyle w:val="BodyText1"/>
        <w:tabs>
          <w:tab w:val="clear" w:pos="720"/>
          <w:tab w:val="left" w:pos="1080"/>
        </w:tabs>
        <w:spacing w:before="240" w:after="0"/>
        <w:jc w:val="both"/>
        <w:rPr>
          <w:rFonts w:asciiTheme="minorHAnsi" w:hAnsiTheme="minorHAnsi" w:cstheme="minorHAnsi"/>
          <w:b w:val="0"/>
        </w:rPr>
      </w:pPr>
      <w:r w:rsidRPr="005F120D">
        <w:rPr>
          <w:rFonts w:asciiTheme="minorHAnsi" w:hAnsiTheme="minorHAnsi" w:cstheme="minorHAnsi"/>
          <w:color w:val="3333CC"/>
        </w:rPr>
        <w:t>The APSC questionnaire:</w:t>
      </w:r>
      <w:r w:rsidR="00C4591B">
        <w:rPr>
          <w:rFonts w:asciiTheme="minorHAnsi" w:hAnsiTheme="minorHAnsi" w:cstheme="minorHAnsi"/>
          <w:color w:val="3333CC"/>
        </w:rPr>
        <w:t xml:space="preserve"> </w:t>
      </w:r>
      <w:r w:rsidRPr="005F120D">
        <w:rPr>
          <w:rFonts w:asciiTheme="minorHAnsi" w:hAnsiTheme="minorHAnsi" w:cstheme="minorHAnsi"/>
          <w:b w:val="0"/>
        </w:rPr>
        <w:t xml:space="preserve">The questionnaire contains several sections. </w:t>
      </w:r>
      <w:r w:rsidR="00505452" w:rsidRPr="005F120D">
        <w:rPr>
          <w:rFonts w:asciiTheme="minorHAnsi" w:hAnsiTheme="minorHAnsi" w:cstheme="minorHAnsi"/>
          <w:b w:val="0"/>
        </w:rPr>
        <w:t>Essentially, i</w:t>
      </w:r>
      <w:r w:rsidR="0053473C" w:rsidRPr="005F120D">
        <w:rPr>
          <w:rFonts w:asciiTheme="minorHAnsi" w:hAnsiTheme="minorHAnsi" w:cstheme="minorHAnsi"/>
          <w:b w:val="0"/>
        </w:rPr>
        <w:t>t</w:t>
      </w:r>
      <w:r w:rsidRPr="005F120D">
        <w:rPr>
          <w:rFonts w:asciiTheme="minorHAnsi" w:hAnsiTheme="minorHAnsi" w:cstheme="minorHAnsi"/>
          <w:b w:val="0"/>
        </w:rPr>
        <w:t xml:space="preserve"> collects basic information on the school – EMIS code, </w:t>
      </w:r>
      <w:r w:rsidR="0053473C" w:rsidRPr="005F120D">
        <w:rPr>
          <w:rFonts w:asciiTheme="minorHAnsi" w:hAnsiTheme="minorHAnsi" w:cstheme="minorHAnsi"/>
          <w:b w:val="0"/>
        </w:rPr>
        <w:t xml:space="preserve">school </w:t>
      </w:r>
      <w:r w:rsidRPr="005F120D">
        <w:rPr>
          <w:rFonts w:asciiTheme="minorHAnsi" w:hAnsiTheme="minorHAnsi" w:cstheme="minorHAnsi"/>
          <w:b w:val="0"/>
        </w:rPr>
        <w:t xml:space="preserve">type, name, address, establishment year, location, shift, play ground, electricity connection, the School Learning Improvement Plan (SLIP), geographical location of school etc. </w:t>
      </w:r>
    </w:p>
    <w:p w:rsidR="00421771" w:rsidRPr="005F120D" w:rsidRDefault="00421771" w:rsidP="00166692">
      <w:pPr>
        <w:pStyle w:val="BodyText1"/>
        <w:numPr>
          <w:ilvl w:val="0"/>
          <w:numId w:val="90"/>
        </w:numPr>
        <w:tabs>
          <w:tab w:val="clear" w:pos="720"/>
          <w:tab w:val="left" w:pos="1080"/>
        </w:tabs>
        <w:spacing w:before="120" w:after="120"/>
        <w:jc w:val="both"/>
        <w:rPr>
          <w:rFonts w:asciiTheme="minorHAnsi" w:hAnsiTheme="minorHAnsi" w:cstheme="minorHAnsi"/>
          <w:b w:val="0"/>
        </w:rPr>
      </w:pPr>
      <w:r w:rsidRPr="005F120D">
        <w:rPr>
          <w:rFonts w:asciiTheme="minorHAnsi" w:hAnsiTheme="minorHAnsi" w:cstheme="minorHAnsi"/>
          <w:b w:val="0"/>
        </w:rPr>
        <w:t xml:space="preserve">Section 1 </w:t>
      </w:r>
      <w:r w:rsidR="00897905" w:rsidRPr="005F120D">
        <w:rPr>
          <w:rFonts w:asciiTheme="minorHAnsi" w:hAnsiTheme="minorHAnsi" w:cstheme="minorHAnsi"/>
          <w:b w:val="0"/>
        </w:rPr>
        <w:t>request</w:t>
      </w:r>
      <w:r w:rsidRPr="005F120D">
        <w:rPr>
          <w:rFonts w:asciiTheme="minorHAnsi" w:hAnsiTheme="minorHAnsi" w:cstheme="minorHAnsi"/>
          <w:b w:val="0"/>
        </w:rPr>
        <w:t xml:space="preserve">s student </w:t>
      </w:r>
      <w:r w:rsidR="00505452" w:rsidRPr="005F120D">
        <w:rPr>
          <w:rFonts w:asciiTheme="minorHAnsi" w:hAnsiTheme="minorHAnsi" w:cstheme="minorHAnsi"/>
          <w:b w:val="0"/>
        </w:rPr>
        <w:t>information such as enrolment at</w:t>
      </w:r>
      <w:r w:rsidRPr="005F120D">
        <w:rPr>
          <w:rFonts w:asciiTheme="minorHAnsi" w:hAnsiTheme="minorHAnsi" w:cstheme="minorHAnsi"/>
          <w:b w:val="0"/>
        </w:rPr>
        <w:t xml:space="preserve"> pre-primary education, grade wise enrolment, enrolment of special need</w:t>
      </w:r>
      <w:r w:rsidR="00505452" w:rsidRPr="005F120D">
        <w:rPr>
          <w:rFonts w:asciiTheme="minorHAnsi" w:hAnsiTheme="minorHAnsi" w:cstheme="minorHAnsi"/>
          <w:b w:val="0"/>
        </w:rPr>
        <w:t>s</w:t>
      </w:r>
      <w:r w:rsidRPr="005F120D">
        <w:rPr>
          <w:rFonts w:asciiTheme="minorHAnsi" w:hAnsiTheme="minorHAnsi" w:cstheme="minorHAnsi"/>
          <w:b w:val="0"/>
        </w:rPr>
        <w:t xml:space="preserve"> children, stipend beneficiaries, school feeding beneficiaries, attendance, repeater a</w:t>
      </w:r>
      <w:r w:rsidR="00505452" w:rsidRPr="005F120D">
        <w:rPr>
          <w:rFonts w:asciiTheme="minorHAnsi" w:hAnsiTheme="minorHAnsi" w:cstheme="minorHAnsi"/>
          <w:b w:val="0"/>
        </w:rPr>
        <w:t>nd age specific numbers,</w:t>
      </w:r>
      <w:r w:rsidRPr="005F120D">
        <w:rPr>
          <w:rFonts w:asciiTheme="minorHAnsi" w:hAnsiTheme="minorHAnsi" w:cstheme="minorHAnsi"/>
          <w:b w:val="0"/>
        </w:rPr>
        <w:t xml:space="preserve"> etc. </w:t>
      </w:r>
    </w:p>
    <w:p w:rsidR="00421771" w:rsidRPr="005F120D" w:rsidRDefault="00421771" w:rsidP="00166692">
      <w:pPr>
        <w:pStyle w:val="BodyText1"/>
        <w:numPr>
          <w:ilvl w:val="0"/>
          <w:numId w:val="90"/>
        </w:numPr>
        <w:tabs>
          <w:tab w:val="clear" w:pos="720"/>
          <w:tab w:val="left" w:pos="1080"/>
        </w:tabs>
        <w:spacing w:before="120" w:after="120"/>
        <w:jc w:val="both"/>
        <w:rPr>
          <w:rFonts w:asciiTheme="minorHAnsi" w:hAnsiTheme="minorHAnsi" w:cstheme="minorHAnsi"/>
          <w:b w:val="0"/>
        </w:rPr>
      </w:pPr>
      <w:r w:rsidRPr="005F120D">
        <w:rPr>
          <w:rFonts w:asciiTheme="minorHAnsi" w:hAnsiTheme="minorHAnsi" w:cstheme="minorHAnsi"/>
          <w:b w:val="0"/>
        </w:rPr>
        <w:t xml:space="preserve">Section 2 </w:t>
      </w:r>
      <w:r w:rsidR="00897905" w:rsidRPr="005F120D">
        <w:rPr>
          <w:rFonts w:asciiTheme="minorHAnsi" w:hAnsiTheme="minorHAnsi" w:cstheme="minorHAnsi"/>
          <w:b w:val="0"/>
        </w:rPr>
        <w:t>requests</w:t>
      </w:r>
      <w:r w:rsidRPr="005F120D">
        <w:rPr>
          <w:rFonts w:asciiTheme="minorHAnsi" w:hAnsiTheme="minorHAnsi" w:cstheme="minorHAnsi"/>
          <w:b w:val="0"/>
        </w:rPr>
        <w:t xml:space="preserve"> teacher information such as educational qualifications, pre-service and in-service training.</w:t>
      </w:r>
    </w:p>
    <w:p w:rsidR="00421771" w:rsidRPr="005F120D" w:rsidRDefault="00421771" w:rsidP="00166692">
      <w:pPr>
        <w:pStyle w:val="BodyText1"/>
        <w:numPr>
          <w:ilvl w:val="0"/>
          <w:numId w:val="90"/>
        </w:numPr>
        <w:tabs>
          <w:tab w:val="clear" w:pos="720"/>
          <w:tab w:val="left" w:pos="1080"/>
        </w:tabs>
        <w:spacing w:before="120" w:after="120"/>
        <w:jc w:val="both"/>
        <w:rPr>
          <w:rFonts w:asciiTheme="minorHAnsi" w:hAnsiTheme="minorHAnsi" w:cstheme="minorHAnsi"/>
          <w:b w:val="0"/>
        </w:rPr>
      </w:pPr>
      <w:r w:rsidRPr="005F120D">
        <w:rPr>
          <w:rFonts w:asciiTheme="minorHAnsi" w:hAnsiTheme="minorHAnsi" w:cstheme="minorHAnsi"/>
          <w:b w:val="0"/>
        </w:rPr>
        <w:t xml:space="preserve">Section 3 </w:t>
      </w:r>
      <w:r w:rsidR="00897905" w:rsidRPr="005F120D">
        <w:rPr>
          <w:rFonts w:asciiTheme="minorHAnsi" w:hAnsiTheme="minorHAnsi" w:cstheme="minorHAnsi"/>
          <w:b w:val="0"/>
        </w:rPr>
        <w:t>requests</w:t>
      </w:r>
      <w:r w:rsidR="00B3002B" w:rsidRPr="005F120D">
        <w:rPr>
          <w:rFonts w:asciiTheme="minorHAnsi" w:hAnsiTheme="minorHAnsi" w:cstheme="minorHAnsi"/>
          <w:b w:val="0"/>
        </w:rPr>
        <w:t xml:space="preserve"> School M</w:t>
      </w:r>
      <w:r w:rsidRPr="005F120D">
        <w:rPr>
          <w:rFonts w:asciiTheme="minorHAnsi" w:hAnsiTheme="minorHAnsi" w:cstheme="minorHAnsi"/>
          <w:b w:val="0"/>
        </w:rPr>
        <w:t xml:space="preserve">anagement </w:t>
      </w:r>
      <w:r w:rsidR="00B3002B" w:rsidRPr="005F120D">
        <w:rPr>
          <w:rFonts w:asciiTheme="minorHAnsi" w:hAnsiTheme="minorHAnsi" w:cstheme="minorHAnsi"/>
          <w:b w:val="0"/>
        </w:rPr>
        <w:t>C</w:t>
      </w:r>
      <w:r w:rsidRPr="005F120D">
        <w:rPr>
          <w:rFonts w:asciiTheme="minorHAnsi" w:hAnsiTheme="minorHAnsi" w:cstheme="minorHAnsi"/>
          <w:b w:val="0"/>
        </w:rPr>
        <w:t xml:space="preserve">ommittee related information. </w:t>
      </w:r>
    </w:p>
    <w:p w:rsidR="00421771" w:rsidRPr="005F120D" w:rsidRDefault="00421771" w:rsidP="00166692">
      <w:pPr>
        <w:pStyle w:val="BodyText1"/>
        <w:numPr>
          <w:ilvl w:val="0"/>
          <w:numId w:val="90"/>
        </w:numPr>
        <w:tabs>
          <w:tab w:val="clear" w:pos="720"/>
          <w:tab w:val="left" w:pos="1080"/>
        </w:tabs>
        <w:spacing w:before="120" w:after="120"/>
        <w:jc w:val="both"/>
        <w:rPr>
          <w:rFonts w:asciiTheme="minorHAnsi" w:hAnsiTheme="minorHAnsi" w:cstheme="minorHAnsi"/>
          <w:b w:val="0"/>
        </w:rPr>
      </w:pPr>
      <w:r w:rsidRPr="005F120D">
        <w:rPr>
          <w:rFonts w:asciiTheme="minorHAnsi" w:hAnsiTheme="minorHAnsi" w:cstheme="minorHAnsi"/>
          <w:b w:val="0"/>
        </w:rPr>
        <w:t xml:space="preserve">Section 4 </w:t>
      </w:r>
      <w:r w:rsidR="00897905" w:rsidRPr="005F120D">
        <w:rPr>
          <w:rFonts w:asciiTheme="minorHAnsi" w:hAnsiTheme="minorHAnsi" w:cstheme="minorHAnsi"/>
          <w:b w:val="0"/>
        </w:rPr>
        <w:t>requests</w:t>
      </w:r>
      <w:r w:rsidRPr="005F120D">
        <w:rPr>
          <w:rFonts w:asciiTheme="minorHAnsi" w:hAnsiTheme="minorHAnsi" w:cstheme="minorHAnsi"/>
          <w:b w:val="0"/>
        </w:rPr>
        <w:t xml:space="preserve"> school physical infrastructure related information such as number of school building, rooms, classrooms, furniture etc. </w:t>
      </w:r>
    </w:p>
    <w:p w:rsidR="00421771" w:rsidRPr="005F120D" w:rsidRDefault="00421771" w:rsidP="00166692">
      <w:pPr>
        <w:pStyle w:val="BodyText1"/>
        <w:numPr>
          <w:ilvl w:val="0"/>
          <w:numId w:val="90"/>
        </w:numPr>
        <w:tabs>
          <w:tab w:val="clear" w:pos="720"/>
          <w:tab w:val="left" w:pos="1080"/>
        </w:tabs>
        <w:spacing w:before="120" w:after="120"/>
        <w:jc w:val="both"/>
        <w:rPr>
          <w:rFonts w:asciiTheme="minorHAnsi" w:hAnsiTheme="minorHAnsi" w:cstheme="minorHAnsi"/>
          <w:b w:val="0"/>
        </w:rPr>
      </w:pPr>
      <w:r w:rsidRPr="005F120D">
        <w:rPr>
          <w:rFonts w:asciiTheme="minorHAnsi" w:hAnsiTheme="minorHAnsi" w:cstheme="minorHAnsi"/>
          <w:b w:val="0"/>
        </w:rPr>
        <w:t xml:space="preserve">Section 5 </w:t>
      </w:r>
      <w:r w:rsidR="00897905" w:rsidRPr="005F120D">
        <w:rPr>
          <w:rFonts w:asciiTheme="minorHAnsi" w:hAnsiTheme="minorHAnsi" w:cstheme="minorHAnsi"/>
          <w:b w:val="0"/>
        </w:rPr>
        <w:t>requests</w:t>
      </w:r>
      <w:r w:rsidRPr="005F120D">
        <w:rPr>
          <w:rFonts w:asciiTheme="minorHAnsi" w:hAnsiTheme="minorHAnsi" w:cstheme="minorHAnsi"/>
          <w:b w:val="0"/>
        </w:rPr>
        <w:t xml:space="preserve"> water and sanitation related information such as functioning water source</w:t>
      </w:r>
      <w:r w:rsidR="00B3002B" w:rsidRPr="005F120D">
        <w:rPr>
          <w:rFonts w:asciiTheme="minorHAnsi" w:hAnsiTheme="minorHAnsi" w:cstheme="minorHAnsi"/>
          <w:b w:val="0"/>
        </w:rPr>
        <w:t>s</w:t>
      </w:r>
      <w:r w:rsidRPr="005F120D">
        <w:rPr>
          <w:rFonts w:asciiTheme="minorHAnsi" w:hAnsiTheme="minorHAnsi" w:cstheme="minorHAnsi"/>
          <w:b w:val="0"/>
        </w:rPr>
        <w:t xml:space="preserve">, toilets etc. </w:t>
      </w:r>
    </w:p>
    <w:p w:rsidR="00421771" w:rsidRPr="005F120D" w:rsidRDefault="00421771" w:rsidP="00166692">
      <w:pPr>
        <w:pStyle w:val="BodyText1"/>
        <w:numPr>
          <w:ilvl w:val="0"/>
          <w:numId w:val="90"/>
        </w:numPr>
        <w:tabs>
          <w:tab w:val="clear" w:pos="720"/>
          <w:tab w:val="left" w:pos="1080"/>
        </w:tabs>
        <w:spacing w:before="120" w:after="120"/>
        <w:jc w:val="both"/>
        <w:rPr>
          <w:rFonts w:asciiTheme="minorHAnsi" w:hAnsiTheme="minorHAnsi" w:cstheme="minorHAnsi"/>
          <w:b w:val="0"/>
        </w:rPr>
      </w:pPr>
      <w:r w:rsidRPr="005F120D">
        <w:rPr>
          <w:rFonts w:asciiTheme="minorHAnsi" w:hAnsiTheme="minorHAnsi" w:cstheme="minorHAnsi"/>
          <w:b w:val="0"/>
        </w:rPr>
        <w:t xml:space="preserve">Section 6 </w:t>
      </w:r>
      <w:r w:rsidR="00897905" w:rsidRPr="005F120D">
        <w:rPr>
          <w:rFonts w:asciiTheme="minorHAnsi" w:hAnsiTheme="minorHAnsi" w:cstheme="minorHAnsi"/>
          <w:b w:val="0"/>
        </w:rPr>
        <w:t>requests</w:t>
      </w:r>
      <w:r w:rsidRPr="005F120D">
        <w:rPr>
          <w:rFonts w:asciiTheme="minorHAnsi" w:hAnsiTheme="minorHAnsi" w:cstheme="minorHAnsi"/>
          <w:b w:val="0"/>
        </w:rPr>
        <w:t xml:space="preserve"> SLIP related information, specifically as to SLIP preparation, implementation, and contribution collected from the local and government grant.</w:t>
      </w:r>
    </w:p>
    <w:p w:rsidR="00421771" w:rsidRPr="005F120D" w:rsidRDefault="00421771" w:rsidP="00166692">
      <w:pPr>
        <w:pStyle w:val="BodyText1"/>
        <w:numPr>
          <w:ilvl w:val="0"/>
          <w:numId w:val="90"/>
        </w:numPr>
        <w:tabs>
          <w:tab w:val="clear" w:pos="720"/>
          <w:tab w:val="left" w:pos="1080"/>
        </w:tabs>
        <w:spacing w:before="120" w:after="120"/>
        <w:jc w:val="both"/>
        <w:rPr>
          <w:rFonts w:asciiTheme="minorHAnsi" w:hAnsiTheme="minorHAnsi" w:cstheme="minorHAnsi"/>
          <w:b w:val="0"/>
        </w:rPr>
      </w:pPr>
      <w:r w:rsidRPr="005F120D">
        <w:rPr>
          <w:rFonts w:asciiTheme="minorHAnsi" w:hAnsiTheme="minorHAnsi" w:cstheme="minorHAnsi"/>
          <w:b w:val="0"/>
        </w:rPr>
        <w:t xml:space="preserve">Section 7 </w:t>
      </w:r>
      <w:r w:rsidR="00897905" w:rsidRPr="005F120D">
        <w:rPr>
          <w:rFonts w:asciiTheme="minorHAnsi" w:hAnsiTheme="minorHAnsi" w:cstheme="minorHAnsi"/>
          <w:b w:val="0"/>
        </w:rPr>
        <w:t>requests</w:t>
      </w:r>
      <w:r w:rsidRPr="005F120D">
        <w:rPr>
          <w:rFonts w:asciiTheme="minorHAnsi" w:hAnsiTheme="minorHAnsi" w:cstheme="minorHAnsi"/>
          <w:b w:val="0"/>
        </w:rPr>
        <w:t xml:space="preserve"> ICT related information. </w:t>
      </w:r>
    </w:p>
    <w:p w:rsidR="00421771" w:rsidRPr="005F120D" w:rsidRDefault="00421771" w:rsidP="00166692">
      <w:pPr>
        <w:pStyle w:val="BodyText1"/>
        <w:numPr>
          <w:ilvl w:val="0"/>
          <w:numId w:val="90"/>
        </w:numPr>
        <w:tabs>
          <w:tab w:val="clear" w:pos="720"/>
          <w:tab w:val="left" w:pos="1080"/>
        </w:tabs>
        <w:spacing w:before="120" w:after="120"/>
        <w:jc w:val="both"/>
        <w:rPr>
          <w:rFonts w:asciiTheme="minorHAnsi" w:hAnsiTheme="minorHAnsi" w:cstheme="minorHAnsi"/>
          <w:b w:val="0"/>
        </w:rPr>
      </w:pPr>
      <w:r w:rsidRPr="005F120D">
        <w:rPr>
          <w:rFonts w:asciiTheme="minorHAnsi" w:hAnsiTheme="minorHAnsi" w:cstheme="minorHAnsi"/>
          <w:b w:val="0"/>
        </w:rPr>
        <w:t xml:space="preserve">Final section 8 </w:t>
      </w:r>
      <w:r w:rsidR="00897905" w:rsidRPr="005F120D">
        <w:rPr>
          <w:rFonts w:asciiTheme="minorHAnsi" w:hAnsiTheme="minorHAnsi" w:cstheme="minorHAnsi"/>
          <w:b w:val="0"/>
        </w:rPr>
        <w:t>requests</w:t>
      </w:r>
      <w:r w:rsidRPr="005F120D">
        <w:rPr>
          <w:rFonts w:asciiTheme="minorHAnsi" w:hAnsiTheme="minorHAnsi" w:cstheme="minorHAnsi"/>
          <w:b w:val="0"/>
        </w:rPr>
        <w:t xml:space="preserve"> textbooks and TLM related information. </w:t>
      </w:r>
    </w:p>
    <w:p w:rsidR="00421771" w:rsidRPr="005F120D" w:rsidRDefault="00421771" w:rsidP="00C437AA">
      <w:pPr>
        <w:pStyle w:val="BodyText1"/>
        <w:tabs>
          <w:tab w:val="clear" w:pos="720"/>
          <w:tab w:val="left" w:pos="1080"/>
        </w:tabs>
        <w:spacing w:before="240"/>
        <w:jc w:val="both"/>
        <w:rPr>
          <w:rFonts w:asciiTheme="minorHAnsi" w:hAnsiTheme="minorHAnsi" w:cstheme="minorHAnsi"/>
          <w:b w:val="0"/>
        </w:rPr>
      </w:pPr>
      <w:r w:rsidRPr="005F120D">
        <w:rPr>
          <w:rFonts w:asciiTheme="minorHAnsi" w:hAnsiTheme="minorHAnsi" w:cstheme="minorHAnsi"/>
          <w:b w:val="0"/>
        </w:rPr>
        <w:t xml:space="preserve">The M&amp;E division distributes the questionnaire </w:t>
      </w:r>
      <w:r w:rsidR="00EB27A2">
        <w:rPr>
          <w:rFonts w:asciiTheme="minorHAnsi" w:hAnsiTheme="minorHAnsi" w:cstheme="minorHAnsi"/>
          <w:b w:val="0"/>
        </w:rPr>
        <w:t>including instructions</w:t>
      </w:r>
      <w:r w:rsidRPr="005F120D">
        <w:rPr>
          <w:rFonts w:asciiTheme="minorHAnsi" w:hAnsiTheme="minorHAnsi" w:cstheme="minorHAnsi"/>
          <w:b w:val="0"/>
        </w:rPr>
        <w:t xml:space="preserve"> (in Bangla) to all the schools through DPEOs, UEOs and AUEOs during December for data collection in January of the following year. The structure </w:t>
      </w:r>
      <w:r w:rsidR="007E570F">
        <w:rPr>
          <w:rFonts w:asciiTheme="minorHAnsi" w:hAnsiTheme="minorHAnsi" w:cstheme="minorHAnsi"/>
          <w:b w:val="0"/>
        </w:rPr>
        <w:t>of the questionnaire has</w:t>
      </w:r>
      <w:r w:rsidRPr="005F120D">
        <w:rPr>
          <w:rFonts w:asciiTheme="minorHAnsi" w:hAnsiTheme="minorHAnsi" w:cstheme="minorHAnsi"/>
          <w:b w:val="0"/>
        </w:rPr>
        <w:t xml:space="preserve"> been</w:t>
      </w:r>
      <w:r w:rsidR="007E570F">
        <w:rPr>
          <w:rFonts w:asciiTheme="minorHAnsi" w:hAnsiTheme="minorHAnsi" w:cstheme="minorHAnsi"/>
          <w:b w:val="0"/>
        </w:rPr>
        <w:t xml:space="preserve"> updating</w:t>
      </w:r>
      <w:r w:rsidR="00C4591B">
        <w:rPr>
          <w:rFonts w:asciiTheme="minorHAnsi" w:hAnsiTheme="minorHAnsi" w:cstheme="minorHAnsi"/>
          <w:b w:val="0"/>
        </w:rPr>
        <w:t xml:space="preserve"> </w:t>
      </w:r>
      <w:r w:rsidR="007E570F">
        <w:rPr>
          <w:rFonts w:asciiTheme="minorHAnsi" w:hAnsiTheme="minorHAnsi" w:cstheme="minorHAnsi"/>
          <w:b w:val="0"/>
        </w:rPr>
        <w:t>regularly since 2005</w:t>
      </w:r>
      <w:r w:rsidRPr="005F120D">
        <w:rPr>
          <w:rFonts w:asciiTheme="minorHAnsi" w:hAnsiTheme="minorHAnsi" w:cstheme="minorHAnsi"/>
          <w:b w:val="0"/>
        </w:rPr>
        <w:t>.</w:t>
      </w:r>
    </w:p>
    <w:p w:rsidR="00421771" w:rsidRPr="005F120D" w:rsidRDefault="00421771" w:rsidP="00C437AA">
      <w:pPr>
        <w:pStyle w:val="BodyText1"/>
        <w:tabs>
          <w:tab w:val="clear" w:pos="720"/>
          <w:tab w:val="left" w:pos="1080"/>
        </w:tabs>
        <w:spacing w:before="240" w:after="0"/>
        <w:jc w:val="both"/>
        <w:rPr>
          <w:rFonts w:asciiTheme="minorHAnsi" w:hAnsiTheme="minorHAnsi" w:cstheme="minorHAnsi"/>
          <w:b w:val="0"/>
          <w:color w:val="000000"/>
        </w:rPr>
      </w:pPr>
      <w:r w:rsidRPr="005F120D">
        <w:rPr>
          <w:rFonts w:asciiTheme="minorHAnsi" w:hAnsiTheme="minorHAnsi" w:cstheme="minorHAnsi"/>
          <w:b w:val="0"/>
        </w:rPr>
        <w:t>Since 2009,</w:t>
      </w:r>
      <w:r w:rsidRPr="005F120D">
        <w:rPr>
          <w:rFonts w:asciiTheme="minorHAnsi" w:hAnsiTheme="minorHAnsi" w:cstheme="minorHAnsi"/>
          <w:b w:val="0"/>
          <w:color w:val="000000"/>
        </w:rPr>
        <w:t xml:space="preserve">a new output of the school census is the Upazila Education Performance Profile (UEPP). </w:t>
      </w:r>
      <w:r w:rsidR="00BD1071" w:rsidRPr="005F120D">
        <w:rPr>
          <w:rFonts w:asciiTheme="minorHAnsi" w:hAnsiTheme="minorHAnsi" w:cstheme="minorHAnsi"/>
          <w:b w:val="0"/>
        </w:rPr>
        <w:t xml:space="preserve">The UEPP is a </w:t>
      </w:r>
      <w:r w:rsidR="004302A6" w:rsidRPr="005F120D">
        <w:rPr>
          <w:rFonts w:asciiTheme="minorHAnsi" w:hAnsiTheme="minorHAnsi" w:cstheme="minorHAnsi"/>
          <w:b w:val="0"/>
        </w:rPr>
        <w:t>one-page</w:t>
      </w:r>
      <w:r w:rsidR="00C4591B">
        <w:rPr>
          <w:rFonts w:asciiTheme="minorHAnsi" w:hAnsiTheme="minorHAnsi" w:cstheme="minorHAnsi"/>
          <w:b w:val="0"/>
        </w:rPr>
        <w:t xml:space="preserve"> </w:t>
      </w:r>
      <w:r w:rsidR="0053473C" w:rsidRPr="005F120D">
        <w:rPr>
          <w:rFonts w:asciiTheme="minorHAnsi" w:hAnsiTheme="minorHAnsi" w:cstheme="minorHAnsi"/>
          <w:b w:val="0"/>
        </w:rPr>
        <w:t xml:space="preserve">individual </w:t>
      </w:r>
      <w:r w:rsidR="000B71DE" w:rsidRPr="005F120D">
        <w:rPr>
          <w:rFonts w:asciiTheme="minorHAnsi" w:hAnsiTheme="minorHAnsi" w:cstheme="minorHAnsi"/>
          <w:b w:val="0"/>
        </w:rPr>
        <w:t xml:space="preserve">upazila </w:t>
      </w:r>
      <w:r w:rsidR="004302A6" w:rsidRPr="005F120D">
        <w:rPr>
          <w:rFonts w:asciiTheme="minorHAnsi" w:hAnsiTheme="minorHAnsi" w:cstheme="minorHAnsi"/>
          <w:b w:val="0"/>
        </w:rPr>
        <w:t>snapshot</w:t>
      </w:r>
      <w:r w:rsidR="00B3002B" w:rsidRPr="005F120D">
        <w:rPr>
          <w:rFonts w:asciiTheme="minorHAnsi" w:hAnsiTheme="minorHAnsi" w:cstheme="minorHAnsi"/>
          <w:b w:val="0"/>
        </w:rPr>
        <w:t xml:space="preserve"> based on</w:t>
      </w:r>
      <w:r w:rsidR="00C4591B">
        <w:rPr>
          <w:rFonts w:asciiTheme="minorHAnsi" w:hAnsiTheme="minorHAnsi" w:cstheme="minorHAnsi"/>
          <w:b w:val="0"/>
        </w:rPr>
        <w:t xml:space="preserve"> </w:t>
      </w:r>
      <w:r w:rsidR="00BD1071" w:rsidRPr="005F120D">
        <w:rPr>
          <w:rFonts w:asciiTheme="minorHAnsi" w:hAnsiTheme="minorHAnsi" w:cstheme="minorHAnsi"/>
          <w:b w:val="0"/>
        </w:rPr>
        <w:t>APSC data</w:t>
      </w:r>
      <w:r w:rsidR="00B3002B" w:rsidRPr="005F120D">
        <w:rPr>
          <w:rFonts w:asciiTheme="minorHAnsi" w:hAnsiTheme="minorHAnsi" w:cstheme="minorHAnsi"/>
          <w:b w:val="0"/>
        </w:rPr>
        <w:t>,</w:t>
      </w:r>
      <w:r w:rsidR="00BD1071" w:rsidRPr="005F120D">
        <w:rPr>
          <w:rFonts w:asciiTheme="minorHAnsi" w:hAnsiTheme="minorHAnsi" w:cstheme="minorHAnsi"/>
          <w:b w:val="0"/>
        </w:rPr>
        <w:t xml:space="preserve"> segregated </w:t>
      </w:r>
      <w:r w:rsidR="00E73D07" w:rsidRPr="005F120D">
        <w:rPr>
          <w:rFonts w:asciiTheme="minorHAnsi" w:hAnsiTheme="minorHAnsi" w:cstheme="minorHAnsi"/>
          <w:b w:val="0"/>
        </w:rPr>
        <w:t>by</w:t>
      </w:r>
      <w:r w:rsidR="00B3002B" w:rsidRPr="005F120D">
        <w:rPr>
          <w:rFonts w:asciiTheme="minorHAnsi" w:hAnsiTheme="minorHAnsi" w:cstheme="minorHAnsi"/>
          <w:b w:val="0"/>
        </w:rPr>
        <w:t xml:space="preserve"> each Upazila,</w:t>
      </w:r>
      <w:r w:rsidR="00C4591B">
        <w:rPr>
          <w:rFonts w:asciiTheme="minorHAnsi" w:hAnsiTheme="minorHAnsi" w:cstheme="minorHAnsi"/>
          <w:b w:val="0"/>
        </w:rPr>
        <w:t xml:space="preserve"> </w:t>
      </w:r>
      <w:r w:rsidR="0053473C" w:rsidRPr="005F120D">
        <w:rPr>
          <w:rFonts w:asciiTheme="minorHAnsi" w:hAnsiTheme="minorHAnsi" w:cstheme="minorHAnsi"/>
          <w:b w:val="0"/>
        </w:rPr>
        <w:t>showing</w:t>
      </w:r>
      <w:r w:rsidR="000B71DE" w:rsidRPr="005F120D">
        <w:rPr>
          <w:rFonts w:asciiTheme="minorHAnsi" w:hAnsiTheme="minorHAnsi" w:cstheme="minorHAnsi"/>
          <w:b w:val="0"/>
        </w:rPr>
        <w:t xml:space="preserve"> the </w:t>
      </w:r>
      <w:r w:rsidR="00E73D07" w:rsidRPr="005F120D">
        <w:rPr>
          <w:rFonts w:asciiTheme="minorHAnsi" w:hAnsiTheme="minorHAnsi" w:cstheme="minorHAnsi"/>
          <w:b w:val="0"/>
        </w:rPr>
        <w:t>performance</w:t>
      </w:r>
      <w:r w:rsidR="000B71DE" w:rsidRPr="005F120D">
        <w:rPr>
          <w:rFonts w:asciiTheme="minorHAnsi" w:hAnsiTheme="minorHAnsi" w:cstheme="minorHAnsi"/>
          <w:b w:val="0"/>
        </w:rPr>
        <w:t xml:space="preserve"> of KPIs, Non-KPIs a</w:t>
      </w:r>
      <w:r w:rsidR="00E73D07" w:rsidRPr="005F120D">
        <w:rPr>
          <w:rFonts w:asciiTheme="minorHAnsi" w:hAnsiTheme="minorHAnsi" w:cstheme="minorHAnsi"/>
          <w:b w:val="0"/>
        </w:rPr>
        <w:t xml:space="preserve">nd PSQLs. This is the evidence </w:t>
      </w:r>
      <w:r w:rsidR="000B71DE" w:rsidRPr="005F120D">
        <w:rPr>
          <w:rFonts w:asciiTheme="minorHAnsi" w:hAnsiTheme="minorHAnsi" w:cstheme="minorHAnsi"/>
          <w:b w:val="0"/>
        </w:rPr>
        <w:t>f</w:t>
      </w:r>
      <w:r w:rsidR="00E73D07" w:rsidRPr="005F120D">
        <w:rPr>
          <w:rFonts w:asciiTheme="minorHAnsi" w:hAnsiTheme="minorHAnsi" w:cstheme="minorHAnsi"/>
          <w:b w:val="0"/>
        </w:rPr>
        <w:t>or the</w:t>
      </w:r>
      <w:r w:rsidR="000B71DE" w:rsidRPr="005F120D">
        <w:rPr>
          <w:rFonts w:asciiTheme="minorHAnsi" w:hAnsiTheme="minorHAnsi" w:cstheme="minorHAnsi"/>
          <w:b w:val="0"/>
        </w:rPr>
        <w:t xml:space="preserve"> upazila </w:t>
      </w:r>
      <w:r w:rsidR="00E73D07" w:rsidRPr="005F120D">
        <w:rPr>
          <w:rFonts w:asciiTheme="minorHAnsi" w:hAnsiTheme="minorHAnsi" w:cstheme="minorHAnsi"/>
          <w:b w:val="0"/>
        </w:rPr>
        <w:t>to see</w:t>
      </w:r>
      <w:r w:rsidR="004302A6" w:rsidRPr="005F120D">
        <w:rPr>
          <w:rFonts w:asciiTheme="minorHAnsi" w:hAnsiTheme="minorHAnsi" w:cstheme="minorHAnsi"/>
          <w:b w:val="0"/>
        </w:rPr>
        <w:t xml:space="preserve"> its</w:t>
      </w:r>
      <w:r w:rsidR="000B71DE" w:rsidRPr="005F120D">
        <w:rPr>
          <w:rFonts w:asciiTheme="minorHAnsi" w:hAnsiTheme="minorHAnsi" w:cstheme="minorHAnsi"/>
          <w:b w:val="0"/>
        </w:rPr>
        <w:t xml:space="preserve"> performance</w:t>
      </w:r>
      <w:r w:rsidR="00E73D07" w:rsidRPr="005F120D">
        <w:rPr>
          <w:rFonts w:asciiTheme="minorHAnsi" w:hAnsiTheme="minorHAnsi" w:cstheme="minorHAnsi"/>
          <w:b w:val="0"/>
        </w:rPr>
        <w:t xml:space="preserve"> at a glance</w:t>
      </w:r>
      <w:r w:rsidR="000B71DE" w:rsidRPr="005F120D">
        <w:rPr>
          <w:rFonts w:asciiTheme="minorHAnsi" w:hAnsiTheme="minorHAnsi" w:cstheme="minorHAnsi"/>
          <w:b w:val="0"/>
        </w:rPr>
        <w:t>.</w:t>
      </w:r>
      <w:r w:rsidR="00C4591B">
        <w:rPr>
          <w:rFonts w:asciiTheme="minorHAnsi" w:hAnsiTheme="minorHAnsi" w:cstheme="minorHAnsi"/>
          <w:b w:val="0"/>
        </w:rPr>
        <w:t xml:space="preserve"> </w:t>
      </w:r>
      <w:r w:rsidRPr="005F120D">
        <w:rPr>
          <w:rFonts w:asciiTheme="minorHAnsi" w:hAnsiTheme="minorHAnsi" w:cstheme="minorHAnsi"/>
          <w:b w:val="0"/>
          <w:color w:val="000000"/>
        </w:rPr>
        <w:t>The UEPP facilitates the preparation of both the School Level Improvement Plan (SLIP) and the Upazila Primary Education Plan (UPEP), mainly with evidence based planning and with information on the individual</w:t>
      </w:r>
      <w:r w:rsidR="000E13B6" w:rsidRPr="005F120D">
        <w:rPr>
          <w:rFonts w:asciiTheme="minorHAnsi" w:hAnsiTheme="minorHAnsi" w:cstheme="minorHAnsi"/>
          <w:b w:val="0"/>
          <w:color w:val="000000"/>
        </w:rPr>
        <w:t xml:space="preserve"> primary school and the Upazila</w:t>
      </w:r>
      <w:r w:rsidR="00B3002B" w:rsidRPr="005F120D">
        <w:rPr>
          <w:rFonts w:asciiTheme="minorHAnsi" w:hAnsiTheme="minorHAnsi" w:cstheme="minorHAnsi"/>
          <w:b w:val="0"/>
          <w:color w:val="000000"/>
        </w:rPr>
        <w:t>’</w:t>
      </w:r>
      <w:r w:rsidRPr="005F120D">
        <w:rPr>
          <w:rFonts w:asciiTheme="minorHAnsi" w:hAnsiTheme="minorHAnsi" w:cstheme="minorHAnsi"/>
          <w:b w:val="0"/>
          <w:color w:val="000000"/>
        </w:rPr>
        <w:t>s current situation on primary education.  In particular, this information helps the schools and Upazilas to set realistic activities and achievable targets.</w:t>
      </w:r>
    </w:p>
    <w:p w:rsidR="009835EE" w:rsidRPr="005F120D" w:rsidRDefault="00421771" w:rsidP="00C437AA">
      <w:pPr>
        <w:pStyle w:val="BodyText1"/>
        <w:tabs>
          <w:tab w:val="clear" w:pos="720"/>
          <w:tab w:val="left" w:pos="1080"/>
        </w:tabs>
        <w:spacing w:before="240"/>
        <w:jc w:val="both"/>
        <w:rPr>
          <w:rFonts w:asciiTheme="minorHAnsi" w:hAnsiTheme="minorHAnsi" w:cstheme="minorHAnsi"/>
          <w:b w:val="0"/>
        </w:rPr>
      </w:pPr>
      <w:r w:rsidRPr="005F120D">
        <w:rPr>
          <w:rFonts w:asciiTheme="minorHAnsi" w:hAnsiTheme="minorHAnsi" w:cstheme="minorHAnsi"/>
          <w:color w:val="3333CC"/>
        </w:rPr>
        <w:lastRenderedPageBreak/>
        <w:t>Primary Education Completion Examination (PECE) and Ebtedayee Completion Examination (EECE):</w:t>
      </w:r>
      <w:r w:rsidRPr="005F120D">
        <w:rPr>
          <w:rFonts w:asciiTheme="minorHAnsi" w:hAnsiTheme="minorHAnsi" w:cstheme="minorHAnsi"/>
          <w:b w:val="0"/>
        </w:rPr>
        <w:t xml:space="preserve"> The Grade 5 PECE and EECE are important sources of information that </w:t>
      </w:r>
      <w:r w:rsidR="00570223" w:rsidRPr="005F120D">
        <w:rPr>
          <w:rFonts w:asciiTheme="minorHAnsi" w:hAnsiTheme="minorHAnsi" w:cstheme="minorHAnsi"/>
          <w:b w:val="0"/>
        </w:rPr>
        <w:t>replaced</w:t>
      </w:r>
      <w:r w:rsidRPr="005F120D">
        <w:rPr>
          <w:rFonts w:asciiTheme="minorHAnsi" w:hAnsiTheme="minorHAnsi" w:cstheme="minorHAnsi"/>
          <w:b w:val="0"/>
        </w:rPr>
        <w:t xml:space="preserve"> the Grade 5 scholarship examination in 2009 (</w:t>
      </w:r>
      <w:r w:rsidR="0053473C" w:rsidRPr="005F120D">
        <w:rPr>
          <w:rFonts w:asciiTheme="minorHAnsi" w:hAnsiTheme="minorHAnsi" w:cstheme="minorHAnsi"/>
          <w:b w:val="0"/>
        </w:rPr>
        <w:t>former</w:t>
      </w:r>
      <w:r w:rsidRPr="005F120D">
        <w:rPr>
          <w:rFonts w:asciiTheme="minorHAnsi" w:hAnsiTheme="minorHAnsi" w:cstheme="minorHAnsi"/>
          <w:b w:val="0"/>
        </w:rPr>
        <w:t xml:space="preserve"> name was Terminal Examination).  Both PECE and EECE are open to students from all school types (formal and non-formal) and provide a good sources of data on the following: the number of primary education institutes in Bangladesh which have Grade 5 students; the proportion of student who sit the exam; and finally, the number of student who passed, and are </w:t>
      </w:r>
      <w:r w:rsidR="0053473C" w:rsidRPr="005F120D">
        <w:rPr>
          <w:rFonts w:asciiTheme="minorHAnsi" w:hAnsiTheme="minorHAnsi" w:cstheme="minorHAnsi"/>
          <w:b w:val="0"/>
        </w:rPr>
        <w:t xml:space="preserve">thus </w:t>
      </w:r>
      <w:r w:rsidRPr="005F120D">
        <w:rPr>
          <w:rFonts w:asciiTheme="minorHAnsi" w:hAnsiTheme="minorHAnsi" w:cstheme="minorHAnsi"/>
          <w:b w:val="0"/>
        </w:rPr>
        <w:t>eligible to progress to Secondary Education</w:t>
      </w:r>
      <w:r w:rsidR="009835EE" w:rsidRPr="005F120D">
        <w:rPr>
          <w:rFonts w:asciiTheme="minorHAnsi" w:hAnsiTheme="minorHAnsi" w:cstheme="minorHAnsi"/>
          <w:b w:val="0"/>
        </w:rPr>
        <w:t>.</w:t>
      </w:r>
    </w:p>
    <w:bookmarkEnd w:id="24"/>
    <w:bookmarkEnd w:id="25"/>
    <w:p w:rsidR="009835EE" w:rsidRPr="005F120D" w:rsidRDefault="00421771" w:rsidP="00C437AA">
      <w:pPr>
        <w:pStyle w:val="Heading3NONUM"/>
        <w:spacing w:line="276" w:lineRule="auto"/>
        <w:rPr>
          <w:rFonts w:asciiTheme="minorHAnsi" w:hAnsiTheme="minorHAnsi" w:cstheme="minorHAnsi"/>
        </w:rPr>
      </w:pPr>
      <w:r w:rsidRPr="005F120D">
        <w:rPr>
          <w:rFonts w:asciiTheme="minorHAnsi" w:hAnsiTheme="minorHAnsi" w:cstheme="minorHAnsi"/>
        </w:rPr>
        <w:t>DPE S</w:t>
      </w:r>
      <w:r w:rsidR="009835EE" w:rsidRPr="005F120D">
        <w:rPr>
          <w:rFonts w:asciiTheme="minorHAnsi" w:hAnsiTheme="minorHAnsi" w:cstheme="minorHAnsi"/>
        </w:rPr>
        <w:t>urvey</w:t>
      </w:r>
    </w:p>
    <w:p w:rsidR="009835EE" w:rsidRPr="005F120D" w:rsidRDefault="00421771" w:rsidP="00C437AA">
      <w:pPr>
        <w:numPr>
          <w:ilvl w:val="0"/>
          <w:numId w:val="13"/>
        </w:numPr>
        <w:spacing w:line="276" w:lineRule="auto"/>
        <w:jc w:val="both"/>
        <w:rPr>
          <w:rFonts w:asciiTheme="minorHAnsi" w:hAnsiTheme="minorHAnsi" w:cstheme="minorHAnsi"/>
          <w:szCs w:val="22"/>
        </w:rPr>
      </w:pPr>
      <w:r w:rsidRPr="005F120D">
        <w:rPr>
          <w:rFonts w:asciiTheme="minorHAnsi" w:hAnsiTheme="minorHAnsi" w:cstheme="minorHAnsi"/>
          <w:b/>
          <w:bCs/>
          <w:color w:val="3333CC"/>
          <w:szCs w:val="22"/>
        </w:rPr>
        <w:t>National Student Assessment (NSA):</w:t>
      </w:r>
      <w:r w:rsidRPr="005F120D">
        <w:rPr>
          <w:rFonts w:asciiTheme="minorHAnsi" w:hAnsiTheme="minorHAnsi" w:cstheme="minorHAnsi"/>
          <w:bCs/>
          <w:szCs w:val="22"/>
        </w:rPr>
        <w:t xml:space="preserve">The NSA is conducted every two years. The survey was administered in 2006, 2008, 2011, 2013 and 2015 (the 2010 NSA was moved to 2011 </w:t>
      </w:r>
      <w:r w:rsidR="00BD1071" w:rsidRPr="005F120D">
        <w:rPr>
          <w:rFonts w:asciiTheme="minorHAnsi" w:hAnsiTheme="minorHAnsi" w:cstheme="minorHAnsi"/>
          <w:bCs/>
          <w:szCs w:val="22"/>
        </w:rPr>
        <w:t xml:space="preserve">as </w:t>
      </w:r>
      <w:r w:rsidRPr="005F120D">
        <w:rPr>
          <w:rFonts w:asciiTheme="minorHAnsi" w:hAnsiTheme="minorHAnsi" w:cstheme="minorHAnsi"/>
          <w:bCs/>
          <w:szCs w:val="22"/>
        </w:rPr>
        <w:t xml:space="preserve">a baseline for </w:t>
      </w:r>
      <w:r w:rsidR="00BD1071" w:rsidRPr="005F120D">
        <w:rPr>
          <w:rFonts w:asciiTheme="minorHAnsi" w:hAnsiTheme="minorHAnsi" w:cstheme="minorHAnsi"/>
          <w:bCs/>
          <w:szCs w:val="22"/>
        </w:rPr>
        <w:t xml:space="preserve">the </w:t>
      </w:r>
      <w:r w:rsidRPr="005F120D">
        <w:rPr>
          <w:rFonts w:asciiTheme="minorHAnsi" w:hAnsiTheme="minorHAnsi" w:cstheme="minorHAnsi"/>
          <w:bCs/>
          <w:szCs w:val="22"/>
        </w:rPr>
        <w:t xml:space="preserve">PEDP3). This survey measures the achievement of Grade 3 and Grade 5 students on a set of learning outcomes in Bangla and Mathematics. The sample is designed </w:t>
      </w:r>
      <w:r w:rsidR="00BD1071" w:rsidRPr="005F120D">
        <w:rPr>
          <w:rFonts w:asciiTheme="minorHAnsi" w:hAnsiTheme="minorHAnsi" w:cstheme="minorHAnsi"/>
          <w:bCs/>
          <w:szCs w:val="22"/>
        </w:rPr>
        <w:t>to be</w:t>
      </w:r>
      <w:r w:rsidR="00C4591B">
        <w:rPr>
          <w:rFonts w:asciiTheme="minorHAnsi" w:hAnsiTheme="minorHAnsi" w:cstheme="minorHAnsi"/>
          <w:bCs/>
          <w:szCs w:val="22"/>
        </w:rPr>
        <w:t xml:space="preserve"> </w:t>
      </w:r>
      <w:r w:rsidR="00BD1071" w:rsidRPr="005F120D">
        <w:rPr>
          <w:rFonts w:asciiTheme="minorHAnsi" w:hAnsiTheme="minorHAnsi" w:cstheme="minorHAnsi"/>
          <w:bCs/>
          <w:szCs w:val="22"/>
        </w:rPr>
        <w:t>nationally representative</w:t>
      </w:r>
      <w:r w:rsidRPr="005F120D">
        <w:rPr>
          <w:rFonts w:asciiTheme="minorHAnsi" w:hAnsiTheme="minorHAnsi" w:cstheme="minorHAnsi"/>
          <w:bCs/>
          <w:szCs w:val="22"/>
        </w:rPr>
        <w:t xml:space="preserve"> of students in seven categories of schools (GPS, NNPS,</w:t>
      </w:r>
      <w:r w:rsidRPr="005F120D">
        <w:rPr>
          <w:rFonts w:asciiTheme="minorHAnsi" w:hAnsiTheme="minorHAnsi" w:cstheme="minorHAnsi"/>
          <w:szCs w:val="22"/>
        </w:rPr>
        <w:t>NGPS, NGO schools, Experimental schools, Community schools and Shishu Kollyan schools</w:t>
      </w:r>
      <w:r w:rsidRPr="005F120D">
        <w:rPr>
          <w:rFonts w:asciiTheme="minorHAnsi" w:hAnsiTheme="minorHAnsi" w:cstheme="minorHAnsi"/>
          <w:bCs/>
          <w:szCs w:val="22"/>
        </w:rPr>
        <w:t>). In 2011 the NSA was only conducted in GPS and NNPS</w:t>
      </w:r>
      <w:r w:rsidR="0053473C" w:rsidRPr="005F120D">
        <w:rPr>
          <w:rFonts w:asciiTheme="minorHAnsi" w:hAnsiTheme="minorHAnsi" w:cstheme="minorHAnsi"/>
          <w:bCs/>
          <w:szCs w:val="22"/>
        </w:rPr>
        <w:t>,</w:t>
      </w:r>
      <w:r w:rsidR="00EA737D" w:rsidRPr="005F120D">
        <w:rPr>
          <w:rFonts w:asciiTheme="minorHAnsi" w:hAnsiTheme="minorHAnsi" w:cstheme="minorHAnsi"/>
          <w:bCs/>
          <w:szCs w:val="22"/>
        </w:rPr>
        <w:t xml:space="preserve"> and NSA 2013 </w:t>
      </w:r>
      <w:r w:rsidR="0053473C" w:rsidRPr="005F120D">
        <w:rPr>
          <w:rFonts w:asciiTheme="minorHAnsi" w:hAnsiTheme="minorHAnsi" w:cstheme="minorHAnsi"/>
          <w:bCs/>
          <w:szCs w:val="22"/>
        </w:rPr>
        <w:t xml:space="preserve">was </w:t>
      </w:r>
      <w:r w:rsidR="00EA737D" w:rsidRPr="005F120D">
        <w:rPr>
          <w:rFonts w:asciiTheme="minorHAnsi" w:hAnsiTheme="minorHAnsi" w:cstheme="minorHAnsi"/>
          <w:bCs/>
          <w:szCs w:val="22"/>
        </w:rPr>
        <w:t>conducted in t</w:t>
      </w:r>
      <w:r w:rsidR="0053473C" w:rsidRPr="005F120D">
        <w:rPr>
          <w:rFonts w:asciiTheme="minorHAnsi" w:hAnsiTheme="minorHAnsi" w:cstheme="minorHAnsi"/>
          <w:bCs/>
          <w:szCs w:val="22"/>
        </w:rPr>
        <w:t>he</w:t>
      </w:r>
      <w:r w:rsidR="00C4591B">
        <w:rPr>
          <w:rFonts w:asciiTheme="minorHAnsi" w:hAnsiTheme="minorHAnsi" w:cstheme="minorHAnsi"/>
          <w:bCs/>
          <w:szCs w:val="22"/>
        </w:rPr>
        <w:t xml:space="preserve"> </w:t>
      </w:r>
      <w:r w:rsidR="0053473C" w:rsidRPr="005F120D">
        <w:rPr>
          <w:rFonts w:asciiTheme="minorHAnsi" w:hAnsiTheme="minorHAnsi" w:cstheme="minorHAnsi"/>
          <w:bCs/>
          <w:szCs w:val="22"/>
        </w:rPr>
        <w:t xml:space="preserve">seven </w:t>
      </w:r>
      <w:r w:rsidR="00EA737D" w:rsidRPr="005F120D">
        <w:rPr>
          <w:rFonts w:asciiTheme="minorHAnsi" w:hAnsiTheme="minorHAnsi" w:cstheme="minorHAnsi"/>
          <w:bCs/>
          <w:szCs w:val="22"/>
        </w:rPr>
        <w:t>types of schools</w:t>
      </w:r>
      <w:r w:rsidRPr="005F120D">
        <w:rPr>
          <w:rFonts w:asciiTheme="minorHAnsi" w:hAnsiTheme="minorHAnsi" w:cstheme="minorHAnsi"/>
          <w:bCs/>
          <w:szCs w:val="22"/>
        </w:rPr>
        <w:t>, hence only GPS/NNPS results from 2013 NSA are used to compare performance between 2011 and 2013.  In 2015 NSA compares student achievements in seven categories of DPE managed schools.  The instruments have evolved over time and the 2013 NSA is the most informative to date because the standardization of test items allowed for the construction of a common measurement scale for Grade 3 and Grade 5 students in both subjects. At the time of preparing this ASPR Report, the2015 NSA result</w:t>
      </w:r>
      <w:r w:rsidR="0053473C" w:rsidRPr="005F120D">
        <w:rPr>
          <w:rFonts w:asciiTheme="minorHAnsi" w:hAnsiTheme="minorHAnsi" w:cstheme="minorHAnsi"/>
          <w:bCs/>
          <w:szCs w:val="22"/>
        </w:rPr>
        <w:t>s have</w:t>
      </w:r>
      <w:r w:rsidRPr="005F120D">
        <w:rPr>
          <w:rFonts w:asciiTheme="minorHAnsi" w:hAnsiTheme="minorHAnsi" w:cstheme="minorHAnsi"/>
          <w:bCs/>
          <w:szCs w:val="22"/>
        </w:rPr>
        <w:t xml:space="preserve"> not yet been published. </w:t>
      </w:r>
      <w:r w:rsidR="00EA737D" w:rsidRPr="005F120D">
        <w:rPr>
          <w:rFonts w:asciiTheme="minorHAnsi" w:hAnsiTheme="minorHAnsi" w:cstheme="minorHAnsi"/>
          <w:bCs/>
          <w:szCs w:val="22"/>
        </w:rPr>
        <w:t>More</w:t>
      </w:r>
      <w:r w:rsidRPr="005F120D">
        <w:rPr>
          <w:rFonts w:asciiTheme="minorHAnsi" w:hAnsiTheme="minorHAnsi" w:cstheme="minorHAnsi"/>
          <w:bCs/>
          <w:szCs w:val="22"/>
        </w:rPr>
        <w:t xml:space="preserve"> details on NSA findings are given in the Learning Section of Chapter 3</w:t>
      </w:r>
      <w:r w:rsidR="009835EE" w:rsidRPr="005F120D">
        <w:rPr>
          <w:rFonts w:asciiTheme="minorHAnsi" w:hAnsiTheme="minorHAnsi" w:cstheme="minorHAnsi"/>
          <w:bCs/>
          <w:szCs w:val="22"/>
        </w:rPr>
        <w:t>.</w:t>
      </w:r>
    </w:p>
    <w:p w:rsidR="009835EE" w:rsidRPr="005F120D" w:rsidRDefault="00570223" w:rsidP="00C437AA">
      <w:pPr>
        <w:pStyle w:val="Heading3NONUM"/>
        <w:spacing w:line="276" w:lineRule="auto"/>
        <w:rPr>
          <w:rFonts w:asciiTheme="minorHAnsi" w:hAnsiTheme="minorHAnsi" w:cstheme="minorHAnsi"/>
        </w:rPr>
      </w:pPr>
      <w:r w:rsidRPr="005F120D">
        <w:rPr>
          <w:rFonts w:asciiTheme="minorHAnsi" w:hAnsiTheme="minorHAnsi" w:cstheme="minorHAnsi"/>
        </w:rPr>
        <w:t>Other Surveys</w:t>
      </w:r>
    </w:p>
    <w:p w:rsidR="00421771" w:rsidRPr="005F120D" w:rsidRDefault="00421771" w:rsidP="00C437AA">
      <w:pPr>
        <w:spacing w:before="240" w:line="276" w:lineRule="auto"/>
        <w:rPr>
          <w:rFonts w:asciiTheme="minorHAnsi" w:hAnsiTheme="minorHAnsi" w:cstheme="minorHAnsi"/>
        </w:rPr>
      </w:pPr>
      <w:r w:rsidRPr="005F120D">
        <w:rPr>
          <w:rFonts w:asciiTheme="minorHAnsi" w:hAnsiTheme="minorHAnsi" w:cstheme="minorHAnsi"/>
        </w:rPr>
        <w:t>The following surveys conducted by other organization provide information on indicators that the school Census does not measure:</w:t>
      </w:r>
    </w:p>
    <w:p w:rsidR="00421771" w:rsidRPr="005F120D" w:rsidRDefault="00421771" w:rsidP="00C437AA">
      <w:pPr>
        <w:pStyle w:val="ListBullet1"/>
        <w:numPr>
          <w:ilvl w:val="0"/>
          <w:numId w:val="13"/>
        </w:numPr>
        <w:spacing w:after="120" w:line="276" w:lineRule="auto"/>
        <w:jc w:val="both"/>
        <w:rPr>
          <w:rFonts w:asciiTheme="minorHAnsi" w:hAnsiTheme="minorHAnsi" w:cstheme="minorHAnsi"/>
          <w:szCs w:val="22"/>
        </w:rPr>
      </w:pPr>
      <w:r w:rsidRPr="005F120D">
        <w:rPr>
          <w:rFonts w:asciiTheme="minorHAnsi" w:hAnsiTheme="minorHAnsi" w:cstheme="minorHAnsi"/>
          <w:b/>
          <w:color w:val="3333CC"/>
          <w:szCs w:val="22"/>
        </w:rPr>
        <w:t>Population Census</w:t>
      </w:r>
      <w:r w:rsidRPr="005F120D">
        <w:rPr>
          <w:rFonts w:asciiTheme="minorHAnsi" w:hAnsiTheme="minorHAnsi" w:cstheme="minorHAnsi"/>
          <w:color w:val="3333CC"/>
          <w:szCs w:val="22"/>
        </w:rPr>
        <w:t>:</w:t>
      </w:r>
      <w:r w:rsidRPr="005F120D">
        <w:rPr>
          <w:rFonts w:asciiTheme="minorHAnsi" w:hAnsiTheme="minorHAnsi" w:cstheme="minorHAnsi"/>
          <w:szCs w:val="22"/>
        </w:rPr>
        <w:t xml:space="preserve"> The 2011 population census conducted by Bangladesh Bureau of Statistics (BBS) provides information on the size of the pre-primary and primary school-age population (age 5), (age 6–10) and (age 11-14 years)</w:t>
      </w:r>
      <w:r w:rsidR="00BC22BB" w:rsidRPr="005F120D">
        <w:rPr>
          <w:rFonts w:asciiTheme="minorHAnsi" w:hAnsiTheme="minorHAnsi" w:cstheme="minorHAnsi"/>
          <w:szCs w:val="22"/>
        </w:rPr>
        <w:t xml:space="preserve"> respectively</w:t>
      </w:r>
      <w:r w:rsidRPr="005F120D">
        <w:rPr>
          <w:rFonts w:asciiTheme="minorHAnsi" w:hAnsiTheme="minorHAnsi" w:cstheme="minorHAnsi"/>
          <w:szCs w:val="22"/>
        </w:rPr>
        <w:t xml:space="preserve">. These data are used for computing PEDP3 key performance indicators e.g., Gross Intake Rate (GIR), Net Intake Rate (NIR), Gross Enrolment Rate (GER), Net Enrolment Rate (NER) and Out of School Children. </w:t>
      </w:r>
    </w:p>
    <w:p w:rsidR="00421771" w:rsidRPr="005F120D" w:rsidRDefault="00421771" w:rsidP="00C437AA">
      <w:pPr>
        <w:pStyle w:val="ListBullet1"/>
        <w:numPr>
          <w:ilvl w:val="0"/>
          <w:numId w:val="10"/>
        </w:numPr>
        <w:spacing w:after="120" w:line="276" w:lineRule="auto"/>
        <w:ind w:left="360"/>
        <w:jc w:val="both"/>
        <w:rPr>
          <w:rFonts w:asciiTheme="minorHAnsi" w:hAnsiTheme="minorHAnsi" w:cstheme="minorHAnsi"/>
          <w:szCs w:val="22"/>
        </w:rPr>
      </w:pPr>
      <w:r w:rsidRPr="005F120D">
        <w:rPr>
          <w:rFonts w:asciiTheme="minorHAnsi" w:hAnsiTheme="minorHAnsi" w:cstheme="minorHAnsi"/>
          <w:b/>
          <w:color w:val="3333CC"/>
          <w:szCs w:val="22"/>
        </w:rPr>
        <w:t>Household Income and Expenditure Survey (HIES)</w:t>
      </w:r>
      <w:r w:rsidRPr="005F120D">
        <w:rPr>
          <w:rFonts w:asciiTheme="minorHAnsi" w:hAnsiTheme="minorHAnsi" w:cstheme="minorHAnsi"/>
          <w:color w:val="3333CC"/>
          <w:szCs w:val="22"/>
        </w:rPr>
        <w:t>:</w:t>
      </w:r>
      <w:r w:rsidRPr="005F120D">
        <w:rPr>
          <w:rFonts w:asciiTheme="minorHAnsi" w:hAnsiTheme="minorHAnsi" w:cstheme="minorHAnsi"/>
          <w:szCs w:val="22"/>
        </w:rPr>
        <w:t xml:space="preserve"> The BBS conducts the HIES on a nationally representative sample of households every five years. The survey collects information on food and non-food consumption (to measure the rate of poverty) and on household characteristics including education. The most recent round of HIES was scheduled for implementation in 2015, and it is expected that the Report will be available by December 2016.</w:t>
      </w:r>
    </w:p>
    <w:p w:rsidR="00421771" w:rsidRPr="005F120D" w:rsidRDefault="00421771" w:rsidP="00C437AA">
      <w:pPr>
        <w:pStyle w:val="ListBullet1"/>
        <w:numPr>
          <w:ilvl w:val="0"/>
          <w:numId w:val="10"/>
        </w:numPr>
        <w:spacing w:after="120" w:line="276" w:lineRule="auto"/>
        <w:ind w:left="360"/>
        <w:jc w:val="both"/>
        <w:rPr>
          <w:rFonts w:asciiTheme="minorHAnsi" w:hAnsiTheme="minorHAnsi" w:cstheme="minorHAnsi"/>
          <w:szCs w:val="22"/>
        </w:rPr>
      </w:pPr>
      <w:r w:rsidRPr="005F120D">
        <w:rPr>
          <w:rFonts w:asciiTheme="minorHAnsi" w:hAnsiTheme="minorHAnsi" w:cstheme="minorHAnsi"/>
          <w:b/>
          <w:color w:val="3333CC"/>
          <w:szCs w:val="22"/>
        </w:rPr>
        <w:t>Education Household Survey (EHS):</w:t>
      </w:r>
      <w:r w:rsidRPr="005F120D">
        <w:rPr>
          <w:rFonts w:asciiTheme="minorHAnsi" w:hAnsiTheme="minorHAnsi" w:cstheme="minorHAnsi"/>
          <w:szCs w:val="22"/>
        </w:rPr>
        <w:t>In between the 2010 and 2015 HIES, the BBS/DPE conducted an EHS as per DPE’s requirement for a strong emphasis on educational information. In 2014, the sample size was 6,119 households (nationally representative)</w:t>
      </w:r>
      <w:r w:rsidR="00570223" w:rsidRPr="005F120D">
        <w:rPr>
          <w:rFonts w:asciiTheme="minorHAnsi" w:hAnsiTheme="minorHAnsi" w:cstheme="minorHAnsi"/>
          <w:szCs w:val="22"/>
        </w:rPr>
        <w:t>;</w:t>
      </w:r>
      <w:r w:rsidR="00704F97">
        <w:rPr>
          <w:rFonts w:asciiTheme="minorHAnsi" w:hAnsiTheme="minorHAnsi" w:cstheme="minorHAnsi"/>
          <w:szCs w:val="22"/>
        </w:rPr>
        <w:t xml:space="preserve"> </w:t>
      </w:r>
      <w:r w:rsidR="005D09F0" w:rsidRPr="005F120D">
        <w:rPr>
          <w:rFonts w:asciiTheme="minorHAnsi" w:hAnsiTheme="minorHAnsi" w:cstheme="minorHAnsi"/>
          <w:szCs w:val="22"/>
        </w:rPr>
        <w:t>this</w:t>
      </w:r>
      <w:r w:rsidR="00BC22BB" w:rsidRPr="005F120D">
        <w:rPr>
          <w:rFonts w:asciiTheme="minorHAnsi" w:hAnsiTheme="minorHAnsi" w:cstheme="minorHAnsi"/>
          <w:szCs w:val="22"/>
        </w:rPr>
        <w:t xml:space="preserve"> report examined</w:t>
      </w:r>
      <w:r w:rsidRPr="005F120D">
        <w:rPr>
          <w:rFonts w:asciiTheme="minorHAnsi" w:hAnsiTheme="minorHAnsi" w:cstheme="minorHAnsi"/>
          <w:szCs w:val="22"/>
        </w:rPr>
        <w:t xml:space="preserve">, for </w:t>
      </w:r>
      <w:r w:rsidRPr="005F120D">
        <w:rPr>
          <w:rFonts w:asciiTheme="minorHAnsi" w:hAnsiTheme="minorHAnsi" w:cstheme="minorHAnsi"/>
          <w:szCs w:val="22"/>
        </w:rPr>
        <w:lastRenderedPageBreak/>
        <w:t xml:space="preserve">example, the impact of interventions on out of school children, dropout rate, net enrolment rate etc. at the mid-term point of the </w:t>
      </w:r>
      <w:r w:rsidR="00C429B7" w:rsidRPr="005F120D">
        <w:rPr>
          <w:rFonts w:asciiTheme="minorHAnsi" w:hAnsiTheme="minorHAnsi" w:cstheme="minorHAnsi"/>
          <w:szCs w:val="22"/>
        </w:rPr>
        <w:t>PEDP3</w:t>
      </w:r>
      <w:r w:rsidRPr="005F120D">
        <w:rPr>
          <w:rFonts w:asciiTheme="minorHAnsi" w:hAnsiTheme="minorHAnsi" w:cstheme="minorHAnsi"/>
          <w:szCs w:val="22"/>
        </w:rPr>
        <w:t>.</w:t>
      </w:r>
    </w:p>
    <w:p w:rsidR="00421771" w:rsidRPr="005F120D" w:rsidRDefault="00421771" w:rsidP="00C437AA">
      <w:pPr>
        <w:pStyle w:val="ListBullet1"/>
        <w:numPr>
          <w:ilvl w:val="0"/>
          <w:numId w:val="10"/>
        </w:numPr>
        <w:spacing w:after="240" w:line="276" w:lineRule="auto"/>
        <w:jc w:val="both"/>
        <w:rPr>
          <w:rFonts w:asciiTheme="minorHAnsi" w:hAnsiTheme="minorHAnsi" w:cstheme="minorHAnsi"/>
          <w:szCs w:val="22"/>
        </w:rPr>
      </w:pPr>
      <w:r w:rsidRPr="005F120D">
        <w:rPr>
          <w:rFonts w:asciiTheme="minorHAnsi" w:hAnsiTheme="minorHAnsi" w:cstheme="minorHAnsi"/>
          <w:b/>
          <w:color w:val="3333CC"/>
          <w:szCs w:val="22"/>
        </w:rPr>
        <w:t xml:space="preserve">Multiple Cluster Indicator Surveys </w:t>
      </w:r>
      <w:r w:rsidRPr="005F120D">
        <w:rPr>
          <w:rFonts w:asciiTheme="minorHAnsi" w:hAnsiTheme="minorHAnsi" w:cstheme="minorHAnsi"/>
          <w:b/>
          <w:bCs/>
          <w:color w:val="3333CC"/>
          <w:szCs w:val="22"/>
        </w:rPr>
        <w:t>(MICS)</w:t>
      </w:r>
      <w:r w:rsidRPr="005F120D">
        <w:rPr>
          <w:rFonts w:asciiTheme="minorHAnsi" w:hAnsiTheme="minorHAnsi" w:cstheme="minorHAnsi"/>
          <w:color w:val="3333CC"/>
          <w:szCs w:val="22"/>
        </w:rPr>
        <w:t>:</w:t>
      </w:r>
      <w:r w:rsidRPr="005F120D">
        <w:rPr>
          <w:rFonts w:asciiTheme="minorHAnsi" w:hAnsiTheme="minorHAnsi" w:cstheme="minorHAnsi"/>
          <w:szCs w:val="22"/>
        </w:rPr>
        <w:t xml:space="preserve"> These surveys were part of an international program to collect data on children and women around the world. In 2006, in Bangladesh, the sample size was 62,000 households (repres</w:t>
      </w:r>
      <w:r w:rsidR="00B3002B" w:rsidRPr="005F120D">
        <w:rPr>
          <w:rFonts w:asciiTheme="minorHAnsi" w:hAnsiTheme="minorHAnsi" w:cstheme="minorHAnsi"/>
          <w:szCs w:val="22"/>
        </w:rPr>
        <w:t>entative at the district level);</w:t>
      </w:r>
      <w:r w:rsidRPr="005F120D">
        <w:rPr>
          <w:rFonts w:asciiTheme="minorHAnsi" w:hAnsiTheme="minorHAnsi" w:cstheme="minorHAnsi"/>
          <w:szCs w:val="22"/>
        </w:rPr>
        <w:t xml:space="preserve"> in 2009 the sample size was 300,000 households (representative at the Upazila level)</w:t>
      </w:r>
      <w:r w:rsidR="00B3002B" w:rsidRPr="005F120D">
        <w:rPr>
          <w:rFonts w:asciiTheme="minorHAnsi" w:hAnsiTheme="minorHAnsi" w:cstheme="minorHAnsi"/>
          <w:szCs w:val="22"/>
        </w:rPr>
        <w:t>; and</w:t>
      </w:r>
      <w:r w:rsidRPr="005F120D">
        <w:rPr>
          <w:rFonts w:asciiTheme="minorHAnsi" w:hAnsiTheme="minorHAnsi" w:cstheme="minorHAnsi"/>
          <w:szCs w:val="22"/>
        </w:rPr>
        <w:t xml:space="preserve"> in 2012-13 the sample size </w:t>
      </w:r>
      <w:r w:rsidR="00BC22BB" w:rsidRPr="005F120D">
        <w:rPr>
          <w:rFonts w:asciiTheme="minorHAnsi" w:hAnsiTheme="minorHAnsi" w:cstheme="minorHAnsi"/>
          <w:szCs w:val="22"/>
        </w:rPr>
        <w:t>was</w:t>
      </w:r>
      <w:r w:rsidRPr="005F120D">
        <w:rPr>
          <w:rFonts w:asciiTheme="minorHAnsi" w:hAnsiTheme="minorHAnsi" w:cstheme="minorHAnsi"/>
          <w:szCs w:val="22"/>
        </w:rPr>
        <w:t xml:space="preserve"> 55,120 households (representative at the Upazila level). An education module provided information on enrolment, including that in the non-formal sector. The last round MICS was conducted in 2012-13 and results were published in 2015.</w:t>
      </w:r>
    </w:p>
    <w:p w:rsidR="00421771" w:rsidRPr="005F120D" w:rsidRDefault="00421771" w:rsidP="00C437AA">
      <w:pPr>
        <w:pStyle w:val="ListBullet1"/>
        <w:numPr>
          <w:ilvl w:val="0"/>
          <w:numId w:val="10"/>
        </w:numPr>
        <w:spacing w:after="0" w:line="276" w:lineRule="auto"/>
        <w:jc w:val="both"/>
        <w:rPr>
          <w:rFonts w:asciiTheme="minorHAnsi" w:hAnsiTheme="minorHAnsi" w:cstheme="minorHAnsi"/>
          <w:szCs w:val="22"/>
        </w:rPr>
      </w:pPr>
      <w:r w:rsidRPr="005F120D">
        <w:rPr>
          <w:rFonts w:asciiTheme="minorHAnsi" w:hAnsiTheme="minorHAnsi" w:cstheme="minorHAnsi"/>
          <w:b/>
          <w:bCs/>
          <w:color w:val="3333CC"/>
          <w:szCs w:val="22"/>
        </w:rPr>
        <w:t>Education Watch Survey</w:t>
      </w:r>
      <w:r w:rsidRPr="005F120D">
        <w:rPr>
          <w:rFonts w:asciiTheme="minorHAnsi" w:hAnsiTheme="minorHAnsi" w:cstheme="minorHAnsi"/>
          <w:color w:val="3333CC"/>
          <w:szCs w:val="22"/>
        </w:rPr>
        <w:t>:</w:t>
      </w:r>
      <w:r w:rsidRPr="005F120D">
        <w:rPr>
          <w:rFonts w:asciiTheme="minorHAnsi" w:hAnsiTheme="minorHAnsi" w:cstheme="minorHAnsi"/>
          <w:szCs w:val="22"/>
        </w:rPr>
        <w:t xml:space="preserve"> As part of the Education Watch series, CAMPE </w:t>
      </w:r>
      <w:r w:rsidR="00B3002B" w:rsidRPr="005F120D">
        <w:rPr>
          <w:rFonts w:asciiTheme="minorHAnsi" w:hAnsiTheme="minorHAnsi" w:cstheme="minorHAnsi"/>
          <w:szCs w:val="22"/>
        </w:rPr>
        <w:t>conducted the following surveys:</w:t>
      </w:r>
    </w:p>
    <w:p w:rsidR="00421771" w:rsidRPr="005F120D" w:rsidRDefault="00421771" w:rsidP="00C437AA">
      <w:pPr>
        <w:pStyle w:val="ListBullet1"/>
        <w:numPr>
          <w:ilvl w:val="0"/>
          <w:numId w:val="87"/>
        </w:numPr>
        <w:spacing w:after="0" w:line="276" w:lineRule="auto"/>
        <w:jc w:val="both"/>
        <w:rPr>
          <w:rFonts w:asciiTheme="minorHAnsi" w:hAnsiTheme="minorHAnsi" w:cstheme="minorHAnsi"/>
          <w:szCs w:val="22"/>
        </w:rPr>
      </w:pPr>
      <w:r w:rsidRPr="005F120D">
        <w:rPr>
          <w:rFonts w:asciiTheme="minorHAnsi" w:hAnsiTheme="minorHAnsi" w:cstheme="minorHAnsi"/>
          <w:szCs w:val="22"/>
        </w:rPr>
        <w:t>Education Watch Household S</w:t>
      </w:r>
      <w:r w:rsidR="00C429B7" w:rsidRPr="005F120D">
        <w:rPr>
          <w:rFonts w:asciiTheme="minorHAnsi" w:hAnsiTheme="minorHAnsi" w:cstheme="minorHAnsi"/>
          <w:szCs w:val="22"/>
        </w:rPr>
        <w:t>urvey</w:t>
      </w:r>
      <w:r w:rsidRPr="005F120D">
        <w:rPr>
          <w:rFonts w:asciiTheme="minorHAnsi" w:hAnsiTheme="minorHAnsi" w:cstheme="minorHAnsi"/>
          <w:szCs w:val="22"/>
        </w:rPr>
        <w:t xml:space="preserve"> 2013</w:t>
      </w:r>
    </w:p>
    <w:p w:rsidR="00421771" w:rsidRPr="005F120D" w:rsidRDefault="00421771" w:rsidP="00C437AA">
      <w:pPr>
        <w:pStyle w:val="ListBullet1"/>
        <w:numPr>
          <w:ilvl w:val="0"/>
          <w:numId w:val="87"/>
        </w:numPr>
        <w:spacing w:after="0" w:line="276" w:lineRule="auto"/>
        <w:jc w:val="both"/>
        <w:rPr>
          <w:rFonts w:asciiTheme="minorHAnsi" w:hAnsiTheme="minorHAnsi" w:cstheme="minorHAnsi"/>
          <w:szCs w:val="22"/>
        </w:rPr>
      </w:pPr>
      <w:r w:rsidRPr="005F120D">
        <w:rPr>
          <w:rFonts w:asciiTheme="minorHAnsi" w:hAnsiTheme="minorHAnsi" w:cstheme="minorHAnsi"/>
          <w:szCs w:val="22"/>
        </w:rPr>
        <w:t>Education Watch Education Institut</w:t>
      </w:r>
      <w:r w:rsidR="00C429B7" w:rsidRPr="005F120D">
        <w:rPr>
          <w:rFonts w:asciiTheme="minorHAnsi" w:hAnsiTheme="minorHAnsi" w:cstheme="minorHAnsi"/>
          <w:szCs w:val="22"/>
        </w:rPr>
        <w:t xml:space="preserve">ion Survey </w:t>
      </w:r>
      <w:r w:rsidRPr="005F120D">
        <w:rPr>
          <w:rFonts w:asciiTheme="minorHAnsi" w:hAnsiTheme="minorHAnsi" w:cstheme="minorHAnsi"/>
          <w:szCs w:val="22"/>
        </w:rPr>
        <w:t>2014</w:t>
      </w:r>
    </w:p>
    <w:p w:rsidR="00421771" w:rsidRPr="005F120D" w:rsidRDefault="00421771" w:rsidP="00C437AA">
      <w:pPr>
        <w:pStyle w:val="ListBullet1"/>
        <w:numPr>
          <w:ilvl w:val="0"/>
          <w:numId w:val="87"/>
        </w:numPr>
        <w:spacing w:after="240" w:line="276" w:lineRule="auto"/>
        <w:jc w:val="both"/>
        <w:rPr>
          <w:rFonts w:asciiTheme="minorHAnsi" w:hAnsiTheme="minorHAnsi" w:cstheme="minorHAnsi"/>
          <w:szCs w:val="22"/>
        </w:rPr>
      </w:pPr>
      <w:r w:rsidRPr="005F120D">
        <w:rPr>
          <w:rFonts w:asciiTheme="minorHAnsi" w:hAnsiTheme="minorHAnsi" w:cstheme="minorHAnsi"/>
          <w:szCs w:val="22"/>
        </w:rPr>
        <w:t xml:space="preserve">Education Watch Competency Based </w:t>
      </w:r>
      <w:r w:rsidR="00C429B7" w:rsidRPr="005F120D">
        <w:rPr>
          <w:rFonts w:asciiTheme="minorHAnsi" w:hAnsiTheme="minorHAnsi" w:cstheme="minorHAnsi"/>
          <w:szCs w:val="22"/>
        </w:rPr>
        <w:t xml:space="preserve">Learning Achievement Test </w:t>
      </w:r>
      <w:r w:rsidRPr="005F120D">
        <w:rPr>
          <w:rFonts w:asciiTheme="minorHAnsi" w:hAnsiTheme="minorHAnsi" w:cstheme="minorHAnsi"/>
          <w:szCs w:val="22"/>
        </w:rPr>
        <w:t>2008 and 2014</w:t>
      </w:r>
    </w:p>
    <w:p w:rsidR="00421771" w:rsidRPr="005F120D" w:rsidRDefault="00421771" w:rsidP="00C437AA">
      <w:pPr>
        <w:pStyle w:val="ListBullet1"/>
        <w:spacing w:after="240" w:line="276" w:lineRule="auto"/>
        <w:jc w:val="both"/>
        <w:rPr>
          <w:rFonts w:asciiTheme="minorHAnsi" w:hAnsiTheme="minorHAnsi" w:cstheme="minorHAnsi"/>
          <w:szCs w:val="22"/>
        </w:rPr>
      </w:pPr>
      <w:r w:rsidRPr="005F120D">
        <w:rPr>
          <w:rFonts w:asciiTheme="minorHAnsi" w:hAnsiTheme="minorHAnsi" w:cstheme="minorHAnsi"/>
          <w:szCs w:val="22"/>
        </w:rPr>
        <w:t>The sample sizes of above surveys were 42,548 households in 1998, 30,051 households in 2000, 23,971 households in 2005, 24,007 households in 2008 and 9,000 households in 2013. The Educational Institution Survey was carried out on 885 schools in 1998, 952 schools in 2000, 440 primary schools and 24,000 households in 2008 and 663 schools in 2014. A competency based learning achievement test was administered on 2,509 students from 186 schools in 2000, 7,093 students from 440 schools in 2008 and 5,375 students from 309 schools in 2014. These data have been valuable for</w:t>
      </w:r>
      <w:r w:rsidR="00BC22BB" w:rsidRPr="005F120D">
        <w:rPr>
          <w:rFonts w:asciiTheme="minorHAnsi" w:hAnsiTheme="minorHAnsi" w:cstheme="minorHAnsi"/>
          <w:szCs w:val="22"/>
        </w:rPr>
        <w:t xml:space="preserve"> primary education because they</w:t>
      </w:r>
      <w:r w:rsidRPr="005F120D">
        <w:rPr>
          <w:rFonts w:asciiTheme="minorHAnsi" w:hAnsiTheme="minorHAnsi" w:cstheme="minorHAnsi"/>
          <w:szCs w:val="22"/>
        </w:rPr>
        <w:t xml:space="preserve"> were built on previous CAMPE surveys and show trends on some key indicators for the period 1998–2014 (see CAMPE conducted Education Watch 2014 and 2015 reports).</w:t>
      </w:r>
    </w:p>
    <w:p w:rsidR="00421771" w:rsidRPr="005F120D" w:rsidRDefault="00421771" w:rsidP="00C437AA">
      <w:pPr>
        <w:pStyle w:val="ListBullet1"/>
        <w:numPr>
          <w:ilvl w:val="0"/>
          <w:numId w:val="10"/>
        </w:numPr>
        <w:spacing w:after="240" w:line="276" w:lineRule="auto"/>
        <w:jc w:val="both"/>
        <w:rPr>
          <w:rFonts w:asciiTheme="minorHAnsi" w:hAnsiTheme="minorHAnsi" w:cstheme="minorHAnsi"/>
          <w:szCs w:val="22"/>
        </w:rPr>
      </w:pPr>
      <w:r w:rsidRPr="005F120D">
        <w:rPr>
          <w:rFonts w:asciiTheme="minorHAnsi" w:hAnsiTheme="minorHAnsi" w:cstheme="minorHAnsi"/>
          <w:b/>
          <w:bCs/>
          <w:color w:val="3333CC"/>
          <w:szCs w:val="22"/>
        </w:rPr>
        <w:t>Bangladesh B</w:t>
      </w:r>
      <w:r w:rsidRPr="005F120D">
        <w:rPr>
          <w:rFonts w:asciiTheme="minorHAnsi" w:hAnsiTheme="minorHAnsi" w:cstheme="minorHAnsi"/>
          <w:b/>
          <w:color w:val="3333CC"/>
          <w:szCs w:val="22"/>
        </w:rPr>
        <w:t>ureau</w:t>
      </w:r>
      <w:r w:rsidRPr="005F120D">
        <w:rPr>
          <w:rFonts w:asciiTheme="minorHAnsi" w:hAnsiTheme="minorHAnsi" w:cstheme="minorHAnsi"/>
          <w:b/>
          <w:bCs/>
          <w:color w:val="3333CC"/>
          <w:szCs w:val="22"/>
        </w:rPr>
        <w:t xml:space="preserve"> of Educational Information and Statistics (BANBEIS) data:</w:t>
      </w:r>
      <w:r w:rsidR="00FE7D24">
        <w:rPr>
          <w:rFonts w:asciiTheme="minorHAnsi" w:hAnsiTheme="minorHAnsi" w:cstheme="minorHAnsi"/>
          <w:b/>
          <w:bCs/>
          <w:color w:val="3333CC"/>
          <w:szCs w:val="22"/>
        </w:rPr>
        <w:t xml:space="preserve"> </w:t>
      </w:r>
      <w:r w:rsidRPr="005F120D">
        <w:rPr>
          <w:rFonts w:asciiTheme="minorHAnsi" w:hAnsiTheme="minorHAnsi" w:cstheme="minorHAnsi"/>
          <w:bCs/>
          <w:szCs w:val="22"/>
        </w:rPr>
        <w:t>The BANBEIS prepares reports on secondary education, which help DPE t</w:t>
      </w:r>
      <w:r w:rsidR="00BC22BB" w:rsidRPr="005F120D">
        <w:rPr>
          <w:rFonts w:asciiTheme="minorHAnsi" w:hAnsiTheme="minorHAnsi" w:cstheme="minorHAnsi"/>
          <w:bCs/>
          <w:szCs w:val="22"/>
        </w:rPr>
        <w:t>o calculate transition rate to G</w:t>
      </w:r>
      <w:r w:rsidRPr="005F120D">
        <w:rPr>
          <w:rFonts w:asciiTheme="minorHAnsi" w:hAnsiTheme="minorHAnsi" w:cstheme="minorHAnsi"/>
          <w:bCs/>
          <w:szCs w:val="22"/>
        </w:rPr>
        <w:t xml:space="preserve">rade 6 (number of new entrant in Grade </w:t>
      </w:r>
      <w:r w:rsidR="00BC22BB" w:rsidRPr="005F120D">
        <w:rPr>
          <w:rFonts w:asciiTheme="minorHAnsi" w:hAnsiTheme="minorHAnsi" w:cstheme="minorHAnsi"/>
          <w:bCs/>
          <w:szCs w:val="22"/>
        </w:rPr>
        <w:t>6</w:t>
      </w:r>
      <w:r w:rsidRPr="005F120D">
        <w:rPr>
          <w:rFonts w:asciiTheme="minorHAnsi" w:hAnsiTheme="minorHAnsi" w:cstheme="minorHAnsi"/>
          <w:bCs/>
          <w:szCs w:val="22"/>
        </w:rPr>
        <w:t>).</w:t>
      </w:r>
    </w:p>
    <w:p w:rsidR="00BD7FF6" w:rsidRPr="005F120D" w:rsidRDefault="00C429B7" w:rsidP="00C437AA">
      <w:pPr>
        <w:autoSpaceDE w:val="0"/>
        <w:autoSpaceDN w:val="0"/>
        <w:adjustRightInd w:val="0"/>
        <w:spacing w:after="0" w:line="276" w:lineRule="auto"/>
        <w:rPr>
          <w:rFonts w:asciiTheme="minorHAnsi" w:hAnsiTheme="minorHAnsi" w:cstheme="minorHAnsi"/>
          <w:szCs w:val="22"/>
        </w:rPr>
      </w:pPr>
      <w:r w:rsidRPr="005F120D">
        <w:rPr>
          <w:rFonts w:asciiTheme="minorHAnsi" w:hAnsiTheme="minorHAnsi" w:cstheme="minorHAnsi"/>
          <w:szCs w:val="22"/>
        </w:rPr>
        <w:t>T</w:t>
      </w:r>
      <w:r w:rsidR="00421771" w:rsidRPr="005F120D">
        <w:rPr>
          <w:rFonts w:asciiTheme="minorHAnsi" w:hAnsiTheme="minorHAnsi" w:cstheme="minorHAnsi"/>
          <w:szCs w:val="22"/>
        </w:rPr>
        <w:t>he 2016 ASPR draws findings from the new World Bank education sector review report: “</w:t>
      </w:r>
      <w:r w:rsidR="00421771" w:rsidRPr="005F120D">
        <w:rPr>
          <w:rFonts w:asciiTheme="minorHAnsi" w:hAnsiTheme="minorHAnsi" w:cstheme="minorHAnsi"/>
          <w:i/>
          <w:szCs w:val="22"/>
        </w:rPr>
        <w:t>Seeding Fertile Ground: Education That Works for Bangladesh</w:t>
      </w:r>
      <w:r w:rsidR="00421771" w:rsidRPr="005F120D">
        <w:rPr>
          <w:rFonts w:asciiTheme="minorHAnsi" w:hAnsiTheme="minorHAnsi" w:cstheme="minorHAnsi"/>
          <w:szCs w:val="22"/>
        </w:rPr>
        <w:t xml:space="preserve">”, published in early 2014, and </w:t>
      </w:r>
      <w:r w:rsidR="00421771" w:rsidRPr="005F120D">
        <w:rPr>
          <w:rFonts w:asciiTheme="minorHAnsi" w:hAnsiTheme="minorHAnsi" w:cstheme="minorHAnsi"/>
          <w:szCs w:val="22"/>
          <w:lang w:eastAsia="ja-JP"/>
        </w:rPr>
        <w:t>The Dissonance between Schooling and Learning: Evidence from Rural Bangladesh by M Niaz Asadullah and Nazmul Chaudhury</w:t>
      </w:r>
      <w:r w:rsidR="00421771" w:rsidRPr="005F120D">
        <w:rPr>
          <w:rFonts w:asciiTheme="minorHAnsi" w:hAnsiTheme="minorHAnsi" w:cstheme="minorHAnsi"/>
          <w:szCs w:val="22"/>
        </w:rPr>
        <w:t>. The ASPR 2016 also draws findings from the Mid-Term Review studies (5 studies) and Mid-Term Review report on Bangladesh Third Primary Education Development Program</w:t>
      </w:r>
      <w:r w:rsidR="0074296E" w:rsidRPr="005F120D">
        <w:rPr>
          <w:rFonts w:asciiTheme="minorHAnsi" w:hAnsiTheme="minorHAnsi" w:cstheme="minorHAnsi"/>
          <w:szCs w:val="22"/>
        </w:rPr>
        <w:t xml:space="preserve"> (2014)</w:t>
      </w:r>
      <w:r w:rsidR="009422A7" w:rsidRPr="005F120D">
        <w:rPr>
          <w:rFonts w:asciiTheme="minorHAnsi" w:hAnsiTheme="minorHAnsi" w:cstheme="minorHAnsi"/>
          <w:szCs w:val="22"/>
        </w:rPr>
        <w:t>.</w:t>
      </w:r>
    </w:p>
    <w:p w:rsidR="00D42A30" w:rsidRPr="005F120D" w:rsidRDefault="00D42A30" w:rsidP="00C437AA">
      <w:pPr>
        <w:autoSpaceDE w:val="0"/>
        <w:autoSpaceDN w:val="0"/>
        <w:adjustRightInd w:val="0"/>
        <w:spacing w:after="0" w:line="276" w:lineRule="auto"/>
        <w:rPr>
          <w:rFonts w:asciiTheme="minorHAnsi" w:hAnsiTheme="minorHAnsi" w:cstheme="minorHAnsi"/>
          <w:szCs w:val="22"/>
        </w:rPr>
      </w:pPr>
    </w:p>
    <w:p w:rsidR="00D42A30" w:rsidRPr="005F120D" w:rsidRDefault="00D42A30" w:rsidP="00C437AA">
      <w:pPr>
        <w:autoSpaceDE w:val="0"/>
        <w:autoSpaceDN w:val="0"/>
        <w:adjustRightInd w:val="0"/>
        <w:spacing w:after="0" w:line="276" w:lineRule="auto"/>
        <w:rPr>
          <w:rFonts w:asciiTheme="minorHAnsi" w:hAnsiTheme="minorHAnsi" w:cstheme="minorHAnsi"/>
          <w:szCs w:val="22"/>
        </w:rPr>
      </w:pPr>
    </w:p>
    <w:p w:rsidR="00D42A30" w:rsidRPr="005F120D" w:rsidRDefault="00D42A30" w:rsidP="00C437AA">
      <w:pPr>
        <w:autoSpaceDE w:val="0"/>
        <w:autoSpaceDN w:val="0"/>
        <w:adjustRightInd w:val="0"/>
        <w:spacing w:after="0" w:line="276" w:lineRule="auto"/>
        <w:rPr>
          <w:rFonts w:asciiTheme="minorHAnsi" w:hAnsiTheme="minorHAnsi" w:cstheme="minorHAnsi"/>
          <w:szCs w:val="22"/>
        </w:rPr>
      </w:pPr>
    </w:p>
    <w:p w:rsidR="00D42A30" w:rsidRPr="005F120D" w:rsidRDefault="00D42A30" w:rsidP="00C437AA">
      <w:pPr>
        <w:autoSpaceDE w:val="0"/>
        <w:autoSpaceDN w:val="0"/>
        <w:adjustRightInd w:val="0"/>
        <w:spacing w:after="0" w:line="276" w:lineRule="auto"/>
        <w:rPr>
          <w:rFonts w:asciiTheme="minorHAnsi" w:hAnsiTheme="minorHAnsi" w:cstheme="minorHAnsi"/>
          <w:szCs w:val="22"/>
        </w:rPr>
      </w:pPr>
    </w:p>
    <w:p w:rsidR="00166692" w:rsidRPr="005F120D" w:rsidRDefault="00166692" w:rsidP="00C437AA">
      <w:pPr>
        <w:autoSpaceDE w:val="0"/>
        <w:autoSpaceDN w:val="0"/>
        <w:adjustRightInd w:val="0"/>
        <w:spacing w:after="0" w:line="276" w:lineRule="auto"/>
        <w:rPr>
          <w:rFonts w:asciiTheme="minorHAnsi" w:hAnsiTheme="minorHAnsi" w:cstheme="minorHAnsi"/>
          <w:szCs w:val="22"/>
        </w:rPr>
      </w:pPr>
    </w:p>
    <w:p w:rsidR="00D42A30" w:rsidRPr="005F120D" w:rsidRDefault="00D42A30" w:rsidP="00C437AA">
      <w:pPr>
        <w:autoSpaceDE w:val="0"/>
        <w:autoSpaceDN w:val="0"/>
        <w:adjustRightInd w:val="0"/>
        <w:spacing w:after="0" w:line="276" w:lineRule="auto"/>
        <w:rPr>
          <w:rFonts w:asciiTheme="minorHAnsi" w:hAnsiTheme="minorHAnsi" w:cstheme="minorHAnsi"/>
          <w:szCs w:val="22"/>
        </w:rPr>
      </w:pPr>
    </w:p>
    <w:p w:rsidR="00E524BA" w:rsidRPr="005F120D" w:rsidRDefault="00AF5E85" w:rsidP="00C437AA">
      <w:pPr>
        <w:pStyle w:val="Heading2"/>
        <w:spacing w:line="276" w:lineRule="auto"/>
        <w:rPr>
          <w:rFonts w:cstheme="minorHAnsi"/>
          <w:szCs w:val="22"/>
        </w:rPr>
      </w:pPr>
      <w:bookmarkStart w:id="26" w:name="_Toc462837172"/>
      <w:r w:rsidRPr="005F120D">
        <w:rPr>
          <w:rFonts w:cstheme="minorHAnsi"/>
          <w:szCs w:val="22"/>
        </w:rPr>
        <w:lastRenderedPageBreak/>
        <w:t>Data on Primary E</w:t>
      </w:r>
      <w:r w:rsidR="00E524BA" w:rsidRPr="005F120D">
        <w:rPr>
          <w:rFonts w:cstheme="minorHAnsi"/>
          <w:szCs w:val="22"/>
        </w:rPr>
        <w:t>ducation</w:t>
      </w:r>
      <w:bookmarkEnd w:id="26"/>
    </w:p>
    <w:p w:rsidR="00E0530E" w:rsidRPr="005F120D" w:rsidRDefault="00E0530E" w:rsidP="004E77B3">
      <w:pPr>
        <w:pStyle w:val="Heading3"/>
      </w:pPr>
      <w:r w:rsidRPr="005F120D">
        <w:t>Basic Statistics On Primary Education</w:t>
      </w:r>
    </w:p>
    <w:p w:rsidR="00FE19ED" w:rsidRPr="005F120D" w:rsidRDefault="00FE19ED" w:rsidP="00C437AA">
      <w:pPr>
        <w:spacing w:line="276" w:lineRule="auto"/>
        <w:jc w:val="both"/>
        <w:rPr>
          <w:rFonts w:asciiTheme="minorHAnsi" w:hAnsiTheme="minorHAnsi" w:cstheme="minorHAnsi"/>
          <w:szCs w:val="22"/>
        </w:rPr>
      </w:pPr>
      <w:bookmarkStart w:id="27" w:name="_Ref386792622"/>
      <w:r w:rsidRPr="005F120D">
        <w:rPr>
          <w:rFonts w:asciiTheme="minorHAnsi" w:hAnsiTheme="minorHAnsi" w:cstheme="minorHAnsi"/>
          <w:szCs w:val="22"/>
        </w:rPr>
        <w:t>In the 2015 APSC</w:t>
      </w:r>
      <w:r w:rsidR="006C466A" w:rsidRPr="005F120D">
        <w:rPr>
          <w:rFonts w:asciiTheme="minorHAnsi" w:hAnsiTheme="minorHAnsi" w:cstheme="minorHAnsi"/>
          <w:szCs w:val="22"/>
        </w:rPr>
        <w:t>, DPE collected data from the 25</w:t>
      </w:r>
      <w:r w:rsidRPr="005F120D">
        <w:rPr>
          <w:rFonts w:asciiTheme="minorHAnsi" w:hAnsiTheme="minorHAnsi" w:cstheme="minorHAnsi"/>
          <w:szCs w:val="22"/>
        </w:rPr>
        <w:t xml:space="preserve"> different types of formal and non-formal</w:t>
      </w:r>
      <w:r w:rsidR="006C466A" w:rsidRPr="005F120D">
        <w:rPr>
          <w:rFonts w:asciiTheme="minorHAnsi" w:hAnsiTheme="minorHAnsi" w:cstheme="minorHAnsi"/>
          <w:szCs w:val="22"/>
        </w:rPr>
        <w:t xml:space="preserve"> primary educational institutes</w:t>
      </w:r>
      <w:r w:rsidRPr="005F120D">
        <w:rPr>
          <w:rFonts w:asciiTheme="minorHAnsi" w:hAnsiTheme="minorHAnsi" w:cstheme="minorHAnsi"/>
          <w:szCs w:val="22"/>
        </w:rPr>
        <w:t xml:space="preserve">. For the preparation of ASPR 2016 report, data are clustered for 14 main categories of schools in line with previous ASPRs (10 types of formal and 4 types </w:t>
      </w:r>
      <w:r w:rsidR="006C466A" w:rsidRPr="005F120D">
        <w:rPr>
          <w:rFonts w:asciiTheme="minorHAnsi" w:hAnsiTheme="minorHAnsi" w:cstheme="minorHAnsi"/>
          <w:szCs w:val="22"/>
        </w:rPr>
        <w:t>of non-formal schools)</w:t>
      </w:r>
      <w:r w:rsidR="00963935" w:rsidRPr="005F120D">
        <w:rPr>
          <w:rFonts w:asciiTheme="minorHAnsi" w:hAnsiTheme="minorHAnsi" w:cstheme="minorHAnsi"/>
          <w:szCs w:val="22"/>
        </w:rPr>
        <w:t>. This</w:t>
      </w:r>
      <w:r w:rsidR="006C466A" w:rsidRPr="005F120D">
        <w:rPr>
          <w:rFonts w:asciiTheme="minorHAnsi" w:hAnsiTheme="minorHAnsi" w:cstheme="minorHAnsi"/>
          <w:szCs w:val="22"/>
        </w:rPr>
        <w:t xml:space="preserve"> includes</w:t>
      </w:r>
      <w:r w:rsidR="00C4591B">
        <w:rPr>
          <w:rFonts w:asciiTheme="minorHAnsi" w:hAnsiTheme="minorHAnsi" w:cstheme="minorHAnsi"/>
          <w:szCs w:val="22"/>
        </w:rPr>
        <w:t xml:space="preserve"> </w:t>
      </w:r>
      <w:r w:rsidR="00963935" w:rsidRPr="005F120D">
        <w:rPr>
          <w:rFonts w:asciiTheme="minorHAnsi" w:hAnsiTheme="minorHAnsi" w:cstheme="minorHAnsi"/>
          <w:szCs w:val="22"/>
        </w:rPr>
        <w:t xml:space="preserve">one category titled “Other”, which includes </w:t>
      </w:r>
      <w:r w:rsidRPr="005F120D">
        <w:rPr>
          <w:rFonts w:asciiTheme="minorHAnsi" w:hAnsiTheme="minorHAnsi" w:cstheme="minorHAnsi"/>
          <w:szCs w:val="22"/>
        </w:rPr>
        <w:t>10 types of formal and non-formal</w:t>
      </w:r>
      <w:r w:rsidR="00963935" w:rsidRPr="005F120D">
        <w:rPr>
          <w:rFonts w:asciiTheme="minorHAnsi" w:hAnsiTheme="minorHAnsi" w:cstheme="minorHAnsi"/>
          <w:szCs w:val="22"/>
        </w:rPr>
        <w:t xml:space="preserve"> schools</w:t>
      </w:r>
      <w:r w:rsidRPr="005F120D">
        <w:rPr>
          <w:rFonts w:asciiTheme="minorHAnsi" w:hAnsiTheme="minorHAnsi" w:cstheme="minorHAnsi"/>
          <w:szCs w:val="22"/>
        </w:rPr>
        <w:t>. Other categories comprise 10 types of very small Learning Centers such as (i)</w:t>
      </w:r>
      <w:r w:rsidR="00E1744D" w:rsidRPr="005F120D">
        <w:rPr>
          <w:rFonts w:asciiTheme="minorHAnsi" w:hAnsiTheme="minorHAnsi" w:cstheme="minorHAnsi"/>
          <w:szCs w:val="22"/>
        </w:rPr>
        <w:t xml:space="preserve"> Mosque-based LCs, (ii) Temple-</w:t>
      </w:r>
      <w:r w:rsidRPr="005F120D">
        <w:rPr>
          <w:rFonts w:asciiTheme="minorHAnsi" w:hAnsiTheme="minorHAnsi" w:cstheme="minorHAnsi"/>
          <w:szCs w:val="22"/>
        </w:rPr>
        <w:t>based LCs,(iii) Jail schools, (iv) Tea Garden schools, (v) Chittagong Hill Tracts Council managed schools, (vi) Schools for the Deaf and Dumb, (vii) Social welfare based LCs, (viii) Schools</w:t>
      </w:r>
      <w:r w:rsidR="00685E7D">
        <w:rPr>
          <w:rFonts w:asciiTheme="minorHAnsi" w:hAnsiTheme="minorHAnsi" w:cstheme="minorHAnsi"/>
          <w:szCs w:val="22"/>
        </w:rPr>
        <w:t xml:space="preserve"> for blind, (ix) Quami M</w:t>
      </w:r>
      <w:r w:rsidR="0089702D">
        <w:rPr>
          <w:rFonts w:asciiTheme="minorHAnsi" w:hAnsiTheme="minorHAnsi" w:cstheme="minorHAnsi"/>
          <w:szCs w:val="22"/>
        </w:rPr>
        <w:t>adrasha</w:t>
      </w:r>
      <w:r w:rsidRPr="005F120D">
        <w:rPr>
          <w:rFonts w:asciiTheme="minorHAnsi" w:hAnsiTheme="minorHAnsi" w:cstheme="minorHAnsi"/>
          <w:szCs w:val="22"/>
        </w:rPr>
        <w:t xml:space="preserve"> and (x) Other types. The</w:t>
      </w:r>
      <w:r w:rsidR="00B3002B" w:rsidRPr="005F120D">
        <w:rPr>
          <w:rFonts w:asciiTheme="minorHAnsi" w:hAnsiTheme="minorHAnsi" w:cstheme="minorHAnsi"/>
          <w:szCs w:val="22"/>
        </w:rPr>
        <w:t xml:space="preserve"> other school categories</w:t>
      </w:r>
      <w:r w:rsidRPr="005F120D">
        <w:rPr>
          <w:rFonts w:asciiTheme="minorHAnsi" w:hAnsiTheme="minorHAnsi" w:cstheme="minorHAnsi"/>
          <w:szCs w:val="22"/>
        </w:rPr>
        <w:t xml:space="preserve"> are run by private, non-government and autonomous organizations, rather than by DPE. </w:t>
      </w:r>
    </w:p>
    <w:p w:rsidR="00FE19ED" w:rsidRPr="005F120D" w:rsidRDefault="00FE19ED" w:rsidP="00C437AA">
      <w:pPr>
        <w:spacing w:line="276" w:lineRule="auto"/>
        <w:jc w:val="both"/>
        <w:rPr>
          <w:rFonts w:asciiTheme="minorHAnsi" w:hAnsiTheme="minorHAnsi" w:cstheme="minorHAnsi"/>
          <w:szCs w:val="22"/>
        </w:rPr>
      </w:pPr>
      <w:r w:rsidRPr="005F120D">
        <w:rPr>
          <w:rFonts w:asciiTheme="minorHAnsi" w:hAnsiTheme="minorHAnsi" w:cstheme="minorHAnsi"/>
          <w:szCs w:val="22"/>
        </w:rPr>
        <w:t>The follow</w:t>
      </w:r>
      <w:r w:rsidR="00E1744D" w:rsidRPr="005F120D">
        <w:rPr>
          <w:rFonts w:asciiTheme="minorHAnsi" w:hAnsiTheme="minorHAnsi" w:cstheme="minorHAnsi"/>
          <w:szCs w:val="22"/>
        </w:rPr>
        <w:t>ing Tables 1.1 presents by type</w:t>
      </w:r>
      <w:r w:rsidRPr="005F120D">
        <w:rPr>
          <w:rFonts w:asciiTheme="minorHAnsi" w:hAnsiTheme="minorHAnsi" w:cstheme="minorHAnsi"/>
          <w:szCs w:val="22"/>
        </w:rPr>
        <w:t>, the number of primary schools, primary teachers, enrolled children and student teacher ratio (STR):</w:t>
      </w:r>
    </w:p>
    <w:p w:rsidR="00FE19ED" w:rsidRPr="005F120D" w:rsidRDefault="00FE19ED" w:rsidP="00C437AA">
      <w:pPr>
        <w:numPr>
          <w:ilvl w:val="0"/>
          <w:numId w:val="39"/>
        </w:numPr>
        <w:spacing w:before="240" w:line="276" w:lineRule="auto"/>
        <w:contextualSpacing/>
        <w:jc w:val="both"/>
        <w:rPr>
          <w:rFonts w:asciiTheme="minorHAnsi" w:hAnsiTheme="minorHAnsi" w:cstheme="minorHAnsi"/>
        </w:rPr>
      </w:pPr>
      <w:r w:rsidRPr="005F120D">
        <w:rPr>
          <w:rFonts w:asciiTheme="minorHAnsi" w:hAnsiTheme="minorHAnsi" w:cstheme="minorHAnsi"/>
        </w:rPr>
        <w:t>Total number of schools</w:t>
      </w:r>
      <w:r w:rsidR="00C01801" w:rsidRPr="005F120D">
        <w:rPr>
          <w:rFonts w:asciiTheme="minorHAnsi" w:hAnsiTheme="minorHAnsi" w:cstheme="minorHAnsi"/>
        </w:rPr>
        <w:t xml:space="preserve"> was</w:t>
      </w:r>
      <w:r w:rsidR="00166692" w:rsidRPr="005F120D">
        <w:rPr>
          <w:rFonts w:asciiTheme="minorHAnsi" w:hAnsiTheme="minorHAnsi" w:cstheme="minorHAnsi"/>
        </w:rPr>
        <w:t xml:space="preserve"> 122,176 (25</w:t>
      </w:r>
      <w:r w:rsidRPr="005F120D">
        <w:rPr>
          <w:rFonts w:asciiTheme="minorHAnsi" w:hAnsiTheme="minorHAnsi" w:cstheme="minorHAnsi"/>
        </w:rPr>
        <w:t xml:space="preserve"> different types of schools).  Of the</w:t>
      </w:r>
      <w:r w:rsidR="00C01801" w:rsidRPr="005F120D">
        <w:rPr>
          <w:rFonts w:asciiTheme="minorHAnsi" w:hAnsiTheme="minorHAnsi" w:cstheme="minorHAnsi"/>
        </w:rPr>
        <w:t>se, 3 major types of schools were</w:t>
      </w:r>
      <w:r w:rsidRPr="005F120D">
        <w:rPr>
          <w:rFonts w:asciiTheme="minorHAnsi" w:hAnsiTheme="minorHAnsi" w:cstheme="minorHAnsi"/>
        </w:rPr>
        <w:t xml:space="preserve"> – GPS 31.4%, newly nationalized primary school (NNPS) 20.7% and Kindergartens 15%; </w:t>
      </w:r>
    </w:p>
    <w:p w:rsidR="00FE19ED" w:rsidRPr="005F120D" w:rsidRDefault="00C01801" w:rsidP="00C01801">
      <w:pPr>
        <w:numPr>
          <w:ilvl w:val="0"/>
          <w:numId w:val="39"/>
        </w:numPr>
        <w:spacing w:before="240" w:line="276" w:lineRule="auto"/>
        <w:contextualSpacing/>
        <w:jc w:val="both"/>
        <w:rPr>
          <w:rFonts w:asciiTheme="minorHAnsi" w:hAnsiTheme="minorHAnsi" w:cstheme="minorHAnsi"/>
        </w:rPr>
      </w:pPr>
      <w:r w:rsidRPr="005F120D">
        <w:rPr>
          <w:rFonts w:asciiTheme="minorHAnsi" w:hAnsiTheme="minorHAnsi" w:cstheme="minorHAnsi"/>
        </w:rPr>
        <w:t xml:space="preserve">For the </w:t>
      </w:r>
      <w:r w:rsidR="00E1744D" w:rsidRPr="005F120D">
        <w:rPr>
          <w:rFonts w:asciiTheme="minorHAnsi" w:hAnsiTheme="minorHAnsi" w:cstheme="minorHAnsi"/>
        </w:rPr>
        <w:t>first time</w:t>
      </w:r>
      <w:r w:rsidRPr="005F120D">
        <w:rPr>
          <w:rFonts w:asciiTheme="minorHAnsi" w:hAnsiTheme="minorHAnsi" w:cstheme="minorHAnsi"/>
        </w:rPr>
        <w:t xml:space="preserve"> in 2015</w:t>
      </w:r>
      <w:r w:rsidR="00B3002B" w:rsidRPr="005F120D">
        <w:rPr>
          <w:rFonts w:asciiTheme="minorHAnsi" w:hAnsiTheme="minorHAnsi" w:cstheme="minorHAnsi"/>
        </w:rPr>
        <w:t>,</w:t>
      </w:r>
      <w:r w:rsidR="0089702D">
        <w:rPr>
          <w:rFonts w:asciiTheme="minorHAnsi" w:hAnsiTheme="minorHAnsi" w:cstheme="minorHAnsi"/>
        </w:rPr>
        <w:t xml:space="preserve"> APSC included Quami Madrasha</w:t>
      </w:r>
      <w:r w:rsidR="00FE7D24">
        <w:rPr>
          <w:rFonts w:asciiTheme="minorHAnsi" w:hAnsiTheme="minorHAnsi" w:cstheme="minorHAnsi"/>
        </w:rPr>
        <w:t xml:space="preserve"> </w:t>
      </w:r>
      <w:r w:rsidR="00FE19ED" w:rsidRPr="005F120D">
        <w:rPr>
          <w:rFonts w:asciiTheme="minorHAnsi" w:hAnsiTheme="minorHAnsi" w:cstheme="minorHAnsi"/>
        </w:rPr>
        <w:t xml:space="preserve">but </w:t>
      </w:r>
      <w:r w:rsidRPr="005F120D">
        <w:rPr>
          <w:rFonts w:asciiTheme="minorHAnsi" w:hAnsiTheme="minorHAnsi" w:cstheme="minorHAnsi"/>
        </w:rPr>
        <w:t>the coverage was</w:t>
      </w:r>
      <w:r w:rsidR="009E4E98" w:rsidRPr="005F120D">
        <w:rPr>
          <w:rFonts w:asciiTheme="minorHAnsi" w:hAnsiTheme="minorHAnsi" w:cstheme="minorHAnsi"/>
        </w:rPr>
        <w:t xml:space="preserve"> not significant</w:t>
      </w:r>
      <w:r w:rsidR="00132393" w:rsidRPr="005F120D">
        <w:rPr>
          <w:rFonts w:asciiTheme="minorHAnsi" w:hAnsiTheme="minorHAnsi" w:cstheme="minorHAnsi"/>
        </w:rPr>
        <w:t xml:space="preserve"> (only </w:t>
      </w:r>
      <w:r w:rsidR="004F6152" w:rsidRPr="005F120D">
        <w:rPr>
          <w:rFonts w:asciiTheme="minorHAnsi" w:hAnsiTheme="minorHAnsi" w:cstheme="minorHAnsi"/>
        </w:rPr>
        <w:t xml:space="preserve">103 </w:t>
      </w:r>
      <w:r w:rsidR="0089702D">
        <w:rPr>
          <w:rFonts w:asciiTheme="minorHAnsi" w:hAnsiTheme="minorHAnsi" w:cstheme="minorHAnsi"/>
        </w:rPr>
        <w:t>Quami Madrasha</w:t>
      </w:r>
      <w:r w:rsidR="00893EE0" w:rsidRPr="005F120D">
        <w:rPr>
          <w:rFonts w:asciiTheme="minorHAnsi" w:hAnsiTheme="minorHAnsi" w:cstheme="minorHAnsi"/>
        </w:rPr>
        <w:t xml:space="preserve"> included</w:t>
      </w:r>
      <w:r w:rsidR="00132393" w:rsidRPr="005F120D">
        <w:rPr>
          <w:rFonts w:asciiTheme="minorHAnsi" w:hAnsiTheme="minorHAnsi" w:cstheme="minorHAnsi"/>
        </w:rPr>
        <w:t>)</w:t>
      </w:r>
      <w:r w:rsidR="009E4E98" w:rsidRPr="005F120D">
        <w:rPr>
          <w:rFonts w:asciiTheme="minorHAnsi" w:hAnsiTheme="minorHAnsi" w:cstheme="minorHAnsi"/>
        </w:rPr>
        <w:t>.It is hoped</w:t>
      </w:r>
      <w:r w:rsidR="00FE19ED" w:rsidRPr="005F120D">
        <w:rPr>
          <w:rFonts w:asciiTheme="minorHAnsi" w:hAnsiTheme="minorHAnsi" w:cstheme="minorHAnsi"/>
        </w:rPr>
        <w:t xml:space="preserve"> coverage will be increased in future census</w:t>
      </w:r>
      <w:r w:rsidR="00E1744D" w:rsidRPr="005F120D">
        <w:rPr>
          <w:rFonts w:asciiTheme="minorHAnsi" w:hAnsiTheme="minorHAnsi" w:cstheme="minorHAnsi"/>
        </w:rPr>
        <w:t>es</w:t>
      </w:r>
      <w:r w:rsidR="00FE19ED" w:rsidRPr="005F120D">
        <w:rPr>
          <w:rFonts w:asciiTheme="minorHAnsi" w:hAnsiTheme="minorHAnsi" w:cstheme="minorHAnsi"/>
        </w:rPr>
        <w:t>.</w:t>
      </w:r>
    </w:p>
    <w:p w:rsidR="00FE19ED" w:rsidRPr="005F120D" w:rsidRDefault="00FE19ED" w:rsidP="00C437AA">
      <w:pPr>
        <w:spacing w:before="240" w:line="276" w:lineRule="auto"/>
        <w:ind w:left="720"/>
        <w:contextualSpacing/>
        <w:jc w:val="both"/>
        <w:rPr>
          <w:rFonts w:asciiTheme="minorHAnsi" w:hAnsiTheme="minorHAnsi" w:cstheme="minorHAnsi"/>
          <w:sz w:val="8"/>
        </w:rPr>
      </w:pPr>
    </w:p>
    <w:p w:rsidR="00FE19ED" w:rsidRPr="005F120D" w:rsidRDefault="00FE19ED" w:rsidP="00C437AA">
      <w:pPr>
        <w:numPr>
          <w:ilvl w:val="0"/>
          <w:numId w:val="39"/>
        </w:numPr>
        <w:spacing w:before="240" w:line="276" w:lineRule="auto"/>
        <w:contextualSpacing/>
        <w:jc w:val="both"/>
        <w:rPr>
          <w:rFonts w:asciiTheme="minorHAnsi" w:hAnsiTheme="minorHAnsi" w:cstheme="minorHAnsi"/>
        </w:rPr>
      </w:pPr>
      <w:r w:rsidRPr="005F120D">
        <w:rPr>
          <w:rFonts w:asciiTheme="minorHAnsi" w:hAnsiTheme="minorHAnsi" w:cstheme="minorHAnsi"/>
        </w:rPr>
        <w:t xml:space="preserve">Total </w:t>
      </w:r>
      <w:r w:rsidR="00E1744D" w:rsidRPr="005F120D">
        <w:rPr>
          <w:rFonts w:asciiTheme="minorHAnsi" w:hAnsiTheme="minorHAnsi" w:cstheme="minorHAnsi"/>
        </w:rPr>
        <w:t xml:space="preserve">number of </w:t>
      </w:r>
      <w:r w:rsidRPr="005F120D">
        <w:rPr>
          <w:rFonts w:asciiTheme="minorHAnsi" w:hAnsiTheme="minorHAnsi" w:cstheme="minorHAnsi"/>
        </w:rPr>
        <w:t xml:space="preserve">enrolled children in Grades </w:t>
      </w:r>
      <w:r w:rsidR="00E1744D" w:rsidRPr="005F120D">
        <w:rPr>
          <w:rFonts w:asciiTheme="minorHAnsi" w:hAnsiTheme="minorHAnsi" w:cstheme="minorHAnsi"/>
        </w:rPr>
        <w:t>1</w:t>
      </w:r>
      <w:r w:rsidRPr="005F120D">
        <w:rPr>
          <w:rFonts w:asciiTheme="minorHAnsi" w:hAnsiTheme="minorHAnsi" w:cstheme="minorHAnsi"/>
        </w:rPr>
        <w:t xml:space="preserve"> to </w:t>
      </w:r>
      <w:r w:rsidR="00E1744D" w:rsidRPr="005F120D">
        <w:rPr>
          <w:rFonts w:asciiTheme="minorHAnsi" w:hAnsiTheme="minorHAnsi" w:cstheme="minorHAnsi"/>
        </w:rPr>
        <w:t>5</w:t>
      </w:r>
      <w:r w:rsidR="00C01801" w:rsidRPr="005F120D">
        <w:rPr>
          <w:rFonts w:asciiTheme="minorHAnsi" w:hAnsiTheme="minorHAnsi" w:cstheme="minorHAnsi"/>
        </w:rPr>
        <w:t xml:space="preserve"> was</w:t>
      </w:r>
      <w:r w:rsidRPr="005F120D">
        <w:rPr>
          <w:rFonts w:asciiTheme="minorHAnsi" w:hAnsiTheme="minorHAnsi" w:cstheme="minorHAnsi"/>
          <w:lang w:val="en-GB"/>
        </w:rPr>
        <w:t>19,067,761</w:t>
      </w:r>
      <w:r w:rsidR="00893EE0" w:rsidRPr="005F120D">
        <w:rPr>
          <w:rFonts w:asciiTheme="minorHAnsi" w:hAnsiTheme="minorHAnsi" w:cstheme="minorHAnsi"/>
          <w:lang w:val="en-GB"/>
        </w:rPr>
        <w:t>,</w:t>
      </w:r>
      <w:r w:rsidRPr="005F120D">
        <w:rPr>
          <w:rFonts w:asciiTheme="minorHAnsi" w:hAnsiTheme="minorHAnsi" w:cstheme="minorHAnsi"/>
        </w:rPr>
        <w:t xml:space="preserve"> of which g</w:t>
      </w:r>
      <w:r w:rsidR="00C01801" w:rsidRPr="005F120D">
        <w:rPr>
          <w:rFonts w:asciiTheme="minorHAnsi" w:hAnsiTheme="minorHAnsi" w:cstheme="minorHAnsi"/>
        </w:rPr>
        <w:t>irl students were</w:t>
      </w:r>
      <w:r w:rsidRPr="005F120D">
        <w:rPr>
          <w:rFonts w:asciiTheme="minorHAnsi" w:hAnsiTheme="minorHAnsi" w:cstheme="minorHAnsi"/>
          <w:lang w:val="en-GB"/>
        </w:rPr>
        <w:t>9,698,682</w:t>
      </w:r>
      <w:r w:rsidRPr="005F120D">
        <w:rPr>
          <w:rFonts w:asciiTheme="minorHAnsi" w:hAnsiTheme="minorHAnsi" w:cstheme="minorHAnsi"/>
        </w:rPr>
        <w:t xml:space="preserve"> (50.9%). The percentage of girls in the two major categories of schools - GPS and NNPS– </w:t>
      </w:r>
      <w:r w:rsidR="00E1744D" w:rsidRPr="005F120D">
        <w:rPr>
          <w:rFonts w:asciiTheme="minorHAnsi" w:hAnsiTheme="minorHAnsi" w:cstheme="minorHAnsi"/>
        </w:rPr>
        <w:t>was</w:t>
      </w:r>
      <w:r w:rsidRPr="005F120D">
        <w:rPr>
          <w:rFonts w:asciiTheme="minorHAnsi" w:hAnsiTheme="minorHAnsi" w:cstheme="minorHAnsi"/>
        </w:rPr>
        <w:t xml:space="preserve"> 51.9% and 51.2% respectively;</w:t>
      </w:r>
    </w:p>
    <w:p w:rsidR="00FE19ED" w:rsidRPr="005F120D" w:rsidRDefault="00FE19ED" w:rsidP="00C437AA">
      <w:pPr>
        <w:spacing w:before="240" w:line="276" w:lineRule="auto"/>
        <w:ind w:left="720"/>
        <w:contextualSpacing/>
        <w:jc w:val="both"/>
        <w:rPr>
          <w:rFonts w:asciiTheme="minorHAnsi" w:hAnsiTheme="minorHAnsi" w:cstheme="minorHAnsi"/>
          <w:sz w:val="8"/>
        </w:rPr>
      </w:pPr>
    </w:p>
    <w:p w:rsidR="00FE19ED" w:rsidRPr="005F120D" w:rsidRDefault="00FE19ED" w:rsidP="00C437AA">
      <w:pPr>
        <w:numPr>
          <w:ilvl w:val="0"/>
          <w:numId w:val="39"/>
        </w:numPr>
        <w:spacing w:before="240" w:line="276" w:lineRule="auto"/>
        <w:contextualSpacing/>
        <w:jc w:val="both"/>
        <w:rPr>
          <w:rFonts w:asciiTheme="minorHAnsi" w:hAnsiTheme="minorHAnsi" w:cstheme="minorHAnsi"/>
        </w:rPr>
      </w:pPr>
      <w:r w:rsidRPr="005F120D">
        <w:rPr>
          <w:rFonts w:asciiTheme="minorHAnsi" w:hAnsiTheme="minorHAnsi" w:cstheme="minorHAnsi"/>
        </w:rPr>
        <w:t xml:space="preserve">Total number of teachers </w:t>
      </w:r>
      <w:r w:rsidR="00E1744D" w:rsidRPr="005F120D">
        <w:rPr>
          <w:rFonts w:asciiTheme="minorHAnsi" w:hAnsiTheme="minorHAnsi" w:cstheme="minorHAnsi"/>
        </w:rPr>
        <w:t>was</w:t>
      </w:r>
      <w:r w:rsidRPr="005F120D">
        <w:rPr>
          <w:rFonts w:asciiTheme="minorHAnsi" w:hAnsiTheme="minorHAnsi" w:cstheme="minorHAnsi"/>
          <w:noProof/>
          <w:lang w:val="en-GB"/>
        </w:rPr>
        <w:t>527,798</w:t>
      </w:r>
      <w:r w:rsidRPr="005F120D">
        <w:rPr>
          <w:rFonts w:asciiTheme="minorHAnsi" w:hAnsiTheme="minorHAnsi" w:cstheme="minorHAnsi"/>
        </w:rPr>
        <w:t xml:space="preserve">. Of these teachers, </w:t>
      </w:r>
      <w:r w:rsidRPr="005F120D">
        <w:rPr>
          <w:rFonts w:asciiTheme="minorHAnsi" w:hAnsiTheme="minorHAnsi" w:cstheme="minorHAnsi"/>
          <w:noProof/>
          <w:lang w:val="en-GB"/>
        </w:rPr>
        <w:t xml:space="preserve">314,299 </w:t>
      </w:r>
      <w:r w:rsidRPr="005F120D">
        <w:rPr>
          <w:rFonts w:asciiTheme="minorHAnsi" w:hAnsiTheme="minorHAnsi" w:cstheme="minorHAnsi"/>
        </w:rPr>
        <w:t xml:space="preserve">(59.5%) </w:t>
      </w:r>
      <w:r w:rsidR="00E1744D" w:rsidRPr="005F120D">
        <w:rPr>
          <w:rFonts w:asciiTheme="minorHAnsi" w:hAnsiTheme="minorHAnsi" w:cstheme="minorHAnsi"/>
        </w:rPr>
        <w:t>were</w:t>
      </w:r>
      <w:r w:rsidRPr="005F120D">
        <w:rPr>
          <w:rFonts w:asciiTheme="minorHAnsi" w:hAnsiTheme="minorHAnsi" w:cstheme="minorHAnsi"/>
        </w:rPr>
        <w:t xml:space="preserve"> female. The percentages of female teachers in the two major categories of schools - GPS and NNPS – </w:t>
      </w:r>
      <w:r w:rsidR="00E1744D" w:rsidRPr="005F120D">
        <w:rPr>
          <w:rFonts w:asciiTheme="minorHAnsi" w:hAnsiTheme="minorHAnsi" w:cstheme="minorHAnsi"/>
        </w:rPr>
        <w:t>were</w:t>
      </w:r>
      <w:r w:rsidRPr="005F120D">
        <w:rPr>
          <w:rFonts w:asciiTheme="minorHAnsi" w:hAnsiTheme="minorHAnsi" w:cstheme="minorHAnsi"/>
        </w:rPr>
        <w:t xml:space="preserve"> 66.4% and 51% respectively;</w:t>
      </w:r>
    </w:p>
    <w:p w:rsidR="00FE19ED" w:rsidRPr="005F120D" w:rsidRDefault="00FE19ED" w:rsidP="00C437AA">
      <w:pPr>
        <w:spacing w:before="240" w:line="276" w:lineRule="auto"/>
        <w:ind w:left="720"/>
        <w:contextualSpacing/>
        <w:jc w:val="both"/>
        <w:rPr>
          <w:rFonts w:asciiTheme="minorHAnsi" w:hAnsiTheme="minorHAnsi" w:cstheme="minorHAnsi"/>
          <w:sz w:val="8"/>
        </w:rPr>
      </w:pPr>
    </w:p>
    <w:p w:rsidR="00893EE0" w:rsidRPr="005F120D" w:rsidRDefault="00FE19ED" w:rsidP="00893EE0">
      <w:pPr>
        <w:numPr>
          <w:ilvl w:val="0"/>
          <w:numId w:val="39"/>
        </w:numPr>
        <w:spacing w:before="240" w:line="276" w:lineRule="auto"/>
        <w:contextualSpacing/>
        <w:jc w:val="both"/>
        <w:rPr>
          <w:rFonts w:asciiTheme="minorHAnsi" w:hAnsiTheme="minorHAnsi" w:cstheme="minorHAnsi"/>
        </w:rPr>
      </w:pPr>
      <w:r w:rsidRPr="005F120D">
        <w:rPr>
          <w:rFonts w:asciiTheme="minorHAnsi" w:hAnsiTheme="minorHAnsi" w:cstheme="minorHAnsi"/>
        </w:rPr>
        <w:t>Total e</w:t>
      </w:r>
      <w:r w:rsidR="00E1744D" w:rsidRPr="005F120D">
        <w:rPr>
          <w:rFonts w:asciiTheme="minorHAnsi" w:hAnsiTheme="minorHAnsi" w:cstheme="minorHAnsi"/>
        </w:rPr>
        <w:t>nrolment in the KG schools was</w:t>
      </w:r>
      <w:r w:rsidRPr="005F120D">
        <w:rPr>
          <w:rFonts w:asciiTheme="minorHAnsi" w:hAnsiTheme="minorHAnsi" w:cstheme="minorHAnsi"/>
        </w:rPr>
        <w:t>: 2,279,872 (Boys 1,225,445 and Girls 1,054,427)</w:t>
      </w:r>
    </w:p>
    <w:p w:rsidR="00893EE0" w:rsidRPr="005F120D" w:rsidRDefault="00893EE0" w:rsidP="00893EE0">
      <w:pPr>
        <w:spacing w:before="240" w:line="276" w:lineRule="auto"/>
        <w:ind w:left="720"/>
        <w:contextualSpacing/>
        <w:jc w:val="both"/>
        <w:rPr>
          <w:rFonts w:asciiTheme="minorHAnsi" w:hAnsiTheme="minorHAnsi" w:cstheme="minorHAnsi"/>
          <w:sz w:val="8"/>
        </w:rPr>
      </w:pPr>
    </w:p>
    <w:p w:rsidR="00893EE0" w:rsidRPr="005F120D" w:rsidRDefault="00FE19ED" w:rsidP="00893EE0">
      <w:pPr>
        <w:numPr>
          <w:ilvl w:val="0"/>
          <w:numId w:val="39"/>
        </w:numPr>
        <w:spacing w:before="240" w:line="276" w:lineRule="auto"/>
        <w:contextualSpacing/>
        <w:jc w:val="both"/>
        <w:rPr>
          <w:rFonts w:asciiTheme="minorHAnsi" w:hAnsiTheme="minorHAnsi" w:cstheme="minorHAnsi"/>
        </w:rPr>
      </w:pPr>
      <w:r w:rsidRPr="005F120D">
        <w:rPr>
          <w:rFonts w:asciiTheme="minorHAnsi" w:hAnsiTheme="minorHAnsi" w:cstheme="minorHAnsi"/>
        </w:rPr>
        <w:t>Total enrolment in the other categories (10 types) schools</w:t>
      </w:r>
      <w:r w:rsidR="00C01801" w:rsidRPr="005F120D">
        <w:rPr>
          <w:rFonts w:asciiTheme="minorHAnsi" w:hAnsiTheme="minorHAnsi" w:cstheme="minorHAnsi"/>
        </w:rPr>
        <w:t xml:space="preserve"> were</w:t>
      </w:r>
      <w:r w:rsidRPr="005F120D">
        <w:rPr>
          <w:rFonts w:asciiTheme="minorHAnsi" w:hAnsiTheme="minorHAnsi" w:cstheme="minorHAnsi"/>
        </w:rPr>
        <w:t xml:space="preserve">: 57,853 only </w:t>
      </w:r>
      <w:r w:rsidR="00C01801" w:rsidRPr="005F120D">
        <w:rPr>
          <w:rFonts w:asciiTheme="minorHAnsi" w:hAnsiTheme="minorHAnsi" w:cstheme="minorHAnsi"/>
        </w:rPr>
        <w:t>(Boys 31,786 and Girls 26,786); these numbers constituted</w:t>
      </w:r>
      <w:r w:rsidR="00E1744D" w:rsidRPr="005F120D">
        <w:rPr>
          <w:rFonts w:asciiTheme="minorHAnsi" w:hAnsiTheme="minorHAnsi" w:cstheme="minorHAnsi"/>
        </w:rPr>
        <w:t xml:space="preserve"> o</w:t>
      </w:r>
      <w:r w:rsidRPr="005F120D">
        <w:rPr>
          <w:rFonts w:asciiTheme="minorHAnsi" w:hAnsiTheme="minorHAnsi" w:cstheme="minorHAnsi"/>
        </w:rPr>
        <w:t>nly 0.3% of the total enrolment in 2015</w:t>
      </w:r>
      <w:r w:rsidR="008A5970" w:rsidRPr="005F120D">
        <w:rPr>
          <w:rFonts w:asciiTheme="minorHAnsi" w:hAnsiTheme="minorHAnsi" w:cstheme="minorHAnsi"/>
        </w:rPr>
        <w:t>.</w:t>
      </w:r>
    </w:p>
    <w:p w:rsidR="00893EE0" w:rsidRPr="005F120D" w:rsidRDefault="00893EE0" w:rsidP="00893EE0">
      <w:pPr>
        <w:pStyle w:val="ListParagraph"/>
        <w:numPr>
          <w:ilvl w:val="0"/>
          <w:numId w:val="0"/>
        </w:numPr>
        <w:ind w:left="450"/>
        <w:rPr>
          <w:rFonts w:asciiTheme="minorHAnsi" w:hAnsiTheme="minorHAnsi" w:cstheme="minorHAnsi"/>
          <w:b/>
        </w:rPr>
      </w:pPr>
    </w:p>
    <w:p w:rsidR="00893EE0" w:rsidRPr="005F120D" w:rsidRDefault="00893EE0" w:rsidP="00893EE0">
      <w:pPr>
        <w:spacing w:before="240" w:line="276" w:lineRule="auto"/>
        <w:contextualSpacing/>
        <w:jc w:val="both"/>
        <w:rPr>
          <w:rFonts w:asciiTheme="minorHAnsi" w:hAnsiTheme="minorHAnsi" w:cstheme="minorHAnsi"/>
          <w:b/>
        </w:rPr>
      </w:pPr>
    </w:p>
    <w:p w:rsidR="00893EE0" w:rsidRPr="005F120D" w:rsidRDefault="00893EE0" w:rsidP="00893EE0">
      <w:pPr>
        <w:spacing w:before="240" w:line="276" w:lineRule="auto"/>
        <w:contextualSpacing/>
        <w:jc w:val="both"/>
        <w:rPr>
          <w:rFonts w:asciiTheme="minorHAnsi" w:hAnsiTheme="minorHAnsi" w:cstheme="minorHAnsi"/>
          <w:b/>
        </w:rPr>
      </w:pPr>
    </w:p>
    <w:p w:rsidR="00893EE0" w:rsidRPr="005F120D" w:rsidRDefault="00893EE0" w:rsidP="00893EE0">
      <w:pPr>
        <w:spacing w:before="240" w:line="276" w:lineRule="auto"/>
        <w:contextualSpacing/>
        <w:jc w:val="both"/>
        <w:rPr>
          <w:rFonts w:asciiTheme="minorHAnsi" w:hAnsiTheme="minorHAnsi" w:cstheme="minorHAnsi"/>
          <w:b/>
        </w:rPr>
      </w:pPr>
    </w:p>
    <w:p w:rsidR="00893EE0" w:rsidRPr="005F120D" w:rsidRDefault="00893EE0" w:rsidP="00893EE0">
      <w:pPr>
        <w:spacing w:before="240" w:line="276" w:lineRule="auto"/>
        <w:contextualSpacing/>
        <w:jc w:val="both"/>
        <w:rPr>
          <w:rFonts w:asciiTheme="minorHAnsi" w:hAnsiTheme="minorHAnsi" w:cstheme="minorHAnsi"/>
          <w:b/>
        </w:rPr>
      </w:pPr>
    </w:p>
    <w:p w:rsidR="00893EE0" w:rsidRPr="005F120D" w:rsidRDefault="00893EE0" w:rsidP="00893EE0">
      <w:pPr>
        <w:spacing w:before="240" w:line="276" w:lineRule="auto"/>
        <w:contextualSpacing/>
        <w:jc w:val="both"/>
        <w:rPr>
          <w:rFonts w:asciiTheme="minorHAnsi" w:hAnsiTheme="minorHAnsi" w:cstheme="minorHAnsi"/>
          <w:b/>
        </w:rPr>
      </w:pPr>
    </w:p>
    <w:p w:rsidR="00893EE0" w:rsidRPr="005F120D" w:rsidRDefault="00893EE0" w:rsidP="00893EE0">
      <w:pPr>
        <w:spacing w:before="240" w:line="276" w:lineRule="auto"/>
        <w:contextualSpacing/>
        <w:jc w:val="both"/>
        <w:rPr>
          <w:rFonts w:asciiTheme="minorHAnsi" w:hAnsiTheme="minorHAnsi" w:cstheme="minorHAnsi"/>
          <w:b/>
        </w:rPr>
      </w:pPr>
    </w:p>
    <w:p w:rsidR="00893EE0" w:rsidRPr="005F120D" w:rsidRDefault="00893EE0" w:rsidP="00893EE0">
      <w:pPr>
        <w:spacing w:before="240" w:line="276" w:lineRule="auto"/>
        <w:contextualSpacing/>
        <w:jc w:val="both"/>
        <w:rPr>
          <w:rFonts w:asciiTheme="minorHAnsi" w:hAnsiTheme="minorHAnsi" w:cstheme="minorHAnsi"/>
          <w:b/>
        </w:rPr>
      </w:pPr>
    </w:p>
    <w:p w:rsidR="00893EE0" w:rsidRPr="005F120D" w:rsidRDefault="00893EE0" w:rsidP="00893EE0">
      <w:pPr>
        <w:spacing w:before="240" w:line="276" w:lineRule="auto"/>
        <w:contextualSpacing/>
        <w:jc w:val="both"/>
        <w:rPr>
          <w:rFonts w:asciiTheme="minorHAnsi" w:hAnsiTheme="minorHAnsi" w:cstheme="minorHAnsi"/>
          <w:b/>
        </w:rPr>
      </w:pPr>
    </w:p>
    <w:p w:rsidR="006646E8" w:rsidRPr="005F120D" w:rsidRDefault="00F4714E" w:rsidP="00C437AA">
      <w:pPr>
        <w:pStyle w:val="Caption"/>
        <w:spacing w:before="240" w:line="276" w:lineRule="auto"/>
        <w:rPr>
          <w:rFonts w:cstheme="minorHAnsi"/>
        </w:rPr>
      </w:pPr>
      <w:bookmarkStart w:id="28" w:name="_Toc462837219"/>
      <w:r w:rsidRPr="005F120D">
        <w:rPr>
          <w:rFonts w:cstheme="minorHAnsi"/>
        </w:rPr>
        <w:lastRenderedPageBreak/>
        <w:t>T</w:t>
      </w:r>
      <w:r w:rsidR="009E083A" w:rsidRPr="005F120D">
        <w:rPr>
          <w:rFonts w:cstheme="minorHAnsi"/>
        </w:rPr>
        <w:t xml:space="preserve">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bookmarkStart w:id="29" w:name="_Toc384112685"/>
      <w:bookmarkEnd w:id="27"/>
      <w:r w:rsidR="004565E6" w:rsidRPr="005F120D">
        <w:rPr>
          <w:rFonts w:cstheme="minorHAnsi"/>
        </w:rPr>
        <w:t>:</w:t>
      </w:r>
      <w:r w:rsidR="00C4591B">
        <w:rPr>
          <w:rFonts w:cstheme="minorHAnsi"/>
        </w:rPr>
        <w:t xml:space="preserve"> </w:t>
      </w:r>
      <w:r w:rsidR="009D425A" w:rsidRPr="005F120D">
        <w:rPr>
          <w:rFonts w:cstheme="minorHAnsi"/>
        </w:rPr>
        <w:t xml:space="preserve">Number of </w:t>
      </w:r>
      <w:r w:rsidR="00AF5E85" w:rsidRPr="005F120D">
        <w:rPr>
          <w:rFonts w:cstheme="minorHAnsi"/>
        </w:rPr>
        <w:t>Primary Education</w:t>
      </w:r>
      <w:r w:rsidR="009D425A" w:rsidRPr="005F120D">
        <w:rPr>
          <w:rFonts w:cstheme="minorHAnsi"/>
        </w:rPr>
        <w:t>al</w:t>
      </w:r>
      <w:r w:rsidR="00C4591B">
        <w:rPr>
          <w:rFonts w:cstheme="minorHAnsi"/>
        </w:rPr>
        <w:t xml:space="preserve"> </w:t>
      </w:r>
      <w:r w:rsidR="009D425A" w:rsidRPr="005F120D">
        <w:rPr>
          <w:rFonts w:cstheme="minorHAnsi"/>
        </w:rPr>
        <w:t>Institution</w:t>
      </w:r>
      <w:r w:rsidR="00183D52" w:rsidRPr="005F120D">
        <w:rPr>
          <w:rFonts w:cstheme="minorHAnsi"/>
        </w:rPr>
        <w:t>s</w:t>
      </w:r>
      <w:r w:rsidR="00AF5E85" w:rsidRPr="005F120D">
        <w:rPr>
          <w:rFonts w:cstheme="minorHAnsi"/>
        </w:rPr>
        <w:t>, T</w:t>
      </w:r>
      <w:r w:rsidR="009D425A" w:rsidRPr="005F120D">
        <w:rPr>
          <w:rFonts w:cstheme="minorHAnsi"/>
        </w:rPr>
        <w:t xml:space="preserve">eachers, </w:t>
      </w:r>
      <w:r w:rsidR="00AF5E85" w:rsidRPr="005F120D">
        <w:rPr>
          <w:rFonts w:cstheme="minorHAnsi"/>
        </w:rPr>
        <w:t>S</w:t>
      </w:r>
      <w:r w:rsidR="00A56069" w:rsidRPr="005F120D">
        <w:rPr>
          <w:rFonts w:cstheme="minorHAnsi"/>
        </w:rPr>
        <w:t>tudents</w:t>
      </w:r>
      <w:r w:rsidR="009D425A" w:rsidRPr="005F120D">
        <w:rPr>
          <w:rFonts w:cstheme="minorHAnsi"/>
        </w:rPr>
        <w:t xml:space="preserve"> and Student Teacher Ratio (</w:t>
      </w:r>
      <w:r w:rsidR="00560119" w:rsidRPr="005F120D">
        <w:rPr>
          <w:rFonts w:cstheme="minorHAnsi"/>
        </w:rPr>
        <w:t>STR) by Educational Institute T</w:t>
      </w:r>
      <w:r w:rsidR="009D425A" w:rsidRPr="005F120D">
        <w:rPr>
          <w:rFonts w:cstheme="minorHAnsi"/>
        </w:rPr>
        <w:t>ype</w:t>
      </w:r>
      <w:r w:rsidR="00FF5490" w:rsidRPr="005F120D">
        <w:rPr>
          <w:rFonts w:cstheme="minorHAnsi"/>
        </w:rPr>
        <w:t>:</w:t>
      </w:r>
      <w:r w:rsidR="00C4591B">
        <w:rPr>
          <w:rFonts w:cstheme="minorHAnsi"/>
        </w:rPr>
        <w:t xml:space="preserve"> </w:t>
      </w:r>
      <w:r w:rsidR="00A56069" w:rsidRPr="005F120D">
        <w:rPr>
          <w:rFonts w:cstheme="minorHAnsi"/>
        </w:rPr>
        <w:t>APSC 201</w:t>
      </w:r>
      <w:bookmarkEnd w:id="29"/>
      <w:r w:rsidR="00EC4C7B" w:rsidRPr="005F120D">
        <w:rPr>
          <w:rFonts w:cstheme="minorHAnsi"/>
        </w:rPr>
        <w:t>5</w:t>
      </w:r>
      <w:bookmarkEnd w:id="28"/>
    </w:p>
    <w:tbl>
      <w:tblPr>
        <w:tblW w:w="5000" w:type="pct"/>
        <w:jc w:val="center"/>
        <w:tblBorders>
          <w:top w:val="double" w:sz="4" w:space="0" w:color="215868" w:themeColor="accent5" w:themeShade="80"/>
          <w:left w:val="double" w:sz="4" w:space="0" w:color="215868" w:themeColor="accent5" w:themeShade="80"/>
          <w:bottom w:val="double" w:sz="4" w:space="0" w:color="215868" w:themeColor="accent5" w:themeShade="80"/>
          <w:right w:val="double" w:sz="4" w:space="0" w:color="215868" w:themeColor="accent5" w:themeShade="80"/>
          <w:insideH w:val="single" w:sz="6" w:space="0" w:color="215868" w:themeColor="accent5" w:themeShade="80"/>
          <w:insideV w:val="single" w:sz="6" w:space="0" w:color="215868" w:themeColor="accent5" w:themeShade="80"/>
        </w:tblBorders>
        <w:tblLook w:val="04A0"/>
      </w:tblPr>
      <w:tblGrid>
        <w:gridCol w:w="449"/>
        <w:gridCol w:w="2523"/>
        <w:gridCol w:w="920"/>
        <w:gridCol w:w="772"/>
        <w:gridCol w:w="803"/>
        <w:gridCol w:w="677"/>
        <w:gridCol w:w="1023"/>
        <w:gridCol w:w="934"/>
        <w:gridCol w:w="621"/>
        <w:gridCol w:w="523"/>
      </w:tblGrid>
      <w:tr w:rsidR="00AE1360" w:rsidRPr="005F120D" w:rsidTr="00F4714E">
        <w:trPr>
          <w:trHeight w:val="269"/>
          <w:tblHeader/>
          <w:jc w:val="center"/>
        </w:trPr>
        <w:tc>
          <w:tcPr>
            <w:tcW w:w="229" w:type="pct"/>
            <w:vMerge w:val="restart"/>
            <w:shd w:val="clear" w:color="auto" w:fill="31849B" w:themeFill="accent5" w:themeFillShade="BF"/>
            <w:vAlign w:val="center"/>
          </w:tcPr>
          <w:p w:rsidR="00A56069" w:rsidRPr="005F120D" w:rsidRDefault="000B46F1" w:rsidP="00C437AA">
            <w:pPr>
              <w:pStyle w:val="NoSpacing"/>
              <w:spacing w:line="276" w:lineRule="auto"/>
              <w:jc w:val="center"/>
              <w:rPr>
                <w:rFonts w:asciiTheme="minorHAnsi" w:hAnsiTheme="minorHAnsi" w:cstheme="minorHAnsi"/>
                <w:b/>
                <w:color w:val="FFFFFF" w:themeColor="background1"/>
                <w:sz w:val="20"/>
              </w:rPr>
            </w:pPr>
            <w:r w:rsidRPr="005F120D">
              <w:rPr>
                <w:rFonts w:asciiTheme="minorHAnsi" w:hAnsiTheme="minorHAnsi" w:cstheme="minorHAnsi"/>
                <w:b/>
                <w:color w:val="FFFFFF" w:themeColor="background1"/>
                <w:sz w:val="20"/>
              </w:rPr>
              <w:t xml:space="preserve">SL. </w:t>
            </w:r>
          </w:p>
        </w:tc>
        <w:tc>
          <w:tcPr>
            <w:tcW w:w="1367" w:type="pct"/>
            <w:vMerge w:val="restart"/>
            <w:shd w:val="clear" w:color="auto" w:fill="31849B" w:themeFill="accent5" w:themeFillShade="BF"/>
            <w:noWrap/>
            <w:vAlign w:val="center"/>
            <w:hideMark/>
          </w:tcPr>
          <w:p w:rsidR="00AE1360" w:rsidRPr="005F120D" w:rsidRDefault="00A56069" w:rsidP="00C437AA">
            <w:pPr>
              <w:pStyle w:val="NoSpacing"/>
              <w:spacing w:line="276" w:lineRule="auto"/>
              <w:jc w:val="center"/>
              <w:rPr>
                <w:rFonts w:asciiTheme="minorHAnsi" w:hAnsiTheme="minorHAnsi" w:cstheme="minorHAnsi"/>
                <w:b/>
                <w:color w:val="FFFFFF" w:themeColor="background1"/>
                <w:sz w:val="20"/>
              </w:rPr>
            </w:pPr>
            <w:r w:rsidRPr="005F120D">
              <w:rPr>
                <w:rFonts w:asciiTheme="minorHAnsi" w:hAnsiTheme="minorHAnsi" w:cstheme="minorHAnsi"/>
                <w:b/>
                <w:color w:val="FFFFFF" w:themeColor="background1"/>
                <w:sz w:val="20"/>
              </w:rPr>
              <w:t>School type</w:t>
            </w:r>
            <w:r w:rsidR="00AE1360" w:rsidRPr="005F120D">
              <w:rPr>
                <w:rFonts w:asciiTheme="minorHAnsi" w:hAnsiTheme="minorHAnsi" w:cstheme="minorHAnsi"/>
                <w:b/>
                <w:color w:val="FFFFFF" w:themeColor="background1"/>
                <w:sz w:val="20"/>
              </w:rPr>
              <w:t xml:space="preserve">/(Management </w:t>
            </w:r>
          </w:p>
          <w:p w:rsidR="00A56069" w:rsidRPr="005F120D" w:rsidRDefault="00AE1360" w:rsidP="00C437AA">
            <w:pPr>
              <w:pStyle w:val="NoSpacing"/>
              <w:spacing w:line="276" w:lineRule="auto"/>
              <w:jc w:val="center"/>
              <w:rPr>
                <w:rFonts w:asciiTheme="minorHAnsi" w:hAnsiTheme="minorHAnsi" w:cstheme="minorHAnsi"/>
                <w:b/>
                <w:color w:val="FFFFFF" w:themeColor="background1"/>
                <w:sz w:val="20"/>
              </w:rPr>
            </w:pPr>
            <w:r w:rsidRPr="005F120D">
              <w:rPr>
                <w:rFonts w:asciiTheme="minorHAnsi" w:hAnsiTheme="minorHAnsi" w:cstheme="minorHAnsi"/>
                <w:b/>
                <w:color w:val="FFFFFF" w:themeColor="background1"/>
                <w:sz w:val="20"/>
              </w:rPr>
              <w:t>authority)</w:t>
            </w:r>
          </w:p>
        </w:tc>
        <w:tc>
          <w:tcPr>
            <w:tcW w:w="500" w:type="pct"/>
            <w:vMerge w:val="restart"/>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20"/>
              </w:rPr>
            </w:pPr>
            <w:r w:rsidRPr="005F120D">
              <w:rPr>
                <w:rFonts w:asciiTheme="minorHAnsi" w:hAnsiTheme="minorHAnsi" w:cstheme="minorHAnsi"/>
                <w:b/>
                <w:color w:val="FFFFFF" w:themeColor="background1"/>
                <w:sz w:val="20"/>
              </w:rPr>
              <w:t>No. of school</w:t>
            </w:r>
            <w:r w:rsidR="00560119" w:rsidRPr="005F120D">
              <w:rPr>
                <w:rFonts w:asciiTheme="minorHAnsi" w:hAnsiTheme="minorHAnsi" w:cstheme="minorHAnsi"/>
                <w:b/>
                <w:color w:val="FFFFFF" w:themeColor="background1"/>
                <w:sz w:val="20"/>
              </w:rPr>
              <w:t>s</w:t>
            </w:r>
          </w:p>
        </w:tc>
        <w:tc>
          <w:tcPr>
            <w:tcW w:w="1219" w:type="pct"/>
            <w:gridSpan w:val="3"/>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20"/>
              </w:rPr>
            </w:pPr>
            <w:r w:rsidRPr="005F120D">
              <w:rPr>
                <w:rFonts w:asciiTheme="minorHAnsi" w:hAnsiTheme="minorHAnsi" w:cstheme="minorHAnsi"/>
                <w:b/>
                <w:color w:val="FFFFFF" w:themeColor="background1"/>
                <w:sz w:val="20"/>
              </w:rPr>
              <w:t>Total Teacher</w:t>
            </w:r>
            <w:r w:rsidR="00560119" w:rsidRPr="005F120D">
              <w:rPr>
                <w:rFonts w:asciiTheme="minorHAnsi" w:hAnsiTheme="minorHAnsi" w:cstheme="minorHAnsi"/>
                <w:b/>
                <w:color w:val="FFFFFF" w:themeColor="background1"/>
                <w:sz w:val="20"/>
              </w:rPr>
              <w:t>s</w:t>
            </w:r>
          </w:p>
        </w:tc>
        <w:tc>
          <w:tcPr>
            <w:tcW w:w="1402" w:type="pct"/>
            <w:gridSpan w:val="3"/>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20"/>
              </w:rPr>
            </w:pPr>
            <w:r w:rsidRPr="005F120D">
              <w:rPr>
                <w:rFonts w:asciiTheme="minorHAnsi" w:hAnsiTheme="minorHAnsi" w:cstheme="minorHAnsi"/>
                <w:b/>
                <w:color w:val="FFFFFF" w:themeColor="background1"/>
                <w:sz w:val="20"/>
              </w:rPr>
              <w:t>Total student</w:t>
            </w:r>
            <w:r w:rsidR="00560119" w:rsidRPr="005F120D">
              <w:rPr>
                <w:rFonts w:asciiTheme="minorHAnsi" w:hAnsiTheme="minorHAnsi" w:cstheme="minorHAnsi"/>
                <w:b/>
                <w:color w:val="FFFFFF" w:themeColor="background1"/>
                <w:sz w:val="20"/>
              </w:rPr>
              <w:t>s</w:t>
            </w:r>
          </w:p>
        </w:tc>
        <w:tc>
          <w:tcPr>
            <w:tcW w:w="283" w:type="pct"/>
            <w:vMerge w:val="restart"/>
            <w:shd w:val="clear" w:color="auto" w:fill="31849B" w:themeFill="accent5" w:themeFillShade="BF"/>
            <w:vAlign w:val="center"/>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20"/>
              </w:rPr>
            </w:pPr>
            <w:r w:rsidRPr="005F120D">
              <w:rPr>
                <w:rFonts w:asciiTheme="minorHAnsi" w:hAnsiTheme="minorHAnsi" w:cstheme="minorHAnsi"/>
                <w:b/>
                <w:color w:val="FFFFFF" w:themeColor="background1"/>
                <w:sz w:val="20"/>
              </w:rPr>
              <w:t>STR</w:t>
            </w:r>
          </w:p>
        </w:tc>
      </w:tr>
      <w:tr w:rsidR="00AE1360" w:rsidRPr="005F120D" w:rsidTr="00F4714E">
        <w:trPr>
          <w:tblHeader/>
          <w:jc w:val="center"/>
        </w:trPr>
        <w:tc>
          <w:tcPr>
            <w:tcW w:w="229" w:type="pct"/>
            <w:vMerge/>
            <w:shd w:val="clear" w:color="auto" w:fill="31849B" w:themeFill="accent5" w:themeFillShade="BF"/>
            <w:vAlign w:val="center"/>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16"/>
                <w:szCs w:val="16"/>
              </w:rPr>
            </w:pPr>
          </w:p>
        </w:tc>
        <w:tc>
          <w:tcPr>
            <w:tcW w:w="1367" w:type="pct"/>
            <w:vMerge/>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16"/>
                <w:szCs w:val="16"/>
              </w:rPr>
            </w:pPr>
          </w:p>
        </w:tc>
        <w:tc>
          <w:tcPr>
            <w:tcW w:w="500" w:type="pct"/>
            <w:vMerge/>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16"/>
                <w:szCs w:val="16"/>
              </w:rPr>
            </w:pPr>
          </w:p>
        </w:tc>
        <w:tc>
          <w:tcPr>
            <w:tcW w:w="420" w:type="pct"/>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16"/>
                <w:szCs w:val="16"/>
              </w:rPr>
            </w:pPr>
            <w:r w:rsidRPr="005F120D">
              <w:rPr>
                <w:rFonts w:asciiTheme="minorHAnsi" w:hAnsiTheme="minorHAnsi" w:cstheme="minorHAnsi"/>
                <w:b/>
                <w:color w:val="FFFFFF" w:themeColor="background1"/>
                <w:sz w:val="16"/>
                <w:szCs w:val="16"/>
              </w:rPr>
              <w:t>Total</w:t>
            </w:r>
          </w:p>
        </w:tc>
        <w:tc>
          <w:tcPr>
            <w:tcW w:w="437" w:type="pct"/>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16"/>
                <w:szCs w:val="16"/>
              </w:rPr>
            </w:pPr>
            <w:r w:rsidRPr="005F120D">
              <w:rPr>
                <w:rFonts w:asciiTheme="minorHAnsi" w:hAnsiTheme="minorHAnsi" w:cstheme="minorHAnsi"/>
                <w:b/>
                <w:color w:val="FFFFFF" w:themeColor="background1"/>
                <w:sz w:val="16"/>
                <w:szCs w:val="16"/>
              </w:rPr>
              <w:t>Female</w:t>
            </w:r>
          </w:p>
        </w:tc>
        <w:tc>
          <w:tcPr>
            <w:tcW w:w="362" w:type="pct"/>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16"/>
                <w:szCs w:val="16"/>
              </w:rPr>
            </w:pPr>
            <w:r w:rsidRPr="005F120D">
              <w:rPr>
                <w:rFonts w:asciiTheme="minorHAnsi" w:hAnsiTheme="minorHAnsi" w:cstheme="minorHAnsi"/>
                <w:b/>
                <w:color w:val="FFFFFF" w:themeColor="background1"/>
                <w:sz w:val="16"/>
                <w:szCs w:val="16"/>
              </w:rPr>
              <w:t>% of female</w:t>
            </w:r>
          </w:p>
        </w:tc>
        <w:tc>
          <w:tcPr>
            <w:tcW w:w="556" w:type="pct"/>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16"/>
                <w:szCs w:val="16"/>
              </w:rPr>
            </w:pPr>
            <w:r w:rsidRPr="005F120D">
              <w:rPr>
                <w:rFonts w:asciiTheme="minorHAnsi" w:hAnsiTheme="minorHAnsi" w:cstheme="minorHAnsi"/>
                <w:b/>
                <w:color w:val="FFFFFF" w:themeColor="background1"/>
                <w:sz w:val="16"/>
                <w:szCs w:val="16"/>
              </w:rPr>
              <w:t>Total</w:t>
            </w:r>
          </w:p>
        </w:tc>
        <w:tc>
          <w:tcPr>
            <w:tcW w:w="508" w:type="pct"/>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16"/>
                <w:szCs w:val="16"/>
              </w:rPr>
            </w:pPr>
            <w:r w:rsidRPr="005F120D">
              <w:rPr>
                <w:rFonts w:asciiTheme="minorHAnsi" w:hAnsiTheme="minorHAnsi" w:cstheme="minorHAnsi"/>
                <w:b/>
                <w:color w:val="FFFFFF" w:themeColor="background1"/>
                <w:sz w:val="16"/>
                <w:szCs w:val="16"/>
              </w:rPr>
              <w:t>Girl</w:t>
            </w:r>
            <w:r w:rsidR="00560119" w:rsidRPr="005F120D">
              <w:rPr>
                <w:rFonts w:asciiTheme="minorHAnsi" w:hAnsiTheme="minorHAnsi" w:cstheme="minorHAnsi"/>
                <w:b/>
                <w:color w:val="FFFFFF" w:themeColor="background1"/>
                <w:sz w:val="16"/>
                <w:szCs w:val="16"/>
              </w:rPr>
              <w:t>s</w:t>
            </w:r>
          </w:p>
        </w:tc>
        <w:tc>
          <w:tcPr>
            <w:tcW w:w="338" w:type="pct"/>
            <w:shd w:val="clear" w:color="auto" w:fill="31849B" w:themeFill="accent5" w:themeFillShade="BF"/>
            <w:vAlign w:val="center"/>
            <w:hideMark/>
          </w:tcPr>
          <w:p w:rsidR="00A56069" w:rsidRPr="005F120D" w:rsidRDefault="00A56069" w:rsidP="00C437AA">
            <w:pPr>
              <w:pStyle w:val="NoSpacing"/>
              <w:spacing w:line="276" w:lineRule="auto"/>
              <w:jc w:val="center"/>
              <w:rPr>
                <w:rFonts w:asciiTheme="minorHAnsi" w:hAnsiTheme="minorHAnsi" w:cstheme="minorHAnsi"/>
                <w:b/>
                <w:color w:val="FFFFFF" w:themeColor="background1"/>
                <w:sz w:val="16"/>
                <w:szCs w:val="16"/>
              </w:rPr>
            </w:pPr>
            <w:r w:rsidRPr="005F120D">
              <w:rPr>
                <w:rFonts w:asciiTheme="minorHAnsi" w:hAnsiTheme="minorHAnsi" w:cstheme="minorHAnsi"/>
                <w:b/>
                <w:color w:val="FFFFFF" w:themeColor="background1"/>
                <w:sz w:val="16"/>
                <w:szCs w:val="16"/>
              </w:rPr>
              <w:t>%</w:t>
            </w:r>
            <w:r w:rsidR="007F4F6A" w:rsidRPr="005F120D">
              <w:rPr>
                <w:rFonts w:asciiTheme="minorHAnsi" w:hAnsiTheme="minorHAnsi" w:cstheme="minorHAnsi"/>
                <w:b/>
                <w:color w:val="FFFFFF" w:themeColor="background1"/>
                <w:sz w:val="16"/>
                <w:szCs w:val="16"/>
              </w:rPr>
              <w:t xml:space="preserve"> of </w:t>
            </w:r>
            <w:r w:rsidR="007126D2" w:rsidRPr="005F120D">
              <w:rPr>
                <w:rFonts w:asciiTheme="minorHAnsi" w:hAnsiTheme="minorHAnsi" w:cstheme="minorHAnsi"/>
                <w:b/>
                <w:color w:val="FFFFFF" w:themeColor="background1"/>
                <w:sz w:val="16"/>
                <w:szCs w:val="16"/>
              </w:rPr>
              <w:t>G</w:t>
            </w:r>
            <w:r w:rsidRPr="005F120D">
              <w:rPr>
                <w:rFonts w:asciiTheme="minorHAnsi" w:hAnsiTheme="minorHAnsi" w:cstheme="minorHAnsi"/>
                <w:b/>
                <w:color w:val="FFFFFF" w:themeColor="background1"/>
                <w:sz w:val="16"/>
                <w:szCs w:val="16"/>
              </w:rPr>
              <w:t>irl</w:t>
            </w:r>
            <w:r w:rsidR="00560119" w:rsidRPr="005F120D">
              <w:rPr>
                <w:rFonts w:asciiTheme="minorHAnsi" w:hAnsiTheme="minorHAnsi" w:cstheme="minorHAnsi"/>
                <w:b/>
                <w:color w:val="FFFFFF" w:themeColor="background1"/>
                <w:sz w:val="16"/>
                <w:szCs w:val="16"/>
              </w:rPr>
              <w:t>s</w:t>
            </w:r>
          </w:p>
        </w:tc>
        <w:tc>
          <w:tcPr>
            <w:tcW w:w="283" w:type="pct"/>
            <w:vMerge/>
            <w:shd w:val="clear" w:color="auto" w:fill="31849B" w:themeFill="accent5" w:themeFillShade="BF"/>
            <w:vAlign w:val="center"/>
          </w:tcPr>
          <w:p w:rsidR="00A56069" w:rsidRPr="005F120D" w:rsidRDefault="00A56069" w:rsidP="00C437AA">
            <w:pPr>
              <w:pStyle w:val="NoSpacing"/>
              <w:spacing w:line="276" w:lineRule="auto"/>
              <w:jc w:val="center"/>
              <w:rPr>
                <w:rFonts w:asciiTheme="minorHAnsi" w:hAnsiTheme="minorHAnsi" w:cstheme="minorHAnsi"/>
                <w:sz w:val="16"/>
                <w:szCs w:val="16"/>
              </w:rPr>
            </w:pPr>
          </w:p>
        </w:tc>
      </w:tr>
      <w:tr w:rsidR="007913C3" w:rsidRPr="005F120D" w:rsidTr="009E6A76">
        <w:trPr>
          <w:trHeight w:hRule="exact" w:val="360"/>
          <w:jc w:val="center"/>
        </w:trPr>
        <w:tc>
          <w:tcPr>
            <w:tcW w:w="229" w:type="pct"/>
            <w:shd w:val="clear" w:color="auto" w:fill="DAEEF3" w:themeFill="accent5" w:themeFillTint="33"/>
            <w:vAlign w:val="center"/>
          </w:tcPr>
          <w:p w:rsidR="007913C3" w:rsidRPr="005F120D" w:rsidRDefault="007913C3"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lang w:val="en-GB"/>
              </w:rPr>
              <w:t>1</w:t>
            </w:r>
          </w:p>
        </w:tc>
        <w:tc>
          <w:tcPr>
            <w:tcW w:w="1367" w:type="pct"/>
            <w:shd w:val="clear" w:color="auto" w:fill="DAEEF3" w:themeFill="accent5" w:themeFillTint="33"/>
            <w:vAlign w:val="center"/>
            <w:hideMark/>
          </w:tcPr>
          <w:p w:rsidR="007913C3" w:rsidRPr="005F120D" w:rsidRDefault="007913C3" w:rsidP="00C437AA">
            <w:pPr>
              <w:spacing w:line="276" w:lineRule="auto"/>
              <w:rPr>
                <w:rFonts w:asciiTheme="minorHAnsi" w:hAnsiTheme="minorHAnsi" w:cstheme="minorHAnsi"/>
                <w:sz w:val="16"/>
                <w:szCs w:val="16"/>
              </w:rPr>
            </w:pPr>
            <w:r w:rsidRPr="005F120D">
              <w:rPr>
                <w:rFonts w:asciiTheme="minorHAnsi" w:hAnsiTheme="minorHAnsi" w:cstheme="minorHAnsi"/>
                <w:sz w:val="16"/>
                <w:szCs w:val="16"/>
                <w:lang w:val="en-GB"/>
              </w:rPr>
              <w:t>GPS (MoPME/DPE)</w:t>
            </w:r>
          </w:p>
        </w:tc>
        <w:tc>
          <w:tcPr>
            <w:tcW w:w="50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38,306</w:t>
            </w:r>
          </w:p>
        </w:tc>
        <w:tc>
          <w:tcPr>
            <w:tcW w:w="42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225,659</w:t>
            </w:r>
          </w:p>
        </w:tc>
        <w:tc>
          <w:tcPr>
            <w:tcW w:w="437"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149,935</w:t>
            </w:r>
          </w:p>
        </w:tc>
        <w:tc>
          <w:tcPr>
            <w:tcW w:w="362" w:type="pct"/>
            <w:shd w:val="clear" w:color="auto" w:fill="DAEEF3" w:themeFill="accent5" w:themeFillTint="33"/>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66.4</w:t>
            </w:r>
          </w:p>
        </w:tc>
        <w:tc>
          <w:tcPr>
            <w:tcW w:w="556"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9,578,688</w:t>
            </w:r>
          </w:p>
        </w:tc>
        <w:tc>
          <w:tcPr>
            <w:tcW w:w="50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4,970,976</w:t>
            </w:r>
          </w:p>
        </w:tc>
        <w:tc>
          <w:tcPr>
            <w:tcW w:w="33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51.9</w:t>
            </w:r>
          </w:p>
        </w:tc>
        <w:tc>
          <w:tcPr>
            <w:tcW w:w="283" w:type="pct"/>
            <w:shd w:val="clear" w:color="auto" w:fill="DAEEF3" w:themeFill="accent5" w:themeFillTint="33"/>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42.4</w:t>
            </w:r>
          </w:p>
        </w:tc>
      </w:tr>
      <w:tr w:rsidR="007913C3" w:rsidRPr="005F120D" w:rsidTr="00F4714E">
        <w:trPr>
          <w:trHeight w:hRule="exact" w:val="492"/>
          <w:jc w:val="center"/>
        </w:trPr>
        <w:tc>
          <w:tcPr>
            <w:tcW w:w="229" w:type="pct"/>
            <w:shd w:val="clear" w:color="auto" w:fill="DAEEF3" w:themeFill="accent5" w:themeFillTint="33"/>
            <w:vAlign w:val="center"/>
          </w:tcPr>
          <w:p w:rsidR="007913C3" w:rsidRPr="005F120D" w:rsidRDefault="007913C3"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lang w:val="en-GB"/>
              </w:rPr>
              <w:t>2</w:t>
            </w:r>
          </w:p>
        </w:tc>
        <w:tc>
          <w:tcPr>
            <w:tcW w:w="1367" w:type="pct"/>
            <w:shd w:val="clear" w:color="auto" w:fill="DAEEF3" w:themeFill="accent5" w:themeFillTint="33"/>
            <w:vAlign w:val="center"/>
            <w:hideMark/>
          </w:tcPr>
          <w:p w:rsidR="007913C3" w:rsidRPr="005F120D" w:rsidRDefault="007913C3" w:rsidP="00C437AA">
            <w:pPr>
              <w:spacing w:line="276" w:lineRule="auto"/>
              <w:rPr>
                <w:rFonts w:asciiTheme="minorHAnsi" w:hAnsiTheme="minorHAnsi" w:cstheme="minorHAnsi"/>
                <w:sz w:val="16"/>
                <w:szCs w:val="16"/>
              </w:rPr>
            </w:pPr>
            <w:r w:rsidRPr="005F120D">
              <w:rPr>
                <w:rFonts w:asciiTheme="minorHAnsi" w:hAnsiTheme="minorHAnsi" w:cstheme="minorHAnsi"/>
                <w:sz w:val="16"/>
                <w:szCs w:val="16"/>
                <w:lang w:val="en-GB"/>
              </w:rPr>
              <w:t>NNPS (former RNGPS) (MoPME/DPE)</w:t>
            </w:r>
          </w:p>
        </w:tc>
        <w:tc>
          <w:tcPr>
            <w:tcW w:w="50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25,240</w:t>
            </w:r>
          </w:p>
        </w:tc>
        <w:tc>
          <w:tcPr>
            <w:tcW w:w="42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96,828</w:t>
            </w:r>
          </w:p>
        </w:tc>
        <w:tc>
          <w:tcPr>
            <w:tcW w:w="437"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49,362</w:t>
            </w:r>
          </w:p>
        </w:tc>
        <w:tc>
          <w:tcPr>
            <w:tcW w:w="362" w:type="pct"/>
            <w:shd w:val="clear" w:color="auto" w:fill="DAEEF3" w:themeFill="accent5" w:themeFillTint="33"/>
            <w:noWrap/>
            <w:vAlign w:val="bottom"/>
            <w:hideMark/>
          </w:tcPr>
          <w:p w:rsidR="007913C3" w:rsidRPr="005F120D" w:rsidRDefault="000B46F1"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51</w:t>
            </w:r>
          </w:p>
        </w:tc>
        <w:tc>
          <w:tcPr>
            <w:tcW w:w="556"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4,214,965</w:t>
            </w:r>
          </w:p>
        </w:tc>
        <w:tc>
          <w:tcPr>
            <w:tcW w:w="50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2,157,077</w:t>
            </w:r>
          </w:p>
        </w:tc>
        <w:tc>
          <w:tcPr>
            <w:tcW w:w="33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51.2</w:t>
            </w:r>
          </w:p>
        </w:tc>
        <w:tc>
          <w:tcPr>
            <w:tcW w:w="283" w:type="pct"/>
            <w:shd w:val="clear" w:color="auto" w:fill="DAEEF3" w:themeFill="accent5" w:themeFillTint="33"/>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43.5</w:t>
            </w:r>
          </w:p>
        </w:tc>
      </w:tr>
      <w:tr w:rsidR="007913C3" w:rsidRPr="005F120D" w:rsidTr="009E6A76">
        <w:trPr>
          <w:trHeight w:hRule="exact" w:val="360"/>
          <w:jc w:val="center"/>
        </w:trPr>
        <w:tc>
          <w:tcPr>
            <w:tcW w:w="229" w:type="pct"/>
            <w:shd w:val="clear" w:color="auto" w:fill="DAEEF3" w:themeFill="accent5" w:themeFillTint="33"/>
            <w:vAlign w:val="center"/>
          </w:tcPr>
          <w:p w:rsidR="007913C3" w:rsidRPr="005F120D" w:rsidRDefault="007913C3"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lang w:val="en-GB"/>
              </w:rPr>
              <w:t>3</w:t>
            </w:r>
          </w:p>
        </w:tc>
        <w:tc>
          <w:tcPr>
            <w:tcW w:w="1367" w:type="pct"/>
            <w:shd w:val="clear" w:color="auto" w:fill="DAEEF3" w:themeFill="accent5" w:themeFillTint="33"/>
            <w:vAlign w:val="center"/>
            <w:hideMark/>
          </w:tcPr>
          <w:p w:rsidR="007913C3" w:rsidRPr="005F120D" w:rsidRDefault="007913C3" w:rsidP="00C437AA">
            <w:pPr>
              <w:spacing w:line="276" w:lineRule="auto"/>
              <w:rPr>
                <w:rFonts w:asciiTheme="minorHAnsi" w:hAnsiTheme="minorHAnsi" w:cstheme="minorHAnsi"/>
                <w:sz w:val="16"/>
                <w:szCs w:val="16"/>
              </w:rPr>
            </w:pPr>
            <w:r w:rsidRPr="005F120D">
              <w:rPr>
                <w:rFonts w:asciiTheme="minorHAnsi" w:hAnsiTheme="minorHAnsi" w:cstheme="minorHAnsi"/>
                <w:sz w:val="16"/>
                <w:szCs w:val="16"/>
                <w:lang w:val="en-GB"/>
              </w:rPr>
              <w:t>Regd. NGPS (MoPME/DPE)</w:t>
            </w:r>
          </w:p>
        </w:tc>
        <w:tc>
          <w:tcPr>
            <w:tcW w:w="50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112</w:t>
            </w:r>
          </w:p>
        </w:tc>
        <w:tc>
          <w:tcPr>
            <w:tcW w:w="42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520</w:t>
            </w:r>
          </w:p>
        </w:tc>
        <w:tc>
          <w:tcPr>
            <w:tcW w:w="437"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331</w:t>
            </w:r>
          </w:p>
        </w:tc>
        <w:tc>
          <w:tcPr>
            <w:tcW w:w="362" w:type="pct"/>
            <w:shd w:val="clear" w:color="auto" w:fill="DAEEF3" w:themeFill="accent5" w:themeFillTint="33"/>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63.7</w:t>
            </w:r>
          </w:p>
        </w:tc>
        <w:tc>
          <w:tcPr>
            <w:tcW w:w="556"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21,432</w:t>
            </w:r>
          </w:p>
        </w:tc>
        <w:tc>
          <w:tcPr>
            <w:tcW w:w="50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11,177</w:t>
            </w:r>
          </w:p>
        </w:tc>
        <w:tc>
          <w:tcPr>
            <w:tcW w:w="33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52.2</w:t>
            </w:r>
          </w:p>
        </w:tc>
        <w:tc>
          <w:tcPr>
            <w:tcW w:w="283" w:type="pct"/>
            <w:shd w:val="clear" w:color="auto" w:fill="DAEEF3" w:themeFill="accent5" w:themeFillTint="33"/>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41.2</w:t>
            </w:r>
          </w:p>
        </w:tc>
      </w:tr>
      <w:tr w:rsidR="007913C3" w:rsidRPr="005F120D" w:rsidTr="009E6A76">
        <w:trPr>
          <w:trHeight w:hRule="exact" w:val="360"/>
          <w:jc w:val="center"/>
        </w:trPr>
        <w:tc>
          <w:tcPr>
            <w:tcW w:w="229" w:type="pct"/>
            <w:shd w:val="clear" w:color="auto" w:fill="DAEEF3" w:themeFill="accent5" w:themeFillTint="33"/>
            <w:vAlign w:val="center"/>
          </w:tcPr>
          <w:p w:rsidR="007913C3" w:rsidRPr="005F120D" w:rsidRDefault="007913C3"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lang w:val="en-GB"/>
              </w:rPr>
              <w:t>4</w:t>
            </w:r>
          </w:p>
        </w:tc>
        <w:tc>
          <w:tcPr>
            <w:tcW w:w="1367" w:type="pct"/>
            <w:shd w:val="clear" w:color="auto" w:fill="DAEEF3" w:themeFill="accent5" w:themeFillTint="33"/>
            <w:vAlign w:val="center"/>
            <w:hideMark/>
          </w:tcPr>
          <w:p w:rsidR="007913C3" w:rsidRPr="005F120D" w:rsidRDefault="007913C3" w:rsidP="00C437AA">
            <w:pPr>
              <w:spacing w:line="276" w:lineRule="auto"/>
              <w:rPr>
                <w:rFonts w:asciiTheme="minorHAnsi" w:hAnsiTheme="minorHAnsi" w:cstheme="minorHAnsi"/>
                <w:sz w:val="16"/>
                <w:szCs w:val="16"/>
              </w:rPr>
            </w:pPr>
            <w:r w:rsidRPr="005F120D">
              <w:rPr>
                <w:rFonts w:asciiTheme="minorHAnsi" w:hAnsiTheme="minorHAnsi" w:cstheme="minorHAnsi"/>
                <w:sz w:val="16"/>
                <w:szCs w:val="16"/>
              </w:rPr>
              <w:t>NRNGPS (MoPME/DPE)</w:t>
            </w:r>
          </w:p>
        </w:tc>
        <w:tc>
          <w:tcPr>
            <w:tcW w:w="50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1,926</w:t>
            </w:r>
          </w:p>
        </w:tc>
        <w:tc>
          <w:tcPr>
            <w:tcW w:w="42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7,140</w:t>
            </w:r>
          </w:p>
        </w:tc>
        <w:tc>
          <w:tcPr>
            <w:tcW w:w="437"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5,050</w:t>
            </w:r>
          </w:p>
        </w:tc>
        <w:tc>
          <w:tcPr>
            <w:tcW w:w="362" w:type="pct"/>
            <w:shd w:val="clear" w:color="auto" w:fill="DAEEF3" w:themeFill="accent5" w:themeFillTint="33"/>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70.7</w:t>
            </w:r>
          </w:p>
        </w:tc>
        <w:tc>
          <w:tcPr>
            <w:tcW w:w="556"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272,097</w:t>
            </w:r>
          </w:p>
        </w:tc>
        <w:tc>
          <w:tcPr>
            <w:tcW w:w="50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135,574</w:t>
            </w:r>
          </w:p>
        </w:tc>
        <w:tc>
          <w:tcPr>
            <w:tcW w:w="33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49.8</w:t>
            </w:r>
          </w:p>
        </w:tc>
        <w:tc>
          <w:tcPr>
            <w:tcW w:w="283" w:type="pct"/>
            <w:shd w:val="clear" w:color="auto" w:fill="DAEEF3" w:themeFill="accent5" w:themeFillTint="33"/>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38.1</w:t>
            </w:r>
          </w:p>
        </w:tc>
      </w:tr>
      <w:tr w:rsidR="007913C3" w:rsidRPr="005F120D" w:rsidTr="009E6A76">
        <w:trPr>
          <w:trHeight w:hRule="exact" w:val="360"/>
          <w:jc w:val="center"/>
        </w:trPr>
        <w:tc>
          <w:tcPr>
            <w:tcW w:w="229" w:type="pct"/>
            <w:shd w:val="clear" w:color="auto" w:fill="DAEEF3" w:themeFill="accent5" w:themeFillTint="33"/>
            <w:vAlign w:val="center"/>
          </w:tcPr>
          <w:p w:rsidR="007913C3" w:rsidRPr="005F120D" w:rsidRDefault="007913C3"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lang w:val="en-GB"/>
              </w:rPr>
              <w:t>5</w:t>
            </w:r>
          </w:p>
        </w:tc>
        <w:tc>
          <w:tcPr>
            <w:tcW w:w="1367" w:type="pct"/>
            <w:shd w:val="clear" w:color="auto" w:fill="DAEEF3" w:themeFill="accent5" w:themeFillTint="33"/>
            <w:vAlign w:val="center"/>
            <w:hideMark/>
          </w:tcPr>
          <w:p w:rsidR="007913C3" w:rsidRPr="005F120D" w:rsidRDefault="007913C3" w:rsidP="00C437AA">
            <w:pPr>
              <w:spacing w:line="276" w:lineRule="auto"/>
              <w:rPr>
                <w:rFonts w:asciiTheme="minorHAnsi" w:hAnsiTheme="minorHAnsi" w:cstheme="minorHAnsi"/>
                <w:sz w:val="16"/>
                <w:szCs w:val="16"/>
              </w:rPr>
            </w:pPr>
            <w:r w:rsidRPr="005F120D">
              <w:rPr>
                <w:rFonts w:asciiTheme="minorHAnsi" w:hAnsiTheme="minorHAnsi" w:cstheme="minorHAnsi"/>
                <w:sz w:val="16"/>
                <w:szCs w:val="16"/>
                <w:lang w:val="en-GB"/>
              </w:rPr>
              <w:t>Experimental School (MoPME/DPE)</w:t>
            </w:r>
          </w:p>
        </w:tc>
        <w:tc>
          <w:tcPr>
            <w:tcW w:w="50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55</w:t>
            </w:r>
          </w:p>
        </w:tc>
        <w:tc>
          <w:tcPr>
            <w:tcW w:w="42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279</w:t>
            </w:r>
          </w:p>
        </w:tc>
        <w:tc>
          <w:tcPr>
            <w:tcW w:w="437"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244</w:t>
            </w:r>
          </w:p>
        </w:tc>
        <w:tc>
          <w:tcPr>
            <w:tcW w:w="362" w:type="pct"/>
            <w:shd w:val="clear" w:color="auto" w:fill="DAEEF3" w:themeFill="accent5" w:themeFillTint="33"/>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87.5</w:t>
            </w:r>
          </w:p>
        </w:tc>
        <w:tc>
          <w:tcPr>
            <w:tcW w:w="556"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10,789</w:t>
            </w:r>
          </w:p>
        </w:tc>
        <w:tc>
          <w:tcPr>
            <w:tcW w:w="50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5,259</w:t>
            </w:r>
          </w:p>
        </w:tc>
        <w:tc>
          <w:tcPr>
            <w:tcW w:w="33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48.7</w:t>
            </w:r>
          </w:p>
        </w:tc>
        <w:tc>
          <w:tcPr>
            <w:tcW w:w="283" w:type="pct"/>
            <w:shd w:val="clear" w:color="auto" w:fill="DAEEF3" w:themeFill="accent5" w:themeFillTint="33"/>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38.7</w:t>
            </w:r>
          </w:p>
        </w:tc>
      </w:tr>
      <w:tr w:rsidR="007913C3" w:rsidRPr="005F120D" w:rsidTr="009E6A76">
        <w:trPr>
          <w:trHeight w:hRule="exact" w:val="360"/>
          <w:jc w:val="center"/>
        </w:trPr>
        <w:tc>
          <w:tcPr>
            <w:tcW w:w="229" w:type="pct"/>
            <w:shd w:val="clear" w:color="auto" w:fill="CCC0D9" w:themeFill="accent4" w:themeFillTint="66"/>
            <w:vAlign w:val="center"/>
          </w:tcPr>
          <w:p w:rsidR="007913C3" w:rsidRPr="005F120D" w:rsidRDefault="007913C3"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lang w:val="en-GB"/>
              </w:rPr>
              <w:t>6</w:t>
            </w:r>
          </w:p>
        </w:tc>
        <w:tc>
          <w:tcPr>
            <w:tcW w:w="1367" w:type="pct"/>
            <w:shd w:val="clear" w:color="auto" w:fill="CCC0D9" w:themeFill="accent4" w:themeFillTint="66"/>
            <w:vAlign w:val="center"/>
            <w:hideMark/>
          </w:tcPr>
          <w:p w:rsidR="007913C3" w:rsidRPr="005F120D" w:rsidRDefault="0089702D" w:rsidP="00C437AA">
            <w:pPr>
              <w:spacing w:line="276" w:lineRule="auto"/>
              <w:rPr>
                <w:rFonts w:asciiTheme="minorHAnsi" w:hAnsiTheme="minorHAnsi" w:cstheme="minorHAnsi"/>
                <w:sz w:val="16"/>
                <w:szCs w:val="16"/>
              </w:rPr>
            </w:pPr>
            <w:r>
              <w:rPr>
                <w:rFonts w:asciiTheme="minorHAnsi" w:hAnsiTheme="minorHAnsi" w:cstheme="minorHAnsi"/>
                <w:sz w:val="16"/>
                <w:szCs w:val="16"/>
              </w:rPr>
              <w:t>Ebtedayee Madrasha</w:t>
            </w:r>
            <w:r w:rsidR="007913C3" w:rsidRPr="005F120D">
              <w:rPr>
                <w:rFonts w:asciiTheme="minorHAnsi" w:hAnsiTheme="minorHAnsi" w:cstheme="minorHAnsi"/>
                <w:sz w:val="16"/>
                <w:szCs w:val="16"/>
              </w:rPr>
              <w:t xml:space="preserve"> (MoE)</w:t>
            </w:r>
          </w:p>
        </w:tc>
        <w:tc>
          <w:tcPr>
            <w:tcW w:w="500"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2,877</w:t>
            </w:r>
          </w:p>
        </w:tc>
        <w:tc>
          <w:tcPr>
            <w:tcW w:w="420"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11,298</w:t>
            </w:r>
          </w:p>
        </w:tc>
        <w:tc>
          <w:tcPr>
            <w:tcW w:w="437"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2,323</w:t>
            </w:r>
          </w:p>
        </w:tc>
        <w:tc>
          <w:tcPr>
            <w:tcW w:w="362" w:type="pct"/>
            <w:shd w:val="clear" w:color="auto" w:fill="CCC0D9" w:themeFill="accent4" w:themeFillTint="66"/>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20.6</w:t>
            </w:r>
          </w:p>
        </w:tc>
        <w:tc>
          <w:tcPr>
            <w:tcW w:w="556"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390,948</w:t>
            </w:r>
          </w:p>
        </w:tc>
        <w:tc>
          <w:tcPr>
            <w:tcW w:w="508"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190,070</w:t>
            </w:r>
          </w:p>
        </w:tc>
        <w:tc>
          <w:tcPr>
            <w:tcW w:w="338"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48.6</w:t>
            </w:r>
          </w:p>
        </w:tc>
        <w:tc>
          <w:tcPr>
            <w:tcW w:w="283" w:type="pct"/>
            <w:shd w:val="clear" w:color="auto" w:fill="CCC0D9" w:themeFill="accent4" w:themeFillTint="66"/>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34.6</w:t>
            </w:r>
          </w:p>
        </w:tc>
      </w:tr>
      <w:tr w:rsidR="007913C3" w:rsidRPr="005F120D" w:rsidTr="009E6A76">
        <w:trPr>
          <w:trHeight w:hRule="exact" w:val="360"/>
          <w:jc w:val="center"/>
        </w:trPr>
        <w:tc>
          <w:tcPr>
            <w:tcW w:w="229" w:type="pct"/>
            <w:shd w:val="clear" w:color="auto" w:fill="DDD9C3" w:themeFill="background2" w:themeFillShade="E6"/>
            <w:vAlign w:val="center"/>
          </w:tcPr>
          <w:p w:rsidR="007913C3" w:rsidRPr="005F120D" w:rsidRDefault="007913C3"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lang w:val="en-GB"/>
              </w:rPr>
              <w:t>7</w:t>
            </w:r>
          </w:p>
        </w:tc>
        <w:tc>
          <w:tcPr>
            <w:tcW w:w="1367" w:type="pct"/>
            <w:shd w:val="clear" w:color="auto" w:fill="DDD9C3" w:themeFill="background2" w:themeFillShade="E6"/>
            <w:vAlign w:val="center"/>
            <w:hideMark/>
          </w:tcPr>
          <w:p w:rsidR="007913C3" w:rsidRPr="005F120D" w:rsidRDefault="007913C3" w:rsidP="00C437AA">
            <w:pPr>
              <w:spacing w:line="276" w:lineRule="auto"/>
              <w:rPr>
                <w:rFonts w:asciiTheme="minorHAnsi" w:hAnsiTheme="minorHAnsi" w:cstheme="minorHAnsi"/>
                <w:sz w:val="16"/>
                <w:szCs w:val="16"/>
              </w:rPr>
            </w:pPr>
            <w:r w:rsidRPr="005F120D">
              <w:rPr>
                <w:rFonts w:asciiTheme="minorHAnsi" w:hAnsiTheme="minorHAnsi" w:cstheme="minorHAnsi"/>
                <w:sz w:val="16"/>
                <w:szCs w:val="16"/>
                <w:lang w:val="en-GB"/>
              </w:rPr>
              <w:t>Kindergarten (MoC)</w:t>
            </w:r>
          </w:p>
        </w:tc>
        <w:tc>
          <w:tcPr>
            <w:tcW w:w="500" w:type="pct"/>
            <w:shd w:val="clear" w:color="auto" w:fill="DDD9C3" w:themeFill="background2" w:themeFillShade="E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18,318</w:t>
            </w:r>
          </w:p>
        </w:tc>
        <w:tc>
          <w:tcPr>
            <w:tcW w:w="420" w:type="pct"/>
            <w:shd w:val="clear" w:color="auto" w:fill="DDD9C3" w:themeFill="background2" w:themeFillShade="E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118,166</w:t>
            </w:r>
          </w:p>
        </w:tc>
        <w:tc>
          <w:tcPr>
            <w:tcW w:w="437" w:type="pct"/>
            <w:shd w:val="clear" w:color="auto" w:fill="DDD9C3" w:themeFill="background2" w:themeFillShade="E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69,614</w:t>
            </w:r>
          </w:p>
        </w:tc>
        <w:tc>
          <w:tcPr>
            <w:tcW w:w="362" w:type="pct"/>
            <w:shd w:val="clear" w:color="auto" w:fill="DDD9C3" w:themeFill="background2" w:themeFillShade="E6"/>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58.9</w:t>
            </w:r>
          </w:p>
        </w:tc>
        <w:tc>
          <w:tcPr>
            <w:tcW w:w="556" w:type="pct"/>
            <w:shd w:val="clear" w:color="auto" w:fill="DDD9C3" w:themeFill="background2" w:themeFillShade="E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2,279,872</w:t>
            </w:r>
          </w:p>
        </w:tc>
        <w:tc>
          <w:tcPr>
            <w:tcW w:w="508" w:type="pct"/>
            <w:shd w:val="clear" w:color="auto" w:fill="DDD9C3" w:themeFill="background2" w:themeFillShade="E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1,054,427</w:t>
            </w:r>
          </w:p>
        </w:tc>
        <w:tc>
          <w:tcPr>
            <w:tcW w:w="338" w:type="pct"/>
            <w:shd w:val="clear" w:color="auto" w:fill="DDD9C3" w:themeFill="background2" w:themeFillShade="E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46.2</w:t>
            </w:r>
          </w:p>
        </w:tc>
        <w:tc>
          <w:tcPr>
            <w:tcW w:w="283" w:type="pct"/>
            <w:shd w:val="clear" w:color="auto" w:fill="DDD9C3" w:themeFill="background2" w:themeFillShade="E6"/>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19.3</w:t>
            </w:r>
          </w:p>
        </w:tc>
      </w:tr>
      <w:tr w:rsidR="007913C3" w:rsidRPr="005F120D" w:rsidTr="00F4714E">
        <w:trPr>
          <w:trHeight w:hRule="exact" w:val="465"/>
          <w:jc w:val="center"/>
        </w:trPr>
        <w:tc>
          <w:tcPr>
            <w:tcW w:w="229" w:type="pct"/>
            <w:shd w:val="clear" w:color="auto" w:fill="EAF1DD" w:themeFill="accent3" w:themeFillTint="33"/>
            <w:vAlign w:val="center"/>
          </w:tcPr>
          <w:p w:rsidR="007913C3" w:rsidRPr="005F120D" w:rsidRDefault="007913C3" w:rsidP="00C437AA">
            <w:pPr>
              <w:pStyle w:val="NoSpacing"/>
              <w:spacing w:line="276" w:lineRule="auto"/>
              <w:jc w:val="center"/>
              <w:rPr>
                <w:rFonts w:asciiTheme="minorHAnsi" w:hAnsiTheme="minorHAnsi" w:cstheme="minorHAnsi"/>
                <w:sz w:val="16"/>
                <w:szCs w:val="16"/>
              </w:rPr>
            </w:pPr>
            <w:r w:rsidRPr="005F120D">
              <w:rPr>
                <w:rFonts w:asciiTheme="minorHAnsi" w:hAnsiTheme="minorHAnsi" w:cstheme="minorHAnsi"/>
                <w:sz w:val="16"/>
                <w:szCs w:val="16"/>
              </w:rPr>
              <w:t>8</w:t>
            </w:r>
          </w:p>
        </w:tc>
        <w:tc>
          <w:tcPr>
            <w:tcW w:w="1367" w:type="pct"/>
            <w:shd w:val="clear" w:color="auto" w:fill="EAF1DD" w:themeFill="accent3" w:themeFillTint="33"/>
            <w:vAlign w:val="center"/>
            <w:hideMark/>
          </w:tcPr>
          <w:p w:rsidR="007913C3" w:rsidRPr="005F120D" w:rsidRDefault="007913C3" w:rsidP="00C437AA">
            <w:pPr>
              <w:spacing w:line="276" w:lineRule="auto"/>
              <w:rPr>
                <w:rFonts w:asciiTheme="minorHAnsi" w:hAnsiTheme="minorHAnsi" w:cstheme="minorHAnsi"/>
                <w:sz w:val="16"/>
                <w:szCs w:val="16"/>
              </w:rPr>
            </w:pPr>
            <w:r w:rsidRPr="005F120D">
              <w:rPr>
                <w:rFonts w:asciiTheme="minorHAnsi" w:hAnsiTheme="minorHAnsi" w:cstheme="minorHAnsi"/>
                <w:sz w:val="16"/>
                <w:szCs w:val="16"/>
              </w:rPr>
              <w:t>NGO School (Grade1-5) (NGO Bureau)</w:t>
            </w:r>
          </w:p>
        </w:tc>
        <w:tc>
          <w:tcPr>
            <w:tcW w:w="500"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2,680</w:t>
            </w:r>
          </w:p>
        </w:tc>
        <w:tc>
          <w:tcPr>
            <w:tcW w:w="420"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5,957</w:t>
            </w:r>
          </w:p>
        </w:tc>
        <w:tc>
          <w:tcPr>
            <w:tcW w:w="437"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4,259</w:t>
            </w:r>
          </w:p>
        </w:tc>
        <w:tc>
          <w:tcPr>
            <w:tcW w:w="362" w:type="pct"/>
            <w:shd w:val="clear" w:color="auto" w:fill="EAF1DD" w:themeFill="accent3" w:themeFillTint="33"/>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71.5</w:t>
            </w:r>
          </w:p>
        </w:tc>
        <w:tc>
          <w:tcPr>
            <w:tcW w:w="556"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219,968</w:t>
            </w:r>
          </w:p>
        </w:tc>
        <w:tc>
          <w:tcPr>
            <w:tcW w:w="508"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114,683</w:t>
            </w:r>
          </w:p>
        </w:tc>
        <w:tc>
          <w:tcPr>
            <w:tcW w:w="338"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52.1</w:t>
            </w:r>
          </w:p>
        </w:tc>
        <w:tc>
          <w:tcPr>
            <w:tcW w:w="283" w:type="pct"/>
            <w:shd w:val="clear" w:color="auto" w:fill="EAF1DD" w:themeFill="accent3" w:themeFillTint="33"/>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36.9</w:t>
            </w:r>
          </w:p>
        </w:tc>
      </w:tr>
      <w:tr w:rsidR="007913C3" w:rsidRPr="005F120D" w:rsidTr="00F4714E">
        <w:trPr>
          <w:trHeight w:hRule="exact" w:val="288"/>
          <w:jc w:val="center"/>
        </w:trPr>
        <w:tc>
          <w:tcPr>
            <w:tcW w:w="229" w:type="pct"/>
            <w:shd w:val="clear" w:color="auto" w:fill="FDE9D9" w:themeFill="accent6" w:themeFillTint="33"/>
            <w:vAlign w:val="center"/>
          </w:tcPr>
          <w:p w:rsidR="007913C3" w:rsidRPr="005F120D" w:rsidRDefault="007913C3" w:rsidP="00C437AA">
            <w:pPr>
              <w:pStyle w:val="NoSpacing"/>
              <w:spacing w:line="276" w:lineRule="auto"/>
              <w:jc w:val="center"/>
              <w:rPr>
                <w:rFonts w:asciiTheme="minorHAnsi" w:hAnsiTheme="minorHAnsi" w:cstheme="minorHAnsi"/>
                <w:sz w:val="16"/>
                <w:szCs w:val="16"/>
              </w:rPr>
            </w:pPr>
            <w:r w:rsidRPr="005F120D">
              <w:rPr>
                <w:rFonts w:asciiTheme="minorHAnsi" w:hAnsiTheme="minorHAnsi" w:cstheme="minorHAnsi"/>
                <w:sz w:val="16"/>
                <w:szCs w:val="16"/>
              </w:rPr>
              <w:t>9</w:t>
            </w:r>
          </w:p>
        </w:tc>
        <w:tc>
          <w:tcPr>
            <w:tcW w:w="1367" w:type="pct"/>
            <w:shd w:val="clear" w:color="auto" w:fill="FDE9D9" w:themeFill="accent6" w:themeFillTint="33"/>
            <w:vAlign w:val="center"/>
            <w:hideMark/>
          </w:tcPr>
          <w:p w:rsidR="007913C3" w:rsidRPr="005F120D" w:rsidRDefault="007913C3" w:rsidP="00C437AA">
            <w:pPr>
              <w:spacing w:line="276" w:lineRule="auto"/>
              <w:rPr>
                <w:rFonts w:asciiTheme="minorHAnsi" w:hAnsiTheme="minorHAnsi" w:cstheme="minorHAnsi"/>
                <w:sz w:val="16"/>
                <w:szCs w:val="16"/>
              </w:rPr>
            </w:pPr>
            <w:r w:rsidRPr="005F120D">
              <w:rPr>
                <w:rFonts w:asciiTheme="minorHAnsi" w:hAnsiTheme="minorHAnsi" w:cstheme="minorHAnsi"/>
                <w:sz w:val="16"/>
                <w:szCs w:val="16"/>
              </w:rPr>
              <w:t>Community School (MoPME/DPE)</w:t>
            </w:r>
          </w:p>
        </w:tc>
        <w:tc>
          <w:tcPr>
            <w:tcW w:w="500" w:type="pct"/>
            <w:shd w:val="clear" w:color="auto" w:fill="FDE9D9" w:themeFill="accent6"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106</w:t>
            </w:r>
          </w:p>
        </w:tc>
        <w:tc>
          <w:tcPr>
            <w:tcW w:w="420" w:type="pct"/>
            <w:shd w:val="clear" w:color="auto" w:fill="FDE9D9" w:themeFill="accent6"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341</w:t>
            </w:r>
          </w:p>
        </w:tc>
        <w:tc>
          <w:tcPr>
            <w:tcW w:w="437" w:type="pct"/>
            <w:shd w:val="clear" w:color="auto" w:fill="FDE9D9" w:themeFill="accent6"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257</w:t>
            </w:r>
          </w:p>
        </w:tc>
        <w:tc>
          <w:tcPr>
            <w:tcW w:w="362" w:type="pct"/>
            <w:shd w:val="clear" w:color="auto" w:fill="FDE9D9" w:themeFill="accent6" w:themeFillTint="33"/>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75.4</w:t>
            </w:r>
          </w:p>
        </w:tc>
        <w:tc>
          <w:tcPr>
            <w:tcW w:w="556" w:type="pct"/>
            <w:shd w:val="clear" w:color="auto" w:fill="FDE9D9" w:themeFill="accent6"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14,842</w:t>
            </w:r>
          </w:p>
        </w:tc>
        <w:tc>
          <w:tcPr>
            <w:tcW w:w="508" w:type="pct"/>
            <w:shd w:val="clear" w:color="auto" w:fill="FDE9D9" w:themeFill="accent6"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7,705</w:t>
            </w:r>
          </w:p>
        </w:tc>
        <w:tc>
          <w:tcPr>
            <w:tcW w:w="338" w:type="pct"/>
            <w:shd w:val="clear" w:color="auto" w:fill="FDE9D9" w:themeFill="accent6"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51.9</w:t>
            </w:r>
          </w:p>
        </w:tc>
        <w:tc>
          <w:tcPr>
            <w:tcW w:w="283" w:type="pct"/>
            <w:shd w:val="clear" w:color="auto" w:fill="FDE9D9" w:themeFill="accent6" w:themeFillTint="33"/>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43.5</w:t>
            </w:r>
          </w:p>
        </w:tc>
      </w:tr>
      <w:tr w:rsidR="007913C3" w:rsidRPr="005F120D" w:rsidTr="00F4714E">
        <w:trPr>
          <w:trHeight w:hRule="exact" w:val="519"/>
          <w:jc w:val="center"/>
        </w:trPr>
        <w:tc>
          <w:tcPr>
            <w:tcW w:w="229" w:type="pct"/>
            <w:shd w:val="clear" w:color="auto" w:fill="CCC0D9" w:themeFill="accent4" w:themeFillTint="66"/>
            <w:vAlign w:val="center"/>
          </w:tcPr>
          <w:p w:rsidR="007913C3" w:rsidRPr="005F120D" w:rsidRDefault="007913C3" w:rsidP="00C437AA">
            <w:pPr>
              <w:pStyle w:val="NoSpacing"/>
              <w:spacing w:line="276" w:lineRule="auto"/>
              <w:jc w:val="center"/>
              <w:rPr>
                <w:rFonts w:asciiTheme="minorHAnsi" w:hAnsiTheme="minorHAnsi" w:cstheme="minorHAnsi"/>
                <w:sz w:val="16"/>
                <w:szCs w:val="16"/>
              </w:rPr>
            </w:pPr>
            <w:r w:rsidRPr="005F120D">
              <w:rPr>
                <w:rFonts w:asciiTheme="minorHAnsi" w:hAnsiTheme="minorHAnsi" w:cstheme="minorHAnsi"/>
                <w:sz w:val="16"/>
                <w:szCs w:val="16"/>
              </w:rPr>
              <w:t>10</w:t>
            </w:r>
          </w:p>
        </w:tc>
        <w:tc>
          <w:tcPr>
            <w:tcW w:w="1367" w:type="pct"/>
            <w:shd w:val="clear" w:color="auto" w:fill="CCC0D9" w:themeFill="accent4" w:themeFillTint="66"/>
            <w:vAlign w:val="center"/>
            <w:hideMark/>
          </w:tcPr>
          <w:p w:rsidR="007913C3" w:rsidRPr="005F120D" w:rsidRDefault="0089702D" w:rsidP="00C437AA">
            <w:pPr>
              <w:spacing w:line="276" w:lineRule="auto"/>
              <w:rPr>
                <w:rFonts w:asciiTheme="minorHAnsi" w:hAnsiTheme="minorHAnsi" w:cstheme="minorHAnsi"/>
                <w:sz w:val="16"/>
                <w:szCs w:val="16"/>
              </w:rPr>
            </w:pPr>
            <w:r>
              <w:rPr>
                <w:rFonts w:asciiTheme="minorHAnsi" w:hAnsiTheme="minorHAnsi" w:cstheme="minorHAnsi"/>
                <w:sz w:val="16"/>
                <w:szCs w:val="16"/>
                <w:lang w:val="en-GB"/>
              </w:rPr>
              <w:t>High Madrasha</w:t>
            </w:r>
            <w:r w:rsidR="007913C3" w:rsidRPr="005F120D">
              <w:rPr>
                <w:rFonts w:asciiTheme="minorHAnsi" w:hAnsiTheme="minorHAnsi" w:cstheme="minorHAnsi"/>
                <w:sz w:val="16"/>
                <w:szCs w:val="16"/>
                <w:lang w:val="en-GB"/>
              </w:rPr>
              <w:t xml:space="preserve"> Attached Ebtedayee(MoE)</w:t>
            </w:r>
          </w:p>
        </w:tc>
        <w:tc>
          <w:tcPr>
            <w:tcW w:w="500"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5,599</w:t>
            </w:r>
          </w:p>
        </w:tc>
        <w:tc>
          <w:tcPr>
            <w:tcW w:w="420"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22,663</w:t>
            </w:r>
          </w:p>
        </w:tc>
        <w:tc>
          <w:tcPr>
            <w:tcW w:w="437"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3,313</w:t>
            </w:r>
          </w:p>
        </w:tc>
        <w:tc>
          <w:tcPr>
            <w:tcW w:w="362" w:type="pct"/>
            <w:shd w:val="clear" w:color="auto" w:fill="CCC0D9" w:themeFill="accent4" w:themeFillTint="66"/>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14.6</w:t>
            </w:r>
          </w:p>
        </w:tc>
        <w:tc>
          <w:tcPr>
            <w:tcW w:w="556"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830,733</w:t>
            </w:r>
          </w:p>
        </w:tc>
        <w:tc>
          <w:tcPr>
            <w:tcW w:w="508"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400,781</w:t>
            </w:r>
          </w:p>
        </w:tc>
        <w:tc>
          <w:tcPr>
            <w:tcW w:w="338"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48.2</w:t>
            </w:r>
          </w:p>
        </w:tc>
        <w:tc>
          <w:tcPr>
            <w:tcW w:w="283" w:type="pct"/>
            <w:shd w:val="clear" w:color="auto" w:fill="CCC0D9" w:themeFill="accent4" w:themeFillTint="66"/>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36.7</w:t>
            </w:r>
          </w:p>
        </w:tc>
      </w:tr>
      <w:tr w:rsidR="007913C3" w:rsidRPr="005F120D" w:rsidTr="00F4714E">
        <w:trPr>
          <w:trHeight w:hRule="exact" w:val="447"/>
          <w:jc w:val="center"/>
        </w:trPr>
        <w:tc>
          <w:tcPr>
            <w:tcW w:w="229" w:type="pct"/>
            <w:shd w:val="clear" w:color="auto" w:fill="CCC0D9" w:themeFill="accent4" w:themeFillTint="66"/>
            <w:vAlign w:val="center"/>
          </w:tcPr>
          <w:p w:rsidR="007913C3" w:rsidRPr="005F120D" w:rsidRDefault="007913C3" w:rsidP="00C437AA">
            <w:pPr>
              <w:pStyle w:val="NoSpacing"/>
              <w:spacing w:line="276" w:lineRule="auto"/>
              <w:jc w:val="center"/>
              <w:rPr>
                <w:rFonts w:asciiTheme="minorHAnsi" w:hAnsiTheme="minorHAnsi" w:cstheme="minorHAnsi"/>
                <w:sz w:val="16"/>
                <w:szCs w:val="16"/>
              </w:rPr>
            </w:pPr>
            <w:r w:rsidRPr="005F120D">
              <w:rPr>
                <w:rFonts w:asciiTheme="minorHAnsi" w:hAnsiTheme="minorHAnsi" w:cstheme="minorHAnsi"/>
                <w:sz w:val="16"/>
                <w:szCs w:val="16"/>
              </w:rPr>
              <w:t>11</w:t>
            </w:r>
          </w:p>
        </w:tc>
        <w:tc>
          <w:tcPr>
            <w:tcW w:w="1367" w:type="pct"/>
            <w:shd w:val="clear" w:color="auto" w:fill="CCC0D9" w:themeFill="accent4" w:themeFillTint="66"/>
            <w:vAlign w:val="center"/>
            <w:hideMark/>
          </w:tcPr>
          <w:p w:rsidR="007913C3" w:rsidRPr="005F120D" w:rsidRDefault="007913C3" w:rsidP="00C437AA">
            <w:pPr>
              <w:spacing w:line="276" w:lineRule="auto"/>
              <w:rPr>
                <w:rFonts w:asciiTheme="minorHAnsi" w:hAnsiTheme="minorHAnsi" w:cstheme="minorHAnsi"/>
                <w:sz w:val="16"/>
                <w:szCs w:val="16"/>
              </w:rPr>
            </w:pPr>
            <w:r w:rsidRPr="005F120D">
              <w:rPr>
                <w:rFonts w:asciiTheme="minorHAnsi" w:hAnsiTheme="minorHAnsi" w:cstheme="minorHAnsi"/>
                <w:sz w:val="16"/>
                <w:szCs w:val="16"/>
                <w:lang w:val="en-GB"/>
              </w:rPr>
              <w:t>High School Attach Primary Section  (MoE)</w:t>
            </w:r>
          </w:p>
        </w:tc>
        <w:tc>
          <w:tcPr>
            <w:tcW w:w="500"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1,554</w:t>
            </w:r>
          </w:p>
        </w:tc>
        <w:tc>
          <w:tcPr>
            <w:tcW w:w="420"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11,101</w:t>
            </w:r>
          </w:p>
        </w:tc>
        <w:tc>
          <w:tcPr>
            <w:tcW w:w="437"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6,209</w:t>
            </w:r>
          </w:p>
        </w:tc>
        <w:tc>
          <w:tcPr>
            <w:tcW w:w="362" w:type="pct"/>
            <w:shd w:val="clear" w:color="auto" w:fill="CCC0D9" w:themeFill="accent4" w:themeFillTint="66"/>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55.9</w:t>
            </w:r>
          </w:p>
        </w:tc>
        <w:tc>
          <w:tcPr>
            <w:tcW w:w="556"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560,521</w:t>
            </w:r>
          </w:p>
        </w:tc>
        <w:tc>
          <w:tcPr>
            <w:tcW w:w="508" w:type="pct"/>
            <w:shd w:val="clear" w:color="auto" w:fill="CCC0D9" w:themeFill="accent4" w:themeFillTint="66"/>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291,720</w:t>
            </w:r>
          </w:p>
        </w:tc>
        <w:tc>
          <w:tcPr>
            <w:tcW w:w="338" w:type="pct"/>
            <w:shd w:val="clear" w:color="auto" w:fill="CCC0D9" w:themeFill="accent4" w:themeFillTint="66"/>
            <w:noWrap/>
            <w:vAlign w:val="bottom"/>
            <w:hideMark/>
          </w:tcPr>
          <w:p w:rsidR="007913C3" w:rsidRPr="005F120D" w:rsidRDefault="000B46F1"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52</w:t>
            </w:r>
          </w:p>
        </w:tc>
        <w:tc>
          <w:tcPr>
            <w:tcW w:w="283" w:type="pct"/>
            <w:shd w:val="clear" w:color="auto" w:fill="CCC0D9" w:themeFill="accent4" w:themeFillTint="66"/>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50.5</w:t>
            </w:r>
          </w:p>
        </w:tc>
      </w:tr>
      <w:tr w:rsidR="007913C3" w:rsidRPr="005F120D" w:rsidTr="008A5970">
        <w:trPr>
          <w:trHeight w:hRule="exact" w:val="429"/>
          <w:jc w:val="center"/>
        </w:trPr>
        <w:tc>
          <w:tcPr>
            <w:tcW w:w="229" w:type="pct"/>
            <w:shd w:val="clear" w:color="auto" w:fill="EAF1DD" w:themeFill="accent3" w:themeFillTint="33"/>
            <w:vAlign w:val="center"/>
          </w:tcPr>
          <w:p w:rsidR="007913C3" w:rsidRPr="005F120D" w:rsidRDefault="007913C3" w:rsidP="00C437AA">
            <w:pPr>
              <w:pStyle w:val="NoSpacing"/>
              <w:spacing w:line="276" w:lineRule="auto"/>
              <w:jc w:val="center"/>
              <w:rPr>
                <w:rFonts w:asciiTheme="minorHAnsi" w:hAnsiTheme="minorHAnsi" w:cstheme="minorHAnsi"/>
                <w:sz w:val="16"/>
                <w:szCs w:val="16"/>
              </w:rPr>
            </w:pPr>
            <w:r w:rsidRPr="005F120D">
              <w:rPr>
                <w:rFonts w:asciiTheme="minorHAnsi" w:hAnsiTheme="minorHAnsi" w:cstheme="minorHAnsi"/>
                <w:sz w:val="16"/>
                <w:szCs w:val="16"/>
              </w:rPr>
              <w:t>12</w:t>
            </w:r>
          </w:p>
        </w:tc>
        <w:tc>
          <w:tcPr>
            <w:tcW w:w="1367" w:type="pct"/>
            <w:shd w:val="clear" w:color="auto" w:fill="EAF1DD" w:themeFill="accent3" w:themeFillTint="33"/>
            <w:vAlign w:val="center"/>
            <w:hideMark/>
          </w:tcPr>
          <w:p w:rsidR="007913C3" w:rsidRPr="005F120D" w:rsidRDefault="007913C3" w:rsidP="00C437AA">
            <w:pPr>
              <w:pStyle w:val="NoSpacing"/>
              <w:spacing w:line="276" w:lineRule="auto"/>
              <w:rPr>
                <w:rFonts w:asciiTheme="minorHAnsi" w:hAnsiTheme="minorHAnsi" w:cstheme="minorHAnsi"/>
                <w:sz w:val="16"/>
                <w:szCs w:val="16"/>
              </w:rPr>
            </w:pPr>
            <w:r w:rsidRPr="005F120D">
              <w:rPr>
                <w:rFonts w:asciiTheme="minorHAnsi" w:hAnsiTheme="minorHAnsi" w:cstheme="minorHAnsi"/>
                <w:sz w:val="16"/>
                <w:szCs w:val="16"/>
              </w:rPr>
              <w:t xml:space="preserve">BRAC </w:t>
            </w:r>
            <w:r w:rsidR="008A5970" w:rsidRPr="005F120D">
              <w:rPr>
                <w:rFonts w:asciiTheme="minorHAnsi" w:hAnsiTheme="minorHAnsi" w:cstheme="minorHAnsi"/>
                <w:sz w:val="16"/>
                <w:szCs w:val="16"/>
              </w:rPr>
              <w:t xml:space="preserve">schools and Learning </w:t>
            </w:r>
            <w:r w:rsidRPr="005F120D">
              <w:rPr>
                <w:rFonts w:asciiTheme="minorHAnsi" w:hAnsiTheme="minorHAnsi" w:cstheme="minorHAnsi"/>
                <w:sz w:val="16"/>
                <w:szCs w:val="16"/>
              </w:rPr>
              <w:t>Center (NGO Bureau)</w:t>
            </w:r>
          </w:p>
        </w:tc>
        <w:tc>
          <w:tcPr>
            <w:tcW w:w="500"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13,522</w:t>
            </w:r>
          </w:p>
        </w:tc>
        <w:tc>
          <w:tcPr>
            <w:tcW w:w="420"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13,886</w:t>
            </w:r>
          </w:p>
        </w:tc>
        <w:tc>
          <w:tcPr>
            <w:tcW w:w="437"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13,382</w:t>
            </w:r>
          </w:p>
        </w:tc>
        <w:tc>
          <w:tcPr>
            <w:tcW w:w="362" w:type="pct"/>
            <w:shd w:val="clear" w:color="auto" w:fill="EAF1DD" w:themeFill="accent3" w:themeFillTint="33"/>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96.4</w:t>
            </w:r>
          </w:p>
        </w:tc>
        <w:tc>
          <w:tcPr>
            <w:tcW w:w="556"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332,695</w:t>
            </w:r>
          </w:p>
        </w:tc>
        <w:tc>
          <w:tcPr>
            <w:tcW w:w="508" w:type="pct"/>
            <w:shd w:val="clear" w:color="auto" w:fill="EAF1DD" w:themeFill="accent3"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189,585</w:t>
            </w:r>
          </w:p>
        </w:tc>
        <w:tc>
          <w:tcPr>
            <w:tcW w:w="338" w:type="pct"/>
            <w:shd w:val="clear" w:color="auto" w:fill="EAF1DD" w:themeFill="accent3" w:themeFillTint="33"/>
            <w:noWrap/>
            <w:vAlign w:val="bottom"/>
            <w:hideMark/>
          </w:tcPr>
          <w:p w:rsidR="007913C3" w:rsidRPr="005F120D" w:rsidRDefault="000B46F1"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57</w:t>
            </w:r>
          </w:p>
        </w:tc>
        <w:tc>
          <w:tcPr>
            <w:tcW w:w="283" w:type="pct"/>
            <w:shd w:val="clear" w:color="auto" w:fill="EAF1DD" w:themeFill="accent3" w:themeFillTint="33"/>
            <w:vAlign w:val="bottom"/>
          </w:tcPr>
          <w:p w:rsidR="007913C3" w:rsidRPr="005F120D" w:rsidRDefault="000B46F1"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24</w:t>
            </w:r>
          </w:p>
        </w:tc>
      </w:tr>
      <w:tr w:rsidR="007913C3" w:rsidRPr="005F120D" w:rsidTr="009E6A76">
        <w:trPr>
          <w:trHeight w:hRule="exact" w:val="360"/>
          <w:jc w:val="center"/>
        </w:trPr>
        <w:tc>
          <w:tcPr>
            <w:tcW w:w="229" w:type="pct"/>
            <w:shd w:val="clear" w:color="auto" w:fill="DAEEF3" w:themeFill="accent5" w:themeFillTint="33"/>
            <w:vAlign w:val="center"/>
          </w:tcPr>
          <w:p w:rsidR="007913C3" w:rsidRPr="005F120D" w:rsidRDefault="007913C3" w:rsidP="00C437AA">
            <w:pPr>
              <w:pStyle w:val="NoSpacing"/>
              <w:spacing w:line="276" w:lineRule="auto"/>
              <w:jc w:val="center"/>
              <w:rPr>
                <w:rFonts w:asciiTheme="minorHAnsi" w:hAnsiTheme="minorHAnsi" w:cstheme="minorHAnsi"/>
                <w:sz w:val="16"/>
                <w:szCs w:val="16"/>
              </w:rPr>
            </w:pPr>
            <w:r w:rsidRPr="005F120D">
              <w:rPr>
                <w:rFonts w:asciiTheme="minorHAnsi" w:hAnsiTheme="minorHAnsi" w:cstheme="minorHAnsi"/>
                <w:sz w:val="16"/>
                <w:szCs w:val="16"/>
              </w:rPr>
              <w:t>13</w:t>
            </w:r>
          </w:p>
        </w:tc>
        <w:tc>
          <w:tcPr>
            <w:tcW w:w="1367" w:type="pct"/>
            <w:shd w:val="clear" w:color="auto" w:fill="DAEEF3" w:themeFill="accent5" w:themeFillTint="33"/>
            <w:vAlign w:val="center"/>
            <w:hideMark/>
          </w:tcPr>
          <w:p w:rsidR="007913C3" w:rsidRPr="005F120D" w:rsidRDefault="007913C3" w:rsidP="00C437AA">
            <w:pPr>
              <w:pStyle w:val="NoSpacing"/>
              <w:spacing w:line="276" w:lineRule="auto"/>
              <w:rPr>
                <w:rFonts w:asciiTheme="minorHAnsi" w:hAnsiTheme="minorHAnsi" w:cstheme="minorHAnsi"/>
                <w:sz w:val="16"/>
                <w:szCs w:val="16"/>
              </w:rPr>
            </w:pPr>
            <w:r w:rsidRPr="005F120D">
              <w:rPr>
                <w:rFonts w:asciiTheme="minorHAnsi" w:hAnsiTheme="minorHAnsi" w:cstheme="minorHAnsi"/>
                <w:sz w:val="16"/>
                <w:szCs w:val="16"/>
              </w:rPr>
              <w:t>ROSC (MoPME/DPE)</w:t>
            </w:r>
          </w:p>
        </w:tc>
        <w:tc>
          <w:tcPr>
            <w:tcW w:w="50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6,258</w:t>
            </w:r>
          </w:p>
        </w:tc>
        <w:tc>
          <w:tcPr>
            <w:tcW w:w="42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6,327</w:t>
            </w:r>
          </w:p>
        </w:tc>
        <w:tc>
          <w:tcPr>
            <w:tcW w:w="437"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5,187</w:t>
            </w:r>
          </w:p>
        </w:tc>
        <w:tc>
          <w:tcPr>
            <w:tcW w:w="362" w:type="pct"/>
            <w:shd w:val="clear" w:color="auto" w:fill="DAEEF3" w:themeFill="accent5" w:themeFillTint="33"/>
            <w:noWrap/>
            <w:vAlign w:val="bottom"/>
            <w:hideMark/>
          </w:tcPr>
          <w:p w:rsidR="007913C3" w:rsidRPr="005F120D" w:rsidRDefault="000B46F1"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82</w:t>
            </w:r>
          </w:p>
        </w:tc>
        <w:tc>
          <w:tcPr>
            <w:tcW w:w="556"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184,163</w:t>
            </w:r>
          </w:p>
        </w:tc>
        <w:tc>
          <w:tcPr>
            <w:tcW w:w="50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91,419</w:t>
            </w:r>
          </w:p>
        </w:tc>
        <w:tc>
          <w:tcPr>
            <w:tcW w:w="33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49.6</w:t>
            </w:r>
          </w:p>
        </w:tc>
        <w:tc>
          <w:tcPr>
            <w:tcW w:w="283" w:type="pct"/>
            <w:shd w:val="clear" w:color="auto" w:fill="DAEEF3" w:themeFill="accent5" w:themeFillTint="33"/>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29.1</w:t>
            </w:r>
          </w:p>
        </w:tc>
      </w:tr>
      <w:tr w:rsidR="007913C3" w:rsidRPr="005F120D" w:rsidTr="009E6A76">
        <w:trPr>
          <w:trHeight w:hRule="exact" w:val="360"/>
          <w:jc w:val="center"/>
        </w:trPr>
        <w:tc>
          <w:tcPr>
            <w:tcW w:w="229" w:type="pct"/>
            <w:shd w:val="clear" w:color="auto" w:fill="DAEEF3" w:themeFill="accent5" w:themeFillTint="33"/>
            <w:vAlign w:val="center"/>
          </w:tcPr>
          <w:p w:rsidR="007913C3" w:rsidRPr="005F120D" w:rsidRDefault="007913C3" w:rsidP="00C437AA">
            <w:pPr>
              <w:pStyle w:val="NoSpacing"/>
              <w:spacing w:line="276" w:lineRule="auto"/>
              <w:jc w:val="center"/>
              <w:rPr>
                <w:rFonts w:asciiTheme="minorHAnsi" w:hAnsiTheme="minorHAnsi" w:cstheme="minorHAnsi"/>
                <w:sz w:val="16"/>
                <w:szCs w:val="16"/>
              </w:rPr>
            </w:pPr>
            <w:r w:rsidRPr="005F120D">
              <w:rPr>
                <w:rFonts w:asciiTheme="minorHAnsi" w:hAnsiTheme="minorHAnsi" w:cstheme="minorHAnsi"/>
                <w:sz w:val="16"/>
                <w:szCs w:val="16"/>
              </w:rPr>
              <w:t>14</w:t>
            </w:r>
          </w:p>
        </w:tc>
        <w:tc>
          <w:tcPr>
            <w:tcW w:w="1367" w:type="pct"/>
            <w:shd w:val="clear" w:color="auto" w:fill="DAEEF3" w:themeFill="accent5" w:themeFillTint="33"/>
            <w:vAlign w:val="center"/>
            <w:hideMark/>
          </w:tcPr>
          <w:p w:rsidR="007913C3" w:rsidRPr="005F120D" w:rsidRDefault="007913C3" w:rsidP="00C437AA">
            <w:pPr>
              <w:pStyle w:val="NoSpacing"/>
              <w:spacing w:line="276" w:lineRule="auto"/>
              <w:rPr>
                <w:rFonts w:asciiTheme="minorHAnsi" w:hAnsiTheme="minorHAnsi" w:cstheme="minorHAnsi"/>
                <w:sz w:val="16"/>
                <w:szCs w:val="16"/>
              </w:rPr>
            </w:pPr>
            <w:r w:rsidRPr="005F120D">
              <w:rPr>
                <w:rFonts w:asciiTheme="minorHAnsi" w:hAnsiTheme="minorHAnsi" w:cstheme="minorHAnsi"/>
                <w:sz w:val="16"/>
                <w:szCs w:val="16"/>
              </w:rPr>
              <w:t>Shishu Kollyan (MoPME/DPE)</w:t>
            </w:r>
          </w:p>
        </w:tc>
        <w:tc>
          <w:tcPr>
            <w:tcW w:w="50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152</w:t>
            </w:r>
          </w:p>
        </w:tc>
        <w:tc>
          <w:tcPr>
            <w:tcW w:w="420"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437</w:t>
            </w:r>
          </w:p>
        </w:tc>
        <w:tc>
          <w:tcPr>
            <w:tcW w:w="437"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302</w:t>
            </w:r>
          </w:p>
        </w:tc>
        <w:tc>
          <w:tcPr>
            <w:tcW w:w="362" w:type="pct"/>
            <w:shd w:val="clear" w:color="auto" w:fill="DAEEF3" w:themeFill="accent5" w:themeFillTint="33"/>
            <w:noWrap/>
            <w:vAlign w:val="bottom"/>
            <w:hideMark/>
          </w:tcPr>
          <w:p w:rsidR="007913C3" w:rsidRPr="005F120D" w:rsidRDefault="007913C3"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69.1</w:t>
            </w:r>
          </w:p>
        </w:tc>
        <w:tc>
          <w:tcPr>
            <w:tcW w:w="556"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15,305</w:t>
            </w:r>
          </w:p>
        </w:tc>
        <w:tc>
          <w:tcPr>
            <w:tcW w:w="50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8,130</w:t>
            </w:r>
          </w:p>
        </w:tc>
        <w:tc>
          <w:tcPr>
            <w:tcW w:w="338" w:type="pct"/>
            <w:shd w:val="clear" w:color="auto" w:fill="DAEEF3" w:themeFill="accent5" w:themeFillTint="33"/>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53.1</w:t>
            </w:r>
          </w:p>
        </w:tc>
        <w:tc>
          <w:tcPr>
            <w:tcW w:w="283" w:type="pct"/>
            <w:shd w:val="clear" w:color="auto" w:fill="DAEEF3" w:themeFill="accent5" w:themeFillTint="33"/>
            <w:vAlign w:val="bottom"/>
          </w:tcPr>
          <w:p w:rsidR="007913C3" w:rsidRPr="005F120D" w:rsidRDefault="000B46F1"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35</w:t>
            </w:r>
          </w:p>
        </w:tc>
      </w:tr>
      <w:tr w:rsidR="007913C3" w:rsidRPr="005F120D" w:rsidTr="009E6A76">
        <w:trPr>
          <w:trHeight w:hRule="exact" w:val="360"/>
          <w:jc w:val="center"/>
        </w:trPr>
        <w:tc>
          <w:tcPr>
            <w:tcW w:w="229" w:type="pct"/>
            <w:vAlign w:val="center"/>
          </w:tcPr>
          <w:p w:rsidR="007913C3" w:rsidRPr="005F120D" w:rsidRDefault="007913C3" w:rsidP="00C437AA">
            <w:pPr>
              <w:pStyle w:val="NoSpacing"/>
              <w:spacing w:line="276" w:lineRule="auto"/>
              <w:jc w:val="center"/>
              <w:rPr>
                <w:rFonts w:asciiTheme="minorHAnsi" w:hAnsiTheme="minorHAnsi" w:cstheme="minorHAnsi"/>
                <w:sz w:val="16"/>
                <w:szCs w:val="16"/>
              </w:rPr>
            </w:pPr>
            <w:r w:rsidRPr="005F120D">
              <w:rPr>
                <w:rFonts w:asciiTheme="minorHAnsi" w:hAnsiTheme="minorHAnsi" w:cstheme="minorHAnsi"/>
                <w:sz w:val="16"/>
                <w:szCs w:val="16"/>
              </w:rPr>
              <w:t>15</w:t>
            </w:r>
          </w:p>
        </w:tc>
        <w:tc>
          <w:tcPr>
            <w:tcW w:w="1367" w:type="pct"/>
            <w:shd w:val="clear" w:color="auto" w:fill="auto"/>
            <w:vAlign w:val="center"/>
            <w:hideMark/>
          </w:tcPr>
          <w:p w:rsidR="007913C3" w:rsidRPr="005F120D" w:rsidRDefault="00A54E24" w:rsidP="00C437AA">
            <w:pPr>
              <w:pStyle w:val="NoSpacing"/>
              <w:spacing w:line="276" w:lineRule="auto"/>
              <w:rPr>
                <w:rFonts w:asciiTheme="minorHAnsi" w:hAnsiTheme="minorHAnsi" w:cstheme="minorHAnsi"/>
                <w:sz w:val="16"/>
                <w:szCs w:val="16"/>
              </w:rPr>
            </w:pPr>
            <w:r w:rsidRPr="005F120D">
              <w:rPr>
                <w:rFonts w:asciiTheme="minorHAnsi" w:hAnsiTheme="minorHAnsi" w:cstheme="minorHAnsi"/>
                <w:sz w:val="16"/>
                <w:szCs w:val="16"/>
              </w:rPr>
              <w:t>Others</w:t>
            </w:r>
            <w:r w:rsidR="007913C3" w:rsidRPr="005F120D">
              <w:rPr>
                <w:rFonts w:asciiTheme="minorHAnsi" w:hAnsiTheme="minorHAnsi" w:cstheme="minorHAnsi"/>
                <w:sz w:val="16"/>
                <w:szCs w:val="16"/>
              </w:rPr>
              <w:t xml:space="preserve"> (including MoSW)</w:t>
            </w:r>
          </w:p>
        </w:tc>
        <w:tc>
          <w:tcPr>
            <w:tcW w:w="500" w:type="pct"/>
            <w:shd w:val="clear" w:color="auto" w:fill="auto"/>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5,471</w:t>
            </w:r>
          </w:p>
        </w:tc>
        <w:tc>
          <w:tcPr>
            <w:tcW w:w="420" w:type="pct"/>
            <w:shd w:val="clear" w:color="auto" w:fill="FFFFFF"/>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7,196</w:t>
            </w:r>
          </w:p>
        </w:tc>
        <w:tc>
          <w:tcPr>
            <w:tcW w:w="437" w:type="pct"/>
            <w:shd w:val="clear" w:color="auto" w:fill="FFFFFF"/>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4,531</w:t>
            </w:r>
          </w:p>
        </w:tc>
        <w:tc>
          <w:tcPr>
            <w:tcW w:w="362" w:type="pct"/>
            <w:shd w:val="clear" w:color="auto" w:fill="FFFFFF"/>
            <w:noWrap/>
            <w:vAlign w:val="bottom"/>
            <w:hideMark/>
          </w:tcPr>
          <w:p w:rsidR="007913C3" w:rsidRPr="005F120D" w:rsidRDefault="000B46F1"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63</w:t>
            </w:r>
          </w:p>
        </w:tc>
        <w:tc>
          <w:tcPr>
            <w:tcW w:w="556" w:type="pct"/>
            <w:shd w:val="clear" w:color="auto" w:fill="FFFFFF"/>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140,743</w:t>
            </w:r>
          </w:p>
        </w:tc>
        <w:tc>
          <w:tcPr>
            <w:tcW w:w="508" w:type="pct"/>
            <w:shd w:val="clear" w:color="auto" w:fill="FFFFFF"/>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70,099</w:t>
            </w:r>
          </w:p>
        </w:tc>
        <w:tc>
          <w:tcPr>
            <w:tcW w:w="338" w:type="pct"/>
            <w:shd w:val="clear" w:color="auto" w:fill="auto"/>
            <w:noWrap/>
            <w:vAlign w:val="bottom"/>
            <w:hideMark/>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49.8</w:t>
            </w:r>
          </w:p>
        </w:tc>
        <w:tc>
          <w:tcPr>
            <w:tcW w:w="283" w:type="pct"/>
            <w:vAlign w:val="bottom"/>
          </w:tcPr>
          <w:p w:rsidR="007913C3" w:rsidRPr="005F120D" w:rsidRDefault="007913C3"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19.6</w:t>
            </w:r>
          </w:p>
        </w:tc>
      </w:tr>
      <w:tr w:rsidR="00573DC7" w:rsidRPr="005F120D" w:rsidTr="009E6A76">
        <w:trPr>
          <w:trHeight w:hRule="exact" w:val="360"/>
          <w:jc w:val="center"/>
        </w:trPr>
        <w:tc>
          <w:tcPr>
            <w:tcW w:w="229" w:type="pct"/>
            <w:shd w:val="clear" w:color="auto" w:fill="DDD9C3" w:themeFill="background2" w:themeFillShade="E6"/>
            <w:vAlign w:val="center"/>
          </w:tcPr>
          <w:p w:rsidR="00573DC7" w:rsidRPr="005F120D" w:rsidRDefault="00573DC7" w:rsidP="00C437AA">
            <w:pPr>
              <w:pStyle w:val="NoSpacing"/>
              <w:spacing w:line="276" w:lineRule="auto"/>
              <w:jc w:val="center"/>
              <w:rPr>
                <w:rFonts w:asciiTheme="minorHAnsi" w:hAnsiTheme="minorHAnsi" w:cstheme="minorHAnsi"/>
                <w:b/>
                <w:sz w:val="16"/>
                <w:szCs w:val="16"/>
              </w:rPr>
            </w:pPr>
          </w:p>
        </w:tc>
        <w:tc>
          <w:tcPr>
            <w:tcW w:w="1367" w:type="pct"/>
            <w:shd w:val="clear" w:color="auto" w:fill="DDD9C3" w:themeFill="background2" w:themeFillShade="E6"/>
            <w:vAlign w:val="center"/>
            <w:hideMark/>
          </w:tcPr>
          <w:p w:rsidR="00573DC7" w:rsidRPr="005F120D" w:rsidRDefault="00573DC7" w:rsidP="00C437AA">
            <w:pPr>
              <w:pStyle w:val="NoSpacing"/>
              <w:spacing w:line="276" w:lineRule="auto"/>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500" w:type="pct"/>
            <w:shd w:val="clear" w:color="auto" w:fill="DDD9C3" w:themeFill="background2" w:themeFillShade="E6"/>
            <w:noWrap/>
            <w:vAlign w:val="bottom"/>
            <w:hideMark/>
          </w:tcPr>
          <w:p w:rsidR="00573DC7" w:rsidRPr="005F120D" w:rsidRDefault="00573DC7"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122,176</w:t>
            </w:r>
          </w:p>
        </w:tc>
        <w:tc>
          <w:tcPr>
            <w:tcW w:w="420" w:type="pct"/>
            <w:shd w:val="clear" w:color="auto" w:fill="DDD9C3" w:themeFill="background2" w:themeFillShade="E6"/>
            <w:noWrap/>
            <w:vAlign w:val="bottom"/>
            <w:hideMark/>
          </w:tcPr>
          <w:p w:rsidR="00573DC7" w:rsidRPr="005F120D" w:rsidRDefault="00573DC7"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527,798</w:t>
            </w:r>
          </w:p>
        </w:tc>
        <w:tc>
          <w:tcPr>
            <w:tcW w:w="437" w:type="pct"/>
            <w:shd w:val="clear" w:color="auto" w:fill="DDD9C3" w:themeFill="background2" w:themeFillShade="E6"/>
            <w:noWrap/>
            <w:vAlign w:val="bottom"/>
            <w:hideMark/>
          </w:tcPr>
          <w:p w:rsidR="00573DC7" w:rsidRPr="005F120D" w:rsidRDefault="00573DC7" w:rsidP="00C437AA">
            <w:pPr>
              <w:spacing w:line="276" w:lineRule="auto"/>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314,299</w:t>
            </w:r>
          </w:p>
        </w:tc>
        <w:tc>
          <w:tcPr>
            <w:tcW w:w="362" w:type="pct"/>
            <w:shd w:val="clear" w:color="auto" w:fill="DDD9C3" w:themeFill="background2" w:themeFillShade="E6"/>
            <w:noWrap/>
            <w:vAlign w:val="bottom"/>
            <w:hideMark/>
          </w:tcPr>
          <w:p w:rsidR="00573DC7" w:rsidRPr="005F120D" w:rsidRDefault="00573DC7" w:rsidP="00C437AA">
            <w:pPr>
              <w:spacing w:line="276" w:lineRule="auto"/>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59.5</w:t>
            </w:r>
          </w:p>
        </w:tc>
        <w:tc>
          <w:tcPr>
            <w:tcW w:w="556" w:type="pct"/>
            <w:shd w:val="clear" w:color="auto" w:fill="DDD9C3" w:themeFill="background2" w:themeFillShade="E6"/>
            <w:noWrap/>
            <w:vAlign w:val="center"/>
            <w:hideMark/>
          </w:tcPr>
          <w:p w:rsidR="00573DC7" w:rsidRPr="005F120D" w:rsidRDefault="00D54059"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lang w:val="en-GB"/>
              </w:rPr>
              <w:t>19,067,</w:t>
            </w:r>
            <w:r w:rsidR="00573DC7" w:rsidRPr="005F120D">
              <w:rPr>
                <w:rFonts w:asciiTheme="minorHAnsi" w:hAnsiTheme="minorHAnsi" w:cstheme="minorHAnsi"/>
                <w:sz w:val="16"/>
                <w:szCs w:val="16"/>
                <w:lang w:val="en-GB"/>
              </w:rPr>
              <w:t>7</w:t>
            </w:r>
            <w:r w:rsidRPr="005F120D">
              <w:rPr>
                <w:rFonts w:asciiTheme="minorHAnsi" w:hAnsiTheme="minorHAnsi" w:cstheme="minorHAnsi"/>
                <w:sz w:val="16"/>
                <w:szCs w:val="16"/>
                <w:lang w:val="en-GB"/>
              </w:rPr>
              <w:t>61</w:t>
            </w:r>
          </w:p>
        </w:tc>
        <w:tc>
          <w:tcPr>
            <w:tcW w:w="508" w:type="pct"/>
            <w:shd w:val="clear" w:color="auto" w:fill="DDD9C3" w:themeFill="background2" w:themeFillShade="E6"/>
            <w:noWrap/>
            <w:vAlign w:val="center"/>
            <w:hideMark/>
          </w:tcPr>
          <w:p w:rsidR="00573DC7" w:rsidRPr="005F120D" w:rsidRDefault="00573DC7"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lang w:val="en-GB"/>
              </w:rPr>
              <w:t>9,</w:t>
            </w:r>
            <w:r w:rsidR="00D54059" w:rsidRPr="005F120D">
              <w:rPr>
                <w:rFonts w:asciiTheme="minorHAnsi" w:hAnsiTheme="minorHAnsi" w:cstheme="minorHAnsi"/>
                <w:sz w:val="16"/>
                <w:szCs w:val="16"/>
                <w:lang w:val="en-GB"/>
              </w:rPr>
              <w:t>698,6</w:t>
            </w:r>
            <w:r w:rsidRPr="005F120D">
              <w:rPr>
                <w:rFonts w:asciiTheme="minorHAnsi" w:hAnsiTheme="minorHAnsi" w:cstheme="minorHAnsi"/>
                <w:sz w:val="16"/>
                <w:szCs w:val="16"/>
                <w:lang w:val="en-GB"/>
              </w:rPr>
              <w:t>8</w:t>
            </w:r>
            <w:r w:rsidR="00D54059" w:rsidRPr="005F120D">
              <w:rPr>
                <w:rFonts w:asciiTheme="minorHAnsi" w:hAnsiTheme="minorHAnsi" w:cstheme="minorHAnsi"/>
                <w:sz w:val="16"/>
                <w:szCs w:val="16"/>
                <w:lang w:val="en-GB"/>
              </w:rPr>
              <w:t>2</w:t>
            </w:r>
          </w:p>
        </w:tc>
        <w:tc>
          <w:tcPr>
            <w:tcW w:w="338" w:type="pct"/>
            <w:shd w:val="clear" w:color="auto" w:fill="DDD9C3" w:themeFill="background2" w:themeFillShade="E6"/>
            <w:noWrap/>
            <w:vAlign w:val="center"/>
            <w:hideMark/>
          </w:tcPr>
          <w:p w:rsidR="00573DC7" w:rsidRPr="005F120D" w:rsidRDefault="00573DC7"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lang w:val="en-GB"/>
              </w:rPr>
              <w:t>50.</w:t>
            </w:r>
            <w:r w:rsidR="000B46F1" w:rsidRPr="005F120D">
              <w:rPr>
                <w:rFonts w:asciiTheme="minorHAnsi" w:hAnsiTheme="minorHAnsi" w:cstheme="minorHAnsi"/>
                <w:sz w:val="16"/>
                <w:szCs w:val="16"/>
                <w:lang w:val="en-GB"/>
              </w:rPr>
              <w:t>9</w:t>
            </w:r>
          </w:p>
        </w:tc>
        <w:tc>
          <w:tcPr>
            <w:tcW w:w="283" w:type="pct"/>
            <w:shd w:val="clear" w:color="auto" w:fill="DDD9C3" w:themeFill="background2" w:themeFillShade="E6"/>
            <w:vAlign w:val="center"/>
          </w:tcPr>
          <w:p w:rsidR="00573DC7" w:rsidRPr="005F120D" w:rsidRDefault="000B46F1" w:rsidP="00C437AA">
            <w:pPr>
              <w:spacing w:line="276" w:lineRule="auto"/>
              <w:jc w:val="center"/>
              <w:rPr>
                <w:rFonts w:asciiTheme="minorHAnsi" w:hAnsiTheme="minorHAnsi" w:cstheme="minorHAnsi"/>
                <w:sz w:val="16"/>
                <w:szCs w:val="16"/>
              </w:rPr>
            </w:pPr>
            <w:r w:rsidRPr="005F120D">
              <w:rPr>
                <w:rFonts w:asciiTheme="minorHAnsi" w:hAnsiTheme="minorHAnsi" w:cstheme="minorHAnsi"/>
                <w:sz w:val="16"/>
                <w:szCs w:val="16"/>
              </w:rPr>
              <w:t>36.1</w:t>
            </w:r>
          </w:p>
        </w:tc>
      </w:tr>
    </w:tbl>
    <w:p w:rsidR="00F4714E" w:rsidRPr="005F120D" w:rsidRDefault="00F4714E" w:rsidP="000A5B80">
      <w:pPr>
        <w:pStyle w:val="Tablenotes"/>
      </w:pPr>
      <w:bookmarkStart w:id="30" w:name="_Ref385258164"/>
      <w:bookmarkStart w:id="31" w:name="_Ref385934215"/>
      <w:bookmarkStart w:id="32" w:name="_Ref386372214"/>
      <w:bookmarkStart w:id="33" w:name="_Ref386555819"/>
      <w:bookmarkStart w:id="34" w:name="_Toc384112928"/>
      <w:bookmarkEnd w:id="21"/>
      <w:r w:rsidRPr="005F120D">
        <w:t xml:space="preserve">Source: APSC 2015: </w:t>
      </w:r>
    </w:p>
    <w:p w:rsidR="00C769A8" w:rsidRPr="005F120D" w:rsidRDefault="00C769A8" w:rsidP="000A5B80">
      <w:pPr>
        <w:pStyle w:val="Tablenotes"/>
      </w:pPr>
      <w:r w:rsidRPr="005F120D">
        <w:t>Note 1: In 2015, 634 more schools were included in the GPS stock from the Establishing 1500 School Project. In 2015</w:t>
      </w:r>
      <w:r w:rsidR="005D09F0" w:rsidRPr="005F120D">
        <w:t>, in</w:t>
      </w:r>
      <w:r w:rsidRPr="005F120D">
        <w:t xml:space="preserve"> comparison with APSC 2014, the total number of institutions increased mainly due to the increase of the number of KG schools, BRAC schools and ROSC LCs. The number increased mainly in two leading categories - GPS &amp; NNPS -due to the establishment of new GPS and the nationalization of non-government schools. It </w:t>
      </w:r>
      <w:r w:rsidR="00560119" w:rsidRPr="005F120D">
        <w:t xml:space="preserve">is </w:t>
      </w:r>
      <w:r w:rsidR="0089702D">
        <w:t>noted that Quami Madrasha</w:t>
      </w:r>
      <w:r w:rsidRPr="005F120D">
        <w:t xml:space="preserve"> is </w:t>
      </w:r>
      <w:r w:rsidR="00560119" w:rsidRPr="005F120D">
        <w:t>included for the first time in</w:t>
      </w:r>
      <w:r w:rsidRPr="005F120D">
        <w:t xml:space="preserve"> the APSC 2015.</w:t>
      </w:r>
    </w:p>
    <w:p w:rsidR="00C769A8" w:rsidRPr="005F120D" w:rsidRDefault="00C769A8" w:rsidP="000A5B80">
      <w:pPr>
        <w:pStyle w:val="Tablenotes"/>
      </w:pPr>
      <w:r w:rsidRPr="005F120D">
        <w:t>Note2: Non formal schools include those having full-fledge five grades; and non-formal learning centers refer to the learning centers which do not have</w:t>
      </w:r>
      <w:r w:rsidR="00560119" w:rsidRPr="005F120D">
        <w:t xml:space="preserve"> the</w:t>
      </w:r>
      <w:r w:rsidRPr="005F120D">
        <w:t xml:space="preserve"> full 5 grades.</w:t>
      </w:r>
    </w:p>
    <w:p w:rsidR="007A5023" w:rsidRPr="005F120D" w:rsidRDefault="00560119" w:rsidP="00C437AA">
      <w:pPr>
        <w:pStyle w:val="BodyText1"/>
        <w:spacing w:before="120" w:after="120"/>
        <w:rPr>
          <w:rFonts w:asciiTheme="minorHAnsi" w:hAnsiTheme="minorHAnsi" w:cstheme="minorHAnsi"/>
          <w:sz w:val="16"/>
          <w:szCs w:val="16"/>
        </w:rPr>
      </w:pPr>
      <w:r w:rsidRPr="005F120D">
        <w:rPr>
          <w:rFonts w:asciiTheme="minorHAnsi" w:hAnsiTheme="minorHAnsi" w:cstheme="minorHAnsi"/>
          <w:sz w:val="16"/>
          <w:szCs w:val="16"/>
          <w:lang w:val="en-US"/>
        </w:rPr>
        <w:t xml:space="preserve">Note3: Other categories </w:t>
      </w:r>
      <w:r w:rsidR="00C769A8" w:rsidRPr="005F120D">
        <w:rPr>
          <w:rFonts w:asciiTheme="minorHAnsi" w:hAnsiTheme="minorHAnsi" w:cstheme="minorHAnsi"/>
          <w:sz w:val="16"/>
          <w:szCs w:val="16"/>
          <w:lang w:val="en-US"/>
        </w:rPr>
        <w:t>(SL.</w:t>
      </w:r>
      <w:r w:rsidRPr="005F120D">
        <w:rPr>
          <w:rFonts w:asciiTheme="minorHAnsi" w:hAnsiTheme="minorHAnsi" w:cstheme="minorHAnsi"/>
          <w:sz w:val="16"/>
          <w:szCs w:val="16"/>
          <w:lang w:val="en-US"/>
        </w:rPr>
        <w:t>15) include</w:t>
      </w:r>
      <w:r w:rsidR="00C769A8" w:rsidRPr="005F120D">
        <w:rPr>
          <w:rFonts w:asciiTheme="minorHAnsi" w:hAnsiTheme="minorHAnsi" w:cstheme="minorHAnsi"/>
          <w:sz w:val="16"/>
          <w:szCs w:val="16"/>
          <w:lang w:val="en-US"/>
        </w:rPr>
        <w:t>:</w:t>
      </w:r>
      <w:r w:rsidRPr="005F120D">
        <w:rPr>
          <w:rFonts w:asciiTheme="minorHAnsi" w:hAnsiTheme="minorHAnsi" w:cstheme="minorHAnsi"/>
          <w:sz w:val="16"/>
          <w:szCs w:val="16"/>
        </w:rPr>
        <w:t>(i) Mosque-based LCs, (ii) Temple-</w:t>
      </w:r>
      <w:r w:rsidR="00C769A8" w:rsidRPr="005F120D">
        <w:rPr>
          <w:rFonts w:asciiTheme="minorHAnsi" w:hAnsiTheme="minorHAnsi" w:cstheme="minorHAnsi"/>
          <w:sz w:val="16"/>
          <w:szCs w:val="16"/>
        </w:rPr>
        <w:t xml:space="preserve"> based LCs, (iii) Jail schools, (iv) Tea Gardens schools, (v) Chittagong Hill Tracts Council managed schools, (vi) Schools for the Deaf and Dumb, (vii) Social welfare based LCs, (viii) Schools for </w:t>
      </w:r>
      <w:r w:rsidR="00685E7D">
        <w:rPr>
          <w:rFonts w:asciiTheme="minorHAnsi" w:hAnsiTheme="minorHAnsi" w:cstheme="minorHAnsi"/>
          <w:sz w:val="16"/>
          <w:szCs w:val="16"/>
        </w:rPr>
        <w:t>the Blind, (ix) Quami M</w:t>
      </w:r>
      <w:r w:rsidR="0089702D">
        <w:rPr>
          <w:rFonts w:asciiTheme="minorHAnsi" w:hAnsiTheme="minorHAnsi" w:cstheme="minorHAnsi"/>
          <w:sz w:val="16"/>
          <w:szCs w:val="16"/>
        </w:rPr>
        <w:t>adrasha</w:t>
      </w:r>
      <w:r w:rsidR="00C769A8" w:rsidRPr="005F120D">
        <w:rPr>
          <w:rFonts w:asciiTheme="minorHAnsi" w:hAnsiTheme="minorHAnsi" w:cstheme="minorHAnsi"/>
          <w:sz w:val="16"/>
          <w:szCs w:val="16"/>
        </w:rPr>
        <w:t xml:space="preserve"> and (x) Others types</w:t>
      </w:r>
      <w:r w:rsidR="007A5023" w:rsidRPr="005F120D">
        <w:rPr>
          <w:rFonts w:asciiTheme="minorHAnsi" w:hAnsiTheme="minorHAnsi" w:cstheme="minorHAnsi"/>
          <w:sz w:val="16"/>
          <w:szCs w:val="16"/>
        </w:rPr>
        <w:t>.</w:t>
      </w:r>
    </w:p>
    <w:p w:rsidR="00CD4AEF" w:rsidRPr="005F120D" w:rsidRDefault="00C4591B" w:rsidP="00CD4AEF">
      <w:pPr>
        <w:spacing w:before="240" w:line="276" w:lineRule="auto"/>
        <w:ind w:left="90"/>
        <w:jc w:val="both"/>
        <w:rPr>
          <w:rFonts w:asciiTheme="minorHAnsi" w:hAnsiTheme="minorHAnsi" w:cstheme="minorHAnsi"/>
          <w:b/>
          <w:i/>
          <w:color w:val="008000"/>
          <w:sz w:val="16"/>
          <w:szCs w:val="16"/>
        </w:rPr>
      </w:pPr>
      <w:r w:rsidRPr="005F120D">
        <w:rPr>
          <w:rFonts w:asciiTheme="minorHAnsi" w:hAnsiTheme="minorHAnsi" w:cstheme="minorHAnsi"/>
          <w:b/>
          <w:sz w:val="16"/>
          <w:szCs w:val="16"/>
        </w:rPr>
        <w:t>Note: Earlier</w:t>
      </w:r>
      <w:r w:rsidR="00CD4AEF" w:rsidRPr="005F120D">
        <w:rPr>
          <w:rFonts w:asciiTheme="minorHAnsi" w:hAnsiTheme="minorHAnsi" w:cstheme="minorHAnsi"/>
          <w:b/>
          <w:sz w:val="16"/>
          <w:szCs w:val="16"/>
        </w:rPr>
        <w:t>, the total number of GPS was 37,672 (nationalized in 1973). Of these, due to river erosion, river course changes and other grounds</w:t>
      </w:r>
      <w:r w:rsidR="00560119" w:rsidRPr="005F120D">
        <w:rPr>
          <w:rFonts w:asciiTheme="minorHAnsi" w:hAnsiTheme="minorHAnsi" w:cstheme="minorHAnsi"/>
          <w:b/>
          <w:sz w:val="16"/>
          <w:szCs w:val="16"/>
        </w:rPr>
        <w:t>;</w:t>
      </w:r>
      <w:r w:rsidR="00CD4AEF" w:rsidRPr="005F120D">
        <w:rPr>
          <w:rFonts w:asciiTheme="minorHAnsi" w:hAnsiTheme="minorHAnsi" w:cstheme="minorHAnsi"/>
          <w:b/>
          <w:sz w:val="16"/>
          <w:szCs w:val="16"/>
        </w:rPr>
        <w:t xml:space="preserve"> currently some GPS are non-functioning but APSC still includes</w:t>
      </w:r>
      <w:r w:rsidR="00560119" w:rsidRPr="005F120D">
        <w:rPr>
          <w:rFonts w:asciiTheme="minorHAnsi" w:hAnsiTheme="minorHAnsi" w:cstheme="minorHAnsi"/>
          <w:b/>
          <w:sz w:val="16"/>
          <w:szCs w:val="16"/>
        </w:rPr>
        <w:t xml:space="preserve"> them</w:t>
      </w:r>
      <w:r w:rsidR="00CD4AEF" w:rsidRPr="005F120D">
        <w:rPr>
          <w:rFonts w:asciiTheme="minorHAnsi" w:hAnsiTheme="minorHAnsi" w:cstheme="minorHAnsi"/>
          <w:b/>
          <w:sz w:val="16"/>
          <w:szCs w:val="16"/>
        </w:rPr>
        <w:t xml:space="preserve">. These non-functioning </w:t>
      </w:r>
      <w:r w:rsidR="00560119" w:rsidRPr="005F120D">
        <w:rPr>
          <w:rFonts w:asciiTheme="minorHAnsi" w:hAnsiTheme="minorHAnsi" w:cstheme="minorHAnsi"/>
          <w:b/>
          <w:sz w:val="16"/>
          <w:szCs w:val="16"/>
        </w:rPr>
        <w:t>GPS need to be investigated</w:t>
      </w:r>
      <w:r w:rsidR="00CD4AEF" w:rsidRPr="005F120D">
        <w:rPr>
          <w:rFonts w:asciiTheme="minorHAnsi" w:hAnsiTheme="minorHAnsi" w:cstheme="minorHAnsi"/>
          <w:b/>
          <w:sz w:val="16"/>
          <w:szCs w:val="16"/>
        </w:rPr>
        <w:t xml:space="preserve"> for </w:t>
      </w:r>
      <w:r w:rsidR="00560119" w:rsidRPr="005F120D">
        <w:rPr>
          <w:rFonts w:asciiTheme="minorHAnsi" w:hAnsiTheme="minorHAnsi" w:cstheme="minorHAnsi"/>
          <w:b/>
          <w:sz w:val="16"/>
          <w:szCs w:val="16"/>
        </w:rPr>
        <w:t>identifying</w:t>
      </w:r>
      <w:r w:rsidR="00CD4AEF" w:rsidRPr="005F120D">
        <w:rPr>
          <w:rFonts w:asciiTheme="minorHAnsi" w:hAnsiTheme="minorHAnsi" w:cstheme="minorHAnsi"/>
          <w:b/>
          <w:sz w:val="16"/>
          <w:szCs w:val="16"/>
        </w:rPr>
        <w:t xml:space="preserve"> the actual number of GPS in the country. Meanwhile, about 26,195 RNGPS schools were nationalized on 12 January 2013. Under a discrete project, an additional 1500 GPS were established at the un-school areas of the country through ‘Establishment of 1500 GPS Project’. In 2015, about 634 government primary schools were included in the total GPS stock.</w:t>
      </w:r>
    </w:p>
    <w:p w:rsidR="00CD4AEF" w:rsidRPr="005F120D" w:rsidRDefault="00CD4AEF" w:rsidP="00C437AA">
      <w:pPr>
        <w:pStyle w:val="BodyText1"/>
        <w:spacing w:before="120" w:after="120"/>
        <w:rPr>
          <w:rFonts w:asciiTheme="minorHAnsi" w:hAnsiTheme="minorHAnsi" w:cstheme="minorHAnsi"/>
          <w:sz w:val="16"/>
          <w:szCs w:val="16"/>
        </w:rPr>
      </w:pPr>
    </w:p>
    <w:p w:rsidR="00F4714E" w:rsidRPr="005F120D" w:rsidRDefault="00F4714E" w:rsidP="00C437AA">
      <w:pPr>
        <w:pStyle w:val="Caption"/>
        <w:spacing w:before="240" w:line="276" w:lineRule="auto"/>
        <w:jc w:val="left"/>
        <w:rPr>
          <w:rFonts w:cstheme="minorHAnsi"/>
          <w:b w:val="0"/>
          <w:color w:val="FF0000"/>
        </w:rPr>
      </w:pPr>
    </w:p>
    <w:p w:rsidR="005C6A0C" w:rsidRPr="005F120D" w:rsidRDefault="005C6A0C" w:rsidP="005C6A0C">
      <w:pPr>
        <w:pStyle w:val="Caption"/>
        <w:spacing w:before="240" w:line="276" w:lineRule="auto"/>
        <w:jc w:val="both"/>
        <w:rPr>
          <w:rFonts w:cstheme="minorHAnsi"/>
          <w:b w:val="0"/>
        </w:rPr>
      </w:pPr>
      <w:r w:rsidRPr="005F120D">
        <w:rPr>
          <w:rFonts w:cstheme="minorHAnsi"/>
          <w:b w:val="0"/>
        </w:rPr>
        <w:lastRenderedPageBreak/>
        <w:t>The primary school management and oversight system is highly fragmented under five different authorities. The DPE under MoPME is the main primary education provider in Bangladesh. For 2015, Figures 1.1 through 1.5 illustrate the relevant authorities; the number and type of educational institutes and their management; teachers managed by GoB Ministries; and students managed by GoB authorities. All information</w:t>
      </w:r>
      <w:r w:rsidR="00FF5490" w:rsidRPr="005F120D">
        <w:rPr>
          <w:rFonts w:cstheme="minorHAnsi"/>
          <w:b w:val="0"/>
        </w:rPr>
        <w:t xml:space="preserve"> is</w:t>
      </w:r>
      <w:r w:rsidRPr="005F120D">
        <w:rPr>
          <w:rFonts w:cstheme="minorHAnsi"/>
          <w:b w:val="0"/>
        </w:rPr>
        <w:t xml:space="preserve"> based on the APSC 2015 database.</w:t>
      </w:r>
    </w:p>
    <w:p w:rsidR="003439C9" w:rsidRPr="005F120D" w:rsidRDefault="009E083A" w:rsidP="00C437AA">
      <w:pPr>
        <w:pStyle w:val="Caption"/>
        <w:spacing w:before="240" w:line="276" w:lineRule="auto"/>
        <w:rPr>
          <w:rFonts w:cstheme="minorHAnsi"/>
        </w:rPr>
      </w:pPr>
      <w:bookmarkStart w:id="35" w:name="_Toc462837402"/>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bookmarkEnd w:id="30"/>
      <w:bookmarkEnd w:id="31"/>
      <w:bookmarkEnd w:id="32"/>
      <w:bookmarkEnd w:id="33"/>
      <w:r w:rsidR="004565E6" w:rsidRPr="005F120D">
        <w:rPr>
          <w:rFonts w:cstheme="minorHAnsi"/>
        </w:rPr>
        <w:t>:</w:t>
      </w:r>
      <w:r w:rsidR="00E0666D" w:rsidRPr="005F120D">
        <w:rPr>
          <w:rFonts w:cstheme="minorHAnsi"/>
        </w:rPr>
        <w:t xml:space="preserve">Percentage </w:t>
      </w:r>
      <w:r w:rsidR="003047DB" w:rsidRPr="005F120D">
        <w:rPr>
          <w:rFonts w:cstheme="minorHAnsi"/>
        </w:rPr>
        <w:t>of</w:t>
      </w:r>
      <w:r w:rsidR="00AF5E85" w:rsidRPr="005F120D">
        <w:rPr>
          <w:rFonts w:cstheme="minorHAnsi"/>
        </w:rPr>
        <w:t xml:space="preserve"> Primary Level Educational </w:t>
      </w:r>
      <w:r w:rsidR="00183D52" w:rsidRPr="005F120D">
        <w:rPr>
          <w:rFonts w:cstheme="minorHAnsi"/>
        </w:rPr>
        <w:t>Institutes</w:t>
      </w:r>
      <w:r w:rsidR="00C4591B">
        <w:rPr>
          <w:rFonts w:cstheme="minorHAnsi"/>
        </w:rPr>
        <w:t xml:space="preserve"> </w:t>
      </w:r>
      <w:r w:rsidR="003047DB" w:rsidRPr="005F120D">
        <w:rPr>
          <w:rFonts w:cstheme="minorHAnsi"/>
        </w:rPr>
        <w:t>by</w:t>
      </w:r>
      <w:r w:rsidR="00AF5E85" w:rsidRPr="005F120D">
        <w:rPr>
          <w:rFonts w:cstheme="minorHAnsi"/>
        </w:rPr>
        <w:t xml:space="preserve"> Type</w:t>
      </w:r>
      <w:r w:rsidR="00E0666D" w:rsidRPr="005F120D">
        <w:rPr>
          <w:rFonts w:cstheme="minorHAnsi"/>
        </w:rPr>
        <w:t xml:space="preserve"> 201</w:t>
      </w:r>
      <w:bookmarkEnd w:id="34"/>
      <w:r w:rsidR="00A30D27" w:rsidRPr="005F120D">
        <w:rPr>
          <w:rFonts w:cstheme="minorHAnsi"/>
        </w:rPr>
        <w:t>5</w:t>
      </w:r>
      <w:bookmarkEnd w:id="35"/>
    </w:p>
    <w:p w:rsidR="00525A93" w:rsidRPr="005F120D" w:rsidRDefault="00A30D27" w:rsidP="00C437AA">
      <w:pPr>
        <w:spacing w:before="40" w:after="40" w:line="276" w:lineRule="auto"/>
        <w:jc w:val="center"/>
        <w:rPr>
          <w:rFonts w:asciiTheme="minorHAnsi" w:hAnsiTheme="minorHAnsi" w:cstheme="minorHAnsi"/>
          <w:b/>
          <w:sz w:val="18"/>
          <w:szCs w:val="28"/>
        </w:rPr>
      </w:pPr>
      <w:r w:rsidRPr="005F120D">
        <w:rPr>
          <w:rFonts w:asciiTheme="minorHAnsi" w:hAnsiTheme="minorHAnsi" w:cstheme="minorHAnsi"/>
          <w:b/>
          <w:noProof/>
          <w:color w:val="006600"/>
          <w:sz w:val="18"/>
          <w:szCs w:val="28"/>
          <w:lang w:eastAsia="en-US"/>
        </w:rPr>
        <w:drawing>
          <wp:inline distT="0" distB="0" distL="0" distR="0">
            <wp:extent cx="5469471" cy="2853547"/>
            <wp:effectExtent l="38100" t="19050" r="16929" b="3953"/>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748C3" w:rsidRPr="005F120D" w:rsidRDefault="00CF3020" w:rsidP="00C437AA">
      <w:pPr>
        <w:spacing w:before="40" w:after="40" w:line="276" w:lineRule="auto"/>
        <w:rPr>
          <w:rFonts w:asciiTheme="minorHAnsi" w:hAnsiTheme="minorHAnsi" w:cstheme="minorHAnsi"/>
          <w:b/>
          <w:sz w:val="18"/>
          <w:szCs w:val="28"/>
        </w:rPr>
      </w:pPr>
      <w:r w:rsidRPr="005F120D">
        <w:rPr>
          <w:rFonts w:asciiTheme="minorHAnsi" w:hAnsiTheme="minorHAnsi" w:cstheme="minorHAnsi"/>
          <w:b/>
          <w:i/>
          <w:sz w:val="16"/>
          <w:szCs w:val="16"/>
        </w:rPr>
        <w:t>Source: APSC 201</w:t>
      </w:r>
      <w:r w:rsidR="00680448" w:rsidRPr="005F120D">
        <w:rPr>
          <w:rFonts w:asciiTheme="minorHAnsi" w:hAnsiTheme="minorHAnsi" w:cstheme="minorHAnsi"/>
          <w:b/>
          <w:i/>
          <w:sz w:val="16"/>
          <w:szCs w:val="16"/>
        </w:rPr>
        <w:t>5</w:t>
      </w:r>
    </w:p>
    <w:p w:rsidR="00D5066E" w:rsidRPr="005F120D" w:rsidRDefault="007A5023" w:rsidP="00C437AA">
      <w:pPr>
        <w:spacing w:before="240" w:line="276" w:lineRule="auto"/>
        <w:rPr>
          <w:rFonts w:asciiTheme="minorHAnsi" w:hAnsiTheme="minorHAnsi" w:cstheme="minorHAnsi"/>
        </w:rPr>
      </w:pPr>
      <w:r w:rsidRPr="005F120D">
        <w:rPr>
          <w:rFonts w:asciiTheme="minorHAnsi" w:hAnsiTheme="minorHAnsi" w:cstheme="minorHAnsi"/>
          <w:b/>
          <w:color w:val="008000"/>
        </w:rPr>
        <w:t>NOTE:</w:t>
      </w:r>
      <w:r w:rsidRPr="005F120D">
        <w:rPr>
          <w:rFonts w:asciiTheme="minorHAnsi" w:hAnsiTheme="minorHAnsi" w:cstheme="minorHAnsi"/>
        </w:rPr>
        <w:t xml:space="preserve"> In the above </w:t>
      </w:r>
      <w:r w:rsidR="005C6A0C" w:rsidRPr="005F120D">
        <w:rPr>
          <w:rFonts w:asciiTheme="minorHAnsi" w:hAnsiTheme="minorHAnsi" w:cstheme="minorHAnsi"/>
        </w:rPr>
        <w:t>Figure</w:t>
      </w:r>
      <w:r w:rsidRPr="005F120D">
        <w:rPr>
          <w:rFonts w:asciiTheme="minorHAnsi" w:hAnsiTheme="minorHAnsi" w:cstheme="minorHAnsi"/>
        </w:rPr>
        <w:t xml:space="preserve"> 1.1</w:t>
      </w:r>
      <w:r w:rsidR="005C6A0C" w:rsidRPr="005F120D">
        <w:rPr>
          <w:rFonts w:asciiTheme="minorHAnsi" w:hAnsiTheme="minorHAnsi" w:cstheme="minorHAnsi"/>
        </w:rPr>
        <w:t>,</w:t>
      </w:r>
      <w:r w:rsidRPr="005F120D">
        <w:rPr>
          <w:rFonts w:asciiTheme="minorHAnsi" w:hAnsiTheme="minorHAnsi" w:cstheme="minorHAnsi"/>
          <w:b/>
        </w:rPr>
        <w:t>‘Others’</w:t>
      </w:r>
      <w:r w:rsidRPr="005F120D">
        <w:rPr>
          <w:rFonts w:asciiTheme="minorHAnsi" w:hAnsiTheme="minorHAnsi" w:cstheme="minorHAnsi"/>
        </w:rPr>
        <w:t xml:space="preserve"> comprise 5,471 tiny learning </w:t>
      </w:r>
      <w:r w:rsidR="0089702D" w:rsidRPr="005F120D">
        <w:rPr>
          <w:rFonts w:asciiTheme="minorHAnsi" w:hAnsiTheme="minorHAnsi" w:cstheme="minorHAnsi"/>
        </w:rPr>
        <w:t>centers’</w:t>
      </w:r>
      <w:r w:rsidRPr="005F120D">
        <w:rPr>
          <w:rFonts w:asciiTheme="minorHAnsi" w:hAnsiTheme="minorHAnsi" w:cstheme="minorHAnsi"/>
        </w:rPr>
        <w:t xml:space="preserve"> (LCs) under 10 different types of educational institutes. The following Figure 1.2 gives a breakdown of these institutes by type, percentage share in </w:t>
      </w:r>
      <w:r w:rsidR="00FF5490" w:rsidRPr="005F120D">
        <w:rPr>
          <w:rFonts w:asciiTheme="minorHAnsi" w:hAnsiTheme="minorHAnsi" w:cstheme="minorHAnsi"/>
        </w:rPr>
        <w:t xml:space="preserve">the </w:t>
      </w:r>
      <w:r w:rsidR="00156FAF" w:rsidRPr="005F120D">
        <w:rPr>
          <w:rFonts w:asciiTheme="minorHAnsi" w:hAnsiTheme="minorHAnsi" w:cstheme="minorHAnsi"/>
        </w:rPr>
        <w:t>‘</w:t>
      </w:r>
      <w:r w:rsidRPr="005F120D">
        <w:rPr>
          <w:rFonts w:asciiTheme="minorHAnsi" w:hAnsiTheme="minorHAnsi" w:cstheme="minorHAnsi"/>
        </w:rPr>
        <w:t>other</w:t>
      </w:r>
      <w:r w:rsidR="00156FAF" w:rsidRPr="005F120D">
        <w:rPr>
          <w:rFonts w:asciiTheme="minorHAnsi" w:hAnsiTheme="minorHAnsi" w:cstheme="minorHAnsi"/>
        </w:rPr>
        <w:t>’</w:t>
      </w:r>
      <w:r w:rsidRPr="005F120D">
        <w:rPr>
          <w:rFonts w:asciiTheme="minorHAnsi" w:hAnsiTheme="minorHAnsi" w:cstheme="minorHAnsi"/>
        </w:rPr>
        <w:t xml:space="preserve"> category, and the actual number of each institute</w:t>
      </w:r>
      <w:r w:rsidR="005216F7" w:rsidRPr="005F120D">
        <w:rPr>
          <w:rFonts w:asciiTheme="minorHAnsi" w:hAnsiTheme="minorHAnsi" w:cstheme="minorHAnsi"/>
        </w:rPr>
        <w:t>.</w:t>
      </w:r>
    </w:p>
    <w:p w:rsidR="009C7E6D" w:rsidRPr="005F120D" w:rsidRDefault="00D5066E" w:rsidP="00C437AA">
      <w:pPr>
        <w:pStyle w:val="Caption"/>
        <w:spacing w:before="240" w:line="276" w:lineRule="auto"/>
        <w:rPr>
          <w:rFonts w:cstheme="minorHAnsi"/>
        </w:rPr>
      </w:pPr>
      <w:bookmarkStart w:id="36" w:name="_Toc462837403"/>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Pr="005F120D">
        <w:rPr>
          <w:rFonts w:cstheme="minorHAnsi"/>
        </w:rPr>
        <w:t xml:space="preserve">: </w:t>
      </w:r>
      <w:r w:rsidR="00072DD2" w:rsidRPr="005F120D">
        <w:rPr>
          <w:rFonts w:cstheme="minorHAnsi"/>
        </w:rPr>
        <w:t>Percentage of Others Types of S</w:t>
      </w:r>
      <w:r w:rsidRPr="005F120D">
        <w:rPr>
          <w:rFonts w:cstheme="minorHAnsi"/>
        </w:rPr>
        <w:t>chools</w:t>
      </w:r>
      <w:r w:rsidR="00CF024A" w:rsidRPr="005F120D">
        <w:rPr>
          <w:rFonts w:cstheme="minorHAnsi"/>
        </w:rPr>
        <w:t xml:space="preserve"> 2015</w:t>
      </w:r>
      <w:bookmarkEnd w:id="36"/>
    </w:p>
    <w:tbl>
      <w:tblPr>
        <w:tblStyle w:val="TableGrid"/>
        <w:tblW w:w="0" w:type="auto"/>
        <w:jc w:val="center"/>
        <w:tblInd w:w="288" w:type="dxa"/>
        <w:tblBorders>
          <w:top w:val="double" w:sz="4" w:space="0" w:color="215868" w:themeColor="accent5" w:themeShade="80"/>
          <w:left w:val="double" w:sz="4" w:space="0" w:color="215868" w:themeColor="accent5" w:themeShade="80"/>
          <w:bottom w:val="double" w:sz="4" w:space="0" w:color="215868" w:themeColor="accent5" w:themeShade="80"/>
          <w:right w:val="double" w:sz="4" w:space="0" w:color="215868" w:themeColor="accent5" w:themeShade="80"/>
          <w:insideH w:val="none" w:sz="0" w:space="0" w:color="auto"/>
          <w:insideV w:val="none" w:sz="0" w:space="0" w:color="auto"/>
        </w:tblBorders>
        <w:tblLook w:val="04A0"/>
      </w:tblPr>
      <w:tblGrid>
        <w:gridCol w:w="6037"/>
        <w:gridCol w:w="2920"/>
      </w:tblGrid>
      <w:tr w:rsidR="009C7E6D" w:rsidRPr="005F120D" w:rsidTr="005C6A0C">
        <w:trPr>
          <w:trHeight w:val="4029"/>
          <w:jc w:val="center"/>
        </w:trPr>
        <w:tc>
          <w:tcPr>
            <w:tcW w:w="5878" w:type="dxa"/>
          </w:tcPr>
          <w:p w:rsidR="009C7E6D" w:rsidRPr="005F120D" w:rsidRDefault="009C7E6D" w:rsidP="00C437AA">
            <w:pPr>
              <w:spacing w:after="0" w:line="276" w:lineRule="auto"/>
              <w:rPr>
                <w:rFonts w:asciiTheme="minorHAnsi" w:hAnsiTheme="minorHAnsi" w:cstheme="minorHAnsi"/>
              </w:rPr>
            </w:pPr>
            <w:r w:rsidRPr="005F120D">
              <w:rPr>
                <w:rFonts w:asciiTheme="minorHAnsi" w:hAnsiTheme="minorHAnsi" w:cstheme="minorHAnsi"/>
                <w:noProof/>
                <w:lang w:eastAsia="en-US"/>
              </w:rPr>
              <w:drawing>
                <wp:inline distT="0" distB="0" distL="0" distR="0">
                  <wp:extent cx="3778369" cy="2501661"/>
                  <wp:effectExtent l="0" t="0" r="0" b="0"/>
                  <wp:docPr id="11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410" w:type="dxa"/>
          </w:tcPr>
          <w:p w:rsidR="009C7E6D" w:rsidRPr="005F120D" w:rsidRDefault="009C7E6D" w:rsidP="00C437AA">
            <w:pPr>
              <w:spacing w:after="0" w:line="276" w:lineRule="auto"/>
              <w:rPr>
                <w:rFonts w:asciiTheme="minorHAnsi" w:hAnsiTheme="minorHAnsi" w:cstheme="minorHAnsi"/>
                <w:sz w:val="12"/>
              </w:rPr>
            </w:pPr>
          </w:p>
          <w:tbl>
            <w:tblPr>
              <w:tblW w:w="2739"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tblPr>
            <w:tblGrid>
              <w:gridCol w:w="1731"/>
              <w:gridCol w:w="1008"/>
            </w:tblGrid>
            <w:tr w:rsidR="00CF024A" w:rsidRPr="005F120D" w:rsidTr="005C6A0C">
              <w:trPr>
                <w:trHeight w:hRule="exact" w:val="599"/>
              </w:trPr>
              <w:tc>
                <w:tcPr>
                  <w:tcW w:w="3160" w:type="pct"/>
                  <w:shd w:val="clear" w:color="auto" w:fill="auto"/>
                  <w:vAlign w:val="center"/>
                  <w:hideMark/>
                </w:tcPr>
                <w:p w:rsidR="00CF024A" w:rsidRPr="005F120D" w:rsidRDefault="00CF024A" w:rsidP="00C437AA">
                  <w:pPr>
                    <w:spacing w:after="0" w:line="276" w:lineRule="auto"/>
                    <w:jc w:val="center"/>
                    <w:rPr>
                      <w:rFonts w:asciiTheme="minorHAnsi" w:hAnsiTheme="minorHAnsi" w:cstheme="minorHAnsi"/>
                      <w:b/>
                      <w:bCs/>
                      <w:color w:val="008000"/>
                      <w:sz w:val="18"/>
                      <w:szCs w:val="18"/>
                      <w:lang w:eastAsia="en-US"/>
                    </w:rPr>
                  </w:pPr>
                  <w:r w:rsidRPr="005F120D">
                    <w:rPr>
                      <w:rFonts w:asciiTheme="minorHAnsi" w:hAnsiTheme="minorHAnsi" w:cstheme="minorHAnsi"/>
                      <w:b/>
                      <w:bCs/>
                      <w:color w:val="008000"/>
                      <w:sz w:val="18"/>
                      <w:szCs w:val="18"/>
                      <w:lang w:eastAsia="en-US"/>
                    </w:rPr>
                    <w:t>Type</w:t>
                  </w:r>
                </w:p>
              </w:tc>
              <w:tc>
                <w:tcPr>
                  <w:tcW w:w="1840" w:type="pct"/>
                  <w:shd w:val="clear" w:color="auto" w:fill="auto"/>
                  <w:vAlign w:val="center"/>
                  <w:hideMark/>
                </w:tcPr>
                <w:p w:rsidR="00CF024A" w:rsidRPr="005F120D" w:rsidRDefault="00CF024A" w:rsidP="00C437AA">
                  <w:pPr>
                    <w:spacing w:after="0" w:line="276" w:lineRule="auto"/>
                    <w:jc w:val="center"/>
                    <w:rPr>
                      <w:rFonts w:asciiTheme="minorHAnsi" w:hAnsiTheme="minorHAnsi" w:cstheme="minorHAnsi"/>
                      <w:b/>
                      <w:color w:val="008000"/>
                      <w:sz w:val="18"/>
                      <w:szCs w:val="18"/>
                      <w:lang w:eastAsia="en-US"/>
                    </w:rPr>
                  </w:pPr>
                  <w:r w:rsidRPr="005F120D">
                    <w:rPr>
                      <w:rFonts w:asciiTheme="minorHAnsi" w:hAnsiTheme="minorHAnsi" w:cstheme="minorHAnsi"/>
                      <w:b/>
                      <w:color w:val="008000"/>
                      <w:sz w:val="18"/>
                      <w:szCs w:val="18"/>
                      <w:lang w:eastAsia="en-US"/>
                    </w:rPr>
                    <w:t>No. of Institutes</w:t>
                  </w:r>
                </w:p>
              </w:tc>
            </w:tr>
            <w:tr w:rsidR="00CF024A" w:rsidRPr="005F120D" w:rsidTr="005C6A0C">
              <w:trPr>
                <w:trHeight w:hRule="exact" w:val="284"/>
              </w:trPr>
              <w:tc>
                <w:tcPr>
                  <w:tcW w:w="3160" w:type="pct"/>
                  <w:shd w:val="clear" w:color="auto" w:fill="auto"/>
                  <w:vAlign w:val="bottom"/>
                  <w:hideMark/>
                </w:tcPr>
                <w:p w:rsidR="00CF024A" w:rsidRPr="005F120D" w:rsidRDefault="00CF024A" w:rsidP="00C437AA">
                  <w:pPr>
                    <w:spacing w:after="0" w:line="276" w:lineRule="auto"/>
                    <w:rPr>
                      <w:rFonts w:asciiTheme="minorHAnsi" w:hAnsiTheme="minorHAnsi" w:cstheme="minorHAnsi"/>
                      <w:bCs/>
                      <w:color w:val="008000"/>
                      <w:sz w:val="18"/>
                      <w:szCs w:val="18"/>
                      <w:lang w:eastAsia="en-US"/>
                    </w:rPr>
                  </w:pPr>
                  <w:r w:rsidRPr="005F120D">
                    <w:rPr>
                      <w:rFonts w:asciiTheme="minorHAnsi" w:hAnsiTheme="minorHAnsi" w:cstheme="minorHAnsi"/>
                      <w:bCs/>
                      <w:color w:val="008000"/>
                      <w:sz w:val="18"/>
                      <w:szCs w:val="18"/>
                      <w:lang w:eastAsia="en-US"/>
                    </w:rPr>
                    <w:t>Tea-Garden</w:t>
                  </w:r>
                </w:p>
              </w:tc>
              <w:tc>
                <w:tcPr>
                  <w:tcW w:w="1840" w:type="pct"/>
                  <w:shd w:val="clear" w:color="auto" w:fill="auto"/>
                  <w:vAlign w:val="bottom"/>
                  <w:hideMark/>
                </w:tcPr>
                <w:p w:rsidR="00CF024A" w:rsidRPr="005F120D" w:rsidRDefault="00CF024A" w:rsidP="00C437AA">
                  <w:pPr>
                    <w:spacing w:after="0" w:line="276" w:lineRule="auto"/>
                    <w:jc w:val="right"/>
                    <w:rPr>
                      <w:rFonts w:asciiTheme="minorHAnsi" w:hAnsiTheme="minorHAnsi" w:cstheme="minorHAnsi"/>
                      <w:color w:val="008000"/>
                      <w:sz w:val="18"/>
                      <w:szCs w:val="18"/>
                      <w:lang w:eastAsia="en-US"/>
                    </w:rPr>
                  </w:pPr>
                  <w:r w:rsidRPr="005F120D">
                    <w:rPr>
                      <w:rFonts w:asciiTheme="minorHAnsi" w:hAnsiTheme="minorHAnsi" w:cstheme="minorHAnsi"/>
                      <w:color w:val="008000"/>
                      <w:sz w:val="18"/>
                      <w:szCs w:val="18"/>
                      <w:lang w:eastAsia="en-US"/>
                    </w:rPr>
                    <w:t>53</w:t>
                  </w:r>
                </w:p>
              </w:tc>
            </w:tr>
            <w:tr w:rsidR="00CF024A" w:rsidRPr="005F120D" w:rsidTr="005C6A0C">
              <w:trPr>
                <w:trHeight w:hRule="exact" w:val="284"/>
              </w:trPr>
              <w:tc>
                <w:tcPr>
                  <w:tcW w:w="3160" w:type="pct"/>
                  <w:shd w:val="clear" w:color="auto" w:fill="auto"/>
                  <w:vAlign w:val="bottom"/>
                  <w:hideMark/>
                </w:tcPr>
                <w:p w:rsidR="00CF024A" w:rsidRPr="005F120D" w:rsidRDefault="00CF024A" w:rsidP="00C437AA">
                  <w:pPr>
                    <w:spacing w:after="0" w:line="276" w:lineRule="auto"/>
                    <w:rPr>
                      <w:rFonts w:asciiTheme="minorHAnsi" w:hAnsiTheme="minorHAnsi" w:cstheme="minorHAnsi"/>
                      <w:bCs/>
                      <w:color w:val="008000"/>
                      <w:sz w:val="18"/>
                      <w:szCs w:val="18"/>
                      <w:lang w:eastAsia="en-US"/>
                    </w:rPr>
                  </w:pPr>
                  <w:r w:rsidRPr="005F120D">
                    <w:rPr>
                      <w:rFonts w:asciiTheme="minorHAnsi" w:hAnsiTheme="minorHAnsi" w:cstheme="minorHAnsi"/>
                      <w:bCs/>
                      <w:color w:val="008000"/>
                      <w:sz w:val="18"/>
                      <w:szCs w:val="18"/>
                      <w:lang w:eastAsia="en-US"/>
                    </w:rPr>
                    <w:t>Social Welfare Based LCs</w:t>
                  </w:r>
                </w:p>
              </w:tc>
              <w:tc>
                <w:tcPr>
                  <w:tcW w:w="1840" w:type="pct"/>
                  <w:shd w:val="clear" w:color="auto" w:fill="auto"/>
                  <w:vAlign w:val="bottom"/>
                  <w:hideMark/>
                </w:tcPr>
                <w:p w:rsidR="00CF024A" w:rsidRPr="005F120D" w:rsidRDefault="00CF024A" w:rsidP="00C437AA">
                  <w:pPr>
                    <w:spacing w:after="0" w:line="276" w:lineRule="auto"/>
                    <w:jc w:val="right"/>
                    <w:rPr>
                      <w:rFonts w:asciiTheme="minorHAnsi" w:hAnsiTheme="minorHAnsi" w:cstheme="minorHAnsi"/>
                      <w:color w:val="008000"/>
                      <w:sz w:val="18"/>
                      <w:szCs w:val="18"/>
                      <w:lang w:eastAsia="en-US"/>
                    </w:rPr>
                  </w:pPr>
                  <w:r w:rsidRPr="005F120D">
                    <w:rPr>
                      <w:rFonts w:asciiTheme="minorHAnsi" w:hAnsiTheme="minorHAnsi" w:cstheme="minorHAnsi"/>
                      <w:color w:val="008000"/>
                      <w:sz w:val="18"/>
                      <w:szCs w:val="18"/>
                      <w:lang w:eastAsia="en-US"/>
                    </w:rPr>
                    <w:t>13</w:t>
                  </w:r>
                </w:p>
              </w:tc>
            </w:tr>
            <w:tr w:rsidR="00CF024A" w:rsidRPr="005F120D" w:rsidTr="005C6A0C">
              <w:trPr>
                <w:trHeight w:hRule="exact" w:val="284"/>
              </w:trPr>
              <w:tc>
                <w:tcPr>
                  <w:tcW w:w="3160" w:type="pct"/>
                  <w:shd w:val="clear" w:color="auto" w:fill="auto"/>
                  <w:vAlign w:val="bottom"/>
                  <w:hideMark/>
                </w:tcPr>
                <w:p w:rsidR="00CF024A" w:rsidRPr="005F120D" w:rsidRDefault="00CF024A" w:rsidP="00C437AA">
                  <w:pPr>
                    <w:spacing w:after="0" w:line="276" w:lineRule="auto"/>
                    <w:rPr>
                      <w:rFonts w:asciiTheme="minorHAnsi" w:hAnsiTheme="minorHAnsi" w:cstheme="minorHAnsi"/>
                      <w:bCs/>
                      <w:color w:val="008000"/>
                      <w:sz w:val="18"/>
                      <w:szCs w:val="18"/>
                      <w:lang w:eastAsia="en-US"/>
                    </w:rPr>
                  </w:pPr>
                  <w:r w:rsidRPr="005F120D">
                    <w:rPr>
                      <w:rFonts w:asciiTheme="minorHAnsi" w:hAnsiTheme="minorHAnsi" w:cstheme="minorHAnsi"/>
                      <w:bCs/>
                      <w:color w:val="008000"/>
                      <w:sz w:val="18"/>
                      <w:szCs w:val="18"/>
                      <w:lang w:eastAsia="en-US"/>
                    </w:rPr>
                    <w:t>Deaf &amp; Dumb School</w:t>
                  </w:r>
                </w:p>
              </w:tc>
              <w:tc>
                <w:tcPr>
                  <w:tcW w:w="1840" w:type="pct"/>
                  <w:shd w:val="clear" w:color="auto" w:fill="auto"/>
                  <w:vAlign w:val="bottom"/>
                  <w:hideMark/>
                </w:tcPr>
                <w:p w:rsidR="00CF024A" w:rsidRPr="005F120D" w:rsidRDefault="00CF024A" w:rsidP="00C437AA">
                  <w:pPr>
                    <w:spacing w:after="0" w:line="276" w:lineRule="auto"/>
                    <w:jc w:val="right"/>
                    <w:rPr>
                      <w:rFonts w:asciiTheme="minorHAnsi" w:hAnsiTheme="minorHAnsi" w:cstheme="minorHAnsi"/>
                      <w:color w:val="008000"/>
                      <w:sz w:val="18"/>
                      <w:szCs w:val="18"/>
                      <w:lang w:eastAsia="en-US"/>
                    </w:rPr>
                  </w:pPr>
                  <w:r w:rsidRPr="005F120D">
                    <w:rPr>
                      <w:rFonts w:asciiTheme="minorHAnsi" w:hAnsiTheme="minorHAnsi" w:cstheme="minorHAnsi"/>
                      <w:color w:val="008000"/>
                      <w:sz w:val="18"/>
                      <w:szCs w:val="18"/>
                      <w:lang w:eastAsia="en-US"/>
                    </w:rPr>
                    <w:t>12</w:t>
                  </w:r>
                </w:p>
              </w:tc>
            </w:tr>
            <w:tr w:rsidR="00CF024A" w:rsidRPr="005F120D" w:rsidTr="005C6A0C">
              <w:trPr>
                <w:trHeight w:hRule="exact" w:val="330"/>
              </w:trPr>
              <w:tc>
                <w:tcPr>
                  <w:tcW w:w="3160" w:type="pct"/>
                  <w:shd w:val="clear" w:color="auto" w:fill="auto"/>
                  <w:vAlign w:val="bottom"/>
                  <w:hideMark/>
                </w:tcPr>
                <w:p w:rsidR="00CF024A" w:rsidRPr="005F120D" w:rsidRDefault="00CF024A" w:rsidP="00C437AA">
                  <w:pPr>
                    <w:spacing w:after="0" w:line="276" w:lineRule="auto"/>
                    <w:rPr>
                      <w:rFonts w:asciiTheme="minorHAnsi" w:hAnsiTheme="minorHAnsi" w:cstheme="minorHAnsi"/>
                      <w:bCs/>
                      <w:color w:val="008000"/>
                      <w:sz w:val="18"/>
                      <w:szCs w:val="18"/>
                      <w:lang w:eastAsia="en-US"/>
                    </w:rPr>
                  </w:pPr>
                  <w:r w:rsidRPr="005F120D">
                    <w:rPr>
                      <w:rFonts w:asciiTheme="minorHAnsi" w:hAnsiTheme="minorHAnsi" w:cstheme="minorHAnsi"/>
                      <w:bCs/>
                      <w:color w:val="008000"/>
                      <w:sz w:val="18"/>
                      <w:szCs w:val="18"/>
                      <w:lang w:eastAsia="en-US"/>
                    </w:rPr>
                    <w:t xml:space="preserve">School </w:t>
                  </w:r>
                  <w:r w:rsidR="005C6A0C" w:rsidRPr="005F120D">
                    <w:rPr>
                      <w:rFonts w:asciiTheme="minorHAnsi" w:hAnsiTheme="minorHAnsi" w:cstheme="minorHAnsi"/>
                      <w:bCs/>
                      <w:color w:val="008000"/>
                      <w:sz w:val="18"/>
                      <w:szCs w:val="18"/>
                      <w:lang w:eastAsia="en-US"/>
                    </w:rPr>
                    <w:t>for the Blind</w:t>
                  </w:r>
                </w:p>
              </w:tc>
              <w:tc>
                <w:tcPr>
                  <w:tcW w:w="1840" w:type="pct"/>
                  <w:shd w:val="clear" w:color="auto" w:fill="auto"/>
                  <w:vAlign w:val="bottom"/>
                  <w:hideMark/>
                </w:tcPr>
                <w:p w:rsidR="00CF024A" w:rsidRPr="005F120D" w:rsidRDefault="00CF024A" w:rsidP="00C437AA">
                  <w:pPr>
                    <w:spacing w:after="0" w:line="276" w:lineRule="auto"/>
                    <w:jc w:val="right"/>
                    <w:rPr>
                      <w:rFonts w:asciiTheme="minorHAnsi" w:hAnsiTheme="minorHAnsi" w:cstheme="minorHAnsi"/>
                      <w:color w:val="008000"/>
                      <w:sz w:val="18"/>
                      <w:szCs w:val="18"/>
                      <w:lang w:eastAsia="en-US"/>
                    </w:rPr>
                  </w:pPr>
                  <w:r w:rsidRPr="005F120D">
                    <w:rPr>
                      <w:rFonts w:asciiTheme="minorHAnsi" w:hAnsiTheme="minorHAnsi" w:cstheme="minorHAnsi"/>
                      <w:color w:val="008000"/>
                      <w:sz w:val="18"/>
                      <w:szCs w:val="18"/>
                      <w:lang w:eastAsia="en-US"/>
                    </w:rPr>
                    <w:t>3</w:t>
                  </w:r>
                </w:p>
              </w:tc>
            </w:tr>
            <w:tr w:rsidR="00CF024A" w:rsidRPr="005F120D" w:rsidTr="005C6A0C">
              <w:trPr>
                <w:trHeight w:hRule="exact" w:val="284"/>
              </w:trPr>
              <w:tc>
                <w:tcPr>
                  <w:tcW w:w="3160" w:type="pct"/>
                  <w:shd w:val="clear" w:color="auto" w:fill="auto"/>
                  <w:vAlign w:val="bottom"/>
                  <w:hideMark/>
                </w:tcPr>
                <w:p w:rsidR="00CF024A" w:rsidRPr="005F120D" w:rsidRDefault="00CF024A" w:rsidP="00C437AA">
                  <w:pPr>
                    <w:spacing w:after="0" w:line="276" w:lineRule="auto"/>
                    <w:rPr>
                      <w:rFonts w:asciiTheme="minorHAnsi" w:hAnsiTheme="minorHAnsi" w:cstheme="minorHAnsi"/>
                      <w:bCs/>
                      <w:color w:val="008000"/>
                      <w:sz w:val="18"/>
                      <w:szCs w:val="18"/>
                      <w:lang w:eastAsia="en-US"/>
                    </w:rPr>
                  </w:pPr>
                  <w:r w:rsidRPr="005F120D">
                    <w:rPr>
                      <w:rFonts w:asciiTheme="minorHAnsi" w:hAnsiTheme="minorHAnsi" w:cstheme="minorHAnsi"/>
                      <w:bCs/>
                      <w:color w:val="008000"/>
                      <w:sz w:val="18"/>
                      <w:szCs w:val="18"/>
                      <w:lang w:eastAsia="en-US"/>
                    </w:rPr>
                    <w:t>Jail Attached</w:t>
                  </w:r>
                </w:p>
              </w:tc>
              <w:tc>
                <w:tcPr>
                  <w:tcW w:w="1840" w:type="pct"/>
                  <w:shd w:val="clear" w:color="auto" w:fill="auto"/>
                  <w:vAlign w:val="bottom"/>
                  <w:hideMark/>
                </w:tcPr>
                <w:p w:rsidR="00CF024A" w:rsidRPr="005F120D" w:rsidRDefault="00CF024A" w:rsidP="00C437AA">
                  <w:pPr>
                    <w:spacing w:after="0" w:line="276" w:lineRule="auto"/>
                    <w:jc w:val="right"/>
                    <w:rPr>
                      <w:rFonts w:asciiTheme="minorHAnsi" w:hAnsiTheme="minorHAnsi" w:cstheme="minorHAnsi"/>
                      <w:color w:val="008000"/>
                      <w:sz w:val="18"/>
                      <w:szCs w:val="18"/>
                      <w:lang w:eastAsia="en-US"/>
                    </w:rPr>
                  </w:pPr>
                  <w:r w:rsidRPr="005F120D">
                    <w:rPr>
                      <w:rFonts w:asciiTheme="minorHAnsi" w:hAnsiTheme="minorHAnsi" w:cstheme="minorHAnsi"/>
                      <w:color w:val="008000"/>
                      <w:sz w:val="18"/>
                      <w:szCs w:val="18"/>
                      <w:lang w:eastAsia="en-US"/>
                    </w:rPr>
                    <w:t>2</w:t>
                  </w:r>
                </w:p>
              </w:tc>
            </w:tr>
            <w:tr w:rsidR="00CF024A" w:rsidRPr="005F120D" w:rsidTr="005C6A0C">
              <w:trPr>
                <w:trHeight w:hRule="exact" w:val="284"/>
              </w:trPr>
              <w:tc>
                <w:tcPr>
                  <w:tcW w:w="3160" w:type="pct"/>
                  <w:shd w:val="clear" w:color="auto" w:fill="auto"/>
                  <w:vAlign w:val="bottom"/>
                  <w:hideMark/>
                </w:tcPr>
                <w:p w:rsidR="00CF024A" w:rsidRPr="005F120D" w:rsidRDefault="00CF024A" w:rsidP="00C437AA">
                  <w:pPr>
                    <w:spacing w:after="0" w:line="276" w:lineRule="auto"/>
                    <w:rPr>
                      <w:rFonts w:asciiTheme="minorHAnsi" w:hAnsiTheme="minorHAnsi" w:cstheme="minorHAnsi"/>
                      <w:bCs/>
                      <w:color w:val="008000"/>
                      <w:sz w:val="18"/>
                      <w:szCs w:val="18"/>
                      <w:lang w:eastAsia="en-US"/>
                    </w:rPr>
                  </w:pPr>
                  <w:r w:rsidRPr="005F120D">
                    <w:rPr>
                      <w:rFonts w:asciiTheme="minorHAnsi" w:hAnsiTheme="minorHAnsi" w:cstheme="minorHAnsi"/>
                      <w:bCs/>
                      <w:color w:val="008000"/>
                      <w:sz w:val="18"/>
                      <w:szCs w:val="18"/>
                      <w:lang w:eastAsia="en-US"/>
                    </w:rPr>
                    <w:t>CHTs  Managed Schools</w:t>
                  </w:r>
                </w:p>
              </w:tc>
              <w:tc>
                <w:tcPr>
                  <w:tcW w:w="1840" w:type="pct"/>
                  <w:shd w:val="clear" w:color="auto" w:fill="auto"/>
                  <w:vAlign w:val="bottom"/>
                  <w:hideMark/>
                </w:tcPr>
                <w:p w:rsidR="00CF024A" w:rsidRPr="005F120D" w:rsidRDefault="00CF024A" w:rsidP="00C437AA">
                  <w:pPr>
                    <w:spacing w:after="0" w:line="276" w:lineRule="auto"/>
                    <w:jc w:val="right"/>
                    <w:rPr>
                      <w:rFonts w:asciiTheme="minorHAnsi" w:hAnsiTheme="minorHAnsi" w:cstheme="minorHAnsi"/>
                      <w:color w:val="008000"/>
                      <w:sz w:val="18"/>
                      <w:szCs w:val="18"/>
                      <w:lang w:eastAsia="en-US"/>
                    </w:rPr>
                  </w:pPr>
                  <w:r w:rsidRPr="005F120D">
                    <w:rPr>
                      <w:rFonts w:asciiTheme="minorHAnsi" w:hAnsiTheme="minorHAnsi" w:cstheme="minorHAnsi"/>
                      <w:color w:val="008000"/>
                      <w:sz w:val="18"/>
                      <w:szCs w:val="18"/>
                      <w:lang w:eastAsia="en-US"/>
                    </w:rPr>
                    <w:t>137</w:t>
                  </w:r>
                </w:p>
              </w:tc>
            </w:tr>
            <w:tr w:rsidR="00CF024A" w:rsidRPr="005F120D" w:rsidTr="005C6A0C">
              <w:trPr>
                <w:trHeight w:hRule="exact" w:val="284"/>
              </w:trPr>
              <w:tc>
                <w:tcPr>
                  <w:tcW w:w="3160" w:type="pct"/>
                  <w:shd w:val="clear" w:color="auto" w:fill="auto"/>
                  <w:vAlign w:val="bottom"/>
                  <w:hideMark/>
                </w:tcPr>
                <w:p w:rsidR="00CF024A" w:rsidRPr="005F120D" w:rsidRDefault="00CF024A" w:rsidP="00C437AA">
                  <w:pPr>
                    <w:spacing w:after="0" w:line="276" w:lineRule="auto"/>
                    <w:rPr>
                      <w:rFonts w:asciiTheme="minorHAnsi" w:hAnsiTheme="minorHAnsi" w:cstheme="minorHAnsi"/>
                      <w:bCs/>
                      <w:color w:val="008000"/>
                      <w:sz w:val="18"/>
                      <w:szCs w:val="18"/>
                      <w:lang w:eastAsia="en-US"/>
                    </w:rPr>
                  </w:pPr>
                  <w:r w:rsidRPr="005F120D">
                    <w:rPr>
                      <w:rFonts w:asciiTheme="minorHAnsi" w:hAnsiTheme="minorHAnsi" w:cstheme="minorHAnsi"/>
                      <w:bCs/>
                      <w:color w:val="008000"/>
                      <w:sz w:val="18"/>
                      <w:szCs w:val="18"/>
                      <w:lang w:eastAsia="en-US"/>
                    </w:rPr>
                    <w:t>Others Types of Schools/LCs</w:t>
                  </w:r>
                </w:p>
              </w:tc>
              <w:tc>
                <w:tcPr>
                  <w:tcW w:w="1840" w:type="pct"/>
                  <w:shd w:val="clear" w:color="auto" w:fill="auto"/>
                  <w:vAlign w:val="bottom"/>
                  <w:hideMark/>
                </w:tcPr>
                <w:p w:rsidR="00CF024A" w:rsidRPr="005F120D" w:rsidRDefault="00CF024A" w:rsidP="00C437AA">
                  <w:pPr>
                    <w:spacing w:after="0" w:line="276" w:lineRule="auto"/>
                    <w:jc w:val="right"/>
                    <w:rPr>
                      <w:rFonts w:asciiTheme="minorHAnsi" w:hAnsiTheme="minorHAnsi" w:cstheme="minorHAnsi"/>
                      <w:color w:val="008000"/>
                      <w:sz w:val="18"/>
                      <w:szCs w:val="18"/>
                      <w:lang w:eastAsia="en-US"/>
                    </w:rPr>
                  </w:pPr>
                  <w:r w:rsidRPr="005F120D">
                    <w:rPr>
                      <w:rFonts w:asciiTheme="minorHAnsi" w:hAnsiTheme="minorHAnsi" w:cstheme="minorHAnsi"/>
                      <w:color w:val="008000"/>
                      <w:sz w:val="18"/>
                      <w:szCs w:val="18"/>
                      <w:lang w:eastAsia="en-US"/>
                    </w:rPr>
                    <w:t>3,015</w:t>
                  </w:r>
                </w:p>
              </w:tc>
            </w:tr>
            <w:tr w:rsidR="00CF024A" w:rsidRPr="005F120D" w:rsidTr="005C6A0C">
              <w:trPr>
                <w:trHeight w:hRule="exact" w:val="284"/>
              </w:trPr>
              <w:tc>
                <w:tcPr>
                  <w:tcW w:w="3160" w:type="pct"/>
                  <w:shd w:val="clear" w:color="auto" w:fill="auto"/>
                  <w:vAlign w:val="bottom"/>
                  <w:hideMark/>
                </w:tcPr>
                <w:p w:rsidR="00CF024A" w:rsidRPr="005F120D" w:rsidRDefault="00CF024A" w:rsidP="00C437AA">
                  <w:pPr>
                    <w:spacing w:after="0" w:line="276" w:lineRule="auto"/>
                    <w:rPr>
                      <w:rFonts w:asciiTheme="minorHAnsi" w:hAnsiTheme="minorHAnsi" w:cstheme="minorHAnsi"/>
                      <w:bCs/>
                      <w:color w:val="008000"/>
                      <w:sz w:val="18"/>
                      <w:szCs w:val="18"/>
                      <w:lang w:eastAsia="en-US"/>
                    </w:rPr>
                  </w:pPr>
                  <w:r w:rsidRPr="005F120D">
                    <w:rPr>
                      <w:rFonts w:asciiTheme="minorHAnsi" w:hAnsiTheme="minorHAnsi" w:cstheme="minorHAnsi"/>
                      <w:bCs/>
                      <w:color w:val="008000"/>
                      <w:sz w:val="18"/>
                      <w:szCs w:val="18"/>
                      <w:lang w:eastAsia="en-US"/>
                    </w:rPr>
                    <w:t xml:space="preserve">Quami </w:t>
                  </w:r>
                  <w:r w:rsidR="0089702D">
                    <w:rPr>
                      <w:rFonts w:asciiTheme="minorHAnsi" w:hAnsiTheme="minorHAnsi" w:cstheme="minorHAnsi"/>
                      <w:bCs/>
                      <w:color w:val="008000"/>
                      <w:sz w:val="18"/>
                      <w:szCs w:val="18"/>
                      <w:lang w:eastAsia="en-US"/>
                    </w:rPr>
                    <w:t>Madrasha</w:t>
                  </w:r>
                </w:p>
              </w:tc>
              <w:tc>
                <w:tcPr>
                  <w:tcW w:w="1840" w:type="pct"/>
                  <w:shd w:val="clear" w:color="auto" w:fill="auto"/>
                  <w:vAlign w:val="bottom"/>
                  <w:hideMark/>
                </w:tcPr>
                <w:p w:rsidR="00CF024A" w:rsidRPr="005F120D" w:rsidRDefault="00CF024A" w:rsidP="00C437AA">
                  <w:pPr>
                    <w:spacing w:after="0" w:line="276" w:lineRule="auto"/>
                    <w:jc w:val="right"/>
                    <w:rPr>
                      <w:rFonts w:asciiTheme="minorHAnsi" w:hAnsiTheme="minorHAnsi" w:cstheme="minorHAnsi"/>
                      <w:color w:val="008000"/>
                      <w:sz w:val="18"/>
                      <w:szCs w:val="18"/>
                      <w:lang w:eastAsia="en-US"/>
                    </w:rPr>
                  </w:pPr>
                  <w:r w:rsidRPr="005F120D">
                    <w:rPr>
                      <w:rFonts w:asciiTheme="minorHAnsi" w:hAnsiTheme="minorHAnsi" w:cstheme="minorHAnsi"/>
                      <w:color w:val="008000"/>
                      <w:sz w:val="18"/>
                      <w:szCs w:val="18"/>
                      <w:lang w:eastAsia="en-US"/>
                    </w:rPr>
                    <w:t>103</w:t>
                  </w:r>
                </w:p>
              </w:tc>
            </w:tr>
            <w:tr w:rsidR="00CF024A" w:rsidRPr="005F120D" w:rsidTr="005C6A0C">
              <w:trPr>
                <w:trHeight w:hRule="exact" w:val="284"/>
              </w:trPr>
              <w:tc>
                <w:tcPr>
                  <w:tcW w:w="3160" w:type="pct"/>
                  <w:tcBorders>
                    <w:bottom w:val="single" w:sz="6" w:space="0" w:color="215868" w:themeColor="accent5" w:themeShade="80"/>
                  </w:tcBorders>
                  <w:shd w:val="clear" w:color="auto" w:fill="auto"/>
                  <w:vAlign w:val="bottom"/>
                  <w:hideMark/>
                </w:tcPr>
                <w:p w:rsidR="00CF024A" w:rsidRPr="005F120D" w:rsidRDefault="00CF024A" w:rsidP="00C437AA">
                  <w:pPr>
                    <w:spacing w:after="0" w:line="276" w:lineRule="auto"/>
                    <w:rPr>
                      <w:rFonts w:asciiTheme="minorHAnsi" w:hAnsiTheme="minorHAnsi" w:cstheme="minorHAnsi"/>
                      <w:bCs/>
                      <w:color w:val="008000"/>
                      <w:sz w:val="18"/>
                      <w:szCs w:val="18"/>
                      <w:lang w:eastAsia="en-US"/>
                    </w:rPr>
                  </w:pPr>
                  <w:r w:rsidRPr="005F120D">
                    <w:rPr>
                      <w:rFonts w:asciiTheme="minorHAnsi" w:hAnsiTheme="minorHAnsi" w:cstheme="minorHAnsi"/>
                      <w:bCs/>
                      <w:color w:val="008000"/>
                      <w:sz w:val="18"/>
                      <w:szCs w:val="18"/>
                      <w:lang w:eastAsia="en-US"/>
                    </w:rPr>
                    <w:t>Temple Based LCs</w:t>
                  </w:r>
                </w:p>
              </w:tc>
              <w:tc>
                <w:tcPr>
                  <w:tcW w:w="1840" w:type="pct"/>
                  <w:tcBorders>
                    <w:bottom w:val="single" w:sz="6" w:space="0" w:color="215868" w:themeColor="accent5" w:themeShade="80"/>
                  </w:tcBorders>
                  <w:shd w:val="clear" w:color="auto" w:fill="auto"/>
                  <w:vAlign w:val="bottom"/>
                  <w:hideMark/>
                </w:tcPr>
                <w:p w:rsidR="00CF024A" w:rsidRPr="005F120D" w:rsidRDefault="00CF024A" w:rsidP="00C437AA">
                  <w:pPr>
                    <w:spacing w:after="0" w:line="276" w:lineRule="auto"/>
                    <w:jc w:val="right"/>
                    <w:rPr>
                      <w:rFonts w:asciiTheme="minorHAnsi" w:hAnsiTheme="minorHAnsi" w:cstheme="minorHAnsi"/>
                      <w:color w:val="008000"/>
                      <w:sz w:val="18"/>
                      <w:szCs w:val="18"/>
                      <w:lang w:eastAsia="en-US"/>
                    </w:rPr>
                  </w:pPr>
                  <w:r w:rsidRPr="005F120D">
                    <w:rPr>
                      <w:rFonts w:asciiTheme="minorHAnsi" w:hAnsiTheme="minorHAnsi" w:cstheme="minorHAnsi"/>
                      <w:color w:val="008000"/>
                      <w:sz w:val="18"/>
                      <w:szCs w:val="18"/>
                      <w:lang w:eastAsia="en-US"/>
                    </w:rPr>
                    <w:t>554</w:t>
                  </w:r>
                </w:p>
              </w:tc>
            </w:tr>
            <w:tr w:rsidR="005F64B0" w:rsidRPr="005F120D" w:rsidTr="005C6A0C">
              <w:trPr>
                <w:trHeight w:hRule="exact" w:val="284"/>
              </w:trPr>
              <w:tc>
                <w:tcPr>
                  <w:tcW w:w="3160" w:type="pct"/>
                  <w:tcBorders>
                    <w:bottom w:val="single" w:sz="6" w:space="0" w:color="215868" w:themeColor="accent5" w:themeShade="80"/>
                  </w:tcBorders>
                  <w:shd w:val="clear" w:color="auto" w:fill="auto"/>
                  <w:vAlign w:val="bottom"/>
                  <w:hideMark/>
                </w:tcPr>
                <w:p w:rsidR="005F64B0" w:rsidRPr="005F120D" w:rsidRDefault="005F64B0" w:rsidP="00C437AA">
                  <w:pPr>
                    <w:spacing w:after="0" w:line="276" w:lineRule="auto"/>
                    <w:rPr>
                      <w:rFonts w:asciiTheme="minorHAnsi" w:hAnsiTheme="minorHAnsi" w:cstheme="minorHAnsi"/>
                      <w:bCs/>
                      <w:color w:val="008000"/>
                      <w:sz w:val="18"/>
                      <w:szCs w:val="18"/>
                      <w:lang w:eastAsia="en-US"/>
                    </w:rPr>
                  </w:pPr>
                  <w:r w:rsidRPr="005F120D">
                    <w:rPr>
                      <w:rFonts w:asciiTheme="minorHAnsi" w:hAnsiTheme="minorHAnsi" w:cstheme="minorHAnsi"/>
                      <w:bCs/>
                      <w:color w:val="008000"/>
                      <w:sz w:val="18"/>
                      <w:szCs w:val="18"/>
                      <w:lang w:eastAsia="en-US"/>
                    </w:rPr>
                    <w:t>Mosque Based LCs</w:t>
                  </w:r>
                </w:p>
              </w:tc>
              <w:tc>
                <w:tcPr>
                  <w:tcW w:w="1840" w:type="pct"/>
                  <w:tcBorders>
                    <w:bottom w:val="single" w:sz="6" w:space="0" w:color="215868" w:themeColor="accent5" w:themeShade="80"/>
                  </w:tcBorders>
                  <w:shd w:val="clear" w:color="auto" w:fill="auto"/>
                  <w:vAlign w:val="bottom"/>
                  <w:hideMark/>
                </w:tcPr>
                <w:p w:rsidR="005F64B0" w:rsidRPr="005F120D" w:rsidRDefault="005F64B0" w:rsidP="00C437AA">
                  <w:pPr>
                    <w:spacing w:after="0" w:line="276" w:lineRule="auto"/>
                    <w:jc w:val="right"/>
                    <w:rPr>
                      <w:rFonts w:asciiTheme="minorHAnsi" w:hAnsiTheme="minorHAnsi" w:cstheme="minorHAnsi"/>
                      <w:color w:val="008000"/>
                      <w:sz w:val="18"/>
                      <w:szCs w:val="18"/>
                      <w:lang w:eastAsia="en-US"/>
                    </w:rPr>
                  </w:pPr>
                  <w:r w:rsidRPr="005F120D">
                    <w:rPr>
                      <w:rFonts w:asciiTheme="minorHAnsi" w:hAnsiTheme="minorHAnsi" w:cstheme="minorHAnsi"/>
                      <w:color w:val="008000"/>
                      <w:sz w:val="18"/>
                      <w:szCs w:val="18"/>
                      <w:lang w:eastAsia="en-US"/>
                    </w:rPr>
                    <w:t>1,579</w:t>
                  </w:r>
                </w:p>
              </w:tc>
            </w:tr>
            <w:tr w:rsidR="000531A9" w:rsidRPr="005F120D" w:rsidTr="005C6A0C">
              <w:trPr>
                <w:trHeight w:hRule="exact" w:val="284"/>
              </w:trPr>
              <w:tc>
                <w:tcPr>
                  <w:tcW w:w="3160" w:type="pct"/>
                  <w:tcBorders>
                    <w:bottom w:val="single" w:sz="6" w:space="0" w:color="215868" w:themeColor="accent5" w:themeShade="80"/>
                  </w:tcBorders>
                  <w:shd w:val="clear" w:color="auto" w:fill="auto"/>
                  <w:vAlign w:val="bottom"/>
                  <w:hideMark/>
                </w:tcPr>
                <w:p w:rsidR="000531A9" w:rsidRPr="005F120D" w:rsidRDefault="005F64B0" w:rsidP="00C437AA">
                  <w:pPr>
                    <w:spacing w:after="0" w:line="276" w:lineRule="auto"/>
                    <w:jc w:val="center"/>
                    <w:rPr>
                      <w:rFonts w:asciiTheme="minorHAnsi" w:hAnsiTheme="minorHAnsi" w:cstheme="minorHAnsi"/>
                      <w:b/>
                      <w:bCs/>
                      <w:color w:val="008000"/>
                      <w:sz w:val="18"/>
                      <w:szCs w:val="18"/>
                      <w:lang w:eastAsia="en-US"/>
                    </w:rPr>
                  </w:pPr>
                  <w:r w:rsidRPr="005F120D">
                    <w:rPr>
                      <w:rFonts w:asciiTheme="minorHAnsi" w:hAnsiTheme="minorHAnsi" w:cstheme="minorHAnsi"/>
                      <w:b/>
                      <w:bCs/>
                      <w:color w:val="008000"/>
                      <w:sz w:val="18"/>
                      <w:szCs w:val="18"/>
                      <w:lang w:eastAsia="en-US"/>
                    </w:rPr>
                    <w:t>Total</w:t>
                  </w:r>
                </w:p>
              </w:tc>
              <w:tc>
                <w:tcPr>
                  <w:tcW w:w="1840" w:type="pct"/>
                  <w:tcBorders>
                    <w:bottom w:val="single" w:sz="6" w:space="0" w:color="215868" w:themeColor="accent5" w:themeShade="80"/>
                  </w:tcBorders>
                  <w:shd w:val="clear" w:color="auto" w:fill="auto"/>
                  <w:vAlign w:val="bottom"/>
                  <w:hideMark/>
                </w:tcPr>
                <w:p w:rsidR="000531A9" w:rsidRPr="005F120D" w:rsidRDefault="005F64B0" w:rsidP="00C437AA">
                  <w:pPr>
                    <w:spacing w:after="0" w:line="276" w:lineRule="auto"/>
                    <w:jc w:val="right"/>
                    <w:rPr>
                      <w:rFonts w:asciiTheme="minorHAnsi" w:hAnsiTheme="minorHAnsi" w:cstheme="minorHAnsi"/>
                      <w:b/>
                      <w:color w:val="008000"/>
                      <w:sz w:val="18"/>
                      <w:szCs w:val="18"/>
                      <w:lang w:eastAsia="en-US"/>
                    </w:rPr>
                  </w:pPr>
                  <w:r w:rsidRPr="005F120D">
                    <w:rPr>
                      <w:rFonts w:asciiTheme="minorHAnsi" w:hAnsiTheme="minorHAnsi" w:cstheme="minorHAnsi"/>
                      <w:b/>
                      <w:color w:val="008000"/>
                      <w:sz w:val="18"/>
                      <w:szCs w:val="18"/>
                      <w:lang w:eastAsia="en-US"/>
                    </w:rPr>
                    <w:t>5,471</w:t>
                  </w:r>
                </w:p>
              </w:tc>
            </w:tr>
            <w:tr w:rsidR="00CF024A" w:rsidRPr="005F120D" w:rsidTr="005C6A0C">
              <w:trPr>
                <w:trHeight w:hRule="exact" w:val="284"/>
              </w:trPr>
              <w:tc>
                <w:tcPr>
                  <w:tcW w:w="3160" w:type="pct"/>
                  <w:tcBorders>
                    <w:top w:val="single" w:sz="6" w:space="0" w:color="215868" w:themeColor="accent5" w:themeShade="80"/>
                    <w:left w:val="nil"/>
                    <w:bottom w:val="nil"/>
                    <w:right w:val="nil"/>
                  </w:tcBorders>
                  <w:shd w:val="clear" w:color="auto" w:fill="auto"/>
                  <w:vAlign w:val="bottom"/>
                  <w:hideMark/>
                </w:tcPr>
                <w:p w:rsidR="00CF024A" w:rsidRPr="005F120D" w:rsidRDefault="00CF024A" w:rsidP="00C437AA">
                  <w:pPr>
                    <w:spacing w:after="0" w:line="276" w:lineRule="auto"/>
                    <w:rPr>
                      <w:rFonts w:asciiTheme="minorHAnsi" w:hAnsiTheme="minorHAnsi" w:cstheme="minorHAnsi"/>
                      <w:bCs/>
                      <w:color w:val="008000"/>
                      <w:sz w:val="18"/>
                      <w:szCs w:val="18"/>
                      <w:lang w:eastAsia="en-US"/>
                    </w:rPr>
                  </w:pPr>
                </w:p>
              </w:tc>
              <w:tc>
                <w:tcPr>
                  <w:tcW w:w="1840" w:type="pct"/>
                  <w:tcBorders>
                    <w:top w:val="single" w:sz="6" w:space="0" w:color="215868" w:themeColor="accent5" w:themeShade="80"/>
                    <w:left w:val="nil"/>
                    <w:bottom w:val="nil"/>
                    <w:right w:val="nil"/>
                  </w:tcBorders>
                  <w:shd w:val="clear" w:color="auto" w:fill="auto"/>
                  <w:vAlign w:val="bottom"/>
                  <w:hideMark/>
                </w:tcPr>
                <w:p w:rsidR="00CF024A" w:rsidRPr="005F120D" w:rsidRDefault="00CF024A" w:rsidP="00C437AA">
                  <w:pPr>
                    <w:spacing w:after="0" w:line="276" w:lineRule="auto"/>
                    <w:jc w:val="right"/>
                    <w:rPr>
                      <w:rFonts w:asciiTheme="minorHAnsi" w:hAnsiTheme="minorHAnsi" w:cstheme="minorHAnsi"/>
                      <w:color w:val="008000"/>
                      <w:sz w:val="18"/>
                      <w:szCs w:val="18"/>
                      <w:lang w:eastAsia="en-US"/>
                    </w:rPr>
                  </w:pPr>
                </w:p>
              </w:tc>
            </w:tr>
          </w:tbl>
          <w:p w:rsidR="00CF024A" w:rsidRPr="005F120D" w:rsidRDefault="00CF024A" w:rsidP="00C437AA">
            <w:pPr>
              <w:spacing w:after="0" w:line="276" w:lineRule="auto"/>
              <w:rPr>
                <w:rFonts w:asciiTheme="minorHAnsi" w:hAnsiTheme="minorHAnsi" w:cstheme="minorHAnsi"/>
              </w:rPr>
            </w:pPr>
          </w:p>
        </w:tc>
      </w:tr>
    </w:tbl>
    <w:p w:rsidR="00D5066E" w:rsidRPr="005F120D" w:rsidRDefault="00CF024A" w:rsidP="00C437AA">
      <w:pPr>
        <w:spacing w:line="276" w:lineRule="auto"/>
        <w:rPr>
          <w:rFonts w:asciiTheme="minorHAnsi" w:hAnsiTheme="minorHAnsi" w:cstheme="minorHAnsi"/>
          <w:b/>
          <w:sz w:val="16"/>
          <w:szCs w:val="16"/>
        </w:rPr>
      </w:pPr>
      <w:r w:rsidRPr="005F120D">
        <w:rPr>
          <w:rFonts w:asciiTheme="minorHAnsi" w:hAnsiTheme="minorHAnsi" w:cstheme="minorHAnsi"/>
          <w:b/>
          <w:sz w:val="16"/>
          <w:szCs w:val="16"/>
        </w:rPr>
        <w:t>Source: APSC 2015</w:t>
      </w:r>
    </w:p>
    <w:p w:rsidR="002B23D2" w:rsidRPr="005F120D" w:rsidRDefault="002B23D2" w:rsidP="00C437AA">
      <w:pPr>
        <w:spacing w:before="240" w:line="276" w:lineRule="auto"/>
        <w:ind w:left="86"/>
        <w:jc w:val="both"/>
        <w:rPr>
          <w:rFonts w:asciiTheme="minorHAnsi" w:hAnsiTheme="minorHAnsi" w:cstheme="minorHAnsi"/>
        </w:rPr>
      </w:pPr>
      <w:r w:rsidRPr="005F120D">
        <w:rPr>
          <w:rFonts w:asciiTheme="minorHAnsi" w:hAnsiTheme="minorHAnsi" w:cstheme="minorHAnsi"/>
          <w:b/>
          <w:i/>
          <w:color w:val="008000"/>
        </w:rPr>
        <w:lastRenderedPageBreak/>
        <w:t>Management</w:t>
      </w:r>
      <w:r w:rsidR="009D4CFA" w:rsidRPr="005F120D">
        <w:rPr>
          <w:rFonts w:asciiTheme="minorHAnsi" w:hAnsiTheme="minorHAnsi" w:cstheme="minorHAnsi"/>
          <w:b/>
          <w:i/>
          <w:color w:val="008000"/>
        </w:rPr>
        <w:t xml:space="preserve"> of I</w:t>
      </w:r>
      <w:r w:rsidR="00C16941" w:rsidRPr="005F120D">
        <w:rPr>
          <w:rFonts w:asciiTheme="minorHAnsi" w:hAnsiTheme="minorHAnsi" w:cstheme="minorHAnsi"/>
          <w:b/>
          <w:i/>
          <w:color w:val="008000"/>
        </w:rPr>
        <w:t>nstitutes:</w:t>
      </w:r>
    </w:p>
    <w:p w:rsidR="00D75D19" w:rsidRPr="005F120D" w:rsidRDefault="00D75D19" w:rsidP="00C437AA">
      <w:pPr>
        <w:spacing w:line="276" w:lineRule="auto"/>
        <w:ind w:left="90"/>
        <w:jc w:val="both"/>
        <w:rPr>
          <w:rFonts w:asciiTheme="minorHAnsi" w:hAnsiTheme="minorHAnsi" w:cstheme="minorHAnsi"/>
        </w:rPr>
      </w:pPr>
      <w:r w:rsidRPr="005F120D">
        <w:rPr>
          <w:rFonts w:asciiTheme="minorHAnsi" w:hAnsiTheme="minorHAnsi" w:cstheme="minorHAnsi"/>
        </w:rPr>
        <w:t>The following Figure 1.3 presents the percentage of schools manage</w:t>
      </w:r>
      <w:r w:rsidR="005C6A0C" w:rsidRPr="005F120D">
        <w:rPr>
          <w:rFonts w:asciiTheme="minorHAnsi" w:hAnsiTheme="minorHAnsi" w:cstheme="minorHAnsi"/>
        </w:rPr>
        <w:t>d</w:t>
      </w:r>
      <w:r w:rsidRPr="005F120D">
        <w:rPr>
          <w:rFonts w:asciiTheme="minorHAnsi" w:hAnsiTheme="minorHAnsi" w:cstheme="minorHAnsi"/>
        </w:rPr>
        <w:t xml:space="preserve"> by different authorities:</w:t>
      </w:r>
    </w:p>
    <w:p w:rsidR="00D75D19" w:rsidRPr="005F120D" w:rsidRDefault="00D75D19" w:rsidP="00E22EB6">
      <w:pPr>
        <w:numPr>
          <w:ilvl w:val="0"/>
          <w:numId w:val="91"/>
        </w:numPr>
        <w:spacing w:before="120" w:after="120" w:line="276" w:lineRule="auto"/>
        <w:ind w:left="806"/>
        <w:contextualSpacing/>
        <w:jc w:val="both"/>
        <w:rPr>
          <w:rFonts w:asciiTheme="minorHAnsi" w:hAnsiTheme="minorHAnsi" w:cstheme="minorHAnsi"/>
        </w:rPr>
      </w:pPr>
      <w:r w:rsidRPr="005F120D">
        <w:rPr>
          <w:rFonts w:asciiTheme="minorHAnsi" w:hAnsiTheme="minorHAnsi" w:cstheme="minorHAnsi"/>
        </w:rPr>
        <w:t>MoPM</w:t>
      </w:r>
      <w:r w:rsidR="00156FAF" w:rsidRPr="005F120D">
        <w:rPr>
          <w:rFonts w:asciiTheme="minorHAnsi" w:hAnsiTheme="minorHAnsi" w:cstheme="minorHAnsi"/>
        </w:rPr>
        <w:t>E oversees 8 types (six types are</w:t>
      </w:r>
      <w:r w:rsidRPr="005F120D">
        <w:rPr>
          <w:rFonts w:asciiTheme="minorHAnsi" w:hAnsiTheme="minorHAnsi" w:cstheme="minorHAnsi"/>
        </w:rPr>
        <w:t xml:space="preserve"> formal</w:t>
      </w:r>
      <w:r w:rsidR="00CD4AEF" w:rsidRPr="005F120D">
        <w:rPr>
          <w:rFonts w:asciiTheme="minorHAnsi" w:hAnsiTheme="minorHAnsi" w:cstheme="minorHAnsi"/>
        </w:rPr>
        <w:t xml:space="preserve"> G</w:t>
      </w:r>
      <w:r w:rsidR="00156FAF" w:rsidRPr="005F120D">
        <w:rPr>
          <w:rFonts w:asciiTheme="minorHAnsi" w:hAnsiTheme="minorHAnsi" w:cstheme="minorHAnsi"/>
        </w:rPr>
        <w:t>overnment Primary Schools (GPS) -</w:t>
      </w:r>
      <w:r w:rsidR="00CD4AEF" w:rsidRPr="005F120D">
        <w:rPr>
          <w:rFonts w:asciiTheme="minorHAnsi" w:hAnsiTheme="minorHAnsi" w:cstheme="minorHAnsi"/>
        </w:rPr>
        <w:t xml:space="preserve"> Newly Nationalized Primary Schools (NNPS), Registered Non-government Primary Schools (RNGPS); Non-Registered Non-Governme</w:t>
      </w:r>
      <w:r w:rsidR="00584170" w:rsidRPr="005F120D">
        <w:rPr>
          <w:rFonts w:asciiTheme="minorHAnsi" w:hAnsiTheme="minorHAnsi" w:cstheme="minorHAnsi"/>
        </w:rPr>
        <w:t xml:space="preserve">nt Primary School (NRNGPS); </w:t>
      </w:r>
      <w:r w:rsidR="00CD4AEF" w:rsidRPr="005F120D">
        <w:rPr>
          <w:rFonts w:asciiTheme="minorHAnsi" w:hAnsiTheme="minorHAnsi" w:cstheme="minorHAnsi"/>
        </w:rPr>
        <w:t>PTI Experimental Schools; Community Schools; and two types of non-formal schools (Shishu Kollyan and Anandya Schools)</w:t>
      </w:r>
      <w:r w:rsidRPr="005F120D">
        <w:rPr>
          <w:rFonts w:asciiTheme="minorHAnsi" w:hAnsiTheme="minorHAnsi" w:cstheme="minorHAnsi"/>
        </w:rPr>
        <w:t>. These account for 72,155 schools (59</w:t>
      </w:r>
      <w:r w:rsidR="00A07035" w:rsidRPr="005F120D">
        <w:rPr>
          <w:rFonts w:asciiTheme="minorHAnsi" w:hAnsiTheme="minorHAnsi" w:cstheme="minorHAnsi"/>
        </w:rPr>
        <w:t>.1</w:t>
      </w:r>
      <w:r w:rsidRPr="005F120D">
        <w:rPr>
          <w:rFonts w:asciiTheme="minorHAnsi" w:hAnsiTheme="minorHAnsi" w:cstheme="minorHAnsi"/>
        </w:rPr>
        <w:t xml:space="preserve">%). </w:t>
      </w:r>
    </w:p>
    <w:p w:rsidR="00E22EB6" w:rsidRPr="005F120D" w:rsidRDefault="00E22EB6" w:rsidP="00E22EB6">
      <w:pPr>
        <w:spacing w:before="120" w:after="120" w:line="276" w:lineRule="auto"/>
        <w:ind w:left="446"/>
        <w:contextualSpacing/>
        <w:jc w:val="both"/>
        <w:rPr>
          <w:rFonts w:asciiTheme="minorHAnsi" w:hAnsiTheme="minorHAnsi" w:cstheme="minorHAnsi"/>
          <w:sz w:val="12"/>
        </w:rPr>
      </w:pPr>
    </w:p>
    <w:p w:rsidR="00E22EB6" w:rsidRPr="005F120D" w:rsidRDefault="00D75D19" w:rsidP="00E22EB6">
      <w:pPr>
        <w:numPr>
          <w:ilvl w:val="0"/>
          <w:numId w:val="91"/>
        </w:numPr>
        <w:spacing w:before="120" w:after="120" w:line="276" w:lineRule="auto"/>
        <w:ind w:left="806"/>
        <w:contextualSpacing/>
        <w:jc w:val="both"/>
        <w:rPr>
          <w:rFonts w:asciiTheme="minorHAnsi" w:hAnsiTheme="minorHAnsi" w:cstheme="minorHAnsi"/>
        </w:rPr>
      </w:pPr>
      <w:r w:rsidRPr="005F120D">
        <w:rPr>
          <w:rFonts w:asciiTheme="minorHAnsi" w:hAnsiTheme="minorHAnsi" w:cstheme="minorHAnsi"/>
        </w:rPr>
        <w:t>The Ministry of Education (MOE) overs</w:t>
      </w:r>
      <w:r w:rsidR="00743EFE" w:rsidRPr="005F120D">
        <w:rPr>
          <w:rFonts w:asciiTheme="minorHAnsi" w:hAnsiTheme="minorHAnsi" w:cstheme="minorHAnsi"/>
        </w:rPr>
        <w:t xml:space="preserve">ees 3 types - </w:t>
      </w:r>
      <w:r w:rsidR="0089702D">
        <w:rPr>
          <w:rFonts w:asciiTheme="minorHAnsi" w:hAnsiTheme="minorHAnsi" w:cstheme="minorHAnsi"/>
        </w:rPr>
        <w:t>Ebtedayee, High Madrasha</w:t>
      </w:r>
      <w:r w:rsidR="0018784B" w:rsidRPr="005F120D">
        <w:rPr>
          <w:rFonts w:asciiTheme="minorHAnsi" w:hAnsiTheme="minorHAnsi" w:cstheme="minorHAnsi"/>
        </w:rPr>
        <w:t xml:space="preserve"> attached Ebtedayee and High School attached Primary Section</w:t>
      </w:r>
      <w:r w:rsidRPr="005F120D">
        <w:rPr>
          <w:rFonts w:asciiTheme="minorHAnsi" w:hAnsiTheme="minorHAnsi" w:cstheme="minorHAnsi"/>
        </w:rPr>
        <w:t xml:space="preserve"> of form</w:t>
      </w:r>
      <w:r w:rsidR="00685E7D">
        <w:rPr>
          <w:rFonts w:asciiTheme="minorHAnsi" w:hAnsiTheme="minorHAnsi" w:cstheme="minorHAnsi"/>
        </w:rPr>
        <w:t>al primary schools and M</w:t>
      </w:r>
      <w:r w:rsidR="0089702D">
        <w:rPr>
          <w:rFonts w:asciiTheme="minorHAnsi" w:hAnsiTheme="minorHAnsi" w:cstheme="minorHAnsi"/>
        </w:rPr>
        <w:t>adrasha</w:t>
      </w:r>
      <w:r w:rsidRPr="005F120D">
        <w:rPr>
          <w:rFonts w:asciiTheme="minorHAnsi" w:hAnsiTheme="minorHAnsi" w:cstheme="minorHAnsi"/>
        </w:rPr>
        <w:t xml:space="preserve">. These account </w:t>
      </w:r>
      <w:r w:rsidR="00685E7D">
        <w:rPr>
          <w:rFonts w:asciiTheme="minorHAnsi" w:hAnsiTheme="minorHAnsi" w:cstheme="minorHAnsi"/>
        </w:rPr>
        <w:t>for 10,030 schools and M</w:t>
      </w:r>
      <w:r w:rsidR="0089702D">
        <w:rPr>
          <w:rFonts w:asciiTheme="minorHAnsi" w:hAnsiTheme="minorHAnsi" w:cstheme="minorHAnsi"/>
        </w:rPr>
        <w:t>adrasha</w:t>
      </w:r>
      <w:r w:rsidRPr="005F120D">
        <w:rPr>
          <w:rFonts w:asciiTheme="minorHAnsi" w:hAnsiTheme="minorHAnsi" w:cstheme="minorHAnsi"/>
        </w:rPr>
        <w:t xml:space="preserve"> (8.2%). </w:t>
      </w:r>
    </w:p>
    <w:p w:rsidR="00E22EB6" w:rsidRPr="005F120D" w:rsidRDefault="00E22EB6" w:rsidP="00E22EB6">
      <w:pPr>
        <w:spacing w:before="120" w:after="120" w:line="276" w:lineRule="auto"/>
        <w:contextualSpacing/>
        <w:jc w:val="both"/>
        <w:rPr>
          <w:rFonts w:asciiTheme="minorHAnsi" w:hAnsiTheme="minorHAnsi" w:cstheme="minorHAnsi"/>
          <w:sz w:val="14"/>
        </w:rPr>
      </w:pPr>
    </w:p>
    <w:p w:rsidR="00E22EB6" w:rsidRPr="005F120D" w:rsidRDefault="00D75D19" w:rsidP="00E22EB6">
      <w:pPr>
        <w:numPr>
          <w:ilvl w:val="0"/>
          <w:numId w:val="91"/>
        </w:numPr>
        <w:spacing w:before="120" w:after="120" w:line="276" w:lineRule="auto"/>
        <w:ind w:left="806"/>
        <w:contextualSpacing/>
        <w:jc w:val="both"/>
        <w:rPr>
          <w:rFonts w:asciiTheme="minorHAnsi" w:hAnsiTheme="minorHAnsi" w:cstheme="minorHAnsi"/>
        </w:rPr>
      </w:pPr>
      <w:r w:rsidRPr="005F120D">
        <w:rPr>
          <w:rFonts w:asciiTheme="minorHAnsi" w:hAnsiTheme="minorHAnsi" w:cstheme="minorHAnsi"/>
        </w:rPr>
        <w:t xml:space="preserve">The Ministry of Commerce and other relevant authorities </w:t>
      </w:r>
      <w:r w:rsidR="00584170" w:rsidRPr="005F120D">
        <w:rPr>
          <w:rFonts w:asciiTheme="minorHAnsi" w:hAnsiTheme="minorHAnsi" w:cstheme="minorHAnsi"/>
        </w:rPr>
        <w:t>oversee only Kindergarten (KG) schools</w:t>
      </w:r>
      <w:r w:rsidRPr="005F120D">
        <w:rPr>
          <w:rFonts w:asciiTheme="minorHAnsi" w:hAnsiTheme="minorHAnsi" w:cstheme="minorHAnsi"/>
        </w:rPr>
        <w:t xml:space="preserve"> and account for 18,318 KG schools (15%). </w:t>
      </w:r>
    </w:p>
    <w:p w:rsidR="002B23D2" w:rsidRPr="005F120D" w:rsidRDefault="00D75D19" w:rsidP="00E22EB6">
      <w:pPr>
        <w:pStyle w:val="ListParagraph"/>
        <w:numPr>
          <w:ilvl w:val="0"/>
          <w:numId w:val="91"/>
        </w:numPr>
        <w:spacing w:before="120" w:after="120" w:line="276" w:lineRule="auto"/>
        <w:ind w:left="806"/>
        <w:jc w:val="both"/>
        <w:rPr>
          <w:rFonts w:asciiTheme="minorHAnsi" w:hAnsiTheme="minorHAnsi" w:cstheme="minorHAnsi"/>
        </w:rPr>
      </w:pPr>
      <w:r w:rsidRPr="005F120D">
        <w:rPr>
          <w:rFonts w:asciiTheme="minorHAnsi" w:hAnsiTheme="minorHAnsi" w:cstheme="minorHAnsi"/>
        </w:rPr>
        <w:t>T</w:t>
      </w:r>
      <w:r w:rsidR="00960120" w:rsidRPr="005F120D">
        <w:rPr>
          <w:rFonts w:asciiTheme="minorHAnsi" w:hAnsiTheme="minorHAnsi" w:cstheme="minorHAnsi"/>
        </w:rPr>
        <w:t xml:space="preserve">he NGO Bureau oversees 2 types - </w:t>
      </w:r>
      <w:r w:rsidR="00902455" w:rsidRPr="005F120D">
        <w:rPr>
          <w:rFonts w:asciiTheme="minorHAnsi" w:hAnsiTheme="minorHAnsi" w:cstheme="minorHAnsi"/>
        </w:rPr>
        <w:t>BRAC schools and NGO Learning Centers</w:t>
      </w:r>
      <w:r w:rsidRPr="005F120D">
        <w:rPr>
          <w:rFonts w:asciiTheme="minorHAnsi" w:hAnsiTheme="minorHAnsi" w:cstheme="minorHAnsi"/>
        </w:rPr>
        <w:t xml:space="preserve"> that account </w:t>
      </w:r>
      <w:r w:rsidR="00425FE9" w:rsidRPr="005F120D">
        <w:rPr>
          <w:rFonts w:asciiTheme="minorHAnsi" w:hAnsiTheme="minorHAnsi" w:cstheme="minorHAnsi"/>
        </w:rPr>
        <w:t>for 16,202 schools and LCs (13.3</w:t>
      </w:r>
      <w:r w:rsidRPr="005F120D">
        <w:rPr>
          <w:rFonts w:asciiTheme="minorHAnsi" w:hAnsiTheme="minorHAnsi" w:cstheme="minorHAnsi"/>
        </w:rPr>
        <w:t>%). Other Authorities manage 5,471 (4.5%) LCs.</w:t>
      </w:r>
    </w:p>
    <w:p w:rsidR="00462D1D" w:rsidRPr="005F120D" w:rsidRDefault="00462D1D" w:rsidP="00902455">
      <w:pPr>
        <w:pStyle w:val="Caption"/>
        <w:spacing w:before="240" w:line="276" w:lineRule="auto"/>
        <w:rPr>
          <w:rFonts w:cstheme="minorHAnsi"/>
        </w:rPr>
      </w:pPr>
      <w:bookmarkStart w:id="37" w:name="_Toc462837404"/>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Pr="005F120D">
        <w:rPr>
          <w:rFonts w:cstheme="minorHAnsi"/>
        </w:rPr>
        <w:t>: Percentage of Primary Level Institutes Managed by GoB Ministries 2015</w:t>
      </w:r>
      <w:bookmarkEnd w:id="37"/>
    </w:p>
    <w:p w:rsidR="00A07035" w:rsidRPr="005F120D" w:rsidRDefault="00462D1D" w:rsidP="00C437AA">
      <w:pPr>
        <w:spacing w:before="40" w:after="40" w:line="276" w:lineRule="auto"/>
        <w:jc w:val="center"/>
        <w:rPr>
          <w:rFonts w:asciiTheme="minorHAnsi" w:hAnsiTheme="minorHAnsi" w:cstheme="minorHAnsi"/>
          <w:b/>
          <w:i/>
          <w:sz w:val="16"/>
          <w:szCs w:val="16"/>
        </w:rPr>
      </w:pPr>
      <w:r w:rsidRPr="005F120D">
        <w:rPr>
          <w:rFonts w:asciiTheme="minorHAnsi" w:hAnsiTheme="minorHAnsi" w:cstheme="minorHAnsi"/>
          <w:noProof/>
          <w:lang w:eastAsia="en-US"/>
        </w:rPr>
        <w:drawing>
          <wp:inline distT="0" distB="0" distL="0" distR="0">
            <wp:extent cx="5129947" cy="2874275"/>
            <wp:effectExtent l="38100" t="19050" r="32603" b="21325"/>
            <wp:docPr id="11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1360" w:rsidRPr="005F120D" w:rsidRDefault="00462D1D" w:rsidP="00CD4AEF">
      <w:pPr>
        <w:spacing w:before="240" w:line="276" w:lineRule="auto"/>
        <w:rPr>
          <w:rFonts w:asciiTheme="minorHAnsi" w:hAnsiTheme="minorHAnsi" w:cstheme="minorHAnsi"/>
        </w:rPr>
      </w:pPr>
      <w:r w:rsidRPr="005F120D">
        <w:rPr>
          <w:rFonts w:asciiTheme="minorHAnsi" w:hAnsiTheme="minorHAnsi" w:cstheme="minorHAnsi"/>
          <w:b/>
          <w:i/>
          <w:sz w:val="16"/>
          <w:szCs w:val="16"/>
        </w:rPr>
        <w:t>Source: APSC 2015</w:t>
      </w:r>
    </w:p>
    <w:p w:rsidR="00CD4AEF" w:rsidRPr="005F120D" w:rsidRDefault="00C16941" w:rsidP="00E67C75">
      <w:pPr>
        <w:spacing w:line="276" w:lineRule="auto"/>
        <w:ind w:left="90"/>
        <w:jc w:val="both"/>
        <w:rPr>
          <w:rFonts w:asciiTheme="minorHAnsi" w:hAnsiTheme="minorHAnsi" w:cstheme="minorHAnsi"/>
        </w:rPr>
      </w:pPr>
      <w:r w:rsidRPr="005F120D">
        <w:rPr>
          <w:rFonts w:asciiTheme="minorHAnsi" w:hAnsiTheme="minorHAnsi" w:cstheme="minorHAnsi"/>
          <w:b/>
          <w:i/>
          <w:color w:val="008000"/>
        </w:rPr>
        <w:t>Share of teachers:</w:t>
      </w:r>
      <w:r w:rsidR="00C4591B">
        <w:rPr>
          <w:rFonts w:asciiTheme="minorHAnsi" w:hAnsiTheme="minorHAnsi" w:cstheme="minorHAnsi"/>
          <w:b/>
          <w:i/>
          <w:color w:val="008000"/>
        </w:rPr>
        <w:t xml:space="preserve"> </w:t>
      </w:r>
      <w:r w:rsidR="00D75D19" w:rsidRPr="005F120D">
        <w:rPr>
          <w:rFonts w:asciiTheme="minorHAnsi" w:hAnsiTheme="minorHAnsi" w:cstheme="minorHAnsi"/>
        </w:rPr>
        <w:t xml:space="preserve">In 2015, </w:t>
      </w:r>
      <w:r w:rsidR="00782107" w:rsidRPr="005F120D">
        <w:rPr>
          <w:rFonts w:asciiTheme="minorHAnsi" w:hAnsiTheme="minorHAnsi" w:cstheme="minorHAnsi"/>
        </w:rPr>
        <w:t>a total of 337,531 teachers were working in</w:t>
      </w:r>
      <w:r w:rsidR="00584170" w:rsidRPr="005F120D">
        <w:rPr>
          <w:rFonts w:asciiTheme="minorHAnsi" w:hAnsiTheme="minorHAnsi" w:cstheme="minorHAnsi"/>
        </w:rPr>
        <w:t xml:space="preserve"> MoPME manage</w:t>
      </w:r>
      <w:r w:rsidR="004230E7" w:rsidRPr="005F120D">
        <w:rPr>
          <w:rFonts w:asciiTheme="minorHAnsi" w:hAnsiTheme="minorHAnsi" w:cstheme="minorHAnsi"/>
        </w:rPr>
        <w:t>d</w:t>
      </w:r>
      <w:r w:rsidR="00782107" w:rsidRPr="005F120D">
        <w:rPr>
          <w:rFonts w:asciiTheme="minorHAnsi" w:hAnsiTheme="minorHAnsi" w:cstheme="minorHAnsi"/>
        </w:rPr>
        <w:t>72,155 schools (</w:t>
      </w:r>
      <w:r w:rsidR="00D75D19" w:rsidRPr="005F120D">
        <w:rPr>
          <w:rFonts w:asciiTheme="minorHAnsi" w:hAnsiTheme="minorHAnsi" w:cstheme="minorHAnsi"/>
        </w:rPr>
        <w:t>64%</w:t>
      </w:r>
      <w:r w:rsidR="00782107" w:rsidRPr="005F120D">
        <w:rPr>
          <w:rFonts w:asciiTheme="minorHAnsi" w:hAnsiTheme="minorHAnsi" w:cstheme="minorHAnsi"/>
        </w:rPr>
        <w:t>)</w:t>
      </w:r>
      <w:r w:rsidR="00960120" w:rsidRPr="005F120D">
        <w:rPr>
          <w:rFonts w:asciiTheme="minorHAnsi" w:hAnsiTheme="minorHAnsi" w:cstheme="minorHAnsi"/>
        </w:rPr>
        <w:t>;</w:t>
      </w:r>
      <w:r w:rsidR="0014210E" w:rsidRPr="005F120D">
        <w:rPr>
          <w:rFonts w:asciiTheme="minorHAnsi" w:hAnsiTheme="minorHAnsi" w:cstheme="minorHAnsi"/>
        </w:rPr>
        <w:t>45,062 (</w:t>
      </w:r>
      <w:r w:rsidR="00D75D19" w:rsidRPr="005F120D">
        <w:rPr>
          <w:rFonts w:asciiTheme="minorHAnsi" w:hAnsiTheme="minorHAnsi" w:cstheme="minorHAnsi"/>
        </w:rPr>
        <w:t>8.5%</w:t>
      </w:r>
      <w:r w:rsidR="0014210E" w:rsidRPr="005F120D">
        <w:rPr>
          <w:rFonts w:asciiTheme="minorHAnsi" w:hAnsiTheme="minorHAnsi" w:cstheme="minorHAnsi"/>
        </w:rPr>
        <w:t>) teachers</w:t>
      </w:r>
      <w:r w:rsidR="00C4591B">
        <w:rPr>
          <w:rFonts w:asciiTheme="minorHAnsi" w:hAnsiTheme="minorHAnsi" w:cstheme="minorHAnsi"/>
        </w:rPr>
        <w:t xml:space="preserve"> </w:t>
      </w:r>
      <w:r w:rsidR="0014210E" w:rsidRPr="005F120D">
        <w:rPr>
          <w:rFonts w:asciiTheme="minorHAnsi" w:hAnsiTheme="minorHAnsi" w:cstheme="minorHAnsi"/>
        </w:rPr>
        <w:t xml:space="preserve">were </w:t>
      </w:r>
      <w:r w:rsidR="00960120" w:rsidRPr="005F120D">
        <w:rPr>
          <w:rFonts w:asciiTheme="minorHAnsi" w:hAnsiTheme="minorHAnsi" w:cstheme="minorHAnsi"/>
        </w:rPr>
        <w:t>under MoE managed schools;</w:t>
      </w:r>
      <w:r w:rsidR="0014210E" w:rsidRPr="005F120D">
        <w:rPr>
          <w:rFonts w:asciiTheme="minorHAnsi" w:hAnsiTheme="minorHAnsi" w:cstheme="minorHAnsi"/>
        </w:rPr>
        <w:t>118,306 (</w:t>
      </w:r>
      <w:r w:rsidR="00E22EB6" w:rsidRPr="005F120D">
        <w:rPr>
          <w:rFonts w:asciiTheme="minorHAnsi" w:hAnsiTheme="minorHAnsi" w:cstheme="minorHAnsi"/>
        </w:rPr>
        <w:t>22.4</w:t>
      </w:r>
      <w:r w:rsidR="00D75D19" w:rsidRPr="005F120D">
        <w:rPr>
          <w:rFonts w:asciiTheme="minorHAnsi" w:hAnsiTheme="minorHAnsi" w:cstheme="minorHAnsi"/>
        </w:rPr>
        <w:t>%</w:t>
      </w:r>
      <w:r w:rsidR="0014210E" w:rsidRPr="005F120D">
        <w:rPr>
          <w:rFonts w:asciiTheme="minorHAnsi" w:hAnsiTheme="minorHAnsi" w:cstheme="minorHAnsi"/>
        </w:rPr>
        <w:t>) teachers</w:t>
      </w:r>
      <w:r w:rsidR="00C4591B">
        <w:rPr>
          <w:rFonts w:asciiTheme="minorHAnsi" w:hAnsiTheme="minorHAnsi" w:cstheme="minorHAnsi"/>
        </w:rPr>
        <w:t xml:space="preserve"> </w:t>
      </w:r>
      <w:r w:rsidR="0014210E" w:rsidRPr="005F120D">
        <w:rPr>
          <w:rFonts w:asciiTheme="minorHAnsi" w:hAnsiTheme="minorHAnsi" w:cstheme="minorHAnsi"/>
        </w:rPr>
        <w:t xml:space="preserve">were </w:t>
      </w:r>
      <w:r w:rsidR="00960120" w:rsidRPr="005F120D">
        <w:rPr>
          <w:rFonts w:asciiTheme="minorHAnsi" w:hAnsiTheme="minorHAnsi" w:cstheme="minorHAnsi"/>
        </w:rPr>
        <w:t>under MoC managed schools;</w:t>
      </w:r>
      <w:r w:rsidR="0014210E" w:rsidRPr="005F120D">
        <w:rPr>
          <w:rFonts w:asciiTheme="minorHAnsi" w:hAnsiTheme="minorHAnsi" w:cstheme="minorHAnsi"/>
        </w:rPr>
        <w:t>22,778 (</w:t>
      </w:r>
      <w:r w:rsidR="004230E7" w:rsidRPr="005F120D">
        <w:rPr>
          <w:rFonts w:asciiTheme="minorHAnsi" w:hAnsiTheme="minorHAnsi" w:cstheme="minorHAnsi"/>
        </w:rPr>
        <w:t>4.3</w:t>
      </w:r>
      <w:r w:rsidR="00D75D19" w:rsidRPr="005F120D">
        <w:rPr>
          <w:rFonts w:asciiTheme="minorHAnsi" w:hAnsiTheme="minorHAnsi" w:cstheme="minorHAnsi"/>
        </w:rPr>
        <w:t>%</w:t>
      </w:r>
      <w:r w:rsidR="0014210E" w:rsidRPr="005F120D">
        <w:rPr>
          <w:rFonts w:asciiTheme="minorHAnsi" w:hAnsiTheme="minorHAnsi" w:cstheme="minorHAnsi"/>
        </w:rPr>
        <w:t>) teachers</w:t>
      </w:r>
      <w:r w:rsidR="00D75D19" w:rsidRPr="005F120D">
        <w:rPr>
          <w:rFonts w:asciiTheme="minorHAnsi" w:hAnsiTheme="minorHAnsi" w:cstheme="minorHAnsi"/>
        </w:rPr>
        <w:t xml:space="preserve"> under NGO Bureau managed schools/ learning </w:t>
      </w:r>
      <w:r w:rsidR="0089702D" w:rsidRPr="005F120D">
        <w:rPr>
          <w:rFonts w:asciiTheme="minorHAnsi" w:hAnsiTheme="minorHAnsi" w:cstheme="minorHAnsi"/>
        </w:rPr>
        <w:t>centre</w:t>
      </w:r>
      <w:r w:rsidR="00960120" w:rsidRPr="005F120D">
        <w:rPr>
          <w:rFonts w:asciiTheme="minorHAnsi" w:hAnsiTheme="minorHAnsi" w:cstheme="minorHAnsi"/>
        </w:rPr>
        <w:t>;</w:t>
      </w:r>
      <w:r w:rsidR="00D75D19" w:rsidRPr="005F120D">
        <w:rPr>
          <w:rFonts w:asciiTheme="minorHAnsi" w:hAnsiTheme="minorHAnsi" w:cstheme="minorHAnsi"/>
        </w:rPr>
        <w:t xml:space="preserve"> and </w:t>
      </w:r>
      <w:r w:rsidR="0014210E" w:rsidRPr="005F120D">
        <w:rPr>
          <w:rFonts w:asciiTheme="minorHAnsi" w:hAnsiTheme="minorHAnsi" w:cstheme="minorHAnsi"/>
        </w:rPr>
        <w:t>4,111 (</w:t>
      </w:r>
      <w:r w:rsidR="004230E7" w:rsidRPr="005F120D">
        <w:rPr>
          <w:rFonts w:asciiTheme="minorHAnsi" w:hAnsiTheme="minorHAnsi" w:cstheme="minorHAnsi"/>
        </w:rPr>
        <w:t>0.8</w:t>
      </w:r>
      <w:r w:rsidR="00D75D19" w:rsidRPr="005F120D">
        <w:rPr>
          <w:rFonts w:asciiTheme="minorHAnsi" w:hAnsiTheme="minorHAnsi" w:cstheme="minorHAnsi"/>
        </w:rPr>
        <w:t>%</w:t>
      </w:r>
      <w:r w:rsidR="0014210E" w:rsidRPr="005F120D">
        <w:rPr>
          <w:rFonts w:asciiTheme="minorHAnsi" w:hAnsiTheme="minorHAnsi" w:cstheme="minorHAnsi"/>
        </w:rPr>
        <w:t>)</w:t>
      </w:r>
      <w:r w:rsidR="00C2588B" w:rsidRPr="005F120D">
        <w:rPr>
          <w:rFonts w:asciiTheme="minorHAnsi" w:hAnsiTheme="minorHAnsi" w:cstheme="minorHAnsi"/>
        </w:rPr>
        <w:t>were</w:t>
      </w:r>
      <w:r w:rsidR="00D75D19" w:rsidRPr="005F120D">
        <w:rPr>
          <w:rFonts w:asciiTheme="minorHAnsi" w:hAnsiTheme="minorHAnsi" w:cstheme="minorHAnsi"/>
        </w:rPr>
        <w:t xml:space="preserve"> under the other types of schools managed by different agencies (Figure 1.4 below)</w:t>
      </w:r>
      <w:r w:rsidR="0048435E" w:rsidRPr="005F120D">
        <w:rPr>
          <w:rFonts w:asciiTheme="minorHAnsi" w:hAnsiTheme="minorHAnsi" w:cstheme="minorHAnsi"/>
        </w:rPr>
        <w:t>.</w:t>
      </w:r>
    </w:p>
    <w:p w:rsidR="00960120" w:rsidRPr="005F120D" w:rsidRDefault="00960120" w:rsidP="00C437AA">
      <w:pPr>
        <w:pStyle w:val="Caption"/>
        <w:spacing w:before="120" w:line="276" w:lineRule="auto"/>
        <w:rPr>
          <w:rFonts w:cstheme="minorHAnsi"/>
        </w:rPr>
      </w:pPr>
    </w:p>
    <w:p w:rsidR="008738A0" w:rsidRPr="005F120D" w:rsidRDefault="008738A0" w:rsidP="00C437AA">
      <w:pPr>
        <w:pStyle w:val="Caption"/>
        <w:spacing w:before="120" w:line="276" w:lineRule="auto"/>
        <w:rPr>
          <w:rFonts w:cstheme="minorHAnsi"/>
        </w:rPr>
      </w:pPr>
      <w:bookmarkStart w:id="38" w:name="_Toc462837405"/>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Pr="005F120D">
        <w:rPr>
          <w:rFonts w:cstheme="minorHAnsi"/>
        </w:rPr>
        <w:t xml:space="preserve">: </w:t>
      </w:r>
      <w:r w:rsidR="00CF07A4" w:rsidRPr="005F120D">
        <w:rPr>
          <w:rFonts w:cstheme="minorHAnsi"/>
        </w:rPr>
        <w:t>Percentage</w:t>
      </w:r>
      <w:r w:rsidRPr="005F120D">
        <w:rPr>
          <w:rFonts w:cstheme="minorHAnsi"/>
        </w:rPr>
        <w:t xml:space="preserve"> of Primary Level Teachers Managed by GoB Ministries 2015</w:t>
      </w:r>
      <w:bookmarkEnd w:id="38"/>
    </w:p>
    <w:p w:rsidR="00EC5772" w:rsidRPr="005F120D" w:rsidRDefault="008738A0" w:rsidP="00C437AA">
      <w:pPr>
        <w:spacing w:before="40" w:after="40" w:line="276" w:lineRule="auto"/>
        <w:ind w:left="86"/>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4920035" cy="2771858"/>
            <wp:effectExtent l="38100" t="19050" r="13915" b="9442"/>
            <wp:docPr id="114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6E02" w:rsidRPr="005F120D" w:rsidRDefault="00D36E02" w:rsidP="00C437AA">
      <w:pPr>
        <w:spacing w:before="40" w:after="40" w:line="276" w:lineRule="auto"/>
        <w:ind w:left="86"/>
        <w:rPr>
          <w:rFonts w:asciiTheme="minorHAnsi" w:hAnsiTheme="minorHAnsi" w:cstheme="minorHAnsi"/>
        </w:rPr>
      </w:pPr>
      <w:r w:rsidRPr="005F120D">
        <w:rPr>
          <w:rFonts w:asciiTheme="minorHAnsi" w:hAnsiTheme="minorHAnsi" w:cstheme="minorHAnsi"/>
          <w:b/>
          <w:i/>
          <w:sz w:val="16"/>
          <w:szCs w:val="16"/>
        </w:rPr>
        <w:t xml:space="preserve">               Source: APSC 2015</w:t>
      </w:r>
    </w:p>
    <w:p w:rsidR="00CD331B" w:rsidRPr="005F120D" w:rsidRDefault="00C16941" w:rsidP="00C437AA">
      <w:pPr>
        <w:spacing w:before="240" w:line="276" w:lineRule="auto"/>
        <w:jc w:val="both"/>
        <w:rPr>
          <w:rFonts w:asciiTheme="minorHAnsi" w:hAnsiTheme="minorHAnsi" w:cstheme="minorHAnsi"/>
          <w:b/>
          <w:color w:val="008000"/>
        </w:rPr>
      </w:pPr>
      <w:r w:rsidRPr="005F120D">
        <w:rPr>
          <w:rFonts w:asciiTheme="minorHAnsi" w:hAnsiTheme="minorHAnsi" w:cstheme="minorHAnsi"/>
          <w:b/>
          <w:i/>
          <w:color w:val="008000"/>
        </w:rPr>
        <w:t xml:space="preserve">Share of </w:t>
      </w:r>
      <w:r w:rsidR="00C4591B" w:rsidRPr="005F120D">
        <w:rPr>
          <w:rFonts w:asciiTheme="minorHAnsi" w:hAnsiTheme="minorHAnsi" w:cstheme="minorHAnsi"/>
          <w:b/>
          <w:i/>
          <w:color w:val="008000"/>
        </w:rPr>
        <w:t>students:</w:t>
      </w:r>
      <w:r w:rsidR="00C4591B" w:rsidRPr="005F120D">
        <w:rPr>
          <w:rFonts w:asciiTheme="minorHAnsi" w:hAnsiTheme="minorHAnsi" w:cstheme="minorHAnsi"/>
          <w:color w:val="000000"/>
        </w:rPr>
        <w:t xml:space="preserve"> In</w:t>
      </w:r>
      <w:r w:rsidR="00C2588B" w:rsidRPr="005F120D">
        <w:rPr>
          <w:rFonts w:asciiTheme="minorHAnsi" w:hAnsiTheme="minorHAnsi" w:cstheme="minorHAnsi"/>
          <w:color w:val="000000"/>
        </w:rPr>
        <w:t xml:space="preserve"> 2015,</w:t>
      </w:r>
      <w:r w:rsidR="00E67C75" w:rsidRPr="005F120D">
        <w:rPr>
          <w:rFonts w:asciiTheme="minorHAnsi" w:hAnsiTheme="minorHAnsi" w:cstheme="minorHAnsi"/>
        </w:rPr>
        <w:t>14,312,281 (</w:t>
      </w:r>
      <w:r w:rsidR="00A07035" w:rsidRPr="005F120D">
        <w:rPr>
          <w:rFonts w:asciiTheme="minorHAnsi" w:hAnsiTheme="minorHAnsi" w:cstheme="minorHAnsi"/>
        </w:rPr>
        <w:t>75.1</w:t>
      </w:r>
      <w:r w:rsidR="00C2588B" w:rsidRPr="005F120D">
        <w:rPr>
          <w:rFonts w:asciiTheme="minorHAnsi" w:hAnsiTheme="minorHAnsi" w:cstheme="minorHAnsi"/>
        </w:rPr>
        <w:t>%</w:t>
      </w:r>
      <w:r w:rsidR="00E67C75" w:rsidRPr="005F120D">
        <w:rPr>
          <w:rFonts w:asciiTheme="minorHAnsi" w:hAnsiTheme="minorHAnsi" w:cstheme="minorHAnsi"/>
        </w:rPr>
        <w:t>)</w:t>
      </w:r>
      <w:r w:rsidR="00C2588B" w:rsidRPr="005F120D">
        <w:rPr>
          <w:rFonts w:asciiTheme="minorHAnsi" w:hAnsiTheme="minorHAnsi" w:cstheme="minorHAnsi"/>
        </w:rPr>
        <w:t>student</w:t>
      </w:r>
      <w:r w:rsidR="00960120" w:rsidRPr="005F120D">
        <w:rPr>
          <w:rFonts w:asciiTheme="minorHAnsi" w:hAnsiTheme="minorHAnsi" w:cstheme="minorHAnsi"/>
        </w:rPr>
        <w:t>s were in MoPME managed schools;</w:t>
      </w:r>
      <w:r w:rsidR="00E67C75" w:rsidRPr="005F120D">
        <w:rPr>
          <w:rFonts w:asciiTheme="minorHAnsi" w:hAnsiTheme="minorHAnsi" w:cstheme="minorHAnsi"/>
        </w:rPr>
        <w:t>1,782,202 (</w:t>
      </w:r>
      <w:r w:rsidR="00A07035" w:rsidRPr="005F120D">
        <w:rPr>
          <w:rFonts w:asciiTheme="minorHAnsi" w:hAnsiTheme="minorHAnsi" w:cstheme="minorHAnsi"/>
        </w:rPr>
        <w:t>9.3%</w:t>
      </w:r>
      <w:r w:rsidR="00E67C75" w:rsidRPr="005F120D">
        <w:rPr>
          <w:rFonts w:asciiTheme="minorHAnsi" w:hAnsiTheme="minorHAnsi" w:cstheme="minorHAnsi"/>
        </w:rPr>
        <w:t>)</w:t>
      </w:r>
      <w:r w:rsidR="004230E7" w:rsidRPr="005F120D">
        <w:rPr>
          <w:rFonts w:asciiTheme="minorHAnsi" w:hAnsiTheme="minorHAnsi" w:cstheme="minorHAnsi"/>
        </w:rPr>
        <w:t xml:space="preserve">students </w:t>
      </w:r>
      <w:r w:rsidR="00960120" w:rsidRPr="005F120D">
        <w:rPr>
          <w:rFonts w:asciiTheme="minorHAnsi" w:hAnsiTheme="minorHAnsi" w:cstheme="minorHAnsi"/>
        </w:rPr>
        <w:t>in MoE managed schools;</w:t>
      </w:r>
      <w:r w:rsidR="007C0F87" w:rsidRPr="005F120D">
        <w:rPr>
          <w:rFonts w:asciiTheme="minorHAnsi" w:hAnsiTheme="minorHAnsi" w:cstheme="minorHAnsi"/>
        </w:rPr>
        <w:t>2,286,041</w:t>
      </w:r>
      <w:r w:rsidR="00E67C75" w:rsidRPr="005F120D">
        <w:rPr>
          <w:rFonts w:asciiTheme="minorHAnsi" w:hAnsiTheme="minorHAnsi" w:cstheme="minorHAnsi"/>
        </w:rPr>
        <w:t xml:space="preserve"> (</w:t>
      </w:r>
      <w:r w:rsidR="00A07035" w:rsidRPr="005F120D">
        <w:rPr>
          <w:rFonts w:asciiTheme="minorHAnsi" w:hAnsiTheme="minorHAnsi" w:cstheme="minorHAnsi"/>
        </w:rPr>
        <w:t>12%</w:t>
      </w:r>
      <w:r w:rsidR="00E67C75" w:rsidRPr="005F120D">
        <w:rPr>
          <w:rFonts w:asciiTheme="minorHAnsi" w:hAnsiTheme="minorHAnsi" w:cstheme="minorHAnsi"/>
        </w:rPr>
        <w:t>)</w:t>
      </w:r>
      <w:r w:rsidR="007C0F87" w:rsidRPr="005F120D">
        <w:rPr>
          <w:rFonts w:asciiTheme="minorHAnsi" w:hAnsiTheme="minorHAnsi" w:cstheme="minorHAnsi"/>
        </w:rPr>
        <w:t xml:space="preserve">students </w:t>
      </w:r>
      <w:r w:rsidR="00960120" w:rsidRPr="005F120D">
        <w:rPr>
          <w:rFonts w:asciiTheme="minorHAnsi" w:hAnsiTheme="minorHAnsi" w:cstheme="minorHAnsi"/>
        </w:rPr>
        <w:t>in MoC managed schools;</w:t>
      </w:r>
      <w:r w:rsidR="007C0F87" w:rsidRPr="005F120D">
        <w:rPr>
          <w:rFonts w:asciiTheme="minorHAnsi" w:hAnsiTheme="minorHAnsi" w:cstheme="minorHAnsi"/>
        </w:rPr>
        <w:t>635,553 (3.3</w:t>
      </w:r>
      <w:r w:rsidR="00C2588B" w:rsidRPr="005F120D">
        <w:rPr>
          <w:rFonts w:asciiTheme="minorHAnsi" w:hAnsiTheme="minorHAnsi" w:cstheme="minorHAnsi"/>
        </w:rPr>
        <w:t>%</w:t>
      </w:r>
      <w:r w:rsidR="007C0F87" w:rsidRPr="005F120D">
        <w:rPr>
          <w:rFonts w:asciiTheme="minorHAnsi" w:hAnsiTheme="minorHAnsi" w:cstheme="minorHAnsi"/>
        </w:rPr>
        <w:t>)</w:t>
      </w:r>
      <w:r w:rsidR="00C2588B" w:rsidRPr="005F120D">
        <w:rPr>
          <w:rFonts w:asciiTheme="minorHAnsi" w:hAnsiTheme="minorHAnsi" w:cstheme="minorHAnsi"/>
        </w:rPr>
        <w:t xml:space="preserve"> in NGO Bureau-managed schools/ learning </w:t>
      </w:r>
      <w:r w:rsidR="0089702D" w:rsidRPr="005F120D">
        <w:rPr>
          <w:rFonts w:asciiTheme="minorHAnsi" w:hAnsiTheme="minorHAnsi" w:cstheme="minorHAnsi"/>
        </w:rPr>
        <w:t>centre</w:t>
      </w:r>
      <w:r w:rsidR="00960120" w:rsidRPr="005F120D">
        <w:rPr>
          <w:rFonts w:asciiTheme="minorHAnsi" w:hAnsiTheme="minorHAnsi" w:cstheme="minorHAnsi"/>
        </w:rPr>
        <w:t>;</w:t>
      </w:r>
      <w:r w:rsidR="00A07035" w:rsidRPr="005F120D">
        <w:rPr>
          <w:rFonts w:asciiTheme="minorHAnsi" w:hAnsiTheme="minorHAnsi" w:cstheme="minorHAnsi"/>
        </w:rPr>
        <w:t xml:space="preserve"> and </w:t>
      </w:r>
      <w:r w:rsidR="007C0F87" w:rsidRPr="005F120D">
        <w:rPr>
          <w:rFonts w:asciiTheme="minorHAnsi" w:hAnsiTheme="minorHAnsi" w:cstheme="minorHAnsi"/>
        </w:rPr>
        <w:t>51,684 (0.3</w:t>
      </w:r>
      <w:r w:rsidR="00C2588B" w:rsidRPr="005F120D">
        <w:rPr>
          <w:rFonts w:asciiTheme="minorHAnsi" w:hAnsiTheme="minorHAnsi" w:cstheme="minorHAnsi"/>
        </w:rPr>
        <w:t>%</w:t>
      </w:r>
      <w:r w:rsidR="007C0F87" w:rsidRPr="005F120D">
        <w:rPr>
          <w:rFonts w:asciiTheme="minorHAnsi" w:hAnsiTheme="minorHAnsi" w:cstheme="minorHAnsi"/>
        </w:rPr>
        <w:t xml:space="preserve">)students </w:t>
      </w:r>
      <w:r w:rsidR="00C2588B" w:rsidRPr="005F120D">
        <w:rPr>
          <w:rFonts w:asciiTheme="minorHAnsi" w:hAnsiTheme="minorHAnsi" w:cstheme="minorHAnsi"/>
        </w:rPr>
        <w:t>in other types of schools managed by different agencies (Figure 1.5)</w:t>
      </w:r>
      <w:r w:rsidR="00960120" w:rsidRPr="005F120D">
        <w:rPr>
          <w:rFonts w:asciiTheme="minorHAnsi" w:hAnsiTheme="minorHAnsi" w:cstheme="minorHAnsi"/>
        </w:rPr>
        <w:t>.</w:t>
      </w:r>
    </w:p>
    <w:p w:rsidR="00194032" w:rsidRPr="005F120D" w:rsidRDefault="00194032" w:rsidP="00C437AA">
      <w:pPr>
        <w:pStyle w:val="Caption"/>
        <w:spacing w:before="240" w:line="276" w:lineRule="auto"/>
        <w:rPr>
          <w:rFonts w:cstheme="minorHAnsi"/>
        </w:rPr>
      </w:pPr>
      <w:bookmarkStart w:id="39" w:name="_Toc462837406"/>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5</w:t>
      </w:r>
      <w:r w:rsidR="002E2ED5" w:rsidRPr="005F120D">
        <w:rPr>
          <w:rFonts w:cstheme="minorHAnsi"/>
        </w:rPr>
        <w:fldChar w:fldCharType="end"/>
      </w:r>
      <w:r w:rsidRPr="005F120D">
        <w:rPr>
          <w:rFonts w:cstheme="minorHAnsi"/>
        </w:rPr>
        <w:t xml:space="preserve">: </w:t>
      </w:r>
      <w:r w:rsidR="00CF07A4" w:rsidRPr="005F120D">
        <w:rPr>
          <w:rFonts w:cstheme="minorHAnsi"/>
        </w:rPr>
        <w:t>Percentage</w:t>
      </w:r>
      <w:r w:rsidRPr="005F120D">
        <w:rPr>
          <w:rFonts w:cstheme="minorHAnsi"/>
        </w:rPr>
        <w:t xml:space="preserve"> of Students Managed by GoB Ministries 2015</w:t>
      </w:r>
      <w:bookmarkEnd w:id="39"/>
    </w:p>
    <w:p w:rsidR="00194032" w:rsidRPr="005F120D" w:rsidRDefault="00CF07A4" w:rsidP="00C437AA">
      <w:pPr>
        <w:spacing w:before="40" w:after="40" w:line="276" w:lineRule="auto"/>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5057140" cy="2779809"/>
            <wp:effectExtent l="38100" t="19050" r="10160" b="1491"/>
            <wp:docPr id="114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587C" w:rsidRPr="005F120D" w:rsidRDefault="001E587C" w:rsidP="00C437AA">
      <w:pPr>
        <w:spacing w:before="40" w:after="40" w:line="276" w:lineRule="auto"/>
        <w:rPr>
          <w:rFonts w:asciiTheme="minorHAnsi" w:hAnsiTheme="minorHAnsi" w:cstheme="minorHAnsi"/>
          <w:b/>
          <w:i/>
          <w:sz w:val="16"/>
          <w:szCs w:val="16"/>
        </w:rPr>
      </w:pPr>
      <w:r w:rsidRPr="005F120D">
        <w:rPr>
          <w:rFonts w:asciiTheme="minorHAnsi" w:hAnsiTheme="minorHAnsi" w:cstheme="minorHAnsi"/>
          <w:b/>
          <w:i/>
          <w:sz w:val="16"/>
          <w:szCs w:val="16"/>
        </w:rPr>
        <w:t xml:space="preserve">              Source: APSC 2015</w:t>
      </w:r>
    </w:p>
    <w:p w:rsidR="00CD4AEF" w:rsidRPr="005F120D" w:rsidRDefault="00CD4AEF" w:rsidP="00C437AA">
      <w:pPr>
        <w:spacing w:before="40" w:after="40" w:line="276" w:lineRule="auto"/>
        <w:rPr>
          <w:rFonts w:asciiTheme="minorHAnsi" w:hAnsiTheme="minorHAnsi" w:cstheme="minorHAnsi"/>
          <w:b/>
          <w:i/>
          <w:sz w:val="16"/>
          <w:szCs w:val="16"/>
        </w:rPr>
      </w:pPr>
    </w:p>
    <w:p w:rsidR="00CD4AEF" w:rsidRPr="005F120D" w:rsidRDefault="00CD4AEF" w:rsidP="00C437AA">
      <w:pPr>
        <w:spacing w:before="40" w:after="40" w:line="276" w:lineRule="auto"/>
        <w:rPr>
          <w:rFonts w:asciiTheme="minorHAnsi" w:hAnsiTheme="minorHAnsi" w:cstheme="minorHAnsi"/>
        </w:rPr>
      </w:pPr>
    </w:p>
    <w:p w:rsidR="00AD17D6" w:rsidRPr="005F120D" w:rsidRDefault="00AD17D6" w:rsidP="004E77B3">
      <w:pPr>
        <w:pStyle w:val="Heading3"/>
      </w:pPr>
      <w:r w:rsidRPr="005F120D">
        <w:lastRenderedPageBreak/>
        <w:t xml:space="preserve">Non Formal Schools / Learning </w:t>
      </w:r>
      <w:r w:rsidR="006A39FB" w:rsidRPr="005F120D">
        <w:t>Centers</w:t>
      </w:r>
    </w:p>
    <w:p w:rsidR="008C34E1" w:rsidRPr="005F120D" w:rsidRDefault="000C1705" w:rsidP="00DC3839">
      <w:pPr>
        <w:spacing w:before="240" w:line="276" w:lineRule="auto"/>
        <w:jc w:val="both"/>
        <w:rPr>
          <w:rFonts w:asciiTheme="minorHAnsi" w:hAnsiTheme="minorHAnsi" w:cstheme="minorHAnsi"/>
        </w:rPr>
      </w:pPr>
      <w:bookmarkStart w:id="40" w:name="_Ref385934196"/>
      <w:r w:rsidRPr="005F120D">
        <w:rPr>
          <w:rFonts w:asciiTheme="minorHAnsi" w:hAnsiTheme="minorHAnsi" w:cstheme="minorHAnsi"/>
        </w:rPr>
        <w:t xml:space="preserve">There is a wide range of </w:t>
      </w:r>
      <w:r w:rsidRPr="005F120D">
        <w:rPr>
          <w:rFonts w:asciiTheme="minorHAnsi" w:hAnsiTheme="minorHAnsi" w:cstheme="minorHAnsi"/>
          <w:bCs/>
        </w:rPr>
        <w:t>non-formal</w:t>
      </w:r>
      <w:r w:rsidRPr="005F120D">
        <w:rPr>
          <w:rFonts w:asciiTheme="minorHAnsi" w:hAnsiTheme="minorHAnsi" w:cstheme="minorHAnsi"/>
        </w:rPr>
        <w:t xml:space="preserve"> institutes in Bangladesh</w:t>
      </w:r>
      <w:r w:rsidR="008C34E1" w:rsidRPr="005F120D">
        <w:rPr>
          <w:rFonts w:asciiTheme="minorHAnsi" w:hAnsiTheme="minorHAnsi" w:cstheme="minorHAnsi"/>
        </w:rPr>
        <w:t xml:space="preserve"> operating the following education program:</w:t>
      </w:r>
    </w:p>
    <w:p w:rsidR="008C34E1" w:rsidRPr="005F120D" w:rsidRDefault="008C34E1" w:rsidP="00960BD5">
      <w:pPr>
        <w:pStyle w:val="ListParagraph"/>
        <w:numPr>
          <w:ilvl w:val="0"/>
          <w:numId w:val="131"/>
        </w:numPr>
        <w:spacing w:before="240" w:line="276" w:lineRule="auto"/>
        <w:jc w:val="both"/>
        <w:rPr>
          <w:rFonts w:asciiTheme="minorHAnsi" w:hAnsiTheme="minorHAnsi" w:cstheme="minorHAnsi"/>
        </w:rPr>
      </w:pPr>
      <w:r w:rsidRPr="005F120D">
        <w:rPr>
          <w:rFonts w:asciiTheme="minorHAnsi" w:hAnsiTheme="minorHAnsi" w:cstheme="minorHAnsi"/>
        </w:rPr>
        <w:t>Early Childhood Care and Education, including Parenting, Early Child Development and Pre-Primary Education;</w:t>
      </w:r>
    </w:p>
    <w:p w:rsidR="008C34E1" w:rsidRPr="005F120D" w:rsidRDefault="008C34E1" w:rsidP="00960BD5">
      <w:pPr>
        <w:pStyle w:val="ListParagraph"/>
        <w:numPr>
          <w:ilvl w:val="0"/>
          <w:numId w:val="131"/>
        </w:numPr>
        <w:spacing w:before="240" w:line="276" w:lineRule="auto"/>
        <w:jc w:val="both"/>
        <w:rPr>
          <w:rFonts w:asciiTheme="minorHAnsi" w:hAnsiTheme="minorHAnsi" w:cstheme="minorHAnsi"/>
        </w:rPr>
      </w:pPr>
      <w:r w:rsidRPr="005F120D">
        <w:rPr>
          <w:rFonts w:asciiTheme="minorHAnsi" w:hAnsiTheme="minorHAnsi" w:cstheme="minorHAnsi"/>
        </w:rPr>
        <w:t>Non-Formal Primary Education;</w:t>
      </w:r>
    </w:p>
    <w:p w:rsidR="008C34E1" w:rsidRPr="005F120D" w:rsidRDefault="008C34E1" w:rsidP="00960BD5">
      <w:pPr>
        <w:pStyle w:val="ListParagraph"/>
        <w:numPr>
          <w:ilvl w:val="0"/>
          <w:numId w:val="131"/>
        </w:numPr>
        <w:spacing w:before="240" w:line="276" w:lineRule="auto"/>
        <w:jc w:val="both"/>
        <w:rPr>
          <w:rFonts w:asciiTheme="minorHAnsi" w:hAnsiTheme="minorHAnsi" w:cstheme="minorHAnsi"/>
        </w:rPr>
      </w:pPr>
      <w:r w:rsidRPr="005F120D">
        <w:rPr>
          <w:rFonts w:asciiTheme="minorHAnsi" w:hAnsiTheme="minorHAnsi" w:cstheme="minorHAnsi"/>
        </w:rPr>
        <w:t>Adolescent Literacy Program;</w:t>
      </w:r>
    </w:p>
    <w:p w:rsidR="008C34E1" w:rsidRPr="005F120D" w:rsidRDefault="008C34E1" w:rsidP="00960BD5">
      <w:pPr>
        <w:pStyle w:val="ListParagraph"/>
        <w:numPr>
          <w:ilvl w:val="0"/>
          <w:numId w:val="131"/>
        </w:numPr>
        <w:spacing w:before="240" w:line="276" w:lineRule="auto"/>
        <w:jc w:val="both"/>
        <w:rPr>
          <w:rFonts w:asciiTheme="minorHAnsi" w:hAnsiTheme="minorHAnsi" w:cstheme="minorHAnsi"/>
        </w:rPr>
      </w:pPr>
      <w:r w:rsidRPr="005F120D">
        <w:rPr>
          <w:rFonts w:asciiTheme="minorHAnsi" w:hAnsiTheme="minorHAnsi" w:cstheme="minorHAnsi"/>
        </w:rPr>
        <w:t>Adult Literacy Program; and</w:t>
      </w:r>
    </w:p>
    <w:p w:rsidR="008C34E1" w:rsidRPr="005F120D" w:rsidRDefault="008C34E1" w:rsidP="00960BD5">
      <w:pPr>
        <w:pStyle w:val="ListParagraph"/>
        <w:numPr>
          <w:ilvl w:val="0"/>
          <w:numId w:val="131"/>
        </w:numPr>
        <w:spacing w:before="240" w:line="276" w:lineRule="auto"/>
        <w:jc w:val="both"/>
        <w:rPr>
          <w:rFonts w:asciiTheme="minorHAnsi" w:hAnsiTheme="minorHAnsi" w:cstheme="minorHAnsi"/>
        </w:rPr>
      </w:pPr>
      <w:r w:rsidRPr="005F120D">
        <w:rPr>
          <w:rFonts w:asciiTheme="minorHAnsi" w:hAnsiTheme="minorHAnsi" w:cstheme="minorHAnsi"/>
        </w:rPr>
        <w:t>Continuing Education Programs like Post literacy etc.</w:t>
      </w:r>
    </w:p>
    <w:p w:rsidR="000C1705" w:rsidRPr="005F120D" w:rsidRDefault="00283349" w:rsidP="00DC3839">
      <w:pPr>
        <w:spacing w:before="240" w:line="276" w:lineRule="auto"/>
        <w:jc w:val="both"/>
        <w:rPr>
          <w:rFonts w:asciiTheme="minorHAnsi" w:hAnsiTheme="minorHAnsi" w:cstheme="minorHAnsi"/>
        </w:rPr>
      </w:pPr>
      <w:r w:rsidRPr="005F120D">
        <w:rPr>
          <w:rFonts w:asciiTheme="minorHAnsi" w:hAnsiTheme="minorHAnsi" w:cstheme="minorHAnsi"/>
        </w:rPr>
        <w:t xml:space="preserve">The report on </w:t>
      </w:r>
      <w:r w:rsidR="00FD3EAF" w:rsidRPr="005F120D">
        <w:rPr>
          <w:rFonts w:asciiTheme="minorHAnsi" w:hAnsiTheme="minorHAnsi" w:cstheme="minorHAnsi"/>
        </w:rPr>
        <w:t>Mapping of Non-Formal Education</w:t>
      </w:r>
      <w:r w:rsidRPr="005F120D">
        <w:rPr>
          <w:rFonts w:asciiTheme="minorHAnsi" w:hAnsiTheme="minorHAnsi" w:cstheme="minorHAnsi"/>
        </w:rPr>
        <w:t xml:space="preserve"> Activities in Bangladesh was</w:t>
      </w:r>
      <w:r w:rsidR="00FD3EAF" w:rsidRPr="005F120D">
        <w:rPr>
          <w:rFonts w:asciiTheme="minorHAnsi" w:hAnsiTheme="minorHAnsi" w:cstheme="minorHAnsi"/>
        </w:rPr>
        <w:t xml:space="preserve"> published in April 2009</w:t>
      </w:r>
      <w:r w:rsidRPr="005F120D">
        <w:rPr>
          <w:rFonts w:asciiTheme="minorHAnsi" w:hAnsiTheme="minorHAnsi" w:cstheme="minorHAnsi"/>
        </w:rPr>
        <w:t xml:space="preserve">. It </w:t>
      </w:r>
      <w:r w:rsidR="00FD3EAF" w:rsidRPr="005F120D">
        <w:rPr>
          <w:rFonts w:asciiTheme="minorHAnsi" w:hAnsiTheme="minorHAnsi" w:cstheme="minorHAnsi"/>
        </w:rPr>
        <w:t>stated that 742 organizations</w:t>
      </w:r>
      <w:r w:rsidRPr="005F120D">
        <w:rPr>
          <w:rFonts w:asciiTheme="minorHAnsi" w:hAnsiTheme="minorHAnsi" w:cstheme="minorHAnsi"/>
        </w:rPr>
        <w:t xml:space="preserve"> were</w:t>
      </w:r>
      <w:r w:rsidR="00FD3EAF" w:rsidRPr="005F120D">
        <w:rPr>
          <w:rFonts w:asciiTheme="minorHAnsi" w:hAnsiTheme="minorHAnsi" w:cstheme="minorHAnsi"/>
        </w:rPr>
        <w:t xml:space="preserve"> running more than 10 NFE LCs</w:t>
      </w:r>
      <w:r w:rsidR="00F47AE9" w:rsidRPr="005F120D">
        <w:rPr>
          <w:rFonts w:asciiTheme="minorHAnsi" w:hAnsiTheme="minorHAnsi" w:cstheme="minorHAnsi"/>
        </w:rPr>
        <w:t xml:space="preserve"> to cover </w:t>
      </w:r>
      <w:r w:rsidR="00AF5E9E" w:rsidRPr="005F120D">
        <w:rPr>
          <w:rFonts w:asciiTheme="minorHAnsi" w:hAnsiTheme="minorHAnsi" w:cstheme="minorHAnsi"/>
        </w:rPr>
        <w:t xml:space="preserve">the </w:t>
      </w:r>
      <w:r w:rsidR="00F47AE9" w:rsidRPr="005F120D">
        <w:rPr>
          <w:rFonts w:asciiTheme="minorHAnsi" w:hAnsiTheme="minorHAnsi" w:cstheme="minorHAnsi"/>
        </w:rPr>
        <w:t>above</w:t>
      </w:r>
      <w:r w:rsidR="00AF5E9E" w:rsidRPr="005F120D">
        <w:rPr>
          <w:rFonts w:asciiTheme="minorHAnsi" w:hAnsiTheme="minorHAnsi" w:cstheme="minorHAnsi"/>
        </w:rPr>
        <w:t xml:space="preserve"> educational program, which included Grade 1 or Grade 1-2, or 1-3</w:t>
      </w:r>
      <w:r w:rsidR="000C1705" w:rsidRPr="005F120D">
        <w:rPr>
          <w:rFonts w:asciiTheme="minorHAnsi" w:hAnsiTheme="minorHAnsi" w:cstheme="minorHAnsi"/>
        </w:rPr>
        <w:t xml:space="preserve"> or fully-fledged primary </w:t>
      </w:r>
      <w:r w:rsidR="00F47AE9" w:rsidRPr="005F120D">
        <w:rPr>
          <w:rFonts w:asciiTheme="minorHAnsi" w:hAnsiTheme="minorHAnsi" w:cstheme="minorHAnsi"/>
        </w:rPr>
        <w:t>schools</w:t>
      </w:r>
      <w:r w:rsidR="000C1705" w:rsidRPr="005F120D">
        <w:rPr>
          <w:rFonts w:asciiTheme="minorHAnsi" w:hAnsiTheme="minorHAnsi" w:cstheme="minorHAnsi"/>
        </w:rPr>
        <w:t xml:space="preserve">.  </w:t>
      </w:r>
      <w:r w:rsidR="00BA3311" w:rsidRPr="005F120D">
        <w:rPr>
          <w:rFonts w:asciiTheme="minorHAnsi" w:hAnsiTheme="minorHAnsi" w:cstheme="minorHAnsi"/>
        </w:rPr>
        <w:t xml:space="preserve">The NFE programs covered 5.5 million learners, of which 40% were within </w:t>
      </w:r>
      <w:r w:rsidR="00AF5E9E" w:rsidRPr="005F120D">
        <w:rPr>
          <w:rFonts w:asciiTheme="minorHAnsi" w:hAnsiTheme="minorHAnsi" w:cstheme="minorHAnsi"/>
        </w:rPr>
        <w:t xml:space="preserve">the </w:t>
      </w:r>
      <w:r w:rsidR="00960120" w:rsidRPr="005F120D">
        <w:rPr>
          <w:rFonts w:asciiTheme="minorHAnsi" w:hAnsiTheme="minorHAnsi" w:cstheme="minorHAnsi"/>
        </w:rPr>
        <w:t>ECCD program;</w:t>
      </w:r>
      <w:r w:rsidR="00BA3311" w:rsidRPr="005F120D">
        <w:rPr>
          <w:rFonts w:asciiTheme="minorHAnsi" w:hAnsiTheme="minorHAnsi" w:cstheme="minorHAnsi"/>
        </w:rPr>
        <w:t xml:space="preserve"> 34% were basic education program</w:t>
      </w:r>
      <w:r w:rsidR="00AF5E9E" w:rsidRPr="005F120D">
        <w:rPr>
          <w:rFonts w:asciiTheme="minorHAnsi" w:hAnsiTheme="minorHAnsi" w:cstheme="minorHAnsi"/>
        </w:rPr>
        <w:t>s</w:t>
      </w:r>
      <w:r w:rsidR="00960120" w:rsidRPr="005F120D">
        <w:rPr>
          <w:rFonts w:asciiTheme="minorHAnsi" w:hAnsiTheme="minorHAnsi" w:cstheme="minorHAnsi"/>
        </w:rPr>
        <w:t>;</w:t>
      </w:r>
      <w:r w:rsidR="00BA3311" w:rsidRPr="005F120D">
        <w:rPr>
          <w:rFonts w:asciiTheme="minorHAnsi" w:hAnsiTheme="minorHAnsi" w:cstheme="minorHAnsi"/>
        </w:rPr>
        <w:t xml:space="preserve"> and 26% were continuing education program</w:t>
      </w:r>
      <w:r w:rsidR="00AF5E9E" w:rsidRPr="005F120D">
        <w:rPr>
          <w:rFonts w:asciiTheme="minorHAnsi" w:hAnsiTheme="minorHAnsi" w:cstheme="minorHAnsi"/>
        </w:rPr>
        <w:t>s</w:t>
      </w:r>
      <w:r w:rsidR="00BA3311" w:rsidRPr="005F120D">
        <w:rPr>
          <w:rFonts w:asciiTheme="minorHAnsi" w:hAnsiTheme="minorHAnsi" w:cstheme="minorHAnsi"/>
        </w:rPr>
        <w:t xml:space="preserve">. </w:t>
      </w:r>
      <w:r w:rsidR="000C1705" w:rsidRPr="005F120D">
        <w:rPr>
          <w:rFonts w:asciiTheme="minorHAnsi" w:hAnsiTheme="minorHAnsi" w:cstheme="minorHAnsi"/>
        </w:rPr>
        <w:t xml:space="preserve">Many of these non-formal centers focus on assisting children from disadvantaged areas or groups to integrate into the formal school </w:t>
      </w:r>
      <w:r w:rsidR="00AF5E9E" w:rsidRPr="005F120D">
        <w:rPr>
          <w:rFonts w:asciiTheme="minorHAnsi" w:hAnsiTheme="minorHAnsi" w:cstheme="minorHAnsi"/>
        </w:rPr>
        <w:t>system from Grade 3 onwards</w:t>
      </w:r>
      <w:r w:rsidR="000C1705" w:rsidRPr="005F120D">
        <w:rPr>
          <w:rFonts w:asciiTheme="minorHAnsi" w:hAnsiTheme="minorHAnsi" w:cstheme="minorHAnsi"/>
        </w:rPr>
        <w:t xml:space="preserve">.  </w:t>
      </w:r>
    </w:p>
    <w:p w:rsidR="000C1705" w:rsidRPr="005F120D" w:rsidRDefault="000C1705" w:rsidP="00DC3839">
      <w:pPr>
        <w:spacing w:before="240" w:line="276" w:lineRule="auto"/>
        <w:jc w:val="both"/>
        <w:rPr>
          <w:rFonts w:asciiTheme="minorHAnsi" w:hAnsiTheme="minorHAnsi" w:cstheme="minorHAnsi"/>
        </w:rPr>
      </w:pPr>
      <w:r w:rsidRPr="005F120D">
        <w:rPr>
          <w:rFonts w:asciiTheme="minorHAnsi" w:hAnsiTheme="minorHAnsi" w:cstheme="minorHAnsi"/>
        </w:rPr>
        <w:t>There are some data available on non-formal learning centers.  The Bureau of Non-Formal Education (BNFE) operates a non-formal education program and maintains a Non-Formal Education (NFE) database. DPE’s Reaching Out-of-School Children (</w:t>
      </w:r>
      <w:r w:rsidRPr="005F120D">
        <w:rPr>
          <w:rFonts w:asciiTheme="minorHAnsi" w:hAnsiTheme="minorHAnsi" w:cstheme="minorHAnsi"/>
          <w:bCs/>
        </w:rPr>
        <w:t>ROSC</w:t>
      </w:r>
      <w:r w:rsidRPr="005F120D">
        <w:rPr>
          <w:rFonts w:asciiTheme="minorHAnsi" w:hAnsiTheme="minorHAnsi" w:cstheme="minorHAnsi"/>
        </w:rPr>
        <w:t>) project supports one-teacher learning centers known as Anandya schools. According to the APSC 2015 report, a total of around 184,163 students were enrolled in 6,258 ROSC learning centers (Anandya schools) in 2015 up from 2014 APSC coverage.</w:t>
      </w:r>
    </w:p>
    <w:p w:rsidR="00DC3839" w:rsidRPr="00FE7D24" w:rsidRDefault="000C1705" w:rsidP="00DC3839">
      <w:pPr>
        <w:spacing w:before="240" w:line="276" w:lineRule="auto"/>
        <w:jc w:val="both"/>
        <w:rPr>
          <w:rFonts w:asciiTheme="minorHAnsi" w:hAnsiTheme="minorHAnsi" w:cstheme="minorHAnsi"/>
        </w:rPr>
      </w:pPr>
      <w:r w:rsidRPr="005F120D">
        <w:rPr>
          <w:rFonts w:asciiTheme="minorHAnsi" w:hAnsiTheme="minorHAnsi" w:cstheme="minorHAnsi"/>
        </w:rPr>
        <w:t xml:space="preserve">BRAC is </w:t>
      </w:r>
      <w:r w:rsidR="00245314">
        <w:rPr>
          <w:rFonts w:asciiTheme="minorHAnsi" w:hAnsiTheme="minorHAnsi" w:cstheme="minorHAnsi"/>
        </w:rPr>
        <w:t xml:space="preserve">one of the </w:t>
      </w:r>
      <w:r w:rsidRPr="005F120D">
        <w:rPr>
          <w:rFonts w:asciiTheme="minorHAnsi" w:hAnsiTheme="minorHAnsi" w:cstheme="minorHAnsi"/>
        </w:rPr>
        <w:t xml:space="preserve">largest NGO with NFE program operating primary schools. According to the 2015 administrative record of BRAC, there were 532,335 students from Grade 1 to Grade 5 in 17,826 schools managed directly by BRAC and 148,416 students in 4,965 schools managed by </w:t>
      </w:r>
      <w:r w:rsidR="001A5424" w:rsidRPr="005F120D">
        <w:rPr>
          <w:rFonts w:asciiTheme="minorHAnsi" w:hAnsiTheme="minorHAnsi" w:cstheme="minorHAnsi"/>
        </w:rPr>
        <w:t xml:space="preserve">BRAC </w:t>
      </w:r>
      <w:r w:rsidRPr="005F120D">
        <w:rPr>
          <w:rFonts w:asciiTheme="minorHAnsi" w:hAnsiTheme="minorHAnsi" w:cstheme="minorHAnsi"/>
        </w:rPr>
        <w:t>partner NGOs (393). The number of teachers in BRAC operated primary schools is 17,917 and the number of teachers in BRAC partner NGOs operated primary schools is 4,965. But on the whole, precise information on NFE coverage is difficult to obtain.  There may be some double counting of NFE centers and students between the major projects, such as BRAC, ROSC and the SHARE Programs.</w:t>
      </w:r>
    </w:p>
    <w:bookmarkEnd w:id="40"/>
    <w:p w:rsidR="007E2DEF" w:rsidRPr="005F120D" w:rsidRDefault="00FA5473" w:rsidP="004E77B3">
      <w:pPr>
        <w:pStyle w:val="Heading3"/>
      </w:pPr>
      <w:r w:rsidRPr="005F120D">
        <w:t xml:space="preserve">geographical </w:t>
      </w:r>
      <w:r w:rsidR="003853E5" w:rsidRPr="005F120D">
        <w:t xml:space="preserve">location </w:t>
      </w:r>
      <w:r w:rsidR="00B73C7B" w:rsidRPr="005F120D">
        <w:t>of schools</w:t>
      </w:r>
    </w:p>
    <w:p w:rsidR="00872EE3" w:rsidRPr="005F120D" w:rsidRDefault="00872EE3" w:rsidP="00C437AA">
      <w:pPr>
        <w:autoSpaceDE w:val="0"/>
        <w:autoSpaceDN w:val="0"/>
        <w:adjustRightInd w:val="0"/>
        <w:spacing w:before="240" w:line="276" w:lineRule="auto"/>
        <w:jc w:val="both"/>
        <w:rPr>
          <w:rFonts w:asciiTheme="minorHAnsi" w:hAnsiTheme="minorHAnsi" w:cstheme="minorHAnsi"/>
        </w:rPr>
      </w:pPr>
      <w:bookmarkStart w:id="41" w:name="_Ref386635936"/>
      <w:r w:rsidRPr="005F120D">
        <w:rPr>
          <w:rFonts w:asciiTheme="minorHAnsi" w:hAnsiTheme="minorHAnsi" w:cstheme="minorHAnsi"/>
          <w:szCs w:val="22"/>
        </w:rPr>
        <w:t>Accordi</w:t>
      </w:r>
      <w:r w:rsidR="005D02ED" w:rsidRPr="005F120D">
        <w:rPr>
          <w:rFonts w:asciiTheme="minorHAnsi" w:hAnsiTheme="minorHAnsi" w:cstheme="minorHAnsi"/>
          <w:szCs w:val="22"/>
        </w:rPr>
        <w:t>ng to the 2015 APSC report, a total of</w:t>
      </w:r>
      <w:r w:rsidRPr="005F120D">
        <w:rPr>
          <w:rFonts w:asciiTheme="minorHAnsi" w:hAnsiTheme="minorHAnsi" w:cstheme="minorHAnsi"/>
          <w:szCs w:val="22"/>
        </w:rPr>
        <w:t xml:space="preserve"> 105,222 out of 122,000 schools provided data on their location, compared to 69,867 schools in 2014, although all GPS and NNPS responded to the questionnaire. It was found that 79,609 (76%) schools are located in the plain land areas compared to 51,424 in 2014. A total of 25,613 schools are located in specialized regions</w:t>
      </w:r>
      <w:r w:rsidR="005D02ED" w:rsidRPr="005F120D">
        <w:rPr>
          <w:rFonts w:asciiTheme="minorHAnsi" w:hAnsiTheme="minorHAnsi" w:cstheme="minorHAnsi"/>
          <w:szCs w:val="22"/>
        </w:rPr>
        <w:t xml:space="preserve"> (Haor, Char, Tea Garden areas, slum, boarder belt, coastal areas and Hilly areas)</w:t>
      </w:r>
      <w:r w:rsidRPr="005F120D">
        <w:rPr>
          <w:rFonts w:asciiTheme="minorHAnsi" w:hAnsiTheme="minorHAnsi" w:cstheme="minorHAnsi"/>
          <w:szCs w:val="22"/>
        </w:rPr>
        <w:t xml:space="preserve"> in the 2015 APSC report. </w:t>
      </w:r>
      <w:r w:rsidRPr="005F120D">
        <w:rPr>
          <w:rFonts w:asciiTheme="minorHAnsi" w:hAnsiTheme="minorHAnsi" w:cstheme="minorHAnsi"/>
        </w:rPr>
        <w:t xml:space="preserve">The data provided by </w:t>
      </w:r>
      <w:r w:rsidRPr="005F120D">
        <w:rPr>
          <w:rFonts w:asciiTheme="minorHAnsi" w:hAnsiTheme="minorHAnsi" w:cstheme="minorHAnsi"/>
          <w:szCs w:val="22"/>
        </w:rPr>
        <w:t>105,222 schools</w:t>
      </w:r>
      <w:r w:rsidRPr="005F120D">
        <w:rPr>
          <w:rFonts w:asciiTheme="minorHAnsi" w:hAnsiTheme="minorHAnsi" w:cstheme="minorHAnsi"/>
        </w:rPr>
        <w:t xml:space="preserve"> are presented below in Figure 1.6.  And the data provided by 25,613 schools, situated in special regions, are presented below in Figure 1.7</w:t>
      </w:r>
      <w:r w:rsidR="004B2DEC" w:rsidRPr="005F120D">
        <w:rPr>
          <w:rFonts w:asciiTheme="minorHAnsi" w:hAnsiTheme="minorHAnsi" w:cstheme="minorHAnsi"/>
        </w:rPr>
        <w:t>.</w:t>
      </w:r>
    </w:p>
    <w:p w:rsidR="00FE7D24" w:rsidRDefault="00FE7D24" w:rsidP="00C437AA">
      <w:pPr>
        <w:pStyle w:val="Caption"/>
        <w:spacing w:before="240" w:line="276" w:lineRule="auto"/>
        <w:rPr>
          <w:rFonts w:cstheme="minorHAnsi"/>
        </w:rPr>
      </w:pPr>
    </w:p>
    <w:p w:rsidR="00622BBE" w:rsidRPr="005F120D" w:rsidRDefault="003853E5" w:rsidP="00C437AA">
      <w:pPr>
        <w:pStyle w:val="Caption"/>
        <w:spacing w:before="240" w:line="276" w:lineRule="auto"/>
        <w:rPr>
          <w:rFonts w:cstheme="minorHAnsi"/>
        </w:rPr>
      </w:pPr>
      <w:bookmarkStart w:id="42" w:name="_Toc462837407"/>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4565E6" w:rsidRPr="005F120D">
        <w:rPr>
          <w:rFonts w:cstheme="minorHAnsi"/>
        </w:rPr>
        <w:t>:</w:t>
      </w:r>
      <w:r w:rsidR="00FD4F13" w:rsidRPr="005F120D">
        <w:rPr>
          <w:rFonts w:cstheme="minorHAnsi"/>
        </w:rPr>
        <w:t xml:space="preserve">Percentage of Schools Located in the </w:t>
      </w:r>
      <w:r w:rsidR="00622BBE" w:rsidRPr="005F120D">
        <w:rPr>
          <w:rFonts w:cstheme="minorHAnsi"/>
        </w:rPr>
        <w:t xml:space="preserve">Geographical </w:t>
      </w:r>
      <w:r w:rsidR="00FD4F13" w:rsidRPr="005F120D">
        <w:rPr>
          <w:rFonts w:cstheme="minorHAnsi"/>
        </w:rPr>
        <w:t>areas</w:t>
      </w:r>
      <w:r w:rsidR="00D66917" w:rsidRPr="005F120D">
        <w:rPr>
          <w:rFonts w:cstheme="minorHAnsi"/>
        </w:rPr>
        <w:t>201</w:t>
      </w:r>
      <w:r w:rsidR="00787D0B" w:rsidRPr="005F120D">
        <w:rPr>
          <w:rFonts w:cstheme="minorHAnsi"/>
        </w:rPr>
        <w:t>5</w:t>
      </w:r>
      <w:bookmarkEnd w:id="42"/>
    </w:p>
    <w:p w:rsidR="00622BBE" w:rsidRPr="005F120D" w:rsidRDefault="00E728F2" w:rsidP="00C437AA">
      <w:pPr>
        <w:spacing w:before="20" w:after="40" w:line="276" w:lineRule="auto"/>
        <w:jc w:val="center"/>
        <w:rPr>
          <w:rFonts w:asciiTheme="minorHAnsi" w:hAnsiTheme="minorHAnsi" w:cstheme="minorHAnsi"/>
          <w:color w:val="FF0000"/>
        </w:rPr>
      </w:pPr>
      <w:r w:rsidRPr="005F120D">
        <w:rPr>
          <w:rFonts w:asciiTheme="minorHAnsi" w:hAnsiTheme="minorHAnsi" w:cstheme="minorHAnsi"/>
          <w:noProof/>
          <w:color w:val="FF0000"/>
          <w:lang w:eastAsia="en-US"/>
        </w:rPr>
        <w:drawing>
          <wp:inline distT="0" distB="0" distL="0" distR="0">
            <wp:extent cx="5352912" cy="2891128"/>
            <wp:effectExtent l="38100" t="19050" r="19188" b="4472"/>
            <wp:docPr id="11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33D6" w:rsidRPr="005F120D" w:rsidRDefault="004865EE" w:rsidP="00C437AA">
      <w:pPr>
        <w:spacing w:before="40" w:line="276" w:lineRule="auto"/>
        <w:rPr>
          <w:rFonts w:asciiTheme="minorHAnsi" w:hAnsiTheme="minorHAnsi" w:cstheme="minorHAnsi"/>
        </w:rPr>
      </w:pPr>
      <w:r w:rsidRPr="005F120D">
        <w:rPr>
          <w:rFonts w:asciiTheme="minorHAnsi" w:hAnsiTheme="minorHAnsi" w:cstheme="minorHAnsi"/>
          <w:b/>
          <w:i/>
          <w:sz w:val="16"/>
          <w:szCs w:val="16"/>
        </w:rPr>
        <w:t>Source: APSC 2015</w:t>
      </w:r>
      <w:r w:rsidR="00622BBE" w:rsidRPr="005F120D">
        <w:rPr>
          <w:rFonts w:asciiTheme="minorHAnsi" w:hAnsiTheme="minorHAnsi" w:cstheme="minorHAnsi"/>
          <w:b/>
          <w:i/>
          <w:sz w:val="16"/>
          <w:szCs w:val="16"/>
        </w:rPr>
        <w:t>, PECE 201</w:t>
      </w:r>
      <w:r w:rsidRPr="005F120D">
        <w:rPr>
          <w:rFonts w:asciiTheme="minorHAnsi" w:hAnsiTheme="minorHAnsi" w:cstheme="minorHAnsi"/>
          <w:b/>
          <w:i/>
          <w:sz w:val="16"/>
          <w:szCs w:val="16"/>
        </w:rPr>
        <w:t>5</w:t>
      </w:r>
    </w:p>
    <w:p w:rsidR="00622BBE" w:rsidRPr="005F120D" w:rsidRDefault="00622BBE" w:rsidP="00C437AA">
      <w:pPr>
        <w:pStyle w:val="Caption"/>
        <w:spacing w:line="276" w:lineRule="auto"/>
        <w:rPr>
          <w:rFonts w:cstheme="minorHAnsi"/>
        </w:rPr>
      </w:pPr>
      <w:bookmarkStart w:id="43" w:name="_Toc462837408"/>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7</w:t>
      </w:r>
      <w:r w:rsidR="002E2ED5" w:rsidRPr="005F120D">
        <w:rPr>
          <w:rFonts w:cstheme="minorHAnsi"/>
        </w:rPr>
        <w:fldChar w:fldCharType="end"/>
      </w:r>
      <w:r w:rsidR="00747228" w:rsidRPr="005F120D">
        <w:rPr>
          <w:rFonts w:cstheme="minorHAnsi"/>
        </w:rPr>
        <w:t xml:space="preserve">: </w:t>
      </w:r>
      <w:r w:rsidR="00FD4F13" w:rsidRPr="005F120D">
        <w:rPr>
          <w:rFonts w:cstheme="minorHAnsi"/>
        </w:rPr>
        <w:t xml:space="preserve">Number of School Located in </w:t>
      </w:r>
      <w:r w:rsidR="00747228" w:rsidRPr="005F120D">
        <w:rPr>
          <w:rFonts w:cstheme="minorHAnsi"/>
        </w:rPr>
        <w:t xml:space="preserve">Geographical </w:t>
      </w:r>
      <w:r w:rsidR="00C4591B" w:rsidRPr="005F120D">
        <w:rPr>
          <w:rFonts w:cstheme="minorHAnsi"/>
        </w:rPr>
        <w:t>areas (</w:t>
      </w:r>
      <w:r w:rsidRPr="005F120D">
        <w:rPr>
          <w:rFonts w:cstheme="minorHAnsi"/>
        </w:rPr>
        <w:t>excluding plain land schools)</w:t>
      </w:r>
      <w:r w:rsidR="002F721A" w:rsidRPr="005F120D">
        <w:rPr>
          <w:rFonts w:cstheme="minorHAnsi"/>
        </w:rPr>
        <w:t xml:space="preserve"> 2015</w:t>
      </w:r>
      <w:bookmarkEnd w:id="43"/>
    </w:p>
    <w:p w:rsidR="003853E5" w:rsidRPr="005F120D" w:rsidRDefault="002F721A" w:rsidP="00C437AA">
      <w:pPr>
        <w:autoSpaceDE w:val="0"/>
        <w:autoSpaceDN w:val="0"/>
        <w:adjustRightInd w:val="0"/>
        <w:spacing w:before="40" w:after="40" w:line="276" w:lineRule="auto"/>
        <w:jc w:val="center"/>
        <w:rPr>
          <w:rFonts w:asciiTheme="minorHAnsi" w:hAnsiTheme="minorHAnsi" w:cstheme="minorHAnsi"/>
          <w:color w:val="FF0000"/>
        </w:rPr>
      </w:pPr>
      <w:r w:rsidRPr="005F120D">
        <w:rPr>
          <w:rFonts w:asciiTheme="minorHAnsi" w:hAnsiTheme="minorHAnsi" w:cstheme="minorHAnsi"/>
          <w:noProof/>
          <w:color w:val="CCCC00"/>
          <w:lang w:eastAsia="en-US"/>
        </w:rPr>
        <w:drawing>
          <wp:inline distT="0" distB="0" distL="0" distR="0">
            <wp:extent cx="5607050" cy="2425700"/>
            <wp:effectExtent l="38100" t="19050" r="1270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E587C" w:rsidRPr="005F120D" w:rsidRDefault="001E587C" w:rsidP="00C437AA">
      <w:pPr>
        <w:autoSpaceDE w:val="0"/>
        <w:autoSpaceDN w:val="0"/>
        <w:adjustRightInd w:val="0"/>
        <w:spacing w:before="40" w:after="40" w:line="276" w:lineRule="auto"/>
        <w:rPr>
          <w:rFonts w:asciiTheme="minorHAnsi" w:hAnsiTheme="minorHAnsi" w:cstheme="minorHAnsi"/>
          <w:color w:val="FF0000"/>
        </w:rPr>
      </w:pPr>
      <w:r w:rsidRPr="005F120D">
        <w:rPr>
          <w:rFonts w:asciiTheme="minorHAnsi" w:hAnsiTheme="minorHAnsi" w:cstheme="minorHAnsi"/>
          <w:b/>
          <w:i/>
          <w:sz w:val="16"/>
          <w:szCs w:val="16"/>
        </w:rPr>
        <w:t>Source: APSC 2015</w:t>
      </w:r>
    </w:p>
    <w:p w:rsidR="00215F1F" w:rsidRDefault="00215F1F">
      <w:pPr>
        <w:spacing w:after="0"/>
        <w:rPr>
          <w:rFonts w:asciiTheme="minorHAnsi" w:hAnsiTheme="minorHAnsi" w:cstheme="minorHAnsi"/>
          <w:b/>
          <w:smallCaps/>
          <w:color w:val="008000"/>
          <w:sz w:val="24"/>
          <w:szCs w:val="24"/>
          <w:lang w:eastAsia="ja-JP"/>
        </w:rPr>
      </w:pPr>
      <w:bookmarkStart w:id="44" w:name="OLE_LINK1"/>
      <w:r>
        <w:br w:type="page"/>
      </w:r>
    </w:p>
    <w:p w:rsidR="00FA5473" w:rsidRPr="005F120D" w:rsidRDefault="00FA5473" w:rsidP="004E77B3">
      <w:pPr>
        <w:pStyle w:val="Heading3"/>
      </w:pPr>
      <w:r w:rsidRPr="005F120D">
        <w:lastRenderedPageBreak/>
        <w:t>Institutional Coverage in administrative data (APSC</w:t>
      </w:r>
      <w:r w:rsidR="00176969" w:rsidRPr="005F120D">
        <w:t xml:space="preserve"> and PECE/EECE</w:t>
      </w:r>
      <w:r w:rsidRPr="005F120D">
        <w:t>)</w:t>
      </w:r>
    </w:p>
    <w:p w:rsidR="00622BBE" w:rsidRPr="005F120D" w:rsidRDefault="00F878EC" w:rsidP="00C437AA">
      <w:pPr>
        <w:autoSpaceDE w:val="0"/>
        <w:autoSpaceDN w:val="0"/>
        <w:adjustRightInd w:val="0"/>
        <w:spacing w:before="240" w:line="276" w:lineRule="auto"/>
        <w:jc w:val="both"/>
        <w:rPr>
          <w:rFonts w:asciiTheme="minorHAnsi" w:hAnsiTheme="minorHAnsi" w:cstheme="minorHAnsi"/>
          <w:lang w:val="en-GB"/>
        </w:rPr>
      </w:pPr>
      <w:r w:rsidRPr="005F120D">
        <w:rPr>
          <w:rFonts w:asciiTheme="minorHAnsi" w:hAnsiTheme="minorHAnsi" w:cstheme="minorHAnsi"/>
          <w:szCs w:val="22"/>
        </w:rPr>
        <w:t>Since 2011, t</w:t>
      </w:r>
      <w:r w:rsidRPr="005F120D">
        <w:rPr>
          <w:rFonts w:asciiTheme="minorHAnsi" w:hAnsiTheme="minorHAnsi" w:cstheme="minorHAnsi"/>
        </w:rPr>
        <w:t xml:space="preserve">he expansion of the coverage on the APSC and PECE has </w:t>
      </w:r>
      <w:r w:rsidR="00A7638A" w:rsidRPr="005F120D">
        <w:rPr>
          <w:rFonts w:asciiTheme="minorHAnsi" w:hAnsiTheme="minorHAnsi" w:cstheme="minorHAnsi"/>
        </w:rPr>
        <w:t>been a major achievement of DPE</w:t>
      </w:r>
      <w:r w:rsidRPr="005F120D">
        <w:rPr>
          <w:rFonts w:asciiTheme="minorHAnsi" w:hAnsiTheme="minorHAnsi" w:cstheme="minorHAnsi"/>
        </w:rPr>
        <w:t>. The total number of schools covered by the APSC increased by 11,029 (up 14%) in 2011, by 14,303(up 16%) in 2012, by 2,841 (up 2.7%) in 2013, by 1,679 (up 1.6%) in 2014 and by 13,639 (up 12.6%) in 2015. The total number of schools covered by the PECE and EECE also increased by 2,007 (up 2.5%) in 2011, by 4,579 (up 5.1%) in 2012, decreased by 4,962 (down 4.77%) in 2013, again increased by 2,354 (up 2.2%) in 2014 and by 9,448 (up 8.7%) in 2015. Between 2014 and 2015, the major increase in APSC coverage included Kindergarten (2,148), BRAC schools (5,473</w:t>
      </w:r>
      <w:r w:rsidR="001A5424" w:rsidRPr="005F120D">
        <w:rPr>
          <w:rFonts w:asciiTheme="minorHAnsi" w:hAnsiTheme="minorHAnsi" w:cstheme="minorHAnsi"/>
        </w:rPr>
        <w:t>)</w:t>
      </w:r>
      <w:r w:rsidRPr="005F120D">
        <w:rPr>
          <w:rFonts w:asciiTheme="minorHAnsi" w:hAnsiTheme="minorHAnsi" w:cstheme="minorHAnsi"/>
        </w:rPr>
        <w:t>, ROSC (2,440) and schools in the ‘Others’ categories (2,209).  However, there was a slightly drop in the coverage on community schools and Regd. NGPS. The reason for the decline in the number of community schools is that almost all of these schools merged with the former RNGPS for nationalization (these are now NNPS). The Community schools dropped about 68% in 2012, 23% in 2013, and 90% in 2014.  Only 14 community schools dropped in 2015</w:t>
      </w:r>
      <w:r w:rsidR="00041B5E" w:rsidRPr="005F120D">
        <w:rPr>
          <w:rFonts w:asciiTheme="minorHAnsi" w:hAnsiTheme="minorHAnsi" w:cstheme="minorHAnsi"/>
        </w:rPr>
        <w:t>.</w:t>
      </w:r>
    </w:p>
    <w:p w:rsidR="00DF34D6" w:rsidRPr="005F120D" w:rsidRDefault="009E083A" w:rsidP="00C437AA">
      <w:pPr>
        <w:pStyle w:val="Caption"/>
        <w:spacing w:before="120" w:line="276" w:lineRule="auto"/>
        <w:rPr>
          <w:rFonts w:cstheme="minorHAnsi"/>
        </w:rPr>
      </w:pPr>
      <w:bookmarkStart w:id="45" w:name="_Toc462837409"/>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8</w:t>
      </w:r>
      <w:r w:rsidR="002E2ED5" w:rsidRPr="005F120D">
        <w:rPr>
          <w:rFonts w:cstheme="minorHAnsi"/>
        </w:rPr>
        <w:fldChar w:fldCharType="end"/>
      </w:r>
      <w:bookmarkEnd w:id="41"/>
      <w:r w:rsidR="004565E6" w:rsidRPr="005F120D">
        <w:rPr>
          <w:rFonts w:cstheme="minorHAnsi"/>
        </w:rPr>
        <w:t>:</w:t>
      </w:r>
      <w:r w:rsidR="00FE7D24">
        <w:rPr>
          <w:rFonts w:cstheme="minorHAnsi"/>
        </w:rPr>
        <w:t xml:space="preserve"> </w:t>
      </w:r>
      <w:r w:rsidR="001A5424" w:rsidRPr="005F120D">
        <w:rPr>
          <w:rFonts w:cstheme="minorHAnsi"/>
        </w:rPr>
        <w:t xml:space="preserve">Comparison of </w:t>
      </w:r>
      <w:r w:rsidR="00D12498" w:rsidRPr="005F120D">
        <w:rPr>
          <w:rFonts w:cstheme="minorHAnsi"/>
        </w:rPr>
        <w:t xml:space="preserve">APSC and </w:t>
      </w:r>
      <w:r w:rsidR="00536C38" w:rsidRPr="005F120D">
        <w:rPr>
          <w:rFonts w:cstheme="minorHAnsi"/>
        </w:rPr>
        <w:t>PECE Institutional Coverage 2010</w:t>
      </w:r>
      <w:r w:rsidR="00D12498" w:rsidRPr="005F120D">
        <w:rPr>
          <w:rFonts w:cstheme="minorHAnsi"/>
        </w:rPr>
        <w:t>-201</w:t>
      </w:r>
      <w:r w:rsidR="00072DD2" w:rsidRPr="005F120D">
        <w:rPr>
          <w:rFonts w:cstheme="minorHAnsi"/>
        </w:rPr>
        <w:t>5</w:t>
      </w:r>
      <w:bookmarkEnd w:id="45"/>
    </w:p>
    <w:p w:rsidR="009D5829" w:rsidRPr="005F120D" w:rsidRDefault="009D5829" w:rsidP="00C437AA">
      <w:pPr>
        <w:spacing w:after="40" w:line="276" w:lineRule="auto"/>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5332294" cy="2819684"/>
            <wp:effectExtent l="38100" t="19050" r="20756"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183D" w:rsidRPr="005F120D" w:rsidRDefault="009D5829" w:rsidP="0089183D">
      <w:pPr>
        <w:spacing w:after="0" w:line="276" w:lineRule="auto"/>
        <w:ind w:firstLine="720"/>
        <w:rPr>
          <w:rFonts w:asciiTheme="minorHAnsi" w:hAnsiTheme="minorHAnsi" w:cstheme="minorHAnsi"/>
          <w:sz w:val="16"/>
          <w:szCs w:val="16"/>
        </w:rPr>
      </w:pPr>
      <w:bookmarkStart w:id="46" w:name="_Ref385258221"/>
      <w:bookmarkStart w:id="47" w:name="_Ref386795780"/>
      <w:bookmarkStart w:id="48" w:name="_Ref330994888"/>
      <w:bookmarkStart w:id="49" w:name="_Toc338839597"/>
      <w:bookmarkEnd w:id="44"/>
      <w:r w:rsidRPr="005F120D">
        <w:rPr>
          <w:rFonts w:asciiTheme="minorHAnsi" w:hAnsiTheme="minorHAnsi" w:cstheme="minorHAnsi"/>
          <w:sz w:val="16"/>
          <w:szCs w:val="16"/>
        </w:rPr>
        <w:t>Source: APSC and PECE 2010-2015</w:t>
      </w:r>
    </w:p>
    <w:p w:rsidR="0089183D" w:rsidRPr="00425CE9" w:rsidRDefault="0089183D" w:rsidP="00C85FBD">
      <w:pPr>
        <w:pStyle w:val="Caption"/>
        <w:spacing w:before="240" w:line="276" w:lineRule="auto"/>
        <w:jc w:val="both"/>
        <w:rPr>
          <w:rFonts w:cstheme="minorHAnsi"/>
          <w:b w:val="0"/>
          <w:color w:val="FFFF00"/>
        </w:rPr>
      </w:pPr>
      <w:r w:rsidRPr="005F120D">
        <w:rPr>
          <w:rFonts w:cstheme="minorHAnsi"/>
          <w:b w:val="0"/>
        </w:rPr>
        <w:t xml:space="preserve">Table 1.2 </w:t>
      </w:r>
      <w:r w:rsidR="005E004B" w:rsidRPr="005F120D">
        <w:rPr>
          <w:rFonts w:cstheme="minorHAnsi"/>
          <w:b w:val="0"/>
        </w:rPr>
        <w:t xml:space="preserve">below </w:t>
      </w:r>
      <w:r w:rsidRPr="005F120D">
        <w:rPr>
          <w:rFonts w:cstheme="minorHAnsi"/>
          <w:b w:val="0"/>
        </w:rPr>
        <w:t>shows that the coverage of educational institutes between APSC 2015 an</w:t>
      </w:r>
      <w:r w:rsidR="008C2DD8" w:rsidRPr="005F120D">
        <w:rPr>
          <w:rFonts w:cstheme="minorHAnsi"/>
          <w:b w:val="0"/>
        </w:rPr>
        <w:t xml:space="preserve">d 2015 </w:t>
      </w:r>
      <w:r w:rsidR="005E004B" w:rsidRPr="005F120D">
        <w:rPr>
          <w:rFonts w:cstheme="minorHAnsi"/>
          <w:b w:val="0"/>
        </w:rPr>
        <w:t>PECE/EECE was</w:t>
      </w:r>
      <w:r w:rsidRPr="005F120D">
        <w:rPr>
          <w:rFonts w:cstheme="minorHAnsi"/>
          <w:b w:val="0"/>
        </w:rPr>
        <w:t xml:space="preserve"> almost consistent mainly for the DPE managed schools. T</w:t>
      </w:r>
      <w:r w:rsidR="005E004B" w:rsidRPr="005F120D">
        <w:rPr>
          <w:rFonts w:cstheme="minorHAnsi"/>
          <w:b w:val="0"/>
        </w:rPr>
        <w:t>here is a modest difference in K</w:t>
      </w:r>
      <w:r w:rsidRPr="005F120D">
        <w:rPr>
          <w:rFonts w:cstheme="minorHAnsi"/>
          <w:b w:val="0"/>
        </w:rPr>
        <w:t>indergarten (18,318 by APSC and 18,144 by PECE). But there is a significant difference in BRAC schools (13,522 by APSC and 4,833 by PECE), ROSC schools (6,258 by APSC and 2</w:t>
      </w:r>
      <w:r w:rsidR="0089702D">
        <w:rPr>
          <w:rFonts w:cstheme="minorHAnsi"/>
          <w:b w:val="0"/>
        </w:rPr>
        <w:t>,</w:t>
      </w:r>
      <w:r w:rsidR="00685E7D">
        <w:rPr>
          <w:rFonts w:cstheme="minorHAnsi"/>
          <w:b w:val="0"/>
        </w:rPr>
        <w:t>053 by PECE) and High Madrasha</w:t>
      </w:r>
      <w:r w:rsidR="0089702D">
        <w:rPr>
          <w:rFonts w:cstheme="minorHAnsi"/>
          <w:b w:val="0"/>
        </w:rPr>
        <w:t xml:space="preserve"> attached Ebtedayee Madrasha</w:t>
      </w:r>
      <w:r w:rsidRPr="005F120D">
        <w:rPr>
          <w:rFonts w:cstheme="minorHAnsi"/>
          <w:b w:val="0"/>
        </w:rPr>
        <w:t xml:space="preserve"> (5,599 by APSC and 9,071 by PECE). </w:t>
      </w:r>
      <w:r w:rsidR="00C85FBD" w:rsidRPr="005F120D">
        <w:rPr>
          <w:rFonts w:cstheme="minorHAnsi"/>
          <w:b w:val="0"/>
        </w:rPr>
        <w:t xml:space="preserve">The participation was less in </w:t>
      </w:r>
      <w:r w:rsidRPr="005F120D">
        <w:rPr>
          <w:rFonts w:cstheme="minorHAnsi"/>
          <w:b w:val="0"/>
        </w:rPr>
        <w:t>BRAC schools</w:t>
      </w:r>
      <w:r w:rsidR="005E004B" w:rsidRPr="005F120D">
        <w:rPr>
          <w:rFonts w:cstheme="minorHAnsi"/>
          <w:b w:val="0"/>
        </w:rPr>
        <w:t xml:space="preserve"> because all BRAC, which are one-grade schools, cease at the end of Grade 5. </w:t>
      </w:r>
      <w:r w:rsidR="00C85FBD" w:rsidRPr="005F120D">
        <w:rPr>
          <w:rFonts w:cstheme="minorHAnsi"/>
          <w:b w:val="0"/>
        </w:rPr>
        <w:t xml:space="preserve">In the </w:t>
      </w:r>
      <w:r w:rsidRPr="005F120D">
        <w:rPr>
          <w:rFonts w:cstheme="minorHAnsi"/>
          <w:b w:val="0"/>
        </w:rPr>
        <w:t xml:space="preserve">ROSC </w:t>
      </w:r>
      <w:r w:rsidR="00C85FBD" w:rsidRPr="005F120D">
        <w:rPr>
          <w:rFonts w:cstheme="minorHAnsi"/>
          <w:b w:val="0"/>
        </w:rPr>
        <w:t xml:space="preserve">project the </w:t>
      </w:r>
      <w:r w:rsidRPr="005F120D">
        <w:rPr>
          <w:rFonts w:cstheme="minorHAnsi"/>
          <w:b w:val="0"/>
        </w:rPr>
        <w:t xml:space="preserve">learning </w:t>
      </w:r>
      <w:r w:rsidR="00C4591B" w:rsidRPr="005F120D">
        <w:rPr>
          <w:rFonts w:cstheme="minorHAnsi"/>
          <w:b w:val="0"/>
        </w:rPr>
        <w:t>centers</w:t>
      </w:r>
      <w:r w:rsidR="00C85FBD" w:rsidRPr="005F120D">
        <w:rPr>
          <w:rFonts w:cstheme="minorHAnsi"/>
          <w:b w:val="0"/>
        </w:rPr>
        <w:t xml:space="preserve"> are open</w:t>
      </w:r>
      <w:r w:rsidR="005E004B" w:rsidRPr="005F120D">
        <w:rPr>
          <w:rFonts w:cstheme="minorHAnsi"/>
          <w:b w:val="0"/>
        </w:rPr>
        <w:t>ed</w:t>
      </w:r>
      <w:r w:rsidR="00C85FBD" w:rsidRPr="005F120D">
        <w:rPr>
          <w:rFonts w:cstheme="minorHAnsi"/>
          <w:b w:val="0"/>
        </w:rPr>
        <w:t xml:space="preserve"> gradually;</w:t>
      </w:r>
      <w:r w:rsidR="00C4591B">
        <w:rPr>
          <w:rFonts w:cstheme="minorHAnsi"/>
          <w:b w:val="0"/>
        </w:rPr>
        <w:t xml:space="preserve"> </w:t>
      </w:r>
      <w:r w:rsidR="00C85FBD" w:rsidRPr="005F120D">
        <w:rPr>
          <w:rFonts w:cstheme="minorHAnsi"/>
          <w:b w:val="0"/>
        </w:rPr>
        <w:t>newly</w:t>
      </w:r>
      <w:r w:rsidRPr="005F120D">
        <w:rPr>
          <w:rFonts w:cstheme="minorHAnsi"/>
          <w:b w:val="0"/>
        </w:rPr>
        <w:t xml:space="preserve"> established</w:t>
      </w:r>
      <w:r w:rsidR="00C85FBD" w:rsidRPr="005F120D">
        <w:rPr>
          <w:rFonts w:cstheme="minorHAnsi"/>
          <w:b w:val="0"/>
        </w:rPr>
        <w:t xml:space="preserve"> schools are not eligible for PECE because they have no</w:t>
      </w:r>
      <w:r w:rsidRPr="005F120D">
        <w:rPr>
          <w:rFonts w:cstheme="minorHAnsi"/>
          <w:b w:val="0"/>
        </w:rPr>
        <w:t xml:space="preserve"> Grade 5 children.</w:t>
      </w:r>
    </w:p>
    <w:p w:rsidR="0089183D" w:rsidRPr="005F120D" w:rsidRDefault="0089183D" w:rsidP="00C437AA">
      <w:pPr>
        <w:pStyle w:val="Caption"/>
        <w:spacing w:before="240" w:line="276" w:lineRule="auto"/>
        <w:rPr>
          <w:rFonts w:cstheme="minorHAnsi"/>
        </w:rPr>
      </w:pPr>
    </w:p>
    <w:p w:rsidR="003B771B" w:rsidRPr="005F120D" w:rsidRDefault="009E083A" w:rsidP="00C437AA">
      <w:pPr>
        <w:pStyle w:val="Caption"/>
        <w:spacing w:before="240" w:line="276" w:lineRule="auto"/>
        <w:rPr>
          <w:rFonts w:cstheme="minorHAnsi"/>
        </w:rPr>
      </w:pPr>
      <w:bookmarkStart w:id="50" w:name="_Toc462837220"/>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bookmarkEnd w:id="46"/>
      <w:bookmarkEnd w:id="47"/>
      <w:r w:rsidR="004565E6" w:rsidRPr="005F120D">
        <w:rPr>
          <w:rFonts w:cstheme="minorHAnsi"/>
        </w:rPr>
        <w:t>:</w:t>
      </w:r>
      <w:r w:rsidR="00C4591B">
        <w:rPr>
          <w:rFonts w:cstheme="minorHAnsi"/>
        </w:rPr>
        <w:t xml:space="preserve"> </w:t>
      </w:r>
      <w:r w:rsidR="00AF5E85" w:rsidRPr="005F120D">
        <w:rPr>
          <w:rFonts w:cstheme="minorHAnsi"/>
        </w:rPr>
        <w:t>Number of S</w:t>
      </w:r>
      <w:r w:rsidR="00F71637" w:rsidRPr="005F120D">
        <w:rPr>
          <w:rFonts w:cstheme="minorHAnsi"/>
        </w:rPr>
        <w:t xml:space="preserve">chools and </w:t>
      </w:r>
      <w:r w:rsidR="0089702D">
        <w:rPr>
          <w:rFonts w:cstheme="minorHAnsi"/>
        </w:rPr>
        <w:t>Madrasha</w:t>
      </w:r>
      <w:r w:rsidR="00F71637" w:rsidRPr="005F120D">
        <w:rPr>
          <w:rFonts w:cstheme="minorHAnsi"/>
        </w:rPr>
        <w:t xml:space="preserve"> in APSC and Primary </w:t>
      </w:r>
      <w:r w:rsidR="0089702D">
        <w:rPr>
          <w:rFonts w:cstheme="minorHAnsi"/>
        </w:rPr>
        <w:t>and Madrasha</w:t>
      </w:r>
      <w:r w:rsidR="00C4591B">
        <w:rPr>
          <w:rFonts w:cstheme="minorHAnsi"/>
        </w:rPr>
        <w:t xml:space="preserve"> </w:t>
      </w:r>
      <w:r w:rsidR="00F71637" w:rsidRPr="005F120D">
        <w:rPr>
          <w:rFonts w:cstheme="minorHAnsi"/>
        </w:rPr>
        <w:t>Education Comple</w:t>
      </w:r>
      <w:r w:rsidR="007B6BAC" w:rsidRPr="005F120D">
        <w:rPr>
          <w:rFonts w:cstheme="minorHAnsi"/>
        </w:rPr>
        <w:t>tion Examination (PECE</w:t>
      </w:r>
      <w:r w:rsidR="00536C38" w:rsidRPr="005F120D">
        <w:rPr>
          <w:rFonts w:cstheme="minorHAnsi"/>
        </w:rPr>
        <w:t>/EECE</w:t>
      </w:r>
      <w:r w:rsidR="00747228" w:rsidRPr="005F120D">
        <w:rPr>
          <w:rFonts w:cstheme="minorHAnsi"/>
        </w:rPr>
        <w:t>)</w:t>
      </w:r>
      <w:r w:rsidR="001E0481" w:rsidRPr="005F120D">
        <w:rPr>
          <w:rFonts w:cstheme="minorHAnsi"/>
        </w:rPr>
        <w:t xml:space="preserve"> 2014</w:t>
      </w:r>
      <w:r w:rsidR="00F71637" w:rsidRPr="005F120D">
        <w:rPr>
          <w:rFonts w:cstheme="minorHAnsi"/>
        </w:rPr>
        <w:t>- 201</w:t>
      </w:r>
      <w:bookmarkEnd w:id="48"/>
      <w:bookmarkEnd w:id="49"/>
      <w:r w:rsidR="001E0481" w:rsidRPr="005F120D">
        <w:rPr>
          <w:rFonts w:cstheme="minorHAnsi"/>
        </w:rPr>
        <w:t>5</w:t>
      </w:r>
      <w:bookmarkEnd w:id="50"/>
    </w:p>
    <w:tbl>
      <w:tblPr>
        <w:tblW w:w="5000" w:type="pct"/>
        <w:tblBorders>
          <w:top w:val="single" w:sz="12" w:space="0" w:color="auto"/>
          <w:bottom w:val="single" w:sz="12" w:space="0" w:color="auto"/>
        </w:tblBorders>
        <w:tblLook w:val="04A0"/>
      </w:tblPr>
      <w:tblGrid>
        <w:gridCol w:w="1212"/>
        <w:gridCol w:w="1247"/>
        <w:gridCol w:w="967"/>
        <w:gridCol w:w="899"/>
        <w:gridCol w:w="1067"/>
        <w:gridCol w:w="830"/>
        <w:gridCol w:w="887"/>
        <w:gridCol w:w="1068"/>
        <w:gridCol w:w="1068"/>
      </w:tblGrid>
      <w:tr w:rsidR="009532D4" w:rsidRPr="005F120D" w:rsidTr="009430CE">
        <w:trPr>
          <w:trHeight w:hRule="exact" w:val="576"/>
        </w:trPr>
        <w:tc>
          <w:tcPr>
            <w:tcW w:w="1339" w:type="pct"/>
            <w:gridSpan w:val="2"/>
            <w:vMerge w:val="restart"/>
            <w:tcBorders>
              <w:top w:val="single" w:sz="12" w:space="0" w:color="auto"/>
              <w:bottom w:val="single" w:sz="8" w:space="0" w:color="auto"/>
            </w:tcBorders>
            <w:shd w:val="clear" w:color="auto" w:fill="auto"/>
            <w:hideMark/>
          </w:tcPr>
          <w:p w:rsidR="009532D4" w:rsidRPr="005F120D" w:rsidRDefault="009532D4" w:rsidP="000312AC">
            <w:pPr>
              <w:spacing w:after="0" w:line="276" w:lineRule="auto"/>
              <w:jc w:val="center"/>
              <w:rPr>
                <w:rFonts w:asciiTheme="minorHAnsi" w:hAnsiTheme="minorHAnsi" w:cstheme="minorHAnsi"/>
                <w:b/>
                <w:bCs/>
                <w:sz w:val="18"/>
                <w:szCs w:val="18"/>
                <w:lang w:val="en-GB"/>
              </w:rPr>
            </w:pPr>
            <w:r w:rsidRPr="005F120D">
              <w:rPr>
                <w:rFonts w:asciiTheme="minorHAnsi" w:hAnsiTheme="minorHAnsi" w:cstheme="minorHAnsi"/>
                <w:b/>
                <w:bCs/>
                <w:sz w:val="18"/>
                <w:szCs w:val="18"/>
                <w:lang w:val="en-GB"/>
              </w:rPr>
              <w:t>School type</w:t>
            </w:r>
          </w:p>
        </w:tc>
        <w:tc>
          <w:tcPr>
            <w:tcW w:w="954" w:type="pct"/>
            <w:gridSpan w:val="2"/>
            <w:tcBorders>
              <w:top w:val="single" w:sz="12" w:space="0" w:color="auto"/>
              <w:bottom w:val="single" w:sz="8" w:space="0" w:color="auto"/>
            </w:tcBorders>
            <w:shd w:val="clear" w:color="auto" w:fill="auto"/>
            <w:hideMark/>
          </w:tcPr>
          <w:p w:rsidR="009532D4" w:rsidRPr="005F120D" w:rsidRDefault="00685E7D" w:rsidP="000312AC">
            <w:pPr>
              <w:spacing w:after="0" w:line="276" w:lineRule="auto"/>
              <w:jc w:val="center"/>
              <w:rPr>
                <w:rFonts w:asciiTheme="minorHAnsi" w:hAnsiTheme="minorHAnsi" w:cstheme="minorHAnsi"/>
                <w:b/>
                <w:bCs/>
                <w:sz w:val="18"/>
                <w:szCs w:val="18"/>
                <w:lang w:val="en-GB"/>
              </w:rPr>
            </w:pPr>
            <w:r>
              <w:rPr>
                <w:rFonts w:asciiTheme="minorHAnsi" w:hAnsiTheme="minorHAnsi" w:cstheme="minorHAnsi"/>
                <w:b/>
                <w:bCs/>
                <w:sz w:val="18"/>
                <w:szCs w:val="18"/>
                <w:lang w:val="en-GB"/>
              </w:rPr>
              <w:t>Number of schools and M</w:t>
            </w:r>
            <w:r w:rsidR="0089702D">
              <w:rPr>
                <w:rFonts w:asciiTheme="minorHAnsi" w:hAnsiTheme="minorHAnsi" w:cstheme="minorHAnsi"/>
                <w:b/>
                <w:bCs/>
                <w:sz w:val="18"/>
                <w:szCs w:val="18"/>
                <w:lang w:val="en-GB"/>
              </w:rPr>
              <w:t>adrasha</w:t>
            </w:r>
          </w:p>
        </w:tc>
        <w:tc>
          <w:tcPr>
            <w:tcW w:w="586" w:type="pct"/>
            <w:vMerge w:val="restart"/>
            <w:tcBorders>
              <w:top w:val="single" w:sz="12" w:space="0" w:color="auto"/>
              <w:bottom w:val="single" w:sz="8" w:space="0" w:color="auto"/>
            </w:tcBorders>
            <w:shd w:val="clear" w:color="auto" w:fill="C2D69B" w:themeFill="accent3" w:themeFillTint="99"/>
            <w:hideMark/>
          </w:tcPr>
          <w:p w:rsidR="009532D4" w:rsidRPr="005F120D" w:rsidRDefault="009532D4" w:rsidP="000312AC">
            <w:pPr>
              <w:spacing w:after="0" w:line="276" w:lineRule="auto"/>
              <w:jc w:val="center"/>
              <w:rPr>
                <w:rFonts w:asciiTheme="minorHAnsi" w:hAnsiTheme="minorHAnsi" w:cstheme="minorHAnsi"/>
                <w:b/>
                <w:bCs/>
                <w:sz w:val="18"/>
                <w:szCs w:val="18"/>
                <w:lang w:val="en-GB"/>
              </w:rPr>
            </w:pPr>
            <w:r w:rsidRPr="005F120D">
              <w:rPr>
                <w:rFonts w:asciiTheme="minorHAnsi" w:hAnsiTheme="minorHAnsi" w:cstheme="minorHAnsi"/>
                <w:b/>
                <w:bCs/>
                <w:sz w:val="18"/>
                <w:szCs w:val="18"/>
                <w:lang w:val="en-GB"/>
              </w:rPr>
              <w:t>% difference in coverage (2)/(1)</w:t>
            </w:r>
          </w:p>
        </w:tc>
        <w:tc>
          <w:tcPr>
            <w:tcW w:w="947" w:type="pct"/>
            <w:gridSpan w:val="2"/>
            <w:tcBorders>
              <w:top w:val="single" w:sz="12" w:space="0" w:color="auto"/>
              <w:bottom w:val="single" w:sz="8" w:space="0" w:color="auto"/>
            </w:tcBorders>
            <w:shd w:val="clear" w:color="auto" w:fill="auto"/>
            <w:hideMark/>
          </w:tcPr>
          <w:p w:rsidR="009532D4" w:rsidRPr="005F120D" w:rsidRDefault="00685E7D" w:rsidP="000312AC">
            <w:pPr>
              <w:spacing w:after="0" w:line="276" w:lineRule="auto"/>
              <w:jc w:val="center"/>
              <w:rPr>
                <w:rFonts w:asciiTheme="minorHAnsi" w:hAnsiTheme="minorHAnsi" w:cstheme="minorHAnsi"/>
                <w:b/>
                <w:bCs/>
                <w:sz w:val="18"/>
                <w:szCs w:val="18"/>
                <w:lang w:val="en-GB"/>
              </w:rPr>
            </w:pPr>
            <w:r>
              <w:rPr>
                <w:rFonts w:asciiTheme="minorHAnsi" w:hAnsiTheme="minorHAnsi" w:cstheme="minorHAnsi"/>
                <w:b/>
                <w:bCs/>
                <w:sz w:val="18"/>
                <w:szCs w:val="18"/>
                <w:lang w:val="en-GB"/>
              </w:rPr>
              <w:t>Number of schools and M</w:t>
            </w:r>
            <w:r w:rsidR="0089702D">
              <w:rPr>
                <w:rFonts w:asciiTheme="minorHAnsi" w:hAnsiTheme="minorHAnsi" w:cstheme="minorHAnsi"/>
                <w:b/>
                <w:bCs/>
                <w:sz w:val="18"/>
                <w:szCs w:val="18"/>
                <w:lang w:val="en-GB"/>
              </w:rPr>
              <w:t>adrasha</w:t>
            </w:r>
          </w:p>
        </w:tc>
        <w:tc>
          <w:tcPr>
            <w:tcW w:w="587" w:type="pct"/>
            <w:vMerge w:val="restart"/>
            <w:tcBorders>
              <w:top w:val="single" w:sz="12" w:space="0" w:color="auto"/>
            </w:tcBorders>
          </w:tcPr>
          <w:p w:rsidR="009532D4" w:rsidRPr="005F120D" w:rsidRDefault="009532D4" w:rsidP="000312AC">
            <w:pPr>
              <w:spacing w:after="0" w:line="276" w:lineRule="auto"/>
              <w:jc w:val="center"/>
              <w:rPr>
                <w:rFonts w:asciiTheme="minorHAnsi" w:hAnsiTheme="minorHAnsi" w:cstheme="minorHAnsi"/>
                <w:b/>
                <w:bCs/>
                <w:sz w:val="18"/>
                <w:szCs w:val="18"/>
                <w:lang w:val="en-GB"/>
              </w:rPr>
            </w:pPr>
            <w:r w:rsidRPr="005F120D">
              <w:rPr>
                <w:rFonts w:asciiTheme="minorHAnsi" w:hAnsiTheme="minorHAnsi" w:cstheme="minorHAnsi"/>
                <w:b/>
                <w:bCs/>
                <w:sz w:val="18"/>
                <w:szCs w:val="18"/>
                <w:lang w:val="en-GB"/>
              </w:rPr>
              <w:t>% difference in coverage (4)/(3)</w:t>
            </w:r>
          </w:p>
        </w:tc>
        <w:tc>
          <w:tcPr>
            <w:tcW w:w="587" w:type="pct"/>
            <w:vMerge w:val="restart"/>
            <w:tcBorders>
              <w:top w:val="single" w:sz="12" w:space="0" w:color="auto"/>
            </w:tcBorders>
          </w:tcPr>
          <w:p w:rsidR="009532D4" w:rsidRPr="005F120D" w:rsidRDefault="009532D4" w:rsidP="000312AC">
            <w:pPr>
              <w:spacing w:after="0" w:line="276" w:lineRule="auto"/>
              <w:jc w:val="right"/>
              <w:rPr>
                <w:rFonts w:asciiTheme="minorHAnsi" w:hAnsiTheme="minorHAnsi" w:cstheme="minorHAnsi"/>
                <w:b/>
                <w:bCs/>
                <w:sz w:val="18"/>
                <w:szCs w:val="18"/>
                <w:lang w:val="en-GB"/>
              </w:rPr>
            </w:pPr>
            <w:r w:rsidRPr="005F120D">
              <w:rPr>
                <w:rFonts w:asciiTheme="minorHAnsi" w:hAnsiTheme="minorHAnsi" w:cstheme="minorHAnsi"/>
                <w:b/>
                <w:bCs/>
                <w:sz w:val="18"/>
                <w:szCs w:val="18"/>
                <w:lang w:val="en-GB"/>
              </w:rPr>
              <w:t>% difference in coverage (3)/(1)</w:t>
            </w:r>
          </w:p>
        </w:tc>
      </w:tr>
      <w:tr w:rsidR="009532D4" w:rsidRPr="005F120D" w:rsidTr="009430CE">
        <w:trPr>
          <w:trHeight w:hRule="exact" w:val="461"/>
        </w:trPr>
        <w:tc>
          <w:tcPr>
            <w:tcW w:w="1339" w:type="pct"/>
            <w:gridSpan w:val="2"/>
            <w:vMerge/>
            <w:tcBorders>
              <w:bottom w:val="single" w:sz="12" w:space="0" w:color="auto"/>
            </w:tcBorders>
            <w:shd w:val="clear" w:color="auto" w:fill="auto"/>
            <w:hideMark/>
          </w:tcPr>
          <w:p w:rsidR="009532D4" w:rsidRPr="005F120D" w:rsidRDefault="009532D4" w:rsidP="000312AC">
            <w:pPr>
              <w:spacing w:after="0" w:line="276" w:lineRule="auto"/>
              <w:rPr>
                <w:rFonts w:asciiTheme="minorHAnsi" w:hAnsiTheme="minorHAnsi" w:cstheme="minorHAnsi"/>
                <w:b/>
                <w:bCs/>
                <w:sz w:val="18"/>
                <w:szCs w:val="18"/>
                <w:lang w:val="en-GB"/>
              </w:rPr>
            </w:pPr>
          </w:p>
        </w:tc>
        <w:tc>
          <w:tcPr>
            <w:tcW w:w="458" w:type="pct"/>
            <w:tcBorders>
              <w:bottom w:val="single" w:sz="12" w:space="0" w:color="auto"/>
            </w:tcBorders>
            <w:shd w:val="clear" w:color="auto" w:fill="auto"/>
            <w:hideMark/>
          </w:tcPr>
          <w:p w:rsidR="009532D4" w:rsidRPr="005F120D" w:rsidRDefault="001B6270" w:rsidP="000312AC">
            <w:pPr>
              <w:spacing w:after="0" w:line="276" w:lineRule="auto"/>
              <w:jc w:val="center"/>
              <w:rPr>
                <w:rFonts w:asciiTheme="minorHAnsi" w:hAnsiTheme="minorHAnsi" w:cstheme="minorHAnsi"/>
                <w:b/>
                <w:bCs/>
                <w:sz w:val="18"/>
                <w:szCs w:val="18"/>
                <w:lang w:val="en-GB"/>
              </w:rPr>
            </w:pPr>
            <w:r w:rsidRPr="005F120D">
              <w:rPr>
                <w:rFonts w:asciiTheme="minorHAnsi" w:hAnsiTheme="minorHAnsi" w:cstheme="minorHAnsi"/>
                <w:b/>
                <w:bCs/>
                <w:sz w:val="18"/>
                <w:szCs w:val="18"/>
                <w:lang w:val="en-GB"/>
              </w:rPr>
              <w:t>2014</w:t>
            </w:r>
            <w:r w:rsidR="009532D4" w:rsidRPr="005F120D">
              <w:rPr>
                <w:rFonts w:asciiTheme="minorHAnsi" w:hAnsiTheme="minorHAnsi" w:cstheme="minorHAnsi"/>
                <w:b/>
                <w:bCs/>
                <w:sz w:val="18"/>
                <w:szCs w:val="18"/>
                <w:lang w:val="en-GB"/>
              </w:rPr>
              <w:t>APSC</w:t>
            </w:r>
          </w:p>
        </w:tc>
        <w:tc>
          <w:tcPr>
            <w:tcW w:w="496" w:type="pct"/>
            <w:tcBorders>
              <w:bottom w:val="single" w:sz="12" w:space="0" w:color="auto"/>
            </w:tcBorders>
            <w:shd w:val="clear" w:color="auto" w:fill="auto"/>
            <w:hideMark/>
          </w:tcPr>
          <w:p w:rsidR="009532D4" w:rsidRPr="005F120D" w:rsidRDefault="001B6270" w:rsidP="000312AC">
            <w:pPr>
              <w:spacing w:after="0" w:line="276" w:lineRule="auto"/>
              <w:jc w:val="center"/>
              <w:rPr>
                <w:rFonts w:asciiTheme="minorHAnsi" w:hAnsiTheme="minorHAnsi" w:cstheme="minorHAnsi"/>
                <w:b/>
                <w:bCs/>
                <w:sz w:val="18"/>
                <w:szCs w:val="18"/>
                <w:lang w:val="en-GB"/>
              </w:rPr>
            </w:pPr>
            <w:r w:rsidRPr="005F120D">
              <w:rPr>
                <w:rFonts w:asciiTheme="minorHAnsi" w:hAnsiTheme="minorHAnsi" w:cstheme="minorHAnsi"/>
                <w:b/>
                <w:bCs/>
                <w:sz w:val="18"/>
                <w:szCs w:val="18"/>
                <w:lang w:val="en-GB"/>
              </w:rPr>
              <w:t>2014</w:t>
            </w:r>
            <w:r w:rsidR="009532D4" w:rsidRPr="005F120D">
              <w:rPr>
                <w:rFonts w:asciiTheme="minorHAnsi" w:hAnsiTheme="minorHAnsi" w:cstheme="minorHAnsi"/>
                <w:b/>
                <w:bCs/>
                <w:sz w:val="18"/>
                <w:szCs w:val="18"/>
                <w:lang w:val="en-GB"/>
              </w:rPr>
              <w:t xml:space="preserve"> PECE</w:t>
            </w:r>
          </w:p>
        </w:tc>
        <w:tc>
          <w:tcPr>
            <w:tcW w:w="586" w:type="pct"/>
            <w:vMerge/>
            <w:tcBorders>
              <w:bottom w:val="single" w:sz="12" w:space="0" w:color="auto"/>
            </w:tcBorders>
            <w:shd w:val="clear" w:color="auto" w:fill="C2D69B" w:themeFill="accent3" w:themeFillTint="99"/>
            <w:hideMark/>
          </w:tcPr>
          <w:p w:rsidR="009532D4" w:rsidRPr="005F120D" w:rsidRDefault="009532D4" w:rsidP="000312AC">
            <w:pPr>
              <w:spacing w:after="0" w:line="276" w:lineRule="auto"/>
              <w:jc w:val="right"/>
              <w:rPr>
                <w:rFonts w:asciiTheme="minorHAnsi" w:hAnsiTheme="minorHAnsi" w:cstheme="minorHAnsi"/>
                <w:b/>
                <w:bCs/>
                <w:sz w:val="18"/>
                <w:szCs w:val="18"/>
                <w:lang w:val="en-GB"/>
              </w:rPr>
            </w:pPr>
          </w:p>
        </w:tc>
        <w:tc>
          <w:tcPr>
            <w:tcW w:w="458" w:type="pct"/>
            <w:tcBorders>
              <w:bottom w:val="single" w:sz="12" w:space="0" w:color="auto"/>
            </w:tcBorders>
            <w:shd w:val="clear" w:color="auto" w:fill="auto"/>
            <w:hideMark/>
          </w:tcPr>
          <w:p w:rsidR="009532D4" w:rsidRPr="005F120D" w:rsidRDefault="00CA245E" w:rsidP="000312AC">
            <w:pPr>
              <w:spacing w:after="0" w:line="276" w:lineRule="auto"/>
              <w:jc w:val="center"/>
              <w:rPr>
                <w:rFonts w:asciiTheme="minorHAnsi" w:hAnsiTheme="minorHAnsi" w:cstheme="minorHAnsi"/>
                <w:b/>
                <w:bCs/>
                <w:sz w:val="18"/>
                <w:szCs w:val="18"/>
                <w:lang w:val="en-GB"/>
              </w:rPr>
            </w:pPr>
            <w:r w:rsidRPr="005F120D">
              <w:rPr>
                <w:rFonts w:asciiTheme="minorHAnsi" w:hAnsiTheme="minorHAnsi" w:cstheme="minorHAnsi"/>
                <w:b/>
                <w:bCs/>
                <w:sz w:val="18"/>
                <w:szCs w:val="18"/>
                <w:lang w:val="en-GB"/>
              </w:rPr>
              <w:t>2015</w:t>
            </w:r>
            <w:r w:rsidR="009532D4" w:rsidRPr="005F120D">
              <w:rPr>
                <w:rFonts w:asciiTheme="minorHAnsi" w:hAnsiTheme="minorHAnsi" w:cstheme="minorHAnsi"/>
                <w:b/>
                <w:bCs/>
                <w:sz w:val="18"/>
                <w:szCs w:val="18"/>
                <w:lang w:val="en-GB"/>
              </w:rPr>
              <w:t xml:space="preserve"> APSC </w:t>
            </w:r>
          </w:p>
        </w:tc>
        <w:tc>
          <w:tcPr>
            <w:tcW w:w="489" w:type="pct"/>
            <w:tcBorders>
              <w:bottom w:val="single" w:sz="12" w:space="0" w:color="auto"/>
            </w:tcBorders>
            <w:shd w:val="clear" w:color="auto" w:fill="auto"/>
            <w:hideMark/>
          </w:tcPr>
          <w:p w:rsidR="009532D4" w:rsidRPr="005F120D" w:rsidRDefault="00CA245E" w:rsidP="000312AC">
            <w:pPr>
              <w:spacing w:after="0" w:line="276" w:lineRule="auto"/>
              <w:jc w:val="center"/>
              <w:rPr>
                <w:rFonts w:asciiTheme="minorHAnsi" w:hAnsiTheme="minorHAnsi" w:cstheme="minorHAnsi"/>
                <w:b/>
                <w:bCs/>
                <w:sz w:val="18"/>
                <w:szCs w:val="18"/>
                <w:lang w:val="en-GB"/>
              </w:rPr>
            </w:pPr>
            <w:r w:rsidRPr="005F120D">
              <w:rPr>
                <w:rFonts w:asciiTheme="minorHAnsi" w:hAnsiTheme="minorHAnsi" w:cstheme="minorHAnsi"/>
                <w:b/>
                <w:bCs/>
                <w:sz w:val="18"/>
                <w:szCs w:val="18"/>
                <w:lang w:val="en-GB"/>
              </w:rPr>
              <w:t>2015</w:t>
            </w:r>
            <w:r w:rsidR="009532D4" w:rsidRPr="005F120D">
              <w:rPr>
                <w:rFonts w:asciiTheme="minorHAnsi" w:hAnsiTheme="minorHAnsi" w:cstheme="minorHAnsi"/>
                <w:b/>
                <w:bCs/>
                <w:sz w:val="18"/>
                <w:szCs w:val="18"/>
                <w:lang w:val="en-GB"/>
              </w:rPr>
              <w:t xml:space="preserve"> PECE</w:t>
            </w:r>
          </w:p>
        </w:tc>
        <w:tc>
          <w:tcPr>
            <w:tcW w:w="587" w:type="pct"/>
            <w:vMerge/>
            <w:tcBorders>
              <w:bottom w:val="single" w:sz="12" w:space="0" w:color="auto"/>
            </w:tcBorders>
          </w:tcPr>
          <w:p w:rsidR="009532D4" w:rsidRPr="005F120D" w:rsidRDefault="009532D4" w:rsidP="000312AC">
            <w:pPr>
              <w:spacing w:after="0" w:line="276" w:lineRule="auto"/>
              <w:jc w:val="right"/>
              <w:rPr>
                <w:rFonts w:asciiTheme="minorHAnsi" w:hAnsiTheme="minorHAnsi" w:cstheme="minorHAnsi"/>
                <w:b/>
                <w:bCs/>
                <w:sz w:val="18"/>
                <w:szCs w:val="18"/>
                <w:lang w:val="en-GB"/>
              </w:rPr>
            </w:pPr>
          </w:p>
        </w:tc>
        <w:tc>
          <w:tcPr>
            <w:tcW w:w="587" w:type="pct"/>
            <w:vMerge/>
            <w:tcBorders>
              <w:bottom w:val="single" w:sz="12" w:space="0" w:color="auto"/>
            </w:tcBorders>
          </w:tcPr>
          <w:p w:rsidR="009532D4" w:rsidRPr="005F120D" w:rsidRDefault="009532D4" w:rsidP="000312AC">
            <w:pPr>
              <w:spacing w:after="0" w:line="276" w:lineRule="auto"/>
              <w:jc w:val="right"/>
              <w:rPr>
                <w:rFonts w:asciiTheme="minorHAnsi" w:hAnsiTheme="minorHAnsi" w:cstheme="minorHAnsi"/>
                <w:b/>
                <w:bCs/>
                <w:sz w:val="18"/>
                <w:szCs w:val="18"/>
                <w:lang w:val="en-GB"/>
              </w:rPr>
            </w:pPr>
          </w:p>
        </w:tc>
      </w:tr>
      <w:tr w:rsidR="009532D4" w:rsidRPr="005F120D" w:rsidTr="000312AC">
        <w:trPr>
          <w:trHeight w:hRule="exact" w:val="201"/>
        </w:trPr>
        <w:tc>
          <w:tcPr>
            <w:tcW w:w="655" w:type="pct"/>
            <w:tcBorders>
              <w:top w:val="single" w:sz="4" w:space="0" w:color="auto"/>
              <w:bottom w:val="single" w:sz="4" w:space="0" w:color="auto"/>
            </w:tcBorders>
            <w:shd w:val="clear" w:color="auto" w:fill="auto"/>
            <w:hideMark/>
          </w:tcPr>
          <w:p w:rsidR="009532D4" w:rsidRPr="005F120D" w:rsidRDefault="009532D4" w:rsidP="000312AC">
            <w:pPr>
              <w:spacing w:after="0" w:line="276" w:lineRule="auto"/>
              <w:rPr>
                <w:rFonts w:asciiTheme="minorHAnsi" w:hAnsiTheme="minorHAnsi" w:cstheme="minorHAnsi"/>
                <w:sz w:val="18"/>
                <w:szCs w:val="18"/>
                <w:lang w:val="en-GB"/>
              </w:rPr>
            </w:pPr>
          </w:p>
        </w:tc>
        <w:tc>
          <w:tcPr>
            <w:tcW w:w="684" w:type="pct"/>
            <w:tcBorders>
              <w:top w:val="single" w:sz="4" w:space="0" w:color="auto"/>
              <w:bottom w:val="single" w:sz="4" w:space="0" w:color="auto"/>
            </w:tcBorders>
            <w:shd w:val="clear" w:color="auto" w:fill="auto"/>
            <w:hideMark/>
          </w:tcPr>
          <w:p w:rsidR="009532D4" w:rsidRPr="005F120D" w:rsidRDefault="009532D4" w:rsidP="000312AC">
            <w:pPr>
              <w:spacing w:after="0" w:line="276" w:lineRule="auto"/>
              <w:jc w:val="right"/>
              <w:rPr>
                <w:rFonts w:asciiTheme="minorHAnsi" w:hAnsiTheme="minorHAnsi" w:cstheme="minorHAnsi"/>
                <w:sz w:val="18"/>
                <w:szCs w:val="18"/>
                <w:lang w:val="en-GB"/>
              </w:rPr>
            </w:pPr>
          </w:p>
        </w:tc>
        <w:tc>
          <w:tcPr>
            <w:tcW w:w="458" w:type="pct"/>
            <w:tcBorders>
              <w:top w:val="single" w:sz="4" w:space="0" w:color="auto"/>
              <w:bottom w:val="single" w:sz="4" w:space="0" w:color="auto"/>
            </w:tcBorders>
            <w:shd w:val="clear" w:color="auto" w:fill="auto"/>
            <w:hideMark/>
          </w:tcPr>
          <w:p w:rsidR="009532D4" w:rsidRPr="005F120D" w:rsidRDefault="009532D4" w:rsidP="000312AC">
            <w:pPr>
              <w:spacing w:after="0" w:line="276" w:lineRule="auto"/>
              <w:jc w:val="center"/>
              <w:rPr>
                <w:rFonts w:asciiTheme="minorHAnsi" w:hAnsiTheme="minorHAnsi" w:cstheme="minorHAnsi"/>
                <w:b/>
                <w:bCs/>
                <w:sz w:val="16"/>
                <w:szCs w:val="16"/>
                <w:lang w:val="en-GB"/>
              </w:rPr>
            </w:pPr>
            <w:r w:rsidRPr="005F120D">
              <w:rPr>
                <w:rFonts w:asciiTheme="minorHAnsi" w:hAnsiTheme="minorHAnsi" w:cstheme="minorHAnsi"/>
                <w:b/>
                <w:bCs/>
                <w:sz w:val="16"/>
                <w:szCs w:val="16"/>
                <w:lang w:val="en-GB"/>
              </w:rPr>
              <w:t>(1)</w:t>
            </w:r>
          </w:p>
        </w:tc>
        <w:tc>
          <w:tcPr>
            <w:tcW w:w="496" w:type="pct"/>
            <w:tcBorders>
              <w:top w:val="single" w:sz="4" w:space="0" w:color="auto"/>
              <w:bottom w:val="single" w:sz="4" w:space="0" w:color="auto"/>
            </w:tcBorders>
            <w:shd w:val="clear" w:color="auto" w:fill="auto"/>
            <w:hideMark/>
          </w:tcPr>
          <w:p w:rsidR="009532D4" w:rsidRPr="005F120D" w:rsidRDefault="009532D4" w:rsidP="000312AC">
            <w:pPr>
              <w:spacing w:after="0" w:line="276" w:lineRule="auto"/>
              <w:jc w:val="center"/>
              <w:rPr>
                <w:rFonts w:asciiTheme="minorHAnsi" w:hAnsiTheme="minorHAnsi" w:cstheme="minorHAnsi"/>
                <w:b/>
                <w:bCs/>
                <w:sz w:val="16"/>
                <w:szCs w:val="16"/>
                <w:lang w:val="en-GB"/>
              </w:rPr>
            </w:pPr>
            <w:r w:rsidRPr="005F120D">
              <w:rPr>
                <w:rFonts w:asciiTheme="minorHAnsi" w:hAnsiTheme="minorHAnsi" w:cstheme="minorHAnsi"/>
                <w:b/>
                <w:bCs/>
                <w:sz w:val="16"/>
                <w:szCs w:val="16"/>
                <w:lang w:val="en-GB"/>
              </w:rPr>
              <w:t>(2)</w:t>
            </w:r>
          </w:p>
        </w:tc>
        <w:tc>
          <w:tcPr>
            <w:tcW w:w="586" w:type="pct"/>
            <w:tcBorders>
              <w:top w:val="single" w:sz="4" w:space="0" w:color="auto"/>
              <w:bottom w:val="single" w:sz="4" w:space="0" w:color="auto"/>
            </w:tcBorders>
            <w:shd w:val="clear" w:color="auto" w:fill="C2D69B" w:themeFill="accent3" w:themeFillTint="99"/>
            <w:hideMark/>
          </w:tcPr>
          <w:p w:rsidR="009532D4" w:rsidRPr="005F120D" w:rsidRDefault="009532D4" w:rsidP="000312AC">
            <w:pPr>
              <w:spacing w:after="0" w:line="276" w:lineRule="auto"/>
              <w:jc w:val="center"/>
              <w:rPr>
                <w:rFonts w:asciiTheme="minorHAnsi" w:hAnsiTheme="minorHAnsi" w:cstheme="minorHAnsi"/>
                <w:sz w:val="16"/>
                <w:szCs w:val="16"/>
              </w:rPr>
            </w:pPr>
          </w:p>
        </w:tc>
        <w:tc>
          <w:tcPr>
            <w:tcW w:w="458" w:type="pct"/>
            <w:tcBorders>
              <w:top w:val="single" w:sz="4" w:space="0" w:color="auto"/>
              <w:bottom w:val="single" w:sz="4" w:space="0" w:color="auto"/>
            </w:tcBorders>
            <w:shd w:val="clear" w:color="auto" w:fill="auto"/>
            <w:hideMark/>
          </w:tcPr>
          <w:p w:rsidR="009532D4" w:rsidRPr="005F120D" w:rsidRDefault="00927AC2" w:rsidP="000312AC">
            <w:pPr>
              <w:spacing w:after="0" w:line="276" w:lineRule="auto"/>
              <w:jc w:val="center"/>
              <w:rPr>
                <w:rFonts w:asciiTheme="minorHAnsi" w:hAnsiTheme="minorHAnsi" w:cstheme="minorHAnsi"/>
                <w:b/>
                <w:bCs/>
                <w:sz w:val="16"/>
                <w:szCs w:val="16"/>
                <w:lang w:val="en-GB"/>
              </w:rPr>
            </w:pPr>
            <w:r w:rsidRPr="005F120D">
              <w:rPr>
                <w:rFonts w:asciiTheme="minorHAnsi" w:hAnsiTheme="minorHAnsi" w:cstheme="minorHAnsi"/>
                <w:b/>
                <w:bCs/>
                <w:sz w:val="16"/>
                <w:szCs w:val="16"/>
                <w:lang w:val="en-GB"/>
              </w:rPr>
              <w:t>(3</w:t>
            </w:r>
            <w:r w:rsidR="009532D4" w:rsidRPr="005F120D">
              <w:rPr>
                <w:rFonts w:asciiTheme="minorHAnsi" w:hAnsiTheme="minorHAnsi" w:cstheme="minorHAnsi"/>
                <w:b/>
                <w:bCs/>
                <w:sz w:val="16"/>
                <w:szCs w:val="16"/>
                <w:lang w:val="en-GB"/>
              </w:rPr>
              <w:t>)</w:t>
            </w:r>
          </w:p>
        </w:tc>
        <w:tc>
          <w:tcPr>
            <w:tcW w:w="489" w:type="pct"/>
            <w:tcBorders>
              <w:top w:val="single" w:sz="4" w:space="0" w:color="auto"/>
              <w:bottom w:val="single" w:sz="4" w:space="0" w:color="auto"/>
            </w:tcBorders>
            <w:shd w:val="clear" w:color="auto" w:fill="auto"/>
            <w:hideMark/>
          </w:tcPr>
          <w:p w:rsidR="009532D4" w:rsidRPr="005F120D" w:rsidRDefault="009532D4" w:rsidP="000312AC">
            <w:pPr>
              <w:spacing w:after="0" w:line="276" w:lineRule="auto"/>
              <w:jc w:val="center"/>
              <w:rPr>
                <w:rFonts w:asciiTheme="minorHAnsi" w:hAnsiTheme="minorHAnsi" w:cstheme="minorHAnsi"/>
                <w:b/>
                <w:bCs/>
                <w:sz w:val="16"/>
                <w:szCs w:val="16"/>
                <w:lang w:val="en-GB"/>
              </w:rPr>
            </w:pPr>
            <w:r w:rsidRPr="005F120D">
              <w:rPr>
                <w:rFonts w:asciiTheme="minorHAnsi" w:hAnsiTheme="minorHAnsi" w:cstheme="minorHAnsi"/>
                <w:b/>
                <w:bCs/>
                <w:sz w:val="16"/>
                <w:szCs w:val="16"/>
                <w:lang w:val="en-GB"/>
              </w:rPr>
              <w:t>(</w:t>
            </w:r>
            <w:r w:rsidR="00927AC2" w:rsidRPr="005F120D">
              <w:rPr>
                <w:rFonts w:asciiTheme="minorHAnsi" w:hAnsiTheme="minorHAnsi" w:cstheme="minorHAnsi"/>
                <w:b/>
                <w:bCs/>
                <w:sz w:val="16"/>
                <w:szCs w:val="16"/>
                <w:lang w:val="en-GB"/>
              </w:rPr>
              <w:t>4</w:t>
            </w:r>
            <w:r w:rsidRPr="005F120D">
              <w:rPr>
                <w:rFonts w:asciiTheme="minorHAnsi" w:hAnsiTheme="minorHAnsi" w:cstheme="minorHAnsi"/>
                <w:b/>
                <w:bCs/>
                <w:sz w:val="16"/>
                <w:szCs w:val="16"/>
                <w:lang w:val="en-GB"/>
              </w:rPr>
              <w:t>)</w:t>
            </w:r>
          </w:p>
        </w:tc>
        <w:tc>
          <w:tcPr>
            <w:tcW w:w="587" w:type="pct"/>
            <w:tcBorders>
              <w:top w:val="single" w:sz="4" w:space="0" w:color="auto"/>
              <w:bottom w:val="single" w:sz="4" w:space="0" w:color="auto"/>
            </w:tcBorders>
          </w:tcPr>
          <w:p w:rsidR="009532D4" w:rsidRPr="005F120D" w:rsidRDefault="009532D4" w:rsidP="000312AC">
            <w:pPr>
              <w:spacing w:after="0" w:line="276" w:lineRule="auto"/>
              <w:jc w:val="center"/>
              <w:rPr>
                <w:rFonts w:asciiTheme="minorHAnsi" w:hAnsiTheme="minorHAnsi" w:cstheme="minorHAnsi"/>
                <w:b/>
                <w:sz w:val="16"/>
                <w:szCs w:val="16"/>
              </w:rPr>
            </w:pPr>
          </w:p>
        </w:tc>
        <w:tc>
          <w:tcPr>
            <w:tcW w:w="587" w:type="pct"/>
            <w:tcBorders>
              <w:top w:val="single" w:sz="4" w:space="0" w:color="auto"/>
              <w:bottom w:val="single" w:sz="4" w:space="0" w:color="auto"/>
            </w:tcBorders>
          </w:tcPr>
          <w:p w:rsidR="009532D4" w:rsidRPr="005F120D" w:rsidRDefault="009532D4" w:rsidP="000312AC">
            <w:pPr>
              <w:spacing w:after="0" w:line="276" w:lineRule="auto"/>
              <w:jc w:val="center"/>
              <w:rPr>
                <w:rFonts w:asciiTheme="minorHAnsi" w:hAnsiTheme="minorHAnsi" w:cstheme="minorHAnsi"/>
                <w:b/>
                <w:sz w:val="18"/>
                <w:szCs w:val="18"/>
              </w:rPr>
            </w:pPr>
          </w:p>
        </w:tc>
      </w:tr>
      <w:tr w:rsidR="009430CE" w:rsidRPr="005F120D" w:rsidTr="000312AC">
        <w:trPr>
          <w:trHeight w:hRule="exact" w:val="235"/>
        </w:trPr>
        <w:tc>
          <w:tcPr>
            <w:tcW w:w="655"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rPr>
                <w:rFonts w:asciiTheme="minorHAnsi" w:hAnsiTheme="minorHAnsi" w:cstheme="minorHAnsi"/>
                <w:b/>
                <w:sz w:val="18"/>
                <w:szCs w:val="18"/>
                <w:lang w:val="en-GB"/>
              </w:rPr>
            </w:pPr>
            <w:r w:rsidRPr="005F120D">
              <w:rPr>
                <w:rFonts w:asciiTheme="minorHAnsi" w:hAnsiTheme="minorHAnsi" w:cstheme="minorHAnsi"/>
                <w:b/>
                <w:sz w:val="18"/>
                <w:szCs w:val="18"/>
                <w:lang w:val="en-GB"/>
              </w:rPr>
              <w:t>GPS</w:t>
            </w:r>
            <w:r w:rsidRPr="005F120D">
              <w:rPr>
                <w:rFonts w:asciiTheme="minorHAnsi" w:hAnsiTheme="minorHAnsi" w:cstheme="minorHAnsi"/>
                <w:b/>
                <w:sz w:val="18"/>
                <w:szCs w:val="18"/>
                <w:vertAlign w:val="superscript"/>
                <w:lang w:val="en-GB"/>
              </w:rPr>
              <w:t>1</w:t>
            </w:r>
          </w:p>
        </w:tc>
        <w:tc>
          <w:tcPr>
            <w:tcW w:w="684"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right"/>
              <w:rPr>
                <w:rFonts w:asciiTheme="minorHAnsi" w:hAnsiTheme="minorHAnsi" w:cstheme="minorHAnsi"/>
                <w:sz w:val="18"/>
                <w:szCs w:val="18"/>
                <w:lang w:val="en-GB"/>
              </w:rPr>
            </w:pPr>
          </w:p>
        </w:tc>
        <w:tc>
          <w:tcPr>
            <w:tcW w:w="458"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38,033</w:t>
            </w:r>
          </w:p>
        </w:tc>
        <w:tc>
          <w:tcPr>
            <w:tcW w:w="496"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38,004</w:t>
            </w:r>
          </w:p>
        </w:tc>
        <w:tc>
          <w:tcPr>
            <w:tcW w:w="586" w:type="pct"/>
            <w:tcBorders>
              <w:top w:val="single" w:sz="4" w:space="0" w:color="auto"/>
              <w:bottom w:val="nil"/>
            </w:tcBorders>
            <w:shd w:val="clear" w:color="auto" w:fill="C2D69B" w:themeFill="accent3" w:themeFillTint="99"/>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-0.08</w:t>
            </w:r>
          </w:p>
        </w:tc>
        <w:tc>
          <w:tcPr>
            <w:tcW w:w="458"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38,306</w:t>
            </w:r>
          </w:p>
        </w:tc>
        <w:tc>
          <w:tcPr>
            <w:tcW w:w="489"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38,212</w:t>
            </w:r>
          </w:p>
        </w:tc>
        <w:tc>
          <w:tcPr>
            <w:tcW w:w="587" w:type="pct"/>
            <w:tcBorders>
              <w:top w:val="single" w:sz="4" w:space="0" w:color="auto"/>
              <w:bottom w:val="nil"/>
            </w:tcBorders>
            <w:shd w:val="clear" w:color="auto" w:fill="C2D69B" w:themeFill="accent3" w:themeFillTint="99"/>
          </w:tcPr>
          <w:p w:rsidR="009430CE" w:rsidRPr="005F120D" w:rsidRDefault="009430CE"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-0.25</w:t>
            </w:r>
          </w:p>
        </w:tc>
        <w:tc>
          <w:tcPr>
            <w:tcW w:w="587" w:type="pct"/>
            <w:tcBorders>
              <w:top w:val="single" w:sz="4" w:space="0" w:color="auto"/>
              <w:bottom w:val="nil"/>
            </w:tcBorders>
            <w:shd w:val="clear" w:color="auto" w:fill="D6E3BC" w:themeFill="accent3" w:themeFillTint="66"/>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0.71</w:t>
            </w:r>
          </w:p>
        </w:tc>
      </w:tr>
      <w:tr w:rsidR="009430CE" w:rsidRPr="005F120D" w:rsidTr="000312AC">
        <w:trPr>
          <w:trHeight w:hRule="exact" w:val="225"/>
        </w:trPr>
        <w:tc>
          <w:tcPr>
            <w:tcW w:w="655" w:type="pct"/>
            <w:tcBorders>
              <w:top w:val="nil"/>
              <w:bottom w:val="single" w:sz="4" w:space="0" w:color="auto"/>
            </w:tcBorders>
            <w:shd w:val="clear" w:color="auto" w:fill="auto"/>
            <w:hideMark/>
          </w:tcPr>
          <w:p w:rsidR="009430CE" w:rsidRPr="005F120D" w:rsidRDefault="009430CE" w:rsidP="000312AC">
            <w:pPr>
              <w:spacing w:after="0" w:line="276" w:lineRule="auto"/>
              <w:rPr>
                <w:rFonts w:asciiTheme="minorHAnsi" w:hAnsiTheme="minorHAnsi" w:cstheme="minorHAnsi"/>
                <w:b/>
                <w:sz w:val="18"/>
                <w:szCs w:val="18"/>
                <w:lang w:val="en-GB"/>
              </w:rPr>
            </w:pPr>
            <w:r w:rsidRPr="005F120D">
              <w:rPr>
                <w:rFonts w:asciiTheme="minorHAnsi" w:hAnsiTheme="minorHAnsi" w:cstheme="minorHAnsi"/>
                <w:b/>
                <w:sz w:val="18"/>
                <w:szCs w:val="18"/>
                <w:lang w:val="en-GB"/>
              </w:rPr>
              <w:t>Experimental</w:t>
            </w:r>
          </w:p>
        </w:tc>
        <w:tc>
          <w:tcPr>
            <w:tcW w:w="684" w:type="pct"/>
            <w:tcBorders>
              <w:top w:val="nil"/>
              <w:bottom w:val="single" w:sz="4" w:space="0" w:color="auto"/>
            </w:tcBorders>
            <w:shd w:val="clear" w:color="auto" w:fill="auto"/>
            <w:hideMark/>
          </w:tcPr>
          <w:p w:rsidR="009430CE" w:rsidRPr="005F120D" w:rsidRDefault="009430CE" w:rsidP="000312AC">
            <w:pPr>
              <w:spacing w:after="0" w:line="276" w:lineRule="auto"/>
              <w:jc w:val="right"/>
              <w:rPr>
                <w:rFonts w:asciiTheme="minorHAnsi" w:hAnsiTheme="minorHAnsi" w:cstheme="minorHAnsi"/>
                <w:sz w:val="18"/>
                <w:szCs w:val="18"/>
                <w:lang w:val="en-GB"/>
              </w:rPr>
            </w:pPr>
          </w:p>
        </w:tc>
        <w:tc>
          <w:tcPr>
            <w:tcW w:w="458"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55</w:t>
            </w:r>
          </w:p>
        </w:tc>
        <w:tc>
          <w:tcPr>
            <w:tcW w:w="496"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56</w:t>
            </w:r>
          </w:p>
        </w:tc>
        <w:tc>
          <w:tcPr>
            <w:tcW w:w="586" w:type="pct"/>
            <w:tcBorders>
              <w:top w:val="nil"/>
              <w:bottom w:val="single" w:sz="4" w:space="0" w:color="auto"/>
            </w:tcBorders>
            <w:shd w:val="clear" w:color="auto" w:fill="C2D69B" w:themeFill="accent3" w:themeFillTint="99"/>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1.82</w:t>
            </w:r>
          </w:p>
        </w:tc>
        <w:tc>
          <w:tcPr>
            <w:tcW w:w="458"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55</w:t>
            </w:r>
          </w:p>
        </w:tc>
        <w:tc>
          <w:tcPr>
            <w:tcW w:w="489"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56</w:t>
            </w:r>
          </w:p>
        </w:tc>
        <w:tc>
          <w:tcPr>
            <w:tcW w:w="587" w:type="pct"/>
            <w:tcBorders>
              <w:top w:val="nil"/>
              <w:bottom w:val="single" w:sz="4" w:space="0" w:color="auto"/>
            </w:tcBorders>
          </w:tcPr>
          <w:p w:rsidR="009430CE" w:rsidRPr="005F120D" w:rsidRDefault="009430CE"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1.79</w:t>
            </w:r>
          </w:p>
        </w:tc>
        <w:tc>
          <w:tcPr>
            <w:tcW w:w="587" w:type="pct"/>
            <w:tcBorders>
              <w:top w:val="nil"/>
              <w:bottom w:val="single" w:sz="4" w:space="0" w:color="auto"/>
            </w:tcBorders>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0.00</w:t>
            </w:r>
          </w:p>
        </w:tc>
      </w:tr>
      <w:tr w:rsidR="009430CE" w:rsidRPr="005F120D" w:rsidTr="000312AC">
        <w:trPr>
          <w:trHeight w:hRule="exact" w:val="360"/>
        </w:trPr>
        <w:tc>
          <w:tcPr>
            <w:tcW w:w="655"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rPr>
                <w:rFonts w:asciiTheme="minorHAnsi" w:hAnsiTheme="minorHAnsi" w:cstheme="minorHAnsi"/>
                <w:b/>
                <w:sz w:val="18"/>
                <w:szCs w:val="18"/>
                <w:lang w:val="en-GB"/>
              </w:rPr>
            </w:pPr>
            <w:r w:rsidRPr="005F120D">
              <w:rPr>
                <w:rFonts w:asciiTheme="minorHAnsi" w:hAnsiTheme="minorHAnsi" w:cstheme="minorHAnsi"/>
                <w:b/>
                <w:sz w:val="18"/>
                <w:szCs w:val="18"/>
                <w:lang w:val="en-GB"/>
              </w:rPr>
              <w:t>NNPS</w:t>
            </w:r>
          </w:p>
        </w:tc>
        <w:tc>
          <w:tcPr>
            <w:tcW w:w="684"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right"/>
              <w:rPr>
                <w:rFonts w:asciiTheme="minorHAnsi" w:hAnsiTheme="minorHAnsi" w:cstheme="minorHAnsi"/>
                <w:sz w:val="18"/>
                <w:szCs w:val="18"/>
                <w:lang w:val="en-GB"/>
              </w:rPr>
            </w:pPr>
          </w:p>
        </w:tc>
        <w:tc>
          <w:tcPr>
            <w:tcW w:w="458"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25,008</w:t>
            </w:r>
          </w:p>
        </w:tc>
        <w:tc>
          <w:tcPr>
            <w:tcW w:w="496"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25,166</w:t>
            </w:r>
          </w:p>
        </w:tc>
        <w:tc>
          <w:tcPr>
            <w:tcW w:w="586" w:type="pct"/>
            <w:tcBorders>
              <w:top w:val="single" w:sz="4" w:space="0" w:color="auto"/>
              <w:bottom w:val="nil"/>
            </w:tcBorders>
            <w:shd w:val="clear" w:color="auto" w:fill="C2D69B" w:themeFill="accent3" w:themeFillTint="99"/>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0.63</w:t>
            </w:r>
          </w:p>
        </w:tc>
        <w:tc>
          <w:tcPr>
            <w:tcW w:w="458"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25,240</w:t>
            </w:r>
          </w:p>
        </w:tc>
        <w:tc>
          <w:tcPr>
            <w:tcW w:w="489"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25,465</w:t>
            </w:r>
          </w:p>
        </w:tc>
        <w:tc>
          <w:tcPr>
            <w:tcW w:w="587" w:type="pct"/>
            <w:tcBorders>
              <w:top w:val="single" w:sz="4" w:space="0" w:color="auto"/>
              <w:bottom w:val="nil"/>
            </w:tcBorders>
            <w:shd w:val="clear" w:color="auto" w:fill="C2D69B" w:themeFill="accent3" w:themeFillTint="99"/>
          </w:tcPr>
          <w:p w:rsidR="009430CE" w:rsidRPr="005F120D" w:rsidRDefault="009430CE"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0.88</w:t>
            </w:r>
          </w:p>
        </w:tc>
        <w:tc>
          <w:tcPr>
            <w:tcW w:w="587" w:type="pct"/>
            <w:tcBorders>
              <w:top w:val="single" w:sz="4" w:space="0" w:color="auto"/>
              <w:bottom w:val="nil"/>
            </w:tcBorders>
            <w:shd w:val="clear" w:color="auto" w:fill="D6E3BC" w:themeFill="accent3" w:themeFillTint="66"/>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0.92</w:t>
            </w:r>
          </w:p>
        </w:tc>
      </w:tr>
      <w:tr w:rsidR="009430CE" w:rsidRPr="005F120D" w:rsidTr="000312AC">
        <w:trPr>
          <w:trHeight w:hRule="exact" w:val="207"/>
        </w:trPr>
        <w:tc>
          <w:tcPr>
            <w:tcW w:w="655" w:type="pct"/>
            <w:tcBorders>
              <w:top w:val="nil"/>
              <w:bottom w:val="single" w:sz="4" w:space="0" w:color="auto"/>
            </w:tcBorders>
            <w:shd w:val="clear" w:color="auto" w:fill="auto"/>
            <w:hideMark/>
          </w:tcPr>
          <w:p w:rsidR="009430CE" w:rsidRPr="005F120D" w:rsidRDefault="009430CE" w:rsidP="000312AC">
            <w:pPr>
              <w:spacing w:after="0" w:line="276" w:lineRule="auto"/>
              <w:rPr>
                <w:rFonts w:asciiTheme="minorHAnsi" w:hAnsiTheme="minorHAnsi" w:cstheme="minorHAnsi"/>
                <w:b/>
                <w:sz w:val="18"/>
                <w:szCs w:val="18"/>
                <w:lang w:val="en-GB"/>
              </w:rPr>
            </w:pPr>
            <w:r w:rsidRPr="005F120D">
              <w:rPr>
                <w:rFonts w:asciiTheme="minorHAnsi" w:hAnsiTheme="minorHAnsi" w:cstheme="minorHAnsi"/>
                <w:b/>
                <w:sz w:val="18"/>
                <w:szCs w:val="18"/>
                <w:lang w:val="en-GB"/>
              </w:rPr>
              <w:t>Community</w:t>
            </w:r>
          </w:p>
        </w:tc>
        <w:tc>
          <w:tcPr>
            <w:tcW w:w="684" w:type="pct"/>
            <w:tcBorders>
              <w:top w:val="nil"/>
              <w:bottom w:val="single" w:sz="4" w:space="0" w:color="auto"/>
            </w:tcBorders>
            <w:shd w:val="clear" w:color="auto" w:fill="auto"/>
            <w:hideMark/>
          </w:tcPr>
          <w:p w:rsidR="009430CE" w:rsidRPr="005F120D" w:rsidRDefault="009430CE" w:rsidP="000312AC">
            <w:pPr>
              <w:spacing w:after="0" w:line="276" w:lineRule="auto"/>
              <w:jc w:val="right"/>
              <w:rPr>
                <w:rFonts w:asciiTheme="minorHAnsi" w:hAnsiTheme="minorHAnsi" w:cstheme="minorHAnsi"/>
                <w:sz w:val="18"/>
                <w:szCs w:val="18"/>
                <w:lang w:val="en-GB"/>
              </w:rPr>
            </w:pPr>
          </w:p>
        </w:tc>
        <w:tc>
          <w:tcPr>
            <w:tcW w:w="458"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120</w:t>
            </w:r>
          </w:p>
        </w:tc>
        <w:tc>
          <w:tcPr>
            <w:tcW w:w="496"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74</w:t>
            </w:r>
          </w:p>
        </w:tc>
        <w:tc>
          <w:tcPr>
            <w:tcW w:w="586" w:type="pct"/>
            <w:tcBorders>
              <w:top w:val="nil"/>
              <w:bottom w:val="single" w:sz="4" w:space="0" w:color="auto"/>
            </w:tcBorders>
            <w:shd w:val="clear" w:color="auto" w:fill="C2D69B" w:themeFill="accent3" w:themeFillTint="99"/>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-38.33</w:t>
            </w:r>
          </w:p>
        </w:tc>
        <w:tc>
          <w:tcPr>
            <w:tcW w:w="458"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106</w:t>
            </w:r>
          </w:p>
        </w:tc>
        <w:tc>
          <w:tcPr>
            <w:tcW w:w="489"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79</w:t>
            </w:r>
          </w:p>
        </w:tc>
        <w:tc>
          <w:tcPr>
            <w:tcW w:w="587" w:type="pct"/>
            <w:tcBorders>
              <w:top w:val="nil"/>
              <w:bottom w:val="single" w:sz="4" w:space="0" w:color="auto"/>
            </w:tcBorders>
          </w:tcPr>
          <w:p w:rsidR="009430CE" w:rsidRPr="005F120D" w:rsidRDefault="009430CE"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-34.18</w:t>
            </w:r>
          </w:p>
        </w:tc>
        <w:tc>
          <w:tcPr>
            <w:tcW w:w="587" w:type="pct"/>
            <w:tcBorders>
              <w:top w:val="nil"/>
              <w:bottom w:val="single" w:sz="4" w:space="0" w:color="auto"/>
            </w:tcBorders>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-13.21</w:t>
            </w:r>
          </w:p>
        </w:tc>
      </w:tr>
      <w:tr w:rsidR="009430CE" w:rsidRPr="005F120D" w:rsidTr="000312AC">
        <w:trPr>
          <w:trHeight w:hRule="exact" w:val="757"/>
        </w:trPr>
        <w:tc>
          <w:tcPr>
            <w:tcW w:w="655"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rPr>
                <w:rFonts w:asciiTheme="minorHAnsi" w:hAnsiTheme="minorHAnsi" w:cstheme="minorHAnsi"/>
                <w:b/>
                <w:sz w:val="18"/>
                <w:szCs w:val="18"/>
                <w:lang w:val="en-GB"/>
              </w:rPr>
            </w:pPr>
            <w:r w:rsidRPr="005F120D">
              <w:rPr>
                <w:rFonts w:asciiTheme="minorHAnsi" w:hAnsiTheme="minorHAnsi" w:cstheme="minorHAnsi"/>
                <w:b/>
                <w:sz w:val="18"/>
                <w:szCs w:val="18"/>
                <w:lang w:val="en-GB"/>
              </w:rPr>
              <w:t>‘Other’</w:t>
            </w:r>
          </w:p>
        </w:tc>
        <w:tc>
          <w:tcPr>
            <w:tcW w:w="684" w:type="pct"/>
            <w:tcBorders>
              <w:top w:val="single" w:sz="4" w:space="0" w:color="auto"/>
              <w:bottom w:val="nil"/>
            </w:tcBorders>
            <w:shd w:val="clear" w:color="auto" w:fill="D6E3BC" w:themeFill="accent3" w:themeFillTint="66"/>
            <w:hideMark/>
          </w:tcPr>
          <w:p w:rsidR="009430CE" w:rsidRPr="005F120D" w:rsidRDefault="000312AC" w:rsidP="000312AC">
            <w:pPr>
              <w:spacing w:after="0" w:line="276" w:lineRule="auto"/>
              <w:jc w:val="right"/>
              <w:rPr>
                <w:rFonts w:asciiTheme="minorHAnsi" w:hAnsiTheme="minorHAnsi" w:cstheme="minorHAnsi"/>
                <w:sz w:val="18"/>
                <w:szCs w:val="18"/>
                <w:lang w:val="en-GB"/>
              </w:rPr>
            </w:pPr>
            <w:r w:rsidRPr="005F120D">
              <w:rPr>
                <w:rFonts w:asciiTheme="minorHAnsi" w:hAnsiTheme="minorHAnsi" w:cstheme="minorHAnsi"/>
                <w:sz w:val="18"/>
                <w:szCs w:val="18"/>
                <w:lang w:val="en-GB"/>
              </w:rPr>
              <w:t>NGO, KG</w:t>
            </w:r>
            <w:r w:rsidR="009430CE" w:rsidRPr="005F120D">
              <w:rPr>
                <w:rFonts w:asciiTheme="minorHAnsi" w:hAnsiTheme="minorHAnsi" w:cstheme="minorHAnsi"/>
                <w:sz w:val="18"/>
                <w:szCs w:val="18"/>
                <w:lang w:val="en-GB"/>
              </w:rPr>
              <w:t>, NRNGPS, RNGPS. etc.</w:t>
            </w:r>
          </w:p>
        </w:tc>
        <w:tc>
          <w:tcPr>
            <w:tcW w:w="458"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23,881</w:t>
            </w:r>
          </w:p>
        </w:tc>
        <w:tc>
          <w:tcPr>
            <w:tcW w:w="496"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20,516</w:t>
            </w:r>
          </w:p>
        </w:tc>
        <w:tc>
          <w:tcPr>
            <w:tcW w:w="586" w:type="pct"/>
            <w:tcBorders>
              <w:top w:val="single" w:sz="4" w:space="0" w:color="auto"/>
              <w:bottom w:val="nil"/>
            </w:tcBorders>
            <w:shd w:val="clear" w:color="auto" w:fill="C2D69B" w:themeFill="accent3" w:themeFillTint="99"/>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-14.09</w:t>
            </w:r>
          </w:p>
        </w:tc>
        <w:tc>
          <w:tcPr>
            <w:tcW w:w="458"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28507</w:t>
            </w:r>
          </w:p>
        </w:tc>
        <w:tc>
          <w:tcPr>
            <w:tcW w:w="489"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26,549</w:t>
            </w:r>
          </w:p>
        </w:tc>
        <w:tc>
          <w:tcPr>
            <w:tcW w:w="587" w:type="pct"/>
            <w:tcBorders>
              <w:top w:val="single" w:sz="4" w:space="0" w:color="auto"/>
              <w:bottom w:val="nil"/>
            </w:tcBorders>
            <w:shd w:val="clear" w:color="auto" w:fill="C2D69B" w:themeFill="accent3" w:themeFillTint="99"/>
          </w:tcPr>
          <w:p w:rsidR="009430CE" w:rsidRPr="005F120D" w:rsidRDefault="000312AC"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-7.38</w:t>
            </w:r>
          </w:p>
        </w:tc>
        <w:tc>
          <w:tcPr>
            <w:tcW w:w="587" w:type="pct"/>
            <w:tcBorders>
              <w:top w:val="single" w:sz="4" w:space="0" w:color="auto"/>
              <w:bottom w:val="nil"/>
            </w:tcBorders>
            <w:shd w:val="clear" w:color="auto" w:fill="D6E3BC" w:themeFill="accent3" w:themeFillTint="66"/>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16.23</w:t>
            </w:r>
          </w:p>
        </w:tc>
      </w:tr>
      <w:tr w:rsidR="009430CE" w:rsidRPr="005F120D" w:rsidTr="000312AC">
        <w:trPr>
          <w:trHeight w:hRule="exact" w:val="441"/>
        </w:trPr>
        <w:tc>
          <w:tcPr>
            <w:tcW w:w="655" w:type="pct"/>
            <w:tcBorders>
              <w:top w:val="nil"/>
              <w:bottom w:val="single" w:sz="4" w:space="0" w:color="auto"/>
            </w:tcBorders>
            <w:shd w:val="clear" w:color="auto" w:fill="auto"/>
            <w:hideMark/>
          </w:tcPr>
          <w:p w:rsidR="009430CE" w:rsidRPr="005F120D" w:rsidRDefault="009430CE" w:rsidP="000312AC">
            <w:pPr>
              <w:spacing w:after="0" w:line="276" w:lineRule="auto"/>
              <w:rPr>
                <w:rFonts w:asciiTheme="minorHAnsi" w:hAnsiTheme="minorHAnsi" w:cstheme="minorHAnsi"/>
                <w:b/>
                <w:sz w:val="18"/>
                <w:szCs w:val="18"/>
                <w:lang w:val="en-GB"/>
              </w:rPr>
            </w:pPr>
          </w:p>
        </w:tc>
        <w:tc>
          <w:tcPr>
            <w:tcW w:w="684" w:type="pct"/>
            <w:tcBorders>
              <w:top w:val="nil"/>
              <w:bottom w:val="single" w:sz="4" w:space="0" w:color="auto"/>
            </w:tcBorders>
            <w:shd w:val="clear" w:color="auto" w:fill="auto"/>
            <w:hideMark/>
          </w:tcPr>
          <w:p w:rsidR="009430CE" w:rsidRPr="005F120D" w:rsidRDefault="009430CE" w:rsidP="000312AC">
            <w:pPr>
              <w:spacing w:after="0" w:line="276" w:lineRule="auto"/>
              <w:jc w:val="right"/>
              <w:rPr>
                <w:rFonts w:asciiTheme="minorHAnsi" w:hAnsiTheme="minorHAnsi" w:cstheme="minorHAnsi"/>
                <w:sz w:val="18"/>
                <w:szCs w:val="18"/>
                <w:lang w:val="en-GB"/>
              </w:rPr>
            </w:pPr>
            <w:r w:rsidRPr="005F120D">
              <w:rPr>
                <w:rFonts w:asciiTheme="minorHAnsi" w:hAnsiTheme="minorHAnsi" w:cstheme="minorHAnsi"/>
                <w:sz w:val="18"/>
                <w:szCs w:val="18"/>
                <w:lang w:val="en-GB"/>
              </w:rPr>
              <w:t>High school-attached</w:t>
            </w:r>
          </w:p>
        </w:tc>
        <w:tc>
          <w:tcPr>
            <w:tcW w:w="458"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1,511</w:t>
            </w:r>
          </w:p>
        </w:tc>
        <w:tc>
          <w:tcPr>
            <w:tcW w:w="496"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1,830</w:t>
            </w:r>
          </w:p>
        </w:tc>
        <w:tc>
          <w:tcPr>
            <w:tcW w:w="586" w:type="pct"/>
            <w:tcBorders>
              <w:top w:val="nil"/>
              <w:bottom w:val="single" w:sz="4" w:space="0" w:color="auto"/>
            </w:tcBorders>
            <w:shd w:val="clear" w:color="auto" w:fill="C2D69B" w:themeFill="accent3" w:themeFillTint="99"/>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21.11</w:t>
            </w:r>
          </w:p>
        </w:tc>
        <w:tc>
          <w:tcPr>
            <w:tcW w:w="458"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1,554</w:t>
            </w:r>
          </w:p>
        </w:tc>
        <w:tc>
          <w:tcPr>
            <w:tcW w:w="489"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1,856</w:t>
            </w:r>
          </w:p>
        </w:tc>
        <w:tc>
          <w:tcPr>
            <w:tcW w:w="587" w:type="pct"/>
            <w:tcBorders>
              <w:top w:val="nil"/>
              <w:bottom w:val="single" w:sz="4" w:space="0" w:color="auto"/>
            </w:tcBorders>
          </w:tcPr>
          <w:p w:rsidR="009430CE" w:rsidRPr="005F120D" w:rsidRDefault="009430CE"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16.27</w:t>
            </w:r>
          </w:p>
        </w:tc>
        <w:tc>
          <w:tcPr>
            <w:tcW w:w="587" w:type="pct"/>
            <w:tcBorders>
              <w:top w:val="nil"/>
              <w:bottom w:val="single" w:sz="4" w:space="0" w:color="auto"/>
            </w:tcBorders>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2.77</w:t>
            </w:r>
          </w:p>
        </w:tc>
      </w:tr>
      <w:tr w:rsidR="009430CE" w:rsidRPr="005F120D" w:rsidTr="000312AC">
        <w:trPr>
          <w:trHeight w:hRule="exact" w:val="360"/>
        </w:trPr>
        <w:tc>
          <w:tcPr>
            <w:tcW w:w="1339" w:type="pct"/>
            <w:gridSpan w:val="2"/>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right"/>
              <w:rPr>
                <w:rFonts w:asciiTheme="minorHAnsi" w:hAnsiTheme="minorHAnsi" w:cstheme="minorHAnsi"/>
                <w:sz w:val="18"/>
                <w:szCs w:val="18"/>
                <w:lang w:val="en-GB"/>
              </w:rPr>
            </w:pPr>
            <w:r w:rsidRPr="005F120D">
              <w:rPr>
                <w:rFonts w:asciiTheme="minorHAnsi" w:hAnsiTheme="minorHAnsi" w:cstheme="minorHAnsi"/>
                <w:sz w:val="18"/>
                <w:szCs w:val="18"/>
                <w:lang w:val="en-GB"/>
              </w:rPr>
              <w:t>ROSC/BRAC/SK</w:t>
            </w:r>
          </w:p>
        </w:tc>
        <w:tc>
          <w:tcPr>
            <w:tcW w:w="458"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lang w:val="en-GB"/>
              </w:rPr>
              <w:t>13,513</w:t>
            </w:r>
          </w:p>
        </w:tc>
        <w:tc>
          <w:tcPr>
            <w:tcW w:w="496"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11,730</w:t>
            </w:r>
          </w:p>
        </w:tc>
        <w:tc>
          <w:tcPr>
            <w:tcW w:w="586" w:type="pct"/>
            <w:tcBorders>
              <w:top w:val="single" w:sz="4" w:space="0" w:color="auto"/>
              <w:bottom w:val="nil"/>
            </w:tcBorders>
            <w:shd w:val="clear" w:color="auto" w:fill="C2D69B" w:themeFill="accent3" w:themeFillTint="99"/>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-13.19</w:t>
            </w:r>
          </w:p>
        </w:tc>
        <w:tc>
          <w:tcPr>
            <w:tcW w:w="458"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19,932</w:t>
            </w:r>
          </w:p>
        </w:tc>
        <w:tc>
          <w:tcPr>
            <w:tcW w:w="489" w:type="pct"/>
            <w:tcBorders>
              <w:top w:val="single" w:sz="4" w:space="0" w:color="auto"/>
              <w:bottom w:val="nil"/>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7,004</w:t>
            </w:r>
          </w:p>
        </w:tc>
        <w:tc>
          <w:tcPr>
            <w:tcW w:w="587" w:type="pct"/>
            <w:tcBorders>
              <w:top w:val="single" w:sz="4" w:space="0" w:color="auto"/>
              <w:bottom w:val="nil"/>
            </w:tcBorders>
            <w:shd w:val="clear" w:color="auto" w:fill="C2D69B" w:themeFill="accent3" w:themeFillTint="99"/>
          </w:tcPr>
          <w:p w:rsidR="009430CE" w:rsidRPr="005F120D" w:rsidRDefault="009430CE"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-184.58</w:t>
            </w:r>
          </w:p>
          <w:p w:rsidR="009430CE" w:rsidRPr="005F120D" w:rsidRDefault="009430CE" w:rsidP="000312AC">
            <w:pPr>
              <w:spacing w:after="0" w:line="276" w:lineRule="auto"/>
              <w:jc w:val="center"/>
              <w:rPr>
                <w:rFonts w:asciiTheme="minorHAnsi" w:hAnsiTheme="minorHAnsi" w:cstheme="minorHAnsi"/>
                <w:sz w:val="18"/>
                <w:szCs w:val="18"/>
              </w:rPr>
            </w:pPr>
          </w:p>
        </w:tc>
        <w:tc>
          <w:tcPr>
            <w:tcW w:w="587" w:type="pct"/>
            <w:tcBorders>
              <w:top w:val="single" w:sz="4" w:space="0" w:color="auto"/>
              <w:bottom w:val="nil"/>
            </w:tcBorders>
            <w:shd w:val="clear" w:color="auto" w:fill="D6E3BC" w:themeFill="accent3" w:themeFillTint="66"/>
          </w:tcPr>
          <w:p w:rsidR="009430CE" w:rsidRPr="005F120D" w:rsidRDefault="009430CE"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32.2</w:t>
            </w:r>
          </w:p>
        </w:tc>
      </w:tr>
      <w:tr w:rsidR="009430CE" w:rsidRPr="005F120D" w:rsidTr="000312AC">
        <w:trPr>
          <w:trHeight w:hRule="exact" w:val="360"/>
        </w:trPr>
        <w:tc>
          <w:tcPr>
            <w:tcW w:w="655" w:type="pct"/>
            <w:vMerge w:val="restart"/>
            <w:tcBorders>
              <w:top w:val="nil"/>
              <w:bottom w:val="nil"/>
            </w:tcBorders>
            <w:shd w:val="clear" w:color="auto" w:fill="auto"/>
            <w:hideMark/>
          </w:tcPr>
          <w:p w:rsidR="009430CE" w:rsidRPr="005F120D" w:rsidRDefault="009430CE" w:rsidP="000312AC">
            <w:pPr>
              <w:spacing w:after="0" w:line="276" w:lineRule="auto"/>
              <w:rPr>
                <w:rFonts w:asciiTheme="minorHAnsi" w:hAnsiTheme="minorHAnsi" w:cstheme="minorHAnsi"/>
                <w:b/>
                <w:sz w:val="18"/>
                <w:szCs w:val="18"/>
                <w:lang w:val="en-GB"/>
              </w:rPr>
            </w:pPr>
            <w:r w:rsidRPr="005F120D">
              <w:rPr>
                <w:rFonts w:asciiTheme="minorHAnsi" w:hAnsiTheme="minorHAnsi" w:cstheme="minorHAnsi"/>
                <w:b/>
                <w:sz w:val="18"/>
                <w:szCs w:val="18"/>
                <w:lang w:val="en-GB"/>
              </w:rPr>
              <w:t>Madrasha</w:t>
            </w:r>
          </w:p>
        </w:tc>
        <w:tc>
          <w:tcPr>
            <w:tcW w:w="684"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lang w:val="en-GB"/>
              </w:rPr>
            </w:pPr>
            <w:r w:rsidRPr="005F120D">
              <w:rPr>
                <w:rFonts w:asciiTheme="minorHAnsi" w:hAnsiTheme="minorHAnsi" w:cstheme="minorHAnsi"/>
                <w:sz w:val="18"/>
                <w:szCs w:val="18"/>
                <w:lang w:val="en-GB"/>
              </w:rPr>
              <w:t>Ebtedayee</w:t>
            </w:r>
          </w:p>
        </w:tc>
        <w:tc>
          <w:tcPr>
            <w:tcW w:w="458"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2,673</w:t>
            </w:r>
          </w:p>
        </w:tc>
        <w:tc>
          <w:tcPr>
            <w:tcW w:w="496"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2,409</w:t>
            </w:r>
          </w:p>
        </w:tc>
        <w:tc>
          <w:tcPr>
            <w:tcW w:w="586" w:type="pct"/>
            <w:tcBorders>
              <w:top w:val="nil"/>
              <w:bottom w:val="single" w:sz="4" w:space="0" w:color="auto"/>
            </w:tcBorders>
            <w:shd w:val="clear" w:color="auto" w:fill="C2D69B" w:themeFill="accent3" w:themeFillTint="99"/>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-9.88</w:t>
            </w:r>
          </w:p>
        </w:tc>
        <w:tc>
          <w:tcPr>
            <w:tcW w:w="458"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2,877</w:t>
            </w:r>
          </w:p>
        </w:tc>
        <w:tc>
          <w:tcPr>
            <w:tcW w:w="489" w:type="pct"/>
            <w:tcBorders>
              <w:top w:val="nil"/>
              <w:bottom w:val="single" w:sz="4"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2,478</w:t>
            </w:r>
          </w:p>
        </w:tc>
        <w:tc>
          <w:tcPr>
            <w:tcW w:w="587" w:type="pct"/>
            <w:tcBorders>
              <w:top w:val="nil"/>
              <w:bottom w:val="single" w:sz="4" w:space="0" w:color="auto"/>
            </w:tcBorders>
          </w:tcPr>
          <w:p w:rsidR="009430CE" w:rsidRPr="005F120D" w:rsidRDefault="009430CE"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-16.10</w:t>
            </w:r>
          </w:p>
        </w:tc>
        <w:tc>
          <w:tcPr>
            <w:tcW w:w="587" w:type="pct"/>
            <w:tcBorders>
              <w:top w:val="nil"/>
              <w:bottom w:val="single" w:sz="4" w:space="0" w:color="auto"/>
            </w:tcBorders>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7.09</w:t>
            </w:r>
          </w:p>
        </w:tc>
      </w:tr>
      <w:tr w:rsidR="009430CE" w:rsidRPr="005F120D" w:rsidTr="000312AC">
        <w:trPr>
          <w:trHeight w:hRule="exact" w:val="475"/>
        </w:trPr>
        <w:tc>
          <w:tcPr>
            <w:tcW w:w="655" w:type="pct"/>
            <w:vMerge/>
            <w:tcBorders>
              <w:top w:val="nil"/>
              <w:bottom w:val="single" w:sz="4" w:space="0" w:color="auto"/>
            </w:tcBorders>
            <w:shd w:val="clear" w:color="auto" w:fill="auto"/>
            <w:hideMark/>
          </w:tcPr>
          <w:p w:rsidR="009430CE" w:rsidRPr="005F120D" w:rsidRDefault="009430CE" w:rsidP="000312AC">
            <w:pPr>
              <w:spacing w:after="0" w:line="276" w:lineRule="auto"/>
              <w:rPr>
                <w:rFonts w:asciiTheme="minorHAnsi" w:hAnsiTheme="minorHAnsi" w:cstheme="minorHAnsi"/>
                <w:sz w:val="18"/>
                <w:szCs w:val="18"/>
                <w:lang w:val="en-GB"/>
              </w:rPr>
            </w:pPr>
          </w:p>
        </w:tc>
        <w:tc>
          <w:tcPr>
            <w:tcW w:w="684" w:type="pct"/>
            <w:tcBorders>
              <w:top w:val="single" w:sz="4" w:space="0" w:color="auto"/>
              <w:bottom w:val="single" w:sz="4" w:space="0" w:color="auto"/>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lang w:val="en-GB"/>
              </w:rPr>
            </w:pPr>
            <w:r w:rsidRPr="005F120D">
              <w:rPr>
                <w:rFonts w:asciiTheme="minorHAnsi" w:hAnsiTheme="minorHAnsi" w:cstheme="minorHAnsi"/>
                <w:sz w:val="18"/>
                <w:szCs w:val="18"/>
                <w:lang w:val="en-GB"/>
              </w:rPr>
              <w:t>Dakhil, Alim, Fazil, Kamil</w:t>
            </w:r>
          </w:p>
        </w:tc>
        <w:tc>
          <w:tcPr>
            <w:tcW w:w="458" w:type="pct"/>
            <w:tcBorders>
              <w:top w:val="single" w:sz="4" w:space="0" w:color="auto"/>
              <w:bottom w:val="single" w:sz="4" w:space="0" w:color="auto"/>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5,526</w:t>
            </w:r>
          </w:p>
        </w:tc>
        <w:tc>
          <w:tcPr>
            <w:tcW w:w="496" w:type="pct"/>
            <w:tcBorders>
              <w:top w:val="single" w:sz="4" w:space="0" w:color="auto"/>
              <w:bottom w:val="single" w:sz="4" w:space="0" w:color="auto"/>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9,001</w:t>
            </w:r>
          </w:p>
        </w:tc>
        <w:tc>
          <w:tcPr>
            <w:tcW w:w="586" w:type="pct"/>
            <w:tcBorders>
              <w:top w:val="single" w:sz="4" w:space="0" w:color="auto"/>
              <w:bottom w:val="single" w:sz="4" w:space="0" w:color="auto"/>
            </w:tcBorders>
            <w:shd w:val="clear" w:color="auto" w:fill="C2D69B" w:themeFill="accent3" w:themeFillTint="99"/>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62.88</w:t>
            </w:r>
          </w:p>
        </w:tc>
        <w:tc>
          <w:tcPr>
            <w:tcW w:w="458" w:type="pct"/>
            <w:tcBorders>
              <w:top w:val="single" w:sz="4" w:space="0" w:color="auto"/>
              <w:bottom w:val="single" w:sz="4" w:space="0" w:color="auto"/>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5,599</w:t>
            </w:r>
          </w:p>
        </w:tc>
        <w:tc>
          <w:tcPr>
            <w:tcW w:w="489" w:type="pct"/>
            <w:tcBorders>
              <w:top w:val="single" w:sz="4" w:space="0" w:color="auto"/>
              <w:bottom w:val="single" w:sz="4" w:space="0" w:color="auto"/>
            </w:tcBorders>
            <w:shd w:val="clear" w:color="auto" w:fill="D6E3BC" w:themeFill="accent3" w:themeFillTint="66"/>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9,071</w:t>
            </w:r>
          </w:p>
        </w:tc>
        <w:tc>
          <w:tcPr>
            <w:tcW w:w="587" w:type="pct"/>
            <w:tcBorders>
              <w:top w:val="single" w:sz="4" w:space="0" w:color="auto"/>
              <w:bottom w:val="single" w:sz="4" w:space="0" w:color="auto"/>
            </w:tcBorders>
            <w:shd w:val="clear" w:color="auto" w:fill="C2D69B" w:themeFill="accent3" w:themeFillTint="99"/>
          </w:tcPr>
          <w:p w:rsidR="009430CE" w:rsidRPr="005F120D" w:rsidRDefault="009430CE"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38.28</w:t>
            </w:r>
          </w:p>
        </w:tc>
        <w:tc>
          <w:tcPr>
            <w:tcW w:w="587" w:type="pct"/>
            <w:tcBorders>
              <w:top w:val="single" w:sz="4" w:space="0" w:color="auto"/>
              <w:bottom w:val="single" w:sz="4" w:space="0" w:color="auto"/>
            </w:tcBorders>
            <w:shd w:val="clear" w:color="auto" w:fill="D6E3BC" w:themeFill="accent3" w:themeFillTint="66"/>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1.30</w:t>
            </w:r>
          </w:p>
        </w:tc>
      </w:tr>
      <w:tr w:rsidR="009430CE" w:rsidRPr="005F120D" w:rsidTr="000312AC">
        <w:trPr>
          <w:trHeight w:hRule="exact" w:val="360"/>
        </w:trPr>
        <w:tc>
          <w:tcPr>
            <w:tcW w:w="655" w:type="pct"/>
            <w:tcBorders>
              <w:top w:val="single" w:sz="4" w:space="0" w:color="auto"/>
              <w:bottom w:val="single" w:sz="12" w:space="0" w:color="auto"/>
            </w:tcBorders>
            <w:shd w:val="clear" w:color="auto" w:fill="auto"/>
            <w:hideMark/>
          </w:tcPr>
          <w:p w:rsidR="009430CE" w:rsidRPr="005F120D" w:rsidRDefault="009430CE" w:rsidP="000312AC">
            <w:pPr>
              <w:spacing w:after="0" w:line="276" w:lineRule="auto"/>
              <w:jc w:val="right"/>
              <w:rPr>
                <w:rFonts w:asciiTheme="minorHAnsi" w:hAnsiTheme="minorHAnsi" w:cstheme="minorHAnsi"/>
                <w:b/>
                <w:bCs/>
                <w:sz w:val="18"/>
                <w:szCs w:val="18"/>
                <w:lang w:val="en-GB"/>
              </w:rPr>
            </w:pPr>
            <w:r w:rsidRPr="005F120D">
              <w:rPr>
                <w:rFonts w:asciiTheme="minorHAnsi" w:hAnsiTheme="minorHAnsi" w:cstheme="minorHAnsi"/>
                <w:b/>
                <w:bCs/>
                <w:sz w:val="18"/>
                <w:szCs w:val="18"/>
                <w:lang w:val="en-GB"/>
              </w:rPr>
              <w:t>Total</w:t>
            </w:r>
          </w:p>
        </w:tc>
        <w:tc>
          <w:tcPr>
            <w:tcW w:w="684" w:type="pct"/>
            <w:tcBorders>
              <w:top w:val="single" w:sz="4" w:space="0" w:color="auto"/>
              <w:bottom w:val="single" w:sz="12"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b/>
                <w:bCs/>
                <w:sz w:val="18"/>
                <w:szCs w:val="18"/>
                <w:lang w:val="en-GB"/>
              </w:rPr>
            </w:pPr>
            <w:r w:rsidRPr="005F120D">
              <w:rPr>
                <w:rFonts w:asciiTheme="minorHAnsi" w:hAnsiTheme="minorHAnsi" w:cstheme="minorHAnsi"/>
                <w:b/>
                <w:bCs/>
                <w:sz w:val="18"/>
                <w:szCs w:val="18"/>
                <w:lang w:val="en-GB"/>
              </w:rPr>
              <w:t> </w:t>
            </w:r>
          </w:p>
        </w:tc>
        <w:tc>
          <w:tcPr>
            <w:tcW w:w="458" w:type="pct"/>
            <w:tcBorders>
              <w:top w:val="single" w:sz="4" w:space="0" w:color="auto"/>
              <w:bottom w:val="single" w:sz="12"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b/>
                <w:bCs/>
                <w:sz w:val="18"/>
                <w:szCs w:val="18"/>
              </w:rPr>
            </w:pPr>
            <w:r w:rsidRPr="005F120D">
              <w:rPr>
                <w:rFonts w:asciiTheme="minorHAnsi" w:hAnsiTheme="minorHAnsi" w:cstheme="minorHAnsi"/>
                <w:b/>
                <w:bCs/>
                <w:sz w:val="18"/>
                <w:szCs w:val="18"/>
              </w:rPr>
              <w:t>108,537</w:t>
            </w:r>
          </w:p>
        </w:tc>
        <w:tc>
          <w:tcPr>
            <w:tcW w:w="496" w:type="pct"/>
            <w:tcBorders>
              <w:top w:val="single" w:sz="4" w:space="0" w:color="auto"/>
              <w:bottom w:val="single" w:sz="12"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b/>
                <w:bCs/>
                <w:sz w:val="18"/>
                <w:szCs w:val="18"/>
              </w:rPr>
            </w:pPr>
            <w:r w:rsidRPr="005F120D">
              <w:rPr>
                <w:rFonts w:asciiTheme="minorHAnsi" w:hAnsiTheme="minorHAnsi" w:cstheme="minorHAnsi"/>
                <w:b/>
                <w:bCs/>
                <w:sz w:val="18"/>
                <w:szCs w:val="18"/>
              </w:rPr>
              <w:t>101,322</w:t>
            </w:r>
          </w:p>
        </w:tc>
        <w:tc>
          <w:tcPr>
            <w:tcW w:w="586" w:type="pct"/>
            <w:tcBorders>
              <w:top w:val="single" w:sz="4" w:space="0" w:color="auto"/>
              <w:bottom w:val="single" w:sz="12" w:space="0" w:color="auto"/>
            </w:tcBorders>
            <w:shd w:val="clear" w:color="auto" w:fill="C2D69B" w:themeFill="accent3" w:themeFillTint="99"/>
            <w:hideMark/>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-6.65</w:t>
            </w:r>
          </w:p>
        </w:tc>
        <w:tc>
          <w:tcPr>
            <w:tcW w:w="458" w:type="pct"/>
            <w:tcBorders>
              <w:top w:val="single" w:sz="4" w:space="0" w:color="auto"/>
              <w:bottom w:val="single" w:sz="12"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b/>
                <w:bCs/>
                <w:sz w:val="18"/>
                <w:szCs w:val="18"/>
              </w:rPr>
            </w:pPr>
            <w:r w:rsidRPr="005F120D">
              <w:rPr>
                <w:rFonts w:asciiTheme="minorHAnsi" w:hAnsiTheme="minorHAnsi" w:cstheme="minorHAnsi"/>
                <w:b/>
                <w:bCs/>
                <w:sz w:val="18"/>
                <w:szCs w:val="18"/>
              </w:rPr>
              <w:t>122,176</w:t>
            </w:r>
          </w:p>
        </w:tc>
        <w:tc>
          <w:tcPr>
            <w:tcW w:w="489" w:type="pct"/>
            <w:tcBorders>
              <w:top w:val="single" w:sz="4" w:space="0" w:color="auto"/>
              <w:bottom w:val="single" w:sz="12" w:space="0" w:color="auto"/>
            </w:tcBorders>
            <w:shd w:val="clear" w:color="auto" w:fill="auto"/>
            <w:hideMark/>
          </w:tcPr>
          <w:p w:rsidR="009430CE" w:rsidRPr="005F120D" w:rsidRDefault="009430CE" w:rsidP="000312AC">
            <w:pPr>
              <w:spacing w:after="0" w:line="276" w:lineRule="auto"/>
              <w:jc w:val="center"/>
              <w:rPr>
                <w:rFonts w:asciiTheme="minorHAnsi" w:hAnsiTheme="minorHAnsi" w:cstheme="minorHAnsi"/>
                <w:b/>
                <w:bCs/>
                <w:sz w:val="18"/>
                <w:szCs w:val="18"/>
              </w:rPr>
            </w:pPr>
            <w:r w:rsidRPr="005F120D">
              <w:rPr>
                <w:rFonts w:asciiTheme="minorHAnsi" w:hAnsiTheme="minorHAnsi" w:cstheme="minorHAnsi"/>
                <w:b/>
                <w:bCs/>
                <w:sz w:val="18"/>
                <w:szCs w:val="18"/>
              </w:rPr>
              <w:t>110,770</w:t>
            </w:r>
          </w:p>
        </w:tc>
        <w:tc>
          <w:tcPr>
            <w:tcW w:w="587" w:type="pct"/>
            <w:tcBorders>
              <w:top w:val="single" w:sz="4" w:space="0" w:color="auto"/>
              <w:bottom w:val="single" w:sz="12" w:space="0" w:color="auto"/>
            </w:tcBorders>
          </w:tcPr>
          <w:p w:rsidR="009430CE" w:rsidRPr="005F120D" w:rsidRDefault="009430CE" w:rsidP="000312AC">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-10.30</w:t>
            </w:r>
          </w:p>
        </w:tc>
        <w:tc>
          <w:tcPr>
            <w:tcW w:w="587" w:type="pct"/>
            <w:tcBorders>
              <w:top w:val="single" w:sz="4" w:space="0" w:color="auto"/>
              <w:bottom w:val="single" w:sz="12" w:space="0" w:color="auto"/>
            </w:tcBorders>
          </w:tcPr>
          <w:p w:rsidR="009430CE" w:rsidRPr="005F120D" w:rsidRDefault="009430CE" w:rsidP="000312AC">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11.16</w:t>
            </w:r>
          </w:p>
        </w:tc>
      </w:tr>
    </w:tbl>
    <w:p w:rsidR="008F792E" w:rsidRPr="005F120D" w:rsidRDefault="007A5F88" w:rsidP="000312AC">
      <w:pPr>
        <w:spacing w:after="0" w:line="276" w:lineRule="auto"/>
        <w:jc w:val="both"/>
        <w:rPr>
          <w:rFonts w:asciiTheme="minorHAnsi" w:hAnsiTheme="minorHAnsi" w:cstheme="minorHAnsi"/>
          <w:b/>
          <w:i/>
          <w:sz w:val="16"/>
          <w:szCs w:val="16"/>
        </w:rPr>
      </w:pPr>
      <w:bookmarkStart w:id="51" w:name="_Toc338839500"/>
      <w:bookmarkStart w:id="52" w:name="_Toc338856149"/>
      <w:bookmarkStart w:id="53" w:name="_Ref291317689"/>
      <w:r w:rsidRPr="005F120D">
        <w:rPr>
          <w:rFonts w:asciiTheme="minorHAnsi" w:hAnsiTheme="minorHAnsi" w:cstheme="minorHAnsi"/>
          <w:b/>
          <w:i/>
          <w:sz w:val="16"/>
          <w:szCs w:val="16"/>
        </w:rPr>
        <w:t xml:space="preserve">Note: (1) The GPS figures of PECE 2015 included data on 503 model Government Primary Schools and also included 448 </w:t>
      </w:r>
      <w:r w:rsidRPr="005F120D">
        <w:rPr>
          <w:rFonts w:asciiTheme="minorHAnsi" w:hAnsiTheme="minorHAnsi" w:cstheme="minorHAnsi"/>
          <w:b/>
          <w:sz w:val="16"/>
          <w:szCs w:val="16"/>
        </w:rPr>
        <w:t xml:space="preserve">new </w:t>
      </w:r>
      <w:r w:rsidRPr="005F120D">
        <w:rPr>
          <w:rFonts w:asciiTheme="minorHAnsi" w:hAnsiTheme="minorHAnsi" w:cstheme="minorHAnsi"/>
          <w:b/>
          <w:i/>
          <w:sz w:val="16"/>
          <w:szCs w:val="16"/>
        </w:rPr>
        <w:t>GPS from the establishment of 1500 GPS project. (2) The GPS figures of APSC 2015 also included data on 503 model Government Primary Schools and 361 GPS from the establishment  of 1500 GPS project. Source: APSC 2014-15, PECE Exam result 2014-15.</w:t>
      </w:r>
    </w:p>
    <w:p w:rsidR="00BA6280" w:rsidRPr="005F120D" w:rsidRDefault="00BA6280" w:rsidP="004E77B3">
      <w:pPr>
        <w:pStyle w:val="Heading3"/>
      </w:pPr>
      <w:r w:rsidRPr="005F120D">
        <w:t xml:space="preserve">Age of Students </w:t>
      </w:r>
      <w:r w:rsidR="00965361" w:rsidRPr="005F120D">
        <w:t xml:space="preserve">and </w:t>
      </w:r>
      <w:r w:rsidR="00ED7D28" w:rsidRPr="005F120D">
        <w:t xml:space="preserve">Cohort </w:t>
      </w:r>
      <w:r w:rsidRPr="005F120D">
        <w:t>Popu</w:t>
      </w:r>
      <w:r w:rsidR="00ED7D28" w:rsidRPr="005F120D">
        <w:t>lation Data</w:t>
      </w:r>
    </w:p>
    <w:p w:rsidR="007A5F88" w:rsidRPr="005F120D" w:rsidRDefault="007A5F88" w:rsidP="00C437AA">
      <w:pPr>
        <w:spacing w:before="240" w:line="276" w:lineRule="auto"/>
        <w:jc w:val="both"/>
        <w:rPr>
          <w:rFonts w:asciiTheme="minorHAnsi" w:hAnsiTheme="minorHAnsi" w:cstheme="minorHAnsi"/>
        </w:rPr>
      </w:pPr>
      <w:r w:rsidRPr="005F120D">
        <w:rPr>
          <w:rFonts w:asciiTheme="minorHAnsi" w:hAnsiTheme="minorHAnsi" w:cstheme="minorHAnsi"/>
          <w:b/>
          <w:color w:val="3333CC"/>
        </w:rPr>
        <w:t>Age of students in administrative data (APSC):</w:t>
      </w:r>
      <w:r w:rsidR="00EE6322">
        <w:rPr>
          <w:rFonts w:asciiTheme="minorHAnsi" w:hAnsiTheme="minorHAnsi" w:cstheme="minorHAnsi"/>
          <w:b/>
          <w:color w:val="3333CC"/>
        </w:rPr>
        <w:t xml:space="preserve"> </w:t>
      </w:r>
      <w:r w:rsidRPr="005F120D">
        <w:rPr>
          <w:rFonts w:asciiTheme="minorHAnsi" w:hAnsiTheme="minorHAnsi" w:cstheme="minorHAnsi"/>
        </w:rPr>
        <w:t xml:space="preserve">The Admission of students at the right age into school is also of concern but the situation has been improving (see Table 1.3).  The ongoing concern of APSC is the accuracy of the student age information provided by the schools.  The school Census contains information on the age of students as reported by Head Teachers.  However, they may not always have reliable records on the age of students due to </w:t>
      </w:r>
      <w:r w:rsidR="00F738CE" w:rsidRPr="005F120D">
        <w:rPr>
          <w:rFonts w:asciiTheme="minorHAnsi" w:hAnsiTheme="minorHAnsi" w:cstheme="minorHAnsi"/>
        </w:rPr>
        <w:t>lack</w:t>
      </w:r>
      <w:r w:rsidRPr="005F120D">
        <w:rPr>
          <w:rFonts w:asciiTheme="minorHAnsi" w:hAnsiTheme="minorHAnsi" w:cstheme="minorHAnsi"/>
        </w:rPr>
        <w:t xml:space="preserve"> of coverage of birth regi</w:t>
      </w:r>
      <w:r w:rsidR="001A5424" w:rsidRPr="005F120D">
        <w:rPr>
          <w:rFonts w:asciiTheme="minorHAnsi" w:hAnsiTheme="minorHAnsi" w:cstheme="minorHAnsi"/>
        </w:rPr>
        <w:t>stration and in those cases the Head Teachers</w:t>
      </w:r>
      <w:r w:rsidRPr="005F120D">
        <w:rPr>
          <w:rFonts w:asciiTheme="minorHAnsi" w:hAnsiTheme="minorHAnsi" w:cstheme="minorHAnsi"/>
        </w:rPr>
        <w:t xml:space="preserve"> may have an </w:t>
      </w:r>
      <w:r w:rsidR="009E6A76" w:rsidRPr="005F120D">
        <w:rPr>
          <w:rFonts w:asciiTheme="minorHAnsi" w:hAnsiTheme="minorHAnsi" w:cstheme="minorHAnsi"/>
        </w:rPr>
        <w:t>incentive</w:t>
      </w:r>
      <w:r w:rsidRPr="005F120D">
        <w:rPr>
          <w:rFonts w:asciiTheme="minorHAnsi" w:hAnsiTheme="minorHAnsi" w:cstheme="minorHAnsi"/>
        </w:rPr>
        <w:t xml:space="preserve"> to under-report the number of overage children.  Therefore, the school census-based net enrolment rate should be treated with caution. Table 1.3 compares the percentage of children enrolled in each age group by grade according to the APSC 2010-2015 and the 2009 MICS (which relies on parents to provid</w:t>
      </w:r>
      <w:r w:rsidR="001A5424" w:rsidRPr="005F120D">
        <w:rPr>
          <w:rFonts w:asciiTheme="minorHAnsi" w:hAnsiTheme="minorHAnsi" w:cstheme="minorHAnsi"/>
        </w:rPr>
        <w:t>e information on children’s age</w:t>
      </w:r>
      <w:r w:rsidRPr="005F120D">
        <w:rPr>
          <w:rFonts w:asciiTheme="minorHAnsi" w:hAnsiTheme="minorHAnsi" w:cstheme="minorHAnsi"/>
        </w:rPr>
        <w:t>). According to the APSC 2015 report, about 91 percent of children enrolled in Grade 1 were the right age (6 years</w:t>
      </w:r>
      <w:r w:rsidR="006632C0" w:rsidRPr="005F120D">
        <w:rPr>
          <w:rFonts w:asciiTheme="minorHAnsi" w:hAnsiTheme="minorHAnsi" w:cstheme="minorHAnsi"/>
        </w:rPr>
        <w:t>), 6 percent</w:t>
      </w:r>
      <w:r w:rsidRPr="005F120D">
        <w:rPr>
          <w:rFonts w:asciiTheme="minorHAnsi" w:hAnsiTheme="minorHAnsi" w:cstheme="minorHAnsi"/>
        </w:rPr>
        <w:t xml:space="preserve"> were around 7 years of age, and 3 percent were about 8 years of age. Each grade had similar problems.</w:t>
      </w:r>
    </w:p>
    <w:p w:rsidR="00296DE9" w:rsidRPr="005F120D" w:rsidRDefault="007A5F88" w:rsidP="00C437AA">
      <w:pPr>
        <w:spacing w:before="240" w:line="276" w:lineRule="auto"/>
        <w:jc w:val="both"/>
        <w:rPr>
          <w:rFonts w:asciiTheme="minorHAnsi" w:hAnsiTheme="minorHAnsi" w:cstheme="minorHAnsi"/>
        </w:rPr>
      </w:pPr>
      <w:r w:rsidRPr="005F120D">
        <w:rPr>
          <w:rFonts w:asciiTheme="minorHAnsi" w:hAnsiTheme="minorHAnsi" w:cstheme="minorHAnsi"/>
        </w:rPr>
        <w:t xml:space="preserve">According to the law, the entry age in Grade 1 of primary education is 6 years. There is a tendency among some parents to enroll their children in the first Grade from the age 6 to 8 years. The situation has changed overtime and more parents are currently bringing their children to school at </w:t>
      </w:r>
      <w:r w:rsidR="001A5424" w:rsidRPr="005F120D">
        <w:rPr>
          <w:rFonts w:asciiTheme="minorHAnsi" w:hAnsiTheme="minorHAnsi" w:cstheme="minorHAnsi"/>
        </w:rPr>
        <w:t xml:space="preserve">the </w:t>
      </w:r>
      <w:r w:rsidRPr="005F120D">
        <w:rPr>
          <w:rFonts w:asciiTheme="minorHAnsi" w:hAnsiTheme="minorHAnsi" w:cstheme="minorHAnsi"/>
        </w:rPr>
        <w:t>right age (91% in Grade 1, 79% in Grade 2, 78% in Grade 3, 78% in Grade 4 and 71% in Grade 5).  Table 1.3 compares the percentage of children enrolled in each age group by grade according to the APSC 2010-2015 and the 2009 MICS (MICS relies on parents and APSC on Head Teachers to provide information on children’s age)</w:t>
      </w:r>
      <w:r w:rsidR="001E7F49" w:rsidRPr="005F120D">
        <w:rPr>
          <w:rFonts w:asciiTheme="minorHAnsi" w:hAnsiTheme="minorHAnsi" w:cstheme="minorHAnsi"/>
        </w:rPr>
        <w:t>.</w:t>
      </w:r>
      <w:bookmarkStart w:id="54" w:name="_Ref386459950"/>
      <w:bookmarkStart w:id="55" w:name="_Ref330999113"/>
      <w:bookmarkStart w:id="56" w:name="_Ref331001321"/>
      <w:bookmarkStart w:id="57" w:name="_Toc338839598"/>
      <w:bookmarkEnd w:id="51"/>
      <w:bookmarkEnd w:id="52"/>
    </w:p>
    <w:p w:rsidR="003178AA" w:rsidRPr="005F120D" w:rsidRDefault="003178AA" w:rsidP="00C437AA">
      <w:pPr>
        <w:spacing w:before="240" w:line="276" w:lineRule="auto"/>
        <w:rPr>
          <w:rFonts w:asciiTheme="minorHAnsi" w:hAnsiTheme="minorHAnsi" w:cstheme="minorHAnsi"/>
          <w:color w:val="FF0000"/>
        </w:rPr>
        <w:sectPr w:rsidR="003178AA" w:rsidRPr="005F120D" w:rsidSect="006E7651">
          <w:footerReference w:type="default" r:id="rId19"/>
          <w:type w:val="nextColumn"/>
          <w:pgSz w:w="11909" w:h="16834" w:code="9"/>
          <w:pgMar w:top="1440" w:right="1440" w:bottom="1152" w:left="1440" w:header="720" w:footer="720" w:gutter="0"/>
          <w:pgNumType w:start="1"/>
          <w:cols w:space="720"/>
          <w:docGrid w:linePitch="360"/>
        </w:sectPr>
      </w:pPr>
    </w:p>
    <w:p w:rsidR="00DF34D6" w:rsidRPr="005F120D" w:rsidRDefault="00B106AF" w:rsidP="00C437AA">
      <w:pPr>
        <w:pStyle w:val="Caption"/>
        <w:spacing w:before="240" w:line="276" w:lineRule="auto"/>
        <w:rPr>
          <w:rFonts w:cstheme="minorHAnsi"/>
        </w:rPr>
      </w:pPr>
      <w:bookmarkStart w:id="58" w:name="_Ref387067958"/>
      <w:bookmarkStart w:id="59" w:name="_Toc462837221"/>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bookmarkEnd w:id="54"/>
      <w:bookmarkEnd w:id="58"/>
      <w:r w:rsidR="004565E6" w:rsidRPr="005F120D">
        <w:rPr>
          <w:rFonts w:cstheme="minorHAnsi"/>
        </w:rPr>
        <w:t>:</w:t>
      </w:r>
      <w:r w:rsidR="00AF5E85" w:rsidRPr="005F120D">
        <w:rPr>
          <w:rFonts w:cstheme="minorHAnsi"/>
        </w:rPr>
        <w:t xml:space="preserve">Percentage of Children by Age </w:t>
      </w:r>
      <w:r w:rsidR="001A5424" w:rsidRPr="005F120D">
        <w:rPr>
          <w:rFonts w:cstheme="minorHAnsi"/>
        </w:rPr>
        <w:t>and</w:t>
      </w:r>
      <w:r w:rsidR="00AF5E85" w:rsidRPr="005F120D">
        <w:rPr>
          <w:rFonts w:cstheme="minorHAnsi"/>
        </w:rPr>
        <w:t xml:space="preserve"> G</w:t>
      </w:r>
      <w:r w:rsidR="007D4681" w:rsidRPr="005F120D">
        <w:rPr>
          <w:rFonts w:cstheme="minorHAnsi"/>
        </w:rPr>
        <w:t>rade</w:t>
      </w:r>
      <w:r w:rsidR="00AF7D26" w:rsidRPr="005F120D">
        <w:rPr>
          <w:rFonts w:cstheme="minorHAnsi"/>
        </w:rPr>
        <w:t xml:space="preserve"> in the</w:t>
      </w:r>
      <w:r w:rsidR="00F71637" w:rsidRPr="005F120D">
        <w:rPr>
          <w:rFonts w:cstheme="minorHAnsi"/>
        </w:rPr>
        <w:t xml:space="preserve"> APSC</w:t>
      </w:r>
      <w:r w:rsidR="006620B2" w:rsidRPr="005F120D">
        <w:rPr>
          <w:rFonts w:cstheme="minorHAnsi"/>
        </w:rPr>
        <w:t xml:space="preserve"> (2010-15</w:t>
      </w:r>
      <w:r w:rsidR="00AF7D26" w:rsidRPr="005F120D">
        <w:rPr>
          <w:rFonts w:cstheme="minorHAnsi"/>
        </w:rPr>
        <w:t>)</w:t>
      </w:r>
      <w:r w:rsidR="00F71637" w:rsidRPr="005F120D">
        <w:rPr>
          <w:rFonts w:cstheme="minorHAnsi"/>
        </w:rPr>
        <w:t xml:space="preserve"> and MICS</w:t>
      </w:r>
      <w:bookmarkEnd w:id="53"/>
      <w:bookmarkEnd w:id="55"/>
      <w:bookmarkEnd w:id="56"/>
      <w:bookmarkEnd w:id="57"/>
      <w:r w:rsidR="00AF7D26" w:rsidRPr="005F120D">
        <w:rPr>
          <w:rFonts w:cstheme="minorHAnsi"/>
        </w:rPr>
        <w:t xml:space="preserve"> (2009)</w:t>
      </w:r>
      <w:bookmarkEnd w:id="59"/>
    </w:p>
    <w:tbl>
      <w:tblPr>
        <w:tblW w:w="5053" w:type="pct"/>
        <w:jc w:val="center"/>
        <w:tblLook w:val="0000"/>
      </w:tblPr>
      <w:tblGrid>
        <w:gridCol w:w="968"/>
        <w:gridCol w:w="900"/>
        <w:gridCol w:w="637"/>
        <w:gridCol w:w="637"/>
        <w:gridCol w:w="637"/>
        <w:gridCol w:w="637"/>
        <w:gridCol w:w="637"/>
        <w:gridCol w:w="637"/>
        <w:gridCol w:w="637"/>
        <w:gridCol w:w="637"/>
        <w:gridCol w:w="637"/>
        <w:gridCol w:w="637"/>
        <w:gridCol w:w="637"/>
        <w:gridCol w:w="637"/>
        <w:gridCol w:w="655"/>
        <w:gridCol w:w="637"/>
        <w:gridCol w:w="637"/>
        <w:gridCol w:w="637"/>
        <w:gridCol w:w="637"/>
        <w:gridCol w:w="637"/>
        <w:gridCol w:w="637"/>
        <w:gridCol w:w="622"/>
      </w:tblGrid>
      <w:tr w:rsidR="001F2D61" w:rsidRPr="005F120D" w:rsidTr="004E7EF3">
        <w:trPr>
          <w:trHeight w:val="350"/>
          <w:tblHeader/>
          <w:jc w:val="center"/>
        </w:trPr>
        <w:tc>
          <w:tcPr>
            <w:tcW w:w="331" w:type="pct"/>
            <w:tcBorders>
              <w:bottom w:val="single" w:sz="4" w:space="0" w:color="auto"/>
              <w:right w:val="single" w:sz="4" w:space="0" w:color="auto"/>
            </w:tcBorders>
            <w:shd w:val="clear" w:color="auto" w:fill="auto"/>
            <w:noWrap/>
            <w:vAlign w:val="bottom"/>
          </w:tcPr>
          <w:p w:rsidR="001F2D61" w:rsidRPr="005F120D" w:rsidRDefault="001F2D61" w:rsidP="00C437AA">
            <w:pPr>
              <w:keepNext/>
              <w:spacing w:after="0" w:line="276" w:lineRule="auto"/>
              <w:jc w:val="right"/>
              <w:rPr>
                <w:rFonts w:asciiTheme="minorHAnsi" w:hAnsiTheme="minorHAnsi" w:cstheme="minorHAnsi"/>
                <w:sz w:val="18"/>
                <w:szCs w:val="18"/>
              </w:rPr>
            </w:pPr>
          </w:p>
        </w:tc>
        <w:tc>
          <w:tcPr>
            <w:tcW w:w="1613" w:type="pct"/>
            <w:gridSpan w:val="7"/>
            <w:tcBorders>
              <w:top w:val="single" w:sz="4" w:space="0" w:color="auto"/>
              <w:left w:val="single" w:sz="4" w:space="0" w:color="auto"/>
              <w:bottom w:val="single" w:sz="4" w:space="0" w:color="auto"/>
              <w:right w:val="single" w:sz="4" w:space="0" w:color="auto"/>
            </w:tcBorders>
            <w:shd w:val="clear" w:color="auto" w:fill="FABF8F"/>
            <w:vAlign w:val="center"/>
          </w:tcPr>
          <w:p w:rsidR="001F2D61" w:rsidRPr="005F120D" w:rsidRDefault="001F2D61" w:rsidP="00C437AA">
            <w:pPr>
              <w:keepNext/>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Under-age / Right age for grade</w:t>
            </w:r>
          </w:p>
        </w:tc>
        <w:tc>
          <w:tcPr>
            <w:tcW w:w="1530" w:type="pct"/>
            <w:gridSpan w:val="7"/>
            <w:tcBorders>
              <w:top w:val="single" w:sz="4" w:space="0" w:color="auto"/>
              <w:left w:val="single" w:sz="4" w:space="0" w:color="auto"/>
              <w:bottom w:val="single" w:sz="4" w:space="0" w:color="auto"/>
              <w:right w:val="single" w:sz="4" w:space="0" w:color="auto"/>
            </w:tcBorders>
            <w:shd w:val="clear" w:color="auto" w:fill="FABF8F"/>
            <w:vAlign w:val="center"/>
          </w:tcPr>
          <w:p w:rsidR="001F2D61" w:rsidRPr="005F120D" w:rsidRDefault="001F2D61" w:rsidP="00C437AA">
            <w:pPr>
              <w:keepNext/>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Over age by one year</w:t>
            </w:r>
          </w:p>
        </w:tc>
        <w:tc>
          <w:tcPr>
            <w:tcW w:w="1526" w:type="pct"/>
            <w:gridSpan w:val="7"/>
            <w:tcBorders>
              <w:top w:val="single" w:sz="4" w:space="0" w:color="auto"/>
              <w:left w:val="single" w:sz="4" w:space="0" w:color="auto"/>
              <w:bottom w:val="single" w:sz="4" w:space="0" w:color="auto"/>
              <w:right w:val="single" w:sz="4" w:space="0" w:color="auto"/>
            </w:tcBorders>
            <w:shd w:val="clear" w:color="auto" w:fill="FABF8F"/>
            <w:vAlign w:val="center"/>
          </w:tcPr>
          <w:p w:rsidR="001F2D61" w:rsidRPr="005F120D" w:rsidRDefault="001F2D61" w:rsidP="00C437AA">
            <w:pPr>
              <w:keepNext/>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Over age by two years or more</w:t>
            </w:r>
          </w:p>
        </w:tc>
      </w:tr>
      <w:tr w:rsidR="004E7EF3" w:rsidRPr="005F120D" w:rsidTr="004E7EF3">
        <w:trPr>
          <w:trHeight w:val="231"/>
          <w:jc w:val="center"/>
        </w:trPr>
        <w:tc>
          <w:tcPr>
            <w:tcW w:w="331"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6620B2"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 xml:space="preserve">Grade/ </w:t>
            </w:r>
          </w:p>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Class</w:t>
            </w:r>
          </w:p>
        </w:tc>
        <w:tc>
          <w:tcPr>
            <w:tcW w:w="308" w:type="pct"/>
            <w:tcBorders>
              <w:top w:val="single" w:sz="4" w:space="0" w:color="auto"/>
              <w:left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2009 MICS</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2010 APSC</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2011 APSC</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2012 APSC</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2013 APSC</w:t>
            </w:r>
          </w:p>
        </w:tc>
        <w:tc>
          <w:tcPr>
            <w:tcW w:w="218" w:type="pct"/>
            <w:tcBorders>
              <w:top w:val="single" w:sz="4" w:space="0" w:color="auto"/>
              <w:bottom w:val="single" w:sz="4" w:space="0" w:color="auto"/>
            </w:tcBorders>
            <w:shd w:val="clear" w:color="auto" w:fill="FBD4B4"/>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2014 APSC</w:t>
            </w:r>
          </w:p>
        </w:tc>
        <w:tc>
          <w:tcPr>
            <w:tcW w:w="218" w:type="pct"/>
            <w:tcBorders>
              <w:top w:val="single" w:sz="4" w:space="0" w:color="auto"/>
              <w:bottom w:val="single" w:sz="4" w:space="0" w:color="auto"/>
              <w:right w:val="single" w:sz="4" w:space="0" w:color="auto"/>
            </w:tcBorders>
            <w:shd w:val="clear" w:color="auto" w:fill="FBD4B4"/>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2015 APSC</w:t>
            </w:r>
          </w:p>
        </w:tc>
        <w:tc>
          <w:tcPr>
            <w:tcW w:w="218" w:type="pct"/>
            <w:tcBorders>
              <w:top w:val="single" w:sz="4" w:space="0" w:color="auto"/>
              <w:left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2009 MICS</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2010 APSC</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2011 APSC</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2012 APSC</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2013 APSC</w:t>
            </w:r>
          </w:p>
        </w:tc>
        <w:tc>
          <w:tcPr>
            <w:tcW w:w="218" w:type="pct"/>
            <w:tcBorders>
              <w:top w:val="single" w:sz="4" w:space="0" w:color="auto"/>
              <w:bottom w:val="single" w:sz="4" w:space="0" w:color="auto"/>
            </w:tcBorders>
            <w:shd w:val="clear" w:color="auto" w:fill="FBD4B4"/>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2014 APSC</w:t>
            </w:r>
          </w:p>
        </w:tc>
        <w:tc>
          <w:tcPr>
            <w:tcW w:w="224" w:type="pct"/>
            <w:tcBorders>
              <w:top w:val="single" w:sz="4" w:space="0" w:color="auto"/>
              <w:bottom w:val="single" w:sz="4" w:space="0" w:color="auto"/>
              <w:right w:val="single" w:sz="4" w:space="0" w:color="auto"/>
            </w:tcBorders>
            <w:shd w:val="clear" w:color="auto" w:fill="FBD4B4"/>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2015 APSC</w:t>
            </w:r>
          </w:p>
        </w:tc>
        <w:tc>
          <w:tcPr>
            <w:tcW w:w="218" w:type="pct"/>
            <w:tcBorders>
              <w:top w:val="single" w:sz="4" w:space="0" w:color="auto"/>
              <w:left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2009 MICS</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2010 APSC</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2011 APSC</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2012 APSC</w:t>
            </w:r>
          </w:p>
        </w:tc>
        <w:tc>
          <w:tcPr>
            <w:tcW w:w="218" w:type="pct"/>
            <w:tcBorders>
              <w:top w:val="single" w:sz="4" w:space="0" w:color="auto"/>
              <w:bottom w:val="single" w:sz="4" w:space="0" w:color="auto"/>
            </w:tcBorders>
            <w:shd w:val="clear" w:color="auto" w:fill="FBD4B4"/>
            <w:vAlign w:val="center"/>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2013 APSC</w:t>
            </w:r>
          </w:p>
        </w:tc>
        <w:tc>
          <w:tcPr>
            <w:tcW w:w="218" w:type="pct"/>
            <w:tcBorders>
              <w:top w:val="single" w:sz="4" w:space="0" w:color="auto"/>
              <w:bottom w:val="single" w:sz="4" w:space="0" w:color="auto"/>
            </w:tcBorders>
            <w:shd w:val="clear" w:color="auto" w:fill="FBD4B4"/>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2014 APSC</w:t>
            </w:r>
          </w:p>
        </w:tc>
        <w:tc>
          <w:tcPr>
            <w:tcW w:w="219" w:type="pct"/>
            <w:tcBorders>
              <w:top w:val="single" w:sz="4" w:space="0" w:color="auto"/>
              <w:bottom w:val="single" w:sz="4" w:space="0" w:color="auto"/>
              <w:right w:val="single" w:sz="4" w:space="0" w:color="auto"/>
            </w:tcBorders>
            <w:shd w:val="clear" w:color="auto" w:fill="FBD4B4"/>
          </w:tcPr>
          <w:p w:rsidR="001F2D61" w:rsidRPr="005F120D" w:rsidRDefault="001F2D61" w:rsidP="00C437AA">
            <w:pPr>
              <w:spacing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2015 APSC</w:t>
            </w:r>
          </w:p>
        </w:tc>
      </w:tr>
      <w:tr w:rsidR="004E7EF3" w:rsidRPr="005F120D" w:rsidTr="004E7EF3">
        <w:trPr>
          <w:trHeight w:val="512"/>
          <w:jc w:val="center"/>
        </w:trPr>
        <w:tc>
          <w:tcPr>
            <w:tcW w:w="331" w:type="pct"/>
            <w:tcBorders>
              <w:top w:val="single" w:sz="4" w:space="0" w:color="auto"/>
              <w:left w:val="single" w:sz="4" w:space="0" w:color="auto"/>
              <w:right w:val="single" w:sz="4" w:space="0" w:color="auto"/>
            </w:tcBorders>
            <w:shd w:val="clear" w:color="auto" w:fill="auto"/>
            <w:noWrap/>
            <w:vAlign w:val="center"/>
          </w:tcPr>
          <w:p w:rsidR="004E7EF3" w:rsidRPr="005F120D" w:rsidRDefault="004E7EF3" w:rsidP="00C437AA">
            <w:pPr>
              <w:pStyle w:val="Tabletext"/>
              <w:spacing w:before="0"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308" w:type="pct"/>
            <w:tcBorders>
              <w:top w:val="single" w:sz="4" w:space="0" w:color="auto"/>
              <w:left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59.4</w:t>
            </w:r>
          </w:p>
        </w:tc>
        <w:tc>
          <w:tcPr>
            <w:tcW w:w="218" w:type="pct"/>
            <w:tcBorders>
              <w:top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87.9</w:t>
            </w:r>
          </w:p>
        </w:tc>
        <w:tc>
          <w:tcPr>
            <w:tcW w:w="218" w:type="pct"/>
            <w:tcBorders>
              <w:top w:val="single" w:sz="4" w:space="0" w:color="auto"/>
            </w:tcBorders>
            <w:shd w:val="clear" w:color="auto" w:fill="auto"/>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81.8</w:t>
            </w:r>
          </w:p>
        </w:tc>
        <w:tc>
          <w:tcPr>
            <w:tcW w:w="218" w:type="pct"/>
            <w:tcBorders>
              <w:top w:val="single" w:sz="4" w:space="0" w:color="auto"/>
            </w:tcBorders>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84.6</w:t>
            </w:r>
          </w:p>
        </w:tc>
        <w:tc>
          <w:tcPr>
            <w:tcW w:w="218" w:type="pct"/>
            <w:tcBorders>
              <w:top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85.8</w:t>
            </w:r>
          </w:p>
        </w:tc>
        <w:tc>
          <w:tcPr>
            <w:tcW w:w="218" w:type="pct"/>
            <w:tcBorders>
              <w:top w:val="single" w:sz="4" w:space="0" w:color="auto"/>
            </w:tcBorders>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89.2</w:t>
            </w:r>
          </w:p>
        </w:tc>
        <w:tc>
          <w:tcPr>
            <w:tcW w:w="218" w:type="pct"/>
            <w:tcBorders>
              <w:top w:val="single" w:sz="4" w:space="0" w:color="auto"/>
              <w:right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91.3</w:t>
            </w:r>
          </w:p>
        </w:tc>
        <w:tc>
          <w:tcPr>
            <w:tcW w:w="218" w:type="pct"/>
            <w:tcBorders>
              <w:top w:val="single" w:sz="4" w:space="0" w:color="auto"/>
              <w:left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21.6</w:t>
            </w:r>
          </w:p>
        </w:tc>
        <w:tc>
          <w:tcPr>
            <w:tcW w:w="218" w:type="pct"/>
            <w:tcBorders>
              <w:top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10.3</w:t>
            </w:r>
          </w:p>
        </w:tc>
        <w:tc>
          <w:tcPr>
            <w:tcW w:w="218" w:type="pct"/>
            <w:tcBorders>
              <w:top w:val="single" w:sz="4" w:space="0" w:color="auto"/>
            </w:tcBorders>
            <w:shd w:val="clear" w:color="auto" w:fill="auto"/>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12.6</w:t>
            </w:r>
          </w:p>
        </w:tc>
        <w:tc>
          <w:tcPr>
            <w:tcW w:w="218" w:type="pct"/>
            <w:tcBorders>
              <w:top w:val="single" w:sz="4" w:space="0" w:color="auto"/>
            </w:tcBorders>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11.8</w:t>
            </w:r>
          </w:p>
        </w:tc>
        <w:tc>
          <w:tcPr>
            <w:tcW w:w="218" w:type="pct"/>
            <w:tcBorders>
              <w:top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10.3</w:t>
            </w:r>
          </w:p>
        </w:tc>
        <w:tc>
          <w:tcPr>
            <w:tcW w:w="218" w:type="pct"/>
            <w:tcBorders>
              <w:top w:val="single" w:sz="4" w:space="0" w:color="auto"/>
            </w:tcBorders>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9.2</w:t>
            </w:r>
          </w:p>
        </w:tc>
        <w:tc>
          <w:tcPr>
            <w:tcW w:w="224" w:type="pct"/>
            <w:tcBorders>
              <w:top w:val="single" w:sz="4" w:space="0" w:color="auto"/>
              <w:right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5.6</w:t>
            </w:r>
          </w:p>
        </w:tc>
        <w:tc>
          <w:tcPr>
            <w:tcW w:w="218" w:type="pct"/>
            <w:tcBorders>
              <w:top w:val="single" w:sz="4" w:space="0" w:color="auto"/>
              <w:left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18.9</w:t>
            </w:r>
          </w:p>
        </w:tc>
        <w:tc>
          <w:tcPr>
            <w:tcW w:w="218" w:type="pct"/>
            <w:tcBorders>
              <w:top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1.9</w:t>
            </w:r>
          </w:p>
        </w:tc>
        <w:tc>
          <w:tcPr>
            <w:tcW w:w="218" w:type="pct"/>
            <w:tcBorders>
              <w:top w:val="single" w:sz="4" w:space="0" w:color="auto"/>
            </w:tcBorders>
            <w:shd w:val="clear" w:color="auto" w:fill="auto"/>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3.4</w:t>
            </w:r>
          </w:p>
        </w:tc>
        <w:tc>
          <w:tcPr>
            <w:tcW w:w="218" w:type="pct"/>
            <w:tcBorders>
              <w:top w:val="single" w:sz="4" w:space="0" w:color="auto"/>
            </w:tcBorders>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3.6</w:t>
            </w:r>
          </w:p>
        </w:tc>
        <w:tc>
          <w:tcPr>
            <w:tcW w:w="218" w:type="pct"/>
            <w:tcBorders>
              <w:top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3.9</w:t>
            </w:r>
          </w:p>
        </w:tc>
        <w:tc>
          <w:tcPr>
            <w:tcW w:w="218" w:type="pct"/>
            <w:tcBorders>
              <w:top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1.6</w:t>
            </w:r>
          </w:p>
        </w:tc>
        <w:tc>
          <w:tcPr>
            <w:tcW w:w="219" w:type="pct"/>
            <w:tcBorders>
              <w:top w:val="single" w:sz="4" w:space="0" w:color="auto"/>
              <w:right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3.1</w:t>
            </w:r>
          </w:p>
        </w:tc>
      </w:tr>
      <w:tr w:rsidR="004E7EF3" w:rsidRPr="005F120D" w:rsidTr="004E7EF3">
        <w:trPr>
          <w:trHeight w:val="558"/>
          <w:jc w:val="center"/>
        </w:trPr>
        <w:tc>
          <w:tcPr>
            <w:tcW w:w="331" w:type="pct"/>
            <w:tcBorders>
              <w:left w:val="single" w:sz="4" w:space="0" w:color="auto"/>
              <w:right w:val="single" w:sz="4" w:space="0" w:color="auto"/>
            </w:tcBorders>
            <w:shd w:val="clear" w:color="auto" w:fill="FDE9D9"/>
            <w:noWrap/>
            <w:vAlign w:val="center"/>
          </w:tcPr>
          <w:p w:rsidR="004E7EF3" w:rsidRPr="005F120D" w:rsidRDefault="004E7EF3" w:rsidP="00C437AA">
            <w:pPr>
              <w:pStyle w:val="Tabletext"/>
              <w:spacing w:before="0"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308" w:type="pct"/>
            <w:tcBorders>
              <w:left w:val="single" w:sz="4" w:space="0" w:color="auto"/>
            </w:tcBorders>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52.7</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85.7</w:t>
            </w:r>
          </w:p>
        </w:tc>
        <w:tc>
          <w:tcPr>
            <w:tcW w:w="218" w:type="pct"/>
            <w:shd w:val="clear" w:color="auto" w:fill="FDE9D9"/>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81.7</w:t>
            </w:r>
          </w:p>
        </w:tc>
        <w:tc>
          <w:tcPr>
            <w:tcW w:w="218" w:type="pct"/>
            <w:shd w:val="clear" w:color="auto" w:fill="FDE9D9"/>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80.2</w:t>
            </w:r>
          </w:p>
        </w:tc>
        <w:tc>
          <w:tcPr>
            <w:tcW w:w="218" w:type="pct"/>
            <w:shd w:val="clear" w:color="auto" w:fill="FDE9D9"/>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84.2</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87.2</w:t>
            </w:r>
          </w:p>
        </w:tc>
        <w:tc>
          <w:tcPr>
            <w:tcW w:w="218" w:type="pct"/>
            <w:tcBorders>
              <w:right w:val="single" w:sz="4" w:space="0" w:color="auto"/>
            </w:tcBorders>
            <w:shd w:val="clear" w:color="auto" w:fill="FDE9D9"/>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79.3</w:t>
            </w:r>
          </w:p>
        </w:tc>
        <w:tc>
          <w:tcPr>
            <w:tcW w:w="218" w:type="pct"/>
            <w:tcBorders>
              <w:left w:val="single" w:sz="4" w:space="0" w:color="auto"/>
            </w:tcBorders>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25.3</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11.2</w:t>
            </w:r>
          </w:p>
        </w:tc>
        <w:tc>
          <w:tcPr>
            <w:tcW w:w="218" w:type="pct"/>
            <w:shd w:val="clear" w:color="auto" w:fill="FDE9D9"/>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12.4</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13</w:t>
            </w:r>
          </w:p>
        </w:tc>
        <w:tc>
          <w:tcPr>
            <w:tcW w:w="218" w:type="pct"/>
            <w:shd w:val="clear" w:color="auto" w:fill="FDE9D9"/>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12.1</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11.1</w:t>
            </w:r>
          </w:p>
        </w:tc>
        <w:tc>
          <w:tcPr>
            <w:tcW w:w="224" w:type="pct"/>
            <w:tcBorders>
              <w:right w:val="single" w:sz="4" w:space="0" w:color="auto"/>
            </w:tcBorders>
            <w:shd w:val="clear" w:color="auto" w:fill="FDE9D9"/>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11.6</w:t>
            </w:r>
          </w:p>
        </w:tc>
        <w:tc>
          <w:tcPr>
            <w:tcW w:w="218" w:type="pct"/>
            <w:tcBorders>
              <w:left w:val="single" w:sz="4" w:space="0" w:color="auto"/>
            </w:tcBorders>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22.0</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3.0</w:t>
            </w:r>
          </w:p>
        </w:tc>
        <w:tc>
          <w:tcPr>
            <w:tcW w:w="218" w:type="pct"/>
            <w:shd w:val="clear" w:color="auto" w:fill="FDE9D9"/>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3.6</w:t>
            </w:r>
          </w:p>
        </w:tc>
        <w:tc>
          <w:tcPr>
            <w:tcW w:w="218" w:type="pct"/>
            <w:shd w:val="clear" w:color="auto" w:fill="FDE9D9"/>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6.8</w:t>
            </w:r>
          </w:p>
        </w:tc>
        <w:tc>
          <w:tcPr>
            <w:tcW w:w="218" w:type="pct"/>
            <w:shd w:val="clear" w:color="auto" w:fill="FDE9D9"/>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3.7</w:t>
            </w:r>
          </w:p>
        </w:tc>
        <w:tc>
          <w:tcPr>
            <w:tcW w:w="218" w:type="pct"/>
            <w:shd w:val="clear" w:color="auto" w:fill="FDE9D9"/>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1.7</w:t>
            </w:r>
          </w:p>
        </w:tc>
        <w:tc>
          <w:tcPr>
            <w:tcW w:w="219" w:type="pct"/>
            <w:tcBorders>
              <w:right w:val="single" w:sz="4" w:space="0" w:color="auto"/>
            </w:tcBorders>
            <w:shd w:val="clear" w:color="auto" w:fill="FDE9D9"/>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9.1</w:t>
            </w:r>
          </w:p>
        </w:tc>
      </w:tr>
      <w:tr w:rsidR="004E7EF3" w:rsidRPr="005F120D" w:rsidTr="004E7EF3">
        <w:trPr>
          <w:trHeight w:val="522"/>
          <w:jc w:val="center"/>
        </w:trPr>
        <w:tc>
          <w:tcPr>
            <w:tcW w:w="331" w:type="pct"/>
            <w:tcBorders>
              <w:left w:val="single" w:sz="4" w:space="0" w:color="auto"/>
              <w:right w:val="single" w:sz="4" w:space="0" w:color="auto"/>
            </w:tcBorders>
            <w:shd w:val="clear" w:color="auto" w:fill="auto"/>
            <w:noWrap/>
            <w:vAlign w:val="center"/>
          </w:tcPr>
          <w:p w:rsidR="004E7EF3" w:rsidRPr="005F120D" w:rsidRDefault="004E7EF3" w:rsidP="00C437AA">
            <w:pPr>
              <w:pStyle w:val="Tabletext"/>
              <w:spacing w:before="0"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308" w:type="pct"/>
            <w:tcBorders>
              <w:left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45.3</w:t>
            </w:r>
          </w:p>
        </w:tc>
        <w:tc>
          <w:tcPr>
            <w:tcW w:w="218" w:type="pct"/>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83.7</w:t>
            </w:r>
          </w:p>
        </w:tc>
        <w:tc>
          <w:tcPr>
            <w:tcW w:w="218" w:type="pct"/>
            <w:shd w:val="clear" w:color="auto" w:fill="auto"/>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79.1</w:t>
            </w:r>
          </w:p>
        </w:tc>
        <w:tc>
          <w:tcPr>
            <w:tcW w:w="218" w:type="pct"/>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80.7</w:t>
            </w:r>
          </w:p>
        </w:tc>
        <w:tc>
          <w:tcPr>
            <w:tcW w:w="218" w:type="pct"/>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83.1</w:t>
            </w:r>
          </w:p>
        </w:tc>
        <w:tc>
          <w:tcPr>
            <w:tcW w:w="218" w:type="pct"/>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85.4</w:t>
            </w:r>
          </w:p>
        </w:tc>
        <w:tc>
          <w:tcPr>
            <w:tcW w:w="218" w:type="pct"/>
            <w:tcBorders>
              <w:right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77.6</w:t>
            </w:r>
          </w:p>
        </w:tc>
        <w:tc>
          <w:tcPr>
            <w:tcW w:w="218" w:type="pct"/>
            <w:tcBorders>
              <w:left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22.3</w:t>
            </w:r>
          </w:p>
        </w:tc>
        <w:tc>
          <w:tcPr>
            <w:tcW w:w="218" w:type="pct"/>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13.5</w:t>
            </w:r>
          </w:p>
        </w:tc>
        <w:tc>
          <w:tcPr>
            <w:tcW w:w="218" w:type="pct"/>
            <w:shd w:val="clear" w:color="auto" w:fill="auto"/>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14.3</w:t>
            </w:r>
          </w:p>
        </w:tc>
        <w:tc>
          <w:tcPr>
            <w:tcW w:w="218" w:type="pct"/>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15.7</w:t>
            </w:r>
          </w:p>
        </w:tc>
        <w:tc>
          <w:tcPr>
            <w:tcW w:w="218" w:type="pct"/>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12.8</w:t>
            </w:r>
          </w:p>
        </w:tc>
        <w:tc>
          <w:tcPr>
            <w:tcW w:w="218" w:type="pct"/>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12.8</w:t>
            </w:r>
          </w:p>
        </w:tc>
        <w:tc>
          <w:tcPr>
            <w:tcW w:w="224" w:type="pct"/>
            <w:tcBorders>
              <w:right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13.4</w:t>
            </w:r>
          </w:p>
        </w:tc>
        <w:tc>
          <w:tcPr>
            <w:tcW w:w="218" w:type="pct"/>
            <w:tcBorders>
              <w:left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32.4</w:t>
            </w:r>
          </w:p>
        </w:tc>
        <w:tc>
          <w:tcPr>
            <w:tcW w:w="218" w:type="pct"/>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2.9</w:t>
            </w:r>
          </w:p>
        </w:tc>
        <w:tc>
          <w:tcPr>
            <w:tcW w:w="218" w:type="pct"/>
            <w:shd w:val="clear" w:color="auto" w:fill="auto"/>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4.0</w:t>
            </w:r>
          </w:p>
        </w:tc>
        <w:tc>
          <w:tcPr>
            <w:tcW w:w="218" w:type="pct"/>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4.1</w:t>
            </w:r>
          </w:p>
        </w:tc>
        <w:tc>
          <w:tcPr>
            <w:tcW w:w="218" w:type="pct"/>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4.2</w:t>
            </w:r>
          </w:p>
        </w:tc>
        <w:tc>
          <w:tcPr>
            <w:tcW w:w="218" w:type="pct"/>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1.8</w:t>
            </w:r>
          </w:p>
        </w:tc>
        <w:tc>
          <w:tcPr>
            <w:tcW w:w="219" w:type="pct"/>
            <w:tcBorders>
              <w:right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9</w:t>
            </w:r>
          </w:p>
        </w:tc>
      </w:tr>
      <w:tr w:rsidR="004E7EF3" w:rsidRPr="005F120D" w:rsidTr="004E7EF3">
        <w:trPr>
          <w:trHeight w:val="468"/>
          <w:jc w:val="center"/>
        </w:trPr>
        <w:tc>
          <w:tcPr>
            <w:tcW w:w="331" w:type="pct"/>
            <w:tcBorders>
              <w:left w:val="single" w:sz="4" w:space="0" w:color="auto"/>
              <w:right w:val="single" w:sz="4" w:space="0" w:color="auto"/>
            </w:tcBorders>
            <w:shd w:val="clear" w:color="auto" w:fill="FDE9D9"/>
            <w:noWrap/>
            <w:vAlign w:val="center"/>
          </w:tcPr>
          <w:p w:rsidR="004E7EF3" w:rsidRPr="005F120D" w:rsidRDefault="004E7EF3" w:rsidP="00C437AA">
            <w:pPr>
              <w:pStyle w:val="Tabletext"/>
              <w:spacing w:before="0"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308" w:type="pct"/>
            <w:tcBorders>
              <w:left w:val="single" w:sz="4" w:space="0" w:color="auto"/>
            </w:tcBorders>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40.6</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83.0</w:t>
            </w:r>
          </w:p>
        </w:tc>
        <w:tc>
          <w:tcPr>
            <w:tcW w:w="218" w:type="pct"/>
            <w:shd w:val="clear" w:color="auto" w:fill="FDE9D9"/>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77.4</w:t>
            </w:r>
          </w:p>
        </w:tc>
        <w:tc>
          <w:tcPr>
            <w:tcW w:w="218" w:type="pct"/>
            <w:shd w:val="clear" w:color="auto" w:fill="FDE9D9"/>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80.5</w:t>
            </w:r>
          </w:p>
        </w:tc>
        <w:tc>
          <w:tcPr>
            <w:tcW w:w="218" w:type="pct"/>
            <w:shd w:val="clear" w:color="auto" w:fill="FDE9D9"/>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84.1</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85.9</w:t>
            </w:r>
          </w:p>
        </w:tc>
        <w:tc>
          <w:tcPr>
            <w:tcW w:w="218" w:type="pct"/>
            <w:tcBorders>
              <w:right w:val="single" w:sz="4" w:space="0" w:color="auto"/>
            </w:tcBorders>
            <w:shd w:val="clear" w:color="auto" w:fill="FDE9D9"/>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78</w:t>
            </w:r>
          </w:p>
        </w:tc>
        <w:tc>
          <w:tcPr>
            <w:tcW w:w="218" w:type="pct"/>
            <w:tcBorders>
              <w:left w:val="single" w:sz="4" w:space="0" w:color="auto"/>
            </w:tcBorders>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28.6</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13.7</w:t>
            </w:r>
          </w:p>
        </w:tc>
        <w:tc>
          <w:tcPr>
            <w:tcW w:w="218" w:type="pct"/>
            <w:shd w:val="clear" w:color="auto" w:fill="FDE9D9"/>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14.6</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14.4</w:t>
            </w:r>
          </w:p>
        </w:tc>
        <w:tc>
          <w:tcPr>
            <w:tcW w:w="218" w:type="pct"/>
            <w:shd w:val="clear" w:color="auto" w:fill="FDE9D9"/>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11.7</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11.3</w:t>
            </w:r>
          </w:p>
        </w:tc>
        <w:tc>
          <w:tcPr>
            <w:tcW w:w="224" w:type="pct"/>
            <w:tcBorders>
              <w:right w:val="single" w:sz="4" w:space="0" w:color="auto"/>
            </w:tcBorders>
            <w:shd w:val="clear" w:color="auto" w:fill="FDE9D9"/>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17.2</w:t>
            </w:r>
          </w:p>
        </w:tc>
        <w:tc>
          <w:tcPr>
            <w:tcW w:w="218" w:type="pct"/>
            <w:tcBorders>
              <w:left w:val="single" w:sz="4" w:space="0" w:color="auto"/>
            </w:tcBorders>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30.8</w:t>
            </w:r>
          </w:p>
        </w:tc>
        <w:tc>
          <w:tcPr>
            <w:tcW w:w="218" w:type="pct"/>
            <w:shd w:val="clear" w:color="auto" w:fill="FDE9D9"/>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3.3</w:t>
            </w:r>
          </w:p>
        </w:tc>
        <w:tc>
          <w:tcPr>
            <w:tcW w:w="218" w:type="pct"/>
            <w:shd w:val="clear" w:color="auto" w:fill="FDE9D9"/>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4.9</w:t>
            </w:r>
          </w:p>
        </w:tc>
        <w:tc>
          <w:tcPr>
            <w:tcW w:w="218" w:type="pct"/>
            <w:shd w:val="clear" w:color="auto" w:fill="FDE9D9"/>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5.1</w:t>
            </w:r>
          </w:p>
        </w:tc>
        <w:tc>
          <w:tcPr>
            <w:tcW w:w="218" w:type="pct"/>
            <w:shd w:val="clear" w:color="auto" w:fill="FDE9D9"/>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4.2</w:t>
            </w:r>
          </w:p>
        </w:tc>
        <w:tc>
          <w:tcPr>
            <w:tcW w:w="218" w:type="pct"/>
            <w:shd w:val="clear" w:color="auto" w:fill="FDE9D9"/>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1.9</w:t>
            </w:r>
          </w:p>
        </w:tc>
        <w:tc>
          <w:tcPr>
            <w:tcW w:w="219" w:type="pct"/>
            <w:tcBorders>
              <w:right w:val="single" w:sz="4" w:space="0" w:color="auto"/>
            </w:tcBorders>
            <w:shd w:val="clear" w:color="auto" w:fill="FDE9D9"/>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4.8</w:t>
            </w:r>
          </w:p>
        </w:tc>
      </w:tr>
      <w:tr w:rsidR="004E7EF3" w:rsidRPr="005F120D" w:rsidTr="004E7EF3">
        <w:trPr>
          <w:trHeight w:val="612"/>
          <w:jc w:val="center"/>
        </w:trPr>
        <w:tc>
          <w:tcPr>
            <w:tcW w:w="331" w:type="pct"/>
            <w:tcBorders>
              <w:left w:val="single" w:sz="4" w:space="0" w:color="auto"/>
              <w:bottom w:val="single" w:sz="4" w:space="0" w:color="auto"/>
              <w:right w:val="single" w:sz="4" w:space="0" w:color="auto"/>
            </w:tcBorders>
            <w:shd w:val="clear" w:color="auto" w:fill="auto"/>
            <w:noWrap/>
            <w:vAlign w:val="center"/>
          </w:tcPr>
          <w:p w:rsidR="004E7EF3" w:rsidRPr="005F120D" w:rsidRDefault="004E7EF3" w:rsidP="00C437AA">
            <w:pPr>
              <w:pStyle w:val="Tabletext"/>
              <w:spacing w:before="0" w:after="0" w:line="276" w:lineRule="auto"/>
              <w:jc w:val="center"/>
              <w:rPr>
                <w:rFonts w:asciiTheme="minorHAnsi" w:hAnsiTheme="minorHAnsi" w:cstheme="minorHAnsi"/>
                <w:sz w:val="18"/>
                <w:szCs w:val="18"/>
              </w:rPr>
            </w:pPr>
            <w:r w:rsidRPr="005F120D">
              <w:rPr>
                <w:rFonts w:asciiTheme="minorHAnsi" w:hAnsiTheme="minorHAnsi" w:cstheme="minorHAnsi"/>
                <w:sz w:val="18"/>
                <w:szCs w:val="18"/>
              </w:rPr>
              <w:t>5</w:t>
            </w:r>
          </w:p>
        </w:tc>
        <w:tc>
          <w:tcPr>
            <w:tcW w:w="308" w:type="pct"/>
            <w:tcBorders>
              <w:left w:val="single" w:sz="4" w:space="0" w:color="auto"/>
              <w:bottom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42.1</w:t>
            </w:r>
          </w:p>
        </w:tc>
        <w:tc>
          <w:tcPr>
            <w:tcW w:w="218" w:type="pct"/>
            <w:tcBorders>
              <w:bottom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87.5</w:t>
            </w:r>
          </w:p>
        </w:tc>
        <w:tc>
          <w:tcPr>
            <w:tcW w:w="218" w:type="pct"/>
            <w:tcBorders>
              <w:bottom w:val="single" w:sz="4" w:space="0" w:color="auto"/>
            </w:tcBorders>
            <w:shd w:val="clear" w:color="auto" w:fill="auto"/>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78.7</w:t>
            </w:r>
          </w:p>
        </w:tc>
        <w:tc>
          <w:tcPr>
            <w:tcW w:w="218" w:type="pct"/>
            <w:tcBorders>
              <w:bottom w:val="single" w:sz="4" w:space="0" w:color="auto"/>
            </w:tcBorders>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79.8</w:t>
            </w:r>
          </w:p>
        </w:tc>
        <w:tc>
          <w:tcPr>
            <w:tcW w:w="218" w:type="pct"/>
            <w:tcBorders>
              <w:bottom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85.3</w:t>
            </w:r>
          </w:p>
        </w:tc>
        <w:tc>
          <w:tcPr>
            <w:tcW w:w="218" w:type="pct"/>
            <w:tcBorders>
              <w:bottom w:val="single" w:sz="4" w:space="0" w:color="auto"/>
            </w:tcBorders>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88.3</w:t>
            </w:r>
          </w:p>
        </w:tc>
        <w:tc>
          <w:tcPr>
            <w:tcW w:w="218" w:type="pct"/>
            <w:tcBorders>
              <w:bottom w:val="single" w:sz="4" w:space="0" w:color="auto"/>
              <w:right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70.9</w:t>
            </w:r>
          </w:p>
        </w:tc>
        <w:tc>
          <w:tcPr>
            <w:tcW w:w="218" w:type="pct"/>
            <w:tcBorders>
              <w:left w:val="single" w:sz="4" w:space="0" w:color="auto"/>
              <w:bottom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20.4</w:t>
            </w:r>
          </w:p>
        </w:tc>
        <w:tc>
          <w:tcPr>
            <w:tcW w:w="218" w:type="pct"/>
            <w:tcBorders>
              <w:bottom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8.9</w:t>
            </w:r>
          </w:p>
        </w:tc>
        <w:tc>
          <w:tcPr>
            <w:tcW w:w="218" w:type="pct"/>
            <w:tcBorders>
              <w:bottom w:val="single" w:sz="4" w:space="0" w:color="auto"/>
            </w:tcBorders>
            <w:shd w:val="clear" w:color="auto" w:fill="auto"/>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12.0</w:t>
            </w:r>
          </w:p>
        </w:tc>
        <w:tc>
          <w:tcPr>
            <w:tcW w:w="218" w:type="pct"/>
            <w:tcBorders>
              <w:bottom w:val="single" w:sz="4" w:space="0" w:color="auto"/>
            </w:tcBorders>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13.4</w:t>
            </w:r>
          </w:p>
        </w:tc>
        <w:tc>
          <w:tcPr>
            <w:tcW w:w="218" w:type="pct"/>
            <w:tcBorders>
              <w:bottom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10.1</w:t>
            </w:r>
          </w:p>
        </w:tc>
        <w:tc>
          <w:tcPr>
            <w:tcW w:w="218" w:type="pct"/>
            <w:tcBorders>
              <w:bottom w:val="single" w:sz="4" w:space="0" w:color="auto"/>
            </w:tcBorders>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10</w:t>
            </w:r>
          </w:p>
        </w:tc>
        <w:tc>
          <w:tcPr>
            <w:tcW w:w="224" w:type="pct"/>
            <w:tcBorders>
              <w:bottom w:val="single" w:sz="4" w:space="0" w:color="auto"/>
              <w:right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17.7</w:t>
            </w:r>
          </w:p>
        </w:tc>
        <w:tc>
          <w:tcPr>
            <w:tcW w:w="218" w:type="pct"/>
            <w:tcBorders>
              <w:left w:val="single" w:sz="4" w:space="0" w:color="auto"/>
              <w:bottom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37.6</w:t>
            </w:r>
          </w:p>
        </w:tc>
        <w:tc>
          <w:tcPr>
            <w:tcW w:w="218" w:type="pct"/>
            <w:tcBorders>
              <w:bottom w:val="single" w:sz="4" w:space="0" w:color="auto"/>
            </w:tcBorders>
            <w:shd w:val="clear" w:color="auto" w:fill="auto"/>
            <w:vAlign w:val="center"/>
          </w:tcPr>
          <w:p w:rsidR="004E7EF3" w:rsidRPr="005F120D" w:rsidRDefault="004E7EF3" w:rsidP="00D9586F">
            <w:pPr>
              <w:pStyle w:val="Tabletext"/>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3.6</w:t>
            </w:r>
          </w:p>
        </w:tc>
        <w:tc>
          <w:tcPr>
            <w:tcW w:w="218" w:type="pct"/>
            <w:tcBorders>
              <w:bottom w:val="single" w:sz="4" w:space="0" w:color="auto"/>
            </w:tcBorders>
            <w:shd w:val="clear" w:color="auto" w:fill="auto"/>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5.1</w:t>
            </w:r>
          </w:p>
        </w:tc>
        <w:tc>
          <w:tcPr>
            <w:tcW w:w="218" w:type="pct"/>
            <w:tcBorders>
              <w:bottom w:val="single" w:sz="4" w:space="0" w:color="auto"/>
            </w:tcBorders>
            <w:vAlign w:val="center"/>
          </w:tcPr>
          <w:p w:rsidR="004E7EF3" w:rsidRPr="005F120D" w:rsidRDefault="004E7EF3" w:rsidP="00D9586F">
            <w:pPr>
              <w:spacing w:beforeLines="40" w:afterLines="40" w:line="276" w:lineRule="auto"/>
              <w:jc w:val="center"/>
              <w:rPr>
                <w:rFonts w:asciiTheme="minorHAnsi" w:hAnsiTheme="minorHAnsi" w:cstheme="minorHAnsi"/>
                <w:sz w:val="18"/>
                <w:szCs w:val="18"/>
              </w:rPr>
            </w:pPr>
            <w:r w:rsidRPr="005F120D">
              <w:rPr>
                <w:rFonts w:asciiTheme="minorHAnsi" w:hAnsiTheme="minorHAnsi" w:cstheme="minorHAnsi"/>
                <w:sz w:val="18"/>
                <w:szCs w:val="18"/>
              </w:rPr>
              <w:t>6.8</w:t>
            </w:r>
          </w:p>
        </w:tc>
        <w:tc>
          <w:tcPr>
            <w:tcW w:w="218" w:type="pct"/>
            <w:tcBorders>
              <w:bottom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4.6</w:t>
            </w:r>
          </w:p>
        </w:tc>
        <w:tc>
          <w:tcPr>
            <w:tcW w:w="218" w:type="pct"/>
            <w:tcBorders>
              <w:bottom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1.7</w:t>
            </w:r>
          </w:p>
        </w:tc>
        <w:tc>
          <w:tcPr>
            <w:tcW w:w="219" w:type="pct"/>
            <w:tcBorders>
              <w:bottom w:val="single" w:sz="4" w:space="0" w:color="auto"/>
              <w:right w:val="single" w:sz="4" w:space="0" w:color="auto"/>
            </w:tcBorders>
            <w:vAlign w:val="center"/>
          </w:tcPr>
          <w:p w:rsidR="004E7EF3" w:rsidRPr="005F120D" w:rsidRDefault="004E7EF3" w:rsidP="00C437AA">
            <w:pPr>
              <w:spacing w:after="0" w:line="276" w:lineRule="auto"/>
              <w:jc w:val="center"/>
              <w:rPr>
                <w:rFonts w:asciiTheme="minorHAnsi" w:hAnsiTheme="minorHAnsi" w:cstheme="minorHAnsi"/>
                <w:bCs/>
                <w:sz w:val="18"/>
                <w:szCs w:val="18"/>
              </w:rPr>
            </w:pPr>
            <w:r w:rsidRPr="005F120D">
              <w:rPr>
                <w:rFonts w:asciiTheme="minorHAnsi" w:hAnsiTheme="minorHAnsi" w:cstheme="minorHAnsi"/>
                <w:bCs/>
                <w:sz w:val="18"/>
                <w:szCs w:val="18"/>
              </w:rPr>
              <w:t>11.4</w:t>
            </w:r>
          </w:p>
        </w:tc>
      </w:tr>
    </w:tbl>
    <w:p w:rsidR="005A0780" w:rsidRPr="005F120D" w:rsidRDefault="00251625" w:rsidP="000A5B80">
      <w:pPr>
        <w:pStyle w:val="Tablenotes"/>
        <w:sectPr w:rsidR="005A0780" w:rsidRPr="005F120D" w:rsidSect="00C61570">
          <w:type w:val="nextColumn"/>
          <w:pgSz w:w="16834" w:h="11909" w:orient="landscape" w:code="9"/>
          <w:pgMar w:top="1440" w:right="1152" w:bottom="1440" w:left="1440" w:header="720" w:footer="720" w:gutter="0"/>
          <w:pgNumType w:start="16"/>
          <w:cols w:space="720"/>
          <w:docGrid w:linePitch="360"/>
        </w:sectPr>
      </w:pPr>
      <w:r w:rsidRPr="005F120D">
        <w:t>Source: APSC 2010-</w:t>
      </w:r>
      <w:r w:rsidR="00F71637" w:rsidRPr="005F120D">
        <w:t>201</w:t>
      </w:r>
      <w:r w:rsidR="006620B2" w:rsidRPr="005F120D">
        <w:t>5</w:t>
      </w:r>
      <w:r w:rsidR="00F71637" w:rsidRPr="005F120D">
        <w:t>, MICS 2009</w:t>
      </w:r>
      <w:r w:rsidR="001A5424" w:rsidRPr="005F120D">
        <w:t xml:space="preserve">: </w:t>
      </w:r>
      <w:r w:rsidR="000F02C0" w:rsidRPr="005F120D">
        <w:t xml:space="preserve">MICS 2012/13 dataset </w:t>
      </w:r>
      <w:r w:rsidR="001A5424" w:rsidRPr="005F120D">
        <w:t>was not available to include</w:t>
      </w:r>
      <w:r w:rsidR="000F02C0" w:rsidRPr="005F120D">
        <w:t xml:space="preserve"> updated information </w:t>
      </w:r>
      <w:r w:rsidR="001A5424" w:rsidRPr="005F120D">
        <w:t>in this table.</w:t>
      </w:r>
      <w:r w:rsidR="000F02C0" w:rsidRPr="005F120D">
        <w:t xml:space="preserve"> T</w:t>
      </w:r>
      <w:r w:rsidR="006632C0" w:rsidRPr="005F120D">
        <w:t>herefore, t</w:t>
      </w:r>
      <w:r w:rsidR="000F02C0" w:rsidRPr="005F120D">
        <w:t>he repo</w:t>
      </w:r>
      <w:r w:rsidR="001A5424" w:rsidRPr="005F120D">
        <w:t>rt does not include the analysi</w:t>
      </w:r>
      <w:r w:rsidR="000F02C0" w:rsidRPr="005F120D">
        <w:t>s on the age specific enrolment data.</w:t>
      </w:r>
    </w:p>
    <w:p w:rsidR="00A8644C" w:rsidRPr="005F120D" w:rsidRDefault="00234BEA" w:rsidP="00C437AA">
      <w:pPr>
        <w:pStyle w:val="BodyText1"/>
        <w:rPr>
          <w:rFonts w:asciiTheme="minorHAnsi" w:hAnsiTheme="minorHAnsi" w:cstheme="minorHAnsi"/>
          <w:b w:val="0"/>
          <w:i/>
          <w:color w:val="006600"/>
          <w:sz w:val="24"/>
          <w:szCs w:val="24"/>
          <w:u w:val="single"/>
        </w:rPr>
      </w:pPr>
      <w:r w:rsidRPr="005F120D">
        <w:rPr>
          <w:rFonts w:asciiTheme="minorHAnsi" w:hAnsiTheme="minorHAnsi" w:cstheme="minorHAnsi"/>
          <w:i/>
          <w:color w:val="006600"/>
          <w:sz w:val="24"/>
          <w:szCs w:val="24"/>
          <w:u w:val="single"/>
        </w:rPr>
        <w:lastRenderedPageBreak/>
        <w:t>School-age P</w:t>
      </w:r>
      <w:r w:rsidR="007A3CC1" w:rsidRPr="005F120D">
        <w:rPr>
          <w:rFonts w:asciiTheme="minorHAnsi" w:hAnsiTheme="minorHAnsi" w:cstheme="minorHAnsi"/>
          <w:i/>
          <w:color w:val="006600"/>
          <w:sz w:val="24"/>
          <w:szCs w:val="24"/>
          <w:u w:val="single"/>
        </w:rPr>
        <w:t>opulation</w:t>
      </w:r>
      <w:r w:rsidR="007A3CC1" w:rsidRPr="005F120D">
        <w:rPr>
          <w:rFonts w:asciiTheme="minorHAnsi" w:hAnsiTheme="minorHAnsi" w:cstheme="minorHAnsi"/>
          <w:b w:val="0"/>
          <w:i/>
          <w:color w:val="006600"/>
          <w:sz w:val="24"/>
          <w:szCs w:val="24"/>
          <w:u w:val="single"/>
        </w:rPr>
        <w:t>:</w:t>
      </w:r>
    </w:p>
    <w:p w:rsidR="00C06D4E" w:rsidRPr="005F120D" w:rsidRDefault="00234BEA" w:rsidP="00C437AA">
      <w:pPr>
        <w:spacing w:line="276" w:lineRule="auto"/>
        <w:jc w:val="both"/>
        <w:rPr>
          <w:rFonts w:asciiTheme="minorHAnsi" w:hAnsiTheme="minorHAnsi" w:cstheme="minorHAnsi"/>
          <w:szCs w:val="22"/>
        </w:rPr>
      </w:pPr>
      <w:bookmarkStart w:id="60" w:name="_Ref386555156"/>
      <w:r w:rsidRPr="005F120D">
        <w:rPr>
          <w:rFonts w:asciiTheme="minorHAnsi" w:hAnsiTheme="minorHAnsi" w:cstheme="minorHAnsi"/>
          <w:szCs w:val="22"/>
        </w:rPr>
        <w:t>The BBS estimates based on the 2001 population census indicate that the primary school-age cohort has been declining since 2005. This projection was based on several assumptions, including the declining fertility rate.  In July 2012, the BBS published data from the 2011 population census. DPE used a Sprague multiplier to estimate the 2011 primary school age population based on the new census data with the consent and endorsement of BBS</w:t>
      </w:r>
      <w:r w:rsidRPr="005F120D">
        <w:rPr>
          <w:rStyle w:val="FootnoteReference"/>
          <w:rFonts w:asciiTheme="minorHAnsi" w:hAnsiTheme="minorHAnsi" w:cstheme="minorHAnsi"/>
          <w:szCs w:val="22"/>
        </w:rPr>
        <w:footnoteReference w:id="3"/>
      </w:r>
      <w:r w:rsidRPr="005F120D">
        <w:rPr>
          <w:rFonts w:asciiTheme="minorHAnsi" w:hAnsiTheme="minorHAnsi" w:cstheme="minorHAnsi"/>
          <w:szCs w:val="22"/>
        </w:rPr>
        <w:t xml:space="preserve"> (see Table 1.4). The results of this are displayed in Table 1.4</w:t>
      </w:r>
      <w:r w:rsidR="00C06D4E" w:rsidRPr="005F120D">
        <w:rPr>
          <w:rFonts w:asciiTheme="minorHAnsi" w:hAnsiTheme="minorHAnsi" w:cstheme="minorHAnsi"/>
          <w:szCs w:val="22"/>
        </w:rPr>
        <w:t>.</w:t>
      </w:r>
    </w:p>
    <w:p w:rsidR="004E0802" w:rsidRPr="005F120D" w:rsidRDefault="00B106AF" w:rsidP="00C437AA">
      <w:pPr>
        <w:pStyle w:val="Caption"/>
        <w:spacing w:before="240" w:line="276" w:lineRule="auto"/>
        <w:rPr>
          <w:rFonts w:cstheme="minorHAnsi"/>
          <w:szCs w:val="22"/>
        </w:rPr>
      </w:pPr>
      <w:bookmarkStart w:id="62" w:name="_Toc462837222"/>
      <w:r w:rsidRPr="005F120D">
        <w:rPr>
          <w:rFonts w:cstheme="minorHAnsi"/>
          <w:szCs w:val="22"/>
        </w:rPr>
        <w:t>Table</w:t>
      </w:r>
      <w:r w:rsidR="002E2ED5" w:rsidRPr="005F120D">
        <w:rPr>
          <w:rFonts w:cstheme="minorHAnsi"/>
          <w:szCs w:val="22"/>
        </w:rPr>
        <w:fldChar w:fldCharType="begin"/>
      </w:r>
      <w:r w:rsidR="007112B6" w:rsidRPr="005F120D">
        <w:rPr>
          <w:rFonts w:cstheme="minorHAnsi"/>
          <w:szCs w:val="22"/>
        </w:rPr>
        <w:instrText xml:space="preserve"> STYLEREF 1 \s </w:instrText>
      </w:r>
      <w:r w:rsidR="002E2ED5" w:rsidRPr="005F120D">
        <w:rPr>
          <w:rFonts w:cstheme="minorHAnsi"/>
          <w:szCs w:val="22"/>
        </w:rPr>
        <w:fldChar w:fldCharType="separate"/>
      </w:r>
      <w:r w:rsidR="00810DA2">
        <w:rPr>
          <w:rFonts w:cstheme="minorHAnsi"/>
          <w:noProof/>
          <w:szCs w:val="22"/>
        </w:rPr>
        <w:t>1</w:t>
      </w:r>
      <w:r w:rsidR="002E2ED5" w:rsidRPr="005F120D">
        <w:rPr>
          <w:rFonts w:cstheme="minorHAnsi"/>
          <w:szCs w:val="22"/>
        </w:rPr>
        <w:fldChar w:fldCharType="end"/>
      </w:r>
      <w:r w:rsidR="007112B6" w:rsidRPr="005F120D">
        <w:rPr>
          <w:rFonts w:cstheme="minorHAnsi"/>
          <w:szCs w:val="22"/>
        </w:rPr>
        <w:t>.</w:t>
      </w:r>
      <w:r w:rsidR="002E2ED5" w:rsidRPr="005F120D">
        <w:rPr>
          <w:rFonts w:cstheme="minorHAnsi"/>
          <w:szCs w:val="22"/>
        </w:rPr>
        <w:fldChar w:fldCharType="begin"/>
      </w:r>
      <w:r w:rsidR="007112B6" w:rsidRPr="005F120D">
        <w:rPr>
          <w:rFonts w:cstheme="minorHAnsi"/>
          <w:szCs w:val="22"/>
        </w:rPr>
        <w:instrText xml:space="preserve"> SEQ Table \* ARABIC \s 1 </w:instrText>
      </w:r>
      <w:r w:rsidR="002E2ED5" w:rsidRPr="005F120D">
        <w:rPr>
          <w:rFonts w:cstheme="minorHAnsi"/>
          <w:szCs w:val="22"/>
        </w:rPr>
        <w:fldChar w:fldCharType="separate"/>
      </w:r>
      <w:r w:rsidR="00810DA2">
        <w:rPr>
          <w:rFonts w:cstheme="minorHAnsi"/>
          <w:noProof/>
          <w:szCs w:val="22"/>
        </w:rPr>
        <w:t>4</w:t>
      </w:r>
      <w:r w:rsidR="002E2ED5" w:rsidRPr="005F120D">
        <w:rPr>
          <w:rFonts w:cstheme="minorHAnsi"/>
          <w:szCs w:val="22"/>
        </w:rPr>
        <w:fldChar w:fldCharType="end"/>
      </w:r>
      <w:bookmarkEnd w:id="60"/>
      <w:r w:rsidR="004565E6" w:rsidRPr="005F120D">
        <w:rPr>
          <w:rFonts w:cstheme="minorHAnsi"/>
          <w:szCs w:val="22"/>
        </w:rPr>
        <w:t>:</w:t>
      </w:r>
      <w:r w:rsidR="00975710">
        <w:rPr>
          <w:rFonts w:cstheme="minorHAnsi"/>
          <w:szCs w:val="22"/>
        </w:rPr>
        <w:t xml:space="preserve"> </w:t>
      </w:r>
      <w:r w:rsidR="007A6E2D" w:rsidRPr="005F120D">
        <w:rPr>
          <w:rFonts w:cstheme="minorHAnsi"/>
          <w:szCs w:val="22"/>
        </w:rPr>
        <w:t xml:space="preserve">Estimated Primary School Cohort </w:t>
      </w:r>
      <w:r w:rsidR="00747228" w:rsidRPr="005F120D">
        <w:rPr>
          <w:rFonts w:cstheme="minorHAnsi"/>
          <w:szCs w:val="22"/>
        </w:rPr>
        <w:t>A</w:t>
      </w:r>
      <w:r w:rsidR="00260546" w:rsidRPr="005F120D">
        <w:rPr>
          <w:rFonts w:cstheme="minorHAnsi"/>
          <w:szCs w:val="22"/>
        </w:rPr>
        <w:t>ge</w:t>
      </w:r>
      <w:r w:rsidR="007A6E2D" w:rsidRPr="005F120D">
        <w:rPr>
          <w:rFonts w:cstheme="minorHAnsi"/>
          <w:szCs w:val="22"/>
        </w:rPr>
        <w:t xml:space="preserve"> 6-10</w:t>
      </w:r>
      <w:r w:rsidR="00747228" w:rsidRPr="005F120D">
        <w:rPr>
          <w:rFonts w:cstheme="minorHAnsi"/>
          <w:szCs w:val="22"/>
        </w:rPr>
        <w:t xml:space="preserve"> Years</w:t>
      </w:r>
      <w:r w:rsidR="00EE3B6D" w:rsidRPr="005F120D">
        <w:rPr>
          <w:rFonts w:cstheme="minorHAnsi"/>
          <w:szCs w:val="22"/>
        </w:rPr>
        <w:t xml:space="preserve"> 2005-2015</w:t>
      </w:r>
      <w:r w:rsidR="007A6E2D" w:rsidRPr="005F120D">
        <w:rPr>
          <w:rFonts w:cstheme="minorHAnsi"/>
          <w:szCs w:val="22"/>
        </w:rPr>
        <w:t xml:space="preserve"> (</w:t>
      </w:r>
      <w:r w:rsidR="00747228" w:rsidRPr="005F120D">
        <w:rPr>
          <w:rFonts w:cstheme="minorHAnsi"/>
          <w:szCs w:val="22"/>
        </w:rPr>
        <w:t xml:space="preserve">in </w:t>
      </w:r>
      <w:r w:rsidR="007A6E2D" w:rsidRPr="005F120D">
        <w:rPr>
          <w:rFonts w:cstheme="minorHAnsi"/>
          <w:szCs w:val="22"/>
        </w:rPr>
        <w:t>millions)</w:t>
      </w:r>
      <w:bookmarkEnd w:id="62"/>
    </w:p>
    <w:tbl>
      <w:tblPr>
        <w:tblStyle w:val="MediumGrid1-Accent6"/>
        <w:tblW w:w="5000" w:type="pct"/>
        <w:tblLook w:val="04A0"/>
      </w:tblPr>
      <w:tblGrid>
        <w:gridCol w:w="1658"/>
        <w:gridCol w:w="640"/>
        <w:gridCol w:w="693"/>
        <w:gridCol w:w="693"/>
        <w:gridCol w:w="695"/>
        <w:gridCol w:w="695"/>
        <w:gridCol w:w="695"/>
        <w:gridCol w:w="695"/>
        <w:gridCol w:w="695"/>
        <w:gridCol w:w="697"/>
        <w:gridCol w:w="697"/>
        <w:gridCol w:w="692"/>
      </w:tblGrid>
      <w:tr w:rsidR="00926201" w:rsidRPr="005F120D" w:rsidTr="00926201">
        <w:trPr>
          <w:cnfStyle w:val="100000000000"/>
          <w:trHeight w:val="315"/>
        </w:trPr>
        <w:tc>
          <w:tcPr>
            <w:cnfStyle w:val="001000000000"/>
            <w:tcW w:w="896" w:type="pct"/>
            <w:hideMark/>
          </w:tcPr>
          <w:p w:rsidR="0001041C" w:rsidRPr="005F120D" w:rsidRDefault="0001041C" w:rsidP="00C437AA">
            <w:pPr>
              <w:spacing w:before="240" w:after="0" w:line="276" w:lineRule="auto"/>
              <w:jc w:val="right"/>
              <w:rPr>
                <w:rFonts w:asciiTheme="minorHAnsi" w:hAnsiTheme="minorHAnsi" w:cstheme="minorHAnsi"/>
                <w:b w:val="0"/>
                <w:bCs w:val="0"/>
                <w:sz w:val="18"/>
                <w:szCs w:val="18"/>
              </w:rPr>
            </w:pPr>
            <w:r w:rsidRPr="005F120D">
              <w:rPr>
                <w:rFonts w:asciiTheme="minorHAnsi" w:hAnsiTheme="minorHAnsi" w:cstheme="minorHAnsi"/>
                <w:b w:val="0"/>
                <w:bCs w:val="0"/>
                <w:sz w:val="18"/>
                <w:szCs w:val="18"/>
              </w:rPr>
              <w:t>(in millions) </w:t>
            </w:r>
          </w:p>
        </w:tc>
        <w:tc>
          <w:tcPr>
            <w:tcW w:w="346" w:type="pct"/>
            <w:hideMark/>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2005</w:t>
            </w:r>
          </w:p>
        </w:tc>
        <w:tc>
          <w:tcPr>
            <w:tcW w:w="375" w:type="pct"/>
            <w:hideMark/>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2006</w:t>
            </w:r>
          </w:p>
        </w:tc>
        <w:tc>
          <w:tcPr>
            <w:tcW w:w="375" w:type="pct"/>
            <w:hideMark/>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2007</w:t>
            </w:r>
          </w:p>
        </w:tc>
        <w:tc>
          <w:tcPr>
            <w:tcW w:w="376" w:type="pct"/>
            <w:hideMark/>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2008</w:t>
            </w:r>
          </w:p>
        </w:tc>
        <w:tc>
          <w:tcPr>
            <w:tcW w:w="376" w:type="pct"/>
            <w:hideMark/>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2009</w:t>
            </w:r>
          </w:p>
        </w:tc>
        <w:tc>
          <w:tcPr>
            <w:tcW w:w="376" w:type="pct"/>
            <w:hideMark/>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2010</w:t>
            </w:r>
          </w:p>
        </w:tc>
        <w:tc>
          <w:tcPr>
            <w:tcW w:w="376" w:type="pct"/>
            <w:hideMark/>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2011</w:t>
            </w:r>
          </w:p>
        </w:tc>
        <w:tc>
          <w:tcPr>
            <w:tcW w:w="376" w:type="pct"/>
            <w:hideMark/>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2012</w:t>
            </w:r>
          </w:p>
        </w:tc>
        <w:tc>
          <w:tcPr>
            <w:tcW w:w="377" w:type="pct"/>
            <w:hideMark/>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2013</w:t>
            </w:r>
          </w:p>
        </w:tc>
        <w:tc>
          <w:tcPr>
            <w:tcW w:w="377" w:type="pct"/>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2014</w:t>
            </w:r>
          </w:p>
        </w:tc>
        <w:tc>
          <w:tcPr>
            <w:tcW w:w="375" w:type="pct"/>
          </w:tcPr>
          <w:p w:rsidR="0001041C" w:rsidRPr="005F120D" w:rsidRDefault="0001041C" w:rsidP="00C437AA">
            <w:pPr>
              <w:spacing w:after="0" w:line="276" w:lineRule="auto"/>
              <w:jc w:val="center"/>
              <w:cnfStyle w:val="100000000000"/>
              <w:rPr>
                <w:rFonts w:asciiTheme="minorHAnsi" w:hAnsiTheme="minorHAnsi" w:cstheme="minorHAnsi"/>
                <w:b w:val="0"/>
                <w:bCs w:val="0"/>
                <w:sz w:val="18"/>
                <w:szCs w:val="18"/>
              </w:rPr>
            </w:pPr>
            <w:r w:rsidRPr="005F120D">
              <w:rPr>
                <w:rFonts w:asciiTheme="minorHAnsi" w:hAnsiTheme="minorHAnsi" w:cstheme="minorHAnsi"/>
                <w:b w:val="0"/>
                <w:bCs w:val="0"/>
                <w:sz w:val="18"/>
                <w:szCs w:val="18"/>
              </w:rPr>
              <w:t>2015</w:t>
            </w:r>
          </w:p>
        </w:tc>
      </w:tr>
      <w:tr w:rsidR="00926201" w:rsidRPr="005F120D" w:rsidTr="00926201">
        <w:trPr>
          <w:cnfStyle w:val="000000100000"/>
          <w:trHeight w:val="720"/>
        </w:trPr>
        <w:tc>
          <w:tcPr>
            <w:cnfStyle w:val="001000000000"/>
            <w:tcW w:w="896" w:type="pct"/>
            <w:hideMark/>
          </w:tcPr>
          <w:p w:rsidR="0001041C" w:rsidRPr="005F120D" w:rsidRDefault="0001041C" w:rsidP="00C437AA">
            <w:pPr>
              <w:spacing w:after="0" w:line="276" w:lineRule="auto"/>
              <w:rPr>
                <w:rFonts w:asciiTheme="minorHAnsi" w:hAnsiTheme="minorHAnsi" w:cstheme="minorHAnsi"/>
                <w:sz w:val="18"/>
                <w:szCs w:val="18"/>
              </w:rPr>
            </w:pPr>
            <w:r w:rsidRPr="005F120D">
              <w:rPr>
                <w:rFonts w:asciiTheme="minorHAnsi" w:hAnsiTheme="minorHAnsi" w:cstheme="minorHAnsi"/>
                <w:sz w:val="18"/>
                <w:szCs w:val="18"/>
              </w:rPr>
              <w:t>Population of children aged 6-10</w:t>
            </w:r>
          </w:p>
          <w:p w:rsidR="00541A96" w:rsidRPr="005F120D" w:rsidRDefault="00541A96" w:rsidP="00C437AA">
            <w:pPr>
              <w:spacing w:after="0" w:line="276" w:lineRule="auto"/>
              <w:jc w:val="right"/>
              <w:rPr>
                <w:rFonts w:asciiTheme="minorHAnsi" w:hAnsiTheme="minorHAnsi" w:cstheme="minorHAnsi"/>
                <w:sz w:val="18"/>
                <w:szCs w:val="18"/>
              </w:rPr>
            </w:pPr>
            <w:r w:rsidRPr="005F120D">
              <w:rPr>
                <w:rFonts w:asciiTheme="minorHAnsi" w:hAnsiTheme="minorHAnsi" w:cstheme="minorHAnsi"/>
                <w:sz w:val="18"/>
                <w:szCs w:val="18"/>
              </w:rPr>
              <w:t>All</w:t>
            </w:r>
          </w:p>
        </w:tc>
        <w:tc>
          <w:tcPr>
            <w:tcW w:w="346" w:type="pct"/>
            <w:hideMark/>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01041C"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17.32</w:t>
            </w:r>
          </w:p>
        </w:tc>
        <w:tc>
          <w:tcPr>
            <w:tcW w:w="375" w:type="pct"/>
            <w:hideMark/>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01041C"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16.77</w:t>
            </w:r>
          </w:p>
        </w:tc>
        <w:tc>
          <w:tcPr>
            <w:tcW w:w="375" w:type="pct"/>
            <w:hideMark/>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01041C"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16.51</w:t>
            </w:r>
          </w:p>
        </w:tc>
        <w:tc>
          <w:tcPr>
            <w:tcW w:w="376" w:type="pct"/>
            <w:hideMark/>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01041C"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16.39</w:t>
            </w:r>
          </w:p>
        </w:tc>
        <w:tc>
          <w:tcPr>
            <w:tcW w:w="376" w:type="pct"/>
            <w:hideMark/>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8E0FBF"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16</w:t>
            </w:r>
            <w:r w:rsidR="0001041C" w:rsidRPr="005F120D">
              <w:rPr>
                <w:rFonts w:asciiTheme="minorHAnsi" w:hAnsiTheme="minorHAnsi" w:cstheme="minorHAnsi"/>
                <w:sz w:val="18"/>
                <w:szCs w:val="18"/>
              </w:rPr>
              <w:t>.</w:t>
            </w:r>
            <w:r w:rsidRPr="005F120D">
              <w:rPr>
                <w:rFonts w:asciiTheme="minorHAnsi" w:hAnsiTheme="minorHAnsi" w:cstheme="minorHAnsi"/>
                <w:sz w:val="18"/>
                <w:szCs w:val="18"/>
              </w:rPr>
              <w:t>32</w:t>
            </w:r>
          </w:p>
        </w:tc>
        <w:tc>
          <w:tcPr>
            <w:tcW w:w="376" w:type="pct"/>
            <w:hideMark/>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01041C"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15.</w:t>
            </w:r>
            <w:r w:rsidR="00CD6350" w:rsidRPr="005F120D">
              <w:rPr>
                <w:rFonts w:asciiTheme="minorHAnsi" w:hAnsiTheme="minorHAnsi" w:cstheme="minorHAnsi"/>
                <w:sz w:val="18"/>
                <w:szCs w:val="18"/>
              </w:rPr>
              <w:t>19</w:t>
            </w:r>
          </w:p>
        </w:tc>
        <w:tc>
          <w:tcPr>
            <w:tcW w:w="376" w:type="pct"/>
            <w:hideMark/>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01041C"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18.17</w:t>
            </w:r>
          </w:p>
        </w:tc>
        <w:tc>
          <w:tcPr>
            <w:tcW w:w="376" w:type="pct"/>
            <w:hideMark/>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01041C"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18.2</w:t>
            </w:r>
            <w:r w:rsidR="00C25843" w:rsidRPr="005F120D">
              <w:rPr>
                <w:rFonts w:asciiTheme="minorHAnsi" w:hAnsiTheme="minorHAnsi" w:cstheme="minorHAnsi"/>
                <w:sz w:val="18"/>
                <w:szCs w:val="18"/>
              </w:rPr>
              <w:t>0</w:t>
            </w:r>
          </w:p>
        </w:tc>
        <w:tc>
          <w:tcPr>
            <w:tcW w:w="377" w:type="pct"/>
            <w:hideMark/>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01041C"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18.03</w:t>
            </w:r>
          </w:p>
        </w:tc>
        <w:tc>
          <w:tcPr>
            <w:tcW w:w="377" w:type="pct"/>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01041C"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18.03</w:t>
            </w:r>
          </w:p>
        </w:tc>
        <w:tc>
          <w:tcPr>
            <w:tcW w:w="375" w:type="pct"/>
          </w:tcPr>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541A96" w:rsidRPr="005F120D" w:rsidRDefault="00541A96" w:rsidP="00C437AA">
            <w:pPr>
              <w:spacing w:after="0" w:line="276" w:lineRule="auto"/>
              <w:jc w:val="center"/>
              <w:cnfStyle w:val="000000100000"/>
              <w:rPr>
                <w:rFonts w:asciiTheme="minorHAnsi" w:hAnsiTheme="minorHAnsi" w:cstheme="minorHAnsi"/>
                <w:sz w:val="18"/>
                <w:szCs w:val="18"/>
              </w:rPr>
            </w:pPr>
          </w:p>
          <w:p w:rsidR="0001041C" w:rsidRPr="005F120D" w:rsidRDefault="00541A96"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17.4</w:t>
            </w:r>
            <w:r w:rsidR="00EE3B6D" w:rsidRPr="005F120D">
              <w:rPr>
                <w:rFonts w:asciiTheme="minorHAnsi" w:hAnsiTheme="minorHAnsi" w:cstheme="minorHAnsi"/>
                <w:sz w:val="18"/>
                <w:szCs w:val="18"/>
              </w:rPr>
              <w:t>7</w:t>
            </w:r>
          </w:p>
        </w:tc>
      </w:tr>
      <w:tr w:rsidR="00926201" w:rsidRPr="005F120D" w:rsidTr="00926201">
        <w:trPr>
          <w:trHeight w:val="368"/>
        </w:trPr>
        <w:tc>
          <w:tcPr>
            <w:cnfStyle w:val="001000000000"/>
            <w:tcW w:w="896" w:type="pct"/>
          </w:tcPr>
          <w:p w:rsidR="00541A96" w:rsidRPr="005F120D" w:rsidRDefault="00541A96" w:rsidP="00C437AA">
            <w:pPr>
              <w:spacing w:after="0" w:line="276" w:lineRule="auto"/>
              <w:jc w:val="right"/>
              <w:rPr>
                <w:rFonts w:asciiTheme="minorHAnsi" w:hAnsiTheme="minorHAnsi" w:cstheme="minorHAnsi"/>
                <w:sz w:val="18"/>
                <w:szCs w:val="18"/>
              </w:rPr>
            </w:pPr>
            <w:r w:rsidRPr="005F120D">
              <w:rPr>
                <w:rFonts w:asciiTheme="minorHAnsi" w:hAnsiTheme="minorHAnsi" w:cstheme="minorHAnsi"/>
                <w:sz w:val="18"/>
                <w:szCs w:val="18"/>
              </w:rPr>
              <w:t>Boy</w:t>
            </w:r>
          </w:p>
        </w:tc>
        <w:tc>
          <w:tcPr>
            <w:tcW w:w="346" w:type="pct"/>
          </w:tcPr>
          <w:p w:rsidR="00541A96" w:rsidRPr="005F120D" w:rsidRDefault="00541A96" w:rsidP="00C437AA">
            <w:pPr>
              <w:spacing w:after="0" w:line="276" w:lineRule="auto"/>
              <w:jc w:val="center"/>
              <w:cnfStyle w:val="000000000000"/>
              <w:rPr>
                <w:rFonts w:asciiTheme="minorHAnsi" w:hAnsiTheme="minorHAnsi" w:cstheme="minorHAnsi"/>
                <w:sz w:val="18"/>
                <w:szCs w:val="18"/>
              </w:rPr>
            </w:pPr>
          </w:p>
        </w:tc>
        <w:tc>
          <w:tcPr>
            <w:tcW w:w="375" w:type="pct"/>
          </w:tcPr>
          <w:p w:rsidR="00541A96" w:rsidRPr="005F120D" w:rsidRDefault="00541A96" w:rsidP="00C437AA">
            <w:pPr>
              <w:spacing w:after="0" w:line="276" w:lineRule="auto"/>
              <w:jc w:val="center"/>
              <w:cnfStyle w:val="000000000000"/>
              <w:rPr>
                <w:rFonts w:asciiTheme="minorHAnsi" w:hAnsiTheme="minorHAnsi" w:cstheme="minorHAnsi"/>
                <w:sz w:val="18"/>
                <w:szCs w:val="18"/>
              </w:rPr>
            </w:pPr>
          </w:p>
        </w:tc>
        <w:tc>
          <w:tcPr>
            <w:tcW w:w="375" w:type="pct"/>
          </w:tcPr>
          <w:p w:rsidR="00541A96" w:rsidRPr="005F120D" w:rsidRDefault="00541A96" w:rsidP="00C437AA">
            <w:pPr>
              <w:spacing w:after="0" w:line="276" w:lineRule="auto"/>
              <w:jc w:val="center"/>
              <w:cnfStyle w:val="000000000000"/>
              <w:rPr>
                <w:rFonts w:asciiTheme="minorHAnsi" w:hAnsiTheme="minorHAnsi" w:cstheme="minorHAnsi"/>
                <w:sz w:val="18"/>
                <w:szCs w:val="18"/>
              </w:rPr>
            </w:pPr>
          </w:p>
        </w:tc>
        <w:tc>
          <w:tcPr>
            <w:tcW w:w="376" w:type="pct"/>
          </w:tcPr>
          <w:p w:rsidR="00541A96" w:rsidRPr="005F120D" w:rsidRDefault="00EA2A4C" w:rsidP="00C437AA">
            <w:pPr>
              <w:spacing w:after="0"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8.53</w:t>
            </w:r>
          </w:p>
        </w:tc>
        <w:tc>
          <w:tcPr>
            <w:tcW w:w="376" w:type="pct"/>
          </w:tcPr>
          <w:p w:rsidR="00541A96" w:rsidRPr="005F120D" w:rsidRDefault="008E0FBF" w:rsidP="00C437AA">
            <w:pPr>
              <w:spacing w:after="0"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8.50</w:t>
            </w:r>
          </w:p>
        </w:tc>
        <w:tc>
          <w:tcPr>
            <w:tcW w:w="376" w:type="pct"/>
          </w:tcPr>
          <w:p w:rsidR="00541A96" w:rsidRPr="005F120D" w:rsidRDefault="00CD6350" w:rsidP="00C437AA">
            <w:pPr>
              <w:spacing w:after="0"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7.83</w:t>
            </w:r>
          </w:p>
        </w:tc>
        <w:tc>
          <w:tcPr>
            <w:tcW w:w="376" w:type="pct"/>
          </w:tcPr>
          <w:p w:rsidR="00541A96" w:rsidRPr="005F120D" w:rsidRDefault="00C25843" w:rsidP="00C437AA">
            <w:pPr>
              <w:spacing w:after="0"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9.36</w:t>
            </w:r>
          </w:p>
        </w:tc>
        <w:tc>
          <w:tcPr>
            <w:tcW w:w="376" w:type="pct"/>
          </w:tcPr>
          <w:p w:rsidR="00541A96" w:rsidRPr="005F120D" w:rsidRDefault="00C25843" w:rsidP="00C437AA">
            <w:pPr>
              <w:spacing w:after="0"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9.34</w:t>
            </w:r>
          </w:p>
        </w:tc>
        <w:tc>
          <w:tcPr>
            <w:tcW w:w="377" w:type="pct"/>
          </w:tcPr>
          <w:p w:rsidR="00541A96" w:rsidRPr="005F120D" w:rsidRDefault="00C25843" w:rsidP="00C437AA">
            <w:pPr>
              <w:spacing w:after="0"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9.16</w:t>
            </w:r>
          </w:p>
        </w:tc>
        <w:tc>
          <w:tcPr>
            <w:tcW w:w="377" w:type="pct"/>
          </w:tcPr>
          <w:p w:rsidR="00541A96" w:rsidRPr="005F120D" w:rsidRDefault="00C25843" w:rsidP="00C437AA">
            <w:pPr>
              <w:spacing w:after="0"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9.21</w:t>
            </w:r>
          </w:p>
        </w:tc>
        <w:tc>
          <w:tcPr>
            <w:tcW w:w="375" w:type="pct"/>
          </w:tcPr>
          <w:p w:rsidR="00541A96" w:rsidRPr="005F120D" w:rsidRDefault="00541A96" w:rsidP="00C437AA">
            <w:pPr>
              <w:spacing w:after="0"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8.9</w:t>
            </w:r>
            <w:r w:rsidR="00EE3B6D" w:rsidRPr="005F120D">
              <w:rPr>
                <w:rFonts w:asciiTheme="minorHAnsi" w:hAnsiTheme="minorHAnsi" w:cstheme="minorHAnsi"/>
                <w:sz w:val="18"/>
                <w:szCs w:val="18"/>
              </w:rPr>
              <w:t>1</w:t>
            </w:r>
          </w:p>
        </w:tc>
      </w:tr>
      <w:tr w:rsidR="00926201" w:rsidRPr="005F120D" w:rsidTr="00926201">
        <w:trPr>
          <w:cnfStyle w:val="000000100000"/>
          <w:trHeight w:val="350"/>
        </w:trPr>
        <w:tc>
          <w:tcPr>
            <w:cnfStyle w:val="001000000000"/>
            <w:tcW w:w="896" w:type="pct"/>
          </w:tcPr>
          <w:p w:rsidR="00541A96" w:rsidRPr="005F120D" w:rsidRDefault="00541A96" w:rsidP="00C437AA">
            <w:pPr>
              <w:spacing w:after="0" w:line="276" w:lineRule="auto"/>
              <w:jc w:val="right"/>
              <w:rPr>
                <w:rFonts w:asciiTheme="minorHAnsi" w:hAnsiTheme="minorHAnsi" w:cstheme="minorHAnsi"/>
                <w:sz w:val="18"/>
                <w:szCs w:val="18"/>
              </w:rPr>
            </w:pPr>
            <w:r w:rsidRPr="005F120D">
              <w:rPr>
                <w:rFonts w:asciiTheme="minorHAnsi" w:hAnsiTheme="minorHAnsi" w:cstheme="minorHAnsi"/>
                <w:sz w:val="18"/>
                <w:szCs w:val="18"/>
              </w:rPr>
              <w:t>Girl</w:t>
            </w:r>
          </w:p>
        </w:tc>
        <w:tc>
          <w:tcPr>
            <w:tcW w:w="346" w:type="pct"/>
          </w:tcPr>
          <w:p w:rsidR="00541A96" w:rsidRPr="005F120D" w:rsidRDefault="00622BC5"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n/a</w:t>
            </w:r>
          </w:p>
        </w:tc>
        <w:tc>
          <w:tcPr>
            <w:tcW w:w="375" w:type="pct"/>
          </w:tcPr>
          <w:p w:rsidR="00541A96" w:rsidRPr="005F120D" w:rsidRDefault="00622BC5"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n/a</w:t>
            </w:r>
          </w:p>
        </w:tc>
        <w:tc>
          <w:tcPr>
            <w:tcW w:w="375" w:type="pct"/>
          </w:tcPr>
          <w:p w:rsidR="00541A96" w:rsidRPr="005F120D" w:rsidRDefault="00622BC5"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n/a</w:t>
            </w:r>
          </w:p>
        </w:tc>
        <w:tc>
          <w:tcPr>
            <w:tcW w:w="376" w:type="pct"/>
          </w:tcPr>
          <w:p w:rsidR="00541A96" w:rsidRPr="005F120D" w:rsidRDefault="00EA2A4C"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7.85</w:t>
            </w:r>
          </w:p>
        </w:tc>
        <w:tc>
          <w:tcPr>
            <w:tcW w:w="376" w:type="pct"/>
          </w:tcPr>
          <w:p w:rsidR="00541A96" w:rsidRPr="005F120D" w:rsidRDefault="008E0FBF"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7.82</w:t>
            </w:r>
          </w:p>
        </w:tc>
        <w:tc>
          <w:tcPr>
            <w:tcW w:w="376" w:type="pct"/>
          </w:tcPr>
          <w:p w:rsidR="00541A96" w:rsidRPr="005F120D" w:rsidRDefault="00CD6350"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7.35</w:t>
            </w:r>
          </w:p>
        </w:tc>
        <w:tc>
          <w:tcPr>
            <w:tcW w:w="376" w:type="pct"/>
          </w:tcPr>
          <w:p w:rsidR="00541A96" w:rsidRPr="005F120D" w:rsidRDefault="00C25843"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8.79</w:t>
            </w:r>
          </w:p>
        </w:tc>
        <w:tc>
          <w:tcPr>
            <w:tcW w:w="376" w:type="pct"/>
          </w:tcPr>
          <w:p w:rsidR="00541A96" w:rsidRPr="005F120D" w:rsidRDefault="00C25843"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8.36</w:t>
            </w:r>
          </w:p>
        </w:tc>
        <w:tc>
          <w:tcPr>
            <w:tcW w:w="377" w:type="pct"/>
          </w:tcPr>
          <w:p w:rsidR="00541A96" w:rsidRPr="005F120D" w:rsidRDefault="00C25843"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8.87</w:t>
            </w:r>
          </w:p>
        </w:tc>
        <w:tc>
          <w:tcPr>
            <w:tcW w:w="377" w:type="pct"/>
          </w:tcPr>
          <w:p w:rsidR="00541A96" w:rsidRPr="005F120D" w:rsidRDefault="00C25843"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8.82</w:t>
            </w:r>
          </w:p>
        </w:tc>
        <w:tc>
          <w:tcPr>
            <w:tcW w:w="375" w:type="pct"/>
          </w:tcPr>
          <w:p w:rsidR="00541A96" w:rsidRPr="005F120D" w:rsidRDefault="00541A96" w:rsidP="00C437AA">
            <w:pPr>
              <w:spacing w:after="0" w:line="276" w:lineRule="auto"/>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8.5</w:t>
            </w:r>
            <w:r w:rsidR="00EE3B6D" w:rsidRPr="005F120D">
              <w:rPr>
                <w:rFonts w:asciiTheme="minorHAnsi" w:hAnsiTheme="minorHAnsi" w:cstheme="minorHAnsi"/>
                <w:sz w:val="18"/>
                <w:szCs w:val="18"/>
              </w:rPr>
              <w:t>5</w:t>
            </w:r>
          </w:p>
        </w:tc>
      </w:tr>
    </w:tbl>
    <w:p w:rsidR="00234BEA" w:rsidRPr="005F120D" w:rsidRDefault="00234BEA" w:rsidP="00AE4512">
      <w:pPr>
        <w:spacing w:before="240" w:line="276" w:lineRule="auto"/>
        <w:jc w:val="both"/>
        <w:rPr>
          <w:rFonts w:asciiTheme="minorHAnsi" w:hAnsiTheme="minorHAnsi" w:cstheme="minorHAnsi"/>
          <w:szCs w:val="22"/>
        </w:rPr>
      </w:pPr>
      <w:r w:rsidRPr="005F120D">
        <w:rPr>
          <w:rFonts w:asciiTheme="minorHAnsi" w:hAnsiTheme="minorHAnsi" w:cstheme="minorHAnsi"/>
          <w:szCs w:val="22"/>
        </w:rPr>
        <w:t>This revised estimated population of children aged 6-10 years in 2011 was 18.17 million (2011 BBS Census was 18.87 million). This is 2.4 million higher than the projected estimate for 2010. The United Nations Population Division projections over the same period (2005–2010) estimated that the size of the cohort remained almost constant at 17.3 million. A similar declining trend in the 6-10 years population, estimated by D</w:t>
      </w:r>
      <w:r w:rsidR="00CB6018" w:rsidRPr="005F120D">
        <w:rPr>
          <w:rFonts w:asciiTheme="minorHAnsi" w:hAnsiTheme="minorHAnsi" w:cstheme="minorHAnsi"/>
          <w:szCs w:val="22"/>
        </w:rPr>
        <w:t>PE, was also observed since 2012</w:t>
      </w:r>
      <w:r w:rsidRPr="005F120D">
        <w:rPr>
          <w:rFonts w:asciiTheme="minorHAnsi" w:hAnsiTheme="minorHAnsi" w:cstheme="minorHAnsi"/>
          <w:szCs w:val="22"/>
        </w:rPr>
        <w:t xml:space="preserve"> and accordingly</w:t>
      </w:r>
      <w:r w:rsidR="005636D4" w:rsidRPr="005F120D">
        <w:rPr>
          <w:rFonts w:asciiTheme="minorHAnsi" w:hAnsiTheme="minorHAnsi" w:cstheme="minorHAnsi"/>
          <w:szCs w:val="22"/>
        </w:rPr>
        <w:t xml:space="preserve"> decreased</w:t>
      </w:r>
      <w:r w:rsidRPr="005F120D">
        <w:rPr>
          <w:rFonts w:asciiTheme="minorHAnsi" w:hAnsiTheme="minorHAnsi" w:cstheme="minorHAnsi"/>
          <w:szCs w:val="22"/>
        </w:rPr>
        <w:t xml:space="preserve">. </w:t>
      </w:r>
    </w:p>
    <w:p w:rsidR="004C4086" w:rsidRPr="005F120D" w:rsidRDefault="00234BEA" w:rsidP="00C437AA">
      <w:pPr>
        <w:spacing w:line="276" w:lineRule="auto"/>
        <w:jc w:val="both"/>
        <w:rPr>
          <w:rFonts w:asciiTheme="minorHAnsi" w:hAnsiTheme="minorHAnsi" w:cstheme="minorHAnsi"/>
          <w:szCs w:val="22"/>
          <w:lang w:eastAsia="en-US"/>
        </w:rPr>
      </w:pPr>
      <w:r w:rsidRPr="005F120D">
        <w:rPr>
          <w:rFonts w:asciiTheme="minorHAnsi" w:hAnsiTheme="minorHAnsi" w:cstheme="minorHAnsi"/>
          <w:szCs w:val="22"/>
        </w:rPr>
        <w:t xml:space="preserve">The above Table 1.1 shows that the total enrolment in formal education increased between 2005 and 2010 (by 313,000 students or 2%); sharply increased between 2010 and 2014 (by </w:t>
      </w:r>
      <w:r w:rsidRPr="005F120D">
        <w:rPr>
          <w:rFonts w:asciiTheme="minorHAnsi" w:hAnsiTheme="minorHAnsi" w:cstheme="minorHAnsi"/>
          <w:szCs w:val="22"/>
          <w:lang w:eastAsia="en-US"/>
        </w:rPr>
        <w:t xml:space="preserve">2,595,085 </w:t>
      </w:r>
      <w:r w:rsidRPr="005F120D">
        <w:rPr>
          <w:rFonts w:asciiTheme="minorHAnsi" w:hAnsiTheme="minorHAnsi" w:cstheme="minorHAnsi"/>
          <w:szCs w:val="22"/>
        </w:rPr>
        <w:t xml:space="preserve">students or 15%) and dropped (about 5 </w:t>
      </w:r>
      <w:r w:rsidR="00F738CE" w:rsidRPr="005F120D">
        <w:rPr>
          <w:rFonts w:asciiTheme="minorHAnsi" w:hAnsiTheme="minorHAnsi" w:cstheme="minorHAnsi"/>
          <w:szCs w:val="22"/>
        </w:rPr>
        <w:t>lac</w:t>
      </w:r>
      <w:r w:rsidRPr="005F120D">
        <w:rPr>
          <w:rFonts w:asciiTheme="minorHAnsi" w:hAnsiTheme="minorHAnsi" w:cstheme="minorHAnsi"/>
          <w:szCs w:val="22"/>
        </w:rPr>
        <w:t>) in 2015. This is a positive development. At the same time, the cohort of children aged 6-10 years is not consistent. It declined by 7.7% between 2005 and 2010, sharply increased in 2011, and has continues to decline since 2012 according to the population projections of the BBS (see above Table 1.4). There is, therefore, a steady closing of the gap between the number of children aged 6-10 years and the number of those children enrolled in the schools</w:t>
      </w:r>
      <w:r w:rsidR="004C4086" w:rsidRPr="005F120D">
        <w:rPr>
          <w:rFonts w:asciiTheme="minorHAnsi" w:hAnsiTheme="minorHAnsi" w:cstheme="minorHAnsi"/>
          <w:szCs w:val="22"/>
        </w:rPr>
        <w:t>.</w:t>
      </w:r>
    </w:p>
    <w:p w:rsidR="004C4086" w:rsidRPr="005F120D" w:rsidRDefault="004C4086" w:rsidP="00C437AA">
      <w:pPr>
        <w:spacing w:line="276" w:lineRule="auto"/>
        <w:jc w:val="both"/>
        <w:rPr>
          <w:rFonts w:asciiTheme="minorHAnsi" w:hAnsiTheme="minorHAnsi" w:cstheme="minorHAnsi"/>
          <w:szCs w:val="22"/>
        </w:rPr>
      </w:pPr>
    </w:p>
    <w:p w:rsidR="00D748C3" w:rsidRPr="005F120D" w:rsidRDefault="00D748C3" w:rsidP="003F5F17">
      <w:pPr>
        <w:pStyle w:val="Heading1"/>
      </w:pPr>
      <w:bookmarkStart w:id="63" w:name="_Toc338856145"/>
      <w:bookmarkStart w:id="64" w:name="_Toc385242079"/>
      <w:bookmarkStart w:id="65" w:name="_Toc385245705"/>
      <w:bookmarkStart w:id="66" w:name="_Toc462837173"/>
      <w:r w:rsidRPr="005F120D">
        <w:lastRenderedPageBreak/>
        <w:t>Expected results and summary of actual results</w:t>
      </w:r>
      <w:bookmarkEnd w:id="63"/>
      <w:bookmarkEnd w:id="64"/>
      <w:bookmarkEnd w:id="65"/>
      <w:bookmarkEnd w:id="66"/>
    </w:p>
    <w:p w:rsidR="00DA403D" w:rsidRPr="005F120D" w:rsidRDefault="00DA403D" w:rsidP="00C437AA">
      <w:pPr>
        <w:pStyle w:val="Heading2"/>
        <w:spacing w:line="276" w:lineRule="auto"/>
        <w:rPr>
          <w:rFonts w:cstheme="minorHAnsi"/>
        </w:rPr>
      </w:pPr>
      <w:bookmarkStart w:id="67" w:name="_Toc462837174"/>
      <w:r w:rsidRPr="005F120D">
        <w:rPr>
          <w:rFonts w:cstheme="minorHAnsi"/>
        </w:rPr>
        <w:t>PEDP3 Expected Results</w:t>
      </w:r>
      <w:bookmarkEnd w:id="67"/>
    </w:p>
    <w:p w:rsidR="00234BEA" w:rsidRPr="005F120D" w:rsidRDefault="00234BEA" w:rsidP="00C437AA">
      <w:pPr>
        <w:pStyle w:val="Caption"/>
        <w:spacing w:line="276" w:lineRule="auto"/>
        <w:jc w:val="both"/>
        <w:rPr>
          <w:rFonts w:cstheme="minorHAnsi"/>
          <w:b w:val="0"/>
        </w:rPr>
      </w:pPr>
      <w:r w:rsidRPr="005F120D">
        <w:rPr>
          <w:rFonts w:cstheme="minorHAnsi"/>
          <w:b w:val="0"/>
        </w:rPr>
        <w:t>The ASPR is mainly concerned with the mechanisms that lead to better outcomes, and examines the sequence of events from spending (input), to activities (process) by component, corresponding outputs</w:t>
      </w:r>
      <w:r w:rsidR="00903E09" w:rsidRPr="005F120D">
        <w:rPr>
          <w:rFonts w:cstheme="minorHAnsi"/>
          <w:b w:val="0"/>
        </w:rPr>
        <w:t>, and expected and real outcome</w:t>
      </w:r>
      <w:r w:rsidRPr="005F120D">
        <w:rPr>
          <w:rFonts w:cstheme="minorHAnsi"/>
          <w:b w:val="0"/>
        </w:rPr>
        <w:t xml:space="preserve"> patterns and trends. The expectations of sector performance are expressed in the PEDP3 Program Framework, which was re-designed during the Mid-Term Review held in 2014.</w:t>
      </w:r>
    </w:p>
    <w:p w:rsidR="00234BEA" w:rsidRPr="005F120D" w:rsidRDefault="00234BEA" w:rsidP="00C437AA">
      <w:pPr>
        <w:pStyle w:val="BodyText1"/>
        <w:spacing w:after="120"/>
        <w:rPr>
          <w:rFonts w:asciiTheme="minorHAnsi" w:hAnsiTheme="minorHAnsi" w:cstheme="minorHAnsi"/>
        </w:rPr>
      </w:pPr>
      <w:r w:rsidRPr="005F120D">
        <w:rPr>
          <w:rFonts w:asciiTheme="minorHAnsi" w:hAnsiTheme="minorHAnsi" w:cstheme="minorHAnsi"/>
        </w:rPr>
        <w:t>Three sets of indicators capture the core elements of sector performance. These sets are examined through:</w:t>
      </w:r>
    </w:p>
    <w:p w:rsidR="00234BEA" w:rsidRPr="005F120D" w:rsidRDefault="00234BEA" w:rsidP="00C437AA">
      <w:pPr>
        <w:pStyle w:val="BodyText1"/>
        <w:numPr>
          <w:ilvl w:val="0"/>
          <w:numId w:val="50"/>
        </w:numPr>
        <w:spacing w:before="120" w:after="120"/>
        <w:ind w:left="446"/>
        <w:jc w:val="both"/>
        <w:rPr>
          <w:rFonts w:asciiTheme="minorHAnsi" w:hAnsiTheme="minorHAnsi" w:cstheme="minorHAnsi"/>
          <w:b w:val="0"/>
        </w:rPr>
      </w:pPr>
      <w:r w:rsidRPr="005F120D">
        <w:rPr>
          <w:rFonts w:asciiTheme="minorHAnsi" w:hAnsiTheme="minorHAnsi" w:cstheme="minorHAnsi"/>
        </w:rPr>
        <w:t xml:space="preserve">Outcomes Level: </w:t>
      </w:r>
      <w:r w:rsidRPr="005F120D">
        <w:rPr>
          <w:rFonts w:asciiTheme="minorHAnsi" w:hAnsiTheme="minorHAnsi" w:cstheme="minorHAnsi"/>
          <w:b w:val="0"/>
        </w:rPr>
        <w:t>15 Key Performance Indicators (KPIs)</w:t>
      </w:r>
      <w:r w:rsidRPr="005F120D">
        <w:rPr>
          <w:rStyle w:val="FootnoteReference"/>
          <w:rFonts w:asciiTheme="minorHAnsi" w:hAnsiTheme="minorHAnsi" w:cstheme="minorHAnsi"/>
          <w:b w:val="0"/>
        </w:rPr>
        <w:footnoteReference w:id="4"/>
      </w:r>
      <w:r w:rsidRPr="005F120D">
        <w:rPr>
          <w:rFonts w:asciiTheme="minorHAnsi" w:hAnsiTheme="minorHAnsi" w:cstheme="minorHAnsi"/>
          <w:b w:val="0"/>
        </w:rPr>
        <w:t>, whose trends and targets are summarised in Table 2.2</w:t>
      </w:r>
      <w:r w:rsidRPr="005F120D">
        <w:rPr>
          <w:rFonts w:asciiTheme="minorHAnsi" w:hAnsiTheme="minorHAnsi" w:cstheme="minorHAnsi"/>
        </w:rPr>
        <w:t xml:space="preserve">; </w:t>
      </w:r>
      <w:r w:rsidRPr="005F120D">
        <w:rPr>
          <w:rFonts w:asciiTheme="minorHAnsi" w:hAnsiTheme="minorHAnsi" w:cstheme="minorHAnsi"/>
          <w:b w:val="0"/>
        </w:rPr>
        <w:t>and</w:t>
      </w:r>
    </w:p>
    <w:p w:rsidR="00234BEA" w:rsidRPr="005F120D" w:rsidRDefault="00234BEA" w:rsidP="00C437AA">
      <w:pPr>
        <w:pStyle w:val="BodyText1"/>
        <w:numPr>
          <w:ilvl w:val="0"/>
          <w:numId w:val="50"/>
        </w:numPr>
        <w:spacing w:before="120" w:after="120"/>
        <w:ind w:left="446"/>
        <w:jc w:val="both"/>
        <w:rPr>
          <w:rFonts w:asciiTheme="minorHAnsi" w:hAnsiTheme="minorHAnsi" w:cstheme="minorHAnsi"/>
          <w:b w:val="0"/>
        </w:rPr>
      </w:pPr>
      <w:r w:rsidRPr="005F120D">
        <w:rPr>
          <w:rFonts w:asciiTheme="minorHAnsi" w:hAnsiTheme="minorHAnsi" w:cstheme="minorHAnsi"/>
        </w:rPr>
        <w:t>Outcomes Level</w:t>
      </w:r>
      <w:r w:rsidRPr="005F120D">
        <w:rPr>
          <w:rFonts w:asciiTheme="minorHAnsi" w:hAnsiTheme="minorHAnsi" w:cstheme="minorHAnsi"/>
          <w:b w:val="0"/>
        </w:rPr>
        <w:t>: primary education sector performance also examined through 12 Non-Key Performance Indicators (Non-KPIs)</w:t>
      </w:r>
      <w:r w:rsidRPr="005F120D">
        <w:rPr>
          <w:rStyle w:val="FootnoteReference"/>
          <w:rFonts w:asciiTheme="minorHAnsi" w:hAnsiTheme="minorHAnsi" w:cstheme="minorHAnsi"/>
          <w:b w:val="0"/>
        </w:rPr>
        <w:footnoteReference w:id="5"/>
      </w:r>
      <w:r w:rsidRPr="005F120D">
        <w:rPr>
          <w:rFonts w:asciiTheme="minorHAnsi" w:hAnsiTheme="minorHAnsi" w:cstheme="minorHAnsi"/>
          <w:b w:val="0"/>
        </w:rPr>
        <w:t>,the trends and targets of which are summarised in Table 2.3;</w:t>
      </w:r>
    </w:p>
    <w:p w:rsidR="00234BEA" w:rsidRPr="005F120D" w:rsidRDefault="00234BEA" w:rsidP="00C437AA">
      <w:pPr>
        <w:pStyle w:val="BodyText1"/>
        <w:numPr>
          <w:ilvl w:val="0"/>
          <w:numId w:val="50"/>
        </w:numPr>
        <w:spacing w:after="120"/>
        <w:ind w:left="446"/>
        <w:jc w:val="both"/>
        <w:rPr>
          <w:rFonts w:asciiTheme="minorHAnsi" w:hAnsiTheme="minorHAnsi" w:cstheme="minorHAnsi"/>
          <w:b w:val="0"/>
        </w:rPr>
      </w:pPr>
      <w:r w:rsidRPr="005F120D">
        <w:rPr>
          <w:rFonts w:asciiTheme="minorHAnsi" w:hAnsiTheme="minorHAnsi" w:cstheme="minorHAnsi"/>
        </w:rPr>
        <w:t>Outputs level:</w:t>
      </w:r>
      <w:r w:rsidRPr="005F120D">
        <w:rPr>
          <w:rFonts w:asciiTheme="minorHAnsi" w:hAnsiTheme="minorHAnsi" w:cstheme="minorHAnsi"/>
          <w:b w:val="0"/>
        </w:rPr>
        <w:t xml:space="preserve"> predominantly examined through 14 Primary School Quality Level (PSQL) indicators, the trends and targets of which are summarised in Table 2.4;</w:t>
      </w:r>
    </w:p>
    <w:p w:rsidR="00234BEA" w:rsidRPr="005F120D" w:rsidRDefault="00234BEA" w:rsidP="00C437AA">
      <w:pPr>
        <w:pStyle w:val="BodyText1"/>
        <w:spacing w:after="120"/>
        <w:jc w:val="both"/>
        <w:rPr>
          <w:rFonts w:asciiTheme="minorHAnsi" w:hAnsiTheme="minorHAnsi" w:cstheme="minorHAnsi"/>
          <w:b w:val="0"/>
        </w:rPr>
      </w:pPr>
      <w:r w:rsidRPr="005F120D">
        <w:rPr>
          <w:rFonts w:asciiTheme="minorHAnsi" w:hAnsiTheme="minorHAnsi" w:cstheme="minorHAnsi"/>
        </w:rPr>
        <w:t>In addition:</w:t>
      </w:r>
    </w:p>
    <w:p w:rsidR="00234BEA" w:rsidRPr="005F120D" w:rsidRDefault="00234BEA" w:rsidP="00C437AA">
      <w:pPr>
        <w:pStyle w:val="BodyText1"/>
        <w:numPr>
          <w:ilvl w:val="0"/>
          <w:numId w:val="50"/>
        </w:numPr>
        <w:spacing w:after="120"/>
        <w:ind w:left="446"/>
        <w:jc w:val="both"/>
        <w:rPr>
          <w:rFonts w:asciiTheme="minorHAnsi" w:hAnsiTheme="minorHAnsi" w:cstheme="minorHAnsi"/>
          <w:b w:val="0"/>
        </w:rPr>
      </w:pPr>
      <w:r w:rsidRPr="005F120D">
        <w:rPr>
          <w:rFonts w:asciiTheme="minorHAnsi" w:hAnsiTheme="minorHAnsi" w:cstheme="minorHAnsi"/>
          <w:b w:val="0"/>
        </w:rPr>
        <w:t xml:space="preserve">A Disbursement Linked Indicator (DLI) progress report for year ‘0’ to year ‘4’ is summarised in </w:t>
      </w:r>
      <w:r w:rsidR="00903E09" w:rsidRPr="005F120D">
        <w:rPr>
          <w:rFonts w:asciiTheme="minorHAnsi" w:hAnsiTheme="minorHAnsi" w:cstheme="minorHAnsi"/>
          <w:b w:val="0"/>
        </w:rPr>
        <w:t>Table 2.5</w:t>
      </w:r>
      <w:r w:rsidRPr="005F120D">
        <w:rPr>
          <w:rFonts w:asciiTheme="minorHAnsi" w:hAnsiTheme="minorHAnsi" w:cstheme="minorHAnsi"/>
          <w:b w:val="0"/>
        </w:rPr>
        <w:t>, and</w:t>
      </w:r>
    </w:p>
    <w:p w:rsidR="00234BEA" w:rsidRPr="005F120D" w:rsidRDefault="00234BEA" w:rsidP="00C437AA">
      <w:pPr>
        <w:pStyle w:val="BodyText1"/>
        <w:numPr>
          <w:ilvl w:val="0"/>
          <w:numId w:val="50"/>
        </w:numPr>
        <w:spacing w:after="120"/>
        <w:ind w:left="446"/>
        <w:jc w:val="both"/>
        <w:rPr>
          <w:rFonts w:asciiTheme="minorHAnsi" w:hAnsiTheme="minorHAnsi" w:cstheme="minorHAnsi"/>
          <w:b w:val="0"/>
        </w:rPr>
      </w:pPr>
      <w:r w:rsidRPr="005F120D">
        <w:rPr>
          <w:rFonts w:asciiTheme="minorHAnsi" w:hAnsiTheme="minorHAnsi" w:cstheme="minorHAnsi"/>
          <w:b w:val="0"/>
        </w:rPr>
        <w:t xml:space="preserve">A sub-component progress report is summarised in the sub-section 2.4. It is noted that the sub-component progress report is </w:t>
      </w:r>
      <w:r w:rsidR="00903E09" w:rsidRPr="005F120D">
        <w:rPr>
          <w:rFonts w:asciiTheme="minorHAnsi" w:hAnsiTheme="minorHAnsi" w:cstheme="minorHAnsi"/>
          <w:b w:val="0"/>
        </w:rPr>
        <w:t>included for the first time in</w:t>
      </w:r>
      <w:r w:rsidRPr="005F120D">
        <w:rPr>
          <w:rFonts w:asciiTheme="minorHAnsi" w:hAnsiTheme="minorHAnsi" w:cstheme="minorHAnsi"/>
          <w:b w:val="0"/>
        </w:rPr>
        <w:t xml:space="preserve"> the ASPR as advised by the line divisions of DPE, especially the Program and M&amp;E Divisions.</w:t>
      </w:r>
    </w:p>
    <w:p w:rsidR="00234BEA" w:rsidRPr="005F120D" w:rsidRDefault="00234BEA" w:rsidP="00C437AA">
      <w:pPr>
        <w:pStyle w:val="BodyText1"/>
        <w:spacing w:after="120"/>
        <w:jc w:val="both"/>
        <w:rPr>
          <w:rFonts w:asciiTheme="minorHAnsi" w:hAnsiTheme="minorHAnsi" w:cstheme="minorHAnsi"/>
          <w:b w:val="0"/>
        </w:rPr>
      </w:pPr>
      <w:r w:rsidRPr="005F120D">
        <w:rPr>
          <w:rFonts w:asciiTheme="minorHAnsi" w:hAnsiTheme="minorHAnsi" w:cstheme="minorHAnsi"/>
          <w:b w:val="0"/>
        </w:rPr>
        <w:t>In the PEDP3 Program Framework, the relationships expected to link inputs to outputs and outcomes are implicit. Sub-sections 2.1 and 2.5 spell out in more detail how the key activities under PEDP3 are expected to have an impact on KPIs, Non-KPIs and PSQL indicators for each component and for PEDP3 as a whole.</w:t>
      </w:r>
    </w:p>
    <w:p w:rsidR="00D748C3" w:rsidRPr="005F120D" w:rsidRDefault="00234BEA" w:rsidP="00C437AA">
      <w:pPr>
        <w:spacing w:line="276" w:lineRule="auto"/>
        <w:jc w:val="both"/>
        <w:rPr>
          <w:rFonts w:asciiTheme="minorHAnsi" w:hAnsiTheme="minorHAnsi" w:cstheme="minorHAnsi"/>
        </w:rPr>
      </w:pPr>
      <w:r w:rsidRPr="005F120D">
        <w:rPr>
          <w:rFonts w:asciiTheme="minorHAnsi" w:hAnsiTheme="minorHAnsi" w:cstheme="minorHAnsi"/>
        </w:rPr>
        <w:t xml:space="preserve">The ASPR 2016 presents the results achieved by the implementation of 2015–2016 AOP activities. It describes the sequence of events from spending inputs for implementing activities, through the resulting outputs down to actual outcome patterns and trends. The PEDP3 revised results </w:t>
      </w:r>
      <w:r w:rsidR="003C62F1" w:rsidRPr="005F120D">
        <w:rPr>
          <w:rFonts w:asciiTheme="minorHAnsi" w:hAnsiTheme="minorHAnsi" w:cstheme="minorHAnsi"/>
        </w:rPr>
        <w:t>chain</w:t>
      </w:r>
      <w:r w:rsidRPr="005F120D">
        <w:rPr>
          <w:rFonts w:asciiTheme="minorHAnsi" w:hAnsiTheme="minorHAnsi" w:cstheme="minorHAnsi"/>
        </w:rPr>
        <w:t xml:space="preserve"> describes the expected performance of the sector (the targets) against the PEDP3 baseline (2010), in terms of results to be achieved (see Annex A). The revised results framework of PEDP3 emphasizes </w:t>
      </w:r>
      <w:r w:rsidRPr="005F120D">
        <w:rPr>
          <w:rFonts w:asciiTheme="minorHAnsi" w:hAnsiTheme="minorHAnsi" w:cstheme="minorHAnsi"/>
        </w:rPr>
        <w:lastRenderedPageBreak/>
        <w:t xml:space="preserve">the intention that planning and delivery of the inputs and activities will lead to a set of outputs and accordingly to outcomes. This chapter sets out in more detail how the PEDP3 activities will contribute </w:t>
      </w:r>
      <w:r w:rsidR="00C4591B" w:rsidRPr="005F120D">
        <w:rPr>
          <w:rFonts w:asciiTheme="minorHAnsi" w:hAnsiTheme="minorHAnsi" w:cstheme="minorHAnsi"/>
        </w:rPr>
        <w:t>to achieving</w:t>
      </w:r>
      <w:r w:rsidRPr="005F120D">
        <w:rPr>
          <w:rFonts w:asciiTheme="minorHAnsi" w:hAnsiTheme="minorHAnsi" w:cstheme="minorHAnsi"/>
        </w:rPr>
        <w:t xml:space="preserve"> these outputs and outcomes</w:t>
      </w:r>
      <w:r w:rsidR="00D748C3" w:rsidRPr="005F120D">
        <w:rPr>
          <w:rFonts w:asciiTheme="minorHAnsi" w:hAnsiTheme="minorHAnsi" w:cstheme="minorHAnsi"/>
        </w:rPr>
        <w:t>.</w:t>
      </w:r>
    </w:p>
    <w:tbl>
      <w:tblPr>
        <w:tblW w:w="4840" w:type="pct"/>
        <w:tblInd w:w="198" w:type="dxa"/>
        <w:tblBorders>
          <w:top w:val="double" w:sz="4" w:space="0" w:color="215868" w:themeColor="accent5" w:themeShade="80"/>
          <w:left w:val="double" w:sz="4" w:space="0" w:color="215868" w:themeColor="accent5" w:themeShade="80"/>
          <w:bottom w:val="double" w:sz="4" w:space="0" w:color="215868" w:themeColor="accent5" w:themeShade="80"/>
          <w:right w:val="double" w:sz="4" w:space="0" w:color="215868" w:themeColor="accent5" w:themeShade="80"/>
          <w:insideH w:val="double" w:sz="4" w:space="0" w:color="215868" w:themeColor="accent5" w:themeShade="80"/>
          <w:insideV w:val="double" w:sz="4" w:space="0" w:color="215868" w:themeColor="accent5" w:themeShade="80"/>
        </w:tblBorders>
        <w:shd w:val="clear" w:color="auto" w:fill="DBE5F1" w:themeFill="accent1" w:themeFillTint="33"/>
        <w:tblLook w:val="04A0"/>
      </w:tblPr>
      <w:tblGrid>
        <w:gridCol w:w="8949"/>
      </w:tblGrid>
      <w:tr w:rsidR="00D748C3" w:rsidRPr="005F120D" w:rsidTr="00234BEA">
        <w:trPr>
          <w:trHeight w:val="7296"/>
        </w:trPr>
        <w:tc>
          <w:tcPr>
            <w:tcW w:w="5000" w:type="pct"/>
            <w:shd w:val="clear" w:color="auto" w:fill="DBE5F1" w:themeFill="accent1" w:themeFillTint="33"/>
          </w:tcPr>
          <w:p w:rsidR="00234BEA" w:rsidRPr="005F120D" w:rsidRDefault="00234BEA" w:rsidP="00C437AA">
            <w:pPr>
              <w:pStyle w:val="Tabletitle"/>
              <w:spacing w:after="240" w:line="276" w:lineRule="auto"/>
              <w:rPr>
                <w:rFonts w:asciiTheme="minorHAnsi" w:eastAsia="Calibri" w:hAnsiTheme="minorHAnsi" w:cstheme="minorHAnsi"/>
                <w:i/>
                <w:color w:val="008000"/>
                <w:sz w:val="22"/>
                <w:szCs w:val="22"/>
                <w:u w:val="single"/>
              </w:rPr>
            </w:pPr>
            <w:r w:rsidRPr="005F120D">
              <w:rPr>
                <w:rFonts w:asciiTheme="minorHAnsi" w:eastAsia="Calibri" w:hAnsiTheme="minorHAnsi" w:cstheme="minorHAnsi"/>
                <w:i/>
                <w:color w:val="008000"/>
                <w:sz w:val="22"/>
                <w:szCs w:val="22"/>
                <w:u w:val="single"/>
              </w:rPr>
              <w:t>Recent primary education sector Programs</w:t>
            </w:r>
          </w:p>
          <w:p w:rsidR="00234BEA" w:rsidRPr="005F120D" w:rsidRDefault="00234BEA" w:rsidP="00C437AA">
            <w:pPr>
              <w:pStyle w:val="Tabletext"/>
              <w:spacing w:after="120" w:line="276" w:lineRule="auto"/>
              <w:rPr>
                <w:rFonts w:asciiTheme="minorHAnsi" w:eastAsia="Calibri" w:hAnsiTheme="minorHAnsi" w:cstheme="minorHAnsi"/>
                <w:sz w:val="22"/>
                <w:szCs w:val="22"/>
              </w:rPr>
            </w:pPr>
            <w:r w:rsidRPr="005F120D">
              <w:rPr>
                <w:rFonts w:asciiTheme="minorHAnsi" w:eastAsia="Calibri" w:hAnsiTheme="minorHAnsi" w:cstheme="minorHAnsi"/>
                <w:sz w:val="22"/>
                <w:szCs w:val="22"/>
              </w:rPr>
              <w:t>Bangladesh has had three Primary Education Development Programs (PEDPs), each with a distinct set of components or outcome areas. The Programs are:</w:t>
            </w:r>
          </w:p>
          <w:p w:rsidR="00234BEA" w:rsidRPr="005F120D" w:rsidRDefault="00234BEA" w:rsidP="00C437AA">
            <w:pPr>
              <w:pStyle w:val="Tabletext"/>
              <w:spacing w:after="120" w:line="276" w:lineRule="auto"/>
              <w:rPr>
                <w:rFonts w:asciiTheme="minorHAnsi" w:eastAsia="Calibri" w:hAnsiTheme="minorHAnsi" w:cstheme="minorHAnsi"/>
                <w:sz w:val="22"/>
                <w:szCs w:val="22"/>
              </w:rPr>
            </w:pPr>
            <w:r w:rsidRPr="005F120D">
              <w:rPr>
                <w:rFonts w:asciiTheme="minorHAnsi" w:eastAsia="Calibri" w:hAnsiTheme="minorHAnsi" w:cstheme="minorHAnsi"/>
                <w:b/>
                <w:i/>
                <w:color w:val="008000"/>
                <w:sz w:val="22"/>
                <w:szCs w:val="22"/>
                <w:u w:val="single"/>
              </w:rPr>
              <w:t>PEDPI: 1997–2003:</w:t>
            </w:r>
            <w:r w:rsidRPr="005F120D">
              <w:rPr>
                <w:rFonts w:asciiTheme="minorHAnsi" w:eastAsia="Calibri" w:hAnsiTheme="minorHAnsi" w:cstheme="minorHAnsi"/>
                <w:sz w:val="22"/>
                <w:szCs w:val="22"/>
              </w:rPr>
              <w:t xml:space="preserve"> The First Primary Education Development Program focused on 10 specific objectives including improving enrolment, completion, providing more quality inputs and strengthening monitoring. PEDP I consisted of several projects managed and financed separately by eight DPs. However, as this kind of project-based approach did not necessarily lead to long-term institutionalization of achievements, the Government and DPs jointly agreed to adopt the principle of a sector-wide approach (SWAp) to achieve</w:t>
            </w:r>
            <w:r w:rsidR="00903E09" w:rsidRPr="005F120D">
              <w:rPr>
                <w:rFonts w:asciiTheme="minorHAnsi" w:eastAsia="Calibri" w:hAnsiTheme="minorHAnsi" w:cstheme="minorHAnsi"/>
                <w:sz w:val="22"/>
                <w:szCs w:val="22"/>
              </w:rPr>
              <w:t xml:space="preserve"> a</w:t>
            </w:r>
            <w:r w:rsidRPr="005F120D">
              <w:rPr>
                <w:rFonts w:asciiTheme="minorHAnsi" w:eastAsia="Calibri" w:hAnsiTheme="minorHAnsi" w:cstheme="minorHAnsi"/>
                <w:sz w:val="22"/>
                <w:szCs w:val="22"/>
              </w:rPr>
              <w:t xml:space="preserve"> high-qua</w:t>
            </w:r>
            <w:r w:rsidR="00903E09" w:rsidRPr="005F120D">
              <w:rPr>
                <w:rFonts w:asciiTheme="minorHAnsi" w:eastAsia="Calibri" w:hAnsiTheme="minorHAnsi" w:cstheme="minorHAnsi"/>
                <w:sz w:val="22"/>
                <w:szCs w:val="22"/>
              </w:rPr>
              <w:t>lity primary education</w:t>
            </w:r>
            <w:r w:rsidRPr="005F120D">
              <w:rPr>
                <w:rFonts w:asciiTheme="minorHAnsi" w:eastAsia="Calibri" w:hAnsiTheme="minorHAnsi" w:cstheme="minorHAnsi"/>
                <w:sz w:val="22"/>
                <w:szCs w:val="22"/>
              </w:rPr>
              <w:t>.</w:t>
            </w:r>
          </w:p>
          <w:p w:rsidR="00234BEA" w:rsidRPr="005F120D" w:rsidRDefault="00234BEA" w:rsidP="00C437AA">
            <w:pPr>
              <w:autoSpaceDE w:val="0"/>
              <w:autoSpaceDN w:val="0"/>
              <w:adjustRightInd w:val="0"/>
              <w:spacing w:line="276" w:lineRule="auto"/>
              <w:jc w:val="both"/>
              <w:rPr>
                <w:rFonts w:asciiTheme="minorHAnsi" w:eastAsia="Calibri" w:hAnsiTheme="minorHAnsi" w:cstheme="minorHAnsi"/>
                <w:szCs w:val="22"/>
              </w:rPr>
            </w:pPr>
            <w:r w:rsidRPr="005F120D">
              <w:rPr>
                <w:rFonts w:asciiTheme="minorHAnsi" w:eastAsia="Calibri" w:hAnsiTheme="minorHAnsi" w:cstheme="minorHAnsi"/>
                <w:b/>
                <w:i/>
                <w:color w:val="008000"/>
                <w:szCs w:val="22"/>
                <w:u w:val="single"/>
              </w:rPr>
              <w:t>PEDPII: 2004–2011:</w:t>
            </w:r>
            <w:r w:rsidRPr="005F120D">
              <w:rPr>
                <w:rFonts w:asciiTheme="minorHAnsi" w:eastAsia="Calibri" w:hAnsiTheme="minorHAnsi" w:cstheme="minorHAnsi"/>
                <w:szCs w:val="22"/>
              </w:rPr>
              <w:t>The Second Primary Education Development Program was a coordinated and integrated sector program within the DPE, with a focus on quality improvement, institutional capacity building and systemic reform. PEDPII was the first education sector Program to include many components of the SWAp principle in its design. Coordinated by a lead agency, PEDP II was financed by the Government and ten DPs through a management and financing structure.</w:t>
            </w:r>
          </w:p>
          <w:p w:rsidR="00D748C3" w:rsidRPr="005F120D" w:rsidRDefault="00234BEA" w:rsidP="00C437AA">
            <w:pPr>
              <w:pStyle w:val="Secondarytext"/>
              <w:spacing w:line="276" w:lineRule="auto"/>
              <w:jc w:val="both"/>
              <w:rPr>
                <w:rFonts w:asciiTheme="minorHAnsi" w:eastAsia="Calibri" w:hAnsiTheme="minorHAnsi" w:cstheme="minorHAnsi"/>
                <w:b/>
                <w:i/>
                <w:sz w:val="22"/>
                <w:szCs w:val="22"/>
              </w:rPr>
            </w:pPr>
            <w:r w:rsidRPr="005F120D">
              <w:rPr>
                <w:rFonts w:asciiTheme="minorHAnsi" w:eastAsia="Calibri" w:hAnsiTheme="minorHAnsi" w:cstheme="minorHAnsi"/>
                <w:b/>
                <w:i/>
                <w:color w:val="008000"/>
                <w:sz w:val="22"/>
                <w:szCs w:val="22"/>
                <w:u w:val="single"/>
              </w:rPr>
              <w:t>PEDP3: 2011–2017:</w:t>
            </w:r>
            <w:r w:rsidRPr="005F120D">
              <w:rPr>
                <w:rFonts w:asciiTheme="minorHAnsi" w:eastAsia="Calibri" w:hAnsiTheme="minorHAnsi" w:cstheme="minorHAnsi"/>
                <w:sz w:val="22"/>
                <w:szCs w:val="22"/>
              </w:rPr>
              <w:t xml:space="preserve">The Third Primary Education Development Program incorporates additional features of the SWAp approach in matters of financial management, donor harmonisation and program scope. PEDP3 continues many of the quality improvement, institutional and systemic reforms introduced under PEDPII with a much stronger focus on how inputs are used at the school level to improve the achievement of learning outcomes, the classroom environment, to </w:t>
            </w:r>
            <w:r w:rsidR="00903E09" w:rsidRPr="005F120D">
              <w:rPr>
                <w:rFonts w:asciiTheme="minorHAnsi" w:eastAsia="Calibri" w:hAnsiTheme="minorHAnsi" w:cstheme="minorHAnsi"/>
                <w:sz w:val="22"/>
                <w:szCs w:val="22"/>
              </w:rPr>
              <w:t>raising both the enrolment rate and the</w:t>
            </w:r>
            <w:r w:rsidRPr="005F120D">
              <w:rPr>
                <w:rFonts w:asciiTheme="minorHAnsi" w:eastAsia="Calibri" w:hAnsiTheme="minorHAnsi" w:cstheme="minorHAnsi"/>
                <w:sz w:val="22"/>
                <w:szCs w:val="22"/>
              </w:rPr>
              <w:t xml:space="preserve"> primary school completion rate e</w:t>
            </w:r>
            <w:r w:rsidR="00903E09" w:rsidRPr="005F120D">
              <w:rPr>
                <w:rFonts w:asciiTheme="minorHAnsi" w:eastAsia="Calibri" w:hAnsiTheme="minorHAnsi" w:cstheme="minorHAnsi"/>
                <w:sz w:val="22"/>
                <w:szCs w:val="22"/>
              </w:rPr>
              <w:t>tc. The six results areas are: Learning O</w:t>
            </w:r>
            <w:r w:rsidRPr="005F120D">
              <w:rPr>
                <w:rFonts w:asciiTheme="minorHAnsi" w:eastAsia="Calibri" w:hAnsiTheme="minorHAnsi" w:cstheme="minorHAnsi"/>
                <w:sz w:val="22"/>
                <w:szCs w:val="22"/>
              </w:rPr>
              <w:t xml:space="preserve">utcomes; </w:t>
            </w:r>
            <w:r w:rsidR="00F05C06" w:rsidRPr="005F120D">
              <w:rPr>
                <w:rFonts w:asciiTheme="minorHAnsi" w:hAnsiTheme="minorHAnsi" w:cstheme="minorHAnsi"/>
                <w:bCs/>
                <w:sz w:val="22"/>
                <w:szCs w:val="22"/>
              </w:rPr>
              <w:t>Universal Access and Participation</w:t>
            </w:r>
            <w:r w:rsidRPr="005F120D">
              <w:rPr>
                <w:rFonts w:asciiTheme="minorHAnsi" w:eastAsia="Calibri" w:hAnsiTheme="minorHAnsi" w:cstheme="minorHAnsi"/>
                <w:sz w:val="22"/>
                <w:szCs w:val="22"/>
              </w:rPr>
              <w:t xml:space="preserve">; </w:t>
            </w:r>
            <w:r w:rsidR="00F05C06" w:rsidRPr="005F120D">
              <w:rPr>
                <w:rFonts w:asciiTheme="minorHAnsi" w:hAnsiTheme="minorHAnsi" w:cstheme="minorHAnsi"/>
                <w:bCs/>
                <w:sz w:val="22"/>
                <w:szCs w:val="22"/>
              </w:rPr>
              <w:t>Reducing Disparities</w:t>
            </w:r>
            <w:r w:rsidRPr="005F120D">
              <w:rPr>
                <w:rFonts w:asciiTheme="minorHAnsi" w:eastAsia="Calibri" w:hAnsiTheme="minorHAnsi" w:cstheme="minorHAnsi"/>
                <w:sz w:val="22"/>
                <w:szCs w:val="22"/>
              </w:rPr>
              <w:t xml:space="preserve">; </w:t>
            </w:r>
            <w:r w:rsidR="00F05C06" w:rsidRPr="005F120D">
              <w:rPr>
                <w:rFonts w:asciiTheme="minorHAnsi" w:hAnsiTheme="minorHAnsi" w:cstheme="minorHAnsi"/>
                <w:bCs/>
                <w:sz w:val="22"/>
                <w:szCs w:val="22"/>
              </w:rPr>
              <w:t>Decentralization</w:t>
            </w:r>
            <w:r w:rsidRPr="005F120D">
              <w:rPr>
                <w:rFonts w:asciiTheme="minorHAnsi" w:eastAsia="Calibri" w:hAnsiTheme="minorHAnsi" w:cstheme="minorHAnsi"/>
                <w:sz w:val="22"/>
                <w:szCs w:val="22"/>
              </w:rPr>
              <w:t xml:space="preserve">; </w:t>
            </w:r>
            <w:r w:rsidR="00F05C06" w:rsidRPr="005F120D">
              <w:rPr>
                <w:rFonts w:asciiTheme="minorHAnsi" w:hAnsiTheme="minorHAnsi" w:cstheme="minorHAnsi"/>
                <w:bCs/>
                <w:sz w:val="22"/>
                <w:szCs w:val="22"/>
              </w:rPr>
              <w:t>Effectiveness</w:t>
            </w:r>
            <w:r w:rsidRPr="005F120D">
              <w:rPr>
                <w:rFonts w:asciiTheme="minorHAnsi" w:eastAsia="Calibri" w:hAnsiTheme="minorHAnsi" w:cstheme="minorHAnsi"/>
                <w:sz w:val="22"/>
                <w:szCs w:val="22"/>
              </w:rPr>
              <w:t xml:space="preserve">; and </w:t>
            </w:r>
            <w:r w:rsidR="00F05C06" w:rsidRPr="005F120D">
              <w:rPr>
                <w:rFonts w:asciiTheme="minorHAnsi" w:hAnsiTheme="minorHAnsi" w:cstheme="minorHAnsi"/>
                <w:bCs/>
                <w:sz w:val="22"/>
                <w:szCs w:val="22"/>
              </w:rPr>
              <w:t>Program Planning and Management</w:t>
            </w:r>
            <w:r w:rsidR="00D748C3" w:rsidRPr="005F120D">
              <w:rPr>
                <w:rFonts w:asciiTheme="minorHAnsi" w:eastAsia="Calibri" w:hAnsiTheme="minorHAnsi" w:cstheme="minorHAnsi"/>
                <w:sz w:val="22"/>
                <w:szCs w:val="22"/>
              </w:rPr>
              <w:t>.</w:t>
            </w:r>
          </w:p>
        </w:tc>
      </w:tr>
    </w:tbl>
    <w:p w:rsidR="00E10E71" w:rsidRPr="005F120D" w:rsidRDefault="00234BEA" w:rsidP="00C437AA">
      <w:pPr>
        <w:spacing w:before="240" w:line="276" w:lineRule="auto"/>
        <w:jc w:val="both"/>
        <w:rPr>
          <w:rFonts w:asciiTheme="minorHAnsi" w:hAnsiTheme="minorHAnsi" w:cstheme="minorHAnsi"/>
        </w:rPr>
      </w:pPr>
      <w:r w:rsidRPr="005F120D">
        <w:rPr>
          <w:rFonts w:asciiTheme="minorHAnsi" w:hAnsiTheme="minorHAnsi" w:cstheme="minorHAnsi"/>
        </w:rPr>
        <w:t>DPE uses a results chain to review the performance of PEDP3. The results chain compares the results expected from program inputs and activities with what actually happened. Planners and decision makers will check expectations against the evidence from surveys, studies and research and will change</w:t>
      </w:r>
      <w:r w:rsidR="00654E64" w:rsidRPr="005F120D">
        <w:rPr>
          <w:rFonts w:asciiTheme="minorHAnsi" w:hAnsiTheme="minorHAnsi" w:cstheme="minorHAnsi"/>
        </w:rPr>
        <w:t>, where necessary,</w:t>
      </w:r>
      <w:r w:rsidRPr="005F120D">
        <w:rPr>
          <w:rFonts w:asciiTheme="minorHAnsi" w:hAnsiTheme="minorHAnsi" w:cstheme="minorHAnsi"/>
        </w:rPr>
        <w:t xml:space="preserve"> the operational plan, as well as activities where necessary. In particular, the results of any one year will lead to the next year’s operational plan, which is itself set within the overall framework of expected results for PEDP3 as a whole. The improvements expe</w:t>
      </w:r>
      <w:r w:rsidR="00654E64" w:rsidRPr="005F120D">
        <w:rPr>
          <w:rFonts w:asciiTheme="minorHAnsi" w:hAnsiTheme="minorHAnsi" w:cstheme="minorHAnsi"/>
        </w:rPr>
        <w:t xml:space="preserve">cted under PEDP3 are shown in the results chain for each component in </w:t>
      </w:r>
      <w:r w:rsidRPr="005F120D">
        <w:rPr>
          <w:rFonts w:asciiTheme="minorHAnsi" w:hAnsiTheme="minorHAnsi" w:cstheme="minorHAnsi"/>
        </w:rPr>
        <w:t xml:space="preserve">Annex A. </w:t>
      </w:r>
      <w:r w:rsidRPr="005F120D">
        <w:rPr>
          <w:rFonts w:asciiTheme="minorHAnsi" w:hAnsiTheme="minorHAnsi" w:cstheme="minorHAnsi"/>
          <w:szCs w:val="22"/>
        </w:rPr>
        <w:t xml:space="preserve">The following Table 2.1 summarizes the </w:t>
      </w:r>
      <w:r w:rsidRPr="005F120D">
        <w:rPr>
          <w:rFonts w:asciiTheme="minorHAnsi" w:hAnsiTheme="minorHAnsi" w:cstheme="minorHAnsi"/>
          <w:bCs/>
          <w:szCs w:val="22"/>
        </w:rPr>
        <w:t xml:space="preserve">PEDP3 </w:t>
      </w:r>
      <w:r w:rsidR="009675E6" w:rsidRPr="005F120D">
        <w:rPr>
          <w:rFonts w:asciiTheme="minorHAnsi" w:hAnsiTheme="minorHAnsi" w:cstheme="minorHAnsi"/>
          <w:bCs/>
          <w:szCs w:val="22"/>
        </w:rPr>
        <w:t>result web</w:t>
      </w:r>
      <w:r w:rsidRPr="005F120D">
        <w:rPr>
          <w:rFonts w:asciiTheme="minorHAnsi" w:hAnsiTheme="minorHAnsi" w:cstheme="minorHAnsi"/>
          <w:bCs/>
          <w:szCs w:val="22"/>
        </w:rPr>
        <w:t xml:space="preserve"> with the inclusion of PEDP3’s 4 Components, 6 Result Areas, 29 Sub-Components, Anticipated Outcomes, Suggested Reforms and Indicators (15 KPIs, 12 Non-KPIs, 9 DLIs and 67 Sub-component indicators) in order to measure the primary education sector’s performance</w:t>
      </w:r>
      <w:r w:rsidR="00F81C60" w:rsidRPr="005F120D">
        <w:rPr>
          <w:rFonts w:asciiTheme="minorHAnsi" w:hAnsiTheme="minorHAnsi" w:cstheme="minorHAnsi"/>
          <w:bCs/>
          <w:szCs w:val="22"/>
        </w:rPr>
        <w:t>.</w:t>
      </w:r>
    </w:p>
    <w:p w:rsidR="00E10E71" w:rsidRPr="005F120D" w:rsidRDefault="00E10E71" w:rsidP="00C437AA">
      <w:pPr>
        <w:spacing w:before="240" w:line="276" w:lineRule="auto"/>
        <w:jc w:val="both"/>
        <w:rPr>
          <w:rFonts w:asciiTheme="minorHAnsi" w:hAnsiTheme="minorHAnsi" w:cstheme="minorHAnsi"/>
        </w:rPr>
        <w:sectPr w:rsidR="00E10E71" w:rsidRPr="005F120D" w:rsidSect="00C61570">
          <w:type w:val="nextColumn"/>
          <w:pgSz w:w="11909" w:h="16834" w:code="9"/>
          <w:pgMar w:top="1440" w:right="1440" w:bottom="1152" w:left="1440" w:header="720" w:footer="720" w:gutter="0"/>
          <w:pgNumType w:start="17"/>
          <w:cols w:space="720"/>
          <w:docGrid w:linePitch="360"/>
        </w:sectPr>
      </w:pPr>
    </w:p>
    <w:p w:rsidR="00E10E71" w:rsidRPr="005F120D" w:rsidRDefault="00307D32" w:rsidP="00C61570">
      <w:pPr>
        <w:pStyle w:val="Caption"/>
        <w:spacing w:after="0" w:line="276" w:lineRule="auto"/>
        <w:rPr>
          <w:rFonts w:cstheme="minorHAnsi"/>
          <w:sz w:val="24"/>
          <w:szCs w:val="24"/>
        </w:rPr>
      </w:pPr>
      <w:bookmarkStart w:id="68" w:name="_Toc462837223"/>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E10E71" w:rsidRPr="005F120D">
        <w:rPr>
          <w:rFonts w:cstheme="minorHAnsi"/>
        </w:rPr>
        <w:t>:</w:t>
      </w:r>
      <w:r w:rsidR="00E10E71" w:rsidRPr="005F120D">
        <w:rPr>
          <w:rFonts w:cstheme="minorHAnsi"/>
          <w:bCs/>
          <w:sz w:val="24"/>
          <w:szCs w:val="24"/>
        </w:rPr>
        <w:t xml:space="preserve"> PEDP3 Result</w:t>
      </w:r>
      <w:r w:rsidR="00654E64" w:rsidRPr="005F120D">
        <w:rPr>
          <w:rFonts w:cstheme="minorHAnsi"/>
          <w:bCs/>
          <w:sz w:val="24"/>
          <w:szCs w:val="24"/>
        </w:rPr>
        <w:t>s</w:t>
      </w:r>
      <w:r w:rsidR="00E10E71" w:rsidRPr="005F120D">
        <w:rPr>
          <w:rFonts w:cstheme="minorHAnsi"/>
          <w:bCs/>
          <w:sz w:val="24"/>
          <w:szCs w:val="24"/>
        </w:rPr>
        <w:t xml:space="preserve"> WEB:</w:t>
      </w:r>
      <w:bookmarkEnd w:id="68"/>
    </w:p>
    <w:tbl>
      <w:tblPr>
        <w:tblW w:w="5000" w:type="pct"/>
        <w:tblCellMar>
          <w:left w:w="0" w:type="dxa"/>
          <w:right w:w="0" w:type="dxa"/>
        </w:tblCellMar>
        <w:tblLook w:val="04A0"/>
      </w:tblPr>
      <w:tblGrid>
        <w:gridCol w:w="377"/>
        <w:gridCol w:w="2542"/>
        <w:gridCol w:w="2636"/>
        <w:gridCol w:w="2494"/>
        <w:gridCol w:w="2390"/>
        <w:gridCol w:w="2521"/>
        <w:gridCol w:w="2208"/>
      </w:tblGrid>
      <w:tr w:rsidR="009D3C64" w:rsidRPr="005F120D" w:rsidTr="00C437AA">
        <w:trPr>
          <w:trHeight w:val="489"/>
        </w:trPr>
        <w:tc>
          <w:tcPr>
            <w:tcW w:w="124" w:type="pct"/>
            <w:tcBorders>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double" w:sz="4" w:space="0" w:color="auto"/>
              <w:left w:val="double" w:sz="4" w:space="0" w:color="auto"/>
              <w:bottom w:val="double" w:sz="4" w:space="0" w:color="auto"/>
              <w:right w:val="single" w:sz="6" w:space="0" w:color="auto"/>
            </w:tcBorders>
            <w:shd w:val="clear" w:color="auto" w:fill="DDD9C3" w:themeFill="background2" w:themeFillShade="E6"/>
            <w:tcMar>
              <w:top w:w="15" w:type="dxa"/>
              <w:left w:w="62" w:type="dxa"/>
              <w:bottom w:w="0" w:type="dxa"/>
              <w:right w:w="62" w:type="dxa"/>
            </w:tcMar>
            <w:vAlign w:val="center"/>
          </w:tcPr>
          <w:p w:rsidR="009D3C64" w:rsidRPr="005F120D" w:rsidRDefault="009D3C64" w:rsidP="000A5B80">
            <w:pPr>
              <w:spacing w:after="0"/>
              <w:jc w:val="center"/>
              <w:rPr>
                <w:rFonts w:asciiTheme="minorHAnsi" w:hAnsiTheme="minorHAnsi" w:cstheme="minorHAnsi"/>
                <w:b/>
                <w:color w:val="C00000"/>
                <w:sz w:val="18"/>
                <w:szCs w:val="18"/>
              </w:rPr>
            </w:pPr>
            <w:r w:rsidRPr="005F120D">
              <w:rPr>
                <w:rFonts w:asciiTheme="minorHAnsi" w:hAnsiTheme="minorHAnsi" w:cstheme="minorHAnsi"/>
                <w:b/>
                <w:color w:val="C00000"/>
                <w:sz w:val="18"/>
                <w:szCs w:val="18"/>
              </w:rPr>
              <w:t xml:space="preserve">Component 1: </w:t>
            </w:r>
          </w:p>
          <w:p w:rsidR="009D3C64" w:rsidRPr="005F120D" w:rsidRDefault="009D3C64" w:rsidP="000A5B80">
            <w:pPr>
              <w:spacing w:after="0"/>
              <w:jc w:val="center"/>
              <w:rPr>
                <w:rFonts w:asciiTheme="minorHAnsi" w:hAnsiTheme="minorHAnsi" w:cstheme="minorHAnsi"/>
                <w:b/>
                <w:color w:val="C00000"/>
                <w:sz w:val="18"/>
                <w:szCs w:val="18"/>
              </w:rPr>
            </w:pPr>
            <w:r w:rsidRPr="005F120D">
              <w:rPr>
                <w:rFonts w:asciiTheme="minorHAnsi" w:hAnsiTheme="minorHAnsi" w:cstheme="minorHAnsi"/>
                <w:b/>
                <w:color w:val="C00000"/>
                <w:sz w:val="18"/>
                <w:szCs w:val="18"/>
              </w:rPr>
              <w:t>Teaching and Learning</w:t>
            </w:r>
          </w:p>
        </w:tc>
        <w:tc>
          <w:tcPr>
            <w:tcW w:w="1691" w:type="pct"/>
            <w:gridSpan w:val="2"/>
            <w:tcBorders>
              <w:top w:val="double" w:sz="4" w:space="0" w:color="auto"/>
              <w:left w:val="single" w:sz="6" w:space="0" w:color="auto"/>
              <w:bottom w:val="double" w:sz="4" w:space="0" w:color="auto"/>
              <w:right w:val="single" w:sz="6" w:space="0" w:color="auto"/>
            </w:tcBorders>
            <w:shd w:val="clear" w:color="auto" w:fill="D6E3BC" w:themeFill="accent3" w:themeFillTint="66"/>
            <w:tcMar>
              <w:top w:w="15" w:type="dxa"/>
              <w:left w:w="62" w:type="dxa"/>
              <w:bottom w:w="0" w:type="dxa"/>
              <w:right w:w="62" w:type="dxa"/>
            </w:tcMar>
            <w:vAlign w:val="center"/>
          </w:tcPr>
          <w:p w:rsidR="009D3C64" w:rsidRPr="005F120D" w:rsidRDefault="009D3C64" w:rsidP="000A5B80">
            <w:pPr>
              <w:spacing w:after="0"/>
              <w:jc w:val="center"/>
              <w:rPr>
                <w:rFonts w:asciiTheme="minorHAnsi" w:hAnsiTheme="minorHAnsi" w:cstheme="minorHAnsi"/>
                <w:b/>
                <w:color w:val="C00000"/>
                <w:sz w:val="18"/>
                <w:szCs w:val="18"/>
              </w:rPr>
            </w:pPr>
            <w:r w:rsidRPr="005F120D">
              <w:rPr>
                <w:rFonts w:asciiTheme="minorHAnsi" w:hAnsiTheme="minorHAnsi" w:cstheme="minorHAnsi"/>
                <w:b/>
                <w:color w:val="C00000"/>
                <w:sz w:val="18"/>
                <w:szCs w:val="18"/>
              </w:rPr>
              <w:t xml:space="preserve">Component 2: </w:t>
            </w:r>
          </w:p>
          <w:p w:rsidR="009D3C64" w:rsidRPr="005F120D" w:rsidRDefault="009D3C64" w:rsidP="000A5B80">
            <w:pPr>
              <w:spacing w:after="0"/>
              <w:jc w:val="center"/>
              <w:rPr>
                <w:rFonts w:asciiTheme="minorHAnsi" w:hAnsiTheme="minorHAnsi" w:cstheme="minorHAnsi"/>
                <w:b/>
                <w:color w:val="C00000"/>
                <w:sz w:val="18"/>
                <w:szCs w:val="18"/>
              </w:rPr>
            </w:pPr>
            <w:r w:rsidRPr="005F120D">
              <w:rPr>
                <w:rFonts w:asciiTheme="minorHAnsi" w:hAnsiTheme="minorHAnsi" w:cstheme="minorHAnsi"/>
                <w:b/>
                <w:color w:val="C00000"/>
                <w:sz w:val="18"/>
                <w:szCs w:val="18"/>
              </w:rPr>
              <w:t>Participation and Disparities</w:t>
            </w:r>
          </w:p>
        </w:tc>
        <w:tc>
          <w:tcPr>
            <w:tcW w:w="1619" w:type="pct"/>
            <w:gridSpan w:val="2"/>
            <w:tcBorders>
              <w:top w:val="double" w:sz="4" w:space="0" w:color="auto"/>
              <w:left w:val="single" w:sz="6" w:space="0" w:color="auto"/>
              <w:bottom w:val="double" w:sz="4" w:space="0" w:color="auto"/>
              <w:right w:val="single" w:sz="6" w:space="0" w:color="auto"/>
            </w:tcBorders>
            <w:shd w:val="clear" w:color="auto" w:fill="B2A1C7" w:themeFill="accent4" w:themeFillTint="99"/>
            <w:tcMar>
              <w:top w:w="15" w:type="dxa"/>
              <w:left w:w="62" w:type="dxa"/>
              <w:bottom w:w="0" w:type="dxa"/>
              <w:right w:w="62" w:type="dxa"/>
            </w:tcMar>
            <w:vAlign w:val="center"/>
          </w:tcPr>
          <w:p w:rsidR="009D3C64" w:rsidRPr="005F120D" w:rsidRDefault="009D3C64" w:rsidP="000A5B80">
            <w:pPr>
              <w:spacing w:after="0"/>
              <w:jc w:val="center"/>
              <w:rPr>
                <w:rFonts w:asciiTheme="minorHAnsi" w:hAnsiTheme="minorHAnsi" w:cstheme="minorHAnsi"/>
                <w:b/>
                <w:color w:val="C00000"/>
                <w:sz w:val="18"/>
                <w:szCs w:val="18"/>
              </w:rPr>
            </w:pPr>
            <w:r w:rsidRPr="005F120D">
              <w:rPr>
                <w:rFonts w:asciiTheme="minorHAnsi" w:hAnsiTheme="minorHAnsi" w:cstheme="minorHAnsi"/>
                <w:b/>
                <w:color w:val="C00000"/>
                <w:sz w:val="18"/>
                <w:szCs w:val="18"/>
              </w:rPr>
              <w:t>Component 3:</w:t>
            </w:r>
          </w:p>
          <w:p w:rsidR="009D3C64" w:rsidRPr="005F120D" w:rsidRDefault="009D3C64" w:rsidP="000A5B80">
            <w:pPr>
              <w:spacing w:after="0"/>
              <w:jc w:val="center"/>
              <w:rPr>
                <w:rFonts w:asciiTheme="minorHAnsi" w:hAnsiTheme="minorHAnsi" w:cstheme="minorHAnsi"/>
                <w:b/>
                <w:color w:val="C00000"/>
                <w:sz w:val="18"/>
                <w:szCs w:val="18"/>
              </w:rPr>
            </w:pPr>
            <w:r w:rsidRPr="005F120D">
              <w:rPr>
                <w:rFonts w:asciiTheme="minorHAnsi" w:hAnsiTheme="minorHAnsi" w:cstheme="minorHAnsi"/>
                <w:b/>
                <w:color w:val="C00000"/>
                <w:sz w:val="18"/>
                <w:szCs w:val="18"/>
              </w:rPr>
              <w:t xml:space="preserve"> Decentralization and Effectiveness</w:t>
            </w:r>
          </w:p>
        </w:tc>
        <w:tc>
          <w:tcPr>
            <w:tcW w:w="728" w:type="pct"/>
            <w:tcBorders>
              <w:top w:val="double" w:sz="4" w:space="0" w:color="auto"/>
              <w:left w:val="single" w:sz="6" w:space="0" w:color="auto"/>
              <w:bottom w:val="double" w:sz="4" w:space="0" w:color="auto"/>
              <w:right w:val="double" w:sz="4" w:space="0" w:color="auto"/>
            </w:tcBorders>
            <w:shd w:val="clear" w:color="auto" w:fill="DAEEF3" w:themeFill="accent5" w:themeFillTint="33"/>
            <w:tcMar>
              <w:top w:w="15" w:type="dxa"/>
              <w:left w:w="62" w:type="dxa"/>
              <w:bottom w:w="0" w:type="dxa"/>
              <w:right w:w="62" w:type="dxa"/>
            </w:tcMar>
            <w:vAlign w:val="center"/>
          </w:tcPr>
          <w:p w:rsidR="009D3C64" w:rsidRPr="005F120D" w:rsidRDefault="009D3C64" w:rsidP="000A5B80">
            <w:pPr>
              <w:spacing w:after="0"/>
              <w:jc w:val="center"/>
              <w:rPr>
                <w:rFonts w:asciiTheme="minorHAnsi" w:hAnsiTheme="minorHAnsi" w:cstheme="minorHAnsi"/>
                <w:b/>
                <w:color w:val="C00000"/>
                <w:sz w:val="18"/>
                <w:szCs w:val="18"/>
              </w:rPr>
            </w:pPr>
            <w:r w:rsidRPr="005F120D">
              <w:rPr>
                <w:rFonts w:asciiTheme="minorHAnsi" w:hAnsiTheme="minorHAnsi" w:cstheme="minorHAnsi"/>
                <w:b/>
                <w:color w:val="C00000"/>
                <w:sz w:val="18"/>
                <w:szCs w:val="18"/>
              </w:rPr>
              <w:t>Component 4: Planning and Management</w:t>
            </w:r>
          </w:p>
        </w:tc>
      </w:tr>
      <w:tr w:rsidR="009D3C64" w:rsidRPr="005F120D" w:rsidTr="00C437AA">
        <w:trPr>
          <w:trHeight w:val="740"/>
        </w:trPr>
        <w:tc>
          <w:tcPr>
            <w:tcW w:w="124" w:type="pct"/>
            <w:tcBorders>
              <w:bottom w:val="double" w:sz="4" w:space="0" w:color="auto"/>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double" w:sz="4" w:space="0" w:color="auto"/>
              <w:left w:val="double" w:sz="4" w:space="0" w:color="auto"/>
              <w:bottom w:val="double" w:sz="4" w:space="0" w:color="auto"/>
              <w:right w:val="single" w:sz="6" w:space="0" w:color="auto"/>
            </w:tcBorders>
            <w:shd w:val="clear" w:color="auto" w:fill="DDD9C3" w:themeFill="background2" w:themeFillShade="E6"/>
            <w:tcMar>
              <w:top w:w="15" w:type="dxa"/>
              <w:left w:w="62" w:type="dxa"/>
              <w:bottom w:w="0" w:type="dxa"/>
              <w:right w:w="62" w:type="dxa"/>
            </w:tcMar>
            <w:vAlign w:val="center"/>
          </w:tcPr>
          <w:p w:rsidR="009D3C64" w:rsidRPr="005F120D" w:rsidRDefault="009D3C64" w:rsidP="000A5B80">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Results Area 1</w:t>
            </w:r>
          </w:p>
          <w:p w:rsidR="009D3C64" w:rsidRPr="005F120D" w:rsidRDefault="009D3C64" w:rsidP="000A5B80">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 xml:space="preserve"> Learning Outcomes</w:t>
            </w:r>
          </w:p>
        </w:tc>
        <w:tc>
          <w:tcPr>
            <w:tcW w:w="869" w:type="pct"/>
            <w:tcBorders>
              <w:top w:val="double" w:sz="4" w:space="0" w:color="auto"/>
              <w:left w:val="single" w:sz="6" w:space="0" w:color="auto"/>
              <w:bottom w:val="double" w:sz="4" w:space="0" w:color="auto"/>
              <w:right w:val="single" w:sz="6" w:space="0" w:color="auto"/>
            </w:tcBorders>
            <w:shd w:val="clear" w:color="auto" w:fill="D6E3BC" w:themeFill="accent3" w:themeFillTint="66"/>
            <w:tcMar>
              <w:top w:w="15" w:type="dxa"/>
              <w:left w:w="62" w:type="dxa"/>
              <w:bottom w:w="0" w:type="dxa"/>
              <w:right w:w="62" w:type="dxa"/>
            </w:tcMar>
            <w:vAlign w:val="center"/>
          </w:tcPr>
          <w:p w:rsidR="009D3C64" w:rsidRPr="005F120D" w:rsidRDefault="009D3C64" w:rsidP="000A5B80">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 xml:space="preserve">Results Area 2.1 </w:t>
            </w:r>
          </w:p>
          <w:p w:rsidR="009D3C64" w:rsidRPr="005F120D" w:rsidRDefault="00F05C06" w:rsidP="000A5B80">
            <w:pPr>
              <w:spacing w:after="0"/>
              <w:jc w:val="center"/>
              <w:rPr>
                <w:rFonts w:asciiTheme="minorHAnsi" w:hAnsiTheme="minorHAnsi" w:cstheme="minorHAnsi"/>
                <w:b/>
                <w:sz w:val="18"/>
                <w:szCs w:val="18"/>
              </w:rPr>
            </w:pPr>
            <w:r w:rsidRPr="005F120D">
              <w:rPr>
                <w:rFonts w:asciiTheme="minorHAnsi" w:hAnsiTheme="minorHAnsi" w:cstheme="minorHAnsi"/>
                <w:b/>
                <w:bCs/>
                <w:sz w:val="18"/>
                <w:szCs w:val="18"/>
              </w:rPr>
              <w:t>Universal Access and Participation</w:t>
            </w:r>
          </w:p>
        </w:tc>
        <w:tc>
          <w:tcPr>
            <w:tcW w:w="822" w:type="pct"/>
            <w:tcBorders>
              <w:top w:val="double" w:sz="4" w:space="0" w:color="auto"/>
              <w:left w:val="single" w:sz="6" w:space="0" w:color="auto"/>
              <w:bottom w:val="double" w:sz="4" w:space="0" w:color="auto"/>
              <w:right w:val="single" w:sz="6" w:space="0" w:color="auto"/>
            </w:tcBorders>
            <w:shd w:val="clear" w:color="auto" w:fill="EAF1DD" w:themeFill="accent3" w:themeFillTint="33"/>
            <w:tcMar>
              <w:top w:w="15" w:type="dxa"/>
              <w:left w:w="62" w:type="dxa"/>
              <w:bottom w:w="0" w:type="dxa"/>
              <w:right w:w="62" w:type="dxa"/>
            </w:tcMar>
            <w:vAlign w:val="center"/>
          </w:tcPr>
          <w:p w:rsidR="009D3C64" w:rsidRPr="005F120D" w:rsidRDefault="009D3C64" w:rsidP="000A5B80">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 xml:space="preserve">Results Area 2.2 </w:t>
            </w:r>
          </w:p>
          <w:p w:rsidR="009D3C64" w:rsidRPr="005F120D" w:rsidRDefault="00F05C06" w:rsidP="000A5B80">
            <w:pPr>
              <w:spacing w:after="0"/>
              <w:jc w:val="center"/>
              <w:rPr>
                <w:rFonts w:asciiTheme="minorHAnsi" w:hAnsiTheme="minorHAnsi" w:cstheme="minorHAnsi"/>
                <w:b/>
                <w:sz w:val="18"/>
                <w:szCs w:val="18"/>
              </w:rPr>
            </w:pPr>
            <w:r w:rsidRPr="005F120D">
              <w:rPr>
                <w:rFonts w:asciiTheme="minorHAnsi" w:hAnsiTheme="minorHAnsi" w:cstheme="minorHAnsi"/>
                <w:b/>
                <w:bCs/>
                <w:sz w:val="18"/>
                <w:szCs w:val="18"/>
              </w:rPr>
              <w:t>Reducing Disparities</w:t>
            </w:r>
          </w:p>
        </w:tc>
        <w:tc>
          <w:tcPr>
            <w:tcW w:w="788" w:type="pct"/>
            <w:tcBorders>
              <w:top w:val="double" w:sz="4" w:space="0" w:color="auto"/>
              <w:left w:val="single" w:sz="6" w:space="0" w:color="auto"/>
              <w:bottom w:val="double" w:sz="4" w:space="0" w:color="auto"/>
              <w:right w:val="single" w:sz="6" w:space="0" w:color="auto"/>
            </w:tcBorders>
            <w:shd w:val="clear" w:color="auto" w:fill="B2A1C7" w:themeFill="accent4" w:themeFillTint="99"/>
            <w:tcMar>
              <w:top w:w="15" w:type="dxa"/>
              <w:left w:w="62" w:type="dxa"/>
              <w:bottom w:w="0" w:type="dxa"/>
              <w:right w:w="62" w:type="dxa"/>
            </w:tcMar>
            <w:vAlign w:val="center"/>
          </w:tcPr>
          <w:p w:rsidR="009D3C64" w:rsidRPr="005F120D" w:rsidRDefault="009D3C64" w:rsidP="000A5B80">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Results Area 3.1 Decentralization</w:t>
            </w:r>
          </w:p>
        </w:tc>
        <w:tc>
          <w:tcPr>
            <w:tcW w:w="831" w:type="pct"/>
            <w:tcBorders>
              <w:top w:val="double" w:sz="4" w:space="0" w:color="auto"/>
              <w:left w:val="single" w:sz="6" w:space="0" w:color="auto"/>
              <w:bottom w:val="double" w:sz="4" w:space="0" w:color="auto"/>
              <w:right w:val="single" w:sz="6" w:space="0" w:color="auto"/>
            </w:tcBorders>
            <w:shd w:val="clear" w:color="auto" w:fill="B2A1C7" w:themeFill="accent4" w:themeFillTint="99"/>
            <w:tcMar>
              <w:top w:w="15" w:type="dxa"/>
              <w:left w:w="62" w:type="dxa"/>
              <w:bottom w:w="0" w:type="dxa"/>
              <w:right w:w="62" w:type="dxa"/>
            </w:tcMar>
            <w:vAlign w:val="center"/>
          </w:tcPr>
          <w:p w:rsidR="009D3C64" w:rsidRPr="005F120D" w:rsidRDefault="009D3C64" w:rsidP="000A5B80">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Results Area 3.2 Effectiveness</w:t>
            </w:r>
          </w:p>
        </w:tc>
        <w:tc>
          <w:tcPr>
            <w:tcW w:w="728" w:type="pct"/>
            <w:tcBorders>
              <w:top w:val="double" w:sz="4" w:space="0" w:color="auto"/>
              <w:left w:val="single" w:sz="6" w:space="0" w:color="auto"/>
              <w:bottom w:val="double" w:sz="4" w:space="0" w:color="auto"/>
              <w:right w:val="double" w:sz="4" w:space="0" w:color="auto"/>
            </w:tcBorders>
            <w:shd w:val="clear" w:color="auto" w:fill="DAEEF3" w:themeFill="accent5" w:themeFillTint="33"/>
            <w:tcMar>
              <w:top w:w="15" w:type="dxa"/>
              <w:left w:w="62" w:type="dxa"/>
              <w:bottom w:w="0" w:type="dxa"/>
              <w:right w:w="62" w:type="dxa"/>
            </w:tcMar>
            <w:vAlign w:val="center"/>
          </w:tcPr>
          <w:p w:rsidR="009D3C64" w:rsidRPr="005F120D" w:rsidRDefault="009D3C64" w:rsidP="000A5B80">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 xml:space="preserve">Results Area 4 </w:t>
            </w:r>
          </w:p>
          <w:p w:rsidR="009D3C64" w:rsidRPr="005F120D" w:rsidRDefault="009D3C64" w:rsidP="000A5B80">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Program Planning and Management</w:t>
            </w:r>
          </w:p>
        </w:tc>
      </w:tr>
      <w:tr w:rsidR="009D3C64" w:rsidRPr="005F120D" w:rsidTr="00C437AA">
        <w:trPr>
          <w:trHeight w:val="489"/>
        </w:trPr>
        <w:tc>
          <w:tcPr>
            <w:tcW w:w="12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tbRl"/>
            <w:vAlign w:val="center"/>
          </w:tcPr>
          <w:p w:rsidR="009D3C64" w:rsidRPr="005F120D" w:rsidRDefault="009D3C64" w:rsidP="000A5B80">
            <w:pPr>
              <w:spacing w:after="0"/>
              <w:ind w:left="113" w:right="113"/>
              <w:jc w:val="center"/>
              <w:rPr>
                <w:rFonts w:asciiTheme="minorHAnsi" w:hAnsiTheme="minorHAnsi" w:cstheme="minorHAnsi"/>
                <w:b/>
                <w:bCs/>
                <w:sz w:val="18"/>
                <w:szCs w:val="18"/>
              </w:rPr>
            </w:pPr>
            <w:r w:rsidRPr="005F120D">
              <w:rPr>
                <w:rFonts w:asciiTheme="minorHAnsi" w:hAnsiTheme="minorHAnsi" w:cstheme="minorHAnsi"/>
                <w:b/>
                <w:sz w:val="18"/>
                <w:szCs w:val="18"/>
              </w:rPr>
              <w:t>Program Sub-Components (29)</w:t>
            </w:r>
          </w:p>
        </w:tc>
        <w:tc>
          <w:tcPr>
            <w:tcW w:w="838" w:type="pct"/>
            <w:tcBorders>
              <w:top w:val="double" w:sz="4" w:space="0" w:color="auto"/>
              <w:left w:val="double" w:sz="4" w:space="0" w:color="auto"/>
              <w:bottom w:val="single" w:sz="6" w:space="0" w:color="auto"/>
              <w:right w:val="single" w:sz="6" w:space="0" w:color="auto"/>
            </w:tcBorders>
            <w:shd w:val="clear" w:color="auto" w:fill="DDD9C3" w:themeFill="background2" w:themeFillShade="E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1.1. Each Child Learns</w:t>
            </w:r>
          </w:p>
        </w:tc>
        <w:tc>
          <w:tcPr>
            <w:tcW w:w="869" w:type="pct"/>
            <w:tcBorders>
              <w:top w:val="double" w:sz="4" w:space="0" w:color="auto"/>
              <w:left w:val="single" w:sz="6" w:space="0" w:color="auto"/>
              <w:bottom w:val="single" w:sz="6" w:space="0" w:color="auto"/>
              <w:right w:val="single" w:sz="6" w:space="0" w:color="auto"/>
            </w:tcBorders>
            <w:shd w:val="clear" w:color="auto" w:fill="D6E3BC" w:themeFill="accent3"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2.1.1 Second chance and Alternative Education (NFE)</w:t>
            </w:r>
          </w:p>
        </w:tc>
        <w:tc>
          <w:tcPr>
            <w:tcW w:w="822" w:type="pct"/>
            <w:tcBorders>
              <w:top w:val="double" w:sz="4" w:space="0" w:color="auto"/>
              <w:left w:val="single" w:sz="6" w:space="0" w:color="auto"/>
              <w:bottom w:val="single" w:sz="6" w:space="0" w:color="auto"/>
              <w:right w:val="single" w:sz="6" w:space="0" w:color="auto"/>
            </w:tcBorders>
            <w:shd w:val="clear" w:color="auto" w:fill="EAF1DD" w:themeFill="accent3"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2.2.1 Targeted Stipends</w:t>
            </w:r>
          </w:p>
        </w:tc>
        <w:tc>
          <w:tcPr>
            <w:tcW w:w="788" w:type="pct"/>
            <w:tcBorders>
              <w:top w:val="double" w:sz="4" w:space="0" w:color="auto"/>
              <w:left w:val="single" w:sz="6" w:space="0" w:color="auto"/>
              <w:bottom w:val="single" w:sz="6" w:space="0" w:color="auto"/>
              <w:right w:val="single" w:sz="6" w:space="0" w:color="auto"/>
            </w:tcBorders>
            <w:shd w:val="clear" w:color="auto" w:fill="CCC0D9" w:themeFill="accent4"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3.1.1 Field Level Offices Strengthened</w:t>
            </w:r>
          </w:p>
        </w:tc>
        <w:tc>
          <w:tcPr>
            <w:tcW w:w="831" w:type="pct"/>
            <w:tcBorders>
              <w:top w:val="double" w:sz="4" w:space="0" w:color="auto"/>
              <w:left w:val="single" w:sz="6" w:space="0" w:color="auto"/>
              <w:bottom w:val="single" w:sz="6" w:space="0" w:color="auto"/>
              <w:right w:val="single" w:sz="6" w:space="0" w:color="auto"/>
            </w:tcBorders>
            <w:shd w:val="clear" w:color="auto" w:fill="E6E0EC"/>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3.2.1 Grade 5 PECE Strengthened</w:t>
            </w:r>
          </w:p>
        </w:tc>
        <w:tc>
          <w:tcPr>
            <w:tcW w:w="728" w:type="pct"/>
            <w:tcBorders>
              <w:top w:val="double" w:sz="4" w:space="0" w:color="auto"/>
              <w:left w:val="single" w:sz="6" w:space="0" w:color="auto"/>
              <w:bottom w:val="single" w:sz="6" w:space="0" w:color="auto"/>
              <w:right w:val="double" w:sz="4" w:space="0" w:color="auto"/>
            </w:tcBorders>
            <w:shd w:val="clear" w:color="auto" w:fill="DAEEF3" w:themeFill="accent5"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4.1 PEDP3 Management and Governance</w:t>
            </w:r>
          </w:p>
        </w:tc>
      </w:tr>
      <w:tr w:rsidR="009D3C64" w:rsidRPr="005F120D" w:rsidTr="00C437AA">
        <w:trPr>
          <w:trHeight w:val="489"/>
        </w:trPr>
        <w:tc>
          <w:tcPr>
            <w:tcW w:w="124" w:type="pct"/>
            <w:vMerge/>
            <w:tcBorders>
              <w:left w:val="double" w:sz="4" w:space="0" w:color="auto"/>
              <w:bottom w:val="double" w:sz="4" w:space="0" w:color="auto"/>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single" w:sz="6" w:space="0" w:color="auto"/>
              <w:left w:val="double" w:sz="4" w:space="0" w:color="auto"/>
              <w:bottom w:val="single" w:sz="6" w:space="0" w:color="auto"/>
              <w:right w:val="single" w:sz="6" w:space="0" w:color="auto"/>
            </w:tcBorders>
            <w:shd w:val="clear" w:color="auto" w:fill="DDD9C3" w:themeFill="background2" w:themeFillShade="E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1.2 School and Classroom-based Assessment</w:t>
            </w:r>
          </w:p>
        </w:tc>
        <w:tc>
          <w:tcPr>
            <w:tcW w:w="869" w:type="pct"/>
            <w:tcBorders>
              <w:top w:val="single" w:sz="6" w:space="0" w:color="auto"/>
              <w:left w:val="single" w:sz="6" w:space="0" w:color="auto"/>
              <w:bottom w:val="single" w:sz="6" w:space="0" w:color="auto"/>
              <w:right w:val="single" w:sz="6" w:space="0" w:color="auto"/>
            </w:tcBorders>
            <w:shd w:val="clear" w:color="auto" w:fill="D6E3BC" w:themeFill="accent3"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2.1.2 Pre-Primary Education</w:t>
            </w:r>
          </w:p>
        </w:tc>
        <w:tc>
          <w:tcPr>
            <w:tcW w:w="822" w:type="pct"/>
            <w:tcBorders>
              <w:top w:val="single" w:sz="6" w:space="0" w:color="auto"/>
              <w:left w:val="single" w:sz="6" w:space="0" w:color="auto"/>
              <w:bottom w:val="single" w:sz="6" w:space="0" w:color="auto"/>
              <w:right w:val="single" w:sz="6" w:space="0" w:color="auto"/>
            </w:tcBorders>
            <w:shd w:val="clear" w:color="auto" w:fill="EAF1DD" w:themeFill="accent3"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2.2.2 School Health and School Feeding</w:t>
            </w:r>
          </w:p>
        </w:tc>
        <w:tc>
          <w:tcPr>
            <w:tcW w:w="788" w:type="pct"/>
            <w:tcBorders>
              <w:top w:val="single" w:sz="6" w:space="0" w:color="auto"/>
              <w:left w:val="single" w:sz="6" w:space="0" w:color="auto"/>
              <w:bottom w:val="single" w:sz="6" w:space="0" w:color="auto"/>
              <w:right w:val="single" w:sz="6" w:space="0" w:color="auto"/>
            </w:tcBorders>
            <w:shd w:val="clear" w:color="auto" w:fill="CCC0D9" w:themeFill="accent4"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3.1.2 Decentralized School Management and Governance</w:t>
            </w:r>
          </w:p>
        </w:tc>
        <w:tc>
          <w:tcPr>
            <w:tcW w:w="831" w:type="pct"/>
            <w:tcBorders>
              <w:top w:val="single" w:sz="6" w:space="0" w:color="auto"/>
              <w:left w:val="single" w:sz="6" w:space="0" w:color="auto"/>
              <w:bottom w:val="single" w:sz="6" w:space="0" w:color="auto"/>
              <w:right w:val="single" w:sz="6" w:space="0" w:color="auto"/>
            </w:tcBorders>
            <w:shd w:val="clear" w:color="auto" w:fill="E6E0EC"/>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3.2.2 Teacher Recruitment, Promotion and Deployment</w:t>
            </w:r>
          </w:p>
        </w:tc>
        <w:tc>
          <w:tcPr>
            <w:tcW w:w="728" w:type="pct"/>
            <w:tcBorders>
              <w:top w:val="single" w:sz="6" w:space="0" w:color="auto"/>
              <w:left w:val="single" w:sz="6" w:space="0" w:color="auto"/>
              <w:bottom w:val="single" w:sz="6" w:space="0" w:color="auto"/>
              <w:right w:val="double" w:sz="4" w:space="0" w:color="auto"/>
            </w:tcBorders>
            <w:shd w:val="clear" w:color="auto" w:fill="DAEEF3" w:themeFill="accent5"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4.2 PEDP3 Financial Management</w:t>
            </w:r>
          </w:p>
        </w:tc>
      </w:tr>
      <w:tr w:rsidR="009D3C64" w:rsidRPr="005F120D" w:rsidTr="00C437AA">
        <w:trPr>
          <w:trHeight w:val="489"/>
        </w:trPr>
        <w:tc>
          <w:tcPr>
            <w:tcW w:w="124" w:type="pct"/>
            <w:vMerge/>
            <w:tcBorders>
              <w:left w:val="double" w:sz="4" w:space="0" w:color="auto"/>
              <w:bottom w:val="double" w:sz="4" w:space="0" w:color="auto"/>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single" w:sz="6" w:space="0" w:color="auto"/>
              <w:left w:val="double" w:sz="4" w:space="0" w:color="auto"/>
              <w:bottom w:val="single" w:sz="6" w:space="0" w:color="auto"/>
              <w:right w:val="single" w:sz="6" w:space="0" w:color="auto"/>
            </w:tcBorders>
            <w:shd w:val="clear" w:color="auto" w:fill="DDD9C3" w:themeFill="background2" w:themeFillShade="E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1.3 Curriculum and Textbooks Strengthened</w:t>
            </w:r>
          </w:p>
        </w:tc>
        <w:tc>
          <w:tcPr>
            <w:tcW w:w="869" w:type="pct"/>
            <w:tcBorders>
              <w:top w:val="single" w:sz="6" w:space="0" w:color="auto"/>
              <w:left w:val="single" w:sz="6" w:space="0" w:color="auto"/>
              <w:bottom w:val="single" w:sz="6" w:space="0" w:color="auto"/>
              <w:right w:val="single" w:sz="6" w:space="0" w:color="auto"/>
            </w:tcBorders>
            <w:shd w:val="clear" w:color="auto" w:fill="D6E3BC" w:themeFill="accent3"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2.1.3 Mainstreaming Inclusive Education</w:t>
            </w:r>
          </w:p>
        </w:tc>
        <w:tc>
          <w:tcPr>
            <w:tcW w:w="822" w:type="pct"/>
            <w:tcBorders>
              <w:top w:val="single" w:sz="6" w:space="0" w:color="auto"/>
              <w:left w:val="single" w:sz="6" w:space="0" w:color="auto"/>
              <w:bottom w:val="single" w:sz="6" w:space="0" w:color="auto"/>
              <w:right w:val="single" w:sz="6" w:space="0" w:color="auto"/>
            </w:tcBorders>
            <w:shd w:val="clear" w:color="auto" w:fill="EAF1DD" w:themeFill="accent3"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2.2.3 Needs based School Environment Improvement</w:t>
            </w:r>
          </w:p>
        </w:tc>
        <w:tc>
          <w:tcPr>
            <w:tcW w:w="788" w:type="pct"/>
            <w:tcBorders>
              <w:top w:val="single" w:sz="6" w:space="0" w:color="auto"/>
              <w:left w:val="single" w:sz="6" w:space="0" w:color="auto"/>
              <w:bottom w:val="single" w:sz="6" w:space="0" w:color="auto"/>
              <w:right w:val="single" w:sz="6" w:space="0" w:color="auto"/>
            </w:tcBorders>
            <w:shd w:val="clear" w:color="auto" w:fill="CCC0D9" w:themeFill="accent4"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3.1.3 School Level Leadership Development</w:t>
            </w:r>
          </w:p>
        </w:tc>
        <w:tc>
          <w:tcPr>
            <w:tcW w:w="831" w:type="pct"/>
            <w:tcBorders>
              <w:top w:val="single" w:sz="6" w:space="0" w:color="auto"/>
              <w:left w:val="single" w:sz="6" w:space="0" w:color="auto"/>
              <w:bottom w:val="single" w:sz="6" w:space="0" w:color="auto"/>
              <w:right w:val="single" w:sz="6" w:space="0" w:color="auto"/>
            </w:tcBorders>
            <w:shd w:val="clear" w:color="auto" w:fill="E6E0EC"/>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3.2.3 Annual Primary School Census</w:t>
            </w:r>
          </w:p>
        </w:tc>
        <w:tc>
          <w:tcPr>
            <w:tcW w:w="728" w:type="pct"/>
            <w:tcBorders>
              <w:top w:val="single" w:sz="6" w:space="0" w:color="auto"/>
              <w:left w:val="single" w:sz="6" w:space="0" w:color="auto"/>
              <w:bottom w:val="single" w:sz="6" w:space="0" w:color="auto"/>
              <w:right w:val="double" w:sz="4" w:space="0" w:color="auto"/>
            </w:tcBorders>
            <w:shd w:val="clear" w:color="auto" w:fill="DAEEF3" w:themeFill="accent5"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4.3 Sector Finance</w:t>
            </w:r>
          </w:p>
        </w:tc>
      </w:tr>
      <w:tr w:rsidR="009D3C64" w:rsidRPr="005F120D" w:rsidTr="00C437AA">
        <w:trPr>
          <w:trHeight w:val="489"/>
        </w:trPr>
        <w:tc>
          <w:tcPr>
            <w:tcW w:w="124" w:type="pct"/>
            <w:vMerge/>
            <w:tcBorders>
              <w:left w:val="double" w:sz="4" w:space="0" w:color="auto"/>
              <w:bottom w:val="double" w:sz="4" w:space="0" w:color="auto"/>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single" w:sz="6" w:space="0" w:color="auto"/>
              <w:left w:val="double" w:sz="4" w:space="0" w:color="auto"/>
              <w:bottom w:val="single" w:sz="6" w:space="0" w:color="auto"/>
              <w:right w:val="single" w:sz="6" w:space="0" w:color="auto"/>
            </w:tcBorders>
            <w:shd w:val="clear" w:color="auto" w:fill="DDD9C3" w:themeFill="background2" w:themeFillShade="E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1.4 Production and Distribution of Textbooks</w:t>
            </w:r>
          </w:p>
        </w:tc>
        <w:tc>
          <w:tcPr>
            <w:tcW w:w="869" w:type="pct"/>
            <w:tcBorders>
              <w:top w:val="single" w:sz="6" w:space="0" w:color="auto"/>
              <w:left w:val="single" w:sz="6" w:space="0" w:color="auto"/>
              <w:bottom w:val="single" w:sz="6" w:space="0" w:color="auto"/>
              <w:right w:val="single" w:sz="6" w:space="0" w:color="auto"/>
            </w:tcBorders>
            <w:shd w:val="clear" w:color="auto" w:fill="D6E3BC" w:themeFill="accent3"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2.1.4 Education in Emergencies</w:t>
            </w:r>
          </w:p>
        </w:tc>
        <w:tc>
          <w:tcPr>
            <w:tcW w:w="822" w:type="pct"/>
            <w:tcBorders>
              <w:top w:val="single" w:sz="6" w:space="0" w:color="auto"/>
              <w:left w:val="single" w:sz="6" w:space="0" w:color="auto"/>
              <w:bottom w:val="single" w:sz="6" w:space="0" w:color="auto"/>
              <w:right w:val="single" w:sz="6" w:space="0" w:color="auto"/>
            </w:tcBorders>
            <w:shd w:val="clear" w:color="auto" w:fill="EAF1DD" w:themeFill="accent3"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2.2.4 Needs based Infrastructure Development</w:t>
            </w:r>
          </w:p>
        </w:tc>
        <w:tc>
          <w:tcPr>
            <w:tcW w:w="788" w:type="pct"/>
            <w:tcBorders>
              <w:top w:val="single" w:sz="6" w:space="0" w:color="auto"/>
              <w:left w:val="single" w:sz="6" w:space="0" w:color="auto"/>
              <w:bottom w:val="single" w:sz="6" w:space="0" w:color="auto"/>
              <w:right w:val="single" w:sz="6" w:space="0" w:color="auto"/>
            </w:tcBorders>
            <w:shd w:val="clear" w:color="auto" w:fill="CCC0D9" w:themeFill="accent4"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3.1.4 Organizational Review and Strengthening</w:t>
            </w:r>
          </w:p>
        </w:tc>
        <w:tc>
          <w:tcPr>
            <w:tcW w:w="831" w:type="pct"/>
            <w:tcBorders>
              <w:top w:val="single" w:sz="6" w:space="0" w:color="auto"/>
              <w:left w:val="single" w:sz="6" w:space="0" w:color="auto"/>
              <w:bottom w:val="single" w:sz="6" w:space="0" w:color="auto"/>
              <w:right w:val="single" w:sz="6" w:space="0" w:color="auto"/>
            </w:tcBorders>
            <w:shd w:val="clear" w:color="auto" w:fill="E6E0EC"/>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3.2.4 National Student Assessment</w:t>
            </w:r>
          </w:p>
        </w:tc>
        <w:tc>
          <w:tcPr>
            <w:tcW w:w="728" w:type="pct"/>
            <w:tcBorders>
              <w:top w:val="single" w:sz="6" w:space="0" w:color="auto"/>
              <w:left w:val="single" w:sz="6" w:space="0" w:color="auto"/>
              <w:bottom w:val="single" w:sz="6" w:space="0" w:color="auto"/>
              <w:right w:val="double" w:sz="4" w:space="0" w:color="auto"/>
            </w:tcBorders>
            <w:shd w:val="clear" w:color="auto" w:fill="DAEEF3" w:themeFill="accent5"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4.4 Strengthening Monitoring Functions</w:t>
            </w:r>
          </w:p>
        </w:tc>
      </w:tr>
      <w:tr w:rsidR="009D3C64" w:rsidRPr="005F120D" w:rsidTr="00C437AA">
        <w:trPr>
          <w:trHeight w:val="242"/>
        </w:trPr>
        <w:tc>
          <w:tcPr>
            <w:tcW w:w="124" w:type="pct"/>
            <w:vMerge/>
            <w:tcBorders>
              <w:left w:val="double" w:sz="4" w:space="0" w:color="auto"/>
              <w:bottom w:val="double" w:sz="4" w:space="0" w:color="auto"/>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single" w:sz="6" w:space="0" w:color="auto"/>
              <w:left w:val="double" w:sz="4" w:space="0" w:color="auto"/>
              <w:bottom w:val="single" w:sz="6" w:space="0" w:color="auto"/>
              <w:right w:val="single" w:sz="6" w:space="0" w:color="auto"/>
            </w:tcBorders>
            <w:shd w:val="clear" w:color="auto" w:fill="DDD9C3" w:themeFill="background2" w:themeFillShade="E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1.5 ICT in Education</w:t>
            </w:r>
          </w:p>
        </w:tc>
        <w:tc>
          <w:tcPr>
            <w:tcW w:w="869" w:type="pct"/>
            <w:tcBorders>
              <w:top w:val="single" w:sz="6" w:space="0" w:color="auto"/>
              <w:left w:val="single" w:sz="6" w:space="0" w:color="auto"/>
              <w:bottom w:val="single" w:sz="6" w:space="0" w:color="auto"/>
              <w:right w:val="single" w:sz="6" w:space="0" w:color="auto"/>
            </w:tcBorders>
            <w:shd w:val="clear" w:color="auto" w:fill="D6E3BC" w:themeFill="accent3"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2.1.5 Communications and social mobilization</w:t>
            </w:r>
          </w:p>
        </w:tc>
        <w:tc>
          <w:tcPr>
            <w:tcW w:w="822" w:type="pct"/>
            <w:tcBorders>
              <w:top w:val="single" w:sz="6" w:space="0" w:color="auto"/>
              <w:left w:val="single" w:sz="6" w:space="0" w:color="auto"/>
              <w:bottom w:val="single" w:sz="6" w:space="0" w:color="auto"/>
              <w:right w:val="single" w:sz="6" w:space="0" w:color="auto"/>
            </w:tcBorders>
            <w:shd w:val="clear" w:color="auto" w:fill="EAF1DD" w:themeFill="accent3"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p>
        </w:tc>
        <w:tc>
          <w:tcPr>
            <w:tcW w:w="788" w:type="pct"/>
            <w:tcBorders>
              <w:top w:val="single" w:sz="6" w:space="0" w:color="auto"/>
              <w:left w:val="single" w:sz="6" w:space="0" w:color="auto"/>
              <w:bottom w:val="single" w:sz="6" w:space="0" w:color="auto"/>
              <w:right w:val="single" w:sz="6" w:space="0" w:color="auto"/>
            </w:tcBorders>
            <w:shd w:val="clear" w:color="auto" w:fill="CCC0D9" w:themeFill="accent4"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p>
        </w:tc>
        <w:tc>
          <w:tcPr>
            <w:tcW w:w="831" w:type="pct"/>
            <w:tcBorders>
              <w:top w:val="single" w:sz="6" w:space="0" w:color="auto"/>
              <w:left w:val="single" w:sz="6" w:space="0" w:color="auto"/>
              <w:bottom w:val="single" w:sz="6" w:space="0" w:color="auto"/>
              <w:right w:val="single" w:sz="6" w:space="0" w:color="auto"/>
            </w:tcBorders>
            <w:shd w:val="clear" w:color="auto" w:fill="E6E0EC"/>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p>
        </w:tc>
        <w:tc>
          <w:tcPr>
            <w:tcW w:w="728" w:type="pct"/>
            <w:tcBorders>
              <w:top w:val="single" w:sz="6" w:space="0" w:color="auto"/>
              <w:left w:val="single" w:sz="6" w:space="0" w:color="auto"/>
              <w:bottom w:val="single" w:sz="6" w:space="0" w:color="auto"/>
              <w:right w:val="double" w:sz="4" w:space="0" w:color="auto"/>
            </w:tcBorders>
            <w:shd w:val="clear" w:color="auto" w:fill="DAEEF3" w:themeFill="accent5"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4.5 Human Resource Development</w:t>
            </w:r>
          </w:p>
        </w:tc>
      </w:tr>
      <w:tr w:rsidR="009D3C64" w:rsidRPr="005F120D" w:rsidTr="00C437AA">
        <w:trPr>
          <w:trHeight w:val="489"/>
        </w:trPr>
        <w:tc>
          <w:tcPr>
            <w:tcW w:w="124" w:type="pct"/>
            <w:vMerge/>
            <w:tcBorders>
              <w:left w:val="double" w:sz="4" w:space="0" w:color="auto"/>
              <w:bottom w:val="double" w:sz="4" w:space="0" w:color="auto"/>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single" w:sz="6" w:space="0" w:color="auto"/>
              <w:left w:val="double" w:sz="4" w:space="0" w:color="auto"/>
              <w:bottom w:val="double" w:sz="4" w:space="0" w:color="auto"/>
              <w:right w:val="single" w:sz="6" w:space="0" w:color="auto"/>
            </w:tcBorders>
            <w:shd w:val="clear" w:color="auto" w:fill="DDD9C3" w:themeFill="background2" w:themeFillShade="E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1.6 Teacher Education and Development</w:t>
            </w:r>
          </w:p>
        </w:tc>
        <w:tc>
          <w:tcPr>
            <w:tcW w:w="869" w:type="pct"/>
            <w:tcBorders>
              <w:top w:val="single" w:sz="6" w:space="0" w:color="auto"/>
              <w:left w:val="single" w:sz="6" w:space="0" w:color="auto"/>
              <w:bottom w:val="double" w:sz="4" w:space="0" w:color="auto"/>
              <w:right w:val="single" w:sz="6" w:space="0" w:color="auto"/>
            </w:tcBorders>
            <w:shd w:val="clear" w:color="auto" w:fill="D6E3BC" w:themeFill="accent3"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p>
        </w:tc>
        <w:tc>
          <w:tcPr>
            <w:tcW w:w="822" w:type="pct"/>
            <w:tcBorders>
              <w:top w:val="single" w:sz="6" w:space="0" w:color="auto"/>
              <w:left w:val="single" w:sz="6" w:space="0" w:color="auto"/>
              <w:bottom w:val="double" w:sz="4" w:space="0" w:color="auto"/>
              <w:right w:val="single" w:sz="6" w:space="0" w:color="auto"/>
            </w:tcBorders>
            <w:shd w:val="clear" w:color="auto" w:fill="EAF1DD" w:themeFill="accent3"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p>
        </w:tc>
        <w:tc>
          <w:tcPr>
            <w:tcW w:w="788" w:type="pct"/>
            <w:tcBorders>
              <w:top w:val="single" w:sz="6" w:space="0" w:color="auto"/>
              <w:left w:val="single" w:sz="6" w:space="0" w:color="auto"/>
              <w:bottom w:val="double" w:sz="4" w:space="0" w:color="auto"/>
              <w:right w:val="single" w:sz="6" w:space="0" w:color="auto"/>
            </w:tcBorders>
            <w:shd w:val="clear" w:color="auto" w:fill="CCC0D9" w:themeFill="accent4" w:themeFillTint="66"/>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p>
        </w:tc>
        <w:tc>
          <w:tcPr>
            <w:tcW w:w="831" w:type="pct"/>
            <w:tcBorders>
              <w:top w:val="single" w:sz="6" w:space="0" w:color="auto"/>
              <w:left w:val="single" w:sz="6" w:space="0" w:color="auto"/>
              <w:bottom w:val="double" w:sz="4" w:space="0" w:color="auto"/>
              <w:right w:val="single" w:sz="6" w:space="0" w:color="auto"/>
            </w:tcBorders>
            <w:shd w:val="clear" w:color="auto" w:fill="E6E0EC"/>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p>
        </w:tc>
        <w:tc>
          <w:tcPr>
            <w:tcW w:w="728" w:type="pct"/>
            <w:tcBorders>
              <w:top w:val="single" w:sz="6" w:space="0" w:color="auto"/>
              <w:left w:val="single" w:sz="6" w:space="0" w:color="auto"/>
              <w:bottom w:val="double" w:sz="4" w:space="0" w:color="auto"/>
              <w:right w:val="double" w:sz="4" w:space="0" w:color="auto"/>
            </w:tcBorders>
            <w:shd w:val="clear" w:color="auto" w:fill="DAEEF3" w:themeFill="accent5" w:themeFillTint="33"/>
            <w:tcMar>
              <w:top w:w="15" w:type="dxa"/>
              <w:left w:w="62" w:type="dxa"/>
              <w:bottom w:w="0" w:type="dxa"/>
              <w:right w:w="62" w:type="dxa"/>
            </w:tcMar>
            <w:vAlign w:val="cente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sz w:val="16"/>
                <w:szCs w:val="16"/>
              </w:rPr>
              <w:t>4.6 Public Private Partnerships</w:t>
            </w:r>
          </w:p>
        </w:tc>
      </w:tr>
      <w:tr w:rsidR="009D3C64" w:rsidRPr="005F120D" w:rsidTr="00C437AA">
        <w:trPr>
          <w:trHeight w:val="900"/>
        </w:trPr>
        <w:tc>
          <w:tcPr>
            <w:tcW w:w="124" w:type="pct"/>
            <w:tcBorders>
              <w:top w:val="double" w:sz="4" w:space="0" w:color="auto"/>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double" w:sz="4" w:space="0" w:color="auto"/>
              <w:left w:val="double" w:sz="4" w:space="0" w:color="auto"/>
              <w:bottom w:val="double" w:sz="4" w:space="0" w:color="auto"/>
              <w:right w:val="single" w:sz="6" w:space="0" w:color="auto"/>
            </w:tcBorders>
            <w:shd w:val="clear" w:color="auto" w:fill="DDD9C3" w:themeFill="background2" w:themeFillShade="E6"/>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6600"/>
                <w:sz w:val="16"/>
                <w:szCs w:val="16"/>
              </w:rPr>
            </w:pPr>
            <w:r w:rsidRPr="005F120D">
              <w:rPr>
                <w:rFonts w:asciiTheme="minorHAnsi" w:hAnsiTheme="minorHAnsi" w:cstheme="minorHAnsi"/>
                <w:b/>
                <w:bCs/>
                <w:color w:val="006600"/>
                <w:sz w:val="16"/>
                <w:szCs w:val="16"/>
              </w:rPr>
              <w:t>Anticipated Outcome:</w:t>
            </w:r>
            <w:r w:rsidRPr="005F120D">
              <w:rPr>
                <w:rFonts w:asciiTheme="minorHAnsi" w:hAnsiTheme="minorHAnsi" w:cstheme="minorHAnsi"/>
                <w:color w:val="006600"/>
                <w:sz w:val="16"/>
                <w:szCs w:val="16"/>
              </w:rPr>
              <w:t xml:space="preserve"> All children acquire expected grade-wise and subject-wise learning outcomes, or competencies, in the classroom</w:t>
            </w:r>
          </w:p>
        </w:tc>
        <w:tc>
          <w:tcPr>
            <w:tcW w:w="869" w:type="pct"/>
            <w:tcBorders>
              <w:top w:val="double" w:sz="4" w:space="0" w:color="auto"/>
              <w:left w:val="single" w:sz="6" w:space="0" w:color="auto"/>
              <w:bottom w:val="double" w:sz="4" w:space="0" w:color="auto"/>
              <w:right w:val="single" w:sz="6" w:space="0" w:color="auto"/>
            </w:tcBorders>
            <w:shd w:val="clear" w:color="auto" w:fill="D6E3BC" w:themeFill="accent3" w:themeFillTint="66"/>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6600"/>
                <w:sz w:val="16"/>
                <w:szCs w:val="16"/>
              </w:rPr>
            </w:pPr>
            <w:r w:rsidRPr="005F120D">
              <w:rPr>
                <w:rFonts w:asciiTheme="minorHAnsi" w:hAnsiTheme="minorHAnsi" w:cstheme="minorHAnsi"/>
                <w:b/>
                <w:bCs/>
                <w:color w:val="006600"/>
                <w:sz w:val="16"/>
                <w:szCs w:val="16"/>
              </w:rPr>
              <w:t>Anticipated Outcome:</w:t>
            </w:r>
            <w:r w:rsidRPr="005F120D">
              <w:rPr>
                <w:rFonts w:asciiTheme="minorHAnsi" w:hAnsiTheme="minorHAnsi" w:cstheme="minorHAnsi"/>
                <w:color w:val="006600"/>
                <w:sz w:val="16"/>
                <w:szCs w:val="16"/>
              </w:rPr>
              <w:t xml:space="preserve"> All children participate in pre- and primary education in all types of school</w:t>
            </w:r>
            <w:r w:rsidR="0089702D">
              <w:rPr>
                <w:rFonts w:asciiTheme="minorHAnsi" w:hAnsiTheme="minorHAnsi" w:cstheme="minorHAnsi"/>
                <w:color w:val="006600"/>
                <w:sz w:val="16"/>
                <w:szCs w:val="16"/>
              </w:rPr>
              <w:t xml:space="preserve">s (formal, non-formal, </w:t>
            </w:r>
            <w:r w:rsidR="00685E7D">
              <w:rPr>
                <w:rFonts w:asciiTheme="minorHAnsi" w:hAnsiTheme="minorHAnsi" w:cstheme="minorHAnsi"/>
                <w:color w:val="006600"/>
                <w:sz w:val="16"/>
                <w:szCs w:val="16"/>
              </w:rPr>
              <w:t>M</w:t>
            </w:r>
            <w:r w:rsidR="0089702D">
              <w:rPr>
                <w:rFonts w:asciiTheme="minorHAnsi" w:hAnsiTheme="minorHAnsi" w:cstheme="minorHAnsi"/>
                <w:color w:val="006600"/>
                <w:sz w:val="16"/>
                <w:szCs w:val="16"/>
              </w:rPr>
              <w:t>adrasha</w:t>
            </w:r>
            <w:r w:rsidRPr="005F120D">
              <w:rPr>
                <w:rFonts w:asciiTheme="minorHAnsi" w:hAnsiTheme="minorHAnsi" w:cstheme="minorHAnsi"/>
                <w:color w:val="006600"/>
                <w:sz w:val="16"/>
                <w:szCs w:val="16"/>
              </w:rPr>
              <w:t>)</w:t>
            </w:r>
          </w:p>
        </w:tc>
        <w:tc>
          <w:tcPr>
            <w:tcW w:w="822" w:type="pct"/>
            <w:tcBorders>
              <w:top w:val="double" w:sz="4" w:space="0" w:color="auto"/>
              <w:left w:val="single" w:sz="6" w:space="0" w:color="auto"/>
              <w:bottom w:val="double" w:sz="4" w:space="0" w:color="auto"/>
              <w:right w:val="single" w:sz="6" w:space="0" w:color="auto"/>
            </w:tcBorders>
            <w:shd w:val="clear" w:color="auto" w:fill="EAF1DD" w:themeFill="accent3" w:themeFillTint="33"/>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6600"/>
                <w:sz w:val="16"/>
                <w:szCs w:val="16"/>
              </w:rPr>
            </w:pPr>
            <w:r w:rsidRPr="005F120D">
              <w:rPr>
                <w:rFonts w:asciiTheme="minorHAnsi" w:hAnsiTheme="minorHAnsi" w:cstheme="minorHAnsi"/>
                <w:b/>
                <w:bCs/>
                <w:color w:val="006600"/>
                <w:sz w:val="16"/>
                <w:szCs w:val="16"/>
              </w:rPr>
              <w:t>Anticipated Outcome:</w:t>
            </w:r>
            <w:r w:rsidRPr="005F120D">
              <w:rPr>
                <w:rFonts w:asciiTheme="minorHAnsi" w:hAnsiTheme="minorHAnsi" w:cstheme="minorHAnsi"/>
                <w:color w:val="006600"/>
                <w:sz w:val="16"/>
                <w:szCs w:val="16"/>
              </w:rPr>
              <w:t xml:space="preserve"> Regional and other disparities reduced in terms of participation, completion and learning outcomes</w:t>
            </w:r>
          </w:p>
        </w:tc>
        <w:tc>
          <w:tcPr>
            <w:tcW w:w="788" w:type="pct"/>
            <w:tcBorders>
              <w:top w:val="double" w:sz="4" w:space="0" w:color="auto"/>
              <w:left w:val="single" w:sz="6" w:space="0" w:color="auto"/>
              <w:bottom w:val="double" w:sz="4" w:space="0" w:color="auto"/>
              <w:right w:val="single" w:sz="6" w:space="0" w:color="auto"/>
            </w:tcBorders>
            <w:shd w:val="clear" w:color="auto" w:fill="CCC0D9" w:themeFill="accent4" w:themeFillTint="66"/>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6600"/>
                <w:sz w:val="16"/>
                <w:szCs w:val="16"/>
              </w:rPr>
            </w:pPr>
            <w:r w:rsidRPr="005F120D">
              <w:rPr>
                <w:rFonts w:asciiTheme="minorHAnsi" w:hAnsiTheme="minorHAnsi" w:cstheme="minorHAnsi"/>
                <w:b/>
                <w:bCs/>
                <w:color w:val="006600"/>
                <w:sz w:val="16"/>
                <w:szCs w:val="16"/>
              </w:rPr>
              <w:t xml:space="preserve">Anticipated Outcome: </w:t>
            </w:r>
            <w:r w:rsidRPr="005F120D">
              <w:rPr>
                <w:rFonts w:asciiTheme="minorHAnsi" w:hAnsiTheme="minorHAnsi" w:cstheme="minorHAnsi"/>
                <w:color w:val="006600"/>
                <w:sz w:val="16"/>
                <w:szCs w:val="16"/>
              </w:rPr>
              <w:t>Upazila and school level planning decentralized</w:t>
            </w:r>
          </w:p>
        </w:tc>
        <w:tc>
          <w:tcPr>
            <w:tcW w:w="831" w:type="pct"/>
            <w:tcBorders>
              <w:top w:val="double" w:sz="4" w:space="0" w:color="auto"/>
              <w:left w:val="single" w:sz="6" w:space="0" w:color="auto"/>
              <w:bottom w:val="double" w:sz="4" w:space="0" w:color="auto"/>
              <w:right w:val="single" w:sz="6" w:space="0" w:color="auto"/>
            </w:tcBorders>
            <w:shd w:val="clear" w:color="auto" w:fill="E6E0EC"/>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6600"/>
                <w:sz w:val="16"/>
                <w:szCs w:val="16"/>
              </w:rPr>
            </w:pPr>
            <w:r w:rsidRPr="005F120D">
              <w:rPr>
                <w:rFonts w:asciiTheme="minorHAnsi" w:hAnsiTheme="minorHAnsi" w:cstheme="minorHAnsi"/>
                <w:b/>
                <w:bCs/>
                <w:color w:val="006600"/>
                <w:sz w:val="16"/>
                <w:szCs w:val="16"/>
              </w:rPr>
              <w:t>Outcome:</w:t>
            </w:r>
            <w:r w:rsidRPr="005F120D">
              <w:rPr>
                <w:rFonts w:asciiTheme="minorHAnsi" w:hAnsiTheme="minorHAnsi" w:cstheme="minorHAnsi"/>
                <w:color w:val="006600"/>
                <w:sz w:val="16"/>
                <w:szCs w:val="16"/>
              </w:rPr>
              <w:t xml:space="preserve"> Increased effectiveness of budget allocation</w:t>
            </w:r>
          </w:p>
        </w:tc>
        <w:tc>
          <w:tcPr>
            <w:tcW w:w="728" w:type="pct"/>
            <w:tcBorders>
              <w:top w:val="double" w:sz="4" w:space="0" w:color="auto"/>
              <w:left w:val="single" w:sz="6" w:space="0" w:color="auto"/>
              <w:bottom w:val="double" w:sz="4" w:space="0" w:color="auto"/>
              <w:right w:val="double" w:sz="4" w:space="0" w:color="auto"/>
            </w:tcBorders>
            <w:shd w:val="clear" w:color="auto" w:fill="DAEEF3" w:themeFill="accent5" w:themeFillTint="33"/>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6600"/>
                <w:sz w:val="16"/>
                <w:szCs w:val="16"/>
              </w:rPr>
            </w:pPr>
            <w:r w:rsidRPr="005F120D">
              <w:rPr>
                <w:rFonts w:asciiTheme="minorHAnsi" w:hAnsiTheme="minorHAnsi" w:cstheme="minorHAnsi"/>
                <w:b/>
                <w:bCs/>
                <w:color w:val="006600"/>
                <w:sz w:val="16"/>
                <w:szCs w:val="16"/>
              </w:rPr>
              <w:t>Outcomes:</w:t>
            </w:r>
            <w:r w:rsidRPr="005F120D">
              <w:rPr>
                <w:rFonts w:asciiTheme="minorHAnsi" w:hAnsiTheme="minorHAnsi" w:cstheme="minorHAnsi"/>
                <w:color w:val="006600"/>
                <w:sz w:val="16"/>
                <w:szCs w:val="16"/>
              </w:rPr>
              <w:t xml:space="preserve"> Effective program planning and management</w:t>
            </w:r>
          </w:p>
          <w:p w:rsidR="009D3C64" w:rsidRPr="005F120D" w:rsidRDefault="009D3C64" w:rsidP="000A5B80">
            <w:pPr>
              <w:spacing w:after="0"/>
              <w:rPr>
                <w:rFonts w:asciiTheme="minorHAnsi" w:hAnsiTheme="minorHAnsi" w:cstheme="minorHAnsi"/>
                <w:color w:val="006600"/>
                <w:sz w:val="16"/>
                <w:szCs w:val="16"/>
              </w:rPr>
            </w:pPr>
          </w:p>
        </w:tc>
      </w:tr>
      <w:tr w:rsidR="009D3C64" w:rsidRPr="005F120D" w:rsidTr="00C437AA">
        <w:trPr>
          <w:trHeight w:val="1935"/>
        </w:trPr>
        <w:tc>
          <w:tcPr>
            <w:tcW w:w="124" w:type="pct"/>
            <w:tcBorders>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double" w:sz="4" w:space="0" w:color="auto"/>
              <w:left w:val="double" w:sz="4" w:space="0" w:color="auto"/>
              <w:bottom w:val="double" w:sz="4" w:space="0" w:color="auto"/>
              <w:right w:val="single" w:sz="6" w:space="0" w:color="auto"/>
            </w:tcBorders>
            <w:shd w:val="clear" w:color="auto" w:fill="DDD9C3" w:themeFill="background2" w:themeFillShade="E6"/>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00FF"/>
                <w:sz w:val="16"/>
                <w:szCs w:val="16"/>
              </w:rPr>
            </w:pPr>
            <w:r w:rsidRPr="005F120D">
              <w:rPr>
                <w:rFonts w:asciiTheme="minorHAnsi" w:hAnsiTheme="minorHAnsi" w:cstheme="minorHAnsi"/>
                <w:b/>
                <w:bCs/>
                <w:color w:val="0000FF"/>
                <w:sz w:val="16"/>
                <w:szCs w:val="16"/>
              </w:rPr>
              <w:t>Reforms:</w:t>
            </w:r>
            <w:r w:rsidRPr="005F120D">
              <w:rPr>
                <w:rFonts w:asciiTheme="minorHAnsi" w:hAnsiTheme="minorHAnsi" w:cstheme="minorHAnsi"/>
                <w:color w:val="0000FF"/>
                <w:sz w:val="16"/>
                <w:szCs w:val="16"/>
              </w:rPr>
              <w:t xml:space="preserve"> Fresh pedagogies, teachers accountable for each child’s learning, revised curriculum and textbooks, classroom and school-based assessment, teacher pre-induction training upgraded to Diploma in Education</w:t>
            </w:r>
          </w:p>
        </w:tc>
        <w:tc>
          <w:tcPr>
            <w:tcW w:w="869" w:type="pct"/>
            <w:tcBorders>
              <w:top w:val="double" w:sz="4" w:space="0" w:color="auto"/>
              <w:left w:val="single" w:sz="6" w:space="0" w:color="auto"/>
              <w:bottom w:val="double" w:sz="4" w:space="0" w:color="auto"/>
              <w:right w:val="single" w:sz="6" w:space="0" w:color="auto"/>
            </w:tcBorders>
            <w:shd w:val="clear" w:color="auto" w:fill="D6E3BC" w:themeFill="accent3" w:themeFillTint="66"/>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00FF"/>
                <w:sz w:val="16"/>
                <w:szCs w:val="16"/>
              </w:rPr>
            </w:pPr>
            <w:r w:rsidRPr="005F120D">
              <w:rPr>
                <w:rFonts w:asciiTheme="minorHAnsi" w:hAnsiTheme="minorHAnsi" w:cstheme="minorHAnsi"/>
                <w:b/>
                <w:bCs/>
                <w:color w:val="0000FF"/>
                <w:sz w:val="16"/>
                <w:szCs w:val="16"/>
              </w:rPr>
              <w:t>Reforms:</w:t>
            </w:r>
            <w:r w:rsidRPr="005F120D">
              <w:rPr>
                <w:rFonts w:asciiTheme="minorHAnsi" w:hAnsiTheme="minorHAnsi" w:cstheme="minorHAnsi"/>
                <w:color w:val="0000FF"/>
                <w:sz w:val="16"/>
                <w:szCs w:val="16"/>
              </w:rPr>
              <w:t xml:space="preserve"> One year pre-primary education through GPS and NNGPS; equivalency of formal and non-formal education; broadening the concept and mainstreaming inclusive education; providing education in emergencies and disasters; improving communications</w:t>
            </w:r>
          </w:p>
        </w:tc>
        <w:tc>
          <w:tcPr>
            <w:tcW w:w="822" w:type="pct"/>
            <w:tcBorders>
              <w:top w:val="double" w:sz="4" w:space="0" w:color="auto"/>
              <w:left w:val="single" w:sz="6" w:space="0" w:color="auto"/>
              <w:bottom w:val="double" w:sz="4" w:space="0" w:color="auto"/>
              <w:right w:val="single" w:sz="6" w:space="0" w:color="auto"/>
            </w:tcBorders>
            <w:shd w:val="clear" w:color="auto" w:fill="EAF1DD" w:themeFill="accent3" w:themeFillTint="33"/>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00FF"/>
                <w:sz w:val="16"/>
                <w:szCs w:val="16"/>
              </w:rPr>
            </w:pPr>
            <w:r w:rsidRPr="005F120D">
              <w:rPr>
                <w:rFonts w:asciiTheme="minorHAnsi" w:hAnsiTheme="minorHAnsi" w:cstheme="minorHAnsi"/>
                <w:b/>
                <w:bCs/>
                <w:color w:val="0000FF"/>
                <w:sz w:val="16"/>
                <w:szCs w:val="16"/>
              </w:rPr>
              <w:t>Reforms:</w:t>
            </w:r>
            <w:r w:rsidRPr="005F120D">
              <w:rPr>
                <w:rFonts w:asciiTheme="minorHAnsi" w:hAnsiTheme="minorHAnsi" w:cstheme="minorHAnsi"/>
                <w:color w:val="0000FF"/>
                <w:sz w:val="16"/>
                <w:szCs w:val="16"/>
              </w:rPr>
              <w:t xml:space="preserve"> Reducing overcrowded classrooms through needs based infrastructure development; providing sanitation and water to schools on a needs basis, providing school health and school feeding programs; providing stipends to the poorest children</w:t>
            </w:r>
          </w:p>
        </w:tc>
        <w:tc>
          <w:tcPr>
            <w:tcW w:w="788" w:type="pct"/>
            <w:tcBorders>
              <w:top w:val="double" w:sz="4" w:space="0" w:color="auto"/>
              <w:left w:val="single" w:sz="6" w:space="0" w:color="auto"/>
              <w:bottom w:val="double" w:sz="4" w:space="0" w:color="auto"/>
              <w:right w:val="single" w:sz="6" w:space="0" w:color="auto"/>
            </w:tcBorders>
            <w:shd w:val="clear" w:color="auto" w:fill="CCC0D9" w:themeFill="accent4" w:themeFillTint="66"/>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00FF"/>
                <w:sz w:val="16"/>
                <w:szCs w:val="16"/>
              </w:rPr>
            </w:pPr>
            <w:r w:rsidRPr="005F120D">
              <w:rPr>
                <w:rFonts w:asciiTheme="minorHAnsi" w:hAnsiTheme="minorHAnsi" w:cstheme="minorHAnsi"/>
                <w:color w:val="0000FF"/>
                <w:sz w:val="16"/>
                <w:szCs w:val="16"/>
              </w:rPr>
              <w:t>Reforms: School level leadership development; field offices strengthened; increased decentralization of school management; mainstreaming school and Upazila grants initiative; strengthening capacity at central level.</w:t>
            </w:r>
          </w:p>
        </w:tc>
        <w:tc>
          <w:tcPr>
            <w:tcW w:w="831" w:type="pct"/>
            <w:tcBorders>
              <w:top w:val="double" w:sz="4" w:space="0" w:color="auto"/>
              <w:left w:val="single" w:sz="6" w:space="0" w:color="auto"/>
              <w:bottom w:val="double" w:sz="4" w:space="0" w:color="auto"/>
              <w:right w:val="single" w:sz="6" w:space="0" w:color="auto"/>
            </w:tcBorders>
            <w:shd w:val="clear" w:color="auto" w:fill="E6E0EC"/>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00FF"/>
                <w:sz w:val="16"/>
                <w:szCs w:val="16"/>
              </w:rPr>
            </w:pPr>
            <w:r w:rsidRPr="005F120D">
              <w:rPr>
                <w:rFonts w:asciiTheme="minorHAnsi" w:hAnsiTheme="minorHAnsi" w:cstheme="minorHAnsi"/>
                <w:color w:val="0000FF"/>
                <w:sz w:val="16"/>
                <w:szCs w:val="16"/>
              </w:rPr>
              <w:t>Reforms: Strengthening Grade 5 Primary Education Completion Examination (Grade 5 PECE), the annual primary school census, and the national student assessment systems; strengthening systems for teacher recruitment, deployment and promotion</w:t>
            </w:r>
          </w:p>
        </w:tc>
        <w:tc>
          <w:tcPr>
            <w:tcW w:w="728" w:type="pct"/>
            <w:tcBorders>
              <w:top w:val="double" w:sz="4" w:space="0" w:color="auto"/>
              <w:left w:val="single" w:sz="6" w:space="0" w:color="auto"/>
              <w:bottom w:val="double" w:sz="4" w:space="0" w:color="auto"/>
              <w:right w:val="double" w:sz="4" w:space="0" w:color="auto"/>
            </w:tcBorders>
            <w:shd w:val="clear" w:color="auto" w:fill="DAEEF3" w:themeFill="accent5" w:themeFillTint="33"/>
            <w:tcMar>
              <w:top w:w="15" w:type="dxa"/>
              <w:left w:w="108" w:type="dxa"/>
              <w:bottom w:w="0" w:type="dxa"/>
              <w:right w:w="108" w:type="dxa"/>
            </w:tcMar>
          </w:tcPr>
          <w:p w:rsidR="009D3C64" w:rsidRPr="005F120D" w:rsidRDefault="009D3C64" w:rsidP="000A5B80">
            <w:pPr>
              <w:spacing w:after="0"/>
              <w:rPr>
                <w:rFonts w:asciiTheme="minorHAnsi" w:hAnsiTheme="minorHAnsi" w:cstheme="minorHAnsi"/>
                <w:color w:val="0000FF"/>
                <w:sz w:val="16"/>
                <w:szCs w:val="16"/>
              </w:rPr>
            </w:pPr>
            <w:r w:rsidRPr="005F120D">
              <w:rPr>
                <w:rFonts w:asciiTheme="minorHAnsi" w:hAnsiTheme="minorHAnsi" w:cstheme="minorHAnsi"/>
                <w:b/>
                <w:bCs/>
                <w:color w:val="0000FF"/>
                <w:sz w:val="16"/>
                <w:szCs w:val="16"/>
              </w:rPr>
              <w:t>Reforms:</w:t>
            </w:r>
            <w:r w:rsidRPr="005F120D">
              <w:rPr>
                <w:rFonts w:asciiTheme="minorHAnsi" w:hAnsiTheme="minorHAnsi" w:cstheme="minorHAnsi"/>
                <w:color w:val="0000FF"/>
                <w:sz w:val="16"/>
                <w:szCs w:val="16"/>
              </w:rPr>
              <w:t xml:space="preserve"> Strengthening results based management; formalizing and making greater use of public-private partnerships; assuring adequate sector finance</w:t>
            </w:r>
          </w:p>
          <w:p w:rsidR="009D3C64" w:rsidRPr="005F120D" w:rsidRDefault="009D3C64" w:rsidP="000A5B80">
            <w:pPr>
              <w:spacing w:after="0"/>
              <w:rPr>
                <w:rFonts w:asciiTheme="minorHAnsi" w:hAnsiTheme="minorHAnsi" w:cstheme="minorHAnsi"/>
                <w:color w:val="0000FF"/>
                <w:sz w:val="16"/>
                <w:szCs w:val="16"/>
              </w:rPr>
            </w:pPr>
          </w:p>
          <w:p w:rsidR="009D3C64" w:rsidRPr="005F120D" w:rsidRDefault="009D3C64" w:rsidP="000A5B80">
            <w:pPr>
              <w:spacing w:after="0"/>
              <w:rPr>
                <w:rFonts w:asciiTheme="minorHAnsi" w:hAnsiTheme="minorHAnsi" w:cstheme="minorHAnsi"/>
                <w:color w:val="0000FF"/>
                <w:sz w:val="16"/>
                <w:szCs w:val="16"/>
              </w:rPr>
            </w:pPr>
          </w:p>
        </w:tc>
      </w:tr>
      <w:tr w:rsidR="009D3C64" w:rsidRPr="005F120D" w:rsidTr="00C437AA">
        <w:trPr>
          <w:trHeight w:val="489"/>
        </w:trPr>
        <w:tc>
          <w:tcPr>
            <w:tcW w:w="124" w:type="pct"/>
            <w:tcBorders>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double" w:sz="4" w:space="0" w:color="auto"/>
              <w:left w:val="double" w:sz="4" w:space="0" w:color="auto"/>
              <w:bottom w:val="single" w:sz="6" w:space="0" w:color="auto"/>
              <w:right w:val="single" w:sz="6" w:space="0" w:color="auto"/>
            </w:tcBorders>
            <w:shd w:val="clear" w:color="auto" w:fill="DDD9C3" w:themeFill="background2" w:themeFillShade="E6"/>
            <w:tcMar>
              <w:top w:w="15" w:type="dxa"/>
              <w:left w:w="62" w:type="dxa"/>
              <w:bottom w:w="0" w:type="dxa"/>
              <w:right w:w="62" w:type="dxa"/>
            </w:tcMar>
          </w:tcPr>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KPIs (3):  1, 2 &amp; 3 and</w:t>
            </w:r>
          </w:p>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 xml:space="preserve">Non-KPI (1): 1 </w:t>
            </w:r>
          </w:p>
        </w:tc>
        <w:tc>
          <w:tcPr>
            <w:tcW w:w="869" w:type="pct"/>
            <w:tcBorders>
              <w:top w:val="double" w:sz="4" w:space="0" w:color="auto"/>
              <w:left w:val="single" w:sz="6" w:space="0" w:color="auto"/>
              <w:bottom w:val="single" w:sz="6" w:space="0" w:color="auto"/>
              <w:right w:val="single" w:sz="6" w:space="0" w:color="auto"/>
            </w:tcBorders>
            <w:shd w:val="clear" w:color="auto" w:fill="D6E3BC" w:themeFill="accent3" w:themeFillTint="66"/>
            <w:tcMar>
              <w:top w:w="15" w:type="dxa"/>
              <w:left w:w="62" w:type="dxa"/>
              <w:bottom w:w="0" w:type="dxa"/>
              <w:right w:w="62" w:type="dxa"/>
            </w:tcMar>
          </w:tcPr>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 xml:space="preserve">KPIs (3): 4, 5 &amp; 6 and </w:t>
            </w:r>
          </w:p>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Non-KPIs (4): 2, 3, 4 , and 5</w:t>
            </w:r>
          </w:p>
        </w:tc>
        <w:tc>
          <w:tcPr>
            <w:tcW w:w="822" w:type="pct"/>
            <w:tcBorders>
              <w:top w:val="double" w:sz="4" w:space="0" w:color="auto"/>
              <w:left w:val="single" w:sz="6" w:space="0" w:color="auto"/>
              <w:bottom w:val="single" w:sz="6" w:space="0" w:color="auto"/>
              <w:right w:val="single" w:sz="6" w:space="0" w:color="auto"/>
            </w:tcBorders>
            <w:shd w:val="clear" w:color="auto" w:fill="EAF1DD" w:themeFill="accent3" w:themeFillTint="33"/>
            <w:tcMar>
              <w:top w:w="15" w:type="dxa"/>
              <w:left w:w="62" w:type="dxa"/>
              <w:bottom w:w="0" w:type="dxa"/>
              <w:right w:w="62" w:type="dxa"/>
            </w:tcMar>
          </w:tcPr>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 xml:space="preserve">KPIs (3): 7, 8 &amp; 9 and </w:t>
            </w:r>
          </w:p>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Non-KPIs (2): 6 and 7</w:t>
            </w:r>
          </w:p>
        </w:tc>
        <w:tc>
          <w:tcPr>
            <w:tcW w:w="788" w:type="pct"/>
            <w:tcBorders>
              <w:top w:val="double" w:sz="4" w:space="0" w:color="auto"/>
              <w:left w:val="single" w:sz="6" w:space="0" w:color="auto"/>
              <w:bottom w:val="single" w:sz="6" w:space="0" w:color="auto"/>
              <w:right w:val="single" w:sz="6" w:space="0" w:color="auto"/>
            </w:tcBorders>
            <w:shd w:val="clear" w:color="auto" w:fill="CCC0D9" w:themeFill="accent4" w:themeFillTint="66"/>
            <w:tcMar>
              <w:top w:w="15" w:type="dxa"/>
              <w:left w:w="62" w:type="dxa"/>
              <w:bottom w:w="0" w:type="dxa"/>
              <w:right w:w="62" w:type="dxa"/>
            </w:tcMar>
          </w:tcPr>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 xml:space="preserve">KPIs (2):  10 &amp; 11 and </w:t>
            </w:r>
          </w:p>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Non-KPI (1): 8</w:t>
            </w:r>
          </w:p>
        </w:tc>
        <w:tc>
          <w:tcPr>
            <w:tcW w:w="831" w:type="pct"/>
            <w:tcBorders>
              <w:top w:val="double" w:sz="4" w:space="0" w:color="auto"/>
              <w:left w:val="single" w:sz="6" w:space="0" w:color="auto"/>
              <w:bottom w:val="single" w:sz="6" w:space="0" w:color="auto"/>
              <w:right w:val="single" w:sz="6" w:space="0" w:color="auto"/>
            </w:tcBorders>
            <w:shd w:val="clear" w:color="auto" w:fill="E6E0EC"/>
            <w:tcMar>
              <w:top w:w="15" w:type="dxa"/>
              <w:left w:w="62" w:type="dxa"/>
              <w:bottom w:w="0" w:type="dxa"/>
              <w:right w:w="62" w:type="dxa"/>
            </w:tcMar>
          </w:tcPr>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KPIs (4): 12, 13, 14 &amp; 15 and Non-KPIs (2): 9 and 10</w:t>
            </w:r>
          </w:p>
        </w:tc>
        <w:tc>
          <w:tcPr>
            <w:tcW w:w="728" w:type="pct"/>
            <w:tcBorders>
              <w:top w:val="double" w:sz="4" w:space="0" w:color="auto"/>
              <w:left w:val="single" w:sz="6" w:space="0" w:color="auto"/>
              <w:bottom w:val="single" w:sz="6" w:space="0" w:color="auto"/>
              <w:right w:val="double" w:sz="4" w:space="0" w:color="auto"/>
            </w:tcBorders>
            <w:shd w:val="clear" w:color="auto" w:fill="DAEEF3" w:themeFill="accent5" w:themeFillTint="33"/>
            <w:tcMar>
              <w:top w:w="15" w:type="dxa"/>
              <w:left w:w="62" w:type="dxa"/>
              <w:bottom w:w="0" w:type="dxa"/>
              <w:right w:w="62" w:type="dxa"/>
            </w:tcMar>
          </w:tcPr>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KPI: 0</w:t>
            </w:r>
          </w:p>
          <w:p w:rsidR="009D3C64" w:rsidRPr="005F120D" w:rsidRDefault="009D3C64" w:rsidP="000A5B80">
            <w:pPr>
              <w:spacing w:after="0"/>
              <w:rPr>
                <w:rFonts w:asciiTheme="minorHAnsi" w:hAnsiTheme="minorHAnsi" w:cstheme="minorHAnsi"/>
                <w:color w:val="C00000"/>
                <w:sz w:val="16"/>
                <w:szCs w:val="16"/>
              </w:rPr>
            </w:pPr>
            <w:r w:rsidRPr="005F120D">
              <w:rPr>
                <w:rFonts w:asciiTheme="minorHAnsi" w:hAnsiTheme="minorHAnsi" w:cstheme="minorHAnsi"/>
                <w:b/>
                <w:bCs/>
                <w:color w:val="C00000"/>
                <w:sz w:val="16"/>
                <w:szCs w:val="16"/>
              </w:rPr>
              <w:t>Non-KPIs (2): 11 and 12</w:t>
            </w:r>
          </w:p>
        </w:tc>
      </w:tr>
      <w:tr w:rsidR="009D3C64" w:rsidRPr="005F120D" w:rsidTr="00C437AA">
        <w:trPr>
          <w:trHeight w:val="217"/>
        </w:trPr>
        <w:tc>
          <w:tcPr>
            <w:tcW w:w="124" w:type="pct"/>
            <w:tcBorders>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single" w:sz="6" w:space="0" w:color="auto"/>
              <w:left w:val="double" w:sz="4" w:space="0" w:color="auto"/>
              <w:bottom w:val="single" w:sz="6" w:space="0" w:color="auto"/>
              <w:right w:val="single" w:sz="6" w:space="0" w:color="auto"/>
            </w:tcBorders>
            <w:shd w:val="clear" w:color="auto" w:fill="DDD9C3" w:themeFill="background2" w:themeFillShade="E6"/>
            <w:tcMar>
              <w:top w:w="15" w:type="dxa"/>
              <w:left w:w="62" w:type="dxa"/>
              <w:bottom w:w="0" w:type="dxa"/>
              <w:right w:w="62" w:type="dxa"/>
            </w:tcMa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b/>
                <w:bCs/>
                <w:sz w:val="16"/>
                <w:szCs w:val="16"/>
              </w:rPr>
              <w:t>PSQLs (4):  1, 2,3 &amp;  4</w:t>
            </w:r>
          </w:p>
        </w:tc>
        <w:tc>
          <w:tcPr>
            <w:tcW w:w="869" w:type="pct"/>
            <w:tcBorders>
              <w:top w:val="single" w:sz="6" w:space="0" w:color="auto"/>
              <w:left w:val="single" w:sz="6" w:space="0" w:color="auto"/>
              <w:bottom w:val="single" w:sz="6" w:space="0" w:color="auto"/>
              <w:right w:val="single" w:sz="6" w:space="0" w:color="auto"/>
            </w:tcBorders>
            <w:shd w:val="clear" w:color="auto" w:fill="D6E3BC" w:themeFill="accent3" w:themeFillTint="66"/>
            <w:tcMar>
              <w:top w:w="15" w:type="dxa"/>
              <w:left w:w="62" w:type="dxa"/>
              <w:bottom w:w="0" w:type="dxa"/>
              <w:right w:w="62" w:type="dxa"/>
            </w:tcMa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b/>
                <w:bCs/>
                <w:sz w:val="16"/>
                <w:szCs w:val="16"/>
              </w:rPr>
              <w:t xml:space="preserve">PSQLs (2): 5 &amp; 6 </w:t>
            </w:r>
          </w:p>
        </w:tc>
        <w:tc>
          <w:tcPr>
            <w:tcW w:w="822" w:type="pct"/>
            <w:tcBorders>
              <w:top w:val="single" w:sz="6" w:space="0" w:color="auto"/>
              <w:left w:val="single" w:sz="6" w:space="0" w:color="auto"/>
              <w:bottom w:val="single" w:sz="6" w:space="0" w:color="auto"/>
              <w:right w:val="single" w:sz="6" w:space="0" w:color="auto"/>
            </w:tcBorders>
            <w:shd w:val="clear" w:color="auto" w:fill="EAF1DD" w:themeFill="accent3" w:themeFillTint="33"/>
            <w:tcMar>
              <w:top w:w="15" w:type="dxa"/>
              <w:left w:w="62" w:type="dxa"/>
              <w:bottom w:w="0" w:type="dxa"/>
              <w:right w:w="62" w:type="dxa"/>
            </w:tcMa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b/>
                <w:bCs/>
                <w:sz w:val="16"/>
                <w:szCs w:val="16"/>
              </w:rPr>
              <w:t xml:space="preserve">PSQLs (5): 7, 8, 9, 10 &amp; 11 </w:t>
            </w:r>
          </w:p>
        </w:tc>
        <w:tc>
          <w:tcPr>
            <w:tcW w:w="788" w:type="pct"/>
            <w:tcBorders>
              <w:top w:val="single" w:sz="6" w:space="0" w:color="auto"/>
              <w:left w:val="single" w:sz="6" w:space="0" w:color="auto"/>
              <w:bottom w:val="single" w:sz="6" w:space="0" w:color="auto"/>
              <w:right w:val="single" w:sz="6" w:space="0" w:color="auto"/>
            </w:tcBorders>
            <w:shd w:val="clear" w:color="auto" w:fill="CCC0D9" w:themeFill="accent4" w:themeFillTint="66"/>
            <w:tcMar>
              <w:top w:w="15" w:type="dxa"/>
              <w:left w:w="62" w:type="dxa"/>
              <w:bottom w:w="0" w:type="dxa"/>
              <w:right w:w="62" w:type="dxa"/>
            </w:tcMa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b/>
                <w:bCs/>
                <w:sz w:val="16"/>
                <w:szCs w:val="16"/>
              </w:rPr>
              <w:t>PSQLs (2): 12&amp; 13</w:t>
            </w:r>
          </w:p>
        </w:tc>
        <w:tc>
          <w:tcPr>
            <w:tcW w:w="831" w:type="pct"/>
            <w:tcBorders>
              <w:top w:val="single" w:sz="6" w:space="0" w:color="auto"/>
              <w:left w:val="single" w:sz="6" w:space="0" w:color="auto"/>
              <w:bottom w:val="single" w:sz="6" w:space="0" w:color="auto"/>
              <w:right w:val="single" w:sz="6" w:space="0" w:color="auto"/>
            </w:tcBorders>
            <w:shd w:val="clear" w:color="auto" w:fill="E6E0EC"/>
            <w:tcMar>
              <w:top w:w="15" w:type="dxa"/>
              <w:left w:w="62" w:type="dxa"/>
              <w:bottom w:w="0" w:type="dxa"/>
              <w:right w:w="62" w:type="dxa"/>
            </w:tcMar>
          </w:tcPr>
          <w:p w:rsidR="009D3C64" w:rsidRPr="005F120D" w:rsidRDefault="009D3C64" w:rsidP="000A5B80">
            <w:pPr>
              <w:spacing w:after="0"/>
              <w:rPr>
                <w:rFonts w:asciiTheme="minorHAnsi" w:hAnsiTheme="minorHAnsi" w:cstheme="minorHAnsi"/>
                <w:sz w:val="16"/>
                <w:szCs w:val="16"/>
              </w:rPr>
            </w:pPr>
            <w:r w:rsidRPr="005F120D">
              <w:rPr>
                <w:rFonts w:asciiTheme="minorHAnsi" w:hAnsiTheme="minorHAnsi" w:cstheme="minorHAnsi"/>
                <w:b/>
                <w:bCs/>
                <w:sz w:val="16"/>
                <w:szCs w:val="16"/>
              </w:rPr>
              <w:t>PSQL (1): 14</w:t>
            </w:r>
          </w:p>
        </w:tc>
        <w:tc>
          <w:tcPr>
            <w:tcW w:w="728" w:type="pct"/>
            <w:tcBorders>
              <w:top w:val="single" w:sz="6" w:space="0" w:color="auto"/>
              <w:left w:val="single" w:sz="6" w:space="0" w:color="auto"/>
              <w:bottom w:val="single" w:sz="6" w:space="0" w:color="auto"/>
              <w:right w:val="double" w:sz="4" w:space="0" w:color="auto"/>
            </w:tcBorders>
            <w:shd w:val="clear" w:color="auto" w:fill="DAEEF3" w:themeFill="accent5" w:themeFillTint="33"/>
            <w:tcMar>
              <w:top w:w="15" w:type="dxa"/>
              <w:left w:w="62" w:type="dxa"/>
              <w:bottom w:w="0" w:type="dxa"/>
              <w:right w:w="62" w:type="dxa"/>
            </w:tcMar>
          </w:tcPr>
          <w:p w:rsidR="009D3C64" w:rsidRPr="005F120D" w:rsidRDefault="009D3C64" w:rsidP="000A5B80">
            <w:pPr>
              <w:spacing w:after="0"/>
              <w:rPr>
                <w:rFonts w:asciiTheme="minorHAnsi" w:hAnsiTheme="minorHAnsi" w:cstheme="minorHAnsi"/>
                <w:sz w:val="16"/>
                <w:szCs w:val="16"/>
              </w:rPr>
            </w:pPr>
          </w:p>
        </w:tc>
      </w:tr>
      <w:tr w:rsidR="009D3C64" w:rsidRPr="005F120D" w:rsidTr="00C437AA">
        <w:trPr>
          <w:trHeight w:val="489"/>
        </w:trPr>
        <w:tc>
          <w:tcPr>
            <w:tcW w:w="124" w:type="pct"/>
            <w:tcBorders>
              <w:right w:val="double" w:sz="4" w:space="0" w:color="auto"/>
            </w:tcBorders>
            <w:shd w:val="clear" w:color="auto" w:fill="FFFFFF" w:themeFill="background1"/>
          </w:tcPr>
          <w:p w:rsidR="009D3C64" w:rsidRPr="005F120D" w:rsidRDefault="009D3C64" w:rsidP="000A5B80">
            <w:pPr>
              <w:spacing w:after="0"/>
              <w:rPr>
                <w:rFonts w:asciiTheme="minorHAnsi" w:hAnsiTheme="minorHAnsi" w:cstheme="minorHAnsi"/>
                <w:b/>
                <w:bCs/>
                <w:sz w:val="16"/>
                <w:szCs w:val="16"/>
              </w:rPr>
            </w:pPr>
          </w:p>
        </w:tc>
        <w:tc>
          <w:tcPr>
            <w:tcW w:w="838" w:type="pct"/>
            <w:tcBorders>
              <w:top w:val="single" w:sz="6" w:space="0" w:color="auto"/>
              <w:left w:val="double" w:sz="4" w:space="0" w:color="auto"/>
              <w:bottom w:val="double" w:sz="4" w:space="0" w:color="auto"/>
              <w:right w:val="single" w:sz="6" w:space="0" w:color="auto"/>
            </w:tcBorders>
            <w:shd w:val="clear" w:color="auto" w:fill="DDD9C3" w:themeFill="background2" w:themeFillShade="E6"/>
            <w:tcMar>
              <w:top w:w="15" w:type="dxa"/>
              <w:left w:w="62" w:type="dxa"/>
              <w:bottom w:w="0" w:type="dxa"/>
              <w:right w:w="62" w:type="dxa"/>
            </w:tcMar>
          </w:tcPr>
          <w:p w:rsidR="009D3C64" w:rsidRPr="005F120D" w:rsidRDefault="009D3C64" w:rsidP="000A5B80">
            <w:pPr>
              <w:spacing w:after="0"/>
              <w:rPr>
                <w:rFonts w:asciiTheme="minorHAnsi" w:hAnsiTheme="minorHAnsi" w:cstheme="minorHAnsi"/>
                <w:b/>
                <w:bCs/>
                <w:color w:val="E36C0A" w:themeColor="accent6" w:themeShade="BF"/>
                <w:sz w:val="16"/>
                <w:szCs w:val="16"/>
              </w:rPr>
            </w:pPr>
            <w:r w:rsidRPr="005F120D">
              <w:rPr>
                <w:rFonts w:asciiTheme="minorHAnsi" w:hAnsiTheme="minorHAnsi" w:cstheme="minorHAnsi"/>
                <w:b/>
                <w:bCs/>
                <w:color w:val="E36C0A" w:themeColor="accent6" w:themeShade="BF"/>
                <w:sz w:val="16"/>
                <w:szCs w:val="16"/>
              </w:rPr>
              <w:t>Sub-Component indicators: 22</w:t>
            </w:r>
          </w:p>
          <w:p w:rsidR="009D3C64" w:rsidRPr="005F120D" w:rsidRDefault="009D3C64" w:rsidP="000A5B80">
            <w:pPr>
              <w:spacing w:after="0"/>
              <w:rPr>
                <w:rFonts w:asciiTheme="minorHAnsi" w:hAnsiTheme="minorHAnsi" w:cstheme="minorHAnsi"/>
                <w:color w:val="E36C0A" w:themeColor="accent6" w:themeShade="BF"/>
                <w:sz w:val="16"/>
                <w:szCs w:val="16"/>
              </w:rPr>
            </w:pPr>
            <w:r w:rsidRPr="005F120D">
              <w:rPr>
                <w:rFonts w:asciiTheme="minorHAnsi" w:hAnsiTheme="minorHAnsi" w:cstheme="minorHAnsi"/>
                <w:b/>
                <w:bCs/>
                <w:color w:val="E36C0A" w:themeColor="accent6" w:themeShade="BF"/>
                <w:sz w:val="16"/>
                <w:szCs w:val="16"/>
              </w:rPr>
              <w:t>DLIs: 2</w:t>
            </w:r>
          </w:p>
        </w:tc>
        <w:tc>
          <w:tcPr>
            <w:tcW w:w="869" w:type="pct"/>
            <w:tcBorders>
              <w:top w:val="single" w:sz="6" w:space="0" w:color="auto"/>
              <w:left w:val="single" w:sz="6" w:space="0" w:color="auto"/>
              <w:bottom w:val="double" w:sz="4" w:space="0" w:color="auto"/>
              <w:right w:val="single" w:sz="6" w:space="0" w:color="auto"/>
            </w:tcBorders>
            <w:shd w:val="clear" w:color="auto" w:fill="D6E3BC" w:themeFill="accent3" w:themeFillTint="66"/>
            <w:tcMar>
              <w:top w:w="15" w:type="dxa"/>
              <w:left w:w="62" w:type="dxa"/>
              <w:bottom w:w="0" w:type="dxa"/>
              <w:right w:w="62" w:type="dxa"/>
            </w:tcMar>
          </w:tcPr>
          <w:p w:rsidR="009D3C64" w:rsidRPr="005F120D" w:rsidRDefault="009D3C64" w:rsidP="000A5B80">
            <w:pPr>
              <w:spacing w:after="0"/>
              <w:rPr>
                <w:rFonts w:asciiTheme="minorHAnsi" w:hAnsiTheme="minorHAnsi" w:cstheme="minorHAnsi"/>
                <w:b/>
                <w:bCs/>
                <w:color w:val="E36C0A" w:themeColor="accent6" w:themeShade="BF"/>
                <w:sz w:val="16"/>
                <w:szCs w:val="16"/>
              </w:rPr>
            </w:pPr>
            <w:r w:rsidRPr="005F120D">
              <w:rPr>
                <w:rFonts w:asciiTheme="minorHAnsi" w:hAnsiTheme="minorHAnsi" w:cstheme="minorHAnsi"/>
                <w:b/>
                <w:bCs/>
                <w:color w:val="E36C0A" w:themeColor="accent6" w:themeShade="BF"/>
                <w:sz w:val="16"/>
                <w:szCs w:val="16"/>
              </w:rPr>
              <w:t>Sub-Component indicators: 5</w:t>
            </w:r>
          </w:p>
          <w:p w:rsidR="009D3C64" w:rsidRPr="005F120D" w:rsidRDefault="009D3C64" w:rsidP="000A5B80">
            <w:pPr>
              <w:spacing w:after="0"/>
              <w:rPr>
                <w:rFonts w:asciiTheme="minorHAnsi" w:hAnsiTheme="minorHAnsi" w:cstheme="minorHAnsi"/>
                <w:color w:val="E36C0A" w:themeColor="accent6" w:themeShade="BF"/>
                <w:sz w:val="16"/>
                <w:szCs w:val="16"/>
              </w:rPr>
            </w:pPr>
            <w:r w:rsidRPr="005F120D">
              <w:rPr>
                <w:rFonts w:asciiTheme="minorHAnsi" w:hAnsiTheme="minorHAnsi" w:cstheme="minorHAnsi"/>
                <w:b/>
                <w:bCs/>
                <w:color w:val="E36C0A" w:themeColor="accent6" w:themeShade="BF"/>
                <w:sz w:val="16"/>
                <w:szCs w:val="16"/>
              </w:rPr>
              <w:t>DLI: 1</w:t>
            </w:r>
          </w:p>
        </w:tc>
        <w:tc>
          <w:tcPr>
            <w:tcW w:w="822" w:type="pct"/>
            <w:tcBorders>
              <w:top w:val="single" w:sz="6" w:space="0" w:color="auto"/>
              <w:left w:val="single" w:sz="6" w:space="0" w:color="auto"/>
              <w:bottom w:val="double" w:sz="4" w:space="0" w:color="auto"/>
              <w:right w:val="single" w:sz="6" w:space="0" w:color="auto"/>
            </w:tcBorders>
            <w:shd w:val="clear" w:color="auto" w:fill="EAF1DD" w:themeFill="accent3" w:themeFillTint="33"/>
            <w:tcMar>
              <w:top w:w="15" w:type="dxa"/>
              <w:left w:w="62" w:type="dxa"/>
              <w:bottom w:w="0" w:type="dxa"/>
              <w:right w:w="62" w:type="dxa"/>
            </w:tcMar>
          </w:tcPr>
          <w:p w:rsidR="009D3C64" w:rsidRPr="005F120D" w:rsidRDefault="009D3C64" w:rsidP="000A5B80">
            <w:pPr>
              <w:spacing w:after="0"/>
              <w:rPr>
                <w:rFonts w:asciiTheme="minorHAnsi" w:hAnsiTheme="minorHAnsi" w:cstheme="minorHAnsi"/>
                <w:b/>
                <w:bCs/>
                <w:color w:val="E36C0A" w:themeColor="accent6" w:themeShade="BF"/>
                <w:sz w:val="16"/>
                <w:szCs w:val="16"/>
              </w:rPr>
            </w:pPr>
            <w:r w:rsidRPr="005F120D">
              <w:rPr>
                <w:rFonts w:asciiTheme="minorHAnsi" w:hAnsiTheme="minorHAnsi" w:cstheme="minorHAnsi"/>
                <w:b/>
                <w:bCs/>
                <w:color w:val="E36C0A" w:themeColor="accent6" w:themeShade="BF"/>
                <w:sz w:val="16"/>
                <w:szCs w:val="16"/>
              </w:rPr>
              <w:t>Sub-Component indicators: 9</w:t>
            </w:r>
          </w:p>
          <w:p w:rsidR="009D3C64" w:rsidRPr="005F120D" w:rsidRDefault="009D3C64" w:rsidP="000A5B80">
            <w:pPr>
              <w:spacing w:after="0"/>
              <w:rPr>
                <w:rFonts w:asciiTheme="minorHAnsi" w:hAnsiTheme="minorHAnsi" w:cstheme="minorHAnsi"/>
                <w:color w:val="E36C0A" w:themeColor="accent6" w:themeShade="BF"/>
                <w:sz w:val="16"/>
                <w:szCs w:val="16"/>
              </w:rPr>
            </w:pPr>
            <w:r w:rsidRPr="005F120D">
              <w:rPr>
                <w:rFonts w:asciiTheme="minorHAnsi" w:hAnsiTheme="minorHAnsi" w:cstheme="minorHAnsi"/>
                <w:b/>
                <w:bCs/>
                <w:color w:val="E36C0A" w:themeColor="accent6" w:themeShade="BF"/>
                <w:sz w:val="16"/>
                <w:szCs w:val="16"/>
              </w:rPr>
              <w:t>DLIs: 1 (EU DLI-1)</w:t>
            </w:r>
          </w:p>
        </w:tc>
        <w:tc>
          <w:tcPr>
            <w:tcW w:w="788" w:type="pct"/>
            <w:tcBorders>
              <w:top w:val="single" w:sz="6" w:space="0" w:color="auto"/>
              <w:left w:val="single" w:sz="6" w:space="0" w:color="auto"/>
              <w:bottom w:val="double" w:sz="4" w:space="0" w:color="auto"/>
              <w:right w:val="single" w:sz="6" w:space="0" w:color="auto"/>
            </w:tcBorders>
            <w:shd w:val="clear" w:color="auto" w:fill="CCC0D9" w:themeFill="accent4" w:themeFillTint="66"/>
            <w:tcMar>
              <w:top w:w="15" w:type="dxa"/>
              <w:left w:w="62" w:type="dxa"/>
              <w:bottom w:w="0" w:type="dxa"/>
              <w:right w:w="62" w:type="dxa"/>
            </w:tcMar>
          </w:tcPr>
          <w:p w:rsidR="009D3C64" w:rsidRPr="005F120D" w:rsidRDefault="009D3C64" w:rsidP="000A5B80">
            <w:pPr>
              <w:spacing w:after="0"/>
              <w:rPr>
                <w:rFonts w:asciiTheme="minorHAnsi" w:hAnsiTheme="minorHAnsi" w:cstheme="minorHAnsi"/>
                <w:b/>
                <w:bCs/>
                <w:color w:val="E36C0A" w:themeColor="accent6" w:themeShade="BF"/>
                <w:sz w:val="16"/>
                <w:szCs w:val="16"/>
              </w:rPr>
            </w:pPr>
            <w:r w:rsidRPr="005F120D">
              <w:rPr>
                <w:rFonts w:asciiTheme="minorHAnsi" w:hAnsiTheme="minorHAnsi" w:cstheme="minorHAnsi"/>
                <w:b/>
                <w:bCs/>
                <w:color w:val="E36C0A" w:themeColor="accent6" w:themeShade="BF"/>
                <w:sz w:val="16"/>
                <w:szCs w:val="16"/>
              </w:rPr>
              <w:t xml:space="preserve">Sub-Component indicators: 4 </w:t>
            </w:r>
          </w:p>
          <w:p w:rsidR="009D3C64" w:rsidRPr="005F120D" w:rsidRDefault="009D3C64" w:rsidP="000A5B80">
            <w:pPr>
              <w:spacing w:after="0"/>
              <w:rPr>
                <w:rFonts w:asciiTheme="minorHAnsi" w:hAnsiTheme="minorHAnsi" w:cstheme="minorHAnsi"/>
                <w:color w:val="E36C0A" w:themeColor="accent6" w:themeShade="BF"/>
                <w:sz w:val="16"/>
                <w:szCs w:val="16"/>
              </w:rPr>
            </w:pPr>
            <w:r w:rsidRPr="005F120D">
              <w:rPr>
                <w:rFonts w:asciiTheme="minorHAnsi" w:hAnsiTheme="minorHAnsi" w:cstheme="minorHAnsi"/>
                <w:b/>
                <w:bCs/>
                <w:color w:val="E36C0A" w:themeColor="accent6" w:themeShade="BF"/>
                <w:sz w:val="16"/>
                <w:szCs w:val="16"/>
              </w:rPr>
              <w:t>DLI: 1 (EU DLI-2)</w:t>
            </w:r>
          </w:p>
        </w:tc>
        <w:tc>
          <w:tcPr>
            <w:tcW w:w="831" w:type="pct"/>
            <w:tcBorders>
              <w:top w:val="single" w:sz="6" w:space="0" w:color="auto"/>
              <w:left w:val="single" w:sz="6" w:space="0" w:color="auto"/>
              <w:bottom w:val="double" w:sz="4" w:space="0" w:color="auto"/>
              <w:right w:val="single" w:sz="6" w:space="0" w:color="auto"/>
            </w:tcBorders>
            <w:shd w:val="clear" w:color="auto" w:fill="E6E0EC"/>
            <w:tcMar>
              <w:top w:w="15" w:type="dxa"/>
              <w:left w:w="62" w:type="dxa"/>
              <w:bottom w:w="0" w:type="dxa"/>
              <w:right w:w="62" w:type="dxa"/>
            </w:tcMar>
          </w:tcPr>
          <w:p w:rsidR="009D3C64" w:rsidRPr="005F120D" w:rsidRDefault="009D3C64" w:rsidP="000A5B80">
            <w:pPr>
              <w:spacing w:after="0"/>
              <w:rPr>
                <w:rFonts w:asciiTheme="minorHAnsi" w:hAnsiTheme="minorHAnsi" w:cstheme="minorHAnsi"/>
                <w:b/>
                <w:bCs/>
                <w:color w:val="E36C0A" w:themeColor="accent6" w:themeShade="BF"/>
                <w:sz w:val="16"/>
                <w:szCs w:val="16"/>
              </w:rPr>
            </w:pPr>
            <w:r w:rsidRPr="005F120D">
              <w:rPr>
                <w:rFonts w:asciiTheme="minorHAnsi" w:hAnsiTheme="minorHAnsi" w:cstheme="minorHAnsi"/>
                <w:b/>
                <w:bCs/>
                <w:color w:val="E36C0A" w:themeColor="accent6" w:themeShade="BF"/>
                <w:sz w:val="16"/>
                <w:szCs w:val="16"/>
              </w:rPr>
              <w:t>Sub-Component indicators: 13</w:t>
            </w:r>
          </w:p>
          <w:p w:rsidR="009D3C64" w:rsidRPr="005F120D" w:rsidRDefault="009D3C64" w:rsidP="000A5B80">
            <w:pPr>
              <w:spacing w:after="0"/>
              <w:rPr>
                <w:rFonts w:asciiTheme="minorHAnsi" w:hAnsiTheme="minorHAnsi" w:cstheme="minorHAnsi"/>
                <w:color w:val="E36C0A" w:themeColor="accent6" w:themeShade="BF"/>
                <w:sz w:val="16"/>
                <w:szCs w:val="16"/>
              </w:rPr>
            </w:pPr>
            <w:r w:rsidRPr="005F120D">
              <w:rPr>
                <w:rFonts w:asciiTheme="minorHAnsi" w:hAnsiTheme="minorHAnsi" w:cstheme="minorHAnsi"/>
                <w:b/>
                <w:bCs/>
                <w:color w:val="E36C0A" w:themeColor="accent6" w:themeShade="BF"/>
                <w:sz w:val="16"/>
                <w:szCs w:val="16"/>
              </w:rPr>
              <w:t>DLIs: 3 and EU DLI-1</w:t>
            </w:r>
          </w:p>
        </w:tc>
        <w:tc>
          <w:tcPr>
            <w:tcW w:w="728" w:type="pct"/>
            <w:tcBorders>
              <w:top w:val="single" w:sz="6" w:space="0" w:color="auto"/>
              <w:left w:val="single" w:sz="6" w:space="0" w:color="auto"/>
              <w:bottom w:val="double" w:sz="4" w:space="0" w:color="auto"/>
              <w:right w:val="double" w:sz="4" w:space="0" w:color="auto"/>
            </w:tcBorders>
            <w:shd w:val="clear" w:color="auto" w:fill="DAEEF3" w:themeFill="accent5" w:themeFillTint="33"/>
            <w:tcMar>
              <w:top w:w="15" w:type="dxa"/>
              <w:left w:w="62" w:type="dxa"/>
              <w:bottom w:w="0" w:type="dxa"/>
              <w:right w:w="62" w:type="dxa"/>
            </w:tcMar>
          </w:tcPr>
          <w:p w:rsidR="009D3C64" w:rsidRPr="005F120D" w:rsidRDefault="009D3C64" w:rsidP="000A5B80">
            <w:pPr>
              <w:spacing w:after="0"/>
              <w:rPr>
                <w:rFonts w:asciiTheme="minorHAnsi" w:hAnsiTheme="minorHAnsi" w:cstheme="minorHAnsi"/>
                <w:b/>
                <w:bCs/>
                <w:color w:val="E36C0A" w:themeColor="accent6" w:themeShade="BF"/>
                <w:sz w:val="16"/>
                <w:szCs w:val="16"/>
              </w:rPr>
            </w:pPr>
            <w:r w:rsidRPr="005F120D">
              <w:rPr>
                <w:rFonts w:asciiTheme="minorHAnsi" w:hAnsiTheme="minorHAnsi" w:cstheme="minorHAnsi"/>
                <w:b/>
                <w:bCs/>
                <w:color w:val="E36C0A" w:themeColor="accent6" w:themeShade="BF"/>
                <w:sz w:val="16"/>
                <w:szCs w:val="16"/>
              </w:rPr>
              <w:t>Sub-Component indicators: 14 and DLI: 1</w:t>
            </w:r>
          </w:p>
        </w:tc>
      </w:tr>
    </w:tbl>
    <w:p w:rsidR="00E55FD9" w:rsidRPr="005F120D" w:rsidRDefault="00E10E71" w:rsidP="00C437AA">
      <w:pPr>
        <w:spacing w:line="276" w:lineRule="auto"/>
        <w:rPr>
          <w:rFonts w:asciiTheme="minorHAnsi" w:hAnsiTheme="minorHAnsi" w:cstheme="minorHAnsi"/>
          <w:b/>
          <w:i/>
          <w:sz w:val="16"/>
          <w:szCs w:val="16"/>
        </w:rPr>
        <w:sectPr w:rsidR="00E55FD9" w:rsidRPr="005F120D" w:rsidSect="00C61570">
          <w:type w:val="nextColumn"/>
          <w:pgSz w:w="16834" w:h="11909" w:orient="landscape" w:code="9"/>
          <w:pgMar w:top="576" w:right="864" w:bottom="432" w:left="864" w:header="720" w:footer="720" w:gutter="0"/>
          <w:pgNumType w:start="20"/>
          <w:cols w:space="720"/>
          <w:docGrid w:linePitch="360"/>
        </w:sectPr>
      </w:pPr>
      <w:r w:rsidRPr="005F120D">
        <w:rPr>
          <w:rFonts w:asciiTheme="minorHAnsi" w:hAnsiTheme="minorHAnsi" w:cstheme="minorHAnsi"/>
          <w:b/>
          <w:i/>
          <w:sz w:val="16"/>
          <w:szCs w:val="16"/>
        </w:rPr>
        <w:t>Note: PSQLs (14), KPIs (15), Non-KPIs (12), DLIs (9) and sub-component indicators (67) lists are available in th</w:t>
      </w:r>
      <w:r w:rsidR="00654E64" w:rsidRPr="005F120D">
        <w:rPr>
          <w:rFonts w:asciiTheme="minorHAnsi" w:hAnsiTheme="minorHAnsi" w:cstheme="minorHAnsi"/>
          <w:b/>
          <w:i/>
          <w:sz w:val="16"/>
          <w:szCs w:val="16"/>
        </w:rPr>
        <w:t>e end of this report in Annex 1.</w:t>
      </w:r>
    </w:p>
    <w:p w:rsidR="000F76E7" w:rsidRPr="005F120D" w:rsidRDefault="000F76E7" w:rsidP="00C437AA">
      <w:pPr>
        <w:pStyle w:val="Heading2"/>
        <w:numPr>
          <w:ilvl w:val="1"/>
          <w:numId w:val="89"/>
        </w:numPr>
        <w:spacing w:after="120" w:line="276" w:lineRule="auto"/>
        <w:rPr>
          <w:rFonts w:cstheme="minorHAnsi"/>
        </w:rPr>
      </w:pPr>
      <w:bookmarkStart w:id="69" w:name="_Toc462837175"/>
      <w:r w:rsidRPr="005F120D">
        <w:rPr>
          <w:rFonts w:cstheme="minorHAnsi"/>
        </w:rPr>
        <w:lastRenderedPageBreak/>
        <w:t>PEDP3 Result Areas and DPE Model of RBM Approach</w:t>
      </w:r>
      <w:bookmarkEnd w:id="69"/>
    </w:p>
    <w:tbl>
      <w:tblPr>
        <w:tblpPr w:leftFromText="180" w:rightFromText="180" w:vertAnchor="text" w:horzAnchor="margin" w:tblpY="264"/>
        <w:tblW w:w="5000" w:type="pct"/>
        <w:tblLook w:val="04A0"/>
      </w:tblPr>
      <w:tblGrid>
        <w:gridCol w:w="1187"/>
        <w:gridCol w:w="178"/>
        <w:gridCol w:w="238"/>
        <w:gridCol w:w="224"/>
        <w:gridCol w:w="320"/>
        <w:gridCol w:w="151"/>
        <w:gridCol w:w="333"/>
        <w:gridCol w:w="501"/>
        <w:gridCol w:w="74"/>
        <w:gridCol w:w="28"/>
        <w:gridCol w:w="203"/>
        <w:gridCol w:w="31"/>
        <w:gridCol w:w="179"/>
        <w:gridCol w:w="166"/>
        <w:gridCol w:w="223"/>
        <w:gridCol w:w="6"/>
        <w:gridCol w:w="433"/>
        <w:gridCol w:w="726"/>
        <w:gridCol w:w="31"/>
        <w:gridCol w:w="22"/>
        <w:gridCol w:w="183"/>
        <w:gridCol w:w="27"/>
        <w:gridCol w:w="285"/>
        <w:gridCol w:w="9"/>
        <w:gridCol w:w="380"/>
        <w:gridCol w:w="9"/>
        <w:gridCol w:w="447"/>
        <w:gridCol w:w="154"/>
        <w:gridCol w:w="226"/>
        <w:gridCol w:w="40"/>
        <w:gridCol w:w="163"/>
        <w:gridCol w:w="223"/>
        <w:gridCol w:w="14"/>
        <w:gridCol w:w="14"/>
        <w:gridCol w:w="7"/>
        <w:gridCol w:w="519"/>
        <w:gridCol w:w="14"/>
        <w:gridCol w:w="213"/>
        <w:gridCol w:w="149"/>
        <w:gridCol w:w="892"/>
        <w:gridCol w:w="23"/>
      </w:tblGrid>
      <w:tr w:rsidR="000F76E7" w:rsidRPr="005F120D" w:rsidTr="00F30E3C">
        <w:trPr>
          <w:gridAfter w:val="1"/>
          <w:wAfter w:w="19" w:type="pct"/>
          <w:trHeight w:val="440"/>
        </w:trPr>
        <w:tc>
          <w:tcPr>
            <w:tcW w:w="685" w:type="pct"/>
            <w:gridSpan w:val="2"/>
            <w:tcBorders>
              <w:top w:val="single" w:sz="4" w:space="0" w:color="auto"/>
              <w:left w:val="single" w:sz="4" w:space="0" w:color="auto"/>
              <w:bottom w:val="single" w:sz="4" w:space="0" w:color="auto"/>
            </w:tcBorders>
            <w:shd w:val="clear" w:color="auto" w:fill="4F6228" w:themeFill="accent3" w:themeFillShade="80"/>
            <w:vAlign w:val="center"/>
          </w:tcPr>
          <w:p w:rsidR="000F76E7" w:rsidRPr="005F120D" w:rsidRDefault="000F76E7" w:rsidP="00C437AA">
            <w:pPr>
              <w:pStyle w:val="NoSpacing"/>
              <w:jc w:val="center"/>
              <w:rPr>
                <w:rFonts w:asciiTheme="minorHAnsi" w:hAnsiTheme="minorHAnsi" w:cstheme="minorHAnsi"/>
                <w:b/>
                <w:color w:val="FFFFFF" w:themeColor="background1"/>
                <w:szCs w:val="22"/>
              </w:rPr>
            </w:pPr>
            <w:r w:rsidRPr="005F120D">
              <w:rPr>
                <w:rFonts w:asciiTheme="minorHAnsi" w:hAnsiTheme="minorHAnsi" w:cstheme="minorHAnsi"/>
                <w:b/>
                <w:color w:val="FFFFFF" w:themeColor="background1"/>
                <w:szCs w:val="22"/>
              </w:rPr>
              <w:t>Goal/Impact</w:t>
            </w:r>
          </w:p>
        </w:tc>
        <w:tc>
          <w:tcPr>
            <w:tcW w:w="131" w:type="pct"/>
            <w:tcBorders>
              <w:top w:val="single" w:sz="4" w:space="0" w:color="auto"/>
              <w:bottom w:val="single" w:sz="4" w:space="0" w:color="auto"/>
              <w:right w:val="single" w:sz="4" w:space="0" w:color="auto"/>
            </w:tcBorders>
            <w:shd w:val="clear" w:color="auto" w:fill="4F6228" w:themeFill="accent3" w:themeFillShade="80"/>
            <w:vAlign w:val="center"/>
          </w:tcPr>
          <w:p w:rsidR="000F76E7" w:rsidRPr="005F120D" w:rsidRDefault="000F76E7" w:rsidP="00C437AA">
            <w:pPr>
              <w:pStyle w:val="NoSpacing"/>
              <w:jc w:val="center"/>
              <w:rPr>
                <w:rFonts w:asciiTheme="minorHAnsi" w:hAnsiTheme="minorHAnsi" w:cstheme="minorHAnsi"/>
                <w:b/>
                <w:color w:val="FFFFFF" w:themeColor="background1"/>
                <w:szCs w:val="22"/>
              </w:rPr>
            </w:pPr>
          </w:p>
        </w:tc>
        <w:tc>
          <w:tcPr>
            <w:tcW w:w="4166" w:type="pct"/>
            <w:gridSpan w:val="37"/>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0F76E7" w:rsidRPr="005F120D" w:rsidRDefault="000F76E7" w:rsidP="00C437AA">
            <w:pPr>
              <w:pStyle w:val="NoSpacing"/>
              <w:jc w:val="center"/>
              <w:rPr>
                <w:rFonts w:asciiTheme="minorHAnsi" w:hAnsiTheme="minorHAnsi" w:cstheme="minorHAnsi"/>
                <w:b/>
                <w:color w:val="FFFFFF" w:themeColor="background1"/>
                <w:szCs w:val="22"/>
              </w:rPr>
            </w:pPr>
            <w:r w:rsidRPr="005F120D">
              <w:rPr>
                <w:rFonts w:asciiTheme="minorHAnsi" w:hAnsiTheme="minorHAnsi" w:cstheme="minorHAnsi"/>
                <w:b/>
                <w:i/>
                <w:iCs/>
                <w:color w:val="FFFFFF" w:themeColor="background1"/>
                <w:szCs w:val="22"/>
              </w:rPr>
              <w:t>“Quality education for all our children.”</w:t>
            </w:r>
            <w:r w:rsidRPr="005F120D">
              <w:rPr>
                <w:rFonts w:asciiTheme="minorHAnsi" w:hAnsiTheme="minorHAnsi" w:cstheme="minorHAnsi"/>
                <w:b/>
                <w:color w:val="FFFFFF" w:themeColor="background1"/>
                <w:szCs w:val="22"/>
              </w:rPr>
              <w:sym w:font="Symbol" w:char="F0AE"/>
            </w:r>
            <w:r w:rsidRPr="005F120D">
              <w:rPr>
                <w:rFonts w:asciiTheme="minorHAnsi" w:hAnsiTheme="minorHAnsi" w:cstheme="minorHAnsi"/>
                <w:b/>
                <w:color w:val="FFFFFF" w:themeColor="background1"/>
                <w:szCs w:val="22"/>
              </w:rPr>
              <w:t xml:space="preserve"> Learning</w:t>
            </w:r>
          </w:p>
        </w:tc>
      </w:tr>
      <w:tr w:rsidR="000F76E7" w:rsidRPr="005F120D" w:rsidTr="00F30E3C">
        <w:trPr>
          <w:trHeight w:val="354"/>
        </w:trPr>
        <w:tc>
          <w:tcPr>
            <w:tcW w:w="598" w:type="pct"/>
            <w:tcBorders>
              <w:top w:val="single" w:sz="4" w:space="0" w:color="auto"/>
              <w:bottom w:val="single" w:sz="4" w:space="0" w:color="auto"/>
            </w:tcBorders>
          </w:tcPr>
          <w:p w:rsidR="000F76E7" w:rsidRPr="005F120D" w:rsidRDefault="000F76E7" w:rsidP="00C437AA">
            <w:pPr>
              <w:pStyle w:val="NoSpacing"/>
              <w:rPr>
                <w:rFonts w:asciiTheme="minorHAnsi" w:hAnsiTheme="minorHAnsi" w:cstheme="minorHAnsi"/>
                <w:sz w:val="18"/>
                <w:szCs w:val="18"/>
              </w:rPr>
            </w:pPr>
          </w:p>
        </w:tc>
        <w:tc>
          <w:tcPr>
            <w:tcW w:w="217" w:type="pct"/>
            <w:gridSpan w:val="2"/>
            <w:tcBorders>
              <w:top w:val="single" w:sz="4" w:space="0" w:color="auto"/>
              <w:bottom w:val="single" w:sz="4" w:space="0" w:color="auto"/>
            </w:tcBorders>
          </w:tcPr>
          <w:p w:rsidR="000F76E7" w:rsidRPr="005F120D" w:rsidRDefault="000F76E7" w:rsidP="00C437AA">
            <w:pPr>
              <w:pStyle w:val="NoSpacing"/>
              <w:rPr>
                <w:rFonts w:asciiTheme="minorHAnsi" w:hAnsiTheme="minorHAnsi" w:cstheme="minorHAnsi"/>
                <w:sz w:val="18"/>
                <w:szCs w:val="18"/>
              </w:rPr>
            </w:pPr>
          </w:p>
        </w:tc>
        <w:tc>
          <w:tcPr>
            <w:tcW w:w="117" w:type="pct"/>
          </w:tcPr>
          <w:p w:rsidR="000F76E7" w:rsidRPr="005F120D" w:rsidRDefault="000F76E7" w:rsidP="00C437AA">
            <w:pPr>
              <w:pStyle w:val="NoSpacing"/>
              <w:rPr>
                <w:rFonts w:asciiTheme="minorHAnsi" w:hAnsiTheme="minorHAnsi" w:cstheme="minorHAnsi"/>
                <w:sz w:val="18"/>
                <w:szCs w:val="18"/>
              </w:rPr>
            </w:pPr>
          </w:p>
        </w:tc>
        <w:tc>
          <w:tcPr>
            <w:tcW w:w="175" w:type="pct"/>
          </w:tcPr>
          <w:p w:rsidR="000F76E7" w:rsidRPr="005F120D" w:rsidRDefault="000F76E7" w:rsidP="00C437AA">
            <w:pPr>
              <w:pStyle w:val="NoSpacing"/>
              <w:rPr>
                <w:rFonts w:asciiTheme="minorHAnsi" w:hAnsiTheme="minorHAnsi" w:cstheme="minorHAnsi"/>
                <w:sz w:val="18"/>
                <w:szCs w:val="18"/>
              </w:rPr>
            </w:pPr>
          </w:p>
        </w:tc>
        <w:tc>
          <w:tcPr>
            <w:tcW w:w="266" w:type="pct"/>
            <w:gridSpan w:val="2"/>
          </w:tcPr>
          <w:p w:rsidR="000F76E7" w:rsidRPr="005F120D" w:rsidRDefault="000F76E7" w:rsidP="00C437AA">
            <w:pPr>
              <w:pStyle w:val="NoSpacing"/>
              <w:rPr>
                <w:rFonts w:asciiTheme="minorHAnsi" w:hAnsiTheme="minorHAnsi" w:cstheme="minorHAnsi"/>
                <w:sz w:val="18"/>
                <w:szCs w:val="18"/>
              </w:rPr>
            </w:pPr>
          </w:p>
        </w:tc>
        <w:tc>
          <w:tcPr>
            <w:tcW w:w="331" w:type="pct"/>
            <w:gridSpan w:val="3"/>
          </w:tcPr>
          <w:p w:rsidR="000F76E7" w:rsidRPr="005F120D" w:rsidRDefault="000F76E7" w:rsidP="00C437AA">
            <w:pPr>
              <w:pStyle w:val="NoSpacing"/>
              <w:rPr>
                <w:rFonts w:asciiTheme="minorHAnsi" w:hAnsiTheme="minorHAnsi" w:cstheme="minorHAnsi"/>
                <w:sz w:val="18"/>
                <w:szCs w:val="18"/>
              </w:rPr>
            </w:pPr>
          </w:p>
        </w:tc>
        <w:tc>
          <w:tcPr>
            <w:tcW w:w="231" w:type="pct"/>
            <w:gridSpan w:val="3"/>
          </w:tcPr>
          <w:p w:rsidR="000F76E7" w:rsidRPr="005F120D" w:rsidRDefault="000F76E7" w:rsidP="00C437AA">
            <w:pPr>
              <w:pStyle w:val="NoSpacing"/>
              <w:rPr>
                <w:rFonts w:asciiTheme="minorHAnsi" w:hAnsiTheme="minorHAnsi" w:cstheme="minorHAnsi"/>
                <w:sz w:val="18"/>
                <w:szCs w:val="18"/>
              </w:rPr>
            </w:pPr>
          </w:p>
        </w:tc>
        <w:tc>
          <w:tcPr>
            <w:tcW w:w="214" w:type="pct"/>
            <w:gridSpan w:val="3"/>
          </w:tcPr>
          <w:p w:rsidR="000F76E7" w:rsidRPr="005F120D" w:rsidRDefault="000F76E7" w:rsidP="00C437AA">
            <w:pPr>
              <w:pStyle w:val="NoSpacing"/>
              <w:rPr>
                <w:rFonts w:asciiTheme="minorHAnsi" w:hAnsiTheme="minorHAnsi" w:cstheme="minorHAnsi"/>
                <w:sz w:val="18"/>
                <w:szCs w:val="18"/>
              </w:rPr>
            </w:pPr>
          </w:p>
        </w:tc>
        <w:tc>
          <w:tcPr>
            <w:tcW w:w="237" w:type="pct"/>
          </w:tcPr>
          <w:p w:rsidR="000F76E7" w:rsidRPr="005F120D" w:rsidRDefault="000F76E7" w:rsidP="00C437AA">
            <w:pPr>
              <w:pStyle w:val="NoSpacing"/>
              <w:rPr>
                <w:rFonts w:asciiTheme="minorHAnsi" w:hAnsiTheme="minorHAnsi" w:cstheme="minorHAnsi"/>
                <w:sz w:val="18"/>
                <w:szCs w:val="18"/>
              </w:rPr>
            </w:pPr>
          </w:p>
        </w:tc>
        <w:tc>
          <w:tcPr>
            <w:tcW w:w="425" w:type="pct"/>
            <w:gridSpan w:val="3"/>
          </w:tcPr>
          <w:p w:rsidR="000F76E7" w:rsidRPr="005F120D" w:rsidRDefault="002E2ED5" w:rsidP="00C437AA">
            <w:pPr>
              <w:pStyle w:val="NoSpacing"/>
              <w:rPr>
                <w:rFonts w:asciiTheme="minorHAnsi" w:hAnsiTheme="minorHAnsi" w:cstheme="minorHAnsi"/>
                <w:sz w:val="18"/>
                <w:szCs w:val="18"/>
              </w:rPr>
            </w:pPr>
            <w:r>
              <w:rPr>
                <w:rFonts w:asciiTheme="minorHAnsi" w:hAnsiTheme="minorHAnsi" w:cstheme="minorHAnsi"/>
                <w:noProof/>
                <w:sz w:val="18"/>
                <w:szCs w:val="18"/>
                <w:lang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 o:spid="_x0000_s1137" type="#_x0000_t68" style="position:absolute;margin-left:.1pt;margin-top:4.55pt;width:10.2pt;height:11.7pt;z-index:25161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" fillcolor="#fbd4b4" strokecolor="#00c">
                  <v:textbox style="layout-flow:vertical-ideographic"/>
                </v:shape>
              </w:pict>
            </w:r>
          </w:p>
        </w:tc>
        <w:tc>
          <w:tcPr>
            <w:tcW w:w="281" w:type="pct"/>
            <w:gridSpan w:val="4"/>
          </w:tcPr>
          <w:p w:rsidR="000F76E7" w:rsidRPr="005F120D" w:rsidRDefault="000F76E7" w:rsidP="00C437AA">
            <w:pPr>
              <w:pStyle w:val="NoSpacing"/>
              <w:rPr>
                <w:rFonts w:asciiTheme="minorHAnsi" w:hAnsiTheme="minorHAnsi" w:cstheme="minorHAnsi"/>
                <w:sz w:val="18"/>
                <w:szCs w:val="18"/>
              </w:rPr>
            </w:pPr>
          </w:p>
        </w:tc>
        <w:tc>
          <w:tcPr>
            <w:tcW w:w="215" w:type="pct"/>
            <w:gridSpan w:val="2"/>
          </w:tcPr>
          <w:p w:rsidR="000F76E7" w:rsidRPr="005F120D" w:rsidRDefault="000F76E7" w:rsidP="00C437AA">
            <w:pPr>
              <w:pStyle w:val="NoSpacing"/>
              <w:rPr>
                <w:rFonts w:asciiTheme="minorHAnsi" w:hAnsiTheme="minorHAnsi" w:cstheme="minorHAnsi"/>
                <w:sz w:val="18"/>
                <w:szCs w:val="18"/>
              </w:rPr>
            </w:pPr>
          </w:p>
        </w:tc>
        <w:tc>
          <w:tcPr>
            <w:tcW w:w="245" w:type="pct"/>
          </w:tcPr>
          <w:p w:rsidR="000F76E7" w:rsidRPr="005F120D" w:rsidRDefault="000F76E7" w:rsidP="00C437AA">
            <w:pPr>
              <w:pStyle w:val="NoSpacing"/>
              <w:rPr>
                <w:rFonts w:asciiTheme="minorHAnsi" w:hAnsiTheme="minorHAnsi" w:cstheme="minorHAnsi"/>
                <w:sz w:val="18"/>
                <w:szCs w:val="18"/>
              </w:rPr>
            </w:pPr>
          </w:p>
        </w:tc>
        <w:tc>
          <w:tcPr>
            <w:tcW w:w="209" w:type="pct"/>
            <w:gridSpan w:val="2"/>
          </w:tcPr>
          <w:p w:rsidR="000F76E7" w:rsidRPr="005F120D" w:rsidRDefault="000F76E7" w:rsidP="00C437AA">
            <w:pPr>
              <w:pStyle w:val="NoSpacing"/>
              <w:rPr>
                <w:rFonts w:asciiTheme="minorHAnsi" w:hAnsiTheme="minorHAnsi" w:cstheme="minorHAnsi"/>
                <w:sz w:val="18"/>
                <w:szCs w:val="18"/>
              </w:rPr>
            </w:pPr>
          </w:p>
        </w:tc>
        <w:tc>
          <w:tcPr>
            <w:tcW w:w="256" w:type="pct"/>
            <w:gridSpan w:val="6"/>
          </w:tcPr>
          <w:p w:rsidR="000F76E7" w:rsidRPr="005F120D" w:rsidRDefault="000F76E7" w:rsidP="00C437AA">
            <w:pPr>
              <w:pStyle w:val="NoSpacing"/>
              <w:rPr>
                <w:rFonts w:asciiTheme="minorHAnsi" w:hAnsiTheme="minorHAnsi" w:cstheme="minorHAnsi"/>
                <w:sz w:val="18"/>
                <w:szCs w:val="18"/>
              </w:rPr>
            </w:pPr>
          </w:p>
        </w:tc>
        <w:tc>
          <w:tcPr>
            <w:tcW w:w="289" w:type="pct"/>
            <w:gridSpan w:val="2"/>
          </w:tcPr>
          <w:p w:rsidR="000F76E7" w:rsidRPr="005F120D" w:rsidRDefault="000F76E7" w:rsidP="00C437AA">
            <w:pPr>
              <w:pStyle w:val="NoSpacing"/>
              <w:rPr>
                <w:rFonts w:asciiTheme="minorHAnsi" w:hAnsiTheme="minorHAnsi" w:cstheme="minorHAnsi"/>
                <w:sz w:val="18"/>
                <w:szCs w:val="18"/>
              </w:rPr>
            </w:pPr>
          </w:p>
        </w:tc>
        <w:tc>
          <w:tcPr>
            <w:tcW w:w="192" w:type="pct"/>
            <w:gridSpan w:val="2"/>
          </w:tcPr>
          <w:p w:rsidR="000F76E7" w:rsidRPr="005F120D" w:rsidRDefault="000F76E7" w:rsidP="00C437AA">
            <w:pPr>
              <w:pStyle w:val="NoSpacing"/>
              <w:rPr>
                <w:rFonts w:asciiTheme="minorHAnsi" w:hAnsiTheme="minorHAnsi" w:cstheme="minorHAnsi"/>
                <w:sz w:val="18"/>
                <w:szCs w:val="18"/>
              </w:rPr>
            </w:pPr>
          </w:p>
        </w:tc>
        <w:tc>
          <w:tcPr>
            <w:tcW w:w="502" w:type="pct"/>
            <w:gridSpan w:val="2"/>
          </w:tcPr>
          <w:p w:rsidR="000F76E7" w:rsidRPr="005F120D" w:rsidRDefault="000F76E7" w:rsidP="00C437AA">
            <w:pPr>
              <w:pStyle w:val="NoSpacing"/>
              <w:rPr>
                <w:rFonts w:asciiTheme="minorHAnsi" w:hAnsiTheme="minorHAnsi" w:cstheme="minorHAnsi"/>
                <w:sz w:val="18"/>
                <w:szCs w:val="18"/>
              </w:rPr>
            </w:pPr>
          </w:p>
        </w:tc>
      </w:tr>
      <w:tr w:rsidR="000F76E7" w:rsidRPr="005F120D" w:rsidTr="00F30E3C">
        <w:trPr>
          <w:gridAfter w:val="1"/>
          <w:wAfter w:w="19" w:type="pct"/>
          <w:trHeight w:val="809"/>
        </w:trPr>
        <w:tc>
          <w:tcPr>
            <w:tcW w:w="598" w:type="pct"/>
            <w:tcBorders>
              <w:top w:val="single" w:sz="4" w:space="0" w:color="auto"/>
              <w:left w:val="single" w:sz="4" w:space="0" w:color="auto"/>
              <w:bottom w:val="single" w:sz="4" w:space="0" w:color="auto"/>
            </w:tcBorders>
            <w:shd w:val="clear" w:color="auto" w:fill="FFFFFF" w:themeFill="background1"/>
          </w:tcPr>
          <w:p w:rsidR="000F76E7" w:rsidRPr="005F120D" w:rsidRDefault="000F76E7" w:rsidP="00C437AA">
            <w:pPr>
              <w:pStyle w:val="NoSpacing"/>
              <w:jc w:val="center"/>
              <w:rPr>
                <w:rFonts w:asciiTheme="minorHAnsi" w:hAnsiTheme="minorHAnsi" w:cstheme="minorHAnsi"/>
                <w:b/>
                <w:sz w:val="18"/>
                <w:szCs w:val="18"/>
              </w:rPr>
            </w:pPr>
            <w:r w:rsidRPr="005F120D">
              <w:rPr>
                <w:rFonts w:asciiTheme="minorHAnsi" w:hAnsiTheme="minorHAnsi" w:cstheme="minorHAnsi"/>
                <w:b/>
                <w:sz w:val="18"/>
                <w:szCs w:val="18"/>
              </w:rPr>
              <w:t>Purpose/</w:t>
            </w:r>
          </w:p>
          <w:p w:rsidR="000F76E7" w:rsidRPr="005F120D" w:rsidRDefault="000F76E7" w:rsidP="00C437AA">
            <w:pPr>
              <w:pStyle w:val="NoSpacing"/>
              <w:jc w:val="center"/>
              <w:rPr>
                <w:rFonts w:asciiTheme="minorHAnsi" w:hAnsiTheme="minorHAnsi" w:cstheme="minorHAnsi"/>
                <w:b/>
                <w:sz w:val="18"/>
                <w:szCs w:val="18"/>
              </w:rPr>
            </w:pPr>
            <w:r w:rsidRPr="005F120D">
              <w:rPr>
                <w:rFonts w:asciiTheme="minorHAnsi" w:hAnsiTheme="minorHAnsi" w:cstheme="minorHAnsi"/>
                <w:b/>
                <w:sz w:val="18"/>
                <w:szCs w:val="18"/>
              </w:rPr>
              <w:t>Objectives</w:t>
            </w:r>
          </w:p>
        </w:tc>
        <w:tc>
          <w:tcPr>
            <w:tcW w:w="217" w:type="pct"/>
            <w:gridSpan w:val="2"/>
            <w:tcBorders>
              <w:top w:val="single" w:sz="4" w:space="0" w:color="auto"/>
              <w:bottom w:val="single" w:sz="4" w:space="0" w:color="auto"/>
              <w:right w:val="single" w:sz="4" w:space="0" w:color="auto"/>
            </w:tcBorders>
            <w:shd w:val="clear" w:color="auto" w:fill="FFFFFF" w:themeFill="background1"/>
          </w:tcPr>
          <w:p w:rsidR="000F76E7" w:rsidRPr="005F120D" w:rsidRDefault="000F76E7" w:rsidP="00C437AA">
            <w:pPr>
              <w:pStyle w:val="NoSpacing"/>
              <w:jc w:val="center"/>
              <w:rPr>
                <w:rFonts w:asciiTheme="minorHAnsi" w:hAnsiTheme="minorHAnsi" w:cstheme="minorHAnsi"/>
                <w:b/>
                <w:sz w:val="18"/>
                <w:szCs w:val="18"/>
              </w:rPr>
            </w:pPr>
          </w:p>
        </w:tc>
        <w:tc>
          <w:tcPr>
            <w:tcW w:w="4166" w:type="pct"/>
            <w:gridSpan w:val="37"/>
            <w:tcBorders>
              <w:top w:val="single" w:sz="4" w:space="0" w:color="auto"/>
              <w:left w:val="single" w:sz="4" w:space="0" w:color="auto"/>
              <w:bottom w:val="single" w:sz="4" w:space="0" w:color="auto"/>
              <w:right w:val="single" w:sz="4" w:space="0" w:color="auto"/>
            </w:tcBorders>
            <w:shd w:val="clear" w:color="auto" w:fill="FFFFFF" w:themeFill="background1"/>
          </w:tcPr>
          <w:p w:rsidR="000F76E7" w:rsidRPr="005F120D" w:rsidRDefault="000F76E7" w:rsidP="00C437AA">
            <w:pPr>
              <w:pStyle w:val="NoSpacing"/>
              <w:jc w:val="center"/>
              <w:rPr>
                <w:rFonts w:asciiTheme="minorHAnsi" w:hAnsiTheme="minorHAnsi" w:cstheme="minorHAnsi"/>
                <w:b/>
                <w:sz w:val="20"/>
              </w:rPr>
            </w:pPr>
            <w:r w:rsidRPr="005F120D">
              <w:rPr>
                <w:rFonts w:asciiTheme="minorHAnsi" w:hAnsiTheme="minorHAnsi" w:cstheme="minorHAnsi"/>
                <w:b/>
                <w:sz w:val="20"/>
              </w:rPr>
              <w:t xml:space="preserve">To establish </w:t>
            </w:r>
            <w:r w:rsidRPr="005F120D">
              <w:rPr>
                <w:rFonts w:asciiTheme="minorHAnsi" w:hAnsiTheme="minorHAnsi" w:cstheme="minorHAnsi"/>
                <w:b/>
                <w:i/>
                <w:iCs/>
                <w:sz w:val="20"/>
              </w:rPr>
              <w:t>“an efficient, inclusive and equitable primary education system delivering effective and relevant child-friendly learning to all Bangladesh’s children from pre-primary through Grade V primary.”</w:t>
            </w:r>
            <w:r w:rsidRPr="005F120D">
              <w:rPr>
                <w:rFonts w:asciiTheme="minorHAnsi" w:hAnsiTheme="minorHAnsi" w:cstheme="minorHAnsi"/>
                <w:b/>
                <w:sz w:val="20"/>
              </w:rPr>
              <w:sym w:font="Symbol" w:char="F0AE"/>
            </w:r>
            <w:r w:rsidRPr="005F120D">
              <w:rPr>
                <w:rFonts w:asciiTheme="minorHAnsi" w:hAnsiTheme="minorHAnsi" w:cstheme="minorHAnsi"/>
                <w:b/>
                <w:sz w:val="20"/>
              </w:rPr>
              <w:t xml:space="preserve"> Learning</w:t>
            </w:r>
          </w:p>
        </w:tc>
      </w:tr>
      <w:tr w:rsidR="000F76E7" w:rsidRPr="005F120D" w:rsidTr="00F30E3C">
        <w:trPr>
          <w:trHeight w:val="452"/>
        </w:trPr>
        <w:tc>
          <w:tcPr>
            <w:tcW w:w="598" w:type="pct"/>
            <w:tcBorders>
              <w:top w:val="single" w:sz="4" w:space="0" w:color="auto"/>
              <w:bottom w:val="single" w:sz="4" w:space="0" w:color="auto"/>
            </w:tcBorders>
          </w:tcPr>
          <w:p w:rsidR="000F76E7" w:rsidRPr="005F120D" w:rsidRDefault="000F76E7" w:rsidP="00C437AA">
            <w:pPr>
              <w:pStyle w:val="NoSpacing"/>
              <w:rPr>
                <w:rFonts w:asciiTheme="minorHAnsi" w:hAnsiTheme="minorHAnsi" w:cstheme="minorHAnsi"/>
                <w:sz w:val="18"/>
                <w:szCs w:val="18"/>
              </w:rPr>
            </w:pPr>
          </w:p>
        </w:tc>
        <w:tc>
          <w:tcPr>
            <w:tcW w:w="217" w:type="pct"/>
            <w:gridSpan w:val="2"/>
            <w:tcBorders>
              <w:top w:val="single" w:sz="4" w:space="0" w:color="auto"/>
              <w:bottom w:val="single" w:sz="4" w:space="0" w:color="auto"/>
            </w:tcBorders>
          </w:tcPr>
          <w:p w:rsidR="000F76E7" w:rsidRPr="005F120D" w:rsidRDefault="000F76E7" w:rsidP="00C437AA">
            <w:pPr>
              <w:pStyle w:val="NoSpacing"/>
              <w:rPr>
                <w:rFonts w:asciiTheme="minorHAnsi" w:hAnsiTheme="minorHAnsi" w:cstheme="minorHAnsi"/>
                <w:sz w:val="18"/>
                <w:szCs w:val="18"/>
              </w:rPr>
            </w:pPr>
          </w:p>
        </w:tc>
        <w:tc>
          <w:tcPr>
            <w:tcW w:w="117" w:type="pct"/>
          </w:tcPr>
          <w:p w:rsidR="000F76E7" w:rsidRPr="005F120D" w:rsidRDefault="000F76E7" w:rsidP="00C437AA">
            <w:pPr>
              <w:pStyle w:val="NoSpacing"/>
              <w:rPr>
                <w:rFonts w:asciiTheme="minorHAnsi" w:hAnsiTheme="minorHAnsi" w:cstheme="minorHAnsi"/>
                <w:sz w:val="18"/>
                <w:szCs w:val="18"/>
              </w:rPr>
            </w:pPr>
          </w:p>
        </w:tc>
        <w:tc>
          <w:tcPr>
            <w:tcW w:w="259" w:type="pct"/>
            <w:gridSpan w:val="2"/>
          </w:tcPr>
          <w:p w:rsidR="000F76E7" w:rsidRPr="005F120D" w:rsidRDefault="000F76E7" w:rsidP="00C437AA">
            <w:pPr>
              <w:pStyle w:val="NoSpacing"/>
              <w:rPr>
                <w:rFonts w:asciiTheme="minorHAnsi" w:hAnsiTheme="minorHAnsi" w:cstheme="minorHAnsi"/>
                <w:sz w:val="18"/>
                <w:szCs w:val="18"/>
              </w:rPr>
            </w:pPr>
          </w:p>
        </w:tc>
        <w:tc>
          <w:tcPr>
            <w:tcW w:w="455" w:type="pct"/>
            <w:gridSpan w:val="2"/>
          </w:tcPr>
          <w:p w:rsidR="000F76E7" w:rsidRPr="005F120D" w:rsidRDefault="000F76E7" w:rsidP="00C437AA">
            <w:pPr>
              <w:pStyle w:val="NoSpacing"/>
              <w:rPr>
                <w:rFonts w:asciiTheme="minorHAnsi" w:hAnsiTheme="minorHAnsi" w:cstheme="minorHAnsi"/>
                <w:sz w:val="18"/>
                <w:szCs w:val="18"/>
              </w:rPr>
            </w:pPr>
          </w:p>
        </w:tc>
        <w:tc>
          <w:tcPr>
            <w:tcW w:w="189" w:type="pct"/>
            <w:gridSpan w:val="4"/>
          </w:tcPr>
          <w:p w:rsidR="000F76E7" w:rsidRPr="005F120D" w:rsidRDefault="000F76E7" w:rsidP="00C437AA">
            <w:pPr>
              <w:pStyle w:val="NoSpacing"/>
              <w:rPr>
                <w:rFonts w:asciiTheme="minorHAnsi" w:hAnsiTheme="minorHAnsi" w:cstheme="minorHAnsi"/>
                <w:sz w:val="18"/>
                <w:szCs w:val="18"/>
              </w:rPr>
            </w:pPr>
          </w:p>
        </w:tc>
        <w:tc>
          <w:tcPr>
            <w:tcW w:w="192" w:type="pct"/>
            <w:gridSpan w:val="2"/>
          </w:tcPr>
          <w:p w:rsidR="000F76E7" w:rsidRPr="005F120D" w:rsidRDefault="000F76E7" w:rsidP="00C437AA">
            <w:pPr>
              <w:pStyle w:val="NoSpacing"/>
              <w:rPr>
                <w:rFonts w:asciiTheme="minorHAnsi" w:hAnsiTheme="minorHAnsi" w:cstheme="minorHAnsi"/>
                <w:sz w:val="18"/>
                <w:szCs w:val="18"/>
              </w:rPr>
            </w:pPr>
          </w:p>
        </w:tc>
        <w:tc>
          <w:tcPr>
            <w:tcW w:w="117" w:type="pct"/>
          </w:tcPr>
          <w:p w:rsidR="000F76E7" w:rsidRPr="005F120D" w:rsidRDefault="000F76E7" w:rsidP="00C437AA">
            <w:pPr>
              <w:pStyle w:val="NoSpacing"/>
              <w:rPr>
                <w:rFonts w:asciiTheme="minorHAnsi" w:hAnsiTheme="minorHAnsi" w:cstheme="minorHAnsi"/>
                <w:sz w:val="18"/>
                <w:szCs w:val="18"/>
              </w:rPr>
            </w:pPr>
          </w:p>
        </w:tc>
        <w:tc>
          <w:tcPr>
            <w:tcW w:w="655" w:type="pct"/>
            <w:gridSpan w:val="4"/>
          </w:tcPr>
          <w:p w:rsidR="000F76E7" w:rsidRPr="005F120D" w:rsidRDefault="002E2ED5" w:rsidP="00C437AA">
            <w:pPr>
              <w:pStyle w:val="NoSpacing"/>
              <w:rPr>
                <w:rFonts w:asciiTheme="minorHAnsi" w:hAnsiTheme="minorHAnsi" w:cstheme="minorHAnsi"/>
                <w:sz w:val="18"/>
                <w:szCs w:val="18"/>
              </w:rPr>
            </w:pPr>
            <w:r>
              <w:rPr>
                <w:rFonts w:asciiTheme="minorHAnsi" w:hAnsiTheme="minorHAnsi" w:cstheme="minorHAnsi"/>
                <w:noProof/>
                <w:sz w:val="18"/>
                <w:szCs w:val="18"/>
                <w:lang w:eastAsia="en-US"/>
              </w:rPr>
              <w:pict>
                <v:shape id="AutoShape 23" o:spid="_x0000_s1136" type="#_x0000_t68" style="position:absolute;margin-left:27.55pt;margin-top:2.35pt;width:10.2pt;height:15.25pt;z-index:2516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" fillcolor="#fbd4b4" strokecolor="#00c">
                  <v:textbox style="layout-flow:vertical-ideographic"/>
                </v:shape>
              </w:pict>
            </w:r>
          </w:p>
        </w:tc>
        <w:tc>
          <w:tcPr>
            <w:tcW w:w="129" w:type="pct"/>
            <w:gridSpan w:val="3"/>
          </w:tcPr>
          <w:p w:rsidR="000F76E7" w:rsidRPr="005F120D" w:rsidRDefault="000F76E7" w:rsidP="00C437AA">
            <w:pPr>
              <w:pStyle w:val="NoSpacing"/>
              <w:rPr>
                <w:rFonts w:asciiTheme="minorHAnsi" w:hAnsiTheme="minorHAnsi" w:cstheme="minorHAnsi"/>
                <w:sz w:val="18"/>
                <w:szCs w:val="18"/>
              </w:rPr>
            </w:pPr>
          </w:p>
        </w:tc>
        <w:tc>
          <w:tcPr>
            <w:tcW w:w="158" w:type="pct"/>
          </w:tcPr>
          <w:p w:rsidR="000F76E7" w:rsidRPr="005F120D" w:rsidRDefault="000F76E7" w:rsidP="00C437AA">
            <w:pPr>
              <w:pStyle w:val="NoSpacing"/>
              <w:rPr>
                <w:rFonts w:asciiTheme="minorHAnsi" w:hAnsiTheme="minorHAnsi" w:cstheme="minorHAnsi"/>
                <w:sz w:val="18"/>
                <w:szCs w:val="18"/>
              </w:rPr>
            </w:pPr>
          </w:p>
        </w:tc>
        <w:tc>
          <w:tcPr>
            <w:tcW w:w="215" w:type="pct"/>
            <w:gridSpan w:val="2"/>
          </w:tcPr>
          <w:p w:rsidR="000F76E7" w:rsidRPr="005F120D" w:rsidRDefault="000F76E7" w:rsidP="00C437AA">
            <w:pPr>
              <w:pStyle w:val="NoSpacing"/>
              <w:rPr>
                <w:rFonts w:asciiTheme="minorHAnsi" w:hAnsiTheme="minorHAnsi" w:cstheme="minorHAnsi"/>
                <w:sz w:val="18"/>
                <w:szCs w:val="18"/>
              </w:rPr>
            </w:pPr>
          </w:p>
        </w:tc>
        <w:tc>
          <w:tcPr>
            <w:tcW w:w="336" w:type="pct"/>
            <w:gridSpan w:val="3"/>
          </w:tcPr>
          <w:p w:rsidR="000F76E7" w:rsidRPr="005F120D" w:rsidRDefault="000F76E7" w:rsidP="00C437AA">
            <w:pPr>
              <w:pStyle w:val="NoSpacing"/>
              <w:rPr>
                <w:rFonts w:asciiTheme="minorHAnsi" w:hAnsiTheme="minorHAnsi" w:cstheme="minorHAnsi"/>
                <w:sz w:val="18"/>
                <w:szCs w:val="18"/>
              </w:rPr>
            </w:pPr>
          </w:p>
        </w:tc>
        <w:tc>
          <w:tcPr>
            <w:tcW w:w="237" w:type="pct"/>
            <w:gridSpan w:val="3"/>
          </w:tcPr>
          <w:p w:rsidR="000F76E7" w:rsidRPr="005F120D" w:rsidRDefault="000F76E7" w:rsidP="00C437AA">
            <w:pPr>
              <w:pStyle w:val="NoSpacing"/>
              <w:rPr>
                <w:rFonts w:asciiTheme="minorHAnsi" w:hAnsiTheme="minorHAnsi" w:cstheme="minorHAnsi"/>
                <w:sz w:val="18"/>
                <w:szCs w:val="18"/>
              </w:rPr>
            </w:pPr>
          </w:p>
        </w:tc>
        <w:tc>
          <w:tcPr>
            <w:tcW w:w="137" w:type="pct"/>
            <w:gridSpan w:val="3"/>
          </w:tcPr>
          <w:p w:rsidR="000F76E7" w:rsidRPr="005F120D" w:rsidRDefault="000F76E7" w:rsidP="00C437AA">
            <w:pPr>
              <w:pStyle w:val="NoSpacing"/>
              <w:rPr>
                <w:rFonts w:asciiTheme="minorHAnsi" w:hAnsiTheme="minorHAnsi" w:cstheme="minorHAnsi"/>
                <w:sz w:val="18"/>
                <w:szCs w:val="18"/>
              </w:rPr>
            </w:pPr>
          </w:p>
        </w:tc>
        <w:tc>
          <w:tcPr>
            <w:tcW w:w="288" w:type="pct"/>
            <w:gridSpan w:val="2"/>
          </w:tcPr>
          <w:p w:rsidR="000F76E7" w:rsidRPr="005F120D" w:rsidRDefault="000F76E7" w:rsidP="00C437AA">
            <w:pPr>
              <w:pStyle w:val="NoSpacing"/>
              <w:rPr>
                <w:rFonts w:asciiTheme="minorHAnsi" w:hAnsiTheme="minorHAnsi" w:cstheme="minorHAnsi"/>
                <w:sz w:val="18"/>
                <w:szCs w:val="18"/>
              </w:rPr>
            </w:pPr>
          </w:p>
        </w:tc>
        <w:tc>
          <w:tcPr>
            <w:tcW w:w="116" w:type="pct"/>
            <w:gridSpan w:val="2"/>
          </w:tcPr>
          <w:p w:rsidR="000F76E7" w:rsidRPr="005F120D" w:rsidRDefault="000F76E7" w:rsidP="00C437AA">
            <w:pPr>
              <w:pStyle w:val="NoSpacing"/>
              <w:rPr>
                <w:rFonts w:asciiTheme="minorHAnsi" w:hAnsiTheme="minorHAnsi" w:cstheme="minorHAnsi"/>
                <w:sz w:val="18"/>
                <w:szCs w:val="18"/>
              </w:rPr>
            </w:pPr>
          </w:p>
        </w:tc>
        <w:tc>
          <w:tcPr>
            <w:tcW w:w="585" w:type="pct"/>
            <w:gridSpan w:val="3"/>
          </w:tcPr>
          <w:p w:rsidR="000F76E7" w:rsidRPr="005F120D" w:rsidRDefault="000F76E7" w:rsidP="00C437AA">
            <w:pPr>
              <w:pStyle w:val="NoSpacing"/>
              <w:rPr>
                <w:rFonts w:asciiTheme="minorHAnsi" w:hAnsiTheme="minorHAnsi" w:cstheme="minorHAnsi"/>
                <w:sz w:val="18"/>
                <w:szCs w:val="18"/>
              </w:rPr>
            </w:pPr>
          </w:p>
        </w:tc>
      </w:tr>
      <w:tr w:rsidR="000F76E7" w:rsidRPr="005F120D" w:rsidTr="00F30E3C">
        <w:trPr>
          <w:gridAfter w:val="1"/>
          <w:wAfter w:w="19" w:type="pct"/>
          <w:trHeight w:val="1300"/>
        </w:trPr>
        <w:tc>
          <w:tcPr>
            <w:tcW w:w="598" w:type="pct"/>
            <w:tcBorders>
              <w:top w:val="single" w:sz="4" w:space="0" w:color="auto"/>
              <w:left w:val="single" w:sz="4" w:space="0" w:color="auto"/>
              <w:bottom w:val="single" w:sz="4" w:space="0" w:color="auto"/>
            </w:tcBorders>
            <w:shd w:val="clear" w:color="auto" w:fill="B6DDE8" w:themeFill="accent5" w:themeFillTint="66"/>
          </w:tcPr>
          <w:p w:rsidR="000F76E7" w:rsidRPr="005F120D" w:rsidRDefault="000F76E7" w:rsidP="00C437AA">
            <w:pPr>
              <w:pStyle w:val="NoSpacing"/>
              <w:jc w:val="center"/>
              <w:rPr>
                <w:rFonts w:asciiTheme="minorHAnsi" w:hAnsiTheme="minorHAnsi" w:cstheme="minorHAnsi"/>
                <w:b/>
                <w:sz w:val="20"/>
              </w:rPr>
            </w:pPr>
            <w:r w:rsidRPr="005F120D">
              <w:rPr>
                <w:rFonts w:asciiTheme="minorHAnsi" w:hAnsiTheme="minorHAnsi" w:cstheme="minorHAnsi"/>
                <w:b/>
                <w:sz w:val="20"/>
              </w:rPr>
              <w:t>Results areas of PEDP3</w:t>
            </w:r>
          </w:p>
          <w:p w:rsidR="000F76E7" w:rsidRPr="005F120D" w:rsidRDefault="000F76E7" w:rsidP="00C437AA">
            <w:pPr>
              <w:pStyle w:val="NoSpacing"/>
              <w:jc w:val="center"/>
              <w:rPr>
                <w:rFonts w:asciiTheme="minorHAnsi" w:hAnsiTheme="minorHAnsi" w:cstheme="minorHAnsi"/>
                <w:b/>
                <w:sz w:val="20"/>
              </w:rPr>
            </w:pPr>
          </w:p>
          <w:p w:rsidR="000F76E7" w:rsidRPr="005F120D" w:rsidRDefault="000F76E7" w:rsidP="00C437AA">
            <w:pPr>
              <w:pStyle w:val="NoSpacing"/>
              <w:jc w:val="center"/>
              <w:rPr>
                <w:rFonts w:asciiTheme="minorHAnsi" w:hAnsiTheme="minorHAnsi" w:cstheme="minorHAnsi"/>
                <w:b/>
                <w:sz w:val="20"/>
              </w:rPr>
            </w:pPr>
          </w:p>
        </w:tc>
        <w:tc>
          <w:tcPr>
            <w:tcW w:w="217" w:type="pct"/>
            <w:gridSpan w:val="2"/>
            <w:tcBorders>
              <w:top w:val="single" w:sz="4" w:space="0" w:color="auto"/>
              <w:bottom w:val="single" w:sz="4" w:space="0" w:color="auto"/>
              <w:right w:val="single" w:sz="4" w:space="0" w:color="auto"/>
            </w:tcBorders>
            <w:shd w:val="clear" w:color="auto" w:fill="B6DDE8" w:themeFill="accent5" w:themeFillTint="66"/>
          </w:tcPr>
          <w:p w:rsidR="000F76E7" w:rsidRPr="005F120D" w:rsidRDefault="000F76E7" w:rsidP="00C437AA">
            <w:pPr>
              <w:pStyle w:val="NoSpacing"/>
              <w:rPr>
                <w:rFonts w:asciiTheme="minorHAnsi" w:hAnsiTheme="minorHAnsi" w:cstheme="minorHAnsi"/>
                <w:sz w:val="18"/>
                <w:szCs w:val="18"/>
              </w:rPr>
            </w:pPr>
          </w:p>
        </w:tc>
        <w:tc>
          <w:tcPr>
            <w:tcW w:w="830" w:type="pct"/>
            <w:gridSpan w:val="5"/>
            <w:tcBorders>
              <w:top w:val="single" w:sz="4" w:space="0" w:color="auto"/>
              <w:left w:val="single" w:sz="4" w:space="0" w:color="auto"/>
              <w:bottom w:val="single" w:sz="4" w:space="0" w:color="auto"/>
            </w:tcBorders>
            <w:shd w:val="clear" w:color="auto" w:fill="B6DDE8" w:themeFill="accent5" w:themeFillTint="66"/>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Result Areas: </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1. Learning outcomes</w:t>
            </w:r>
          </w:p>
        </w:tc>
        <w:tc>
          <w:tcPr>
            <w:tcW w:w="171" w:type="pct"/>
            <w:gridSpan w:val="3"/>
            <w:tcBorders>
              <w:top w:val="single" w:sz="4" w:space="0" w:color="auto"/>
              <w:bottom w:val="single" w:sz="4" w:space="0" w:color="auto"/>
            </w:tcBorders>
            <w:shd w:val="clear" w:color="auto" w:fill="B6DDE8" w:themeFill="accent5" w:themeFillTint="66"/>
          </w:tcPr>
          <w:p w:rsidR="000F76E7" w:rsidRPr="005F120D" w:rsidRDefault="000F76E7" w:rsidP="00C437AA">
            <w:pPr>
              <w:pStyle w:val="NoSpacing"/>
              <w:rPr>
                <w:rFonts w:asciiTheme="minorHAnsi" w:hAnsiTheme="minorHAnsi" w:cstheme="minorHAnsi"/>
                <w:sz w:val="18"/>
                <w:szCs w:val="18"/>
              </w:rPr>
            </w:pPr>
          </w:p>
        </w:tc>
        <w:tc>
          <w:tcPr>
            <w:tcW w:w="964" w:type="pct"/>
            <w:gridSpan w:val="7"/>
            <w:tcBorders>
              <w:top w:val="single" w:sz="4" w:space="0" w:color="auto"/>
              <w:bottom w:val="single" w:sz="4" w:space="0" w:color="auto"/>
            </w:tcBorders>
            <w:shd w:val="clear" w:color="auto" w:fill="B6DDE8" w:themeFill="accent5" w:themeFillTint="66"/>
          </w:tcPr>
          <w:p w:rsidR="000F76E7" w:rsidRPr="005F120D" w:rsidRDefault="000F76E7" w:rsidP="00C437AA">
            <w:pPr>
              <w:pStyle w:val="NoSpacing"/>
              <w:rPr>
                <w:rFonts w:asciiTheme="minorHAnsi" w:hAnsiTheme="minorHAnsi" w:cstheme="minorHAnsi"/>
                <w:bCs/>
                <w:iCs/>
                <w:sz w:val="18"/>
                <w:szCs w:val="18"/>
              </w:rPr>
            </w:pPr>
            <w:r w:rsidRPr="005F120D">
              <w:rPr>
                <w:rFonts w:asciiTheme="minorHAnsi" w:hAnsiTheme="minorHAnsi" w:cstheme="minorHAnsi"/>
                <w:bCs/>
                <w:iCs/>
                <w:sz w:val="18"/>
                <w:szCs w:val="18"/>
              </w:rPr>
              <w:t xml:space="preserve">2. Universal access and participation and </w:t>
            </w:r>
          </w:p>
          <w:p w:rsidR="000F76E7" w:rsidRPr="005F120D" w:rsidRDefault="000F76E7" w:rsidP="00C437AA">
            <w:pPr>
              <w:pStyle w:val="NoSpacing"/>
              <w:rPr>
                <w:rFonts w:asciiTheme="minorHAnsi" w:hAnsiTheme="minorHAnsi" w:cstheme="minorHAnsi"/>
                <w:bCs/>
                <w:iCs/>
                <w:sz w:val="18"/>
                <w:szCs w:val="18"/>
              </w:rPr>
            </w:pP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bCs/>
                <w:iCs/>
                <w:sz w:val="18"/>
                <w:szCs w:val="18"/>
              </w:rPr>
              <w:t>3. Reducing disparities</w:t>
            </w:r>
          </w:p>
          <w:p w:rsidR="000F76E7" w:rsidRPr="005F120D" w:rsidRDefault="000F76E7" w:rsidP="00C437AA">
            <w:pPr>
              <w:pStyle w:val="NoSpacing"/>
              <w:rPr>
                <w:rFonts w:asciiTheme="minorHAnsi" w:hAnsiTheme="minorHAnsi" w:cstheme="minorHAnsi"/>
                <w:sz w:val="18"/>
                <w:szCs w:val="18"/>
              </w:rPr>
            </w:pPr>
          </w:p>
          <w:p w:rsidR="000F76E7" w:rsidRPr="005F120D" w:rsidRDefault="000F76E7" w:rsidP="00C437AA">
            <w:pPr>
              <w:pStyle w:val="NoSpacing"/>
              <w:rPr>
                <w:rFonts w:asciiTheme="minorHAnsi" w:hAnsiTheme="minorHAnsi" w:cstheme="minorHAnsi"/>
                <w:sz w:val="18"/>
                <w:szCs w:val="18"/>
              </w:rPr>
            </w:pPr>
          </w:p>
        </w:tc>
        <w:tc>
          <w:tcPr>
            <w:tcW w:w="132" w:type="pct"/>
            <w:gridSpan w:val="3"/>
            <w:tcBorders>
              <w:top w:val="single" w:sz="4" w:space="0" w:color="auto"/>
              <w:bottom w:val="single" w:sz="4" w:space="0" w:color="auto"/>
            </w:tcBorders>
            <w:shd w:val="clear" w:color="auto" w:fill="B6DDE8" w:themeFill="accent5" w:themeFillTint="66"/>
          </w:tcPr>
          <w:p w:rsidR="000F76E7" w:rsidRPr="005F120D" w:rsidRDefault="000F76E7" w:rsidP="00C437AA">
            <w:pPr>
              <w:pStyle w:val="NoSpacing"/>
              <w:rPr>
                <w:rFonts w:asciiTheme="minorHAnsi" w:hAnsiTheme="minorHAnsi" w:cstheme="minorHAnsi"/>
                <w:sz w:val="18"/>
                <w:szCs w:val="18"/>
              </w:rPr>
            </w:pPr>
          </w:p>
        </w:tc>
        <w:tc>
          <w:tcPr>
            <w:tcW w:w="961" w:type="pct"/>
            <w:gridSpan w:val="10"/>
            <w:tcBorders>
              <w:top w:val="single" w:sz="4" w:space="0" w:color="auto"/>
              <w:bottom w:val="single" w:sz="4" w:space="0" w:color="auto"/>
            </w:tcBorders>
            <w:shd w:val="clear" w:color="auto" w:fill="B6DDE8" w:themeFill="accent5" w:themeFillTint="66"/>
          </w:tcPr>
          <w:p w:rsidR="000F76E7" w:rsidRPr="005F120D" w:rsidRDefault="000F76E7" w:rsidP="00C437AA">
            <w:pPr>
              <w:pStyle w:val="NoSpacing"/>
              <w:rPr>
                <w:rFonts w:asciiTheme="minorHAnsi" w:hAnsiTheme="minorHAnsi" w:cstheme="minorHAnsi"/>
                <w:bCs/>
                <w:sz w:val="18"/>
                <w:szCs w:val="18"/>
              </w:rPr>
            </w:pPr>
            <w:r w:rsidRPr="005F120D">
              <w:rPr>
                <w:rFonts w:asciiTheme="minorHAnsi" w:hAnsiTheme="minorHAnsi" w:cstheme="minorHAnsi"/>
                <w:bCs/>
                <w:sz w:val="18"/>
                <w:szCs w:val="18"/>
              </w:rPr>
              <w:t xml:space="preserve">4. </w:t>
            </w:r>
            <w:r w:rsidRPr="005F120D">
              <w:rPr>
                <w:rFonts w:asciiTheme="minorHAnsi" w:hAnsiTheme="minorHAnsi" w:cstheme="minorHAnsi"/>
                <w:sz w:val="18"/>
                <w:szCs w:val="18"/>
              </w:rPr>
              <w:t>Upazila</w:t>
            </w:r>
            <w:r w:rsidRPr="005F120D">
              <w:rPr>
                <w:rFonts w:asciiTheme="minorHAnsi" w:hAnsiTheme="minorHAnsi" w:cstheme="minorHAnsi"/>
                <w:i/>
                <w:sz w:val="18"/>
                <w:szCs w:val="18"/>
              </w:rPr>
              <w:t>-</w:t>
            </w:r>
            <w:r w:rsidRPr="005F120D">
              <w:rPr>
                <w:rFonts w:asciiTheme="minorHAnsi" w:hAnsiTheme="minorHAnsi" w:cstheme="minorHAnsi"/>
                <w:sz w:val="18"/>
                <w:szCs w:val="18"/>
              </w:rPr>
              <w:t xml:space="preserve"> and school-level planning decentralized;</w:t>
            </w:r>
            <w:r w:rsidRPr="005F120D">
              <w:rPr>
                <w:rFonts w:asciiTheme="minorHAnsi" w:hAnsiTheme="minorHAnsi" w:cstheme="minorHAnsi"/>
                <w:bCs/>
                <w:sz w:val="18"/>
                <w:szCs w:val="18"/>
              </w:rPr>
              <w:t xml:space="preserve"> and </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bCs/>
                <w:sz w:val="18"/>
                <w:szCs w:val="18"/>
              </w:rPr>
              <w:t xml:space="preserve">5. </w:t>
            </w:r>
            <w:r w:rsidRPr="005F120D">
              <w:rPr>
                <w:rFonts w:asciiTheme="minorHAnsi" w:hAnsiTheme="minorHAnsi" w:cstheme="minorHAnsi"/>
                <w:sz w:val="18"/>
                <w:szCs w:val="18"/>
              </w:rPr>
              <w:t xml:space="preserve">Increased effectiveness of budget allocation </w:t>
            </w:r>
          </w:p>
        </w:tc>
        <w:tc>
          <w:tcPr>
            <w:tcW w:w="1107" w:type="pct"/>
            <w:gridSpan w:val="9"/>
            <w:tcBorders>
              <w:top w:val="single" w:sz="4" w:space="0" w:color="auto"/>
              <w:bottom w:val="single" w:sz="4" w:space="0" w:color="auto"/>
              <w:right w:val="single" w:sz="4" w:space="0" w:color="auto"/>
            </w:tcBorders>
            <w:shd w:val="clear" w:color="auto" w:fill="B6DDE8" w:themeFill="accent5" w:themeFillTint="66"/>
          </w:tcPr>
          <w:p w:rsidR="000F76E7" w:rsidRPr="005F120D" w:rsidRDefault="000F76E7" w:rsidP="00C437AA">
            <w:pPr>
              <w:pStyle w:val="NoSpacing"/>
              <w:rPr>
                <w:rFonts w:asciiTheme="minorHAnsi" w:hAnsiTheme="minorHAnsi" w:cstheme="minorHAnsi"/>
                <w:bCs/>
                <w:iCs/>
                <w:sz w:val="18"/>
                <w:szCs w:val="18"/>
              </w:rPr>
            </w:pPr>
            <w:r w:rsidRPr="005F120D">
              <w:rPr>
                <w:rFonts w:asciiTheme="minorHAnsi" w:hAnsiTheme="minorHAnsi" w:cstheme="minorHAnsi"/>
                <w:bCs/>
                <w:iCs/>
                <w:sz w:val="18"/>
                <w:szCs w:val="18"/>
              </w:rPr>
              <w:t>6. Program planning and management</w:t>
            </w:r>
          </w:p>
          <w:p w:rsidR="000F76E7" w:rsidRPr="005F120D" w:rsidRDefault="000F76E7" w:rsidP="00C437AA">
            <w:pPr>
              <w:pStyle w:val="NoSpacing"/>
              <w:rPr>
                <w:rFonts w:asciiTheme="minorHAnsi" w:hAnsiTheme="minorHAnsi" w:cstheme="minorHAnsi"/>
                <w:sz w:val="18"/>
                <w:szCs w:val="18"/>
              </w:rPr>
            </w:pPr>
          </w:p>
          <w:p w:rsidR="000F76E7" w:rsidRPr="005F120D" w:rsidRDefault="000F76E7" w:rsidP="00C437AA">
            <w:pPr>
              <w:pStyle w:val="NoSpacing"/>
              <w:rPr>
                <w:rFonts w:asciiTheme="minorHAnsi" w:hAnsiTheme="minorHAnsi" w:cstheme="minorHAnsi"/>
                <w:sz w:val="18"/>
                <w:szCs w:val="18"/>
              </w:rPr>
            </w:pPr>
          </w:p>
        </w:tc>
      </w:tr>
      <w:tr w:rsidR="000F76E7" w:rsidRPr="005F120D" w:rsidTr="00F30E3C">
        <w:trPr>
          <w:gridAfter w:val="1"/>
          <w:wAfter w:w="19" w:type="pct"/>
          <w:trHeight w:val="73"/>
        </w:trPr>
        <w:tc>
          <w:tcPr>
            <w:tcW w:w="598" w:type="pct"/>
            <w:tcBorders>
              <w:top w:val="single" w:sz="4" w:space="0" w:color="auto"/>
              <w:left w:val="single" w:sz="4" w:space="0" w:color="auto"/>
              <w:bottom w:val="single" w:sz="4" w:space="0" w:color="auto"/>
            </w:tcBorders>
            <w:shd w:val="clear" w:color="auto" w:fill="DAEEF3" w:themeFill="accent5" w:themeFillTint="33"/>
          </w:tcPr>
          <w:p w:rsidR="000F76E7" w:rsidRPr="005F120D" w:rsidRDefault="000F76E7" w:rsidP="00C437AA">
            <w:pPr>
              <w:pStyle w:val="NoSpacing"/>
              <w:jc w:val="center"/>
              <w:rPr>
                <w:rFonts w:asciiTheme="minorHAnsi" w:hAnsiTheme="minorHAnsi" w:cstheme="minorHAnsi"/>
                <w:b/>
                <w:sz w:val="20"/>
              </w:rPr>
            </w:pPr>
          </w:p>
          <w:p w:rsidR="000F76E7" w:rsidRPr="005F120D" w:rsidRDefault="000F76E7" w:rsidP="00C437AA">
            <w:pPr>
              <w:pStyle w:val="NoSpacing"/>
              <w:jc w:val="center"/>
              <w:rPr>
                <w:rFonts w:asciiTheme="minorHAnsi" w:hAnsiTheme="minorHAnsi" w:cstheme="minorHAnsi"/>
                <w:b/>
                <w:sz w:val="20"/>
              </w:rPr>
            </w:pPr>
            <w:r w:rsidRPr="005F120D">
              <w:rPr>
                <w:rFonts w:asciiTheme="minorHAnsi" w:hAnsiTheme="minorHAnsi" w:cstheme="minorHAnsi"/>
                <w:b/>
                <w:sz w:val="20"/>
              </w:rPr>
              <w:t>Outcomes</w:t>
            </w:r>
          </w:p>
        </w:tc>
        <w:tc>
          <w:tcPr>
            <w:tcW w:w="217" w:type="pct"/>
            <w:gridSpan w:val="2"/>
            <w:tcBorders>
              <w:top w:val="single" w:sz="4" w:space="0" w:color="auto"/>
              <w:bottom w:val="single" w:sz="4" w:space="0" w:color="auto"/>
              <w:right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p>
        </w:tc>
        <w:tc>
          <w:tcPr>
            <w:tcW w:w="1001" w:type="pct"/>
            <w:gridSpan w:val="8"/>
            <w:tcBorders>
              <w:top w:val="single" w:sz="4" w:space="0" w:color="auto"/>
              <w:left w:val="single" w:sz="4" w:space="0" w:color="auto"/>
              <w:bottom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Learning outcomes by grade and subject</w:t>
            </w:r>
          </w:p>
          <w:p w:rsidR="000F76E7" w:rsidRPr="005F120D" w:rsidRDefault="000F76E7" w:rsidP="00C437AA">
            <w:pPr>
              <w:pStyle w:val="NoSpacing"/>
              <w:rPr>
                <w:rFonts w:asciiTheme="minorHAnsi" w:hAnsiTheme="minorHAnsi" w:cstheme="minorHAnsi"/>
                <w:sz w:val="18"/>
                <w:szCs w:val="18"/>
              </w:rPr>
            </w:pP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Terminal exam pass and participation rate</w:t>
            </w:r>
          </w:p>
        </w:tc>
        <w:tc>
          <w:tcPr>
            <w:tcW w:w="964" w:type="pct"/>
            <w:gridSpan w:val="7"/>
            <w:tcBorders>
              <w:top w:val="single" w:sz="4" w:space="0" w:color="auto"/>
              <w:bottom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Increased GERs and NERs</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Enrolled  special need and out-of-school children </w:t>
            </w:r>
          </w:p>
          <w:p w:rsidR="000F76E7" w:rsidRPr="005F120D" w:rsidRDefault="000F76E7" w:rsidP="00C437AA">
            <w:pPr>
              <w:pStyle w:val="NoSpacing"/>
              <w:rPr>
                <w:rFonts w:asciiTheme="minorHAnsi" w:hAnsiTheme="minorHAnsi" w:cstheme="minorHAnsi"/>
                <w:sz w:val="18"/>
                <w:szCs w:val="18"/>
              </w:rPr>
            </w:pP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Gender parity</w:t>
            </w:r>
          </w:p>
        </w:tc>
        <w:tc>
          <w:tcPr>
            <w:tcW w:w="132" w:type="pct"/>
            <w:gridSpan w:val="3"/>
            <w:tcBorders>
              <w:top w:val="single" w:sz="4" w:space="0" w:color="auto"/>
              <w:bottom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p>
        </w:tc>
        <w:tc>
          <w:tcPr>
            <w:tcW w:w="961" w:type="pct"/>
            <w:gridSpan w:val="10"/>
            <w:tcBorders>
              <w:top w:val="single" w:sz="4" w:space="0" w:color="auto"/>
              <w:bottom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Delegated functions</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Survival rate </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Number of years  input per graduate</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Percentage of schools meeting composite school-level quality indicators</w:t>
            </w:r>
          </w:p>
        </w:tc>
        <w:tc>
          <w:tcPr>
            <w:tcW w:w="120" w:type="pct"/>
            <w:tcBorders>
              <w:top w:val="single" w:sz="4" w:space="0" w:color="auto"/>
              <w:bottom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p>
        </w:tc>
        <w:tc>
          <w:tcPr>
            <w:tcW w:w="988" w:type="pct"/>
            <w:gridSpan w:val="8"/>
            <w:tcBorders>
              <w:top w:val="single" w:sz="4" w:space="0" w:color="auto"/>
              <w:bottom w:val="single" w:sz="4" w:space="0" w:color="auto"/>
              <w:right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More terminal competencies achieved</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Increased primary completion </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Increased transition from primary to secondary level</w:t>
            </w:r>
          </w:p>
        </w:tc>
      </w:tr>
      <w:tr w:rsidR="000F76E7" w:rsidRPr="005F120D" w:rsidTr="00F30E3C">
        <w:trPr>
          <w:trHeight w:val="465"/>
        </w:trPr>
        <w:tc>
          <w:tcPr>
            <w:tcW w:w="598" w:type="pct"/>
            <w:tcBorders>
              <w:top w:val="single" w:sz="4" w:space="0" w:color="auto"/>
              <w:bottom w:val="single" w:sz="4" w:space="0" w:color="auto"/>
            </w:tcBorders>
          </w:tcPr>
          <w:p w:rsidR="000F76E7" w:rsidRPr="005F120D" w:rsidRDefault="000F76E7" w:rsidP="00C437AA">
            <w:pPr>
              <w:pStyle w:val="NoSpacing"/>
              <w:jc w:val="center"/>
              <w:rPr>
                <w:rFonts w:asciiTheme="minorHAnsi" w:hAnsiTheme="minorHAnsi" w:cstheme="minorHAnsi"/>
                <w:b/>
                <w:sz w:val="20"/>
              </w:rPr>
            </w:pPr>
          </w:p>
        </w:tc>
        <w:tc>
          <w:tcPr>
            <w:tcW w:w="217" w:type="pct"/>
            <w:gridSpan w:val="2"/>
            <w:tcBorders>
              <w:top w:val="single" w:sz="4" w:space="0" w:color="auto"/>
              <w:bottom w:val="single" w:sz="4" w:space="0" w:color="auto"/>
            </w:tcBorders>
          </w:tcPr>
          <w:p w:rsidR="000F76E7" w:rsidRPr="005F120D" w:rsidRDefault="000F76E7" w:rsidP="00C437AA">
            <w:pPr>
              <w:pStyle w:val="NoSpacing"/>
              <w:rPr>
                <w:rFonts w:asciiTheme="minorHAnsi" w:hAnsiTheme="minorHAnsi" w:cstheme="minorHAnsi"/>
                <w:sz w:val="18"/>
                <w:szCs w:val="18"/>
              </w:rPr>
            </w:pPr>
          </w:p>
        </w:tc>
        <w:tc>
          <w:tcPr>
            <w:tcW w:w="117" w:type="pct"/>
          </w:tcPr>
          <w:p w:rsidR="000F76E7" w:rsidRPr="005F120D" w:rsidRDefault="000F76E7" w:rsidP="00C437AA">
            <w:pPr>
              <w:pStyle w:val="NoSpacing"/>
              <w:rPr>
                <w:rFonts w:asciiTheme="minorHAnsi" w:hAnsiTheme="minorHAnsi" w:cstheme="minorHAnsi"/>
                <w:sz w:val="18"/>
                <w:szCs w:val="18"/>
              </w:rPr>
            </w:pPr>
          </w:p>
        </w:tc>
        <w:tc>
          <w:tcPr>
            <w:tcW w:w="259" w:type="pct"/>
            <w:gridSpan w:val="2"/>
          </w:tcPr>
          <w:p w:rsidR="000F76E7" w:rsidRPr="005F120D" w:rsidRDefault="000F76E7" w:rsidP="00C437AA">
            <w:pPr>
              <w:pStyle w:val="NoSpacing"/>
              <w:rPr>
                <w:rFonts w:asciiTheme="minorHAnsi" w:hAnsiTheme="minorHAnsi" w:cstheme="minorHAnsi"/>
                <w:sz w:val="18"/>
                <w:szCs w:val="18"/>
              </w:rPr>
            </w:pPr>
          </w:p>
        </w:tc>
        <w:tc>
          <w:tcPr>
            <w:tcW w:w="513" w:type="pct"/>
            <w:gridSpan w:val="4"/>
          </w:tcPr>
          <w:p w:rsidR="000F76E7" w:rsidRPr="005F120D" w:rsidRDefault="002E2ED5" w:rsidP="00C437AA">
            <w:pPr>
              <w:pStyle w:val="NoSpacing"/>
              <w:rPr>
                <w:rFonts w:asciiTheme="minorHAnsi" w:hAnsiTheme="minorHAnsi" w:cstheme="minorHAnsi"/>
                <w:sz w:val="18"/>
                <w:szCs w:val="18"/>
              </w:rPr>
            </w:pPr>
            <w:r>
              <w:rPr>
                <w:rFonts w:asciiTheme="minorHAnsi" w:hAnsiTheme="minorHAnsi" w:cstheme="minorHAnsi"/>
                <w:noProof/>
                <w:sz w:val="18"/>
                <w:szCs w:val="18"/>
                <w:lang w:eastAsia="en-US"/>
              </w:rPr>
              <w:pict>
                <v:shape id="AutoShape 24" o:spid="_x0000_s1135" type="#_x0000_t68" style="position:absolute;margin-left:-2.3pt;margin-top:2.6pt;width:10.2pt;height:15.85pt;z-index:25161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" fillcolor="#fbd4b4" strokecolor="#00c">
                  <v:textbox style="layout-flow:vertical-ideographic"/>
                </v:shape>
              </w:pict>
            </w:r>
          </w:p>
        </w:tc>
        <w:tc>
          <w:tcPr>
            <w:tcW w:w="131" w:type="pct"/>
            <w:gridSpan w:val="2"/>
          </w:tcPr>
          <w:p w:rsidR="000F76E7" w:rsidRPr="005F120D" w:rsidRDefault="000F76E7" w:rsidP="00C437AA">
            <w:pPr>
              <w:pStyle w:val="NoSpacing"/>
              <w:rPr>
                <w:rFonts w:asciiTheme="minorHAnsi" w:hAnsiTheme="minorHAnsi" w:cstheme="minorHAnsi"/>
                <w:sz w:val="18"/>
                <w:szCs w:val="18"/>
              </w:rPr>
            </w:pPr>
          </w:p>
        </w:tc>
        <w:tc>
          <w:tcPr>
            <w:tcW w:w="192" w:type="pct"/>
            <w:gridSpan w:val="2"/>
          </w:tcPr>
          <w:p w:rsidR="000F76E7" w:rsidRPr="005F120D" w:rsidRDefault="000F76E7" w:rsidP="00C437AA">
            <w:pPr>
              <w:pStyle w:val="NoSpacing"/>
              <w:rPr>
                <w:rFonts w:asciiTheme="minorHAnsi" w:hAnsiTheme="minorHAnsi" w:cstheme="minorHAnsi"/>
                <w:sz w:val="18"/>
                <w:szCs w:val="18"/>
              </w:rPr>
            </w:pPr>
          </w:p>
        </w:tc>
        <w:tc>
          <w:tcPr>
            <w:tcW w:w="117" w:type="pct"/>
          </w:tcPr>
          <w:p w:rsidR="000F76E7" w:rsidRPr="005F120D" w:rsidRDefault="000F76E7" w:rsidP="00C437AA">
            <w:pPr>
              <w:pStyle w:val="NoSpacing"/>
              <w:rPr>
                <w:rFonts w:asciiTheme="minorHAnsi" w:hAnsiTheme="minorHAnsi" w:cstheme="minorHAnsi"/>
                <w:sz w:val="18"/>
                <w:szCs w:val="18"/>
              </w:rPr>
            </w:pPr>
          </w:p>
        </w:tc>
        <w:tc>
          <w:tcPr>
            <w:tcW w:w="655" w:type="pct"/>
            <w:gridSpan w:val="4"/>
          </w:tcPr>
          <w:p w:rsidR="000F76E7" w:rsidRPr="005F120D" w:rsidRDefault="002E2ED5" w:rsidP="00C437AA">
            <w:pPr>
              <w:pStyle w:val="NoSpacing"/>
              <w:rPr>
                <w:rFonts w:asciiTheme="minorHAnsi" w:hAnsiTheme="minorHAnsi" w:cstheme="minorHAnsi"/>
                <w:sz w:val="18"/>
                <w:szCs w:val="18"/>
              </w:rPr>
            </w:pPr>
            <w:r>
              <w:rPr>
                <w:rFonts w:asciiTheme="minorHAnsi" w:hAnsiTheme="minorHAnsi" w:cstheme="minorHAnsi"/>
                <w:noProof/>
                <w:sz w:val="18"/>
                <w:szCs w:val="18"/>
                <w:lang w:eastAsia="en-US"/>
              </w:rPr>
              <w:pict>
                <v:shape id="AutoShape 20" o:spid="_x0000_s1134" type="#_x0000_t68" style="position:absolute;margin-left:10.25pt;margin-top:2.6pt;width:10.2pt;height:15.85pt;z-index:251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" fillcolor="#fbd4b4" strokecolor="#00c">
                  <v:textbox style="layout-flow:vertical-ideographic"/>
                </v:shape>
              </w:pict>
            </w:r>
          </w:p>
        </w:tc>
        <w:tc>
          <w:tcPr>
            <w:tcW w:w="129" w:type="pct"/>
            <w:gridSpan w:val="3"/>
          </w:tcPr>
          <w:p w:rsidR="000F76E7" w:rsidRPr="005F120D" w:rsidRDefault="000F76E7" w:rsidP="00C437AA">
            <w:pPr>
              <w:pStyle w:val="NoSpacing"/>
              <w:rPr>
                <w:rFonts w:asciiTheme="minorHAnsi" w:hAnsiTheme="minorHAnsi" w:cstheme="minorHAnsi"/>
                <w:sz w:val="18"/>
                <w:szCs w:val="18"/>
              </w:rPr>
            </w:pPr>
          </w:p>
        </w:tc>
        <w:tc>
          <w:tcPr>
            <w:tcW w:w="158" w:type="pct"/>
          </w:tcPr>
          <w:p w:rsidR="000F76E7" w:rsidRPr="005F120D" w:rsidRDefault="000F76E7" w:rsidP="00C437AA">
            <w:pPr>
              <w:pStyle w:val="NoSpacing"/>
              <w:rPr>
                <w:rFonts w:asciiTheme="minorHAnsi" w:hAnsiTheme="minorHAnsi" w:cstheme="minorHAnsi"/>
                <w:sz w:val="18"/>
                <w:szCs w:val="18"/>
              </w:rPr>
            </w:pPr>
          </w:p>
        </w:tc>
        <w:tc>
          <w:tcPr>
            <w:tcW w:w="215" w:type="pct"/>
            <w:gridSpan w:val="2"/>
          </w:tcPr>
          <w:p w:rsidR="000F76E7" w:rsidRPr="005F120D" w:rsidRDefault="000F76E7" w:rsidP="00C437AA">
            <w:pPr>
              <w:pStyle w:val="NoSpacing"/>
              <w:rPr>
                <w:rFonts w:asciiTheme="minorHAnsi" w:hAnsiTheme="minorHAnsi" w:cstheme="minorHAnsi"/>
                <w:sz w:val="18"/>
                <w:szCs w:val="18"/>
              </w:rPr>
            </w:pPr>
          </w:p>
        </w:tc>
        <w:tc>
          <w:tcPr>
            <w:tcW w:w="336" w:type="pct"/>
            <w:gridSpan w:val="3"/>
          </w:tcPr>
          <w:p w:rsidR="000F76E7" w:rsidRPr="005F120D" w:rsidRDefault="002E2ED5" w:rsidP="00C437AA">
            <w:pPr>
              <w:pStyle w:val="NoSpacing"/>
              <w:rPr>
                <w:rFonts w:asciiTheme="minorHAnsi" w:hAnsiTheme="minorHAnsi" w:cstheme="minorHAnsi"/>
                <w:sz w:val="18"/>
                <w:szCs w:val="18"/>
              </w:rPr>
            </w:pPr>
            <w:r>
              <w:rPr>
                <w:rFonts w:asciiTheme="minorHAnsi" w:hAnsiTheme="minorHAnsi" w:cstheme="minorHAnsi"/>
                <w:noProof/>
                <w:sz w:val="18"/>
                <w:szCs w:val="18"/>
                <w:lang w:eastAsia="en-US"/>
              </w:rPr>
              <w:pict>
                <v:shape id="AutoShape 21" o:spid="_x0000_s1133" type="#_x0000_t68" style="position:absolute;margin-left:-2.6pt;margin-top:2.6pt;width:10.2pt;height:15.85pt;z-index:2516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" fillcolor="#fbd4b4" strokecolor="#00c">
                  <v:textbox style="layout-flow:vertical-ideographic"/>
                </v:shape>
              </w:pict>
            </w:r>
          </w:p>
        </w:tc>
        <w:tc>
          <w:tcPr>
            <w:tcW w:w="237" w:type="pct"/>
            <w:gridSpan w:val="3"/>
          </w:tcPr>
          <w:p w:rsidR="000F76E7" w:rsidRPr="005F120D" w:rsidRDefault="000F76E7" w:rsidP="00C437AA">
            <w:pPr>
              <w:pStyle w:val="NoSpacing"/>
              <w:rPr>
                <w:rFonts w:asciiTheme="minorHAnsi" w:hAnsiTheme="minorHAnsi" w:cstheme="minorHAnsi"/>
                <w:sz w:val="18"/>
                <w:szCs w:val="18"/>
              </w:rPr>
            </w:pPr>
          </w:p>
        </w:tc>
        <w:tc>
          <w:tcPr>
            <w:tcW w:w="137" w:type="pct"/>
            <w:gridSpan w:val="3"/>
          </w:tcPr>
          <w:p w:rsidR="000F76E7" w:rsidRPr="005F120D" w:rsidRDefault="000F76E7" w:rsidP="00C437AA">
            <w:pPr>
              <w:pStyle w:val="NoSpacing"/>
              <w:rPr>
                <w:rFonts w:asciiTheme="minorHAnsi" w:hAnsiTheme="minorHAnsi" w:cstheme="minorHAnsi"/>
                <w:sz w:val="18"/>
                <w:szCs w:val="18"/>
              </w:rPr>
            </w:pPr>
          </w:p>
        </w:tc>
        <w:tc>
          <w:tcPr>
            <w:tcW w:w="288" w:type="pct"/>
            <w:gridSpan w:val="2"/>
          </w:tcPr>
          <w:p w:rsidR="000F76E7" w:rsidRPr="005F120D" w:rsidRDefault="000F76E7" w:rsidP="00C437AA">
            <w:pPr>
              <w:pStyle w:val="NoSpacing"/>
              <w:rPr>
                <w:rFonts w:asciiTheme="minorHAnsi" w:hAnsiTheme="minorHAnsi" w:cstheme="minorHAnsi"/>
                <w:sz w:val="18"/>
                <w:szCs w:val="18"/>
              </w:rPr>
            </w:pPr>
          </w:p>
        </w:tc>
        <w:tc>
          <w:tcPr>
            <w:tcW w:w="116" w:type="pct"/>
            <w:gridSpan w:val="2"/>
          </w:tcPr>
          <w:p w:rsidR="000F76E7" w:rsidRPr="005F120D" w:rsidRDefault="002E2ED5" w:rsidP="00C437AA">
            <w:pPr>
              <w:pStyle w:val="NoSpacing"/>
              <w:rPr>
                <w:rFonts w:asciiTheme="minorHAnsi" w:hAnsiTheme="minorHAnsi" w:cstheme="minorHAnsi"/>
                <w:sz w:val="18"/>
                <w:szCs w:val="18"/>
              </w:rPr>
            </w:pPr>
            <w:r>
              <w:rPr>
                <w:rFonts w:asciiTheme="minorHAnsi" w:hAnsiTheme="minorHAnsi" w:cstheme="minorHAnsi"/>
                <w:noProof/>
                <w:sz w:val="18"/>
                <w:szCs w:val="18"/>
                <w:lang w:eastAsia="en-US"/>
              </w:rPr>
              <w:pict>
                <v:shape id="AutoShape 25" o:spid="_x0000_s1132" type="#_x0000_t68" style="position:absolute;margin-left:5.6pt;margin-top:2.6pt;width:10.2pt;height:15.85pt;z-index:25162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" fillcolor="#fbd4b4" strokecolor="#00c">
                  <v:textbox style="layout-flow:vertical-ideographic"/>
                </v:shape>
              </w:pict>
            </w:r>
          </w:p>
        </w:tc>
        <w:tc>
          <w:tcPr>
            <w:tcW w:w="585" w:type="pct"/>
            <w:gridSpan w:val="3"/>
          </w:tcPr>
          <w:p w:rsidR="000F76E7" w:rsidRPr="005F120D" w:rsidRDefault="000F76E7" w:rsidP="00C437AA">
            <w:pPr>
              <w:pStyle w:val="NoSpacing"/>
              <w:rPr>
                <w:rFonts w:asciiTheme="minorHAnsi" w:hAnsiTheme="minorHAnsi" w:cstheme="minorHAnsi"/>
                <w:sz w:val="18"/>
                <w:szCs w:val="18"/>
              </w:rPr>
            </w:pPr>
          </w:p>
        </w:tc>
      </w:tr>
      <w:tr w:rsidR="000F76E7" w:rsidRPr="005F120D" w:rsidTr="00F30E3C">
        <w:trPr>
          <w:gridAfter w:val="1"/>
          <w:wAfter w:w="19" w:type="pct"/>
          <w:trHeight w:val="877"/>
        </w:trPr>
        <w:tc>
          <w:tcPr>
            <w:tcW w:w="688" w:type="pct"/>
            <w:gridSpan w:val="2"/>
            <w:tcBorders>
              <w:top w:val="single" w:sz="4" w:space="0" w:color="auto"/>
              <w:left w:val="single" w:sz="4" w:space="0" w:color="auto"/>
              <w:bottom w:val="single" w:sz="4" w:space="0" w:color="auto"/>
            </w:tcBorders>
            <w:shd w:val="clear" w:color="auto" w:fill="CCC0D9" w:themeFill="accent4" w:themeFillTint="66"/>
          </w:tcPr>
          <w:p w:rsidR="000F76E7" w:rsidRPr="005F120D" w:rsidRDefault="000F76E7" w:rsidP="00C437AA">
            <w:pPr>
              <w:pStyle w:val="NoSpacing"/>
              <w:rPr>
                <w:rFonts w:asciiTheme="minorHAnsi" w:hAnsiTheme="minorHAnsi" w:cstheme="minorHAnsi"/>
                <w:b/>
                <w:sz w:val="20"/>
              </w:rPr>
            </w:pPr>
            <w:r w:rsidRPr="005F120D">
              <w:rPr>
                <w:rFonts w:asciiTheme="minorHAnsi" w:hAnsiTheme="minorHAnsi" w:cstheme="minorHAnsi"/>
                <w:b/>
                <w:sz w:val="20"/>
              </w:rPr>
              <w:t>Components of PEDP3</w:t>
            </w:r>
          </w:p>
        </w:tc>
        <w:tc>
          <w:tcPr>
            <w:tcW w:w="128" w:type="pct"/>
            <w:tcBorders>
              <w:top w:val="single" w:sz="4" w:space="0" w:color="auto"/>
              <w:bottom w:val="single" w:sz="4" w:space="0" w:color="auto"/>
              <w:right w:val="single" w:sz="4" w:space="0" w:color="auto"/>
            </w:tcBorders>
            <w:shd w:val="clear" w:color="auto" w:fill="CCC0D9" w:themeFill="accent4" w:themeFillTint="66"/>
          </w:tcPr>
          <w:p w:rsidR="000F76E7" w:rsidRPr="005F120D" w:rsidRDefault="000F76E7" w:rsidP="00C437AA">
            <w:pPr>
              <w:pStyle w:val="NoSpacing"/>
              <w:rPr>
                <w:rFonts w:asciiTheme="minorHAnsi" w:hAnsiTheme="minorHAnsi" w:cstheme="minorHAnsi"/>
                <w:sz w:val="18"/>
                <w:szCs w:val="18"/>
              </w:rPr>
            </w:pPr>
          </w:p>
        </w:tc>
        <w:tc>
          <w:tcPr>
            <w:tcW w:w="873" w:type="pct"/>
            <w:gridSpan w:val="6"/>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COMPONENT 1 </w:t>
            </w:r>
            <w:r w:rsidRPr="005F120D">
              <w:rPr>
                <w:rFonts w:asciiTheme="minorHAnsi" w:hAnsiTheme="minorHAnsi" w:cstheme="minorHAnsi"/>
                <w:bCs/>
                <w:sz w:val="18"/>
                <w:szCs w:val="18"/>
              </w:rPr>
              <w:t xml:space="preserve"> Learning and Teaching</w:t>
            </w:r>
          </w:p>
        </w:tc>
        <w:tc>
          <w:tcPr>
            <w:tcW w:w="128" w:type="pct"/>
            <w:gridSpan w:val="2"/>
            <w:tcBorders>
              <w:left w:val="single" w:sz="4" w:space="0" w:color="auto"/>
              <w:right w:val="single" w:sz="4" w:space="0" w:color="auto"/>
            </w:tcBorders>
            <w:shd w:val="clear" w:color="auto" w:fill="CCC0D9" w:themeFill="accent4" w:themeFillTint="66"/>
          </w:tcPr>
          <w:p w:rsidR="000F76E7" w:rsidRPr="005F120D" w:rsidRDefault="000F76E7" w:rsidP="00C437AA">
            <w:pPr>
              <w:pStyle w:val="NoSpacing"/>
              <w:rPr>
                <w:rFonts w:asciiTheme="minorHAnsi" w:hAnsiTheme="minorHAnsi" w:cstheme="minorHAnsi"/>
                <w:sz w:val="18"/>
                <w:szCs w:val="18"/>
              </w:rPr>
            </w:pPr>
          </w:p>
        </w:tc>
        <w:tc>
          <w:tcPr>
            <w:tcW w:w="964" w:type="pct"/>
            <w:gridSpan w:val="7"/>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COMPONENT 2</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Participation and  disparities</w:t>
            </w:r>
          </w:p>
        </w:tc>
        <w:tc>
          <w:tcPr>
            <w:tcW w:w="132" w:type="pct"/>
            <w:gridSpan w:val="3"/>
            <w:tcBorders>
              <w:left w:val="single" w:sz="4" w:space="0" w:color="auto"/>
              <w:right w:val="single" w:sz="4" w:space="0" w:color="auto"/>
            </w:tcBorders>
            <w:shd w:val="clear" w:color="auto" w:fill="CCC0D9" w:themeFill="accent4" w:themeFillTint="66"/>
          </w:tcPr>
          <w:p w:rsidR="000F76E7" w:rsidRPr="005F120D" w:rsidRDefault="000F76E7" w:rsidP="00C437AA">
            <w:pPr>
              <w:pStyle w:val="NoSpacing"/>
              <w:rPr>
                <w:rFonts w:asciiTheme="minorHAnsi" w:hAnsiTheme="minorHAnsi" w:cstheme="minorHAnsi"/>
                <w:sz w:val="18"/>
                <w:szCs w:val="18"/>
              </w:rPr>
            </w:pPr>
          </w:p>
        </w:tc>
        <w:tc>
          <w:tcPr>
            <w:tcW w:w="961" w:type="pct"/>
            <w:gridSpan w:val="10"/>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F76E7" w:rsidRPr="005F120D" w:rsidRDefault="000F76E7" w:rsidP="00C437AA">
            <w:pPr>
              <w:pStyle w:val="NoSpacing"/>
              <w:rPr>
                <w:rFonts w:asciiTheme="minorHAnsi" w:hAnsiTheme="minorHAnsi" w:cstheme="minorHAnsi"/>
                <w:bCs/>
                <w:sz w:val="18"/>
                <w:szCs w:val="18"/>
              </w:rPr>
            </w:pPr>
            <w:r w:rsidRPr="005F120D">
              <w:rPr>
                <w:rFonts w:asciiTheme="minorHAnsi" w:hAnsiTheme="minorHAnsi" w:cstheme="minorHAnsi"/>
                <w:sz w:val="18"/>
                <w:szCs w:val="18"/>
              </w:rPr>
              <w:t>COMPONENT 3</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bCs/>
                <w:sz w:val="18"/>
                <w:szCs w:val="18"/>
              </w:rPr>
              <w:t>Decentralization and effectiveness</w:t>
            </w:r>
          </w:p>
        </w:tc>
        <w:tc>
          <w:tcPr>
            <w:tcW w:w="129" w:type="pct"/>
            <w:gridSpan w:val="2"/>
            <w:tcBorders>
              <w:left w:val="single" w:sz="4" w:space="0" w:color="auto"/>
              <w:right w:val="single" w:sz="4" w:space="0" w:color="auto"/>
            </w:tcBorders>
            <w:shd w:val="clear" w:color="auto" w:fill="CCC0D9" w:themeFill="accent4" w:themeFillTint="66"/>
          </w:tcPr>
          <w:p w:rsidR="000F76E7" w:rsidRPr="005F120D" w:rsidRDefault="000F76E7" w:rsidP="00C437AA">
            <w:pPr>
              <w:pStyle w:val="NoSpacing"/>
              <w:rPr>
                <w:rFonts w:asciiTheme="minorHAnsi" w:hAnsiTheme="minorHAnsi" w:cstheme="minorHAnsi"/>
                <w:sz w:val="18"/>
                <w:szCs w:val="18"/>
              </w:rPr>
            </w:pPr>
          </w:p>
        </w:tc>
        <w:tc>
          <w:tcPr>
            <w:tcW w:w="978" w:type="pct"/>
            <w:gridSpan w:val="7"/>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COMPONENT 4</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Program</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planning and management</w:t>
            </w:r>
          </w:p>
        </w:tc>
      </w:tr>
      <w:tr w:rsidR="000F76E7" w:rsidRPr="005F120D" w:rsidTr="00F30E3C">
        <w:trPr>
          <w:trHeight w:val="75"/>
        </w:trPr>
        <w:tc>
          <w:tcPr>
            <w:tcW w:w="598" w:type="pct"/>
            <w:tcBorders>
              <w:top w:val="single" w:sz="4" w:space="0" w:color="auto"/>
              <w:bottom w:val="single" w:sz="4" w:space="0" w:color="auto"/>
            </w:tcBorders>
          </w:tcPr>
          <w:p w:rsidR="000F76E7" w:rsidRPr="005F120D" w:rsidRDefault="000F76E7" w:rsidP="00C437AA">
            <w:pPr>
              <w:pStyle w:val="NoSpacing"/>
              <w:jc w:val="center"/>
              <w:rPr>
                <w:rFonts w:asciiTheme="minorHAnsi" w:hAnsiTheme="minorHAnsi" w:cstheme="minorHAnsi"/>
                <w:b/>
                <w:sz w:val="20"/>
              </w:rPr>
            </w:pPr>
          </w:p>
        </w:tc>
        <w:tc>
          <w:tcPr>
            <w:tcW w:w="217" w:type="pct"/>
            <w:gridSpan w:val="2"/>
            <w:tcBorders>
              <w:top w:val="single" w:sz="4" w:space="0" w:color="auto"/>
              <w:bottom w:val="single" w:sz="4" w:space="0" w:color="auto"/>
            </w:tcBorders>
          </w:tcPr>
          <w:p w:rsidR="000F76E7" w:rsidRPr="005F120D" w:rsidRDefault="000F76E7" w:rsidP="00C437AA">
            <w:pPr>
              <w:pStyle w:val="NoSpacing"/>
              <w:rPr>
                <w:rFonts w:asciiTheme="minorHAnsi" w:hAnsiTheme="minorHAnsi" w:cstheme="minorHAnsi"/>
                <w:sz w:val="18"/>
                <w:szCs w:val="18"/>
              </w:rPr>
            </w:pPr>
          </w:p>
        </w:tc>
        <w:tc>
          <w:tcPr>
            <w:tcW w:w="117" w:type="pct"/>
          </w:tcPr>
          <w:p w:rsidR="000F76E7" w:rsidRPr="005F120D" w:rsidRDefault="000F76E7" w:rsidP="00C437AA">
            <w:pPr>
              <w:pStyle w:val="NoSpacing"/>
              <w:rPr>
                <w:rFonts w:asciiTheme="minorHAnsi" w:hAnsiTheme="minorHAnsi" w:cstheme="minorHAnsi"/>
                <w:sz w:val="18"/>
                <w:szCs w:val="18"/>
              </w:rPr>
            </w:pPr>
          </w:p>
        </w:tc>
        <w:tc>
          <w:tcPr>
            <w:tcW w:w="259" w:type="pct"/>
            <w:gridSpan w:val="2"/>
          </w:tcPr>
          <w:p w:rsidR="000F76E7" w:rsidRPr="005F120D" w:rsidRDefault="000F76E7" w:rsidP="00C437AA">
            <w:pPr>
              <w:pStyle w:val="NoSpacing"/>
              <w:rPr>
                <w:rFonts w:asciiTheme="minorHAnsi" w:hAnsiTheme="minorHAnsi" w:cstheme="minorHAnsi"/>
                <w:sz w:val="18"/>
                <w:szCs w:val="18"/>
              </w:rPr>
            </w:pPr>
          </w:p>
        </w:tc>
        <w:tc>
          <w:tcPr>
            <w:tcW w:w="513" w:type="pct"/>
            <w:gridSpan w:val="4"/>
          </w:tcPr>
          <w:p w:rsidR="000F76E7" w:rsidRPr="005F120D" w:rsidRDefault="000F76E7" w:rsidP="00C437AA">
            <w:pPr>
              <w:pStyle w:val="NoSpacing"/>
              <w:rPr>
                <w:rFonts w:asciiTheme="minorHAnsi" w:hAnsiTheme="minorHAnsi" w:cstheme="minorHAnsi"/>
                <w:sz w:val="18"/>
                <w:szCs w:val="18"/>
              </w:rPr>
            </w:pPr>
          </w:p>
        </w:tc>
        <w:tc>
          <w:tcPr>
            <w:tcW w:w="131" w:type="pct"/>
            <w:gridSpan w:val="2"/>
          </w:tcPr>
          <w:p w:rsidR="000F76E7" w:rsidRPr="005F120D" w:rsidRDefault="000F76E7" w:rsidP="00C437AA">
            <w:pPr>
              <w:pStyle w:val="NoSpacing"/>
              <w:rPr>
                <w:rFonts w:asciiTheme="minorHAnsi" w:hAnsiTheme="minorHAnsi" w:cstheme="minorHAnsi"/>
                <w:sz w:val="18"/>
                <w:szCs w:val="18"/>
              </w:rPr>
            </w:pPr>
          </w:p>
        </w:tc>
        <w:tc>
          <w:tcPr>
            <w:tcW w:w="192" w:type="pct"/>
            <w:gridSpan w:val="2"/>
          </w:tcPr>
          <w:p w:rsidR="000F76E7" w:rsidRPr="005F120D" w:rsidRDefault="000F76E7" w:rsidP="00C437AA">
            <w:pPr>
              <w:pStyle w:val="NoSpacing"/>
              <w:rPr>
                <w:rFonts w:asciiTheme="minorHAnsi" w:hAnsiTheme="minorHAnsi" w:cstheme="minorHAnsi"/>
                <w:sz w:val="18"/>
                <w:szCs w:val="18"/>
              </w:rPr>
            </w:pPr>
          </w:p>
        </w:tc>
        <w:tc>
          <w:tcPr>
            <w:tcW w:w="117" w:type="pct"/>
          </w:tcPr>
          <w:p w:rsidR="000F76E7" w:rsidRPr="005F120D" w:rsidRDefault="000F76E7" w:rsidP="00C437AA">
            <w:pPr>
              <w:pStyle w:val="NoSpacing"/>
              <w:rPr>
                <w:rFonts w:asciiTheme="minorHAnsi" w:hAnsiTheme="minorHAnsi" w:cstheme="minorHAnsi"/>
                <w:sz w:val="18"/>
                <w:szCs w:val="18"/>
              </w:rPr>
            </w:pPr>
          </w:p>
        </w:tc>
        <w:tc>
          <w:tcPr>
            <w:tcW w:w="655" w:type="pct"/>
            <w:gridSpan w:val="4"/>
          </w:tcPr>
          <w:p w:rsidR="000F76E7" w:rsidRPr="005F120D" w:rsidRDefault="000F76E7" w:rsidP="00C437AA">
            <w:pPr>
              <w:pStyle w:val="NoSpacing"/>
              <w:rPr>
                <w:rFonts w:asciiTheme="minorHAnsi" w:hAnsiTheme="minorHAnsi" w:cstheme="minorHAnsi"/>
                <w:sz w:val="18"/>
                <w:szCs w:val="18"/>
              </w:rPr>
            </w:pPr>
          </w:p>
        </w:tc>
        <w:tc>
          <w:tcPr>
            <w:tcW w:w="129" w:type="pct"/>
            <w:gridSpan w:val="3"/>
          </w:tcPr>
          <w:p w:rsidR="000F76E7" w:rsidRPr="005F120D" w:rsidRDefault="000F76E7" w:rsidP="00C437AA">
            <w:pPr>
              <w:pStyle w:val="NoSpacing"/>
              <w:rPr>
                <w:rFonts w:asciiTheme="minorHAnsi" w:hAnsiTheme="minorHAnsi" w:cstheme="minorHAnsi"/>
                <w:sz w:val="18"/>
                <w:szCs w:val="18"/>
              </w:rPr>
            </w:pPr>
          </w:p>
        </w:tc>
        <w:tc>
          <w:tcPr>
            <w:tcW w:w="158" w:type="pct"/>
          </w:tcPr>
          <w:p w:rsidR="000F76E7" w:rsidRPr="005F120D" w:rsidRDefault="000F76E7" w:rsidP="00C437AA">
            <w:pPr>
              <w:pStyle w:val="NoSpacing"/>
              <w:rPr>
                <w:rFonts w:asciiTheme="minorHAnsi" w:hAnsiTheme="minorHAnsi" w:cstheme="minorHAnsi"/>
                <w:sz w:val="18"/>
                <w:szCs w:val="18"/>
              </w:rPr>
            </w:pPr>
          </w:p>
        </w:tc>
        <w:tc>
          <w:tcPr>
            <w:tcW w:w="215" w:type="pct"/>
            <w:gridSpan w:val="2"/>
          </w:tcPr>
          <w:p w:rsidR="000F76E7" w:rsidRPr="005F120D" w:rsidRDefault="000F76E7" w:rsidP="00C437AA">
            <w:pPr>
              <w:pStyle w:val="NoSpacing"/>
              <w:rPr>
                <w:rFonts w:asciiTheme="minorHAnsi" w:hAnsiTheme="minorHAnsi" w:cstheme="minorHAnsi"/>
                <w:sz w:val="18"/>
                <w:szCs w:val="18"/>
              </w:rPr>
            </w:pPr>
          </w:p>
        </w:tc>
        <w:tc>
          <w:tcPr>
            <w:tcW w:w="336" w:type="pct"/>
            <w:gridSpan w:val="3"/>
          </w:tcPr>
          <w:p w:rsidR="000F76E7" w:rsidRPr="005F120D" w:rsidRDefault="000F76E7" w:rsidP="00C437AA">
            <w:pPr>
              <w:pStyle w:val="NoSpacing"/>
              <w:rPr>
                <w:rFonts w:asciiTheme="minorHAnsi" w:hAnsiTheme="minorHAnsi" w:cstheme="minorHAnsi"/>
                <w:sz w:val="18"/>
                <w:szCs w:val="18"/>
              </w:rPr>
            </w:pPr>
          </w:p>
        </w:tc>
        <w:tc>
          <w:tcPr>
            <w:tcW w:w="147" w:type="pct"/>
            <w:gridSpan w:val="2"/>
          </w:tcPr>
          <w:p w:rsidR="000F76E7" w:rsidRPr="005F120D" w:rsidRDefault="000F76E7" w:rsidP="00C437AA">
            <w:pPr>
              <w:pStyle w:val="NoSpacing"/>
              <w:rPr>
                <w:rFonts w:asciiTheme="minorHAnsi" w:hAnsiTheme="minorHAnsi" w:cstheme="minorHAnsi"/>
                <w:sz w:val="18"/>
                <w:szCs w:val="18"/>
              </w:rPr>
            </w:pPr>
          </w:p>
        </w:tc>
        <w:tc>
          <w:tcPr>
            <w:tcW w:w="228" w:type="pct"/>
            <w:gridSpan w:val="4"/>
          </w:tcPr>
          <w:p w:rsidR="000F76E7" w:rsidRPr="005F120D" w:rsidRDefault="000F76E7" w:rsidP="00C437AA">
            <w:pPr>
              <w:pStyle w:val="NoSpacing"/>
              <w:rPr>
                <w:rFonts w:asciiTheme="minorHAnsi" w:hAnsiTheme="minorHAnsi" w:cstheme="minorHAnsi"/>
                <w:sz w:val="18"/>
                <w:szCs w:val="18"/>
              </w:rPr>
            </w:pPr>
          </w:p>
        </w:tc>
        <w:tc>
          <w:tcPr>
            <w:tcW w:w="288" w:type="pct"/>
            <w:gridSpan w:val="2"/>
          </w:tcPr>
          <w:p w:rsidR="000F76E7" w:rsidRPr="005F120D" w:rsidRDefault="000F76E7" w:rsidP="00C437AA">
            <w:pPr>
              <w:pStyle w:val="NoSpacing"/>
              <w:rPr>
                <w:rFonts w:asciiTheme="minorHAnsi" w:hAnsiTheme="minorHAnsi" w:cstheme="minorHAnsi"/>
                <w:sz w:val="18"/>
                <w:szCs w:val="18"/>
              </w:rPr>
            </w:pPr>
          </w:p>
        </w:tc>
        <w:tc>
          <w:tcPr>
            <w:tcW w:w="116" w:type="pct"/>
            <w:gridSpan w:val="2"/>
          </w:tcPr>
          <w:p w:rsidR="000F76E7" w:rsidRPr="005F120D" w:rsidRDefault="000F76E7" w:rsidP="00C437AA">
            <w:pPr>
              <w:pStyle w:val="NoSpacing"/>
              <w:rPr>
                <w:rFonts w:asciiTheme="minorHAnsi" w:hAnsiTheme="minorHAnsi" w:cstheme="minorHAnsi"/>
                <w:sz w:val="18"/>
                <w:szCs w:val="18"/>
              </w:rPr>
            </w:pPr>
          </w:p>
        </w:tc>
        <w:tc>
          <w:tcPr>
            <w:tcW w:w="585" w:type="pct"/>
            <w:gridSpan w:val="3"/>
          </w:tcPr>
          <w:p w:rsidR="000F76E7" w:rsidRPr="005F120D" w:rsidRDefault="000F76E7" w:rsidP="00C437AA">
            <w:pPr>
              <w:pStyle w:val="NoSpacing"/>
              <w:rPr>
                <w:rFonts w:asciiTheme="minorHAnsi" w:hAnsiTheme="minorHAnsi" w:cstheme="minorHAnsi"/>
                <w:sz w:val="18"/>
                <w:szCs w:val="18"/>
              </w:rPr>
            </w:pPr>
          </w:p>
        </w:tc>
      </w:tr>
      <w:tr w:rsidR="000F76E7" w:rsidRPr="005F120D" w:rsidTr="00F30E3C">
        <w:trPr>
          <w:gridAfter w:val="1"/>
          <w:wAfter w:w="19" w:type="pct"/>
          <w:trHeight w:val="360"/>
        </w:trPr>
        <w:tc>
          <w:tcPr>
            <w:tcW w:w="598" w:type="pct"/>
            <w:tcBorders>
              <w:top w:val="single" w:sz="4" w:space="0" w:color="auto"/>
              <w:left w:val="single" w:sz="4" w:space="0" w:color="auto"/>
              <w:bottom w:val="single" w:sz="4" w:space="0" w:color="auto"/>
            </w:tcBorders>
            <w:shd w:val="clear" w:color="auto" w:fill="DAEEF3" w:themeFill="accent5" w:themeFillTint="33"/>
          </w:tcPr>
          <w:p w:rsidR="000F76E7" w:rsidRPr="005F120D" w:rsidRDefault="000F76E7" w:rsidP="00C437AA">
            <w:pPr>
              <w:pStyle w:val="NoSpacing"/>
              <w:jc w:val="center"/>
              <w:rPr>
                <w:rFonts w:asciiTheme="minorHAnsi" w:hAnsiTheme="minorHAnsi" w:cstheme="minorHAnsi"/>
                <w:b/>
                <w:sz w:val="20"/>
              </w:rPr>
            </w:pPr>
          </w:p>
          <w:p w:rsidR="000F76E7" w:rsidRPr="005F120D" w:rsidRDefault="000F76E7" w:rsidP="00C437AA">
            <w:pPr>
              <w:pStyle w:val="NoSpacing"/>
              <w:jc w:val="center"/>
              <w:rPr>
                <w:rFonts w:asciiTheme="minorHAnsi" w:hAnsiTheme="minorHAnsi" w:cstheme="minorHAnsi"/>
                <w:b/>
                <w:sz w:val="20"/>
              </w:rPr>
            </w:pPr>
          </w:p>
          <w:p w:rsidR="000F76E7" w:rsidRPr="005F120D" w:rsidRDefault="000F76E7" w:rsidP="00C437AA">
            <w:pPr>
              <w:pStyle w:val="NoSpacing"/>
              <w:jc w:val="center"/>
              <w:rPr>
                <w:rFonts w:asciiTheme="minorHAnsi" w:hAnsiTheme="minorHAnsi" w:cstheme="minorHAnsi"/>
                <w:b/>
                <w:sz w:val="20"/>
              </w:rPr>
            </w:pPr>
          </w:p>
          <w:p w:rsidR="000F76E7" w:rsidRPr="005F120D" w:rsidRDefault="000F76E7" w:rsidP="00C437AA">
            <w:pPr>
              <w:pStyle w:val="NoSpacing"/>
              <w:jc w:val="center"/>
              <w:rPr>
                <w:rFonts w:asciiTheme="minorHAnsi" w:hAnsiTheme="minorHAnsi" w:cstheme="minorHAnsi"/>
                <w:b/>
                <w:sz w:val="20"/>
              </w:rPr>
            </w:pPr>
            <w:r w:rsidRPr="005F120D">
              <w:rPr>
                <w:rFonts w:asciiTheme="minorHAnsi" w:hAnsiTheme="minorHAnsi" w:cstheme="minorHAnsi"/>
                <w:b/>
                <w:sz w:val="20"/>
              </w:rPr>
              <w:t>Outputs</w:t>
            </w:r>
          </w:p>
        </w:tc>
        <w:tc>
          <w:tcPr>
            <w:tcW w:w="217" w:type="pct"/>
            <w:gridSpan w:val="2"/>
            <w:tcBorders>
              <w:top w:val="single" w:sz="4" w:space="0" w:color="auto"/>
              <w:bottom w:val="single" w:sz="4" w:space="0" w:color="auto"/>
              <w:right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p>
          <w:p w:rsidR="000F76E7" w:rsidRPr="005F120D" w:rsidRDefault="000F76E7" w:rsidP="00C437AA">
            <w:pPr>
              <w:pStyle w:val="NoSpacing"/>
              <w:rPr>
                <w:rFonts w:asciiTheme="minorHAnsi" w:hAnsiTheme="minorHAnsi" w:cstheme="minorHAnsi"/>
                <w:sz w:val="18"/>
                <w:szCs w:val="18"/>
              </w:rPr>
            </w:pPr>
          </w:p>
        </w:tc>
        <w:tc>
          <w:tcPr>
            <w:tcW w:w="873" w:type="pct"/>
            <w:gridSpan w:val="6"/>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Revised curriculum and textbooks available</w:t>
            </w:r>
          </w:p>
          <w:p w:rsidR="000F76E7" w:rsidRPr="005F120D" w:rsidRDefault="000F76E7" w:rsidP="00C437AA">
            <w:pPr>
              <w:pStyle w:val="NoSpacing"/>
              <w:rPr>
                <w:rFonts w:asciiTheme="minorHAnsi" w:hAnsiTheme="minorHAnsi" w:cstheme="minorHAnsi"/>
                <w:sz w:val="10"/>
                <w:szCs w:val="18"/>
              </w:rPr>
            </w:pP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More teachers recruited and deployed</w:t>
            </w:r>
          </w:p>
          <w:p w:rsidR="000F76E7" w:rsidRPr="005F120D" w:rsidRDefault="000F76E7" w:rsidP="00C437AA">
            <w:pPr>
              <w:pStyle w:val="NoSpacing"/>
              <w:rPr>
                <w:rFonts w:asciiTheme="minorHAnsi" w:hAnsiTheme="minorHAnsi" w:cstheme="minorHAnsi"/>
                <w:sz w:val="10"/>
                <w:szCs w:val="18"/>
              </w:rPr>
            </w:pP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Trained teachers </w:t>
            </w:r>
          </w:p>
          <w:p w:rsidR="000F76E7" w:rsidRPr="005F120D" w:rsidRDefault="000F76E7" w:rsidP="00C437AA">
            <w:pPr>
              <w:pStyle w:val="NoSpacing"/>
              <w:rPr>
                <w:rFonts w:asciiTheme="minorHAnsi" w:hAnsiTheme="minorHAnsi" w:cstheme="minorHAnsi"/>
                <w:sz w:val="10"/>
                <w:szCs w:val="18"/>
              </w:rPr>
            </w:pP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Learning materials available</w:t>
            </w:r>
          </w:p>
        </w:tc>
        <w:tc>
          <w:tcPr>
            <w:tcW w:w="128" w:type="pct"/>
            <w:gridSpan w:val="2"/>
            <w:tcBorders>
              <w:left w:val="single" w:sz="4" w:space="0" w:color="auto"/>
              <w:right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p>
        </w:tc>
        <w:tc>
          <w:tcPr>
            <w:tcW w:w="964" w:type="pct"/>
            <w:gridSpan w:val="7"/>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Approved policy and guidelines for PPE  Inclusive education, stipend Program and School feeding Program in </w:t>
            </w:r>
            <w:r w:rsidR="00570223" w:rsidRPr="005F120D">
              <w:rPr>
                <w:rFonts w:asciiTheme="minorHAnsi" w:hAnsiTheme="minorHAnsi" w:cstheme="minorHAnsi"/>
                <w:sz w:val="18"/>
                <w:szCs w:val="18"/>
              </w:rPr>
              <w:t>place</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Children with  special need  enrolled </w:t>
            </w:r>
          </w:p>
        </w:tc>
        <w:tc>
          <w:tcPr>
            <w:tcW w:w="132" w:type="pct"/>
            <w:gridSpan w:val="3"/>
            <w:tcBorders>
              <w:left w:val="single" w:sz="4" w:space="0" w:color="auto"/>
              <w:right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p>
        </w:tc>
        <w:tc>
          <w:tcPr>
            <w:tcW w:w="961" w:type="pct"/>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Devolution Plan</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in </w:t>
            </w:r>
            <w:r w:rsidR="00570223" w:rsidRPr="005F120D">
              <w:rPr>
                <w:rFonts w:asciiTheme="minorHAnsi" w:hAnsiTheme="minorHAnsi" w:cstheme="minorHAnsi"/>
                <w:sz w:val="18"/>
                <w:szCs w:val="18"/>
              </w:rPr>
              <w:t>place</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Better infrastructure facilities and equipment</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Separate functioning toilets for girls</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SCR standard achieved</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SLIP grants in </w:t>
            </w:r>
            <w:r w:rsidR="00570223" w:rsidRPr="005F120D">
              <w:rPr>
                <w:rFonts w:asciiTheme="minorHAnsi" w:hAnsiTheme="minorHAnsi" w:cstheme="minorHAnsi"/>
                <w:sz w:val="18"/>
                <w:szCs w:val="18"/>
              </w:rPr>
              <w:t>place</w:t>
            </w:r>
          </w:p>
        </w:tc>
        <w:tc>
          <w:tcPr>
            <w:tcW w:w="120" w:type="pct"/>
            <w:tcBorders>
              <w:left w:val="single" w:sz="4" w:space="0" w:color="auto"/>
              <w:right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p>
        </w:tc>
        <w:tc>
          <w:tcPr>
            <w:tcW w:w="988" w:type="pct"/>
            <w:gridSpan w:val="8"/>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Improved sector planning and RBM Partnership</w:t>
            </w:r>
          </w:p>
          <w:p w:rsidR="000F76E7" w:rsidRPr="005F120D" w:rsidRDefault="000F76E7" w:rsidP="00C437AA">
            <w:pPr>
              <w:pStyle w:val="NoSpacing"/>
              <w:rPr>
                <w:rFonts w:asciiTheme="minorHAnsi" w:hAnsiTheme="minorHAnsi" w:cstheme="minorHAnsi"/>
                <w:sz w:val="18"/>
                <w:szCs w:val="18"/>
              </w:rPr>
            </w:pP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STR standard achieved</w:t>
            </w:r>
          </w:p>
          <w:p w:rsidR="000F76E7" w:rsidRPr="005F120D" w:rsidRDefault="000F76E7" w:rsidP="00C437AA">
            <w:pPr>
              <w:pStyle w:val="NoSpacing"/>
              <w:rPr>
                <w:rFonts w:asciiTheme="minorHAnsi" w:hAnsiTheme="minorHAnsi" w:cstheme="minorHAnsi"/>
                <w:sz w:val="18"/>
                <w:szCs w:val="18"/>
              </w:rPr>
            </w:pP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Trained SMC members delegated authority</w:t>
            </w:r>
          </w:p>
        </w:tc>
      </w:tr>
      <w:tr w:rsidR="000F76E7" w:rsidRPr="005F120D" w:rsidTr="00F30E3C">
        <w:trPr>
          <w:trHeight w:val="409"/>
        </w:trPr>
        <w:tc>
          <w:tcPr>
            <w:tcW w:w="598" w:type="pct"/>
            <w:tcBorders>
              <w:top w:val="single" w:sz="4" w:space="0" w:color="auto"/>
              <w:bottom w:val="single" w:sz="4" w:space="0" w:color="auto"/>
            </w:tcBorders>
          </w:tcPr>
          <w:p w:rsidR="000F76E7" w:rsidRPr="005F120D" w:rsidRDefault="000F76E7" w:rsidP="00C437AA">
            <w:pPr>
              <w:pStyle w:val="NoSpacing"/>
              <w:jc w:val="center"/>
              <w:rPr>
                <w:rFonts w:asciiTheme="minorHAnsi" w:hAnsiTheme="minorHAnsi" w:cstheme="minorHAnsi"/>
                <w:b/>
                <w:sz w:val="20"/>
              </w:rPr>
            </w:pPr>
          </w:p>
        </w:tc>
        <w:tc>
          <w:tcPr>
            <w:tcW w:w="217" w:type="pct"/>
            <w:gridSpan w:val="2"/>
            <w:tcBorders>
              <w:top w:val="single" w:sz="4" w:space="0" w:color="auto"/>
              <w:bottom w:val="single" w:sz="4" w:space="0" w:color="auto"/>
            </w:tcBorders>
          </w:tcPr>
          <w:p w:rsidR="000F76E7" w:rsidRPr="005F120D" w:rsidRDefault="000F76E7" w:rsidP="00C437AA">
            <w:pPr>
              <w:pStyle w:val="NoSpacing"/>
              <w:rPr>
                <w:rFonts w:asciiTheme="minorHAnsi" w:hAnsiTheme="minorHAnsi" w:cstheme="minorHAnsi"/>
                <w:sz w:val="18"/>
                <w:szCs w:val="18"/>
              </w:rPr>
            </w:pPr>
          </w:p>
        </w:tc>
        <w:tc>
          <w:tcPr>
            <w:tcW w:w="117" w:type="pct"/>
          </w:tcPr>
          <w:p w:rsidR="000F76E7" w:rsidRPr="005F120D" w:rsidRDefault="000F76E7" w:rsidP="00C437AA">
            <w:pPr>
              <w:pStyle w:val="NoSpacing"/>
              <w:rPr>
                <w:rFonts w:asciiTheme="minorHAnsi" w:hAnsiTheme="minorHAnsi" w:cstheme="minorHAnsi"/>
                <w:sz w:val="18"/>
                <w:szCs w:val="18"/>
              </w:rPr>
            </w:pPr>
          </w:p>
        </w:tc>
        <w:tc>
          <w:tcPr>
            <w:tcW w:w="259" w:type="pct"/>
            <w:gridSpan w:val="2"/>
          </w:tcPr>
          <w:p w:rsidR="000F76E7" w:rsidRPr="005F120D" w:rsidRDefault="002E2ED5" w:rsidP="00C437AA">
            <w:pPr>
              <w:pStyle w:val="NoSpacing"/>
              <w:rPr>
                <w:rFonts w:asciiTheme="minorHAnsi" w:hAnsiTheme="minorHAnsi" w:cstheme="minorHAnsi"/>
                <w:sz w:val="18"/>
                <w:szCs w:val="18"/>
              </w:rPr>
            </w:pPr>
            <w:r>
              <w:rPr>
                <w:rFonts w:asciiTheme="minorHAnsi" w:hAnsiTheme="minorHAnsi" w:cstheme="minorHAnsi"/>
                <w:noProof/>
                <w:sz w:val="18"/>
                <w:szCs w:val="18"/>
                <w:lang w:eastAsia="en-US"/>
              </w:rPr>
              <w:pict>
                <v:shape id="AutoShape 26" o:spid="_x0000_s1131" type="#_x0000_t68" style="position:absolute;margin-left:20.5pt;margin-top:3.75pt;width:10.2pt;height:15.5pt;z-index:2516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" fillcolor="#fbd4b4" strokecolor="#00c">
                  <v:textbox style="layout-flow:vertical-ideographic"/>
                </v:shape>
              </w:pict>
            </w:r>
          </w:p>
        </w:tc>
        <w:tc>
          <w:tcPr>
            <w:tcW w:w="513" w:type="pct"/>
            <w:gridSpan w:val="4"/>
          </w:tcPr>
          <w:p w:rsidR="000F76E7" w:rsidRPr="005F120D" w:rsidRDefault="000F76E7" w:rsidP="00C437AA">
            <w:pPr>
              <w:pStyle w:val="NoSpacing"/>
              <w:rPr>
                <w:rFonts w:asciiTheme="minorHAnsi" w:hAnsiTheme="minorHAnsi" w:cstheme="minorHAnsi"/>
                <w:sz w:val="18"/>
                <w:szCs w:val="18"/>
              </w:rPr>
            </w:pPr>
          </w:p>
        </w:tc>
        <w:tc>
          <w:tcPr>
            <w:tcW w:w="131" w:type="pct"/>
            <w:gridSpan w:val="2"/>
          </w:tcPr>
          <w:p w:rsidR="000F76E7" w:rsidRPr="005F120D" w:rsidRDefault="000F76E7" w:rsidP="00C437AA">
            <w:pPr>
              <w:pStyle w:val="NoSpacing"/>
              <w:rPr>
                <w:rFonts w:asciiTheme="minorHAnsi" w:hAnsiTheme="minorHAnsi" w:cstheme="minorHAnsi"/>
                <w:sz w:val="18"/>
                <w:szCs w:val="18"/>
              </w:rPr>
            </w:pPr>
          </w:p>
        </w:tc>
        <w:tc>
          <w:tcPr>
            <w:tcW w:w="192" w:type="pct"/>
            <w:gridSpan w:val="2"/>
          </w:tcPr>
          <w:p w:rsidR="000F76E7" w:rsidRPr="005F120D" w:rsidRDefault="000F76E7" w:rsidP="00C437AA">
            <w:pPr>
              <w:pStyle w:val="NoSpacing"/>
              <w:rPr>
                <w:rFonts w:asciiTheme="minorHAnsi" w:hAnsiTheme="minorHAnsi" w:cstheme="minorHAnsi"/>
                <w:sz w:val="18"/>
                <w:szCs w:val="18"/>
              </w:rPr>
            </w:pPr>
          </w:p>
        </w:tc>
        <w:tc>
          <w:tcPr>
            <w:tcW w:w="117" w:type="pct"/>
          </w:tcPr>
          <w:p w:rsidR="000F76E7" w:rsidRPr="005F120D" w:rsidRDefault="000F76E7" w:rsidP="00C437AA">
            <w:pPr>
              <w:pStyle w:val="NoSpacing"/>
              <w:rPr>
                <w:rFonts w:asciiTheme="minorHAnsi" w:hAnsiTheme="minorHAnsi" w:cstheme="minorHAnsi"/>
                <w:sz w:val="18"/>
                <w:szCs w:val="18"/>
              </w:rPr>
            </w:pPr>
          </w:p>
        </w:tc>
        <w:tc>
          <w:tcPr>
            <w:tcW w:w="655" w:type="pct"/>
            <w:gridSpan w:val="4"/>
          </w:tcPr>
          <w:p w:rsidR="000F76E7" w:rsidRPr="005F120D" w:rsidRDefault="002E2ED5" w:rsidP="00C437AA">
            <w:pPr>
              <w:pStyle w:val="NoSpacing"/>
              <w:rPr>
                <w:rFonts w:asciiTheme="minorHAnsi" w:hAnsiTheme="minorHAnsi" w:cstheme="minorHAnsi"/>
                <w:sz w:val="18"/>
                <w:szCs w:val="18"/>
              </w:rPr>
            </w:pPr>
            <w:r>
              <w:rPr>
                <w:rFonts w:asciiTheme="minorHAnsi" w:hAnsiTheme="minorHAnsi" w:cstheme="minorHAnsi"/>
                <w:noProof/>
                <w:sz w:val="18"/>
                <w:szCs w:val="18"/>
                <w:lang w:eastAsia="en-US"/>
              </w:rPr>
              <w:pict>
                <v:shape id="AutoShape 27" o:spid="_x0000_s1130" type="#_x0000_t68" style="position:absolute;margin-left:10.25pt;margin-top:3.75pt;width:10.2pt;height:15.5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" fillcolor="#fbd4b4" strokecolor="#00c">
                  <v:textbox style="layout-flow:vertical-ideographic"/>
                </v:shape>
              </w:pict>
            </w:r>
          </w:p>
        </w:tc>
        <w:tc>
          <w:tcPr>
            <w:tcW w:w="129" w:type="pct"/>
            <w:gridSpan w:val="3"/>
          </w:tcPr>
          <w:p w:rsidR="000F76E7" w:rsidRPr="005F120D" w:rsidRDefault="000F76E7" w:rsidP="00C437AA">
            <w:pPr>
              <w:pStyle w:val="NoSpacing"/>
              <w:rPr>
                <w:rFonts w:asciiTheme="minorHAnsi" w:hAnsiTheme="minorHAnsi" w:cstheme="minorHAnsi"/>
                <w:sz w:val="18"/>
                <w:szCs w:val="18"/>
              </w:rPr>
            </w:pPr>
          </w:p>
        </w:tc>
        <w:tc>
          <w:tcPr>
            <w:tcW w:w="158" w:type="pct"/>
          </w:tcPr>
          <w:p w:rsidR="000F76E7" w:rsidRPr="005F120D" w:rsidRDefault="000F76E7" w:rsidP="00C437AA">
            <w:pPr>
              <w:pStyle w:val="NoSpacing"/>
              <w:rPr>
                <w:rFonts w:asciiTheme="minorHAnsi" w:hAnsiTheme="minorHAnsi" w:cstheme="minorHAnsi"/>
                <w:sz w:val="18"/>
                <w:szCs w:val="18"/>
              </w:rPr>
            </w:pPr>
          </w:p>
        </w:tc>
        <w:tc>
          <w:tcPr>
            <w:tcW w:w="215" w:type="pct"/>
            <w:gridSpan w:val="2"/>
          </w:tcPr>
          <w:p w:rsidR="000F76E7" w:rsidRPr="005F120D" w:rsidRDefault="002E2ED5" w:rsidP="00C437AA">
            <w:pPr>
              <w:pStyle w:val="NoSpacing"/>
              <w:rPr>
                <w:rFonts w:asciiTheme="minorHAnsi" w:hAnsiTheme="minorHAnsi" w:cstheme="minorHAnsi"/>
                <w:sz w:val="18"/>
                <w:szCs w:val="18"/>
              </w:rPr>
            </w:pPr>
            <w:r>
              <w:rPr>
                <w:rFonts w:asciiTheme="minorHAnsi" w:hAnsiTheme="minorHAnsi" w:cstheme="minorHAnsi"/>
                <w:noProof/>
                <w:sz w:val="18"/>
                <w:szCs w:val="18"/>
                <w:lang w:eastAsia="en-US"/>
              </w:rPr>
              <w:pict>
                <v:shape id="AutoShape 28" o:spid="_x0000_s1129" type="#_x0000_t68" style="position:absolute;margin-left:9.35pt;margin-top:1.25pt;width:10.2pt;height:15.5pt;z-index:2516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" fillcolor="#fbd4b4" strokecolor="#00c">
                  <v:textbox style="layout-flow:vertical-ideographic"/>
                </v:shape>
              </w:pict>
            </w:r>
          </w:p>
        </w:tc>
        <w:tc>
          <w:tcPr>
            <w:tcW w:w="336" w:type="pct"/>
            <w:gridSpan w:val="3"/>
          </w:tcPr>
          <w:p w:rsidR="000F76E7" w:rsidRPr="005F120D" w:rsidRDefault="000F76E7" w:rsidP="00C437AA">
            <w:pPr>
              <w:pStyle w:val="NoSpacing"/>
              <w:rPr>
                <w:rFonts w:asciiTheme="minorHAnsi" w:hAnsiTheme="minorHAnsi" w:cstheme="minorHAnsi"/>
                <w:sz w:val="18"/>
                <w:szCs w:val="18"/>
              </w:rPr>
            </w:pPr>
          </w:p>
        </w:tc>
        <w:tc>
          <w:tcPr>
            <w:tcW w:w="147" w:type="pct"/>
            <w:gridSpan w:val="2"/>
          </w:tcPr>
          <w:p w:rsidR="000F76E7" w:rsidRPr="005F120D" w:rsidRDefault="000F76E7" w:rsidP="00C437AA">
            <w:pPr>
              <w:pStyle w:val="NoSpacing"/>
              <w:rPr>
                <w:rFonts w:asciiTheme="minorHAnsi" w:hAnsiTheme="minorHAnsi" w:cstheme="minorHAnsi"/>
                <w:sz w:val="18"/>
                <w:szCs w:val="18"/>
              </w:rPr>
            </w:pPr>
          </w:p>
        </w:tc>
        <w:tc>
          <w:tcPr>
            <w:tcW w:w="228" w:type="pct"/>
            <w:gridSpan w:val="4"/>
          </w:tcPr>
          <w:p w:rsidR="000F76E7" w:rsidRPr="005F120D" w:rsidRDefault="000F76E7" w:rsidP="00C437AA">
            <w:pPr>
              <w:pStyle w:val="NoSpacing"/>
              <w:rPr>
                <w:rFonts w:asciiTheme="minorHAnsi" w:hAnsiTheme="minorHAnsi" w:cstheme="minorHAnsi"/>
                <w:sz w:val="18"/>
                <w:szCs w:val="18"/>
              </w:rPr>
            </w:pPr>
          </w:p>
        </w:tc>
        <w:tc>
          <w:tcPr>
            <w:tcW w:w="288" w:type="pct"/>
            <w:gridSpan w:val="2"/>
          </w:tcPr>
          <w:p w:rsidR="000F76E7" w:rsidRPr="005F120D" w:rsidRDefault="000F76E7" w:rsidP="00C437AA">
            <w:pPr>
              <w:pStyle w:val="NoSpacing"/>
              <w:rPr>
                <w:rFonts w:asciiTheme="minorHAnsi" w:hAnsiTheme="minorHAnsi" w:cstheme="minorHAnsi"/>
                <w:sz w:val="18"/>
                <w:szCs w:val="18"/>
              </w:rPr>
            </w:pPr>
          </w:p>
        </w:tc>
        <w:tc>
          <w:tcPr>
            <w:tcW w:w="116" w:type="pct"/>
            <w:gridSpan w:val="2"/>
          </w:tcPr>
          <w:p w:rsidR="000F76E7" w:rsidRPr="005F120D" w:rsidRDefault="002E2ED5" w:rsidP="00C437AA">
            <w:pPr>
              <w:pStyle w:val="NoSpacing"/>
              <w:rPr>
                <w:rFonts w:asciiTheme="minorHAnsi" w:hAnsiTheme="minorHAnsi" w:cstheme="minorHAnsi"/>
                <w:sz w:val="18"/>
                <w:szCs w:val="18"/>
              </w:rPr>
            </w:pPr>
            <w:r>
              <w:rPr>
                <w:rFonts w:asciiTheme="minorHAnsi" w:hAnsiTheme="minorHAnsi" w:cstheme="minorHAnsi"/>
                <w:noProof/>
                <w:sz w:val="18"/>
                <w:szCs w:val="18"/>
                <w:lang w:eastAsia="en-US"/>
              </w:rPr>
              <w:pict>
                <v:shape id="AutoShape 29" o:spid="_x0000_s1128" type="#_x0000_t68" style="position:absolute;margin-left:-4.6pt;margin-top:1.25pt;width:10.2pt;height:15.5pt;z-index:2516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" fillcolor="#fbd4b4" strokecolor="#00c">
                  <v:textbox style="layout-flow:vertical-ideographic"/>
                </v:shape>
              </w:pict>
            </w:r>
          </w:p>
        </w:tc>
        <w:tc>
          <w:tcPr>
            <w:tcW w:w="585" w:type="pct"/>
            <w:gridSpan w:val="3"/>
          </w:tcPr>
          <w:p w:rsidR="000F76E7" w:rsidRPr="005F120D" w:rsidRDefault="000F76E7" w:rsidP="00C437AA">
            <w:pPr>
              <w:pStyle w:val="NoSpacing"/>
              <w:rPr>
                <w:rFonts w:asciiTheme="minorHAnsi" w:hAnsiTheme="minorHAnsi" w:cstheme="minorHAnsi"/>
                <w:sz w:val="18"/>
                <w:szCs w:val="18"/>
              </w:rPr>
            </w:pPr>
          </w:p>
        </w:tc>
      </w:tr>
      <w:tr w:rsidR="000F76E7" w:rsidRPr="005F120D" w:rsidTr="00F30E3C">
        <w:trPr>
          <w:gridAfter w:val="1"/>
          <w:wAfter w:w="19" w:type="pct"/>
          <w:trHeight w:val="2093"/>
        </w:trPr>
        <w:tc>
          <w:tcPr>
            <w:tcW w:w="598" w:type="pct"/>
            <w:tcBorders>
              <w:top w:val="single" w:sz="4" w:space="0" w:color="auto"/>
              <w:left w:val="single" w:sz="4" w:space="0" w:color="auto"/>
              <w:bottom w:val="single" w:sz="4" w:space="0" w:color="auto"/>
            </w:tcBorders>
            <w:shd w:val="clear" w:color="auto" w:fill="DDD9C3" w:themeFill="background2" w:themeFillShade="E6"/>
          </w:tcPr>
          <w:p w:rsidR="000F76E7" w:rsidRPr="005F120D" w:rsidRDefault="000F76E7" w:rsidP="00C437AA">
            <w:pPr>
              <w:pStyle w:val="NoSpacing"/>
              <w:jc w:val="center"/>
              <w:rPr>
                <w:rFonts w:asciiTheme="minorHAnsi" w:hAnsiTheme="minorHAnsi" w:cstheme="minorHAnsi"/>
                <w:b/>
                <w:sz w:val="20"/>
              </w:rPr>
            </w:pPr>
          </w:p>
          <w:p w:rsidR="000F76E7" w:rsidRPr="005F120D" w:rsidRDefault="000F76E7" w:rsidP="00C437AA">
            <w:pPr>
              <w:pStyle w:val="NoSpacing"/>
              <w:jc w:val="center"/>
              <w:rPr>
                <w:rFonts w:asciiTheme="minorHAnsi" w:hAnsiTheme="minorHAnsi" w:cstheme="minorHAnsi"/>
                <w:b/>
                <w:sz w:val="20"/>
              </w:rPr>
            </w:pPr>
          </w:p>
          <w:p w:rsidR="000F76E7" w:rsidRPr="005F120D" w:rsidRDefault="000F76E7" w:rsidP="00C437AA">
            <w:pPr>
              <w:pStyle w:val="NoSpacing"/>
              <w:jc w:val="center"/>
              <w:rPr>
                <w:rFonts w:asciiTheme="minorHAnsi" w:hAnsiTheme="minorHAnsi" w:cstheme="minorHAnsi"/>
                <w:b/>
                <w:sz w:val="20"/>
              </w:rPr>
            </w:pPr>
          </w:p>
          <w:p w:rsidR="000F76E7" w:rsidRPr="005F120D" w:rsidRDefault="000F76E7" w:rsidP="00C437AA">
            <w:pPr>
              <w:pStyle w:val="NoSpacing"/>
              <w:jc w:val="center"/>
              <w:rPr>
                <w:rFonts w:asciiTheme="minorHAnsi" w:hAnsiTheme="minorHAnsi" w:cstheme="minorHAnsi"/>
                <w:b/>
                <w:sz w:val="20"/>
              </w:rPr>
            </w:pPr>
            <w:r w:rsidRPr="005F120D">
              <w:rPr>
                <w:rFonts w:asciiTheme="minorHAnsi" w:hAnsiTheme="minorHAnsi" w:cstheme="minorHAnsi"/>
                <w:b/>
                <w:sz w:val="20"/>
              </w:rPr>
              <w:t>Inputs</w:t>
            </w:r>
          </w:p>
        </w:tc>
        <w:tc>
          <w:tcPr>
            <w:tcW w:w="217" w:type="pct"/>
            <w:gridSpan w:val="2"/>
            <w:tcBorders>
              <w:top w:val="single" w:sz="4" w:space="0" w:color="auto"/>
              <w:bottom w:val="single" w:sz="4" w:space="0" w:color="auto"/>
              <w:right w:val="single" w:sz="4" w:space="0" w:color="auto"/>
            </w:tcBorders>
            <w:shd w:val="clear" w:color="auto" w:fill="DDD9C3" w:themeFill="background2" w:themeFillShade="E6"/>
          </w:tcPr>
          <w:p w:rsidR="000F76E7" w:rsidRPr="005F120D" w:rsidRDefault="000F76E7" w:rsidP="00C437AA">
            <w:pPr>
              <w:pStyle w:val="NoSpacing"/>
              <w:rPr>
                <w:rFonts w:asciiTheme="minorHAnsi" w:hAnsiTheme="minorHAnsi" w:cstheme="minorHAnsi"/>
                <w:sz w:val="18"/>
                <w:szCs w:val="18"/>
              </w:rPr>
            </w:pPr>
          </w:p>
        </w:tc>
        <w:tc>
          <w:tcPr>
            <w:tcW w:w="873" w:type="pct"/>
            <w:gridSpan w:val="6"/>
            <w:tcBorders>
              <w:top w:val="single" w:sz="4" w:space="0" w:color="auto"/>
              <w:left w:val="single" w:sz="4" w:space="0" w:color="auto"/>
              <w:bottom w:val="single" w:sz="4" w:space="0" w:color="auto"/>
            </w:tcBorders>
            <w:shd w:val="clear" w:color="auto" w:fill="DDD9C3" w:themeFill="background2" w:themeFillShade="E6"/>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Curriculum Textbooks</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Additional teachers </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More staff, More</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Training, guide lines, manuals and other materials</w:t>
            </w:r>
          </w:p>
        </w:tc>
        <w:tc>
          <w:tcPr>
            <w:tcW w:w="128" w:type="pct"/>
            <w:gridSpan w:val="2"/>
            <w:tcBorders>
              <w:top w:val="single" w:sz="4" w:space="0" w:color="auto"/>
              <w:bottom w:val="single" w:sz="4" w:space="0" w:color="auto"/>
            </w:tcBorders>
            <w:shd w:val="clear" w:color="auto" w:fill="DDD9C3" w:themeFill="background2" w:themeFillShade="E6"/>
          </w:tcPr>
          <w:p w:rsidR="000F76E7" w:rsidRPr="005F120D" w:rsidRDefault="000F76E7" w:rsidP="00C437AA">
            <w:pPr>
              <w:pStyle w:val="NoSpacing"/>
              <w:rPr>
                <w:rFonts w:asciiTheme="minorHAnsi" w:hAnsiTheme="minorHAnsi" w:cstheme="minorHAnsi"/>
                <w:sz w:val="18"/>
                <w:szCs w:val="18"/>
              </w:rPr>
            </w:pPr>
          </w:p>
        </w:tc>
        <w:tc>
          <w:tcPr>
            <w:tcW w:w="964" w:type="pct"/>
            <w:gridSpan w:val="7"/>
            <w:tcBorders>
              <w:top w:val="single" w:sz="4" w:space="0" w:color="auto"/>
              <w:bottom w:val="single" w:sz="4" w:space="0" w:color="auto"/>
            </w:tcBorders>
            <w:shd w:val="clear" w:color="auto" w:fill="DDD9C3" w:themeFill="background2" w:themeFillShade="E6"/>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Policy</w:t>
            </w:r>
          </w:p>
          <w:p w:rsidR="000F76E7" w:rsidRPr="005F120D" w:rsidDel="007C0B0E"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Guidelines on </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PPE</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Inclusive Education, Stipend Program, </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School feeding</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SLIP/UPEP grant</w:t>
            </w:r>
          </w:p>
        </w:tc>
        <w:tc>
          <w:tcPr>
            <w:tcW w:w="132" w:type="pct"/>
            <w:gridSpan w:val="3"/>
            <w:tcBorders>
              <w:top w:val="single" w:sz="4" w:space="0" w:color="auto"/>
              <w:bottom w:val="single" w:sz="4" w:space="0" w:color="auto"/>
            </w:tcBorders>
            <w:shd w:val="clear" w:color="auto" w:fill="DDD9C3" w:themeFill="background2" w:themeFillShade="E6"/>
          </w:tcPr>
          <w:p w:rsidR="000F76E7" w:rsidRPr="005F120D" w:rsidRDefault="000F76E7" w:rsidP="00C437AA">
            <w:pPr>
              <w:pStyle w:val="NoSpacing"/>
              <w:rPr>
                <w:rFonts w:asciiTheme="minorHAnsi" w:hAnsiTheme="minorHAnsi" w:cstheme="minorHAnsi"/>
                <w:sz w:val="18"/>
                <w:szCs w:val="18"/>
              </w:rPr>
            </w:pPr>
          </w:p>
        </w:tc>
        <w:tc>
          <w:tcPr>
            <w:tcW w:w="961" w:type="pct"/>
            <w:gridSpan w:val="10"/>
            <w:tcBorders>
              <w:top w:val="single" w:sz="4" w:space="0" w:color="auto"/>
              <w:bottom w:val="single" w:sz="4" w:space="0" w:color="auto"/>
            </w:tcBorders>
            <w:shd w:val="clear" w:color="auto" w:fill="DDD9C3" w:themeFill="background2" w:themeFillShade="E6"/>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Devolution Plan</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Civil works, Supply Equipment, furniture and transport, Adequate Funds,</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Grants and funds</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Program dev.</w:t>
            </w:r>
            <w:r w:rsidRPr="005F120D">
              <w:rPr>
                <w:rFonts w:asciiTheme="minorHAnsi" w:hAnsiTheme="minorHAnsi" w:cstheme="minorHAnsi"/>
                <w:sz w:val="18"/>
                <w:szCs w:val="18"/>
              </w:rPr>
              <w:br/>
              <w:t>and studies</w:t>
            </w:r>
          </w:p>
        </w:tc>
        <w:tc>
          <w:tcPr>
            <w:tcW w:w="129" w:type="pct"/>
            <w:gridSpan w:val="2"/>
            <w:tcBorders>
              <w:top w:val="single" w:sz="4" w:space="0" w:color="auto"/>
              <w:bottom w:val="single" w:sz="4" w:space="0" w:color="auto"/>
            </w:tcBorders>
            <w:shd w:val="clear" w:color="auto" w:fill="DDD9C3" w:themeFill="background2" w:themeFillShade="E6"/>
          </w:tcPr>
          <w:p w:rsidR="000F76E7" w:rsidRPr="005F120D" w:rsidRDefault="000F76E7" w:rsidP="00C437AA">
            <w:pPr>
              <w:pStyle w:val="NoSpacing"/>
              <w:rPr>
                <w:rFonts w:asciiTheme="minorHAnsi" w:hAnsiTheme="minorHAnsi" w:cstheme="minorHAnsi"/>
                <w:sz w:val="18"/>
                <w:szCs w:val="18"/>
              </w:rPr>
            </w:pPr>
          </w:p>
        </w:tc>
        <w:tc>
          <w:tcPr>
            <w:tcW w:w="978" w:type="pct"/>
            <w:gridSpan w:val="7"/>
            <w:tcBorders>
              <w:top w:val="single" w:sz="4" w:space="0" w:color="auto"/>
              <w:bottom w:val="single" w:sz="4" w:space="0" w:color="auto"/>
              <w:right w:val="single" w:sz="4" w:space="0" w:color="auto"/>
            </w:tcBorders>
            <w:shd w:val="clear" w:color="auto" w:fill="DDD9C3" w:themeFill="background2" w:themeFillShade="E6"/>
          </w:tcPr>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Capacity building (MoPME, DPE, NAPE, NCTB, and field office)</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Recruitment and</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promotion rules and</w:t>
            </w:r>
          </w:p>
          <w:p w:rsidR="000F76E7" w:rsidRPr="005F120D" w:rsidRDefault="000F76E7" w:rsidP="00C437AA">
            <w:pPr>
              <w:pStyle w:val="NoSpacing"/>
              <w:rPr>
                <w:rFonts w:asciiTheme="minorHAnsi" w:hAnsiTheme="minorHAnsi" w:cstheme="minorHAnsi"/>
                <w:sz w:val="18"/>
                <w:szCs w:val="18"/>
              </w:rPr>
            </w:pPr>
            <w:r w:rsidRPr="005F120D">
              <w:rPr>
                <w:rFonts w:asciiTheme="minorHAnsi" w:hAnsiTheme="minorHAnsi" w:cstheme="minorHAnsi"/>
                <w:sz w:val="18"/>
                <w:szCs w:val="18"/>
              </w:rPr>
              <w:t>career path</w:t>
            </w:r>
          </w:p>
        </w:tc>
      </w:tr>
    </w:tbl>
    <w:p w:rsidR="006B27C4" w:rsidRPr="005F120D" w:rsidRDefault="00DA403D" w:rsidP="00C437AA">
      <w:pPr>
        <w:pStyle w:val="Heading2"/>
        <w:numPr>
          <w:ilvl w:val="1"/>
          <w:numId w:val="89"/>
        </w:numPr>
        <w:spacing w:after="120" w:line="276" w:lineRule="auto"/>
        <w:rPr>
          <w:rFonts w:cstheme="minorHAnsi"/>
        </w:rPr>
      </w:pPr>
      <w:bookmarkStart w:id="70" w:name="_Toc462837176"/>
      <w:r w:rsidRPr="005F120D">
        <w:rPr>
          <w:rFonts w:cstheme="minorHAnsi"/>
        </w:rPr>
        <w:lastRenderedPageBreak/>
        <w:t xml:space="preserve">DPE Model of RBM </w:t>
      </w:r>
      <w:r w:rsidR="00C52A18" w:rsidRPr="005F120D">
        <w:rPr>
          <w:rFonts w:cstheme="minorHAnsi"/>
        </w:rPr>
        <w:t>Approach</w:t>
      </w:r>
      <w:bookmarkEnd w:id="70"/>
    </w:p>
    <w:p w:rsidR="00D15C67" w:rsidRPr="005F120D" w:rsidRDefault="002E2ED5" w:rsidP="00C437AA">
      <w:pPr>
        <w:spacing w:before="240" w:line="276" w:lineRule="auto"/>
        <w:rPr>
          <w:rFonts w:asciiTheme="minorHAnsi" w:hAnsiTheme="minorHAnsi" w:cstheme="minorHAnsi"/>
          <w:sz w:val="18"/>
          <w:szCs w:val="18"/>
        </w:rPr>
      </w:pPr>
      <w:r>
        <w:rPr>
          <w:rFonts w:asciiTheme="minorHAnsi" w:hAnsiTheme="minorHAnsi" w:cstheme="minorHAnsi"/>
          <w:noProof/>
          <w:sz w:val="18"/>
          <w:szCs w:val="18"/>
          <w:lang w:eastAsia="en-US"/>
        </w:rPr>
        <w:pict>
          <v:oval id="Oval 204" o:spid="_x0000_s1127" style="position:absolute;margin-left:90.15pt;margin-top:15.15pt;width:5in;height:6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" fillcolor="#f79646 [3209]" strokecolor="#f79646 [3209]" strokeweight="10pt">
            <v:stroke linestyle="thinThin"/>
            <v:shadow color="#868686"/>
            <v:textbox>
              <w:txbxContent>
                <w:p w:rsidR="00704F97" w:rsidRPr="00327771" w:rsidRDefault="00704F97" w:rsidP="00D15C67">
                  <w:pPr>
                    <w:spacing w:after="0" w:line="240" w:lineRule="atLeast"/>
                    <w:jc w:val="center"/>
                    <w:rPr>
                      <w:rFonts w:asciiTheme="minorHAnsi" w:hAnsiTheme="minorHAnsi" w:cstheme="minorHAnsi"/>
                      <w:sz w:val="28"/>
                      <w:szCs w:val="28"/>
                    </w:rPr>
                  </w:pPr>
                  <w:r w:rsidRPr="00327771">
                    <w:rPr>
                      <w:rFonts w:asciiTheme="minorHAnsi" w:hAnsiTheme="minorHAnsi" w:cstheme="minorHAnsi"/>
                      <w:sz w:val="28"/>
                      <w:szCs w:val="28"/>
                    </w:rPr>
                    <w:t>Literate, Prosperous and Productive Digital Bangladesh</w:t>
                  </w:r>
                </w:p>
              </w:txbxContent>
            </v:textbox>
          </v:oval>
        </w:pict>
      </w:r>
      <w:r w:rsidR="00D15C67" w:rsidRPr="005F120D">
        <w:rPr>
          <w:rFonts w:asciiTheme="minorHAnsi" w:hAnsiTheme="minorHAnsi" w:cstheme="minorHAnsi"/>
          <w:sz w:val="18"/>
          <w:szCs w:val="18"/>
        </w:rPr>
        <w:tab/>
      </w:r>
      <w:r w:rsidR="00D15C67" w:rsidRPr="005F120D">
        <w:rPr>
          <w:rFonts w:asciiTheme="minorHAnsi" w:hAnsiTheme="minorHAnsi" w:cstheme="minorHAnsi"/>
          <w:sz w:val="18"/>
          <w:szCs w:val="18"/>
        </w:rPr>
        <w:tab/>
      </w:r>
      <w:r w:rsidR="00D15C67" w:rsidRPr="005F120D">
        <w:rPr>
          <w:rFonts w:asciiTheme="minorHAnsi" w:hAnsiTheme="minorHAnsi" w:cstheme="minorHAnsi"/>
          <w:sz w:val="18"/>
          <w:szCs w:val="18"/>
        </w:rPr>
        <w:tab/>
      </w:r>
      <w:r w:rsidR="00D15C67" w:rsidRPr="005F120D">
        <w:rPr>
          <w:rFonts w:asciiTheme="minorHAnsi" w:hAnsiTheme="minorHAnsi" w:cstheme="minorHAnsi"/>
          <w:sz w:val="18"/>
          <w:szCs w:val="18"/>
        </w:rPr>
        <w:tab/>
      </w:r>
      <w:r w:rsidR="00D15C67" w:rsidRPr="005F120D">
        <w:rPr>
          <w:rFonts w:asciiTheme="minorHAnsi" w:hAnsiTheme="minorHAnsi" w:cstheme="minorHAnsi"/>
          <w:sz w:val="18"/>
          <w:szCs w:val="18"/>
        </w:rPr>
        <w:tab/>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03" o:spid="_x0000_s1027" style="position:absolute;margin-left:-2.4pt;margin-top:1.55pt;width:78.65pt;height:30.6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" fillcolor="#f79646 [3209]" stroked="f" strokeweight="0">
            <v:fill color2="#df6a09 [2377]" focusposition=".5,.5" focussize="" focus="100%" type="gradientRadial"/>
            <v:shadow on="t" color="#974706 [1609]" offset="1pt"/>
            <v:textbox>
              <w:txbxContent>
                <w:p w:rsidR="00704F97" w:rsidRPr="00050450" w:rsidRDefault="00704F97" w:rsidP="00D15C67">
                  <w:pPr>
                    <w:jc w:val="center"/>
                    <w:rPr>
                      <w:rFonts w:asciiTheme="minorHAnsi" w:hAnsiTheme="minorHAnsi" w:cstheme="minorHAnsi"/>
                      <w:sz w:val="32"/>
                      <w:szCs w:val="32"/>
                    </w:rPr>
                  </w:pPr>
                  <w:r w:rsidRPr="00050450">
                    <w:rPr>
                      <w:rFonts w:asciiTheme="minorHAnsi" w:hAnsiTheme="minorHAnsi" w:cstheme="minorHAnsi"/>
                      <w:sz w:val="32"/>
                      <w:szCs w:val="32"/>
                    </w:rPr>
                    <w:t>Impact</w:t>
                  </w:r>
                </w:p>
              </w:txbxContent>
            </v:textbox>
          </v:rect>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shape id="AutoShape 205" o:spid="_x0000_s1126" type="#_x0000_t68" style="position:absolute;margin-left:14.45pt;margin-top:13pt;width:20pt;height:28.7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" fillcolor="#fabf8f [1945]" strokecolor="#f79646 [3209]" strokeweight="1pt">
            <v:fill color2="#f79646 [3209]" focus="50%" type="gradient"/>
            <v:shadow on="t" color="#974706 [1609]" offset="1pt"/>
            <v:textbox style="layout-flow:vertical-ideographic"/>
          </v:shape>
        </w:pict>
      </w:r>
    </w:p>
    <w:p w:rsidR="00130127" w:rsidRPr="005F120D" w:rsidRDefault="00130127" w:rsidP="00C437AA">
      <w:pPr>
        <w:spacing w:line="276" w:lineRule="auto"/>
        <w:rPr>
          <w:rFonts w:asciiTheme="minorHAnsi" w:hAnsiTheme="minorHAnsi" w:cstheme="minorHAnsi"/>
          <w:sz w:val="18"/>
          <w:szCs w:val="18"/>
        </w:rPr>
      </w:pP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06" o:spid="_x0000_s1028" style="position:absolute;margin-left:1.4pt;margin-top:3.95pt;width:74.85pt;height:55.8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" fillcolor="#4bacc6 [3208]" strokecolor="#4bacc6 [3208]" strokeweight="10pt">
            <v:stroke linestyle="thinThin"/>
            <v:shadow color="#868686"/>
            <v:textbox>
              <w:txbxContent>
                <w:p w:rsidR="00704F97" w:rsidRPr="00050450" w:rsidRDefault="00704F97" w:rsidP="00D15C67">
                  <w:pPr>
                    <w:spacing w:after="0"/>
                    <w:jc w:val="center"/>
                    <w:rPr>
                      <w:rFonts w:asciiTheme="minorHAnsi" w:hAnsiTheme="minorHAnsi" w:cstheme="minorHAnsi"/>
                      <w:b/>
                      <w:color w:val="FFFFFF" w:themeColor="background1"/>
                      <w:sz w:val="20"/>
                    </w:rPr>
                  </w:pPr>
                  <w:r w:rsidRPr="00050450">
                    <w:rPr>
                      <w:rFonts w:asciiTheme="minorHAnsi" w:hAnsiTheme="minorHAnsi" w:cstheme="minorHAnsi"/>
                      <w:b/>
                      <w:color w:val="FFFFFF" w:themeColor="background1"/>
                      <w:sz w:val="20"/>
                    </w:rPr>
                    <w:t>Sector Outcomes</w:t>
                  </w:r>
                </w:p>
              </w:txbxContent>
            </v:textbox>
          </v:rect>
        </w:pict>
      </w:r>
      <w:r>
        <w:rPr>
          <w:rFonts w:asciiTheme="minorHAnsi" w:hAnsiTheme="minorHAnsi" w:cstheme="minorHAnsi"/>
          <w:noProof/>
          <w:sz w:val="18"/>
          <w:szCs w:val="18"/>
          <w:lang w:eastAsia="en-US"/>
        </w:rPr>
        <w:pict>
          <v:rect id="Rectangle 207" o:spid="_x0000_s1029" style="position:absolute;margin-left:90.15pt;margin-top:3.95pt;width:115.6pt;height:55.8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" fillcolor="#4bacc6 [3208]" strokecolor="#4bacc6 [3208]" strokeweight="10pt">
            <v:stroke linestyle="thinThin"/>
            <v:shadow color="#868686"/>
            <v:textbox>
              <w:txbxContent>
                <w:p w:rsidR="00704F97" w:rsidRPr="00050450" w:rsidRDefault="00704F97" w:rsidP="00D15C67">
                  <w:pPr>
                    <w:spacing w:after="0"/>
                    <w:jc w:val="center"/>
                    <w:rPr>
                      <w:rFonts w:asciiTheme="minorHAnsi" w:hAnsiTheme="minorHAnsi" w:cstheme="minorHAnsi"/>
                      <w:b/>
                      <w:color w:val="FFFFFF" w:themeColor="background1"/>
                      <w:sz w:val="20"/>
                    </w:rPr>
                  </w:pPr>
                  <w:r>
                    <w:rPr>
                      <w:rFonts w:asciiTheme="minorHAnsi" w:hAnsiTheme="minorHAnsi" w:cstheme="minorHAnsi"/>
                      <w:b/>
                      <w:iCs/>
                      <w:color w:val="FFFFFF" w:themeColor="background1"/>
                      <w:sz w:val="20"/>
                    </w:rPr>
                    <w:t>A</w:t>
                  </w:r>
                  <w:r w:rsidRPr="00050450">
                    <w:rPr>
                      <w:rFonts w:asciiTheme="minorHAnsi" w:hAnsiTheme="minorHAnsi" w:cstheme="minorHAnsi"/>
                      <w:b/>
                      <w:iCs/>
                      <w:color w:val="FFFFFF" w:themeColor="background1"/>
                      <w:sz w:val="20"/>
                    </w:rPr>
                    <w:t xml:space="preserve">ll our </w:t>
                  </w:r>
                  <w:r w:rsidR="00EE6322" w:rsidRPr="00050450">
                    <w:rPr>
                      <w:rFonts w:asciiTheme="minorHAnsi" w:hAnsiTheme="minorHAnsi" w:cstheme="minorHAnsi"/>
                      <w:b/>
                      <w:iCs/>
                      <w:color w:val="FFFFFF" w:themeColor="background1"/>
                      <w:sz w:val="20"/>
                    </w:rPr>
                    <w:t>children</w:t>
                  </w:r>
                  <w:r w:rsidR="00EE6322">
                    <w:rPr>
                      <w:rFonts w:asciiTheme="minorHAnsi" w:hAnsiTheme="minorHAnsi" w:cstheme="minorHAnsi"/>
                      <w:b/>
                      <w:iCs/>
                      <w:color w:val="FFFFFF" w:themeColor="background1"/>
                      <w:sz w:val="20"/>
                    </w:rPr>
                    <w:t xml:space="preserve"> provided</w:t>
                  </w:r>
                  <w:r>
                    <w:rPr>
                      <w:rFonts w:asciiTheme="minorHAnsi" w:hAnsiTheme="minorHAnsi" w:cstheme="minorHAnsi"/>
                      <w:b/>
                      <w:iCs/>
                      <w:color w:val="FFFFFF" w:themeColor="background1"/>
                      <w:sz w:val="20"/>
                    </w:rPr>
                    <w:t xml:space="preserve"> with </w:t>
                  </w:r>
                  <w:r w:rsidRPr="00050450">
                    <w:rPr>
                      <w:rFonts w:asciiTheme="minorHAnsi" w:hAnsiTheme="minorHAnsi" w:cstheme="minorHAnsi"/>
                      <w:b/>
                      <w:iCs/>
                      <w:color w:val="FFFFFF" w:themeColor="background1"/>
                      <w:sz w:val="20"/>
                    </w:rPr>
                    <w:t xml:space="preserve">Quality </w:t>
                  </w:r>
                  <w:r>
                    <w:rPr>
                      <w:rFonts w:asciiTheme="minorHAnsi" w:hAnsiTheme="minorHAnsi" w:cstheme="minorHAnsi"/>
                      <w:b/>
                      <w:iCs/>
                      <w:color w:val="FFFFFF" w:themeColor="background1"/>
                      <w:sz w:val="20"/>
                    </w:rPr>
                    <w:t>primary education</w:t>
                  </w:r>
                </w:p>
              </w:txbxContent>
            </v:textbox>
          </v:rect>
        </w:pict>
      </w:r>
      <w:r>
        <w:rPr>
          <w:rFonts w:asciiTheme="minorHAnsi" w:hAnsiTheme="minorHAnsi" w:cstheme="minorHAnsi"/>
          <w:noProof/>
          <w:sz w:val="18"/>
          <w:szCs w:val="18"/>
          <w:lang w:eastAsia="en-US"/>
        </w:rPr>
        <w:pict>
          <v:rect id="Rectangle 287" o:spid="_x0000_s1030" style="position:absolute;margin-left:219.75pt;margin-top:3.95pt;width:126.2pt;height:55.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" fillcolor="#4bacc6 [3208]" strokecolor="#4bacc6 [3208]" strokeweight="10pt">
            <v:stroke linestyle="thinThin"/>
            <v:shadow color="#868686"/>
            <v:textbox>
              <w:txbxContent>
                <w:p w:rsidR="00704F97" w:rsidRPr="00050450" w:rsidRDefault="00704F97" w:rsidP="00622BC5">
                  <w:pPr>
                    <w:spacing w:after="0"/>
                    <w:jc w:val="center"/>
                    <w:rPr>
                      <w:rFonts w:asciiTheme="minorHAnsi" w:hAnsiTheme="minorHAnsi" w:cstheme="minorHAnsi"/>
                      <w:b/>
                      <w:color w:val="FFFFFF" w:themeColor="background1"/>
                      <w:sz w:val="20"/>
                    </w:rPr>
                  </w:pPr>
                  <w:r w:rsidRPr="00050450">
                    <w:rPr>
                      <w:rFonts w:asciiTheme="minorHAnsi" w:hAnsiTheme="minorHAnsi" w:cstheme="minorHAnsi"/>
                      <w:b/>
                      <w:color w:val="FFFFFF" w:themeColor="background1"/>
                      <w:sz w:val="20"/>
                    </w:rPr>
                    <w:t>Reduced Level of Poverty through Education</w:t>
                  </w:r>
                </w:p>
              </w:txbxContent>
            </v:textbox>
          </v:rect>
        </w:pict>
      </w:r>
      <w:r>
        <w:rPr>
          <w:rFonts w:asciiTheme="minorHAnsi" w:hAnsiTheme="minorHAnsi" w:cstheme="minorHAnsi"/>
          <w:noProof/>
          <w:sz w:val="18"/>
          <w:szCs w:val="18"/>
          <w:lang w:eastAsia="en-US"/>
        </w:rPr>
        <w:pict>
          <v:rect id="Rectangle 208" o:spid="_x0000_s1031" style="position:absolute;margin-left:359pt;margin-top:3.95pt;width:96.15pt;height:55.8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" fillcolor="#4bacc6 [3208]" strokecolor="#4bacc6 [3208]" strokeweight="10pt">
            <v:stroke linestyle="thinThin"/>
            <v:shadow color="#868686"/>
            <v:textbox>
              <w:txbxContent>
                <w:p w:rsidR="00704F97" w:rsidRPr="00050450" w:rsidRDefault="00704F97" w:rsidP="00D15C67">
                  <w:pPr>
                    <w:spacing w:after="0"/>
                    <w:jc w:val="center"/>
                    <w:rPr>
                      <w:rFonts w:asciiTheme="minorHAnsi" w:hAnsiTheme="minorHAnsi" w:cstheme="minorHAnsi"/>
                      <w:b/>
                      <w:color w:val="FFFFFF" w:themeColor="background1"/>
                      <w:sz w:val="20"/>
                    </w:rPr>
                  </w:pPr>
                  <w:r w:rsidRPr="00050450">
                    <w:rPr>
                      <w:rFonts w:asciiTheme="minorHAnsi" w:hAnsiTheme="minorHAnsi" w:cstheme="minorHAnsi"/>
                      <w:b/>
                      <w:color w:val="FFFFFF" w:themeColor="background1"/>
                      <w:sz w:val="20"/>
                    </w:rPr>
                    <w:t>Increased Transition to Secondary Level</w:t>
                  </w:r>
                </w:p>
              </w:txbxContent>
            </v:textbox>
          </v:rect>
        </w:pict>
      </w:r>
    </w:p>
    <w:p w:rsidR="00D15C67" w:rsidRPr="005F120D" w:rsidRDefault="00D15C67"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ab/>
      </w:r>
      <w:r w:rsidRPr="005F120D">
        <w:rPr>
          <w:rFonts w:asciiTheme="minorHAnsi" w:hAnsiTheme="minorHAnsi" w:cstheme="minorHAnsi"/>
          <w:sz w:val="18"/>
          <w:szCs w:val="18"/>
        </w:rPr>
        <w:tab/>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shape id="AutoShape 272" o:spid="_x0000_s1125" type="#_x0000_t68" style="position:absolute;margin-left:14.45pt;margin-top:21.65pt;width:20pt;height:49.3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" fillcolor="#92cddc [1944]" strokecolor="#4bacc6 [3208]" strokeweight="1pt">
            <v:fill color2="#4bacc6 [3208]" focus="50%" type="gradient"/>
            <v:shadow on="t" color="#205867 [1608]" offset="1pt"/>
            <v:textbox style="layout-flow:vertical-ideographic"/>
          </v:shape>
        </w:pict>
      </w:r>
      <w:r>
        <w:rPr>
          <w:rFonts w:asciiTheme="minorHAnsi" w:hAnsiTheme="minorHAnsi" w:cstheme="minorHAnsi"/>
          <w:noProof/>
          <w:sz w:val="18"/>
          <w:szCs w:val="18"/>
          <w:lang w:eastAsia="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12" o:spid="_x0000_s1124" type="#_x0000_t87" style="position:absolute;margin-left:262.5pt;margin-top:-150.7pt;width:23.5pt;height:368.15pt;rotation:90;flip:x;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" adj="2369,10824" strokecolor="#31849b [2408]" strokeweight="2pt"/>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17" o:spid="_x0000_s1032" style="position:absolute;margin-left:366.1pt;margin-top:22.2pt;width:91.65pt;height:45.4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" fillcolor="white [3201]" strokecolor="#060" strokeweight="1pt">
            <v:fill color2="#b6dde8 [1304]" focus="100%" type="gradient"/>
            <v:shadow on="t" color="#205867 [1608]" opacity=".5" offset="1pt"/>
            <v:textbox>
              <w:txbxContent>
                <w:p w:rsidR="00704F97" w:rsidRPr="00772050" w:rsidRDefault="00704F97" w:rsidP="00D15C67">
                  <w:pPr>
                    <w:jc w:val="center"/>
                    <w:rPr>
                      <w:rFonts w:asciiTheme="minorHAnsi" w:hAnsiTheme="minorHAnsi" w:cstheme="minorHAnsi"/>
                      <w:sz w:val="16"/>
                      <w:szCs w:val="16"/>
                    </w:rPr>
                  </w:pPr>
                  <w:r w:rsidRPr="00772050">
                    <w:rPr>
                      <w:rFonts w:asciiTheme="minorHAnsi" w:hAnsiTheme="minorHAnsi" w:cstheme="minorHAnsi"/>
                      <w:sz w:val="16"/>
                      <w:szCs w:val="16"/>
                    </w:rPr>
                    <w:t>Increased Students Achievement of Learning Outcomes (competencies)</w:t>
                  </w:r>
                </w:p>
              </w:txbxContent>
            </v:textbox>
          </v:rect>
        </w:pict>
      </w:r>
      <w:r>
        <w:rPr>
          <w:rFonts w:asciiTheme="minorHAnsi" w:hAnsiTheme="minorHAnsi" w:cstheme="minorHAnsi"/>
          <w:noProof/>
          <w:sz w:val="18"/>
          <w:szCs w:val="18"/>
          <w:lang w:eastAsia="en-US"/>
        </w:rPr>
        <w:pict>
          <v:rect id="Rectangle 215" o:spid="_x0000_s1033" style="position:absolute;margin-left:266.1pt;margin-top:22.15pt;width:92.9pt;height:45.4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" fillcolor="white [3201]" strokecolor="#060" strokeweight="1pt">
            <v:fill color2="#b6dde8 [1304]" focus="100%" type="gradient"/>
            <v:shadow on="t" color="#205867 [1608]" opacity=".5"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Decreased Dropout Rate in Primary Education</w:t>
                  </w:r>
                </w:p>
              </w:txbxContent>
            </v:textbox>
          </v:rect>
        </w:pict>
      </w:r>
      <w:r>
        <w:rPr>
          <w:rFonts w:asciiTheme="minorHAnsi" w:hAnsiTheme="minorHAnsi" w:cstheme="minorHAnsi"/>
          <w:noProof/>
          <w:sz w:val="18"/>
          <w:szCs w:val="18"/>
          <w:lang w:eastAsia="en-US"/>
        </w:rPr>
        <w:pict>
          <v:rect id="Rectangle 213" o:spid="_x0000_s1034" style="position:absolute;margin-left:168.05pt;margin-top:22.15pt;width:94.05pt;height:45.4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" fillcolor="white [3201]" strokecolor="#060" strokeweight="1pt">
            <v:fill color2="#b6dde8 [1304]" focus="100%" type="gradient"/>
            <v:shadow on="t" color="#205867 [1608]" opacity=".5"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Increased Survival rate in primary education</w:t>
                  </w:r>
                </w:p>
              </w:txbxContent>
            </v:textbox>
          </v:rect>
        </w:pict>
      </w:r>
      <w:r>
        <w:rPr>
          <w:rFonts w:asciiTheme="minorHAnsi" w:hAnsiTheme="minorHAnsi" w:cstheme="minorHAnsi"/>
          <w:noProof/>
          <w:sz w:val="18"/>
          <w:szCs w:val="18"/>
          <w:lang w:eastAsia="en-US"/>
        </w:rPr>
        <w:pict>
          <v:rect id="Rectangle 211" o:spid="_x0000_s1035" style="position:absolute;margin-left:65.35pt;margin-top:22.15pt;width:88.9pt;height:45.4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" fillcolor="white [3201]" strokecolor="#060" strokeweight="1pt">
            <v:fill color2="#b6dde8 [1304]" focus="100%" type="gradient"/>
            <v:shadow on="t" color="#205867 [1608]" opacity=".5" offset="1pt"/>
            <v:textbox>
              <w:txbxContent>
                <w:p w:rsidR="00704F97" w:rsidRPr="00050450" w:rsidRDefault="00704F97" w:rsidP="00D15C67">
                  <w:pPr>
                    <w:jc w:val="center"/>
                    <w:rPr>
                      <w:rFonts w:asciiTheme="minorHAnsi" w:hAnsiTheme="minorHAnsi" w:cstheme="minorHAnsi"/>
                      <w:sz w:val="18"/>
                      <w:szCs w:val="18"/>
                    </w:rPr>
                  </w:pPr>
                  <w:r w:rsidRPr="00050450">
                    <w:rPr>
                      <w:rFonts w:asciiTheme="minorHAnsi" w:hAnsiTheme="minorHAnsi" w:cstheme="minorHAnsi"/>
                      <w:sz w:val="18"/>
                      <w:szCs w:val="18"/>
                    </w:rPr>
                    <w:t>Increased Access to Primary, PPE, Inclusive Education</w:t>
                  </w:r>
                </w:p>
              </w:txbxContent>
            </v:textbox>
          </v:rect>
        </w:pict>
      </w:r>
    </w:p>
    <w:p w:rsidR="00D15C67" w:rsidRPr="005F120D" w:rsidRDefault="00D15C67" w:rsidP="00C437AA">
      <w:pPr>
        <w:spacing w:line="276" w:lineRule="auto"/>
        <w:rPr>
          <w:rFonts w:asciiTheme="minorHAnsi" w:hAnsiTheme="minorHAnsi" w:cstheme="minorHAnsi"/>
          <w:sz w:val="18"/>
          <w:szCs w:val="18"/>
        </w:rPr>
      </w:pP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09" o:spid="_x0000_s1036" style="position:absolute;margin-left:-5.55pt;margin-top:9.3pt;width:65.05pt;height:36.7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" fillcolor="white [3201]" strokecolor="#060" strokeweight="1pt">
            <v:fill color2="#b6dde8 [1304]" focus="100%" type="gradient"/>
            <v:shadow on="t" color="#205867 [1608]" opacity=".5" offset="1pt"/>
            <v:textbox>
              <w:txbxContent>
                <w:p w:rsidR="00704F97" w:rsidRPr="00772050" w:rsidRDefault="00704F97" w:rsidP="00D15C67">
                  <w:pPr>
                    <w:jc w:val="center"/>
                    <w:rPr>
                      <w:rFonts w:asciiTheme="minorHAnsi" w:hAnsiTheme="minorHAnsi" w:cstheme="minorHAnsi"/>
                      <w:sz w:val="16"/>
                      <w:szCs w:val="16"/>
                    </w:rPr>
                  </w:pPr>
                  <w:r w:rsidRPr="00772050">
                    <w:rPr>
                      <w:rFonts w:asciiTheme="minorHAnsi" w:hAnsiTheme="minorHAnsi" w:cstheme="minorHAnsi"/>
                      <w:sz w:val="16"/>
                      <w:szCs w:val="16"/>
                    </w:rPr>
                    <w:t>Organizational Outcomes</w:t>
                  </w:r>
                </w:p>
              </w:txbxContent>
            </v:textbox>
          </v:rect>
        </w:pict>
      </w:r>
      <w:r>
        <w:rPr>
          <w:rFonts w:asciiTheme="minorHAnsi" w:hAnsiTheme="minorHAnsi" w:cstheme="minorHAnsi"/>
          <w:noProof/>
          <w:sz w:val="18"/>
          <w:szCs w:val="18"/>
          <w:lang w:eastAsia="en-US"/>
        </w:rPr>
        <w:pict>
          <v:shapetype id="_x0000_t32" coordsize="21600,21600" o:spt="32" o:oned="t" path="m,l21600,21600e" filled="f">
            <v:path arrowok="t" fillok="f" o:connecttype="none"/>
            <o:lock v:ext="edit" shapetype="t"/>
          </v:shapetype>
          <v:shape id="AutoShape 224" o:spid="_x0000_s1123" type="#_x0000_t32" style="position:absolute;margin-left:352.15pt;margin-top:6.7pt;width:.05pt;height:28.8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" strokeweight="2pt">
            <v:stroke endarrow="block"/>
          </v:shape>
        </w:pict>
      </w:r>
      <w:r>
        <w:rPr>
          <w:rFonts w:asciiTheme="minorHAnsi" w:hAnsiTheme="minorHAnsi" w:cstheme="minorHAnsi"/>
          <w:noProof/>
          <w:sz w:val="18"/>
          <w:szCs w:val="18"/>
          <w:lang w:eastAsia="en-US"/>
        </w:rPr>
        <w:pict>
          <v:shape id="AutoShape 225" o:spid="_x0000_s1122" type="#_x0000_t32" style="position:absolute;margin-left:379.2pt;margin-top:8.9pt;width:0;height:25.6pt;flip: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" strokeweight="2pt">
            <v:stroke endarrow="block"/>
          </v:shape>
        </w:pict>
      </w:r>
      <w:r>
        <w:rPr>
          <w:rFonts w:asciiTheme="minorHAnsi" w:hAnsiTheme="minorHAnsi" w:cstheme="minorHAnsi"/>
          <w:noProof/>
          <w:sz w:val="18"/>
          <w:szCs w:val="18"/>
          <w:lang w:eastAsia="en-US"/>
        </w:rPr>
        <w:pict>
          <v:shape id="AutoShape 222" o:spid="_x0000_s1121" type="#_x0000_t32" style="position:absolute;margin-left:172.95pt;margin-top:5.65pt;width:.05pt;height:28.8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" strokeweight="2pt">
            <v:stroke endarrow="block"/>
          </v:shape>
        </w:pict>
      </w:r>
      <w:r>
        <w:rPr>
          <w:rFonts w:asciiTheme="minorHAnsi" w:hAnsiTheme="minorHAnsi" w:cstheme="minorHAnsi"/>
          <w:noProof/>
          <w:sz w:val="18"/>
          <w:szCs w:val="18"/>
          <w:lang w:eastAsia="en-US"/>
        </w:rPr>
        <w:pict>
          <v:shape id="AutoShape 220" o:spid="_x0000_s1120" type="#_x0000_t32" style="position:absolute;margin-left:147.45pt;margin-top:3.1pt;width:25.55pt;height:0;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" strokeweight="2pt">
            <v:stroke endarrow="block"/>
          </v:shape>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19" o:spid="_x0000_s1037" style="position:absolute;margin-left:366.65pt;margin-top:3.65pt;width:91.65pt;height:42.4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" fillcolor="white [3201]" strokecolor="#060" strokeweight="1pt">
            <v:fill color2="#b6dde8 [1304]" focus="100%" type="gradient"/>
            <v:shadow on="t" color="#205867 [1608]" opacity=".5"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Decreased Student Absenteeism</w:t>
                  </w:r>
                </w:p>
              </w:txbxContent>
            </v:textbox>
          </v:rect>
        </w:pict>
      </w:r>
      <w:r>
        <w:rPr>
          <w:rFonts w:asciiTheme="minorHAnsi" w:hAnsiTheme="minorHAnsi" w:cstheme="minorHAnsi"/>
          <w:noProof/>
          <w:sz w:val="18"/>
          <w:szCs w:val="18"/>
          <w:lang w:eastAsia="en-US"/>
        </w:rPr>
        <w:pict>
          <v:rect id="Rectangle 218" o:spid="_x0000_s1038" style="position:absolute;margin-left:266.1pt;margin-top:3.65pt;width:92.9pt;height:42.4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" fillcolor="white [3201]" strokecolor="#060" strokeweight="1pt">
            <v:fill color2="#b6dde8 [1304]" focus="100%" type="gradient"/>
            <v:shadow on="t" color="#205867 [1608]" opacity=".5" offset="1pt"/>
            <v:textbox>
              <w:txbxContent>
                <w:p w:rsidR="00704F97" w:rsidRPr="00050450" w:rsidRDefault="00704F97" w:rsidP="00D15C67">
                  <w:pPr>
                    <w:jc w:val="center"/>
                    <w:rPr>
                      <w:rFonts w:asciiTheme="minorHAnsi" w:hAnsiTheme="minorHAnsi" w:cstheme="minorHAnsi"/>
                      <w:sz w:val="18"/>
                      <w:szCs w:val="18"/>
                    </w:rPr>
                  </w:pPr>
                  <w:r w:rsidRPr="00050450">
                    <w:rPr>
                      <w:rFonts w:asciiTheme="minorHAnsi" w:hAnsiTheme="minorHAnsi" w:cstheme="minorHAnsi"/>
                      <w:sz w:val="18"/>
                      <w:szCs w:val="18"/>
                    </w:rPr>
                    <w:t xml:space="preserve">Increased PPE, IE </w:t>
                  </w:r>
                  <w:r>
                    <w:rPr>
                      <w:rFonts w:asciiTheme="minorHAnsi" w:hAnsiTheme="minorHAnsi" w:cstheme="minorHAnsi"/>
                      <w:sz w:val="18"/>
                      <w:szCs w:val="18"/>
                    </w:rPr>
                    <w:t>Enrolment</w:t>
                  </w:r>
                  <w:r w:rsidRPr="00050450">
                    <w:rPr>
                      <w:rFonts w:asciiTheme="minorHAnsi" w:hAnsiTheme="minorHAnsi" w:cstheme="minorHAnsi"/>
                      <w:sz w:val="18"/>
                      <w:szCs w:val="18"/>
                    </w:rPr>
                    <w:t xml:space="preserve"> including GIR, NIR, GER &amp; NER</w:t>
                  </w:r>
                </w:p>
              </w:txbxContent>
            </v:textbox>
          </v:rect>
        </w:pict>
      </w:r>
      <w:r>
        <w:rPr>
          <w:rFonts w:asciiTheme="minorHAnsi" w:hAnsiTheme="minorHAnsi" w:cstheme="minorHAnsi"/>
          <w:noProof/>
          <w:sz w:val="18"/>
          <w:szCs w:val="18"/>
          <w:lang w:eastAsia="en-US"/>
        </w:rPr>
        <w:pict>
          <v:shape id="AutoShape 221" o:spid="_x0000_s1119" type="#_x0000_t32" style="position:absolute;margin-left:352.2pt;margin-top:11.95pt;width:28.2pt;height:.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" strokeweight="2pt">
            <v:stroke endarrow="block"/>
          </v:shape>
        </w:pict>
      </w:r>
      <w:r>
        <w:rPr>
          <w:rFonts w:asciiTheme="minorHAnsi" w:hAnsiTheme="minorHAnsi" w:cstheme="minorHAnsi"/>
          <w:noProof/>
          <w:sz w:val="18"/>
          <w:szCs w:val="18"/>
          <w:lang w:eastAsia="en-US"/>
        </w:rPr>
        <w:pict>
          <v:rect id="Rectangle 216" o:spid="_x0000_s1039" style="position:absolute;margin-left:168.1pt;margin-top:3.65pt;width:94pt;height:42.4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" fillcolor="white [3201]" strokecolor="#060" strokeweight="1pt">
            <v:fill color2="#b6dde8 [1304]" focus="100%" type="gradient"/>
            <v:shadow on="t" color="#205867 [1608]" opacity=".5"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Decreased Repetition Rate</w:t>
                  </w:r>
                </w:p>
              </w:txbxContent>
            </v:textbox>
          </v:rect>
        </w:pict>
      </w:r>
      <w:r>
        <w:rPr>
          <w:rFonts w:asciiTheme="minorHAnsi" w:hAnsiTheme="minorHAnsi" w:cstheme="minorHAnsi"/>
          <w:noProof/>
          <w:sz w:val="18"/>
          <w:szCs w:val="18"/>
          <w:lang w:eastAsia="en-US"/>
        </w:rPr>
        <w:pict>
          <v:rect id="Rectangle 214" o:spid="_x0000_s1040" style="position:absolute;margin-left:65.35pt;margin-top:3.65pt;width:88.9pt;height:42.4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" fillcolor="white [3201]" strokecolor="#060" strokeweight="1pt">
            <v:fill color2="#b6dde8 [1304]" focus="100%" type="gradient"/>
            <v:shadow on="t" color="#205867 [1608]" opacity=".5"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Increased Primary Cycle Completion Rate</w:t>
                  </w:r>
                </w:p>
              </w:txbxContent>
            </v:textbox>
          </v:rect>
        </w:pict>
      </w:r>
      <w:r>
        <w:rPr>
          <w:rFonts w:asciiTheme="minorHAnsi" w:hAnsiTheme="minorHAnsi" w:cstheme="minorHAnsi"/>
          <w:noProof/>
          <w:sz w:val="18"/>
          <w:szCs w:val="18"/>
          <w:lang w:eastAsia="en-US"/>
        </w:rPr>
        <w:pict>
          <v:shape id="AutoShape 223" o:spid="_x0000_s1118" type="#_x0000_t32" style="position:absolute;margin-left:147.45pt;margin-top:10.95pt;width:24.4pt;height:.0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" strokeweight="2pt">
            <v:stroke endarrow="block"/>
          </v:shape>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shape id="AutoShape 210" o:spid="_x0000_s1117" type="#_x0000_t68" style="position:absolute;margin-left:14.45pt;margin-top:3.75pt;width:20pt;height:65.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" fillcolor="#c2d69b [1942]" strokecolor="#9bbb59 [3206]" strokeweight="1pt">
            <v:fill color2="#9bbb59 [3206]" focus="50%" type="gradient"/>
            <v:shadow on="t" color="#4e6128 [1606]" offset="1pt"/>
            <v:textbox style="layout-flow:vertical-ideographic"/>
          </v:shape>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shape id="AutoShape 239" o:spid="_x0000_s1116" type="#_x0000_t87" style="position:absolute;margin-left:246.8pt;margin-top:-180.5pt;width:26.9pt;height:389.8pt;rotation:90;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" adj="2369" strokecolor="#060" strokeweight="2pt"/>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27" o:spid="_x0000_s1041" style="position:absolute;margin-left:65.35pt;margin-top:3.6pt;width:85.45pt;height:44.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" fillcolor="#c2d69b [1942]" strokecolor="#9bbb59 [3206]" strokeweight="1pt">
            <v:fill color2="#9bbb59 [3206]" focus="50%" type="gradient"/>
            <v:shadow on="t" color="#4e6128 [1606]"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STR /Reduced SCR</w:t>
                  </w:r>
                </w:p>
              </w:txbxContent>
            </v:textbox>
          </v:rect>
        </w:pict>
      </w:r>
      <w:r>
        <w:rPr>
          <w:rFonts w:asciiTheme="minorHAnsi" w:hAnsiTheme="minorHAnsi" w:cstheme="minorHAnsi"/>
          <w:noProof/>
          <w:sz w:val="18"/>
          <w:szCs w:val="18"/>
          <w:lang w:eastAsia="en-US"/>
        </w:rPr>
        <w:pict>
          <v:rect id="Rectangle 233" o:spid="_x0000_s1042" style="position:absolute;margin-left:376.95pt;margin-top:5.3pt;width:81.35pt;height:44.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" fillcolor="#c2d69b [1942]" strokecolor="#9bbb59 [3206]" strokeweight="1pt">
            <v:fill color2="#9bbb59 [3206]" focus="50%" type="gradient"/>
            <v:shadow on="t" color="#4e6128 [1606]"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Trained and Skilled Teachers in p</w:t>
                  </w:r>
                  <w:r>
                    <w:rPr>
                      <w:rFonts w:asciiTheme="minorHAnsi" w:hAnsiTheme="minorHAnsi" w:cstheme="minorHAnsi"/>
                      <w:sz w:val="20"/>
                    </w:rPr>
                    <w:t>lace</w:t>
                  </w:r>
                </w:p>
              </w:txbxContent>
            </v:textbox>
          </v:rect>
        </w:pict>
      </w:r>
      <w:r>
        <w:rPr>
          <w:rFonts w:asciiTheme="minorHAnsi" w:hAnsiTheme="minorHAnsi" w:cstheme="minorHAnsi"/>
          <w:noProof/>
          <w:sz w:val="18"/>
          <w:szCs w:val="18"/>
          <w:lang w:eastAsia="en-US"/>
        </w:rPr>
        <w:pict>
          <v:rect id="Rectangle 229" o:spid="_x0000_s1043" style="position:absolute;margin-left:157.6pt;margin-top:4.05pt;width:94.95pt;height:43.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" fillcolor="#c2d69b [1942]" strokecolor="#9bbb59 [3206]" strokeweight="1pt">
            <v:fill color2="#9bbb59 [3206]" focus="50%" type="gradient"/>
            <v:shadow on="t" color="#4e6128 [1606]"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Decentralized Management</w:t>
                  </w:r>
                </w:p>
              </w:txbxContent>
            </v:textbox>
          </v:rect>
        </w:pict>
      </w:r>
      <w:r>
        <w:rPr>
          <w:rFonts w:asciiTheme="minorHAnsi" w:hAnsiTheme="minorHAnsi" w:cstheme="minorHAnsi"/>
          <w:noProof/>
          <w:sz w:val="18"/>
          <w:szCs w:val="18"/>
          <w:lang w:eastAsia="en-US"/>
        </w:rPr>
        <w:pict>
          <v:rect id="Rectangle 231" o:spid="_x0000_s1044" style="position:absolute;margin-left:262.1pt;margin-top:5.3pt;width:107.5pt;height:43.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" fillcolor="#c2d69b [1942]" strokecolor="#9bbb59 [3206]" strokeweight="1pt">
            <v:fill color2="#9bbb59 [3206]" focus="50%" type="gradient"/>
            <v:shadow on="t" color="#4e6128 [1606]"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Developed Policies and Plans</w:t>
                  </w:r>
                </w:p>
              </w:txbxContent>
            </v:textbox>
          </v:rect>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26" o:spid="_x0000_s1045" style="position:absolute;margin-left:-5.55pt;margin-top:8.75pt;width:60.95pt;height:40.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" fillcolor="#c2d69b [1942]" strokecolor="#9bbb59 [3206]" strokeweight="1pt">
            <v:fill color2="#9bbb59 [3206]" focus="50%" type="gradient"/>
            <v:shadow on="t" color="#4e6128 [1606]" offset="1pt"/>
            <v:textbox>
              <w:txbxContent>
                <w:p w:rsidR="00704F97" w:rsidRPr="00713342" w:rsidRDefault="00704F97" w:rsidP="00D15C67">
                  <w:pPr>
                    <w:jc w:val="center"/>
                    <w:rPr>
                      <w:rFonts w:asciiTheme="minorHAnsi" w:hAnsiTheme="minorHAnsi" w:cstheme="minorHAnsi"/>
                      <w:sz w:val="18"/>
                      <w:szCs w:val="18"/>
                    </w:rPr>
                  </w:pPr>
                  <w:r w:rsidRPr="00713342">
                    <w:rPr>
                      <w:rFonts w:asciiTheme="minorHAnsi" w:hAnsiTheme="minorHAnsi" w:cstheme="minorHAnsi"/>
                      <w:sz w:val="18"/>
                      <w:szCs w:val="18"/>
                    </w:rPr>
                    <w:t>Organizational Outputs</w:t>
                  </w:r>
                </w:p>
              </w:txbxContent>
            </v:textbox>
          </v:rect>
        </w:pict>
      </w:r>
      <w:r>
        <w:rPr>
          <w:rFonts w:asciiTheme="minorHAnsi" w:hAnsiTheme="minorHAnsi" w:cstheme="minorHAnsi"/>
          <w:noProof/>
          <w:sz w:val="18"/>
          <w:szCs w:val="18"/>
          <w:lang w:eastAsia="en-US"/>
        </w:rPr>
        <w:pict>
          <v:shape id="AutoShape 235" o:spid="_x0000_s1115" type="#_x0000_t32" style="position:absolute;margin-left:138.85pt;margin-top:12.5pt;width:33pt;height:30.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" strokeweight="1.25pt">
            <v:stroke startarrow="block" endarrow="block"/>
          </v:shape>
        </w:pict>
      </w:r>
      <w:r>
        <w:rPr>
          <w:rFonts w:asciiTheme="minorHAnsi" w:hAnsiTheme="minorHAnsi" w:cstheme="minorHAnsi"/>
          <w:noProof/>
          <w:sz w:val="18"/>
          <w:szCs w:val="18"/>
          <w:lang w:eastAsia="en-US"/>
        </w:rPr>
        <w:pict>
          <v:shape id="AutoShape 237" o:spid="_x0000_s1114" type="#_x0000_t32" style="position:absolute;margin-left:138.6pt;margin-top:10.4pt;width:33.25pt;height:32.5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" strokeweight="1.25pt">
            <v:stroke startarrow="block" endarrow="block"/>
          </v:shape>
        </w:pict>
      </w:r>
      <w:r>
        <w:rPr>
          <w:rFonts w:asciiTheme="minorHAnsi" w:hAnsiTheme="minorHAnsi" w:cstheme="minorHAnsi"/>
          <w:noProof/>
          <w:sz w:val="18"/>
          <w:szCs w:val="18"/>
          <w:lang w:eastAsia="en-US"/>
        </w:rPr>
        <w:pict>
          <v:shape id="AutoShape 236" o:spid="_x0000_s1113" type="#_x0000_t32" style="position:absolute;margin-left:352.7pt;margin-top:6.65pt;width:39.85pt;height:32.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" strokeweight="1.25pt">
            <v:stroke startarrow="block" endarrow="block"/>
          </v:shape>
        </w:pict>
      </w:r>
      <w:r>
        <w:rPr>
          <w:rFonts w:asciiTheme="minorHAnsi" w:hAnsiTheme="minorHAnsi" w:cstheme="minorHAnsi"/>
          <w:noProof/>
          <w:sz w:val="18"/>
          <w:szCs w:val="18"/>
          <w:lang w:eastAsia="en-US"/>
        </w:rPr>
        <w:pict>
          <v:shape id="AutoShape 238" o:spid="_x0000_s1112" type="#_x0000_t32" style="position:absolute;margin-left:359pt;margin-top:4.45pt;width:28.25pt;height:38.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" strokeweight="1.25pt">
            <v:stroke startarrow="block" endarrow="block"/>
          </v:shape>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28" o:spid="_x0000_s1046" style="position:absolute;margin-left:65.35pt;margin-top:9.7pt;width:82.1pt;height:4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" fillcolor="#c2d69b [1942]" strokecolor="#9bbb59 [3206]" strokeweight="1pt">
            <v:fill color2="#9bbb59 [3206]" focus="50%" type="gradient"/>
            <v:shadow on="t" color="#4e6128 [1606]"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Need based Infrastructure developed</w:t>
                  </w:r>
                </w:p>
              </w:txbxContent>
            </v:textbox>
          </v:rect>
        </w:pict>
      </w:r>
      <w:r>
        <w:rPr>
          <w:rFonts w:asciiTheme="minorHAnsi" w:hAnsiTheme="minorHAnsi" w:cstheme="minorHAnsi"/>
          <w:noProof/>
          <w:sz w:val="18"/>
          <w:szCs w:val="18"/>
          <w:lang w:eastAsia="en-US"/>
        </w:rPr>
        <w:pict>
          <v:rect id="Rectangle 234" o:spid="_x0000_s1047" style="position:absolute;margin-left:374.9pt;margin-top:9.7pt;width:83.4pt;height: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" fillcolor="#c2d69b [1942]" strokecolor="#9bbb59 [3206]" strokeweight="1pt">
            <v:fill color2="#9bbb59 [3206]" focus="50%" type="gradient"/>
            <v:shadow on="t" color="#4e6128 [1606]" offset="1pt"/>
            <v:textbox>
              <w:txbxContent>
                <w:p w:rsidR="00704F97" w:rsidRPr="007C4A6A" w:rsidRDefault="00704F97" w:rsidP="00D15C67">
                  <w:pPr>
                    <w:jc w:val="center"/>
                    <w:rPr>
                      <w:rFonts w:asciiTheme="minorHAnsi" w:hAnsiTheme="minorHAnsi" w:cstheme="minorHAnsi"/>
                      <w:sz w:val="18"/>
                      <w:szCs w:val="18"/>
                    </w:rPr>
                  </w:pPr>
                  <w:r w:rsidRPr="007C4A6A">
                    <w:rPr>
                      <w:rFonts w:asciiTheme="minorHAnsi" w:hAnsiTheme="minorHAnsi" w:cstheme="minorHAnsi"/>
                      <w:sz w:val="18"/>
                      <w:szCs w:val="18"/>
                    </w:rPr>
                    <w:t>NSA, APSC, ASPR reports prepared, published and disseminated including AOP</w:t>
                  </w:r>
                </w:p>
              </w:txbxContent>
            </v:textbox>
          </v:rect>
        </w:pict>
      </w:r>
      <w:r>
        <w:rPr>
          <w:rFonts w:asciiTheme="minorHAnsi" w:hAnsiTheme="minorHAnsi" w:cstheme="minorHAnsi"/>
          <w:noProof/>
          <w:sz w:val="18"/>
          <w:szCs w:val="18"/>
          <w:lang w:eastAsia="en-US"/>
        </w:rPr>
        <w:pict>
          <v:rect id="Rectangle 230" o:spid="_x0000_s1048" style="position:absolute;margin-left:155.7pt;margin-top:9.7pt;width:96.85pt;height:5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" fillcolor="#c2d69b [1942]" strokecolor="#9bbb59 [3206]" strokeweight="1pt">
            <v:fill color2="#9bbb59 [3206]" focus="50%" type="gradient"/>
            <v:shadow on="t" color="#4e6128 [1606]"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Improved Education Management</w:t>
                  </w:r>
                </w:p>
              </w:txbxContent>
            </v:textbox>
          </v:rect>
        </w:pict>
      </w:r>
      <w:r>
        <w:rPr>
          <w:rFonts w:asciiTheme="minorHAnsi" w:hAnsiTheme="minorHAnsi" w:cstheme="minorHAnsi"/>
          <w:noProof/>
          <w:sz w:val="18"/>
          <w:szCs w:val="18"/>
          <w:lang w:eastAsia="en-US"/>
        </w:rPr>
        <w:pict>
          <v:rect id="Rectangle 232" o:spid="_x0000_s1049" style="position:absolute;margin-left:262.1pt;margin-top:9.7pt;width:107.5pt;height:5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" fillcolor="#c2d69b [1942]" strokecolor="#9bbb59 [3206]" strokeweight="1pt">
            <v:fill color2="#9bbb59 [3206]" focus="50%" type="gradient"/>
            <v:shadow on="t" color="#4e6128 [1606]" offset="1pt"/>
            <v:textbox>
              <w:txbxContent>
                <w:p w:rsidR="00704F97" w:rsidRPr="00050450" w:rsidRDefault="00704F97" w:rsidP="00D15C67">
                  <w:pPr>
                    <w:jc w:val="center"/>
                    <w:rPr>
                      <w:rFonts w:asciiTheme="minorHAnsi" w:hAnsiTheme="minorHAnsi" w:cstheme="minorHAnsi"/>
                      <w:sz w:val="18"/>
                      <w:szCs w:val="18"/>
                    </w:rPr>
                  </w:pPr>
                  <w:r w:rsidRPr="00050450">
                    <w:rPr>
                      <w:rFonts w:asciiTheme="minorHAnsi" w:hAnsiTheme="minorHAnsi" w:cstheme="minorHAnsi"/>
                      <w:sz w:val="18"/>
                      <w:szCs w:val="18"/>
                    </w:rPr>
                    <w:t>New schools, Ramps, Additional Classrooms, Text Books, Stipend, School Feeding</w:t>
                  </w:r>
                </w:p>
              </w:txbxContent>
            </v:textbox>
          </v:rect>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shape id="AutoShape 240" o:spid="_x0000_s1111" type="#_x0000_t68" style="position:absolute;margin-left:14.45pt;margin-top:7.3pt;width:20pt;height:146.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" fillcolor="#943634 [2405]" strokecolor="#943634 [2405]" strokeweight="1pt">
            <v:fill opacity="61603f" color2="#9bbb59 [3206]" focus="50%" type="gradient"/>
            <v:shadow on="t" color="#4e6128 [1606]" offset="1pt"/>
            <v:textbox style="layout-flow:vertical-ideographic"/>
          </v:shape>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shape id="AutoShape 271" o:spid="_x0000_s1110" type="#_x0000_t87" style="position:absolute;margin-left:250.8pt;margin-top:-170.7pt;width:22.1pt;height:392.95pt;rotation:90;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" adj="2369,10797" strokecolor="#943634 [2405]" strokeweight="2pt"/>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42" o:spid="_x0000_s1050" style="position:absolute;margin-left:65.35pt;margin-top:13.85pt;width:88.9pt;height:33.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" fillcolor="#d99594 [1941]" strokecolor="#d99594 [1941]" strokeweight="1pt">
            <v:fill color2="#f2dbdb [661]" angle="135" focus="50%" type="gradient"/>
            <v:shadow on="t" color="#622423 [1605]" opacity=".5" offset="1pt"/>
            <v:textbox>
              <w:txbxContent>
                <w:p w:rsidR="00704F97" w:rsidRPr="00050450" w:rsidRDefault="00704F97" w:rsidP="00D15C67">
                  <w:pPr>
                    <w:jc w:val="center"/>
                    <w:rPr>
                      <w:rFonts w:asciiTheme="minorHAnsi" w:hAnsiTheme="minorHAnsi" w:cstheme="minorHAnsi"/>
                      <w:sz w:val="20"/>
                    </w:rPr>
                  </w:pPr>
                  <w:r w:rsidRPr="00050450">
                    <w:rPr>
                      <w:rFonts w:asciiTheme="minorHAnsi" w:hAnsiTheme="minorHAnsi" w:cstheme="minorHAnsi"/>
                      <w:sz w:val="20"/>
                    </w:rPr>
                    <w:t>Maintenance at all levels</w:t>
                  </w:r>
                </w:p>
              </w:txbxContent>
            </v:textbox>
          </v:rect>
        </w:pict>
      </w:r>
      <w:r>
        <w:rPr>
          <w:rFonts w:asciiTheme="minorHAnsi" w:hAnsiTheme="minorHAnsi" w:cstheme="minorHAnsi"/>
          <w:noProof/>
          <w:sz w:val="18"/>
          <w:szCs w:val="18"/>
          <w:lang w:eastAsia="en-US"/>
        </w:rPr>
        <w:pict>
          <v:rect id="Rectangle 245" o:spid="_x0000_s1051" style="position:absolute;margin-left:380pt;margin-top:13.85pt;width:82.05pt;height:33.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" fillcolor="#666 [1936]" strokecolor="#666 [1936]" strokeweight="1pt">
            <v:fill color2="#ccc [656]" angle="135" focus="50%" type="gradient"/>
            <v:shadow on="t" color="#7f7f7f [1601]" opacity=".5" offset="1pt"/>
            <v:textbox>
              <w:txbxContent>
                <w:p w:rsidR="00704F97" w:rsidRPr="008D2525" w:rsidRDefault="00704F97" w:rsidP="00D15C67">
                  <w:pPr>
                    <w:jc w:val="center"/>
                    <w:rPr>
                      <w:sz w:val="20"/>
                    </w:rPr>
                  </w:pPr>
                  <w:r>
                    <w:rPr>
                      <w:sz w:val="20"/>
                    </w:rPr>
                    <w:t>Public Private Partnerships</w:t>
                  </w:r>
                </w:p>
              </w:txbxContent>
            </v:textbox>
          </v:rect>
        </w:pict>
      </w:r>
      <w:r>
        <w:rPr>
          <w:rFonts w:asciiTheme="minorHAnsi" w:hAnsiTheme="minorHAnsi" w:cstheme="minorHAnsi"/>
          <w:noProof/>
          <w:sz w:val="18"/>
          <w:szCs w:val="18"/>
          <w:lang w:eastAsia="en-US"/>
        </w:rPr>
        <w:pict>
          <v:rect id="Rectangle 247" o:spid="_x0000_s1052" style="position:absolute;margin-left:266.1pt;margin-top:13.85pt;width:107.2pt;height:33.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" fillcolor="#666 [1936]" strokecolor="#666 [1936]" strokeweight="1pt">
            <v:fill color2="#ccc [656]" angle="135" focus="50%" type="gradient"/>
            <v:shadow on="t" color="#7f7f7f [1601]" opacity=".5" offset="1pt"/>
            <v:textbox>
              <w:txbxContent>
                <w:p w:rsidR="00704F97" w:rsidRPr="008D2525" w:rsidRDefault="00704F97" w:rsidP="00D15C67">
                  <w:pPr>
                    <w:jc w:val="center"/>
                    <w:rPr>
                      <w:sz w:val="20"/>
                    </w:rPr>
                  </w:pPr>
                  <w:r w:rsidRPr="008D2525">
                    <w:rPr>
                      <w:sz w:val="20"/>
                    </w:rPr>
                    <w:t xml:space="preserve">Awareness </w:t>
                  </w:r>
                  <w:r>
                    <w:rPr>
                      <w:sz w:val="20"/>
                    </w:rPr>
                    <w:t xml:space="preserve">built </w:t>
                  </w:r>
                  <w:r w:rsidRPr="008D2525">
                    <w:rPr>
                      <w:sz w:val="20"/>
                    </w:rPr>
                    <w:t xml:space="preserve">of SMC and PTAs </w:t>
                  </w:r>
                </w:p>
              </w:txbxContent>
            </v:textbox>
          </v:rect>
        </w:pict>
      </w:r>
      <w:r>
        <w:rPr>
          <w:rFonts w:asciiTheme="minorHAnsi" w:hAnsiTheme="minorHAnsi" w:cstheme="minorHAnsi"/>
          <w:noProof/>
          <w:sz w:val="18"/>
          <w:szCs w:val="18"/>
          <w:lang w:eastAsia="en-US"/>
        </w:rPr>
        <w:pict>
          <v:rect id="Rectangle 243" o:spid="_x0000_s1053" style="position:absolute;margin-left:161.9pt;margin-top:13.85pt;width:98.1pt;height:33.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" fillcolor="#d99594 [1941]" strokecolor="#d99594 [1941]" strokeweight="1pt">
            <v:fill color2="#f2dbdb [661]" angle="135" focus="50%" type="gradient"/>
            <v:shadow on="t" color="#622423 [1605]" opacity=".5" offset="1pt"/>
            <v:textbox>
              <w:txbxContent>
                <w:p w:rsidR="00704F97" w:rsidRPr="00050450" w:rsidRDefault="00704F97" w:rsidP="00D15C67">
                  <w:pPr>
                    <w:jc w:val="center"/>
                    <w:rPr>
                      <w:rFonts w:asciiTheme="majorHAnsi" w:hAnsiTheme="majorHAnsi"/>
                      <w:sz w:val="20"/>
                    </w:rPr>
                  </w:pPr>
                  <w:r w:rsidRPr="00050450">
                    <w:rPr>
                      <w:rFonts w:asciiTheme="majorHAnsi" w:hAnsiTheme="majorHAnsi"/>
                      <w:sz w:val="20"/>
                    </w:rPr>
                    <w:t>EMIS Strengthen and Decentralized</w:t>
                  </w:r>
                </w:p>
              </w:txbxContent>
            </v:textbox>
          </v:rect>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shape id="AutoShape 259" o:spid="_x0000_s1109" type="#_x0000_t32" style="position:absolute;margin-left:150.2pt;margin-top:18.9pt;width:21.6pt;height:25.3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" strokecolor="#e36c0a [2409]" strokeweight="1pt">
            <v:stroke startarrow="block" endarrow="block" endarrowlength="short"/>
          </v:shape>
        </w:pict>
      </w:r>
      <w:r>
        <w:rPr>
          <w:rFonts w:asciiTheme="minorHAnsi" w:hAnsiTheme="minorHAnsi" w:cstheme="minorHAnsi"/>
          <w:noProof/>
          <w:sz w:val="18"/>
          <w:szCs w:val="18"/>
          <w:lang w:eastAsia="en-US"/>
        </w:rPr>
        <w:pict>
          <v:shape id="AutoShape 264" o:spid="_x0000_s1108" type="#_x0000_t32" style="position:absolute;margin-left:146.4pt;margin-top:20.25pt;width:25.4pt;height:25.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" strokecolor="#e36c0a [2409]" strokeweight="1pt">
            <v:stroke startarrow="block" endarrow="block" endarrowlength="short"/>
          </v:shape>
        </w:pict>
      </w:r>
      <w:r>
        <w:rPr>
          <w:rFonts w:asciiTheme="minorHAnsi" w:hAnsiTheme="minorHAnsi" w:cstheme="minorHAnsi"/>
          <w:noProof/>
          <w:sz w:val="18"/>
          <w:szCs w:val="18"/>
          <w:lang w:eastAsia="en-US"/>
        </w:rPr>
        <w:pict>
          <v:shape id="AutoShape 268" o:spid="_x0000_s1107" type="#_x0000_t32" style="position:absolute;margin-left:171.8pt;margin-top:19.15pt;width:.05pt;height:21.2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" strokecolor="#e36c0a [2409]" strokeweight="1pt">
            <v:stroke endarrow="block"/>
          </v:shape>
        </w:pict>
      </w:r>
      <w:r>
        <w:rPr>
          <w:rFonts w:asciiTheme="minorHAnsi" w:hAnsiTheme="minorHAnsi" w:cstheme="minorHAnsi"/>
          <w:noProof/>
          <w:sz w:val="18"/>
          <w:szCs w:val="18"/>
          <w:lang w:eastAsia="en-US"/>
        </w:rPr>
        <w:pict>
          <v:shape id="AutoShape 269" o:spid="_x0000_s1106" type="#_x0000_t32" style="position:absolute;margin-left:147.25pt;margin-top:20.25pt;width:0;height:23.9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" strokecolor="#e36c0a [2409]" strokeweight="1pt">
            <v:stroke endarrow="block" endarrowlength="short"/>
          </v:shape>
        </w:pict>
      </w:r>
      <w:r>
        <w:rPr>
          <w:rFonts w:asciiTheme="minorHAnsi" w:hAnsiTheme="minorHAnsi" w:cstheme="minorHAnsi"/>
          <w:noProof/>
          <w:sz w:val="18"/>
          <w:szCs w:val="18"/>
          <w:lang w:eastAsia="en-US"/>
        </w:rPr>
        <w:pict>
          <v:shape id="AutoShape 270" o:spid="_x0000_s1105" type="#_x0000_t32" style="position:absolute;margin-left:147.45pt;margin-top:19.1pt;width:21.4pt;height:.0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" strokecolor="#e36c0a [2409]" strokeweight="1pt">
            <v:stroke endarrow="block" endarrowlength="short"/>
          </v:shape>
        </w:pict>
      </w:r>
      <w:r>
        <w:rPr>
          <w:rFonts w:asciiTheme="minorHAnsi" w:hAnsiTheme="minorHAnsi" w:cstheme="minorHAnsi"/>
          <w:noProof/>
          <w:sz w:val="18"/>
          <w:szCs w:val="18"/>
          <w:lang w:eastAsia="en-US"/>
        </w:rPr>
        <w:pict>
          <v:shape id="AutoShape 281" o:spid="_x0000_s1104" type="#_x0000_t32" style="position:absolute;margin-left:395.95pt;margin-top:20.75pt;width:.2pt;height:25.3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" strokeweight="1pt">
            <v:stroke endarrow="block"/>
          </v:shape>
        </w:pict>
      </w:r>
      <w:r>
        <w:rPr>
          <w:rFonts w:asciiTheme="minorHAnsi" w:hAnsiTheme="minorHAnsi" w:cstheme="minorHAnsi"/>
          <w:noProof/>
          <w:sz w:val="18"/>
          <w:szCs w:val="18"/>
          <w:lang w:eastAsia="en-US"/>
        </w:rPr>
        <w:pict>
          <v:shape id="AutoShape 283" o:spid="_x0000_s1103" type="#_x0000_t32" style="position:absolute;margin-left:366.65pt;margin-top:19.15pt;width:0;height:28.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" strokeweight="1pt">
            <v:stroke endarrow="block" endarrowlength="short"/>
          </v:shape>
        </w:pict>
      </w:r>
      <w:r>
        <w:rPr>
          <w:rFonts w:asciiTheme="minorHAnsi" w:hAnsiTheme="minorHAnsi" w:cstheme="minorHAnsi"/>
          <w:noProof/>
          <w:sz w:val="18"/>
          <w:szCs w:val="18"/>
          <w:lang w:eastAsia="en-US"/>
        </w:rPr>
        <w:pict>
          <v:shape id="AutoShape 262" o:spid="_x0000_s1102" type="#_x0000_t32" style="position:absolute;margin-left:366.65pt;margin-top:20.75pt;width:29.45pt;height:28.2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" strokecolor="#404040 [2429]" strokeweight="1.25pt">
            <v:stroke startarrow="block" endarrow="block"/>
          </v:shape>
        </w:pict>
      </w:r>
      <w:r>
        <w:rPr>
          <w:rFonts w:asciiTheme="minorHAnsi" w:hAnsiTheme="minorHAnsi" w:cstheme="minorHAnsi"/>
          <w:noProof/>
          <w:sz w:val="18"/>
          <w:szCs w:val="18"/>
          <w:lang w:eastAsia="en-US"/>
        </w:rPr>
        <w:pict>
          <v:shape id="AutoShape 266" o:spid="_x0000_s1101" type="#_x0000_t32" style="position:absolute;margin-left:365.7pt;margin-top:20.75pt;width:29.85pt;height:23.4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" strokeweight="1.25pt">
            <v:stroke startarrow="block" endarrow="block"/>
          </v:shape>
        </w:pict>
      </w:r>
      <w:r>
        <w:rPr>
          <w:rFonts w:asciiTheme="minorHAnsi" w:hAnsiTheme="minorHAnsi" w:cstheme="minorHAnsi"/>
          <w:noProof/>
          <w:sz w:val="18"/>
          <w:szCs w:val="18"/>
          <w:lang w:eastAsia="en-US"/>
        </w:rPr>
        <w:pict>
          <v:shape id="AutoShape 282" o:spid="_x0000_s1100" type="#_x0000_t32" style="position:absolute;margin-left:366.65pt;margin-top:20.75pt;width:29.3pt;height:0;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" strokeweight="1pt">
            <v:stroke endarrow="block" endarrowlength="short"/>
          </v:shape>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44" o:spid="_x0000_s1054" style="position:absolute;margin-left:69.05pt;margin-top:5.8pt;width:86.65pt;height:41.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" fillcolor="#d99594 [1941]" strokecolor="#d99594 [1941]" strokeweight="1pt">
            <v:fill color2="#f2dbdb [661]" angle="135" focus="50%" type="gradient"/>
            <v:shadow on="t" color="#622423 [1605]" opacity=".5" offset="1pt"/>
            <v:textbox>
              <w:txbxContent>
                <w:p w:rsidR="00704F97" w:rsidRPr="008D2525" w:rsidRDefault="00704F97" w:rsidP="00D15C67">
                  <w:pPr>
                    <w:jc w:val="center"/>
                    <w:rPr>
                      <w:sz w:val="20"/>
                    </w:rPr>
                  </w:pPr>
                  <w:r w:rsidRPr="008D2525">
                    <w:rPr>
                      <w:sz w:val="20"/>
                    </w:rPr>
                    <w:t>Competent officials at all levels</w:t>
                  </w:r>
                  <w:r>
                    <w:rPr>
                      <w:sz w:val="20"/>
                    </w:rPr>
                    <w:t xml:space="preserve"> of DPE</w:t>
                  </w:r>
                </w:p>
              </w:txbxContent>
            </v:textbox>
          </v:rect>
        </w:pict>
      </w:r>
      <w:r>
        <w:rPr>
          <w:rFonts w:asciiTheme="minorHAnsi" w:hAnsiTheme="minorHAnsi" w:cstheme="minorHAnsi"/>
          <w:noProof/>
          <w:sz w:val="18"/>
          <w:szCs w:val="18"/>
          <w:lang w:eastAsia="en-US"/>
        </w:rPr>
        <w:pict>
          <v:rect id="Rectangle 250" o:spid="_x0000_s1055" style="position:absolute;margin-left:380.4pt;margin-top:5.8pt;width:81.65pt;height:41.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" fillcolor="#666 [1936]" strokecolor="#666 [1936]" strokeweight="1pt">
            <v:fill color2="#ccc [656]" angle="135" focus="50%" type="gradient"/>
            <v:shadow on="t" color="#7f7f7f [1601]" opacity=".5" offset="1pt"/>
            <v:textbox>
              <w:txbxContent>
                <w:p w:rsidR="00704F97" w:rsidRPr="00880294" w:rsidRDefault="00704F97" w:rsidP="00D15C67">
                  <w:pPr>
                    <w:jc w:val="center"/>
                    <w:rPr>
                      <w:sz w:val="20"/>
                    </w:rPr>
                  </w:pPr>
                  <w:r w:rsidRPr="00880294">
                    <w:rPr>
                      <w:sz w:val="20"/>
                    </w:rPr>
                    <w:t>PPE and IE implemented</w:t>
                  </w:r>
                </w:p>
              </w:txbxContent>
            </v:textbox>
          </v:rect>
        </w:pict>
      </w:r>
      <w:r>
        <w:rPr>
          <w:rFonts w:asciiTheme="minorHAnsi" w:hAnsiTheme="minorHAnsi" w:cstheme="minorHAnsi"/>
          <w:noProof/>
          <w:sz w:val="18"/>
          <w:szCs w:val="18"/>
          <w:lang w:eastAsia="en-US"/>
        </w:rPr>
        <w:pict>
          <v:rect id="Rectangle 248" o:spid="_x0000_s1056" style="position:absolute;margin-left:267.7pt;margin-top:5.8pt;width:107.2pt;height:41.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" fillcolor="#666 [1936]" strokecolor="#666 [1936]" strokeweight="1pt">
            <v:fill color2="#ccc [656]" angle="135" focus="50%" type="gradient"/>
            <v:shadow on="t" color="#7f7f7f [1601]" opacity=".5" offset="1pt"/>
            <v:textbox>
              <w:txbxContent>
                <w:p w:rsidR="00704F97" w:rsidRPr="008D2525" w:rsidRDefault="00704F97" w:rsidP="00D15C67">
                  <w:pPr>
                    <w:jc w:val="center"/>
                    <w:rPr>
                      <w:sz w:val="20"/>
                    </w:rPr>
                  </w:pPr>
                  <w:r w:rsidRPr="008D2525">
                    <w:rPr>
                      <w:sz w:val="20"/>
                    </w:rPr>
                    <w:t>SLIP and UPEP implemented</w:t>
                  </w:r>
                </w:p>
              </w:txbxContent>
            </v:textbox>
          </v:rect>
        </w:pict>
      </w:r>
      <w:r>
        <w:rPr>
          <w:rFonts w:asciiTheme="minorHAnsi" w:hAnsiTheme="minorHAnsi" w:cstheme="minorHAnsi"/>
          <w:noProof/>
          <w:sz w:val="18"/>
          <w:szCs w:val="18"/>
          <w:lang w:eastAsia="en-US"/>
        </w:rPr>
        <w:pict>
          <v:rect id="Rectangle 249" o:spid="_x0000_s1057" style="position:absolute;margin-left:161.9pt;margin-top:5.8pt;width:98.1pt;height:41.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" fillcolor="#d99594 [1941]" strokecolor="#d99594 [1941]" strokeweight="1pt">
            <v:fill color2="#f2dbdb [661]" angle="135" focus="50%" type="gradient"/>
            <v:shadow on="t" color="#622423 [1605]" opacity=".5" offset="1pt"/>
            <v:textbox>
              <w:txbxContent>
                <w:p w:rsidR="00704F97" w:rsidRPr="007612D7" w:rsidRDefault="00704F97" w:rsidP="00D15C67">
                  <w:pPr>
                    <w:jc w:val="center"/>
                    <w:rPr>
                      <w:sz w:val="20"/>
                    </w:rPr>
                  </w:pPr>
                  <w:r w:rsidRPr="007612D7">
                    <w:rPr>
                      <w:sz w:val="20"/>
                    </w:rPr>
                    <w:t>Devolution of authorities</w:t>
                  </w:r>
                </w:p>
              </w:txbxContent>
            </v:textbox>
          </v:rect>
        </w:pict>
      </w:r>
      <w:r>
        <w:rPr>
          <w:rFonts w:asciiTheme="minorHAnsi" w:hAnsiTheme="minorHAnsi" w:cstheme="minorHAnsi"/>
          <w:noProof/>
          <w:sz w:val="18"/>
          <w:szCs w:val="18"/>
          <w:lang w:eastAsia="en-US"/>
        </w:rPr>
        <w:pict>
          <v:shape id="AutoShape 267" o:spid="_x0000_s1099" type="#_x0000_t32" style="position:absolute;margin-left:147.5pt;margin-top:21.25pt;width:21.4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" strokecolor="#e36c0a [2409]" strokeweight="1pt">
            <v:stroke endarrow="block" endarrowlength="short"/>
          </v:shape>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shape id="AutoShape 284" o:spid="_x0000_s1098" type="#_x0000_t32" style="position:absolute;margin-left:369.6pt;margin-top:.1pt;width:27.0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" strokeweight="1pt">
            <v:stroke endarrow="block" endarrowlength="short"/>
          </v:shape>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51" o:spid="_x0000_s1058" style="position:absolute;margin-left:69.05pt;margin-top:20.3pt;width:84.8pt;height:49.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" fillcolor="#b2a1c7 [1943]" strokecolor="#b2a1c7 [1943]" strokeweight="1pt">
            <v:fill color2="#e5dfec [663]" angle="135" focus="50%" type="gradient"/>
            <v:shadow on="t" color="#3f3151 [1607]" opacity=".5" offset="1pt"/>
            <v:textbox>
              <w:txbxContent>
                <w:p w:rsidR="00704F97" w:rsidRPr="008D2525" w:rsidRDefault="00704F97" w:rsidP="00D15C67">
                  <w:pPr>
                    <w:jc w:val="center"/>
                    <w:rPr>
                      <w:sz w:val="20"/>
                    </w:rPr>
                  </w:pPr>
                  <w:r>
                    <w:rPr>
                      <w:sz w:val="20"/>
                    </w:rPr>
                    <w:t>Increased number of Schools</w:t>
                  </w:r>
                </w:p>
              </w:txbxContent>
            </v:textbox>
          </v:rect>
        </w:pict>
      </w:r>
      <w:r>
        <w:rPr>
          <w:rFonts w:asciiTheme="minorHAnsi" w:hAnsiTheme="minorHAnsi" w:cstheme="minorHAnsi"/>
          <w:noProof/>
          <w:sz w:val="18"/>
          <w:szCs w:val="18"/>
          <w:lang w:eastAsia="en-US"/>
        </w:rPr>
        <w:pict>
          <v:rect id="Rectangle 253" o:spid="_x0000_s1059" style="position:absolute;margin-left:159.8pt;margin-top:20.3pt;width:100.2pt;height:5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" fillcolor="#b2a1c7 [1943]" strokecolor="#b2a1c7 [1943]" strokeweight="1pt">
            <v:fill color2="#e5dfec [663]" angle="135" focus="50%" type="gradient"/>
            <v:shadow on="t" color="#3f3151 [1607]" opacity=".5" offset="1pt"/>
            <v:textbox>
              <w:txbxContent>
                <w:p w:rsidR="00704F97" w:rsidRPr="007C4A6A" w:rsidRDefault="00704F97" w:rsidP="00D15C67">
                  <w:pPr>
                    <w:jc w:val="center"/>
                    <w:rPr>
                      <w:sz w:val="18"/>
                      <w:szCs w:val="18"/>
                    </w:rPr>
                  </w:pPr>
                  <w:r>
                    <w:rPr>
                      <w:sz w:val="18"/>
                      <w:szCs w:val="18"/>
                    </w:rPr>
                    <w:t>Provided ICT Materials &amp;</w:t>
                  </w:r>
                  <w:r w:rsidRPr="007C4A6A">
                    <w:rPr>
                      <w:sz w:val="18"/>
                      <w:szCs w:val="18"/>
                    </w:rPr>
                    <w:t xml:space="preserve"> Content</w:t>
                  </w:r>
                </w:p>
              </w:txbxContent>
            </v:textbox>
          </v:rect>
        </w:pict>
      </w:r>
      <w:r>
        <w:rPr>
          <w:rFonts w:asciiTheme="minorHAnsi" w:hAnsiTheme="minorHAnsi" w:cstheme="minorHAnsi"/>
          <w:noProof/>
          <w:sz w:val="18"/>
          <w:szCs w:val="18"/>
          <w:lang w:eastAsia="en-US"/>
        </w:rPr>
        <w:pict>
          <v:rect id="Rectangle 255" o:spid="_x0000_s1060" style="position:absolute;margin-left:266.7pt;margin-top:20.3pt;width:99.95pt;height:56.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" fillcolor="#fabf8f [1945]" strokecolor="#f79646 [3209]" strokeweight="1pt">
            <v:fill color2="#f79646 [3209]" focus="50%" type="gradient"/>
            <v:shadow on="t" color="#974706 [1609]" offset="1pt"/>
            <v:textbox>
              <w:txbxContent>
                <w:p w:rsidR="00704F97" w:rsidRPr="0052131C" w:rsidRDefault="00704F97" w:rsidP="00D15C67">
                  <w:pPr>
                    <w:jc w:val="center"/>
                    <w:rPr>
                      <w:sz w:val="18"/>
                      <w:szCs w:val="18"/>
                    </w:rPr>
                  </w:pPr>
                  <w:r w:rsidRPr="0052131C">
                    <w:rPr>
                      <w:sz w:val="18"/>
                      <w:szCs w:val="18"/>
                    </w:rPr>
                    <w:t>Trained teachers on C-in-Ed, DPEd, Sub-cluster &amp; Subject based</w:t>
                  </w:r>
                </w:p>
              </w:txbxContent>
            </v:textbox>
          </v:rect>
        </w:pict>
      </w:r>
      <w:r>
        <w:rPr>
          <w:rFonts w:asciiTheme="minorHAnsi" w:hAnsiTheme="minorHAnsi" w:cstheme="minorHAnsi"/>
          <w:noProof/>
          <w:sz w:val="18"/>
          <w:szCs w:val="18"/>
          <w:lang w:eastAsia="en-US"/>
        </w:rPr>
        <w:pict>
          <v:rect id="Rectangle 254" o:spid="_x0000_s1061" style="position:absolute;margin-left:373.3pt;margin-top:20.3pt;width:88.75pt;height:56.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" fillcolor="#fabf8f [1945]" strokecolor="#f79646 [3209]" strokeweight="1pt">
            <v:fill color2="#f79646 [3209]" focus="50%" type="gradient"/>
            <v:shadow on="t" color="#974706 [1609]" offset="1pt"/>
            <v:textbox>
              <w:txbxContent>
                <w:p w:rsidR="00704F97" w:rsidRPr="0052131C" w:rsidRDefault="00704F97" w:rsidP="00EB7B9D">
                  <w:pPr>
                    <w:spacing w:after="0" w:line="240" w:lineRule="exact"/>
                    <w:jc w:val="center"/>
                    <w:rPr>
                      <w:sz w:val="18"/>
                      <w:szCs w:val="18"/>
                    </w:rPr>
                  </w:pPr>
                  <w:r w:rsidRPr="0052131C">
                    <w:rPr>
                      <w:sz w:val="18"/>
                      <w:szCs w:val="18"/>
                    </w:rPr>
                    <w:t>Strengthen</w:t>
                  </w:r>
                  <w:r>
                    <w:rPr>
                      <w:sz w:val="18"/>
                      <w:szCs w:val="18"/>
                    </w:rPr>
                    <w:t>ing of academic supervision &amp;</w:t>
                  </w:r>
                  <w:r w:rsidRPr="0052131C">
                    <w:rPr>
                      <w:sz w:val="18"/>
                      <w:szCs w:val="18"/>
                    </w:rPr>
                    <w:t>Mentoring</w:t>
                  </w:r>
                  <w:r>
                    <w:rPr>
                      <w:sz w:val="18"/>
                      <w:szCs w:val="18"/>
                    </w:rPr>
                    <w:t xml:space="preserve"> teachers</w:t>
                  </w:r>
                </w:p>
              </w:txbxContent>
            </v:textbox>
          </v:rect>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rect id="Rectangle 241" o:spid="_x0000_s1062" style="position:absolute;margin-left:-5.55pt;margin-top:5.95pt;width:65.05pt;height:4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" fillcolor="#d99594 [1941]" strokecolor="#c0504d [3205]" strokeweight="1pt">
            <v:fill color2="#c0504d [3205]" focus="50%" type="gradient"/>
            <v:shadow on="t" color="#622423 [1605]" offset="1pt"/>
            <v:textbox>
              <w:txbxContent>
                <w:p w:rsidR="00704F97" w:rsidRPr="00713342" w:rsidRDefault="00704F97" w:rsidP="00D15C67">
                  <w:pPr>
                    <w:jc w:val="center"/>
                    <w:rPr>
                      <w:sz w:val="20"/>
                    </w:rPr>
                  </w:pPr>
                  <w:r w:rsidRPr="00713342">
                    <w:rPr>
                      <w:sz w:val="20"/>
                    </w:rPr>
                    <w:t>Internal Outputs</w:t>
                  </w:r>
                </w:p>
              </w:txbxContent>
            </v:textbox>
          </v:rect>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shape id="AutoShape 276" o:spid="_x0000_s1097" type="#_x0000_t32" style="position:absolute;margin-left:170.4pt;margin-top:14.9pt;width:.8pt;height:22.65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" strokecolor="#5f497a [2407]" strokeweight="1pt">
            <v:stroke endarrow="block"/>
          </v:shape>
        </w:pict>
      </w:r>
      <w:r>
        <w:rPr>
          <w:rFonts w:asciiTheme="minorHAnsi" w:hAnsiTheme="minorHAnsi" w:cstheme="minorHAnsi"/>
          <w:noProof/>
          <w:sz w:val="18"/>
          <w:szCs w:val="18"/>
          <w:lang w:eastAsia="en-US"/>
        </w:rPr>
        <w:pict>
          <v:shape id="AutoShape 261" o:spid="_x0000_s1096" type="#_x0000_t32" style="position:absolute;margin-left:147.55pt;margin-top:18.95pt;width:22.15pt;height:21.2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" strokecolor="#5f497a [2407]" strokeweight="1.25pt">
            <v:stroke startarrow="block" endarrow="block"/>
          </v:shape>
        </w:pict>
      </w:r>
      <w:r>
        <w:rPr>
          <w:rFonts w:asciiTheme="minorHAnsi" w:hAnsiTheme="minorHAnsi" w:cstheme="minorHAnsi"/>
          <w:noProof/>
          <w:sz w:val="18"/>
          <w:szCs w:val="18"/>
          <w:lang w:eastAsia="en-US"/>
        </w:rPr>
        <w:pict>
          <v:shape id="AutoShape 274" o:spid="_x0000_s1095" type="#_x0000_t32" style="position:absolute;margin-left:146.4pt;margin-top:18.95pt;width:0;height:21.2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" strokecolor="#5f497a [2407]" strokeweight="1pt">
            <v:stroke endarrow="block" endarrowlength="short"/>
          </v:shape>
        </w:pict>
      </w:r>
      <w:r>
        <w:rPr>
          <w:rFonts w:asciiTheme="minorHAnsi" w:hAnsiTheme="minorHAnsi" w:cstheme="minorHAnsi"/>
          <w:noProof/>
          <w:sz w:val="18"/>
          <w:szCs w:val="18"/>
          <w:lang w:eastAsia="en-US"/>
        </w:rPr>
        <w:pict>
          <v:shape id="AutoShape 263" o:spid="_x0000_s1094" type="#_x0000_t32" style="position:absolute;margin-left:148.25pt;margin-top:17.5pt;width:22.15pt;height:22.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" strokecolor="#5f497a [2407]" strokeweight="1.25pt">
            <v:stroke startarrow="block" endarrow="block"/>
          </v:shape>
        </w:pict>
      </w:r>
      <w:r>
        <w:rPr>
          <w:rFonts w:asciiTheme="minorHAnsi" w:hAnsiTheme="minorHAnsi" w:cstheme="minorHAnsi"/>
          <w:noProof/>
          <w:sz w:val="18"/>
          <w:szCs w:val="18"/>
          <w:lang w:eastAsia="en-US"/>
        </w:rPr>
        <w:pict>
          <v:shape id="AutoShape 273" o:spid="_x0000_s1093" type="#_x0000_t32" style="position:absolute;margin-left:146.7pt;margin-top:17.45pt;width:21.4pt;height:.0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" strokecolor="#5f497a [2407]" strokeweight="1pt">
            <v:stroke endarrow="block" endarrowlength="short"/>
          </v:shape>
        </w:pict>
      </w:r>
    </w:p>
    <w:p w:rsidR="00D15C67" w:rsidRPr="005F120D" w:rsidRDefault="002E2ED5" w:rsidP="00C437AA">
      <w:pPr>
        <w:spacing w:line="276" w:lineRule="auto"/>
        <w:rPr>
          <w:rFonts w:asciiTheme="minorHAnsi" w:hAnsiTheme="minorHAnsi" w:cstheme="minorHAnsi"/>
          <w:sz w:val="18"/>
          <w:szCs w:val="18"/>
        </w:rPr>
      </w:pPr>
      <w:r>
        <w:rPr>
          <w:rFonts w:asciiTheme="minorHAnsi" w:hAnsiTheme="minorHAnsi" w:cstheme="minorHAnsi"/>
          <w:noProof/>
          <w:sz w:val="18"/>
          <w:szCs w:val="18"/>
          <w:lang w:eastAsia="en-US"/>
        </w:rPr>
        <w:pict>
          <v:shape id="AutoShape 275" o:spid="_x0000_s1092" type="#_x0000_t32" style="position:absolute;margin-left:148.25pt;margin-top:17.15pt;width:21.4pt;height:0;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" strokecolor="#5f497a [2407]" strokeweight="1pt">
            <v:stroke endarrow="block" endarrowlength="short"/>
          </v:shape>
        </w:pict>
      </w:r>
      <w:r>
        <w:rPr>
          <w:rFonts w:asciiTheme="minorHAnsi" w:hAnsiTheme="minorHAnsi" w:cstheme="minorHAnsi"/>
          <w:noProof/>
          <w:sz w:val="18"/>
          <w:szCs w:val="18"/>
          <w:lang w:eastAsia="en-US"/>
        </w:rPr>
        <w:pict>
          <v:rect id="Rectangle 252" o:spid="_x0000_s1063" style="position:absolute;margin-left:69.05pt;margin-top:12.75pt;width:88.55pt;height:5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" fillcolor="#b2a1c7 [1943]" strokecolor="#b2a1c7 [1943]" strokeweight="1pt">
            <v:fill color2="#e5dfec [663]" angle="135" focus="50%" type="gradient"/>
            <v:shadow on="t" color="#3f3151 [1607]" opacity=".5" offset="1pt"/>
            <v:textbox>
              <w:txbxContent>
                <w:p w:rsidR="00704F97" w:rsidRPr="007C4A6A" w:rsidRDefault="00704F97" w:rsidP="00D15C67">
                  <w:pPr>
                    <w:jc w:val="center"/>
                    <w:rPr>
                      <w:sz w:val="18"/>
                      <w:szCs w:val="18"/>
                    </w:rPr>
                  </w:pPr>
                  <w:r w:rsidRPr="007C4A6A">
                    <w:rPr>
                      <w:sz w:val="18"/>
                      <w:szCs w:val="18"/>
                    </w:rPr>
                    <w:t>Provided SRM, Teaching aids, TG, learning materials</w:t>
                  </w:r>
                </w:p>
              </w:txbxContent>
            </v:textbox>
          </v:rect>
        </w:pict>
      </w:r>
      <w:r>
        <w:rPr>
          <w:rFonts w:asciiTheme="minorHAnsi" w:hAnsiTheme="minorHAnsi" w:cstheme="minorHAnsi"/>
          <w:noProof/>
          <w:sz w:val="18"/>
          <w:szCs w:val="18"/>
          <w:lang w:eastAsia="en-US"/>
        </w:rPr>
        <w:pict>
          <v:shape id="AutoShape 280" o:spid="_x0000_s1091" type="#_x0000_t32" style="position:absolute;margin-left:365.75pt;margin-top:2.3pt;width:.35pt;height:22.85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" strokecolor="#e36c0a [2409]" strokeweight="1pt">
            <v:stroke endarrow="block" endarrowlength="short"/>
          </v:shape>
        </w:pict>
      </w:r>
      <w:r>
        <w:rPr>
          <w:rFonts w:asciiTheme="minorHAnsi" w:hAnsiTheme="minorHAnsi" w:cstheme="minorHAnsi"/>
          <w:noProof/>
          <w:sz w:val="18"/>
          <w:szCs w:val="18"/>
          <w:lang w:eastAsia="en-US"/>
        </w:rPr>
        <w:pict>
          <v:shape id="AutoShape 279" o:spid="_x0000_s1090" type="#_x0000_t32" style="position:absolute;margin-left:392.6pt;margin-top:5.7pt;width:0;height:17.35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" strokecolor="#e36c0a [2409]" strokeweight="1pt">
            <v:stroke endarrow="block"/>
          </v:shape>
        </w:pict>
      </w:r>
      <w:r>
        <w:rPr>
          <w:rFonts w:asciiTheme="minorHAnsi" w:hAnsiTheme="minorHAnsi" w:cstheme="minorHAnsi"/>
          <w:noProof/>
          <w:sz w:val="18"/>
          <w:szCs w:val="18"/>
          <w:lang w:eastAsia="en-US"/>
        </w:rPr>
        <w:pict>
          <v:shape id="AutoShape 277" o:spid="_x0000_s1089" type="#_x0000_t32" style="position:absolute;margin-left:366.65pt;margin-top:.4pt;width:21.4pt;height:.05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" strokecolor="#e36c0a [2409]" strokeweight="1pt">
            <v:stroke endarrow="block" endarrowlength="short"/>
          </v:shape>
        </w:pict>
      </w:r>
      <w:r>
        <w:rPr>
          <w:rFonts w:asciiTheme="minorHAnsi" w:hAnsiTheme="minorHAnsi" w:cstheme="minorHAnsi"/>
          <w:noProof/>
          <w:sz w:val="18"/>
          <w:szCs w:val="18"/>
          <w:lang w:eastAsia="en-US"/>
        </w:rPr>
        <w:pict>
          <v:shape id="AutoShape 278" o:spid="_x0000_s1088" type="#_x0000_t32" style="position:absolute;margin-left:367.65pt;margin-top:27.4pt;width:21.4pt;height: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" strokecolor="#e36c0a [2409]" strokeweight="1pt">
            <v:stroke endarrow="block" endarrowlength="short"/>
          </v:shape>
        </w:pict>
      </w:r>
      <w:r>
        <w:rPr>
          <w:rFonts w:asciiTheme="minorHAnsi" w:hAnsiTheme="minorHAnsi" w:cstheme="minorHAnsi"/>
          <w:noProof/>
          <w:sz w:val="18"/>
          <w:szCs w:val="18"/>
          <w:lang w:eastAsia="en-US"/>
        </w:rPr>
        <w:pict>
          <v:shape id="AutoShape 265" o:spid="_x0000_s1087" type="#_x0000_t32" style="position:absolute;margin-left:365.75pt;margin-top:.45pt;width:26.85pt;height:26.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" strokecolor="#e36c0a [2409]" strokeweight="1.25pt">
            <v:stroke startarrow="block" endarrow="block"/>
          </v:shape>
        </w:pict>
      </w:r>
      <w:r>
        <w:rPr>
          <w:rFonts w:asciiTheme="minorHAnsi" w:hAnsiTheme="minorHAnsi" w:cstheme="minorHAnsi"/>
          <w:noProof/>
          <w:sz w:val="18"/>
          <w:szCs w:val="18"/>
          <w:lang w:eastAsia="en-US"/>
        </w:rPr>
        <w:pict>
          <v:shape id="AutoShape 260" o:spid="_x0000_s1086" type="#_x0000_t32" style="position:absolute;margin-left:362.65pt;margin-top:.45pt;width:29.9pt;height:24.45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" strokecolor="#e36c0a [2409]" strokeweight="1.25pt">
            <v:stroke startarrow="block" endarrow="block"/>
          </v:shape>
        </w:pict>
      </w:r>
      <w:r>
        <w:rPr>
          <w:rFonts w:asciiTheme="minorHAnsi" w:hAnsiTheme="minorHAnsi" w:cstheme="minorHAnsi"/>
          <w:noProof/>
          <w:sz w:val="18"/>
          <w:szCs w:val="18"/>
          <w:lang w:eastAsia="en-US"/>
        </w:rPr>
        <w:pict>
          <v:rect id="Rectangle 257" o:spid="_x0000_s1064" style="position:absolute;margin-left:380pt;margin-top:14.55pt;width:82.05pt;height:52.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" fillcolor="#fabf8f [1945]" strokecolor="#f79646 [3209]" strokeweight="1pt">
            <v:fill color2="#f79646 [3209]" focus="50%" type="gradient"/>
            <v:shadow on="t" color="#974706 [1609]" offset="1pt"/>
            <v:textbox>
              <w:txbxContent>
                <w:p w:rsidR="00704F97" w:rsidRPr="00012E73" w:rsidRDefault="00704F97" w:rsidP="00D15C67">
                  <w:pPr>
                    <w:jc w:val="center"/>
                    <w:rPr>
                      <w:sz w:val="18"/>
                      <w:szCs w:val="18"/>
                    </w:rPr>
                  </w:pPr>
                  <w:r w:rsidRPr="00012E73">
                    <w:rPr>
                      <w:sz w:val="18"/>
                      <w:szCs w:val="18"/>
                    </w:rPr>
                    <w:t xml:space="preserve">Teachers networking for sharing </w:t>
                  </w:r>
                  <w:r>
                    <w:rPr>
                      <w:sz w:val="18"/>
                      <w:szCs w:val="18"/>
                    </w:rPr>
                    <w:t xml:space="preserve">knowledge </w:t>
                  </w:r>
                  <w:r w:rsidRPr="00012E73">
                    <w:rPr>
                      <w:sz w:val="18"/>
                      <w:szCs w:val="18"/>
                    </w:rPr>
                    <w:t xml:space="preserve">experience </w:t>
                  </w:r>
                </w:p>
              </w:txbxContent>
            </v:textbox>
          </v:rect>
        </w:pict>
      </w:r>
      <w:r>
        <w:rPr>
          <w:rFonts w:asciiTheme="minorHAnsi" w:hAnsiTheme="minorHAnsi" w:cstheme="minorHAnsi"/>
          <w:noProof/>
          <w:sz w:val="18"/>
          <w:szCs w:val="18"/>
          <w:lang w:eastAsia="en-US"/>
        </w:rPr>
        <w:pict>
          <v:rect id="Rectangle 258" o:spid="_x0000_s1065" style="position:absolute;margin-left:268.1pt;margin-top:14.55pt;width:106.8pt;height:52.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" fillcolor="#fabf8f [1945]" strokecolor="#f79646 [3209]" strokeweight="1pt">
            <v:fill color2="#f79646 [3209]" focus="50%" type="gradient"/>
            <v:shadow on="t" color="#974706 [1609]" offset="1pt"/>
            <v:textbox>
              <w:txbxContent>
                <w:p w:rsidR="00704F97" w:rsidRPr="008D2525" w:rsidRDefault="00704F97" w:rsidP="00D15C67">
                  <w:pPr>
                    <w:jc w:val="center"/>
                    <w:rPr>
                      <w:sz w:val="20"/>
                    </w:rPr>
                  </w:pPr>
                  <w:r>
                    <w:rPr>
                      <w:sz w:val="20"/>
                    </w:rPr>
                    <w:t>More teachers in the schools</w:t>
                  </w:r>
                </w:p>
              </w:txbxContent>
            </v:textbox>
          </v:rect>
        </w:pict>
      </w:r>
      <w:r>
        <w:rPr>
          <w:rFonts w:asciiTheme="minorHAnsi" w:hAnsiTheme="minorHAnsi" w:cstheme="minorHAnsi"/>
          <w:noProof/>
          <w:sz w:val="18"/>
          <w:szCs w:val="18"/>
          <w:lang w:eastAsia="en-US"/>
        </w:rPr>
        <w:pict>
          <v:rect id="Rectangle 256" o:spid="_x0000_s1066" style="position:absolute;margin-left:164.3pt;margin-top:14.55pt;width:97.8pt;height:55.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" fillcolor="#b2a1c7 [1943]" strokecolor="#b2a1c7 [1943]" strokeweight="1pt">
            <v:fill color2="#e5dfec [663]" angle="135" focus="50%" type="gradient"/>
            <v:shadow on="t" color="#3f3151 [1607]" opacity=".5" offset="1pt"/>
            <v:textbox>
              <w:txbxContent>
                <w:p w:rsidR="00704F97" w:rsidRPr="007E4CD5" w:rsidRDefault="00704F97" w:rsidP="00D15C67">
                  <w:pPr>
                    <w:jc w:val="center"/>
                    <w:rPr>
                      <w:sz w:val="18"/>
                      <w:szCs w:val="18"/>
                    </w:rPr>
                  </w:pPr>
                  <w:r w:rsidRPr="007E4CD5">
                    <w:rPr>
                      <w:sz w:val="18"/>
                      <w:szCs w:val="18"/>
                    </w:rPr>
                    <w:t>Infrastructure, Toilets, Drinking water, W</w:t>
                  </w:r>
                  <w:r>
                    <w:rPr>
                      <w:sz w:val="18"/>
                      <w:szCs w:val="18"/>
                    </w:rPr>
                    <w:t>ASH Block</w:t>
                  </w:r>
                </w:p>
              </w:txbxContent>
            </v:textbox>
          </v:rect>
        </w:pict>
      </w:r>
    </w:p>
    <w:p w:rsidR="002828E9" w:rsidRPr="005F120D" w:rsidRDefault="0086653D" w:rsidP="00C437AA">
      <w:pPr>
        <w:pStyle w:val="Heading2"/>
        <w:pBdr>
          <w:top w:val="none" w:sz="0" w:space="0" w:color="auto"/>
          <w:bottom w:val="none" w:sz="0" w:space="0" w:color="auto"/>
        </w:pBdr>
        <w:spacing w:line="276" w:lineRule="auto"/>
        <w:rPr>
          <w:rFonts w:cstheme="minorHAnsi"/>
        </w:rPr>
      </w:pPr>
      <w:bookmarkStart w:id="71" w:name="_Toc462837177"/>
      <w:r w:rsidRPr="005F120D">
        <w:rPr>
          <w:rFonts w:cstheme="minorHAnsi"/>
        </w:rPr>
        <w:lastRenderedPageBreak/>
        <w:t>Measuring the Performance (</w:t>
      </w:r>
      <w:r w:rsidR="00F53287" w:rsidRPr="005F120D">
        <w:rPr>
          <w:rFonts w:cstheme="minorHAnsi"/>
        </w:rPr>
        <w:t>a</w:t>
      </w:r>
      <w:r w:rsidR="00C468A4" w:rsidRPr="005F120D">
        <w:rPr>
          <w:rFonts w:cstheme="minorHAnsi"/>
        </w:rPr>
        <w:t>ctual result achieved</w:t>
      </w:r>
      <w:r w:rsidRPr="005F120D">
        <w:rPr>
          <w:rFonts w:cstheme="minorHAnsi"/>
        </w:rPr>
        <w:t>)</w:t>
      </w:r>
      <w:r w:rsidR="00C468A4" w:rsidRPr="005F120D">
        <w:rPr>
          <w:rFonts w:cstheme="minorHAnsi"/>
        </w:rPr>
        <w:t xml:space="preserve"> in 201</w:t>
      </w:r>
      <w:r w:rsidR="00E338F1" w:rsidRPr="005F120D">
        <w:rPr>
          <w:rFonts w:cstheme="minorHAnsi"/>
        </w:rPr>
        <w:t>5</w:t>
      </w:r>
      <w:bookmarkEnd w:id="71"/>
    </w:p>
    <w:p w:rsidR="00E4110F" w:rsidRPr="005F120D" w:rsidRDefault="008874F9" w:rsidP="00C437AA">
      <w:pPr>
        <w:spacing w:line="276" w:lineRule="auto"/>
        <w:jc w:val="both"/>
        <w:rPr>
          <w:rFonts w:asciiTheme="minorHAnsi" w:hAnsiTheme="minorHAnsi" w:cstheme="minorHAnsi"/>
          <w:szCs w:val="22"/>
        </w:rPr>
      </w:pPr>
      <w:r w:rsidRPr="005F120D">
        <w:rPr>
          <w:rFonts w:asciiTheme="minorHAnsi" w:hAnsiTheme="minorHAnsi" w:cstheme="minorHAnsi"/>
          <w:szCs w:val="22"/>
        </w:rPr>
        <w:t>As noted earlier, t</w:t>
      </w:r>
      <w:r w:rsidR="00E4110F" w:rsidRPr="005F120D">
        <w:rPr>
          <w:rFonts w:asciiTheme="minorHAnsi" w:hAnsiTheme="minorHAnsi" w:cstheme="minorHAnsi"/>
          <w:szCs w:val="22"/>
        </w:rPr>
        <w:t>he PEDP3 is organized into 29 sub-components (see Table 2.1) under 6 result areas of 4 components.  Several types of indicators (KPIs, Non-KPIs, PSQLs and sub-components indicators) have been specified in order to track the progress at output and outcome levels. Each indicator requires the collection of data from various sources including the APSC, NSA and other reliable sources in o</w:t>
      </w:r>
      <w:r w:rsidRPr="005F120D">
        <w:rPr>
          <w:rFonts w:asciiTheme="minorHAnsi" w:hAnsiTheme="minorHAnsi" w:cstheme="minorHAnsi"/>
          <w:szCs w:val="22"/>
        </w:rPr>
        <w:t>rder to measure the performance</w:t>
      </w:r>
      <w:r w:rsidR="00E4110F" w:rsidRPr="005F120D">
        <w:rPr>
          <w:rFonts w:asciiTheme="minorHAnsi" w:hAnsiTheme="minorHAnsi" w:cstheme="minorHAnsi"/>
          <w:szCs w:val="22"/>
        </w:rPr>
        <w:t xml:space="preserve"> of the primary education sector. A detailed discussion of results is presented in Chapters 3, 4, 5 and 6 of this report. Before this, the following tables 2.2, 2.3 and 2.4 summarize KPIs, Non-KPIs and PSQLs; and Table 2.5 and sub-section 2.4 summarize DLIs and sub-component progress respectively as of June 2015.</w:t>
      </w:r>
    </w:p>
    <w:p w:rsidR="00E4110F" w:rsidRPr="005F120D" w:rsidRDefault="00E4110F" w:rsidP="00C437AA">
      <w:pPr>
        <w:spacing w:line="276" w:lineRule="auto"/>
        <w:jc w:val="both"/>
        <w:rPr>
          <w:rFonts w:asciiTheme="minorHAnsi" w:hAnsiTheme="minorHAnsi" w:cstheme="minorHAnsi"/>
          <w:szCs w:val="22"/>
        </w:rPr>
      </w:pPr>
      <w:r w:rsidRPr="005F120D">
        <w:rPr>
          <w:rFonts w:asciiTheme="minorHAnsi" w:hAnsiTheme="minorHAnsi" w:cstheme="minorHAnsi"/>
          <w:szCs w:val="22"/>
        </w:rPr>
        <w:t xml:space="preserve">There were 15 KPIs and 18 PSQLs in the original PEDP3 program document.  During the 2014MTR the PEDP3’s M&amp;E matrix was revised: In addition to the existing KPIs and PSQLs, 12 non-KPIs were added for tracking the progress of KPIs and PSQLs as well as the performance of sub-component activities. </w:t>
      </w:r>
    </w:p>
    <w:p w:rsidR="00E4110F" w:rsidRPr="005F120D" w:rsidRDefault="00E4110F" w:rsidP="00C437AA">
      <w:pPr>
        <w:spacing w:line="276" w:lineRule="auto"/>
        <w:jc w:val="both"/>
        <w:rPr>
          <w:rFonts w:asciiTheme="minorHAnsi" w:eastAsia="Calibri" w:hAnsiTheme="minorHAnsi" w:cstheme="minorHAnsi"/>
          <w:bCs/>
          <w:szCs w:val="22"/>
        </w:rPr>
      </w:pPr>
      <w:r w:rsidRPr="005F120D">
        <w:rPr>
          <w:rFonts w:asciiTheme="minorHAnsi" w:hAnsiTheme="minorHAnsi" w:cstheme="minorHAnsi"/>
          <w:color w:val="008000"/>
          <w:szCs w:val="22"/>
        </w:rPr>
        <w:t>KPIs:</w:t>
      </w:r>
      <w:r w:rsidRPr="005F120D">
        <w:rPr>
          <w:rFonts w:asciiTheme="minorHAnsi" w:hAnsiTheme="minorHAnsi" w:cstheme="minorHAnsi"/>
          <w:szCs w:val="22"/>
        </w:rPr>
        <w:t xml:space="preserve"> Earlier KPI 10 was ‘Number and types of functions delegated to district, </w:t>
      </w:r>
      <w:r w:rsidR="00EE6322" w:rsidRPr="005F120D">
        <w:rPr>
          <w:rFonts w:asciiTheme="minorHAnsi" w:hAnsiTheme="minorHAnsi" w:cstheme="minorHAnsi"/>
          <w:szCs w:val="22"/>
        </w:rPr>
        <w:t>Upazila</w:t>
      </w:r>
      <w:r w:rsidR="00A9113F" w:rsidRPr="005F120D">
        <w:rPr>
          <w:rFonts w:asciiTheme="minorHAnsi" w:hAnsiTheme="minorHAnsi" w:cstheme="minorHAnsi"/>
          <w:szCs w:val="22"/>
        </w:rPr>
        <w:t xml:space="preserve"> and school’. The</w:t>
      </w:r>
      <w:r w:rsidRPr="005F120D">
        <w:rPr>
          <w:rFonts w:asciiTheme="minorHAnsi" w:hAnsiTheme="minorHAnsi" w:cstheme="minorHAnsi"/>
          <w:szCs w:val="22"/>
        </w:rPr>
        <w:t xml:space="preserve"> KPI 10 was </w:t>
      </w:r>
      <w:r w:rsidR="00570223" w:rsidRPr="005F120D">
        <w:rPr>
          <w:rFonts w:asciiTheme="minorHAnsi" w:hAnsiTheme="minorHAnsi" w:cstheme="minorHAnsi"/>
          <w:szCs w:val="22"/>
        </w:rPr>
        <w:t>replaced</w:t>
      </w:r>
      <w:r w:rsidRPr="005F120D">
        <w:rPr>
          <w:rFonts w:asciiTheme="minorHAnsi" w:hAnsiTheme="minorHAnsi" w:cstheme="minorHAnsi"/>
          <w:szCs w:val="22"/>
        </w:rPr>
        <w:t xml:space="preserve"> as `percentage</w:t>
      </w:r>
      <w:r w:rsidRPr="005F120D">
        <w:rPr>
          <w:rFonts w:asciiTheme="minorHAnsi" w:eastAsia="Calibri" w:hAnsiTheme="minorHAnsi" w:cstheme="minorHAnsi"/>
          <w:bCs/>
          <w:szCs w:val="22"/>
        </w:rPr>
        <w:t xml:space="preserve"> of AOP budget allocation for unconditional block grants (SLIPs and UPEPs for schools and Upazilas)’ during the MTR 2014. </w:t>
      </w:r>
    </w:p>
    <w:p w:rsidR="00E4110F" w:rsidRPr="005F120D" w:rsidRDefault="00E4110F" w:rsidP="00C437AA">
      <w:pPr>
        <w:spacing w:line="276" w:lineRule="auto"/>
        <w:jc w:val="both"/>
        <w:rPr>
          <w:rFonts w:asciiTheme="minorHAnsi" w:hAnsiTheme="minorHAnsi" w:cstheme="minorHAnsi"/>
          <w:i/>
          <w:szCs w:val="22"/>
        </w:rPr>
      </w:pPr>
      <w:r w:rsidRPr="005F120D">
        <w:rPr>
          <w:rFonts w:asciiTheme="minorHAnsi" w:hAnsiTheme="minorHAnsi" w:cstheme="minorHAnsi"/>
          <w:i/>
          <w:szCs w:val="22"/>
        </w:rPr>
        <w:t>The source of information for measuring the performance of KPI 4 and KPI 8 are HIES/EHS data. The 2015 HIES data have not yet been published by BBS. As a result, DPE is not able to compute both indicators. When data become available, then achievements will be integrated into the ASPR.</w:t>
      </w:r>
    </w:p>
    <w:p w:rsidR="00E4110F" w:rsidRPr="005F120D" w:rsidRDefault="00E4110F" w:rsidP="00C437AA">
      <w:pPr>
        <w:spacing w:line="276" w:lineRule="auto"/>
        <w:jc w:val="both"/>
        <w:rPr>
          <w:rFonts w:asciiTheme="minorHAnsi" w:hAnsiTheme="minorHAnsi" w:cstheme="minorHAnsi"/>
          <w:szCs w:val="22"/>
        </w:rPr>
      </w:pPr>
      <w:r w:rsidRPr="005F120D">
        <w:rPr>
          <w:rFonts w:asciiTheme="minorHAnsi" w:hAnsiTheme="minorHAnsi" w:cstheme="minorHAnsi"/>
          <w:b/>
          <w:color w:val="008000"/>
          <w:szCs w:val="22"/>
        </w:rPr>
        <w:t xml:space="preserve">Non-KPIs: </w:t>
      </w:r>
      <w:r w:rsidRPr="005F120D">
        <w:rPr>
          <w:rFonts w:asciiTheme="minorHAnsi" w:hAnsiTheme="minorHAnsi" w:cstheme="minorHAnsi"/>
          <w:szCs w:val="22"/>
        </w:rPr>
        <w:t>Table 2.3 summarizes the progress and trends of achievement for the first time of Non-KPIs and compares them to the PEDP3 baseline 2010.</w:t>
      </w:r>
    </w:p>
    <w:p w:rsidR="00E4110F" w:rsidRPr="005F120D" w:rsidRDefault="00E4110F" w:rsidP="00C437AA">
      <w:pPr>
        <w:spacing w:line="276" w:lineRule="auto"/>
        <w:jc w:val="both"/>
        <w:rPr>
          <w:rFonts w:asciiTheme="minorHAnsi" w:eastAsia="Calibri" w:hAnsiTheme="minorHAnsi" w:cstheme="minorHAnsi"/>
          <w:bCs/>
          <w:szCs w:val="22"/>
        </w:rPr>
      </w:pPr>
      <w:r w:rsidRPr="005F120D">
        <w:rPr>
          <w:rFonts w:asciiTheme="minorHAnsi" w:eastAsia="Calibri" w:hAnsiTheme="minorHAnsi" w:cstheme="minorHAnsi"/>
          <w:b/>
          <w:bCs/>
          <w:color w:val="008000"/>
          <w:szCs w:val="22"/>
        </w:rPr>
        <w:t xml:space="preserve">PSQLs: </w:t>
      </w:r>
      <w:r w:rsidRPr="005F120D">
        <w:rPr>
          <w:rFonts w:asciiTheme="minorHAnsi" w:eastAsia="Calibri" w:hAnsiTheme="minorHAnsi" w:cstheme="minorHAnsi"/>
          <w:bCs/>
          <w:szCs w:val="22"/>
        </w:rPr>
        <w:t>At the commencement of PEDP3, there were 18 PSQLs. During the 2014 MTR, 4 PSQLs were dropped because they were either not measurable or data may not have been available. Currently, there are 14 PSQLs in the PEDP3 revised document.</w:t>
      </w:r>
    </w:p>
    <w:p w:rsidR="00F81C60" w:rsidRPr="005F120D" w:rsidRDefault="00E4110F" w:rsidP="00AE08B9">
      <w:pPr>
        <w:spacing w:line="276" w:lineRule="auto"/>
        <w:jc w:val="both"/>
        <w:rPr>
          <w:rFonts w:asciiTheme="minorHAnsi" w:hAnsiTheme="minorHAnsi" w:cstheme="minorHAnsi"/>
          <w:szCs w:val="22"/>
        </w:rPr>
        <w:sectPr w:rsidR="00F81C60" w:rsidRPr="005F120D" w:rsidSect="00C61570">
          <w:type w:val="nextColumn"/>
          <w:pgSz w:w="11909" w:h="16834" w:code="9"/>
          <w:pgMar w:top="1440" w:right="1440" w:bottom="864" w:left="1440" w:header="720" w:footer="720" w:gutter="0"/>
          <w:pgNumType w:start="21"/>
          <w:cols w:space="720"/>
          <w:docGrid w:linePitch="360"/>
        </w:sectPr>
      </w:pPr>
      <w:r w:rsidRPr="005F120D">
        <w:rPr>
          <w:rFonts w:asciiTheme="minorHAnsi" w:eastAsia="Calibri" w:hAnsiTheme="minorHAnsi" w:cstheme="minorHAnsi"/>
          <w:b/>
          <w:bCs/>
          <w:color w:val="008000"/>
          <w:szCs w:val="22"/>
        </w:rPr>
        <w:t xml:space="preserve">Sub-component progress </w:t>
      </w:r>
      <w:r w:rsidR="00C4591B" w:rsidRPr="005F120D">
        <w:rPr>
          <w:rFonts w:asciiTheme="minorHAnsi" w:eastAsia="Calibri" w:hAnsiTheme="minorHAnsi" w:cstheme="minorHAnsi"/>
          <w:b/>
          <w:bCs/>
          <w:color w:val="008000"/>
          <w:szCs w:val="22"/>
        </w:rPr>
        <w:t>report:</w:t>
      </w:r>
      <w:r w:rsidR="00C4591B" w:rsidRPr="005F120D">
        <w:rPr>
          <w:rFonts w:asciiTheme="minorHAnsi" w:eastAsia="Calibri" w:hAnsiTheme="minorHAnsi" w:cstheme="minorHAnsi"/>
          <w:bCs/>
          <w:szCs w:val="22"/>
        </w:rPr>
        <w:t xml:space="preserve"> Sub</w:t>
      </w:r>
      <w:r w:rsidRPr="005F120D">
        <w:rPr>
          <w:rFonts w:asciiTheme="minorHAnsi" w:eastAsia="Calibri" w:hAnsiTheme="minorHAnsi" w:cstheme="minorHAnsi"/>
          <w:bCs/>
          <w:szCs w:val="22"/>
        </w:rPr>
        <w:t>-section 2.5 summarizes the sub-component progress, reported for the first time in the ASPR 2016, as advised by the Program and M&amp;E Divisions of DPE</w:t>
      </w:r>
      <w:r w:rsidR="00CA48DD" w:rsidRPr="005F120D">
        <w:rPr>
          <w:rFonts w:asciiTheme="minorHAnsi" w:eastAsia="Calibri" w:hAnsiTheme="minorHAnsi" w:cstheme="minorHAnsi"/>
          <w:bCs/>
          <w:szCs w:val="22"/>
        </w:rPr>
        <w:t>.</w:t>
      </w:r>
    </w:p>
    <w:p w:rsidR="00FD0319" w:rsidRPr="005F120D" w:rsidRDefault="002F5694" w:rsidP="00C437AA">
      <w:pPr>
        <w:pStyle w:val="Caption"/>
        <w:spacing w:before="240" w:line="276" w:lineRule="auto"/>
        <w:rPr>
          <w:rFonts w:cstheme="minorHAnsi"/>
          <w:sz w:val="24"/>
          <w:szCs w:val="24"/>
        </w:rPr>
      </w:pPr>
      <w:bookmarkStart w:id="72" w:name="_Toc462837224"/>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FD0319" w:rsidRPr="005F120D">
        <w:rPr>
          <w:rFonts w:cstheme="minorHAnsi"/>
        </w:rPr>
        <w:t xml:space="preserve">: Key </w:t>
      </w:r>
      <w:r w:rsidR="007B65A5" w:rsidRPr="005F120D">
        <w:rPr>
          <w:rFonts w:cstheme="minorHAnsi"/>
        </w:rPr>
        <w:t xml:space="preserve">(15) </w:t>
      </w:r>
      <w:r w:rsidR="005E3650" w:rsidRPr="005F120D">
        <w:rPr>
          <w:rFonts w:cstheme="minorHAnsi"/>
        </w:rPr>
        <w:t>and Non-Key</w:t>
      </w:r>
      <w:r w:rsidR="007B65A5" w:rsidRPr="005F120D">
        <w:rPr>
          <w:rFonts w:cstheme="minorHAnsi"/>
        </w:rPr>
        <w:t xml:space="preserve"> (12</w:t>
      </w:r>
      <w:r w:rsidR="00C4591B" w:rsidRPr="005F120D">
        <w:rPr>
          <w:rFonts w:cstheme="minorHAnsi"/>
        </w:rPr>
        <w:t>)</w:t>
      </w:r>
      <w:r w:rsidR="00C4591B">
        <w:rPr>
          <w:rFonts w:cstheme="minorHAnsi"/>
        </w:rPr>
        <w:t xml:space="preserve"> Performance</w:t>
      </w:r>
      <w:r w:rsidR="00FD0319" w:rsidRPr="005F120D">
        <w:rPr>
          <w:rFonts w:cstheme="minorHAnsi"/>
        </w:rPr>
        <w:t xml:space="preserve"> Indicators of PEDP3 2005, 2010 – 2015</w:t>
      </w:r>
      <w:bookmarkEnd w:id="72"/>
    </w:p>
    <w:tbl>
      <w:tblPr>
        <w:tblW w:w="5000" w:type="pct"/>
        <w:jc w:val="center"/>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816"/>
        <w:gridCol w:w="2524"/>
        <w:gridCol w:w="1562"/>
        <w:gridCol w:w="940"/>
        <w:gridCol w:w="1033"/>
        <w:gridCol w:w="1155"/>
        <w:gridCol w:w="1327"/>
        <w:gridCol w:w="1046"/>
        <w:gridCol w:w="1280"/>
        <w:gridCol w:w="1214"/>
        <w:gridCol w:w="849"/>
        <w:gridCol w:w="1864"/>
      </w:tblGrid>
      <w:tr w:rsidR="00D654AD" w:rsidRPr="005F120D" w:rsidTr="00BF53AC">
        <w:trPr>
          <w:tblHeader/>
          <w:jc w:val="center"/>
        </w:trPr>
        <w:tc>
          <w:tcPr>
            <w:tcW w:w="261"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SL</w:t>
            </w:r>
          </w:p>
        </w:tc>
        <w:tc>
          <w:tcPr>
            <w:tcW w:w="808"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KPIs</w:t>
            </w:r>
          </w:p>
        </w:tc>
        <w:tc>
          <w:tcPr>
            <w:tcW w:w="500"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rPr>
                <w:rFonts w:asciiTheme="minorHAnsi" w:eastAsia="Calibri" w:hAnsiTheme="minorHAnsi" w:cstheme="minorHAnsi"/>
                <w:b/>
                <w:color w:val="FFFFFF" w:themeColor="background1"/>
                <w:sz w:val="18"/>
                <w:szCs w:val="18"/>
              </w:rPr>
            </w:pPr>
          </w:p>
        </w:tc>
        <w:tc>
          <w:tcPr>
            <w:tcW w:w="301"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jc w:val="center"/>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PEDPII Baseline 2005</w:t>
            </w:r>
          </w:p>
        </w:tc>
        <w:tc>
          <w:tcPr>
            <w:tcW w:w="331"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jc w:val="center"/>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PEDP3 Baseline 2010</w:t>
            </w:r>
          </w:p>
        </w:tc>
        <w:tc>
          <w:tcPr>
            <w:tcW w:w="370"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jc w:val="center"/>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2011</w:t>
            </w:r>
          </w:p>
        </w:tc>
        <w:tc>
          <w:tcPr>
            <w:tcW w:w="425"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jc w:val="center"/>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2012</w:t>
            </w:r>
          </w:p>
        </w:tc>
        <w:tc>
          <w:tcPr>
            <w:tcW w:w="335"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jc w:val="center"/>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2013</w:t>
            </w:r>
          </w:p>
        </w:tc>
        <w:tc>
          <w:tcPr>
            <w:tcW w:w="410"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jc w:val="center"/>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2014</w:t>
            </w:r>
          </w:p>
        </w:tc>
        <w:tc>
          <w:tcPr>
            <w:tcW w:w="389"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jc w:val="center"/>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2015</w:t>
            </w:r>
          </w:p>
        </w:tc>
        <w:tc>
          <w:tcPr>
            <w:tcW w:w="272"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jc w:val="center"/>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Target 2017</w:t>
            </w:r>
          </w:p>
        </w:tc>
        <w:tc>
          <w:tcPr>
            <w:tcW w:w="597" w:type="pct"/>
            <w:tcBorders>
              <w:top w:val="double" w:sz="4" w:space="0" w:color="31849B" w:themeColor="accent5" w:themeShade="BF"/>
              <w:bottom w:val="single" w:sz="6" w:space="0" w:color="31849B" w:themeColor="accent5" w:themeShade="BF"/>
            </w:tcBorders>
            <w:shd w:val="clear" w:color="auto" w:fill="4F6228" w:themeFill="accent3" w:themeFillShade="80"/>
          </w:tcPr>
          <w:p w:rsidR="00FD0319" w:rsidRPr="005F120D" w:rsidRDefault="00FD0319" w:rsidP="000A5B80">
            <w:pPr>
              <w:pStyle w:val="NoSpacing"/>
              <w:jc w:val="center"/>
              <w:rPr>
                <w:rFonts w:asciiTheme="minorHAnsi" w:eastAsia="Calibri" w:hAnsiTheme="minorHAnsi" w:cstheme="minorHAnsi"/>
                <w:b/>
                <w:color w:val="FFFFFF" w:themeColor="background1"/>
                <w:sz w:val="18"/>
                <w:szCs w:val="18"/>
              </w:rPr>
            </w:pPr>
            <w:r w:rsidRPr="005F120D">
              <w:rPr>
                <w:rFonts w:asciiTheme="minorHAnsi" w:eastAsia="Calibri" w:hAnsiTheme="minorHAnsi" w:cstheme="minorHAnsi"/>
                <w:b/>
                <w:color w:val="FFFFFF" w:themeColor="background1"/>
                <w:sz w:val="18"/>
                <w:szCs w:val="18"/>
              </w:rPr>
              <w:t>Remarks</w:t>
            </w:r>
          </w:p>
        </w:tc>
      </w:tr>
      <w:tr w:rsidR="00D654AD" w:rsidRPr="005F120D" w:rsidTr="00BF53AC">
        <w:trPr>
          <w:jc w:val="center"/>
        </w:trPr>
        <w:tc>
          <w:tcPr>
            <w:tcW w:w="261" w:type="pct"/>
            <w:vMerge w:val="restart"/>
            <w:tcBorders>
              <w:top w:val="single" w:sz="6" w:space="0" w:color="31849B" w:themeColor="accent5" w:themeShade="BF"/>
            </w:tcBorders>
            <w:shd w:val="clear" w:color="auto" w:fill="FDE9D9" w:themeFill="accent6" w:themeFillTint="33"/>
          </w:tcPr>
          <w:p w:rsidR="00040F3B"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KPI-1</w:t>
            </w:r>
          </w:p>
        </w:tc>
        <w:tc>
          <w:tcPr>
            <w:tcW w:w="808" w:type="pct"/>
            <w:vMerge w:val="restart"/>
            <w:tcBorders>
              <w:top w:val="single" w:sz="6" w:space="0" w:color="31849B" w:themeColor="accent5" w:themeShade="BF"/>
            </w:tcBorders>
            <w:shd w:val="clear" w:color="auto" w:fill="FDE9D9" w:themeFill="accent6" w:themeFillTint="33"/>
          </w:tcPr>
          <w:p w:rsidR="00040F3B" w:rsidRPr="005F120D" w:rsidRDefault="008874F9"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Percentage of Grade 3</w:t>
            </w:r>
            <w:r w:rsidR="00040F3B" w:rsidRPr="005F120D">
              <w:rPr>
                <w:rFonts w:asciiTheme="minorHAnsi" w:eastAsia="Calibri" w:hAnsiTheme="minorHAnsi" w:cstheme="minorHAnsi"/>
                <w:bCs/>
                <w:sz w:val="18"/>
                <w:szCs w:val="18"/>
              </w:rPr>
              <w:t xml:space="preserve"> students achieving Grade 3 competencies (All; Boys; Girls)</w:t>
            </w:r>
          </w:p>
        </w:tc>
        <w:tc>
          <w:tcPr>
            <w:tcW w:w="500" w:type="pct"/>
            <w:tcBorders>
              <w:top w:val="single" w:sz="6" w:space="0" w:color="31849B" w:themeColor="accent5" w:themeShade="BF"/>
            </w:tcBorders>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a.  Bangla</w:t>
            </w:r>
          </w:p>
        </w:tc>
        <w:tc>
          <w:tcPr>
            <w:tcW w:w="301" w:type="pct"/>
            <w:tcBorders>
              <w:top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tcBorders>
              <w:top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70" w:type="pct"/>
            <w:tcBorders>
              <w:top w:val="single" w:sz="6" w:space="0" w:color="31849B" w:themeColor="accent5" w:themeShade="BF"/>
            </w:tcBorders>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67%;  Boy: 66%; Girl: 68%</w:t>
            </w:r>
          </w:p>
        </w:tc>
        <w:tc>
          <w:tcPr>
            <w:tcW w:w="425" w:type="pct"/>
            <w:tcBorders>
              <w:top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5" w:type="pct"/>
            <w:tcBorders>
              <w:top w:val="single" w:sz="6" w:space="0" w:color="31849B" w:themeColor="accent5" w:themeShade="BF"/>
            </w:tcBorders>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74%;  Boy:73%; Girl: 75%</w:t>
            </w:r>
          </w:p>
        </w:tc>
        <w:tc>
          <w:tcPr>
            <w:tcW w:w="410"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89"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272"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75%</w:t>
            </w:r>
          </w:p>
        </w:tc>
        <w:tc>
          <w:tcPr>
            <w:tcW w:w="597" w:type="pct"/>
            <w:vMerge w:val="restart"/>
            <w:tcBorders>
              <w:top w:val="single" w:sz="6" w:space="0" w:color="31849B" w:themeColor="accent5" w:themeShade="BF"/>
            </w:tcBorders>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The 2015 NSA result is not available</w:t>
            </w:r>
          </w:p>
          <w:p w:rsidR="00040F3B" w:rsidRPr="005F120D" w:rsidRDefault="00040F3B" w:rsidP="000A5B80">
            <w:pPr>
              <w:pStyle w:val="NoSpacing"/>
              <w:rPr>
                <w:rFonts w:asciiTheme="minorHAnsi" w:eastAsia="Calibri" w:hAnsiTheme="minorHAnsi" w:cstheme="minorHAnsi"/>
                <w:sz w:val="18"/>
                <w:szCs w:val="18"/>
              </w:rPr>
            </w:pPr>
          </w:p>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 Target re-fixed during MTR 2014</w:t>
            </w:r>
          </w:p>
        </w:tc>
      </w:tr>
      <w:tr w:rsidR="00D654AD" w:rsidRPr="005F120D" w:rsidTr="00BF53AC">
        <w:trPr>
          <w:trHeight w:val="593"/>
          <w:jc w:val="center"/>
        </w:trPr>
        <w:tc>
          <w:tcPr>
            <w:tcW w:w="261" w:type="pct"/>
            <w:vMerge/>
            <w:shd w:val="clear" w:color="auto" w:fill="FDE9D9" w:themeFill="accent6" w:themeFillTint="33"/>
          </w:tcPr>
          <w:p w:rsidR="00040F3B" w:rsidRPr="005F120D" w:rsidRDefault="00040F3B" w:rsidP="007B65A5">
            <w:pPr>
              <w:pStyle w:val="NoSpacing"/>
              <w:jc w:val="center"/>
              <w:rPr>
                <w:rFonts w:asciiTheme="minorHAnsi" w:eastAsia="Calibri" w:hAnsiTheme="minorHAnsi" w:cstheme="minorHAnsi"/>
                <w:sz w:val="18"/>
                <w:szCs w:val="18"/>
              </w:rPr>
            </w:pPr>
          </w:p>
        </w:tc>
        <w:tc>
          <w:tcPr>
            <w:tcW w:w="808" w:type="pct"/>
            <w:vMerge/>
            <w:shd w:val="clear" w:color="auto" w:fill="FDE9D9" w:themeFill="accent6" w:themeFillTint="33"/>
          </w:tcPr>
          <w:p w:rsidR="00040F3B" w:rsidRPr="005F120D" w:rsidRDefault="00040F3B" w:rsidP="000A5B80">
            <w:pPr>
              <w:pStyle w:val="NoSpacing"/>
              <w:rPr>
                <w:rFonts w:asciiTheme="minorHAnsi" w:eastAsia="Calibri" w:hAnsiTheme="minorHAnsi" w:cstheme="minorHAnsi"/>
                <w:bCs/>
                <w:sz w:val="18"/>
                <w:szCs w:val="18"/>
              </w:rPr>
            </w:pPr>
          </w:p>
        </w:tc>
        <w:tc>
          <w:tcPr>
            <w:tcW w:w="500" w:type="pct"/>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b. Mathematics</w:t>
            </w:r>
          </w:p>
        </w:tc>
        <w:tc>
          <w:tcPr>
            <w:tcW w:w="301" w:type="pct"/>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70" w:type="pct"/>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50%; Boy: 51%; Girl: 49%</w:t>
            </w:r>
          </w:p>
        </w:tc>
        <w:tc>
          <w:tcPr>
            <w:tcW w:w="425" w:type="pct"/>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5" w:type="pct"/>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58%; Boy:59%; Girl: 57%</w:t>
            </w:r>
          </w:p>
        </w:tc>
        <w:tc>
          <w:tcPr>
            <w:tcW w:w="410"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89"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272"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60%</w:t>
            </w:r>
          </w:p>
        </w:tc>
        <w:tc>
          <w:tcPr>
            <w:tcW w:w="597" w:type="pct"/>
            <w:vMerge/>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p>
        </w:tc>
      </w:tr>
      <w:tr w:rsidR="00D654AD" w:rsidRPr="005F120D" w:rsidTr="00BF53AC">
        <w:trPr>
          <w:trHeight w:val="647"/>
          <w:jc w:val="center"/>
        </w:trPr>
        <w:tc>
          <w:tcPr>
            <w:tcW w:w="261" w:type="pct"/>
            <w:vMerge w:val="restart"/>
            <w:shd w:val="clear" w:color="auto" w:fill="FDE9D9" w:themeFill="accent6" w:themeFillTint="33"/>
          </w:tcPr>
          <w:p w:rsidR="00040F3B"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KPI-2</w:t>
            </w:r>
          </w:p>
        </w:tc>
        <w:tc>
          <w:tcPr>
            <w:tcW w:w="808" w:type="pct"/>
            <w:vMerge w:val="restart"/>
            <w:shd w:val="clear" w:color="auto" w:fill="FDE9D9" w:themeFill="accent6" w:themeFillTint="33"/>
          </w:tcPr>
          <w:p w:rsidR="00040F3B" w:rsidRPr="005F120D" w:rsidRDefault="00040F3B"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Percentage of Grade V students achieving Grade V competencies (All; Boys; Girls)</w:t>
            </w:r>
          </w:p>
        </w:tc>
        <w:tc>
          <w:tcPr>
            <w:tcW w:w="500" w:type="pct"/>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a. Bangla</w:t>
            </w:r>
          </w:p>
        </w:tc>
        <w:tc>
          <w:tcPr>
            <w:tcW w:w="301" w:type="pct"/>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70" w:type="pct"/>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25%; Boy: 25%; Girl:26%</w:t>
            </w:r>
          </w:p>
        </w:tc>
        <w:tc>
          <w:tcPr>
            <w:tcW w:w="425" w:type="pct"/>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5" w:type="pct"/>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25%; Boy:24%; Girl:25%</w:t>
            </w:r>
          </w:p>
        </w:tc>
        <w:tc>
          <w:tcPr>
            <w:tcW w:w="410"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89"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272"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35%</w:t>
            </w:r>
          </w:p>
        </w:tc>
        <w:tc>
          <w:tcPr>
            <w:tcW w:w="597" w:type="pct"/>
            <w:vMerge w:val="restart"/>
            <w:shd w:val="clear" w:color="auto" w:fill="FDE9D9" w:themeFill="accent6" w:themeFillTint="33"/>
          </w:tcPr>
          <w:p w:rsidR="00040F3B" w:rsidRPr="005F120D" w:rsidRDefault="008874F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NSA 2011 &amp; 2013 grade 5 results are  not compatible because </w:t>
            </w:r>
            <w:r w:rsidR="00040F3B" w:rsidRPr="005F120D">
              <w:rPr>
                <w:rFonts w:asciiTheme="minorHAnsi" w:eastAsia="Calibri" w:hAnsiTheme="minorHAnsi" w:cstheme="minorHAnsi"/>
                <w:sz w:val="18"/>
                <w:szCs w:val="18"/>
              </w:rPr>
              <w:t xml:space="preserve"> student</w:t>
            </w:r>
            <w:r w:rsidRPr="005F120D">
              <w:rPr>
                <w:rFonts w:asciiTheme="minorHAnsi" w:eastAsia="Calibri" w:hAnsiTheme="minorHAnsi" w:cstheme="minorHAnsi"/>
                <w:sz w:val="18"/>
                <w:szCs w:val="18"/>
              </w:rPr>
              <w:t>s</w:t>
            </w:r>
            <w:r w:rsidR="00040F3B" w:rsidRPr="005F120D">
              <w:rPr>
                <w:rFonts w:asciiTheme="minorHAnsi" w:eastAsia="Calibri" w:hAnsiTheme="minorHAnsi" w:cstheme="minorHAnsi"/>
                <w:sz w:val="18"/>
                <w:szCs w:val="18"/>
              </w:rPr>
              <w:t xml:space="preserve"> were not acquainted </w:t>
            </w:r>
            <w:r w:rsidRPr="005F120D">
              <w:rPr>
                <w:rFonts w:asciiTheme="minorHAnsi" w:eastAsia="Calibri" w:hAnsiTheme="minorHAnsi" w:cstheme="minorHAnsi"/>
                <w:sz w:val="18"/>
                <w:szCs w:val="18"/>
              </w:rPr>
              <w:t xml:space="preserve">with the new curriculum </w:t>
            </w:r>
            <w:r w:rsidR="00040F3B" w:rsidRPr="005F120D">
              <w:rPr>
                <w:rFonts w:asciiTheme="minorHAnsi" w:eastAsia="Calibri" w:hAnsiTheme="minorHAnsi" w:cstheme="minorHAnsi"/>
                <w:sz w:val="18"/>
                <w:szCs w:val="18"/>
              </w:rPr>
              <w:t xml:space="preserve"> test item</w:t>
            </w:r>
            <w:r w:rsidRPr="005F120D">
              <w:rPr>
                <w:rFonts w:asciiTheme="minorHAnsi" w:eastAsia="Calibri" w:hAnsiTheme="minorHAnsi" w:cstheme="minorHAnsi"/>
                <w:sz w:val="18"/>
                <w:szCs w:val="18"/>
              </w:rPr>
              <w:t>s</w:t>
            </w:r>
          </w:p>
        </w:tc>
      </w:tr>
      <w:tr w:rsidR="00D654AD" w:rsidRPr="005F120D" w:rsidTr="00BF53AC">
        <w:trPr>
          <w:jc w:val="center"/>
        </w:trPr>
        <w:tc>
          <w:tcPr>
            <w:tcW w:w="261" w:type="pct"/>
            <w:vMerge/>
            <w:shd w:val="clear" w:color="auto" w:fill="FDE9D9" w:themeFill="accent6" w:themeFillTint="33"/>
          </w:tcPr>
          <w:p w:rsidR="00040F3B" w:rsidRPr="005F120D" w:rsidRDefault="00040F3B" w:rsidP="007B65A5">
            <w:pPr>
              <w:pStyle w:val="NoSpacing"/>
              <w:jc w:val="center"/>
              <w:rPr>
                <w:rFonts w:asciiTheme="minorHAnsi" w:eastAsia="Calibri" w:hAnsiTheme="minorHAnsi" w:cstheme="minorHAnsi"/>
                <w:sz w:val="18"/>
                <w:szCs w:val="18"/>
              </w:rPr>
            </w:pPr>
          </w:p>
        </w:tc>
        <w:tc>
          <w:tcPr>
            <w:tcW w:w="808" w:type="pct"/>
            <w:vMerge/>
            <w:shd w:val="clear" w:color="auto" w:fill="FDE9D9" w:themeFill="accent6" w:themeFillTint="33"/>
          </w:tcPr>
          <w:p w:rsidR="00040F3B" w:rsidRPr="005F120D" w:rsidRDefault="00040F3B" w:rsidP="000A5B80">
            <w:pPr>
              <w:pStyle w:val="NoSpacing"/>
              <w:rPr>
                <w:rFonts w:asciiTheme="minorHAnsi" w:eastAsia="Calibri" w:hAnsiTheme="minorHAnsi" w:cstheme="minorHAnsi"/>
                <w:bCs/>
                <w:sz w:val="18"/>
                <w:szCs w:val="18"/>
              </w:rPr>
            </w:pPr>
          </w:p>
        </w:tc>
        <w:tc>
          <w:tcPr>
            <w:tcW w:w="500" w:type="pct"/>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b. Mathematics</w:t>
            </w:r>
          </w:p>
        </w:tc>
        <w:tc>
          <w:tcPr>
            <w:tcW w:w="301" w:type="pct"/>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70" w:type="pct"/>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33%; Boy: 33%; Girl: 32%</w:t>
            </w:r>
          </w:p>
        </w:tc>
        <w:tc>
          <w:tcPr>
            <w:tcW w:w="425" w:type="pct"/>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5" w:type="pct"/>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25%; Boy:25%; Girl: 25%</w:t>
            </w:r>
          </w:p>
        </w:tc>
        <w:tc>
          <w:tcPr>
            <w:tcW w:w="410"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89"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272" w:type="pct"/>
            <w:tcBorders>
              <w:top w:val="single" w:sz="6" w:space="0" w:color="31849B" w:themeColor="accent5" w:themeShade="BF"/>
              <w:bottom w:val="single" w:sz="6" w:space="0" w:color="31849B" w:themeColor="accent5" w:themeShade="BF"/>
            </w:tcBorders>
            <w:shd w:val="clear" w:color="auto" w:fill="FDE9D9" w:themeFill="accent6" w:themeFillTint="33"/>
          </w:tcPr>
          <w:p w:rsidR="00040F3B"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40%</w:t>
            </w:r>
          </w:p>
        </w:tc>
        <w:tc>
          <w:tcPr>
            <w:tcW w:w="597" w:type="pct"/>
            <w:vMerge/>
            <w:shd w:val="clear" w:color="auto" w:fill="FDE9D9" w:themeFill="accent6" w:themeFillTint="33"/>
          </w:tcPr>
          <w:p w:rsidR="00040F3B" w:rsidRPr="005F120D" w:rsidRDefault="00040F3B" w:rsidP="000A5B80">
            <w:pPr>
              <w:pStyle w:val="NoSpacing"/>
              <w:rPr>
                <w:rFonts w:asciiTheme="minorHAnsi" w:eastAsia="Calibri" w:hAnsiTheme="minorHAnsi" w:cstheme="minorHAnsi"/>
                <w:sz w:val="18"/>
                <w:szCs w:val="18"/>
              </w:rPr>
            </w:pPr>
          </w:p>
        </w:tc>
      </w:tr>
      <w:tr w:rsidR="00D654AD" w:rsidRPr="005F120D" w:rsidTr="00BF53AC">
        <w:trPr>
          <w:trHeight w:val="345"/>
          <w:jc w:val="center"/>
        </w:trPr>
        <w:tc>
          <w:tcPr>
            <w:tcW w:w="261" w:type="pct"/>
            <w:vMerge w:val="restart"/>
            <w:shd w:val="clear" w:color="auto" w:fill="FDE9D9" w:themeFill="accent6" w:themeFillTint="33"/>
          </w:tcPr>
          <w:p w:rsidR="00FD0319"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KPI-3</w:t>
            </w:r>
          </w:p>
        </w:tc>
        <w:tc>
          <w:tcPr>
            <w:tcW w:w="808" w:type="pct"/>
            <w:vMerge w:val="restart"/>
            <w:shd w:val="clear" w:color="auto" w:fill="FDE9D9" w:themeFill="accent6" w:themeFillTint="33"/>
          </w:tcPr>
          <w:p w:rsidR="00FD0319" w:rsidRPr="005F120D" w:rsidRDefault="00FD0319"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Grade 5 Primary Education Completion examination (PECE) pass rate (%)</w:t>
            </w:r>
          </w:p>
          <w:p w:rsidR="00FD0319" w:rsidRPr="005F120D" w:rsidRDefault="00FD0319" w:rsidP="000A5B80">
            <w:pPr>
              <w:pStyle w:val="NoSpacing"/>
              <w:rPr>
                <w:rFonts w:asciiTheme="minorHAnsi" w:eastAsia="Calibri" w:hAnsiTheme="minorHAnsi" w:cstheme="minorHAnsi"/>
                <w:bCs/>
                <w:sz w:val="18"/>
                <w:szCs w:val="18"/>
              </w:rPr>
            </w:pPr>
          </w:p>
        </w:tc>
        <w:tc>
          <w:tcPr>
            <w:tcW w:w="500" w:type="pct"/>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 All</w:t>
            </w:r>
          </w:p>
        </w:tc>
        <w:tc>
          <w:tcPr>
            <w:tcW w:w="301"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92.3%</w:t>
            </w:r>
          </w:p>
        </w:tc>
        <w:tc>
          <w:tcPr>
            <w:tcW w:w="370" w:type="pct"/>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97.3%</w:t>
            </w:r>
          </w:p>
        </w:tc>
        <w:tc>
          <w:tcPr>
            <w:tcW w:w="42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97.4%</w:t>
            </w:r>
          </w:p>
        </w:tc>
        <w:tc>
          <w:tcPr>
            <w:tcW w:w="33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98.5%</w:t>
            </w:r>
          </w:p>
        </w:tc>
        <w:tc>
          <w:tcPr>
            <w:tcW w:w="410"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97.93%</w:t>
            </w:r>
          </w:p>
        </w:tc>
        <w:tc>
          <w:tcPr>
            <w:tcW w:w="389"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040F3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w:t>
            </w:r>
            <w:r w:rsidR="008C3D0D" w:rsidRPr="005F120D">
              <w:rPr>
                <w:rFonts w:asciiTheme="minorHAnsi" w:eastAsia="Calibri" w:hAnsiTheme="minorHAnsi" w:cstheme="minorHAnsi"/>
                <w:sz w:val="18"/>
                <w:szCs w:val="18"/>
              </w:rPr>
              <w:t>.52</w:t>
            </w:r>
            <w:r w:rsidRPr="005F120D">
              <w:rPr>
                <w:rFonts w:asciiTheme="minorHAnsi" w:eastAsia="Calibri" w:hAnsiTheme="minorHAnsi" w:cstheme="minorHAnsi"/>
                <w:sz w:val="18"/>
                <w:szCs w:val="18"/>
              </w:rPr>
              <w:t>%</w:t>
            </w:r>
          </w:p>
        </w:tc>
        <w:tc>
          <w:tcPr>
            <w:tcW w:w="272"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95%</w:t>
            </w:r>
          </w:p>
        </w:tc>
        <w:tc>
          <w:tcPr>
            <w:tcW w:w="597" w:type="pct"/>
            <w:vMerge w:val="restart"/>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Target re-fixed during MTR 2014</w:t>
            </w:r>
          </w:p>
          <w:p w:rsidR="00FD0319" w:rsidRPr="005F120D" w:rsidRDefault="00FD0319" w:rsidP="000A5B80">
            <w:pPr>
              <w:pStyle w:val="NoSpacing"/>
              <w:rPr>
                <w:rFonts w:asciiTheme="minorHAnsi" w:eastAsia="Calibri" w:hAnsiTheme="minorHAnsi" w:cstheme="minorHAnsi"/>
                <w:sz w:val="18"/>
                <w:szCs w:val="18"/>
              </w:rPr>
            </w:pPr>
          </w:p>
          <w:p w:rsidR="00FD0319" w:rsidRPr="005F120D" w:rsidRDefault="00FD0319" w:rsidP="000A5B80">
            <w:pPr>
              <w:pStyle w:val="NoSpacing"/>
              <w:rPr>
                <w:rFonts w:asciiTheme="minorHAnsi" w:eastAsia="Calibri" w:hAnsiTheme="minorHAnsi" w:cstheme="minorHAnsi"/>
                <w:sz w:val="18"/>
                <w:szCs w:val="18"/>
              </w:rPr>
            </w:pPr>
          </w:p>
        </w:tc>
      </w:tr>
      <w:tr w:rsidR="00D654AD" w:rsidRPr="005F120D" w:rsidTr="00BF53AC">
        <w:trPr>
          <w:trHeight w:val="350"/>
          <w:jc w:val="center"/>
        </w:trPr>
        <w:tc>
          <w:tcPr>
            <w:tcW w:w="261" w:type="pct"/>
            <w:vMerge/>
            <w:shd w:val="clear" w:color="auto" w:fill="auto"/>
          </w:tcPr>
          <w:p w:rsidR="00FD0319" w:rsidRPr="005F120D" w:rsidRDefault="00FD0319" w:rsidP="007B65A5">
            <w:pPr>
              <w:pStyle w:val="NoSpacing"/>
              <w:jc w:val="center"/>
              <w:rPr>
                <w:rFonts w:asciiTheme="minorHAnsi" w:eastAsia="Calibri" w:hAnsiTheme="minorHAnsi" w:cstheme="minorHAnsi"/>
                <w:sz w:val="18"/>
                <w:szCs w:val="18"/>
              </w:rPr>
            </w:pPr>
          </w:p>
        </w:tc>
        <w:tc>
          <w:tcPr>
            <w:tcW w:w="808" w:type="pct"/>
            <w:vMerge/>
            <w:shd w:val="clear" w:color="auto" w:fill="auto"/>
          </w:tcPr>
          <w:p w:rsidR="00FD0319" w:rsidRPr="005F120D" w:rsidRDefault="00FD0319" w:rsidP="000A5B80">
            <w:pPr>
              <w:pStyle w:val="NoSpacing"/>
              <w:rPr>
                <w:rFonts w:asciiTheme="minorHAnsi" w:eastAsia="Calibri" w:hAnsiTheme="minorHAnsi" w:cstheme="minorHAnsi"/>
                <w:bCs/>
                <w:sz w:val="18"/>
                <w:szCs w:val="18"/>
              </w:rPr>
            </w:pPr>
          </w:p>
        </w:tc>
        <w:tc>
          <w:tcPr>
            <w:tcW w:w="500" w:type="pct"/>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b.  Boys</w:t>
            </w:r>
          </w:p>
        </w:tc>
        <w:tc>
          <w:tcPr>
            <w:tcW w:w="301"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92.7%</w:t>
            </w:r>
          </w:p>
        </w:tc>
        <w:tc>
          <w:tcPr>
            <w:tcW w:w="370" w:type="pct"/>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97.5%</w:t>
            </w:r>
          </w:p>
        </w:tc>
        <w:tc>
          <w:tcPr>
            <w:tcW w:w="42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97.5%</w:t>
            </w:r>
          </w:p>
        </w:tc>
        <w:tc>
          <w:tcPr>
            <w:tcW w:w="33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98.6%</w:t>
            </w:r>
          </w:p>
        </w:tc>
        <w:tc>
          <w:tcPr>
            <w:tcW w:w="410"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97.88%</w:t>
            </w:r>
          </w:p>
        </w:tc>
        <w:tc>
          <w:tcPr>
            <w:tcW w:w="389"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8C3D0D"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98.45%</w:t>
            </w:r>
          </w:p>
        </w:tc>
        <w:tc>
          <w:tcPr>
            <w:tcW w:w="272"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95%</w:t>
            </w:r>
          </w:p>
        </w:tc>
        <w:tc>
          <w:tcPr>
            <w:tcW w:w="597" w:type="pct"/>
            <w:vMerge/>
            <w:shd w:val="clear" w:color="auto" w:fill="auto"/>
          </w:tcPr>
          <w:p w:rsidR="00FD0319" w:rsidRPr="005F120D" w:rsidRDefault="00FD0319" w:rsidP="000A5B80">
            <w:pPr>
              <w:pStyle w:val="NoSpacing"/>
              <w:rPr>
                <w:rFonts w:asciiTheme="minorHAnsi" w:eastAsia="Calibri" w:hAnsiTheme="minorHAnsi" w:cstheme="minorHAnsi"/>
                <w:sz w:val="18"/>
                <w:szCs w:val="18"/>
              </w:rPr>
            </w:pPr>
          </w:p>
        </w:tc>
      </w:tr>
      <w:tr w:rsidR="00D654AD" w:rsidRPr="005F120D" w:rsidTr="00BF53AC">
        <w:trPr>
          <w:trHeight w:val="336"/>
          <w:jc w:val="center"/>
        </w:trPr>
        <w:tc>
          <w:tcPr>
            <w:tcW w:w="261" w:type="pct"/>
            <w:vMerge/>
            <w:shd w:val="clear" w:color="auto" w:fill="auto"/>
          </w:tcPr>
          <w:p w:rsidR="00FD0319" w:rsidRPr="005F120D" w:rsidRDefault="00FD0319" w:rsidP="007B65A5">
            <w:pPr>
              <w:pStyle w:val="NoSpacing"/>
              <w:jc w:val="center"/>
              <w:rPr>
                <w:rFonts w:asciiTheme="minorHAnsi" w:eastAsia="Calibri" w:hAnsiTheme="minorHAnsi" w:cstheme="minorHAnsi"/>
                <w:sz w:val="18"/>
                <w:szCs w:val="18"/>
              </w:rPr>
            </w:pPr>
          </w:p>
        </w:tc>
        <w:tc>
          <w:tcPr>
            <w:tcW w:w="808" w:type="pct"/>
            <w:vMerge/>
            <w:shd w:val="clear" w:color="auto" w:fill="auto"/>
          </w:tcPr>
          <w:p w:rsidR="00FD0319" w:rsidRPr="005F120D" w:rsidRDefault="00FD0319" w:rsidP="000A5B80">
            <w:pPr>
              <w:pStyle w:val="NoSpacing"/>
              <w:rPr>
                <w:rFonts w:asciiTheme="minorHAnsi" w:eastAsia="Calibri" w:hAnsiTheme="minorHAnsi" w:cstheme="minorHAnsi"/>
                <w:bCs/>
                <w:sz w:val="18"/>
                <w:szCs w:val="18"/>
              </w:rPr>
            </w:pPr>
          </w:p>
        </w:tc>
        <w:tc>
          <w:tcPr>
            <w:tcW w:w="500" w:type="pct"/>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c. Girls</w:t>
            </w:r>
          </w:p>
        </w:tc>
        <w:tc>
          <w:tcPr>
            <w:tcW w:w="301"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92.0%</w:t>
            </w:r>
          </w:p>
        </w:tc>
        <w:tc>
          <w:tcPr>
            <w:tcW w:w="370" w:type="pct"/>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97.1%</w:t>
            </w:r>
          </w:p>
        </w:tc>
        <w:tc>
          <w:tcPr>
            <w:tcW w:w="42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97.2%</w:t>
            </w:r>
          </w:p>
        </w:tc>
        <w:tc>
          <w:tcPr>
            <w:tcW w:w="33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98.5%</w:t>
            </w:r>
          </w:p>
        </w:tc>
        <w:tc>
          <w:tcPr>
            <w:tcW w:w="410"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97.97%</w:t>
            </w:r>
          </w:p>
        </w:tc>
        <w:tc>
          <w:tcPr>
            <w:tcW w:w="389"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8C3D0D"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98.58%</w:t>
            </w:r>
          </w:p>
        </w:tc>
        <w:tc>
          <w:tcPr>
            <w:tcW w:w="272"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95%</w:t>
            </w:r>
          </w:p>
        </w:tc>
        <w:tc>
          <w:tcPr>
            <w:tcW w:w="597" w:type="pct"/>
            <w:vMerge/>
            <w:shd w:val="clear" w:color="auto" w:fill="auto"/>
          </w:tcPr>
          <w:p w:rsidR="00FD0319" w:rsidRPr="005F120D" w:rsidRDefault="00FD0319" w:rsidP="000A5B80">
            <w:pPr>
              <w:pStyle w:val="NoSpacing"/>
              <w:rPr>
                <w:rFonts w:asciiTheme="minorHAnsi" w:eastAsia="Calibri" w:hAnsiTheme="minorHAnsi" w:cstheme="minorHAnsi"/>
                <w:sz w:val="18"/>
                <w:szCs w:val="18"/>
              </w:rPr>
            </w:pPr>
          </w:p>
        </w:tc>
      </w:tr>
      <w:tr w:rsidR="00D654AD" w:rsidRPr="005F120D" w:rsidTr="00BF53AC">
        <w:trPr>
          <w:trHeight w:hRule="exact" w:val="735"/>
          <w:jc w:val="center"/>
        </w:trPr>
        <w:tc>
          <w:tcPr>
            <w:tcW w:w="261" w:type="pct"/>
            <w:vMerge w:val="restart"/>
            <w:shd w:val="clear" w:color="auto" w:fill="DAEEF3" w:themeFill="accent5" w:themeFillTint="33"/>
          </w:tcPr>
          <w:p w:rsidR="0080487A"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KPI-4</w:t>
            </w:r>
          </w:p>
        </w:tc>
        <w:tc>
          <w:tcPr>
            <w:tcW w:w="808" w:type="pct"/>
            <w:vMerge w:val="restart"/>
            <w:shd w:val="clear" w:color="auto" w:fill="DAEEF3" w:themeFill="accent5" w:themeFillTint="33"/>
          </w:tcPr>
          <w:p w:rsidR="0080487A" w:rsidRPr="005F120D" w:rsidRDefault="0080487A"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Percentage of children out of school (boys and girls)</w:t>
            </w:r>
            <w:r w:rsidR="00E30009" w:rsidRPr="005F120D">
              <w:rPr>
                <w:rFonts w:asciiTheme="minorHAnsi" w:eastAsia="Calibri" w:hAnsiTheme="minorHAnsi" w:cstheme="minorHAnsi"/>
                <w:bCs/>
                <w:sz w:val="18"/>
                <w:szCs w:val="18"/>
              </w:rPr>
              <w:t>;</w:t>
            </w:r>
          </w:p>
          <w:p w:rsidR="00AE325B" w:rsidRPr="005F120D" w:rsidRDefault="00E3000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(Phrasing of the</w:t>
            </w:r>
            <w:r w:rsidR="00AE325B" w:rsidRPr="005F120D">
              <w:rPr>
                <w:rFonts w:asciiTheme="minorHAnsi" w:eastAsia="Calibri" w:hAnsiTheme="minorHAnsi" w:cstheme="minorHAnsi"/>
                <w:sz w:val="18"/>
                <w:szCs w:val="18"/>
              </w:rPr>
              <w:t xml:space="preserve"> original indicator was ‘Number of children’)</w:t>
            </w:r>
          </w:p>
          <w:p w:rsidR="00AE325B" w:rsidRPr="005F120D" w:rsidRDefault="00AE325B" w:rsidP="000A5B80">
            <w:pPr>
              <w:pStyle w:val="NoSpacing"/>
              <w:rPr>
                <w:rFonts w:asciiTheme="minorHAnsi" w:eastAsia="Calibri" w:hAnsiTheme="minorHAnsi" w:cstheme="minorHAnsi"/>
                <w:bCs/>
                <w:sz w:val="18"/>
                <w:szCs w:val="18"/>
              </w:rPr>
            </w:pPr>
          </w:p>
        </w:tc>
        <w:tc>
          <w:tcPr>
            <w:tcW w:w="50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a. 6–10 years</w:t>
            </w:r>
          </w:p>
        </w:tc>
        <w:tc>
          <w:tcPr>
            <w:tcW w:w="301"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15%, Boy:17%: Girl: 13%</w:t>
            </w:r>
          </w:p>
        </w:tc>
        <w:tc>
          <w:tcPr>
            <w:tcW w:w="370"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42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5" w:type="pct"/>
            <w:shd w:val="clear" w:color="auto" w:fill="DAEEF3" w:themeFill="accent5" w:themeFillTint="33"/>
          </w:tcPr>
          <w:p w:rsidR="0080487A" w:rsidRPr="005F120D" w:rsidRDefault="0080487A"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410"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All 17.9% (boys18.9%&amp; girls</w:t>
            </w:r>
            <w:r w:rsidR="0080487A" w:rsidRPr="005F120D">
              <w:rPr>
                <w:rFonts w:asciiTheme="minorHAnsi" w:eastAsia="Calibri" w:hAnsiTheme="minorHAnsi" w:cstheme="minorHAnsi"/>
                <w:sz w:val="18"/>
                <w:szCs w:val="18"/>
              </w:rPr>
              <w:t>17.4%</w:t>
            </w:r>
          </w:p>
        </w:tc>
        <w:tc>
          <w:tcPr>
            <w:tcW w:w="389"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272"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5%</w:t>
            </w:r>
          </w:p>
        </w:tc>
        <w:tc>
          <w:tcPr>
            <w:tcW w:w="597" w:type="pct"/>
            <w:vMerge w:val="restart"/>
            <w:shd w:val="clear" w:color="auto" w:fill="DAEEF3" w:themeFill="accent5" w:themeFillTint="33"/>
          </w:tcPr>
          <w:p w:rsidR="00AE325B" w:rsidRPr="00EE6322" w:rsidRDefault="00AE325B" w:rsidP="000A5B80">
            <w:pPr>
              <w:pStyle w:val="NoSpacing"/>
              <w:rPr>
                <w:rFonts w:asciiTheme="minorHAnsi" w:eastAsia="Calibri" w:hAnsiTheme="minorHAnsi" w:cstheme="minorHAnsi"/>
                <w:i/>
                <w:sz w:val="17"/>
                <w:szCs w:val="17"/>
              </w:rPr>
            </w:pPr>
            <w:r w:rsidRPr="00EE6322">
              <w:rPr>
                <w:rFonts w:asciiTheme="minorHAnsi" w:eastAsia="Calibri" w:hAnsiTheme="minorHAnsi" w:cstheme="minorHAnsi"/>
                <w:i/>
                <w:sz w:val="17"/>
                <w:szCs w:val="17"/>
              </w:rPr>
              <w:t xml:space="preserve">Sources: Baseline based on </w:t>
            </w:r>
            <w:r w:rsidR="0080487A" w:rsidRPr="00EE6322">
              <w:rPr>
                <w:rFonts w:asciiTheme="minorHAnsi" w:eastAsia="Calibri" w:hAnsiTheme="minorHAnsi" w:cstheme="minorHAnsi"/>
                <w:i/>
                <w:sz w:val="17"/>
                <w:szCs w:val="17"/>
              </w:rPr>
              <w:t>HIES 2010 and 2014 achievement based on EHS 2014 preliminary report</w:t>
            </w:r>
            <w:r w:rsidRPr="00EE6322">
              <w:rPr>
                <w:rFonts w:asciiTheme="minorHAnsi" w:eastAsia="Calibri" w:hAnsiTheme="minorHAnsi" w:cstheme="minorHAnsi"/>
                <w:i/>
                <w:sz w:val="17"/>
                <w:szCs w:val="17"/>
              </w:rPr>
              <w:t>.</w:t>
            </w:r>
            <w:r w:rsidR="00C4591B" w:rsidRPr="00EE6322">
              <w:rPr>
                <w:rFonts w:asciiTheme="minorHAnsi" w:eastAsia="Calibri" w:hAnsiTheme="minorHAnsi" w:cstheme="minorHAnsi"/>
                <w:i/>
                <w:sz w:val="17"/>
                <w:szCs w:val="17"/>
              </w:rPr>
              <w:t xml:space="preserve"> </w:t>
            </w:r>
            <w:r w:rsidRPr="00EE6322">
              <w:rPr>
                <w:rFonts w:asciiTheme="minorHAnsi" w:eastAsia="Calibri" w:hAnsiTheme="minorHAnsi" w:cstheme="minorHAnsi"/>
                <w:i/>
                <w:sz w:val="17"/>
                <w:szCs w:val="17"/>
              </w:rPr>
              <w:t>2015 HIES report not yet available</w:t>
            </w:r>
          </w:p>
          <w:p w:rsidR="0080487A" w:rsidRPr="005F120D" w:rsidRDefault="0080487A" w:rsidP="000A5B80">
            <w:pPr>
              <w:pStyle w:val="NoSpacing"/>
              <w:rPr>
                <w:rFonts w:asciiTheme="minorHAnsi" w:eastAsia="Calibri" w:hAnsiTheme="minorHAnsi" w:cstheme="minorHAnsi"/>
                <w:sz w:val="18"/>
                <w:szCs w:val="18"/>
              </w:rPr>
            </w:pPr>
          </w:p>
          <w:p w:rsidR="0080487A" w:rsidRPr="005F120D" w:rsidRDefault="0080487A" w:rsidP="000A5B80">
            <w:pPr>
              <w:pStyle w:val="NoSpacing"/>
              <w:rPr>
                <w:rFonts w:asciiTheme="minorHAnsi" w:eastAsia="Calibri" w:hAnsiTheme="minorHAnsi" w:cstheme="minorHAnsi"/>
                <w:sz w:val="18"/>
                <w:szCs w:val="18"/>
              </w:rPr>
            </w:pPr>
          </w:p>
          <w:p w:rsidR="0080487A" w:rsidRPr="005F120D" w:rsidRDefault="0080487A" w:rsidP="000A5B80">
            <w:pPr>
              <w:pStyle w:val="NoSpacing"/>
              <w:rPr>
                <w:rFonts w:asciiTheme="minorHAnsi" w:eastAsia="Calibri" w:hAnsiTheme="minorHAnsi" w:cstheme="minorHAnsi"/>
                <w:sz w:val="18"/>
                <w:szCs w:val="18"/>
              </w:rPr>
            </w:pPr>
          </w:p>
        </w:tc>
      </w:tr>
      <w:tr w:rsidR="00D654AD" w:rsidRPr="005F120D" w:rsidTr="00EE6322">
        <w:trPr>
          <w:trHeight w:hRule="exact" w:val="735"/>
          <w:jc w:val="center"/>
        </w:trPr>
        <w:tc>
          <w:tcPr>
            <w:tcW w:w="261" w:type="pct"/>
            <w:vMerge/>
            <w:shd w:val="clear" w:color="auto" w:fill="DAEEF3" w:themeFill="accent5" w:themeFillTint="33"/>
          </w:tcPr>
          <w:p w:rsidR="0080487A" w:rsidRPr="005F120D" w:rsidRDefault="0080487A" w:rsidP="007B65A5">
            <w:pPr>
              <w:pStyle w:val="NoSpacing"/>
              <w:jc w:val="center"/>
              <w:rPr>
                <w:rFonts w:asciiTheme="minorHAnsi" w:eastAsia="Calibri" w:hAnsiTheme="minorHAnsi" w:cstheme="minorHAnsi"/>
                <w:sz w:val="18"/>
                <w:szCs w:val="18"/>
              </w:rPr>
            </w:pPr>
          </w:p>
        </w:tc>
        <w:tc>
          <w:tcPr>
            <w:tcW w:w="808" w:type="pct"/>
            <w:vMerge/>
            <w:shd w:val="clear" w:color="auto" w:fill="DAEEF3" w:themeFill="accent5" w:themeFillTint="33"/>
          </w:tcPr>
          <w:p w:rsidR="0080487A" w:rsidRPr="005F120D" w:rsidRDefault="0080487A" w:rsidP="000A5B80">
            <w:pPr>
              <w:pStyle w:val="NoSpacing"/>
              <w:rPr>
                <w:rFonts w:asciiTheme="minorHAnsi" w:eastAsia="Calibri" w:hAnsiTheme="minorHAnsi" w:cstheme="minorHAnsi"/>
                <w:bCs/>
                <w:sz w:val="18"/>
                <w:szCs w:val="18"/>
              </w:rPr>
            </w:pPr>
          </w:p>
        </w:tc>
        <w:tc>
          <w:tcPr>
            <w:tcW w:w="50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b. 11–14 years (EHS consider 11-15 years</w:t>
            </w:r>
          </w:p>
        </w:tc>
        <w:tc>
          <w:tcPr>
            <w:tcW w:w="301"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22%, Boy:28%; Girl:17%</w:t>
            </w:r>
          </w:p>
        </w:tc>
        <w:tc>
          <w:tcPr>
            <w:tcW w:w="370"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42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5" w:type="pct"/>
            <w:shd w:val="clear" w:color="auto" w:fill="DAEEF3" w:themeFill="accent5" w:themeFillTint="33"/>
          </w:tcPr>
          <w:p w:rsidR="0080487A" w:rsidRPr="005F120D" w:rsidRDefault="0080487A"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410"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All 14.4% (boys</w:t>
            </w:r>
            <w:r w:rsidR="0080487A" w:rsidRPr="005F120D">
              <w:rPr>
                <w:rFonts w:asciiTheme="minorHAnsi" w:eastAsia="Calibri" w:hAnsiTheme="minorHAnsi" w:cstheme="minorHAnsi"/>
                <w:sz w:val="18"/>
                <w:szCs w:val="18"/>
              </w:rPr>
              <w:t>19.4% &amp; girls 9%</w:t>
            </w:r>
          </w:p>
        </w:tc>
        <w:tc>
          <w:tcPr>
            <w:tcW w:w="389"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272"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w:t>
            </w:r>
          </w:p>
        </w:tc>
        <w:tc>
          <w:tcPr>
            <w:tcW w:w="597" w:type="pct"/>
            <w:vMerge/>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val="restart"/>
            <w:shd w:val="clear" w:color="auto" w:fill="DAEEF3" w:themeFill="accent5" w:themeFillTint="33"/>
          </w:tcPr>
          <w:p w:rsidR="0080487A"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KPI-5</w:t>
            </w:r>
          </w:p>
        </w:tc>
        <w:tc>
          <w:tcPr>
            <w:tcW w:w="808" w:type="pct"/>
            <w:vMerge w:val="restar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GER [EFA 5]</w:t>
            </w:r>
          </w:p>
        </w:tc>
        <w:tc>
          <w:tcPr>
            <w:tcW w:w="50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 All</w:t>
            </w:r>
          </w:p>
        </w:tc>
        <w:tc>
          <w:tcPr>
            <w:tcW w:w="30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93.7%</w:t>
            </w:r>
          </w:p>
        </w:tc>
        <w:tc>
          <w:tcPr>
            <w:tcW w:w="33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107.7%</w:t>
            </w:r>
          </w:p>
        </w:tc>
        <w:tc>
          <w:tcPr>
            <w:tcW w:w="37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101.5%</w:t>
            </w:r>
          </w:p>
        </w:tc>
        <w:tc>
          <w:tcPr>
            <w:tcW w:w="42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104.4%</w:t>
            </w:r>
          </w:p>
        </w:tc>
        <w:tc>
          <w:tcPr>
            <w:tcW w:w="33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108.6%</w:t>
            </w:r>
          </w:p>
        </w:tc>
        <w:tc>
          <w:tcPr>
            <w:tcW w:w="410"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108.4%</w:t>
            </w:r>
          </w:p>
        </w:tc>
        <w:tc>
          <w:tcPr>
            <w:tcW w:w="389"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109.2%</w:t>
            </w:r>
          </w:p>
        </w:tc>
        <w:tc>
          <w:tcPr>
            <w:tcW w:w="272"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105%</w:t>
            </w:r>
          </w:p>
        </w:tc>
        <w:tc>
          <w:tcPr>
            <w:tcW w:w="597" w:type="pct"/>
            <w:vMerge w:val="restar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Based on 2014 EHS GER is 117.7% (Boys 117% &amp; Girls 118.5)</w:t>
            </w:r>
          </w:p>
        </w:tc>
      </w:tr>
      <w:tr w:rsidR="00D654AD" w:rsidRPr="005F120D" w:rsidTr="00BF53AC">
        <w:trPr>
          <w:jc w:val="center"/>
        </w:trPr>
        <w:tc>
          <w:tcPr>
            <w:tcW w:w="261" w:type="pct"/>
            <w:vMerge/>
            <w:shd w:val="clear" w:color="auto" w:fill="DAEEF3" w:themeFill="accent5" w:themeFillTint="33"/>
          </w:tcPr>
          <w:p w:rsidR="0080487A" w:rsidRPr="005F120D" w:rsidRDefault="0080487A" w:rsidP="007B65A5">
            <w:pPr>
              <w:pStyle w:val="NoSpacing"/>
              <w:jc w:val="center"/>
              <w:rPr>
                <w:rFonts w:asciiTheme="minorHAnsi" w:eastAsia="Calibri" w:hAnsiTheme="minorHAnsi" w:cstheme="minorHAnsi"/>
                <w:sz w:val="18"/>
                <w:szCs w:val="18"/>
              </w:rPr>
            </w:pPr>
          </w:p>
        </w:tc>
        <w:tc>
          <w:tcPr>
            <w:tcW w:w="808" w:type="pct"/>
            <w:vMerge/>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p>
        </w:tc>
        <w:tc>
          <w:tcPr>
            <w:tcW w:w="50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b.  Boys</w:t>
            </w:r>
          </w:p>
        </w:tc>
        <w:tc>
          <w:tcPr>
            <w:tcW w:w="30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91.2%</w:t>
            </w:r>
          </w:p>
        </w:tc>
        <w:tc>
          <w:tcPr>
            <w:tcW w:w="33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103.2%</w:t>
            </w:r>
          </w:p>
        </w:tc>
        <w:tc>
          <w:tcPr>
            <w:tcW w:w="37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97.5%</w:t>
            </w:r>
          </w:p>
        </w:tc>
        <w:tc>
          <w:tcPr>
            <w:tcW w:w="42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101.3%</w:t>
            </w:r>
          </w:p>
        </w:tc>
        <w:tc>
          <w:tcPr>
            <w:tcW w:w="33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106.8%</w:t>
            </w:r>
          </w:p>
        </w:tc>
        <w:tc>
          <w:tcPr>
            <w:tcW w:w="410"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104.6%</w:t>
            </w:r>
          </w:p>
        </w:tc>
        <w:tc>
          <w:tcPr>
            <w:tcW w:w="389"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105%</w:t>
            </w:r>
          </w:p>
        </w:tc>
        <w:tc>
          <w:tcPr>
            <w:tcW w:w="272"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103%</w:t>
            </w:r>
          </w:p>
        </w:tc>
        <w:tc>
          <w:tcPr>
            <w:tcW w:w="597" w:type="pct"/>
            <w:vMerge/>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shd w:val="clear" w:color="auto" w:fill="DAEEF3" w:themeFill="accent5" w:themeFillTint="33"/>
          </w:tcPr>
          <w:p w:rsidR="0080487A" w:rsidRPr="005F120D" w:rsidRDefault="0080487A" w:rsidP="007B65A5">
            <w:pPr>
              <w:pStyle w:val="NoSpacing"/>
              <w:jc w:val="center"/>
              <w:rPr>
                <w:rFonts w:asciiTheme="minorHAnsi" w:eastAsia="Calibri" w:hAnsiTheme="minorHAnsi" w:cstheme="minorHAnsi"/>
                <w:sz w:val="18"/>
                <w:szCs w:val="18"/>
              </w:rPr>
            </w:pPr>
          </w:p>
        </w:tc>
        <w:tc>
          <w:tcPr>
            <w:tcW w:w="808" w:type="pct"/>
            <w:vMerge/>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p>
        </w:tc>
        <w:tc>
          <w:tcPr>
            <w:tcW w:w="50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c. Girls</w:t>
            </w:r>
          </w:p>
        </w:tc>
        <w:tc>
          <w:tcPr>
            <w:tcW w:w="30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96.2%</w:t>
            </w:r>
          </w:p>
        </w:tc>
        <w:tc>
          <w:tcPr>
            <w:tcW w:w="33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112.4%</w:t>
            </w:r>
          </w:p>
        </w:tc>
        <w:tc>
          <w:tcPr>
            <w:tcW w:w="37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105.6%</w:t>
            </w:r>
          </w:p>
        </w:tc>
        <w:tc>
          <w:tcPr>
            <w:tcW w:w="42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107.6%</w:t>
            </w:r>
          </w:p>
        </w:tc>
        <w:tc>
          <w:tcPr>
            <w:tcW w:w="33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110.5%</w:t>
            </w:r>
          </w:p>
        </w:tc>
        <w:tc>
          <w:tcPr>
            <w:tcW w:w="410"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112.3%</w:t>
            </w:r>
          </w:p>
        </w:tc>
        <w:tc>
          <w:tcPr>
            <w:tcW w:w="389"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113.4%</w:t>
            </w:r>
          </w:p>
        </w:tc>
        <w:tc>
          <w:tcPr>
            <w:tcW w:w="272"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107%</w:t>
            </w:r>
          </w:p>
        </w:tc>
        <w:tc>
          <w:tcPr>
            <w:tcW w:w="597" w:type="pct"/>
            <w:vMerge/>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val="restart"/>
            <w:shd w:val="clear" w:color="auto" w:fill="DAEEF3" w:themeFill="accent5" w:themeFillTint="33"/>
          </w:tcPr>
          <w:p w:rsidR="0080487A"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KPI-6</w:t>
            </w:r>
          </w:p>
        </w:tc>
        <w:tc>
          <w:tcPr>
            <w:tcW w:w="808" w:type="pct"/>
            <w:vMerge w:val="restar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NER [EFA 6]</w:t>
            </w:r>
          </w:p>
        </w:tc>
        <w:tc>
          <w:tcPr>
            <w:tcW w:w="50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 All</w:t>
            </w:r>
          </w:p>
        </w:tc>
        <w:tc>
          <w:tcPr>
            <w:tcW w:w="30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87.2%</w:t>
            </w:r>
          </w:p>
        </w:tc>
        <w:tc>
          <w:tcPr>
            <w:tcW w:w="33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94.8%</w:t>
            </w:r>
          </w:p>
        </w:tc>
        <w:tc>
          <w:tcPr>
            <w:tcW w:w="37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94.9%</w:t>
            </w:r>
          </w:p>
        </w:tc>
        <w:tc>
          <w:tcPr>
            <w:tcW w:w="42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96.7%</w:t>
            </w:r>
          </w:p>
        </w:tc>
        <w:tc>
          <w:tcPr>
            <w:tcW w:w="33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97.3%</w:t>
            </w:r>
          </w:p>
        </w:tc>
        <w:tc>
          <w:tcPr>
            <w:tcW w:w="410"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97.7%</w:t>
            </w:r>
          </w:p>
        </w:tc>
        <w:tc>
          <w:tcPr>
            <w:tcW w:w="389"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97.94%</w:t>
            </w:r>
          </w:p>
        </w:tc>
        <w:tc>
          <w:tcPr>
            <w:tcW w:w="272"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w:t>
            </w:r>
          </w:p>
        </w:tc>
        <w:tc>
          <w:tcPr>
            <w:tcW w:w="597" w:type="pct"/>
            <w:vMerge w:val="restar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Based on 2014 EHS NER is 84.3% (Boys 82.6% &amp; Girls 86.1)</w:t>
            </w:r>
          </w:p>
        </w:tc>
      </w:tr>
      <w:tr w:rsidR="00D654AD" w:rsidRPr="005F120D" w:rsidTr="00BF53AC">
        <w:trPr>
          <w:jc w:val="center"/>
        </w:trPr>
        <w:tc>
          <w:tcPr>
            <w:tcW w:w="261" w:type="pct"/>
            <w:vMerge/>
            <w:shd w:val="clear" w:color="auto" w:fill="DAEEF3" w:themeFill="accent5" w:themeFillTint="33"/>
          </w:tcPr>
          <w:p w:rsidR="0080487A" w:rsidRPr="005F120D" w:rsidRDefault="0080487A" w:rsidP="007B65A5">
            <w:pPr>
              <w:pStyle w:val="NoSpacing"/>
              <w:jc w:val="center"/>
              <w:rPr>
                <w:rFonts w:asciiTheme="minorHAnsi" w:eastAsia="Calibri" w:hAnsiTheme="minorHAnsi" w:cstheme="minorHAnsi"/>
                <w:sz w:val="18"/>
                <w:szCs w:val="18"/>
              </w:rPr>
            </w:pPr>
          </w:p>
        </w:tc>
        <w:tc>
          <w:tcPr>
            <w:tcW w:w="808" w:type="pct"/>
            <w:vMerge/>
            <w:shd w:val="clear" w:color="auto" w:fill="DAEEF3" w:themeFill="accent5" w:themeFillTint="33"/>
          </w:tcPr>
          <w:p w:rsidR="0080487A" w:rsidRPr="005F120D" w:rsidRDefault="0080487A" w:rsidP="000A5B80">
            <w:pPr>
              <w:pStyle w:val="NoSpacing"/>
              <w:rPr>
                <w:rFonts w:asciiTheme="minorHAnsi" w:eastAsia="Calibri" w:hAnsiTheme="minorHAnsi" w:cstheme="minorHAnsi"/>
                <w:bCs/>
                <w:sz w:val="18"/>
                <w:szCs w:val="18"/>
              </w:rPr>
            </w:pPr>
          </w:p>
        </w:tc>
        <w:tc>
          <w:tcPr>
            <w:tcW w:w="50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b.  Boys</w:t>
            </w:r>
          </w:p>
        </w:tc>
        <w:tc>
          <w:tcPr>
            <w:tcW w:w="30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84.6%</w:t>
            </w:r>
          </w:p>
        </w:tc>
        <w:tc>
          <w:tcPr>
            <w:tcW w:w="33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92.2%</w:t>
            </w:r>
          </w:p>
        </w:tc>
        <w:tc>
          <w:tcPr>
            <w:tcW w:w="37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92.7%</w:t>
            </w:r>
          </w:p>
        </w:tc>
        <w:tc>
          <w:tcPr>
            <w:tcW w:w="42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95.4%</w:t>
            </w:r>
          </w:p>
        </w:tc>
        <w:tc>
          <w:tcPr>
            <w:tcW w:w="33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96.2%</w:t>
            </w:r>
          </w:p>
        </w:tc>
        <w:tc>
          <w:tcPr>
            <w:tcW w:w="410"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96.6%</w:t>
            </w:r>
          </w:p>
        </w:tc>
        <w:tc>
          <w:tcPr>
            <w:tcW w:w="389"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97.09%</w:t>
            </w:r>
          </w:p>
        </w:tc>
        <w:tc>
          <w:tcPr>
            <w:tcW w:w="272"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97%</w:t>
            </w:r>
          </w:p>
        </w:tc>
        <w:tc>
          <w:tcPr>
            <w:tcW w:w="597" w:type="pct"/>
            <w:vMerge/>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shd w:val="clear" w:color="auto" w:fill="DAEEF3" w:themeFill="accent5" w:themeFillTint="33"/>
          </w:tcPr>
          <w:p w:rsidR="0080487A" w:rsidRPr="005F120D" w:rsidRDefault="0080487A" w:rsidP="007B65A5">
            <w:pPr>
              <w:pStyle w:val="NoSpacing"/>
              <w:jc w:val="center"/>
              <w:rPr>
                <w:rFonts w:asciiTheme="minorHAnsi" w:eastAsia="Calibri" w:hAnsiTheme="minorHAnsi" w:cstheme="minorHAnsi"/>
                <w:sz w:val="18"/>
                <w:szCs w:val="18"/>
              </w:rPr>
            </w:pPr>
          </w:p>
        </w:tc>
        <w:tc>
          <w:tcPr>
            <w:tcW w:w="808" w:type="pct"/>
            <w:vMerge/>
            <w:shd w:val="clear" w:color="auto" w:fill="DAEEF3" w:themeFill="accent5" w:themeFillTint="33"/>
          </w:tcPr>
          <w:p w:rsidR="0080487A" w:rsidRPr="005F120D" w:rsidRDefault="0080487A" w:rsidP="000A5B80">
            <w:pPr>
              <w:pStyle w:val="NoSpacing"/>
              <w:rPr>
                <w:rFonts w:asciiTheme="minorHAnsi" w:eastAsia="Calibri" w:hAnsiTheme="minorHAnsi" w:cstheme="minorHAnsi"/>
                <w:bCs/>
                <w:sz w:val="18"/>
                <w:szCs w:val="18"/>
              </w:rPr>
            </w:pPr>
          </w:p>
        </w:tc>
        <w:tc>
          <w:tcPr>
            <w:tcW w:w="50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c. Girls</w:t>
            </w:r>
          </w:p>
        </w:tc>
        <w:tc>
          <w:tcPr>
            <w:tcW w:w="30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90.1%</w:t>
            </w:r>
          </w:p>
        </w:tc>
        <w:tc>
          <w:tcPr>
            <w:tcW w:w="331"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97.6%</w:t>
            </w:r>
          </w:p>
        </w:tc>
        <w:tc>
          <w:tcPr>
            <w:tcW w:w="370" w:type="pct"/>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97.3%</w:t>
            </w:r>
          </w:p>
        </w:tc>
        <w:tc>
          <w:tcPr>
            <w:tcW w:w="42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98.1%</w:t>
            </w:r>
          </w:p>
        </w:tc>
        <w:tc>
          <w:tcPr>
            <w:tcW w:w="335" w:type="pct"/>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98.4%</w:t>
            </w:r>
          </w:p>
        </w:tc>
        <w:tc>
          <w:tcPr>
            <w:tcW w:w="410"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98.8%</w:t>
            </w:r>
          </w:p>
        </w:tc>
        <w:tc>
          <w:tcPr>
            <w:tcW w:w="389"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98.79%</w:t>
            </w:r>
          </w:p>
        </w:tc>
        <w:tc>
          <w:tcPr>
            <w:tcW w:w="272" w:type="pct"/>
            <w:tcBorders>
              <w:top w:val="single" w:sz="6" w:space="0" w:color="31849B" w:themeColor="accent5" w:themeShade="BF"/>
              <w:bottom w:val="single" w:sz="6" w:space="0" w:color="31849B" w:themeColor="accent5" w:themeShade="BF"/>
            </w:tcBorders>
            <w:shd w:val="clear" w:color="auto" w:fill="DAEEF3" w:themeFill="accent5" w:themeFillTint="33"/>
          </w:tcPr>
          <w:p w:rsidR="0080487A"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99%</w:t>
            </w:r>
          </w:p>
        </w:tc>
        <w:tc>
          <w:tcPr>
            <w:tcW w:w="597" w:type="pct"/>
            <w:vMerge/>
            <w:tcBorders>
              <w:bottom w:val="single" w:sz="6" w:space="0" w:color="31849B" w:themeColor="accent5" w:themeShade="BF"/>
            </w:tcBorders>
            <w:shd w:val="clear" w:color="auto" w:fill="DAEEF3" w:themeFill="accent5" w:themeFillTint="33"/>
          </w:tcPr>
          <w:p w:rsidR="0080487A" w:rsidRPr="005F120D" w:rsidRDefault="0080487A"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shd w:val="clear" w:color="auto" w:fill="DBE5F1" w:themeFill="accent1" w:themeFillTint="33"/>
          </w:tcPr>
          <w:p w:rsidR="00FD0319"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KPI-7</w:t>
            </w:r>
          </w:p>
        </w:tc>
        <w:tc>
          <w:tcPr>
            <w:tcW w:w="808" w:type="pct"/>
            <w:shd w:val="clear" w:color="auto" w:fill="DBE5F1" w:themeFill="accent1" w:themeFillTint="33"/>
          </w:tcPr>
          <w:p w:rsidR="00FD0319" w:rsidRPr="005F120D" w:rsidRDefault="00FD0319"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w:t>
            </w:r>
            <w:r w:rsidRPr="005F120D">
              <w:rPr>
                <w:rFonts w:asciiTheme="minorHAnsi" w:eastAsia="Calibri" w:hAnsiTheme="minorHAnsi" w:cstheme="minorHAnsi"/>
                <w:bCs/>
                <w:i/>
                <w:iCs/>
                <w:sz w:val="18"/>
                <w:szCs w:val="18"/>
              </w:rPr>
              <w:t>Participation</w:t>
            </w:r>
            <w:r w:rsidRPr="005F120D">
              <w:rPr>
                <w:rFonts w:asciiTheme="minorHAnsi" w:eastAsia="Calibri" w:hAnsiTheme="minorHAnsi" w:cstheme="minorHAnsi"/>
                <w:bCs/>
                <w:sz w:val="18"/>
                <w:szCs w:val="18"/>
              </w:rPr>
              <w:t>] Gender parity index of GER</w:t>
            </w:r>
          </w:p>
        </w:tc>
        <w:tc>
          <w:tcPr>
            <w:tcW w:w="500" w:type="pct"/>
            <w:shd w:val="clear" w:color="auto" w:fill="DBE5F1" w:themeFill="accent1"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w:t>
            </w:r>
          </w:p>
        </w:tc>
        <w:tc>
          <w:tcPr>
            <w:tcW w:w="301" w:type="pct"/>
            <w:shd w:val="clear" w:color="auto" w:fill="DBE5F1" w:themeFill="accent1"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1.05</w:t>
            </w:r>
          </w:p>
        </w:tc>
        <w:tc>
          <w:tcPr>
            <w:tcW w:w="331" w:type="pct"/>
            <w:shd w:val="clear" w:color="auto" w:fill="DBE5F1" w:themeFill="accent1"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1.09</w:t>
            </w:r>
          </w:p>
        </w:tc>
        <w:tc>
          <w:tcPr>
            <w:tcW w:w="370" w:type="pct"/>
            <w:shd w:val="clear" w:color="auto" w:fill="DBE5F1" w:themeFill="accent1"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1.08</w:t>
            </w:r>
          </w:p>
        </w:tc>
        <w:tc>
          <w:tcPr>
            <w:tcW w:w="425" w:type="pct"/>
            <w:shd w:val="clear" w:color="auto" w:fill="DBE5F1" w:themeFill="accent1"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1.06</w:t>
            </w:r>
          </w:p>
        </w:tc>
        <w:tc>
          <w:tcPr>
            <w:tcW w:w="335" w:type="pct"/>
            <w:shd w:val="clear" w:color="auto" w:fill="DBE5F1" w:themeFill="accent1"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1.03</w:t>
            </w:r>
          </w:p>
        </w:tc>
        <w:tc>
          <w:tcPr>
            <w:tcW w:w="410" w:type="pct"/>
            <w:tcBorders>
              <w:top w:val="single" w:sz="6" w:space="0" w:color="31849B" w:themeColor="accent5" w:themeShade="BF"/>
              <w:bottom w:val="single" w:sz="6" w:space="0" w:color="31849B" w:themeColor="accent5" w:themeShade="BF"/>
            </w:tcBorders>
            <w:shd w:val="clear" w:color="auto" w:fill="DBE5F1" w:themeFill="accent1"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1.03</w:t>
            </w:r>
          </w:p>
        </w:tc>
        <w:tc>
          <w:tcPr>
            <w:tcW w:w="389" w:type="pct"/>
            <w:tcBorders>
              <w:top w:val="single" w:sz="6" w:space="0" w:color="31849B" w:themeColor="accent5" w:themeShade="BF"/>
              <w:bottom w:val="single" w:sz="6" w:space="0" w:color="31849B" w:themeColor="accent5" w:themeShade="BF"/>
            </w:tcBorders>
            <w:shd w:val="clear" w:color="auto" w:fill="DBE5F1" w:themeFill="accent1" w:themeFillTint="33"/>
          </w:tcPr>
          <w:p w:rsidR="00FD0319" w:rsidRPr="005F120D" w:rsidRDefault="0080487A"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1.08</w:t>
            </w:r>
          </w:p>
        </w:tc>
        <w:tc>
          <w:tcPr>
            <w:tcW w:w="272" w:type="pct"/>
            <w:tcBorders>
              <w:top w:val="single" w:sz="6" w:space="0" w:color="31849B" w:themeColor="accent5" w:themeShade="BF"/>
              <w:bottom w:val="single" w:sz="6" w:space="0" w:color="31849B" w:themeColor="accent5" w:themeShade="BF"/>
            </w:tcBorders>
            <w:shd w:val="clear" w:color="auto" w:fill="DBE5F1" w:themeFill="accent1" w:themeFillTint="33"/>
          </w:tcPr>
          <w:p w:rsidR="00FD0319" w:rsidRPr="005F120D" w:rsidRDefault="00FD0319"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1.03</w:t>
            </w:r>
          </w:p>
        </w:tc>
        <w:tc>
          <w:tcPr>
            <w:tcW w:w="597" w:type="pct"/>
            <w:tcBorders>
              <w:top w:val="single" w:sz="6" w:space="0" w:color="31849B" w:themeColor="accent5" w:themeShade="BF"/>
              <w:bottom w:val="single" w:sz="6" w:space="0" w:color="31849B" w:themeColor="accent5" w:themeShade="BF"/>
            </w:tcBorders>
            <w:shd w:val="clear" w:color="auto" w:fill="DBE5F1" w:themeFill="accent1" w:themeFillTint="33"/>
          </w:tcPr>
          <w:p w:rsidR="00FD0319" w:rsidRPr="005F120D" w:rsidRDefault="00FD0319"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Disparity exist</w:t>
            </w:r>
            <w:r w:rsidR="008874F9" w:rsidRPr="005F120D">
              <w:rPr>
                <w:rFonts w:asciiTheme="minorHAnsi" w:eastAsia="Calibri" w:hAnsiTheme="minorHAnsi" w:cstheme="minorHAnsi"/>
                <w:sz w:val="18"/>
                <w:szCs w:val="18"/>
              </w:rPr>
              <w:t>s</w:t>
            </w:r>
            <w:r w:rsidRPr="005F120D">
              <w:rPr>
                <w:rFonts w:asciiTheme="minorHAnsi" w:eastAsia="Calibri" w:hAnsiTheme="minorHAnsi" w:cstheme="minorHAnsi"/>
                <w:sz w:val="18"/>
                <w:szCs w:val="18"/>
              </w:rPr>
              <w:t xml:space="preserve"> in </w:t>
            </w:r>
            <w:r w:rsidR="0089702D" w:rsidRPr="005F120D">
              <w:rPr>
                <w:rFonts w:asciiTheme="minorHAnsi" w:eastAsia="Calibri" w:hAnsiTheme="minorHAnsi" w:cstheme="minorHAnsi"/>
                <w:sz w:val="18"/>
                <w:szCs w:val="18"/>
              </w:rPr>
              <w:t>favor</w:t>
            </w:r>
            <w:r w:rsidRPr="005F120D">
              <w:rPr>
                <w:rFonts w:asciiTheme="minorHAnsi" w:eastAsia="Calibri" w:hAnsiTheme="minorHAnsi" w:cstheme="minorHAnsi"/>
                <w:sz w:val="18"/>
                <w:szCs w:val="18"/>
              </w:rPr>
              <w:t xml:space="preserve"> of boys</w:t>
            </w:r>
          </w:p>
        </w:tc>
      </w:tr>
      <w:tr w:rsidR="00D654AD" w:rsidRPr="005F120D" w:rsidTr="00BF53AC">
        <w:trPr>
          <w:jc w:val="center"/>
        </w:trPr>
        <w:tc>
          <w:tcPr>
            <w:tcW w:w="261" w:type="pct"/>
            <w:vMerge w:val="restart"/>
            <w:shd w:val="clear" w:color="auto" w:fill="DBE5F1" w:themeFill="accent1" w:themeFillTint="33"/>
          </w:tcPr>
          <w:p w:rsidR="003B4C1F"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KPI-8</w:t>
            </w:r>
          </w:p>
        </w:tc>
        <w:tc>
          <w:tcPr>
            <w:tcW w:w="808" w:type="pct"/>
            <w:shd w:val="clear" w:color="auto" w:fill="DBE5F1" w:themeFill="accent1" w:themeFillTint="33"/>
          </w:tcPr>
          <w:p w:rsidR="003B4C1F" w:rsidRPr="005F120D" w:rsidRDefault="003B4C1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 xml:space="preserve">Net </w:t>
            </w:r>
            <w:r w:rsidR="004B53A0" w:rsidRPr="005F120D">
              <w:rPr>
                <w:rFonts w:asciiTheme="minorHAnsi" w:eastAsia="Calibri" w:hAnsiTheme="minorHAnsi" w:cstheme="minorHAnsi"/>
                <w:bCs/>
                <w:sz w:val="18"/>
                <w:szCs w:val="18"/>
              </w:rPr>
              <w:t>enrolment</w:t>
            </w:r>
            <w:r w:rsidRPr="005F120D">
              <w:rPr>
                <w:rFonts w:asciiTheme="minorHAnsi" w:eastAsia="Calibri" w:hAnsiTheme="minorHAnsi" w:cstheme="minorHAnsi"/>
                <w:bCs/>
                <w:sz w:val="18"/>
                <w:szCs w:val="18"/>
              </w:rPr>
              <w:t xml:space="preserve"> rate (NER)- Top 20% of households (HHs) by consumption/wealth  quintile</w:t>
            </w:r>
          </w:p>
        </w:tc>
        <w:tc>
          <w:tcPr>
            <w:tcW w:w="500" w:type="pct"/>
            <w:shd w:val="clear" w:color="auto" w:fill="DBE5F1" w:themeFill="accent1" w:themeFillTint="33"/>
          </w:tcPr>
          <w:p w:rsidR="003B4C1F" w:rsidRPr="005F120D" w:rsidRDefault="003B4C1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w:t>
            </w:r>
          </w:p>
        </w:tc>
        <w:tc>
          <w:tcPr>
            <w:tcW w:w="301" w:type="pct"/>
            <w:shd w:val="clear" w:color="auto" w:fill="DBE5F1" w:themeFill="accent1" w:themeFillTint="33"/>
          </w:tcPr>
          <w:p w:rsidR="003B4C1F" w:rsidRPr="005F120D" w:rsidRDefault="003B4C1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All: 58% to 80%</w:t>
            </w:r>
          </w:p>
        </w:tc>
        <w:tc>
          <w:tcPr>
            <w:tcW w:w="331" w:type="pct"/>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88%</w:t>
            </w:r>
          </w:p>
        </w:tc>
        <w:tc>
          <w:tcPr>
            <w:tcW w:w="370" w:type="pct"/>
            <w:shd w:val="clear" w:color="auto" w:fill="DBE5F1" w:themeFill="accent1" w:themeFillTint="33"/>
          </w:tcPr>
          <w:p w:rsidR="003B4C1F" w:rsidRPr="005F120D" w:rsidRDefault="003B4C1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425" w:type="pct"/>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5" w:type="pct"/>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410" w:type="pct"/>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88</w:t>
            </w:r>
            <w:r w:rsidR="00E214D0" w:rsidRPr="005F120D">
              <w:rPr>
                <w:rFonts w:asciiTheme="minorHAnsi" w:eastAsia="Calibri" w:hAnsiTheme="minorHAnsi" w:cstheme="minorHAnsi"/>
                <w:sz w:val="18"/>
                <w:szCs w:val="18"/>
              </w:rPr>
              <w:t>%</w:t>
            </w:r>
          </w:p>
        </w:tc>
        <w:tc>
          <w:tcPr>
            <w:tcW w:w="389" w:type="pct"/>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272" w:type="pct"/>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90%</w:t>
            </w:r>
          </w:p>
        </w:tc>
        <w:tc>
          <w:tcPr>
            <w:tcW w:w="597" w:type="pct"/>
            <w:vMerge w:val="restart"/>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rPr>
                <w:rFonts w:asciiTheme="minorHAnsi" w:eastAsia="Calibri" w:hAnsiTheme="minorHAnsi" w:cstheme="minorHAnsi"/>
                <w:i/>
                <w:sz w:val="18"/>
                <w:szCs w:val="18"/>
              </w:rPr>
            </w:pPr>
            <w:r w:rsidRPr="005F120D">
              <w:rPr>
                <w:rFonts w:asciiTheme="minorHAnsi" w:eastAsia="Calibri" w:hAnsiTheme="minorHAnsi" w:cstheme="minorHAnsi"/>
                <w:i/>
                <w:sz w:val="18"/>
                <w:szCs w:val="18"/>
              </w:rPr>
              <w:t xml:space="preserve">Source of baseline data: HIES 2010 and achievement of 2014 based on EHS 2014 </w:t>
            </w:r>
            <w:r w:rsidRPr="005F120D">
              <w:rPr>
                <w:rFonts w:asciiTheme="minorHAnsi" w:eastAsia="Calibri" w:hAnsiTheme="minorHAnsi" w:cstheme="minorHAnsi"/>
                <w:i/>
                <w:sz w:val="18"/>
                <w:szCs w:val="18"/>
              </w:rPr>
              <w:lastRenderedPageBreak/>
              <w:t xml:space="preserve">report. </w:t>
            </w:r>
          </w:p>
          <w:p w:rsidR="003B4C1F" w:rsidRPr="005F120D" w:rsidRDefault="003B4C1F" w:rsidP="000A5B80">
            <w:pPr>
              <w:pStyle w:val="NoSpacing"/>
              <w:rPr>
                <w:rFonts w:asciiTheme="minorHAnsi" w:eastAsia="Calibri" w:hAnsiTheme="minorHAnsi" w:cstheme="minorHAnsi"/>
                <w:i/>
                <w:sz w:val="18"/>
                <w:szCs w:val="18"/>
              </w:rPr>
            </w:pPr>
          </w:p>
          <w:p w:rsidR="003B4C1F" w:rsidRPr="005F120D" w:rsidRDefault="003B4C1F" w:rsidP="000A5B80">
            <w:pPr>
              <w:pStyle w:val="NoSpacing"/>
              <w:rPr>
                <w:rFonts w:asciiTheme="minorHAnsi" w:eastAsia="Calibri" w:hAnsiTheme="minorHAnsi" w:cstheme="minorHAnsi"/>
                <w:i/>
                <w:sz w:val="18"/>
                <w:szCs w:val="18"/>
              </w:rPr>
            </w:pPr>
            <w:r w:rsidRPr="005F120D">
              <w:rPr>
                <w:rFonts w:asciiTheme="minorHAnsi" w:eastAsia="Calibri" w:hAnsiTheme="minorHAnsi" w:cstheme="minorHAnsi"/>
                <w:i/>
                <w:sz w:val="18"/>
                <w:szCs w:val="18"/>
              </w:rPr>
              <w:t>2015 HIES report not yet available</w:t>
            </w:r>
          </w:p>
          <w:p w:rsidR="003B4C1F" w:rsidRPr="005F120D" w:rsidRDefault="003B4C1F" w:rsidP="000A5B80">
            <w:pPr>
              <w:pStyle w:val="NoSpacing"/>
              <w:rPr>
                <w:rFonts w:asciiTheme="minorHAnsi" w:eastAsia="Calibri" w:hAnsiTheme="minorHAnsi" w:cstheme="minorHAnsi"/>
                <w:i/>
                <w:sz w:val="18"/>
                <w:szCs w:val="18"/>
              </w:rPr>
            </w:pPr>
          </w:p>
          <w:p w:rsidR="003B4C1F" w:rsidRPr="005F120D" w:rsidRDefault="003B4C1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shd w:val="clear" w:color="auto" w:fill="DBE5F1" w:themeFill="accent1" w:themeFillTint="33"/>
          </w:tcPr>
          <w:p w:rsidR="003B4C1F" w:rsidRPr="005F120D" w:rsidRDefault="003B4C1F" w:rsidP="007B65A5">
            <w:pPr>
              <w:pStyle w:val="NoSpacing"/>
              <w:jc w:val="center"/>
              <w:rPr>
                <w:rFonts w:asciiTheme="minorHAnsi" w:eastAsia="Calibri" w:hAnsiTheme="minorHAnsi" w:cstheme="minorHAnsi"/>
                <w:sz w:val="18"/>
                <w:szCs w:val="18"/>
              </w:rPr>
            </w:pPr>
          </w:p>
        </w:tc>
        <w:tc>
          <w:tcPr>
            <w:tcW w:w="808" w:type="pct"/>
            <w:shd w:val="clear" w:color="auto" w:fill="DBE5F1" w:themeFill="accent1" w:themeFillTint="33"/>
          </w:tcPr>
          <w:p w:rsidR="003B4C1F" w:rsidRPr="005F120D" w:rsidRDefault="003B4C1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 xml:space="preserve">Bottom20% of HHs by </w:t>
            </w:r>
            <w:r w:rsidRPr="005F120D">
              <w:rPr>
                <w:rFonts w:asciiTheme="minorHAnsi" w:eastAsia="Calibri" w:hAnsiTheme="minorHAnsi" w:cstheme="minorHAnsi"/>
                <w:bCs/>
                <w:sz w:val="18"/>
                <w:szCs w:val="18"/>
              </w:rPr>
              <w:lastRenderedPageBreak/>
              <w:t>consumption quintile</w:t>
            </w:r>
          </w:p>
        </w:tc>
        <w:tc>
          <w:tcPr>
            <w:tcW w:w="500" w:type="pct"/>
            <w:shd w:val="clear" w:color="auto" w:fill="DBE5F1" w:themeFill="accent1" w:themeFillTint="33"/>
          </w:tcPr>
          <w:p w:rsidR="003B4C1F" w:rsidRPr="005F120D" w:rsidRDefault="003B4C1F" w:rsidP="000A5B80">
            <w:pPr>
              <w:pStyle w:val="NoSpacing"/>
              <w:rPr>
                <w:rFonts w:asciiTheme="minorHAnsi" w:eastAsia="Calibri" w:hAnsiTheme="minorHAnsi" w:cstheme="minorHAnsi"/>
                <w:sz w:val="18"/>
                <w:szCs w:val="18"/>
              </w:rPr>
            </w:pPr>
          </w:p>
        </w:tc>
        <w:tc>
          <w:tcPr>
            <w:tcW w:w="301" w:type="pct"/>
            <w:shd w:val="clear" w:color="auto" w:fill="DBE5F1" w:themeFill="accent1" w:themeFillTint="33"/>
          </w:tcPr>
          <w:p w:rsidR="003B4C1F" w:rsidRPr="005F120D" w:rsidRDefault="003B4C1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77%</w:t>
            </w:r>
          </w:p>
        </w:tc>
        <w:tc>
          <w:tcPr>
            <w:tcW w:w="370" w:type="pct"/>
            <w:shd w:val="clear" w:color="auto" w:fill="DBE5F1" w:themeFill="accent1" w:themeFillTint="33"/>
          </w:tcPr>
          <w:p w:rsidR="003B4C1F" w:rsidRPr="005F120D" w:rsidRDefault="003B4C1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425" w:type="pct"/>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5" w:type="pct"/>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410" w:type="pct"/>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80</w:t>
            </w:r>
            <w:r w:rsidR="00E214D0" w:rsidRPr="005F120D">
              <w:rPr>
                <w:rFonts w:asciiTheme="minorHAnsi" w:eastAsia="Calibri" w:hAnsiTheme="minorHAnsi" w:cstheme="minorHAnsi"/>
                <w:sz w:val="18"/>
                <w:szCs w:val="18"/>
              </w:rPr>
              <w:t>%</w:t>
            </w:r>
          </w:p>
        </w:tc>
        <w:tc>
          <w:tcPr>
            <w:tcW w:w="389" w:type="pct"/>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272" w:type="pct"/>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82%</w:t>
            </w:r>
          </w:p>
        </w:tc>
        <w:tc>
          <w:tcPr>
            <w:tcW w:w="597" w:type="pct"/>
            <w:vMerge/>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rPr>
                <w:rFonts w:asciiTheme="minorHAnsi" w:eastAsia="Calibri" w:hAnsiTheme="minorHAnsi" w:cstheme="minorHAnsi"/>
                <w:sz w:val="18"/>
                <w:szCs w:val="18"/>
              </w:rPr>
            </w:pPr>
          </w:p>
        </w:tc>
      </w:tr>
      <w:tr w:rsidR="00D654AD" w:rsidRPr="005F120D" w:rsidTr="00891A18">
        <w:trPr>
          <w:trHeight w:val="642"/>
          <w:jc w:val="center"/>
        </w:trPr>
        <w:tc>
          <w:tcPr>
            <w:tcW w:w="261" w:type="pct"/>
            <w:vMerge/>
            <w:shd w:val="clear" w:color="auto" w:fill="DBE5F1" w:themeFill="accent1" w:themeFillTint="33"/>
          </w:tcPr>
          <w:p w:rsidR="003B4C1F" w:rsidRPr="005F120D" w:rsidRDefault="003B4C1F" w:rsidP="007B65A5">
            <w:pPr>
              <w:pStyle w:val="NoSpacing"/>
              <w:jc w:val="center"/>
              <w:rPr>
                <w:rFonts w:asciiTheme="minorHAnsi" w:eastAsia="Calibri" w:hAnsiTheme="minorHAnsi" w:cstheme="minorHAnsi"/>
                <w:sz w:val="18"/>
                <w:szCs w:val="18"/>
              </w:rPr>
            </w:pPr>
          </w:p>
        </w:tc>
        <w:tc>
          <w:tcPr>
            <w:tcW w:w="808" w:type="pct"/>
            <w:shd w:val="clear" w:color="auto" w:fill="DBE5F1" w:themeFill="accent1" w:themeFillTint="33"/>
          </w:tcPr>
          <w:p w:rsidR="003B4C1F" w:rsidRPr="005F120D" w:rsidRDefault="003B4C1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Difference between Top20% and bottom20% of HHs by consumption/wealth quintile</w:t>
            </w:r>
          </w:p>
        </w:tc>
        <w:tc>
          <w:tcPr>
            <w:tcW w:w="500" w:type="pct"/>
            <w:shd w:val="clear" w:color="auto" w:fill="DBE5F1" w:themeFill="accent1" w:themeFillTint="33"/>
          </w:tcPr>
          <w:p w:rsidR="003B4C1F" w:rsidRPr="005F120D" w:rsidRDefault="003B4C1F" w:rsidP="000A5B80">
            <w:pPr>
              <w:pStyle w:val="NoSpacing"/>
              <w:rPr>
                <w:rFonts w:asciiTheme="minorHAnsi" w:eastAsia="Calibri" w:hAnsiTheme="minorHAnsi" w:cstheme="minorHAnsi"/>
                <w:sz w:val="18"/>
                <w:szCs w:val="18"/>
              </w:rPr>
            </w:pPr>
          </w:p>
        </w:tc>
        <w:tc>
          <w:tcPr>
            <w:tcW w:w="301" w:type="pct"/>
            <w:shd w:val="clear" w:color="auto" w:fill="DBE5F1" w:themeFill="accent1" w:themeFillTint="33"/>
          </w:tcPr>
          <w:p w:rsidR="003B4C1F" w:rsidRPr="005F120D" w:rsidRDefault="003B4C1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11%</w:t>
            </w:r>
          </w:p>
        </w:tc>
        <w:tc>
          <w:tcPr>
            <w:tcW w:w="370" w:type="pct"/>
            <w:shd w:val="clear" w:color="auto" w:fill="DBE5F1" w:themeFill="accent1" w:themeFillTint="33"/>
          </w:tcPr>
          <w:p w:rsidR="003B4C1F" w:rsidRPr="005F120D" w:rsidRDefault="003B4C1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425" w:type="pct"/>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5" w:type="pct"/>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410" w:type="pct"/>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w:t>
            </w:r>
            <w:r w:rsidR="00E214D0" w:rsidRPr="005F120D">
              <w:rPr>
                <w:rFonts w:asciiTheme="minorHAnsi" w:eastAsia="Calibri" w:hAnsiTheme="minorHAnsi" w:cstheme="minorHAnsi"/>
                <w:sz w:val="18"/>
                <w:szCs w:val="18"/>
              </w:rPr>
              <w:t>%</w:t>
            </w:r>
          </w:p>
        </w:tc>
        <w:tc>
          <w:tcPr>
            <w:tcW w:w="389" w:type="pct"/>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272" w:type="pct"/>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w:t>
            </w:r>
          </w:p>
        </w:tc>
        <w:tc>
          <w:tcPr>
            <w:tcW w:w="597" w:type="pct"/>
            <w:vMerge/>
            <w:tcBorders>
              <w:top w:val="single" w:sz="6" w:space="0" w:color="31849B" w:themeColor="accent5" w:themeShade="BF"/>
              <w:bottom w:val="single" w:sz="6" w:space="0" w:color="31849B" w:themeColor="accent5" w:themeShade="BF"/>
            </w:tcBorders>
            <w:shd w:val="clear" w:color="auto" w:fill="DBE5F1" w:themeFill="accent1" w:themeFillTint="33"/>
          </w:tcPr>
          <w:p w:rsidR="003B4C1F" w:rsidRPr="005F120D" w:rsidRDefault="003B4C1F" w:rsidP="000A5B80">
            <w:pPr>
              <w:pStyle w:val="NoSpacing"/>
              <w:rPr>
                <w:rFonts w:asciiTheme="minorHAnsi" w:eastAsia="Calibri" w:hAnsiTheme="minorHAnsi" w:cstheme="minorHAnsi"/>
                <w:sz w:val="18"/>
                <w:szCs w:val="18"/>
              </w:rPr>
            </w:pPr>
          </w:p>
        </w:tc>
      </w:tr>
      <w:tr w:rsidR="00D654AD" w:rsidRPr="005F120D" w:rsidTr="00BF53AC">
        <w:trPr>
          <w:trHeight w:val="1097"/>
          <w:jc w:val="center"/>
        </w:trPr>
        <w:tc>
          <w:tcPr>
            <w:tcW w:w="261" w:type="pct"/>
            <w:vMerge w:val="restart"/>
            <w:shd w:val="clear" w:color="auto" w:fill="DBE5F1" w:themeFill="accent1" w:themeFillTint="33"/>
          </w:tcPr>
          <w:p w:rsidR="002124EF"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KPI-9</w:t>
            </w:r>
          </w:p>
        </w:tc>
        <w:tc>
          <w:tcPr>
            <w:tcW w:w="808" w:type="pct"/>
            <w:shd w:val="clear" w:color="auto" w:fill="DBE5F1" w:themeFill="accent1" w:themeFillTint="33"/>
          </w:tcPr>
          <w:p w:rsidR="002124EF" w:rsidRPr="005F120D" w:rsidRDefault="002124EF" w:rsidP="000A5B80">
            <w:pPr>
              <w:pStyle w:val="NoSpacing"/>
              <w:rPr>
                <w:rFonts w:asciiTheme="minorHAnsi" w:eastAsia="Calibri" w:hAnsiTheme="minorHAnsi" w:cstheme="minorHAnsi"/>
                <w:bCs/>
                <w:i/>
                <w:sz w:val="18"/>
                <w:szCs w:val="18"/>
              </w:rPr>
            </w:pPr>
            <w:r w:rsidRPr="005F120D">
              <w:rPr>
                <w:rFonts w:asciiTheme="minorHAnsi" w:eastAsia="Calibri" w:hAnsiTheme="minorHAnsi" w:cstheme="minorHAnsi"/>
                <w:bCs/>
                <w:i/>
                <w:sz w:val="18"/>
                <w:szCs w:val="18"/>
              </w:rPr>
              <w:t xml:space="preserve">Upazila </w:t>
            </w:r>
            <w:r w:rsidRPr="005F120D">
              <w:rPr>
                <w:rFonts w:asciiTheme="minorHAnsi" w:eastAsia="Calibri" w:hAnsiTheme="minorHAnsi" w:cstheme="minorHAnsi"/>
                <w:bCs/>
                <w:sz w:val="18"/>
                <w:szCs w:val="18"/>
              </w:rPr>
              <w:t xml:space="preserve">composite performance indicator - Bottom 20% of </w:t>
            </w:r>
            <w:r w:rsidRPr="005F120D">
              <w:rPr>
                <w:rFonts w:asciiTheme="minorHAnsi" w:eastAsia="Calibri" w:hAnsiTheme="minorHAnsi" w:cstheme="minorHAnsi"/>
                <w:bCs/>
                <w:i/>
                <w:sz w:val="18"/>
                <w:szCs w:val="18"/>
              </w:rPr>
              <w:t xml:space="preserve">(used to derived annual improvement of bottom </w:t>
            </w:r>
            <w:r w:rsidRPr="005F120D">
              <w:rPr>
                <w:rFonts w:asciiTheme="minorHAnsi" w:hAnsiTheme="minorHAnsi" w:cstheme="minorHAnsi"/>
                <w:bCs/>
                <w:sz w:val="18"/>
                <w:szCs w:val="18"/>
              </w:rPr>
              <w:t xml:space="preserve">20% of </w:t>
            </w:r>
            <w:r w:rsidRPr="005F120D">
              <w:rPr>
                <w:rFonts w:asciiTheme="minorHAnsi" w:hAnsiTheme="minorHAnsi" w:cstheme="minorHAnsi"/>
                <w:bCs/>
                <w:i/>
                <w:sz w:val="18"/>
                <w:szCs w:val="18"/>
              </w:rPr>
              <w:t>Upazilas</w:t>
            </w:r>
            <w:r w:rsidRPr="005F120D">
              <w:rPr>
                <w:rStyle w:val="FootnoteReference"/>
                <w:rFonts w:asciiTheme="minorHAnsi" w:hAnsiTheme="minorHAnsi" w:cstheme="minorHAnsi"/>
                <w:bCs/>
                <w:sz w:val="18"/>
                <w:szCs w:val="18"/>
                <w:lang w:eastAsia="ja-JP"/>
              </w:rPr>
              <w:footnoteReference w:id="6"/>
            </w:r>
            <w:r w:rsidR="00E30009" w:rsidRPr="005F120D">
              <w:rPr>
                <w:rFonts w:asciiTheme="minorHAnsi" w:hAnsiTheme="minorHAnsi" w:cstheme="minorHAnsi"/>
                <w:bCs/>
                <w:i/>
                <w:sz w:val="18"/>
                <w:szCs w:val="18"/>
              </w:rPr>
              <w:t xml:space="preserve">) </w:t>
            </w:r>
            <w:r w:rsidR="00975710" w:rsidRPr="005F120D">
              <w:rPr>
                <w:rFonts w:asciiTheme="minorHAnsi" w:hAnsiTheme="minorHAnsi" w:cstheme="minorHAnsi"/>
                <w:bCs/>
                <w:i/>
                <w:sz w:val="18"/>
                <w:szCs w:val="18"/>
              </w:rPr>
              <w:t>Upazilas</w:t>
            </w:r>
          </w:p>
        </w:tc>
        <w:tc>
          <w:tcPr>
            <w:tcW w:w="500" w:type="pct"/>
            <w:shd w:val="clear" w:color="auto" w:fill="DBE5F1" w:themeFill="accent1"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i/>
                <w:sz w:val="18"/>
                <w:szCs w:val="18"/>
              </w:rPr>
              <w:t xml:space="preserve">Bottom </w:t>
            </w:r>
            <w:r w:rsidRPr="005F120D">
              <w:rPr>
                <w:rFonts w:asciiTheme="minorHAnsi" w:hAnsiTheme="minorHAnsi" w:cstheme="minorHAnsi"/>
                <w:bCs/>
                <w:sz w:val="18"/>
                <w:szCs w:val="18"/>
              </w:rPr>
              <w:t>20%</w:t>
            </w:r>
          </w:p>
        </w:tc>
        <w:tc>
          <w:tcPr>
            <w:tcW w:w="301"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1.26</w:t>
            </w:r>
          </w:p>
        </w:tc>
        <w:tc>
          <w:tcPr>
            <w:tcW w:w="370"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1.31</w:t>
            </w:r>
          </w:p>
        </w:tc>
        <w:tc>
          <w:tcPr>
            <w:tcW w:w="425"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1.30</w:t>
            </w:r>
          </w:p>
        </w:tc>
        <w:tc>
          <w:tcPr>
            <w:tcW w:w="335" w:type="pct"/>
            <w:shd w:val="clear" w:color="auto" w:fill="DBE5F1" w:themeFill="accent1" w:themeFillTint="33"/>
          </w:tcPr>
          <w:p w:rsidR="002124EF" w:rsidRPr="005F120D" w:rsidRDefault="002124EF" w:rsidP="000A5B80">
            <w:pPr>
              <w:spacing w:after="0"/>
              <w:jc w:val="center"/>
              <w:rPr>
                <w:rFonts w:asciiTheme="minorHAnsi" w:eastAsia="Calibri" w:hAnsiTheme="minorHAnsi" w:cstheme="minorHAnsi"/>
                <w:bCs/>
                <w:kern w:val="24"/>
                <w:sz w:val="18"/>
                <w:szCs w:val="18"/>
              </w:rPr>
            </w:pPr>
            <w:r w:rsidRPr="005F120D">
              <w:rPr>
                <w:rFonts w:asciiTheme="minorHAnsi" w:eastAsia="Calibri" w:hAnsiTheme="minorHAnsi" w:cstheme="minorHAnsi"/>
                <w:bCs/>
                <w:kern w:val="24"/>
                <w:sz w:val="18"/>
                <w:szCs w:val="18"/>
              </w:rPr>
              <w:t>1.38</w:t>
            </w:r>
          </w:p>
        </w:tc>
        <w:tc>
          <w:tcPr>
            <w:tcW w:w="410"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1.54</w:t>
            </w:r>
          </w:p>
        </w:tc>
        <w:tc>
          <w:tcPr>
            <w:tcW w:w="389"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F469DB"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1.17</w:t>
            </w:r>
          </w:p>
        </w:tc>
        <w:tc>
          <w:tcPr>
            <w:tcW w:w="272"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1.56</w:t>
            </w:r>
          </w:p>
        </w:tc>
        <w:tc>
          <w:tcPr>
            <w:tcW w:w="597" w:type="pct"/>
            <w:vMerge w:val="restar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i/>
                <w:sz w:val="18"/>
                <w:szCs w:val="18"/>
              </w:rPr>
              <w:t>(comprises: gender parity index for NER; survival rate to G5; and combined participation and pass rate in G5 PECE)</w:t>
            </w:r>
            <w:r w:rsidRPr="005F120D">
              <w:rPr>
                <w:rFonts w:asciiTheme="minorHAnsi" w:eastAsia="Calibri" w:hAnsiTheme="minorHAnsi" w:cstheme="minorHAnsi"/>
                <w:bCs/>
                <w:sz w:val="18"/>
                <w:szCs w:val="18"/>
              </w:rPr>
              <w:t>:</w:t>
            </w:r>
          </w:p>
          <w:p w:rsidR="002124EF" w:rsidRPr="005F120D" w:rsidRDefault="002124EF" w:rsidP="000A5B80">
            <w:pPr>
              <w:pStyle w:val="NoSpacing"/>
              <w:rPr>
                <w:rFonts w:asciiTheme="minorHAnsi" w:eastAsia="Calibri" w:hAnsiTheme="minorHAnsi" w:cstheme="minorHAnsi"/>
                <w:bCs/>
                <w:sz w:val="18"/>
                <w:szCs w:val="18"/>
              </w:rPr>
            </w:pPr>
          </w:p>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The composite indicator for a particular Upazila ranges from 0–3</w:t>
            </w:r>
          </w:p>
        </w:tc>
      </w:tr>
      <w:tr w:rsidR="00D654AD" w:rsidRPr="005F120D" w:rsidTr="00BF53AC">
        <w:trPr>
          <w:jc w:val="center"/>
        </w:trPr>
        <w:tc>
          <w:tcPr>
            <w:tcW w:w="261" w:type="pct"/>
            <w:vMerge/>
            <w:shd w:val="clear" w:color="auto" w:fill="DBE5F1" w:themeFill="accent1" w:themeFillTint="33"/>
          </w:tcPr>
          <w:p w:rsidR="002124EF" w:rsidRPr="005F120D" w:rsidRDefault="002124EF" w:rsidP="007B65A5">
            <w:pPr>
              <w:pStyle w:val="NoSpacing"/>
              <w:jc w:val="center"/>
              <w:rPr>
                <w:rFonts w:asciiTheme="minorHAnsi" w:eastAsia="Calibri" w:hAnsiTheme="minorHAnsi" w:cstheme="minorHAnsi"/>
                <w:sz w:val="18"/>
                <w:szCs w:val="18"/>
              </w:rPr>
            </w:pPr>
          </w:p>
        </w:tc>
        <w:tc>
          <w:tcPr>
            <w:tcW w:w="808" w:type="pct"/>
            <w:shd w:val="clear" w:color="auto" w:fill="DBE5F1" w:themeFill="accent1" w:themeFillTint="33"/>
          </w:tcPr>
          <w:p w:rsidR="002124EF" w:rsidRPr="005F120D" w:rsidRDefault="002124EF" w:rsidP="000A5B80">
            <w:pPr>
              <w:pStyle w:val="NoSpacing"/>
              <w:rPr>
                <w:rFonts w:asciiTheme="minorHAnsi" w:eastAsia="Calibri" w:hAnsiTheme="minorHAnsi" w:cstheme="minorHAnsi"/>
                <w:bCs/>
                <w:i/>
                <w:sz w:val="18"/>
                <w:szCs w:val="18"/>
              </w:rPr>
            </w:pPr>
            <w:r w:rsidRPr="005F120D">
              <w:rPr>
                <w:rFonts w:asciiTheme="minorHAnsi" w:eastAsia="Calibri" w:hAnsiTheme="minorHAnsi" w:cstheme="minorHAnsi"/>
                <w:bCs/>
                <w:i/>
                <w:sz w:val="18"/>
                <w:szCs w:val="18"/>
              </w:rPr>
              <w:t xml:space="preserve">Upazila </w:t>
            </w:r>
            <w:r w:rsidRPr="005F120D">
              <w:rPr>
                <w:rFonts w:asciiTheme="minorHAnsi" w:eastAsia="Calibri" w:hAnsiTheme="minorHAnsi" w:cstheme="minorHAnsi"/>
                <w:bCs/>
                <w:sz w:val="18"/>
                <w:szCs w:val="18"/>
              </w:rPr>
              <w:t>composite performance indicator -Top 10%</w:t>
            </w:r>
          </w:p>
        </w:tc>
        <w:tc>
          <w:tcPr>
            <w:tcW w:w="500" w:type="pct"/>
            <w:shd w:val="clear" w:color="auto" w:fill="DBE5F1" w:themeFill="accent1"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Top 10%</w:t>
            </w:r>
          </w:p>
          <w:p w:rsidR="002124EF" w:rsidRPr="005F120D" w:rsidRDefault="002124EF" w:rsidP="000A5B80">
            <w:pPr>
              <w:pStyle w:val="NoSpacing"/>
              <w:rPr>
                <w:rFonts w:asciiTheme="minorHAnsi" w:eastAsia="Calibri" w:hAnsiTheme="minorHAnsi" w:cstheme="minorHAnsi"/>
                <w:sz w:val="18"/>
                <w:szCs w:val="18"/>
              </w:rPr>
            </w:pPr>
          </w:p>
        </w:tc>
        <w:tc>
          <w:tcPr>
            <w:tcW w:w="301" w:type="pct"/>
            <w:shd w:val="clear" w:color="auto" w:fill="DBE5F1" w:themeFill="accent1" w:themeFillTint="33"/>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2.36</w:t>
            </w:r>
          </w:p>
        </w:tc>
        <w:tc>
          <w:tcPr>
            <w:tcW w:w="370"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bCs/>
                <w:kern w:val="24"/>
                <w:sz w:val="18"/>
                <w:szCs w:val="18"/>
              </w:rPr>
            </w:pPr>
            <w:r w:rsidRPr="005F120D">
              <w:rPr>
                <w:rFonts w:asciiTheme="minorHAnsi" w:eastAsia="Calibri" w:hAnsiTheme="minorHAnsi" w:cstheme="minorHAnsi"/>
                <w:bCs/>
                <w:kern w:val="24"/>
                <w:sz w:val="18"/>
                <w:szCs w:val="18"/>
              </w:rPr>
              <w:t>2.23</w:t>
            </w:r>
          </w:p>
        </w:tc>
        <w:tc>
          <w:tcPr>
            <w:tcW w:w="425"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bCs/>
                <w:kern w:val="24"/>
                <w:sz w:val="18"/>
                <w:szCs w:val="18"/>
              </w:rPr>
            </w:pPr>
            <w:r w:rsidRPr="005F120D">
              <w:rPr>
                <w:rFonts w:asciiTheme="minorHAnsi" w:eastAsia="Calibri" w:hAnsiTheme="minorHAnsi" w:cstheme="minorHAnsi"/>
                <w:bCs/>
                <w:kern w:val="24"/>
                <w:sz w:val="18"/>
                <w:szCs w:val="18"/>
              </w:rPr>
              <w:t>2.27</w:t>
            </w:r>
          </w:p>
        </w:tc>
        <w:tc>
          <w:tcPr>
            <w:tcW w:w="335"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bCs/>
                <w:kern w:val="24"/>
                <w:sz w:val="18"/>
                <w:szCs w:val="18"/>
              </w:rPr>
            </w:pPr>
            <w:r w:rsidRPr="005F120D">
              <w:rPr>
                <w:rFonts w:asciiTheme="minorHAnsi" w:eastAsia="Calibri" w:hAnsiTheme="minorHAnsi" w:cstheme="minorHAnsi"/>
                <w:bCs/>
                <w:kern w:val="24"/>
                <w:sz w:val="18"/>
                <w:szCs w:val="18"/>
              </w:rPr>
              <w:t>2.38</w:t>
            </w:r>
          </w:p>
        </w:tc>
        <w:tc>
          <w:tcPr>
            <w:tcW w:w="410"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2.34</w:t>
            </w:r>
          </w:p>
        </w:tc>
        <w:tc>
          <w:tcPr>
            <w:tcW w:w="389"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213822" w:rsidRDefault="00F469DB" w:rsidP="000A5B80">
            <w:pPr>
              <w:pStyle w:val="NoSpacing"/>
              <w:jc w:val="center"/>
              <w:rPr>
                <w:rFonts w:asciiTheme="minorHAnsi" w:eastAsia="Calibri" w:hAnsiTheme="minorHAnsi" w:cstheme="minorHAnsi"/>
                <w:color w:val="008000"/>
                <w:sz w:val="18"/>
                <w:szCs w:val="18"/>
              </w:rPr>
            </w:pPr>
            <w:r w:rsidRPr="00213822">
              <w:rPr>
                <w:rFonts w:asciiTheme="minorHAnsi" w:eastAsia="Calibri" w:hAnsiTheme="minorHAnsi" w:cstheme="minorHAnsi"/>
                <w:color w:val="008000"/>
                <w:sz w:val="18"/>
                <w:szCs w:val="18"/>
              </w:rPr>
              <w:t>2.00</w:t>
            </w:r>
          </w:p>
        </w:tc>
        <w:tc>
          <w:tcPr>
            <w:tcW w:w="272"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2.5</w:t>
            </w:r>
          </w:p>
        </w:tc>
        <w:tc>
          <w:tcPr>
            <w:tcW w:w="597" w:type="pct"/>
            <w:vMerge/>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shd w:val="clear" w:color="auto" w:fill="DBE5F1" w:themeFill="accent1" w:themeFillTint="33"/>
          </w:tcPr>
          <w:p w:rsidR="002124EF" w:rsidRPr="005F120D" w:rsidRDefault="002124EF" w:rsidP="007B65A5">
            <w:pPr>
              <w:pStyle w:val="NoSpacing"/>
              <w:jc w:val="center"/>
              <w:rPr>
                <w:rFonts w:asciiTheme="minorHAnsi" w:eastAsia="Calibri" w:hAnsiTheme="minorHAnsi" w:cstheme="minorHAnsi"/>
                <w:sz w:val="18"/>
                <w:szCs w:val="18"/>
              </w:rPr>
            </w:pPr>
          </w:p>
        </w:tc>
        <w:tc>
          <w:tcPr>
            <w:tcW w:w="808" w:type="pct"/>
            <w:shd w:val="clear" w:color="auto" w:fill="DBE5F1" w:themeFill="accent1" w:themeFillTint="33"/>
          </w:tcPr>
          <w:p w:rsidR="002124EF" w:rsidRPr="005F120D" w:rsidRDefault="002124E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i/>
                <w:sz w:val="18"/>
                <w:szCs w:val="18"/>
              </w:rPr>
              <w:t xml:space="preserve">Upazila </w:t>
            </w:r>
            <w:r w:rsidRPr="005F120D">
              <w:rPr>
                <w:rFonts w:asciiTheme="minorHAnsi" w:eastAsia="Calibri" w:hAnsiTheme="minorHAnsi" w:cstheme="minorHAnsi"/>
                <w:bCs/>
                <w:sz w:val="18"/>
                <w:szCs w:val="18"/>
              </w:rPr>
              <w:t>composite performance indicator - Bottom 10%</w:t>
            </w:r>
          </w:p>
        </w:tc>
        <w:tc>
          <w:tcPr>
            <w:tcW w:w="500" w:type="pct"/>
            <w:shd w:val="clear" w:color="auto" w:fill="DBE5F1" w:themeFill="accent1"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Bottom 10%</w:t>
            </w:r>
          </w:p>
          <w:p w:rsidR="002124EF" w:rsidRPr="005F120D" w:rsidRDefault="002124EF" w:rsidP="000A5B80">
            <w:pPr>
              <w:pStyle w:val="NoSpacing"/>
              <w:rPr>
                <w:rFonts w:asciiTheme="minorHAnsi" w:eastAsia="Calibri" w:hAnsiTheme="minorHAnsi" w:cstheme="minorHAnsi"/>
                <w:sz w:val="18"/>
                <w:szCs w:val="18"/>
              </w:rPr>
            </w:pPr>
          </w:p>
        </w:tc>
        <w:tc>
          <w:tcPr>
            <w:tcW w:w="301" w:type="pct"/>
            <w:shd w:val="clear" w:color="auto" w:fill="DBE5F1" w:themeFill="accent1" w:themeFillTint="33"/>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1.04</w:t>
            </w:r>
          </w:p>
        </w:tc>
        <w:tc>
          <w:tcPr>
            <w:tcW w:w="370"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bCs/>
                <w:kern w:val="24"/>
                <w:sz w:val="18"/>
                <w:szCs w:val="18"/>
              </w:rPr>
            </w:pPr>
            <w:r w:rsidRPr="005F120D">
              <w:rPr>
                <w:rFonts w:asciiTheme="minorHAnsi" w:eastAsia="Calibri" w:hAnsiTheme="minorHAnsi" w:cstheme="minorHAnsi"/>
                <w:bCs/>
                <w:kern w:val="24"/>
                <w:sz w:val="18"/>
                <w:szCs w:val="18"/>
              </w:rPr>
              <w:t>1.15</w:t>
            </w:r>
          </w:p>
        </w:tc>
        <w:tc>
          <w:tcPr>
            <w:tcW w:w="425"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bCs/>
                <w:kern w:val="24"/>
                <w:sz w:val="18"/>
                <w:szCs w:val="18"/>
              </w:rPr>
            </w:pPr>
            <w:r w:rsidRPr="005F120D">
              <w:rPr>
                <w:rFonts w:asciiTheme="minorHAnsi" w:eastAsia="Calibri" w:hAnsiTheme="minorHAnsi" w:cstheme="minorHAnsi"/>
                <w:bCs/>
                <w:kern w:val="24"/>
                <w:sz w:val="18"/>
                <w:szCs w:val="18"/>
              </w:rPr>
              <w:t>1.17</w:t>
            </w:r>
          </w:p>
        </w:tc>
        <w:tc>
          <w:tcPr>
            <w:tcW w:w="335" w:type="pct"/>
            <w:shd w:val="clear" w:color="auto" w:fill="DBE5F1" w:themeFill="accent1" w:themeFillTint="33"/>
          </w:tcPr>
          <w:p w:rsidR="002124EF" w:rsidRPr="005F120D" w:rsidRDefault="002124EF" w:rsidP="000A5B80">
            <w:pPr>
              <w:spacing w:after="0"/>
              <w:jc w:val="center"/>
              <w:rPr>
                <w:rFonts w:asciiTheme="minorHAnsi" w:eastAsia="Calibri" w:hAnsiTheme="minorHAnsi" w:cstheme="minorHAnsi"/>
                <w:bCs/>
                <w:kern w:val="24"/>
                <w:sz w:val="18"/>
                <w:szCs w:val="18"/>
              </w:rPr>
            </w:pPr>
            <w:r w:rsidRPr="005F120D">
              <w:rPr>
                <w:rFonts w:asciiTheme="minorHAnsi" w:eastAsia="Calibri" w:hAnsiTheme="minorHAnsi" w:cstheme="minorHAnsi"/>
                <w:bCs/>
                <w:kern w:val="24"/>
                <w:sz w:val="18"/>
                <w:szCs w:val="18"/>
              </w:rPr>
              <w:t>1.24</w:t>
            </w:r>
          </w:p>
        </w:tc>
        <w:tc>
          <w:tcPr>
            <w:tcW w:w="410"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1.44</w:t>
            </w:r>
          </w:p>
        </w:tc>
        <w:tc>
          <w:tcPr>
            <w:tcW w:w="389"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213822" w:rsidRDefault="00F469DB" w:rsidP="000A5B80">
            <w:pPr>
              <w:pStyle w:val="NoSpacing"/>
              <w:jc w:val="center"/>
              <w:rPr>
                <w:rFonts w:asciiTheme="minorHAnsi" w:eastAsia="Calibri" w:hAnsiTheme="minorHAnsi" w:cstheme="minorHAnsi"/>
                <w:color w:val="008000"/>
                <w:sz w:val="18"/>
                <w:szCs w:val="18"/>
              </w:rPr>
            </w:pPr>
            <w:r w:rsidRPr="00213822">
              <w:rPr>
                <w:rFonts w:asciiTheme="minorHAnsi" w:eastAsia="Calibri" w:hAnsiTheme="minorHAnsi" w:cstheme="minorHAnsi"/>
                <w:color w:val="008000"/>
                <w:sz w:val="18"/>
                <w:szCs w:val="18"/>
              </w:rPr>
              <w:t>1.04</w:t>
            </w:r>
          </w:p>
        </w:tc>
        <w:tc>
          <w:tcPr>
            <w:tcW w:w="272"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1.5</w:t>
            </w:r>
          </w:p>
        </w:tc>
        <w:tc>
          <w:tcPr>
            <w:tcW w:w="597" w:type="pct"/>
            <w:vMerge/>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shd w:val="clear" w:color="auto" w:fill="DBE5F1" w:themeFill="accent1" w:themeFillTint="33"/>
          </w:tcPr>
          <w:p w:rsidR="002124EF" w:rsidRPr="005F120D" w:rsidRDefault="002124EF" w:rsidP="007B65A5">
            <w:pPr>
              <w:pStyle w:val="NoSpacing"/>
              <w:jc w:val="center"/>
              <w:rPr>
                <w:rFonts w:asciiTheme="minorHAnsi" w:eastAsia="Calibri" w:hAnsiTheme="minorHAnsi" w:cstheme="minorHAnsi"/>
                <w:sz w:val="18"/>
                <w:szCs w:val="18"/>
              </w:rPr>
            </w:pPr>
          </w:p>
        </w:tc>
        <w:tc>
          <w:tcPr>
            <w:tcW w:w="808" w:type="pct"/>
            <w:shd w:val="clear" w:color="auto" w:fill="DBE5F1" w:themeFill="accent1" w:themeFillTint="33"/>
          </w:tcPr>
          <w:p w:rsidR="002124EF" w:rsidRPr="005F120D" w:rsidRDefault="002124EF" w:rsidP="000A5B80">
            <w:pPr>
              <w:pStyle w:val="NoSpacing"/>
              <w:rPr>
                <w:rFonts w:asciiTheme="minorHAnsi" w:hAnsiTheme="minorHAnsi" w:cstheme="minorHAnsi"/>
                <w:bCs/>
                <w:sz w:val="18"/>
                <w:szCs w:val="18"/>
              </w:rPr>
            </w:pPr>
            <w:r w:rsidRPr="005F120D">
              <w:rPr>
                <w:rFonts w:asciiTheme="minorHAnsi" w:eastAsia="Calibri" w:hAnsiTheme="minorHAnsi" w:cstheme="minorHAnsi"/>
                <w:bCs/>
                <w:sz w:val="18"/>
                <w:szCs w:val="18"/>
              </w:rPr>
              <w:t xml:space="preserve">Range between average value of index for top 10% and bottom 10% of </w:t>
            </w:r>
            <w:r w:rsidRPr="005F120D">
              <w:rPr>
                <w:rFonts w:asciiTheme="minorHAnsi" w:eastAsia="Calibri" w:hAnsiTheme="minorHAnsi" w:cstheme="minorHAnsi"/>
                <w:bCs/>
                <w:i/>
                <w:sz w:val="18"/>
                <w:szCs w:val="18"/>
              </w:rPr>
              <w:t>Upazilas</w:t>
            </w:r>
          </w:p>
        </w:tc>
        <w:tc>
          <w:tcPr>
            <w:tcW w:w="500" w:type="pct"/>
            <w:shd w:val="clear" w:color="auto" w:fill="DBE5F1" w:themeFill="accent1"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Range</w:t>
            </w:r>
          </w:p>
        </w:tc>
        <w:tc>
          <w:tcPr>
            <w:tcW w:w="301"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1.2</w:t>
            </w:r>
          </w:p>
        </w:tc>
        <w:tc>
          <w:tcPr>
            <w:tcW w:w="370"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1.10</w:t>
            </w:r>
          </w:p>
        </w:tc>
        <w:tc>
          <w:tcPr>
            <w:tcW w:w="425" w:type="pct"/>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1.10</w:t>
            </w:r>
          </w:p>
        </w:tc>
        <w:tc>
          <w:tcPr>
            <w:tcW w:w="335" w:type="pct"/>
            <w:shd w:val="clear" w:color="auto" w:fill="DBE5F1" w:themeFill="accent1" w:themeFillTint="33"/>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hAnsiTheme="minorHAnsi" w:cstheme="minorHAnsi"/>
                <w:sz w:val="18"/>
                <w:szCs w:val="18"/>
              </w:rPr>
              <w:t>1.14</w:t>
            </w:r>
          </w:p>
        </w:tc>
        <w:tc>
          <w:tcPr>
            <w:tcW w:w="410"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0.9</w:t>
            </w:r>
          </w:p>
        </w:tc>
        <w:tc>
          <w:tcPr>
            <w:tcW w:w="389"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213822" w:rsidRDefault="00F469DB" w:rsidP="000A5B80">
            <w:pPr>
              <w:pStyle w:val="NoSpacing"/>
              <w:jc w:val="center"/>
              <w:rPr>
                <w:rFonts w:asciiTheme="minorHAnsi" w:eastAsia="Calibri" w:hAnsiTheme="minorHAnsi" w:cstheme="minorHAnsi"/>
                <w:color w:val="008000"/>
                <w:sz w:val="18"/>
                <w:szCs w:val="18"/>
              </w:rPr>
            </w:pPr>
            <w:r w:rsidRPr="00213822">
              <w:rPr>
                <w:rFonts w:asciiTheme="minorHAnsi" w:eastAsia="Calibri" w:hAnsiTheme="minorHAnsi" w:cstheme="minorHAnsi"/>
                <w:color w:val="008000"/>
                <w:sz w:val="18"/>
                <w:szCs w:val="18"/>
              </w:rPr>
              <w:t>0.96</w:t>
            </w:r>
          </w:p>
        </w:tc>
        <w:tc>
          <w:tcPr>
            <w:tcW w:w="272" w:type="pct"/>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w:t>
            </w:r>
          </w:p>
        </w:tc>
        <w:tc>
          <w:tcPr>
            <w:tcW w:w="597" w:type="pct"/>
            <w:vMerge/>
            <w:tcBorders>
              <w:top w:val="single" w:sz="6" w:space="0" w:color="31849B" w:themeColor="accent5" w:themeShade="BF"/>
              <w:bottom w:val="single" w:sz="6" w:space="0" w:color="31849B" w:themeColor="accent5" w:themeShade="BF"/>
            </w:tcBorders>
            <w:shd w:val="clear" w:color="auto" w:fill="DBE5F1" w:themeFill="accent1" w:themeFillTint="33"/>
          </w:tcPr>
          <w:p w:rsidR="002124EF" w:rsidRPr="005F120D" w:rsidRDefault="002124E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val="restart"/>
            <w:shd w:val="clear" w:color="auto" w:fill="auto"/>
          </w:tcPr>
          <w:p w:rsidR="002F5694"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KPI-10</w:t>
            </w:r>
          </w:p>
        </w:tc>
        <w:tc>
          <w:tcPr>
            <w:tcW w:w="808" w:type="pct"/>
            <w:shd w:val="clear" w:color="auto" w:fill="auto"/>
          </w:tcPr>
          <w:p w:rsidR="002F5694" w:rsidRPr="005F120D" w:rsidRDefault="002F5694"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Percentage of AOP budget allocation for unconditional block grants (SLIPs and UPEPs)</w:t>
            </w:r>
          </w:p>
        </w:tc>
        <w:tc>
          <w:tcPr>
            <w:tcW w:w="500" w:type="pct"/>
            <w:shd w:val="clear" w:color="auto" w:fill="auto"/>
          </w:tcPr>
          <w:p w:rsidR="002F5694" w:rsidRPr="005F120D" w:rsidRDefault="002F5694" w:rsidP="000A5B80">
            <w:pPr>
              <w:pStyle w:val="NoSpacing"/>
              <w:rPr>
                <w:rFonts w:asciiTheme="minorHAnsi" w:eastAsia="Calibri" w:hAnsiTheme="minorHAnsi" w:cstheme="minorHAnsi"/>
                <w:sz w:val="18"/>
                <w:szCs w:val="18"/>
              </w:rPr>
            </w:pPr>
          </w:p>
        </w:tc>
        <w:tc>
          <w:tcPr>
            <w:tcW w:w="301"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5.1%</w:t>
            </w:r>
          </w:p>
        </w:tc>
        <w:tc>
          <w:tcPr>
            <w:tcW w:w="370"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6.9%</w:t>
            </w:r>
          </w:p>
        </w:tc>
        <w:tc>
          <w:tcPr>
            <w:tcW w:w="425"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5.37%</w:t>
            </w:r>
          </w:p>
        </w:tc>
        <w:tc>
          <w:tcPr>
            <w:tcW w:w="335"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4.82%</w:t>
            </w:r>
          </w:p>
        </w:tc>
        <w:tc>
          <w:tcPr>
            <w:tcW w:w="410" w:type="pct"/>
            <w:tcBorders>
              <w:top w:val="single" w:sz="6" w:space="0" w:color="31849B" w:themeColor="accent5" w:themeShade="BF"/>
              <w:bottom w:val="single" w:sz="6" w:space="0" w:color="31849B" w:themeColor="accent5" w:themeShade="BF"/>
            </w:tcBorders>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4.24%</w:t>
            </w:r>
          </w:p>
        </w:tc>
        <w:tc>
          <w:tcPr>
            <w:tcW w:w="389" w:type="pct"/>
            <w:tcBorders>
              <w:top w:val="single" w:sz="6" w:space="0" w:color="31849B" w:themeColor="accent5" w:themeShade="BF"/>
              <w:bottom w:val="single" w:sz="6" w:space="0" w:color="31849B" w:themeColor="accent5" w:themeShade="BF"/>
            </w:tcBorders>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7.01%</w:t>
            </w:r>
          </w:p>
        </w:tc>
        <w:tc>
          <w:tcPr>
            <w:tcW w:w="272" w:type="pct"/>
            <w:tcBorders>
              <w:top w:val="single" w:sz="6" w:space="0" w:color="31849B" w:themeColor="accent5" w:themeShade="BF"/>
              <w:bottom w:val="single" w:sz="6" w:space="0" w:color="31849B" w:themeColor="accent5" w:themeShade="BF"/>
            </w:tcBorders>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w:t>
            </w:r>
          </w:p>
        </w:tc>
        <w:tc>
          <w:tcPr>
            <w:tcW w:w="597" w:type="pct"/>
            <w:tcBorders>
              <w:top w:val="single" w:sz="6" w:space="0" w:color="31849B" w:themeColor="accent5" w:themeShade="BF"/>
            </w:tcBorders>
            <w:shd w:val="clear" w:color="auto" w:fill="auto"/>
          </w:tcPr>
          <w:p w:rsidR="002F5694" w:rsidRPr="005F120D" w:rsidRDefault="002F5694"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Target re-fixed during MTR 2014</w:t>
            </w:r>
          </w:p>
        </w:tc>
      </w:tr>
      <w:tr w:rsidR="00D654AD" w:rsidRPr="005F120D" w:rsidTr="00BF53AC">
        <w:trPr>
          <w:jc w:val="center"/>
        </w:trPr>
        <w:tc>
          <w:tcPr>
            <w:tcW w:w="261" w:type="pct"/>
            <w:vMerge/>
            <w:shd w:val="clear" w:color="auto" w:fill="auto"/>
          </w:tcPr>
          <w:p w:rsidR="002F5694" w:rsidRPr="005F120D" w:rsidRDefault="002F5694" w:rsidP="007B65A5">
            <w:pPr>
              <w:pStyle w:val="NoSpacing"/>
              <w:jc w:val="center"/>
              <w:rPr>
                <w:rFonts w:asciiTheme="minorHAnsi" w:eastAsia="Calibri" w:hAnsiTheme="minorHAnsi" w:cstheme="minorHAnsi"/>
                <w:sz w:val="18"/>
                <w:szCs w:val="18"/>
              </w:rPr>
            </w:pPr>
          </w:p>
        </w:tc>
        <w:tc>
          <w:tcPr>
            <w:tcW w:w="808" w:type="pct"/>
            <w:shd w:val="clear" w:color="auto" w:fill="auto"/>
          </w:tcPr>
          <w:p w:rsidR="002F5694" w:rsidRPr="005F120D" w:rsidRDefault="002F5694"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 xml:space="preserve">% of AOP budget allocation for unconditional block grants (UPEPs for </w:t>
            </w:r>
            <w:r w:rsidRPr="005F120D">
              <w:rPr>
                <w:rFonts w:asciiTheme="minorHAnsi" w:eastAsia="Calibri" w:hAnsiTheme="minorHAnsi" w:cstheme="minorHAnsi"/>
                <w:bCs/>
                <w:i/>
                <w:sz w:val="18"/>
                <w:szCs w:val="18"/>
              </w:rPr>
              <w:t>Upazilas)</w:t>
            </w:r>
          </w:p>
        </w:tc>
        <w:tc>
          <w:tcPr>
            <w:tcW w:w="500" w:type="pct"/>
            <w:shd w:val="clear" w:color="auto" w:fill="auto"/>
          </w:tcPr>
          <w:p w:rsidR="002F5694" w:rsidRPr="005F120D" w:rsidRDefault="002F5694" w:rsidP="000A5B80">
            <w:pPr>
              <w:pStyle w:val="NoSpacing"/>
              <w:rPr>
                <w:rFonts w:asciiTheme="minorHAnsi" w:eastAsia="Calibri" w:hAnsiTheme="minorHAnsi" w:cstheme="minorHAnsi"/>
                <w:sz w:val="18"/>
                <w:szCs w:val="18"/>
              </w:rPr>
            </w:pPr>
          </w:p>
        </w:tc>
        <w:tc>
          <w:tcPr>
            <w:tcW w:w="301" w:type="pct"/>
            <w:shd w:val="clear" w:color="auto" w:fill="auto"/>
          </w:tcPr>
          <w:p w:rsidR="002F5694" w:rsidRPr="005F120D" w:rsidRDefault="002F5694"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0.1%</w:t>
            </w:r>
          </w:p>
        </w:tc>
        <w:tc>
          <w:tcPr>
            <w:tcW w:w="370"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6.9%</w:t>
            </w:r>
          </w:p>
        </w:tc>
        <w:tc>
          <w:tcPr>
            <w:tcW w:w="425"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0.09%</w:t>
            </w:r>
          </w:p>
        </w:tc>
        <w:tc>
          <w:tcPr>
            <w:tcW w:w="335"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0.35%</w:t>
            </w:r>
          </w:p>
        </w:tc>
        <w:tc>
          <w:tcPr>
            <w:tcW w:w="410" w:type="pct"/>
            <w:tcBorders>
              <w:top w:val="single" w:sz="6" w:space="0" w:color="31849B" w:themeColor="accent5" w:themeShade="BF"/>
              <w:bottom w:val="single" w:sz="6" w:space="0" w:color="31849B" w:themeColor="accent5" w:themeShade="BF"/>
            </w:tcBorders>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0.007%</w:t>
            </w:r>
          </w:p>
        </w:tc>
        <w:tc>
          <w:tcPr>
            <w:tcW w:w="389" w:type="pct"/>
            <w:tcBorders>
              <w:top w:val="single" w:sz="6" w:space="0" w:color="31849B" w:themeColor="accent5" w:themeShade="BF"/>
              <w:bottom w:val="single" w:sz="6" w:space="0" w:color="31849B" w:themeColor="accent5" w:themeShade="BF"/>
            </w:tcBorders>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0.005%</w:t>
            </w:r>
          </w:p>
        </w:tc>
        <w:tc>
          <w:tcPr>
            <w:tcW w:w="272" w:type="pct"/>
            <w:tcBorders>
              <w:top w:val="single" w:sz="6" w:space="0" w:color="31849B" w:themeColor="accent5" w:themeShade="BF"/>
              <w:bottom w:val="single" w:sz="6" w:space="0" w:color="31849B" w:themeColor="accent5" w:themeShade="BF"/>
            </w:tcBorders>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w:t>
            </w:r>
          </w:p>
        </w:tc>
        <w:tc>
          <w:tcPr>
            <w:tcW w:w="597" w:type="pct"/>
            <w:shd w:val="clear" w:color="auto" w:fill="auto"/>
          </w:tcPr>
          <w:p w:rsidR="002F5694" w:rsidRPr="005F120D" w:rsidRDefault="002F5694"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Target re-fixed during MTR 2014</w:t>
            </w:r>
          </w:p>
        </w:tc>
      </w:tr>
      <w:tr w:rsidR="00D654AD" w:rsidRPr="005F120D" w:rsidTr="00BF53AC">
        <w:trPr>
          <w:jc w:val="center"/>
        </w:trPr>
        <w:tc>
          <w:tcPr>
            <w:tcW w:w="261" w:type="pct"/>
            <w:vMerge/>
            <w:shd w:val="clear" w:color="auto" w:fill="auto"/>
          </w:tcPr>
          <w:p w:rsidR="002F5694" w:rsidRPr="005F120D" w:rsidRDefault="002F5694" w:rsidP="007B65A5">
            <w:pPr>
              <w:pStyle w:val="NoSpacing"/>
              <w:jc w:val="center"/>
              <w:rPr>
                <w:rFonts w:asciiTheme="minorHAnsi" w:eastAsia="Calibri" w:hAnsiTheme="minorHAnsi" w:cstheme="minorHAnsi"/>
                <w:sz w:val="18"/>
                <w:szCs w:val="18"/>
              </w:rPr>
            </w:pPr>
          </w:p>
        </w:tc>
        <w:tc>
          <w:tcPr>
            <w:tcW w:w="808" w:type="pct"/>
            <w:shd w:val="clear" w:color="auto" w:fill="auto"/>
          </w:tcPr>
          <w:p w:rsidR="002F5694" w:rsidRPr="005F120D" w:rsidRDefault="002F5694"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 xml:space="preserve">% of AOP budget allocation for unconditional block grants (SLIPs for </w:t>
            </w:r>
            <w:r w:rsidRPr="005F120D">
              <w:rPr>
                <w:rFonts w:asciiTheme="minorHAnsi" w:eastAsia="Calibri" w:hAnsiTheme="minorHAnsi" w:cstheme="minorHAnsi"/>
                <w:bCs/>
                <w:i/>
                <w:sz w:val="18"/>
                <w:szCs w:val="18"/>
              </w:rPr>
              <w:t>Schools)</w:t>
            </w:r>
          </w:p>
        </w:tc>
        <w:tc>
          <w:tcPr>
            <w:tcW w:w="500" w:type="pct"/>
            <w:shd w:val="clear" w:color="auto" w:fill="auto"/>
          </w:tcPr>
          <w:p w:rsidR="002F5694" w:rsidRPr="005F120D" w:rsidRDefault="002F5694" w:rsidP="000A5B80">
            <w:pPr>
              <w:pStyle w:val="NoSpacing"/>
              <w:rPr>
                <w:rFonts w:asciiTheme="minorHAnsi" w:eastAsia="Calibri" w:hAnsiTheme="minorHAnsi" w:cstheme="minorHAnsi"/>
                <w:sz w:val="18"/>
                <w:szCs w:val="18"/>
              </w:rPr>
            </w:pPr>
          </w:p>
        </w:tc>
        <w:tc>
          <w:tcPr>
            <w:tcW w:w="301" w:type="pct"/>
            <w:shd w:val="clear" w:color="auto" w:fill="auto"/>
          </w:tcPr>
          <w:p w:rsidR="002F5694" w:rsidRPr="005F120D" w:rsidRDefault="002F5694"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5.2%</w:t>
            </w:r>
          </w:p>
        </w:tc>
        <w:tc>
          <w:tcPr>
            <w:tcW w:w="370"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0%</w:t>
            </w:r>
          </w:p>
        </w:tc>
        <w:tc>
          <w:tcPr>
            <w:tcW w:w="425"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6.17%</w:t>
            </w:r>
          </w:p>
        </w:tc>
        <w:tc>
          <w:tcPr>
            <w:tcW w:w="335" w:type="pct"/>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4.47%</w:t>
            </w:r>
          </w:p>
        </w:tc>
        <w:tc>
          <w:tcPr>
            <w:tcW w:w="410" w:type="pct"/>
            <w:tcBorders>
              <w:top w:val="single" w:sz="6" w:space="0" w:color="31849B" w:themeColor="accent5" w:themeShade="BF"/>
              <w:bottom w:val="single" w:sz="6" w:space="0" w:color="31849B" w:themeColor="accent5" w:themeShade="BF"/>
            </w:tcBorders>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4.19%</w:t>
            </w:r>
          </w:p>
        </w:tc>
        <w:tc>
          <w:tcPr>
            <w:tcW w:w="389" w:type="pct"/>
            <w:tcBorders>
              <w:top w:val="single" w:sz="6" w:space="0" w:color="31849B" w:themeColor="accent5" w:themeShade="BF"/>
              <w:bottom w:val="single" w:sz="6" w:space="0" w:color="31849B" w:themeColor="accent5" w:themeShade="BF"/>
            </w:tcBorders>
            <w:shd w:val="clear" w:color="auto" w:fill="auto"/>
          </w:tcPr>
          <w:p w:rsidR="002F5694" w:rsidRPr="005F120D" w:rsidRDefault="000E13B6"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w:t>
            </w:r>
            <w:r w:rsidR="002F5694" w:rsidRPr="005F120D">
              <w:rPr>
                <w:rFonts w:asciiTheme="minorHAnsi" w:eastAsia="Calibri" w:hAnsiTheme="minorHAnsi" w:cstheme="minorHAnsi"/>
                <w:sz w:val="18"/>
                <w:szCs w:val="18"/>
              </w:rPr>
              <w:t>%</w:t>
            </w:r>
          </w:p>
        </w:tc>
        <w:tc>
          <w:tcPr>
            <w:tcW w:w="272" w:type="pct"/>
            <w:tcBorders>
              <w:top w:val="single" w:sz="6" w:space="0" w:color="31849B" w:themeColor="accent5" w:themeShade="BF"/>
              <w:bottom w:val="single" w:sz="6" w:space="0" w:color="31849B" w:themeColor="accent5" w:themeShade="BF"/>
            </w:tcBorders>
            <w:shd w:val="clear" w:color="auto" w:fill="auto"/>
          </w:tcPr>
          <w:p w:rsidR="002F5694" w:rsidRPr="005F120D" w:rsidRDefault="002F5694"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w:t>
            </w:r>
          </w:p>
        </w:tc>
        <w:tc>
          <w:tcPr>
            <w:tcW w:w="597" w:type="pct"/>
            <w:shd w:val="clear" w:color="auto" w:fill="auto"/>
          </w:tcPr>
          <w:p w:rsidR="002F5694" w:rsidRPr="005F120D" w:rsidRDefault="002F5694"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Target re-fixed during MTR 2014</w:t>
            </w:r>
          </w:p>
        </w:tc>
      </w:tr>
      <w:tr w:rsidR="00D654AD" w:rsidRPr="005F120D" w:rsidTr="00BF53AC">
        <w:trPr>
          <w:jc w:val="center"/>
        </w:trPr>
        <w:tc>
          <w:tcPr>
            <w:tcW w:w="261" w:type="pct"/>
            <w:vMerge w:val="restart"/>
            <w:shd w:val="clear" w:color="auto" w:fill="auto"/>
          </w:tcPr>
          <w:p w:rsidR="002124EF"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KPI-11</w:t>
            </w:r>
          </w:p>
        </w:tc>
        <w:tc>
          <w:tcPr>
            <w:tcW w:w="808" w:type="pct"/>
            <w:shd w:val="clear" w:color="auto" w:fill="auto"/>
          </w:tcPr>
          <w:p w:rsidR="002124EF" w:rsidRPr="005F120D" w:rsidRDefault="002124E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 xml:space="preserve">Expenditure of unconditional block grants(UPEPs and SLIPs) by </w:t>
            </w:r>
            <w:r w:rsidRPr="005F120D">
              <w:rPr>
                <w:rFonts w:asciiTheme="minorHAnsi" w:eastAsia="Calibri" w:hAnsiTheme="minorHAnsi" w:cstheme="minorHAnsi"/>
                <w:bCs/>
                <w:i/>
                <w:sz w:val="18"/>
                <w:szCs w:val="18"/>
              </w:rPr>
              <w:t xml:space="preserve">Upazilas </w:t>
            </w:r>
            <w:r w:rsidRPr="005F120D">
              <w:rPr>
                <w:rFonts w:asciiTheme="minorHAnsi" w:eastAsia="Calibri" w:hAnsiTheme="minorHAnsi" w:cstheme="minorHAnsi"/>
                <w:bCs/>
                <w:sz w:val="18"/>
                <w:szCs w:val="18"/>
              </w:rPr>
              <w:t xml:space="preserve">and schools </w:t>
            </w:r>
          </w:p>
        </w:tc>
        <w:tc>
          <w:tcPr>
            <w:tcW w:w="500"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01" w:type="pct"/>
            <w:shd w:val="clear" w:color="auto" w:fill="auto"/>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auto"/>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95%</w:t>
            </w:r>
          </w:p>
        </w:tc>
        <w:tc>
          <w:tcPr>
            <w:tcW w:w="370"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99.7%</w:t>
            </w:r>
          </w:p>
        </w:tc>
        <w:tc>
          <w:tcPr>
            <w:tcW w:w="425"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99.99%</w:t>
            </w:r>
          </w:p>
        </w:tc>
        <w:tc>
          <w:tcPr>
            <w:tcW w:w="335"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100%</w:t>
            </w:r>
          </w:p>
        </w:tc>
        <w:tc>
          <w:tcPr>
            <w:tcW w:w="410" w:type="pct"/>
            <w:tcBorders>
              <w:top w:val="single" w:sz="6" w:space="0" w:color="31849B" w:themeColor="accent5" w:themeShade="BF"/>
              <w:bottom w:val="single" w:sz="6" w:space="0" w:color="31849B" w:themeColor="accent5" w:themeShade="BF"/>
            </w:tcBorders>
            <w:shd w:val="clear" w:color="auto" w:fill="auto"/>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101%</w:t>
            </w:r>
          </w:p>
        </w:tc>
        <w:tc>
          <w:tcPr>
            <w:tcW w:w="389" w:type="pct"/>
            <w:tcBorders>
              <w:top w:val="single" w:sz="6" w:space="0" w:color="31849B" w:themeColor="accent5" w:themeShade="BF"/>
              <w:bottom w:val="single" w:sz="6" w:space="0" w:color="31849B" w:themeColor="accent5" w:themeShade="BF"/>
            </w:tcBorders>
            <w:shd w:val="clear" w:color="auto" w:fill="auto"/>
          </w:tcPr>
          <w:p w:rsidR="002124EF" w:rsidRPr="005F120D" w:rsidRDefault="00032A68"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100%</w:t>
            </w:r>
          </w:p>
        </w:tc>
        <w:tc>
          <w:tcPr>
            <w:tcW w:w="272" w:type="pct"/>
            <w:tcBorders>
              <w:top w:val="single" w:sz="6" w:space="0" w:color="31849B" w:themeColor="accent5" w:themeShade="BF"/>
              <w:bottom w:val="single" w:sz="6" w:space="0" w:color="31849B" w:themeColor="accent5" w:themeShade="BF"/>
            </w:tcBorders>
            <w:shd w:val="clear" w:color="auto" w:fill="auto"/>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95%</w:t>
            </w:r>
          </w:p>
        </w:tc>
        <w:tc>
          <w:tcPr>
            <w:tcW w:w="597" w:type="pct"/>
            <w:vMerge w:val="restart"/>
            <w:shd w:val="clear" w:color="auto" w:fill="auto"/>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Aggregated original</w:t>
            </w:r>
            <w:r w:rsidR="00E30009" w:rsidRPr="005F120D">
              <w:rPr>
                <w:rFonts w:asciiTheme="minorHAnsi" w:eastAsia="Calibri" w:hAnsiTheme="minorHAnsi" w:cstheme="minorHAnsi"/>
                <w:sz w:val="18"/>
                <w:szCs w:val="18"/>
              </w:rPr>
              <w:t xml:space="preserve"> budget over actual expenditure</w:t>
            </w:r>
            <w:r w:rsidRPr="005F120D">
              <w:rPr>
                <w:rFonts w:asciiTheme="minorHAnsi" w:eastAsia="Calibri" w:hAnsiTheme="minorHAnsi" w:cstheme="minorHAnsi"/>
                <w:sz w:val="18"/>
                <w:szCs w:val="18"/>
              </w:rPr>
              <w:t xml:space="preserve"> of 7 block grants</w:t>
            </w:r>
          </w:p>
        </w:tc>
      </w:tr>
      <w:tr w:rsidR="00D654AD" w:rsidRPr="005F120D" w:rsidTr="00BF53AC">
        <w:trPr>
          <w:jc w:val="center"/>
        </w:trPr>
        <w:tc>
          <w:tcPr>
            <w:tcW w:w="261" w:type="pct"/>
            <w:vMerge/>
            <w:shd w:val="clear" w:color="auto" w:fill="auto"/>
          </w:tcPr>
          <w:p w:rsidR="002124EF" w:rsidRPr="005F120D" w:rsidRDefault="002124EF" w:rsidP="000A5B80">
            <w:pPr>
              <w:pStyle w:val="NoSpacing"/>
              <w:rPr>
                <w:rFonts w:asciiTheme="minorHAnsi" w:eastAsia="Calibri" w:hAnsiTheme="minorHAnsi" w:cstheme="minorHAnsi"/>
                <w:sz w:val="18"/>
                <w:szCs w:val="18"/>
              </w:rPr>
            </w:pPr>
          </w:p>
        </w:tc>
        <w:tc>
          <w:tcPr>
            <w:tcW w:w="808" w:type="pct"/>
            <w:shd w:val="clear" w:color="auto" w:fill="auto"/>
          </w:tcPr>
          <w:p w:rsidR="002124EF" w:rsidRPr="005F120D" w:rsidRDefault="002124E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 xml:space="preserve">Expenditure of unconditional block grants (UPEPs) by </w:t>
            </w:r>
            <w:r w:rsidR="00975710" w:rsidRPr="005F120D">
              <w:rPr>
                <w:rFonts w:asciiTheme="minorHAnsi" w:eastAsia="Calibri" w:hAnsiTheme="minorHAnsi" w:cstheme="minorHAnsi"/>
                <w:bCs/>
                <w:sz w:val="18"/>
                <w:szCs w:val="18"/>
              </w:rPr>
              <w:t>Upazilas</w:t>
            </w:r>
          </w:p>
        </w:tc>
        <w:tc>
          <w:tcPr>
            <w:tcW w:w="500"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01"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5%</w:t>
            </w:r>
          </w:p>
        </w:tc>
        <w:tc>
          <w:tcPr>
            <w:tcW w:w="370"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99.98%</w:t>
            </w:r>
          </w:p>
        </w:tc>
        <w:tc>
          <w:tcPr>
            <w:tcW w:w="425"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95%</w:t>
            </w:r>
          </w:p>
        </w:tc>
        <w:tc>
          <w:tcPr>
            <w:tcW w:w="335"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100%</w:t>
            </w:r>
          </w:p>
        </w:tc>
        <w:tc>
          <w:tcPr>
            <w:tcW w:w="410" w:type="pct"/>
            <w:tcBorders>
              <w:top w:val="single" w:sz="6" w:space="0" w:color="31849B" w:themeColor="accent5" w:themeShade="BF"/>
              <w:bottom w:val="single" w:sz="6" w:space="0" w:color="31849B" w:themeColor="accent5" w:themeShade="BF"/>
            </w:tcBorders>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119%</w:t>
            </w:r>
          </w:p>
        </w:tc>
        <w:tc>
          <w:tcPr>
            <w:tcW w:w="389" w:type="pct"/>
            <w:tcBorders>
              <w:top w:val="single" w:sz="6" w:space="0" w:color="31849B" w:themeColor="accent5" w:themeShade="BF"/>
              <w:bottom w:val="single" w:sz="6" w:space="0" w:color="31849B" w:themeColor="accent5" w:themeShade="BF"/>
            </w:tcBorders>
            <w:shd w:val="clear" w:color="auto" w:fill="auto"/>
          </w:tcPr>
          <w:p w:rsidR="002124EF" w:rsidRPr="005F120D" w:rsidRDefault="00032A68" w:rsidP="000A5B80">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100%</w:t>
            </w:r>
          </w:p>
        </w:tc>
        <w:tc>
          <w:tcPr>
            <w:tcW w:w="272" w:type="pct"/>
            <w:tcBorders>
              <w:top w:val="single" w:sz="6" w:space="0" w:color="31849B" w:themeColor="accent5" w:themeShade="BF"/>
              <w:bottom w:val="single" w:sz="6" w:space="0" w:color="31849B" w:themeColor="accent5" w:themeShade="BF"/>
            </w:tcBorders>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95%</w:t>
            </w:r>
          </w:p>
        </w:tc>
        <w:tc>
          <w:tcPr>
            <w:tcW w:w="597" w:type="pct"/>
            <w:vMerge/>
            <w:shd w:val="clear" w:color="auto" w:fill="auto"/>
          </w:tcPr>
          <w:p w:rsidR="002124EF" w:rsidRPr="005F120D" w:rsidRDefault="002124E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shd w:val="clear" w:color="auto" w:fill="auto"/>
          </w:tcPr>
          <w:p w:rsidR="002124EF" w:rsidRPr="005F120D" w:rsidRDefault="002124EF" w:rsidP="000A5B80">
            <w:pPr>
              <w:pStyle w:val="NoSpacing"/>
              <w:rPr>
                <w:rFonts w:asciiTheme="minorHAnsi" w:eastAsia="Calibri" w:hAnsiTheme="minorHAnsi" w:cstheme="minorHAnsi"/>
                <w:sz w:val="18"/>
                <w:szCs w:val="18"/>
              </w:rPr>
            </w:pPr>
          </w:p>
        </w:tc>
        <w:tc>
          <w:tcPr>
            <w:tcW w:w="808" w:type="pct"/>
            <w:shd w:val="clear" w:color="auto" w:fill="auto"/>
          </w:tcPr>
          <w:p w:rsidR="002124EF" w:rsidRPr="005F120D" w:rsidRDefault="002124E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Expenditure of unconditional block grants (SLIPs) by schools</w:t>
            </w:r>
          </w:p>
        </w:tc>
        <w:tc>
          <w:tcPr>
            <w:tcW w:w="500"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01"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96%</w:t>
            </w:r>
          </w:p>
        </w:tc>
        <w:tc>
          <w:tcPr>
            <w:tcW w:w="370"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n/a</w:t>
            </w:r>
          </w:p>
        </w:tc>
        <w:tc>
          <w:tcPr>
            <w:tcW w:w="425"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95%</w:t>
            </w:r>
          </w:p>
        </w:tc>
        <w:tc>
          <w:tcPr>
            <w:tcW w:w="335" w:type="pct"/>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100%</w:t>
            </w:r>
          </w:p>
        </w:tc>
        <w:tc>
          <w:tcPr>
            <w:tcW w:w="410" w:type="pct"/>
            <w:tcBorders>
              <w:top w:val="single" w:sz="6" w:space="0" w:color="31849B" w:themeColor="accent5" w:themeShade="BF"/>
              <w:bottom w:val="single" w:sz="6" w:space="0" w:color="31849B" w:themeColor="accent5" w:themeShade="BF"/>
            </w:tcBorders>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101%</w:t>
            </w:r>
          </w:p>
        </w:tc>
        <w:tc>
          <w:tcPr>
            <w:tcW w:w="389" w:type="pct"/>
            <w:tcBorders>
              <w:top w:val="single" w:sz="6" w:space="0" w:color="31849B" w:themeColor="accent5" w:themeShade="BF"/>
              <w:bottom w:val="single" w:sz="6" w:space="0" w:color="31849B" w:themeColor="accent5" w:themeShade="BF"/>
            </w:tcBorders>
            <w:shd w:val="clear" w:color="auto" w:fill="auto"/>
          </w:tcPr>
          <w:p w:rsidR="002124EF" w:rsidRPr="005F120D" w:rsidRDefault="00032A68" w:rsidP="000A5B80">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100%</w:t>
            </w:r>
          </w:p>
        </w:tc>
        <w:tc>
          <w:tcPr>
            <w:tcW w:w="272" w:type="pct"/>
            <w:tcBorders>
              <w:top w:val="single" w:sz="6" w:space="0" w:color="31849B" w:themeColor="accent5" w:themeShade="BF"/>
              <w:bottom w:val="single" w:sz="6" w:space="0" w:color="31849B" w:themeColor="accent5" w:themeShade="BF"/>
            </w:tcBorders>
            <w:shd w:val="clear" w:color="auto" w:fill="auto"/>
          </w:tcPr>
          <w:p w:rsidR="002124EF" w:rsidRPr="005F120D" w:rsidRDefault="002124EF" w:rsidP="000A5B80">
            <w:pPr>
              <w:spacing w:after="0"/>
              <w:jc w:val="center"/>
              <w:rPr>
                <w:rFonts w:asciiTheme="minorHAnsi" w:hAnsiTheme="minorHAnsi" w:cstheme="minorHAnsi"/>
                <w:sz w:val="18"/>
                <w:szCs w:val="18"/>
              </w:rPr>
            </w:pPr>
            <w:r w:rsidRPr="005F120D">
              <w:rPr>
                <w:rFonts w:asciiTheme="minorHAnsi" w:eastAsia="Calibri" w:hAnsiTheme="minorHAnsi" w:cstheme="minorHAnsi"/>
                <w:sz w:val="18"/>
                <w:szCs w:val="18"/>
              </w:rPr>
              <w:t>95%</w:t>
            </w:r>
          </w:p>
        </w:tc>
        <w:tc>
          <w:tcPr>
            <w:tcW w:w="597" w:type="pct"/>
            <w:vMerge/>
            <w:shd w:val="clear" w:color="auto" w:fill="auto"/>
          </w:tcPr>
          <w:p w:rsidR="002124EF" w:rsidRPr="005F120D" w:rsidRDefault="002124E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val="restart"/>
            <w:shd w:val="clear" w:color="auto" w:fill="F2DBDB" w:themeFill="accent2" w:themeFillTint="33"/>
          </w:tcPr>
          <w:p w:rsidR="002124EF"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KPI-12</w:t>
            </w:r>
          </w:p>
        </w:tc>
        <w:tc>
          <w:tcPr>
            <w:tcW w:w="808" w:type="pct"/>
            <w:vMerge w:val="restart"/>
            <w:shd w:val="clear" w:color="auto" w:fill="F2DBDB" w:themeFill="accent2" w:themeFillTint="33"/>
          </w:tcPr>
          <w:p w:rsidR="002124EF" w:rsidRPr="005F120D" w:rsidRDefault="002124E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sz w:val="18"/>
                <w:szCs w:val="18"/>
              </w:rPr>
              <w:t>Primary Cycle Completion rate</w:t>
            </w:r>
            <w:r w:rsidRPr="005F120D">
              <w:rPr>
                <w:rStyle w:val="FootnoteReference"/>
                <w:rFonts w:asciiTheme="minorHAnsi" w:hAnsiTheme="minorHAnsi" w:cstheme="minorHAnsi"/>
                <w:bCs/>
                <w:sz w:val="18"/>
                <w:szCs w:val="18"/>
                <w:lang w:eastAsia="ja-JP"/>
              </w:rPr>
              <w:footnoteReference w:id="7"/>
            </w:r>
            <w:r w:rsidRPr="005F120D">
              <w:rPr>
                <w:rFonts w:asciiTheme="minorHAnsi" w:eastAsia="Calibri" w:hAnsiTheme="minorHAnsi" w:cstheme="minorHAnsi"/>
                <w:sz w:val="18"/>
                <w:szCs w:val="18"/>
              </w:rPr>
              <w:t xml:space="preserve"> (%)</w:t>
            </w:r>
          </w:p>
        </w:tc>
        <w:tc>
          <w:tcPr>
            <w:tcW w:w="50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 All</w:t>
            </w:r>
          </w:p>
        </w:tc>
        <w:tc>
          <w:tcPr>
            <w:tcW w:w="30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52.8%</w:t>
            </w:r>
          </w:p>
        </w:tc>
        <w:tc>
          <w:tcPr>
            <w:tcW w:w="33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60.2%</w:t>
            </w:r>
          </w:p>
        </w:tc>
        <w:tc>
          <w:tcPr>
            <w:tcW w:w="37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70.3%</w:t>
            </w:r>
          </w:p>
        </w:tc>
        <w:tc>
          <w:tcPr>
            <w:tcW w:w="42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73.8%</w:t>
            </w:r>
          </w:p>
        </w:tc>
        <w:tc>
          <w:tcPr>
            <w:tcW w:w="33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78.6%</w:t>
            </w:r>
          </w:p>
        </w:tc>
        <w:tc>
          <w:tcPr>
            <w:tcW w:w="410"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79%</w:t>
            </w:r>
          </w:p>
        </w:tc>
        <w:tc>
          <w:tcPr>
            <w:tcW w:w="389"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79.6%</w:t>
            </w:r>
          </w:p>
        </w:tc>
        <w:tc>
          <w:tcPr>
            <w:tcW w:w="272"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85%</w:t>
            </w:r>
          </w:p>
        </w:tc>
        <w:tc>
          <w:tcPr>
            <w:tcW w:w="597" w:type="pct"/>
            <w:vMerge w:val="restar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Calculation based on Reconstructed Cohort</w:t>
            </w:r>
          </w:p>
        </w:tc>
      </w:tr>
      <w:tr w:rsidR="00D654AD" w:rsidRPr="005F120D" w:rsidTr="00BF53AC">
        <w:trPr>
          <w:jc w:val="center"/>
        </w:trPr>
        <w:tc>
          <w:tcPr>
            <w:tcW w:w="261" w:type="pct"/>
            <w:vMerge/>
            <w:shd w:val="clear" w:color="auto" w:fill="F2DBDB" w:themeFill="accent2" w:themeFillTint="33"/>
          </w:tcPr>
          <w:p w:rsidR="002124EF" w:rsidRPr="005F120D" w:rsidRDefault="002124EF" w:rsidP="007B65A5">
            <w:pPr>
              <w:pStyle w:val="NoSpacing"/>
              <w:jc w:val="center"/>
              <w:rPr>
                <w:rFonts w:asciiTheme="minorHAnsi" w:eastAsia="Calibri" w:hAnsiTheme="minorHAnsi" w:cstheme="minorHAnsi"/>
                <w:sz w:val="18"/>
                <w:szCs w:val="18"/>
              </w:rPr>
            </w:pPr>
          </w:p>
        </w:tc>
        <w:tc>
          <w:tcPr>
            <w:tcW w:w="808" w:type="pct"/>
            <w:vMerge/>
            <w:shd w:val="clear" w:color="auto" w:fill="F2DBDB" w:themeFill="accent2" w:themeFillTint="33"/>
          </w:tcPr>
          <w:p w:rsidR="002124EF" w:rsidRPr="005F120D" w:rsidRDefault="002124EF" w:rsidP="000A5B80">
            <w:pPr>
              <w:pStyle w:val="NoSpacing"/>
              <w:rPr>
                <w:rFonts w:asciiTheme="minorHAnsi" w:eastAsia="Calibri" w:hAnsiTheme="minorHAnsi" w:cstheme="minorHAnsi"/>
                <w:bCs/>
                <w:sz w:val="18"/>
                <w:szCs w:val="18"/>
              </w:rPr>
            </w:pPr>
          </w:p>
        </w:tc>
        <w:tc>
          <w:tcPr>
            <w:tcW w:w="50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b.  Boys</w:t>
            </w:r>
          </w:p>
        </w:tc>
        <w:tc>
          <w:tcPr>
            <w:tcW w:w="30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p>
        </w:tc>
        <w:tc>
          <w:tcPr>
            <w:tcW w:w="33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59.8%</w:t>
            </w:r>
          </w:p>
        </w:tc>
        <w:tc>
          <w:tcPr>
            <w:tcW w:w="37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67.6%</w:t>
            </w:r>
          </w:p>
        </w:tc>
        <w:tc>
          <w:tcPr>
            <w:tcW w:w="42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71.7%</w:t>
            </w:r>
          </w:p>
        </w:tc>
        <w:tc>
          <w:tcPr>
            <w:tcW w:w="33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75.1%</w:t>
            </w:r>
          </w:p>
        </w:tc>
        <w:tc>
          <w:tcPr>
            <w:tcW w:w="410"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76%</w:t>
            </w:r>
          </w:p>
        </w:tc>
        <w:tc>
          <w:tcPr>
            <w:tcW w:w="389"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76.1%</w:t>
            </w:r>
          </w:p>
        </w:tc>
        <w:tc>
          <w:tcPr>
            <w:tcW w:w="272"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83%</w:t>
            </w:r>
          </w:p>
        </w:tc>
        <w:tc>
          <w:tcPr>
            <w:tcW w:w="597" w:type="pct"/>
            <w:vMerge/>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shd w:val="clear" w:color="auto" w:fill="F2DBDB" w:themeFill="accent2" w:themeFillTint="33"/>
          </w:tcPr>
          <w:p w:rsidR="002124EF" w:rsidRPr="005F120D" w:rsidRDefault="002124EF" w:rsidP="007B65A5">
            <w:pPr>
              <w:pStyle w:val="NoSpacing"/>
              <w:jc w:val="center"/>
              <w:rPr>
                <w:rFonts w:asciiTheme="minorHAnsi" w:eastAsia="Calibri" w:hAnsiTheme="minorHAnsi" w:cstheme="minorHAnsi"/>
                <w:sz w:val="18"/>
                <w:szCs w:val="18"/>
              </w:rPr>
            </w:pPr>
          </w:p>
        </w:tc>
        <w:tc>
          <w:tcPr>
            <w:tcW w:w="808" w:type="pct"/>
            <w:vMerge/>
            <w:shd w:val="clear" w:color="auto" w:fill="F2DBDB" w:themeFill="accent2" w:themeFillTint="33"/>
          </w:tcPr>
          <w:p w:rsidR="002124EF" w:rsidRPr="005F120D" w:rsidRDefault="002124EF" w:rsidP="000A5B80">
            <w:pPr>
              <w:pStyle w:val="NoSpacing"/>
              <w:rPr>
                <w:rFonts w:asciiTheme="minorHAnsi" w:eastAsia="Calibri" w:hAnsiTheme="minorHAnsi" w:cstheme="minorHAnsi"/>
                <w:bCs/>
                <w:sz w:val="18"/>
                <w:szCs w:val="18"/>
              </w:rPr>
            </w:pPr>
          </w:p>
        </w:tc>
        <w:tc>
          <w:tcPr>
            <w:tcW w:w="50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c. Girls</w:t>
            </w:r>
          </w:p>
        </w:tc>
        <w:tc>
          <w:tcPr>
            <w:tcW w:w="30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p>
        </w:tc>
        <w:tc>
          <w:tcPr>
            <w:tcW w:w="33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60.8%</w:t>
            </w:r>
          </w:p>
        </w:tc>
        <w:tc>
          <w:tcPr>
            <w:tcW w:w="37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73.0%</w:t>
            </w:r>
          </w:p>
        </w:tc>
        <w:tc>
          <w:tcPr>
            <w:tcW w:w="42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75.8%</w:t>
            </w:r>
          </w:p>
        </w:tc>
        <w:tc>
          <w:tcPr>
            <w:tcW w:w="33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82.1%</w:t>
            </w:r>
          </w:p>
        </w:tc>
        <w:tc>
          <w:tcPr>
            <w:tcW w:w="410"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82%</w:t>
            </w:r>
          </w:p>
        </w:tc>
        <w:tc>
          <w:tcPr>
            <w:tcW w:w="389"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83%</w:t>
            </w:r>
          </w:p>
        </w:tc>
        <w:tc>
          <w:tcPr>
            <w:tcW w:w="272"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87%</w:t>
            </w:r>
          </w:p>
        </w:tc>
        <w:tc>
          <w:tcPr>
            <w:tcW w:w="597" w:type="pct"/>
            <w:vMerge/>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val="restart"/>
            <w:shd w:val="clear" w:color="auto" w:fill="F2DBDB" w:themeFill="accent2" w:themeFillTint="33"/>
          </w:tcPr>
          <w:p w:rsidR="002124EF" w:rsidRPr="005F120D" w:rsidRDefault="00BF53AC"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w:t>
            </w:r>
            <w:r w:rsidR="005E3650" w:rsidRPr="005F120D">
              <w:rPr>
                <w:rFonts w:asciiTheme="minorHAnsi" w:eastAsia="Calibri" w:hAnsiTheme="minorHAnsi" w:cstheme="minorHAnsi"/>
                <w:sz w:val="18"/>
                <w:szCs w:val="18"/>
              </w:rPr>
              <w:t>13</w:t>
            </w:r>
          </w:p>
        </w:tc>
        <w:tc>
          <w:tcPr>
            <w:tcW w:w="808" w:type="pct"/>
            <w:vMerge w:val="restart"/>
            <w:shd w:val="clear" w:color="auto" w:fill="F2DBDB" w:themeFill="accent2" w:themeFillTint="33"/>
          </w:tcPr>
          <w:p w:rsidR="002124EF" w:rsidRPr="005F120D" w:rsidRDefault="002124E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sz w:val="18"/>
                <w:szCs w:val="18"/>
              </w:rPr>
              <w:t>Primary Cycle Dropout rate (%)</w:t>
            </w:r>
          </w:p>
        </w:tc>
        <w:tc>
          <w:tcPr>
            <w:tcW w:w="50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 All</w:t>
            </w:r>
          </w:p>
        </w:tc>
        <w:tc>
          <w:tcPr>
            <w:tcW w:w="30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47.2%</w:t>
            </w:r>
          </w:p>
        </w:tc>
        <w:tc>
          <w:tcPr>
            <w:tcW w:w="33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39.8%</w:t>
            </w:r>
          </w:p>
        </w:tc>
        <w:tc>
          <w:tcPr>
            <w:tcW w:w="37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29.7%</w:t>
            </w:r>
          </w:p>
        </w:tc>
        <w:tc>
          <w:tcPr>
            <w:tcW w:w="42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26.2%</w:t>
            </w:r>
          </w:p>
        </w:tc>
        <w:tc>
          <w:tcPr>
            <w:tcW w:w="33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21.4%</w:t>
            </w:r>
          </w:p>
        </w:tc>
        <w:tc>
          <w:tcPr>
            <w:tcW w:w="410"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20.9%</w:t>
            </w:r>
          </w:p>
        </w:tc>
        <w:tc>
          <w:tcPr>
            <w:tcW w:w="389"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20.4%</w:t>
            </w:r>
          </w:p>
        </w:tc>
        <w:tc>
          <w:tcPr>
            <w:tcW w:w="272"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15%</w:t>
            </w:r>
          </w:p>
        </w:tc>
        <w:tc>
          <w:tcPr>
            <w:tcW w:w="597" w:type="pct"/>
            <w:vMerge w:val="restar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Calculation based on Reconstructed Cohort </w:t>
            </w:r>
          </w:p>
        </w:tc>
      </w:tr>
      <w:tr w:rsidR="00D654AD" w:rsidRPr="005F120D" w:rsidTr="00BF53AC">
        <w:trPr>
          <w:jc w:val="center"/>
        </w:trPr>
        <w:tc>
          <w:tcPr>
            <w:tcW w:w="261" w:type="pct"/>
            <w:vMerge/>
            <w:shd w:val="clear" w:color="auto" w:fill="F2DBDB" w:themeFill="accent2" w:themeFillTint="33"/>
          </w:tcPr>
          <w:p w:rsidR="002124EF" w:rsidRPr="005F120D" w:rsidRDefault="002124EF" w:rsidP="007B65A5">
            <w:pPr>
              <w:pStyle w:val="NoSpacing"/>
              <w:jc w:val="center"/>
              <w:rPr>
                <w:rFonts w:asciiTheme="minorHAnsi" w:eastAsia="Calibri" w:hAnsiTheme="minorHAnsi" w:cstheme="minorHAnsi"/>
                <w:sz w:val="18"/>
                <w:szCs w:val="18"/>
              </w:rPr>
            </w:pPr>
          </w:p>
        </w:tc>
        <w:tc>
          <w:tcPr>
            <w:tcW w:w="808" w:type="pct"/>
            <w:vMerge/>
            <w:shd w:val="clear" w:color="auto" w:fill="F2DBDB" w:themeFill="accent2" w:themeFillTint="33"/>
          </w:tcPr>
          <w:p w:rsidR="002124EF" w:rsidRPr="005F120D" w:rsidRDefault="002124EF" w:rsidP="000A5B80">
            <w:pPr>
              <w:pStyle w:val="NoSpacing"/>
              <w:rPr>
                <w:rFonts w:asciiTheme="minorHAnsi" w:eastAsia="Calibri" w:hAnsiTheme="minorHAnsi" w:cstheme="minorHAnsi"/>
                <w:bCs/>
                <w:sz w:val="18"/>
                <w:szCs w:val="18"/>
              </w:rPr>
            </w:pPr>
          </w:p>
        </w:tc>
        <w:tc>
          <w:tcPr>
            <w:tcW w:w="50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b.  Boys</w:t>
            </w:r>
          </w:p>
        </w:tc>
        <w:tc>
          <w:tcPr>
            <w:tcW w:w="30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40.3%</w:t>
            </w:r>
          </w:p>
        </w:tc>
        <w:tc>
          <w:tcPr>
            <w:tcW w:w="37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32.4%</w:t>
            </w:r>
          </w:p>
        </w:tc>
        <w:tc>
          <w:tcPr>
            <w:tcW w:w="42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28.3%</w:t>
            </w:r>
          </w:p>
        </w:tc>
        <w:tc>
          <w:tcPr>
            <w:tcW w:w="33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24.9%</w:t>
            </w:r>
          </w:p>
        </w:tc>
        <w:tc>
          <w:tcPr>
            <w:tcW w:w="410"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24.3%</w:t>
            </w:r>
          </w:p>
        </w:tc>
        <w:tc>
          <w:tcPr>
            <w:tcW w:w="389"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23.9%</w:t>
            </w:r>
          </w:p>
        </w:tc>
        <w:tc>
          <w:tcPr>
            <w:tcW w:w="272"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17%</w:t>
            </w:r>
          </w:p>
        </w:tc>
        <w:tc>
          <w:tcPr>
            <w:tcW w:w="597" w:type="pct"/>
            <w:vMerge/>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shd w:val="clear" w:color="auto" w:fill="F2DBDB" w:themeFill="accent2" w:themeFillTint="33"/>
          </w:tcPr>
          <w:p w:rsidR="002124EF" w:rsidRPr="005F120D" w:rsidRDefault="002124EF" w:rsidP="007B65A5">
            <w:pPr>
              <w:pStyle w:val="NoSpacing"/>
              <w:jc w:val="center"/>
              <w:rPr>
                <w:rFonts w:asciiTheme="minorHAnsi" w:eastAsia="Calibri" w:hAnsiTheme="minorHAnsi" w:cstheme="minorHAnsi"/>
                <w:sz w:val="18"/>
                <w:szCs w:val="18"/>
              </w:rPr>
            </w:pPr>
          </w:p>
        </w:tc>
        <w:tc>
          <w:tcPr>
            <w:tcW w:w="808" w:type="pct"/>
            <w:vMerge/>
            <w:shd w:val="clear" w:color="auto" w:fill="F2DBDB" w:themeFill="accent2" w:themeFillTint="33"/>
          </w:tcPr>
          <w:p w:rsidR="002124EF" w:rsidRPr="005F120D" w:rsidRDefault="002124EF" w:rsidP="000A5B80">
            <w:pPr>
              <w:pStyle w:val="NoSpacing"/>
              <w:rPr>
                <w:rFonts w:asciiTheme="minorHAnsi" w:eastAsia="Calibri" w:hAnsiTheme="minorHAnsi" w:cstheme="minorHAnsi"/>
                <w:bCs/>
                <w:sz w:val="18"/>
                <w:szCs w:val="18"/>
              </w:rPr>
            </w:pPr>
          </w:p>
        </w:tc>
        <w:tc>
          <w:tcPr>
            <w:tcW w:w="50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bCs/>
                <w:sz w:val="18"/>
                <w:szCs w:val="18"/>
              </w:rPr>
              <w:t>c. Girls</w:t>
            </w:r>
          </w:p>
        </w:tc>
        <w:tc>
          <w:tcPr>
            <w:tcW w:w="30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39.3%</w:t>
            </w:r>
          </w:p>
        </w:tc>
        <w:tc>
          <w:tcPr>
            <w:tcW w:w="37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27.0%</w:t>
            </w:r>
          </w:p>
        </w:tc>
        <w:tc>
          <w:tcPr>
            <w:tcW w:w="42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24.2%</w:t>
            </w:r>
          </w:p>
        </w:tc>
        <w:tc>
          <w:tcPr>
            <w:tcW w:w="33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17.9%</w:t>
            </w:r>
          </w:p>
        </w:tc>
        <w:tc>
          <w:tcPr>
            <w:tcW w:w="410"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17.5%</w:t>
            </w:r>
          </w:p>
        </w:tc>
        <w:tc>
          <w:tcPr>
            <w:tcW w:w="389"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17%</w:t>
            </w:r>
          </w:p>
        </w:tc>
        <w:tc>
          <w:tcPr>
            <w:tcW w:w="272"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13%</w:t>
            </w:r>
          </w:p>
        </w:tc>
        <w:tc>
          <w:tcPr>
            <w:tcW w:w="597" w:type="pct"/>
            <w:vMerge/>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vMerge w:val="restart"/>
            <w:shd w:val="clear" w:color="auto" w:fill="F2DBDB" w:themeFill="accent2" w:themeFillTint="33"/>
          </w:tcPr>
          <w:p w:rsidR="002124EF"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KPI-14</w:t>
            </w:r>
          </w:p>
        </w:tc>
        <w:tc>
          <w:tcPr>
            <w:tcW w:w="808" w:type="pct"/>
            <w:vMerge w:val="restart"/>
            <w:shd w:val="clear" w:color="auto" w:fill="F2DBDB" w:themeFill="accent2" w:themeFillTint="33"/>
          </w:tcPr>
          <w:p w:rsidR="002124EF" w:rsidRPr="005F120D" w:rsidRDefault="002124E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sz w:val="18"/>
                <w:szCs w:val="18"/>
              </w:rPr>
              <w:t>Coefficient of efficiency [EFA 14]</w:t>
            </w:r>
          </w:p>
        </w:tc>
        <w:tc>
          <w:tcPr>
            <w:tcW w:w="50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Ideal as % of actual</w:t>
            </w:r>
          </w:p>
        </w:tc>
        <w:tc>
          <w:tcPr>
            <w:tcW w:w="30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61.8%</w:t>
            </w:r>
          </w:p>
        </w:tc>
        <w:tc>
          <w:tcPr>
            <w:tcW w:w="33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62.2%</w:t>
            </w:r>
          </w:p>
        </w:tc>
        <w:tc>
          <w:tcPr>
            <w:tcW w:w="37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AV: 69.1, B: 67.7 and G: 70.5</w:t>
            </w:r>
          </w:p>
        </w:tc>
        <w:tc>
          <w:tcPr>
            <w:tcW w:w="42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AV: 77.4, B: 75.6 and G: 79.2</w:t>
            </w:r>
          </w:p>
        </w:tc>
        <w:tc>
          <w:tcPr>
            <w:tcW w:w="33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Av: 79.7 Boy: 77.3 &amp; Girl: 82</w:t>
            </w:r>
          </w:p>
        </w:tc>
        <w:tc>
          <w:tcPr>
            <w:tcW w:w="410"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Av: 80 Boy: 77.3 &amp; Girl: 82.7</w:t>
            </w:r>
          </w:p>
        </w:tc>
        <w:tc>
          <w:tcPr>
            <w:tcW w:w="389"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5117DD"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Av: 80.1 Boy: 77.8 &amp; Girl: 82.3</w:t>
            </w:r>
          </w:p>
        </w:tc>
        <w:tc>
          <w:tcPr>
            <w:tcW w:w="272"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85%</w:t>
            </w:r>
          </w:p>
        </w:tc>
        <w:tc>
          <w:tcPr>
            <w:tcW w:w="597" w:type="pct"/>
            <w:vMerge w:val="restar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PEDP3</w:t>
            </w:r>
            <w:r w:rsidR="002F39E6" w:rsidRPr="005F120D">
              <w:rPr>
                <w:rFonts w:asciiTheme="minorHAnsi" w:eastAsia="Calibri" w:hAnsiTheme="minorHAnsi" w:cstheme="minorHAnsi"/>
                <w:sz w:val="18"/>
                <w:szCs w:val="18"/>
              </w:rPr>
              <w:t xml:space="preserve">’s </w:t>
            </w:r>
            <w:r w:rsidRPr="005F120D">
              <w:rPr>
                <w:rFonts w:asciiTheme="minorHAnsi" w:eastAsia="Calibri" w:hAnsiTheme="minorHAnsi" w:cstheme="minorHAnsi"/>
                <w:sz w:val="18"/>
                <w:szCs w:val="18"/>
              </w:rPr>
              <w:t xml:space="preserve"> original Target  reached as a result target revised in MTR 2014</w:t>
            </w:r>
          </w:p>
        </w:tc>
      </w:tr>
      <w:tr w:rsidR="00D654AD" w:rsidRPr="005F120D" w:rsidTr="00BF53AC">
        <w:trPr>
          <w:jc w:val="center"/>
        </w:trPr>
        <w:tc>
          <w:tcPr>
            <w:tcW w:w="261" w:type="pct"/>
            <w:vMerge/>
            <w:shd w:val="clear" w:color="auto" w:fill="F2DBDB" w:themeFill="accent2" w:themeFillTint="33"/>
          </w:tcPr>
          <w:p w:rsidR="002124EF" w:rsidRPr="005F120D" w:rsidRDefault="002124EF" w:rsidP="007B65A5">
            <w:pPr>
              <w:pStyle w:val="NoSpacing"/>
              <w:jc w:val="center"/>
              <w:rPr>
                <w:rFonts w:asciiTheme="minorHAnsi" w:eastAsia="Calibri" w:hAnsiTheme="minorHAnsi" w:cstheme="minorHAnsi"/>
                <w:sz w:val="18"/>
                <w:szCs w:val="18"/>
              </w:rPr>
            </w:pPr>
          </w:p>
        </w:tc>
        <w:tc>
          <w:tcPr>
            <w:tcW w:w="808" w:type="pct"/>
            <w:vMerge/>
            <w:shd w:val="clear" w:color="auto" w:fill="F2DBDB" w:themeFill="accent2" w:themeFillTint="33"/>
          </w:tcPr>
          <w:p w:rsidR="002124EF" w:rsidRPr="005F120D" w:rsidRDefault="002124EF" w:rsidP="000A5B80">
            <w:pPr>
              <w:pStyle w:val="NoSpacing"/>
              <w:rPr>
                <w:rFonts w:asciiTheme="minorHAnsi" w:eastAsia="Calibri" w:hAnsiTheme="minorHAnsi" w:cstheme="minorHAnsi"/>
                <w:bCs/>
                <w:sz w:val="18"/>
                <w:szCs w:val="18"/>
              </w:rPr>
            </w:pPr>
          </w:p>
        </w:tc>
        <w:tc>
          <w:tcPr>
            <w:tcW w:w="50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Year inputs per graduate</w:t>
            </w:r>
          </w:p>
        </w:tc>
        <w:tc>
          <w:tcPr>
            <w:tcW w:w="30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8.1</w:t>
            </w:r>
          </w:p>
        </w:tc>
        <w:tc>
          <w:tcPr>
            <w:tcW w:w="331"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8.0</w:t>
            </w:r>
          </w:p>
        </w:tc>
        <w:tc>
          <w:tcPr>
            <w:tcW w:w="370" w:type="pct"/>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Av: 7.2, B: 7.4 and G: 7.1</w:t>
            </w:r>
          </w:p>
        </w:tc>
        <w:tc>
          <w:tcPr>
            <w:tcW w:w="42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Av: 6.5, B: 6.6 and G: 6.3</w:t>
            </w:r>
          </w:p>
        </w:tc>
        <w:tc>
          <w:tcPr>
            <w:tcW w:w="335" w:type="pct"/>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Av: 6.3 Boy: 6.5 &amp; Girl: 6.1</w:t>
            </w:r>
          </w:p>
        </w:tc>
        <w:tc>
          <w:tcPr>
            <w:tcW w:w="410"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Av: 6.2 Boy: 6.5 &amp; Girl: 6.2</w:t>
            </w:r>
          </w:p>
        </w:tc>
        <w:tc>
          <w:tcPr>
            <w:tcW w:w="389"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5117DD"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Av: 6.2 Boy: 6.4</w:t>
            </w:r>
            <w:r w:rsidR="004B5112" w:rsidRPr="005F120D">
              <w:rPr>
                <w:rFonts w:asciiTheme="minorHAnsi" w:eastAsia="Calibri" w:hAnsiTheme="minorHAnsi" w:cstheme="minorHAnsi"/>
                <w:sz w:val="18"/>
                <w:szCs w:val="18"/>
              </w:rPr>
              <w:t>&amp; Girl: 6.</w:t>
            </w:r>
            <w:r w:rsidRPr="005F120D">
              <w:rPr>
                <w:rFonts w:asciiTheme="minorHAnsi" w:eastAsia="Calibri" w:hAnsiTheme="minorHAnsi" w:cstheme="minorHAnsi"/>
                <w:sz w:val="18"/>
                <w:szCs w:val="18"/>
              </w:rPr>
              <w:t>1</w:t>
            </w:r>
          </w:p>
        </w:tc>
        <w:tc>
          <w:tcPr>
            <w:tcW w:w="272"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6 years</w:t>
            </w:r>
          </w:p>
        </w:tc>
        <w:tc>
          <w:tcPr>
            <w:tcW w:w="597" w:type="pct"/>
            <w:vMerge/>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p>
        </w:tc>
      </w:tr>
      <w:tr w:rsidR="00D654AD" w:rsidRPr="005F120D" w:rsidTr="00BF53AC">
        <w:trPr>
          <w:jc w:val="center"/>
        </w:trPr>
        <w:tc>
          <w:tcPr>
            <w:tcW w:w="261" w:type="pct"/>
            <w:tcBorders>
              <w:bottom w:val="single" w:sz="6" w:space="0" w:color="31849B" w:themeColor="accent5" w:themeShade="BF"/>
            </w:tcBorders>
            <w:shd w:val="clear" w:color="auto" w:fill="F2DBDB" w:themeFill="accent2" w:themeFillTint="33"/>
          </w:tcPr>
          <w:p w:rsidR="002124EF" w:rsidRPr="005F120D" w:rsidRDefault="005E3650" w:rsidP="007B65A5">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KPI-15</w:t>
            </w:r>
          </w:p>
        </w:tc>
        <w:tc>
          <w:tcPr>
            <w:tcW w:w="808" w:type="pct"/>
            <w:tcBorders>
              <w:bottom w:val="single" w:sz="6" w:space="0" w:color="31849B" w:themeColor="accent5" w:themeShade="BF"/>
            </w:tcBorders>
            <w:shd w:val="clear" w:color="auto" w:fill="F2DBDB" w:themeFill="accent2" w:themeFillTint="33"/>
          </w:tcPr>
          <w:p w:rsidR="002124EF" w:rsidRPr="005F120D" w:rsidRDefault="002124EF" w:rsidP="000A5B80">
            <w:pPr>
              <w:pStyle w:val="NoSpacing"/>
              <w:rPr>
                <w:rFonts w:asciiTheme="minorHAnsi" w:eastAsia="Calibri" w:hAnsiTheme="minorHAnsi" w:cstheme="minorHAnsi"/>
                <w:bCs/>
                <w:sz w:val="18"/>
                <w:szCs w:val="18"/>
              </w:rPr>
            </w:pPr>
            <w:r w:rsidRPr="005F120D">
              <w:rPr>
                <w:rFonts w:asciiTheme="minorHAnsi" w:eastAsia="Calibri" w:hAnsiTheme="minorHAnsi" w:cstheme="minorHAnsi"/>
                <w:bCs/>
                <w:sz w:val="18"/>
                <w:szCs w:val="18"/>
              </w:rPr>
              <w:t xml:space="preserve">Percentage of schools (GPS/NNPS) that meet three out of four PSQL indicators: (i) Girls’ toilets (PSQL 8); </w:t>
            </w:r>
            <w:r w:rsidR="002F39E6" w:rsidRPr="005F120D">
              <w:rPr>
                <w:rFonts w:asciiTheme="minorHAnsi" w:eastAsia="Calibri" w:hAnsiTheme="minorHAnsi" w:cstheme="minorHAnsi"/>
                <w:bCs/>
                <w:sz w:val="18"/>
                <w:szCs w:val="18"/>
              </w:rPr>
              <w:t>(ii) potable water (PSQL 9);</w:t>
            </w:r>
            <w:r w:rsidRPr="005F120D">
              <w:rPr>
                <w:rFonts w:asciiTheme="minorHAnsi" w:eastAsia="Calibri" w:hAnsiTheme="minorHAnsi" w:cstheme="minorHAnsi"/>
                <w:bCs/>
                <w:sz w:val="18"/>
                <w:szCs w:val="18"/>
              </w:rPr>
              <w:t xml:space="preserve"> (iii) SCR (PSQL 10) </w:t>
            </w:r>
            <w:r w:rsidR="002F39E6" w:rsidRPr="005F120D">
              <w:rPr>
                <w:rFonts w:asciiTheme="minorHAnsi" w:eastAsia="Calibri" w:hAnsiTheme="minorHAnsi" w:cstheme="minorHAnsi"/>
                <w:bCs/>
                <w:sz w:val="18"/>
                <w:szCs w:val="18"/>
              </w:rPr>
              <w:t xml:space="preserve">and </w:t>
            </w:r>
            <w:r w:rsidRPr="005F120D">
              <w:rPr>
                <w:rFonts w:asciiTheme="minorHAnsi" w:eastAsia="Calibri" w:hAnsiTheme="minorHAnsi" w:cstheme="minorHAnsi"/>
                <w:bCs/>
                <w:sz w:val="18"/>
                <w:szCs w:val="18"/>
              </w:rPr>
              <w:t>(iv) STR (PSQL 14)</w:t>
            </w:r>
          </w:p>
        </w:tc>
        <w:tc>
          <w:tcPr>
            <w:tcW w:w="500" w:type="pct"/>
            <w:tcBorders>
              <w:bottom w:val="single" w:sz="6" w:space="0" w:color="31849B" w:themeColor="accent5" w:themeShade="BF"/>
            </w:tcBorders>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p>
        </w:tc>
        <w:tc>
          <w:tcPr>
            <w:tcW w:w="301" w:type="pct"/>
            <w:tcBorders>
              <w:bottom w:val="single" w:sz="6" w:space="0" w:color="31849B" w:themeColor="accent5" w:themeShade="BF"/>
            </w:tcBorders>
            <w:shd w:val="clear" w:color="auto" w:fill="F2DBDB" w:themeFill="accent2" w:themeFillTint="33"/>
          </w:tcPr>
          <w:p w:rsidR="002124EF" w:rsidRPr="005F120D" w:rsidRDefault="002124EF" w:rsidP="005E365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n/a</w:t>
            </w:r>
          </w:p>
        </w:tc>
        <w:tc>
          <w:tcPr>
            <w:tcW w:w="331" w:type="pct"/>
            <w:tcBorders>
              <w:bottom w:val="single" w:sz="6" w:space="0" w:color="31849B" w:themeColor="accent5" w:themeShade="BF"/>
            </w:tcBorders>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w:t>
            </w:r>
          </w:p>
        </w:tc>
        <w:tc>
          <w:tcPr>
            <w:tcW w:w="370" w:type="pct"/>
            <w:tcBorders>
              <w:bottom w:val="single" w:sz="6" w:space="0" w:color="31849B" w:themeColor="accent5" w:themeShade="BF"/>
            </w:tcBorders>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 24%</w:t>
            </w:r>
          </w:p>
        </w:tc>
        <w:tc>
          <w:tcPr>
            <w:tcW w:w="425" w:type="pct"/>
            <w:tcBorders>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24%</w:t>
            </w:r>
          </w:p>
        </w:tc>
        <w:tc>
          <w:tcPr>
            <w:tcW w:w="335" w:type="pct"/>
            <w:tcBorders>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24%</w:t>
            </w:r>
          </w:p>
        </w:tc>
        <w:tc>
          <w:tcPr>
            <w:tcW w:w="410"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28%</w:t>
            </w:r>
          </w:p>
        </w:tc>
        <w:tc>
          <w:tcPr>
            <w:tcW w:w="389"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3338B0"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29.3</w:t>
            </w:r>
            <w:r w:rsidR="00AE325B" w:rsidRPr="005F120D">
              <w:rPr>
                <w:rFonts w:asciiTheme="minorHAnsi" w:eastAsia="Calibri" w:hAnsiTheme="minorHAnsi" w:cstheme="minorHAnsi"/>
                <w:sz w:val="18"/>
                <w:szCs w:val="18"/>
              </w:rPr>
              <w:t>%</w:t>
            </w:r>
          </w:p>
        </w:tc>
        <w:tc>
          <w:tcPr>
            <w:tcW w:w="272" w:type="pct"/>
            <w:tcBorders>
              <w:top w:val="single" w:sz="6" w:space="0" w:color="31849B" w:themeColor="accent5" w:themeShade="BF"/>
              <w:bottom w:val="single" w:sz="6" w:space="0" w:color="31849B" w:themeColor="accent5" w:themeShade="BF"/>
            </w:tcBorders>
            <w:shd w:val="clear" w:color="auto" w:fill="F2DBDB" w:themeFill="accent2" w:themeFillTint="33"/>
          </w:tcPr>
          <w:p w:rsidR="002124EF" w:rsidRPr="005F120D" w:rsidRDefault="002124EF" w:rsidP="000A5B80">
            <w:pPr>
              <w:pStyle w:val="NoSpacing"/>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35%</w:t>
            </w:r>
          </w:p>
        </w:tc>
        <w:tc>
          <w:tcPr>
            <w:tcW w:w="597" w:type="pct"/>
            <w:tcBorders>
              <w:bottom w:val="single" w:sz="6" w:space="0" w:color="31849B" w:themeColor="accent5" w:themeShade="BF"/>
            </w:tcBorders>
            <w:shd w:val="clear" w:color="auto" w:fill="F2DBDB" w:themeFill="accent2" w:themeFillTint="33"/>
          </w:tcPr>
          <w:p w:rsidR="002124EF" w:rsidRPr="005F120D" w:rsidRDefault="002124EF" w:rsidP="000A5B80">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 list of 10% of lowest and 10% of highest performing Upazilas attached as Annex C.</w:t>
            </w:r>
            <w:r w:rsidR="00D654AD" w:rsidRPr="005F120D">
              <w:rPr>
                <w:rFonts w:asciiTheme="minorHAnsi" w:eastAsia="Calibri" w:hAnsiTheme="minorHAnsi" w:cstheme="minorHAnsi"/>
                <w:sz w:val="18"/>
                <w:szCs w:val="18"/>
              </w:rPr>
              <w:t xml:space="preserve"> **Target revised in </w:t>
            </w:r>
            <w:r w:rsidRPr="005F120D">
              <w:rPr>
                <w:rFonts w:asciiTheme="minorHAnsi" w:eastAsia="Calibri" w:hAnsiTheme="minorHAnsi" w:cstheme="minorHAnsi"/>
                <w:sz w:val="18"/>
                <w:szCs w:val="18"/>
              </w:rPr>
              <w:t>MTR 2014</w:t>
            </w:r>
          </w:p>
        </w:tc>
      </w:tr>
    </w:tbl>
    <w:p w:rsidR="00AE08B9" w:rsidRPr="005F120D" w:rsidRDefault="00FD0319" w:rsidP="00D654AD">
      <w:pPr>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Note: KPI 4 comprises never enrolled and dropped out children</w:t>
      </w:r>
    </w:p>
    <w:p w:rsidR="00BF53AC" w:rsidRPr="005F120D" w:rsidRDefault="00BF53AC" w:rsidP="004004A1">
      <w:pPr>
        <w:pStyle w:val="Caption"/>
        <w:spacing w:before="120" w:after="120" w:line="276" w:lineRule="auto"/>
        <w:rPr>
          <w:rFonts w:cstheme="minorHAnsi"/>
        </w:rPr>
      </w:pPr>
    </w:p>
    <w:p w:rsidR="00BF53AC" w:rsidRPr="005F120D" w:rsidRDefault="00BF53AC" w:rsidP="004004A1">
      <w:pPr>
        <w:pStyle w:val="Caption"/>
        <w:spacing w:before="120" w:after="120" w:line="276" w:lineRule="auto"/>
        <w:rPr>
          <w:rFonts w:cstheme="minorHAnsi"/>
        </w:rPr>
      </w:pPr>
    </w:p>
    <w:p w:rsidR="00BF53AC" w:rsidRPr="005F120D" w:rsidRDefault="00BF53AC" w:rsidP="004004A1">
      <w:pPr>
        <w:pStyle w:val="Caption"/>
        <w:spacing w:before="120" w:after="120" w:line="276" w:lineRule="auto"/>
        <w:rPr>
          <w:rFonts w:cstheme="minorHAnsi"/>
        </w:rPr>
      </w:pPr>
    </w:p>
    <w:p w:rsidR="00BF53AC" w:rsidRPr="005F120D" w:rsidRDefault="00BF53AC" w:rsidP="004004A1">
      <w:pPr>
        <w:pStyle w:val="Caption"/>
        <w:spacing w:before="120" w:after="120" w:line="276" w:lineRule="auto"/>
        <w:rPr>
          <w:rFonts w:cstheme="minorHAnsi"/>
        </w:rPr>
      </w:pPr>
    </w:p>
    <w:p w:rsidR="00BF53AC" w:rsidRPr="005F120D" w:rsidRDefault="00BF53AC" w:rsidP="004004A1">
      <w:pPr>
        <w:pStyle w:val="Caption"/>
        <w:spacing w:before="120" w:after="120" w:line="276" w:lineRule="auto"/>
        <w:rPr>
          <w:rFonts w:cstheme="minorHAnsi"/>
        </w:rPr>
      </w:pPr>
    </w:p>
    <w:p w:rsidR="00BF53AC" w:rsidRPr="005F120D" w:rsidRDefault="00BF53AC" w:rsidP="004004A1">
      <w:pPr>
        <w:pStyle w:val="Caption"/>
        <w:spacing w:before="120" w:after="120" w:line="276" w:lineRule="auto"/>
        <w:rPr>
          <w:rFonts w:cstheme="minorHAnsi"/>
        </w:rPr>
      </w:pPr>
    </w:p>
    <w:p w:rsidR="00BF53AC" w:rsidRPr="005F120D" w:rsidRDefault="00BF53AC" w:rsidP="004004A1">
      <w:pPr>
        <w:pStyle w:val="Caption"/>
        <w:spacing w:before="120" w:after="120" w:line="276" w:lineRule="auto"/>
        <w:rPr>
          <w:rFonts w:cstheme="minorHAnsi"/>
        </w:rPr>
      </w:pPr>
    </w:p>
    <w:p w:rsidR="00FD0319" w:rsidRPr="005F120D" w:rsidRDefault="008F3FFB" w:rsidP="004004A1">
      <w:pPr>
        <w:pStyle w:val="Caption"/>
        <w:spacing w:before="120" w:after="120" w:line="276" w:lineRule="auto"/>
        <w:rPr>
          <w:rFonts w:cstheme="minorHAnsi"/>
        </w:rPr>
      </w:pPr>
      <w:bookmarkStart w:id="73" w:name="_Toc462837225"/>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FD0319" w:rsidRPr="005F120D">
        <w:rPr>
          <w:rFonts w:cstheme="minorHAnsi"/>
        </w:rPr>
        <w:t>: Non-KPIs Indicators of PEDP3 (GPS &amp;NNPS) 2010-2015</w:t>
      </w:r>
      <w:bookmarkEnd w:id="73"/>
    </w:p>
    <w:tbl>
      <w:tblPr>
        <w:tblW w:w="5000" w:type="pct"/>
        <w:tbl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insideH w:val="single" w:sz="6" w:space="0" w:color="76923C" w:themeColor="accent3" w:themeShade="BF"/>
          <w:insideV w:val="single" w:sz="6" w:space="0" w:color="76923C" w:themeColor="accent3" w:themeShade="BF"/>
        </w:tblBorders>
        <w:tblLook w:val="04A0"/>
      </w:tblPr>
      <w:tblGrid>
        <w:gridCol w:w="530"/>
        <w:gridCol w:w="3915"/>
        <w:gridCol w:w="974"/>
        <w:gridCol w:w="1108"/>
        <w:gridCol w:w="1040"/>
        <w:gridCol w:w="1021"/>
        <w:gridCol w:w="1208"/>
        <w:gridCol w:w="1389"/>
        <w:gridCol w:w="987"/>
        <w:gridCol w:w="987"/>
        <w:gridCol w:w="2451"/>
      </w:tblGrid>
      <w:tr w:rsidR="00FD0319" w:rsidRPr="005F120D" w:rsidTr="00BF53AC">
        <w:trPr>
          <w:trHeight w:val="447"/>
          <w:tblHeader/>
        </w:trPr>
        <w:tc>
          <w:tcPr>
            <w:tcW w:w="170"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r w:rsidRPr="005F120D">
              <w:rPr>
                <w:rFonts w:asciiTheme="minorHAnsi" w:eastAsia="Calibri" w:hAnsiTheme="minorHAnsi" w:cstheme="minorHAnsi"/>
                <w:b/>
                <w:color w:val="FFFFFF" w:themeColor="background1"/>
                <w:sz w:val="17"/>
                <w:szCs w:val="17"/>
              </w:rPr>
              <w:t>SL.</w:t>
            </w:r>
          </w:p>
        </w:tc>
        <w:tc>
          <w:tcPr>
            <w:tcW w:w="1254"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r w:rsidRPr="005F120D">
              <w:rPr>
                <w:rFonts w:asciiTheme="minorHAnsi" w:eastAsia="Calibri" w:hAnsiTheme="minorHAnsi" w:cstheme="minorHAnsi"/>
                <w:b/>
                <w:color w:val="FFFFFF" w:themeColor="background1"/>
                <w:sz w:val="17"/>
                <w:szCs w:val="17"/>
              </w:rPr>
              <w:t>Non-KPIs</w:t>
            </w:r>
            <w:r w:rsidRPr="005F120D">
              <w:rPr>
                <w:rStyle w:val="FootnoteReference"/>
                <w:rFonts w:asciiTheme="minorHAnsi" w:eastAsia="Calibri" w:hAnsiTheme="minorHAnsi" w:cstheme="minorHAnsi"/>
                <w:b/>
                <w:color w:val="FFFFFF" w:themeColor="background1"/>
                <w:sz w:val="17"/>
                <w:szCs w:val="17"/>
              </w:rPr>
              <w:footnoteReference w:id="8"/>
            </w:r>
          </w:p>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p>
        </w:tc>
        <w:tc>
          <w:tcPr>
            <w:tcW w:w="312"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p>
        </w:tc>
        <w:tc>
          <w:tcPr>
            <w:tcW w:w="355"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r w:rsidRPr="005F120D">
              <w:rPr>
                <w:rFonts w:asciiTheme="minorHAnsi" w:eastAsia="Calibri" w:hAnsiTheme="minorHAnsi" w:cstheme="minorHAnsi"/>
                <w:b/>
                <w:color w:val="FFFFFF" w:themeColor="background1"/>
                <w:sz w:val="17"/>
                <w:szCs w:val="17"/>
              </w:rPr>
              <w:t>Baseline 2010</w:t>
            </w:r>
          </w:p>
        </w:tc>
        <w:tc>
          <w:tcPr>
            <w:tcW w:w="333"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r w:rsidRPr="005F120D">
              <w:rPr>
                <w:rFonts w:asciiTheme="minorHAnsi" w:eastAsia="Calibri" w:hAnsiTheme="minorHAnsi" w:cstheme="minorHAnsi"/>
                <w:b/>
                <w:color w:val="FFFFFF" w:themeColor="background1"/>
                <w:sz w:val="17"/>
                <w:szCs w:val="17"/>
              </w:rPr>
              <w:t>2011</w:t>
            </w:r>
          </w:p>
        </w:tc>
        <w:tc>
          <w:tcPr>
            <w:tcW w:w="327"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r w:rsidRPr="005F120D">
              <w:rPr>
                <w:rFonts w:asciiTheme="minorHAnsi" w:eastAsia="Calibri" w:hAnsiTheme="minorHAnsi" w:cstheme="minorHAnsi"/>
                <w:b/>
                <w:color w:val="FFFFFF" w:themeColor="background1"/>
                <w:sz w:val="17"/>
                <w:szCs w:val="17"/>
              </w:rPr>
              <w:t>2012</w:t>
            </w:r>
          </w:p>
        </w:tc>
        <w:tc>
          <w:tcPr>
            <w:tcW w:w="387"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r w:rsidRPr="005F120D">
              <w:rPr>
                <w:rFonts w:asciiTheme="minorHAnsi" w:eastAsia="Calibri" w:hAnsiTheme="minorHAnsi" w:cstheme="minorHAnsi"/>
                <w:b/>
                <w:color w:val="FFFFFF" w:themeColor="background1"/>
                <w:sz w:val="17"/>
                <w:szCs w:val="17"/>
              </w:rPr>
              <w:t>2013</w:t>
            </w:r>
          </w:p>
        </w:tc>
        <w:tc>
          <w:tcPr>
            <w:tcW w:w="445"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r w:rsidRPr="005F120D">
              <w:rPr>
                <w:rFonts w:asciiTheme="minorHAnsi" w:eastAsia="Calibri" w:hAnsiTheme="minorHAnsi" w:cstheme="minorHAnsi"/>
                <w:b/>
                <w:color w:val="FFFFFF" w:themeColor="background1"/>
                <w:sz w:val="17"/>
                <w:szCs w:val="17"/>
              </w:rPr>
              <w:t>2014</w:t>
            </w:r>
          </w:p>
        </w:tc>
        <w:tc>
          <w:tcPr>
            <w:tcW w:w="316"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r w:rsidRPr="005F120D">
              <w:rPr>
                <w:rFonts w:asciiTheme="minorHAnsi" w:eastAsia="Calibri" w:hAnsiTheme="minorHAnsi" w:cstheme="minorHAnsi"/>
                <w:b/>
                <w:color w:val="FFFFFF" w:themeColor="background1"/>
                <w:sz w:val="17"/>
                <w:szCs w:val="17"/>
              </w:rPr>
              <w:t>2015</w:t>
            </w:r>
          </w:p>
        </w:tc>
        <w:tc>
          <w:tcPr>
            <w:tcW w:w="316"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r w:rsidRPr="005F120D">
              <w:rPr>
                <w:rFonts w:asciiTheme="minorHAnsi" w:eastAsia="Calibri" w:hAnsiTheme="minorHAnsi" w:cstheme="minorHAnsi"/>
                <w:b/>
                <w:color w:val="FFFFFF" w:themeColor="background1"/>
                <w:sz w:val="17"/>
                <w:szCs w:val="17"/>
              </w:rPr>
              <w:t>Target 2017</w:t>
            </w:r>
          </w:p>
        </w:tc>
        <w:tc>
          <w:tcPr>
            <w:tcW w:w="785" w:type="pct"/>
            <w:tcBorders>
              <w:top w:val="double" w:sz="4" w:space="0" w:color="76923C" w:themeColor="accent3" w:themeShade="BF"/>
              <w:bottom w:val="single" w:sz="6" w:space="0" w:color="76923C" w:themeColor="accent3" w:themeShade="BF"/>
            </w:tcBorders>
            <w:shd w:val="clear" w:color="auto" w:fill="76923C" w:themeFill="accent3"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17"/>
                <w:szCs w:val="17"/>
              </w:rPr>
            </w:pPr>
            <w:r w:rsidRPr="005F120D">
              <w:rPr>
                <w:rFonts w:asciiTheme="minorHAnsi" w:eastAsia="Calibri" w:hAnsiTheme="minorHAnsi" w:cstheme="minorHAnsi"/>
                <w:b/>
                <w:color w:val="FFFFFF" w:themeColor="background1"/>
                <w:sz w:val="17"/>
                <w:szCs w:val="17"/>
              </w:rPr>
              <w:t>Remarks</w:t>
            </w:r>
          </w:p>
        </w:tc>
      </w:tr>
      <w:tr w:rsidR="00FD0319" w:rsidRPr="005F120D" w:rsidTr="00BF53AC">
        <w:tc>
          <w:tcPr>
            <w:tcW w:w="170" w:type="pct"/>
            <w:vMerge w:val="restart"/>
            <w:tcBorders>
              <w:top w:val="single" w:sz="6" w:space="0" w:color="76923C" w:themeColor="accent3" w:themeShade="BF"/>
            </w:tcBorders>
            <w:shd w:val="clear" w:color="auto" w:fill="FDE9D9" w:themeFill="accent6" w:themeFillTint="33"/>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w:t>
            </w:r>
          </w:p>
        </w:tc>
        <w:tc>
          <w:tcPr>
            <w:tcW w:w="1254" w:type="pct"/>
            <w:vMerge w:val="restart"/>
            <w:tcBorders>
              <w:top w:val="single" w:sz="6" w:space="0" w:color="76923C" w:themeColor="accent3" w:themeShade="BF"/>
            </w:tcBorders>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PECE Participation rate (based on Descriptive Roll) (%)</w:t>
            </w:r>
          </w:p>
        </w:tc>
        <w:tc>
          <w:tcPr>
            <w:tcW w:w="312" w:type="pct"/>
            <w:tcBorders>
              <w:top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All</w:t>
            </w:r>
          </w:p>
        </w:tc>
        <w:tc>
          <w:tcPr>
            <w:tcW w:w="355" w:type="pct"/>
            <w:tcBorders>
              <w:top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88.6%</w:t>
            </w:r>
          </w:p>
        </w:tc>
        <w:tc>
          <w:tcPr>
            <w:tcW w:w="333" w:type="pct"/>
            <w:tcBorders>
              <w:top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93.1%</w:t>
            </w:r>
          </w:p>
        </w:tc>
        <w:tc>
          <w:tcPr>
            <w:tcW w:w="327" w:type="pct"/>
            <w:tcBorders>
              <w:top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92.7%</w:t>
            </w:r>
          </w:p>
        </w:tc>
        <w:tc>
          <w:tcPr>
            <w:tcW w:w="387" w:type="pct"/>
            <w:tcBorders>
              <w:top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94.3%</w:t>
            </w:r>
          </w:p>
        </w:tc>
        <w:tc>
          <w:tcPr>
            <w:tcW w:w="445" w:type="pct"/>
            <w:tcBorders>
              <w:top w:val="single" w:sz="6" w:space="0" w:color="76923C" w:themeColor="accent3" w:themeShade="BF"/>
              <w:bottom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95.3%</w:t>
            </w:r>
          </w:p>
        </w:tc>
        <w:tc>
          <w:tcPr>
            <w:tcW w:w="316" w:type="pct"/>
            <w:tcBorders>
              <w:top w:val="single" w:sz="6" w:space="0" w:color="76923C" w:themeColor="accent3" w:themeShade="BF"/>
              <w:bottom w:val="single" w:sz="6" w:space="0" w:color="76923C" w:themeColor="accent3" w:themeShade="BF"/>
            </w:tcBorders>
            <w:shd w:val="clear" w:color="auto" w:fill="FDE9D9" w:themeFill="accent6" w:themeFillTint="33"/>
          </w:tcPr>
          <w:p w:rsidR="00FD0319" w:rsidRPr="005F120D" w:rsidRDefault="00F22CCC" w:rsidP="000A5B80">
            <w:pPr>
              <w:pStyle w:val="NoSpacing"/>
              <w:jc w:val="center"/>
              <w:rPr>
                <w:rFonts w:asciiTheme="minorHAnsi" w:hAnsiTheme="minorHAnsi" w:cstheme="minorHAnsi"/>
                <w:sz w:val="17"/>
                <w:szCs w:val="17"/>
              </w:rPr>
            </w:pPr>
            <w:r w:rsidRPr="005F120D">
              <w:rPr>
                <w:rFonts w:asciiTheme="minorHAnsi" w:hAnsiTheme="minorHAnsi" w:cstheme="minorHAnsi"/>
                <w:sz w:val="17"/>
                <w:szCs w:val="17"/>
              </w:rPr>
              <w:t>9</w:t>
            </w:r>
            <w:r w:rsidR="00314CF9" w:rsidRPr="005F120D">
              <w:rPr>
                <w:rFonts w:asciiTheme="minorHAnsi" w:hAnsiTheme="minorHAnsi" w:cstheme="minorHAnsi"/>
                <w:sz w:val="17"/>
                <w:szCs w:val="17"/>
              </w:rPr>
              <w:t>6</w:t>
            </w:r>
            <w:r w:rsidR="00AE08B9" w:rsidRPr="005F120D">
              <w:rPr>
                <w:rFonts w:asciiTheme="minorHAnsi" w:hAnsiTheme="minorHAnsi" w:cstheme="minorHAnsi"/>
                <w:sz w:val="17"/>
                <w:szCs w:val="17"/>
              </w:rPr>
              <w:t>.2</w:t>
            </w:r>
            <w:r w:rsidRPr="005F120D">
              <w:rPr>
                <w:rFonts w:asciiTheme="minorHAnsi" w:hAnsiTheme="minorHAnsi" w:cstheme="minorHAnsi"/>
                <w:sz w:val="17"/>
                <w:szCs w:val="17"/>
              </w:rPr>
              <w:t>%</w:t>
            </w:r>
          </w:p>
        </w:tc>
        <w:tc>
          <w:tcPr>
            <w:tcW w:w="316" w:type="pct"/>
            <w:tcBorders>
              <w:top w:val="single" w:sz="6" w:space="0" w:color="76923C" w:themeColor="accent3" w:themeShade="BF"/>
              <w:bottom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95%</w:t>
            </w:r>
          </w:p>
        </w:tc>
        <w:tc>
          <w:tcPr>
            <w:tcW w:w="785" w:type="pct"/>
            <w:vMerge w:val="restart"/>
            <w:tcBorders>
              <w:top w:val="single" w:sz="6" w:space="0" w:color="76923C" w:themeColor="accent3" w:themeShade="BF"/>
            </w:tcBorders>
            <w:shd w:val="clear" w:color="auto" w:fill="FDE9D9" w:themeFill="accent6" w:themeFillTint="33"/>
          </w:tcPr>
          <w:p w:rsidR="00FD0319" w:rsidRPr="005F120D" w:rsidRDefault="00F50180"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Improving trend</w:t>
            </w:r>
          </w:p>
        </w:tc>
      </w:tr>
      <w:tr w:rsidR="00FD0319" w:rsidRPr="005F120D" w:rsidTr="00BF53AC">
        <w:tc>
          <w:tcPr>
            <w:tcW w:w="170" w:type="pct"/>
            <w:vMerge/>
            <w:shd w:val="clear" w:color="auto" w:fill="FDE9D9" w:themeFill="accent6" w:themeFillTint="33"/>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Boys</w:t>
            </w:r>
          </w:p>
        </w:tc>
        <w:tc>
          <w:tcPr>
            <w:tcW w:w="35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87.4%</w:t>
            </w:r>
          </w:p>
        </w:tc>
        <w:tc>
          <w:tcPr>
            <w:tcW w:w="333"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92.5%</w:t>
            </w:r>
          </w:p>
        </w:tc>
        <w:tc>
          <w:tcPr>
            <w:tcW w:w="327"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92%</w:t>
            </w:r>
          </w:p>
        </w:tc>
        <w:tc>
          <w:tcPr>
            <w:tcW w:w="387"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93.6%</w:t>
            </w:r>
          </w:p>
        </w:tc>
        <w:tc>
          <w:tcPr>
            <w:tcW w:w="445" w:type="pct"/>
            <w:tcBorders>
              <w:top w:val="single" w:sz="6" w:space="0" w:color="76923C" w:themeColor="accent3" w:themeShade="BF"/>
              <w:bottom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94.6%</w:t>
            </w:r>
          </w:p>
        </w:tc>
        <w:tc>
          <w:tcPr>
            <w:tcW w:w="316" w:type="pct"/>
            <w:tcBorders>
              <w:top w:val="single" w:sz="6" w:space="0" w:color="76923C" w:themeColor="accent3" w:themeShade="BF"/>
              <w:bottom w:val="single" w:sz="6" w:space="0" w:color="76923C" w:themeColor="accent3" w:themeShade="BF"/>
            </w:tcBorders>
            <w:shd w:val="clear" w:color="auto" w:fill="FDE9D9" w:themeFill="accent6" w:themeFillTint="33"/>
          </w:tcPr>
          <w:p w:rsidR="00FD0319" w:rsidRPr="005F120D" w:rsidRDefault="00F22CCC"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w:t>
            </w:r>
            <w:r w:rsidR="00AE08B9" w:rsidRPr="005F120D">
              <w:rPr>
                <w:rFonts w:asciiTheme="minorHAnsi" w:eastAsia="Calibri" w:hAnsiTheme="minorHAnsi" w:cstheme="minorHAnsi"/>
                <w:sz w:val="17"/>
                <w:szCs w:val="17"/>
              </w:rPr>
              <w:t>5</w:t>
            </w:r>
            <w:r w:rsidRPr="005F120D">
              <w:rPr>
                <w:rFonts w:asciiTheme="minorHAnsi" w:eastAsia="Calibri" w:hAnsiTheme="minorHAnsi" w:cstheme="minorHAnsi"/>
                <w:sz w:val="17"/>
                <w:szCs w:val="17"/>
              </w:rPr>
              <w:t>.</w:t>
            </w:r>
            <w:r w:rsidR="00314CF9" w:rsidRPr="005F120D">
              <w:rPr>
                <w:rFonts w:asciiTheme="minorHAnsi" w:eastAsia="Calibri" w:hAnsiTheme="minorHAnsi" w:cstheme="minorHAnsi"/>
                <w:sz w:val="17"/>
                <w:szCs w:val="17"/>
              </w:rPr>
              <w:t>7</w:t>
            </w:r>
            <w:r w:rsidRPr="005F120D">
              <w:rPr>
                <w:rFonts w:asciiTheme="minorHAnsi" w:eastAsia="Calibri" w:hAnsiTheme="minorHAnsi" w:cstheme="minorHAnsi"/>
                <w:sz w:val="17"/>
                <w:szCs w:val="17"/>
              </w:rPr>
              <w:t>%</w:t>
            </w:r>
          </w:p>
        </w:tc>
        <w:tc>
          <w:tcPr>
            <w:tcW w:w="316" w:type="pct"/>
            <w:tcBorders>
              <w:top w:val="single" w:sz="6" w:space="0" w:color="76923C" w:themeColor="accent3" w:themeShade="BF"/>
              <w:bottom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95%</w:t>
            </w:r>
          </w:p>
        </w:tc>
        <w:tc>
          <w:tcPr>
            <w:tcW w:w="785" w:type="pct"/>
            <w:vMerge/>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7"/>
                <w:szCs w:val="17"/>
              </w:rPr>
            </w:pPr>
          </w:p>
        </w:tc>
      </w:tr>
      <w:tr w:rsidR="00FD0319" w:rsidRPr="005F120D" w:rsidTr="00BF53AC">
        <w:tc>
          <w:tcPr>
            <w:tcW w:w="170" w:type="pct"/>
            <w:vMerge/>
            <w:shd w:val="clear" w:color="auto" w:fill="FDE9D9" w:themeFill="accent6" w:themeFillTint="33"/>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Girls</w:t>
            </w:r>
          </w:p>
        </w:tc>
        <w:tc>
          <w:tcPr>
            <w:tcW w:w="35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89.6%</w:t>
            </w:r>
          </w:p>
        </w:tc>
        <w:tc>
          <w:tcPr>
            <w:tcW w:w="333"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93.7%</w:t>
            </w:r>
          </w:p>
        </w:tc>
        <w:tc>
          <w:tcPr>
            <w:tcW w:w="327"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93.4%</w:t>
            </w:r>
          </w:p>
        </w:tc>
        <w:tc>
          <w:tcPr>
            <w:tcW w:w="387"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94.8.7%</w:t>
            </w:r>
          </w:p>
        </w:tc>
        <w:tc>
          <w:tcPr>
            <w:tcW w:w="445" w:type="pct"/>
            <w:tcBorders>
              <w:top w:val="single" w:sz="6" w:space="0" w:color="76923C" w:themeColor="accent3" w:themeShade="BF"/>
              <w:bottom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95.9%</w:t>
            </w:r>
          </w:p>
        </w:tc>
        <w:tc>
          <w:tcPr>
            <w:tcW w:w="316" w:type="pct"/>
            <w:tcBorders>
              <w:top w:val="single" w:sz="6" w:space="0" w:color="76923C" w:themeColor="accent3" w:themeShade="BF"/>
              <w:bottom w:val="single" w:sz="6" w:space="0" w:color="76923C" w:themeColor="accent3" w:themeShade="BF"/>
            </w:tcBorders>
            <w:shd w:val="clear" w:color="auto" w:fill="FDE9D9" w:themeFill="accent6" w:themeFillTint="33"/>
          </w:tcPr>
          <w:p w:rsidR="00FD0319" w:rsidRPr="005F120D" w:rsidRDefault="00F22CCC"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w:t>
            </w:r>
            <w:r w:rsidR="00F50180" w:rsidRPr="005F120D">
              <w:rPr>
                <w:rFonts w:asciiTheme="minorHAnsi" w:eastAsia="Calibri" w:hAnsiTheme="minorHAnsi" w:cstheme="minorHAnsi"/>
                <w:sz w:val="17"/>
                <w:szCs w:val="17"/>
              </w:rPr>
              <w:t>6.6</w:t>
            </w:r>
            <w:r w:rsidRPr="005F120D">
              <w:rPr>
                <w:rFonts w:asciiTheme="minorHAnsi" w:eastAsia="Calibri" w:hAnsiTheme="minorHAnsi" w:cstheme="minorHAnsi"/>
                <w:sz w:val="17"/>
                <w:szCs w:val="17"/>
              </w:rPr>
              <w:t>%</w:t>
            </w:r>
          </w:p>
        </w:tc>
        <w:tc>
          <w:tcPr>
            <w:tcW w:w="316" w:type="pct"/>
            <w:tcBorders>
              <w:top w:val="single" w:sz="6" w:space="0" w:color="76923C" w:themeColor="accent3" w:themeShade="BF"/>
              <w:bottom w:val="single" w:sz="6" w:space="0" w:color="76923C" w:themeColor="accent3"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95%</w:t>
            </w:r>
          </w:p>
        </w:tc>
        <w:tc>
          <w:tcPr>
            <w:tcW w:w="785" w:type="pct"/>
            <w:vMerge/>
            <w:shd w:val="clear" w:color="auto" w:fill="FDE9D9" w:themeFill="accent6" w:themeFillTint="33"/>
          </w:tcPr>
          <w:p w:rsidR="00FD0319" w:rsidRPr="005F120D" w:rsidRDefault="00FD0319" w:rsidP="000A5B80">
            <w:pPr>
              <w:pStyle w:val="NoSpacing"/>
              <w:rPr>
                <w:rFonts w:asciiTheme="minorHAnsi" w:eastAsia="Calibri" w:hAnsiTheme="minorHAnsi" w:cstheme="minorHAnsi"/>
                <w:sz w:val="17"/>
                <w:szCs w:val="17"/>
              </w:rPr>
            </w:pPr>
          </w:p>
        </w:tc>
      </w:tr>
      <w:tr w:rsidR="00FD792F" w:rsidRPr="005F120D" w:rsidTr="00BF53AC">
        <w:tc>
          <w:tcPr>
            <w:tcW w:w="170" w:type="pct"/>
            <w:vMerge w:val="restart"/>
            <w:shd w:val="clear" w:color="auto" w:fill="DAEEF3" w:themeFill="accent5" w:themeFillTint="33"/>
          </w:tcPr>
          <w:p w:rsidR="00FD792F" w:rsidRPr="005F120D" w:rsidRDefault="00FD792F"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w:t>
            </w:r>
          </w:p>
        </w:tc>
        <w:tc>
          <w:tcPr>
            <w:tcW w:w="1254" w:type="pct"/>
            <w:vMerge w:val="restart"/>
            <w:shd w:val="clear" w:color="auto" w:fill="DAEEF3" w:themeFill="accent5" w:themeFillTint="33"/>
          </w:tcPr>
          <w:p w:rsidR="00FD792F" w:rsidRPr="005F120D" w:rsidRDefault="00FD792F"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Repetition rate (EFA-12) (%)</w:t>
            </w:r>
          </w:p>
        </w:tc>
        <w:tc>
          <w:tcPr>
            <w:tcW w:w="312"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All</w:t>
            </w:r>
          </w:p>
        </w:tc>
        <w:tc>
          <w:tcPr>
            <w:tcW w:w="355"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12.6%</w:t>
            </w:r>
          </w:p>
        </w:tc>
        <w:tc>
          <w:tcPr>
            <w:tcW w:w="333"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11.1%</w:t>
            </w:r>
          </w:p>
        </w:tc>
        <w:tc>
          <w:tcPr>
            <w:tcW w:w="327"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7.3%</w:t>
            </w:r>
          </w:p>
        </w:tc>
        <w:tc>
          <w:tcPr>
            <w:tcW w:w="387"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6.9%</w:t>
            </w:r>
          </w:p>
        </w:tc>
        <w:tc>
          <w:tcPr>
            <w:tcW w:w="445" w:type="pct"/>
            <w:tcBorders>
              <w:top w:val="single" w:sz="6" w:space="0" w:color="76923C" w:themeColor="accent3" w:themeShade="BF"/>
              <w:bottom w:val="single" w:sz="6" w:space="0" w:color="76923C" w:themeColor="accent3" w:themeShade="BF"/>
            </w:tcBorders>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6.4%</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792F" w:rsidRPr="005F120D" w:rsidRDefault="00FD792F" w:rsidP="000A5B80">
            <w:pPr>
              <w:pStyle w:val="NoSpacing"/>
              <w:jc w:val="center"/>
              <w:rPr>
                <w:rFonts w:asciiTheme="minorHAnsi" w:hAnsiTheme="minorHAnsi" w:cstheme="minorHAnsi"/>
                <w:sz w:val="17"/>
                <w:szCs w:val="17"/>
              </w:rPr>
            </w:pPr>
            <w:r w:rsidRPr="005F120D">
              <w:rPr>
                <w:rFonts w:asciiTheme="minorHAnsi" w:hAnsiTheme="minorHAnsi" w:cstheme="minorHAnsi"/>
                <w:sz w:val="17"/>
                <w:szCs w:val="17"/>
              </w:rPr>
              <w:t>6.2%</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5%</w:t>
            </w:r>
          </w:p>
        </w:tc>
        <w:tc>
          <w:tcPr>
            <w:tcW w:w="785" w:type="pct"/>
            <w:vMerge w:val="restart"/>
            <w:shd w:val="clear" w:color="auto" w:fill="DAEEF3" w:themeFill="accent5" w:themeFillTint="33"/>
          </w:tcPr>
          <w:p w:rsidR="00FD792F" w:rsidRPr="005F120D" w:rsidRDefault="00FD792F"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Improving trend</w:t>
            </w:r>
          </w:p>
        </w:tc>
      </w:tr>
      <w:tr w:rsidR="00FD792F" w:rsidRPr="005F120D" w:rsidTr="00BF53AC">
        <w:tc>
          <w:tcPr>
            <w:tcW w:w="170" w:type="pct"/>
            <w:vMerge/>
            <w:shd w:val="clear" w:color="auto" w:fill="DAEEF3" w:themeFill="accent5" w:themeFillTint="33"/>
          </w:tcPr>
          <w:p w:rsidR="00FD792F" w:rsidRPr="005F120D" w:rsidRDefault="00FD792F" w:rsidP="00BF53AC">
            <w:pPr>
              <w:pStyle w:val="NoSpacing"/>
              <w:jc w:val="center"/>
              <w:rPr>
                <w:rFonts w:asciiTheme="minorHAnsi" w:eastAsia="Calibri" w:hAnsiTheme="minorHAnsi" w:cstheme="minorHAnsi"/>
                <w:sz w:val="17"/>
                <w:szCs w:val="17"/>
              </w:rPr>
            </w:pPr>
          </w:p>
        </w:tc>
        <w:tc>
          <w:tcPr>
            <w:tcW w:w="1254" w:type="pct"/>
            <w:vMerge/>
            <w:shd w:val="clear" w:color="auto" w:fill="DAEEF3" w:themeFill="accent5" w:themeFillTint="33"/>
          </w:tcPr>
          <w:p w:rsidR="00FD792F" w:rsidRPr="005F120D" w:rsidRDefault="00FD792F" w:rsidP="000A5B80">
            <w:pPr>
              <w:pStyle w:val="NoSpacing"/>
              <w:rPr>
                <w:rFonts w:asciiTheme="minorHAnsi" w:eastAsia="Calibri" w:hAnsiTheme="minorHAnsi" w:cstheme="minorHAnsi"/>
                <w:sz w:val="17"/>
                <w:szCs w:val="17"/>
              </w:rPr>
            </w:pPr>
          </w:p>
        </w:tc>
        <w:tc>
          <w:tcPr>
            <w:tcW w:w="312"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Boys</w:t>
            </w:r>
          </w:p>
        </w:tc>
        <w:tc>
          <w:tcPr>
            <w:tcW w:w="355"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12.8%</w:t>
            </w:r>
          </w:p>
        </w:tc>
        <w:tc>
          <w:tcPr>
            <w:tcW w:w="333"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11.6%</w:t>
            </w:r>
          </w:p>
        </w:tc>
        <w:tc>
          <w:tcPr>
            <w:tcW w:w="327"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7.7%</w:t>
            </w:r>
          </w:p>
        </w:tc>
        <w:tc>
          <w:tcPr>
            <w:tcW w:w="387"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7.3%</w:t>
            </w:r>
          </w:p>
        </w:tc>
        <w:tc>
          <w:tcPr>
            <w:tcW w:w="445" w:type="pct"/>
            <w:tcBorders>
              <w:top w:val="single" w:sz="6" w:space="0" w:color="76923C" w:themeColor="accent3" w:themeShade="BF"/>
              <w:bottom w:val="single" w:sz="6" w:space="0" w:color="76923C" w:themeColor="accent3" w:themeShade="BF"/>
            </w:tcBorders>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6.9%</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6.4%</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5%</w:t>
            </w:r>
          </w:p>
        </w:tc>
        <w:tc>
          <w:tcPr>
            <w:tcW w:w="785" w:type="pct"/>
            <w:vMerge/>
            <w:shd w:val="clear" w:color="auto" w:fill="DAEEF3" w:themeFill="accent5" w:themeFillTint="33"/>
          </w:tcPr>
          <w:p w:rsidR="00FD792F" w:rsidRPr="005F120D" w:rsidRDefault="00FD792F" w:rsidP="000A5B80">
            <w:pPr>
              <w:pStyle w:val="NoSpacing"/>
              <w:rPr>
                <w:rFonts w:asciiTheme="minorHAnsi" w:eastAsia="Calibri" w:hAnsiTheme="minorHAnsi" w:cstheme="minorHAnsi"/>
                <w:sz w:val="17"/>
                <w:szCs w:val="17"/>
              </w:rPr>
            </w:pPr>
          </w:p>
        </w:tc>
      </w:tr>
      <w:tr w:rsidR="00FD792F" w:rsidRPr="005F120D" w:rsidTr="00BF53AC">
        <w:tc>
          <w:tcPr>
            <w:tcW w:w="170" w:type="pct"/>
            <w:vMerge/>
            <w:shd w:val="clear" w:color="auto" w:fill="DAEEF3" w:themeFill="accent5" w:themeFillTint="33"/>
          </w:tcPr>
          <w:p w:rsidR="00FD792F" w:rsidRPr="005F120D" w:rsidRDefault="00FD792F" w:rsidP="00BF53AC">
            <w:pPr>
              <w:pStyle w:val="NoSpacing"/>
              <w:jc w:val="center"/>
              <w:rPr>
                <w:rFonts w:asciiTheme="minorHAnsi" w:eastAsia="Calibri" w:hAnsiTheme="minorHAnsi" w:cstheme="minorHAnsi"/>
                <w:sz w:val="17"/>
                <w:szCs w:val="17"/>
              </w:rPr>
            </w:pPr>
          </w:p>
        </w:tc>
        <w:tc>
          <w:tcPr>
            <w:tcW w:w="1254" w:type="pct"/>
            <w:vMerge/>
            <w:shd w:val="clear" w:color="auto" w:fill="DAEEF3" w:themeFill="accent5" w:themeFillTint="33"/>
          </w:tcPr>
          <w:p w:rsidR="00FD792F" w:rsidRPr="005F120D" w:rsidRDefault="00FD792F" w:rsidP="000A5B80">
            <w:pPr>
              <w:pStyle w:val="NoSpacing"/>
              <w:rPr>
                <w:rFonts w:asciiTheme="minorHAnsi" w:eastAsia="Calibri" w:hAnsiTheme="minorHAnsi" w:cstheme="minorHAnsi"/>
                <w:sz w:val="17"/>
                <w:szCs w:val="17"/>
              </w:rPr>
            </w:pPr>
          </w:p>
        </w:tc>
        <w:tc>
          <w:tcPr>
            <w:tcW w:w="312"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Girls</w:t>
            </w:r>
          </w:p>
        </w:tc>
        <w:tc>
          <w:tcPr>
            <w:tcW w:w="355"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12.4%</w:t>
            </w:r>
          </w:p>
        </w:tc>
        <w:tc>
          <w:tcPr>
            <w:tcW w:w="333"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10.6%</w:t>
            </w:r>
          </w:p>
        </w:tc>
        <w:tc>
          <w:tcPr>
            <w:tcW w:w="327"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6.9%</w:t>
            </w:r>
          </w:p>
        </w:tc>
        <w:tc>
          <w:tcPr>
            <w:tcW w:w="387" w:type="pct"/>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6.5%</w:t>
            </w:r>
          </w:p>
        </w:tc>
        <w:tc>
          <w:tcPr>
            <w:tcW w:w="445" w:type="pct"/>
            <w:tcBorders>
              <w:top w:val="single" w:sz="6" w:space="0" w:color="76923C" w:themeColor="accent3" w:themeShade="BF"/>
              <w:bottom w:val="single" w:sz="6" w:space="0" w:color="76923C" w:themeColor="accent3" w:themeShade="BF"/>
            </w:tcBorders>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792F" w:rsidRPr="005F120D" w:rsidRDefault="00FD792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5%</w:t>
            </w:r>
          </w:p>
        </w:tc>
        <w:tc>
          <w:tcPr>
            <w:tcW w:w="785" w:type="pct"/>
            <w:vMerge/>
            <w:shd w:val="clear" w:color="auto" w:fill="DAEEF3" w:themeFill="accent5" w:themeFillTint="33"/>
          </w:tcPr>
          <w:p w:rsidR="00FD792F" w:rsidRPr="005F120D" w:rsidRDefault="00FD792F" w:rsidP="000A5B80">
            <w:pPr>
              <w:pStyle w:val="NoSpacing"/>
              <w:rPr>
                <w:rFonts w:asciiTheme="minorHAnsi" w:eastAsia="Calibri" w:hAnsiTheme="minorHAnsi" w:cstheme="minorHAnsi"/>
                <w:sz w:val="17"/>
                <w:szCs w:val="17"/>
              </w:rPr>
            </w:pPr>
          </w:p>
        </w:tc>
      </w:tr>
      <w:tr w:rsidR="00FD0319" w:rsidRPr="005F120D" w:rsidTr="00BF53AC">
        <w:tc>
          <w:tcPr>
            <w:tcW w:w="170" w:type="pct"/>
            <w:vMerge w:val="restart"/>
            <w:shd w:val="clear" w:color="auto" w:fill="DAEEF3" w:themeFill="accent5" w:themeFillTint="33"/>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3.</w:t>
            </w:r>
          </w:p>
        </w:tc>
        <w:tc>
          <w:tcPr>
            <w:tcW w:w="1254" w:type="pct"/>
            <w:vMerge w:val="restart"/>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Percentage of Grade1 new intakes who completed PPE (EFA-2) (%)</w:t>
            </w:r>
          </w:p>
        </w:tc>
        <w:tc>
          <w:tcPr>
            <w:tcW w:w="312"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All</w:t>
            </w:r>
          </w:p>
        </w:tc>
        <w:tc>
          <w:tcPr>
            <w:tcW w:w="355"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42.25%</w:t>
            </w:r>
          </w:p>
        </w:tc>
        <w:tc>
          <w:tcPr>
            <w:tcW w:w="333"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39.02%</w:t>
            </w:r>
          </w:p>
        </w:tc>
        <w:tc>
          <w:tcPr>
            <w:tcW w:w="327" w:type="pct"/>
            <w:shd w:val="clear" w:color="auto" w:fill="DAEEF3" w:themeFill="accent5" w:themeFillTint="33"/>
          </w:tcPr>
          <w:p w:rsidR="00FD0319" w:rsidRPr="005F120D" w:rsidRDefault="00FD0319" w:rsidP="000A5B80">
            <w:pPr>
              <w:spacing w:after="0"/>
              <w:jc w:val="center"/>
              <w:rPr>
                <w:rFonts w:asciiTheme="minorHAnsi" w:hAnsiTheme="minorHAnsi" w:cstheme="minorHAnsi"/>
                <w:sz w:val="17"/>
                <w:szCs w:val="17"/>
                <w:lang w:eastAsia="en-US"/>
              </w:rPr>
            </w:pPr>
            <w:r w:rsidRPr="005F120D">
              <w:rPr>
                <w:rFonts w:asciiTheme="minorHAnsi" w:eastAsia="Calibri" w:hAnsiTheme="minorHAnsi" w:cstheme="minorHAnsi"/>
                <w:sz w:val="17"/>
                <w:szCs w:val="17"/>
                <w:lang w:eastAsia="en-US"/>
              </w:rPr>
              <w:t>50.03%</w:t>
            </w:r>
          </w:p>
        </w:tc>
        <w:tc>
          <w:tcPr>
            <w:tcW w:w="38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47. 28%</w:t>
            </w:r>
          </w:p>
        </w:tc>
        <w:tc>
          <w:tcPr>
            <w:tcW w:w="445"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51.07 %</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0110B5"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96%</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80%</w:t>
            </w:r>
          </w:p>
        </w:tc>
        <w:tc>
          <w:tcPr>
            <w:tcW w:w="785" w:type="pct"/>
            <w:vMerge w:val="restart"/>
            <w:shd w:val="clear" w:color="auto" w:fill="DAEEF3" w:themeFill="accent5" w:themeFillTint="33"/>
          </w:tcPr>
          <w:p w:rsidR="00FD0319" w:rsidRPr="005F120D" w:rsidRDefault="00FD0319" w:rsidP="000A5B80">
            <w:pPr>
              <w:spacing w:after="0"/>
              <w:rPr>
                <w:rFonts w:asciiTheme="minorHAnsi" w:hAnsiTheme="minorHAnsi" w:cstheme="minorHAnsi"/>
                <w:sz w:val="17"/>
                <w:szCs w:val="17"/>
              </w:rPr>
            </w:pPr>
            <w:r w:rsidRPr="005F120D">
              <w:rPr>
                <w:rFonts w:asciiTheme="minorHAnsi" w:eastAsia="Calibri" w:hAnsiTheme="minorHAnsi" w:cstheme="minorHAnsi"/>
                <w:sz w:val="17"/>
                <w:szCs w:val="17"/>
              </w:rPr>
              <w:t>Improving trend</w:t>
            </w:r>
          </w:p>
        </w:tc>
      </w:tr>
      <w:tr w:rsidR="00FD0319" w:rsidRPr="005F120D" w:rsidTr="00BF53AC">
        <w:tc>
          <w:tcPr>
            <w:tcW w:w="170" w:type="pct"/>
            <w:vMerge/>
            <w:shd w:val="clear" w:color="auto" w:fill="DAEEF3" w:themeFill="accent5" w:themeFillTint="33"/>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Boys</w:t>
            </w:r>
          </w:p>
        </w:tc>
        <w:tc>
          <w:tcPr>
            <w:tcW w:w="355"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40.58%</w:t>
            </w:r>
          </w:p>
        </w:tc>
        <w:tc>
          <w:tcPr>
            <w:tcW w:w="333"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37.73%</w:t>
            </w:r>
          </w:p>
        </w:tc>
        <w:tc>
          <w:tcPr>
            <w:tcW w:w="327" w:type="pct"/>
            <w:shd w:val="clear" w:color="auto" w:fill="DAEEF3" w:themeFill="accent5" w:themeFillTint="33"/>
          </w:tcPr>
          <w:p w:rsidR="00FD0319" w:rsidRPr="005F120D" w:rsidRDefault="00FD0319" w:rsidP="000A5B80">
            <w:pPr>
              <w:spacing w:after="0"/>
              <w:jc w:val="center"/>
              <w:rPr>
                <w:rFonts w:asciiTheme="minorHAnsi" w:hAnsiTheme="minorHAnsi" w:cstheme="minorHAnsi"/>
                <w:sz w:val="17"/>
                <w:szCs w:val="17"/>
                <w:lang w:eastAsia="en-US"/>
              </w:rPr>
            </w:pPr>
            <w:r w:rsidRPr="005F120D">
              <w:rPr>
                <w:rFonts w:asciiTheme="minorHAnsi" w:eastAsia="Calibri" w:hAnsiTheme="minorHAnsi" w:cstheme="minorHAnsi"/>
                <w:sz w:val="17"/>
                <w:szCs w:val="17"/>
                <w:lang w:eastAsia="en-US"/>
              </w:rPr>
              <w:t>50.01%</w:t>
            </w:r>
          </w:p>
        </w:tc>
        <w:tc>
          <w:tcPr>
            <w:tcW w:w="38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46.50 %</w:t>
            </w:r>
          </w:p>
        </w:tc>
        <w:tc>
          <w:tcPr>
            <w:tcW w:w="445"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50.55 %</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0110B5"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96%</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80%</w:t>
            </w:r>
          </w:p>
        </w:tc>
        <w:tc>
          <w:tcPr>
            <w:tcW w:w="785"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p>
        </w:tc>
      </w:tr>
      <w:tr w:rsidR="00FD0319" w:rsidRPr="005F120D" w:rsidTr="00BF53AC">
        <w:tc>
          <w:tcPr>
            <w:tcW w:w="170" w:type="pct"/>
            <w:vMerge/>
            <w:shd w:val="clear" w:color="auto" w:fill="DAEEF3" w:themeFill="accent5" w:themeFillTint="33"/>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Girls</w:t>
            </w:r>
          </w:p>
        </w:tc>
        <w:tc>
          <w:tcPr>
            <w:tcW w:w="355"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hAnsiTheme="minorHAnsi" w:cstheme="minorHAnsi"/>
                <w:sz w:val="17"/>
                <w:szCs w:val="17"/>
              </w:rPr>
              <w:t>43.94%</w:t>
            </w:r>
          </w:p>
        </w:tc>
        <w:tc>
          <w:tcPr>
            <w:tcW w:w="333"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40.37%</w:t>
            </w:r>
          </w:p>
        </w:tc>
        <w:tc>
          <w:tcPr>
            <w:tcW w:w="327" w:type="pct"/>
            <w:shd w:val="clear" w:color="auto" w:fill="DAEEF3" w:themeFill="accent5" w:themeFillTint="33"/>
          </w:tcPr>
          <w:p w:rsidR="00FD0319" w:rsidRPr="005F120D" w:rsidRDefault="00FD0319" w:rsidP="000A5B80">
            <w:pPr>
              <w:spacing w:after="0"/>
              <w:jc w:val="center"/>
              <w:rPr>
                <w:rFonts w:asciiTheme="minorHAnsi" w:hAnsiTheme="minorHAnsi" w:cstheme="minorHAnsi"/>
                <w:sz w:val="17"/>
                <w:szCs w:val="17"/>
                <w:lang w:eastAsia="en-US"/>
              </w:rPr>
            </w:pPr>
            <w:r w:rsidRPr="005F120D">
              <w:rPr>
                <w:rFonts w:asciiTheme="minorHAnsi" w:eastAsia="Calibri" w:hAnsiTheme="minorHAnsi" w:cstheme="minorHAnsi"/>
                <w:sz w:val="17"/>
                <w:szCs w:val="17"/>
                <w:lang w:eastAsia="en-US"/>
              </w:rPr>
              <w:t>51.83%</w:t>
            </w:r>
          </w:p>
        </w:tc>
        <w:tc>
          <w:tcPr>
            <w:tcW w:w="38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48.09 %</w:t>
            </w:r>
          </w:p>
        </w:tc>
        <w:tc>
          <w:tcPr>
            <w:tcW w:w="445"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51.63 %</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0110B5"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97%</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80%</w:t>
            </w:r>
          </w:p>
        </w:tc>
        <w:tc>
          <w:tcPr>
            <w:tcW w:w="785"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p>
        </w:tc>
      </w:tr>
      <w:tr w:rsidR="00FD0319" w:rsidRPr="005F120D" w:rsidTr="00BF53AC">
        <w:tc>
          <w:tcPr>
            <w:tcW w:w="170" w:type="pct"/>
            <w:vMerge w:val="restart"/>
            <w:shd w:val="clear" w:color="auto" w:fill="DAEEF3" w:themeFill="accent5" w:themeFillTint="33"/>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w:t>
            </w:r>
          </w:p>
        </w:tc>
        <w:tc>
          <w:tcPr>
            <w:tcW w:w="1254" w:type="pct"/>
            <w:vMerge w:val="restart"/>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Student attendance rate (%)</w:t>
            </w:r>
          </w:p>
        </w:tc>
        <w:tc>
          <w:tcPr>
            <w:tcW w:w="312"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All</w:t>
            </w:r>
          </w:p>
        </w:tc>
        <w:tc>
          <w:tcPr>
            <w:tcW w:w="355"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83.5%</w:t>
            </w:r>
          </w:p>
        </w:tc>
        <w:tc>
          <w:tcPr>
            <w:tcW w:w="333"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85.1%</w:t>
            </w:r>
          </w:p>
        </w:tc>
        <w:tc>
          <w:tcPr>
            <w:tcW w:w="32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w:t>
            </w:r>
          </w:p>
        </w:tc>
        <w:tc>
          <w:tcPr>
            <w:tcW w:w="38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86.3%</w:t>
            </w:r>
          </w:p>
        </w:tc>
        <w:tc>
          <w:tcPr>
            <w:tcW w:w="445"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86.7%</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0110B5"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86.9%</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92%</w:t>
            </w:r>
          </w:p>
        </w:tc>
        <w:tc>
          <w:tcPr>
            <w:tcW w:w="785" w:type="pct"/>
            <w:vMerge w:val="restart"/>
            <w:shd w:val="clear" w:color="auto" w:fill="DAEEF3" w:themeFill="accent5" w:themeFillTint="33"/>
          </w:tcPr>
          <w:p w:rsidR="00FD0319" w:rsidRPr="005F120D" w:rsidRDefault="00FD0319" w:rsidP="000A5B80">
            <w:pPr>
              <w:spacing w:after="0"/>
              <w:rPr>
                <w:rFonts w:asciiTheme="minorHAnsi" w:hAnsiTheme="minorHAnsi" w:cstheme="minorHAnsi"/>
                <w:sz w:val="17"/>
                <w:szCs w:val="17"/>
              </w:rPr>
            </w:pPr>
            <w:r w:rsidRPr="005F120D">
              <w:rPr>
                <w:rFonts w:asciiTheme="minorHAnsi" w:eastAsia="Calibri" w:hAnsiTheme="minorHAnsi" w:cstheme="minorHAnsi"/>
                <w:sz w:val="17"/>
                <w:szCs w:val="17"/>
              </w:rPr>
              <w:t>Improving trend</w:t>
            </w:r>
          </w:p>
        </w:tc>
      </w:tr>
      <w:tr w:rsidR="00FD0319" w:rsidRPr="005F120D" w:rsidTr="00BF53AC">
        <w:tc>
          <w:tcPr>
            <w:tcW w:w="170" w:type="pct"/>
            <w:vMerge/>
            <w:shd w:val="clear" w:color="auto" w:fill="DAEEF3" w:themeFill="accent5" w:themeFillTint="33"/>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Boys</w:t>
            </w:r>
          </w:p>
        </w:tc>
        <w:tc>
          <w:tcPr>
            <w:tcW w:w="355"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82.8%</w:t>
            </w:r>
          </w:p>
        </w:tc>
        <w:tc>
          <w:tcPr>
            <w:tcW w:w="333"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84.5%</w:t>
            </w:r>
          </w:p>
        </w:tc>
        <w:tc>
          <w:tcPr>
            <w:tcW w:w="32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w:t>
            </w:r>
          </w:p>
        </w:tc>
        <w:tc>
          <w:tcPr>
            <w:tcW w:w="38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86.2%</w:t>
            </w:r>
          </w:p>
        </w:tc>
        <w:tc>
          <w:tcPr>
            <w:tcW w:w="445"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86.6%</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0110B5"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86.8%</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90%</w:t>
            </w:r>
          </w:p>
        </w:tc>
        <w:tc>
          <w:tcPr>
            <w:tcW w:w="785"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p>
        </w:tc>
      </w:tr>
      <w:tr w:rsidR="00FD0319" w:rsidRPr="005F120D" w:rsidTr="00BF53AC">
        <w:tc>
          <w:tcPr>
            <w:tcW w:w="170" w:type="pct"/>
            <w:vMerge/>
            <w:shd w:val="clear" w:color="auto" w:fill="DAEEF3" w:themeFill="accent5" w:themeFillTint="33"/>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Girls</w:t>
            </w:r>
          </w:p>
        </w:tc>
        <w:tc>
          <w:tcPr>
            <w:tcW w:w="355"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84%</w:t>
            </w:r>
          </w:p>
        </w:tc>
        <w:tc>
          <w:tcPr>
            <w:tcW w:w="333"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85.7%</w:t>
            </w:r>
          </w:p>
        </w:tc>
        <w:tc>
          <w:tcPr>
            <w:tcW w:w="32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w:t>
            </w:r>
          </w:p>
        </w:tc>
        <w:tc>
          <w:tcPr>
            <w:tcW w:w="38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86.5%</w:t>
            </w:r>
          </w:p>
        </w:tc>
        <w:tc>
          <w:tcPr>
            <w:tcW w:w="445"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86.8%</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0110B5"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87%</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95%</w:t>
            </w:r>
          </w:p>
        </w:tc>
        <w:tc>
          <w:tcPr>
            <w:tcW w:w="785"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p>
        </w:tc>
      </w:tr>
      <w:tr w:rsidR="00FD0319" w:rsidRPr="005F120D" w:rsidTr="00BF53AC">
        <w:trPr>
          <w:trHeight w:val="341"/>
        </w:trPr>
        <w:tc>
          <w:tcPr>
            <w:tcW w:w="170" w:type="pct"/>
            <w:shd w:val="clear" w:color="auto" w:fill="DAEEF3" w:themeFill="accent5" w:themeFillTint="33"/>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5.</w:t>
            </w:r>
          </w:p>
        </w:tc>
        <w:tc>
          <w:tcPr>
            <w:tcW w:w="1254" w:type="pct"/>
            <w:shd w:val="clear" w:color="auto" w:fill="DAEEF3" w:themeFill="accent5"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 xml:space="preserve">Number of children from NFE </w:t>
            </w:r>
            <w:r w:rsidR="00183D52" w:rsidRPr="005F120D">
              <w:rPr>
                <w:rFonts w:asciiTheme="minorHAnsi" w:hAnsiTheme="minorHAnsi" w:cstheme="minorHAnsi"/>
                <w:sz w:val="17"/>
                <w:szCs w:val="17"/>
              </w:rPr>
              <w:t>institutes</w:t>
            </w:r>
            <w:r w:rsidRPr="005F120D">
              <w:rPr>
                <w:rFonts w:asciiTheme="minorHAnsi" w:hAnsiTheme="minorHAnsi" w:cstheme="minorHAnsi"/>
                <w:sz w:val="17"/>
                <w:szCs w:val="17"/>
              </w:rPr>
              <w:t xml:space="preserve"> taking Grade 5 PECE</w:t>
            </w:r>
          </w:p>
        </w:tc>
        <w:tc>
          <w:tcPr>
            <w:tcW w:w="312"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All</w:t>
            </w:r>
          </w:p>
        </w:tc>
        <w:tc>
          <w:tcPr>
            <w:tcW w:w="355"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210,559</w:t>
            </w:r>
          </w:p>
        </w:tc>
        <w:tc>
          <w:tcPr>
            <w:tcW w:w="333"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193,451</w:t>
            </w:r>
          </w:p>
        </w:tc>
        <w:tc>
          <w:tcPr>
            <w:tcW w:w="32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246,565</w:t>
            </w:r>
          </w:p>
        </w:tc>
        <w:tc>
          <w:tcPr>
            <w:tcW w:w="387"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109,196</w:t>
            </w:r>
          </w:p>
        </w:tc>
        <w:tc>
          <w:tcPr>
            <w:tcW w:w="445"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70,645</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22CCC"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260,859</w:t>
            </w:r>
          </w:p>
        </w:tc>
        <w:tc>
          <w:tcPr>
            <w:tcW w:w="316" w:type="pct"/>
            <w:tcBorders>
              <w:top w:val="single" w:sz="6" w:space="0" w:color="76923C" w:themeColor="accent3" w:themeShade="BF"/>
              <w:bottom w:val="single" w:sz="6" w:space="0" w:color="76923C" w:themeColor="accent3" w:themeShade="BF"/>
            </w:tcBorders>
            <w:shd w:val="clear" w:color="auto" w:fill="DAEEF3" w:themeFill="accent5" w:themeFillTint="33"/>
          </w:tcPr>
          <w:p w:rsidR="00FD0319" w:rsidRPr="005F120D" w:rsidRDefault="00FE1C5C"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785" w:type="pct"/>
            <w:shd w:val="clear" w:color="auto" w:fill="DAEEF3" w:themeFill="accent5" w:themeFillTint="33"/>
          </w:tcPr>
          <w:p w:rsidR="00FD0319" w:rsidRPr="005F120D" w:rsidRDefault="0097392A"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BRAC, ROSC</w:t>
            </w:r>
            <w:r w:rsidR="00FD0319" w:rsidRPr="005F120D">
              <w:rPr>
                <w:rFonts w:asciiTheme="minorHAnsi" w:eastAsia="Calibri" w:hAnsiTheme="minorHAnsi" w:cstheme="minorHAnsi"/>
                <w:sz w:val="17"/>
                <w:szCs w:val="17"/>
              </w:rPr>
              <w:t>&amp; Shishu Kollyan schools only.</w:t>
            </w:r>
          </w:p>
        </w:tc>
      </w:tr>
      <w:tr w:rsidR="00FD0319" w:rsidRPr="005F120D" w:rsidTr="00BF53AC">
        <w:tc>
          <w:tcPr>
            <w:tcW w:w="170" w:type="pct"/>
            <w:vMerge w:val="restart"/>
            <w:shd w:val="clear" w:color="auto" w:fill="EAF1DD" w:themeFill="accent3" w:themeFillTint="33"/>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w:t>
            </w:r>
          </w:p>
        </w:tc>
        <w:tc>
          <w:tcPr>
            <w:tcW w:w="1254" w:type="pct"/>
            <w:vMerge w:val="restart"/>
            <w:shd w:val="clear" w:color="auto" w:fill="EAF1DD" w:themeFill="accent3"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Survival Rate ( EFA-13)</w:t>
            </w:r>
          </w:p>
        </w:tc>
        <w:tc>
          <w:tcPr>
            <w:tcW w:w="312"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All</w:t>
            </w:r>
          </w:p>
        </w:tc>
        <w:tc>
          <w:tcPr>
            <w:tcW w:w="355"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67.2%</w:t>
            </w:r>
          </w:p>
        </w:tc>
        <w:tc>
          <w:tcPr>
            <w:tcW w:w="333"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79.5%</w:t>
            </w:r>
          </w:p>
        </w:tc>
        <w:tc>
          <w:tcPr>
            <w:tcW w:w="327"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75.3%</w:t>
            </w:r>
          </w:p>
        </w:tc>
        <w:tc>
          <w:tcPr>
            <w:tcW w:w="387"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80.5%</w:t>
            </w:r>
          </w:p>
        </w:tc>
        <w:tc>
          <w:tcPr>
            <w:tcW w:w="445"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81%</w:t>
            </w:r>
          </w:p>
        </w:tc>
        <w:tc>
          <w:tcPr>
            <w:tcW w:w="316"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D8203B"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81.3%</w:t>
            </w:r>
          </w:p>
        </w:tc>
        <w:tc>
          <w:tcPr>
            <w:tcW w:w="316"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85%</w:t>
            </w:r>
          </w:p>
        </w:tc>
        <w:tc>
          <w:tcPr>
            <w:tcW w:w="785" w:type="pct"/>
            <w:vMerge w:val="restart"/>
            <w:shd w:val="clear" w:color="auto" w:fill="EAF1DD" w:themeFill="accent3"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Improving trend</w:t>
            </w:r>
          </w:p>
        </w:tc>
      </w:tr>
      <w:tr w:rsidR="00FD0319" w:rsidRPr="005F120D" w:rsidTr="00BF53AC">
        <w:tc>
          <w:tcPr>
            <w:tcW w:w="170" w:type="pct"/>
            <w:vMerge/>
            <w:shd w:val="clear" w:color="auto" w:fill="EAF1DD" w:themeFill="accent3" w:themeFillTint="33"/>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EAF1DD" w:themeFill="accent3" w:themeFillTint="33"/>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Boys</w:t>
            </w:r>
          </w:p>
        </w:tc>
        <w:tc>
          <w:tcPr>
            <w:tcW w:w="355"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65.9%</w:t>
            </w:r>
          </w:p>
        </w:tc>
        <w:tc>
          <w:tcPr>
            <w:tcW w:w="333"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77%</w:t>
            </w:r>
          </w:p>
        </w:tc>
        <w:tc>
          <w:tcPr>
            <w:tcW w:w="327"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73.5%</w:t>
            </w:r>
          </w:p>
        </w:tc>
        <w:tc>
          <w:tcPr>
            <w:tcW w:w="387"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77.7%</w:t>
            </w:r>
          </w:p>
        </w:tc>
        <w:tc>
          <w:tcPr>
            <w:tcW w:w="445"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77.6%</w:t>
            </w:r>
          </w:p>
        </w:tc>
        <w:tc>
          <w:tcPr>
            <w:tcW w:w="316"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D8203B"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77.9%</w:t>
            </w:r>
          </w:p>
        </w:tc>
        <w:tc>
          <w:tcPr>
            <w:tcW w:w="316"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85%</w:t>
            </w:r>
          </w:p>
        </w:tc>
        <w:tc>
          <w:tcPr>
            <w:tcW w:w="785" w:type="pct"/>
            <w:vMerge/>
            <w:shd w:val="clear" w:color="auto" w:fill="EAF1DD" w:themeFill="accent3" w:themeFillTint="33"/>
          </w:tcPr>
          <w:p w:rsidR="00FD0319" w:rsidRPr="005F120D" w:rsidRDefault="00FD0319" w:rsidP="000A5B80">
            <w:pPr>
              <w:pStyle w:val="NoSpacing"/>
              <w:rPr>
                <w:rFonts w:asciiTheme="minorHAnsi" w:eastAsia="Calibri" w:hAnsiTheme="minorHAnsi" w:cstheme="minorHAnsi"/>
                <w:sz w:val="17"/>
                <w:szCs w:val="17"/>
              </w:rPr>
            </w:pPr>
          </w:p>
        </w:tc>
      </w:tr>
      <w:tr w:rsidR="00FD0319" w:rsidRPr="005F120D" w:rsidTr="00BF53AC">
        <w:trPr>
          <w:trHeight w:val="188"/>
        </w:trPr>
        <w:tc>
          <w:tcPr>
            <w:tcW w:w="170" w:type="pct"/>
            <w:vMerge/>
            <w:shd w:val="clear" w:color="auto" w:fill="EAF1DD" w:themeFill="accent3" w:themeFillTint="33"/>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EAF1DD" w:themeFill="accent3" w:themeFillTint="33"/>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Girls</w:t>
            </w:r>
          </w:p>
        </w:tc>
        <w:tc>
          <w:tcPr>
            <w:tcW w:w="355"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68.6%</w:t>
            </w:r>
          </w:p>
        </w:tc>
        <w:tc>
          <w:tcPr>
            <w:tcW w:w="333"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82.1%</w:t>
            </w:r>
          </w:p>
        </w:tc>
        <w:tc>
          <w:tcPr>
            <w:tcW w:w="327"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77%</w:t>
            </w:r>
          </w:p>
        </w:tc>
        <w:tc>
          <w:tcPr>
            <w:tcW w:w="387"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83.3%</w:t>
            </w:r>
          </w:p>
        </w:tc>
        <w:tc>
          <w:tcPr>
            <w:tcW w:w="445"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84.4%</w:t>
            </w:r>
          </w:p>
        </w:tc>
        <w:tc>
          <w:tcPr>
            <w:tcW w:w="316"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D8203B"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84.7%</w:t>
            </w:r>
          </w:p>
        </w:tc>
        <w:tc>
          <w:tcPr>
            <w:tcW w:w="316"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85%</w:t>
            </w:r>
          </w:p>
        </w:tc>
        <w:tc>
          <w:tcPr>
            <w:tcW w:w="785" w:type="pct"/>
            <w:vMerge/>
            <w:shd w:val="clear" w:color="auto" w:fill="EAF1DD" w:themeFill="accent3" w:themeFillTint="33"/>
          </w:tcPr>
          <w:p w:rsidR="00FD0319" w:rsidRPr="005F120D" w:rsidRDefault="00FD0319" w:rsidP="000A5B80">
            <w:pPr>
              <w:pStyle w:val="NoSpacing"/>
              <w:rPr>
                <w:rFonts w:asciiTheme="minorHAnsi" w:eastAsia="Calibri" w:hAnsiTheme="minorHAnsi" w:cstheme="minorHAnsi"/>
                <w:sz w:val="17"/>
                <w:szCs w:val="17"/>
              </w:rPr>
            </w:pPr>
          </w:p>
        </w:tc>
      </w:tr>
      <w:tr w:rsidR="00FD0319" w:rsidRPr="005F120D" w:rsidTr="00BF53AC">
        <w:tc>
          <w:tcPr>
            <w:tcW w:w="170" w:type="pct"/>
            <w:shd w:val="clear" w:color="auto" w:fill="EAF1DD" w:themeFill="accent3" w:themeFillTint="33"/>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w:t>
            </w:r>
          </w:p>
        </w:tc>
        <w:tc>
          <w:tcPr>
            <w:tcW w:w="1254" w:type="pct"/>
            <w:shd w:val="clear" w:color="auto" w:fill="EAF1DD" w:themeFill="accent3" w:themeFillTint="33"/>
          </w:tcPr>
          <w:p w:rsidR="00FD0319" w:rsidRPr="005F120D" w:rsidRDefault="00213822" w:rsidP="000A5B80">
            <w:pPr>
              <w:pStyle w:val="NoSpacing"/>
              <w:rPr>
                <w:rFonts w:asciiTheme="minorHAnsi" w:eastAsia="Calibri" w:hAnsiTheme="minorHAnsi" w:cstheme="minorHAnsi"/>
                <w:sz w:val="17"/>
                <w:szCs w:val="17"/>
              </w:rPr>
            </w:pPr>
            <w:r>
              <w:rPr>
                <w:rFonts w:asciiTheme="minorHAnsi" w:hAnsiTheme="minorHAnsi" w:cstheme="minorHAnsi"/>
                <w:sz w:val="17"/>
                <w:szCs w:val="17"/>
              </w:rPr>
              <w:t xml:space="preserve">Percentage of Single Shift </w:t>
            </w:r>
            <w:r w:rsidR="00FD0319" w:rsidRPr="005F120D">
              <w:rPr>
                <w:rFonts w:asciiTheme="minorHAnsi" w:hAnsiTheme="minorHAnsi" w:cstheme="minorHAnsi"/>
                <w:sz w:val="17"/>
                <w:szCs w:val="17"/>
              </w:rPr>
              <w:t>School</w:t>
            </w:r>
            <w:r w:rsidR="002F39E6" w:rsidRPr="005F120D">
              <w:rPr>
                <w:rFonts w:asciiTheme="minorHAnsi" w:hAnsiTheme="minorHAnsi" w:cstheme="minorHAnsi"/>
                <w:sz w:val="17"/>
                <w:szCs w:val="17"/>
              </w:rPr>
              <w:t xml:space="preserve">s </w:t>
            </w:r>
            <w:r w:rsidR="00FD0319" w:rsidRPr="005F120D">
              <w:rPr>
                <w:rFonts w:asciiTheme="minorHAnsi" w:hAnsiTheme="minorHAnsi" w:cstheme="minorHAnsi"/>
                <w:sz w:val="17"/>
                <w:szCs w:val="17"/>
              </w:rPr>
              <w:t>(%)</w:t>
            </w:r>
          </w:p>
        </w:tc>
        <w:tc>
          <w:tcPr>
            <w:tcW w:w="312" w:type="pct"/>
            <w:shd w:val="clear" w:color="auto" w:fill="EAF1DD" w:themeFill="accent3" w:themeFillTint="33"/>
          </w:tcPr>
          <w:p w:rsidR="00FD0319" w:rsidRPr="005F120D" w:rsidRDefault="003E4AA7"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GPS</w:t>
            </w:r>
          </w:p>
        </w:tc>
        <w:tc>
          <w:tcPr>
            <w:tcW w:w="355"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21%</w:t>
            </w: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(7,680)</w:t>
            </w:r>
          </w:p>
        </w:tc>
        <w:tc>
          <w:tcPr>
            <w:tcW w:w="333" w:type="pct"/>
            <w:shd w:val="clear" w:color="auto" w:fill="EAF1DD" w:themeFill="accent3"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22.38%</w:t>
            </w:r>
          </w:p>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(8,188)</w:t>
            </w:r>
          </w:p>
        </w:tc>
        <w:tc>
          <w:tcPr>
            <w:tcW w:w="327" w:type="pct"/>
            <w:shd w:val="clear" w:color="auto" w:fill="EAF1DD" w:themeFill="accent3"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21.85%</w:t>
            </w: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(7,992)</w:t>
            </w:r>
          </w:p>
        </w:tc>
        <w:tc>
          <w:tcPr>
            <w:tcW w:w="387"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22.36%</w:t>
            </w: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(8,178)</w:t>
            </w:r>
          </w:p>
        </w:tc>
        <w:tc>
          <w:tcPr>
            <w:tcW w:w="445"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22.36%</w:t>
            </w: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(8,178)</w:t>
            </w:r>
          </w:p>
        </w:tc>
        <w:tc>
          <w:tcPr>
            <w:tcW w:w="316" w:type="pct"/>
            <w:tcBorders>
              <w:top w:val="single" w:sz="6" w:space="0" w:color="76923C" w:themeColor="accent3" w:themeShade="BF"/>
              <w:bottom w:val="single" w:sz="6" w:space="0" w:color="76923C" w:themeColor="accent3" w:themeShade="BF"/>
            </w:tcBorders>
            <w:shd w:val="clear" w:color="auto" w:fill="EAF1DD" w:themeFill="accent3" w:themeFillTint="33"/>
          </w:tcPr>
          <w:p w:rsidR="0070555A" w:rsidRPr="005F120D" w:rsidRDefault="0070555A"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21.6 % (8,</w:t>
            </w:r>
            <w:r w:rsidR="003E4AA7" w:rsidRPr="005F120D">
              <w:rPr>
                <w:rFonts w:asciiTheme="minorHAnsi" w:eastAsia="Calibri" w:hAnsiTheme="minorHAnsi" w:cstheme="minorHAnsi"/>
                <w:sz w:val="17"/>
                <w:szCs w:val="17"/>
              </w:rPr>
              <w:t>255</w:t>
            </w:r>
            <w:r w:rsidRPr="005F120D">
              <w:rPr>
                <w:rFonts w:asciiTheme="minorHAnsi" w:eastAsia="Calibri" w:hAnsiTheme="minorHAnsi" w:cstheme="minorHAnsi"/>
                <w:sz w:val="17"/>
                <w:szCs w:val="17"/>
              </w:rPr>
              <w:t>)</w:t>
            </w:r>
          </w:p>
        </w:tc>
        <w:tc>
          <w:tcPr>
            <w:tcW w:w="316" w:type="pct"/>
            <w:tcBorders>
              <w:top w:val="single" w:sz="6" w:space="0" w:color="76923C" w:themeColor="accent3" w:themeShade="BF"/>
              <w:bottom w:val="single" w:sz="6" w:space="0" w:color="76923C" w:themeColor="accent3"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28%</w:t>
            </w:r>
          </w:p>
        </w:tc>
        <w:tc>
          <w:tcPr>
            <w:tcW w:w="785" w:type="pct"/>
            <w:shd w:val="clear" w:color="auto" w:fill="EAF1DD" w:themeFill="accent3" w:themeFillTint="33"/>
          </w:tcPr>
          <w:p w:rsidR="004866A5" w:rsidRDefault="00FD0319"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 xml:space="preserve">*Rephrasing as % instead </w:t>
            </w:r>
            <w:r w:rsidR="002F39E6" w:rsidRPr="005F120D">
              <w:rPr>
                <w:rFonts w:asciiTheme="minorHAnsi" w:eastAsia="Calibri" w:hAnsiTheme="minorHAnsi" w:cstheme="minorHAnsi"/>
                <w:sz w:val="17"/>
                <w:szCs w:val="17"/>
              </w:rPr>
              <w:t>of</w:t>
            </w:r>
            <w:r w:rsidRPr="005F120D">
              <w:rPr>
                <w:rFonts w:asciiTheme="minorHAnsi" w:eastAsia="Calibri" w:hAnsiTheme="minorHAnsi" w:cstheme="minorHAnsi"/>
                <w:sz w:val="17"/>
                <w:szCs w:val="17"/>
              </w:rPr>
              <w:t>No.</w:t>
            </w:r>
          </w:p>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*Same as PEDPII target</w:t>
            </w:r>
          </w:p>
        </w:tc>
      </w:tr>
      <w:tr w:rsidR="00FD0319" w:rsidRPr="005F120D" w:rsidTr="00BF53AC">
        <w:trPr>
          <w:trHeight w:val="85"/>
        </w:trPr>
        <w:tc>
          <w:tcPr>
            <w:tcW w:w="170" w:type="pct"/>
            <w:vMerge w:val="restart"/>
            <w:shd w:val="clear" w:color="auto" w:fill="auto"/>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w:t>
            </w:r>
          </w:p>
        </w:tc>
        <w:tc>
          <w:tcPr>
            <w:tcW w:w="1254" w:type="pct"/>
            <w:vMerge w:val="restart"/>
            <w:shd w:val="clear" w:color="auto" w:fill="auto"/>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 xml:space="preserve">Percentage of sanctioned posts filled in </w:t>
            </w:r>
            <w:r w:rsidR="00213822" w:rsidRPr="005F120D">
              <w:rPr>
                <w:rFonts w:asciiTheme="minorHAnsi" w:hAnsiTheme="minorHAnsi" w:cstheme="minorHAnsi"/>
                <w:sz w:val="17"/>
                <w:szCs w:val="17"/>
              </w:rPr>
              <w:t>districts (</w:t>
            </w:r>
            <w:r w:rsidRPr="005F120D">
              <w:rPr>
                <w:rFonts w:asciiTheme="minorHAnsi" w:hAnsiTheme="minorHAnsi" w:cstheme="minorHAnsi"/>
                <w:sz w:val="17"/>
                <w:szCs w:val="17"/>
              </w:rPr>
              <w:t xml:space="preserve">staff) and </w:t>
            </w:r>
            <w:r w:rsidR="000E13B6" w:rsidRPr="005F120D">
              <w:rPr>
                <w:rFonts w:asciiTheme="minorHAnsi" w:hAnsiTheme="minorHAnsi" w:cstheme="minorHAnsi"/>
                <w:sz w:val="17"/>
                <w:szCs w:val="17"/>
              </w:rPr>
              <w:t>Upazilas</w:t>
            </w:r>
            <w:r w:rsidRPr="005F120D">
              <w:rPr>
                <w:rFonts w:asciiTheme="minorHAnsi" w:hAnsiTheme="minorHAnsi" w:cstheme="minorHAnsi"/>
                <w:sz w:val="17"/>
                <w:szCs w:val="17"/>
              </w:rPr>
              <w:t xml:space="preserve"> (teachers).</w:t>
            </w:r>
          </w:p>
        </w:tc>
        <w:tc>
          <w:tcPr>
            <w:tcW w:w="312" w:type="pct"/>
            <w:shd w:val="clear" w:color="auto" w:fill="auto"/>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District</w:t>
            </w:r>
          </w:p>
        </w:tc>
        <w:tc>
          <w:tcPr>
            <w:tcW w:w="355" w:type="pct"/>
            <w:shd w:val="clear" w:color="auto" w:fill="auto"/>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333" w:type="pct"/>
            <w:shd w:val="clear" w:color="auto" w:fill="auto"/>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327" w:type="pct"/>
            <w:shd w:val="clear" w:color="auto" w:fill="auto"/>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387" w:type="pct"/>
            <w:shd w:val="clear" w:color="auto" w:fill="auto"/>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445" w:type="pct"/>
            <w:tcBorders>
              <w:top w:val="single" w:sz="6" w:space="0" w:color="76923C" w:themeColor="accent3" w:themeShade="BF"/>
              <w:bottom w:val="single" w:sz="6" w:space="0" w:color="76923C" w:themeColor="accent3" w:themeShade="BF"/>
            </w:tcBorders>
            <w:shd w:val="clear" w:color="auto" w:fill="FFFFFF" w:themeFill="background1"/>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316" w:type="pct"/>
            <w:tcBorders>
              <w:top w:val="single" w:sz="6" w:space="0" w:color="76923C" w:themeColor="accent3" w:themeShade="BF"/>
              <w:bottom w:val="single" w:sz="6" w:space="0" w:color="76923C" w:themeColor="accent3" w:themeShade="BF"/>
            </w:tcBorders>
            <w:shd w:val="clear" w:color="auto" w:fill="FFFFFF" w:themeFill="background1"/>
          </w:tcPr>
          <w:p w:rsidR="00FD0319" w:rsidRPr="005F120D" w:rsidRDefault="00FD0319" w:rsidP="000A5B80">
            <w:pPr>
              <w:pStyle w:val="NoSpacing"/>
              <w:jc w:val="center"/>
              <w:rPr>
                <w:rFonts w:asciiTheme="minorHAnsi" w:eastAsia="Calibri" w:hAnsiTheme="minorHAnsi" w:cstheme="minorHAnsi"/>
                <w:sz w:val="17"/>
                <w:szCs w:val="17"/>
              </w:rPr>
            </w:pPr>
          </w:p>
        </w:tc>
        <w:tc>
          <w:tcPr>
            <w:tcW w:w="316" w:type="pct"/>
            <w:tcBorders>
              <w:top w:val="single" w:sz="6" w:space="0" w:color="76923C" w:themeColor="accent3" w:themeShade="BF"/>
              <w:bottom w:val="single" w:sz="6" w:space="0" w:color="76923C" w:themeColor="accent3" w:themeShade="BF"/>
            </w:tcBorders>
            <w:shd w:val="clear" w:color="auto" w:fill="FFFFFF" w:themeFill="background1"/>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785" w:type="pct"/>
            <w:vMerge w:val="restart"/>
            <w:shd w:val="clear" w:color="auto" w:fill="auto"/>
          </w:tcPr>
          <w:p w:rsidR="00FD0319" w:rsidRPr="005F120D" w:rsidRDefault="00FD0319" w:rsidP="004004A1">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 xml:space="preserve">Source: DPE administrative data, </w:t>
            </w:r>
            <w:r w:rsidR="00F50180" w:rsidRPr="005F120D">
              <w:rPr>
                <w:rFonts w:asciiTheme="minorHAnsi" w:eastAsia="Calibri" w:hAnsiTheme="minorHAnsi" w:cstheme="minorHAnsi"/>
                <w:sz w:val="17"/>
                <w:szCs w:val="17"/>
              </w:rPr>
              <w:t xml:space="preserve">Upazila refers </w:t>
            </w:r>
            <w:r w:rsidR="00BF53AC" w:rsidRPr="005F120D">
              <w:rPr>
                <w:rFonts w:asciiTheme="minorHAnsi" w:eastAsia="Calibri" w:hAnsiTheme="minorHAnsi" w:cstheme="minorHAnsi"/>
                <w:sz w:val="17"/>
                <w:szCs w:val="17"/>
              </w:rPr>
              <w:t xml:space="preserve">only </w:t>
            </w:r>
            <w:r w:rsidR="002F39E6" w:rsidRPr="005F120D">
              <w:rPr>
                <w:rFonts w:asciiTheme="minorHAnsi" w:eastAsia="Calibri" w:hAnsiTheme="minorHAnsi" w:cstheme="minorHAnsi"/>
                <w:sz w:val="17"/>
                <w:szCs w:val="17"/>
              </w:rPr>
              <w:t xml:space="preserve">to </w:t>
            </w:r>
            <w:r w:rsidR="00E83761" w:rsidRPr="005F120D">
              <w:rPr>
                <w:rFonts w:asciiTheme="minorHAnsi" w:eastAsia="Calibri" w:hAnsiTheme="minorHAnsi" w:cstheme="minorHAnsi"/>
                <w:sz w:val="17"/>
                <w:szCs w:val="17"/>
              </w:rPr>
              <w:t>teachers</w:t>
            </w:r>
            <w:r w:rsidR="00F50180" w:rsidRPr="005F120D">
              <w:rPr>
                <w:rFonts w:asciiTheme="minorHAnsi" w:eastAsia="Calibri" w:hAnsiTheme="minorHAnsi" w:cstheme="minorHAnsi"/>
                <w:sz w:val="17"/>
                <w:szCs w:val="17"/>
              </w:rPr>
              <w:t xml:space="preserve"> and district refers </w:t>
            </w:r>
            <w:r w:rsidR="002F39E6" w:rsidRPr="005F120D">
              <w:rPr>
                <w:rFonts w:asciiTheme="minorHAnsi" w:eastAsia="Calibri" w:hAnsiTheme="minorHAnsi" w:cstheme="minorHAnsi"/>
                <w:sz w:val="17"/>
                <w:szCs w:val="17"/>
              </w:rPr>
              <w:t>to officials.  F</w:t>
            </w:r>
            <w:r w:rsidR="00F50180" w:rsidRPr="005F120D">
              <w:rPr>
                <w:rFonts w:asciiTheme="minorHAnsi" w:eastAsia="Calibri" w:hAnsiTheme="minorHAnsi" w:cstheme="minorHAnsi"/>
                <w:sz w:val="17"/>
                <w:szCs w:val="17"/>
              </w:rPr>
              <w:t>or district progress see the sub-section 3.3.1.5</w:t>
            </w:r>
          </w:p>
        </w:tc>
      </w:tr>
      <w:tr w:rsidR="00FD0319" w:rsidRPr="005F120D" w:rsidTr="00BF53AC">
        <w:tc>
          <w:tcPr>
            <w:tcW w:w="170" w:type="pct"/>
            <w:vMerge/>
            <w:shd w:val="clear" w:color="auto" w:fill="auto"/>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auto"/>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auto"/>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Upazilas</w:t>
            </w: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(HT&amp;AT)</w:t>
            </w:r>
          </w:p>
        </w:tc>
        <w:tc>
          <w:tcPr>
            <w:tcW w:w="355" w:type="pct"/>
            <w:shd w:val="clear" w:color="auto" w:fill="auto"/>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35,680/</w:t>
            </w: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32,863 (92.1%)</w:t>
            </w:r>
          </w:p>
        </w:tc>
        <w:tc>
          <w:tcPr>
            <w:tcW w:w="333" w:type="pct"/>
            <w:shd w:val="clear" w:color="auto" w:fill="auto"/>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6,163/</w:t>
            </w: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5,414 (87.8%)</w:t>
            </w:r>
          </w:p>
        </w:tc>
        <w:tc>
          <w:tcPr>
            <w:tcW w:w="327" w:type="pct"/>
            <w:shd w:val="clear" w:color="auto" w:fill="auto"/>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12,701/</w:t>
            </w: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12,701 (100%)</w:t>
            </w:r>
          </w:p>
        </w:tc>
        <w:tc>
          <w:tcPr>
            <w:tcW w:w="387" w:type="pct"/>
            <w:shd w:val="clear" w:color="auto" w:fill="auto"/>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16,915/</w:t>
            </w: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16,037 (94.8%)</w:t>
            </w:r>
          </w:p>
        </w:tc>
        <w:tc>
          <w:tcPr>
            <w:tcW w:w="445" w:type="pct"/>
            <w:tcBorders>
              <w:top w:val="single" w:sz="6" w:space="0" w:color="76923C" w:themeColor="accent3" w:themeShade="BF"/>
              <w:bottom w:val="single" w:sz="6" w:space="0" w:color="76923C" w:themeColor="accent3" w:themeShade="BF"/>
            </w:tcBorders>
            <w:shd w:val="clear" w:color="auto" w:fill="FFFFFF" w:themeFill="background1"/>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7,333/</w:t>
            </w:r>
          </w:p>
          <w:p w:rsidR="0097392A"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 xml:space="preserve">6,933 </w:t>
            </w: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(94.5</w:t>
            </w:r>
            <w:r w:rsidR="004225EF" w:rsidRPr="005F120D">
              <w:rPr>
                <w:rFonts w:asciiTheme="minorHAnsi" w:eastAsia="Calibri" w:hAnsiTheme="minorHAnsi" w:cstheme="minorHAnsi"/>
                <w:sz w:val="17"/>
                <w:szCs w:val="17"/>
              </w:rPr>
              <w:t>4</w:t>
            </w:r>
            <w:r w:rsidRPr="005F120D">
              <w:rPr>
                <w:rFonts w:asciiTheme="minorHAnsi" w:eastAsia="Calibri" w:hAnsiTheme="minorHAnsi" w:cstheme="minorHAnsi"/>
                <w:sz w:val="17"/>
                <w:szCs w:val="17"/>
              </w:rPr>
              <w:t>%)</w:t>
            </w:r>
          </w:p>
        </w:tc>
        <w:tc>
          <w:tcPr>
            <w:tcW w:w="316" w:type="pct"/>
            <w:tcBorders>
              <w:top w:val="single" w:sz="6" w:space="0" w:color="76923C" w:themeColor="accent3" w:themeShade="BF"/>
              <w:bottom w:val="single" w:sz="6" w:space="0" w:color="76923C" w:themeColor="accent3" w:themeShade="BF"/>
            </w:tcBorders>
            <w:shd w:val="clear" w:color="auto" w:fill="FFFFFF" w:themeFill="background1"/>
          </w:tcPr>
          <w:p w:rsidR="004344C1" w:rsidRPr="005F120D" w:rsidRDefault="004344C1"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15,672/</w:t>
            </w:r>
          </w:p>
          <w:p w:rsidR="00FD0319" w:rsidRPr="005F120D" w:rsidRDefault="004344C1"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13,974</w:t>
            </w:r>
          </w:p>
          <w:p w:rsidR="004344C1" w:rsidRPr="005F120D" w:rsidRDefault="004225EF"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(89.16</w:t>
            </w:r>
            <w:r w:rsidR="004344C1" w:rsidRPr="005F120D">
              <w:rPr>
                <w:rFonts w:asciiTheme="minorHAnsi" w:eastAsia="Calibri" w:hAnsiTheme="minorHAnsi" w:cstheme="minorHAnsi"/>
                <w:sz w:val="17"/>
                <w:szCs w:val="17"/>
              </w:rPr>
              <w:t>%)</w:t>
            </w:r>
          </w:p>
        </w:tc>
        <w:tc>
          <w:tcPr>
            <w:tcW w:w="316" w:type="pct"/>
            <w:tcBorders>
              <w:top w:val="single" w:sz="6" w:space="0" w:color="76923C" w:themeColor="accent3" w:themeShade="BF"/>
              <w:bottom w:val="single" w:sz="6" w:space="0" w:color="76923C" w:themeColor="accent3" w:themeShade="BF"/>
            </w:tcBorders>
            <w:shd w:val="clear" w:color="auto" w:fill="FFFFFF" w:themeFill="background1"/>
          </w:tcPr>
          <w:p w:rsidR="00FD0319" w:rsidRPr="005F120D" w:rsidRDefault="00FD0319" w:rsidP="000A5B80">
            <w:pPr>
              <w:pStyle w:val="NoSpacing"/>
              <w:jc w:val="center"/>
              <w:rPr>
                <w:rFonts w:asciiTheme="minorHAnsi" w:eastAsia="Calibri" w:hAnsiTheme="minorHAnsi" w:cstheme="minorHAnsi"/>
                <w:sz w:val="17"/>
                <w:szCs w:val="17"/>
              </w:rPr>
            </w:pPr>
          </w:p>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785" w:type="pct"/>
            <w:vMerge/>
            <w:shd w:val="clear" w:color="auto" w:fill="auto"/>
          </w:tcPr>
          <w:p w:rsidR="00FD0319" w:rsidRPr="005F120D" w:rsidRDefault="00FD0319" w:rsidP="000A5B80">
            <w:pPr>
              <w:pStyle w:val="NoSpacing"/>
              <w:rPr>
                <w:rFonts w:asciiTheme="minorHAnsi" w:eastAsia="Calibri" w:hAnsiTheme="minorHAnsi" w:cstheme="minorHAnsi"/>
                <w:sz w:val="17"/>
                <w:szCs w:val="17"/>
              </w:rPr>
            </w:pPr>
          </w:p>
        </w:tc>
      </w:tr>
      <w:tr w:rsidR="00FD0319" w:rsidRPr="005F120D" w:rsidTr="00BF53AC">
        <w:tc>
          <w:tcPr>
            <w:tcW w:w="170" w:type="pct"/>
            <w:vMerge w:val="restart"/>
            <w:shd w:val="clear" w:color="auto" w:fill="F2DBDB" w:themeFill="accent2" w:themeFillTint="33"/>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w:t>
            </w:r>
          </w:p>
        </w:tc>
        <w:tc>
          <w:tcPr>
            <w:tcW w:w="1254" w:type="pct"/>
            <w:vMerge w:val="restart"/>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Gross Completion Rate (%)</w:t>
            </w:r>
          </w:p>
        </w:tc>
        <w:tc>
          <w:tcPr>
            <w:tcW w:w="312"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All</w:t>
            </w:r>
          </w:p>
        </w:tc>
        <w:tc>
          <w:tcPr>
            <w:tcW w:w="355"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333"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56.5</w:t>
            </w:r>
          </w:p>
        </w:tc>
        <w:tc>
          <w:tcPr>
            <w:tcW w:w="327"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83.3</w:t>
            </w:r>
          </w:p>
        </w:tc>
        <w:tc>
          <w:tcPr>
            <w:tcW w:w="387"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70.5</w:t>
            </w:r>
          </w:p>
        </w:tc>
        <w:tc>
          <w:tcPr>
            <w:tcW w:w="445"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76.4</w:t>
            </w:r>
          </w:p>
        </w:tc>
        <w:tc>
          <w:tcPr>
            <w:tcW w:w="316"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265DCC"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83.9%</w:t>
            </w:r>
          </w:p>
        </w:tc>
        <w:tc>
          <w:tcPr>
            <w:tcW w:w="316"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785" w:type="pct"/>
            <w:vMerge w:val="restart"/>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 xml:space="preserve">Used 10 years population from 2011 BBS population Census report </w:t>
            </w:r>
          </w:p>
        </w:tc>
      </w:tr>
      <w:tr w:rsidR="00FD0319" w:rsidRPr="005F120D" w:rsidTr="00BF53AC">
        <w:tc>
          <w:tcPr>
            <w:tcW w:w="170" w:type="pct"/>
            <w:vMerge/>
            <w:shd w:val="clear" w:color="auto" w:fill="F2DBDB" w:themeFill="accent2" w:themeFillTint="33"/>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Boys</w:t>
            </w:r>
          </w:p>
        </w:tc>
        <w:tc>
          <w:tcPr>
            <w:tcW w:w="355"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333"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49.3</w:t>
            </w:r>
          </w:p>
        </w:tc>
        <w:tc>
          <w:tcPr>
            <w:tcW w:w="327"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74.4</w:t>
            </w:r>
          </w:p>
        </w:tc>
        <w:tc>
          <w:tcPr>
            <w:tcW w:w="387"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63.4</w:t>
            </w:r>
          </w:p>
        </w:tc>
        <w:tc>
          <w:tcPr>
            <w:tcW w:w="445"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69.1</w:t>
            </w:r>
          </w:p>
        </w:tc>
        <w:tc>
          <w:tcPr>
            <w:tcW w:w="316"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265DCC"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75%</w:t>
            </w:r>
          </w:p>
        </w:tc>
        <w:tc>
          <w:tcPr>
            <w:tcW w:w="316"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785" w:type="pct"/>
            <w:vMerge/>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p>
        </w:tc>
      </w:tr>
      <w:tr w:rsidR="00FD0319" w:rsidRPr="005F120D" w:rsidTr="00BF53AC">
        <w:tc>
          <w:tcPr>
            <w:tcW w:w="170" w:type="pct"/>
            <w:vMerge/>
            <w:shd w:val="clear" w:color="auto" w:fill="F2DBDB" w:themeFill="accent2" w:themeFillTint="33"/>
          </w:tcPr>
          <w:p w:rsidR="00FD0319" w:rsidRPr="005F120D" w:rsidRDefault="00FD0319" w:rsidP="00BF53AC">
            <w:pPr>
              <w:pStyle w:val="NoSpacing"/>
              <w:jc w:val="center"/>
              <w:rPr>
                <w:rFonts w:asciiTheme="minorHAnsi" w:eastAsia="Calibri" w:hAnsiTheme="minorHAnsi" w:cstheme="minorHAnsi"/>
                <w:sz w:val="17"/>
                <w:szCs w:val="17"/>
              </w:rPr>
            </w:pPr>
          </w:p>
        </w:tc>
        <w:tc>
          <w:tcPr>
            <w:tcW w:w="1254" w:type="pct"/>
            <w:vMerge/>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p>
        </w:tc>
        <w:tc>
          <w:tcPr>
            <w:tcW w:w="312"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Girls</w:t>
            </w:r>
          </w:p>
        </w:tc>
        <w:tc>
          <w:tcPr>
            <w:tcW w:w="355"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333"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64.5</w:t>
            </w:r>
          </w:p>
        </w:tc>
        <w:tc>
          <w:tcPr>
            <w:tcW w:w="327"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92.5</w:t>
            </w:r>
          </w:p>
        </w:tc>
        <w:tc>
          <w:tcPr>
            <w:tcW w:w="387"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78</w:t>
            </w:r>
          </w:p>
        </w:tc>
        <w:tc>
          <w:tcPr>
            <w:tcW w:w="445"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84</w:t>
            </w:r>
          </w:p>
        </w:tc>
        <w:tc>
          <w:tcPr>
            <w:tcW w:w="316"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265DCC"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93.3%</w:t>
            </w:r>
          </w:p>
        </w:tc>
        <w:tc>
          <w:tcPr>
            <w:tcW w:w="316"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785" w:type="pct"/>
            <w:vMerge/>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p>
        </w:tc>
      </w:tr>
      <w:tr w:rsidR="00FD0319" w:rsidRPr="005F120D" w:rsidTr="00BF53AC">
        <w:trPr>
          <w:trHeight w:hRule="exact" w:val="690"/>
        </w:trPr>
        <w:tc>
          <w:tcPr>
            <w:tcW w:w="170" w:type="pct"/>
            <w:shd w:val="clear" w:color="auto" w:fill="F2DBDB" w:themeFill="accent2" w:themeFillTint="33"/>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10.</w:t>
            </w:r>
          </w:p>
        </w:tc>
        <w:tc>
          <w:tcPr>
            <w:tcW w:w="1254" w:type="pct"/>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Transiti</w:t>
            </w:r>
            <w:r w:rsidR="00FE1C5C" w:rsidRPr="005F120D">
              <w:rPr>
                <w:rFonts w:asciiTheme="minorHAnsi" w:hAnsiTheme="minorHAnsi" w:cstheme="minorHAnsi"/>
                <w:sz w:val="17"/>
                <w:szCs w:val="17"/>
              </w:rPr>
              <w:t xml:space="preserve">on rate from Grade 5 to Grade 6 </w:t>
            </w:r>
            <w:r w:rsidRPr="005F120D">
              <w:rPr>
                <w:rFonts w:asciiTheme="minorHAnsi" w:hAnsiTheme="minorHAnsi" w:cstheme="minorHAnsi"/>
                <w:sz w:val="17"/>
                <w:szCs w:val="17"/>
              </w:rPr>
              <w:t>(%)</w:t>
            </w:r>
          </w:p>
        </w:tc>
        <w:tc>
          <w:tcPr>
            <w:tcW w:w="312"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All</w:t>
            </w:r>
          </w:p>
          <w:p w:rsidR="00FD0319" w:rsidRPr="005F120D" w:rsidRDefault="00FD0319" w:rsidP="000A5B80">
            <w:pPr>
              <w:pStyle w:val="NoSpacing"/>
              <w:jc w:val="center"/>
              <w:rPr>
                <w:rFonts w:asciiTheme="minorHAnsi" w:eastAsia="Calibri" w:hAnsiTheme="minorHAnsi" w:cstheme="minorHAnsi"/>
                <w:sz w:val="17"/>
                <w:szCs w:val="17"/>
              </w:rPr>
            </w:pPr>
          </w:p>
        </w:tc>
        <w:tc>
          <w:tcPr>
            <w:tcW w:w="355"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p w:rsidR="00FD0319" w:rsidRPr="005F120D" w:rsidRDefault="00FD0319" w:rsidP="000A5B80">
            <w:pPr>
              <w:pStyle w:val="NoSpacing"/>
              <w:jc w:val="center"/>
              <w:rPr>
                <w:rFonts w:asciiTheme="minorHAnsi" w:eastAsia="Calibri" w:hAnsiTheme="minorHAnsi" w:cstheme="minorHAnsi"/>
                <w:sz w:val="17"/>
                <w:szCs w:val="17"/>
              </w:rPr>
            </w:pPr>
          </w:p>
        </w:tc>
        <w:tc>
          <w:tcPr>
            <w:tcW w:w="333" w:type="pct"/>
            <w:shd w:val="clear" w:color="auto" w:fill="F2DBDB" w:themeFill="accent2" w:themeFillTint="33"/>
          </w:tcPr>
          <w:p w:rsidR="00FD0319" w:rsidRPr="005F120D" w:rsidRDefault="00FD0319" w:rsidP="000A5B80">
            <w:pPr>
              <w:spacing w:after="0"/>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327" w:type="pct"/>
            <w:shd w:val="clear" w:color="auto" w:fill="F2DBDB" w:themeFill="accent2" w:themeFillTint="33"/>
          </w:tcPr>
          <w:p w:rsidR="00FD0319" w:rsidRPr="005F120D" w:rsidRDefault="00FD0319" w:rsidP="000A5B80">
            <w:pPr>
              <w:spacing w:after="0"/>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387" w:type="pct"/>
            <w:shd w:val="clear" w:color="auto" w:fill="F2DBDB" w:themeFill="accent2" w:themeFillTint="33"/>
          </w:tcPr>
          <w:p w:rsidR="00FD0319" w:rsidRPr="005F120D" w:rsidRDefault="00FD0319" w:rsidP="000A5B80">
            <w:pPr>
              <w:spacing w:after="0"/>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94% MICS 2012/13</w:t>
            </w:r>
          </w:p>
        </w:tc>
        <w:tc>
          <w:tcPr>
            <w:tcW w:w="445"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FD0319" w:rsidP="000A5B80">
            <w:pPr>
              <w:spacing w:after="0"/>
              <w:jc w:val="center"/>
              <w:rPr>
                <w:rFonts w:asciiTheme="minorHAnsi" w:hAnsiTheme="minorHAnsi" w:cstheme="minorHAnsi"/>
                <w:sz w:val="17"/>
                <w:szCs w:val="17"/>
              </w:rPr>
            </w:pPr>
            <w:r w:rsidRPr="005F120D">
              <w:rPr>
                <w:rFonts w:asciiTheme="minorHAnsi" w:hAnsiTheme="minorHAnsi" w:cstheme="minorHAnsi"/>
                <w:sz w:val="17"/>
                <w:szCs w:val="17"/>
              </w:rPr>
              <w:t>All: 95.6%, Boy-96.8% &amp; Girls-94.6%</w:t>
            </w:r>
          </w:p>
        </w:tc>
        <w:tc>
          <w:tcPr>
            <w:tcW w:w="316"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926201"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All:96.1</w:t>
            </w:r>
            <w:r w:rsidR="00F5703D" w:rsidRPr="005F120D">
              <w:rPr>
                <w:rFonts w:asciiTheme="minorHAnsi" w:eastAsia="Calibri" w:hAnsiTheme="minorHAnsi" w:cstheme="minorHAnsi"/>
                <w:sz w:val="17"/>
                <w:szCs w:val="17"/>
              </w:rPr>
              <w:t>%, Boy:</w:t>
            </w:r>
            <w:r w:rsidRPr="005F120D">
              <w:rPr>
                <w:rFonts w:asciiTheme="minorHAnsi" w:eastAsia="Calibri" w:hAnsiTheme="minorHAnsi" w:cstheme="minorHAnsi"/>
                <w:sz w:val="17"/>
                <w:szCs w:val="17"/>
              </w:rPr>
              <w:t xml:space="preserve"> 97%</w:t>
            </w:r>
          </w:p>
          <w:p w:rsidR="00F5703D" w:rsidRPr="005F120D" w:rsidRDefault="00F5703D"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 xml:space="preserve">Girl: </w:t>
            </w:r>
            <w:r w:rsidR="00926201" w:rsidRPr="005F120D">
              <w:rPr>
                <w:rFonts w:asciiTheme="minorHAnsi" w:eastAsia="Calibri" w:hAnsiTheme="minorHAnsi" w:cstheme="minorHAnsi"/>
                <w:sz w:val="17"/>
                <w:szCs w:val="17"/>
              </w:rPr>
              <w:t>95%</w:t>
            </w:r>
          </w:p>
        </w:tc>
        <w:tc>
          <w:tcPr>
            <w:tcW w:w="316"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n/a</w:t>
            </w:r>
          </w:p>
        </w:tc>
        <w:tc>
          <w:tcPr>
            <w:tcW w:w="785" w:type="pct"/>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2014</w:t>
            </w:r>
            <w:r w:rsidR="005356AD" w:rsidRPr="005F120D">
              <w:rPr>
                <w:rFonts w:asciiTheme="minorHAnsi" w:eastAsia="Calibri" w:hAnsiTheme="minorHAnsi" w:cstheme="minorHAnsi"/>
                <w:sz w:val="17"/>
                <w:szCs w:val="17"/>
              </w:rPr>
              <w:t xml:space="preserve"> and 2015</w:t>
            </w:r>
            <w:r w:rsidRPr="005F120D">
              <w:rPr>
                <w:rFonts w:asciiTheme="minorHAnsi" w:eastAsia="Calibri" w:hAnsiTheme="minorHAnsi" w:cstheme="minorHAnsi"/>
                <w:sz w:val="17"/>
                <w:szCs w:val="17"/>
              </w:rPr>
              <w:t xml:space="preserve"> achievement based on BANBEIS data</w:t>
            </w:r>
          </w:p>
        </w:tc>
      </w:tr>
      <w:tr w:rsidR="00FD0319" w:rsidRPr="005F120D" w:rsidTr="00BF53AC">
        <w:tc>
          <w:tcPr>
            <w:tcW w:w="170" w:type="pct"/>
            <w:shd w:val="clear" w:color="auto" w:fill="F2DBDB" w:themeFill="accent2" w:themeFillTint="33"/>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11.</w:t>
            </w:r>
          </w:p>
        </w:tc>
        <w:tc>
          <w:tcPr>
            <w:tcW w:w="1254" w:type="pct"/>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Public education expenditure as percentage of GDP (EFA-7) (%)</w:t>
            </w:r>
          </w:p>
        </w:tc>
        <w:tc>
          <w:tcPr>
            <w:tcW w:w="312"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MoPME</w:t>
            </w:r>
          </w:p>
        </w:tc>
        <w:tc>
          <w:tcPr>
            <w:tcW w:w="355"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2.3%</w:t>
            </w:r>
          </w:p>
        </w:tc>
        <w:tc>
          <w:tcPr>
            <w:tcW w:w="333"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2.2%</w:t>
            </w:r>
          </w:p>
        </w:tc>
        <w:tc>
          <w:tcPr>
            <w:tcW w:w="327"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2.06%</w:t>
            </w:r>
          </w:p>
        </w:tc>
        <w:tc>
          <w:tcPr>
            <w:tcW w:w="387"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2.11%</w:t>
            </w:r>
          </w:p>
        </w:tc>
        <w:tc>
          <w:tcPr>
            <w:tcW w:w="445"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2.18%</w:t>
            </w:r>
          </w:p>
        </w:tc>
        <w:tc>
          <w:tcPr>
            <w:tcW w:w="316"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926201" w:rsidP="000A5B80">
            <w:pPr>
              <w:spacing w:after="0"/>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w:t>
            </w:r>
            <w:r w:rsidR="00F5703D" w:rsidRPr="005F120D">
              <w:rPr>
                <w:rFonts w:asciiTheme="minorHAnsi" w:eastAsia="Calibri" w:hAnsiTheme="minorHAnsi" w:cstheme="minorHAnsi"/>
                <w:sz w:val="17"/>
                <w:szCs w:val="17"/>
              </w:rPr>
              <w:t>9%</w:t>
            </w:r>
          </w:p>
        </w:tc>
        <w:tc>
          <w:tcPr>
            <w:tcW w:w="316" w:type="pct"/>
            <w:tcBorders>
              <w:top w:val="single" w:sz="6" w:space="0" w:color="76923C" w:themeColor="accent3" w:themeShade="BF"/>
              <w:bottom w:val="single" w:sz="6" w:space="0" w:color="76923C" w:themeColor="accent3" w:themeShade="BF"/>
            </w:tcBorders>
            <w:shd w:val="clear" w:color="auto" w:fill="F2DBDB" w:themeFill="accent2" w:themeFillTint="33"/>
          </w:tcPr>
          <w:p w:rsidR="00FD0319" w:rsidRPr="005F120D" w:rsidRDefault="00FD0319" w:rsidP="000A5B80">
            <w:pPr>
              <w:spacing w:after="0"/>
              <w:jc w:val="center"/>
              <w:rPr>
                <w:rFonts w:asciiTheme="minorHAnsi" w:hAnsiTheme="minorHAnsi" w:cstheme="minorHAnsi"/>
                <w:sz w:val="17"/>
                <w:szCs w:val="17"/>
              </w:rPr>
            </w:pPr>
            <w:r w:rsidRPr="005F120D">
              <w:rPr>
                <w:rFonts w:asciiTheme="minorHAnsi" w:eastAsia="Calibri" w:hAnsiTheme="minorHAnsi" w:cstheme="minorHAnsi"/>
                <w:sz w:val="17"/>
                <w:szCs w:val="17"/>
              </w:rPr>
              <w:t>n/a</w:t>
            </w:r>
          </w:p>
        </w:tc>
        <w:tc>
          <w:tcPr>
            <w:tcW w:w="785" w:type="pct"/>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Target not yet set</w:t>
            </w:r>
            <w:r w:rsidR="00ED7D5A" w:rsidRPr="005F120D">
              <w:rPr>
                <w:rFonts w:asciiTheme="minorHAnsi" w:eastAsia="Calibri" w:hAnsiTheme="minorHAnsi" w:cstheme="minorHAnsi"/>
                <w:sz w:val="17"/>
                <w:szCs w:val="17"/>
              </w:rPr>
              <w:t xml:space="preserve">. Progress </w:t>
            </w:r>
            <w:r w:rsidR="004004A1" w:rsidRPr="005F120D">
              <w:rPr>
                <w:rFonts w:asciiTheme="minorHAnsi" w:eastAsia="Calibri" w:hAnsiTheme="minorHAnsi" w:cstheme="minorHAnsi"/>
                <w:sz w:val="17"/>
                <w:szCs w:val="17"/>
              </w:rPr>
              <w:t xml:space="preserve">calculated </w:t>
            </w:r>
            <w:r w:rsidR="00ED7D5A" w:rsidRPr="005F120D">
              <w:rPr>
                <w:rFonts w:asciiTheme="minorHAnsi" w:eastAsia="Calibri" w:hAnsiTheme="minorHAnsi" w:cstheme="minorHAnsi"/>
                <w:sz w:val="17"/>
                <w:szCs w:val="17"/>
              </w:rPr>
              <w:t>based on MTBF, MoF</w:t>
            </w:r>
          </w:p>
        </w:tc>
      </w:tr>
      <w:tr w:rsidR="00FD0319" w:rsidRPr="005F120D" w:rsidTr="00BF53AC">
        <w:tc>
          <w:tcPr>
            <w:tcW w:w="170" w:type="pct"/>
            <w:shd w:val="clear" w:color="auto" w:fill="F2DBDB" w:themeFill="accent2" w:themeFillTint="33"/>
          </w:tcPr>
          <w:p w:rsidR="00FD0319" w:rsidRPr="005F120D" w:rsidRDefault="00FD0319" w:rsidP="00BF53AC">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12</w:t>
            </w:r>
          </w:p>
        </w:tc>
        <w:tc>
          <w:tcPr>
            <w:tcW w:w="1254" w:type="pct"/>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hAnsiTheme="minorHAnsi" w:cstheme="minorHAnsi"/>
                <w:sz w:val="17"/>
                <w:szCs w:val="17"/>
              </w:rPr>
              <w:t>Public expenditure on primary education as % of total public expenditure on education</w:t>
            </w:r>
          </w:p>
        </w:tc>
        <w:tc>
          <w:tcPr>
            <w:tcW w:w="312"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MoPME</w:t>
            </w:r>
          </w:p>
        </w:tc>
        <w:tc>
          <w:tcPr>
            <w:tcW w:w="355"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45%</w:t>
            </w:r>
          </w:p>
        </w:tc>
        <w:tc>
          <w:tcPr>
            <w:tcW w:w="333"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45.2%</w:t>
            </w:r>
          </w:p>
        </w:tc>
        <w:tc>
          <w:tcPr>
            <w:tcW w:w="327"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45.9%</w:t>
            </w:r>
          </w:p>
        </w:tc>
        <w:tc>
          <w:tcPr>
            <w:tcW w:w="387" w:type="pct"/>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47.5%</w:t>
            </w:r>
          </w:p>
        </w:tc>
        <w:tc>
          <w:tcPr>
            <w:tcW w:w="445" w:type="pct"/>
            <w:tcBorders>
              <w:top w:val="single" w:sz="6" w:space="0" w:color="76923C" w:themeColor="accent3" w:themeShade="BF"/>
              <w:bottom w:val="double" w:sz="4" w:space="0" w:color="76923C" w:themeColor="accent3"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46.8%</w:t>
            </w:r>
          </w:p>
        </w:tc>
        <w:tc>
          <w:tcPr>
            <w:tcW w:w="316" w:type="pct"/>
            <w:tcBorders>
              <w:top w:val="single" w:sz="6" w:space="0" w:color="76923C" w:themeColor="accent3" w:themeShade="BF"/>
              <w:bottom w:val="double" w:sz="4" w:space="0" w:color="76923C" w:themeColor="accent3" w:themeShade="BF"/>
            </w:tcBorders>
            <w:shd w:val="clear" w:color="auto" w:fill="F2DBDB" w:themeFill="accent2" w:themeFillTint="33"/>
          </w:tcPr>
          <w:p w:rsidR="00FD0319" w:rsidRPr="005F120D" w:rsidRDefault="00926201" w:rsidP="000A5B80">
            <w:pPr>
              <w:spacing w:after="0"/>
              <w:jc w:val="center"/>
              <w:rPr>
                <w:rFonts w:asciiTheme="minorHAnsi" w:eastAsia="Calibri" w:hAnsiTheme="minorHAnsi" w:cstheme="minorHAnsi"/>
                <w:sz w:val="17"/>
                <w:szCs w:val="17"/>
              </w:rPr>
            </w:pPr>
            <w:r w:rsidRPr="005F120D">
              <w:rPr>
                <w:rFonts w:asciiTheme="minorHAnsi" w:eastAsia="Calibri" w:hAnsiTheme="minorHAnsi" w:cstheme="minorHAnsi"/>
                <w:sz w:val="17"/>
                <w:szCs w:val="17"/>
              </w:rPr>
              <w:t>43.4</w:t>
            </w:r>
            <w:r w:rsidR="00F5703D" w:rsidRPr="005F120D">
              <w:rPr>
                <w:rFonts w:asciiTheme="minorHAnsi" w:eastAsia="Calibri" w:hAnsiTheme="minorHAnsi" w:cstheme="minorHAnsi"/>
                <w:sz w:val="17"/>
                <w:szCs w:val="17"/>
              </w:rPr>
              <w:t>%</w:t>
            </w:r>
          </w:p>
        </w:tc>
        <w:tc>
          <w:tcPr>
            <w:tcW w:w="316" w:type="pct"/>
            <w:tcBorders>
              <w:top w:val="single" w:sz="6" w:space="0" w:color="76923C" w:themeColor="accent3" w:themeShade="BF"/>
              <w:bottom w:val="double" w:sz="4" w:space="0" w:color="76923C" w:themeColor="accent3" w:themeShade="BF"/>
            </w:tcBorders>
            <w:shd w:val="clear" w:color="auto" w:fill="F2DBDB" w:themeFill="accent2" w:themeFillTint="33"/>
          </w:tcPr>
          <w:p w:rsidR="00FD0319" w:rsidRPr="005F120D" w:rsidRDefault="00FD0319" w:rsidP="000A5B80">
            <w:pPr>
              <w:spacing w:after="0"/>
              <w:jc w:val="center"/>
              <w:rPr>
                <w:rFonts w:asciiTheme="minorHAnsi" w:hAnsiTheme="minorHAnsi" w:cstheme="minorHAnsi"/>
                <w:sz w:val="17"/>
                <w:szCs w:val="17"/>
              </w:rPr>
            </w:pPr>
            <w:r w:rsidRPr="005F120D">
              <w:rPr>
                <w:rFonts w:asciiTheme="minorHAnsi" w:eastAsia="Calibri" w:hAnsiTheme="minorHAnsi" w:cstheme="minorHAnsi"/>
                <w:sz w:val="17"/>
                <w:szCs w:val="17"/>
              </w:rPr>
              <w:t>n/a</w:t>
            </w:r>
          </w:p>
        </w:tc>
        <w:tc>
          <w:tcPr>
            <w:tcW w:w="785" w:type="pct"/>
            <w:shd w:val="clear" w:color="auto" w:fill="F2DBDB" w:themeFill="accent2" w:themeFillTint="33"/>
          </w:tcPr>
          <w:p w:rsidR="00FD0319" w:rsidRPr="005F120D" w:rsidRDefault="00FD0319" w:rsidP="000A5B80">
            <w:pPr>
              <w:pStyle w:val="NoSpacing"/>
              <w:rPr>
                <w:rFonts w:asciiTheme="minorHAnsi" w:eastAsia="Calibri" w:hAnsiTheme="minorHAnsi" w:cstheme="minorHAnsi"/>
                <w:sz w:val="17"/>
                <w:szCs w:val="17"/>
              </w:rPr>
            </w:pPr>
            <w:r w:rsidRPr="005F120D">
              <w:rPr>
                <w:rFonts w:asciiTheme="minorHAnsi" w:eastAsia="Calibri" w:hAnsiTheme="minorHAnsi" w:cstheme="minorHAnsi"/>
                <w:sz w:val="17"/>
                <w:szCs w:val="17"/>
              </w:rPr>
              <w:t>Target not yet set</w:t>
            </w:r>
            <w:r w:rsidR="00ED7D5A" w:rsidRPr="005F120D">
              <w:rPr>
                <w:rFonts w:asciiTheme="minorHAnsi" w:eastAsia="Calibri" w:hAnsiTheme="minorHAnsi" w:cstheme="minorHAnsi"/>
                <w:sz w:val="17"/>
                <w:szCs w:val="17"/>
              </w:rPr>
              <w:t xml:space="preserve"> Progress </w:t>
            </w:r>
            <w:r w:rsidR="004004A1" w:rsidRPr="005F120D">
              <w:rPr>
                <w:rFonts w:asciiTheme="minorHAnsi" w:eastAsia="Calibri" w:hAnsiTheme="minorHAnsi" w:cstheme="minorHAnsi"/>
                <w:sz w:val="17"/>
                <w:szCs w:val="17"/>
              </w:rPr>
              <w:t xml:space="preserve">calculated </w:t>
            </w:r>
            <w:r w:rsidR="00ED7D5A" w:rsidRPr="005F120D">
              <w:rPr>
                <w:rFonts w:asciiTheme="minorHAnsi" w:eastAsia="Calibri" w:hAnsiTheme="minorHAnsi" w:cstheme="minorHAnsi"/>
                <w:sz w:val="17"/>
                <w:szCs w:val="17"/>
              </w:rPr>
              <w:t>based on MTBF, MoF</w:t>
            </w:r>
          </w:p>
        </w:tc>
      </w:tr>
    </w:tbl>
    <w:p w:rsidR="00986AA2" w:rsidRPr="005F120D" w:rsidRDefault="00986AA2" w:rsidP="00C437AA">
      <w:pPr>
        <w:pStyle w:val="Caption"/>
        <w:spacing w:line="276" w:lineRule="auto"/>
        <w:rPr>
          <w:rFonts w:cstheme="minorHAnsi"/>
        </w:rPr>
      </w:pPr>
    </w:p>
    <w:p w:rsidR="00FD0319" w:rsidRPr="005F120D" w:rsidRDefault="008F3FFB" w:rsidP="00C437AA">
      <w:pPr>
        <w:pStyle w:val="Caption"/>
        <w:spacing w:line="276" w:lineRule="auto"/>
        <w:rPr>
          <w:rFonts w:cstheme="minorHAnsi"/>
        </w:rPr>
      </w:pPr>
      <w:bookmarkStart w:id="74" w:name="_Toc462837226"/>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FD0319" w:rsidRPr="005F120D">
        <w:rPr>
          <w:rFonts w:cstheme="minorHAnsi"/>
        </w:rPr>
        <w:t xml:space="preserve">: Primary School </w:t>
      </w:r>
      <w:r w:rsidR="00F23D07">
        <w:rPr>
          <w:rFonts w:cstheme="minorHAnsi"/>
        </w:rPr>
        <w:t xml:space="preserve">Quality </w:t>
      </w:r>
      <w:r w:rsidR="00FD0319" w:rsidRPr="005F120D">
        <w:rPr>
          <w:rFonts w:cstheme="minorHAnsi"/>
        </w:rPr>
        <w:t>Level Indicators</w:t>
      </w:r>
      <w:r w:rsidR="00FE1C5C" w:rsidRPr="005F120D">
        <w:rPr>
          <w:rFonts w:cstheme="minorHAnsi"/>
        </w:rPr>
        <w:t xml:space="preserve"> (PSQLs)</w:t>
      </w:r>
      <w:r w:rsidR="00FD0319" w:rsidRPr="005F120D">
        <w:rPr>
          <w:rFonts w:cstheme="minorHAnsi"/>
        </w:rPr>
        <w:t xml:space="preserve"> of PEDP3 (GPS &amp;NNPS) 2010-2015</w:t>
      </w:r>
      <w:bookmarkEnd w:id="74"/>
    </w:p>
    <w:tbl>
      <w:tblPr>
        <w:tblW w:w="5000"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538"/>
        <w:gridCol w:w="4125"/>
        <w:gridCol w:w="1125"/>
        <w:gridCol w:w="1065"/>
        <w:gridCol w:w="1005"/>
        <w:gridCol w:w="921"/>
        <w:gridCol w:w="1168"/>
        <w:gridCol w:w="1168"/>
        <w:gridCol w:w="880"/>
        <w:gridCol w:w="855"/>
        <w:gridCol w:w="2760"/>
      </w:tblGrid>
      <w:tr w:rsidR="00AB2682" w:rsidRPr="005F120D" w:rsidTr="00BF53AC">
        <w:trPr>
          <w:trHeight w:val="602"/>
          <w:tblHeader/>
        </w:trPr>
        <w:tc>
          <w:tcPr>
            <w:tcW w:w="172"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SL.</w:t>
            </w:r>
          </w:p>
        </w:tc>
        <w:tc>
          <w:tcPr>
            <w:tcW w:w="1321"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PSQL Indicators</w:t>
            </w:r>
          </w:p>
          <w:p w:rsidR="00FD0319" w:rsidRPr="005F120D" w:rsidRDefault="00FD0319" w:rsidP="000A5B80">
            <w:pPr>
              <w:pStyle w:val="NoSpacing"/>
              <w:jc w:val="center"/>
              <w:rPr>
                <w:rFonts w:asciiTheme="minorHAnsi" w:eastAsia="Calibri" w:hAnsiTheme="minorHAnsi" w:cstheme="minorHAnsi"/>
                <w:b/>
                <w:color w:val="FFFFFF" w:themeColor="background1"/>
                <w:sz w:val="20"/>
              </w:rPr>
            </w:pPr>
          </w:p>
        </w:tc>
        <w:tc>
          <w:tcPr>
            <w:tcW w:w="360"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Type</w:t>
            </w:r>
          </w:p>
        </w:tc>
        <w:tc>
          <w:tcPr>
            <w:tcW w:w="341"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Baseline 2010</w:t>
            </w:r>
          </w:p>
        </w:tc>
        <w:tc>
          <w:tcPr>
            <w:tcW w:w="322"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2011</w:t>
            </w:r>
          </w:p>
        </w:tc>
        <w:tc>
          <w:tcPr>
            <w:tcW w:w="295"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2012</w:t>
            </w:r>
          </w:p>
        </w:tc>
        <w:tc>
          <w:tcPr>
            <w:tcW w:w="374"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2013</w:t>
            </w:r>
          </w:p>
        </w:tc>
        <w:tc>
          <w:tcPr>
            <w:tcW w:w="374"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2014</w:t>
            </w:r>
          </w:p>
        </w:tc>
        <w:tc>
          <w:tcPr>
            <w:tcW w:w="282"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2015</w:t>
            </w:r>
          </w:p>
        </w:tc>
        <w:tc>
          <w:tcPr>
            <w:tcW w:w="274"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Target 2017</w:t>
            </w:r>
          </w:p>
        </w:tc>
        <w:tc>
          <w:tcPr>
            <w:tcW w:w="884" w:type="pct"/>
            <w:tcBorders>
              <w:top w:val="double" w:sz="4" w:space="0" w:color="31849B" w:themeColor="accent5" w:themeShade="BF"/>
              <w:bottom w:val="single" w:sz="6" w:space="0" w:color="31849B" w:themeColor="accent5" w:themeShade="BF"/>
            </w:tcBorders>
            <w:shd w:val="clear" w:color="auto" w:fill="31849B" w:themeFill="accent5" w:themeFillShade="BF"/>
          </w:tcPr>
          <w:p w:rsidR="00FD0319" w:rsidRPr="005F120D" w:rsidRDefault="00FD0319" w:rsidP="000A5B80">
            <w:pPr>
              <w:pStyle w:val="NoSpacing"/>
              <w:jc w:val="center"/>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Comment</w:t>
            </w:r>
          </w:p>
        </w:tc>
      </w:tr>
      <w:tr w:rsidR="00AB2682" w:rsidRPr="005F120D" w:rsidTr="00BF53AC">
        <w:tc>
          <w:tcPr>
            <w:tcW w:w="172" w:type="pct"/>
            <w:vMerge w:val="restart"/>
            <w:tcBorders>
              <w:top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1.</w:t>
            </w:r>
          </w:p>
        </w:tc>
        <w:tc>
          <w:tcPr>
            <w:tcW w:w="1321" w:type="pct"/>
            <w:vMerge w:val="restart"/>
            <w:tcBorders>
              <w:top w:val="single" w:sz="6" w:space="0" w:color="31849B" w:themeColor="accent5" w:themeShade="BF"/>
            </w:tcBorders>
            <w:shd w:val="clear" w:color="auto" w:fill="FDE9D9" w:themeFill="accent6" w:themeFillTint="33"/>
          </w:tcPr>
          <w:p w:rsidR="000327CC" w:rsidRPr="005F120D" w:rsidRDefault="004F1162"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 xml:space="preserve">Percentage of schools that </w:t>
            </w:r>
            <w:r w:rsidR="000327CC" w:rsidRPr="005F120D">
              <w:rPr>
                <w:rFonts w:asciiTheme="minorHAnsi" w:eastAsia="Calibri" w:hAnsiTheme="minorHAnsi" w:cstheme="minorHAnsi"/>
                <w:color w:val="000000" w:themeColor="text1"/>
                <w:sz w:val="20"/>
              </w:rPr>
              <w:t xml:space="preserve"> received all new textbooks by January 31</w:t>
            </w:r>
          </w:p>
        </w:tc>
        <w:tc>
          <w:tcPr>
            <w:tcW w:w="360" w:type="pct"/>
            <w:tcBorders>
              <w:top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All</w:t>
            </w:r>
          </w:p>
        </w:tc>
        <w:tc>
          <w:tcPr>
            <w:tcW w:w="341" w:type="pct"/>
            <w:tcBorders>
              <w:top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33</w:t>
            </w:r>
            <w:r w:rsidR="005356AD"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47</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98</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100</w:t>
            </w:r>
            <w:r w:rsidR="005356AD" w:rsidRPr="005F120D">
              <w:rPr>
                <w:rFonts w:asciiTheme="minorHAnsi" w:eastAsia="Calibri" w:hAnsiTheme="minorHAnsi" w:cstheme="minorHAnsi"/>
                <w:color w:val="000000" w:themeColor="text1"/>
                <w:sz w:val="20"/>
              </w:rPr>
              <w:t>%</w:t>
            </w:r>
          </w:p>
        </w:tc>
        <w:tc>
          <w:tcPr>
            <w:tcW w:w="884" w:type="pct"/>
            <w:vMerge w:val="restart"/>
            <w:tcBorders>
              <w:top w:val="single" w:sz="6" w:space="0" w:color="31849B" w:themeColor="accent5" w:themeShade="BF"/>
            </w:tcBorders>
            <w:shd w:val="clear" w:color="auto" w:fill="FDE9D9" w:themeFill="accent6" w:themeFillTint="33"/>
          </w:tcPr>
          <w:p w:rsidR="000327CC" w:rsidRPr="005F120D" w:rsidRDefault="000327CC" w:rsidP="00891A18">
            <w:pPr>
              <w:pStyle w:val="NoSpacing"/>
              <w:rPr>
                <w:rFonts w:asciiTheme="minorHAnsi" w:eastAsia="Calibri" w:hAnsiTheme="minorHAnsi" w:cstheme="minorHAnsi"/>
                <w:color w:val="000000" w:themeColor="text1"/>
                <w:sz w:val="18"/>
                <w:szCs w:val="18"/>
              </w:rPr>
            </w:pPr>
            <w:r w:rsidRPr="005F120D">
              <w:rPr>
                <w:rFonts w:asciiTheme="minorHAnsi" w:eastAsia="Calibri" w:hAnsiTheme="minorHAnsi" w:cstheme="minorHAnsi"/>
                <w:color w:val="000000" w:themeColor="text1"/>
                <w:sz w:val="18"/>
                <w:szCs w:val="18"/>
              </w:rPr>
              <w:t xml:space="preserve">Source: </w:t>
            </w:r>
            <w:r w:rsidR="00891A18" w:rsidRPr="005F120D">
              <w:rPr>
                <w:rFonts w:asciiTheme="minorHAnsi" w:eastAsia="Calibri" w:hAnsiTheme="minorHAnsi" w:cstheme="minorHAnsi"/>
                <w:color w:val="000000" w:themeColor="text1"/>
                <w:sz w:val="18"/>
                <w:szCs w:val="18"/>
              </w:rPr>
              <w:t>R</w:t>
            </w:r>
            <w:r w:rsidRPr="005F120D">
              <w:rPr>
                <w:rFonts w:asciiTheme="minorHAnsi" w:eastAsia="Calibri" w:hAnsiTheme="minorHAnsi" w:cstheme="minorHAnsi"/>
                <w:color w:val="000000" w:themeColor="text1"/>
                <w:sz w:val="18"/>
                <w:szCs w:val="18"/>
              </w:rPr>
              <w:t>eport generate</w:t>
            </w:r>
            <w:r w:rsidR="00891A18" w:rsidRPr="005F120D">
              <w:rPr>
                <w:rFonts w:asciiTheme="minorHAnsi" w:eastAsia="Calibri" w:hAnsiTheme="minorHAnsi" w:cstheme="minorHAnsi"/>
                <w:color w:val="000000" w:themeColor="text1"/>
                <w:sz w:val="18"/>
                <w:szCs w:val="18"/>
              </w:rPr>
              <w:t>d</w:t>
            </w:r>
            <w:r w:rsidRPr="005F120D">
              <w:rPr>
                <w:rFonts w:asciiTheme="minorHAnsi" w:eastAsia="Calibri" w:hAnsiTheme="minorHAnsi" w:cstheme="minorHAnsi"/>
                <w:color w:val="000000" w:themeColor="text1"/>
                <w:sz w:val="18"/>
                <w:szCs w:val="18"/>
              </w:rPr>
              <w:t xml:space="preserve"> from </w:t>
            </w:r>
            <w:r w:rsidR="00891A18" w:rsidRPr="005F120D">
              <w:rPr>
                <w:rFonts w:asciiTheme="minorHAnsi" w:eastAsia="Calibri" w:hAnsiTheme="minorHAnsi" w:cstheme="minorHAnsi"/>
                <w:color w:val="000000" w:themeColor="text1"/>
                <w:sz w:val="18"/>
                <w:szCs w:val="18"/>
              </w:rPr>
              <w:t xml:space="preserve">Book distribution </w:t>
            </w:r>
            <w:r w:rsidRPr="005F120D">
              <w:rPr>
                <w:rFonts w:asciiTheme="minorHAnsi" w:eastAsia="Calibri" w:hAnsiTheme="minorHAnsi" w:cstheme="minorHAnsi"/>
                <w:color w:val="000000" w:themeColor="text1"/>
                <w:sz w:val="18"/>
                <w:szCs w:val="18"/>
              </w:rPr>
              <w:t>database</w:t>
            </w:r>
          </w:p>
        </w:tc>
      </w:tr>
      <w:tr w:rsidR="00AB2682" w:rsidRPr="005F120D" w:rsidTr="00471A93">
        <w:tc>
          <w:tcPr>
            <w:tcW w:w="172" w:type="pct"/>
            <w:vMerge/>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FDE9D9" w:themeFill="accent6" w:themeFillTint="33"/>
          </w:tcPr>
          <w:p w:rsidR="000327CC" w:rsidRPr="005F120D" w:rsidRDefault="000327CC" w:rsidP="000A5B80">
            <w:pPr>
              <w:pStyle w:val="NoSpacing"/>
              <w:rPr>
                <w:rFonts w:asciiTheme="minorHAnsi" w:eastAsia="Calibri" w:hAnsiTheme="minorHAnsi" w:cstheme="minorHAnsi"/>
                <w:color w:val="000000" w:themeColor="text1"/>
                <w:sz w:val="20"/>
              </w:rPr>
            </w:pPr>
          </w:p>
        </w:tc>
        <w:tc>
          <w:tcPr>
            <w:tcW w:w="360" w:type="pct"/>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GPS</w:t>
            </w:r>
          </w:p>
        </w:tc>
        <w:tc>
          <w:tcPr>
            <w:tcW w:w="341" w:type="pct"/>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31</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45</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98</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100</w:t>
            </w:r>
            <w:r w:rsidR="005356AD" w:rsidRPr="005F120D">
              <w:rPr>
                <w:rFonts w:asciiTheme="minorHAnsi" w:eastAsia="Calibri" w:hAnsiTheme="minorHAnsi" w:cstheme="minorHAnsi"/>
                <w:color w:val="000000" w:themeColor="text1"/>
                <w:sz w:val="20"/>
              </w:rPr>
              <w:t>%</w:t>
            </w:r>
          </w:p>
        </w:tc>
        <w:tc>
          <w:tcPr>
            <w:tcW w:w="884" w:type="pct"/>
            <w:vMerge/>
            <w:shd w:val="clear" w:color="auto" w:fill="FDE9D9" w:themeFill="accent6" w:themeFillTint="33"/>
          </w:tcPr>
          <w:p w:rsidR="000327CC" w:rsidRPr="005F120D" w:rsidRDefault="000327CC" w:rsidP="000A5B80">
            <w:pPr>
              <w:pStyle w:val="NoSpacing"/>
              <w:rPr>
                <w:rFonts w:asciiTheme="minorHAnsi" w:eastAsia="Calibri" w:hAnsiTheme="minorHAnsi" w:cstheme="minorHAnsi"/>
                <w:color w:val="000000" w:themeColor="text1"/>
                <w:sz w:val="18"/>
                <w:szCs w:val="18"/>
              </w:rPr>
            </w:pPr>
          </w:p>
        </w:tc>
      </w:tr>
      <w:tr w:rsidR="00AB2682" w:rsidRPr="005F120D" w:rsidTr="00471A93">
        <w:tc>
          <w:tcPr>
            <w:tcW w:w="172" w:type="pct"/>
            <w:vMerge/>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FDE9D9" w:themeFill="accent6" w:themeFillTint="33"/>
          </w:tcPr>
          <w:p w:rsidR="000327CC" w:rsidRPr="005F120D" w:rsidRDefault="000327CC" w:rsidP="000A5B80">
            <w:pPr>
              <w:pStyle w:val="NoSpacing"/>
              <w:rPr>
                <w:rFonts w:asciiTheme="minorHAnsi" w:eastAsia="Calibri" w:hAnsiTheme="minorHAnsi" w:cstheme="minorHAnsi"/>
                <w:color w:val="000000" w:themeColor="text1"/>
                <w:sz w:val="20"/>
              </w:rPr>
            </w:pPr>
          </w:p>
        </w:tc>
        <w:tc>
          <w:tcPr>
            <w:tcW w:w="360" w:type="pct"/>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NNPS</w:t>
            </w:r>
          </w:p>
        </w:tc>
        <w:tc>
          <w:tcPr>
            <w:tcW w:w="341" w:type="pct"/>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36</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51</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98</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0327CC"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100</w:t>
            </w:r>
            <w:r w:rsidR="005356AD" w:rsidRPr="005F120D">
              <w:rPr>
                <w:rFonts w:asciiTheme="minorHAnsi" w:eastAsia="Calibri" w:hAnsiTheme="minorHAnsi" w:cstheme="minorHAnsi"/>
                <w:color w:val="000000" w:themeColor="text1"/>
                <w:sz w:val="20"/>
              </w:rPr>
              <w:t>%</w:t>
            </w:r>
          </w:p>
        </w:tc>
        <w:tc>
          <w:tcPr>
            <w:tcW w:w="884" w:type="pct"/>
            <w:vMerge/>
            <w:shd w:val="clear" w:color="auto" w:fill="FDE9D9" w:themeFill="accent6" w:themeFillTint="33"/>
          </w:tcPr>
          <w:p w:rsidR="000327CC" w:rsidRPr="005F120D" w:rsidRDefault="000327CC" w:rsidP="000A5B80">
            <w:pPr>
              <w:pStyle w:val="NoSpacing"/>
              <w:rPr>
                <w:rFonts w:asciiTheme="minorHAnsi" w:eastAsia="Calibri" w:hAnsiTheme="minorHAnsi" w:cstheme="minorHAnsi"/>
                <w:color w:val="000000" w:themeColor="text1"/>
                <w:sz w:val="18"/>
                <w:szCs w:val="18"/>
              </w:rPr>
            </w:pPr>
          </w:p>
        </w:tc>
      </w:tr>
      <w:tr w:rsidR="00AB2682" w:rsidRPr="005F120D" w:rsidTr="00471A93">
        <w:tc>
          <w:tcPr>
            <w:tcW w:w="172" w:type="pct"/>
            <w:vMerge w:val="restar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w:t>
            </w:r>
          </w:p>
        </w:tc>
        <w:tc>
          <w:tcPr>
            <w:tcW w:w="1321" w:type="pct"/>
            <w:vMerge w:val="restart"/>
            <w:shd w:val="clear" w:color="auto" w:fill="FDE9D9" w:themeFill="accent6" w:themeFillTint="33"/>
          </w:tcPr>
          <w:p w:rsidR="00FD0319" w:rsidRPr="005F120D" w:rsidRDefault="004F1162"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Percentage of (Assistant and H</w:t>
            </w:r>
            <w:r w:rsidR="00FD0319" w:rsidRPr="005F120D">
              <w:rPr>
                <w:rFonts w:asciiTheme="minorHAnsi" w:eastAsia="Calibri" w:hAnsiTheme="minorHAnsi" w:cstheme="minorHAnsi"/>
                <w:color w:val="000000" w:themeColor="text1"/>
                <w:sz w:val="20"/>
              </w:rPr>
              <w:t>ead) teachers with professional Qualification (C-in-Ed/Dip-in-Ed, B.Ed., M.Ed.)</w:t>
            </w:r>
          </w:p>
        </w:tc>
        <w:tc>
          <w:tcPr>
            <w:tcW w:w="360"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83</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82</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89</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90</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83.8</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88.7</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val="restart"/>
            <w:shd w:val="clear" w:color="auto" w:fill="FDE9D9" w:themeFill="accent6" w:themeFillTint="33"/>
          </w:tcPr>
          <w:p w:rsidR="00FD0319" w:rsidRPr="005F120D" w:rsidRDefault="00E720E9" w:rsidP="00891A18">
            <w:pPr>
              <w:pStyle w:val="NoSpacing"/>
              <w:rPr>
                <w:rFonts w:asciiTheme="minorHAnsi" w:eastAsia="Calibri" w:hAnsiTheme="minorHAnsi" w:cstheme="minorHAnsi"/>
                <w:color w:val="000000" w:themeColor="text1"/>
                <w:sz w:val="18"/>
                <w:szCs w:val="18"/>
              </w:rPr>
            </w:pPr>
            <w:r w:rsidRPr="005F120D">
              <w:rPr>
                <w:rFonts w:asciiTheme="minorHAnsi" w:eastAsia="Calibri" w:hAnsiTheme="minorHAnsi" w:cstheme="minorHAnsi"/>
                <w:color w:val="000000" w:themeColor="text1"/>
                <w:sz w:val="18"/>
                <w:szCs w:val="18"/>
              </w:rPr>
              <w:t xml:space="preserve">DPEd teachers included </w:t>
            </w:r>
            <w:r w:rsidR="00FD0319" w:rsidRPr="005F120D">
              <w:rPr>
                <w:rFonts w:asciiTheme="minorHAnsi" w:eastAsia="Calibri" w:hAnsiTheme="minorHAnsi" w:cstheme="minorHAnsi"/>
                <w:color w:val="000000" w:themeColor="text1"/>
                <w:sz w:val="18"/>
                <w:szCs w:val="18"/>
              </w:rPr>
              <w:t xml:space="preserve"> for </w:t>
            </w:r>
            <w:r w:rsidR="004866A5">
              <w:rPr>
                <w:rFonts w:asciiTheme="minorHAnsi" w:eastAsia="Calibri" w:hAnsiTheme="minorHAnsi" w:cstheme="minorHAnsi"/>
                <w:color w:val="000000" w:themeColor="text1"/>
                <w:sz w:val="18"/>
                <w:szCs w:val="18"/>
              </w:rPr>
              <w:t xml:space="preserve">the </w:t>
            </w:r>
            <w:r w:rsidR="00FD0319" w:rsidRPr="005F120D">
              <w:rPr>
                <w:rFonts w:asciiTheme="minorHAnsi" w:eastAsia="Calibri" w:hAnsiTheme="minorHAnsi" w:cstheme="minorHAnsi"/>
                <w:color w:val="000000" w:themeColor="text1"/>
                <w:sz w:val="18"/>
                <w:szCs w:val="18"/>
              </w:rPr>
              <w:t xml:space="preserve">calculation as achievement slightly </w:t>
            </w:r>
            <w:r w:rsidR="00891A18" w:rsidRPr="005F120D">
              <w:rPr>
                <w:rFonts w:asciiTheme="minorHAnsi" w:eastAsia="Calibri" w:hAnsiTheme="minorHAnsi" w:cstheme="minorHAnsi"/>
                <w:color w:val="000000" w:themeColor="text1"/>
                <w:sz w:val="18"/>
                <w:szCs w:val="18"/>
              </w:rPr>
              <w:t>improved</w:t>
            </w:r>
          </w:p>
        </w:tc>
      </w:tr>
      <w:tr w:rsidR="00AB2682" w:rsidRPr="005F120D" w:rsidTr="00471A93">
        <w:trPr>
          <w:trHeight w:val="327"/>
        </w:trPr>
        <w:tc>
          <w:tcPr>
            <w:tcW w:w="172" w:type="pct"/>
            <w:vMerge/>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FDE9D9" w:themeFill="accent6"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Male</w:t>
            </w:r>
          </w:p>
        </w:tc>
        <w:tc>
          <w:tcPr>
            <w:tcW w:w="341"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84</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80</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91</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91</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87.6</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92.6</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shd w:val="clear" w:color="auto" w:fill="FDE9D9" w:themeFill="accent6"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471A93">
        <w:tc>
          <w:tcPr>
            <w:tcW w:w="172" w:type="pct"/>
            <w:vMerge/>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FDE9D9" w:themeFill="accent6"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Female</w:t>
            </w:r>
          </w:p>
        </w:tc>
        <w:tc>
          <w:tcPr>
            <w:tcW w:w="341"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83</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86</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85</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86</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81.2</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95030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w:t>
            </w:r>
            <w:r w:rsidR="000327CC" w:rsidRPr="005F120D">
              <w:rPr>
                <w:rFonts w:asciiTheme="minorHAnsi" w:eastAsia="Calibri" w:hAnsiTheme="minorHAnsi" w:cstheme="minorHAnsi"/>
                <w:color w:val="000000" w:themeColor="text1"/>
                <w:sz w:val="20"/>
              </w:rPr>
              <w:t>4.9</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shd w:val="clear" w:color="auto" w:fill="FDE9D9" w:themeFill="accent6"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471A93">
        <w:tc>
          <w:tcPr>
            <w:tcW w:w="172" w:type="pct"/>
            <w:vMerge w:val="restar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w:t>
            </w:r>
          </w:p>
        </w:tc>
        <w:tc>
          <w:tcPr>
            <w:tcW w:w="1321" w:type="pct"/>
            <w:vMerge w:val="restart"/>
            <w:shd w:val="clear" w:color="auto" w:fill="FDE9D9" w:themeFill="accent6" w:themeFillTint="33"/>
          </w:tcPr>
          <w:p w:rsidR="00FD0319" w:rsidRPr="005F120D" w:rsidRDefault="004F1162"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Percentage of (Assistant and H</w:t>
            </w:r>
            <w:r w:rsidR="00FD0319" w:rsidRPr="005F120D">
              <w:rPr>
                <w:rFonts w:asciiTheme="minorHAnsi" w:eastAsia="Calibri" w:hAnsiTheme="minorHAnsi" w:cstheme="minorHAnsi"/>
                <w:color w:val="000000" w:themeColor="text1"/>
                <w:sz w:val="20"/>
              </w:rPr>
              <w:t>ead) teachers who receive</w:t>
            </w:r>
            <w:r w:rsidRPr="005F120D">
              <w:rPr>
                <w:rFonts w:asciiTheme="minorHAnsi" w:eastAsia="Calibri" w:hAnsiTheme="minorHAnsi" w:cstheme="minorHAnsi"/>
                <w:color w:val="000000" w:themeColor="text1"/>
                <w:sz w:val="20"/>
              </w:rPr>
              <w:t>d</w:t>
            </w:r>
            <w:r w:rsidR="00FD0319" w:rsidRPr="005F120D">
              <w:rPr>
                <w:rFonts w:asciiTheme="minorHAnsi" w:eastAsia="Calibri" w:hAnsiTheme="minorHAnsi" w:cstheme="minorHAnsi"/>
                <w:color w:val="000000" w:themeColor="text1"/>
                <w:sz w:val="20"/>
              </w:rPr>
              <w:t xml:space="preserve">  continuous professional de</w:t>
            </w:r>
            <w:r w:rsidRPr="005F120D">
              <w:rPr>
                <w:rFonts w:asciiTheme="minorHAnsi" w:eastAsia="Calibri" w:hAnsiTheme="minorHAnsi" w:cstheme="minorHAnsi"/>
                <w:color w:val="000000" w:themeColor="text1"/>
                <w:sz w:val="20"/>
              </w:rPr>
              <w:t>velopment (subject-</w:t>
            </w:r>
            <w:r w:rsidR="00FD0319" w:rsidRPr="005F120D">
              <w:rPr>
                <w:rFonts w:asciiTheme="minorHAnsi" w:eastAsia="Calibri" w:hAnsiTheme="minorHAnsi" w:cstheme="minorHAnsi"/>
                <w:color w:val="000000" w:themeColor="text1"/>
                <w:sz w:val="20"/>
              </w:rPr>
              <w:t>based) training</w:t>
            </w:r>
          </w:p>
        </w:tc>
        <w:tc>
          <w:tcPr>
            <w:tcW w:w="360"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84.7</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75.9</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61.1</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62.4</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61.2</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73.4</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val="restart"/>
            <w:shd w:val="clear" w:color="auto" w:fill="FDE9D9" w:themeFill="accent6" w:themeFillTint="33"/>
          </w:tcPr>
          <w:p w:rsidR="00FD0319" w:rsidRPr="005F120D" w:rsidRDefault="00FD0319" w:rsidP="00891A18">
            <w:pPr>
              <w:pStyle w:val="NoSpacing"/>
              <w:jc w:val="both"/>
              <w:rPr>
                <w:rFonts w:asciiTheme="minorHAnsi" w:eastAsia="Calibri" w:hAnsiTheme="minorHAnsi" w:cstheme="minorHAnsi"/>
                <w:color w:val="000000" w:themeColor="text1"/>
                <w:sz w:val="18"/>
                <w:szCs w:val="18"/>
                <w:highlight w:val="yellow"/>
              </w:rPr>
            </w:pPr>
            <w:r w:rsidRPr="005F120D">
              <w:rPr>
                <w:rFonts w:asciiTheme="minorHAnsi" w:eastAsia="Calibri" w:hAnsiTheme="minorHAnsi" w:cstheme="minorHAnsi"/>
                <w:color w:val="000000" w:themeColor="text1"/>
                <w:sz w:val="18"/>
                <w:szCs w:val="18"/>
              </w:rPr>
              <w:t>Teachers participation in</w:t>
            </w:r>
            <w:r w:rsidR="00E720E9" w:rsidRPr="005F120D">
              <w:rPr>
                <w:rFonts w:asciiTheme="minorHAnsi" w:eastAsia="Calibri" w:hAnsiTheme="minorHAnsi" w:cstheme="minorHAnsi"/>
                <w:color w:val="000000" w:themeColor="text1"/>
                <w:sz w:val="18"/>
                <w:szCs w:val="18"/>
              </w:rPr>
              <w:t xml:space="preserve"> subject based training has</w:t>
            </w:r>
            <w:r w:rsidRPr="005F120D">
              <w:rPr>
                <w:rFonts w:asciiTheme="minorHAnsi" w:eastAsia="Calibri" w:hAnsiTheme="minorHAnsi" w:cstheme="minorHAnsi"/>
                <w:color w:val="000000" w:themeColor="text1"/>
                <w:sz w:val="18"/>
                <w:szCs w:val="18"/>
              </w:rPr>
              <w:t xml:space="preserve"> slightly </w:t>
            </w:r>
            <w:r w:rsidR="00891A18" w:rsidRPr="005F120D">
              <w:rPr>
                <w:rFonts w:asciiTheme="minorHAnsi" w:eastAsia="Calibri" w:hAnsiTheme="minorHAnsi" w:cstheme="minorHAnsi"/>
                <w:color w:val="000000" w:themeColor="text1"/>
                <w:sz w:val="18"/>
                <w:szCs w:val="18"/>
              </w:rPr>
              <w:t>improved</w:t>
            </w:r>
          </w:p>
        </w:tc>
      </w:tr>
      <w:tr w:rsidR="00AB2682" w:rsidRPr="005F120D" w:rsidTr="00471A93">
        <w:tc>
          <w:tcPr>
            <w:tcW w:w="172" w:type="pct"/>
            <w:vMerge/>
            <w:shd w:val="clear" w:color="auto" w:fill="auto"/>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auto"/>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Male</w:t>
            </w:r>
          </w:p>
        </w:tc>
        <w:tc>
          <w:tcPr>
            <w:tcW w:w="341"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86.1</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82.2</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64.4</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65.9</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65.7</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79.1</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shd w:val="clear" w:color="auto" w:fill="auto"/>
          </w:tcPr>
          <w:p w:rsidR="00FD0319" w:rsidRPr="005F120D" w:rsidRDefault="00FD0319" w:rsidP="000A5B80">
            <w:pPr>
              <w:pStyle w:val="NoSpacing"/>
              <w:rPr>
                <w:rFonts w:asciiTheme="minorHAnsi" w:eastAsia="Calibri" w:hAnsiTheme="minorHAnsi" w:cstheme="minorHAnsi"/>
                <w:color w:val="000000" w:themeColor="text1"/>
                <w:sz w:val="18"/>
                <w:szCs w:val="18"/>
                <w:highlight w:val="yellow"/>
              </w:rPr>
            </w:pPr>
          </w:p>
        </w:tc>
      </w:tr>
      <w:tr w:rsidR="00AB2682" w:rsidRPr="005F120D" w:rsidTr="00471A93">
        <w:trPr>
          <w:trHeight w:val="264"/>
        </w:trPr>
        <w:tc>
          <w:tcPr>
            <w:tcW w:w="172" w:type="pct"/>
            <w:vMerge/>
            <w:shd w:val="clear" w:color="auto" w:fill="auto"/>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auto"/>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Female</w:t>
            </w:r>
          </w:p>
        </w:tc>
        <w:tc>
          <w:tcPr>
            <w:tcW w:w="341"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83.3</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70.6</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58.8</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59</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58.2</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0327C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69.9</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shd w:val="clear" w:color="auto" w:fill="auto"/>
          </w:tcPr>
          <w:p w:rsidR="00FD0319" w:rsidRPr="005F120D" w:rsidRDefault="00FD0319" w:rsidP="000A5B80">
            <w:pPr>
              <w:pStyle w:val="NoSpacing"/>
              <w:rPr>
                <w:rFonts w:asciiTheme="minorHAnsi" w:eastAsia="Calibri" w:hAnsiTheme="minorHAnsi" w:cstheme="minorHAnsi"/>
                <w:color w:val="000000" w:themeColor="text1"/>
                <w:sz w:val="18"/>
                <w:szCs w:val="18"/>
                <w:highlight w:val="yellow"/>
              </w:rPr>
            </w:pPr>
          </w:p>
        </w:tc>
      </w:tr>
      <w:tr w:rsidR="00C350FF" w:rsidRPr="005F120D" w:rsidTr="00471A93">
        <w:tc>
          <w:tcPr>
            <w:tcW w:w="172" w:type="pct"/>
            <w:vMerge w:val="restar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w:t>
            </w:r>
          </w:p>
        </w:tc>
        <w:tc>
          <w:tcPr>
            <w:tcW w:w="1321" w:type="pct"/>
            <w:vMerge w:val="restart"/>
            <w:shd w:val="clear" w:color="auto" w:fill="FDE9D9" w:themeFill="accent6" w:themeFillTint="33"/>
          </w:tcPr>
          <w:p w:rsidR="00C350FF" w:rsidRPr="005F120D" w:rsidRDefault="004F1162"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Percentage of (Assistant and H</w:t>
            </w:r>
            <w:r w:rsidR="00C350FF" w:rsidRPr="005F120D">
              <w:rPr>
                <w:rFonts w:asciiTheme="minorHAnsi" w:eastAsia="Calibri" w:hAnsiTheme="minorHAnsi" w:cstheme="minorHAnsi"/>
                <w:color w:val="000000" w:themeColor="text1"/>
                <w:sz w:val="20"/>
              </w:rPr>
              <w:t>ead) teachers who receive</w:t>
            </w:r>
            <w:r w:rsidRPr="005F120D">
              <w:rPr>
                <w:rFonts w:asciiTheme="minorHAnsi" w:eastAsia="Calibri" w:hAnsiTheme="minorHAnsi" w:cstheme="minorHAnsi"/>
                <w:color w:val="000000" w:themeColor="text1"/>
                <w:sz w:val="20"/>
              </w:rPr>
              <w:t>d</w:t>
            </w:r>
            <w:r w:rsidR="00C350FF" w:rsidRPr="005F120D">
              <w:rPr>
                <w:rFonts w:asciiTheme="minorHAnsi" w:eastAsia="Calibri" w:hAnsiTheme="minorHAnsi" w:cstheme="minorHAnsi"/>
                <w:color w:val="000000" w:themeColor="text1"/>
                <w:sz w:val="20"/>
              </w:rPr>
              <w:t xml:space="preserve">  continuous professional development (sub-cluster) training</w:t>
            </w:r>
          </w:p>
        </w:tc>
        <w:tc>
          <w:tcPr>
            <w:tcW w:w="360"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88</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78</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86</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89</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73.7</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C350FF" w:rsidRPr="005F120D" w:rsidRDefault="00C350FF" w:rsidP="000A5B80">
            <w:pPr>
              <w:spacing w:after="0"/>
              <w:jc w:val="center"/>
              <w:rPr>
                <w:rFonts w:asciiTheme="minorHAnsi" w:hAnsiTheme="minorHAnsi" w:cstheme="minorHAnsi"/>
                <w:color w:val="000000" w:themeColor="text1"/>
                <w:sz w:val="20"/>
              </w:rPr>
            </w:pPr>
            <w:r w:rsidRPr="005F120D">
              <w:rPr>
                <w:rFonts w:asciiTheme="minorHAnsi" w:hAnsiTheme="minorHAnsi" w:cstheme="minorHAnsi"/>
                <w:color w:val="000000" w:themeColor="text1"/>
                <w:sz w:val="20"/>
              </w:rPr>
              <w:t>89.7</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val="restart"/>
            <w:shd w:val="clear" w:color="auto" w:fill="FDE9D9" w:themeFill="accent6" w:themeFillTint="33"/>
          </w:tcPr>
          <w:p w:rsidR="00C350FF" w:rsidRPr="005F120D" w:rsidRDefault="00C350FF" w:rsidP="00891A18">
            <w:pPr>
              <w:pStyle w:val="NoSpacing"/>
              <w:jc w:val="both"/>
              <w:rPr>
                <w:rFonts w:asciiTheme="minorHAnsi" w:eastAsia="Calibri" w:hAnsiTheme="minorHAnsi" w:cstheme="minorHAnsi"/>
                <w:color w:val="000000" w:themeColor="text1"/>
                <w:sz w:val="18"/>
                <w:szCs w:val="18"/>
              </w:rPr>
            </w:pPr>
            <w:r w:rsidRPr="005F120D">
              <w:rPr>
                <w:rFonts w:asciiTheme="minorHAnsi" w:eastAsia="Calibri" w:hAnsiTheme="minorHAnsi" w:cstheme="minorHAnsi"/>
                <w:color w:val="000000" w:themeColor="text1"/>
                <w:sz w:val="18"/>
                <w:szCs w:val="18"/>
              </w:rPr>
              <w:t xml:space="preserve">Teachers’ participation in sub-cluster training </w:t>
            </w:r>
            <w:r w:rsidR="00891A18" w:rsidRPr="005F120D">
              <w:rPr>
                <w:rFonts w:asciiTheme="minorHAnsi" w:eastAsia="Calibri" w:hAnsiTheme="minorHAnsi" w:cstheme="minorHAnsi"/>
                <w:color w:val="000000" w:themeColor="text1"/>
                <w:sz w:val="18"/>
                <w:szCs w:val="18"/>
              </w:rPr>
              <w:t>improved</w:t>
            </w:r>
          </w:p>
        </w:tc>
      </w:tr>
      <w:tr w:rsidR="00C350FF" w:rsidRPr="005F120D" w:rsidTr="00471A93">
        <w:tc>
          <w:tcPr>
            <w:tcW w:w="172" w:type="pct"/>
            <w:vMerge/>
            <w:shd w:val="clear" w:color="auto" w:fill="DAEEF3" w:themeFill="accent5"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DAEEF3" w:themeFill="accent5" w:themeFillTint="33"/>
          </w:tcPr>
          <w:p w:rsidR="00C350FF" w:rsidRPr="005F120D" w:rsidRDefault="00C350FF" w:rsidP="000A5B80">
            <w:pPr>
              <w:pStyle w:val="NoSpacing"/>
              <w:rPr>
                <w:rFonts w:asciiTheme="minorHAnsi" w:eastAsia="Calibri" w:hAnsiTheme="minorHAnsi" w:cstheme="minorHAnsi"/>
                <w:color w:val="000000" w:themeColor="text1"/>
                <w:sz w:val="20"/>
              </w:rPr>
            </w:pPr>
          </w:p>
        </w:tc>
        <w:tc>
          <w:tcPr>
            <w:tcW w:w="360"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Male</w:t>
            </w:r>
          </w:p>
        </w:tc>
        <w:tc>
          <w:tcPr>
            <w:tcW w:w="341"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87</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75</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86</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89</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74.6</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C350FF" w:rsidRPr="005F120D" w:rsidRDefault="00C350FF" w:rsidP="000A5B80">
            <w:pPr>
              <w:spacing w:after="0"/>
              <w:jc w:val="center"/>
              <w:rPr>
                <w:rFonts w:asciiTheme="minorHAnsi" w:hAnsiTheme="minorHAnsi" w:cstheme="minorHAnsi"/>
                <w:color w:val="000000" w:themeColor="text1"/>
                <w:sz w:val="20"/>
              </w:rPr>
            </w:pPr>
            <w:r w:rsidRPr="005F120D">
              <w:rPr>
                <w:rFonts w:asciiTheme="minorHAnsi" w:hAnsiTheme="minorHAnsi" w:cstheme="minorHAnsi"/>
                <w:color w:val="000000" w:themeColor="text1"/>
                <w:sz w:val="20"/>
              </w:rPr>
              <w:t>90</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shd w:val="clear" w:color="auto" w:fill="DAEEF3" w:themeFill="accent5" w:themeFillTint="33"/>
          </w:tcPr>
          <w:p w:rsidR="00C350FF" w:rsidRPr="005F120D" w:rsidRDefault="00C350FF" w:rsidP="000A5B80">
            <w:pPr>
              <w:pStyle w:val="NoSpacing"/>
              <w:rPr>
                <w:rFonts w:asciiTheme="minorHAnsi" w:eastAsia="Calibri" w:hAnsiTheme="minorHAnsi" w:cstheme="minorHAnsi"/>
                <w:color w:val="000000" w:themeColor="text1"/>
                <w:sz w:val="18"/>
                <w:szCs w:val="18"/>
              </w:rPr>
            </w:pPr>
          </w:p>
        </w:tc>
      </w:tr>
      <w:tr w:rsidR="00C350FF" w:rsidRPr="005F120D" w:rsidTr="00471A93">
        <w:trPr>
          <w:trHeight w:val="345"/>
        </w:trPr>
        <w:tc>
          <w:tcPr>
            <w:tcW w:w="172" w:type="pct"/>
            <w:vMerge/>
            <w:shd w:val="clear" w:color="auto" w:fill="DAEEF3" w:themeFill="accent5"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DAEEF3" w:themeFill="accent5" w:themeFillTint="33"/>
          </w:tcPr>
          <w:p w:rsidR="00C350FF" w:rsidRPr="005F120D" w:rsidRDefault="00C350FF" w:rsidP="000A5B80">
            <w:pPr>
              <w:pStyle w:val="NoSpacing"/>
              <w:rPr>
                <w:rFonts w:asciiTheme="minorHAnsi" w:eastAsia="Calibri" w:hAnsiTheme="minorHAnsi" w:cstheme="minorHAnsi"/>
                <w:color w:val="000000" w:themeColor="text1"/>
                <w:sz w:val="20"/>
              </w:rPr>
            </w:pPr>
          </w:p>
        </w:tc>
        <w:tc>
          <w:tcPr>
            <w:tcW w:w="360"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Female</w:t>
            </w:r>
          </w:p>
        </w:tc>
        <w:tc>
          <w:tcPr>
            <w:tcW w:w="341"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88</w:t>
            </w:r>
            <w:r w:rsidR="00BF53AC" w:rsidRPr="005F120D">
              <w:rPr>
                <w:rFonts w:asciiTheme="minorHAnsi" w:eastAsia="Calibri" w:hAnsiTheme="minorHAnsi" w:cstheme="minorHAnsi"/>
                <w:color w:val="000000" w:themeColor="text1"/>
                <w:sz w:val="20"/>
              </w:rPr>
              <w:t>%</w:t>
            </w:r>
          </w:p>
        </w:tc>
        <w:tc>
          <w:tcPr>
            <w:tcW w:w="322"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87</w:t>
            </w:r>
            <w:r w:rsidR="00BF53AC" w:rsidRPr="005F120D">
              <w:rPr>
                <w:rFonts w:asciiTheme="minorHAnsi" w:eastAsia="Calibri" w:hAnsiTheme="minorHAnsi" w:cstheme="minorHAnsi"/>
                <w:color w:val="000000" w:themeColor="text1"/>
                <w:sz w:val="20"/>
              </w:rPr>
              <w:t>%</w:t>
            </w:r>
          </w:p>
        </w:tc>
        <w:tc>
          <w:tcPr>
            <w:tcW w:w="295"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87</w:t>
            </w:r>
            <w:r w:rsidR="00BF53AC" w:rsidRPr="005F120D">
              <w:rPr>
                <w:rFonts w:asciiTheme="minorHAnsi" w:eastAsia="Calibri" w:hAnsiTheme="minorHAnsi" w:cstheme="minorHAnsi"/>
                <w:color w:val="000000" w:themeColor="text1"/>
                <w:sz w:val="20"/>
              </w:rPr>
              <w:t>%</w:t>
            </w:r>
          </w:p>
        </w:tc>
        <w:tc>
          <w:tcPr>
            <w:tcW w:w="374" w:type="pct"/>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87</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73</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DE9D9" w:themeFill="accent6" w:themeFillTint="33"/>
          </w:tcPr>
          <w:p w:rsidR="00C350FF" w:rsidRPr="005F120D" w:rsidRDefault="00C350FF" w:rsidP="000A5B80">
            <w:pPr>
              <w:spacing w:after="0"/>
              <w:jc w:val="center"/>
              <w:rPr>
                <w:rFonts w:asciiTheme="minorHAnsi" w:hAnsiTheme="minorHAnsi" w:cstheme="minorHAnsi"/>
                <w:color w:val="000000" w:themeColor="text1"/>
                <w:sz w:val="18"/>
                <w:szCs w:val="18"/>
              </w:rPr>
            </w:pPr>
            <w:r w:rsidRPr="005F120D">
              <w:rPr>
                <w:rFonts w:asciiTheme="minorHAnsi" w:hAnsiTheme="minorHAnsi" w:cstheme="minorHAnsi"/>
                <w:color w:val="000000" w:themeColor="text1"/>
                <w:sz w:val="18"/>
                <w:szCs w:val="18"/>
              </w:rPr>
              <w:t>89.</w:t>
            </w:r>
            <w:r w:rsidR="0095030F" w:rsidRPr="005F120D">
              <w:rPr>
                <w:rFonts w:asciiTheme="minorHAnsi" w:hAnsiTheme="minorHAnsi" w:cstheme="minorHAnsi"/>
                <w:color w:val="000000" w:themeColor="text1"/>
                <w:sz w:val="18"/>
                <w:szCs w:val="18"/>
              </w:rPr>
              <w:t>9</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DE9D9" w:themeFill="accent6" w:themeFillTint="33"/>
          </w:tcPr>
          <w:p w:rsidR="00C350FF" w:rsidRPr="005F120D" w:rsidRDefault="00C350FF"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shd w:val="clear" w:color="auto" w:fill="DAEEF3" w:themeFill="accent5" w:themeFillTint="33"/>
          </w:tcPr>
          <w:p w:rsidR="00C350FF" w:rsidRPr="005F120D" w:rsidRDefault="00C350FF" w:rsidP="000A5B80">
            <w:pPr>
              <w:pStyle w:val="NoSpacing"/>
              <w:rPr>
                <w:rFonts w:asciiTheme="minorHAnsi" w:eastAsia="Calibri" w:hAnsiTheme="minorHAnsi" w:cstheme="minorHAnsi"/>
                <w:color w:val="000000" w:themeColor="text1"/>
                <w:sz w:val="18"/>
                <w:szCs w:val="18"/>
              </w:rPr>
            </w:pPr>
          </w:p>
        </w:tc>
      </w:tr>
      <w:tr w:rsidR="00D60ACB" w:rsidRPr="005F120D" w:rsidTr="00471A93">
        <w:tc>
          <w:tcPr>
            <w:tcW w:w="172" w:type="pct"/>
            <w:vMerge w:val="restar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w:t>
            </w:r>
          </w:p>
        </w:tc>
        <w:tc>
          <w:tcPr>
            <w:tcW w:w="1321" w:type="pct"/>
            <w:vMerge w:val="restart"/>
            <w:shd w:val="clear" w:color="auto" w:fill="DAEEF3" w:themeFill="accent5" w:themeFillTint="33"/>
          </w:tcPr>
          <w:p w:rsidR="00D60ACB" w:rsidRPr="005F120D" w:rsidRDefault="00D60ACB"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Percentage of schools (GPS/NNPS) with pre-primary classes</w:t>
            </w:r>
          </w:p>
        </w:tc>
        <w:tc>
          <w:tcPr>
            <w:tcW w:w="360"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43</w:t>
            </w:r>
            <w:r w:rsidR="00BF53AC" w:rsidRPr="005F120D">
              <w:rPr>
                <w:rFonts w:asciiTheme="minorHAnsi" w:eastAsia="Calibri" w:hAnsiTheme="minorHAnsi" w:cstheme="minorHAnsi"/>
                <w:color w:val="000000" w:themeColor="text1"/>
                <w:sz w:val="20"/>
              </w:rPr>
              <w:t>%</w:t>
            </w:r>
          </w:p>
        </w:tc>
        <w:tc>
          <w:tcPr>
            <w:tcW w:w="322"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81</w:t>
            </w:r>
            <w:r w:rsidR="00BF53AC" w:rsidRPr="005F120D">
              <w:rPr>
                <w:rFonts w:asciiTheme="minorHAnsi" w:eastAsia="Calibri" w:hAnsiTheme="minorHAnsi" w:cstheme="minorHAnsi"/>
                <w:color w:val="000000" w:themeColor="text1"/>
                <w:sz w:val="20"/>
              </w:rPr>
              <w:t>%</w:t>
            </w:r>
          </w:p>
        </w:tc>
        <w:tc>
          <w:tcPr>
            <w:tcW w:w="295"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91</w:t>
            </w:r>
            <w:r w:rsidR="00BF53AC" w:rsidRPr="005F120D">
              <w:rPr>
                <w:rFonts w:asciiTheme="minorHAnsi" w:eastAsia="Calibri" w:hAnsiTheme="minorHAnsi" w:cstheme="minorHAnsi"/>
                <w:color w:val="000000" w:themeColor="text1"/>
                <w:sz w:val="20"/>
              </w:rPr>
              <w:t>%</w:t>
            </w:r>
          </w:p>
        </w:tc>
        <w:tc>
          <w:tcPr>
            <w:tcW w:w="374"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97</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DAEEF3" w:themeFill="accent5" w:themeFillTint="33"/>
          </w:tcPr>
          <w:p w:rsidR="00D60ACB" w:rsidRPr="005F120D" w:rsidRDefault="00D60ACB" w:rsidP="000A5B80">
            <w:pPr>
              <w:spacing w:after="0"/>
              <w:jc w:val="center"/>
              <w:rPr>
                <w:rFonts w:asciiTheme="minorHAnsi" w:hAnsiTheme="minorHAnsi" w:cstheme="minorHAnsi"/>
                <w:color w:val="000000" w:themeColor="text1"/>
                <w:sz w:val="20"/>
              </w:rPr>
            </w:pPr>
            <w:r w:rsidRPr="005F120D">
              <w:rPr>
                <w:rFonts w:asciiTheme="minorHAnsi" w:hAnsiTheme="minorHAnsi" w:cstheme="minorHAnsi"/>
                <w:color w:val="000000" w:themeColor="text1"/>
                <w:sz w:val="20"/>
              </w:rPr>
              <w:t>97.5</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98</w:t>
            </w:r>
            <w:r w:rsidR="005356AD" w:rsidRPr="005F120D">
              <w:rPr>
                <w:rFonts w:asciiTheme="minorHAnsi" w:eastAsia="Calibri" w:hAnsiTheme="minorHAnsi" w:cstheme="minorHAnsi"/>
                <w:color w:val="000000" w:themeColor="text1"/>
                <w:sz w:val="20"/>
              </w:rPr>
              <w:t>%</w:t>
            </w:r>
          </w:p>
        </w:tc>
        <w:tc>
          <w:tcPr>
            <w:tcW w:w="884" w:type="pct"/>
            <w:vMerge w:val="restart"/>
            <w:shd w:val="clear" w:color="auto" w:fill="DAEEF3" w:themeFill="accent5" w:themeFillTint="33"/>
          </w:tcPr>
          <w:p w:rsidR="00D60ACB" w:rsidRPr="005F120D" w:rsidRDefault="00BC2D6C" w:rsidP="000A5B80">
            <w:pPr>
              <w:pStyle w:val="NoSpacing"/>
              <w:rPr>
                <w:rFonts w:asciiTheme="minorHAnsi" w:eastAsia="Calibri" w:hAnsiTheme="minorHAnsi" w:cstheme="minorHAnsi"/>
                <w:color w:val="000000" w:themeColor="text1"/>
                <w:sz w:val="18"/>
                <w:szCs w:val="18"/>
              </w:rPr>
            </w:pPr>
            <w:r w:rsidRPr="005F120D">
              <w:rPr>
                <w:rFonts w:asciiTheme="minorHAnsi" w:eastAsia="Calibri" w:hAnsiTheme="minorHAnsi" w:cstheme="minorHAnsi"/>
                <w:color w:val="000000" w:themeColor="text1"/>
                <w:sz w:val="18"/>
                <w:szCs w:val="18"/>
              </w:rPr>
              <w:t>Improving trend</w:t>
            </w:r>
          </w:p>
        </w:tc>
      </w:tr>
      <w:tr w:rsidR="00D60ACB" w:rsidRPr="005F120D" w:rsidTr="00471A93">
        <w:tc>
          <w:tcPr>
            <w:tcW w:w="172" w:type="pct"/>
            <w:vMerge/>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DAEEF3" w:themeFill="accent5" w:themeFillTint="33"/>
          </w:tcPr>
          <w:p w:rsidR="00D60ACB" w:rsidRPr="005F120D" w:rsidRDefault="00D60ACB" w:rsidP="000A5B80">
            <w:pPr>
              <w:pStyle w:val="NoSpacing"/>
              <w:rPr>
                <w:rFonts w:asciiTheme="minorHAnsi" w:eastAsia="Calibri" w:hAnsiTheme="minorHAnsi" w:cstheme="minorHAnsi"/>
                <w:color w:val="000000" w:themeColor="text1"/>
                <w:sz w:val="20"/>
              </w:rPr>
            </w:pPr>
          </w:p>
        </w:tc>
        <w:tc>
          <w:tcPr>
            <w:tcW w:w="360"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GPS</w:t>
            </w:r>
          </w:p>
        </w:tc>
        <w:tc>
          <w:tcPr>
            <w:tcW w:w="341"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45</w:t>
            </w:r>
            <w:r w:rsidR="00BF53AC" w:rsidRPr="005F120D">
              <w:rPr>
                <w:rFonts w:asciiTheme="minorHAnsi" w:eastAsia="Calibri" w:hAnsiTheme="minorHAnsi" w:cstheme="minorHAnsi"/>
                <w:color w:val="000000" w:themeColor="text1"/>
                <w:sz w:val="20"/>
              </w:rPr>
              <w:t>%</w:t>
            </w:r>
          </w:p>
        </w:tc>
        <w:tc>
          <w:tcPr>
            <w:tcW w:w="322"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94</w:t>
            </w:r>
            <w:r w:rsidR="00BF53AC" w:rsidRPr="005F120D">
              <w:rPr>
                <w:rFonts w:asciiTheme="minorHAnsi" w:eastAsia="Calibri" w:hAnsiTheme="minorHAnsi" w:cstheme="minorHAnsi"/>
                <w:color w:val="000000" w:themeColor="text1"/>
                <w:sz w:val="20"/>
              </w:rPr>
              <w:t>%</w:t>
            </w:r>
          </w:p>
        </w:tc>
        <w:tc>
          <w:tcPr>
            <w:tcW w:w="295"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97</w:t>
            </w:r>
            <w:r w:rsidR="00BF53AC" w:rsidRPr="005F120D">
              <w:rPr>
                <w:rFonts w:asciiTheme="minorHAnsi" w:eastAsia="Calibri" w:hAnsiTheme="minorHAnsi" w:cstheme="minorHAnsi"/>
                <w:color w:val="000000" w:themeColor="text1"/>
                <w:sz w:val="20"/>
              </w:rPr>
              <w:t>%</w:t>
            </w:r>
          </w:p>
        </w:tc>
        <w:tc>
          <w:tcPr>
            <w:tcW w:w="374"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99.3</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DAEEF3" w:themeFill="accent5" w:themeFillTint="33"/>
          </w:tcPr>
          <w:p w:rsidR="00D60ACB" w:rsidRPr="005F120D" w:rsidRDefault="00D60ACB" w:rsidP="000A5B80">
            <w:pPr>
              <w:spacing w:after="0"/>
              <w:jc w:val="center"/>
              <w:rPr>
                <w:rFonts w:asciiTheme="minorHAnsi" w:hAnsiTheme="minorHAnsi" w:cstheme="minorHAnsi"/>
                <w:color w:val="000000" w:themeColor="text1"/>
                <w:sz w:val="20"/>
              </w:rPr>
            </w:pPr>
            <w:r w:rsidRPr="005F120D">
              <w:rPr>
                <w:rFonts w:asciiTheme="minorHAnsi" w:hAnsiTheme="minorHAnsi" w:cstheme="minorHAnsi"/>
                <w:color w:val="000000" w:themeColor="text1"/>
                <w:sz w:val="20"/>
              </w:rPr>
              <w:t>99.2</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98</w:t>
            </w:r>
            <w:r w:rsidR="005356AD" w:rsidRPr="005F120D">
              <w:rPr>
                <w:rFonts w:asciiTheme="minorHAnsi" w:eastAsia="Calibri" w:hAnsiTheme="minorHAnsi" w:cstheme="minorHAnsi"/>
                <w:color w:val="000000" w:themeColor="text1"/>
                <w:sz w:val="20"/>
              </w:rPr>
              <w:t>%</w:t>
            </w:r>
          </w:p>
        </w:tc>
        <w:tc>
          <w:tcPr>
            <w:tcW w:w="884" w:type="pct"/>
            <w:vMerge/>
            <w:shd w:val="clear" w:color="auto" w:fill="DAEEF3" w:themeFill="accent5" w:themeFillTint="33"/>
          </w:tcPr>
          <w:p w:rsidR="00D60ACB" w:rsidRPr="005F120D" w:rsidRDefault="00D60ACB" w:rsidP="000A5B80">
            <w:pPr>
              <w:pStyle w:val="NoSpacing"/>
              <w:rPr>
                <w:rFonts w:asciiTheme="minorHAnsi" w:eastAsia="Calibri" w:hAnsiTheme="minorHAnsi" w:cstheme="minorHAnsi"/>
                <w:color w:val="000000" w:themeColor="text1"/>
                <w:sz w:val="18"/>
                <w:szCs w:val="18"/>
              </w:rPr>
            </w:pPr>
          </w:p>
        </w:tc>
      </w:tr>
      <w:tr w:rsidR="00D60ACB" w:rsidRPr="005F120D" w:rsidTr="00471A93">
        <w:tc>
          <w:tcPr>
            <w:tcW w:w="172" w:type="pct"/>
            <w:vMerge/>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DAEEF3" w:themeFill="accent5" w:themeFillTint="33"/>
          </w:tcPr>
          <w:p w:rsidR="00D60ACB" w:rsidRPr="005F120D" w:rsidRDefault="00D60ACB" w:rsidP="000A5B80">
            <w:pPr>
              <w:pStyle w:val="NoSpacing"/>
              <w:rPr>
                <w:rFonts w:asciiTheme="minorHAnsi" w:eastAsia="Calibri" w:hAnsiTheme="minorHAnsi" w:cstheme="minorHAnsi"/>
                <w:color w:val="000000" w:themeColor="text1"/>
                <w:sz w:val="20"/>
              </w:rPr>
            </w:pPr>
          </w:p>
        </w:tc>
        <w:tc>
          <w:tcPr>
            <w:tcW w:w="360"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NNPS</w:t>
            </w:r>
          </w:p>
        </w:tc>
        <w:tc>
          <w:tcPr>
            <w:tcW w:w="341"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40</w:t>
            </w:r>
            <w:r w:rsidR="00BF53AC" w:rsidRPr="005F120D">
              <w:rPr>
                <w:rFonts w:asciiTheme="minorHAnsi" w:eastAsia="Calibri" w:hAnsiTheme="minorHAnsi" w:cstheme="minorHAnsi"/>
                <w:color w:val="000000" w:themeColor="text1"/>
                <w:sz w:val="20"/>
              </w:rPr>
              <w:t>%</w:t>
            </w:r>
          </w:p>
        </w:tc>
        <w:tc>
          <w:tcPr>
            <w:tcW w:w="322"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55</w:t>
            </w:r>
            <w:r w:rsidR="00BF53AC" w:rsidRPr="005F120D">
              <w:rPr>
                <w:rFonts w:asciiTheme="minorHAnsi" w:eastAsia="Calibri" w:hAnsiTheme="minorHAnsi" w:cstheme="minorHAnsi"/>
                <w:color w:val="000000" w:themeColor="text1"/>
                <w:sz w:val="20"/>
              </w:rPr>
              <w:t>%</w:t>
            </w:r>
          </w:p>
        </w:tc>
        <w:tc>
          <w:tcPr>
            <w:tcW w:w="295"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82</w:t>
            </w:r>
            <w:r w:rsidR="00BF53AC" w:rsidRPr="005F120D">
              <w:rPr>
                <w:rFonts w:asciiTheme="minorHAnsi" w:eastAsia="Calibri" w:hAnsiTheme="minorHAnsi" w:cstheme="minorHAnsi"/>
                <w:color w:val="000000" w:themeColor="text1"/>
                <w:sz w:val="20"/>
              </w:rPr>
              <w:t>%</w:t>
            </w:r>
          </w:p>
        </w:tc>
        <w:tc>
          <w:tcPr>
            <w:tcW w:w="374" w:type="pct"/>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88</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91.8</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DAEEF3" w:themeFill="accent5" w:themeFillTint="33"/>
          </w:tcPr>
          <w:p w:rsidR="00D60ACB" w:rsidRPr="005F120D" w:rsidRDefault="00D60ACB" w:rsidP="000A5B80">
            <w:pPr>
              <w:spacing w:after="0"/>
              <w:jc w:val="center"/>
              <w:rPr>
                <w:rFonts w:asciiTheme="minorHAnsi" w:hAnsiTheme="minorHAnsi" w:cstheme="minorHAnsi"/>
                <w:color w:val="000000" w:themeColor="text1"/>
                <w:sz w:val="20"/>
              </w:rPr>
            </w:pPr>
            <w:r w:rsidRPr="005F120D">
              <w:rPr>
                <w:rFonts w:asciiTheme="minorHAnsi" w:hAnsiTheme="minorHAnsi" w:cstheme="minorHAnsi"/>
                <w:color w:val="000000" w:themeColor="text1"/>
                <w:sz w:val="20"/>
              </w:rPr>
              <w:t>94.9</w:t>
            </w:r>
            <w:r w:rsidR="007923AE"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DAEEF3" w:themeFill="accent5" w:themeFillTint="33"/>
          </w:tcPr>
          <w:p w:rsidR="00D60ACB" w:rsidRPr="005F120D" w:rsidRDefault="00D60ACB"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98</w:t>
            </w:r>
            <w:r w:rsidR="005356AD" w:rsidRPr="005F120D">
              <w:rPr>
                <w:rFonts w:asciiTheme="minorHAnsi" w:eastAsia="Calibri" w:hAnsiTheme="minorHAnsi" w:cstheme="minorHAnsi"/>
                <w:color w:val="000000" w:themeColor="text1"/>
                <w:sz w:val="20"/>
              </w:rPr>
              <w:t>%</w:t>
            </w:r>
          </w:p>
        </w:tc>
        <w:tc>
          <w:tcPr>
            <w:tcW w:w="884" w:type="pct"/>
            <w:vMerge/>
            <w:shd w:val="clear" w:color="auto" w:fill="DAEEF3" w:themeFill="accent5" w:themeFillTint="33"/>
          </w:tcPr>
          <w:p w:rsidR="00D60ACB" w:rsidRPr="005F120D" w:rsidRDefault="00D60ACB" w:rsidP="000A5B80">
            <w:pPr>
              <w:pStyle w:val="NoSpacing"/>
              <w:rPr>
                <w:rFonts w:asciiTheme="minorHAnsi" w:eastAsia="Calibri" w:hAnsiTheme="minorHAnsi" w:cstheme="minorHAnsi"/>
                <w:color w:val="000000" w:themeColor="text1"/>
                <w:sz w:val="18"/>
                <w:szCs w:val="18"/>
              </w:rPr>
            </w:pPr>
          </w:p>
        </w:tc>
      </w:tr>
      <w:tr w:rsidR="00AB2682" w:rsidRPr="005F120D" w:rsidTr="00471A93">
        <w:tc>
          <w:tcPr>
            <w:tcW w:w="172" w:type="pct"/>
            <w:vMerge w:val="restar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w:t>
            </w:r>
          </w:p>
        </w:tc>
        <w:tc>
          <w:tcPr>
            <w:tcW w:w="1321" w:type="pct"/>
            <w:vMerge w:val="restart"/>
            <w:shd w:val="clear" w:color="auto" w:fill="DAEEF3" w:themeFill="accent5" w:themeFillTint="33"/>
          </w:tcPr>
          <w:p w:rsidR="00FD0319" w:rsidRPr="005F120D" w:rsidRDefault="00FD0319"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Number of enrolled children with disabilities</w:t>
            </w:r>
          </w:p>
        </w:tc>
        <w:tc>
          <w:tcPr>
            <w:tcW w:w="360"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83,023</w:t>
            </w:r>
          </w:p>
        </w:tc>
        <w:tc>
          <w:tcPr>
            <w:tcW w:w="322"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90,960</w:t>
            </w:r>
          </w:p>
        </w:tc>
        <w:tc>
          <w:tcPr>
            <w:tcW w:w="295"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89,994</w:t>
            </w:r>
          </w:p>
        </w:tc>
        <w:tc>
          <w:tcPr>
            <w:tcW w:w="374"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82,708</w:t>
            </w:r>
          </w:p>
        </w:tc>
        <w:tc>
          <w:tcPr>
            <w:tcW w:w="374" w:type="pct"/>
            <w:tcBorders>
              <w:top w:val="single" w:sz="6" w:space="0" w:color="31849B" w:themeColor="accent5" w:themeShade="BF"/>
              <w:bottom w:val="single" w:sz="6" w:space="0" w:color="31849B" w:themeColor="accent5"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76,522</w:t>
            </w:r>
          </w:p>
        </w:tc>
        <w:tc>
          <w:tcPr>
            <w:tcW w:w="282" w:type="pct"/>
            <w:tcBorders>
              <w:top w:val="single" w:sz="6" w:space="0" w:color="31849B" w:themeColor="accent5" w:themeShade="BF"/>
              <w:bottom w:val="single" w:sz="6" w:space="0" w:color="31849B" w:themeColor="accent5" w:themeShade="BF"/>
            </w:tcBorders>
            <w:shd w:val="clear" w:color="auto" w:fill="DAEEF3" w:themeFill="accent5" w:themeFillTint="33"/>
          </w:tcPr>
          <w:p w:rsidR="00FD0319" w:rsidRPr="005F120D" w:rsidRDefault="00F425EA"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67,793</w:t>
            </w:r>
          </w:p>
        </w:tc>
        <w:tc>
          <w:tcPr>
            <w:tcW w:w="274" w:type="pct"/>
            <w:tcBorders>
              <w:top w:val="single" w:sz="6" w:space="0" w:color="31849B" w:themeColor="accent5" w:themeShade="BF"/>
              <w:bottom w:val="single" w:sz="6" w:space="0" w:color="31849B" w:themeColor="accent5"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n/a</w:t>
            </w:r>
          </w:p>
        </w:tc>
        <w:tc>
          <w:tcPr>
            <w:tcW w:w="884" w:type="pct"/>
            <w:vMerge w:val="restart"/>
            <w:shd w:val="clear" w:color="auto" w:fill="DAEEF3" w:themeFill="accent5" w:themeFillTint="33"/>
          </w:tcPr>
          <w:p w:rsidR="00FD0319" w:rsidRPr="005F120D" w:rsidRDefault="004866A5" w:rsidP="00E720E9">
            <w:pPr>
              <w:pStyle w:val="NoSpacing"/>
              <w:rPr>
                <w:rFonts w:asciiTheme="minorHAnsi" w:eastAsia="Calibri" w:hAnsiTheme="minorHAnsi" w:cstheme="minorHAnsi"/>
                <w:color w:val="000000" w:themeColor="text1"/>
                <w:sz w:val="18"/>
                <w:szCs w:val="18"/>
              </w:rPr>
            </w:pPr>
            <w:r w:rsidRPr="005F120D">
              <w:rPr>
                <w:rFonts w:asciiTheme="minorHAnsi" w:eastAsia="Calibri" w:hAnsiTheme="minorHAnsi" w:cstheme="minorHAnsi"/>
                <w:color w:val="000000" w:themeColor="text1"/>
                <w:sz w:val="18"/>
                <w:szCs w:val="18"/>
              </w:rPr>
              <w:t>Only 6</w:t>
            </w:r>
            <w:r w:rsidR="00FD0319" w:rsidRPr="005F120D">
              <w:rPr>
                <w:rFonts w:asciiTheme="minorHAnsi" w:eastAsia="Calibri" w:hAnsiTheme="minorHAnsi" w:cstheme="minorHAnsi"/>
                <w:color w:val="000000" w:themeColor="text1"/>
                <w:sz w:val="18"/>
                <w:szCs w:val="18"/>
              </w:rPr>
              <w:t xml:space="preserve"> types of special need</w:t>
            </w:r>
            <w:r w:rsidR="00E720E9" w:rsidRPr="005F120D">
              <w:rPr>
                <w:rFonts w:asciiTheme="minorHAnsi" w:eastAsia="Calibri" w:hAnsiTheme="minorHAnsi" w:cstheme="minorHAnsi"/>
                <w:color w:val="000000" w:themeColor="text1"/>
                <w:sz w:val="18"/>
                <w:szCs w:val="18"/>
              </w:rPr>
              <w:t>s</w:t>
            </w:r>
            <w:r w:rsidR="00FD0319" w:rsidRPr="005F120D">
              <w:rPr>
                <w:rFonts w:asciiTheme="minorHAnsi" w:eastAsia="Calibri" w:hAnsiTheme="minorHAnsi" w:cstheme="minorHAnsi"/>
                <w:color w:val="000000" w:themeColor="text1"/>
                <w:sz w:val="18"/>
                <w:szCs w:val="18"/>
              </w:rPr>
              <w:t xml:space="preserve"> children </w:t>
            </w:r>
            <w:r w:rsidR="00E720E9" w:rsidRPr="005F120D">
              <w:rPr>
                <w:rFonts w:asciiTheme="minorHAnsi" w:eastAsia="Calibri" w:hAnsiTheme="minorHAnsi" w:cstheme="minorHAnsi"/>
                <w:color w:val="000000" w:themeColor="text1"/>
                <w:sz w:val="18"/>
                <w:szCs w:val="18"/>
              </w:rPr>
              <w:t xml:space="preserve">were included in this calculation. </w:t>
            </w:r>
          </w:p>
        </w:tc>
      </w:tr>
      <w:tr w:rsidR="00AB2682" w:rsidRPr="005F120D" w:rsidTr="00471A93">
        <w:tc>
          <w:tcPr>
            <w:tcW w:w="172" w:type="pct"/>
            <w:vMerge/>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Boy</w:t>
            </w:r>
          </w:p>
        </w:tc>
        <w:tc>
          <w:tcPr>
            <w:tcW w:w="341"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47,029</w:t>
            </w:r>
          </w:p>
        </w:tc>
        <w:tc>
          <w:tcPr>
            <w:tcW w:w="322"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51248</w:t>
            </w:r>
          </w:p>
        </w:tc>
        <w:tc>
          <w:tcPr>
            <w:tcW w:w="295"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50,365</w:t>
            </w:r>
          </w:p>
        </w:tc>
        <w:tc>
          <w:tcPr>
            <w:tcW w:w="374"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45,858</w:t>
            </w:r>
          </w:p>
        </w:tc>
        <w:tc>
          <w:tcPr>
            <w:tcW w:w="374" w:type="pct"/>
            <w:tcBorders>
              <w:top w:val="single" w:sz="6" w:space="0" w:color="31849B" w:themeColor="accent5" w:themeShade="BF"/>
              <w:bottom w:val="single" w:sz="6" w:space="0" w:color="31849B" w:themeColor="accent5"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42,523</w:t>
            </w:r>
          </w:p>
        </w:tc>
        <w:tc>
          <w:tcPr>
            <w:tcW w:w="282" w:type="pct"/>
            <w:tcBorders>
              <w:top w:val="single" w:sz="6" w:space="0" w:color="31849B" w:themeColor="accent5" w:themeShade="BF"/>
              <w:bottom w:val="single" w:sz="6" w:space="0" w:color="31849B" w:themeColor="accent5" w:themeShade="BF"/>
            </w:tcBorders>
            <w:shd w:val="clear" w:color="auto" w:fill="DAEEF3" w:themeFill="accent5" w:themeFillTint="33"/>
          </w:tcPr>
          <w:p w:rsidR="00FD0319" w:rsidRPr="005F120D" w:rsidRDefault="00F425EA"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37,535</w:t>
            </w:r>
          </w:p>
        </w:tc>
        <w:tc>
          <w:tcPr>
            <w:tcW w:w="274" w:type="pct"/>
            <w:tcBorders>
              <w:top w:val="single" w:sz="6" w:space="0" w:color="31849B" w:themeColor="accent5" w:themeShade="BF"/>
              <w:bottom w:val="single" w:sz="6" w:space="0" w:color="31849B" w:themeColor="accent5"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n/a</w:t>
            </w:r>
          </w:p>
        </w:tc>
        <w:tc>
          <w:tcPr>
            <w:tcW w:w="884"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rPr>
          <w:trHeight w:val="318"/>
        </w:trPr>
        <w:tc>
          <w:tcPr>
            <w:tcW w:w="172" w:type="pct"/>
            <w:vMerge/>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Girl</w:t>
            </w:r>
          </w:p>
        </w:tc>
        <w:tc>
          <w:tcPr>
            <w:tcW w:w="341"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35,994</w:t>
            </w:r>
          </w:p>
        </w:tc>
        <w:tc>
          <w:tcPr>
            <w:tcW w:w="322"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39,712</w:t>
            </w:r>
          </w:p>
        </w:tc>
        <w:tc>
          <w:tcPr>
            <w:tcW w:w="295"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39,629</w:t>
            </w:r>
          </w:p>
        </w:tc>
        <w:tc>
          <w:tcPr>
            <w:tcW w:w="374" w:type="pct"/>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36,850</w:t>
            </w:r>
          </w:p>
        </w:tc>
        <w:tc>
          <w:tcPr>
            <w:tcW w:w="374" w:type="pct"/>
            <w:tcBorders>
              <w:top w:val="single" w:sz="6" w:space="0" w:color="31849B" w:themeColor="accent5" w:themeShade="BF"/>
              <w:bottom w:val="single" w:sz="6" w:space="0" w:color="31849B" w:themeColor="accent5"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33,999</w:t>
            </w:r>
          </w:p>
        </w:tc>
        <w:tc>
          <w:tcPr>
            <w:tcW w:w="282" w:type="pct"/>
            <w:tcBorders>
              <w:top w:val="single" w:sz="6" w:space="0" w:color="31849B" w:themeColor="accent5" w:themeShade="BF"/>
              <w:bottom w:val="single" w:sz="6" w:space="0" w:color="31849B" w:themeColor="accent5" w:themeShade="BF"/>
            </w:tcBorders>
            <w:shd w:val="clear" w:color="auto" w:fill="DAEEF3" w:themeFill="accent5" w:themeFillTint="33"/>
          </w:tcPr>
          <w:p w:rsidR="00FD0319" w:rsidRPr="005F120D" w:rsidRDefault="00F425EA"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30,298</w:t>
            </w:r>
          </w:p>
        </w:tc>
        <w:tc>
          <w:tcPr>
            <w:tcW w:w="274" w:type="pct"/>
            <w:tcBorders>
              <w:top w:val="single" w:sz="6" w:space="0" w:color="31849B" w:themeColor="accent5" w:themeShade="BF"/>
              <w:bottom w:val="single" w:sz="6" w:space="0" w:color="31849B" w:themeColor="accent5" w:themeShade="BF"/>
            </w:tcBorders>
            <w:shd w:val="clear" w:color="auto" w:fill="DAEEF3" w:themeFill="accent5"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n/a</w:t>
            </w:r>
          </w:p>
        </w:tc>
        <w:tc>
          <w:tcPr>
            <w:tcW w:w="884" w:type="pct"/>
            <w:vMerge/>
            <w:shd w:val="clear" w:color="auto" w:fill="DAEEF3" w:themeFill="accent5"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BC2D6C" w:rsidRPr="005F120D" w:rsidTr="00BF53AC">
        <w:tc>
          <w:tcPr>
            <w:tcW w:w="172" w:type="pct"/>
            <w:vMerge w:val="restar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w:t>
            </w:r>
          </w:p>
        </w:tc>
        <w:tc>
          <w:tcPr>
            <w:tcW w:w="1321" w:type="pct"/>
            <w:vMerge w:val="restart"/>
            <w:shd w:val="clear" w:color="auto" w:fill="EAF1DD" w:themeFill="accent3" w:themeFillTint="33"/>
          </w:tcPr>
          <w:p w:rsidR="00BC2D6C" w:rsidRPr="005F120D" w:rsidRDefault="00BC2D6C"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Percentage of schools with at least one functioning toilet</w:t>
            </w:r>
          </w:p>
        </w:tc>
        <w:tc>
          <w:tcPr>
            <w:tcW w:w="360"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96%</w:t>
            </w:r>
          </w:p>
        </w:tc>
        <w:tc>
          <w:tcPr>
            <w:tcW w:w="322"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97%</w:t>
            </w:r>
          </w:p>
        </w:tc>
        <w:tc>
          <w:tcPr>
            <w:tcW w:w="295"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85%</w:t>
            </w:r>
          </w:p>
        </w:tc>
        <w:tc>
          <w:tcPr>
            <w:tcW w:w="374"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83%</w:t>
            </w:r>
          </w:p>
        </w:tc>
        <w:tc>
          <w:tcPr>
            <w:tcW w:w="374"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83.2%</w:t>
            </w:r>
          </w:p>
        </w:tc>
        <w:tc>
          <w:tcPr>
            <w:tcW w:w="282"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87.5%</w:t>
            </w:r>
          </w:p>
        </w:tc>
        <w:tc>
          <w:tcPr>
            <w:tcW w:w="274"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p>
        </w:tc>
        <w:tc>
          <w:tcPr>
            <w:tcW w:w="884" w:type="pct"/>
            <w:vMerge w:val="restart"/>
            <w:shd w:val="clear" w:color="auto" w:fill="EAF1DD" w:themeFill="accent3" w:themeFillTint="33"/>
          </w:tcPr>
          <w:p w:rsidR="00BC2D6C" w:rsidRPr="005F120D" w:rsidRDefault="00E720E9" w:rsidP="00E720E9">
            <w:pPr>
              <w:rPr>
                <w:rFonts w:asciiTheme="minorHAnsi" w:hAnsiTheme="minorHAnsi" w:cstheme="minorHAnsi"/>
              </w:rPr>
            </w:pPr>
            <w:r w:rsidRPr="005F120D">
              <w:rPr>
                <w:rFonts w:asciiTheme="minorHAnsi" w:eastAsia="Calibri" w:hAnsiTheme="minorHAnsi" w:cstheme="minorHAnsi"/>
                <w:color w:val="000000" w:themeColor="text1"/>
                <w:sz w:val="18"/>
                <w:szCs w:val="18"/>
              </w:rPr>
              <w:t xml:space="preserve">WASH blocks were  not included </w:t>
            </w:r>
            <w:r w:rsidR="009E2C89" w:rsidRPr="005F120D">
              <w:rPr>
                <w:rFonts w:asciiTheme="minorHAnsi" w:eastAsia="Calibri" w:hAnsiTheme="minorHAnsi" w:cstheme="minorHAnsi"/>
                <w:color w:val="000000" w:themeColor="text1"/>
                <w:sz w:val="18"/>
                <w:szCs w:val="18"/>
              </w:rPr>
              <w:t>for</w:t>
            </w:r>
            <w:r w:rsidR="00BC2D6C" w:rsidRPr="005F120D">
              <w:rPr>
                <w:rFonts w:asciiTheme="minorHAnsi" w:eastAsia="Calibri" w:hAnsiTheme="minorHAnsi" w:cstheme="minorHAnsi"/>
                <w:color w:val="000000" w:themeColor="text1"/>
                <w:sz w:val="18"/>
                <w:szCs w:val="18"/>
              </w:rPr>
              <w:t xml:space="preserve"> calculation</w:t>
            </w:r>
          </w:p>
        </w:tc>
      </w:tr>
      <w:tr w:rsidR="00BC2D6C" w:rsidRPr="005F120D" w:rsidTr="00BF53AC">
        <w:tc>
          <w:tcPr>
            <w:tcW w:w="172" w:type="pct"/>
            <w:vMerge/>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EAF1DD" w:themeFill="accent3" w:themeFillTint="33"/>
          </w:tcPr>
          <w:p w:rsidR="00BC2D6C" w:rsidRPr="005F120D" w:rsidRDefault="00BC2D6C" w:rsidP="000A5B80">
            <w:pPr>
              <w:pStyle w:val="NoSpacing"/>
              <w:rPr>
                <w:rFonts w:asciiTheme="minorHAnsi" w:eastAsia="Calibri" w:hAnsiTheme="minorHAnsi" w:cstheme="minorHAnsi"/>
                <w:color w:val="000000" w:themeColor="text1"/>
                <w:sz w:val="20"/>
              </w:rPr>
            </w:pPr>
          </w:p>
        </w:tc>
        <w:tc>
          <w:tcPr>
            <w:tcW w:w="360"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GPS</w:t>
            </w:r>
          </w:p>
        </w:tc>
        <w:tc>
          <w:tcPr>
            <w:tcW w:w="341"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97%</w:t>
            </w:r>
          </w:p>
        </w:tc>
        <w:tc>
          <w:tcPr>
            <w:tcW w:w="322"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98%</w:t>
            </w:r>
          </w:p>
        </w:tc>
        <w:tc>
          <w:tcPr>
            <w:tcW w:w="295"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88%</w:t>
            </w:r>
          </w:p>
        </w:tc>
        <w:tc>
          <w:tcPr>
            <w:tcW w:w="374"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85%</w:t>
            </w:r>
          </w:p>
        </w:tc>
        <w:tc>
          <w:tcPr>
            <w:tcW w:w="374"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85.8%</w:t>
            </w:r>
          </w:p>
        </w:tc>
        <w:tc>
          <w:tcPr>
            <w:tcW w:w="282"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90.6%</w:t>
            </w:r>
          </w:p>
        </w:tc>
        <w:tc>
          <w:tcPr>
            <w:tcW w:w="274"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p>
        </w:tc>
        <w:tc>
          <w:tcPr>
            <w:tcW w:w="884" w:type="pct"/>
            <w:vMerge/>
            <w:shd w:val="clear" w:color="auto" w:fill="EAF1DD" w:themeFill="accent3" w:themeFillTint="33"/>
          </w:tcPr>
          <w:p w:rsidR="00BC2D6C" w:rsidRPr="005F120D" w:rsidRDefault="00BC2D6C" w:rsidP="000A5B80">
            <w:pPr>
              <w:pStyle w:val="NoSpacing"/>
              <w:rPr>
                <w:rFonts w:asciiTheme="minorHAnsi" w:eastAsia="Calibri" w:hAnsiTheme="minorHAnsi" w:cstheme="minorHAnsi"/>
                <w:color w:val="000000" w:themeColor="text1"/>
                <w:sz w:val="18"/>
                <w:szCs w:val="18"/>
              </w:rPr>
            </w:pPr>
          </w:p>
        </w:tc>
      </w:tr>
      <w:tr w:rsidR="00BC2D6C" w:rsidRPr="005F120D" w:rsidTr="00BF53AC">
        <w:tc>
          <w:tcPr>
            <w:tcW w:w="172" w:type="pct"/>
            <w:vMerge/>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EAF1DD" w:themeFill="accent3" w:themeFillTint="33"/>
          </w:tcPr>
          <w:p w:rsidR="00BC2D6C" w:rsidRPr="005F120D" w:rsidRDefault="00BC2D6C" w:rsidP="000A5B80">
            <w:pPr>
              <w:pStyle w:val="NoSpacing"/>
              <w:rPr>
                <w:rFonts w:asciiTheme="minorHAnsi" w:eastAsia="Calibri" w:hAnsiTheme="minorHAnsi" w:cstheme="minorHAnsi"/>
                <w:color w:val="000000" w:themeColor="text1"/>
                <w:sz w:val="20"/>
              </w:rPr>
            </w:pPr>
          </w:p>
        </w:tc>
        <w:tc>
          <w:tcPr>
            <w:tcW w:w="360"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NNPS</w:t>
            </w:r>
          </w:p>
        </w:tc>
        <w:tc>
          <w:tcPr>
            <w:tcW w:w="341"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94%</w:t>
            </w:r>
          </w:p>
        </w:tc>
        <w:tc>
          <w:tcPr>
            <w:tcW w:w="322"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p>
        </w:tc>
        <w:tc>
          <w:tcPr>
            <w:tcW w:w="295"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81%</w:t>
            </w:r>
          </w:p>
        </w:tc>
        <w:tc>
          <w:tcPr>
            <w:tcW w:w="374"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80%</w:t>
            </w:r>
          </w:p>
        </w:tc>
        <w:tc>
          <w:tcPr>
            <w:tcW w:w="374"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79.2%</w:t>
            </w:r>
          </w:p>
        </w:tc>
        <w:tc>
          <w:tcPr>
            <w:tcW w:w="282"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82.7%</w:t>
            </w:r>
          </w:p>
        </w:tc>
        <w:tc>
          <w:tcPr>
            <w:tcW w:w="274"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p>
        </w:tc>
        <w:tc>
          <w:tcPr>
            <w:tcW w:w="884" w:type="pct"/>
            <w:vMerge/>
            <w:shd w:val="clear" w:color="auto" w:fill="EAF1DD" w:themeFill="accent3" w:themeFillTint="33"/>
          </w:tcPr>
          <w:p w:rsidR="00BC2D6C" w:rsidRPr="005F120D" w:rsidRDefault="00BC2D6C" w:rsidP="000A5B80">
            <w:pPr>
              <w:pStyle w:val="NoSpacing"/>
              <w:rPr>
                <w:rFonts w:asciiTheme="minorHAnsi" w:eastAsia="Calibri" w:hAnsiTheme="minorHAnsi" w:cstheme="minorHAnsi"/>
                <w:color w:val="000000" w:themeColor="text1"/>
                <w:sz w:val="18"/>
                <w:szCs w:val="18"/>
              </w:rPr>
            </w:pPr>
          </w:p>
        </w:tc>
      </w:tr>
      <w:tr w:rsidR="00BC2D6C" w:rsidRPr="005F120D" w:rsidTr="00BF53AC">
        <w:tc>
          <w:tcPr>
            <w:tcW w:w="172" w:type="pct"/>
            <w:vMerge w:val="restar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w:t>
            </w:r>
          </w:p>
        </w:tc>
        <w:tc>
          <w:tcPr>
            <w:tcW w:w="1321" w:type="pct"/>
            <w:vMerge w:val="restart"/>
            <w:shd w:val="clear" w:color="auto" w:fill="EAF1DD" w:themeFill="accent3" w:themeFillTint="33"/>
          </w:tcPr>
          <w:p w:rsidR="00BC2D6C" w:rsidRPr="005F120D" w:rsidRDefault="00BC2D6C"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 xml:space="preserve">Percentage of schools </w:t>
            </w:r>
            <w:r w:rsidR="004F1162" w:rsidRPr="005F120D">
              <w:rPr>
                <w:rFonts w:asciiTheme="minorHAnsi" w:eastAsia="Calibri" w:hAnsiTheme="minorHAnsi" w:cstheme="minorHAnsi"/>
                <w:color w:val="000000" w:themeColor="text1"/>
                <w:sz w:val="20"/>
              </w:rPr>
              <w:t>with a  separate functioning toilet</w:t>
            </w:r>
            <w:r w:rsidRPr="005F120D">
              <w:rPr>
                <w:rFonts w:asciiTheme="minorHAnsi" w:eastAsia="Calibri" w:hAnsiTheme="minorHAnsi" w:cstheme="minorHAnsi"/>
                <w:color w:val="000000" w:themeColor="text1"/>
                <w:sz w:val="20"/>
              </w:rPr>
              <w:t xml:space="preserve"> for girls</w:t>
            </w:r>
          </w:p>
        </w:tc>
        <w:tc>
          <w:tcPr>
            <w:tcW w:w="360"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31%</w:t>
            </w:r>
          </w:p>
        </w:tc>
        <w:tc>
          <w:tcPr>
            <w:tcW w:w="322"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48%</w:t>
            </w:r>
          </w:p>
        </w:tc>
        <w:tc>
          <w:tcPr>
            <w:tcW w:w="295"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63%</w:t>
            </w:r>
          </w:p>
        </w:tc>
        <w:tc>
          <w:tcPr>
            <w:tcW w:w="374" w:type="pct"/>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64%</w:t>
            </w:r>
          </w:p>
        </w:tc>
        <w:tc>
          <w:tcPr>
            <w:tcW w:w="374"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64.9%</w:t>
            </w:r>
          </w:p>
        </w:tc>
        <w:tc>
          <w:tcPr>
            <w:tcW w:w="282"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52.6%</w:t>
            </w:r>
          </w:p>
        </w:tc>
        <w:tc>
          <w:tcPr>
            <w:tcW w:w="274" w:type="pct"/>
            <w:tcBorders>
              <w:top w:val="single" w:sz="6" w:space="0" w:color="31849B" w:themeColor="accent5" w:themeShade="BF"/>
              <w:bottom w:val="single" w:sz="6" w:space="0" w:color="31849B" w:themeColor="accent5" w:themeShade="BF"/>
            </w:tcBorders>
            <w:shd w:val="clear" w:color="auto" w:fill="EAF1DD" w:themeFill="accent3" w:themeFillTint="33"/>
          </w:tcPr>
          <w:p w:rsidR="00BC2D6C" w:rsidRPr="005F120D" w:rsidRDefault="00BC2D6C"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p>
        </w:tc>
        <w:tc>
          <w:tcPr>
            <w:tcW w:w="884" w:type="pct"/>
            <w:vMerge w:val="restart"/>
            <w:shd w:val="clear" w:color="auto" w:fill="EAF1DD" w:themeFill="accent3" w:themeFillTint="33"/>
          </w:tcPr>
          <w:p w:rsidR="00BC2D6C" w:rsidRPr="005F120D" w:rsidRDefault="00E720E9" w:rsidP="009E2C89">
            <w:pPr>
              <w:rPr>
                <w:rFonts w:asciiTheme="minorHAnsi" w:hAnsiTheme="minorHAnsi" w:cstheme="minorHAnsi"/>
              </w:rPr>
            </w:pPr>
            <w:r w:rsidRPr="005F120D">
              <w:rPr>
                <w:rFonts w:asciiTheme="minorHAnsi" w:eastAsia="Calibri" w:hAnsiTheme="minorHAnsi" w:cstheme="minorHAnsi"/>
                <w:color w:val="000000" w:themeColor="text1"/>
                <w:sz w:val="18"/>
                <w:szCs w:val="18"/>
              </w:rPr>
              <w:t xml:space="preserve">WASH blocks were not included </w:t>
            </w:r>
            <w:r w:rsidR="009E2C89" w:rsidRPr="005F120D">
              <w:rPr>
                <w:rFonts w:asciiTheme="minorHAnsi" w:eastAsia="Calibri" w:hAnsiTheme="minorHAnsi" w:cstheme="minorHAnsi"/>
                <w:color w:val="000000" w:themeColor="text1"/>
                <w:sz w:val="18"/>
                <w:szCs w:val="18"/>
              </w:rPr>
              <w:t>for</w:t>
            </w:r>
            <w:r w:rsidR="00BC2D6C" w:rsidRPr="005F120D">
              <w:rPr>
                <w:rFonts w:asciiTheme="minorHAnsi" w:eastAsia="Calibri" w:hAnsiTheme="minorHAnsi" w:cstheme="minorHAnsi"/>
                <w:color w:val="000000" w:themeColor="text1"/>
                <w:sz w:val="18"/>
                <w:szCs w:val="18"/>
              </w:rPr>
              <w:t xml:space="preserve"> calculation</w:t>
            </w:r>
          </w:p>
        </w:tc>
      </w:tr>
      <w:tr w:rsidR="00AB2682" w:rsidRPr="005F120D" w:rsidTr="00BF53AC">
        <w:tc>
          <w:tcPr>
            <w:tcW w:w="172" w:type="pct"/>
            <w:vMerge/>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EAF1DD" w:themeFill="accent3"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GPS</w:t>
            </w:r>
          </w:p>
        </w:tc>
        <w:tc>
          <w:tcPr>
            <w:tcW w:w="341"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37</w:t>
            </w:r>
            <w:r w:rsidR="00BF53AC" w:rsidRPr="005F120D">
              <w:rPr>
                <w:rFonts w:asciiTheme="minorHAnsi" w:eastAsia="Calibri" w:hAnsiTheme="minorHAnsi" w:cstheme="minorHAnsi"/>
                <w:color w:val="000000" w:themeColor="text1"/>
                <w:sz w:val="20"/>
              </w:rPr>
              <w:t>%</w:t>
            </w:r>
          </w:p>
        </w:tc>
        <w:tc>
          <w:tcPr>
            <w:tcW w:w="322"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54</w:t>
            </w:r>
            <w:r w:rsidR="00BF53AC" w:rsidRPr="005F120D">
              <w:rPr>
                <w:rFonts w:asciiTheme="minorHAnsi" w:eastAsia="Calibri" w:hAnsiTheme="minorHAnsi" w:cstheme="minorHAnsi"/>
                <w:color w:val="000000" w:themeColor="text1"/>
                <w:sz w:val="20"/>
              </w:rPr>
              <w:t>%</w:t>
            </w:r>
          </w:p>
        </w:tc>
        <w:tc>
          <w:tcPr>
            <w:tcW w:w="295"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65</w:t>
            </w:r>
            <w:r w:rsidR="00BF53AC" w:rsidRPr="005F120D">
              <w:rPr>
                <w:rFonts w:asciiTheme="minorHAnsi" w:eastAsia="Calibri" w:hAnsiTheme="minorHAnsi" w:cstheme="minorHAnsi"/>
                <w:color w:val="000000" w:themeColor="text1"/>
                <w:sz w:val="20"/>
              </w:rPr>
              <w:t>%</w:t>
            </w:r>
          </w:p>
        </w:tc>
        <w:tc>
          <w:tcPr>
            <w:tcW w:w="374"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68</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69.2</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296D91"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57.6%</w:t>
            </w:r>
          </w:p>
        </w:tc>
        <w:tc>
          <w:tcPr>
            <w:tcW w:w="274"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shd w:val="clear" w:color="auto" w:fill="EAF1DD" w:themeFill="accent3"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rPr>
          <w:trHeight w:val="314"/>
        </w:trPr>
        <w:tc>
          <w:tcPr>
            <w:tcW w:w="172" w:type="pct"/>
            <w:vMerge/>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EAF1DD" w:themeFill="accent3"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NNPS</w:t>
            </w:r>
          </w:p>
        </w:tc>
        <w:tc>
          <w:tcPr>
            <w:tcW w:w="341"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20</w:t>
            </w:r>
            <w:r w:rsidR="00BF53AC" w:rsidRPr="005F120D">
              <w:rPr>
                <w:rFonts w:asciiTheme="minorHAnsi" w:eastAsia="Calibri" w:hAnsiTheme="minorHAnsi" w:cstheme="minorHAnsi"/>
                <w:color w:val="000000" w:themeColor="text1"/>
                <w:sz w:val="20"/>
              </w:rPr>
              <w:t>%</w:t>
            </w:r>
          </w:p>
        </w:tc>
        <w:tc>
          <w:tcPr>
            <w:tcW w:w="322"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40</w:t>
            </w:r>
            <w:r w:rsidR="00BF53AC" w:rsidRPr="005F120D">
              <w:rPr>
                <w:rFonts w:asciiTheme="minorHAnsi" w:eastAsia="Calibri" w:hAnsiTheme="minorHAnsi" w:cstheme="minorHAnsi"/>
                <w:color w:val="000000" w:themeColor="text1"/>
                <w:sz w:val="20"/>
              </w:rPr>
              <w:t>%</w:t>
            </w:r>
          </w:p>
        </w:tc>
        <w:tc>
          <w:tcPr>
            <w:tcW w:w="295"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60</w:t>
            </w:r>
            <w:r w:rsidR="00BF53AC" w:rsidRPr="005F120D">
              <w:rPr>
                <w:rFonts w:asciiTheme="minorHAnsi" w:eastAsia="Calibri" w:hAnsiTheme="minorHAnsi" w:cstheme="minorHAnsi"/>
                <w:color w:val="000000" w:themeColor="text1"/>
                <w:sz w:val="20"/>
              </w:rPr>
              <w:t>%</w:t>
            </w:r>
          </w:p>
        </w:tc>
        <w:tc>
          <w:tcPr>
            <w:tcW w:w="374"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57</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58.4</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296D91"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45%</w:t>
            </w:r>
          </w:p>
        </w:tc>
        <w:tc>
          <w:tcPr>
            <w:tcW w:w="274"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shd w:val="clear" w:color="auto" w:fill="EAF1DD" w:themeFill="accent3"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c>
          <w:tcPr>
            <w:tcW w:w="172" w:type="pct"/>
            <w:vMerge w:val="restar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w:t>
            </w:r>
          </w:p>
        </w:tc>
        <w:tc>
          <w:tcPr>
            <w:tcW w:w="1321" w:type="pct"/>
            <w:vMerge w:val="restart"/>
            <w:shd w:val="clear" w:color="auto" w:fill="EAF1DD" w:themeFill="accent3" w:themeFillTint="33"/>
          </w:tcPr>
          <w:p w:rsidR="00FD0319" w:rsidRPr="005F120D" w:rsidRDefault="00E720E9"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 xml:space="preserve">Percentage of schools with </w:t>
            </w:r>
            <w:r w:rsidR="00FD0319" w:rsidRPr="005F120D">
              <w:rPr>
                <w:rFonts w:asciiTheme="minorHAnsi" w:eastAsia="Calibri" w:hAnsiTheme="minorHAnsi" w:cstheme="minorHAnsi"/>
                <w:color w:val="000000" w:themeColor="text1"/>
                <w:sz w:val="20"/>
              </w:rPr>
              <w:t xml:space="preserve"> safe water sources: functioning </w:t>
            </w:r>
            <w:r w:rsidR="00EE6322" w:rsidRPr="005F120D">
              <w:rPr>
                <w:rFonts w:asciiTheme="minorHAnsi" w:eastAsia="Calibri" w:hAnsiTheme="minorHAnsi" w:cstheme="minorHAnsi"/>
                <w:color w:val="000000" w:themeColor="text1"/>
                <w:sz w:val="20"/>
              </w:rPr>
              <w:t>tubewells</w:t>
            </w:r>
            <w:r w:rsidR="00FD0319" w:rsidRPr="005F120D">
              <w:rPr>
                <w:rFonts w:asciiTheme="minorHAnsi" w:eastAsia="Calibri" w:hAnsiTheme="minorHAnsi" w:cstheme="minorHAnsi"/>
                <w:color w:val="000000" w:themeColor="text1"/>
                <w:sz w:val="20"/>
              </w:rPr>
              <w:t xml:space="preserve"> and other sources </w:t>
            </w:r>
          </w:p>
        </w:tc>
        <w:tc>
          <w:tcPr>
            <w:tcW w:w="360"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83</w:t>
            </w:r>
            <w:r w:rsidR="00BF53AC" w:rsidRPr="005F120D">
              <w:rPr>
                <w:rFonts w:asciiTheme="minorHAnsi" w:eastAsia="Calibri" w:hAnsiTheme="minorHAnsi" w:cstheme="minorHAnsi"/>
                <w:color w:val="000000" w:themeColor="text1"/>
                <w:sz w:val="20"/>
              </w:rPr>
              <w:t>%</w:t>
            </w:r>
          </w:p>
        </w:tc>
        <w:tc>
          <w:tcPr>
            <w:tcW w:w="322"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82</w:t>
            </w:r>
            <w:r w:rsidR="00BF53AC" w:rsidRPr="005F120D">
              <w:rPr>
                <w:rFonts w:asciiTheme="minorHAnsi" w:eastAsia="Calibri" w:hAnsiTheme="minorHAnsi" w:cstheme="minorHAnsi"/>
                <w:color w:val="000000" w:themeColor="text1"/>
                <w:sz w:val="20"/>
              </w:rPr>
              <w:t>%</w:t>
            </w:r>
          </w:p>
        </w:tc>
        <w:tc>
          <w:tcPr>
            <w:tcW w:w="295"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92</w:t>
            </w:r>
            <w:r w:rsidR="00BF53AC" w:rsidRPr="005F120D">
              <w:rPr>
                <w:rFonts w:asciiTheme="minorHAnsi" w:eastAsia="Calibri" w:hAnsiTheme="minorHAnsi" w:cstheme="minorHAnsi"/>
                <w:color w:val="000000" w:themeColor="text1"/>
                <w:sz w:val="20"/>
              </w:rPr>
              <w:t>%</w:t>
            </w:r>
          </w:p>
        </w:tc>
        <w:tc>
          <w:tcPr>
            <w:tcW w:w="374"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83</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69.3</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A551AD"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73.2</w:t>
            </w:r>
            <w:r w:rsidR="000E50A5"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val="restart"/>
            <w:shd w:val="clear" w:color="auto" w:fill="EAF1DD" w:themeFill="accent3" w:themeFillTint="33"/>
          </w:tcPr>
          <w:p w:rsidR="00FD0319" w:rsidRPr="005F120D" w:rsidRDefault="00E720E9" w:rsidP="009E2C89">
            <w:pPr>
              <w:pStyle w:val="NoSpacing"/>
              <w:jc w:val="both"/>
              <w:rPr>
                <w:rFonts w:asciiTheme="minorHAnsi" w:eastAsia="Calibri" w:hAnsiTheme="minorHAnsi" w:cstheme="minorHAnsi"/>
                <w:color w:val="000000" w:themeColor="text1"/>
                <w:sz w:val="18"/>
                <w:szCs w:val="18"/>
              </w:rPr>
            </w:pPr>
            <w:r w:rsidRPr="005F120D">
              <w:rPr>
                <w:rFonts w:asciiTheme="minorHAnsi" w:eastAsia="Calibri" w:hAnsiTheme="minorHAnsi" w:cstheme="minorHAnsi"/>
                <w:color w:val="000000" w:themeColor="text1"/>
                <w:sz w:val="18"/>
                <w:szCs w:val="18"/>
              </w:rPr>
              <w:t xml:space="preserve">WASH blocks were not </w:t>
            </w:r>
            <w:r w:rsidR="00EE6322" w:rsidRPr="005F120D">
              <w:rPr>
                <w:rFonts w:asciiTheme="minorHAnsi" w:eastAsia="Calibri" w:hAnsiTheme="minorHAnsi" w:cstheme="minorHAnsi"/>
                <w:color w:val="000000" w:themeColor="text1"/>
                <w:sz w:val="18"/>
                <w:szCs w:val="18"/>
              </w:rPr>
              <w:t>included for</w:t>
            </w:r>
            <w:r w:rsidR="00BC2D6C" w:rsidRPr="005F120D">
              <w:rPr>
                <w:rFonts w:asciiTheme="minorHAnsi" w:eastAsia="Calibri" w:hAnsiTheme="minorHAnsi" w:cstheme="minorHAnsi"/>
                <w:color w:val="000000" w:themeColor="text1"/>
                <w:sz w:val="18"/>
                <w:szCs w:val="18"/>
              </w:rPr>
              <w:t xml:space="preserve"> calculation</w:t>
            </w:r>
          </w:p>
        </w:tc>
      </w:tr>
      <w:tr w:rsidR="00AB2682" w:rsidRPr="005F120D" w:rsidTr="00BF53AC">
        <w:tc>
          <w:tcPr>
            <w:tcW w:w="172" w:type="pct"/>
            <w:vMerge/>
            <w:shd w:val="clear" w:color="auto" w:fill="auto"/>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shd w:val="clear" w:color="auto" w:fill="auto"/>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GPS</w:t>
            </w:r>
          </w:p>
        </w:tc>
        <w:tc>
          <w:tcPr>
            <w:tcW w:w="341"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84</w:t>
            </w:r>
            <w:r w:rsidR="00BF53AC" w:rsidRPr="005F120D">
              <w:rPr>
                <w:rFonts w:asciiTheme="minorHAnsi" w:eastAsia="Calibri" w:hAnsiTheme="minorHAnsi" w:cstheme="minorHAnsi"/>
                <w:color w:val="000000" w:themeColor="text1"/>
                <w:sz w:val="20"/>
              </w:rPr>
              <w:t>%</w:t>
            </w:r>
          </w:p>
        </w:tc>
        <w:tc>
          <w:tcPr>
            <w:tcW w:w="322"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80</w:t>
            </w:r>
            <w:r w:rsidR="00BF53AC" w:rsidRPr="005F120D">
              <w:rPr>
                <w:rFonts w:asciiTheme="minorHAnsi" w:eastAsia="Calibri" w:hAnsiTheme="minorHAnsi" w:cstheme="minorHAnsi"/>
                <w:color w:val="000000" w:themeColor="text1"/>
                <w:sz w:val="20"/>
              </w:rPr>
              <w:t>%</w:t>
            </w:r>
          </w:p>
        </w:tc>
        <w:tc>
          <w:tcPr>
            <w:tcW w:w="295"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92</w:t>
            </w:r>
            <w:r w:rsidR="00BF53AC" w:rsidRPr="005F120D">
              <w:rPr>
                <w:rFonts w:asciiTheme="minorHAnsi" w:eastAsia="Calibri" w:hAnsiTheme="minorHAnsi" w:cstheme="minorHAnsi"/>
                <w:color w:val="000000" w:themeColor="text1"/>
                <w:sz w:val="20"/>
              </w:rPr>
              <w:t>%</w:t>
            </w:r>
          </w:p>
        </w:tc>
        <w:tc>
          <w:tcPr>
            <w:tcW w:w="374" w:type="pct"/>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85</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72.5</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75.6%</w:t>
            </w:r>
          </w:p>
        </w:tc>
        <w:tc>
          <w:tcPr>
            <w:tcW w:w="274"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shd w:val="clear" w:color="auto" w:fill="auto"/>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rPr>
          <w:trHeight w:val="206"/>
        </w:trPr>
        <w:tc>
          <w:tcPr>
            <w:tcW w:w="172" w:type="pct"/>
            <w:vMerge/>
            <w:tcBorders>
              <w:bottom w:val="single" w:sz="6" w:space="0" w:color="31849B" w:themeColor="accent5" w:themeShade="BF"/>
            </w:tcBorders>
            <w:shd w:val="clear" w:color="auto" w:fill="auto"/>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tcBorders>
              <w:bottom w:val="single" w:sz="6" w:space="0" w:color="31849B" w:themeColor="accent5" w:themeShade="BF"/>
            </w:tcBorders>
            <w:shd w:val="clear" w:color="auto" w:fill="auto"/>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NNPS</w:t>
            </w:r>
          </w:p>
        </w:tc>
        <w:tc>
          <w:tcPr>
            <w:tcW w:w="341" w:type="pct"/>
            <w:tcBorders>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83</w:t>
            </w:r>
            <w:r w:rsidR="00BF53AC" w:rsidRPr="005F120D">
              <w:rPr>
                <w:rFonts w:asciiTheme="minorHAnsi" w:eastAsia="Calibri" w:hAnsiTheme="minorHAnsi" w:cstheme="minorHAnsi"/>
                <w:color w:val="000000" w:themeColor="text1"/>
                <w:sz w:val="20"/>
              </w:rPr>
              <w:t>%</w:t>
            </w:r>
          </w:p>
        </w:tc>
        <w:tc>
          <w:tcPr>
            <w:tcW w:w="322" w:type="pct"/>
            <w:tcBorders>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86</w:t>
            </w:r>
            <w:r w:rsidR="00BF53AC" w:rsidRPr="005F120D">
              <w:rPr>
                <w:rFonts w:asciiTheme="minorHAnsi" w:eastAsia="Calibri" w:hAnsiTheme="minorHAnsi" w:cstheme="minorHAnsi"/>
                <w:color w:val="000000" w:themeColor="text1"/>
                <w:sz w:val="20"/>
              </w:rPr>
              <w:t>%</w:t>
            </w:r>
          </w:p>
        </w:tc>
        <w:tc>
          <w:tcPr>
            <w:tcW w:w="295" w:type="pct"/>
            <w:tcBorders>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90</w:t>
            </w:r>
            <w:r w:rsidR="00BF53AC" w:rsidRPr="005F120D">
              <w:rPr>
                <w:rFonts w:asciiTheme="minorHAnsi" w:eastAsia="Calibri" w:hAnsiTheme="minorHAnsi" w:cstheme="minorHAnsi"/>
                <w:color w:val="000000" w:themeColor="text1"/>
                <w:sz w:val="20"/>
              </w:rPr>
              <w:t>%</w:t>
            </w:r>
          </w:p>
        </w:tc>
        <w:tc>
          <w:tcPr>
            <w:tcW w:w="374" w:type="pct"/>
            <w:tcBorders>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80</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64.5</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69.5%</w:t>
            </w:r>
          </w:p>
        </w:tc>
        <w:tc>
          <w:tcPr>
            <w:tcW w:w="274" w:type="pct"/>
            <w:tcBorders>
              <w:top w:val="single" w:sz="6" w:space="0" w:color="31849B" w:themeColor="accent5" w:themeShade="BF"/>
              <w:bottom w:val="single" w:sz="6" w:space="0" w:color="31849B" w:themeColor="accent5" w:themeShade="BF"/>
            </w:tcBorders>
            <w:shd w:val="clear" w:color="auto" w:fill="EAF1DD" w:themeFill="accent3"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95</w:t>
            </w:r>
            <w:r w:rsidR="005356AD" w:rsidRPr="005F120D">
              <w:rPr>
                <w:rFonts w:asciiTheme="minorHAnsi" w:eastAsia="Calibri" w:hAnsiTheme="minorHAnsi" w:cstheme="minorHAnsi"/>
                <w:color w:val="000000" w:themeColor="text1"/>
                <w:sz w:val="20"/>
              </w:rPr>
              <w:t>%</w:t>
            </w:r>
          </w:p>
        </w:tc>
        <w:tc>
          <w:tcPr>
            <w:tcW w:w="884" w:type="pct"/>
            <w:vMerge/>
            <w:tcBorders>
              <w:bottom w:val="single" w:sz="6" w:space="0" w:color="31849B" w:themeColor="accent5" w:themeShade="BF"/>
            </w:tcBorders>
            <w:shd w:val="clear" w:color="auto" w:fill="auto"/>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rPr>
          <w:trHeight w:val="85"/>
        </w:trPr>
        <w:tc>
          <w:tcPr>
            <w:tcW w:w="172"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10.</w:t>
            </w:r>
          </w:p>
        </w:tc>
        <w:tc>
          <w:tcPr>
            <w:tcW w:w="1321"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Percentage of schools that meet the SCR standard of 40</w:t>
            </w:r>
          </w:p>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20.6</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21.3</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21</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21</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28</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A551AD"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32.7</w:t>
            </w:r>
            <w:r w:rsidR="000E50A5"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25</w:t>
            </w:r>
            <w:r w:rsidR="005356AD" w:rsidRPr="005F120D">
              <w:rPr>
                <w:rFonts w:asciiTheme="minorHAnsi" w:eastAsia="Calibri" w:hAnsiTheme="minorHAnsi" w:cstheme="minorHAnsi"/>
                <w:color w:val="000000" w:themeColor="text1"/>
                <w:sz w:val="20"/>
              </w:rPr>
              <w:t>%</w:t>
            </w:r>
          </w:p>
        </w:tc>
        <w:tc>
          <w:tcPr>
            <w:tcW w:w="884"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both"/>
              <w:rPr>
                <w:rFonts w:asciiTheme="minorHAnsi" w:eastAsia="Calibri" w:hAnsiTheme="minorHAnsi" w:cstheme="minorHAnsi"/>
                <w:color w:val="000000" w:themeColor="text1"/>
                <w:sz w:val="18"/>
                <w:szCs w:val="18"/>
              </w:rPr>
            </w:pPr>
            <w:r w:rsidRPr="005F120D">
              <w:rPr>
                <w:rFonts w:asciiTheme="minorHAnsi" w:eastAsia="Calibri" w:hAnsiTheme="minorHAnsi" w:cstheme="minorHAnsi"/>
                <w:color w:val="000000" w:themeColor="text1"/>
                <w:sz w:val="18"/>
                <w:szCs w:val="18"/>
              </w:rPr>
              <w:t>Improving trend</w:t>
            </w:r>
          </w:p>
        </w:tc>
      </w:tr>
      <w:tr w:rsidR="00AB2682" w:rsidRPr="005F120D" w:rsidTr="00BF53AC">
        <w:tc>
          <w:tcPr>
            <w:tcW w:w="172"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GPS</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21.8</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21.9</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20</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20</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31</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33.2%</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25</w:t>
            </w:r>
            <w:r w:rsidR="005356AD" w:rsidRPr="005F120D">
              <w:rPr>
                <w:rFonts w:asciiTheme="minorHAnsi" w:eastAsia="Calibri" w:hAnsiTheme="minorHAnsi" w:cstheme="minorHAnsi"/>
                <w:color w:val="000000" w:themeColor="text1"/>
                <w:sz w:val="20"/>
              </w:rPr>
              <w:t>%</w:t>
            </w:r>
          </w:p>
        </w:tc>
        <w:tc>
          <w:tcPr>
            <w:tcW w:w="884"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c>
          <w:tcPr>
            <w:tcW w:w="172"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NNPS</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18.5</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20.2</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22</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22</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24</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31.9%</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25</w:t>
            </w:r>
            <w:r w:rsidR="005356AD" w:rsidRPr="005F120D">
              <w:rPr>
                <w:rFonts w:asciiTheme="minorHAnsi" w:eastAsia="Calibri" w:hAnsiTheme="minorHAnsi" w:cstheme="minorHAnsi"/>
                <w:color w:val="000000" w:themeColor="text1"/>
                <w:sz w:val="20"/>
              </w:rPr>
              <w:t>%</w:t>
            </w:r>
          </w:p>
        </w:tc>
        <w:tc>
          <w:tcPr>
            <w:tcW w:w="884"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c>
          <w:tcPr>
            <w:tcW w:w="172"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lastRenderedPageBreak/>
              <w:t>11.</w:t>
            </w:r>
          </w:p>
        </w:tc>
        <w:tc>
          <w:tcPr>
            <w:tcW w:w="1321"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Percentage of standard size classrooms (19’’X17’4”) and larger constructed</w:t>
            </w: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43</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40</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38</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38</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71</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A551AD"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71.4</w:t>
            </w:r>
            <w:r w:rsidR="000E50A5" w:rsidRPr="005F120D">
              <w:rPr>
                <w:rFonts w:asciiTheme="minorHAnsi" w:eastAsia="Calibri" w:hAnsiTheme="minorHAnsi" w:cstheme="minorHAnsi"/>
                <w:color w:val="000000" w:themeColor="text1"/>
                <w:sz w:val="20"/>
              </w:rPr>
              <w:t>%</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55</w:t>
            </w:r>
            <w:r w:rsidR="005356AD" w:rsidRPr="005F120D">
              <w:rPr>
                <w:rFonts w:asciiTheme="minorHAnsi" w:eastAsia="Calibri" w:hAnsiTheme="minorHAnsi" w:cstheme="minorHAnsi"/>
                <w:color w:val="000000" w:themeColor="text1"/>
                <w:sz w:val="20"/>
              </w:rPr>
              <w:t>%</w:t>
            </w:r>
          </w:p>
        </w:tc>
        <w:tc>
          <w:tcPr>
            <w:tcW w:w="884"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E720E9" w:rsidP="000A5B80">
            <w:pPr>
              <w:pStyle w:val="NoSpacing"/>
              <w:rPr>
                <w:rFonts w:asciiTheme="minorHAnsi" w:eastAsia="Calibri" w:hAnsiTheme="minorHAnsi" w:cstheme="minorHAnsi"/>
                <w:color w:val="000000" w:themeColor="text1"/>
                <w:sz w:val="18"/>
                <w:szCs w:val="18"/>
              </w:rPr>
            </w:pPr>
            <w:r w:rsidRPr="005F120D">
              <w:rPr>
                <w:rFonts w:asciiTheme="minorHAnsi" w:eastAsia="Calibri" w:hAnsiTheme="minorHAnsi" w:cstheme="minorHAnsi"/>
                <w:color w:val="000000" w:themeColor="text1"/>
                <w:sz w:val="18"/>
                <w:szCs w:val="18"/>
              </w:rPr>
              <w:t xml:space="preserve">PEDP3 size included </w:t>
            </w:r>
            <w:r w:rsidR="00FD0319" w:rsidRPr="005F120D">
              <w:rPr>
                <w:rFonts w:asciiTheme="minorHAnsi" w:eastAsia="Calibri" w:hAnsiTheme="minorHAnsi" w:cstheme="minorHAnsi"/>
                <w:color w:val="000000" w:themeColor="text1"/>
                <w:sz w:val="18"/>
                <w:szCs w:val="18"/>
              </w:rPr>
              <w:t xml:space="preserve"> for calculation</w:t>
            </w:r>
            <w:r w:rsidRPr="005F120D">
              <w:rPr>
                <w:rFonts w:asciiTheme="minorHAnsi" w:eastAsia="Calibri" w:hAnsiTheme="minorHAnsi" w:cstheme="minorHAnsi"/>
                <w:color w:val="000000" w:themeColor="text1"/>
                <w:sz w:val="18"/>
                <w:szCs w:val="18"/>
              </w:rPr>
              <w:t xml:space="preserve">, </w:t>
            </w:r>
            <w:r w:rsidR="00FD0319" w:rsidRPr="005F120D">
              <w:rPr>
                <w:rFonts w:asciiTheme="minorHAnsi" w:eastAsia="Calibri" w:hAnsiTheme="minorHAnsi" w:cstheme="minorHAnsi"/>
                <w:color w:val="000000" w:themeColor="text1"/>
                <w:sz w:val="18"/>
                <w:szCs w:val="18"/>
              </w:rPr>
              <w:t xml:space="preserve"> not PEDPII size (26”X19’6”’) </w:t>
            </w:r>
          </w:p>
          <w:p w:rsidR="00FD0319" w:rsidRPr="005F120D" w:rsidRDefault="00FD0319" w:rsidP="000A5B80">
            <w:pPr>
              <w:pStyle w:val="NoSpacing"/>
              <w:rPr>
                <w:rFonts w:asciiTheme="minorHAnsi" w:eastAsia="Calibri" w:hAnsiTheme="minorHAnsi" w:cstheme="minorHAnsi"/>
                <w:b/>
                <w:color w:val="000000" w:themeColor="text1"/>
                <w:sz w:val="18"/>
                <w:szCs w:val="18"/>
              </w:rPr>
            </w:pPr>
          </w:p>
        </w:tc>
      </w:tr>
      <w:tr w:rsidR="00AB2682" w:rsidRPr="005F120D" w:rsidTr="00BF53AC">
        <w:tc>
          <w:tcPr>
            <w:tcW w:w="172"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GPS</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46</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44</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42</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42</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72</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72.6%</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55</w:t>
            </w:r>
            <w:r w:rsidR="005356AD" w:rsidRPr="005F120D">
              <w:rPr>
                <w:rFonts w:asciiTheme="minorHAnsi" w:eastAsia="Calibri" w:hAnsiTheme="minorHAnsi" w:cstheme="minorHAnsi"/>
                <w:color w:val="000000" w:themeColor="text1"/>
                <w:sz w:val="20"/>
              </w:rPr>
              <w:t>%</w:t>
            </w:r>
          </w:p>
        </w:tc>
        <w:tc>
          <w:tcPr>
            <w:tcW w:w="884"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c>
          <w:tcPr>
            <w:tcW w:w="172"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NNPS</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37</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32</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31</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31</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68</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68.8%</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55</w:t>
            </w:r>
            <w:r w:rsidR="005356AD" w:rsidRPr="005F120D">
              <w:rPr>
                <w:rFonts w:asciiTheme="minorHAnsi" w:eastAsia="Calibri" w:hAnsiTheme="minorHAnsi" w:cstheme="minorHAnsi"/>
                <w:color w:val="000000" w:themeColor="text1"/>
                <w:sz w:val="20"/>
              </w:rPr>
              <w:t>%</w:t>
            </w:r>
          </w:p>
        </w:tc>
        <w:tc>
          <w:tcPr>
            <w:tcW w:w="884"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c>
          <w:tcPr>
            <w:tcW w:w="172"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12.</w:t>
            </w:r>
          </w:p>
        </w:tc>
        <w:tc>
          <w:tcPr>
            <w:tcW w:w="1321"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E720E9"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 xml:space="preserve">Percentage of schools that </w:t>
            </w:r>
            <w:r w:rsidR="00FD0319" w:rsidRPr="005F120D">
              <w:rPr>
                <w:rFonts w:asciiTheme="minorHAnsi" w:eastAsia="Calibri" w:hAnsiTheme="minorHAnsi" w:cstheme="minorHAnsi"/>
                <w:color w:val="000000" w:themeColor="text1"/>
                <w:sz w:val="20"/>
              </w:rPr>
              <w:t xml:space="preserve"> receive SLIP grants</w:t>
            </w: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64</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67</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27</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62</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76</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A551AD"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74</w:t>
            </w:r>
            <w:r w:rsidR="000E50A5" w:rsidRPr="005F120D">
              <w:rPr>
                <w:rFonts w:asciiTheme="minorHAnsi" w:eastAsia="Calibri" w:hAnsiTheme="minorHAnsi" w:cstheme="minorHAnsi"/>
                <w:color w:val="000000" w:themeColor="text1"/>
                <w:sz w:val="20"/>
              </w:rPr>
              <w:t>.6%</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98</w:t>
            </w:r>
            <w:r w:rsidR="005356AD" w:rsidRPr="005F120D">
              <w:rPr>
                <w:rFonts w:asciiTheme="minorHAnsi" w:eastAsia="Calibri" w:hAnsiTheme="minorHAnsi" w:cstheme="minorHAnsi"/>
                <w:color w:val="000000" w:themeColor="text1"/>
                <w:sz w:val="20"/>
              </w:rPr>
              <w:t>%</w:t>
            </w:r>
          </w:p>
        </w:tc>
        <w:tc>
          <w:tcPr>
            <w:tcW w:w="884"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E720E9">
            <w:pPr>
              <w:pStyle w:val="NoSpacing"/>
              <w:rPr>
                <w:rFonts w:asciiTheme="minorHAnsi" w:eastAsia="Calibri" w:hAnsiTheme="minorHAnsi" w:cstheme="minorHAnsi"/>
                <w:color w:val="000000" w:themeColor="text1"/>
                <w:sz w:val="18"/>
                <w:szCs w:val="18"/>
              </w:rPr>
            </w:pPr>
            <w:r w:rsidRPr="005F120D">
              <w:rPr>
                <w:rFonts w:asciiTheme="minorHAnsi" w:eastAsia="Calibri" w:hAnsiTheme="minorHAnsi" w:cstheme="minorHAnsi"/>
                <w:color w:val="000000" w:themeColor="text1"/>
                <w:sz w:val="18"/>
                <w:szCs w:val="18"/>
              </w:rPr>
              <w:t>Source: SLIP Cell</w:t>
            </w:r>
            <w:r w:rsidR="000E50A5" w:rsidRPr="005F120D">
              <w:rPr>
                <w:rFonts w:asciiTheme="minorHAnsi" w:eastAsia="Calibri" w:hAnsiTheme="minorHAnsi" w:cstheme="minorHAnsi"/>
                <w:color w:val="000000" w:themeColor="text1"/>
                <w:sz w:val="18"/>
                <w:szCs w:val="18"/>
              </w:rPr>
              <w:t xml:space="preserve"> administrative data, 3</w:t>
            </w:r>
            <w:r w:rsidR="000E50A5" w:rsidRPr="005F120D">
              <w:rPr>
                <w:rFonts w:asciiTheme="minorHAnsi" w:eastAsia="Calibri" w:hAnsiTheme="minorHAnsi" w:cstheme="minorHAnsi"/>
                <w:color w:val="000000" w:themeColor="text1"/>
                <w:sz w:val="18"/>
                <w:szCs w:val="18"/>
                <w:vertAlign w:val="superscript"/>
              </w:rPr>
              <w:t>rd</w:t>
            </w:r>
            <w:r w:rsidR="000E50A5" w:rsidRPr="005F120D">
              <w:rPr>
                <w:rFonts w:asciiTheme="minorHAnsi" w:eastAsia="Calibri" w:hAnsiTheme="minorHAnsi" w:cstheme="minorHAnsi"/>
                <w:color w:val="000000" w:themeColor="text1"/>
                <w:sz w:val="18"/>
                <w:szCs w:val="18"/>
              </w:rPr>
              <w:t xml:space="preserve"> installment of 2015/16 budget allocation not yet </w:t>
            </w:r>
            <w:r w:rsidR="00072DB3" w:rsidRPr="005F120D">
              <w:rPr>
                <w:rFonts w:asciiTheme="minorHAnsi" w:eastAsia="Calibri" w:hAnsiTheme="minorHAnsi" w:cstheme="minorHAnsi"/>
                <w:color w:val="000000" w:themeColor="text1"/>
                <w:sz w:val="18"/>
                <w:szCs w:val="18"/>
              </w:rPr>
              <w:t>released so</w:t>
            </w:r>
            <w:r w:rsidR="00E720E9" w:rsidRPr="005F120D">
              <w:rPr>
                <w:rFonts w:asciiTheme="minorHAnsi" w:eastAsia="Calibri" w:hAnsiTheme="minorHAnsi" w:cstheme="minorHAnsi"/>
                <w:color w:val="000000" w:themeColor="text1"/>
                <w:sz w:val="18"/>
                <w:szCs w:val="18"/>
              </w:rPr>
              <w:t xml:space="preserve"> achievement was</w:t>
            </w:r>
            <w:r w:rsidR="000E50A5" w:rsidRPr="005F120D">
              <w:rPr>
                <w:rFonts w:asciiTheme="minorHAnsi" w:eastAsia="Calibri" w:hAnsiTheme="minorHAnsi" w:cstheme="minorHAnsi"/>
                <w:color w:val="000000" w:themeColor="text1"/>
                <w:sz w:val="18"/>
                <w:szCs w:val="18"/>
              </w:rPr>
              <w:t xml:space="preserve"> low.</w:t>
            </w:r>
          </w:p>
        </w:tc>
      </w:tr>
      <w:tr w:rsidR="00AB2682" w:rsidRPr="005F120D" w:rsidTr="00BF53AC">
        <w:tc>
          <w:tcPr>
            <w:tcW w:w="172"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GPS</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n/a</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66</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26</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62</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76</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74.7%</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98</w:t>
            </w:r>
            <w:r w:rsidR="005356AD" w:rsidRPr="005F120D">
              <w:rPr>
                <w:rFonts w:asciiTheme="minorHAnsi" w:eastAsia="Calibri" w:hAnsiTheme="minorHAnsi" w:cstheme="minorHAnsi"/>
                <w:color w:val="000000" w:themeColor="text1"/>
                <w:sz w:val="20"/>
              </w:rPr>
              <w:t>%</w:t>
            </w:r>
          </w:p>
        </w:tc>
        <w:tc>
          <w:tcPr>
            <w:tcW w:w="884"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c>
          <w:tcPr>
            <w:tcW w:w="172"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NNPS</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n/a</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68</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29</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62</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76</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74.5%</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98</w:t>
            </w:r>
            <w:r w:rsidR="005356AD" w:rsidRPr="005F120D">
              <w:rPr>
                <w:rFonts w:asciiTheme="minorHAnsi" w:eastAsia="Calibri" w:hAnsiTheme="minorHAnsi" w:cstheme="minorHAnsi"/>
                <w:color w:val="000000" w:themeColor="text1"/>
                <w:sz w:val="20"/>
              </w:rPr>
              <w:t>%</w:t>
            </w:r>
          </w:p>
        </w:tc>
        <w:tc>
          <w:tcPr>
            <w:tcW w:w="884"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c>
          <w:tcPr>
            <w:tcW w:w="172"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13.</w:t>
            </w:r>
          </w:p>
        </w:tc>
        <w:tc>
          <w:tcPr>
            <w:tcW w:w="1321"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E720E9"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Percentage of Head T</w:t>
            </w:r>
            <w:r w:rsidR="00FD0319" w:rsidRPr="005F120D">
              <w:rPr>
                <w:rFonts w:asciiTheme="minorHAnsi" w:eastAsia="Calibri" w:hAnsiTheme="minorHAnsi" w:cstheme="minorHAnsi"/>
                <w:color w:val="000000" w:themeColor="text1"/>
                <w:sz w:val="20"/>
              </w:rPr>
              <w:t>eachers who received training on leadership</w:t>
            </w: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71</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77</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46</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65</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26</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A551AD"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49</w:t>
            </w:r>
            <w:r w:rsidR="000E50A5" w:rsidRPr="005F120D">
              <w:rPr>
                <w:rFonts w:asciiTheme="minorHAnsi" w:eastAsia="Calibri" w:hAnsiTheme="minorHAnsi" w:cstheme="minorHAnsi"/>
                <w:color w:val="000000" w:themeColor="text1"/>
                <w:sz w:val="20"/>
              </w:rPr>
              <w:t>.3%</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85</w:t>
            </w:r>
            <w:r w:rsidR="005356AD" w:rsidRPr="005F120D">
              <w:rPr>
                <w:rFonts w:asciiTheme="minorHAnsi" w:eastAsia="Calibri" w:hAnsiTheme="minorHAnsi" w:cstheme="minorHAnsi"/>
                <w:color w:val="000000" w:themeColor="text1"/>
                <w:sz w:val="20"/>
              </w:rPr>
              <w:t>%</w:t>
            </w:r>
          </w:p>
        </w:tc>
        <w:tc>
          <w:tcPr>
            <w:tcW w:w="884"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4866A5" w:rsidP="00E720E9">
            <w:pPr>
              <w:pStyle w:val="NoSpacing"/>
              <w:rPr>
                <w:rFonts w:asciiTheme="minorHAnsi" w:eastAsia="Calibri" w:hAnsiTheme="minorHAnsi" w:cstheme="minorHAnsi"/>
                <w:color w:val="000000" w:themeColor="text1"/>
                <w:sz w:val="18"/>
                <w:szCs w:val="18"/>
              </w:rPr>
            </w:pPr>
            <w:r w:rsidRPr="005F120D">
              <w:rPr>
                <w:rFonts w:asciiTheme="minorHAnsi" w:eastAsia="Calibri" w:hAnsiTheme="minorHAnsi" w:cstheme="minorHAnsi"/>
                <w:color w:val="000000" w:themeColor="text1"/>
                <w:sz w:val="18"/>
                <w:szCs w:val="18"/>
              </w:rPr>
              <w:t>Source</w:t>
            </w:r>
            <w:r w:rsidR="00E720E9" w:rsidRPr="005F120D">
              <w:rPr>
                <w:rFonts w:asciiTheme="minorHAnsi" w:eastAsia="Calibri" w:hAnsiTheme="minorHAnsi" w:cstheme="minorHAnsi"/>
                <w:color w:val="000000" w:themeColor="text1"/>
                <w:sz w:val="18"/>
                <w:szCs w:val="18"/>
              </w:rPr>
              <w:t>: Training D</w:t>
            </w:r>
            <w:r w:rsidR="000E50A5" w:rsidRPr="005F120D">
              <w:rPr>
                <w:rFonts w:asciiTheme="minorHAnsi" w:eastAsia="Calibri" w:hAnsiTheme="minorHAnsi" w:cstheme="minorHAnsi"/>
                <w:color w:val="000000" w:themeColor="text1"/>
                <w:sz w:val="18"/>
                <w:szCs w:val="18"/>
              </w:rPr>
              <w:t>ivision</w:t>
            </w:r>
            <w:r w:rsidR="00E720E9" w:rsidRPr="005F120D">
              <w:rPr>
                <w:rFonts w:asciiTheme="minorHAnsi" w:eastAsia="Calibri" w:hAnsiTheme="minorHAnsi" w:cstheme="minorHAnsi"/>
                <w:color w:val="000000" w:themeColor="text1"/>
                <w:sz w:val="18"/>
                <w:szCs w:val="18"/>
              </w:rPr>
              <w:t>’s</w:t>
            </w:r>
            <w:r w:rsidR="000E50A5" w:rsidRPr="005F120D">
              <w:rPr>
                <w:rFonts w:asciiTheme="minorHAnsi" w:eastAsia="Calibri" w:hAnsiTheme="minorHAnsi" w:cstheme="minorHAnsi"/>
                <w:color w:val="000000" w:themeColor="text1"/>
                <w:sz w:val="18"/>
                <w:szCs w:val="18"/>
              </w:rPr>
              <w:t xml:space="preserve"> administrative data</w:t>
            </w:r>
            <w:r w:rsidR="00FD0319" w:rsidRPr="005F120D">
              <w:rPr>
                <w:rFonts w:asciiTheme="minorHAnsi" w:eastAsia="Calibri" w:hAnsiTheme="minorHAnsi" w:cstheme="minorHAnsi"/>
                <w:color w:val="000000" w:themeColor="text1"/>
                <w:sz w:val="18"/>
                <w:szCs w:val="18"/>
              </w:rPr>
              <w:t xml:space="preserve">. </w:t>
            </w:r>
          </w:p>
        </w:tc>
      </w:tr>
      <w:tr w:rsidR="00AB2682" w:rsidRPr="005F120D" w:rsidTr="00BF53AC">
        <w:tc>
          <w:tcPr>
            <w:tcW w:w="172"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GPS</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75</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84</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45</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65</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25</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50%</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85</w:t>
            </w:r>
            <w:r w:rsidR="005356AD" w:rsidRPr="005F120D">
              <w:rPr>
                <w:rFonts w:asciiTheme="minorHAnsi" w:eastAsia="Calibri" w:hAnsiTheme="minorHAnsi" w:cstheme="minorHAnsi"/>
                <w:color w:val="000000" w:themeColor="text1"/>
                <w:sz w:val="20"/>
              </w:rPr>
              <w:t>%</w:t>
            </w:r>
          </w:p>
        </w:tc>
        <w:tc>
          <w:tcPr>
            <w:tcW w:w="884"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c>
          <w:tcPr>
            <w:tcW w:w="172"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p>
        </w:tc>
        <w:tc>
          <w:tcPr>
            <w:tcW w:w="1321"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NNPS</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64</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68</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47</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64</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26</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49%</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85</w:t>
            </w:r>
            <w:r w:rsidR="005356AD" w:rsidRPr="005F120D">
              <w:rPr>
                <w:rFonts w:asciiTheme="minorHAnsi" w:eastAsia="Calibri" w:hAnsiTheme="minorHAnsi" w:cstheme="minorHAnsi"/>
                <w:color w:val="000000" w:themeColor="text1"/>
                <w:sz w:val="20"/>
              </w:rPr>
              <w:t>%</w:t>
            </w:r>
          </w:p>
        </w:tc>
        <w:tc>
          <w:tcPr>
            <w:tcW w:w="884"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c>
          <w:tcPr>
            <w:tcW w:w="172"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14</w:t>
            </w:r>
          </w:p>
        </w:tc>
        <w:tc>
          <w:tcPr>
            <w:tcW w:w="1321"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E720E9" w:rsidP="000A5B80">
            <w:pPr>
              <w:pStyle w:val="NoSpacing"/>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Percentage of schools that me</w:t>
            </w:r>
            <w:r w:rsidR="00FD0319" w:rsidRPr="005F120D">
              <w:rPr>
                <w:rFonts w:asciiTheme="minorHAnsi" w:eastAsia="Calibri" w:hAnsiTheme="minorHAnsi" w:cstheme="minorHAnsi"/>
                <w:color w:val="000000" w:themeColor="text1"/>
                <w:sz w:val="20"/>
              </w:rPr>
              <w:t>t the STR standard of 46 (EFA11)</w:t>
            </w: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Total</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44</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45</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49</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51</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62</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A551AD"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66.7</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75</w:t>
            </w:r>
            <w:r w:rsidR="005356AD" w:rsidRPr="005F120D">
              <w:rPr>
                <w:rFonts w:asciiTheme="minorHAnsi" w:eastAsia="Calibri" w:hAnsiTheme="minorHAnsi" w:cstheme="minorHAnsi"/>
                <w:color w:val="000000" w:themeColor="text1"/>
                <w:sz w:val="20"/>
              </w:rPr>
              <w:t>%</w:t>
            </w:r>
          </w:p>
        </w:tc>
        <w:tc>
          <w:tcPr>
            <w:tcW w:w="884" w:type="pct"/>
            <w:vMerge w:val="restar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18"/>
                <w:szCs w:val="18"/>
              </w:rPr>
            </w:pPr>
          </w:p>
        </w:tc>
      </w:tr>
      <w:tr w:rsidR="00AB2682" w:rsidRPr="005F120D" w:rsidTr="00BF53AC">
        <w:tc>
          <w:tcPr>
            <w:tcW w:w="172"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1321"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GPS</w:t>
            </w:r>
          </w:p>
        </w:tc>
        <w:tc>
          <w:tcPr>
            <w:tcW w:w="341"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40</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45</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50</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51</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62</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67.5%</w:t>
            </w:r>
          </w:p>
        </w:tc>
        <w:tc>
          <w:tcPr>
            <w:tcW w:w="274" w:type="pct"/>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75</w:t>
            </w:r>
            <w:r w:rsidR="005356AD" w:rsidRPr="005F120D">
              <w:rPr>
                <w:rFonts w:asciiTheme="minorHAnsi" w:eastAsia="Calibri" w:hAnsiTheme="minorHAnsi" w:cstheme="minorHAnsi"/>
                <w:color w:val="000000" w:themeColor="text1"/>
                <w:sz w:val="20"/>
              </w:rPr>
              <w:t>%</w:t>
            </w:r>
          </w:p>
        </w:tc>
        <w:tc>
          <w:tcPr>
            <w:tcW w:w="884" w:type="pct"/>
            <w:vMerge/>
            <w:tcBorders>
              <w:top w:val="single" w:sz="6" w:space="0" w:color="31849B" w:themeColor="accent5" w:themeShade="BF"/>
              <w:bottom w:val="single" w:sz="6"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r>
      <w:tr w:rsidR="00AB2682" w:rsidRPr="005F120D" w:rsidTr="00BF53AC">
        <w:trPr>
          <w:trHeight w:val="179"/>
        </w:trPr>
        <w:tc>
          <w:tcPr>
            <w:tcW w:w="172" w:type="pct"/>
            <w:vMerge/>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1321" w:type="pct"/>
            <w:vMerge/>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c>
          <w:tcPr>
            <w:tcW w:w="360" w:type="pct"/>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NNPS</w:t>
            </w:r>
          </w:p>
        </w:tc>
        <w:tc>
          <w:tcPr>
            <w:tcW w:w="341" w:type="pct"/>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52</w:t>
            </w:r>
            <w:r w:rsidR="00BF53AC" w:rsidRPr="005F120D">
              <w:rPr>
                <w:rFonts w:asciiTheme="minorHAnsi" w:eastAsia="Calibri" w:hAnsiTheme="minorHAnsi" w:cstheme="minorHAnsi"/>
                <w:color w:val="000000" w:themeColor="text1"/>
                <w:sz w:val="20"/>
              </w:rPr>
              <w:t>%</w:t>
            </w:r>
          </w:p>
        </w:tc>
        <w:tc>
          <w:tcPr>
            <w:tcW w:w="322" w:type="pct"/>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47</w:t>
            </w:r>
            <w:r w:rsidR="00BF53AC" w:rsidRPr="005F120D">
              <w:rPr>
                <w:rFonts w:asciiTheme="minorHAnsi" w:eastAsia="Calibri" w:hAnsiTheme="minorHAnsi" w:cstheme="minorHAnsi"/>
                <w:color w:val="000000" w:themeColor="text1"/>
                <w:sz w:val="20"/>
              </w:rPr>
              <w:t>%</w:t>
            </w:r>
          </w:p>
        </w:tc>
        <w:tc>
          <w:tcPr>
            <w:tcW w:w="295" w:type="pct"/>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47</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46</w:t>
            </w:r>
            <w:r w:rsidR="00BF53AC" w:rsidRPr="005F120D">
              <w:rPr>
                <w:rFonts w:asciiTheme="minorHAnsi" w:eastAsia="Calibri" w:hAnsiTheme="minorHAnsi" w:cstheme="minorHAnsi"/>
                <w:color w:val="000000" w:themeColor="text1"/>
                <w:sz w:val="20"/>
              </w:rPr>
              <w:t>%</w:t>
            </w:r>
          </w:p>
        </w:tc>
        <w:tc>
          <w:tcPr>
            <w:tcW w:w="374" w:type="pct"/>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63</w:t>
            </w:r>
            <w:r w:rsidR="00BF53AC" w:rsidRPr="005F120D">
              <w:rPr>
                <w:rFonts w:asciiTheme="minorHAnsi" w:eastAsia="Calibri" w:hAnsiTheme="minorHAnsi" w:cstheme="minorHAnsi"/>
                <w:color w:val="000000" w:themeColor="text1"/>
                <w:sz w:val="20"/>
              </w:rPr>
              <w:t>%</w:t>
            </w:r>
          </w:p>
        </w:tc>
        <w:tc>
          <w:tcPr>
            <w:tcW w:w="282" w:type="pct"/>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0E50A5"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64.7%</w:t>
            </w:r>
          </w:p>
        </w:tc>
        <w:tc>
          <w:tcPr>
            <w:tcW w:w="274" w:type="pct"/>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FD0319" w:rsidP="000A5B80">
            <w:pPr>
              <w:pStyle w:val="NoSpacing"/>
              <w:jc w:val="center"/>
              <w:rPr>
                <w:rFonts w:asciiTheme="minorHAnsi" w:eastAsia="Calibri" w:hAnsiTheme="minorHAnsi" w:cstheme="minorHAnsi"/>
                <w:color w:val="000000" w:themeColor="text1"/>
                <w:sz w:val="20"/>
              </w:rPr>
            </w:pPr>
            <w:r w:rsidRPr="005F120D">
              <w:rPr>
                <w:rFonts w:asciiTheme="minorHAnsi" w:eastAsia="Calibri" w:hAnsiTheme="minorHAnsi" w:cstheme="minorHAnsi"/>
                <w:color w:val="000000" w:themeColor="text1"/>
                <w:sz w:val="20"/>
              </w:rPr>
              <w:t>75</w:t>
            </w:r>
            <w:r w:rsidR="005356AD" w:rsidRPr="005F120D">
              <w:rPr>
                <w:rFonts w:asciiTheme="minorHAnsi" w:eastAsia="Calibri" w:hAnsiTheme="minorHAnsi" w:cstheme="minorHAnsi"/>
                <w:color w:val="000000" w:themeColor="text1"/>
                <w:sz w:val="20"/>
              </w:rPr>
              <w:t>%</w:t>
            </w:r>
          </w:p>
        </w:tc>
        <w:tc>
          <w:tcPr>
            <w:tcW w:w="884" w:type="pct"/>
            <w:vMerge/>
            <w:tcBorders>
              <w:top w:val="single" w:sz="6" w:space="0" w:color="31849B" w:themeColor="accent5" w:themeShade="BF"/>
              <w:bottom w:val="double" w:sz="4" w:space="0" w:color="31849B" w:themeColor="accent5" w:themeShade="BF"/>
            </w:tcBorders>
            <w:shd w:val="clear" w:color="auto" w:fill="F2DBDB" w:themeFill="accent2" w:themeFillTint="33"/>
          </w:tcPr>
          <w:p w:rsidR="00FD0319" w:rsidRPr="005F120D" w:rsidRDefault="00FD0319" w:rsidP="000A5B80">
            <w:pPr>
              <w:pStyle w:val="NoSpacing"/>
              <w:rPr>
                <w:rFonts w:asciiTheme="minorHAnsi" w:eastAsia="Calibri" w:hAnsiTheme="minorHAnsi" w:cstheme="minorHAnsi"/>
                <w:color w:val="000000" w:themeColor="text1"/>
                <w:sz w:val="20"/>
              </w:rPr>
            </w:pPr>
          </w:p>
        </w:tc>
      </w:tr>
    </w:tbl>
    <w:p w:rsidR="00FD0319" w:rsidRPr="005F120D" w:rsidRDefault="00FD0319" w:rsidP="00C437AA">
      <w:pPr>
        <w:pStyle w:val="Caption"/>
        <w:keepNext/>
        <w:spacing w:line="276" w:lineRule="auto"/>
        <w:jc w:val="left"/>
        <w:rPr>
          <w:rFonts w:cstheme="minorHAnsi"/>
          <w:color w:val="FF0000"/>
        </w:rPr>
      </w:pPr>
    </w:p>
    <w:p w:rsidR="00FD0319" w:rsidRPr="00F77F38" w:rsidRDefault="00303157" w:rsidP="00C437AA">
      <w:pPr>
        <w:spacing w:after="0" w:line="276" w:lineRule="auto"/>
        <w:rPr>
          <w:rFonts w:ascii="Calibri" w:hAnsi="Calibri"/>
          <w:color w:val="212121"/>
          <w:szCs w:val="22"/>
          <w:shd w:val="clear" w:color="auto" w:fill="FFFFFF"/>
        </w:rPr>
      </w:pPr>
      <w:r w:rsidRPr="00303157">
        <w:rPr>
          <w:rFonts w:ascii="Calibri" w:hAnsi="Calibri"/>
          <w:color w:val="212121"/>
          <w:szCs w:val="22"/>
          <w:shd w:val="clear" w:color="auto" w:fill="FFFFFF"/>
        </w:rPr>
        <w:t xml:space="preserve">Note: </w:t>
      </w:r>
      <w:r w:rsidR="00547734" w:rsidRPr="00547734">
        <w:rPr>
          <w:rFonts w:ascii="Calibri" w:hAnsi="Calibri"/>
          <w:color w:val="212121"/>
          <w:szCs w:val="22"/>
          <w:shd w:val="clear" w:color="auto" w:fill="FFFFFF"/>
        </w:rPr>
        <w:t>All the training activities under PEDP3 follow the financial year (</w:t>
      </w:r>
      <w:r w:rsidR="00547734">
        <w:rPr>
          <w:rFonts w:ascii="Calibri" w:hAnsi="Calibri"/>
          <w:color w:val="212121"/>
          <w:szCs w:val="22"/>
          <w:shd w:val="clear" w:color="auto" w:fill="FFFFFF"/>
        </w:rPr>
        <w:t>one</w:t>
      </w:r>
      <w:r w:rsidR="00547734" w:rsidRPr="00547734">
        <w:rPr>
          <w:rFonts w:ascii="Calibri" w:hAnsi="Calibri"/>
          <w:color w:val="212121"/>
          <w:szCs w:val="22"/>
          <w:shd w:val="clear" w:color="auto" w:fill="FFFFFF"/>
        </w:rPr>
        <w:t> financial year straddles two academic years i.e. July 2014 to June 2015)</w:t>
      </w:r>
      <w:r w:rsidR="00547734">
        <w:rPr>
          <w:rFonts w:ascii="Calibri" w:hAnsi="Calibri"/>
          <w:color w:val="212121"/>
          <w:szCs w:val="22"/>
          <w:shd w:val="clear" w:color="auto" w:fill="FFFFFF"/>
        </w:rPr>
        <w:t>.</w:t>
      </w:r>
      <w:r w:rsidR="00547734" w:rsidRPr="00547734">
        <w:rPr>
          <w:rFonts w:ascii="Calibri" w:hAnsi="Calibri"/>
          <w:color w:val="212121"/>
          <w:szCs w:val="22"/>
          <w:shd w:val="clear" w:color="auto" w:fill="FFFFFF"/>
        </w:rPr>
        <w:t xml:space="preserve"> The APSC data collected from the school level (28 February of 2015) follows the academic year i.e. January to December 2015. Therefore, there is inconsistency in the 2 sets of data (one collected through APSC, and the </w:t>
      </w:r>
      <w:r w:rsidR="00547734">
        <w:rPr>
          <w:rFonts w:ascii="Calibri" w:hAnsi="Calibri"/>
          <w:color w:val="212121"/>
          <w:szCs w:val="22"/>
          <w:shd w:val="clear" w:color="auto" w:fill="FFFFFF"/>
        </w:rPr>
        <w:t>o</w:t>
      </w:r>
      <w:r w:rsidR="00547734" w:rsidRPr="00547734">
        <w:rPr>
          <w:rFonts w:ascii="Calibri" w:hAnsi="Calibri"/>
          <w:color w:val="212121"/>
          <w:szCs w:val="22"/>
          <w:shd w:val="clear" w:color="auto" w:fill="FFFFFF"/>
        </w:rPr>
        <w:t>ther through the DPE Training Division Administrative source). APSC progress might be lower than the Training Division Administrative source because of the huge training session conducted after APSC data collection from the school (after February). But the trend of achievement is consistent because the same methodology and process have been following since 2005 for providing progress against both the PSQLs (2 and 3)</w:t>
      </w:r>
      <w:r w:rsidR="00547734">
        <w:rPr>
          <w:rFonts w:ascii="Calibri" w:hAnsi="Calibri"/>
          <w:color w:val="212121"/>
          <w:szCs w:val="22"/>
          <w:shd w:val="clear" w:color="auto" w:fill="FFFFFF"/>
        </w:rPr>
        <w:t>.</w:t>
      </w:r>
      <w:r w:rsidR="00FD0319" w:rsidRPr="00547734">
        <w:rPr>
          <w:rFonts w:asciiTheme="minorHAnsi" w:hAnsiTheme="minorHAnsi" w:cstheme="minorHAnsi"/>
          <w:szCs w:val="22"/>
        </w:rPr>
        <w:br w:type="page"/>
      </w:r>
    </w:p>
    <w:p w:rsidR="00FD0319" w:rsidRPr="005F120D" w:rsidRDefault="00883B79" w:rsidP="00C437AA">
      <w:pPr>
        <w:pStyle w:val="Caption"/>
        <w:spacing w:before="240" w:line="276" w:lineRule="auto"/>
        <w:rPr>
          <w:rFonts w:cstheme="minorHAnsi"/>
        </w:rPr>
      </w:pPr>
      <w:bookmarkStart w:id="75" w:name="_Toc462837227"/>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5</w:t>
      </w:r>
      <w:r w:rsidR="002E2ED5" w:rsidRPr="005F120D">
        <w:rPr>
          <w:rFonts w:cstheme="minorHAnsi"/>
        </w:rPr>
        <w:fldChar w:fldCharType="end"/>
      </w:r>
      <w:r w:rsidR="00FD0319" w:rsidRPr="005F120D">
        <w:rPr>
          <w:rFonts w:cstheme="minorHAnsi"/>
        </w:rPr>
        <w:t>: DLI</w:t>
      </w:r>
      <w:r w:rsidR="001B72E6" w:rsidRPr="005F120D">
        <w:rPr>
          <w:rFonts w:cstheme="minorHAnsi"/>
        </w:rPr>
        <w:t>s</w:t>
      </w:r>
      <w:r w:rsidR="00FD0319" w:rsidRPr="005F120D">
        <w:rPr>
          <w:rFonts w:cstheme="minorHAnsi"/>
        </w:rPr>
        <w:t xml:space="preserve"> Milestones </w:t>
      </w:r>
      <w:r w:rsidR="001B72E6" w:rsidRPr="005F120D">
        <w:rPr>
          <w:rFonts w:cstheme="minorHAnsi"/>
        </w:rPr>
        <w:t>and</w:t>
      </w:r>
      <w:r w:rsidR="00FD0319" w:rsidRPr="005F120D">
        <w:rPr>
          <w:rFonts w:cstheme="minorHAnsi"/>
        </w:rPr>
        <w:t xml:space="preserve"> Dates </w:t>
      </w:r>
      <w:r w:rsidR="001B72E6" w:rsidRPr="005F120D">
        <w:rPr>
          <w:rFonts w:cstheme="minorHAnsi"/>
        </w:rPr>
        <w:t>for meeting DLIs</w:t>
      </w:r>
      <w:r w:rsidR="00072DB3">
        <w:rPr>
          <w:rFonts w:cstheme="minorHAnsi"/>
        </w:rPr>
        <w:t xml:space="preserve"> </w:t>
      </w:r>
      <w:r w:rsidR="001B72E6" w:rsidRPr="005F120D">
        <w:rPr>
          <w:rFonts w:cstheme="minorHAnsi"/>
        </w:rPr>
        <w:t xml:space="preserve">as of April </w:t>
      </w:r>
      <w:r w:rsidR="00FD0319" w:rsidRPr="005F120D">
        <w:rPr>
          <w:rFonts w:cstheme="minorHAnsi"/>
        </w:rPr>
        <w:t>2015</w:t>
      </w:r>
      <w:bookmarkEnd w:id="75"/>
    </w:p>
    <w:tbl>
      <w:tblPr>
        <w:tblStyle w:val="TableGrid"/>
        <w:tblW w:w="5000" w:type="pct"/>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single" w:sz="6" w:space="0" w:color="E36C0A" w:themeColor="accent6" w:themeShade="BF"/>
          <w:insideV w:val="single" w:sz="6" w:space="0" w:color="E36C0A" w:themeColor="accent6" w:themeShade="BF"/>
        </w:tblBorders>
        <w:tblLook w:val="04A0"/>
      </w:tblPr>
      <w:tblGrid>
        <w:gridCol w:w="552"/>
        <w:gridCol w:w="1252"/>
        <w:gridCol w:w="1698"/>
        <w:gridCol w:w="877"/>
        <w:gridCol w:w="1602"/>
        <w:gridCol w:w="980"/>
        <w:gridCol w:w="1477"/>
        <w:gridCol w:w="993"/>
        <w:gridCol w:w="1486"/>
        <w:gridCol w:w="993"/>
        <w:gridCol w:w="1883"/>
        <w:gridCol w:w="918"/>
        <w:gridCol w:w="899"/>
      </w:tblGrid>
      <w:tr w:rsidR="00805C9D" w:rsidRPr="005F120D" w:rsidTr="00893EE0">
        <w:trPr>
          <w:tblHeader/>
        </w:trPr>
        <w:tc>
          <w:tcPr>
            <w:tcW w:w="177" w:type="pct"/>
            <w:vMerge w:val="restar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Sl. No.</w:t>
            </w:r>
          </w:p>
        </w:tc>
        <w:tc>
          <w:tcPr>
            <w:tcW w:w="401" w:type="pct"/>
            <w:vMerge w:val="restar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p>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DLI</w:t>
            </w:r>
          </w:p>
        </w:tc>
        <w:tc>
          <w:tcPr>
            <w:tcW w:w="825" w:type="pct"/>
            <w:gridSpan w:val="2"/>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Year 0</w:t>
            </w:r>
          </w:p>
        </w:tc>
        <w:tc>
          <w:tcPr>
            <w:tcW w:w="827" w:type="pct"/>
            <w:gridSpan w:val="2"/>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Year 1</w:t>
            </w:r>
          </w:p>
        </w:tc>
        <w:tc>
          <w:tcPr>
            <w:tcW w:w="791" w:type="pct"/>
            <w:gridSpan w:val="2"/>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Year 2</w:t>
            </w:r>
          </w:p>
        </w:tc>
        <w:tc>
          <w:tcPr>
            <w:tcW w:w="794" w:type="pct"/>
            <w:gridSpan w:val="2"/>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Year 3</w:t>
            </w:r>
          </w:p>
        </w:tc>
        <w:tc>
          <w:tcPr>
            <w:tcW w:w="897" w:type="pct"/>
            <w:gridSpan w:val="2"/>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Year 4</w:t>
            </w:r>
          </w:p>
        </w:tc>
        <w:tc>
          <w:tcPr>
            <w:tcW w:w="288" w:type="pct"/>
            <w:vMerge w:val="restar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p>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Remarks</w:t>
            </w:r>
          </w:p>
        </w:tc>
      </w:tr>
      <w:tr w:rsidR="00805C9D" w:rsidRPr="005F120D" w:rsidTr="00893EE0">
        <w:trPr>
          <w:tblHeader/>
        </w:trPr>
        <w:tc>
          <w:tcPr>
            <w:tcW w:w="177" w:type="pct"/>
            <w:vMerge/>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p>
        </w:tc>
        <w:tc>
          <w:tcPr>
            <w:tcW w:w="401" w:type="pct"/>
            <w:vMerge/>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p>
        </w:tc>
        <w:tc>
          <w:tcPr>
            <w:tcW w:w="544" w:type="pc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Milestones</w:t>
            </w:r>
          </w:p>
        </w:tc>
        <w:tc>
          <w:tcPr>
            <w:tcW w:w="281" w:type="pct"/>
            <w:shd w:val="clear" w:color="auto" w:fill="FBD4B4" w:themeFill="accent6" w:themeFillTint="66"/>
          </w:tcPr>
          <w:p w:rsidR="00805C9D" w:rsidRPr="005F120D" w:rsidRDefault="00805C9D" w:rsidP="00893EE0">
            <w:pPr>
              <w:spacing w:after="0"/>
              <w:jc w:val="center"/>
              <w:rPr>
                <w:rFonts w:asciiTheme="minorHAnsi" w:hAnsiTheme="minorHAnsi" w:cstheme="minorHAnsi"/>
                <w:b/>
                <w:sz w:val="14"/>
                <w:szCs w:val="14"/>
              </w:rPr>
            </w:pPr>
            <w:r w:rsidRPr="005F120D">
              <w:rPr>
                <w:rFonts w:asciiTheme="minorHAnsi" w:hAnsiTheme="minorHAnsi" w:cstheme="minorHAnsi"/>
                <w:b/>
                <w:sz w:val="14"/>
                <w:szCs w:val="14"/>
              </w:rPr>
              <w:t>Dates Achieved</w:t>
            </w:r>
          </w:p>
        </w:tc>
        <w:tc>
          <w:tcPr>
            <w:tcW w:w="513" w:type="pc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Milestones</w:t>
            </w:r>
          </w:p>
        </w:tc>
        <w:tc>
          <w:tcPr>
            <w:tcW w:w="314" w:type="pct"/>
            <w:shd w:val="clear" w:color="auto" w:fill="FBD4B4" w:themeFill="accent6" w:themeFillTint="66"/>
          </w:tcPr>
          <w:p w:rsidR="00805C9D" w:rsidRPr="005F120D" w:rsidRDefault="00805C9D" w:rsidP="00893EE0">
            <w:pPr>
              <w:spacing w:after="0"/>
              <w:jc w:val="center"/>
              <w:rPr>
                <w:rFonts w:asciiTheme="minorHAnsi" w:hAnsiTheme="minorHAnsi" w:cstheme="minorHAnsi"/>
                <w:b/>
                <w:sz w:val="14"/>
                <w:szCs w:val="14"/>
              </w:rPr>
            </w:pPr>
            <w:r w:rsidRPr="005F120D">
              <w:rPr>
                <w:rFonts w:asciiTheme="minorHAnsi" w:hAnsiTheme="minorHAnsi" w:cstheme="minorHAnsi"/>
                <w:b/>
                <w:sz w:val="14"/>
                <w:szCs w:val="14"/>
              </w:rPr>
              <w:t>Dates Achieved</w:t>
            </w:r>
          </w:p>
        </w:tc>
        <w:tc>
          <w:tcPr>
            <w:tcW w:w="473" w:type="pc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Milestones</w:t>
            </w:r>
          </w:p>
        </w:tc>
        <w:tc>
          <w:tcPr>
            <w:tcW w:w="318" w:type="pc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Dates Achieved</w:t>
            </w:r>
          </w:p>
        </w:tc>
        <w:tc>
          <w:tcPr>
            <w:tcW w:w="476" w:type="pc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Milestones</w:t>
            </w:r>
          </w:p>
        </w:tc>
        <w:tc>
          <w:tcPr>
            <w:tcW w:w="318" w:type="pc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Dates Achieved</w:t>
            </w:r>
          </w:p>
        </w:tc>
        <w:tc>
          <w:tcPr>
            <w:tcW w:w="603" w:type="pc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Milestones</w:t>
            </w:r>
          </w:p>
        </w:tc>
        <w:tc>
          <w:tcPr>
            <w:tcW w:w="294" w:type="pct"/>
            <w:shd w:val="clear" w:color="auto" w:fill="FBD4B4" w:themeFill="accent6" w:themeFillTint="66"/>
          </w:tcPr>
          <w:p w:rsidR="00805C9D" w:rsidRPr="005F120D" w:rsidRDefault="00805C9D" w:rsidP="00893EE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Dates Achieved</w:t>
            </w:r>
          </w:p>
        </w:tc>
        <w:tc>
          <w:tcPr>
            <w:tcW w:w="288" w:type="pct"/>
            <w:vMerge/>
            <w:shd w:val="clear" w:color="auto" w:fill="FBD4B4" w:themeFill="accent6" w:themeFillTint="66"/>
          </w:tcPr>
          <w:p w:rsidR="00805C9D" w:rsidRPr="005F120D" w:rsidRDefault="00805C9D" w:rsidP="00893EE0">
            <w:pPr>
              <w:spacing w:after="0"/>
              <w:rPr>
                <w:rFonts w:asciiTheme="minorHAnsi" w:hAnsiTheme="minorHAnsi" w:cstheme="minorHAnsi"/>
                <w:b/>
                <w:sz w:val="16"/>
                <w:szCs w:val="16"/>
              </w:rPr>
            </w:pPr>
          </w:p>
        </w:tc>
      </w:tr>
      <w:tr w:rsidR="00805C9D" w:rsidRPr="005F120D" w:rsidTr="00893EE0">
        <w:tc>
          <w:tcPr>
            <w:tcW w:w="578" w:type="pct"/>
            <w:gridSpan w:val="2"/>
            <w:vAlign w:val="center"/>
          </w:tcPr>
          <w:p w:rsidR="00805C9D" w:rsidRPr="005F120D" w:rsidRDefault="00805C9D" w:rsidP="00893EE0">
            <w:pPr>
              <w:spacing w:after="0"/>
              <w:rPr>
                <w:rFonts w:asciiTheme="minorHAnsi" w:hAnsiTheme="minorHAnsi" w:cstheme="minorHAnsi"/>
                <w:b/>
                <w:i/>
                <w:sz w:val="16"/>
                <w:szCs w:val="16"/>
              </w:rPr>
            </w:pPr>
            <w:r w:rsidRPr="005F120D">
              <w:rPr>
                <w:rFonts w:asciiTheme="minorHAnsi" w:hAnsiTheme="minorHAnsi" w:cstheme="minorHAnsi"/>
                <w:b/>
                <w:i/>
                <w:sz w:val="16"/>
                <w:szCs w:val="16"/>
              </w:rPr>
              <w:t>Summary</w:t>
            </w:r>
          </w:p>
        </w:tc>
        <w:tc>
          <w:tcPr>
            <w:tcW w:w="825" w:type="pct"/>
            <w:gridSpan w:val="2"/>
            <w:vAlign w:val="center"/>
          </w:tcPr>
          <w:p w:rsidR="00805C9D" w:rsidRPr="005F120D" w:rsidRDefault="00805C9D" w:rsidP="00893EE0">
            <w:pPr>
              <w:spacing w:after="0"/>
              <w:jc w:val="center"/>
              <w:rPr>
                <w:rFonts w:asciiTheme="minorHAnsi" w:hAnsiTheme="minorHAnsi" w:cstheme="minorHAnsi"/>
                <w:b/>
                <w:i/>
                <w:sz w:val="16"/>
                <w:szCs w:val="16"/>
              </w:rPr>
            </w:pPr>
            <w:r w:rsidRPr="005F120D">
              <w:rPr>
                <w:rFonts w:asciiTheme="minorHAnsi" w:hAnsiTheme="minorHAnsi" w:cstheme="minorHAnsi"/>
                <w:b/>
                <w:i/>
                <w:sz w:val="16"/>
                <w:szCs w:val="16"/>
              </w:rPr>
              <w:t>8 DLI Met</w:t>
            </w:r>
          </w:p>
          <w:p w:rsidR="00805C9D" w:rsidRPr="005F120D" w:rsidRDefault="00805C9D" w:rsidP="00893EE0">
            <w:pPr>
              <w:spacing w:after="0"/>
              <w:jc w:val="center"/>
              <w:rPr>
                <w:rFonts w:asciiTheme="minorHAnsi" w:hAnsiTheme="minorHAnsi" w:cstheme="minorHAnsi"/>
                <w:b/>
                <w:i/>
                <w:sz w:val="16"/>
                <w:szCs w:val="16"/>
              </w:rPr>
            </w:pPr>
            <w:r w:rsidRPr="005F120D">
              <w:rPr>
                <w:rFonts w:asciiTheme="minorHAnsi" w:hAnsiTheme="minorHAnsi" w:cstheme="minorHAnsi"/>
                <w:b/>
                <w:i/>
                <w:sz w:val="16"/>
                <w:szCs w:val="16"/>
              </w:rPr>
              <w:t>1DLI  Unmet</w:t>
            </w:r>
            <w:r w:rsidRPr="005F120D">
              <w:rPr>
                <w:rStyle w:val="FootnoteReference"/>
                <w:rFonts w:asciiTheme="minorHAnsi" w:hAnsiTheme="minorHAnsi" w:cstheme="minorHAnsi"/>
                <w:b/>
                <w:i/>
                <w:sz w:val="16"/>
                <w:szCs w:val="16"/>
              </w:rPr>
              <w:footnoteReference w:id="9"/>
            </w:r>
          </w:p>
        </w:tc>
        <w:tc>
          <w:tcPr>
            <w:tcW w:w="827" w:type="pct"/>
            <w:gridSpan w:val="2"/>
            <w:vAlign w:val="center"/>
          </w:tcPr>
          <w:p w:rsidR="00805C9D" w:rsidRPr="005F120D" w:rsidRDefault="00805C9D" w:rsidP="00893EE0">
            <w:pPr>
              <w:spacing w:after="0"/>
              <w:jc w:val="center"/>
              <w:rPr>
                <w:rFonts w:asciiTheme="minorHAnsi" w:hAnsiTheme="minorHAnsi" w:cstheme="minorHAnsi"/>
                <w:b/>
                <w:i/>
                <w:sz w:val="16"/>
                <w:szCs w:val="16"/>
              </w:rPr>
            </w:pPr>
            <w:r w:rsidRPr="005F120D">
              <w:rPr>
                <w:rFonts w:asciiTheme="minorHAnsi" w:hAnsiTheme="minorHAnsi" w:cstheme="minorHAnsi"/>
                <w:b/>
                <w:i/>
                <w:sz w:val="16"/>
                <w:szCs w:val="16"/>
              </w:rPr>
              <w:t>9DLIs Met</w:t>
            </w:r>
          </w:p>
          <w:p w:rsidR="00805C9D" w:rsidRPr="005F120D" w:rsidRDefault="00805C9D" w:rsidP="00893EE0">
            <w:pPr>
              <w:spacing w:after="0"/>
              <w:jc w:val="center"/>
              <w:rPr>
                <w:rFonts w:asciiTheme="minorHAnsi" w:hAnsiTheme="minorHAnsi" w:cstheme="minorHAnsi"/>
                <w:b/>
                <w:i/>
                <w:sz w:val="16"/>
                <w:szCs w:val="16"/>
              </w:rPr>
            </w:pPr>
          </w:p>
        </w:tc>
        <w:tc>
          <w:tcPr>
            <w:tcW w:w="791" w:type="pct"/>
            <w:gridSpan w:val="2"/>
            <w:vAlign w:val="center"/>
          </w:tcPr>
          <w:p w:rsidR="00805C9D" w:rsidRPr="005F120D" w:rsidRDefault="00805C9D" w:rsidP="00893EE0">
            <w:pPr>
              <w:spacing w:after="0"/>
              <w:jc w:val="center"/>
              <w:rPr>
                <w:rFonts w:asciiTheme="minorHAnsi" w:hAnsiTheme="minorHAnsi" w:cstheme="minorHAnsi"/>
                <w:b/>
                <w:i/>
                <w:sz w:val="16"/>
                <w:szCs w:val="16"/>
              </w:rPr>
            </w:pPr>
            <w:r w:rsidRPr="005F120D">
              <w:rPr>
                <w:rFonts w:asciiTheme="minorHAnsi" w:hAnsiTheme="minorHAnsi" w:cstheme="minorHAnsi"/>
                <w:b/>
                <w:i/>
                <w:sz w:val="16"/>
                <w:szCs w:val="16"/>
              </w:rPr>
              <w:t>9 DLIs Met</w:t>
            </w:r>
          </w:p>
          <w:p w:rsidR="00805C9D" w:rsidRPr="005F120D" w:rsidRDefault="00805C9D" w:rsidP="00893EE0">
            <w:pPr>
              <w:spacing w:after="0"/>
              <w:jc w:val="center"/>
              <w:rPr>
                <w:rFonts w:asciiTheme="minorHAnsi" w:hAnsiTheme="minorHAnsi" w:cstheme="minorHAnsi"/>
                <w:b/>
                <w:i/>
                <w:sz w:val="16"/>
                <w:szCs w:val="16"/>
              </w:rPr>
            </w:pPr>
          </w:p>
        </w:tc>
        <w:tc>
          <w:tcPr>
            <w:tcW w:w="476" w:type="pct"/>
          </w:tcPr>
          <w:p w:rsidR="00805C9D" w:rsidRPr="005F120D" w:rsidRDefault="00805C9D" w:rsidP="00893EE0">
            <w:pPr>
              <w:spacing w:after="0"/>
              <w:rPr>
                <w:rFonts w:asciiTheme="minorHAnsi" w:hAnsiTheme="minorHAnsi" w:cstheme="minorHAnsi"/>
                <w:b/>
                <w:i/>
                <w:sz w:val="16"/>
                <w:szCs w:val="16"/>
              </w:rPr>
            </w:pPr>
            <w:r w:rsidRPr="005F120D">
              <w:rPr>
                <w:rFonts w:asciiTheme="minorHAnsi" w:hAnsiTheme="minorHAnsi" w:cstheme="minorHAnsi"/>
                <w:b/>
                <w:i/>
                <w:sz w:val="16"/>
                <w:szCs w:val="16"/>
              </w:rPr>
              <w:t>8 DLIs met, 1DLI unmet</w:t>
            </w:r>
          </w:p>
        </w:tc>
        <w:tc>
          <w:tcPr>
            <w:tcW w:w="318" w:type="pct"/>
          </w:tcPr>
          <w:p w:rsidR="00805C9D" w:rsidRPr="005F120D" w:rsidRDefault="00805C9D" w:rsidP="00893EE0">
            <w:pPr>
              <w:spacing w:after="0"/>
              <w:rPr>
                <w:rFonts w:asciiTheme="minorHAnsi" w:hAnsiTheme="minorHAnsi" w:cstheme="minorHAnsi"/>
                <w:b/>
                <w:i/>
                <w:sz w:val="16"/>
                <w:szCs w:val="16"/>
              </w:rPr>
            </w:pPr>
          </w:p>
        </w:tc>
        <w:tc>
          <w:tcPr>
            <w:tcW w:w="603" w:type="pct"/>
          </w:tcPr>
          <w:p w:rsidR="00805C9D" w:rsidRPr="005F120D" w:rsidRDefault="00805C9D" w:rsidP="00893EE0">
            <w:pPr>
              <w:spacing w:after="0"/>
              <w:rPr>
                <w:rFonts w:asciiTheme="minorHAnsi" w:hAnsiTheme="minorHAnsi" w:cstheme="minorHAnsi"/>
                <w:b/>
                <w:i/>
                <w:sz w:val="16"/>
                <w:szCs w:val="16"/>
              </w:rPr>
            </w:pPr>
            <w:r w:rsidRPr="005F120D">
              <w:rPr>
                <w:rFonts w:asciiTheme="minorHAnsi" w:hAnsiTheme="minorHAnsi" w:cstheme="minorHAnsi"/>
                <w:b/>
                <w:i/>
                <w:sz w:val="16"/>
                <w:szCs w:val="16"/>
              </w:rPr>
              <w:t>5DLIs met, 4DLIs unmet</w:t>
            </w:r>
          </w:p>
        </w:tc>
        <w:tc>
          <w:tcPr>
            <w:tcW w:w="294" w:type="pct"/>
          </w:tcPr>
          <w:p w:rsidR="00805C9D" w:rsidRPr="005F120D" w:rsidRDefault="00805C9D" w:rsidP="00893EE0">
            <w:pPr>
              <w:spacing w:after="0"/>
              <w:rPr>
                <w:rFonts w:asciiTheme="minorHAnsi" w:hAnsiTheme="minorHAnsi" w:cstheme="minorHAnsi"/>
                <w:b/>
                <w:i/>
                <w:sz w:val="16"/>
                <w:szCs w:val="16"/>
              </w:rPr>
            </w:pPr>
          </w:p>
        </w:tc>
        <w:tc>
          <w:tcPr>
            <w:tcW w:w="288" w:type="pct"/>
            <w:vAlign w:val="center"/>
          </w:tcPr>
          <w:p w:rsidR="00805C9D" w:rsidRPr="005F120D" w:rsidRDefault="00805C9D" w:rsidP="00893EE0">
            <w:pPr>
              <w:spacing w:after="0"/>
              <w:rPr>
                <w:rFonts w:asciiTheme="minorHAnsi" w:hAnsiTheme="minorHAnsi" w:cstheme="minorHAnsi"/>
                <w:b/>
                <w:i/>
                <w:sz w:val="16"/>
                <w:szCs w:val="16"/>
              </w:rPr>
            </w:pPr>
          </w:p>
        </w:tc>
      </w:tr>
      <w:tr w:rsidR="00805C9D" w:rsidRPr="005F120D" w:rsidTr="00893EE0">
        <w:tc>
          <w:tcPr>
            <w:tcW w:w="177"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1</w:t>
            </w:r>
          </w:p>
        </w:tc>
        <w:tc>
          <w:tcPr>
            <w:tcW w:w="40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1.4 Production and distribution of textbook</w:t>
            </w:r>
            <w:r w:rsidR="00BA794F" w:rsidRPr="005F120D">
              <w:rPr>
                <w:rFonts w:asciiTheme="minorHAnsi" w:hAnsiTheme="minorHAnsi" w:cstheme="minorHAnsi"/>
                <w:sz w:val="16"/>
                <w:szCs w:val="16"/>
              </w:rPr>
              <w:t>s</w:t>
            </w:r>
          </w:p>
        </w:tc>
        <w:tc>
          <w:tcPr>
            <w:tcW w:w="54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75% of all eligible schools receive all approved textbooks (Grades 1 to 5) within one month of school opening day</w:t>
            </w:r>
          </w:p>
        </w:tc>
        <w:tc>
          <w:tcPr>
            <w:tcW w:w="28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Nov. 2011</w:t>
            </w:r>
          </w:p>
        </w:tc>
        <w:tc>
          <w:tcPr>
            <w:tcW w:w="51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At least 80% of all eligible schools receive all approved textbooks (Grades 1 to 5) within one month of school opening day </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Third Party validation of monitoring mechanism completed</w:t>
            </w:r>
          </w:p>
        </w:tc>
        <w:tc>
          <w:tcPr>
            <w:tcW w:w="31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Sept. 2012</w:t>
            </w:r>
          </w:p>
        </w:tc>
        <w:tc>
          <w:tcPr>
            <w:tcW w:w="47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85% of all eligible schools receive all approved textbooks (Grades 1 to 5).</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Monitoring mechanism improved with actions agreed upon by MoPME and MOE based on validation results.</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Sept. 2013</w:t>
            </w:r>
          </w:p>
        </w:tc>
        <w:tc>
          <w:tcPr>
            <w:tcW w:w="476"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At least 90% of schools receive all approved textbooks (Grades 1 to 5). </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90% of all eligible schools receive all revised grade 1 TBs based on new curriculum within 31 January.</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Nov 2014</w:t>
            </w:r>
          </w:p>
        </w:tc>
        <w:tc>
          <w:tcPr>
            <w:tcW w:w="60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90% of all eligible schools receive all approved textbooks for Grades 1 to 5 within one month of school opening day, of which Grades 1 to 3 textbooks are based on new curriculum developed by NCTB.</w:t>
            </w:r>
          </w:p>
          <w:p w:rsidR="005879F5" w:rsidRPr="005F120D" w:rsidRDefault="005879F5"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Ensuring textbooks are printed according to specification are </w:t>
            </w:r>
            <w:r w:rsidR="002534C7" w:rsidRPr="005F120D">
              <w:rPr>
                <w:rFonts w:asciiTheme="minorHAnsi" w:hAnsiTheme="minorHAnsi" w:cstheme="minorHAnsi"/>
                <w:sz w:val="16"/>
                <w:szCs w:val="16"/>
              </w:rPr>
              <w:t>auctioned.</w:t>
            </w:r>
          </w:p>
        </w:tc>
        <w:tc>
          <w:tcPr>
            <w:tcW w:w="29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Oct-Nov 2015</w:t>
            </w:r>
          </w:p>
        </w:tc>
        <w:tc>
          <w:tcPr>
            <w:tcW w:w="288" w:type="pct"/>
          </w:tcPr>
          <w:p w:rsidR="00805C9D" w:rsidRPr="005F120D" w:rsidRDefault="00805C9D" w:rsidP="00893EE0">
            <w:pPr>
              <w:spacing w:after="0"/>
              <w:rPr>
                <w:rFonts w:asciiTheme="minorHAnsi" w:hAnsiTheme="minorHAnsi" w:cstheme="minorHAnsi"/>
                <w:sz w:val="16"/>
                <w:szCs w:val="16"/>
              </w:rPr>
            </w:pPr>
          </w:p>
        </w:tc>
      </w:tr>
      <w:tr w:rsidR="00805C9D" w:rsidRPr="005F120D" w:rsidTr="00893EE0">
        <w:tc>
          <w:tcPr>
            <w:tcW w:w="177"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2</w:t>
            </w:r>
          </w:p>
        </w:tc>
        <w:tc>
          <w:tcPr>
            <w:tcW w:w="40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Teacher Education and Professional  Development/</w:t>
            </w:r>
          </w:p>
          <w:p w:rsidR="00805C9D" w:rsidRPr="005F120D" w:rsidRDefault="00BA794F" w:rsidP="00893EE0">
            <w:pPr>
              <w:spacing w:after="0"/>
              <w:rPr>
                <w:rFonts w:asciiTheme="minorHAnsi" w:hAnsiTheme="minorHAnsi" w:cstheme="minorHAnsi"/>
                <w:sz w:val="16"/>
                <w:szCs w:val="16"/>
              </w:rPr>
            </w:pPr>
            <w:r w:rsidRPr="005F120D">
              <w:rPr>
                <w:rFonts w:asciiTheme="minorHAnsi" w:hAnsiTheme="minorHAnsi" w:cstheme="minorHAnsi"/>
                <w:sz w:val="16"/>
                <w:szCs w:val="16"/>
              </w:rPr>
              <w:t>1.6.1 Diploma in P</w:t>
            </w:r>
            <w:r w:rsidR="00805C9D" w:rsidRPr="005F120D">
              <w:rPr>
                <w:rFonts w:asciiTheme="minorHAnsi" w:hAnsiTheme="minorHAnsi" w:cstheme="minorHAnsi"/>
                <w:sz w:val="16"/>
                <w:szCs w:val="16"/>
              </w:rPr>
              <w:t>rimary Education</w:t>
            </w:r>
          </w:p>
        </w:tc>
        <w:tc>
          <w:tcPr>
            <w:tcW w:w="54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Comprehensive TED plan prepared and adopted by MOPME</w:t>
            </w:r>
          </w:p>
        </w:tc>
        <w:tc>
          <w:tcPr>
            <w:tcW w:w="28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Nov. 2011</w:t>
            </w:r>
          </w:p>
        </w:tc>
        <w:tc>
          <w:tcPr>
            <w:tcW w:w="51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All preparatory steps for introduction of Dip-in-Ed co</w:t>
            </w:r>
            <w:r w:rsidR="00BA794F" w:rsidRPr="005F120D">
              <w:rPr>
                <w:rFonts w:asciiTheme="minorHAnsi" w:hAnsiTheme="minorHAnsi" w:cstheme="minorHAnsi"/>
                <w:sz w:val="16"/>
                <w:szCs w:val="16"/>
              </w:rPr>
              <w:t>mpleted in accordance with the P</w:t>
            </w:r>
            <w:r w:rsidRPr="005F120D">
              <w:rPr>
                <w:rFonts w:asciiTheme="minorHAnsi" w:hAnsiTheme="minorHAnsi" w:cstheme="minorHAnsi"/>
                <w:sz w:val="16"/>
                <w:szCs w:val="16"/>
              </w:rPr>
              <w:t>lan</w:t>
            </w:r>
          </w:p>
        </w:tc>
        <w:tc>
          <w:tcPr>
            <w:tcW w:w="31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Sept. 2012</w:t>
            </w:r>
          </w:p>
        </w:tc>
        <w:tc>
          <w:tcPr>
            <w:tcW w:w="47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Dip-in-Ed piloted in 7 PTIs with number of instructors according to the Plan</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Sept. 2013</w:t>
            </w:r>
          </w:p>
        </w:tc>
        <w:tc>
          <w:tcPr>
            <w:tcW w:w="476" w:type="pct"/>
          </w:tcPr>
          <w:p w:rsidR="00805C9D" w:rsidRPr="005F120D" w:rsidRDefault="00805C9D" w:rsidP="00893EE0">
            <w:pPr>
              <w:autoSpaceDE w:val="0"/>
              <w:autoSpaceDN w:val="0"/>
              <w:adjustRightInd w:val="0"/>
              <w:spacing w:after="0"/>
              <w:rPr>
                <w:rFonts w:asciiTheme="minorHAnsi" w:hAnsiTheme="minorHAnsi" w:cstheme="minorHAnsi"/>
                <w:sz w:val="16"/>
                <w:szCs w:val="16"/>
                <w:lang w:eastAsia="ja-JP"/>
              </w:rPr>
            </w:pPr>
            <w:r w:rsidRPr="005F120D">
              <w:rPr>
                <w:rFonts w:asciiTheme="minorHAnsi" w:hAnsiTheme="minorHAnsi" w:cstheme="minorHAnsi"/>
                <w:sz w:val="16"/>
                <w:szCs w:val="16"/>
                <w:lang w:eastAsia="ja-JP"/>
              </w:rPr>
              <w:t>Dip in Ed offered in 29 PTIs with number of instructors according to the plan</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 JCM March 2015</w:t>
            </w:r>
          </w:p>
        </w:tc>
        <w:tc>
          <w:tcPr>
            <w:tcW w:w="60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 DPEd framework updated and endorsed by NAPE/MoPME</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DPEd offered in 36 fully functional PTIs with a minimum of 13 instructors</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Study conducted to explore alternative methods and modalities to implement and/or expand the DPEd</w:t>
            </w:r>
          </w:p>
        </w:tc>
        <w:tc>
          <w:tcPr>
            <w:tcW w:w="294" w:type="pct"/>
          </w:tcPr>
          <w:p w:rsidR="00805C9D" w:rsidRPr="005F120D" w:rsidRDefault="00805C9D" w:rsidP="00893EE0">
            <w:pPr>
              <w:spacing w:after="0"/>
              <w:rPr>
                <w:rFonts w:asciiTheme="minorHAnsi" w:hAnsiTheme="minorHAnsi" w:cstheme="minorHAnsi"/>
                <w:sz w:val="16"/>
                <w:szCs w:val="16"/>
              </w:rPr>
            </w:pPr>
          </w:p>
        </w:tc>
        <w:tc>
          <w:tcPr>
            <w:tcW w:w="288" w:type="pct"/>
          </w:tcPr>
          <w:p w:rsidR="00805C9D" w:rsidRPr="005F120D" w:rsidRDefault="00805C9D" w:rsidP="00893EE0">
            <w:pPr>
              <w:spacing w:after="0"/>
              <w:rPr>
                <w:rFonts w:asciiTheme="minorHAnsi" w:hAnsiTheme="minorHAnsi" w:cstheme="minorHAnsi"/>
                <w:sz w:val="16"/>
                <w:szCs w:val="16"/>
              </w:rPr>
            </w:pPr>
          </w:p>
        </w:tc>
      </w:tr>
      <w:tr w:rsidR="00805C9D" w:rsidRPr="005F120D" w:rsidTr="00893EE0">
        <w:tc>
          <w:tcPr>
            <w:tcW w:w="177"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3</w:t>
            </w:r>
          </w:p>
        </w:tc>
        <w:tc>
          <w:tcPr>
            <w:tcW w:w="40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2.2.1 Pre-Primary Education</w:t>
            </w:r>
          </w:p>
        </w:tc>
        <w:tc>
          <w:tcPr>
            <w:tcW w:w="54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Guidelines prepared and endorsed b</w:t>
            </w:r>
            <w:r w:rsidR="00BA794F" w:rsidRPr="005F120D">
              <w:rPr>
                <w:rFonts w:asciiTheme="minorHAnsi" w:hAnsiTheme="minorHAnsi" w:cstheme="minorHAnsi"/>
                <w:sz w:val="16"/>
                <w:szCs w:val="16"/>
              </w:rPr>
              <w:t>y MOPME on the role of NGOs in Pre-Primary E</w:t>
            </w:r>
            <w:r w:rsidRPr="005F120D">
              <w:rPr>
                <w:rFonts w:asciiTheme="minorHAnsi" w:hAnsiTheme="minorHAnsi" w:cstheme="minorHAnsi"/>
                <w:sz w:val="16"/>
                <w:szCs w:val="16"/>
              </w:rPr>
              <w:t>ducation</w:t>
            </w:r>
          </w:p>
        </w:tc>
        <w:tc>
          <w:tcPr>
            <w:tcW w:w="28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Nov. 2011</w:t>
            </w:r>
          </w:p>
        </w:tc>
        <w:tc>
          <w:tcPr>
            <w:tcW w:w="51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Integrated database of PPE provision by type of provider complete</w:t>
            </w:r>
            <w:r w:rsidR="00BA794F" w:rsidRPr="005F120D">
              <w:rPr>
                <w:rFonts w:asciiTheme="minorHAnsi" w:hAnsiTheme="minorHAnsi" w:cstheme="minorHAnsi"/>
                <w:sz w:val="16"/>
                <w:szCs w:val="16"/>
              </w:rPr>
              <w:t>d;</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Plan for PPE expansion plan approved by </w:t>
            </w:r>
            <w:r w:rsidRPr="005F120D">
              <w:rPr>
                <w:rFonts w:asciiTheme="minorHAnsi" w:hAnsiTheme="minorHAnsi" w:cstheme="minorHAnsi"/>
                <w:sz w:val="16"/>
                <w:szCs w:val="16"/>
              </w:rPr>
              <w:lastRenderedPageBreak/>
              <w:t>MOPME</w:t>
            </w:r>
          </w:p>
        </w:tc>
        <w:tc>
          <w:tcPr>
            <w:tcW w:w="31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JCM March 2013</w:t>
            </w:r>
          </w:p>
        </w:tc>
        <w:tc>
          <w:tcPr>
            <w:tcW w:w="47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15,000 PPE teachers placed and trained.</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Curriculum, standards, and materials for PPE, and teacher </w:t>
            </w:r>
            <w:r w:rsidRPr="005F120D">
              <w:rPr>
                <w:rFonts w:asciiTheme="minorHAnsi" w:hAnsiTheme="minorHAnsi" w:cstheme="minorHAnsi"/>
                <w:sz w:val="16"/>
                <w:szCs w:val="16"/>
              </w:rPr>
              <w:lastRenderedPageBreak/>
              <w:t>training approved by MoPME</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 xml:space="preserve">Met </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JCM Nov 2014 </w:t>
            </w:r>
          </w:p>
        </w:tc>
        <w:tc>
          <w:tcPr>
            <w:tcW w:w="476" w:type="pct"/>
          </w:tcPr>
          <w:p w:rsidR="00805C9D" w:rsidRPr="005F120D" w:rsidRDefault="00805C9D" w:rsidP="00893EE0">
            <w:pPr>
              <w:autoSpaceDE w:val="0"/>
              <w:autoSpaceDN w:val="0"/>
              <w:adjustRightInd w:val="0"/>
              <w:spacing w:after="0"/>
              <w:rPr>
                <w:rFonts w:asciiTheme="minorHAnsi" w:hAnsiTheme="minorHAnsi" w:cstheme="minorHAnsi"/>
                <w:sz w:val="16"/>
                <w:szCs w:val="16"/>
                <w:lang w:eastAsia="ja-JP"/>
              </w:rPr>
            </w:pPr>
            <w:r w:rsidRPr="005F120D">
              <w:rPr>
                <w:rFonts w:asciiTheme="minorHAnsi" w:hAnsiTheme="minorHAnsi" w:cstheme="minorHAnsi"/>
                <w:sz w:val="16"/>
                <w:szCs w:val="16"/>
                <w:lang w:eastAsia="ja-JP"/>
              </w:rPr>
              <w:t xml:space="preserve">At least 60% of PPE teachers in GPS are trained in using new preprimary curriculum and materials. </w:t>
            </w:r>
          </w:p>
          <w:p w:rsidR="00805C9D" w:rsidRPr="005F120D" w:rsidRDefault="00805C9D" w:rsidP="00893EE0">
            <w:pPr>
              <w:autoSpaceDE w:val="0"/>
              <w:autoSpaceDN w:val="0"/>
              <w:adjustRightInd w:val="0"/>
              <w:spacing w:after="0"/>
              <w:rPr>
                <w:rFonts w:asciiTheme="minorHAnsi" w:hAnsiTheme="minorHAnsi" w:cstheme="minorHAnsi"/>
                <w:sz w:val="16"/>
                <w:szCs w:val="16"/>
                <w:lang w:eastAsia="ja-JP"/>
              </w:rPr>
            </w:pPr>
          </w:p>
          <w:p w:rsidR="00805C9D" w:rsidRPr="005F120D" w:rsidRDefault="00805C9D" w:rsidP="00893EE0">
            <w:pPr>
              <w:autoSpaceDE w:val="0"/>
              <w:autoSpaceDN w:val="0"/>
              <w:adjustRightInd w:val="0"/>
              <w:spacing w:after="0"/>
              <w:rPr>
                <w:rFonts w:asciiTheme="minorHAnsi" w:hAnsiTheme="minorHAnsi" w:cstheme="minorHAnsi"/>
                <w:sz w:val="16"/>
                <w:szCs w:val="16"/>
                <w:lang w:eastAsia="ja-JP"/>
              </w:rPr>
            </w:pPr>
            <w:r w:rsidRPr="005F120D">
              <w:rPr>
                <w:rFonts w:asciiTheme="minorHAnsi" w:hAnsiTheme="minorHAnsi" w:cstheme="minorHAnsi"/>
                <w:sz w:val="16"/>
                <w:szCs w:val="16"/>
                <w:lang w:eastAsia="ja-JP"/>
              </w:rPr>
              <w:lastRenderedPageBreak/>
              <w:t>PPE provision in at least 75% of GPS</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Met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Nov 2014</w:t>
            </w:r>
          </w:p>
        </w:tc>
        <w:tc>
          <w:tcPr>
            <w:tcW w:w="60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Assessment of current status of implementation of minimum quality standards in PPE classrooms</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PPE provision (trained teachers and PPE </w:t>
            </w:r>
            <w:r w:rsidRPr="005F120D">
              <w:rPr>
                <w:rFonts w:asciiTheme="minorHAnsi" w:hAnsiTheme="minorHAnsi" w:cstheme="minorHAnsi"/>
                <w:sz w:val="16"/>
                <w:szCs w:val="16"/>
              </w:rPr>
              <w:lastRenderedPageBreak/>
              <w:t>materials availability) in at least 75% of the 37,000 GPSs</w:t>
            </w:r>
          </w:p>
        </w:tc>
        <w:tc>
          <w:tcPr>
            <w:tcW w:w="294" w:type="pct"/>
          </w:tcPr>
          <w:p w:rsidR="00805C9D" w:rsidRPr="005F120D" w:rsidRDefault="00805C9D" w:rsidP="00893EE0">
            <w:pPr>
              <w:spacing w:after="0"/>
              <w:rPr>
                <w:rFonts w:asciiTheme="minorHAnsi" w:hAnsiTheme="minorHAnsi" w:cstheme="minorHAnsi"/>
                <w:sz w:val="16"/>
                <w:szCs w:val="16"/>
              </w:rPr>
            </w:pPr>
          </w:p>
        </w:tc>
        <w:tc>
          <w:tcPr>
            <w:tcW w:w="288" w:type="pct"/>
          </w:tcPr>
          <w:p w:rsidR="00805C9D" w:rsidRPr="005F120D" w:rsidRDefault="00805C9D" w:rsidP="00893EE0">
            <w:pPr>
              <w:spacing w:after="0"/>
              <w:rPr>
                <w:rFonts w:asciiTheme="minorHAnsi" w:hAnsiTheme="minorHAnsi" w:cstheme="minorHAnsi"/>
                <w:sz w:val="16"/>
                <w:szCs w:val="16"/>
              </w:rPr>
            </w:pPr>
          </w:p>
        </w:tc>
      </w:tr>
      <w:tr w:rsidR="00805C9D" w:rsidRPr="005F120D" w:rsidTr="00893EE0">
        <w:tc>
          <w:tcPr>
            <w:tcW w:w="177"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4</w:t>
            </w:r>
          </w:p>
        </w:tc>
        <w:tc>
          <w:tcPr>
            <w:tcW w:w="40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2.2.4 Needs-based Infrastructure Development</w:t>
            </w:r>
          </w:p>
        </w:tc>
        <w:tc>
          <w:tcPr>
            <w:tcW w:w="54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Plan for prioritized needs</w:t>
            </w:r>
            <w:r w:rsidR="00BA794F" w:rsidRPr="005F120D">
              <w:rPr>
                <w:rFonts w:asciiTheme="minorHAnsi" w:hAnsiTheme="minorHAnsi" w:cstheme="minorHAnsi"/>
                <w:sz w:val="16"/>
                <w:szCs w:val="16"/>
              </w:rPr>
              <w:t>-</w:t>
            </w:r>
            <w:r w:rsidRPr="005F120D">
              <w:rPr>
                <w:rFonts w:asciiTheme="minorHAnsi" w:hAnsiTheme="minorHAnsi" w:cstheme="minorHAnsi"/>
                <w:sz w:val="16"/>
                <w:szCs w:val="16"/>
              </w:rPr>
              <w:t xml:space="preserve"> based infrastructure finalized and approved by MOPME</w:t>
            </w:r>
          </w:p>
        </w:tc>
        <w:tc>
          <w:tcPr>
            <w:tcW w:w="28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Sept. 2012</w:t>
            </w:r>
          </w:p>
        </w:tc>
        <w:tc>
          <w:tcPr>
            <w:tcW w:w="51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10% of planned needs-based infrastructure development completed according to criteria and technical standards.</w:t>
            </w:r>
          </w:p>
        </w:tc>
        <w:tc>
          <w:tcPr>
            <w:tcW w:w="31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March 2014</w:t>
            </w:r>
          </w:p>
        </w:tc>
        <w:tc>
          <w:tcPr>
            <w:tcW w:w="47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30% of planned needs-based infrastructure development completed according to agreed criteria and technical standards.</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TPV of infrastructure development according to technical criteria and standards.</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w:t>
            </w:r>
            <w:r w:rsidR="00BA794F" w:rsidRPr="005F120D">
              <w:rPr>
                <w:rFonts w:asciiTheme="minorHAnsi" w:hAnsiTheme="minorHAnsi" w:cstheme="minorHAnsi"/>
                <w:sz w:val="16"/>
                <w:szCs w:val="16"/>
              </w:rPr>
              <w:t xml:space="preserve"> J</w:t>
            </w:r>
            <w:r w:rsidRPr="005F120D">
              <w:rPr>
                <w:rFonts w:asciiTheme="minorHAnsi" w:hAnsiTheme="minorHAnsi" w:cstheme="minorHAnsi"/>
                <w:sz w:val="16"/>
                <w:szCs w:val="16"/>
              </w:rPr>
              <w:t>CM</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October-November 2015</w:t>
            </w:r>
          </w:p>
        </w:tc>
        <w:tc>
          <w:tcPr>
            <w:tcW w:w="476"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35% of planned needs-based infrastructure development completed according to agreed criteria and technical standards.</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TPV of infrastructure development according to technical criteria and standards.</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 JCM</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October-November 2015</w:t>
            </w:r>
          </w:p>
        </w:tc>
        <w:tc>
          <w:tcPr>
            <w:tcW w:w="60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65% of planned needs-based infrastructure development completed according to criteria and technical standards</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Recommendations from efficiency gains study and the Year 3 TPV endorsed by MoPME</w:t>
            </w:r>
          </w:p>
        </w:tc>
        <w:tc>
          <w:tcPr>
            <w:tcW w:w="294" w:type="pct"/>
          </w:tcPr>
          <w:p w:rsidR="00805C9D" w:rsidRPr="005F120D" w:rsidRDefault="00805C9D" w:rsidP="00893EE0">
            <w:pPr>
              <w:spacing w:after="0"/>
              <w:rPr>
                <w:rFonts w:asciiTheme="minorHAnsi" w:hAnsiTheme="minorHAnsi" w:cstheme="minorHAnsi"/>
                <w:sz w:val="16"/>
                <w:szCs w:val="16"/>
              </w:rPr>
            </w:pPr>
          </w:p>
        </w:tc>
        <w:tc>
          <w:tcPr>
            <w:tcW w:w="288" w:type="pct"/>
          </w:tcPr>
          <w:p w:rsidR="00805C9D" w:rsidRPr="005F120D" w:rsidRDefault="00805C9D" w:rsidP="00893EE0">
            <w:pPr>
              <w:spacing w:after="0"/>
              <w:rPr>
                <w:rFonts w:asciiTheme="minorHAnsi" w:hAnsiTheme="minorHAnsi" w:cstheme="minorHAnsi"/>
                <w:sz w:val="16"/>
                <w:szCs w:val="16"/>
              </w:rPr>
            </w:pPr>
          </w:p>
        </w:tc>
      </w:tr>
      <w:tr w:rsidR="00805C9D" w:rsidRPr="005F120D" w:rsidTr="00893EE0">
        <w:trPr>
          <w:trHeight w:val="633"/>
        </w:trPr>
        <w:tc>
          <w:tcPr>
            <w:tcW w:w="177"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5</w:t>
            </w:r>
          </w:p>
        </w:tc>
        <w:tc>
          <w:tcPr>
            <w:tcW w:w="40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3.1.2 Decentralized School Management and Governance</w:t>
            </w:r>
          </w:p>
        </w:tc>
        <w:tc>
          <w:tcPr>
            <w:tcW w:w="54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Revised circular/ guidelines for SLIPs, including monitoring arrangements, approved by MOPME and distributed to all children</w:t>
            </w:r>
          </w:p>
        </w:tc>
        <w:tc>
          <w:tcPr>
            <w:tcW w:w="28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Nov. 2011</w:t>
            </w:r>
          </w:p>
        </w:tc>
        <w:tc>
          <w:tcPr>
            <w:tcW w:w="513" w:type="pct"/>
          </w:tcPr>
          <w:p w:rsidR="00805C9D" w:rsidRPr="005F120D" w:rsidRDefault="00805C9D" w:rsidP="00893EE0">
            <w:pPr>
              <w:spacing w:after="0"/>
              <w:rPr>
                <w:rFonts w:asciiTheme="minorHAnsi" w:hAnsiTheme="minorHAnsi" w:cstheme="minorHAnsi"/>
                <w:sz w:val="14"/>
                <w:szCs w:val="14"/>
              </w:rPr>
            </w:pPr>
            <w:r w:rsidRPr="005F120D">
              <w:rPr>
                <w:rFonts w:asciiTheme="minorHAnsi" w:hAnsiTheme="minorHAnsi" w:cstheme="minorHAnsi"/>
                <w:sz w:val="14"/>
                <w:szCs w:val="14"/>
              </w:rPr>
              <w:t>SMC guidelines in accordance with and including reference to SLIP guidelines and mechanism for funds flow approved by MOPME</w:t>
            </w:r>
            <w:r w:rsidR="00BA794F" w:rsidRPr="005F120D">
              <w:rPr>
                <w:rFonts w:asciiTheme="minorHAnsi" w:hAnsiTheme="minorHAnsi" w:cstheme="minorHAnsi"/>
                <w:sz w:val="14"/>
                <w:szCs w:val="14"/>
              </w:rPr>
              <w: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4"/>
                <w:szCs w:val="14"/>
              </w:rPr>
              <w:t>50% of schools prepared SLIPs and received funds. Revised guidelines for UPEPs, including identification of expenditures for block grants, approved by MOPME and distributed to all Upazilas</w:t>
            </w:r>
          </w:p>
        </w:tc>
        <w:tc>
          <w:tcPr>
            <w:tcW w:w="31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March 2013</w:t>
            </w:r>
          </w:p>
        </w:tc>
        <w:tc>
          <w:tcPr>
            <w:tcW w:w="473" w:type="pct"/>
          </w:tcPr>
          <w:p w:rsidR="00805C9D" w:rsidRPr="005F120D" w:rsidRDefault="00BA794F"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60% of schools have</w:t>
            </w:r>
            <w:r w:rsidR="00805C9D" w:rsidRPr="005F120D">
              <w:rPr>
                <w:rFonts w:asciiTheme="minorHAnsi" w:hAnsiTheme="minorHAnsi" w:cstheme="minorHAnsi"/>
                <w:sz w:val="16"/>
                <w:szCs w:val="16"/>
              </w:rPr>
              <w:t xml:space="preserve"> prepared SLIPs and received funds according to SMC guidelines </w:t>
            </w:r>
          </w:p>
          <w:p w:rsidR="00805C9D" w:rsidRPr="005F120D" w:rsidRDefault="00BA794F"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At least 10% of Upazilas have </w:t>
            </w:r>
            <w:r w:rsidR="00805C9D" w:rsidRPr="005F120D">
              <w:rPr>
                <w:rFonts w:asciiTheme="minorHAnsi" w:hAnsiTheme="minorHAnsi" w:cstheme="minorHAnsi"/>
                <w:sz w:val="16"/>
                <w:szCs w:val="16"/>
              </w:rPr>
              <w:t>prepared UPEPs and received funds according to UPEP guidelines.</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April 2014</w:t>
            </w:r>
          </w:p>
        </w:tc>
        <w:tc>
          <w:tcPr>
            <w:tcW w:w="476" w:type="pct"/>
          </w:tcPr>
          <w:p w:rsidR="00805C9D" w:rsidRPr="005F120D" w:rsidRDefault="00805C9D" w:rsidP="00893EE0">
            <w:pPr>
              <w:autoSpaceDE w:val="0"/>
              <w:autoSpaceDN w:val="0"/>
              <w:adjustRightInd w:val="0"/>
              <w:spacing w:after="0"/>
              <w:rPr>
                <w:rFonts w:asciiTheme="minorHAnsi" w:hAnsiTheme="minorHAnsi" w:cstheme="minorHAnsi"/>
                <w:sz w:val="14"/>
                <w:szCs w:val="14"/>
                <w:lang w:eastAsia="ja-JP"/>
              </w:rPr>
            </w:pPr>
            <w:r w:rsidRPr="005F120D">
              <w:rPr>
                <w:rFonts w:asciiTheme="minorHAnsi" w:hAnsiTheme="minorHAnsi" w:cstheme="minorHAnsi"/>
                <w:sz w:val="14"/>
                <w:szCs w:val="14"/>
                <w:lang w:eastAsia="ja-JP"/>
              </w:rPr>
              <w:t>At least 75% of schools having prepared SLIPs and received funds according to SMC guidelines validated by expenditure tracking survey</w:t>
            </w:r>
          </w:p>
          <w:p w:rsidR="00805C9D" w:rsidRPr="005F120D" w:rsidRDefault="00805C9D" w:rsidP="00893EE0">
            <w:pPr>
              <w:autoSpaceDE w:val="0"/>
              <w:autoSpaceDN w:val="0"/>
              <w:adjustRightInd w:val="0"/>
              <w:spacing w:after="0"/>
              <w:rPr>
                <w:rFonts w:asciiTheme="minorHAnsi" w:hAnsiTheme="minorHAnsi" w:cstheme="minorHAnsi"/>
                <w:sz w:val="14"/>
                <w:szCs w:val="14"/>
                <w:lang w:eastAsia="ja-JP"/>
              </w:rPr>
            </w:pPr>
          </w:p>
          <w:p w:rsidR="00805C9D" w:rsidRPr="005F120D" w:rsidRDefault="00805C9D" w:rsidP="00893EE0">
            <w:pPr>
              <w:autoSpaceDE w:val="0"/>
              <w:autoSpaceDN w:val="0"/>
              <w:adjustRightInd w:val="0"/>
              <w:spacing w:after="0"/>
              <w:rPr>
                <w:rFonts w:asciiTheme="minorHAnsi" w:hAnsiTheme="minorHAnsi" w:cstheme="minorHAnsi"/>
                <w:sz w:val="18"/>
                <w:szCs w:val="18"/>
                <w:lang w:eastAsia="ja-JP"/>
              </w:rPr>
            </w:pPr>
            <w:r w:rsidRPr="005F120D">
              <w:rPr>
                <w:rFonts w:asciiTheme="minorHAnsi" w:hAnsiTheme="minorHAnsi" w:cstheme="minorHAnsi"/>
                <w:sz w:val="14"/>
                <w:szCs w:val="14"/>
                <w:lang w:eastAsia="ja-JP"/>
              </w:rPr>
              <w:t>At leas</w:t>
            </w:r>
            <w:r w:rsidR="00BA794F" w:rsidRPr="005F120D">
              <w:rPr>
                <w:rFonts w:asciiTheme="minorHAnsi" w:hAnsiTheme="minorHAnsi" w:cstheme="minorHAnsi"/>
                <w:sz w:val="14"/>
                <w:szCs w:val="14"/>
                <w:lang w:eastAsia="ja-JP"/>
              </w:rPr>
              <w:t xml:space="preserve">t 25% of Upazila have </w:t>
            </w:r>
            <w:r w:rsidRPr="005F120D">
              <w:rPr>
                <w:rFonts w:asciiTheme="minorHAnsi" w:hAnsiTheme="minorHAnsi" w:cstheme="minorHAnsi"/>
                <w:sz w:val="14"/>
                <w:szCs w:val="14"/>
                <w:lang w:eastAsia="ja-JP"/>
              </w:rPr>
              <w:t xml:space="preserve"> prepared UPEPs and received funds based on UPEP guidelines validated by expenditure tracking survey</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 JCM</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October-November 2015</w:t>
            </w:r>
          </w:p>
        </w:tc>
        <w:tc>
          <w:tcPr>
            <w:tcW w:w="60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Recommendations of expenditure tracking survey (PETS) and lessons learned study are endorsed by MoPME</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40% of Upazilas have prepared UPEPs according to UPEP 2012 guidelines</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SMC, SLIP and UPEP guidelines updated</w:t>
            </w:r>
          </w:p>
        </w:tc>
        <w:tc>
          <w:tcPr>
            <w:tcW w:w="29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 JCM April 2016</w:t>
            </w:r>
          </w:p>
        </w:tc>
        <w:tc>
          <w:tcPr>
            <w:tcW w:w="288" w:type="pct"/>
          </w:tcPr>
          <w:p w:rsidR="00805C9D" w:rsidRPr="005F120D" w:rsidRDefault="00805C9D" w:rsidP="00893EE0">
            <w:pPr>
              <w:spacing w:after="0"/>
              <w:rPr>
                <w:rFonts w:asciiTheme="minorHAnsi" w:hAnsiTheme="minorHAnsi" w:cstheme="minorHAnsi"/>
                <w:sz w:val="16"/>
                <w:szCs w:val="16"/>
              </w:rPr>
            </w:pPr>
          </w:p>
        </w:tc>
      </w:tr>
      <w:tr w:rsidR="00805C9D" w:rsidRPr="005F120D" w:rsidTr="00893EE0">
        <w:tc>
          <w:tcPr>
            <w:tcW w:w="177"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6</w:t>
            </w:r>
          </w:p>
        </w:tc>
        <w:tc>
          <w:tcPr>
            <w:tcW w:w="40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3.2.1. Grade 5 PECE (Primary Education Completion Exam) Strengthen</w:t>
            </w:r>
            <w:r w:rsidR="00BA794F" w:rsidRPr="005F120D">
              <w:rPr>
                <w:rFonts w:asciiTheme="minorHAnsi" w:hAnsiTheme="minorHAnsi" w:cstheme="minorHAnsi"/>
                <w:sz w:val="16"/>
                <w:szCs w:val="16"/>
              </w:rPr>
              <w:t>ed</w:t>
            </w:r>
          </w:p>
        </w:tc>
        <w:tc>
          <w:tcPr>
            <w:tcW w:w="544" w:type="pct"/>
          </w:tcPr>
          <w:p w:rsidR="00805C9D" w:rsidRPr="005F120D" w:rsidRDefault="00805C9D" w:rsidP="00893EE0">
            <w:pPr>
              <w:spacing w:after="0"/>
              <w:rPr>
                <w:rFonts w:asciiTheme="minorHAnsi" w:hAnsiTheme="minorHAnsi" w:cstheme="minorHAnsi"/>
                <w:sz w:val="14"/>
                <w:szCs w:val="14"/>
              </w:rPr>
            </w:pPr>
            <w:r w:rsidRPr="005F120D">
              <w:rPr>
                <w:rFonts w:asciiTheme="minorHAnsi" w:hAnsiTheme="minorHAnsi" w:cstheme="minorHAnsi"/>
                <w:sz w:val="14"/>
                <w:szCs w:val="14"/>
              </w:rPr>
              <w:t>A five-year action plan for improvements in Grade V terminal examination developed by NAPE and endorsed by MOPME</w:t>
            </w:r>
            <w:r w:rsidR="00BA794F" w:rsidRPr="005F120D">
              <w:rPr>
                <w:rFonts w:asciiTheme="minorHAnsi" w:hAnsiTheme="minorHAnsi" w:cstheme="minorHAnsi"/>
                <w:sz w:val="14"/>
                <w:szCs w:val="14"/>
              </w:rPr>
              <w:t xml:space="preserve">, </w:t>
            </w:r>
            <w:r w:rsidRPr="005F120D">
              <w:rPr>
                <w:rFonts w:asciiTheme="minorHAnsi" w:hAnsiTheme="minorHAnsi" w:cstheme="minorHAnsi"/>
                <w:sz w:val="14"/>
                <w:szCs w:val="14"/>
              </w:rPr>
              <w:t xml:space="preserve"> and including revised test items to gradually transform exam into competency based-test.</w:t>
            </w:r>
          </w:p>
          <w:p w:rsidR="00805C9D" w:rsidRPr="005F120D" w:rsidRDefault="00805C9D" w:rsidP="00893EE0">
            <w:pPr>
              <w:spacing w:after="0"/>
              <w:rPr>
                <w:rFonts w:asciiTheme="minorHAnsi" w:hAnsiTheme="minorHAnsi" w:cstheme="minorHAnsi"/>
                <w:sz w:val="14"/>
                <w:szCs w:val="14"/>
              </w:rPr>
            </w:pPr>
            <w:r w:rsidRPr="005F120D">
              <w:rPr>
                <w:rFonts w:asciiTheme="minorHAnsi" w:hAnsiTheme="minorHAnsi" w:cstheme="minorHAnsi"/>
                <w:sz w:val="14"/>
                <w:szCs w:val="14"/>
              </w:rPr>
              <w:t xml:space="preserve">New test items developed by NAPE and piloted with </w:t>
            </w:r>
            <w:r w:rsidRPr="005F120D">
              <w:rPr>
                <w:rFonts w:asciiTheme="minorHAnsi" w:hAnsiTheme="minorHAnsi" w:cstheme="minorHAnsi"/>
                <w:sz w:val="14"/>
                <w:szCs w:val="14"/>
              </w:rPr>
              <w:lastRenderedPageBreak/>
              <w:t>accompanying guidelines for pilot test administration</w:t>
            </w:r>
            <w:r w:rsidR="00BA794F" w:rsidRPr="005F120D">
              <w:rPr>
                <w:rFonts w:asciiTheme="minorHAnsi" w:hAnsiTheme="minorHAnsi" w:cstheme="minorHAnsi"/>
                <w:sz w:val="14"/>
                <w:szCs w:val="14"/>
              </w:rPr>
              <w:t>,</w:t>
            </w:r>
            <w:r w:rsidRPr="005F120D">
              <w:rPr>
                <w:rFonts w:asciiTheme="minorHAnsi" w:hAnsiTheme="minorHAnsi" w:cstheme="minorHAnsi"/>
                <w:sz w:val="14"/>
                <w:szCs w:val="14"/>
              </w:rPr>
              <w:t xml:space="preserve"> and training of test administrators</w:t>
            </w:r>
          </w:p>
        </w:tc>
        <w:tc>
          <w:tcPr>
            <w:tcW w:w="28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JCM Nov. 2011</w:t>
            </w:r>
          </w:p>
        </w:tc>
        <w:tc>
          <w:tcPr>
            <w:tcW w:w="51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Revised 2011 Grade V terminal examination based on action plan and pilot results, implemented, including guidelines developed for markers and training of markers</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Analysis of results of </w:t>
            </w:r>
            <w:r w:rsidRPr="005F120D">
              <w:rPr>
                <w:rFonts w:asciiTheme="minorHAnsi" w:hAnsiTheme="minorHAnsi" w:cstheme="minorHAnsi"/>
                <w:sz w:val="16"/>
                <w:szCs w:val="16"/>
              </w:rPr>
              <w:lastRenderedPageBreak/>
              <w:t>2011 Grade V  terminal examination completed by DPE and NAPE and results disseminated</w:t>
            </w:r>
          </w:p>
        </w:tc>
        <w:tc>
          <w:tcPr>
            <w:tcW w:w="31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JCM Sept. 2012</w:t>
            </w:r>
          </w:p>
        </w:tc>
        <w:tc>
          <w:tcPr>
            <w:tcW w:w="47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Action plan implem</w:t>
            </w:r>
            <w:r w:rsidR="00BA794F" w:rsidRPr="005F120D">
              <w:rPr>
                <w:rFonts w:asciiTheme="minorHAnsi" w:hAnsiTheme="minorHAnsi" w:cstheme="minorHAnsi"/>
                <w:sz w:val="16"/>
                <w:szCs w:val="16"/>
              </w:rPr>
              <w:t xml:space="preserve">ented with at least 10% of </w:t>
            </w:r>
            <w:r w:rsidRPr="005F120D">
              <w:rPr>
                <w:rFonts w:asciiTheme="minorHAnsi" w:hAnsiTheme="minorHAnsi" w:cstheme="minorHAnsi"/>
                <w:sz w:val="16"/>
                <w:szCs w:val="16"/>
              </w:rPr>
              <w:t xml:space="preserve"> competency based </w:t>
            </w:r>
            <w:r w:rsidR="00BA794F" w:rsidRPr="005F120D">
              <w:rPr>
                <w:rFonts w:asciiTheme="minorHAnsi" w:hAnsiTheme="minorHAnsi" w:cstheme="minorHAnsi"/>
                <w:sz w:val="16"/>
                <w:szCs w:val="16"/>
              </w:rPr>
              <w:t xml:space="preserve">items </w:t>
            </w:r>
            <w:r w:rsidRPr="005F120D">
              <w:rPr>
                <w:rFonts w:asciiTheme="minorHAnsi" w:hAnsiTheme="minorHAnsi" w:cstheme="minorHAnsi"/>
                <w:sz w:val="16"/>
                <w:szCs w:val="16"/>
              </w:rPr>
              <w:t>introduced in the 2012 Grade 5 completion exam</w:t>
            </w:r>
            <w:r w:rsidR="00BA794F" w:rsidRPr="005F120D">
              <w:rPr>
                <w:rFonts w:asciiTheme="minorHAnsi" w:hAnsiTheme="minorHAnsi" w:cstheme="minorHAnsi"/>
                <w:sz w:val="16"/>
                <w:szCs w:val="16"/>
              </w:rPr>
              <w:t xml:space="preserve">, </w:t>
            </w:r>
            <w:r w:rsidRPr="005F120D">
              <w:rPr>
                <w:rFonts w:asciiTheme="minorHAnsi" w:hAnsiTheme="minorHAnsi" w:cstheme="minorHAnsi"/>
                <w:sz w:val="16"/>
                <w:szCs w:val="16"/>
              </w:rPr>
              <w:t xml:space="preserve"> and an additional 15%of competency based items piloted.</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Analysis of results of 2012 Grade 5 completion exam completed by DPE and NAPE and results disseminated</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JCM Sept. 2013</w:t>
            </w:r>
          </w:p>
        </w:tc>
        <w:tc>
          <w:tcPr>
            <w:tcW w:w="476"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Action plan impleme</w:t>
            </w:r>
            <w:r w:rsidR="00BA794F" w:rsidRPr="005F120D">
              <w:rPr>
                <w:rFonts w:asciiTheme="minorHAnsi" w:hAnsiTheme="minorHAnsi" w:cstheme="minorHAnsi"/>
                <w:sz w:val="16"/>
                <w:szCs w:val="16"/>
              </w:rPr>
              <w:t xml:space="preserve">nted with at least 25% of </w:t>
            </w:r>
            <w:r w:rsidRPr="005F120D">
              <w:rPr>
                <w:rFonts w:asciiTheme="minorHAnsi" w:hAnsiTheme="minorHAnsi" w:cstheme="minorHAnsi"/>
                <w:sz w:val="16"/>
                <w:szCs w:val="16"/>
              </w:rPr>
              <w:t xml:space="preserve">competency based </w:t>
            </w:r>
            <w:r w:rsidR="00BA794F" w:rsidRPr="005F120D">
              <w:rPr>
                <w:rFonts w:asciiTheme="minorHAnsi" w:hAnsiTheme="minorHAnsi" w:cstheme="minorHAnsi"/>
                <w:sz w:val="16"/>
                <w:szCs w:val="16"/>
              </w:rPr>
              <w:t xml:space="preserve">items </w:t>
            </w:r>
            <w:r w:rsidRPr="005F120D">
              <w:rPr>
                <w:rFonts w:asciiTheme="minorHAnsi" w:hAnsiTheme="minorHAnsi" w:cstheme="minorHAnsi"/>
                <w:sz w:val="16"/>
                <w:szCs w:val="16"/>
              </w:rPr>
              <w:t>introduced in the 2013 Grade 5 completion exam and an additional 25% of competency based items piloted.</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Analysis of results of 2013 Grade 5 completion exam completed by DPE and NAPE and results disseminated</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Met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Nov 2014</w:t>
            </w:r>
          </w:p>
        </w:tc>
        <w:tc>
          <w:tcPr>
            <w:tcW w:w="60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Grade 5 PECE Framework updated and approved by NAPE/MoPME and action plan prepared to implement it</w:t>
            </w:r>
            <w:r w:rsidR="00BA794F" w:rsidRPr="005F120D">
              <w:rPr>
                <w:rFonts w:asciiTheme="minorHAnsi" w:hAnsiTheme="minorHAnsi" w:cstheme="minorHAnsi"/>
                <w:sz w:val="16"/>
                <w:szCs w:val="16"/>
              </w:rPr>
              <w:t>,</w:t>
            </w:r>
            <w:r w:rsidRPr="005F120D">
              <w:rPr>
                <w:rFonts w:asciiTheme="minorHAnsi" w:hAnsiTheme="minorHAnsi" w:cstheme="minorHAnsi"/>
                <w:sz w:val="16"/>
                <w:szCs w:val="16"/>
              </w:rPr>
              <w:t xml:space="preserve"> and updated action plan implemented with at least 35% of competency-based items introduced in the 2014 Grade 5 PECE and </w:t>
            </w:r>
            <w:r w:rsidRPr="005F120D">
              <w:rPr>
                <w:rFonts w:asciiTheme="minorHAnsi" w:hAnsiTheme="minorHAnsi" w:cstheme="minorHAnsi"/>
                <w:sz w:val="16"/>
                <w:szCs w:val="16"/>
              </w:rPr>
              <w:lastRenderedPageBreak/>
              <w:t>piloting based on 100% of curriculum competencies.</w:t>
            </w:r>
          </w:p>
          <w:p w:rsidR="002534C7" w:rsidRPr="005F120D" w:rsidRDefault="002534C7"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Analysis of results of 2014 Grade 5 PECE completed by DPE and NAPE and results disseminated</w:t>
            </w:r>
          </w:p>
        </w:tc>
        <w:tc>
          <w:tcPr>
            <w:tcW w:w="29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Met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Oct-Nov 2015</w:t>
            </w:r>
          </w:p>
        </w:tc>
        <w:tc>
          <w:tcPr>
            <w:tcW w:w="288" w:type="pct"/>
          </w:tcPr>
          <w:p w:rsidR="00805C9D" w:rsidRPr="005F120D" w:rsidRDefault="00805C9D" w:rsidP="00893EE0">
            <w:pPr>
              <w:spacing w:after="0"/>
              <w:rPr>
                <w:rFonts w:asciiTheme="minorHAnsi" w:hAnsiTheme="minorHAnsi" w:cstheme="minorHAnsi"/>
                <w:sz w:val="16"/>
                <w:szCs w:val="16"/>
              </w:rPr>
            </w:pPr>
          </w:p>
        </w:tc>
      </w:tr>
      <w:tr w:rsidR="00805C9D" w:rsidRPr="005F120D" w:rsidTr="00893EE0">
        <w:tc>
          <w:tcPr>
            <w:tcW w:w="177"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7</w:t>
            </w:r>
          </w:p>
        </w:tc>
        <w:tc>
          <w:tcPr>
            <w:tcW w:w="401" w:type="pct"/>
          </w:tcPr>
          <w:p w:rsidR="00805C9D" w:rsidRPr="005F120D" w:rsidRDefault="00BA794F" w:rsidP="00893EE0">
            <w:pPr>
              <w:spacing w:after="0"/>
              <w:rPr>
                <w:rFonts w:asciiTheme="minorHAnsi" w:hAnsiTheme="minorHAnsi" w:cstheme="minorHAnsi"/>
                <w:sz w:val="16"/>
                <w:szCs w:val="16"/>
              </w:rPr>
            </w:pPr>
            <w:r w:rsidRPr="005F120D">
              <w:rPr>
                <w:rFonts w:asciiTheme="minorHAnsi" w:hAnsiTheme="minorHAnsi" w:cstheme="minorHAnsi"/>
                <w:sz w:val="16"/>
                <w:szCs w:val="16"/>
              </w:rPr>
              <w:t>3.2.2 Teacher Recruitment and D</w:t>
            </w:r>
            <w:r w:rsidR="00805C9D" w:rsidRPr="005F120D">
              <w:rPr>
                <w:rFonts w:asciiTheme="minorHAnsi" w:hAnsiTheme="minorHAnsi" w:cstheme="minorHAnsi"/>
                <w:sz w:val="16"/>
                <w:szCs w:val="16"/>
              </w:rPr>
              <w:t>eployment</w:t>
            </w:r>
          </w:p>
        </w:tc>
        <w:tc>
          <w:tcPr>
            <w:tcW w:w="544" w:type="pct"/>
          </w:tcPr>
          <w:p w:rsidR="00805C9D" w:rsidRPr="005F120D" w:rsidRDefault="00805C9D" w:rsidP="00893EE0">
            <w:pPr>
              <w:spacing w:after="0"/>
              <w:rPr>
                <w:rFonts w:asciiTheme="minorHAnsi" w:hAnsiTheme="minorHAnsi" w:cstheme="minorHAnsi"/>
                <w:sz w:val="14"/>
                <w:szCs w:val="14"/>
              </w:rPr>
            </w:pPr>
            <w:r w:rsidRPr="005F120D">
              <w:rPr>
                <w:rFonts w:asciiTheme="minorHAnsi" w:hAnsiTheme="minorHAnsi" w:cstheme="minorHAnsi"/>
                <w:sz w:val="14"/>
                <w:szCs w:val="14"/>
              </w:rPr>
              <w:t>Assessment of needs for new teachers based on; (i) verification of curren</w:t>
            </w:r>
            <w:r w:rsidR="00BA794F" w:rsidRPr="005F120D">
              <w:rPr>
                <w:rFonts w:asciiTheme="minorHAnsi" w:hAnsiTheme="minorHAnsi" w:cstheme="minorHAnsi"/>
                <w:sz w:val="14"/>
                <w:szCs w:val="14"/>
              </w:rPr>
              <w:t>t teaching force and (ii) needs-</w:t>
            </w:r>
            <w:r w:rsidRPr="005F120D">
              <w:rPr>
                <w:rFonts w:asciiTheme="minorHAnsi" w:hAnsiTheme="minorHAnsi" w:cstheme="minorHAnsi"/>
                <w:sz w:val="14"/>
                <w:szCs w:val="14"/>
              </w:rPr>
              <w:t>based infrastructure plan completed and approved by MOPME</w:t>
            </w:r>
          </w:p>
        </w:tc>
        <w:tc>
          <w:tcPr>
            <w:tcW w:w="28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Nov. 2011</w:t>
            </w:r>
          </w:p>
        </w:tc>
        <w:tc>
          <w:tcPr>
            <w:tcW w:w="513" w:type="pct"/>
          </w:tcPr>
          <w:p w:rsidR="00805C9D" w:rsidRPr="005F120D" w:rsidRDefault="00805C9D" w:rsidP="00893EE0">
            <w:pPr>
              <w:spacing w:after="0"/>
              <w:rPr>
                <w:rFonts w:asciiTheme="minorHAnsi" w:hAnsiTheme="minorHAnsi" w:cstheme="minorHAnsi"/>
                <w:sz w:val="14"/>
                <w:szCs w:val="14"/>
              </w:rPr>
            </w:pPr>
            <w:r w:rsidRPr="005F120D">
              <w:rPr>
                <w:rFonts w:asciiTheme="minorHAnsi" w:hAnsiTheme="minorHAnsi" w:cstheme="minorHAnsi"/>
                <w:sz w:val="14"/>
                <w:szCs w:val="14"/>
              </w:rPr>
              <w:t xml:space="preserve">All HTs and ATs’ position are (vacancies and new positions) filled according to agreed recruitment procedures and on </w:t>
            </w:r>
            <w:r w:rsidR="00BA794F" w:rsidRPr="005F120D">
              <w:rPr>
                <w:rFonts w:asciiTheme="minorHAnsi" w:hAnsiTheme="minorHAnsi" w:cstheme="minorHAnsi"/>
                <w:sz w:val="14"/>
                <w:szCs w:val="14"/>
              </w:rPr>
              <w:t xml:space="preserve">a </w:t>
            </w:r>
            <w:r w:rsidRPr="005F120D">
              <w:rPr>
                <w:rFonts w:asciiTheme="minorHAnsi" w:hAnsiTheme="minorHAnsi" w:cstheme="minorHAnsi"/>
                <w:sz w:val="14"/>
                <w:szCs w:val="14"/>
              </w:rPr>
              <w:t>needs basis. And (ii) at least 90% of new HTs and ATs posts identified by the</w:t>
            </w:r>
            <w:r w:rsidR="00BA794F" w:rsidRPr="005F120D">
              <w:rPr>
                <w:rFonts w:asciiTheme="minorHAnsi" w:hAnsiTheme="minorHAnsi" w:cstheme="minorHAnsi"/>
                <w:sz w:val="14"/>
                <w:szCs w:val="14"/>
              </w:rPr>
              <w:t xml:space="preserve"> Year 0 assessment to be filled.</w:t>
            </w:r>
            <w:r w:rsidRPr="005F120D">
              <w:rPr>
                <w:rFonts w:asciiTheme="minorHAnsi" w:hAnsiTheme="minorHAnsi" w:cstheme="minorHAnsi"/>
                <w:sz w:val="14"/>
                <w:szCs w:val="14"/>
              </w:rPr>
              <w:t xml:space="preserve"> Revised final proposal of career paths for ATs and HTs and, career paths, recruitment and promotion rules for DPE officers (field and HQ) submitted by MOPME to the committee of Joint Sect., Regulations, MoPA</w:t>
            </w:r>
          </w:p>
        </w:tc>
        <w:tc>
          <w:tcPr>
            <w:tcW w:w="31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JCM </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March 20132012</w:t>
            </w:r>
          </w:p>
        </w:tc>
        <w:tc>
          <w:tcPr>
            <w:tcW w:w="47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(i) All teachers’ and head teachers’ positions (regular vacancies and newly created positions) filled according to merit-based recruitment procedures and on </w:t>
            </w:r>
            <w:r w:rsidR="00BA794F" w:rsidRPr="005F120D">
              <w:rPr>
                <w:rFonts w:asciiTheme="minorHAnsi" w:hAnsiTheme="minorHAnsi" w:cstheme="minorHAnsi"/>
                <w:sz w:val="16"/>
                <w:szCs w:val="16"/>
              </w:rPr>
              <w:t xml:space="preserve">a </w:t>
            </w:r>
            <w:r w:rsidRPr="005F120D">
              <w:rPr>
                <w:rFonts w:asciiTheme="minorHAnsi" w:hAnsiTheme="minorHAnsi" w:cstheme="minorHAnsi"/>
                <w:sz w:val="16"/>
                <w:szCs w:val="16"/>
              </w:rPr>
              <w:t>needs basis.</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And (ii) A</w:t>
            </w:r>
            <w:r w:rsidR="00BA794F" w:rsidRPr="005F120D">
              <w:rPr>
                <w:rFonts w:asciiTheme="minorHAnsi" w:hAnsiTheme="minorHAnsi" w:cstheme="minorHAnsi"/>
                <w:sz w:val="16"/>
                <w:szCs w:val="16"/>
              </w:rPr>
              <w:t>t least 90% of new teacher and Head T</w:t>
            </w:r>
            <w:r w:rsidRPr="005F120D">
              <w:rPr>
                <w:rFonts w:asciiTheme="minorHAnsi" w:hAnsiTheme="minorHAnsi" w:cstheme="minorHAnsi"/>
                <w:sz w:val="16"/>
                <w:szCs w:val="16"/>
              </w:rPr>
              <w:t xml:space="preserve">eacher posts </w:t>
            </w:r>
            <w:r w:rsidR="00BA794F" w:rsidRPr="005F120D">
              <w:rPr>
                <w:rFonts w:asciiTheme="minorHAnsi" w:hAnsiTheme="minorHAnsi" w:cstheme="minorHAnsi"/>
                <w:sz w:val="16"/>
                <w:szCs w:val="16"/>
              </w:rPr>
              <w:t xml:space="preserve">filled, </w:t>
            </w:r>
            <w:r w:rsidRPr="005F120D">
              <w:rPr>
                <w:rFonts w:asciiTheme="minorHAnsi" w:hAnsiTheme="minorHAnsi" w:cstheme="minorHAnsi"/>
                <w:sz w:val="16"/>
                <w:szCs w:val="16"/>
              </w:rPr>
              <w:t>identified by the needs-based plan t</w:t>
            </w:r>
            <w:r w:rsidR="00BA794F" w:rsidRPr="005F120D">
              <w:rPr>
                <w:rFonts w:asciiTheme="minorHAnsi" w:hAnsiTheme="minorHAnsi" w:cstheme="minorHAnsi"/>
                <w:sz w:val="16"/>
                <w:szCs w:val="16"/>
              </w:rPr>
              <w:t>o be filled for the year.</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Sept. 2013</w:t>
            </w:r>
          </w:p>
        </w:tc>
        <w:tc>
          <w:tcPr>
            <w:tcW w:w="476"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(i) All teachers’ and head teachers’ positions (regular vacancies and newly created positions) filled according to agreed recruitment procedures and on needs basis.</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And </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624F98">
            <w:pPr>
              <w:spacing w:after="0"/>
              <w:rPr>
                <w:rFonts w:asciiTheme="minorHAnsi" w:hAnsiTheme="minorHAnsi" w:cstheme="minorHAnsi"/>
                <w:sz w:val="16"/>
                <w:szCs w:val="16"/>
              </w:rPr>
            </w:pPr>
            <w:r w:rsidRPr="005F120D">
              <w:rPr>
                <w:rFonts w:asciiTheme="minorHAnsi" w:hAnsiTheme="minorHAnsi" w:cstheme="minorHAnsi"/>
                <w:sz w:val="16"/>
                <w:szCs w:val="16"/>
              </w:rPr>
              <w:t xml:space="preserve">(ii) At least 90% of new teacher and </w:t>
            </w:r>
            <w:r w:rsidR="00624F98" w:rsidRPr="005F120D">
              <w:rPr>
                <w:rFonts w:asciiTheme="minorHAnsi" w:hAnsiTheme="minorHAnsi" w:cstheme="minorHAnsi"/>
                <w:sz w:val="16"/>
                <w:szCs w:val="16"/>
              </w:rPr>
              <w:t>H</w:t>
            </w:r>
            <w:r w:rsidRPr="005F120D">
              <w:rPr>
                <w:rFonts w:asciiTheme="minorHAnsi" w:hAnsiTheme="minorHAnsi" w:cstheme="minorHAnsi"/>
                <w:sz w:val="16"/>
                <w:szCs w:val="16"/>
              </w:rPr>
              <w:t xml:space="preserve">ead </w:t>
            </w:r>
            <w:r w:rsidR="00624F98" w:rsidRPr="005F120D">
              <w:rPr>
                <w:rFonts w:asciiTheme="minorHAnsi" w:hAnsiTheme="minorHAnsi" w:cstheme="minorHAnsi"/>
                <w:sz w:val="16"/>
                <w:szCs w:val="16"/>
              </w:rPr>
              <w:t>T</w:t>
            </w:r>
            <w:r w:rsidRPr="005F120D">
              <w:rPr>
                <w:rFonts w:asciiTheme="minorHAnsi" w:hAnsiTheme="minorHAnsi" w:cstheme="minorHAnsi"/>
                <w:sz w:val="16"/>
                <w:szCs w:val="16"/>
              </w:rPr>
              <w:t>eacher posts</w:t>
            </w:r>
            <w:r w:rsidR="00624F98" w:rsidRPr="005F120D">
              <w:rPr>
                <w:rFonts w:asciiTheme="minorHAnsi" w:hAnsiTheme="minorHAnsi" w:cstheme="minorHAnsi"/>
                <w:sz w:val="16"/>
                <w:szCs w:val="16"/>
              </w:rPr>
              <w:t xml:space="preserve"> filled as </w:t>
            </w:r>
            <w:r w:rsidRPr="005F120D">
              <w:rPr>
                <w:rFonts w:asciiTheme="minorHAnsi" w:hAnsiTheme="minorHAnsi" w:cstheme="minorHAnsi"/>
                <w:sz w:val="16"/>
                <w:szCs w:val="16"/>
              </w:rPr>
              <w:t xml:space="preserve">identified by the Year 0 assessments </w:t>
            </w:r>
            <w:r w:rsidR="00624F98" w:rsidRPr="005F120D">
              <w:rPr>
                <w:rFonts w:asciiTheme="minorHAnsi" w:hAnsiTheme="minorHAnsi" w:cstheme="minorHAnsi"/>
                <w:sz w:val="16"/>
                <w:szCs w:val="16"/>
              </w:rPr>
              <w:t>to be filled for the year</w:t>
            </w:r>
            <w:r w:rsidRPr="005F120D">
              <w:rPr>
                <w:rFonts w:asciiTheme="minorHAnsi" w:hAnsiTheme="minorHAnsi" w:cstheme="minorHAnsi"/>
                <w:sz w:val="16"/>
                <w:szCs w:val="16"/>
              </w:rPr>
              <w:t>.</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Unmet</w:t>
            </w:r>
          </w:p>
        </w:tc>
        <w:tc>
          <w:tcPr>
            <w:tcW w:w="60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All teachers and head teachers’ positions (vacancies and new positions) filled according to agreed recruitment procedures and norms and on needs basis.</w:t>
            </w:r>
          </w:p>
          <w:p w:rsidR="002534C7" w:rsidRPr="005F120D" w:rsidRDefault="002534C7"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At least 90% of teachers and head teachers (vacancies and all new positions) filled according to needs based plan.</w:t>
            </w:r>
          </w:p>
          <w:p w:rsidR="002534C7" w:rsidRPr="005F120D" w:rsidRDefault="002534C7"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 comprehensive study on contact hours and policies and interventions conducted with recommendations for increasing contact hours between teachers and students</w:t>
            </w:r>
          </w:p>
        </w:tc>
        <w:tc>
          <w:tcPr>
            <w:tcW w:w="294" w:type="pct"/>
          </w:tcPr>
          <w:p w:rsidR="00805C9D" w:rsidRPr="005F120D" w:rsidRDefault="00805C9D" w:rsidP="00893EE0">
            <w:pPr>
              <w:spacing w:after="0"/>
              <w:rPr>
                <w:rFonts w:asciiTheme="minorHAnsi" w:hAnsiTheme="minorHAnsi" w:cstheme="minorHAnsi"/>
                <w:sz w:val="16"/>
                <w:szCs w:val="16"/>
              </w:rPr>
            </w:pPr>
          </w:p>
        </w:tc>
        <w:tc>
          <w:tcPr>
            <w:tcW w:w="28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Year 3 not yet met</w:t>
            </w:r>
          </w:p>
        </w:tc>
      </w:tr>
      <w:tr w:rsidR="00805C9D" w:rsidRPr="005F120D" w:rsidTr="00893EE0">
        <w:tc>
          <w:tcPr>
            <w:tcW w:w="177"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8</w:t>
            </w:r>
          </w:p>
        </w:tc>
        <w:tc>
          <w:tcPr>
            <w:tcW w:w="40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3.2.3 Annual Primary School Census (APSC)</w:t>
            </w:r>
          </w:p>
        </w:tc>
        <w:tc>
          <w:tcPr>
            <w:tcW w:w="544" w:type="pct"/>
          </w:tcPr>
          <w:p w:rsidR="00805C9D" w:rsidRPr="005F120D" w:rsidRDefault="00805C9D" w:rsidP="00893EE0">
            <w:pPr>
              <w:spacing w:after="0"/>
              <w:rPr>
                <w:rFonts w:asciiTheme="minorHAnsi" w:hAnsiTheme="minorHAnsi" w:cstheme="minorHAnsi"/>
                <w:sz w:val="14"/>
                <w:szCs w:val="14"/>
              </w:rPr>
            </w:pPr>
            <w:r w:rsidRPr="005F120D">
              <w:rPr>
                <w:rFonts w:asciiTheme="minorHAnsi" w:hAnsiTheme="minorHAnsi" w:cstheme="minorHAnsi"/>
                <w:sz w:val="14"/>
                <w:szCs w:val="14"/>
              </w:rPr>
              <w:t>APSC questionnaire to meet PEDP3 requirements as approved by MOPME</w:t>
            </w:r>
          </w:p>
        </w:tc>
        <w:tc>
          <w:tcPr>
            <w:tcW w:w="28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Nov. 2011</w:t>
            </w:r>
          </w:p>
        </w:tc>
        <w:tc>
          <w:tcPr>
            <w:tcW w:w="51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Plan approved by DPE to expand coverage of monitoring system to all primary schools with periodic validations</w:t>
            </w:r>
            <w:r w:rsidR="00624F98" w:rsidRPr="005F120D">
              <w:rPr>
                <w:rFonts w:asciiTheme="minorHAnsi" w:hAnsiTheme="minorHAnsi" w:cstheme="minorHAnsi"/>
                <w:sz w:val="16"/>
                <w:szCs w:val="16"/>
              </w:rPr>
              <w: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New ASC </w:t>
            </w:r>
            <w:r w:rsidR="00624F98" w:rsidRPr="005F120D">
              <w:rPr>
                <w:rFonts w:asciiTheme="minorHAnsi" w:hAnsiTheme="minorHAnsi" w:cstheme="minorHAnsi"/>
                <w:sz w:val="16"/>
                <w:szCs w:val="16"/>
              </w:rPr>
              <w:t>questionnaire fully implemented.</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IT function separated from EMIS function, EMIS and </w:t>
            </w:r>
            <w:r w:rsidRPr="005F120D">
              <w:rPr>
                <w:rFonts w:asciiTheme="minorHAnsi" w:hAnsiTheme="minorHAnsi" w:cstheme="minorHAnsi"/>
                <w:sz w:val="16"/>
                <w:szCs w:val="16"/>
              </w:rPr>
              <w:lastRenderedPageBreak/>
              <w:t>M&amp;E staffed with at least 2 statisticians each</w:t>
            </w:r>
            <w:r w:rsidR="00624F98" w:rsidRPr="005F120D">
              <w:rPr>
                <w:rFonts w:asciiTheme="minorHAnsi" w:hAnsiTheme="minorHAnsi" w:cstheme="minorHAnsi"/>
                <w:sz w:val="16"/>
                <w:szCs w:val="16"/>
              </w:rPr>
              <w:t>.</w:t>
            </w:r>
          </w:p>
        </w:tc>
        <w:tc>
          <w:tcPr>
            <w:tcW w:w="31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JCM Sept. 2013</w:t>
            </w:r>
          </w:p>
        </w:tc>
        <w:tc>
          <w:tcPr>
            <w:tcW w:w="473" w:type="pct"/>
          </w:tcPr>
          <w:p w:rsidR="00805C9D" w:rsidRPr="005F120D" w:rsidRDefault="00805C9D" w:rsidP="00893EE0">
            <w:pPr>
              <w:spacing w:after="0"/>
              <w:rPr>
                <w:rFonts w:asciiTheme="minorHAnsi" w:hAnsiTheme="minorHAnsi" w:cstheme="minorHAnsi"/>
                <w:sz w:val="14"/>
                <w:szCs w:val="14"/>
              </w:rPr>
            </w:pPr>
            <w:r w:rsidRPr="005F120D">
              <w:rPr>
                <w:rFonts w:asciiTheme="minorHAnsi" w:hAnsiTheme="minorHAnsi" w:cstheme="minorHAnsi"/>
                <w:sz w:val="14"/>
                <w:szCs w:val="14"/>
              </w:rPr>
              <w:t>APSC administration and report preparation and dissemination complete</w:t>
            </w:r>
            <w:r w:rsidR="00624F98" w:rsidRPr="005F120D">
              <w:rPr>
                <w:rFonts w:asciiTheme="minorHAnsi" w:hAnsiTheme="minorHAnsi" w:cstheme="minorHAnsi"/>
                <w:sz w:val="14"/>
                <w:szCs w:val="14"/>
              </w:rPr>
              <w:t>d</w:t>
            </w:r>
            <w:r w:rsidRPr="005F120D">
              <w:rPr>
                <w:rFonts w:asciiTheme="minorHAnsi" w:hAnsiTheme="minorHAnsi" w:cstheme="minorHAnsi"/>
                <w:sz w:val="14"/>
                <w:szCs w:val="14"/>
              </w:rPr>
              <w:t xml:space="preserve"> within academic ye</w:t>
            </w:r>
            <w:r w:rsidR="00624F98" w:rsidRPr="005F120D">
              <w:rPr>
                <w:rFonts w:asciiTheme="minorHAnsi" w:hAnsiTheme="minorHAnsi" w:cstheme="minorHAnsi"/>
                <w:sz w:val="14"/>
                <w:szCs w:val="14"/>
              </w:rPr>
              <w:t>a</w:t>
            </w:r>
            <w:r w:rsidRPr="005F120D">
              <w:rPr>
                <w:rFonts w:asciiTheme="minorHAnsi" w:hAnsiTheme="minorHAnsi" w:cstheme="minorHAnsi"/>
                <w:sz w:val="14"/>
                <w:szCs w:val="14"/>
              </w:rPr>
              <w:t>r</w:t>
            </w:r>
            <w:r w:rsidR="00624F98" w:rsidRPr="005F120D">
              <w:rPr>
                <w:rFonts w:asciiTheme="minorHAnsi" w:hAnsiTheme="minorHAnsi" w:cstheme="minorHAnsi"/>
                <w:sz w:val="14"/>
                <w:szCs w:val="14"/>
              </w:rPr>
              <w:t xml:space="preserve">, </w:t>
            </w:r>
            <w:r w:rsidRPr="005F120D">
              <w:rPr>
                <w:rFonts w:asciiTheme="minorHAnsi" w:hAnsiTheme="minorHAnsi" w:cstheme="minorHAnsi"/>
                <w:sz w:val="14"/>
                <w:szCs w:val="14"/>
              </w:rPr>
              <w:t>covering at least 6 types of schools.</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4"/>
                <w:szCs w:val="14"/>
              </w:rPr>
              <w:t xml:space="preserve">Internal data validation mechanisms in place and validation of data accuracy completed as reported in an annex of the ASC </w:t>
            </w:r>
            <w:r w:rsidRPr="005F120D">
              <w:rPr>
                <w:rFonts w:asciiTheme="minorHAnsi" w:hAnsiTheme="minorHAnsi" w:cstheme="minorHAnsi"/>
                <w:sz w:val="14"/>
                <w:szCs w:val="14"/>
              </w:rPr>
              <w:lastRenderedPageBreak/>
              <w:t xml:space="preserve">report describing the background check used during data entry and the data cleaning rules and possible other </w:t>
            </w:r>
            <w:r w:rsidR="005879F5" w:rsidRPr="005F120D">
              <w:rPr>
                <w:rFonts w:asciiTheme="minorHAnsi" w:hAnsiTheme="minorHAnsi" w:cstheme="minorHAnsi"/>
                <w:sz w:val="14"/>
                <w:szCs w:val="14"/>
              </w:rPr>
              <w:t>validation</w:t>
            </w:r>
            <w:r w:rsidR="005879F5" w:rsidRPr="005F120D">
              <w:rPr>
                <w:rFonts w:asciiTheme="minorHAnsi" w:hAnsiTheme="minorHAnsi" w:cstheme="minorHAnsi"/>
                <w:sz w:val="16"/>
                <w:szCs w:val="16"/>
              </w:rPr>
              <w:t xml:space="preserve"> mechanism</w:t>
            </w:r>
            <w:r w:rsidR="00624F98" w:rsidRPr="005F120D">
              <w:rPr>
                <w:rFonts w:asciiTheme="minorHAnsi" w:hAnsiTheme="minorHAnsi" w:cstheme="minorHAnsi"/>
                <w:sz w:val="16"/>
                <w:szCs w:val="16"/>
              </w:rPr>
              <w:t>s</w:t>
            </w:r>
            <w:r w:rsidRPr="005F120D">
              <w:rPr>
                <w:rFonts w:asciiTheme="minorHAnsi" w:hAnsiTheme="minorHAnsi" w:cstheme="minorHAnsi"/>
                <w:sz w:val="16"/>
                <w:szCs w:val="16"/>
              </w:rPr>
              <w:t>.</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JCM April 2014</w:t>
            </w:r>
          </w:p>
        </w:tc>
        <w:tc>
          <w:tcPr>
            <w:tcW w:w="476" w:type="pct"/>
          </w:tcPr>
          <w:p w:rsidR="00805C9D" w:rsidRPr="005F120D" w:rsidRDefault="00805C9D" w:rsidP="00893EE0">
            <w:pPr>
              <w:autoSpaceDE w:val="0"/>
              <w:autoSpaceDN w:val="0"/>
              <w:adjustRightInd w:val="0"/>
              <w:spacing w:after="0"/>
              <w:rPr>
                <w:rFonts w:asciiTheme="minorHAnsi" w:hAnsiTheme="minorHAnsi" w:cstheme="minorHAnsi"/>
                <w:sz w:val="16"/>
                <w:szCs w:val="16"/>
                <w:lang w:eastAsia="ja-JP"/>
              </w:rPr>
            </w:pPr>
            <w:r w:rsidRPr="005F120D">
              <w:rPr>
                <w:rFonts w:asciiTheme="minorHAnsi" w:hAnsiTheme="minorHAnsi" w:cstheme="minorHAnsi"/>
                <w:sz w:val="16"/>
                <w:szCs w:val="16"/>
                <w:lang w:eastAsia="ja-JP"/>
              </w:rPr>
              <w:t>APSC</w:t>
            </w:r>
          </w:p>
          <w:p w:rsidR="00805C9D" w:rsidRPr="005F120D" w:rsidRDefault="00805C9D" w:rsidP="00893EE0">
            <w:pPr>
              <w:autoSpaceDE w:val="0"/>
              <w:autoSpaceDN w:val="0"/>
              <w:adjustRightInd w:val="0"/>
              <w:spacing w:after="0"/>
              <w:rPr>
                <w:rFonts w:asciiTheme="minorHAnsi" w:hAnsiTheme="minorHAnsi" w:cstheme="minorHAnsi"/>
                <w:sz w:val="16"/>
                <w:szCs w:val="16"/>
                <w:lang w:eastAsia="ja-JP"/>
              </w:rPr>
            </w:pPr>
            <w:r w:rsidRPr="005F120D">
              <w:rPr>
                <w:rFonts w:asciiTheme="minorHAnsi" w:hAnsiTheme="minorHAnsi" w:cstheme="minorHAnsi"/>
                <w:sz w:val="16"/>
                <w:szCs w:val="16"/>
                <w:lang w:eastAsia="ja-JP"/>
              </w:rPr>
              <w:t>Administration and report preparation and dissemination complete</w:t>
            </w:r>
            <w:r w:rsidR="00624F98" w:rsidRPr="005F120D">
              <w:rPr>
                <w:rFonts w:asciiTheme="minorHAnsi" w:hAnsiTheme="minorHAnsi" w:cstheme="minorHAnsi"/>
                <w:sz w:val="16"/>
                <w:szCs w:val="16"/>
                <w:lang w:eastAsia="ja-JP"/>
              </w:rPr>
              <w:t xml:space="preserve">d </w:t>
            </w:r>
            <w:r w:rsidRPr="005F120D">
              <w:rPr>
                <w:rFonts w:asciiTheme="minorHAnsi" w:hAnsiTheme="minorHAnsi" w:cstheme="minorHAnsi"/>
                <w:sz w:val="16"/>
                <w:szCs w:val="16"/>
                <w:lang w:eastAsia="ja-JP"/>
              </w:rPr>
              <w:t xml:space="preserve"> within academic year</w:t>
            </w:r>
            <w:r w:rsidR="00624F98" w:rsidRPr="005F120D">
              <w:rPr>
                <w:rFonts w:asciiTheme="minorHAnsi" w:hAnsiTheme="minorHAnsi" w:cstheme="minorHAnsi"/>
                <w:sz w:val="16"/>
                <w:szCs w:val="16"/>
                <w:lang w:eastAsia="ja-JP"/>
              </w:rPr>
              <w:t xml:space="preserve">, </w:t>
            </w:r>
            <w:r w:rsidRPr="005F120D">
              <w:rPr>
                <w:rFonts w:asciiTheme="minorHAnsi" w:hAnsiTheme="minorHAnsi" w:cstheme="minorHAnsi"/>
                <w:sz w:val="16"/>
                <w:szCs w:val="16"/>
                <w:lang w:eastAsia="ja-JP"/>
              </w:rPr>
              <w:t>covering at least 6 types of schools</w:t>
            </w:r>
          </w:p>
          <w:p w:rsidR="00805C9D" w:rsidRPr="005F120D" w:rsidRDefault="00805C9D" w:rsidP="00893EE0">
            <w:pPr>
              <w:autoSpaceDE w:val="0"/>
              <w:autoSpaceDN w:val="0"/>
              <w:adjustRightInd w:val="0"/>
              <w:spacing w:after="0"/>
              <w:rPr>
                <w:rFonts w:asciiTheme="minorHAnsi" w:hAnsiTheme="minorHAnsi" w:cstheme="minorHAnsi"/>
                <w:sz w:val="16"/>
                <w:szCs w:val="16"/>
                <w:lang w:eastAsia="ja-JP"/>
              </w:rPr>
            </w:pPr>
          </w:p>
          <w:p w:rsidR="00805C9D" w:rsidRPr="005F120D" w:rsidRDefault="00805C9D" w:rsidP="00893EE0">
            <w:pPr>
              <w:autoSpaceDE w:val="0"/>
              <w:autoSpaceDN w:val="0"/>
              <w:adjustRightInd w:val="0"/>
              <w:spacing w:after="0"/>
              <w:rPr>
                <w:rFonts w:asciiTheme="minorHAnsi" w:hAnsiTheme="minorHAnsi" w:cstheme="minorHAnsi"/>
                <w:sz w:val="18"/>
                <w:szCs w:val="18"/>
                <w:lang w:eastAsia="ja-JP"/>
              </w:rPr>
            </w:pPr>
            <w:r w:rsidRPr="005F120D">
              <w:rPr>
                <w:rFonts w:asciiTheme="minorHAnsi" w:hAnsiTheme="minorHAnsi" w:cstheme="minorHAnsi"/>
                <w:sz w:val="16"/>
                <w:szCs w:val="16"/>
                <w:lang w:eastAsia="ja-JP"/>
              </w:rPr>
              <w:t>Thir</w:t>
            </w:r>
            <w:r w:rsidR="00624F98" w:rsidRPr="005F120D">
              <w:rPr>
                <w:rFonts w:asciiTheme="minorHAnsi" w:hAnsiTheme="minorHAnsi" w:cstheme="minorHAnsi"/>
                <w:sz w:val="16"/>
                <w:szCs w:val="16"/>
                <w:lang w:eastAsia="ja-JP"/>
              </w:rPr>
              <w:t xml:space="preserve">d party validation </w:t>
            </w:r>
            <w:r w:rsidR="00E1354E" w:rsidRPr="005F120D">
              <w:rPr>
                <w:rFonts w:asciiTheme="minorHAnsi" w:hAnsiTheme="minorHAnsi" w:cstheme="minorHAnsi"/>
                <w:sz w:val="16"/>
                <w:szCs w:val="16"/>
                <w:lang w:eastAsia="ja-JP"/>
              </w:rPr>
              <w:t>of census</w:t>
            </w:r>
            <w:r w:rsidRPr="005F120D">
              <w:rPr>
                <w:rFonts w:asciiTheme="minorHAnsi" w:hAnsiTheme="minorHAnsi" w:cstheme="minorHAnsi"/>
                <w:sz w:val="16"/>
                <w:szCs w:val="16"/>
                <w:lang w:eastAsia="ja-JP"/>
              </w:rPr>
              <w:t xml:space="preserve"> data completed</w:t>
            </w:r>
            <w:r w:rsidRPr="005F120D">
              <w:rPr>
                <w:rFonts w:asciiTheme="minorHAnsi" w:hAnsiTheme="minorHAnsi" w:cstheme="minorHAnsi"/>
                <w:sz w:val="16"/>
                <w:szCs w:val="16"/>
              </w:rPr>
              <w:t>.</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 JCM Mar 2015</w:t>
            </w:r>
          </w:p>
        </w:tc>
        <w:tc>
          <w:tcPr>
            <w:tcW w:w="60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APSC (AY 2015) administration and report preparation and dissemination complete</w:t>
            </w:r>
            <w:r w:rsidR="00624F98" w:rsidRPr="005F120D">
              <w:rPr>
                <w:rFonts w:asciiTheme="minorHAnsi" w:hAnsiTheme="minorHAnsi" w:cstheme="minorHAnsi"/>
                <w:sz w:val="16"/>
                <w:szCs w:val="16"/>
              </w:rPr>
              <w:t>d</w:t>
            </w:r>
            <w:r w:rsidRPr="005F120D">
              <w:rPr>
                <w:rFonts w:asciiTheme="minorHAnsi" w:hAnsiTheme="minorHAnsi" w:cstheme="minorHAnsi"/>
                <w:sz w:val="16"/>
                <w:szCs w:val="16"/>
              </w:rPr>
              <w:t xml:space="preserve"> within academic year covering all primary schools</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Agreed recommendations from the third party validation (Year 3) are implemented</w:t>
            </w:r>
          </w:p>
        </w:tc>
        <w:tc>
          <w:tcPr>
            <w:tcW w:w="29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 JCM April 2016</w:t>
            </w:r>
          </w:p>
        </w:tc>
        <w:tc>
          <w:tcPr>
            <w:tcW w:w="288" w:type="pct"/>
          </w:tcPr>
          <w:p w:rsidR="00805C9D" w:rsidRPr="005F120D" w:rsidRDefault="00805C9D" w:rsidP="00893EE0">
            <w:pPr>
              <w:spacing w:after="0"/>
              <w:rPr>
                <w:rFonts w:asciiTheme="minorHAnsi" w:hAnsiTheme="minorHAnsi" w:cstheme="minorHAnsi"/>
                <w:sz w:val="16"/>
                <w:szCs w:val="16"/>
              </w:rPr>
            </w:pPr>
          </w:p>
        </w:tc>
      </w:tr>
      <w:tr w:rsidR="00805C9D" w:rsidRPr="005F120D" w:rsidTr="00893EE0">
        <w:tc>
          <w:tcPr>
            <w:tcW w:w="177"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9</w:t>
            </w:r>
          </w:p>
        </w:tc>
        <w:tc>
          <w:tcPr>
            <w:tcW w:w="40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4.3 Education Sector Financing</w:t>
            </w:r>
            <w:r w:rsidRPr="005F120D">
              <w:rPr>
                <w:rStyle w:val="FootnoteReference"/>
                <w:rFonts w:asciiTheme="minorHAnsi" w:hAnsiTheme="minorHAnsi" w:cstheme="minorHAnsi"/>
                <w:sz w:val="16"/>
                <w:szCs w:val="16"/>
              </w:rPr>
              <w:footnoteReference w:id="10"/>
            </w:r>
          </w:p>
        </w:tc>
        <w:tc>
          <w:tcPr>
            <w:tcW w:w="54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FY 11 Primary education budget aligned with program framework and consistent with MTBF 11-16</w:t>
            </w:r>
          </w:p>
        </w:tc>
        <w:tc>
          <w:tcPr>
            <w:tcW w:w="281"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UNMET</w:t>
            </w:r>
          </w:p>
        </w:tc>
        <w:tc>
          <w:tcPr>
            <w:tcW w:w="51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FY 12 Primary education budget aligned with program framework and consistent with MTBF 12-17</w:t>
            </w:r>
            <w:r w:rsidR="00624F98" w:rsidRPr="005F120D">
              <w:rPr>
                <w:rFonts w:asciiTheme="minorHAnsi" w:hAnsiTheme="minorHAnsi" w:cstheme="minorHAnsi"/>
                <w:sz w:val="16"/>
                <w:szCs w:val="16"/>
              </w:rPr>
              <w: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Actual primary education expenditures in FY12-13 within 15% deviation of the originally approved budget</w:t>
            </w:r>
          </w:p>
        </w:tc>
        <w:tc>
          <w:tcPr>
            <w:tcW w:w="31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Sept. 2012</w:t>
            </w:r>
          </w:p>
        </w:tc>
        <w:tc>
          <w:tcPr>
            <w:tcW w:w="47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FY13-14Primary education budget aligned with program framework and consistent </w:t>
            </w:r>
            <w:r w:rsidR="00E1354E" w:rsidRPr="005F120D">
              <w:rPr>
                <w:rFonts w:asciiTheme="minorHAnsi" w:hAnsiTheme="minorHAnsi" w:cstheme="minorHAnsi"/>
                <w:sz w:val="16"/>
                <w:szCs w:val="16"/>
              </w:rPr>
              <w:t>with FY13</w:t>
            </w:r>
            <w:r w:rsidRPr="005F120D">
              <w:rPr>
                <w:rFonts w:asciiTheme="minorHAnsi" w:hAnsiTheme="minorHAnsi" w:cstheme="minorHAnsi"/>
                <w:sz w:val="16"/>
                <w:szCs w:val="16"/>
              </w:rPr>
              <w:t>-</w:t>
            </w:r>
            <w:r w:rsidR="00E1354E" w:rsidRPr="005F120D">
              <w:rPr>
                <w:rFonts w:asciiTheme="minorHAnsi" w:hAnsiTheme="minorHAnsi" w:cstheme="minorHAnsi"/>
                <w:sz w:val="16"/>
                <w:szCs w:val="16"/>
              </w:rPr>
              <w:t>18 MTBF</w:t>
            </w:r>
            <w:r w:rsidR="00624F98" w:rsidRPr="005F120D">
              <w:rPr>
                <w:rFonts w:asciiTheme="minorHAnsi" w:hAnsiTheme="minorHAnsi" w:cstheme="minorHAnsi"/>
                <w:sz w:val="16"/>
                <w:szCs w:val="16"/>
              </w:rPr>
              <w: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Actual primary education expenditures in FY12-13 within 15% deviation of the originally approved budget</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 xml:space="preserve">JCM Sep 2013 </w:t>
            </w:r>
          </w:p>
        </w:tc>
        <w:tc>
          <w:tcPr>
            <w:tcW w:w="476" w:type="pct"/>
          </w:tcPr>
          <w:p w:rsidR="00805C9D" w:rsidRPr="005F120D" w:rsidRDefault="00805C9D" w:rsidP="00893EE0">
            <w:pPr>
              <w:autoSpaceDE w:val="0"/>
              <w:autoSpaceDN w:val="0"/>
              <w:adjustRightInd w:val="0"/>
              <w:spacing w:after="0"/>
              <w:rPr>
                <w:rFonts w:asciiTheme="minorHAnsi" w:hAnsiTheme="minorHAnsi" w:cstheme="minorHAnsi"/>
                <w:sz w:val="16"/>
                <w:szCs w:val="16"/>
                <w:lang w:eastAsia="ja-JP"/>
              </w:rPr>
            </w:pPr>
            <w:r w:rsidRPr="005F120D">
              <w:rPr>
                <w:rFonts w:asciiTheme="minorHAnsi" w:hAnsiTheme="minorHAnsi" w:cstheme="minorHAnsi"/>
                <w:sz w:val="16"/>
                <w:szCs w:val="16"/>
                <w:lang w:eastAsia="ja-JP"/>
              </w:rPr>
              <w:t>FY14-15 Primary education budget aligned with program</w:t>
            </w:r>
          </w:p>
          <w:p w:rsidR="00805C9D" w:rsidRPr="005F120D" w:rsidRDefault="00805C9D" w:rsidP="00893EE0">
            <w:pPr>
              <w:autoSpaceDE w:val="0"/>
              <w:autoSpaceDN w:val="0"/>
              <w:adjustRightInd w:val="0"/>
              <w:spacing w:after="0"/>
              <w:rPr>
                <w:rFonts w:asciiTheme="minorHAnsi" w:hAnsiTheme="minorHAnsi" w:cstheme="minorHAnsi"/>
                <w:sz w:val="16"/>
                <w:szCs w:val="16"/>
                <w:lang w:eastAsia="ja-JP"/>
              </w:rPr>
            </w:pPr>
            <w:r w:rsidRPr="005F120D">
              <w:rPr>
                <w:rFonts w:asciiTheme="minorHAnsi" w:hAnsiTheme="minorHAnsi" w:cstheme="minorHAnsi"/>
                <w:sz w:val="16"/>
                <w:szCs w:val="16"/>
                <w:lang w:eastAsia="ja-JP"/>
              </w:rPr>
              <w:t xml:space="preserve">framework and consistent with 14-19 MTBF </w:t>
            </w:r>
          </w:p>
          <w:p w:rsidR="00805C9D" w:rsidRPr="005F120D" w:rsidRDefault="00805C9D" w:rsidP="00893EE0">
            <w:pPr>
              <w:autoSpaceDE w:val="0"/>
              <w:autoSpaceDN w:val="0"/>
              <w:adjustRightInd w:val="0"/>
              <w:spacing w:after="0"/>
              <w:rPr>
                <w:rFonts w:asciiTheme="minorHAnsi" w:hAnsiTheme="minorHAnsi" w:cstheme="minorHAnsi"/>
                <w:sz w:val="16"/>
                <w:szCs w:val="16"/>
                <w:lang w:eastAsia="ja-JP"/>
              </w:rPr>
            </w:pPr>
          </w:p>
          <w:p w:rsidR="00805C9D" w:rsidRPr="005F120D" w:rsidRDefault="00805C9D" w:rsidP="00893EE0">
            <w:pPr>
              <w:autoSpaceDE w:val="0"/>
              <w:autoSpaceDN w:val="0"/>
              <w:adjustRightInd w:val="0"/>
              <w:spacing w:after="0"/>
              <w:rPr>
                <w:rFonts w:asciiTheme="minorHAnsi" w:hAnsiTheme="minorHAnsi" w:cstheme="minorHAnsi"/>
                <w:sz w:val="18"/>
                <w:szCs w:val="18"/>
                <w:lang w:eastAsia="ja-JP"/>
              </w:rPr>
            </w:pPr>
            <w:r w:rsidRPr="005F120D">
              <w:rPr>
                <w:rFonts w:asciiTheme="minorHAnsi" w:hAnsiTheme="minorHAnsi" w:cstheme="minorHAnsi"/>
                <w:sz w:val="16"/>
                <w:szCs w:val="16"/>
                <w:lang w:eastAsia="ja-JP"/>
              </w:rPr>
              <w:t>Actual primary expenditures for FY13-14 within 15% deviation of the originally approved budget</w:t>
            </w:r>
          </w:p>
        </w:tc>
        <w:tc>
          <w:tcPr>
            <w:tcW w:w="318"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JCM Nov 2014</w:t>
            </w:r>
          </w:p>
        </w:tc>
        <w:tc>
          <w:tcPr>
            <w:tcW w:w="603"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FY15-16 Primary education budget aligned with program framework and consistent with FY15-20 MTBF</w:t>
            </w:r>
          </w:p>
          <w:p w:rsidR="00805C9D" w:rsidRPr="005F120D" w:rsidRDefault="00805C9D" w:rsidP="00893EE0">
            <w:pPr>
              <w:spacing w:after="0"/>
              <w:rPr>
                <w:rFonts w:asciiTheme="minorHAnsi" w:hAnsiTheme="minorHAnsi" w:cstheme="minorHAnsi"/>
                <w:sz w:val="16"/>
                <w:szCs w:val="16"/>
              </w:rPr>
            </w:pP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Actual primary expenditures for FY 14-15 within 15%deviation of the originally approved budget</w:t>
            </w:r>
          </w:p>
        </w:tc>
        <w:tc>
          <w:tcPr>
            <w:tcW w:w="294" w:type="pct"/>
          </w:tcPr>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w:t>
            </w:r>
          </w:p>
          <w:p w:rsidR="00805C9D" w:rsidRPr="005F120D" w:rsidRDefault="00805C9D" w:rsidP="00893EE0">
            <w:pPr>
              <w:spacing w:after="0"/>
              <w:rPr>
                <w:rFonts w:asciiTheme="minorHAnsi" w:hAnsiTheme="minorHAnsi" w:cstheme="minorHAnsi"/>
                <w:sz w:val="16"/>
                <w:szCs w:val="16"/>
              </w:rPr>
            </w:pPr>
            <w:r w:rsidRPr="005F120D">
              <w:rPr>
                <w:rFonts w:asciiTheme="minorHAnsi" w:hAnsiTheme="minorHAnsi" w:cstheme="minorHAnsi"/>
                <w:sz w:val="16"/>
                <w:szCs w:val="16"/>
              </w:rPr>
              <w:t>Met JCM Oct-Nov 2015</w:t>
            </w:r>
          </w:p>
        </w:tc>
        <w:tc>
          <w:tcPr>
            <w:tcW w:w="288" w:type="pct"/>
          </w:tcPr>
          <w:p w:rsidR="00805C9D" w:rsidRPr="005F120D" w:rsidRDefault="00805C9D" w:rsidP="00893EE0">
            <w:pPr>
              <w:spacing w:after="0"/>
              <w:rPr>
                <w:rFonts w:asciiTheme="minorHAnsi" w:hAnsiTheme="minorHAnsi" w:cstheme="minorHAnsi"/>
                <w:sz w:val="16"/>
                <w:szCs w:val="16"/>
              </w:rPr>
            </w:pPr>
          </w:p>
        </w:tc>
      </w:tr>
    </w:tbl>
    <w:p w:rsidR="00805C9D" w:rsidRPr="005F120D" w:rsidRDefault="00805C9D" w:rsidP="00805C9D">
      <w:pPr>
        <w:rPr>
          <w:rFonts w:asciiTheme="minorHAnsi" w:hAnsiTheme="minorHAnsi" w:cstheme="minorHAnsi"/>
        </w:rPr>
      </w:pPr>
    </w:p>
    <w:p w:rsidR="00E82184" w:rsidRPr="005F120D" w:rsidRDefault="00E82184" w:rsidP="00C437AA">
      <w:pPr>
        <w:spacing w:line="276" w:lineRule="auto"/>
        <w:rPr>
          <w:rFonts w:asciiTheme="minorHAnsi" w:hAnsiTheme="minorHAnsi" w:cstheme="minorHAnsi"/>
          <w:b/>
          <w:i/>
          <w:color w:val="FF0000"/>
          <w:sz w:val="18"/>
          <w:szCs w:val="18"/>
        </w:rPr>
      </w:pPr>
    </w:p>
    <w:p w:rsidR="00E82184" w:rsidRPr="005F120D" w:rsidRDefault="00E82184" w:rsidP="00C437AA">
      <w:pPr>
        <w:spacing w:line="276" w:lineRule="auto"/>
        <w:rPr>
          <w:rFonts w:asciiTheme="minorHAnsi" w:hAnsiTheme="minorHAnsi" w:cstheme="minorHAnsi"/>
          <w:b/>
          <w:i/>
          <w:color w:val="FF0000"/>
          <w:sz w:val="18"/>
          <w:szCs w:val="18"/>
        </w:rPr>
        <w:sectPr w:rsidR="00E82184" w:rsidRPr="005F120D" w:rsidSect="00EA356A">
          <w:type w:val="nextColumn"/>
          <w:pgSz w:w="16834" w:h="11909" w:orient="landscape" w:code="9"/>
          <w:pgMar w:top="720" w:right="720" w:bottom="432" w:left="720" w:header="720" w:footer="720" w:gutter="0"/>
          <w:cols w:space="720"/>
          <w:docGrid w:linePitch="360"/>
        </w:sectPr>
      </w:pPr>
    </w:p>
    <w:p w:rsidR="00E82184" w:rsidRPr="005F120D" w:rsidRDefault="00E82184" w:rsidP="00C437AA">
      <w:pPr>
        <w:pStyle w:val="Heading2"/>
        <w:spacing w:line="276" w:lineRule="auto"/>
        <w:rPr>
          <w:rFonts w:cstheme="minorHAnsi"/>
        </w:rPr>
      </w:pPr>
      <w:bookmarkStart w:id="76" w:name="_Toc462837178"/>
      <w:r w:rsidRPr="005F120D">
        <w:rPr>
          <w:rFonts w:cstheme="minorHAnsi"/>
        </w:rPr>
        <w:lastRenderedPageBreak/>
        <w:t>Sub-component Progress Report</w:t>
      </w:r>
      <w:bookmarkEnd w:id="76"/>
    </w:p>
    <w:p w:rsidR="003E3C9C" w:rsidRPr="005F120D" w:rsidRDefault="006E7E8F" w:rsidP="000A5B80">
      <w:pPr>
        <w:autoSpaceDE w:val="0"/>
        <w:autoSpaceDN w:val="0"/>
        <w:adjustRightInd w:val="0"/>
        <w:spacing w:after="120"/>
        <w:jc w:val="both"/>
        <w:rPr>
          <w:rFonts w:asciiTheme="minorHAnsi" w:hAnsiTheme="minorHAnsi" w:cstheme="minorHAnsi"/>
          <w:szCs w:val="22"/>
        </w:rPr>
      </w:pPr>
      <w:r w:rsidRPr="005F120D">
        <w:rPr>
          <w:rFonts w:asciiTheme="minorHAnsi" w:hAnsiTheme="minorHAnsi" w:cstheme="minorHAnsi"/>
          <w:szCs w:val="22"/>
        </w:rPr>
        <w:t xml:space="preserve">The </w:t>
      </w:r>
      <w:r w:rsidR="003E3C9C" w:rsidRPr="005F120D">
        <w:rPr>
          <w:rFonts w:asciiTheme="minorHAnsi" w:hAnsiTheme="minorHAnsi" w:cstheme="minorHAnsi"/>
          <w:szCs w:val="22"/>
        </w:rPr>
        <w:t xml:space="preserve">PEDP3 is organized around the achievement of 6 result areas under 4 components. The four components are divided into 29 sub-components. The PEDP3 is structured as follows: </w:t>
      </w:r>
    </w:p>
    <w:p w:rsidR="006E7E8F" w:rsidRPr="005F120D" w:rsidRDefault="006E7E8F" w:rsidP="006E7E8F">
      <w:pPr>
        <w:pStyle w:val="Heading2NONUM"/>
        <w:spacing w:after="0"/>
        <w:jc w:val="both"/>
        <w:rPr>
          <w:rFonts w:asciiTheme="minorHAnsi" w:hAnsiTheme="minorHAnsi" w:cstheme="minorHAnsi"/>
          <w:color w:val="3333CC"/>
          <w:sz w:val="22"/>
          <w:szCs w:val="22"/>
        </w:rPr>
      </w:pPr>
      <w:r w:rsidRPr="005F120D">
        <w:rPr>
          <w:rFonts w:asciiTheme="minorHAnsi" w:hAnsiTheme="minorHAnsi" w:cstheme="minorHAnsi"/>
          <w:color w:val="3333CC"/>
          <w:sz w:val="22"/>
          <w:szCs w:val="22"/>
        </w:rPr>
        <w:t xml:space="preserve">The 4 components of the PEP3:  </w:t>
      </w:r>
    </w:p>
    <w:p w:rsidR="006E7E8F" w:rsidRPr="005F120D" w:rsidRDefault="006E7E8F" w:rsidP="006E7E8F">
      <w:pPr>
        <w:pStyle w:val="Heading2NONUM"/>
        <w:numPr>
          <w:ilvl w:val="0"/>
          <w:numId w:val="93"/>
        </w:numPr>
        <w:spacing w:before="0" w:after="0"/>
        <w:jc w:val="both"/>
        <w:rPr>
          <w:rFonts w:asciiTheme="minorHAnsi" w:hAnsiTheme="minorHAnsi" w:cstheme="minorHAnsi"/>
          <w:b w:val="0"/>
          <w:sz w:val="22"/>
          <w:szCs w:val="22"/>
        </w:rPr>
      </w:pPr>
      <w:r w:rsidRPr="005F120D">
        <w:rPr>
          <w:rFonts w:asciiTheme="minorHAnsi" w:hAnsiTheme="minorHAnsi" w:cstheme="minorHAnsi"/>
          <w:b w:val="0"/>
          <w:sz w:val="22"/>
          <w:szCs w:val="22"/>
        </w:rPr>
        <w:t xml:space="preserve">Teaching and Learning, </w:t>
      </w:r>
    </w:p>
    <w:p w:rsidR="006E7E8F" w:rsidRPr="005F120D" w:rsidRDefault="006E7E8F" w:rsidP="006E7E8F">
      <w:pPr>
        <w:pStyle w:val="Heading2NONUM"/>
        <w:numPr>
          <w:ilvl w:val="0"/>
          <w:numId w:val="93"/>
        </w:numPr>
        <w:spacing w:before="0" w:after="0"/>
        <w:jc w:val="both"/>
        <w:rPr>
          <w:rFonts w:asciiTheme="minorHAnsi" w:hAnsiTheme="minorHAnsi" w:cstheme="minorHAnsi"/>
          <w:b w:val="0"/>
          <w:sz w:val="22"/>
          <w:szCs w:val="22"/>
        </w:rPr>
      </w:pPr>
      <w:r w:rsidRPr="005F120D">
        <w:rPr>
          <w:rFonts w:asciiTheme="minorHAnsi" w:hAnsiTheme="minorHAnsi" w:cstheme="minorHAnsi"/>
          <w:b w:val="0"/>
          <w:sz w:val="22"/>
          <w:szCs w:val="22"/>
        </w:rPr>
        <w:t xml:space="preserve">Participation and Disparities; </w:t>
      </w:r>
    </w:p>
    <w:p w:rsidR="006E7E8F" w:rsidRPr="005F120D" w:rsidRDefault="006E7E8F" w:rsidP="006E7E8F">
      <w:pPr>
        <w:pStyle w:val="Heading2NONUM"/>
        <w:numPr>
          <w:ilvl w:val="0"/>
          <w:numId w:val="93"/>
        </w:numPr>
        <w:spacing w:before="0" w:after="0"/>
        <w:jc w:val="both"/>
        <w:rPr>
          <w:rFonts w:asciiTheme="minorHAnsi" w:hAnsiTheme="minorHAnsi" w:cstheme="minorHAnsi"/>
          <w:b w:val="0"/>
          <w:sz w:val="22"/>
          <w:szCs w:val="22"/>
        </w:rPr>
      </w:pPr>
      <w:r w:rsidRPr="005F120D">
        <w:rPr>
          <w:rFonts w:asciiTheme="minorHAnsi" w:hAnsiTheme="minorHAnsi" w:cstheme="minorHAnsi"/>
          <w:b w:val="0"/>
          <w:sz w:val="22"/>
          <w:szCs w:val="22"/>
        </w:rPr>
        <w:t xml:space="preserve">Decentralization and Effectiveness; and </w:t>
      </w:r>
    </w:p>
    <w:p w:rsidR="006E7E8F" w:rsidRPr="005F120D" w:rsidRDefault="006E7E8F" w:rsidP="006E7E8F">
      <w:pPr>
        <w:pStyle w:val="Heading2NONUM"/>
        <w:numPr>
          <w:ilvl w:val="0"/>
          <w:numId w:val="93"/>
        </w:numPr>
        <w:spacing w:before="0" w:after="0"/>
        <w:jc w:val="both"/>
        <w:rPr>
          <w:rFonts w:asciiTheme="minorHAnsi" w:hAnsiTheme="minorHAnsi" w:cstheme="minorHAnsi"/>
          <w:b w:val="0"/>
          <w:sz w:val="22"/>
          <w:szCs w:val="22"/>
        </w:rPr>
      </w:pPr>
      <w:r w:rsidRPr="005F120D">
        <w:rPr>
          <w:rFonts w:asciiTheme="minorHAnsi" w:hAnsiTheme="minorHAnsi" w:cstheme="minorHAnsi"/>
          <w:b w:val="0"/>
          <w:sz w:val="22"/>
          <w:szCs w:val="22"/>
        </w:rPr>
        <w:t>Planning and Management</w:t>
      </w:r>
    </w:p>
    <w:p w:rsidR="003E3C9C" w:rsidRPr="005F120D" w:rsidRDefault="006E7E8F" w:rsidP="0064464F">
      <w:pPr>
        <w:pStyle w:val="Heading2NONUM"/>
        <w:spacing w:before="120" w:after="120"/>
        <w:jc w:val="both"/>
        <w:rPr>
          <w:rFonts w:asciiTheme="minorHAnsi" w:hAnsiTheme="minorHAnsi" w:cstheme="minorHAnsi"/>
          <w:color w:val="3333CC"/>
        </w:rPr>
      </w:pPr>
      <w:r w:rsidRPr="005F120D">
        <w:rPr>
          <w:rFonts w:asciiTheme="minorHAnsi" w:hAnsiTheme="minorHAnsi" w:cstheme="minorHAnsi"/>
          <w:color w:val="3333CC"/>
        </w:rPr>
        <w:t xml:space="preserve">The </w:t>
      </w:r>
      <w:r w:rsidR="003E3C9C" w:rsidRPr="005F120D">
        <w:rPr>
          <w:rFonts w:asciiTheme="minorHAnsi" w:hAnsiTheme="minorHAnsi" w:cstheme="minorHAnsi"/>
          <w:color w:val="3333CC"/>
        </w:rPr>
        <w:t xml:space="preserve">PEDP3 </w:t>
      </w:r>
      <w:r w:rsidR="004F636A" w:rsidRPr="005F120D">
        <w:rPr>
          <w:rFonts w:asciiTheme="minorHAnsi" w:hAnsiTheme="minorHAnsi" w:cstheme="minorHAnsi"/>
          <w:color w:val="3333CC"/>
        </w:rPr>
        <w:t xml:space="preserve">is </w:t>
      </w:r>
      <w:r w:rsidR="003E3C9C" w:rsidRPr="005F120D">
        <w:rPr>
          <w:rFonts w:asciiTheme="minorHAnsi" w:hAnsiTheme="minorHAnsi" w:cstheme="minorHAnsi"/>
          <w:color w:val="3333CC"/>
        </w:rPr>
        <w:t xml:space="preserve">organized to achieve </w:t>
      </w:r>
      <w:r w:rsidRPr="005F120D">
        <w:rPr>
          <w:rFonts w:asciiTheme="minorHAnsi" w:hAnsiTheme="minorHAnsi" w:cstheme="minorHAnsi"/>
          <w:color w:val="3333CC"/>
        </w:rPr>
        <w:t xml:space="preserve">the following </w:t>
      </w:r>
      <w:r w:rsidR="003E3C9C" w:rsidRPr="005F120D">
        <w:rPr>
          <w:rFonts w:asciiTheme="minorHAnsi" w:hAnsiTheme="minorHAnsi" w:cstheme="minorHAnsi"/>
          <w:color w:val="3333CC"/>
        </w:rPr>
        <w:t>six result areas:</w:t>
      </w:r>
    </w:p>
    <w:p w:rsidR="003E3C9C" w:rsidRPr="005F120D" w:rsidRDefault="003E3C9C" w:rsidP="000A5B80">
      <w:pPr>
        <w:pStyle w:val="BodyText1"/>
        <w:numPr>
          <w:ilvl w:val="0"/>
          <w:numId w:val="92"/>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Result area 1 </w:t>
      </w:r>
      <w:r w:rsidRPr="005F120D">
        <w:rPr>
          <w:rFonts w:asciiTheme="minorHAnsi" w:hAnsiTheme="minorHAnsi" w:cstheme="minorHAnsi"/>
          <w:b w:val="0"/>
          <w:sz w:val="20"/>
          <w:szCs w:val="20"/>
        </w:rPr>
        <w:tab/>
        <w:t>Learning Outcomes</w:t>
      </w:r>
    </w:p>
    <w:p w:rsidR="003E3C9C" w:rsidRPr="005F120D" w:rsidRDefault="003E3C9C" w:rsidP="000A5B80">
      <w:pPr>
        <w:pStyle w:val="BodyText1"/>
        <w:numPr>
          <w:ilvl w:val="0"/>
          <w:numId w:val="92"/>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Result area 2.1 </w:t>
      </w:r>
      <w:r w:rsidRPr="005F120D">
        <w:rPr>
          <w:rFonts w:asciiTheme="minorHAnsi" w:hAnsiTheme="minorHAnsi" w:cstheme="minorHAnsi"/>
          <w:b w:val="0"/>
          <w:sz w:val="20"/>
          <w:szCs w:val="20"/>
        </w:rPr>
        <w:tab/>
        <w:t xml:space="preserve">Participation </w:t>
      </w:r>
    </w:p>
    <w:p w:rsidR="003E3C9C" w:rsidRPr="005F120D" w:rsidRDefault="003E3C9C" w:rsidP="000A5B80">
      <w:pPr>
        <w:pStyle w:val="BodyText1"/>
        <w:numPr>
          <w:ilvl w:val="0"/>
          <w:numId w:val="92"/>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Result area 2.2 </w:t>
      </w:r>
      <w:r w:rsidRPr="005F120D">
        <w:rPr>
          <w:rFonts w:asciiTheme="minorHAnsi" w:hAnsiTheme="minorHAnsi" w:cstheme="minorHAnsi"/>
          <w:b w:val="0"/>
          <w:sz w:val="20"/>
          <w:szCs w:val="20"/>
        </w:rPr>
        <w:tab/>
        <w:t xml:space="preserve">Disparities </w:t>
      </w:r>
    </w:p>
    <w:p w:rsidR="003E3C9C" w:rsidRPr="005F120D" w:rsidRDefault="003E3C9C" w:rsidP="000A5B80">
      <w:pPr>
        <w:pStyle w:val="BodyText1"/>
        <w:numPr>
          <w:ilvl w:val="0"/>
          <w:numId w:val="92"/>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Result area 3.1 </w:t>
      </w:r>
      <w:r w:rsidRPr="005F120D">
        <w:rPr>
          <w:rFonts w:asciiTheme="minorHAnsi" w:hAnsiTheme="minorHAnsi" w:cstheme="minorHAnsi"/>
          <w:b w:val="0"/>
          <w:sz w:val="20"/>
          <w:szCs w:val="20"/>
        </w:rPr>
        <w:tab/>
        <w:t xml:space="preserve">Decentralization </w:t>
      </w:r>
    </w:p>
    <w:p w:rsidR="003E3C9C" w:rsidRPr="005F120D" w:rsidRDefault="003E3C9C" w:rsidP="000A5B80">
      <w:pPr>
        <w:pStyle w:val="BodyText1"/>
        <w:numPr>
          <w:ilvl w:val="0"/>
          <w:numId w:val="92"/>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Result area 3.2 </w:t>
      </w:r>
      <w:r w:rsidRPr="005F120D">
        <w:rPr>
          <w:rFonts w:asciiTheme="minorHAnsi" w:hAnsiTheme="minorHAnsi" w:cstheme="minorHAnsi"/>
          <w:b w:val="0"/>
          <w:sz w:val="20"/>
          <w:szCs w:val="20"/>
        </w:rPr>
        <w:tab/>
        <w:t>Effectiveness</w:t>
      </w:r>
    </w:p>
    <w:p w:rsidR="003E3C9C" w:rsidRPr="005F120D" w:rsidRDefault="003E3C9C" w:rsidP="000A5B80">
      <w:pPr>
        <w:pStyle w:val="BodyText1"/>
        <w:numPr>
          <w:ilvl w:val="0"/>
          <w:numId w:val="92"/>
        </w:numPr>
        <w:spacing w:line="240" w:lineRule="auto"/>
        <w:rPr>
          <w:rFonts w:asciiTheme="minorHAnsi" w:hAnsiTheme="minorHAnsi" w:cstheme="minorHAnsi"/>
          <w:b w:val="0"/>
          <w:sz w:val="20"/>
          <w:szCs w:val="20"/>
        </w:rPr>
      </w:pPr>
      <w:r w:rsidRPr="005F120D">
        <w:rPr>
          <w:rFonts w:asciiTheme="minorHAnsi" w:hAnsiTheme="minorHAnsi" w:cstheme="minorHAnsi"/>
          <w:b w:val="0"/>
          <w:sz w:val="20"/>
          <w:szCs w:val="20"/>
        </w:rPr>
        <w:t>Result area 4</w:t>
      </w:r>
      <w:r w:rsidRPr="005F120D">
        <w:rPr>
          <w:rFonts w:asciiTheme="minorHAnsi" w:hAnsiTheme="minorHAnsi" w:cstheme="minorHAnsi"/>
          <w:b w:val="0"/>
          <w:sz w:val="20"/>
          <w:szCs w:val="20"/>
        </w:rPr>
        <w:tab/>
      </w:r>
      <w:r w:rsidRPr="005F120D">
        <w:rPr>
          <w:rFonts w:asciiTheme="minorHAnsi" w:hAnsiTheme="minorHAnsi" w:cstheme="minorHAnsi"/>
          <w:b w:val="0"/>
        </w:rPr>
        <w:t>Program Planning and Management.</w:t>
      </w:r>
    </w:p>
    <w:p w:rsidR="003E3C9C" w:rsidRPr="005F120D" w:rsidRDefault="003E3C9C" w:rsidP="0064464F">
      <w:pPr>
        <w:pStyle w:val="Heading2NONUM"/>
        <w:tabs>
          <w:tab w:val="right" w:pos="9027"/>
        </w:tabs>
        <w:spacing w:before="120" w:after="120"/>
        <w:jc w:val="both"/>
        <w:rPr>
          <w:rFonts w:asciiTheme="minorHAnsi" w:hAnsiTheme="minorHAnsi" w:cstheme="minorHAnsi"/>
          <w:color w:val="3333CC"/>
        </w:rPr>
      </w:pPr>
      <w:r w:rsidRPr="005F120D">
        <w:rPr>
          <w:rFonts w:asciiTheme="minorHAnsi" w:hAnsiTheme="minorHAnsi" w:cstheme="minorHAnsi"/>
          <w:color w:val="3333CC"/>
        </w:rPr>
        <w:t xml:space="preserve">These six results areas are to be achieved through </w:t>
      </w:r>
      <w:r w:rsidR="006E7E8F" w:rsidRPr="005F120D">
        <w:rPr>
          <w:rFonts w:asciiTheme="minorHAnsi" w:hAnsiTheme="minorHAnsi" w:cstheme="minorHAnsi"/>
          <w:color w:val="3333CC"/>
        </w:rPr>
        <w:t>29 sub-</w:t>
      </w:r>
      <w:r w:rsidRPr="005F120D">
        <w:rPr>
          <w:rFonts w:asciiTheme="minorHAnsi" w:hAnsiTheme="minorHAnsi" w:cstheme="minorHAnsi"/>
          <w:color w:val="3333CC"/>
        </w:rPr>
        <w:t>components</w:t>
      </w:r>
      <w:r w:rsidR="00CC273D" w:rsidRPr="005F120D">
        <w:rPr>
          <w:rFonts w:asciiTheme="minorHAnsi" w:hAnsiTheme="minorHAnsi" w:cstheme="minorHAnsi"/>
          <w:color w:val="3333CC"/>
        </w:rPr>
        <w:t xml:space="preserve"> as expected</w:t>
      </w:r>
      <w:r w:rsidRPr="005F120D">
        <w:rPr>
          <w:rFonts w:asciiTheme="minorHAnsi" w:hAnsiTheme="minorHAnsi" w:cstheme="minorHAnsi"/>
          <w:color w:val="3333CC"/>
        </w:rPr>
        <w:t xml:space="preserve">: </w:t>
      </w:r>
      <w:r w:rsidRPr="005F120D">
        <w:rPr>
          <w:rFonts w:asciiTheme="minorHAnsi" w:hAnsiTheme="minorHAnsi" w:cstheme="minorHAnsi"/>
          <w:color w:val="3333CC"/>
        </w:rPr>
        <w:tab/>
      </w:r>
    </w:p>
    <w:p w:rsidR="003E3C9C" w:rsidRPr="005F120D" w:rsidRDefault="004F636A" w:rsidP="000A5B80">
      <w:pPr>
        <w:pStyle w:val="Heading2NONUM"/>
        <w:spacing w:after="120"/>
        <w:jc w:val="both"/>
        <w:rPr>
          <w:rFonts w:asciiTheme="minorHAnsi" w:hAnsiTheme="minorHAnsi" w:cstheme="minorHAnsi"/>
          <w:b w:val="0"/>
          <w:bCs/>
          <w:iCs/>
          <w:sz w:val="22"/>
          <w:szCs w:val="22"/>
        </w:rPr>
      </w:pPr>
      <w:r w:rsidRPr="005F120D">
        <w:rPr>
          <w:rFonts w:asciiTheme="minorHAnsi" w:hAnsiTheme="minorHAnsi" w:cstheme="minorHAnsi"/>
          <w:b w:val="0"/>
          <w:sz w:val="22"/>
          <w:szCs w:val="22"/>
        </w:rPr>
        <w:t>The</w:t>
      </w:r>
      <w:r w:rsidR="003E3C9C" w:rsidRPr="005F120D">
        <w:rPr>
          <w:rFonts w:asciiTheme="minorHAnsi" w:hAnsiTheme="minorHAnsi" w:cstheme="minorHAnsi"/>
          <w:b w:val="0"/>
          <w:sz w:val="22"/>
          <w:szCs w:val="22"/>
        </w:rPr>
        <w:t xml:space="preserve"> four components are sub-divided into 29 sub-components for better program implementat</w:t>
      </w:r>
      <w:r w:rsidRPr="005F120D">
        <w:rPr>
          <w:rFonts w:asciiTheme="minorHAnsi" w:hAnsiTheme="minorHAnsi" w:cstheme="minorHAnsi"/>
          <w:b w:val="0"/>
          <w:sz w:val="22"/>
          <w:szCs w:val="22"/>
        </w:rPr>
        <w:t>ion, management, and the</w:t>
      </w:r>
      <w:r w:rsidR="003E3C9C" w:rsidRPr="005F120D">
        <w:rPr>
          <w:rFonts w:asciiTheme="minorHAnsi" w:hAnsiTheme="minorHAnsi" w:cstheme="minorHAnsi"/>
          <w:b w:val="0"/>
          <w:sz w:val="22"/>
          <w:szCs w:val="22"/>
        </w:rPr>
        <w:t xml:space="preserve"> monitoring the progress of </w:t>
      </w:r>
      <w:r w:rsidR="006E7E8F" w:rsidRPr="005F120D">
        <w:rPr>
          <w:rFonts w:asciiTheme="minorHAnsi" w:hAnsiTheme="minorHAnsi" w:cstheme="minorHAnsi"/>
          <w:b w:val="0"/>
          <w:sz w:val="22"/>
          <w:szCs w:val="22"/>
        </w:rPr>
        <w:t>primary education sub-</w:t>
      </w:r>
      <w:r w:rsidR="003E3C9C" w:rsidRPr="005F120D">
        <w:rPr>
          <w:rFonts w:asciiTheme="minorHAnsi" w:hAnsiTheme="minorHAnsi" w:cstheme="minorHAnsi"/>
          <w:b w:val="0"/>
          <w:sz w:val="22"/>
          <w:szCs w:val="22"/>
        </w:rPr>
        <w:t>sector</w:t>
      </w:r>
      <w:r w:rsidR="003E3C9C" w:rsidRPr="005F120D">
        <w:rPr>
          <w:rFonts w:asciiTheme="minorHAnsi" w:hAnsiTheme="minorHAnsi" w:cstheme="minorHAnsi"/>
          <w:b w:val="0"/>
          <w:bCs/>
          <w:iCs/>
          <w:sz w:val="22"/>
          <w:szCs w:val="22"/>
        </w:rPr>
        <w:t>.</w:t>
      </w:r>
    </w:p>
    <w:p w:rsidR="003E3C9C" w:rsidRPr="005F120D" w:rsidRDefault="003E3C9C" w:rsidP="000A5B80">
      <w:pPr>
        <w:pStyle w:val="Heading2NONUM"/>
        <w:spacing w:before="240"/>
        <w:jc w:val="both"/>
        <w:rPr>
          <w:rFonts w:asciiTheme="minorHAnsi" w:hAnsiTheme="minorHAnsi" w:cstheme="minorHAnsi"/>
          <w:color w:val="008000"/>
          <w:sz w:val="22"/>
          <w:szCs w:val="22"/>
        </w:rPr>
      </w:pPr>
      <w:r w:rsidRPr="005F120D">
        <w:rPr>
          <w:rFonts w:asciiTheme="minorHAnsi" w:hAnsiTheme="minorHAnsi" w:cstheme="minorHAnsi"/>
          <w:color w:val="008000"/>
          <w:szCs w:val="22"/>
        </w:rPr>
        <w:t>Result Area 1:  Learning Outcome</w:t>
      </w:r>
    </w:p>
    <w:p w:rsidR="003E3C9C" w:rsidRPr="005F120D" w:rsidRDefault="003E3C9C" w:rsidP="000A5B80">
      <w:pPr>
        <w:autoSpaceDE w:val="0"/>
        <w:autoSpaceDN w:val="0"/>
        <w:adjustRightInd w:val="0"/>
        <w:spacing w:after="120"/>
        <w:jc w:val="both"/>
        <w:rPr>
          <w:rFonts w:asciiTheme="minorHAnsi" w:hAnsiTheme="minorHAnsi" w:cstheme="minorHAnsi"/>
          <w:bCs/>
          <w:szCs w:val="22"/>
        </w:rPr>
      </w:pPr>
      <w:r w:rsidRPr="005F120D">
        <w:rPr>
          <w:rFonts w:asciiTheme="minorHAnsi" w:hAnsiTheme="minorHAnsi" w:cstheme="minorHAnsi"/>
          <w:szCs w:val="22"/>
        </w:rPr>
        <w:t xml:space="preserve">The anticipated outcome of this result area 1 is that all children acquire grade-wise and subject-wise expected learning competencies in the classroom through curriculum revision, improved teaching practices and the provision of textbooks and teaching/learning materials.  </w:t>
      </w:r>
      <w:r w:rsidRPr="005F120D">
        <w:rPr>
          <w:rFonts w:asciiTheme="minorHAnsi" w:hAnsiTheme="minorHAnsi" w:cstheme="minorHAnsi"/>
          <w:bCs/>
          <w:szCs w:val="22"/>
        </w:rPr>
        <w:t>In component 1, there are 6 sub-c</w:t>
      </w:r>
      <w:r w:rsidR="004F636A" w:rsidRPr="005F120D">
        <w:rPr>
          <w:rFonts w:asciiTheme="minorHAnsi" w:hAnsiTheme="minorHAnsi" w:cstheme="minorHAnsi"/>
          <w:bCs/>
          <w:szCs w:val="22"/>
        </w:rPr>
        <w:t>omponents under</w:t>
      </w:r>
      <w:r w:rsidRPr="005F120D">
        <w:rPr>
          <w:rFonts w:asciiTheme="minorHAnsi" w:hAnsiTheme="minorHAnsi" w:cstheme="minorHAnsi"/>
          <w:bCs/>
          <w:szCs w:val="22"/>
        </w:rPr>
        <w:t xml:space="preserve"> Learning Outcomes as follows (in the left side showing the running serial number and right side showing the component serial number).</w:t>
      </w:r>
    </w:p>
    <w:p w:rsidR="003E3C9C" w:rsidRPr="005F120D" w:rsidRDefault="003E3C9C" w:rsidP="000A5B80">
      <w:pPr>
        <w:numPr>
          <w:ilvl w:val="0"/>
          <w:numId w:val="88"/>
        </w:numPr>
        <w:autoSpaceDE w:val="0"/>
        <w:autoSpaceDN w:val="0"/>
        <w:adjustRightInd w:val="0"/>
        <w:spacing w:after="120"/>
        <w:contextualSpacing/>
        <w:jc w:val="both"/>
        <w:rPr>
          <w:rFonts w:asciiTheme="minorHAnsi" w:hAnsiTheme="minorHAnsi" w:cstheme="minorHAnsi"/>
        </w:rPr>
      </w:pPr>
      <w:r w:rsidRPr="005F120D">
        <w:rPr>
          <w:rFonts w:asciiTheme="minorHAnsi" w:hAnsiTheme="minorHAnsi" w:cstheme="minorHAnsi"/>
          <w:b/>
          <w:i/>
          <w:iCs/>
          <w:color w:val="008000"/>
          <w:u w:val="single"/>
        </w:rPr>
        <w:t>Sub-Component 1.1 - Each Child Learns [ECL]:</w:t>
      </w:r>
    </w:p>
    <w:p w:rsidR="004620F5" w:rsidRPr="005F120D" w:rsidRDefault="00E77A41" w:rsidP="000A5B80">
      <w:pPr>
        <w:autoSpaceDE w:val="0"/>
        <w:autoSpaceDN w:val="0"/>
        <w:adjustRightInd w:val="0"/>
        <w:spacing w:after="120"/>
        <w:jc w:val="both"/>
        <w:rPr>
          <w:rFonts w:asciiTheme="minorHAnsi" w:hAnsiTheme="minorHAnsi" w:cstheme="minorHAnsi"/>
          <w:bCs/>
          <w:szCs w:val="22"/>
        </w:rPr>
      </w:pPr>
      <w:r w:rsidRPr="005F120D">
        <w:rPr>
          <w:rFonts w:asciiTheme="minorHAnsi" w:hAnsiTheme="minorHAnsi" w:cstheme="minorHAnsi"/>
        </w:rPr>
        <w:t>ECL is the core</w:t>
      </w:r>
      <w:r w:rsidR="001C3CE9" w:rsidRPr="005F120D">
        <w:rPr>
          <w:rFonts w:asciiTheme="minorHAnsi" w:hAnsiTheme="minorHAnsi" w:cstheme="minorHAnsi"/>
        </w:rPr>
        <w:t xml:space="preserve"> initiative of PEDP3. Its aim is to </w:t>
      </w:r>
      <w:r w:rsidR="00747FEB" w:rsidRPr="005F120D">
        <w:rPr>
          <w:rFonts w:asciiTheme="minorHAnsi" w:hAnsiTheme="minorHAnsi" w:cstheme="minorHAnsi"/>
          <w:szCs w:val="22"/>
        </w:rPr>
        <w:t xml:space="preserve">transform </w:t>
      </w:r>
      <w:r w:rsidRPr="005F120D">
        <w:rPr>
          <w:rFonts w:asciiTheme="minorHAnsi" w:hAnsiTheme="minorHAnsi" w:cstheme="minorHAnsi"/>
          <w:szCs w:val="22"/>
        </w:rPr>
        <w:t xml:space="preserve">the </w:t>
      </w:r>
      <w:r w:rsidR="001C3CE9" w:rsidRPr="005F120D">
        <w:rPr>
          <w:rFonts w:asciiTheme="minorHAnsi" w:hAnsiTheme="minorHAnsi" w:cstheme="minorHAnsi"/>
          <w:szCs w:val="22"/>
        </w:rPr>
        <w:t>pedagogical methods used by teachers</w:t>
      </w:r>
      <w:r w:rsidRPr="005F120D">
        <w:rPr>
          <w:rFonts w:asciiTheme="minorHAnsi" w:hAnsiTheme="minorHAnsi" w:cstheme="minorHAnsi"/>
          <w:szCs w:val="22"/>
        </w:rPr>
        <w:t xml:space="preserve"> and to </w:t>
      </w:r>
      <w:r w:rsidR="001C3CE9" w:rsidRPr="005F120D">
        <w:rPr>
          <w:rFonts w:asciiTheme="minorHAnsi" w:hAnsiTheme="minorHAnsi" w:cstheme="minorHAnsi"/>
        </w:rPr>
        <w:t>establish a better mechanism to make teachers responsible for e</w:t>
      </w:r>
      <w:r w:rsidR="006C3FF3" w:rsidRPr="005F120D">
        <w:rPr>
          <w:rFonts w:asciiTheme="minorHAnsi" w:hAnsiTheme="minorHAnsi" w:cstheme="minorHAnsi"/>
        </w:rPr>
        <w:t xml:space="preserve">ach child’s learning, thereby </w:t>
      </w:r>
      <w:r w:rsidR="00747FEB" w:rsidRPr="005F120D">
        <w:rPr>
          <w:rFonts w:asciiTheme="minorHAnsi" w:hAnsiTheme="minorHAnsi" w:cstheme="minorHAnsi"/>
        </w:rPr>
        <w:t>improving, student</w:t>
      </w:r>
      <w:r w:rsidR="001C3CE9" w:rsidRPr="005F120D">
        <w:rPr>
          <w:rFonts w:asciiTheme="minorHAnsi" w:hAnsiTheme="minorHAnsi" w:cstheme="minorHAnsi"/>
        </w:rPr>
        <w:t>, cl</w:t>
      </w:r>
      <w:r w:rsidR="00747FEB" w:rsidRPr="005F120D">
        <w:rPr>
          <w:rFonts w:asciiTheme="minorHAnsi" w:hAnsiTheme="minorHAnsi" w:cstheme="minorHAnsi"/>
        </w:rPr>
        <w:t>assroom</w:t>
      </w:r>
      <w:r w:rsidR="001C3CE9" w:rsidRPr="005F120D">
        <w:rPr>
          <w:rFonts w:asciiTheme="minorHAnsi" w:hAnsiTheme="minorHAnsi" w:cstheme="minorHAnsi"/>
        </w:rPr>
        <w:t xml:space="preserve"> and </w:t>
      </w:r>
      <w:r w:rsidR="00747FEB" w:rsidRPr="005F120D">
        <w:rPr>
          <w:rFonts w:asciiTheme="minorHAnsi" w:hAnsiTheme="minorHAnsi" w:cstheme="minorHAnsi"/>
        </w:rPr>
        <w:t xml:space="preserve">overall </w:t>
      </w:r>
      <w:r w:rsidR="001C3CE9" w:rsidRPr="005F120D">
        <w:rPr>
          <w:rFonts w:asciiTheme="minorHAnsi" w:hAnsiTheme="minorHAnsi" w:cstheme="minorHAnsi"/>
        </w:rPr>
        <w:t xml:space="preserve">school performance. Table 1.1 summarizes the physical and financial progress as of June 2015. The total </w:t>
      </w:r>
      <w:r w:rsidR="001C3CE9" w:rsidRPr="005F120D">
        <w:rPr>
          <w:rFonts w:asciiTheme="minorHAnsi" w:hAnsiTheme="minorHAnsi" w:cstheme="minorHAnsi"/>
          <w:bCs/>
        </w:rPr>
        <w:t>original cost, as per DPP, was Tk. 10,720.00 Lac and the revised cost as per RDPP is Tk. 9,047.20 Lac</w:t>
      </w:r>
      <w:r w:rsidR="004620F5" w:rsidRPr="005F120D">
        <w:rPr>
          <w:rFonts w:asciiTheme="minorHAnsi" w:hAnsiTheme="minorHAnsi" w:cstheme="minorHAnsi"/>
          <w:bCs/>
          <w:szCs w:val="22"/>
        </w:rPr>
        <w:t>.</w:t>
      </w:r>
    </w:p>
    <w:p w:rsidR="0088483F" w:rsidRPr="005F120D" w:rsidRDefault="00683561" w:rsidP="000A5B80">
      <w:pPr>
        <w:pStyle w:val="Caption"/>
        <w:spacing w:after="120"/>
        <w:rPr>
          <w:rFonts w:cstheme="minorHAnsi"/>
        </w:rPr>
      </w:pPr>
      <w:bookmarkStart w:id="77" w:name="_Toc462837228"/>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88483F" w:rsidRPr="005F120D">
        <w:rPr>
          <w:rFonts w:cstheme="minorHAnsi"/>
        </w:rPr>
        <w:t>: Each Child Learns</w:t>
      </w:r>
      <w:r w:rsidR="00EA120C" w:rsidRPr="005F120D">
        <w:rPr>
          <w:rFonts w:cstheme="minorHAnsi"/>
        </w:rPr>
        <w:t>:</w:t>
      </w:r>
      <w:r w:rsidR="00072DB3">
        <w:rPr>
          <w:rFonts w:cstheme="minorHAnsi"/>
        </w:rPr>
        <w:t xml:space="preserve"> </w:t>
      </w:r>
      <w:r w:rsidR="00C27B1A" w:rsidRPr="005F120D">
        <w:rPr>
          <w:rFonts w:cstheme="minorHAnsi"/>
        </w:rPr>
        <w:t>Cost and Expenditure as of June 2015</w:t>
      </w:r>
      <w:bookmarkEnd w:id="77"/>
    </w:p>
    <w:p w:rsidR="0088483F" w:rsidRPr="005F120D" w:rsidRDefault="0088483F" w:rsidP="000A5B80">
      <w:pPr>
        <w:autoSpaceDE w:val="0"/>
        <w:autoSpaceDN w:val="0"/>
        <w:adjustRightInd w:val="0"/>
        <w:spacing w:after="0"/>
        <w:jc w:val="right"/>
        <w:rPr>
          <w:rFonts w:asciiTheme="minorHAnsi" w:hAnsiTheme="minorHAnsi" w:cstheme="minorHAnsi"/>
          <w:b/>
          <w:bCs/>
          <w:sz w:val="18"/>
          <w:szCs w:val="18"/>
        </w:rPr>
      </w:pPr>
      <w:r w:rsidRPr="005F120D">
        <w:rPr>
          <w:rFonts w:asciiTheme="minorHAnsi" w:hAnsiTheme="minorHAnsi" w:cstheme="minorHAnsi"/>
          <w:b/>
          <w:i/>
          <w:iCs/>
          <w:sz w:val="18"/>
          <w:szCs w:val="18"/>
        </w:rPr>
        <w:t xml:space="preserve">Cost In </w:t>
      </w:r>
      <w:r w:rsidR="00F738CE" w:rsidRPr="005F120D">
        <w:rPr>
          <w:rFonts w:asciiTheme="minorHAnsi" w:hAnsiTheme="minorHAnsi" w:cstheme="minorHAnsi"/>
          <w:b/>
          <w:i/>
          <w:iCs/>
          <w:sz w:val="18"/>
          <w:szCs w:val="18"/>
        </w:rPr>
        <w:t>Lac</w:t>
      </w:r>
      <w:r w:rsidRPr="005F120D">
        <w:rPr>
          <w:rFonts w:asciiTheme="minorHAnsi" w:hAnsiTheme="minorHAnsi" w:cstheme="minorHAnsi"/>
          <w:b/>
          <w:i/>
          <w:iCs/>
          <w:sz w:val="18"/>
          <w:szCs w:val="18"/>
        </w:rPr>
        <w:t xml:space="preserve"> Taka</w:t>
      </w:r>
    </w:p>
    <w:tbl>
      <w:tblPr>
        <w:tblW w:w="5000"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CellMar>
          <w:left w:w="0" w:type="dxa"/>
          <w:right w:w="0" w:type="dxa"/>
        </w:tblCellMar>
        <w:tblLook w:val="04A0"/>
      </w:tblPr>
      <w:tblGrid>
        <w:gridCol w:w="1276"/>
        <w:gridCol w:w="858"/>
        <w:gridCol w:w="948"/>
        <w:gridCol w:w="972"/>
        <w:gridCol w:w="924"/>
        <w:gridCol w:w="858"/>
        <w:gridCol w:w="937"/>
        <w:gridCol w:w="1224"/>
        <w:gridCol w:w="1246"/>
      </w:tblGrid>
      <w:tr w:rsidR="00F36795" w:rsidRPr="005F120D" w:rsidTr="003868FA">
        <w:trPr>
          <w:trHeight w:val="446"/>
        </w:trPr>
        <w:tc>
          <w:tcPr>
            <w:tcW w:w="690" w:type="pct"/>
            <w:vMerge w:val="restart"/>
            <w:tcBorders>
              <w:top w:val="double" w:sz="4"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shd w:val="clear" w:color="auto" w:fill="B6DDE8" w:themeFill="accent5" w:themeFillTint="66"/>
            <w:tcMar>
              <w:top w:w="10" w:type="dxa"/>
              <w:left w:w="108" w:type="dxa"/>
              <w:bottom w:w="0" w:type="dxa"/>
              <w:right w:w="108" w:type="dxa"/>
            </w:tcMar>
            <w:hideMark/>
          </w:tcPr>
          <w:p w:rsidR="00F36795" w:rsidRPr="005F120D" w:rsidRDefault="0007416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 xml:space="preserve">Key </w:t>
            </w:r>
            <w:r w:rsidR="00F36795" w:rsidRPr="005F120D">
              <w:rPr>
                <w:rFonts w:asciiTheme="minorHAnsi" w:hAnsiTheme="minorHAnsi" w:cstheme="minorHAnsi"/>
                <w:sz w:val="16"/>
                <w:szCs w:val="16"/>
              </w:rPr>
              <w:t>Activity</w:t>
            </w:r>
          </w:p>
        </w:tc>
        <w:tc>
          <w:tcPr>
            <w:tcW w:w="977" w:type="pct"/>
            <w:gridSpan w:val="2"/>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Mar>
              <w:top w:w="10" w:type="dxa"/>
              <w:left w:w="108" w:type="dxa"/>
              <w:bottom w:w="0" w:type="dxa"/>
              <w:right w:w="108" w:type="dxa"/>
            </w:tcMa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2011 to 2016)</w:t>
            </w:r>
          </w:p>
        </w:tc>
        <w:tc>
          <w:tcPr>
            <w:tcW w:w="1026" w:type="pct"/>
            <w:gridSpan w:val="2"/>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Mar>
              <w:top w:w="10" w:type="dxa"/>
              <w:left w:w="108" w:type="dxa"/>
              <w:bottom w:w="0" w:type="dxa"/>
              <w:right w:w="108" w:type="dxa"/>
            </w:tcMa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2011 to 2017)</w:t>
            </w:r>
          </w:p>
        </w:tc>
        <w:tc>
          <w:tcPr>
            <w:tcW w:w="971" w:type="pct"/>
            <w:gridSpan w:val="2"/>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Mar>
              <w:top w:w="10" w:type="dxa"/>
              <w:left w:w="108" w:type="dxa"/>
              <w:bottom w:w="0" w:type="dxa"/>
              <w:right w:w="108" w:type="dxa"/>
            </w:tcMar>
            <w:hideMark/>
          </w:tcPr>
          <w:p w:rsidR="00F36795" w:rsidRPr="005F120D" w:rsidRDefault="0064464F" w:rsidP="0064464F">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Progress</w:t>
            </w:r>
            <w:r w:rsidR="00072DB3">
              <w:rPr>
                <w:rFonts w:asciiTheme="minorHAnsi" w:hAnsiTheme="minorHAnsi" w:cstheme="minorHAnsi"/>
                <w:sz w:val="16"/>
                <w:szCs w:val="16"/>
              </w:rPr>
              <w:t xml:space="preserve"> </w:t>
            </w:r>
            <w:r w:rsidRPr="005F120D">
              <w:rPr>
                <w:rFonts w:asciiTheme="minorHAnsi" w:hAnsiTheme="minorHAnsi" w:cstheme="minorHAnsi"/>
                <w:sz w:val="16"/>
                <w:szCs w:val="16"/>
              </w:rPr>
              <w:t>as of</w:t>
            </w:r>
            <w:r w:rsidR="00F36795" w:rsidRPr="005F120D">
              <w:rPr>
                <w:rFonts w:asciiTheme="minorHAnsi" w:hAnsiTheme="minorHAnsi" w:cstheme="minorHAnsi"/>
                <w:sz w:val="16"/>
                <w:szCs w:val="16"/>
              </w:rPr>
              <w:t xml:space="preserve"> June 2015</w:t>
            </w:r>
          </w:p>
        </w:tc>
        <w:tc>
          <w:tcPr>
            <w:tcW w:w="662" w:type="pct"/>
            <w:vMerge w:val="restar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Unspent as of June 2015/ as % of RDPP cost</w:t>
            </w:r>
          </w:p>
        </w:tc>
        <w:tc>
          <w:tcPr>
            <w:tcW w:w="674" w:type="pct"/>
            <w:vMerge w:val="restar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Mar>
              <w:top w:w="10" w:type="dxa"/>
              <w:left w:w="108" w:type="dxa"/>
              <w:bottom w:w="0" w:type="dxa"/>
              <w:right w:w="108" w:type="dxa"/>
            </w:tcMa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Remarks</w:t>
            </w:r>
          </w:p>
        </w:tc>
      </w:tr>
      <w:tr w:rsidR="00F36795" w:rsidRPr="005F120D" w:rsidTr="003868FA">
        <w:trPr>
          <w:trHeight w:val="230"/>
        </w:trPr>
        <w:tc>
          <w:tcPr>
            <w:tcW w:w="690" w:type="pct"/>
            <w:vMerge/>
            <w:tcBorders>
              <w:top w:val="single" w:sz="6"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p>
        </w:tc>
        <w:tc>
          <w:tcPr>
            <w:tcW w:w="464"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Mar>
              <w:top w:w="10" w:type="dxa"/>
              <w:left w:w="108" w:type="dxa"/>
              <w:bottom w:w="0" w:type="dxa"/>
              <w:right w:w="108" w:type="dxa"/>
            </w:tcMar>
            <w:vAlign w:val="center"/>
            <w:hideMark/>
          </w:tcPr>
          <w:p w:rsidR="00F36795" w:rsidRPr="005F120D" w:rsidRDefault="00F36795"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1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26"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Mar>
              <w:top w:w="10" w:type="dxa"/>
              <w:left w:w="108" w:type="dxa"/>
              <w:bottom w:w="0" w:type="dxa"/>
              <w:right w:w="108" w:type="dxa"/>
            </w:tcMar>
            <w:vAlign w:val="center"/>
            <w:hideMark/>
          </w:tcPr>
          <w:p w:rsidR="00F36795" w:rsidRPr="005F120D" w:rsidRDefault="00F36795"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00"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64"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Mar>
              <w:top w:w="10" w:type="dxa"/>
              <w:left w:w="108" w:type="dxa"/>
              <w:bottom w:w="0" w:type="dxa"/>
              <w:right w:w="108" w:type="dxa"/>
            </w:tcMar>
            <w:vAlign w:val="center"/>
            <w:hideMark/>
          </w:tcPr>
          <w:p w:rsidR="00F36795" w:rsidRPr="005F120D" w:rsidRDefault="00F36795"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07"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62" w:type="pct"/>
            <w:vMerge/>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p>
        </w:tc>
        <w:tc>
          <w:tcPr>
            <w:tcW w:w="674" w:type="pct"/>
            <w:vMerge/>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p>
        </w:tc>
      </w:tr>
      <w:tr w:rsidR="00F36795" w:rsidRPr="005F120D" w:rsidTr="003868FA">
        <w:trPr>
          <w:trHeight w:val="221"/>
        </w:trPr>
        <w:tc>
          <w:tcPr>
            <w:tcW w:w="690" w:type="pct"/>
            <w:tcBorders>
              <w:top w:val="double" w:sz="4"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1. Stud</w:t>
            </w:r>
            <w:r w:rsidR="00980797" w:rsidRPr="005F120D">
              <w:rPr>
                <w:rFonts w:asciiTheme="minorHAnsi" w:hAnsiTheme="minorHAnsi" w:cstheme="minorHAnsi"/>
                <w:bCs/>
                <w:sz w:val="16"/>
                <w:szCs w:val="16"/>
              </w:rPr>
              <w:t>y</w:t>
            </w:r>
          </w:p>
        </w:tc>
        <w:tc>
          <w:tcPr>
            <w:tcW w:w="464" w:type="pct"/>
            <w:tcBorders>
              <w:top w:val="double" w:sz="4"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w:t>
            </w:r>
          </w:p>
        </w:tc>
        <w:tc>
          <w:tcPr>
            <w:tcW w:w="513" w:type="pct"/>
            <w:tcBorders>
              <w:top w:val="double" w:sz="4"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0.00</w:t>
            </w:r>
          </w:p>
        </w:tc>
        <w:tc>
          <w:tcPr>
            <w:tcW w:w="526" w:type="pct"/>
            <w:tcBorders>
              <w:top w:val="double" w:sz="4"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w:t>
            </w:r>
          </w:p>
        </w:tc>
        <w:tc>
          <w:tcPr>
            <w:tcW w:w="500" w:type="pct"/>
            <w:tcBorders>
              <w:top w:val="double" w:sz="4"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241.11</w:t>
            </w:r>
          </w:p>
        </w:tc>
        <w:tc>
          <w:tcPr>
            <w:tcW w:w="464" w:type="pct"/>
            <w:tcBorders>
              <w:top w:val="double" w:sz="4"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3</w:t>
            </w:r>
          </w:p>
        </w:tc>
        <w:tc>
          <w:tcPr>
            <w:tcW w:w="507" w:type="pct"/>
            <w:tcBorders>
              <w:top w:val="double" w:sz="4" w:space="0" w:color="31849B" w:themeColor="accent5" w:themeShade="BF"/>
              <w:bottom w:val="single" w:sz="6" w:space="0" w:color="31849B" w:themeColor="accent5" w:themeShade="BF"/>
              <w:right w:val="double" w:sz="4" w:space="0" w:color="31849B" w:themeColor="accent5" w:themeShade="BF"/>
            </w:tcBorders>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110.00</w:t>
            </w:r>
          </w:p>
        </w:tc>
        <w:tc>
          <w:tcPr>
            <w:tcW w:w="662" w:type="pct"/>
            <w:tcBorders>
              <w:top w:val="double" w:sz="4"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131.11</w:t>
            </w:r>
          </w:p>
        </w:tc>
        <w:tc>
          <w:tcPr>
            <w:tcW w:w="674" w:type="pct"/>
            <w:tcBorders>
              <w:top w:val="double" w:sz="4" w:space="0" w:color="31849B" w:themeColor="accent5" w:themeShade="BF"/>
              <w:left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p>
        </w:tc>
      </w:tr>
      <w:tr w:rsidR="00F36795" w:rsidRPr="005F120D" w:rsidTr="003868FA">
        <w:trPr>
          <w:trHeight w:val="203"/>
        </w:trPr>
        <w:tc>
          <w:tcPr>
            <w:tcW w:w="690"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2. Workshop</w:t>
            </w:r>
          </w:p>
        </w:tc>
        <w:tc>
          <w:tcPr>
            <w:tcW w:w="46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25</w:t>
            </w:r>
          </w:p>
        </w:tc>
        <w:tc>
          <w:tcPr>
            <w:tcW w:w="51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0.00</w:t>
            </w:r>
          </w:p>
        </w:tc>
        <w:tc>
          <w:tcPr>
            <w:tcW w:w="526"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w:t>
            </w:r>
          </w:p>
        </w:tc>
        <w:tc>
          <w:tcPr>
            <w:tcW w:w="500"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46.99</w:t>
            </w:r>
          </w:p>
        </w:tc>
        <w:tc>
          <w:tcPr>
            <w:tcW w:w="46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16</w:t>
            </w:r>
          </w:p>
        </w:tc>
        <w:tc>
          <w:tcPr>
            <w:tcW w:w="507"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17.00</w:t>
            </w:r>
          </w:p>
        </w:tc>
        <w:tc>
          <w:tcPr>
            <w:tcW w:w="662"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29.99</w:t>
            </w:r>
          </w:p>
        </w:tc>
        <w:tc>
          <w:tcPr>
            <w:tcW w:w="674" w:type="pct"/>
            <w:tcBorders>
              <w:left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rPr>
                <w:rFonts w:asciiTheme="minorHAnsi" w:hAnsiTheme="minorHAnsi" w:cstheme="minorHAnsi"/>
                <w:bCs/>
                <w:sz w:val="16"/>
                <w:szCs w:val="16"/>
              </w:rPr>
            </w:pPr>
          </w:p>
        </w:tc>
      </w:tr>
      <w:tr w:rsidR="00F36795" w:rsidRPr="005F120D" w:rsidTr="003868FA">
        <w:trPr>
          <w:trHeight w:val="317"/>
        </w:trPr>
        <w:tc>
          <w:tcPr>
            <w:tcW w:w="690" w:type="pct"/>
            <w:vMerge w:val="restart"/>
            <w:tcBorders>
              <w:top w:val="single" w:sz="6" w:space="0" w:color="31849B" w:themeColor="accent5" w:themeShade="BF"/>
              <w:left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3. ECL Pilot Program</w:t>
            </w:r>
            <w:r w:rsidR="00980797" w:rsidRPr="005F120D">
              <w:rPr>
                <w:rFonts w:asciiTheme="minorHAnsi" w:hAnsiTheme="minorHAnsi" w:cstheme="minorHAnsi"/>
                <w:bCs/>
                <w:sz w:val="16"/>
                <w:szCs w:val="16"/>
              </w:rPr>
              <w:t xml:space="preserve"> at 75 upazilas</w:t>
            </w:r>
          </w:p>
        </w:tc>
        <w:tc>
          <w:tcPr>
            <w:tcW w:w="46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Block</w:t>
            </w:r>
          </w:p>
        </w:tc>
        <w:tc>
          <w:tcPr>
            <w:tcW w:w="51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720.00</w:t>
            </w:r>
          </w:p>
        </w:tc>
        <w:tc>
          <w:tcPr>
            <w:tcW w:w="526"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E61D46"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ECL Exp.  1,500 sch</w:t>
            </w:r>
          </w:p>
        </w:tc>
        <w:tc>
          <w:tcPr>
            <w:tcW w:w="500"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2,414.60</w:t>
            </w:r>
          </w:p>
        </w:tc>
        <w:tc>
          <w:tcPr>
            <w:tcW w:w="46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1,060 schools</w:t>
            </w:r>
          </w:p>
        </w:tc>
        <w:tc>
          <w:tcPr>
            <w:tcW w:w="507"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1097.98</w:t>
            </w:r>
          </w:p>
        </w:tc>
        <w:tc>
          <w:tcPr>
            <w:tcW w:w="662"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1316.62</w:t>
            </w:r>
          </w:p>
        </w:tc>
        <w:tc>
          <w:tcPr>
            <w:tcW w:w="674" w:type="pct"/>
            <w:tcBorders>
              <w:left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rPr>
                <w:rFonts w:asciiTheme="minorHAnsi" w:hAnsiTheme="minorHAnsi" w:cstheme="minorHAnsi"/>
                <w:bCs/>
                <w:sz w:val="16"/>
                <w:szCs w:val="16"/>
              </w:rPr>
            </w:pPr>
          </w:p>
        </w:tc>
      </w:tr>
      <w:tr w:rsidR="00F36795" w:rsidRPr="005F120D" w:rsidTr="003868FA">
        <w:trPr>
          <w:trHeight w:val="203"/>
        </w:trPr>
        <w:tc>
          <w:tcPr>
            <w:tcW w:w="690" w:type="pct"/>
            <w:vMerge/>
            <w:tcBorders>
              <w:left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rPr>
                <w:rFonts w:asciiTheme="minorHAnsi" w:hAnsiTheme="minorHAnsi" w:cstheme="minorHAnsi"/>
                <w:bCs/>
                <w:sz w:val="16"/>
                <w:szCs w:val="16"/>
              </w:rPr>
            </w:pPr>
          </w:p>
        </w:tc>
        <w:tc>
          <w:tcPr>
            <w:tcW w:w="46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w:t>
            </w:r>
          </w:p>
        </w:tc>
        <w:tc>
          <w:tcPr>
            <w:tcW w:w="51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0.00</w:t>
            </w:r>
          </w:p>
        </w:tc>
        <w:tc>
          <w:tcPr>
            <w:tcW w:w="526"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w:t>
            </w:r>
          </w:p>
        </w:tc>
        <w:tc>
          <w:tcPr>
            <w:tcW w:w="500"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570.70</w:t>
            </w:r>
          </w:p>
        </w:tc>
        <w:tc>
          <w:tcPr>
            <w:tcW w:w="46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p>
        </w:tc>
        <w:tc>
          <w:tcPr>
            <w:tcW w:w="507"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226.04</w:t>
            </w:r>
          </w:p>
        </w:tc>
        <w:tc>
          <w:tcPr>
            <w:tcW w:w="662"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344.66</w:t>
            </w:r>
          </w:p>
        </w:tc>
        <w:tc>
          <w:tcPr>
            <w:tcW w:w="674" w:type="pct"/>
            <w:tcBorders>
              <w:left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hideMark/>
          </w:tcPr>
          <w:p w:rsidR="00F36795" w:rsidRPr="005F120D" w:rsidRDefault="00CF06D4" w:rsidP="000A5B80">
            <w:pPr>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Unicef funded</w:t>
            </w:r>
          </w:p>
        </w:tc>
      </w:tr>
      <w:tr w:rsidR="00F36795" w:rsidRPr="005F120D" w:rsidTr="003868FA">
        <w:trPr>
          <w:trHeight w:val="240"/>
        </w:trPr>
        <w:tc>
          <w:tcPr>
            <w:tcW w:w="690" w:type="pct"/>
            <w:vMerge/>
            <w:tcBorders>
              <w:left w:val="double" w:sz="4"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rPr>
                <w:rFonts w:asciiTheme="minorHAnsi" w:hAnsiTheme="minorHAnsi" w:cstheme="minorHAnsi"/>
                <w:bCs/>
                <w:sz w:val="16"/>
                <w:szCs w:val="16"/>
              </w:rPr>
            </w:pPr>
          </w:p>
        </w:tc>
        <w:tc>
          <w:tcPr>
            <w:tcW w:w="46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w:t>
            </w:r>
          </w:p>
        </w:tc>
        <w:tc>
          <w:tcPr>
            <w:tcW w:w="51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0.00</w:t>
            </w:r>
          </w:p>
        </w:tc>
        <w:tc>
          <w:tcPr>
            <w:tcW w:w="526"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w:t>
            </w:r>
          </w:p>
        </w:tc>
        <w:tc>
          <w:tcPr>
            <w:tcW w:w="500"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201.00</w:t>
            </w:r>
          </w:p>
        </w:tc>
        <w:tc>
          <w:tcPr>
            <w:tcW w:w="46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p>
        </w:tc>
        <w:tc>
          <w:tcPr>
            <w:tcW w:w="507"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201.00</w:t>
            </w:r>
          </w:p>
        </w:tc>
        <w:tc>
          <w:tcPr>
            <w:tcW w:w="662"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674" w:type="pct"/>
            <w:tcBorders>
              <w:left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CF06D4" w:rsidP="000A5B80">
            <w:pPr>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Unicef funded</w:t>
            </w:r>
          </w:p>
        </w:tc>
      </w:tr>
      <w:tr w:rsidR="00F36795" w:rsidRPr="005F120D" w:rsidTr="003868FA">
        <w:trPr>
          <w:trHeight w:val="101"/>
        </w:trPr>
        <w:tc>
          <w:tcPr>
            <w:tcW w:w="690" w:type="pct"/>
            <w:tcBorders>
              <w:top w:val="single" w:sz="6"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4. TLM for ECL</w:t>
            </w:r>
          </w:p>
        </w:tc>
        <w:tc>
          <w:tcPr>
            <w:tcW w:w="464"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Block</w:t>
            </w:r>
          </w:p>
        </w:tc>
        <w:tc>
          <w:tcPr>
            <w:tcW w:w="513" w:type="pct"/>
            <w:tcBorders>
              <w:top w:val="single" w:sz="6" w:space="0" w:color="31849B" w:themeColor="accent5" w:themeShade="BF"/>
              <w:bottom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10,000.00</w:t>
            </w:r>
          </w:p>
        </w:tc>
        <w:tc>
          <w:tcPr>
            <w:tcW w:w="526"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Block</w:t>
            </w:r>
          </w:p>
        </w:tc>
        <w:tc>
          <w:tcPr>
            <w:tcW w:w="500" w:type="pct"/>
            <w:tcBorders>
              <w:top w:val="single" w:sz="6" w:space="0" w:color="31849B" w:themeColor="accent5" w:themeShade="BF"/>
              <w:bottom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5,572.80</w:t>
            </w:r>
          </w:p>
        </w:tc>
        <w:tc>
          <w:tcPr>
            <w:tcW w:w="464"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p>
        </w:tc>
        <w:tc>
          <w:tcPr>
            <w:tcW w:w="507" w:type="pct"/>
            <w:tcBorders>
              <w:top w:val="single" w:sz="6" w:space="0" w:color="31849B" w:themeColor="accent5" w:themeShade="BF"/>
              <w:bottom w:val="double" w:sz="4" w:space="0" w:color="31849B" w:themeColor="accent5" w:themeShade="BF"/>
              <w:right w:val="double" w:sz="4" w:space="0" w:color="31849B" w:themeColor="accent5" w:themeShade="BF"/>
            </w:tcBorders>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144.33</w:t>
            </w:r>
          </w:p>
        </w:tc>
        <w:tc>
          <w:tcPr>
            <w:tcW w:w="662" w:type="pct"/>
            <w:tcBorders>
              <w:top w:val="single" w:sz="6"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vAlign w:val="center"/>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5428.47</w:t>
            </w:r>
          </w:p>
        </w:tc>
        <w:tc>
          <w:tcPr>
            <w:tcW w:w="674" w:type="pct"/>
            <w:tcBorders>
              <w:left w:val="double" w:sz="4" w:space="0" w:color="31849B" w:themeColor="accent5" w:themeShade="BF"/>
              <w:bottom w:val="double" w:sz="4" w:space="0" w:color="31849B" w:themeColor="accent5" w:themeShade="BF"/>
              <w:right w:val="double" w:sz="4" w:space="0" w:color="31849B" w:themeColor="accent5" w:themeShade="BF"/>
            </w:tcBorders>
            <w:shd w:val="clear" w:color="auto" w:fill="auto"/>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p>
        </w:tc>
      </w:tr>
      <w:tr w:rsidR="00F36795" w:rsidRPr="005F120D" w:rsidTr="003868FA">
        <w:trPr>
          <w:trHeight w:val="281"/>
        </w:trPr>
        <w:tc>
          <w:tcPr>
            <w:tcW w:w="690"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Total:</w:t>
            </w:r>
          </w:p>
        </w:tc>
        <w:tc>
          <w:tcPr>
            <w:tcW w:w="464"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
                <w:bCs/>
                <w:sz w:val="16"/>
                <w:szCs w:val="16"/>
              </w:rPr>
            </w:pPr>
          </w:p>
        </w:tc>
        <w:tc>
          <w:tcPr>
            <w:tcW w:w="513"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tcMar>
              <w:top w:w="10" w:type="dxa"/>
              <w:left w:w="108" w:type="dxa"/>
              <w:bottom w:w="0" w:type="dxa"/>
              <w:right w:w="108" w:type="dxa"/>
            </w:tcMar>
            <w:vAlign w:val="center"/>
          </w:tcPr>
          <w:p w:rsidR="00F36795" w:rsidRPr="005F120D" w:rsidRDefault="00F36795"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10,720.00</w:t>
            </w:r>
          </w:p>
        </w:tc>
        <w:tc>
          <w:tcPr>
            <w:tcW w:w="526"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tcMar>
              <w:top w:w="10" w:type="dxa"/>
              <w:left w:w="108" w:type="dxa"/>
              <w:bottom w:w="0" w:type="dxa"/>
              <w:right w:w="108" w:type="dxa"/>
            </w:tcMar>
            <w:vAlign w:val="center"/>
          </w:tcPr>
          <w:p w:rsidR="00F36795" w:rsidRPr="005F120D" w:rsidRDefault="00F36795" w:rsidP="000A5B80">
            <w:pPr>
              <w:spacing w:after="0"/>
              <w:jc w:val="center"/>
              <w:rPr>
                <w:rFonts w:asciiTheme="minorHAnsi" w:hAnsiTheme="minorHAnsi" w:cstheme="minorHAnsi"/>
                <w:b/>
                <w:sz w:val="16"/>
                <w:szCs w:val="16"/>
              </w:rPr>
            </w:pPr>
          </w:p>
        </w:tc>
        <w:tc>
          <w:tcPr>
            <w:tcW w:w="500"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tcMar>
              <w:top w:w="10" w:type="dxa"/>
              <w:left w:w="108" w:type="dxa"/>
              <w:bottom w:w="0" w:type="dxa"/>
              <w:right w:w="108" w:type="dxa"/>
            </w:tcMar>
            <w:vAlign w:val="center"/>
          </w:tcPr>
          <w:p w:rsidR="00F36795" w:rsidRPr="005F120D" w:rsidRDefault="00F36795"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9,047.20</w:t>
            </w:r>
          </w:p>
        </w:tc>
        <w:tc>
          <w:tcPr>
            <w:tcW w:w="464"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
                <w:bCs/>
                <w:sz w:val="16"/>
                <w:szCs w:val="16"/>
              </w:rPr>
            </w:pPr>
          </w:p>
        </w:tc>
        <w:tc>
          <w:tcPr>
            <w:tcW w:w="507"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vAlign w:val="center"/>
          </w:tcPr>
          <w:p w:rsidR="00F36795" w:rsidRPr="005F120D" w:rsidRDefault="00F36795" w:rsidP="000A5B80">
            <w:pPr>
              <w:autoSpaceDE w:val="0"/>
              <w:autoSpaceDN w:val="0"/>
              <w:adjustRightInd w:val="0"/>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1,796.35 (19.9%)</w:t>
            </w:r>
          </w:p>
        </w:tc>
        <w:tc>
          <w:tcPr>
            <w:tcW w:w="662"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vAlign w:val="center"/>
          </w:tcPr>
          <w:p w:rsidR="00F36795" w:rsidRPr="005F120D" w:rsidRDefault="00F36795" w:rsidP="000A5B80">
            <w:pPr>
              <w:autoSpaceDE w:val="0"/>
              <w:autoSpaceDN w:val="0"/>
              <w:adjustRightInd w:val="0"/>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7,250.85 (80.1%)</w:t>
            </w:r>
          </w:p>
        </w:tc>
        <w:tc>
          <w:tcPr>
            <w:tcW w:w="674"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tcMar>
              <w:top w:w="10" w:type="dxa"/>
              <w:left w:w="108" w:type="dxa"/>
              <w:bottom w:w="0" w:type="dxa"/>
              <w:right w:w="108" w:type="dxa"/>
            </w:tcMar>
            <w:vAlign w:val="center"/>
          </w:tcPr>
          <w:p w:rsidR="00F36795" w:rsidRPr="005F120D" w:rsidRDefault="00F36795" w:rsidP="000A5B80">
            <w:pPr>
              <w:autoSpaceDE w:val="0"/>
              <w:autoSpaceDN w:val="0"/>
              <w:adjustRightInd w:val="0"/>
              <w:spacing w:after="0"/>
              <w:jc w:val="center"/>
              <w:rPr>
                <w:rFonts w:asciiTheme="minorHAnsi" w:hAnsiTheme="minorHAnsi" w:cstheme="minorHAnsi"/>
                <w:b/>
                <w:bCs/>
                <w:sz w:val="16"/>
                <w:szCs w:val="16"/>
              </w:rPr>
            </w:pPr>
          </w:p>
        </w:tc>
      </w:tr>
    </w:tbl>
    <w:p w:rsidR="005C2A7A" w:rsidRPr="005F120D" w:rsidRDefault="005C2A7A" w:rsidP="005C2A7A">
      <w:pPr>
        <w:autoSpaceDE w:val="0"/>
        <w:autoSpaceDN w:val="0"/>
        <w:adjustRightInd w:val="0"/>
        <w:spacing w:after="120"/>
        <w:ind w:left="450" w:hanging="360"/>
        <w:jc w:val="both"/>
        <w:rPr>
          <w:rFonts w:asciiTheme="minorHAnsi" w:hAnsiTheme="minorHAnsi" w:cstheme="minorHAnsi"/>
        </w:rPr>
      </w:pPr>
    </w:p>
    <w:p w:rsidR="00C1198E" w:rsidRPr="005F120D" w:rsidRDefault="0088483F" w:rsidP="000A5B80">
      <w:pPr>
        <w:pStyle w:val="ListParagraph"/>
        <w:numPr>
          <w:ilvl w:val="0"/>
          <w:numId w:val="88"/>
        </w:numPr>
        <w:autoSpaceDE w:val="0"/>
        <w:autoSpaceDN w:val="0"/>
        <w:adjustRightInd w:val="0"/>
        <w:spacing w:after="120"/>
        <w:jc w:val="both"/>
        <w:rPr>
          <w:rFonts w:asciiTheme="minorHAnsi" w:hAnsiTheme="minorHAnsi" w:cstheme="minorHAnsi"/>
        </w:rPr>
      </w:pPr>
      <w:r w:rsidRPr="005F120D">
        <w:rPr>
          <w:rFonts w:asciiTheme="minorHAnsi" w:hAnsiTheme="minorHAnsi" w:cstheme="minorHAnsi"/>
          <w:b/>
          <w:i/>
          <w:iCs/>
          <w:color w:val="008000"/>
          <w:u w:val="single"/>
        </w:rPr>
        <w:lastRenderedPageBreak/>
        <w:t>Sub-Component 1.2 - School and Classroom Based Assessment:</w:t>
      </w:r>
    </w:p>
    <w:p w:rsidR="0088483F" w:rsidRPr="005F120D" w:rsidRDefault="001C3CE9" w:rsidP="00C1198E">
      <w:pPr>
        <w:pStyle w:val="ListParagraph"/>
        <w:numPr>
          <w:ilvl w:val="0"/>
          <w:numId w:val="0"/>
        </w:numPr>
        <w:autoSpaceDE w:val="0"/>
        <w:autoSpaceDN w:val="0"/>
        <w:adjustRightInd w:val="0"/>
        <w:spacing w:after="120"/>
        <w:ind w:left="360"/>
        <w:jc w:val="both"/>
        <w:rPr>
          <w:rFonts w:asciiTheme="minorHAnsi" w:hAnsiTheme="minorHAnsi" w:cstheme="minorHAnsi"/>
        </w:rPr>
      </w:pPr>
      <w:r w:rsidRPr="005F120D">
        <w:rPr>
          <w:rFonts w:asciiTheme="minorHAnsi" w:hAnsiTheme="minorHAnsi" w:cstheme="minorHAnsi"/>
          <w:iCs/>
        </w:rPr>
        <w:t>The Introduction of</w:t>
      </w:r>
      <w:r w:rsidRPr="005F120D">
        <w:rPr>
          <w:rFonts w:asciiTheme="minorHAnsi" w:hAnsiTheme="minorHAnsi" w:cstheme="minorHAnsi"/>
        </w:rPr>
        <w:t xml:space="preserve"> School-Based Assessment Tools and Methods, as well as </w:t>
      </w:r>
      <w:r w:rsidR="00747FEB" w:rsidRPr="005F120D">
        <w:rPr>
          <w:rFonts w:asciiTheme="minorHAnsi" w:hAnsiTheme="minorHAnsi" w:cstheme="minorHAnsi"/>
        </w:rPr>
        <w:t xml:space="preserve">the provision of </w:t>
      </w:r>
      <w:r w:rsidRPr="005F120D">
        <w:rPr>
          <w:rFonts w:asciiTheme="minorHAnsi" w:hAnsiTheme="minorHAnsi" w:cstheme="minorHAnsi"/>
        </w:rPr>
        <w:t>a Teach</w:t>
      </w:r>
      <w:r w:rsidR="00747FEB" w:rsidRPr="005F120D">
        <w:rPr>
          <w:rFonts w:asciiTheme="minorHAnsi" w:hAnsiTheme="minorHAnsi" w:cstheme="minorHAnsi"/>
        </w:rPr>
        <w:t>er’s Guidebook, and Training of</w:t>
      </w:r>
      <w:r w:rsidRPr="005F120D">
        <w:rPr>
          <w:rFonts w:asciiTheme="minorHAnsi" w:hAnsiTheme="minorHAnsi" w:cstheme="minorHAnsi"/>
        </w:rPr>
        <w:t xml:space="preserve"> Teachers and </w:t>
      </w:r>
      <w:r w:rsidR="003C477D" w:rsidRPr="005F120D">
        <w:rPr>
          <w:rFonts w:asciiTheme="minorHAnsi" w:hAnsiTheme="minorHAnsi" w:cstheme="minorHAnsi"/>
        </w:rPr>
        <w:t>Primary Education Managers are crucial to providing</w:t>
      </w:r>
      <w:r w:rsidRPr="005F120D">
        <w:rPr>
          <w:rFonts w:asciiTheme="minorHAnsi" w:hAnsiTheme="minorHAnsi" w:cstheme="minorHAnsi"/>
        </w:rPr>
        <w:t xml:space="preserve"> students and teachers with feedback on learning outcomes. Table 1.2 summarizes the physical and financial progress as of June 2015. The total </w:t>
      </w:r>
      <w:r w:rsidRPr="005F120D">
        <w:rPr>
          <w:rFonts w:asciiTheme="minorHAnsi" w:hAnsiTheme="minorHAnsi" w:cstheme="minorHAnsi"/>
          <w:bCs/>
        </w:rPr>
        <w:t>original cost as per DPP was Tk. 130.00 Lac and revised cost as per RDPP is Tk. 420.36 Lac</w:t>
      </w:r>
      <w:r w:rsidR="00663477" w:rsidRPr="005F120D">
        <w:rPr>
          <w:rFonts w:asciiTheme="minorHAnsi" w:hAnsiTheme="minorHAnsi" w:cstheme="minorHAnsi"/>
          <w:bCs/>
        </w:rPr>
        <w:t>.</w:t>
      </w:r>
    </w:p>
    <w:p w:rsidR="0088483F" w:rsidRPr="005F120D" w:rsidRDefault="00F36795" w:rsidP="000A5B80">
      <w:pPr>
        <w:pStyle w:val="Caption"/>
        <w:spacing w:before="120" w:after="120"/>
        <w:rPr>
          <w:rFonts w:cstheme="minorHAnsi"/>
          <w:szCs w:val="22"/>
        </w:rPr>
      </w:pPr>
      <w:bookmarkStart w:id="78" w:name="_Toc462837229"/>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7</w:t>
      </w:r>
      <w:r w:rsidR="002E2ED5" w:rsidRPr="005F120D">
        <w:rPr>
          <w:rFonts w:cstheme="minorHAnsi"/>
        </w:rPr>
        <w:fldChar w:fldCharType="end"/>
      </w:r>
      <w:r w:rsidR="0088483F" w:rsidRPr="005F120D">
        <w:rPr>
          <w:rFonts w:cstheme="minorHAnsi"/>
        </w:rPr>
        <w:t>: School and Classroom Based Assessment</w:t>
      </w:r>
      <w:r w:rsidR="00EA120C" w:rsidRPr="005F120D">
        <w:rPr>
          <w:rFonts w:cstheme="minorHAnsi"/>
        </w:rPr>
        <w:t>:</w:t>
      </w:r>
      <w:r w:rsidR="00072DB3">
        <w:rPr>
          <w:rFonts w:cstheme="minorHAnsi"/>
        </w:rPr>
        <w:t xml:space="preserve"> </w:t>
      </w:r>
      <w:r w:rsidR="00C27B1A" w:rsidRPr="005F120D">
        <w:rPr>
          <w:rFonts w:cstheme="minorHAnsi"/>
        </w:rPr>
        <w:t>Cost and Expenditure as of June 2015</w:t>
      </w:r>
      <w:bookmarkEnd w:id="78"/>
    </w:p>
    <w:p w:rsidR="0088483F" w:rsidRPr="005F120D" w:rsidRDefault="0088483F" w:rsidP="000A5B80">
      <w:pPr>
        <w:spacing w:after="0"/>
        <w:ind w:left="720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1504"/>
        <w:gridCol w:w="799"/>
        <w:gridCol w:w="831"/>
        <w:gridCol w:w="1201"/>
        <w:gridCol w:w="827"/>
        <w:gridCol w:w="920"/>
        <w:gridCol w:w="964"/>
        <w:gridCol w:w="1228"/>
        <w:gridCol w:w="969"/>
      </w:tblGrid>
      <w:tr w:rsidR="00F36795" w:rsidRPr="005F120D" w:rsidTr="003868FA">
        <w:trPr>
          <w:tblHeader/>
        </w:trPr>
        <w:tc>
          <w:tcPr>
            <w:tcW w:w="814" w:type="pct"/>
            <w:vMerge w:val="restar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83" w:type="pct"/>
            <w:gridSpan w:val="2"/>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92CDDC" w:themeFill="accent5" w:themeFillTint="99"/>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98" w:type="pct"/>
            <w:gridSpan w:val="2"/>
            <w:tcBorders>
              <w:top w:val="double" w:sz="4" w:space="0" w:color="31849B" w:themeColor="accent5" w:themeShade="BF"/>
              <w:bottom w:val="double" w:sz="4" w:space="0" w:color="31849B" w:themeColor="accent5" w:themeShade="BF"/>
            </w:tcBorders>
            <w:shd w:val="clear" w:color="auto" w:fill="92CDDC" w:themeFill="accent5" w:themeFillTint="99"/>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1016" w:type="pct"/>
            <w:gridSpan w:val="2"/>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F36795"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65" w:type="pct"/>
            <w:vMerge w:val="restar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524" w:type="pct"/>
            <w:vMerge w:val="restar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7B2051" w:rsidRPr="005F120D" w:rsidTr="003868FA">
        <w:trPr>
          <w:tblHeader/>
        </w:trPr>
        <w:tc>
          <w:tcPr>
            <w:tcW w:w="814" w:type="pct"/>
            <w:vMerge/>
            <w:tcBorders>
              <w:top w:val="double" w:sz="4" w:space="0" w:color="31849B" w:themeColor="accent5" w:themeShade="BF"/>
              <w:bottom w:val="double" w:sz="4" w:space="0" w:color="31849B" w:themeColor="accent5" w:themeShade="BF"/>
              <w:right w:val="double" w:sz="4"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p>
        </w:tc>
        <w:tc>
          <w:tcPr>
            <w:tcW w:w="433"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92CDDC" w:themeFill="accent5" w:themeFillTint="99"/>
          </w:tcPr>
          <w:p w:rsidR="00F36795" w:rsidRPr="005F120D" w:rsidRDefault="00F36795"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0"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50"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92CDDC" w:themeFill="accent5" w:themeFillTint="99"/>
          </w:tcPr>
          <w:p w:rsidR="00F36795" w:rsidRPr="005F120D" w:rsidRDefault="00F36795"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48"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94"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B6DDE8" w:themeFill="accent5" w:themeFillTint="66"/>
          </w:tcPr>
          <w:p w:rsidR="00F36795" w:rsidRPr="005F120D" w:rsidRDefault="00F36795" w:rsidP="000A5B80">
            <w:pPr>
              <w:tabs>
                <w:tab w:val="center" w:pos="444"/>
              </w:tabs>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ab/>
              <w:t>Physical</w:t>
            </w:r>
          </w:p>
        </w:tc>
        <w:tc>
          <w:tcPr>
            <w:tcW w:w="522"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65" w:type="pct"/>
            <w:vMerge/>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p>
        </w:tc>
        <w:tc>
          <w:tcPr>
            <w:tcW w:w="524" w:type="pct"/>
            <w:vMerge/>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vAlign w:val="center"/>
          </w:tcPr>
          <w:p w:rsidR="00F36795" w:rsidRPr="005F120D" w:rsidRDefault="00F36795" w:rsidP="000A5B80">
            <w:pPr>
              <w:spacing w:after="0"/>
              <w:jc w:val="center"/>
              <w:rPr>
                <w:rFonts w:asciiTheme="minorHAnsi" w:hAnsiTheme="minorHAnsi" w:cstheme="minorHAnsi"/>
                <w:sz w:val="16"/>
                <w:szCs w:val="16"/>
              </w:rPr>
            </w:pPr>
          </w:p>
        </w:tc>
      </w:tr>
      <w:tr w:rsidR="007B2051" w:rsidRPr="005F120D" w:rsidTr="003868FA">
        <w:tc>
          <w:tcPr>
            <w:tcW w:w="814" w:type="pct"/>
            <w:tcBorders>
              <w:top w:val="double" w:sz="4" w:space="0" w:color="31849B" w:themeColor="accent5" w:themeShade="BF"/>
              <w:right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1. Unicef TA</w:t>
            </w:r>
          </w:p>
        </w:tc>
        <w:tc>
          <w:tcPr>
            <w:tcW w:w="433" w:type="pct"/>
            <w:tcBorders>
              <w:top w:val="double" w:sz="4" w:space="0" w:color="31849B" w:themeColor="accent5" w:themeShade="BF"/>
              <w:left w:val="double" w:sz="4"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w:t>
            </w:r>
          </w:p>
        </w:tc>
        <w:tc>
          <w:tcPr>
            <w:tcW w:w="450" w:type="pct"/>
            <w:tcBorders>
              <w:top w:val="double" w:sz="4" w:space="0" w:color="31849B" w:themeColor="accent5" w:themeShade="BF"/>
              <w:bottom w:val="single" w:sz="6"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50" w:type="pct"/>
            <w:tcBorders>
              <w:top w:val="double" w:sz="4" w:space="0" w:color="31849B" w:themeColor="accent5" w:themeShade="BF"/>
              <w:left w:val="double" w:sz="4"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TA Support</w:t>
            </w:r>
          </w:p>
        </w:tc>
        <w:tc>
          <w:tcPr>
            <w:tcW w:w="448" w:type="pct"/>
            <w:tcBorders>
              <w:top w:val="double" w:sz="4" w:space="0" w:color="31849B" w:themeColor="accent5" w:themeShade="BF"/>
              <w:bottom w:val="single" w:sz="6"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385.36</w:t>
            </w:r>
          </w:p>
        </w:tc>
        <w:tc>
          <w:tcPr>
            <w:tcW w:w="494" w:type="pct"/>
            <w:tcBorders>
              <w:top w:val="double" w:sz="4" w:space="0" w:color="31849B" w:themeColor="accent5" w:themeShade="BF"/>
              <w:left w:val="double" w:sz="4" w:space="0" w:color="31849B" w:themeColor="accent5" w:themeShade="BF"/>
              <w:bottom w:val="single" w:sz="6" w:space="0" w:color="31849B" w:themeColor="accent5" w:themeShade="BF"/>
            </w:tcBorders>
          </w:tcPr>
          <w:p w:rsidR="00F36795" w:rsidRPr="005F120D" w:rsidRDefault="00AD6069" w:rsidP="000A5B80">
            <w:pPr>
              <w:spacing w:after="0"/>
              <w:rPr>
                <w:rFonts w:asciiTheme="minorHAnsi" w:hAnsiTheme="minorHAnsi" w:cstheme="minorHAnsi"/>
                <w:sz w:val="16"/>
                <w:szCs w:val="16"/>
              </w:rPr>
            </w:pPr>
            <w:r w:rsidRPr="005F120D">
              <w:rPr>
                <w:rFonts w:asciiTheme="minorHAnsi" w:hAnsiTheme="minorHAnsi" w:cstheme="minorHAnsi"/>
                <w:sz w:val="16"/>
                <w:szCs w:val="16"/>
              </w:rPr>
              <w:t>SCBA pilot</w:t>
            </w:r>
            <w:r w:rsidR="00F36795" w:rsidRPr="005F120D">
              <w:rPr>
                <w:rFonts w:asciiTheme="minorHAnsi" w:hAnsiTheme="minorHAnsi" w:cstheme="minorHAnsi"/>
                <w:sz w:val="16"/>
                <w:szCs w:val="16"/>
              </w:rPr>
              <w:t>ing</w:t>
            </w:r>
          </w:p>
        </w:tc>
        <w:tc>
          <w:tcPr>
            <w:tcW w:w="522" w:type="pct"/>
            <w:tcBorders>
              <w:top w:val="double" w:sz="4" w:space="0" w:color="31849B" w:themeColor="accent5" w:themeShade="BF"/>
              <w:bottom w:val="single" w:sz="6"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176.64</w:t>
            </w:r>
          </w:p>
        </w:tc>
        <w:tc>
          <w:tcPr>
            <w:tcW w:w="665" w:type="pct"/>
            <w:tcBorders>
              <w:top w:val="double" w:sz="4" w:space="0" w:color="31849B" w:themeColor="accent5" w:themeShade="BF"/>
              <w:left w:val="double" w:sz="4"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208.72</w:t>
            </w:r>
          </w:p>
        </w:tc>
        <w:tc>
          <w:tcPr>
            <w:tcW w:w="524" w:type="pct"/>
            <w:tcBorders>
              <w:top w:val="double" w:sz="4" w:space="0" w:color="31849B" w:themeColor="accent5" w:themeShade="BF"/>
              <w:left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Parallel Fund</w:t>
            </w:r>
          </w:p>
        </w:tc>
      </w:tr>
      <w:tr w:rsidR="007B2051" w:rsidRPr="005F120D" w:rsidTr="003868FA">
        <w:tc>
          <w:tcPr>
            <w:tcW w:w="814" w:type="pct"/>
            <w:tcBorders>
              <w:right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2. Dev. of SBA tools</w:t>
            </w:r>
            <w:r w:rsidR="00590576" w:rsidRPr="005F120D">
              <w:rPr>
                <w:rFonts w:asciiTheme="minorHAnsi" w:hAnsiTheme="minorHAnsi" w:cstheme="minorHAnsi"/>
                <w:sz w:val="16"/>
                <w:szCs w:val="16"/>
              </w:rPr>
              <w:t xml:space="preserve"> and Method</w:t>
            </w:r>
          </w:p>
        </w:tc>
        <w:tc>
          <w:tcPr>
            <w:tcW w:w="433" w:type="pct"/>
            <w:tcBorders>
              <w:top w:val="single" w:sz="6" w:space="0" w:color="31849B" w:themeColor="accent5" w:themeShade="BF"/>
              <w:left w:val="double" w:sz="4"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50" w:type="pct"/>
            <w:tcBorders>
              <w:top w:val="single" w:sz="6" w:space="0" w:color="31849B" w:themeColor="accent5" w:themeShade="BF"/>
              <w:bottom w:val="single" w:sz="6"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15.00</w:t>
            </w:r>
          </w:p>
        </w:tc>
        <w:tc>
          <w:tcPr>
            <w:tcW w:w="650" w:type="pct"/>
            <w:tcBorders>
              <w:top w:val="single" w:sz="6" w:space="0" w:color="31849B" w:themeColor="accent5" w:themeShade="BF"/>
              <w:left w:val="double" w:sz="4"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Tools dev.</w:t>
            </w:r>
          </w:p>
        </w:tc>
        <w:tc>
          <w:tcPr>
            <w:tcW w:w="448" w:type="pct"/>
            <w:tcBorders>
              <w:top w:val="single" w:sz="6" w:space="0" w:color="31849B" w:themeColor="accent5" w:themeShade="BF"/>
              <w:bottom w:val="single" w:sz="6"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15.00</w:t>
            </w:r>
          </w:p>
        </w:tc>
        <w:tc>
          <w:tcPr>
            <w:tcW w:w="494" w:type="pct"/>
            <w:tcBorders>
              <w:top w:val="single" w:sz="6" w:space="0" w:color="31849B" w:themeColor="accent5" w:themeShade="BF"/>
              <w:left w:val="double" w:sz="4"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22" w:type="pct"/>
            <w:tcBorders>
              <w:top w:val="single" w:sz="6" w:space="0" w:color="31849B" w:themeColor="accent5" w:themeShade="BF"/>
              <w:bottom w:val="single" w:sz="6"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5" w:type="pct"/>
            <w:tcBorders>
              <w:left w:val="double" w:sz="4"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15.00</w:t>
            </w:r>
          </w:p>
        </w:tc>
        <w:tc>
          <w:tcPr>
            <w:tcW w:w="524" w:type="pct"/>
            <w:tcBorders>
              <w:left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Block allocation</w:t>
            </w:r>
          </w:p>
        </w:tc>
      </w:tr>
      <w:tr w:rsidR="007B2051" w:rsidRPr="005F120D" w:rsidTr="003868FA">
        <w:tc>
          <w:tcPr>
            <w:tcW w:w="814" w:type="pct"/>
            <w:tcBorders>
              <w:right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3. Printing of assessment tools </w:t>
            </w:r>
          </w:p>
        </w:tc>
        <w:tc>
          <w:tcPr>
            <w:tcW w:w="433" w:type="pct"/>
            <w:tcBorders>
              <w:top w:val="single" w:sz="6" w:space="0" w:color="31849B" w:themeColor="accent5" w:themeShade="BF"/>
              <w:left w:val="double" w:sz="4"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50" w:type="pct"/>
            <w:tcBorders>
              <w:top w:val="single" w:sz="6" w:space="0" w:color="31849B" w:themeColor="accent5" w:themeShade="BF"/>
              <w:bottom w:val="single" w:sz="6"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65.00</w:t>
            </w:r>
          </w:p>
        </w:tc>
        <w:tc>
          <w:tcPr>
            <w:tcW w:w="650" w:type="pct"/>
            <w:tcBorders>
              <w:top w:val="single" w:sz="6" w:space="0" w:color="31849B" w:themeColor="accent5" w:themeShade="BF"/>
              <w:left w:val="double" w:sz="4"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Tools printing</w:t>
            </w:r>
          </w:p>
        </w:tc>
        <w:tc>
          <w:tcPr>
            <w:tcW w:w="448" w:type="pct"/>
            <w:tcBorders>
              <w:top w:val="single" w:sz="6" w:space="0" w:color="31849B" w:themeColor="accent5" w:themeShade="BF"/>
              <w:bottom w:val="single" w:sz="6"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10.00</w:t>
            </w:r>
          </w:p>
        </w:tc>
        <w:tc>
          <w:tcPr>
            <w:tcW w:w="494" w:type="pct"/>
            <w:tcBorders>
              <w:top w:val="single" w:sz="6" w:space="0" w:color="31849B" w:themeColor="accent5" w:themeShade="BF"/>
              <w:left w:val="double" w:sz="4"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22" w:type="pct"/>
            <w:tcBorders>
              <w:top w:val="single" w:sz="6" w:space="0" w:color="31849B" w:themeColor="accent5" w:themeShade="BF"/>
              <w:bottom w:val="single" w:sz="6"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5" w:type="pct"/>
            <w:tcBorders>
              <w:left w:val="double" w:sz="4"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10.00</w:t>
            </w:r>
          </w:p>
        </w:tc>
        <w:tc>
          <w:tcPr>
            <w:tcW w:w="524" w:type="pct"/>
            <w:tcBorders>
              <w:left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Block allocation</w:t>
            </w:r>
          </w:p>
        </w:tc>
      </w:tr>
      <w:tr w:rsidR="007B2051" w:rsidRPr="005F120D" w:rsidTr="003868FA">
        <w:tc>
          <w:tcPr>
            <w:tcW w:w="814" w:type="pct"/>
            <w:tcBorders>
              <w:bottom w:val="double" w:sz="4" w:space="0" w:color="31849B" w:themeColor="accent5" w:themeShade="BF"/>
              <w:right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4. School based assessment pilot</w:t>
            </w:r>
          </w:p>
        </w:tc>
        <w:tc>
          <w:tcPr>
            <w:tcW w:w="433" w:type="pct"/>
            <w:tcBorders>
              <w:top w:val="single" w:sz="6" w:space="0" w:color="31849B" w:themeColor="accent5" w:themeShade="BF"/>
              <w:left w:val="double" w:sz="4" w:space="0" w:color="31849B" w:themeColor="accent5" w:themeShade="BF"/>
              <w:bottom w:val="double" w:sz="4"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50" w:type="pct"/>
            <w:tcBorders>
              <w:top w:val="single" w:sz="6" w:space="0" w:color="31849B" w:themeColor="accent5" w:themeShade="BF"/>
              <w:bottom w:val="double" w:sz="4"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w:t>
            </w:r>
          </w:p>
        </w:tc>
        <w:tc>
          <w:tcPr>
            <w:tcW w:w="650" w:type="pct"/>
            <w:tcBorders>
              <w:top w:val="single" w:sz="6" w:space="0" w:color="31849B" w:themeColor="accent5" w:themeShade="BF"/>
              <w:left w:val="double" w:sz="4" w:space="0" w:color="31849B" w:themeColor="accent5" w:themeShade="BF"/>
              <w:bottom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Piloting </w:t>
            </w:r>
            <w:r w:rsidR="00E71C81" w:rsidRPr="005F120D">
              <w:rPr>
                <w:rFonts w:asciiTheme="minorHAnsi" w:hAnsiTheme="minorHAnsi" w:cstheme="minorHAnsi"/>
                <w:sz w:val="16"/>
                <w:szCs w:val="16"/>
              </w:rPr>
              <w:t xml:space="preserve">in </w:t>
            </w:r>
            <w:r w:rsidRPr="005F120D">
              <w:rPr>
                <w:rFonts w:asciiTheme="minorHAnsi" w:hAnsiTheme="minorHAnsi" w:cstheme="minorHAnsi"/>
                <w:sz w:val="16"/>
                <w:szCs w:val="16"/>
              </w:rPr>
              <w:t>100 schools</w:t>
            </w:r>
          </w:p>
        </w:tc>
        <w:tc>
          <w:tcPr>
            <w:tcW w:w="448" w:type="pct"/>
            <w:tcBorders>
              <w:top w:val="single" w:sz="6" w:space="0" w:color="31849B" w:themeColor="accent5" w:themeShade="BF"/>
              <w:bottom w:val="double" w:sz="4"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10.00</w:t>
            </w:r>
          </w:p>
        </w:tc>
        <w:tc>
          <w:tcPr>
            <w:tcW w:w="494" w:type="pct"/>
            <w:tcBorders>
              <w:top w:val="single" w:sz="6" w:space="0" w:color="31849B" w:themeColor="accent5" w:themeShade="BF"/>
              <w:left w:val="double" w:sz="4" w:space="0" w:color="31849B" w:themeColor="accent5" w:themeShade="BF"/>
              <w:bottom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22" w:type="pct"/>
            <w:tcBorders>
              <w:top w:val="single" w:sz="6" w:space="0" w:color="31849B" w:themeColor="accent5" w:themeShade="BF"/>
              <w:bottom w:val="double" w:sz="4"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5"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10.00</w:t>
            </w:r>
          </w:p>
        </w:tc>
        <w:tc>
          <w:tcPr>
            <w:tcW w:w="524" w:type="pct"/>
            <w:tcBorders>
              <w:left w:val="double" w:sz="4" w:space="0" w:color="31849B" w:themeColor="accent5" w:themeShade="BF"/>
              <w:bottom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Block allocation</w:t>
            </w:r>
          </w:p>
        </w:tc>
      </w:tr>
      <w:tr w:rsidR="007B2051" w:rsidRPr="005F120D" w:rsidTr="003868FA">
        <w:tc>
          <w:tcPr>
            <w:tcW w:w="814"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tcPr>
          <w:p w:rsidR="00F36795" w:rsidRPr="005F120D" w:rsidRDefault="00F36795"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33"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tcPr>
          <w:p w:rsidR="00F36795" w:rsidRPr="005F120D" w:rsidRDefault="00F36795" w:rsidP="000A5B80">
            <w:pPr>
              <w:spacing w:after="0"/>
              <w:jc w:val="both"/>
              <w:rPr>
                <w:rFonts w:asciiTheme="minorHAnsi" w:hAnsiTheme="minorHAnsi" w:cstheme="minorHAnsi"/>
                <w:b/>
                <w:sz w:val="16"/>
                <w:szCs w:val="16"/>
              </w:rPr>
            </w:pPr>
          </w:p>
        </w:tc>
        <w:tc>
          <w:tcPr>
            <w:tcW w:w="450"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tcPr>
          <w:p w:rsidR="00F36795" w:rsidRPr="005F120D" w:rsidRDefault="00F36795"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130.00</w:t>
            </w:r>
          </w:p>
        </w:tc>
        <w:tc>
          <w:tcPr>
            <w:tcW w:w="650"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tcPr>
          <w:p w:rsidR="00F36795" w:rsidRPr="005F120D" w:rsidRDefault="00F36795" w:rsidP="000A5B80">
            <w:pPr>
              <w:spacing w:after="0"/>
              <w:jc w:val="both"/>
              <w:rPr>
                <w:rFonts w:asciiTheme="minorHAnsi" w:hAnsiTheme="minorHAnsi" w:cstheme="minorHAnsi"/>
                <w:b/>
                <w:sz w:val="16"/>
                <w:szCs w:val="16"/>
              </w:rPr>
            </w:pPr>
          </w:p>
        </w:tc>
        <w:tc>
          <w:tcPr>
            <w:tcW w:w="448"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tcPr>
          <w:p w:rsidR="00F36795" w:rsidRPr="005F120D" w:rsidRDefault="00F36795"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420.36</w:t>
            </w:r>
          </w:p>
        </w:tc>
        <w:tc>
          <w:tcPr>
            <w:tcW w:w="494"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tcPr>
          <w:p w:rsidR="00F36795" w:rsidRPr="005F120D" w:rsidRDefault="00F36795" w:rsidP="000A5B80">
            <w:pPr>
              <w:spacing w:after="0"/>
              <w:jc w:val="right"/>
              <w:rPr>
                <w:rFonts w:asciiTheme="minorHAnsi" w:hAnsiTheme="minorHAnsi" w:cstheme="minorHAnsi"/>
                <w:b/>
                <w:sz w:val="16"/>
                <w:szCs w:val="16"/>
              </w:rPr>
            </w:pPr>
          </w:p>
        </w:tc>
        <w:tc>
          <w:tcPr>
            <w:tcW w:w="522"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tcPr>
          <w:p w:rsidR="00F36795" w:rsidRPr="005F120D" w:rsidRDefault="00F36795"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176.64 (42%)</w:t>
            </w:r>
          </w:p>
        </w:tc>
        <w:tc>
          <w:tcPr>
            <w:tcW w:w="665"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tcPr>
          <w:p w:rsidR="00F36795" w:rsidRPr="005F120D" w:rsidRDefault="00F36795"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 xml:space="preserve">243.72 </w:t>
            </w:r>
          </w:p>
          <w:p w:rsidR="00F36795" w:rsidRPr="005F120D" w:rsidRDefault="00F36795"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(58%)</w:t>
            </w:r>
          </w:p>
        </w:tc>
        <w:tc>
          <w:tcPr>
            <w:tcW w:w="524"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tcPr>
          <w:p w:rsidR="00F36795" w:rsidRPr="005F120D" w:rsidRDefault="00F36795" w:rsidP="000A5B80">
            <w:pPr>
              <w:spacing w:after="0"/>
              <w:jc w:val="both"/>
              <w:rPr>
                <w:rFonts w:asciiTheme="minorHAnsi" w:hAnsiTheme="minorHAnsi" w:cstheme="minorHAnsi"/>
                <w:sz w:val="16"/>
                <w:szCs w:val="16"/>
              </w:rPr>
            </w:pPr>
          </w:p>
        </w:tc>
      </w:tr>
    </w:tbl>
    <w:p w:rsidR="006F6755" w:rsidRPr="005F120D" w:rsidRDefault="0088483F" w:rsidP="000A5B80">
      <w:pPr>
        <w:pStyle w:val="ListParagraph"/>
        <w:numPr>
          <w:ilvl w:val="0"/>
          <w:numId w:val="88"/>
        </w:numPr>
        <w:autoSpaceDE w:val="0"/>
        <w:autoSpaceDN w:val="0"/>
        <w:adjustRightInd w:val="0"/>
        <w:spacing w:before="240"/>
        <w:jc w:val="both"/>
        <w:rPr>
          <w:rFonts w:asciiTheme="minorHAnsi" w:hAnsiTheme="minorHAnsi" w:cstheme="minorHAnsi"/>
        </w:rPr>
      </w:pPr>
      <w:r w:rsidRPr="005F120D">
        <w:rPr>
          <w:rFonts w:asciiTheme="minorHAnsi" w:hAnsiTheme="minorHAnsi" w:cstheme="minorHAnsi"/>
          <w:b/>
          <w:i/>
          <w:iCs/>
          <w:color w:val="008000"/>
          <w:u w:val="single"/>
        </w:rPr>
        <w:t>Sub-Component 1.3 - Curriculum and Textbooks Strengthened:</w:t>
      </w:r>
    </w:p>
    <w:p w:rsidR="0088483F" w:rsidRPr="005F120D" w:rsidRDefault="00EE4CE0" w:rsidP="000A5B80">
      <w:pPr>
        <w:autoSpaceDE w:val="0"/>
        <w:autoSpaceDN w:val="0"/>
        <w:adjustRightInd w:val="0"/>
        <w:spacing w:before="240"/>
        <w:jc w:val="both"/>
        <w:rPr>
          <w:rFonts w:asciiTheme="minorHAnsi" w:hAnsiTheme="minorHAnsi" w:cstheme="minorHAnsi"/>
        </w:rPr>
      </w:pPr>
      <w:r w:rsidRPr="005F120D">
        <w:rPr>
          <w:rFonts w:asciiTheme="minorHAnsi" w:hAnsiTheme="minorHAnsi" w:cstheme="minorHAnsi"/>
        </w:rPr>
        <w:t>T</w:t>
      </w:r>
      <w:r w:rsidR="001C3CE9" w:rsidRPr="005F120D">
        <w:rPr>
          <w:rFonts w:asciiTheme="minorHAnsi" w:hAnsiTheme="minorHAnsi" w:cstheme="minorHAnsi"/>
        </w:rPr>
        <w:t xml:space="preserve">he Switch from Rote Learning to Competency-Based Learning, </w:t>
      </w:r>
      <w:r w:rsidRPr="005F120D">
        <w:rPr>
          <w:rFonts w:asciiTheme="minorHAnsi" w:hAnsiTheme="minorHAnsi" w:cstheme="minorHAnsi"/>
        </w:rPr>
        <w:t xml:space="preserve">the </w:t>
      </w:r>
      <w:r w:rsidR="001C3CE9" w:rsidRPr="005F120D">
        <w:rPr>
          <w:rFonts w:asciiTheme="minorHAnsi" w:hAnsiTheme="minorHAnsi" w:cstheme="minorHAnsi"/>
          <w:iCs/>
        </w:rPr>
        <w:t>revision of</w:t>
      </w:r>
      <w:r w:rsidR="00EE6322">
        <w:rPr>
          <w:rFonts w:asciiTheme="minorHAnsi" w:hAnsiTheme="minorHAnsi" w:cstheme="minorHAnsi"/>
          <w:iCs/>
        </w:rPr>
        <w:t xml:space="preserve"> </w:t>
      </w:r>
      <w:r w:rsidRPr="005F120D">
        <w:rPr>
          <w:rFonts w:asciiTheme="minorHAnsi" w:hAnsiTheme="minorHAnsi" w:cstheme="minorHAnsi"/>
        </w:rPr>
        <w:t xml:space="preserve">the </w:t>
      </w:r>
      <w:r w:rsidR="001C3CE9" w:rsidRPr="005F120D">
        <w:rPr>
          <w:rFonts w:asciiTheme="minorHAnsi" w:hAnsiTheme="minorHAnsi" w:cstheme="minorHAnsi"/>
        </w:rPr>
        <w:t xml:space="preserve">primary curriculum and </w:t>
      </w:r>
      <w:r w:rsidRPr="005F120D">
        <w:rPr>
          <w:rFonts w:asciiTheme="minorHAnsi" w:hAnsiTheme="minorHAnsi" w:cstheme="minorHAnsi"/>
        </w:rPr>
        <w:t>the strengthening of</w:t>
      </w:r>
      <w:r w:rsidR="001C3CE9" w:rsidRPr="005F120D">
        <w:rPr>
          <w:rFonts w:asciiTheme="minorHAnsi" w:hAnsiTheme="minorHAnsi" w:cstheme="minorHAnsi"/>
        </w:rPr>
        <w:t xml:space="preserve"> Grades 1-5 subjects </w:t>
      </w:r>
      <w:r w:rsidR="00E77A41" w:rsidRPr="005F120D">
        <w:rPr>
          <w:rFonts w:asciiTheme="minorHAnsi" w:hAnsiTheme="minorHAnsi" w:cstheme="minorHAnsi"/>
        </w:rPr>
        <w:t>are</w:t>
      </w:r>
      <w:r w:rsidR="001C3CE9" w:rsidRPr="005F120D">
        <w:rPr>
          <w:rFonts w:asciiTheme="minorHAnsi" w:hAnsiTheme="minorHAnsi" w:cstheme="minorHAnsi"/>
        </w:rPr>
        <w:t xml:space="preserve"> requirement of DPE. Accordingly</w:t>
      </w:r>
      <w:r w:rsidR="001C3CE9" w:rsidRPr="005F120D">
        <w:rPr>
          <w:rFonts w:asciiTheme="minorHAnsi" w:hAnsiTheme="minorHAnsi" w:cstheme="minorHAnsi"/>
          <w:szCs w:val="22"/>
        </w:rPr>
        <w:t xml:space="preserve"> NCTB has revised </w:t>
      </w:r>
      <w:r w:rsidRPr="005F120D">
        <w:rPr>
          <w:rFonts w:asciiTheme="minorHAnsi" w:hAnsiTheme="minorHAnsi" w:cstheme="minorHAnsi"/>
          <w:szCs w:val="22"/>
        </w:rPr>
        <w:t xml:space="preserve">both </w:t>
      </w:r>
      <w:r w:rsidR="001C3CE9" w:rsidRPr="005F120D">
        <w:rPr>
          <w:rFonts w:asciiTheme="minorHAnsi" w:hAnsiTheme="minorHAnsi" w:cstheme="minorHAnsi"/>
          <w:szCs w:val="22"/>
        </w:rPr>
        <w:t>the primary schoo</w:t>
      </w:r>
      <w:r w:rsidRPr="005F120D">
        <w:rPr>
          <w:rFonts w:asciiTheme="minorHAnsi" w:hAnsiTheme="minorHAnsi" w:cstheme="minorHAnsi"/>
          <w:szCs w:val="22"/>
        </w:rPr>
        <w:t>l curriculum and textbooks to be consistent</w:t>
      </w:r>
      <w:r w:rsidR="001C3CE9" w:rsidRPr="005F120D">
        <w:rPr>
          <w:rFonts w:asciiTheme="minorHAnsi" w:hAnsiTheme="minorHAnsi" w:cstheme="minorHAnsi"/>
          <w:szCs w:val="22"/>
        </w:rPr>
        <w:t xml:space="preserve"> with </w:t>
      </w:r>
      <w:r w:rsidRPr="005F120D">
        <w:rPr>
          <w:rFonts w:asciiTheme="minorHAnsi" w:hAnsiTheme="minorHAnsi" w:cstheme="minorHAnsi"/>
          <w:szCs w:val="22"/>
        </w:rPr>
        <w:t xml:space="preserve">subject-specific academic skills (Grades 1 – 5) and </w:t>
      </w:r>
      <w:r w:rsidR="001C3CE9" w:rsidRPr="005F120D">
        <w:rPr>
          <w:rFonts w:asciiTheme="minorHAnsi" w:hAnsiTheme="minorHAnsi" w:cstheme="minorHAnsi"/>
          <w:szCs w:val="22"/>
        </w:rPr>
        <w:t>the 2010 Nati</w:t>
      </w:r>
      <w:r w:rsidRPr="005F120D">
        <w:rPr>
          <w:rFonts w:asciiTheme="minorHAnsi" w:hAnsiTheme="minorHAnsi" w:cstheme="minorHAnsi"/>
          <w:szCs w:val="22"/>
        </w:rPr>
        <w:t>onal Education Policy</w:t>
      </w:r>
      <w:r w:rsidR="001C3CE9" w:rsidRPr="005F120D">
        <w:rPr>
          <w:rFonts w:asciiTheme="minorHAnsi" w:hAnsiTheme="minorHAnsi" w:cstheme="minorHAnsi"/>
        </w:rPr>
        <w:t xml:space="preserve">. Table 1.3 summarizes the physical and financial progress as of June 2015.The total </w:t>
      </w:r>
      <w:r w:rsidR="001C3CE9" w:rsidRPr="005F120D">
        <w:rPr>
          <w:rFonts w:asciiTheme="minorHAnsi" w:hAnsiTheme="minorHAnsi" w:cstheme="minorHAnsi"/>
          <w:bCs/>
        </w:rPr>
        <w:t>original cost as per DPP was Tk. 32,170.00 Lac and revised cost as per RDPP is Tk. 26,288.42 Lac</w:t>
      </w:r>
      <w:r w:rsidR="00663477" w:rsidRPr="005F120D">
        <w:rPr>
          <w:rFonts w:asciiTheme="minorHAnsi" w:hAnsiTheme="minorHAnsi" w:cstheme="minorHAnsi"/>
          <w:bCs/>
        </w:rPr>
        <w:t>.</w:t>
      </w:r>
    </w:p>
    <w:p w:rsidR="0088483F" w:rsidRPr="005F120D" w:rsidRDefault="00F36795" w:rsidP="000A5B80">
      <w:pPr>
        <w:pStyle w:val="Caption"/>
        <w:spacing w:before="120" w:after="120"/>
        <w:rPr>
          <w:rFonts w:cstheme="minorHAnsi"/>
        </w:rPr>
      </w:pPr>
      <w:bookmarkStart w:id="79" w:name="_Toc462837230"/>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8</w:t>
      </w:r>
      <w:r w:rsidR="002E2ED5" w:rsidRPr="005F120D">
        <w:rPr>
          <w:rFonts w:cstheme="minorHAnsi"/>
        </w:rPr>
        <w:fldChar w:fldCharType="end"/>
      </w:r>
      <w:r w:rsidR="0088483F" w:rsidRPr="005F120D">
        <w:rPr>
          <w:rFonts w:cstheme="minorHAnsi"/>
        </w:rPr>
        <w:t>: Curriculum and Textbooks Strengthened</w:t>
      </w:r>
      <w:r w:rsidR="00EA120C" w:rsidRPr="005F120D">
        <w:rPr>
          <w:rFonts w:cstheme="minorHAnsi"/>
        </w:rPr>
        <w:t>:</w:t>
      </w:r>
      <w:r w:rsidR="00072DB3">
        <w:rPr>
          <w:rFonts w:cstheme="minorHAnsi"/>
        </w:rPr>
        <w:t xml:space="preserve"> </w:t>
      </w:r>
      <w:r w:rsidR="00C27B1A" w:rsidRPr="005F120D">
        <w:rPr>
          <w:rFonts w:cstheme="minorHAnsi"/>
        </w:rPr>
        <w:t>Cost and Expenditure as of June 2015</w:t>
      </w:r>
      <w:bookmarkEnd w:id="79"/>
    </w:p>
    <w:p w:rsidR="0088483F" w:rsidRPr="005F120D" w:rsidRDefault="0088483F" w:rsidP="000A5B80">
      <w:pPr>
        <w:spacing w:after="0"/>
        <w:ind w:left="720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1966"/>
        <w:gridCol w:w="753"/>
        <w:gridCol w:w="890"/>
        <w:gridCol w:w="944"/>
        <w:gridCol w:w="898"/>
        <w:gridCol w:w="920"/>
        <w:gridCol w:w="922"/>
        <w:gridCol w:w="1162"/>
        <w:gridCol w:w="788"/>
      </w:tblGrid>
      <w:tr w:rsidR="00BE7F5F" w:rsidRPr="005F120D" w:rsidTr="003868FA">
        <w:trPr>
          <w:tblHeader/>
        </w:trPr>
        <w:tc>
          <w:tcPr>
            <w:tcW w:w="1070" w:type="pct"/>
            <w:vMerge w:val="restart"/>
            <w:shd w:val="clear" w:color="auto" w:fill="92CDDC" w:themeFill="accent5" w:themeFillTint="99"/>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02" w:type="pct"/>
            <w:gridSpan w:val="2"/>
            <w:shd w:val="clear" w:color="auto" w:fill="92CDDC" w:themeFill="accent5" w:themeFillTint="99"/>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09" w:type="pct"/>
            <w:gridSpan w:val="2"/>
            <w:shd w:val="clear" w:color="auto" w:fill="92CDDC" w:themeFill="accent5" w:themeFillTint="99"/>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52" w:type="pct"/>
            <w:gridSpan w:val="2"/>
            <w:tcBorders>
              <w:bottom w:val="single" w:sz="6" w:space="0" w:color="31849B" w:themeColor="accent5" w:themeShade="BF"/>
            </w:tcBorders>
            <w:shd w:val="clear" w:color="auto" w:fill="92CDDC" w:themeFill="accent5" w:themeFillTint="99"/>
          </w:tcPr>
          <w:p w:rsidR="00F36795"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35" w:type="pct"/>
            <w:vMerge w:val="restart"/>
            <w:shd w:val="clear" w:color="auto" w:fill="92CDDC" w:themeFill="accent5" w:themeFillTint="99"/>
          </w:tcPr>
          <w:p w:rsidR="00F36795" w:rsidRPr="005F120D" w:rsidRDefault="008065BC" w:rsidP="000A5B80">
            <w:pPr>
              <w:spacing w:after="0"/>
              <w:jc w:val="center"/>
              <w:rPr>
                <w:rFonts w:asciiTheme="minorHAnsi" w:hAnsiTheme="minorHAnsi" w:cstheme="minorHAnsi"/>
                <w:sz w:val="14"/>
                <w:szCs w:val="14"/>
              </w:rPr>
            </w:pPr>
            <w:r w:rsidRPr="005F120D">
              <w:rPr>
                <w:rFonts w:asciiTheme="minorHAnsi" w:hAnsiTheme="minorHAnsi" w:cstheme="minorHAnsi"/>
                <w:bCs/>
                <w:sz w:val="14"/>
                <w:szCs w:val="14"/>
              </w:rPr>
              <w:t>Unspent as of June 2015</w:t>
            </w:r>
            <w:r w:rsidR="00F36795" w:rsidRPr="005F120D">
              <w:rPr>
                <w:rFonts w:asciiTheme="minorHAnsi" w:hAnsiTheme="minorHAnsi" w:cstheme="minorHAnsi"/>
                <w:bCs/>
                <w:sz w:val="14"/>
                <w:szCs w:val="14"/>
              </w:rPr>
              <w:t xml:space="preserve"> as % of RDPP cost</w:t>
            </w:r>
          </w:p>
        </w:tc>
        <w:tc>
          <w:tcPr>
            <w:tcW w:w="432" w:type="pct"/>
            <w:vMerge w:val="restart"/>
            <w:shd w:val="clear" w:color="auto" w:fill="92CDDC" w:themeFill="accent5" w:themeFillTint="99"/>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AD6069" w:rsidRPr="005F120D" w:rsidTr="003868FA">
        <w:trPr>
          <w:tblHeader/>
        </w:trPr>
        <w:tc>
          <w:tcPr>
            <w:tcW w:w="1070" w:type="pct"/>
            <w:vMerge/>
            <w:tcBorders>
              <w:bottom w:val="double" w:sz="4"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p>
        </w:tc>
        <w:tc>
          <w:tcPr>
            <w:tcW w:w="414" w:type="pct"/>
            <w:tcBorders>
              <w:bottom w:val="double" w:sz="4" w:space="0" w:color="31849B" w:themeColor="accent5" w:themeShade="BF"/>
            </w:tcBorders>
            <w:shd w:val="clear" w:color="auto" w:fill="92CDDC" w:themeFill="accent5" w:themeFillTint="99"/>
          </w:tcPr>
          <w:p w:rsidR="00F36795" w:rsidRPr="005F120D" w:rsidRDefault="00F36795"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88" w:type="pct"/>
            <w:tcBorders>
              <w:bottom w:val="double" w:sz="4" w:space="0" w:color="31849B" w:themeColor="accent5" w:themeShade="BF"/>
            </w:tcBorders>
            <w:shd w:val="clear" w:color="auto" w:fill="92CDDC" w:themeFill="accent5" w:themeFillTint="99"/>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17" w:type="pct"/>
            <w:tcBorders>
              <w:bottom w:val="double" w:sz="4" w:space="0" w:color="31849B" w:themeColor="accent5" w:themeShade="BF"/>
            </w:tcBorders>
            <w:shd w:val="clear" w:color="auto" w:fill="92CDDC" w:themeFill="accent5" w:themeFillTint="99"/>
          </w:tcPr>
          <w:p w:rsidR="00F36795" w:rsidRPr="005F120D" w:rsidRDefault="00F36795"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92" w:type="pct"/>
            <w:tcBorders>
              <w:bottom w:val="double" w:sz="4" w:space="0" w:color="31849B" w:themeColor="accent5" w:themeShade="BF"/>
            </w:tcBorders>
            <w:shd w:val="clear" w:color="auto" w:fill="92CDDC" w:themeFill="accent5" w:themeFillTint="99"/>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47" w:type="pct"/>
            <w:tcBorders>
              <w:top w:val="single" w:sz="6" w:space="0" w:color="31849B" w:themeColor="accent5" w:themeShade="BF"/>
              <w:bottom w:val="double" w:sz="4" w:space="0" w:color="31849B" w:themeColor="accent5" w:themeShade="BF"/>
            </w:tcBorders>
            <w:shd w:val="clear" w:color="auto" w:fill="B6DDE8" w:themeFill="accent5" w:themeFillTint="66"/>
          </w:tcPr>
          <w:p w:rsidR="00F36795" w:rsidRPr="005F120D" w:rsidRDefault="00F36795" w:rsidP="000A5B80">
            <w:pPr>
              <w:tabs>
                <w:tab w:val="center" w:pos="444"/>
              </w:tabs>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ab/>
              <w:t>Physical</w:t>
            </w:r>
          </w:p>
        </w:tc>
        <w:tc>
          <w:tcPr>
            <w:tcW w:w="505" w:type="pct"/>
            <w:tcBorders>
              <w:top w:val="single" w:sz="6" w:space="0" w:color="31849B" w:themeColor="accent5" w:themeShade="BF"/>
              <w:bottom w:val="double" w:sz="4" w:space="0" w:color="31849B" w:themeColor="accent5" w:themeShade="BF"/>
            </w:tcBorders>
            <w:shd w:val="clear" w:color="auto" w:fill="B6DDE8" w:themeFill="accent5" w:themeFillTint="66"/>
          </w:tcPr>
          <w:p w:rsidR="00F36795" w:rsidRPr="005F120D" w:rsidRDefault="00F36795"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35" w:type="pct"/>
            <w:vMerge/>
            <w:tcBorders>
              <w:bottom w:val="double" w:sz="4"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p>
        </w:tc>
        <w:tc>
          <w:tcPr>
            <w:tcW w:w="432" w:type="pct"/>
            <w:vMerge/>
            <w:tcBorders>
              <w:bottom w:val="double" w:sz="4" w:space="0" w:color="31849B" w:themeColor="accent5" w:themeShade="BF"/>
            </w:tcBorders>
            <w:vAlign w:val="center"/>
          </w:tcPr>
          <w:p w:rsidR="00F36795" w:rsidRPr="005F120D" w:rsidRDefault="00F36795" w:rsidP="000A5B80">
            <w:pPr>
              <w:spacing w:after="0"/>
              <w:jc w:val="center"/>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 Curriculum Revision </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Grades 1-5</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335.09</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64.29</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270.80 </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7F70BA" w:rsidP="000A5B80">
            <w:pPr>
              <w:spacing w:after="0"/>
              <w:rPr>
                <w:rFonts w:asciiTheme="minorHAnsi" w:hAnsiTheme="minorHAnsi" w:cstheme="minorHAnsi"/>
                <w:sz w:val="16"/>
                <w:szCs w:val="16"/>
              </w:rPr>
            </w:pPr>
            <w:r w:rsidRPr="005F120D">
              <w:rPr>
                <w:rFonts w:asciiTheme="minorHAnsi" w:hAnsiTheme="minorHAnsi" w:cstheme="minorHAnsi"/>
                <w:sz w:val="16"/>
                <w:szCs w:val="16"/>
              </w:rPr>
              <w:t>2. Textbooks</w:t>
            </w:r>
            <w:r w:rsidR="00F36795" w:rsidRPr="005F120D">
              <w:rPr>
                <w:rFonts w:asciiTheme="minorHAnsi" w:hAnsiTheme="minorHAnsi" w:cstheme="minorHAnsi"/>
                <w:sz w:val="16"/>
                <w:szCs w:val="16"/>
              </w:rPr>
              <w:t xml:space="preserve"> and materials dev. and </w:t>
            </w:r>
            <w:r w:rsidR="00BE7F5F" w:rsidRPr="005F120D">
              <w:rPr>
                <w:rFonts w:asciiTheme="minorHAnsi" w:hAnsiTheme="minorHAnsi" w:cstheme="minorHAnsi"/>
                <w:sz w:val="16"/>
                <w:szCs w:val="16"/>
              </w:rPr>
              <w:t>tryout in Grades 1-5</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700.00</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TB dev</w:t>
            </w:r>
            <w:r w:rsidR="00BE7F5F" w:rsidRPr="005F120D">
              <w:rPr>
                <w:rFonts w:asciiTheme="minorHAnsi" w:hAnsiTheme="minorHAnsi" w:cstheme="minorHAnsi"/>
                <w:sz w:val="16"/>
                <w:szCs w:val="16"/>
              </w:rPr>
              <w:t>.</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158.29</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158.29</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0.00   </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3. TB and materials dev. &amp;</w:t>
            </w:r>
            <w:r w:rsidR="008065BC" w:rsidRPr="005F120D">
              <w:rPr>
                <w:rFonts w:asciiTheme="minorHAnsi" w:hAnsiTheme="minorHAnsi" w:cstheme="minorHAnsi"/>
                <w:sz w:val="16"/>
                <w:szCs w:val="16"/>
              </w:rPr>
              <w:t>tryou</w:t>
            </w:r>
            <w:r w:rsidR="00E71C81" w:rsidRPr="005F120D">
              <w:rPr>
                <w:rFonts w:asciiTheme="minorHAnsi" w:hAnsiTheme="minorHAnsi" w:cstheme="minorHAnsi"/>
                <w:sz w:val="16"/>
                <w:szCs w:val="16"/>
              </w:rPr>
              <w:t>t</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Grades 1-5</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97.06</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97.06</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0.00   </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8065BC"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4. Dev. of English version </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32.13</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32.13</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0.00   </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5. Dev. of Prototype flipcharts on EVS &amp; BGD</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220.28</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0.28</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220.00 </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6. Try-out of </w:t>
            </w:r>
            <w:r w:rsidR="007F70BA" w:rsidRPr="005F120D">
              <w:rPr>
                <w:rFonts w:asciiTheme="minorHAnsi" w:hAnsiTheme="minorHAnsi" w:cstheme="minorHAnsi"/>
                <w:sz w:val="16"/>
                <w:szCs w:val="16"/>
              </w:rPr>
              <w:t xml:space="preserve">TG and </w:t>
            </w:r>
            <w:r w:rsidRPr="005F120D">
              <w:rPr>
                <w:rFonts w:asciiTheme="minorHAnsi" w:hAnsiTheme="minorHAnsi" w:cstheme="minorHAnsi"/>
                <w:sz w:val="16"/>
                <w:szCs w:val="16"/>
              </w:rPr>
              <w:t xml:space="preserve">textbooks </w:t>
            </w:r>
            <w:r w:rsidR="00E71C81" w:rsidRPr="005F120D">
              <w:rPr>
                <w:rFonts w:asciiTheme="minorHAnsi" w:hAnsiTheme="minorHAnsi" w:cstheme="minorHAnsi"/>
                <w:sz w:val="16"/>
                <w:szCs w:val="16"/>
              </w:rPr>
              <w:t>in</w:t>
            </w:r>
            <w:r w:rsidR="007F70BA" w:rsidRPr="005F120D">
              <w:rPr>
                <w:rFonts w:asciiTheme="minorHAnsi" w:hAnsiTheme="minorHAnsi" w:cstheme="minorHAnsi"/>
                <w:sz w:val="16"/>
                <w:szCs w:val="16"/>
              </w:rPr>
              <w:t xml:space="preserve"> schools</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100 schools </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184.96</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100 sch. (TB &amp; TG)</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30.90</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154.06 </w:t>
            </w:r>
          </w:p>
        </w:tc>
        <w:tc>
          <w:tcPr>
            <w:tcW w:w="432" w:type="pct"/>
            <w:tcBorders>
              <w:top w:val="single" w:sz="6" w:space="0" w:color="31849B" w:themeColor="accent5" w:themeShade="BF"/>
              <w:bottom w:val="single" w:sz="6" w:space="0" w:color="31849B" w:themeColor="accent5" w:themeShade="BF"/>
            </w:tcBorders>
          </w:tcPr>
          <w:p w:rsidR="00F36795" w:rsidRPr="005F120D" w:rsidRDefault="007F70BA" w:rsidP="000A5B80">
            <w:pPr>
              <w:spacing w:after="0"/>
              <w:rPr>
                <w:rFonts w:asciiTheme="minorHAnsi" w:hAnsiTheme="minorHAnsi" w:cstheme="minorHAnsi"/>
                <w:sz w:val="16"/>
                <w:szCs w:val="16"/>
              </w:rPr>
            </w:pPr>
            <w:r w:rsidRPr="005F120D">
              <w:rPr>
                <w:rFonts w:asciiTheme="minorHAnsi" w:hAnsiTheme="minorHAnsi" w:cstheme="minorHAnsi"/>
                <w:sz w:val="16"/>
                <w:szCs w:val="16"/>
              </w:rPr>
              <w:t>100 schools</w:t>
            </w: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7. Continue Try-out of</w:t>
            </w:r>
            <w:r w:rsidR="007F70BA" w:rsidRPr="005F120D">
              <w:rPr>
                <w:rFonts w:asciiTheme="minorHAnsi" w:hAnsiTheme="minorHAnsi" w:cstheme="minorHAnsi"/>
                <w:sz w:val="16"/>
                <w:szCs w:val="16"/>
              </w:rPr>
              <w:t xml:space="preserve"> TG and</w:t>
            </w:r>
            <w:r w:rsidRPr="005F120D">
              <w:rPr>
                <w:rFonts w:asciiTheme="minorHAnsi" w:hAnsiTheme="minorHAnsi" w:cstheme="minorHAnsi"/>
                <w:sz w:val="16"/>
                <w:szCs w:val="16"/>
              </w:rPr>
              <w:t xml:space="preserve"> textbooks</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 (TB &amp; TG)</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w:t>
            </w:r>
          </w:p>
        </w:tc>
        <w:tc>
          <w:tcPr>
            <w:tcW w:w="447" w:type="pct"/>
            <w:tcBorders>
              <w:top w:val="single" w:sz="6" w:space="0" w:color="31849B" w:themeColor="accent5" w:themeShade="BF"/>
              <w:bottom w:val="single" w:sz="6" w:space="0" w:color="31849B" w:themeColor="accent5" w:themeShade="BF"/>
            </w:tcBorders>
          </w:tcPr>
          <w:p w:rsidR="00F36795"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100 sch.</w:t>
            </w:r>
            <w:r w:rsidR="00F36795" w:rsidRPr="005F120D">
              <w:rPr>
                <w:rFonts w:asciiTheme="minorHAnsi" w:hAnsiTheme="minorHAnsi" w:cstheme="minorHAnsi"/>
                <w:sz w:val="16"/>
                <w:szCs w:val="16"/>
              </w:rPr>
              <w:t xml:space="preserve"> (TB &amp; TG)</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15.94</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34.06 </w:t>
            </w:r>
          </w:p>
        </w:tc>
        <w:tc>
          <w:tcPr>
            <w:tcW w:w="432" w:type="pct"/>
            <w:tcBorders>
              <w:top w:val="single" w:sz="6" w:space="0" w:color="31849B" w:themeColor="accent5" w:themeShade="BF"/>
              <w:bottom w:val="single" w:sz="6" w:space="0" w:color="31849B" w:themeColor="accent5" w:themeShade="BF"/>
            </w:tcBorders>
          </w:tcPr>
          <w:p w:rsidR="00F36795" w:rsidRPr="005F120D" w:rsidRDefault="007F70BA" w:rsidP="000A5B80">
            <w:pPr>
              <w:spacing w:after="0"/>
              <w:rPr>
                <w:rFonts w:asciiTheme="minorHAnsi" w:hAnsiTheme="minorHAnsi" w:cstheme="minorHAnsi"/>
                <w:sz w:val="16"/>
                <w:szCs w:val="16"/>
              </w:rPr>
            </w:pPr>
            <w:r w:rsidRPr="005F120D">
              <w:rPr>
                <w:rFonts w:asciiTheme="minorHAnsi" w:hAnsiTheme="minorHAnsi" w:cstheme="minorHAnsi"/>
                <w:sz w:val="16"/>
                <w:szCs w:val="16"/>
              </w:rPr>
              <w:t>100 schools</w:t>
            </w: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8. Curriculum Dissemin</w:t>
            </w:r>
            <w:r w:rsidR="00E71C81" w:rsidRPr="005F120D">
              <w:rPr>
                <w:rFonts w:asciiTheme="minorHAnsi" w:hAnsiTheme="minorHAnsi" w:cstheme="minorHAnsi"/>
                <w:sz w:val="16"/>
                <w:szCs w:val="16"/>
              </w:rPr>
              <w:t>ation, P</w:t>
            </w:r>
            <w:r w:rsidRPr="005F120D">
              <w:rPr>
                <w:rFonts w:asciiTheme="minorHAnsi" w:hAnsiTheme="minorHAnsi" w:cstheme="minorHAnsi"/>
                <w:sz w:val="16"/>
                <w:szCs w:val="16"/>
              </w:rPr>
              <w:t>rinting of training materials</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300.00</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Dev. &amp; printing </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160.00</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10.77</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149.23 </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9. Development of Annual Scheme of Work</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100,000 copies</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260.00</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260.00</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10. Development of test item booklets for major </w:t>
            </w:r>
            <w:r w:rsidR="00E71C81" w:rsidRPr="005F120D">
              <w:rPr>
                <w:rFonts w:asciiTheme="minorHAnsi" w:hAnsiTheme="minorHAnsi" w:cstheme="minorHAnsi"/>
                <w:sz w:val="16"/>
                <w:szCs w:val="16"/>
              </w:rPr>
              <w:t>subjects of G</w:t>
            </w:r>
            <w:r w:rsidRPr="005F120D">
              <w:rPr>
                <w:rFonts w:asciiTheme="minorHAnsi" w:hAnsiTheme="minorHAnsi" w:cstheme="minorHAnsi"/>
                <w:sz w:val="16"/>
                <w:szCs w:val="16"/>
              </w:rPr>
              <w:t>rades 1 to 5</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4"/>
                <w:szCs w:val="14"/>
              </w:rPr>
            </w:pPr>
            <w:r w:rsidRPr="005F120D">
              <w:rPr>
                <w:rFonts w:asciiTheme="minorHAnsi" w:hAnsiTheme="minorHAnsi" w:cstheme="minorHAnsi"/>
                <w:sz w:val="14"/>
                <w:szCs w:val="14"/>
              </w:rPr>
              <w:t>Dev. of test items booklets-33</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670.00</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670.00</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E71C81" w:rsidP="00E71C81">
            <w:pPr>
              <w:spacing w:after="0"/>
              <w:rPr>
                <w:rFonts w:asciiTheme="minorHAnsi" w:hAnsiTheme="minorHAnsi" w:cstheme="minorHAnsi"/>
                <w:sz w:val="16"/>
                <w:szCs w:val="16"/>
              </w:rPr>
            </w:pPr>
            <w:r w:rsidRPr="005F120D">
              <w:rPr>
                <w:rFonts w:asciiTheme="minorHAnsi" w:hAnsiTheme="minorHAnsi" w:cstheme="minorHAnsi"/>
                <w:sz w:val="16"/>
                <w:szCs w:val="16"/>
              </w:rPr>
              <w:t xml:space="preserve">11. Training </w:t>
            </w:r>
            <w:r w:rsidR="00F36795" w:rsidRPr="005F120D">
              <w:rPr>
                <w:rFonts w:asciiTheme="minorHAnsi" w:hAnsiTheme="minorHAnsi" w:cstheme="minorHAnsi"/>
                <w:sz w:val="16"/>
                <w:szCs w:val="16"/>
              </w:rPr>
              <w:t xml:space="preserve"> mats. Dev. (electronic)</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12</w:t>
            </w:r>
            <w:r w:rsidR="00BE7F5F" w:rsidRPr="005F120D">
              <w:rPr>
                <w:rFonts w:asciiTheme="minorHAnsi" w:hAnsiTheme="minorHAnsi" w:cstheme="minorHAnsi"/>
                <w:sz w:val="16"/>
                <w:szCs w:val="16"/>
              </w:rPr>
              <w:t xml:space="preserve">. Curriculum Dissemination- </w:t>
            </w:r>
            <w:r w:rsidR="00957547" w:rsidRPr="005F120D">
              <w:rPr>
                <w:rFonts w:asciiTheme="minorHAnsi" w:hAnsiTheme="minorHAnsi" w:cstheme="minorHAnsi"/>
                <w:sz w:val="16"/>
                <w:szCs w:val="16"/>
              </w:rPr>
              <w:t xml:space="preserve">Teacher </w:t>
            </w:r>
            <w:r w:rsidR="00BE7F5F" w:rsidRPr="005F120D">
              <w:rPr>
                <w:rFonts w:asciiTheme="minorHAnsi" w:hAnsiTheme="minorHAnsi" w:cstheme="minorHAnsi"/>
                <w:sz w:val="16"/>
                <w:szCs w:val="16"/>
              </w:rPr>
              <w:t>Training</w:t>
            </w:r>
          </w:p>
        </w:tc>
        <w:tc>
          <w:tcPr>
            <w:tcW w:w="414"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20.00</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Training of KT &amp; MT</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20.00</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20.00</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single" w:sz="6" w:space="0" w:color="31849B" w:themeColor="accent5" w:themeShade="BF"/>
            </w:tcBorders>
          </w:tcPr>
          <w:p w:rsidR="00F36795" w:rsidRPr="005F120D" w:rsidRDefault="00957547" w:rsidP="00957547">
            <w:pPr>
              <w:spacing w:after="0"/>
              <w:rPr>
                <w:rFonts w:asciiTheme="minorHAnsi" w:hAnsiTheme="minorHAnsi" w:cstheme="minorHAnsi"/>
                <w:sz w:val="16"/>
                <w:szCs w:val="16"/>
              </w:rPr>
            </w:pPr>
            <w:r w:rsidRPr="005F120D">
              <w:rPr>
                <w:rFonts w:asciiTheme="minorHAnsi" w:hAnsiTheme="minorHAnsi" w:cstheme="minorHAnsi"/>
                <w:sz w:val="16"/>
                <w:szCs w:val="16"/>
              </w:rPr>
              <w:t>13. Curriculum Dissemination- T</w:t>
            </w:r>
            <w:r w:rsidR="00F36795" w:rsidRPr="005F120D">
              <w:rPr>
                <w:rFonts w:asciiTheme="minorHAnsi" w:hAnsiTheme="minorHAnsi" w:cstheme="minorHAnsi"/>
                <w:sz w:val="16"/>
                <w:szCs w:val="16"/>
              </w:rPr>
              <w:t xml:space="preserve">eacher </w:t>
            </w:r>
            <w:r w:rsidRPr="005F120D">
              <w:rPr>
                <w:rFonts w:asciiTheme="minorHAnsi" w:hAnsiTheme="minorHAnsi" w:cstheme="minorHAnsi"/>
                <w:sz w:val="16"/>
                <w:szCs w:val="16"/>
              </w:rPr>
              <w:t>T</w:t>
            </w:r>
            <w:r w:rsidR="00F36795" w:rsidRPr="005F120D">
              <w:rPr>
                <w:rFonts w:asciiTheme="minorHAnsi" w:hAnsiTheme="minorHAnsi" w:cstheme="minorHAnsi"/>
                <w:sz w:val="16"/>
                <w:szCs w:val="16"/>
              </w:rPr>
              <w:t>raining</w:t>
            </w:r>
          </w:p>
        </w:tc>
        <w:tc>
          <w:tcPr>
            <w:tcW w:w="414" w:type="pct"/>
            <w:tcBorders>
              <w:top w:val="single" w:sz="6" w:space="0" w:color="31849B" w:themeColor="accent5" w:themeShade="BF"/>
              <w:bottom w:val="single" w:sz="6" w:space="0" w:color="31849B" w:themeColor="accent5" w:themeShade="BF"/>
            </w:tcBorders>
          </w:tcPr>
          <w:p w:rsidR="00F36795"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310,000  teacher</w:t>
            </w:r>
          </w:p>
        </w:tc>
        <w:tc>
          <w:tcPr>
            <w:tcW w:w="488"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31,000.00</w:t>
            </w:r>
          </w:p>
        </w:tc>
        <w:tc>
          <w:tcPr>
            <w:tcW w:w="51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All Teachers</w:t>
            </w:r>
          </w:p>
        </w:tc>
        <w:tc>
          <w:tcPr>
            <w:tcW w:w="49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24,000.61</w:t>
            </w:r>
          </w:p>
        </w:tc>
        <w:tc>
          <w:tcPr>
            <w:tcW w:w="447"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p>
        </w:tc>
        <w:tc>
          <w:tcPr>
            <w:tcW w:w="50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223.15</w:t>
            </w:r>
          </w:p>
        </w:tc>
        <w:tc>
          <w:tcPr>
            <w:tcW w:w="635"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23,777.46 </w:t>
            </w:r>
          </w:p>
        </w:tc>
        <w:tc>
          <w:tcPr>
            <w:tcW w:w="432" w:type="pct"/>
            <w:tcBorders>
              <w:top w:val="single" w:sz="6" w:space="0" w:color="31849B" w:themeColor="accent5" w:themeShade="BF"/>
              <w:bottom w:val="single" w:sz="6"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c>
          <w:tcPr>
            <w:tcW w:w="1070" w:type="pct"/>
            <w:tcBorders>
              <w:top w:val="single" w:sz="6" w:space="0" w:color="31849B" w:themeColor="accent5" w:themeShade="BF"/>
              <w:bottom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14. NCTB’s Strengthening </w:t>
            </w:r>
          </w:p>
        </w:tc>
        <w:tc>
          <w:tcPr>
            <w:tcW w:w="414" w:type="pct"/>
            <w:tcBorders>
              <w:top w:val="single" w:sz="6" w:space="0" w:color="31849B" w:themeColor="accent5" w:themeShade="BF"/>
              <w:bottom w:val="double" w:sz="4"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 yrs</w:t>
            </w:r>
          </w:p>
        </w:tc>
        <w:tc>
          <w:tcPr>
            <w:tcW w:w="488" w:type="pct"/>
            <w:tcBorders>
              <w:top w:val="single" w:sz="6" w:space="0" w:color="31849B" w:themeColor="accent5" w:themeShade="BF"/>
              <w:bottom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100.00</w:t>
            </w:r>
          </w:p>
        </w:tc>
        <w:tc>
          <w:tcPr>
            <w:tcW w:w="517" w:type="pct"/>
            <w:tcBorders>
              <w:top w:val="single" w:sz="6" w:space="0" w:color="31849B" w:themeColor="accent5" w:themeShade="BF"/>
              <w:bottom w:val="double" w:sz="4"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2" w:type="pct"/>
            <w:tcBorders>
              <w:top w:val="single" w:sz="6" w:space="0" w:color="31849B" w:themeColor="accent5" w:themeShade="BF"/>
              <w:bottom w:val="double" w:sz="4" w:space="0" w:color="31849B" w:themeColor="accent5" w:themeShade="BF"/>
            </w:tcBorders>
          </w:tcPr>
          <w:p w:rsidR="00F36795" w:rsidRPr="005F120D" w:rsidRDefault="00F367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7" w:type="pct"/>
            <w:tcBorders>
              <w:top w:val="single" w:sz="6" w:space="0" w:color="31849B" w:themeColor="accent5" w:themeShade="BF"/>
              <w:bottom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05" w:type="pct"/>
            <w:tcBorders>
              <w:top w:val="single" w:sz="6" w:space="0" w:color="31849B" w:themeColor="accent5" w:themeShade="BF"/>
              <w:bottom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35" w:type="pct"/>
            <w:tcBorders>
              <w:top w:val="single" w:sz="6" w:space="0" w:color="31849B" w:themeColor="accent5" w:themeShade="BF"/>
              <w:bottom w:val="double" w:sz="4" w:space="0" w:color="31849B" w:themeColor="accent5" w:themeShade="BF"/>
            </w:tcBorders>
          </w:tcPr>
          <w:p w:rsidR="00F36795" w:rsidRPr="005F120D" w:rsidRDefault="00F36795"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32" w:type="pct"/>
            <w:tcBorders>
              <w:top w:val="single" w:sz="6" w:space="0" w:color="31849B" w:themeColor="accent5" w:themeShade="BF"/>
              <w:bottom w:val="double" w:sz="4" w:space="0" w:color="31849B" w:themeColor="accent5" w:themeShade="BF"/>
            </w:tcBorders>
          </w:tcPr>
          <w:p w:rsidR="00F36795" w:rsidRPr="005F120D" w:rsidRDefault="00F36795" w:rsidP="000A5B80">
            <w:pPr>
              <w:spacing w:after="0"/>
              <w:rPr>
                <w:rFonts w:asciiTheme="minorHAnsi" w:hAnsiTheme="minorHAnsi" w:cstheme="minorHAnsi"/>
                <w:sz w:val="16"/>
                <w:szCs w:val="16"/>
              </w:rPr>
            </w:pPr>
          </w:p>
        </w:tc>
      </w:tr>
      <w:tr w:rsidR="00AD6069" w:rsidRPr="005F120D" w:rsidTr="003868FA">
        <w:trPr>
          <w:trHeight w:val="237"/>
        </w:trPr>
        <w:tc>
          <w:tcPr>
            <w:tcW w:w="1070" w:type="pct"/>
            <w:tcBorders>
              <w:top w:val="double" w:sz="4" w:space="0" w:color="31849B" w:themeColor="accent5" w:themeShade="BF"/>
            </w:tcBorders>
            <w:shd w:val="clear" w:color="auto" w:fill="DAEEF3" w:themeFill="accent5" w:themeFillTint="33"/>
          </w:tcPr>
          <w:p w:rsidR="00F36795" w:rsidRPr="005F120D" w:rsidRDefault="00F36795"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14" w:type="pct"/>
            <w:tcBorders>
              <w:top w:val="double" w:sz="4" w:space="0" w:color="31849B" w:themeColor="accent5" w:themeShade="BF"/>
            </w:tcBorders>
            <w:shd w:val="clear" w:color="auto" w:fill="DAEEF3" w:themeFill="accent5" w:themeFillTint="33"/>
          </w:tcPr>
          <w:p w:rsidR="00F36795" w:rsidRPr="005F120D" w:rsidRDefault="00F36795" w:rsidP="000A5B80">
            <w:pPr>
              <w:spacing w:after="0"/>
              <w:jc w:val="both"/>
              <w:rPr>
                <w:rFonts w:asciiTheme="minorHAnsi" w:hAnsiTheme="minorHAnsi" w:cstheme="minorHAnsi"/>
                <w:b/>
                <w:sz w:val="16"/>
                <w:szCs w:val="16"/>
              </w:rPr>
            </w:pPr>
          </w:p>
        </w:tc>
        <w:tc>
          <w:tcPr>
            <w:tcW w:w="488" w:type="pct"/>
            <w:tcBorders>
              <w:top w:val="double" w:sz="4" w:space="0" w:color="31849B" w:themeColor="accent5" w:themeShade="BF"/>
            </w:tcBorders>
            <w:shd w:val="clear" w:color="auto" w:fill="DAEEF3" w:themeFill="accent5" w:themeFillTint="33"/>
          </w:tcPr>
          <w:p w:rsidR="00F36795" w:rsidRPr="005F120D" w:rsidRDefault="00F36795"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32,170.00</w:t>
            </w:r>
          </w:p>
        </w:tc>
        <w:tc>
          <w:tcPr>
            <w:tcW w:w="517" w:type="pct"/>
            <w:tcBorders>
              <w:top w:val="double" w:sz="4" w:space="0" w:color="31849B" w:themeColor="accent5" w:themeShade="BF"/>
            </w:tcBorders>
            <w:shd w:val="clear" w:color="auto" w:fill="DAEEF3" w:themeFill="accent5" w:themeFillTint="33"/>
          </w:tcPr>
          <w:p w:rsidR="00F36795" w:rsidRPr="005F120D" w:rsidRDefault="00F36795" w:rsidP="000A5B80">
            <w:pPr>
              <w:spacing w:after="0"/>
              <w:jc w:val="both"/>
              <w:rPr>
                <w:rFonts w:asciiTheme="minorHAnsi" w:hAnsiTheme="minorHAnsi" w:cstheme="minorHAnsi"/>
                <w:b/>
                <w:sz w:val="16"/>
                <w:szCs w:val="16"/>
              </w:rPr>
            </w:pPr>
          </w:p>
        </w:tc>
        <w:tc>
          <w:tcPr>
            <w:tcW w:w="492" w:type="pct"/>
            <w:tcBorders>
              <w:top w:val="double" w:sz="4" w:space="0" w:color="31849B" w:themeColor="accent5" w:themeShade="BF"/>
            </w:tcBorders>
            <w:shd w:val="clear" w:color="auto" w:fill="DAEEF3" w:themeFill="accent5" w:themeFillTint="33"/>
          </w:tcPr>
          <w:p w:rsidR="00F36795" w:rsidRPr="005F120D" w:rsidRDefault="00F36795" w:rsidP="000A5B80">
            <w:pPr>
              <w:spacing w:after="0"/>
              <w:jc w:val="both"/>
              <w:rPr>
                <w:rFonts w:asciiTheme="minorHAnsi" w:hAnsiTheme="minorHAnsi" w:cstheme="minorHAnsi"/>
                <w:b/>
                <w:sz w:val="16"/>
                <w:szCs w:val="16"/>
              </w:rPr>
            </w:pPr>
            <w:r w:rsidRPr="005F120D">
              <w:rPr>
                <w:rFonts w:asciiTheme="minorHAnsi" w:hAnsiTheme="minorHAnsi" w:cstheme="minorHAnsi"/>
                <w:b/>
                <w:sz w:val="16"/>
                <w:szCs w:val="16"/>
              </w:rPr>
              <w:t>26,288.42</w:t>
            </w:r>
          </w:p>
        </w:tc>
        <w:tc>
          <w:tcPr>
            <w:tcW w:w="447" w:type="pct"/>
            <w:tcBorders>
              <w:top w:val="double" w:sz="4" w:space="0" w:color="31849B" w:themeColor="accent5" w:themeShade="BF"/>
            </w:tcBorders>
            <w:shd w:val="clear" w:color="auto" w:fill="DAEEF3" w:themeFill="accent5" w:themeFillTint="33"/>
          </w:tcPr>
          <w:p w:rsidR="00F36795" w:rsidRPr="005F120D" w:rsidRDefault="00F36795" w:rsidP="000A5B80">
            <w:pPr>
              <w:spacing w:after="0"/>
              <w:jc w:val="right"/>
              <w:rPr>
                <w:rFonts w:asciiTheme="minorHAnsi" w:hAnsiTheme="minorHAnsi" w:cstheme="minorHAnsi"/>
                <w:b/>
                <w:sz w:val="16"/>
                <w:szCs w:val="16"/>
              </w:rPr>
            </w:pPr>
          </w:p>
        </w:tc>
        <w:tc>
          <w:tcPr>
            <w:tcW w:w="505" w:type="pct"/>
            <w:tcBorders>
              <w:top w:val="double" w:sz="4" w:space="0" w:color="31849B" w:themeColor="accent5" w:themeShade="BF"/>
            </w:tcBorders>
            <w:shd w:val="clear" w:color="auto" w:fill="DAEEF3" w:themeFill="accent5" w:themeFillTint="33"/>
          </w:tcPr>
          <w:p w:rsidR="00F36795" w:rsidRPr="005F120D" w:rsidRDefault="00CF06D4" w:rsidP="000A5B80">
            <w:pPr>
              <w:spacing w:after="0"/>
              <w:rPr>
                <w:rFonts w:asciiTheme="minorHAnsi" w:hAnsiTheme="minorHAnsi" w:cstheme="minorHAnsi"/>
                <w:b/>
                <w:sz w:val="16"/>
                <w:szCs w:val="16"/>
              </w:rPr>
            </w:pPr>
            <w:r w:rsidRPr="005F120D">
              <w:rPr>
                <w:rFonts w:asciiTheme="minorHAnsi" w:hAnsiTheme="minorHAnsi" w:cstheme="minorHAnsi"/>
                <w:b/>
                <w:sz w:val="16"/>
                <w:szCs w:val="16"/>
              </w:rPr>
              <w:t xml:space="preserve">632.81 </w:t>
            </w:r>
            <w:r w:rsidR="00F36795" w:rsidRPr="005F120D">
              <w:rPr>
                <w:rFonts w:asciiTheme="minorHAnsi" w:hAnsiTheme="minorHAnsi" w:cstheme="minorHAnsi"/>
                <w:b/>
                <w:sz w:val="16"/>
                <w:szCs w:val="16"/>
              </w:rPr>
              <w:t>(2.4%)</w:t>
            </w:r>
          </w:p>
        </w:tc>
        <w:tc>
          <w:tcPr>
            <w:tcW w:w="635" w:type="pct"/>
            <w:tcBorders>
              <w:top w:val="double" w:sz="4" w:space="0" w:color="31849B" w:themeColor="accent5" w:themeShade="BF"/>
            </w:tcBorders>
            <w:shd w:val="clear" w:color="auto" w:fill="DAEEF3" w:themeFill="accent5" w:themeFillTint="33"/>
          </w:tcPr>
          <w:p w:rsidR="00F36795" w:rsidRPr="005F120D" w:rsidRDefault="00F36795"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25,655.61 (97.6%)</w:t>
            </w:r>
          </w:p>
        </w:tc>
        <w:tc>
          <w:tcPr>
            <w:tcW w:w="432" w:type="pct"/>
            <w:tcBorders>
              <w:top w:val="double" w:sz="4" w:space="0" w:color="31849B" w:themeColor="accent5" w:themeShade="BF"/>
            </w:tcBorders>
            <w:shd w:val="clear" w:color="auto" w:fill="DAEEF3" w:themeFill="accent5" w:themeFillTint="33"/>
          </w:tcPr>
          <w:p w:rsidR="00F36795" w:rsidRPr="005F120D" w:rsidRDefault="00F36795" w:rsidP="000A5B80">
            <w:pPr>
              <w:spacing w:after="0"/>
              <w:jc w:val="both"/>
              <w:rPr>
                <w:rFonts w:asciiTheme="minorHAnsi" w:hAnsiTheme="minorHAnsi" w:cstheme="minorHAnsi"/>
                <w:b/>
                <w:sz w:val="16"/>
                <w:szCs w:val="16"/>
              </w:rPr>
            </w:pPr>
          </w:p>
        </w:tc>
      </w:tr>
    </w:tbl>
    <w:p w:rsidR="0088483F" w:rsidRPr="005F120D" w:rsidRDefault="0088483F" w:rsidP="000A5B80">
      <w:pPr>
        <w:spacing w:after="0"/>
        <w:jc w:val="both"/>
        <w:rPr>
          <w:rFonts w:asciiTheme="minorHAnsi" w:hAnsiTheme="minorHAnsi" w:cstheme="minorHAnsi"/>
          <w:spacing w:val="-2"/>
          <w:sz w:val="18"/>
          <w:szCs w:val="18"/>
        </w:rPr>
      </w:pPr>
    </w:p>
    <w:p w:rsidR="00957547" w:rsidRPr="005F120D" w:rsidRDefault="0088483F" w:rsidP="000A5B80">
      <w:pPr>
        <w:pStyle w:val="ListParagraph"/>
        <w:numPr>
          <w:ilvl w:val="0"/>
          <w:numId w:val="88"/>
        </w:numPr>
        <w:autoSpaceDE w:val="0"/>
        <w:autoSpaceDN w:val="0"/>
        <w:adjustRightInd w:val="0"/>
        <w:jc w:val="both"/>
        <w:rPr>
          <w:rFonts w:asciiTheme="minorHAnsi" w:hAnsiTheme="minorHAnsi" w:cstheme="minorHAnsi"/>
        </w:rPr>
      </w:pPr>
      <w:r w:rsidRPr="005F120D">
        <w:rPr>
          <w:rFonts w:asciiTheme="minorHAnsi" w:hAnsiTheme="minorHAnsi" w:cstheme="minorHAnsi"/>
          <w:b/>
          <w:i/>
          <w:iCs/>
          <w:color w:val="008000"/>
          <w:u w:val="single"/>
        </w:rPr>
        <w:t>Sub-Component 1.4 - Textbook Production and Distribution:</w:t>
      </w:r>
    </w:p>
    <w:p w:rsidR="00E210DC" w:rsidRPr="005F120D" w:rsidRDefault="001C3CE9" w:rsidP="00957547">
      <w:pPr>
        <w:autoSpaceDE w:val="0"/>
        <w:autoSpaceDN w:val="0"/>
        <w:adjustRightInd w:val="0"/>
        <w:jc w:val="both"/>
        <w:rPr>
          <w:rFonts w:asciiTheme="minorHAnsi" w:hAnsiTheme="minorHAnsi" w:cstheme="minorHAnsi"/>
        </w:rPr>
      </w:pPr>
      <w:r w:rsidRPr="005F120D">
        <w:rPr>
          <w:rFonts w:asciiTheme="minorHAnsi" w:hAnsiTheme="minorHAnsi" w:cstheme="minorHAnsi"/>
          <w:szCs w:val="22"/>
        </w:rPr>
        <w:t xml:space="preserve">Textbooks have been provided to </w:t>
      </w:r>
      <w:r w:rsidRPr="005F120D">
        <w:rPr>
          <w:rFonts w:asciiTheme="minorHAnsi" w:hAnsiTheme="minorHAnsi" w:cstheme="minorHAnsi"/>
        </w:rPr>
        <w:t xml:space="preserve">all eligible </w:t>
      </w:r>
      <w:r w:rsidRPr="005F120D">
        <w:rPr>
          <w:rFonts w:asciiTheme="minorHAnsi" w:hAnsiTheme="minorHAnsi" w:cstheme="minorHAnsi"/>
          <w:szCs w:val="22"/>
        </w:rPr>
        <w:t>students of all primary level institutions free of cost</w:t>
      </w:r>
      <w:r w:rsidRPr="005F120D">
        <w:rPr>
          <w:rFonts w:asciiTheme="minorHAnsi" w:hAnsiTheme="minorHAnsi" w:cstheme="minorHAnsi"/>
        </w:rPr>
        <w:t xml:space="preserve"> within</w:t>
      </w:r>
      <w:r w:rsidR="00E77A41" w:rsidRPr="005F120D">
        <w:rPr>
          <w:rFonts w:asciiTheme="minorHAnsi" w:hAnsiTheme="minorHAnsi" w:cstheme="minorHAnsi"/>
        </w:rPr>
        <w:t xml:space="preserve"> the first month of school y</w:t>
      </w:r>
      <w:r w:rsidRPr="005F120D">
        <w:rPr>
          <w:rFonts w:asciiTheme="minorHAnsi" w:hAnsiTheme="minorHAnsi" w:cstheme="minorHAnsi"/>
        </w:rPr>
        <w:t xml:space="preserve">ear (academic calendar). </w:t>
      </w:r>
      <w:r w:rsidR="00D95C0E" w:rsidRPr="005F120D">
        <w:rPr>
          <w:rFonts w:asciiTheme="minorHAnsi" w:hAnsiTheme="minorHAnsi" w:cstheme="minorHAnsi"/>
          <w:szCs w:val="22"/>
        </w:rPr>
        <w:t>The cost of printin</w:t>
      </w:r>
      <w:r w:rsidR="00582D39" w:rsidRPr="005F120D">
        <w:rPr>
          <w:rFonts w:asciiTheme="minorHAnsi" w:hAnsiTheme="minorHAnsi" w:cstheme="minorHAnsi"/>
          <w:szCs w:val="22"/>
        </w:rPr>
        <w:t>g a</w:t>
      </w:r>
      <w:r w:rsidR="00E77A41" w:rsidRPr="005F120D">
        <w:rPr>
          <w:rFonts w:asciiTheme="minorHAnsi" w:hAnsiTheme="minorHAnsi" w:cstheme="minorHAnsi"/>
          <w:szCs w:val="22"/>
        </w:rPr>
        <w:t>nd distribution of textbooks is</w:t>
      </w:r>
      <w:r w:rsidR="00582D39" w:rsidRPr="005F120D">
        <w:rPr>
          <w:rFonts w:asciiTheme="minorHAnsi" w:hAnsiTheme="minorHAnsi" w:cstheme="minorHAnsi"/>
          <w:szCs w:val="22"/>
        </w:rPr>
        <w:t xml:space="preserve"> covered by</w:t>
      </w:r>
      <w:r w:rsidR="00D95C0E" w:rsidRPr="005F120D">
        <w:rPr>
          <w:rFonts w:asciiTheme="minorHAnsi" w:hAnsiTheme="minorHAnsi" w:cstheme="minorHAnsi"/>
          <w:szCs w:val="22"/>
        </w:rPr>
        <w:t xml:space="preserve"> the non-development budget of DPE</w:t>
      </w:r>
      <w:r w:rsidR="00D95C0E" w:rsidRPr="005F120D">
        <w:rPr>
          <w:rFonts w:asciiTheme="minorHAnsi" w:hAnsiTheme="minorHAnsi" w:cstheme="minorHAnsi"/>
        </w:rPr>
        <w:t xml:space="preserve">. </w:t>
      </w:r>
      <w:r w:rsidRPr="005F120D">
        <w:rPr>
          <w:rFonts w:asciiTheme="minorHAnsi" w:hAnsiTheme="minorHAnsi" w:cstheme="minorHAnsi"/>
        </w:rPr>
        <w:t>The total o</w:t>
      </w:r>
      <w:r w:rsidRPr="005F120D">
        <w:rPr>
          <w:rFonts w:asciiTheme="minorHAnsi" w:hAnsiTheme="minorHAnsi" w:cstheme="minorHAnsi"/>
          <w:bCs/>
        </w:rPr>
        <w:t>riginal cost as per DPP was Tk. 141,027.34 Lac and revised cost as per RDPP is Tk. 8,002.53 Lac</w:t>
      </w:r>
      <w:r w:rsidR="00777D8C" w:rsidRPr="005F120D">
        <w:rPr>
          <w:rFonts w:asciiTheme="minorHAnsi" w:hAnsiTheme="minorHAnsi" w:cstheme="minorHAnsi"/>
          <w:bCs/>
        </w:rPr>
        <w:t>.</w:t>
      </w:r>
    </w:p>
    <w:p w:rsidR="0088483F" w:rsidRPr="005F120D" w:rsidRDefault="00F36795" w:rsidP="000A5B80">
      <w:pPr>
        <w:pStyle w:val="Caption"/>
        <w:spacing w:before="120" w:after="120"/>
        <w:rPr>
          <w:rFonts w:cstheme="minorHAnsi"/>
          <w:szCs w:val="22"/>
        </w:rPr>
      </w:pPr>
      <w:bookmarkStart w:id="80" w:name="_Toc462837231"/>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9</w:t>
      </w:r>
      <w:r w:rsidR="002E2ED5" w:rsidRPr="005F120D">
        <w:rPr>
          <w:rFonts w:cstheme="minorHAnsi"/>
        </w:rPr>
        <w:fldChar w:fldCharType="end"/>
      </w:r>
      <w:r w:rsidR="0088483F" w:rsidRPr="005F120D">
        <w:rPr>
          <w:rFonts w:cstheme="minorHAnsi"/>
        </w:rPr>
        <w:t>: Textbook Production and Distribution</w:t>
      </w:r>
      <w:r w:rsidR="00EA120C" w:rsidRPr="005F120D">
        <w:rPr>
          <w:rFonts w:cstheme="minorHAnsi"/>
        </w:rPr>
        <w:t>:</w:t>
      </w:r>
      <w:r w:rsidR="00072DB3">
        <w:rPr>
          <w:rFonts w:cstheme="minorHAnsi"/>
        </w:rPr>
        <w:t xml:space="preserve"> </w:t>
      </w:r>
      <w:r w:rsidR="00C27B1A" w:rsidRPr="005F120D">
        <w:rPr>
          <w:rFonts w:cstheme="minorHAnsi"/>
        </w:rPr>
        <w:t>Cost and Expenditure as of June 2015</w:t>
      </w:r>
      <w:bookmarkEnd w:id="80"/>
    </w:p>
    <w:p w:rsidR="0088483F" w:rsidRPr="005F120D" w:rsidRDefault="0088483F" w:rsidP="000A5B80">
      <w:pPr>
        <w:spacing w:after="0"/>
        <w:ind w:left="720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1818"/>
        <w:gridCol w:w="1072"/>
        <w:gridCol w:w="995"/>
        <w:gridCol w:w="832"/>
        <w:gridCol w:w="819"/>
        <w:gridCol w:w="762"/>
        <w:gridCol w:w="819"/>
        <w:gridCol w:w="1324"/>
        <w:gridCol w:w="802"/>
      </w:tblGrid>
      <w:tr w:rsidR="00CF06D4" w:rsidRPr="005F120D" w:rsidTr="003868FA">
        <w:trPr>
          <w:tblHeader/>
        </w:trPr>
        <w:tc>
          <w:tcPr>
            <w:tcW w:w="983" w:type="pct"/>
            <w:vMerge w:val="restar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1118" w:type="pct"/>
            <w:gridSpan w:val="2"/>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vAlign w:val="center"/>
          </w:tcPr>
          <w:p w:rsidR="00CF06D4" w:rsidRPr="005F120D" w:rsidRDefault="00CF06D4"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893" w:type="pct"/>
            <w:gridSpan w:val="2"/>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vAlign w:val="center"/>
          </w:tcPr>
          <w:p w:rsidR="00CF06D4" w:rsidRPr="005F120D" w:rsidRDefault="00CF06D4"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855" w:type="pct"/>
            <w:gridSpan w:val="2"/>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vAlign w:val="center"/>
          </w:tcPr>
          <w:p w:rsidR="00CF06D4"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716" w:type="pct"/>
            <w:vMerge w:val="restar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34" w:type="pct"/>
            <w:vMerge w:val="restar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92CDDC" w:themeFill="accent5" w:themeFillTint="99"/>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CF06D4" w:rsidRPr="005F120D" w:rsidTr="003868FA">
        <w:trPr>
          <w:tblHeader/>
        </w:trPr>
        <w:tc>
          <w:tcPr>
            <w:tcW w:w="983" w:type="pct"/>
            <w:vMerge/>
            <w:tcBorders>
              <w:top w:val="double" w:sz="4" w:space="0" w:color="31849B" w:themeColor="accent5" w:themeShade="BF"/>
              <w:bottom w:val="double" w:sz="4"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c>
          <w:tcPr>
            <w:tcW w:w="580"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92CDDC" w:themeFill="accent5" w:themeFillTint="99"/>
            <w:vAlign w:val="center"/>
          </w:tcPr>
          <w:p w:rsidR="00CF06D4" w:rsidRPr="005F120D" w:rsidRDefault="00CF06D4"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38"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vAlign w:val="center"/>
          </w:tcPr>
          <w:p w:rsidR="00CF06D4" w:rsidRPr="005F120D" w:rsidRDefault="00CF06D4"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50"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92CDDC" w:themeFill="accent5" w:themeFillTint="99"/>
            <w:vAlign w:val="center"/>
          </w:tcPr>
          <w:p w:rsidR="00CF06D4" w:rsidRPr="005F120D" w:rsidRDefault="00CF06D4"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43"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vAlign w:val="center"/>
          </w:tcPr>
          <w:p w:rsidR="00CF06D4" w:rsidRPr="005F120D" w:rsidRDefault="00CF06D4"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12"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B6DDE8" w:themeFill="accent5" w:themeFillTint="66"/>
            <w:vAlign w:val="center"/>
          </w:tcPr>
          <w:p w:rsidR="00CF06D4" w:rsidRPr="005F120D" w:rsidRDefault="00CF06D4"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43"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B6DDE8" w:themeFill="accent5" w:themeFillTint="66"/>
            <w:vAlign w:val="center"/>
          </w:tcPr>
          <w:p w:rsidR="00CF06D4" w:rsidRPr="005F120D" w:rsidRDefault="00CF06D4"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716" w:type="pct"/>
            <w:vMerge/>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c>
          <w:tcPr>
            <w:tcW w:w="434" w:type="pct"/>
            <w:vMerge/>
            <w:tcBorders>
              <w:top w:val="double" w:sz="4" w:space="0" w:color="31849B" w:themeColor="accent5" w:themeShade="BF"/>
              <w:left w:val="double" w:sz="4" w:space="0" w:color="31849B" w:themeColor="accent5" w:themeShade="BF"/>
              <w:bottom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double" w:sz="4"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1. Orientation / briefing on book distribution</w:t>
            </w:r>
          </w:p>
        </w:tc>
        <w:tc>
          <w:tcPr>
            <w:tcW w:w="580" w:type="pct"/>
            <w:tcBorders>
              <w:top w:val="double" w:sz="4"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38" w:type="pct"/>
            <w:tcBorders>
              <w:top w:val="double" w:sz="4"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0" w:type="pct"/>
            <w:tcBorders>
              <w:top w:val="double" w:sz="4"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504 Uzs</w:t>
            </w:r>
          </w:p>
        </w:tc>
        <w:tc>
          <w:tcPr>
            <w:tcW w:w="443" w:type="pct"/>
            <w:tcBorders>
              <w:top w:val="double" w:sz="4"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377.00</w:t>
            </w:r>
          </w:p>
        </w:tc>
        <w:tc>
          <w:tcPr>
            <w:tcW w:w="412" w:type="pct"/>
            <w:tcBorders>
              <w:top w:val="double" w:sz="4"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504 Uzs</w:t>
            </w:r>
          </w:p>
        </w:tc>
        <w:tc>
          <w:tcPr>
            <w:tcW w:w="443" w:type="pct"/>
            <w:tcBorders>
              <w:top w:val="double" w:sz="4"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187</w:t>
            </w:r>
          </w:p>
        </w:tc>
        <w:tc>
          <w:tcPr>
            <w:tcW w:w="716" w:type="pct"/>
            <w:tcBorders>
              <w:top w:val="double" w:sz="4"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190.00</w:t>
            </w:r>
          </w:p>
        </w:tc>
        <w:tc>
          <w:tcPr>
            <w:tcW w:w="434" w:type="pct"/>
            <w:tcBorders>
              <w:top w:val="double" w:sz="4"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2. Student database software</w:t>
            </w:r>
          </w:p>
        </w:tc>
        <w:tc>
          <w:tcPr>
            <w:tcW w:w="580"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38"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0"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504 Uzs</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w:t>
            </w:r>
          </w:p>
        </w:tc>
        <w:tc>
          <w:tcPr>
            <w:tcW w:w="412"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504 Uzs</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0.00</w:t>
            </w:r>
          </w:p>
        </w:tc>
        <w:tc>
          <w:tcPr>
            <w:tcW w:w="716"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15.00</w:t>
            </w:r>
          </w:p>
        </w:tc>
        <w:tc>
          <w:tcPr>
            <w:tcW w:w="434"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3. Software tryout</w:t>
            </w:r>
          </w:p>
        </w:tc>
        <w:tc>
          <w:tcPr>
            <w:tcW w:w="580"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38"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0"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w:t>
            </w:r>
          </w:p>
        </w:tc>
        <w:tc>
          <w:tcPr>
            <w:tcW w:w="412"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1.24</w:t>
            </w:r>
          </w:p>
        </w:tc>
        <w:tc>
          <w:tcPr>
            <w:tcW w:w="716"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13.76</w:t>
            </w:r>
          </w:p>
        </w:tc>
        <w:tc>
          <w:tcPr>
            <w:tcW w:w="434"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4. Orientation on student database</w:t>
            </w:r>
          </w:p>
        </w:tc>
        <w:tc>
          <w:tcPr>
            <w:tcW w:w="580"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38"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0"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0.62</w:t>
            </w:r>
          </w:p>
        </w:tc>
        <w:tc>
          <w:tcPr>
            <w:tcW w:w="412"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0.62</w:t>
            </w:r>
          </w:p>
        </w:tc>
        <w:tc>
          <w:tcPr>
            <w:tcW w:w="716"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0.00</w:t>
            </w:r>
          </w:p>
        </w:tc>
        <w:tc>
          <w:tcPr>
            <w:tcW w:w="434"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5. Printing of Chalan</w:t>
            </w:r>
          </w:p>
        </w:tc>
        <w:tc>
          <w:tcPr>
            <w:tcW w:w="580"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38"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0"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4.91</w:t>
            </w:r>
          </w:p>
        </w:tc>
        <w:tc>
          <w:tcPr>
            <w:tcW w:w="412"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4.91</w:t>
            </w:r>
          </w:p>
        </w:tc>
        <w:tc>
          <w:tcPr>
            <w:tcW w:w="716"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0.00</w:t>
            </w:r>
          </w:p>
        </w:tc>
        <w:tc>
          <w:tcPr>
            <w:tcW w:w="434"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5E5710" w:rsidP="000A5B80">
            <w:pPr>
              <w:spacing w:after="0"/>
              <w:rPr>
                <w:rFonts w:asciiTheme="minorHAnsi" w:hAnsiTheme="minorHAnsi" w:cstheme="minorHAnsi"/>
                <w:sz w:val="16"/>
                <w:szCs w:val="16"/>
              </w:rPr>
            </w:pPr>
            <w:r w:rsidRPr="005F120D">
              <w:rPr>
                <w:rFonts w:asciiTheme="minorHAnsi" w:hAnsiTheme="minorHAnsi" w:cstheme="minorHAnsi"/>
                <w:sz w:val="16"/>
                <w:szCs w:val="16"/>
              </w:rPr>
              <w:t>6. E</w:t>
            </w:r>
            <w:r w:rsidR="00CF06D4" w:rsidRPr="005F120D">
              <w:rPr>
                <w:rFonts w:asciiTheme="minorHAnsi" w:hAnsiTheme="minorHAnsi" w:cstheme="minorHAnsi"/>
                <w:sz w:val="16"/>
                <w:szCs w:val="16"/>
              </w:rPr>
              <w:t xml:space="preserve">xperiences </w:t>
            </w:r>
            <w:r w:rsidRPr="005F120D">
              <w:rPr>
                <w:rFonts w:asciiTheme="minorHAnsi" w:hAnsiTheme="minorHAnsi" w:cstheme="minorHAnsi"/>
                <w:sz w:val="16"/>
                <w:szCs w:val="16"/>
              </w:rPr>
              <w:t>of</w:t>
            </w:r>
            <w:r w:rsidR="00CF06D4" w:rsidRPr="005F120D">
              <w:rPr>
                <w:rFonts w:asciiTheme="minorHAnsi" w:hAnsiTheme="minorHAnsi" w:cstheme="minorHAnsi"/>
                <w:sz w:val="16"/>
                <w:szCs w:val="16"/>
              </w:rPr>
              <w:t xml:space="preserve"> field level officers</w:t>
            </w:r>
          </w:p>
        </w:tc>
        <w:tc>
          <w:tcPr>
            <w:tcW w:w="580"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38"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0"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150.00</w:t>
            </w:r>
          </w:p>
        </w:tc>
        <w:tc>
          <w:tcPr>
            <w:tcW w:w="412"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51.25</w:t>
            </w:r>
          </w:p>
        </w:tc>
        <w:tc>
          <w:tcPr>
            <w:tcW w:w="716"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98.75</w:t>
            </w:r>
          </w:p>
        </w:tc>
        <w:tc>
          <w:tcPr>
            <w:tcW w:w="434" w:type="pct"/>
            <w:tcBorders>
              <w:top w:val="single" w:sz="6" w:space="0" w:color="31849B" w:themeColor="accent5" w:themeShade="BF"/>
              <w:left w:val="double" w:sz="4" w:space="0" w:color="31849B" w:themeColor="accent5" w:themeShade="BF"/>
              <w:bottom w:val="single" w:sz="6" w:space="0" w:color="31849B" w:themeColor="accent5" w:themeShade="BF"/>
            </w:tcBorders>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7. Textbooks - Gr 1-5 (24 books) colour</w:t>
            </w:r>
          </w:p>
        </w:tc>
        <w:tc>
          <w:tcPr>
            <w:tcW w:w="580"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418,232,800</w:t>
            </w:r>
          </w:p>
        </w:tc>
        <w:tc>
          <w:tcPr>
            <w:tcW w:w="538"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4,687.50</w:t>
            </w:r>
          </w:p>
        </w:tc>
        <w:tc>
          <w:tcPr>
            <w:tcW w:w="450"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5.25 </w:t>
            </w:r>
            <w:r w:rsidR="00F738CE" w:rsidRPr="005F120D">
              <w:rPr>
                <w:rFonts w:asciiTheme="minorHAnsi" w:hAnsiTheme="minorHAnsi" w:cstheme="minorHAnsi"/>
                <w:sz w:val="16"/>
                <w:szCs w:val="16"/>
              </w:rPr>
              <w:t>lac</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12"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0.00</w:t>
            </w:r>
          </w:p>
        </w:tc>
        <w:tc>
          <w:tcPr>
            <w:tcW w:w="716"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0.00</w:t>
            </w:r>
          </w:p>
        </w:tc>
        <w:tc>
          <w:tcPr>
            <w:tcW w:w="43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8. Misc. for book distribution</w:t>
            </w:r>
          </w:p>
        </w:tc>
        <w:tc>
          <w:tcPr>
            <w:tcW w:w="580"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p>
        </w:tc>
        <w:tc>
          <w:tcPr>
            <w:tcW w:w="538"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128,839.83</w:t>
            </w:r>
          </w:p>
        </w:tc>
        <w:tc>
          <w:tcPr>
            <w:tcW w:w="450"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Different activities</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2.50</w:t>
            </w:r>
          </w:p>
        </w:tc>
        <w:tc>
          <w:tcPr>
            <w:tcW w:w="412"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0.00</w:t>
            </w:r>
          </w:p>
        </w:tc>
        <w:tc>
          <w:tcPr>
            <w:tcW w:w="716"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2.50</w:t>
            </w:r>
          </w:p>
        </w:tc>
        <w:tc>
          <w:tcPr>
            <w:tcW w:w="43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9. Teachers' Guide - Grade 1-5  no colour</w:t>
            </w:r>
          </w:p>
        </w:tc>
        <w:tc>
          <w:tcPr>
            <w:tcW w:w="580"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4,350,000</w:t>
            </w:r>
          </w:p>
        </w:tc>
        <w:tc>
          <w:tcPr>
            <w:tcW w:w="538"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5,437.50</w:t>
            </w:r>
          </w:p>
        </w:tc>
        <w:tc>
          <w:tcPr>
            <w:tcW w:w="450"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116 </w:t>
            </w:r>
            <w:r w:rsidR="00F738CE" w:rsidRPr="005F120D">
              <w:rPr>
                <w:rFonts w:asciiTheme="minorHAnsi" w:hAnsiTheme="minorHAnsi" w:cstheme="minorHAnsi"/>
                <w:sz w:val="16"/>
                <w:szCs w:val="16"/>
              </w:rPr>
              <w:t>lac</w:t>
            </w:r>
            <w:r w:rsidRPr="005F120D">
              <w:rPr>
                <w:rFonts w:asciiTheme="minorHAnsi" w:hAnsiTheme="minorHAnsi" w:cstheme="minorHAnsi"/>
                <w:sz w:val="16"/>
                <w:szCs w:val="16"/>
              </w:rPr>
              <w:t>,</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5,000.00</w:t>
            </w:r>
          </w:p>
        </w:tc>
        <w:tc>
          <w:tcPr>
            <w:tcW w:w="412"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3" w:type="pct"/>
            <w:tcBorders>
              <w:top w:val="single" w:sz="6"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0.00</w:t>
            </w:r>
          </w:p>
        </w:tc>
        <w:tc>
          <w:tcPr>
            <w:tcW w:w="716" w:type="pct"/>
            <w:tcBorders>
              <w:top w:val="single" w:sz="6" w:space="0" w:color="31849B" w:themeColor="accent5" w:themeShade="BF"/>
              <w:left w:val="double" w:sz="4" w:space="0" w:color="31849B" w:themeColor="accent5" w:themeShade="BF"/>
              <w:bottom w:val="single" w:sz="6"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5,000.00</w:t>
            </w:r>
          </w:p>
        </w:tc>
        <w:tc>
          <w:tcPr>
            <w:tcW w:w="434" w:type="pct"/>
            <w:tcBorders>
              <w:top w:val="single" w:sz="6" w:space="0" w:color="31849B" w:themeColor="accent5" w:themeShade="BF"/>
              <w:left w:val="double" w:sz="4" w:space="0" w:color="31849B" w:themeColor="accent5" w:themeShade="BF"/>
              <w:bottom w:val="single" w:sz="6"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single" w:sz="6" w:space="0" w:color="31849B" w:themeColor="accent5" w:themeShade="BF"/>
              <w:bottom w:val="double" w:sz="4"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10. TLM (22 books) </w:t>
            </w:r>
          </w:p>
        </w:tc>
        <w:tc>
          <w:tcPr>
            <w:tcW w:w="580"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1,650,000</w:t>
            </w:r>
          </w:p>
        </w:tc>
        <w:tc>
          <w:tcPr>
            <w:tcW w:w="538" w:type="pct"/>
            <w:tcBorders>
              <w:top w:val="single" w:sz="6" w:space="0" w:color="31849B" w:themeColor="accent5" w:themeShade="BF"/>
              <w:bottom w:val="double" w:sz="4"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p>
        </w:tc>
        <w:tc>
          <w:tcPr>
            <w:tcW w:w="450"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p>
        </w:tc>
        <w:tc>
          <w:tcPr>
            <w:tcW w:w="443" w:type="pct"/>
            <w:tcBorders>
              <w:top w:val="single" w:sz="6" w:space="0" w:color="31849B" w:themeColor="accent5" w:themeShade="BF"/>
              <w:bottom w:val="double" w:sz="4"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12"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p>
        </w:tc>
        <w:tc>
          <w:tcPr>
            <w:tcW w:w="443" w:type="pct"/>
            <w:tcBorders>
              <w:top w:val="single" w:sz="6" w:space="0" w:color="31849B" w:themeColor="accent5" w:themeShade="BF"/>
              <w:bottom w:val="double" w:sz="4"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0.00</w:t>
            </w:r>
          </w:p>
        </w:tc>
        <w:tc>
          <w:tcPr>
            <w:tcW w:w="716" w:type="pct"/>
            <w:tcBorders>
              <w:top w:val="single" w:sz="6"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0.00</w:t>
            </w:r>
          </w:p>
        </w:tc>
        <w:tc>
          <w:tcPr>
            <w:tcW w:w="434"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rPr>
          <w:trHeight w:hRule="exact" w:val="264"/>
        </w:trPr>
        <w:tc>
          <w:tcPr>
            <w:tcW w:w="983" w:type="pct"/>
            <w:tcBorders>
              <w:top w:val="single" w:sz="6" w:space="0" w:color="31849B" w:themeColor="accent5" w:themeShade="BF"/>
              <w:bottom w:val="double" w:sz="4"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rPr>
                <w:rFonts w:asciiTheme="minorHAnsi" w:hAnsiTheme="minorHAnsi" w:cstheme="minorHAnsi"/>
                <w:sz w:val="16"/>
                <w:szCs w:val="16"/>
              </w:rPr>
            </w:pPr>
            <w:r w:rsidRPr="005F120D">
              <w:rPr>
                <w:rFonts w:asciiTheme="minorHAnsi" w:hAnsiTheme="minorHAnsi" w:cstheme="minorHAnsi"/>
                <w:sz w:val="16"/>
                <w:szCs w:val="16"/>
              </w:rPr>
              <w:t>12. SRM Grades 1-5</w:t>
            </w:r>
          </w:p>
        </w:tc>
        <w:tc>
          <w:tcPr>
            <w:tcW w:w="580"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9,375,000</w:t>
            </w:r>
          </w:p>
        </w:tc>
        <w:tc>
          <w:tcPr>
            <w:tcW w:w="538" w:type="pct"/>
            <w:tcBorders>
              <w:top w:val="single" w:sz="6" w:space="0" w:color="31849B" w:themeColor="accent5" w:themeShade="BF"/>
              <w:bottom w:val="double" w:sz="4"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2,062.50</w:t>
            </w:r>
          </w:p>
        </w:tc>
        <w:tc>
          <w:tcPr>
            <w:tcW w:w="450"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3" w:type="pct"/>
            <w:tcBorders>
              <w:top w:val="single" w:sz="6" w:space="0" w:color="31849B" w:themeColor="accent5" w:themeShade="BF"/>
              <w:bottom w:val="double" w:sz="4"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2,437.50</w:t>
            </w:r>
          </w:p>
        </w:tc>
        <w:tc>
          <w:tcPr>
            <w:tcW w:w="412"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3" w:type="pct"/>
            <w:tcBorders>
              <w:top w:val="single" w:sz="6" w:space="0" w:color="31849B" w:themeColor="accent5" w:themeShade="BF"/>
              <w:bottom w:val="double" w:sz="4"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0.00</w:t>
            </w:r>
          </w:p>
        </w:tc>
        <w:tc>
          <w:tcPr>
            <w:tcW w:w="716" w:type="pct"/>
            <w:tcBorders>
              <w:top w:val="single" w:sz="6"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2,437.50</w:t>
            </w:r>
          </w:p>
        </w:tc>
        <w:tc>
          <w:tcPr>
            <w:tcW w:w="434" w:type="pct"/>
            <w:tcBorders>
              <w:top w:val="single" w:sz="6" w:space="0" w:color="31849B" w:themeColor="accent5" w:themeShade="BF"/>
              <w:left w:val="double" w:sz="4" w:space="0" w:color="31849B" w:themeColor="accent5" w:themeShade="BF"/>
              <w:bottom w:val="double" w:sz="4" w:space="0" w:color="31849B" w:themeColor="accent5" w:themeShade="BF"/>
            </w:tcBorders>
            <w:shd w:val="clear" w:color="auto" w:fill="auto"/>
            <w:vAlign w:val="center"/>
          </w:tcPr>
          <w:p w:rsidR="00CF06D4" w:rsidRPr="005F120D" w:rsidRDefault="00CF06D4" w:rsidP="000A5B80">
            <w:pPr>
              <w:spacing w:after="0"/>
              <w:jc w:val="center"/>
              <w:rPr>
                <w:rFonts w:asciiTheme="minorHAnsi" w:hAnsiTheme="minorHAnsi" w:cstheme="minorHAnsi"/>
                <w:sz w:val="16"/>
                <w:szCs w:val="16"/>
              </w:rPr>
            </w:pPr>
          </w:p>
        </w:tc>
      </w:tr>
      <w:tr w:rsidR="00CF06D4" w:rsidRPr="005F120D" w:rsidTr="003868FA">
        <w:tc>
          <w:tcPr>
            <w:tcW w:w="983"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vAlign w:val="center"/>
          </w:tcPr>
          <w:p w:rsidR="00CF06D4" w:rsidRPr="005F120D" w:rsidRDefault="00CF06D4" w:rsidP="000A5B80">
            <w:pPr>
              <w:spacing w:after="0"/>
              <w:jc w:val="center"/>
              <w:rPr>
                <w:rFonts w:asciiTheme="minorHAnsi" w:hAnsiTheme="minorHAnsi" w:cstheme="minorHAnsi"/>
                <w:b/>
                <w:color w:val="000000"/>
                <w:sz w:val="16"/>
                <w:szCs w:val="16"/>
              </w:rPr>
            </w:pPr>
            <w:r w:rsidRPr="005F120D">
              <w:rPr>
                <w:rFonts w:asciiTheme="minorHAnsi" w:hAnsiTheme="minorHAnsi" w:cstheme="minorHAnsi"/>
                <w:b/>
                <w:color w:val="000000"/>
                <w:sz w:val="16"/>
                <w:szCs w:val="16"/>
              </w:rPr>
              <w:t>Total</w:t>
            </w:r>
          </w:p>
        </w:tc>
        <w:tc>
          <w:tcPr>
            <w:tcW w:w="580"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vAlign w:val="center"/>
          </w:tcPr>
          <w:p w:rsidR="00CF06D4" w:rsidRPr="005F120D" w:rsidRDefault="00CF06D4" w:rsidP="000A5B80">
            <w:pPr>
              <w:spacing w:after="0"/>
              <w:jc w:val="center"/>
              <w:rPr>
                <w:rFonts w:asciiTheme="minorHAnsi" w:hAnsiTheme="minorHAnsi" w:cstheme="minorHAnsi"/>
                <w:b/>
                <w:sz w:val="16"/>
                <w:szCs w:val="16"/>
              </w:rPr>
            </w:pPr>
          </w:p>
        </w:tc>
        <w:tc>
          <w:tcPr>
            <w:tcW w:w="538"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vAlign w:val="center"/>
          </w:tcPr>
          <w:p w:rsidR="00CF06D4" w:rsidRPr="005F120D" w:rsidRDefault="00CF06D4"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141,027.33</w:t>
            </w:r>
          </w:p>
        </w:tc>
        <w:tc>
          <w:tcPr>
            <w:tcW w:w="450"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vAlign w:val="center"/>
          </w:tcPr>
          <w:p w:rsidR="00CF06D4" w:rsidRPr="005F120D" w:rsidRDefault="00CF06D4" w:rsidP="000A5B80">
            <w:pPr>
              <w:spacing w:after="0"/>
              <w:jc w:val="center"/>
              <w:rPr>
                <w:rFonts w:asciiTheme="minorHAnsi" w:hAnsiTheme="minorHAnsi" w:cstheme="minorHAnsi"/>
                <w:b/>
                <w:sz w:val="16"/>
                <w:szCs w:val="16"/>
              </w:rPr>
            </w:pPr>
          </w:p>
        </w:tc>
        <w:tc>
          <w:tcPr>
            <w:tcW w:w="443"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vAlign w:val="center"/>
          </w:tcPr>
          <w:p w:rsidR="00CF06D4" w:rsidRPr="005F120D" w:rsidRDefault="00CF06D4"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8,002.53</w:t>
            </w:r>
          </w:p>
        </w:tc>
        <w:tc>
          <w:tcPr>
            <w:tcW w:w="412"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vAlign w:val="center"/>
          </w:tcPr>
          <w:p w:rsidR="00CF06D4" w:rsidRPr="005F120D" w:rsidRDefault="00CF06D4" w:rsidP="000A5B80">
            <w:pPr>
              <w:spacing w:after="0"/>
              <w:jc w:val="center"/>
              <w:rPr>
                <w:rFonts w:asciiTheme="minorHAnsi" w:hAnsiTheme="minorHAnsi" w:cstheme="minorHAnsi"/>
                <w:b/>
                <w:sz w:val="16"/>
                <w:szCs w:val="16"/>
              </w:rPr>
            </w:pPr>
          </w:p>
        </w:tc>
        <w:tc>
          <w:tcPr>
            <w:tcW w:w="443"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vAlign w:val="center"/>
          </w:tcPr>
          <w:p w:rsidR="00CF06D4" w:rsidRPr="005F120D" w:rsidRDefault="00CF06D4"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245.02 (3%)</w:t>
            </w:r>
          </w:p>
        </w:tc>
        <w:tc>
          <w:tcPr>
            <w:tcW w:w="716"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DAEEF3" w:themeFill="accent5" w:themeFillTint="33"/>
            <w:vAlign w:val="center"/>
          </w:tcPr>
          <w:p w:rsidR="00CF06D4" w:rsidRPr="005F120D" w:rsidRDefault="00CF06D4"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7,757.51 (97%)</w:t>
            </w:r>
          </w:p>
        </w:tc>
        <w:tc>
          <w:tcPr>
            <w:tcW w:w="434"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DAEEF3" w:themeFill="accent5" w:themeFillTint="33"/>
            <w:vAlign w:val="center"/>
          </w:tcPr>
          <w:p w:rsidR="00CF06D4" w:rsidRPr="005F120D" w:rsidRDefault="00CF06D4" w:rsidP="000A5B80">
            <w:pPr>
              <w:spacing w:after="0"/>
              <w:jc w:val="center"/>
              <w:rPr>
                <w:rFonts w:asciiTheme="minorHAnsi" w:hAnsiTheme="minorHAnsi" w:cstheme="minorHAnsi"/>
                <w:b/>
                <w:sz w:val="16"/>
                <w:szCs w:val="16"/>
              </w:rPr>
            </w:pPr>
          </w:p>
        </w:tc>
      </w:tr>
    </w:tbl>
    <w:p w:rsidR="006F6755" w:rsidRPr="005F120D" w:rsidRDefault="003A1938" w:rsidP="000A5B80">
      <w:pPr>
        <w:pStyle w:val="ListParagraph"/>
        <w:numPr>
          <w:ilvl w:val="0"/>
          <w:numId w:val="88"/>
        </w:numPr>
        <w:autoSpaceDE w:val="0"/>
        <w:autoSpaceDN w:val="0"/>
        <w:adjustRightInd w:val="0"/>
        <w:spacing w:before="240"/>
        <w:jc w:val="both"/>
        <w:rPr>
          <w:rFonts w:asciiTheme="minorHAnsi" w:hAnsiTheme="minorHAnsi" w:cstheme="minorHAnsi"/>
        </w:rPr>
      </w:pPr>
      <w:r w:rsidRPr="005F120D">
        <w:rPr>
          <w:rFonts w:asciiTheme="minorHAnsi" w:hAnsiTheme="minorHAnsi" w:cstheme="minorHAnsi"/>
          <w:b/>
          <w:i/>
          <w:iCs/>
          <w:color w:val="008000"/>
          <w:u w:val="single"/>
        </w:rPr>
        <w:t>Sub-Component 1.5-</w:t>
      </w:r>
      <w:r w:rsidR="0088483F" w:rsidRPr="005F120D">
        <w:rPr>
          <w:rFonts w:asciiTheme="minorHAnsi" w:hAnsiTheme="minorHAnsi" w:cstheme="minorHAnsi"/>
          <w:b/>
          <w:i/>
          <w:iCs/>
          <w:color w:val="008000"/>
          <w:u w:val="single"/>
        </w:rPr>
        <w:t>ICT in Education:</w:t>
      </w:r>
    </w:p>
    <w:p w:rsidR="0088483F" w:rsidRPr="005F120D" w:rsidRDefault="00582D39" w:rsidP="000A5B80">
      <w:pPr>
        <w:autoSpaceDE w:val="0"/>
        <w:autoSpaceDN w:val="0"/>
        <w:adjustRightInd w:val="0"/>
        <w:spacing w:before="240"/>
        <w:jc w:val="both"/>
        <w:rPr>
          <w:rFonts w:asciiTheme="minorHAnsi" w:hAnsiTheme="minorHAnsi" w:cstheme="minorHAnsi"/>
        </w:rPr>
      </w:pPr>
      <w:r w:rsidRPr="005F120D">
        <w:rPr>
          <w:rFonts w:asciiTheme="minorHAnsi" w:hAnsiTheme="minorHAnsi" w:cstheme="minorHAnsi"/>
          <w:szCs w:val="22"/>
        </w:rPr>
        <w:t>An important g</w:t>
      </w:r>
      <w:r w:rsidR="007042E5" w:rsidRPr="005F120D">
        <w:rPr>
          <w:rFonts w:asciiTheme="minorHAnsi" w:hAnsiTheme="minorHAnsi" w:cstheme="minorHAnsi"/>
          <w:szCs w:val="22"/>
        </w:rPr>
        <w:t>oal of the G</w:t>
      </w:r>
      <w:r w:rsidRPr="005F120D">
        <w:rPr>
          <w:rFonts w:asciiTheme="minorHAnsi" w:hAnsiTheme="minorHAnsi" w:cstheme="minorHAnsi"/>
          <w:szCs w:val="22"/>
        </w:rPr>
        <w:t>overnment is to move to</w:t>
      </w:r>
      <w:r w:rsidR="007042E5" w:rsidRPr="005F120D">
        <w:rPr>
          <w:rFonts w:asciiTheme="minorHAnsi" w:hAnsiTheme="minorHAnsi" w:cstheme="minorHAnsi"/>
          <w:szCs w:val="22"/>
        </w:rPr>
        <w:t xml:space="preserve"> digital classroom teaching and learning</w:t>
      </w:r>
      <w:r w:rsidRPr="005F120D">
        <w:rPr>
          <w:rFonts w:asciiTheme="minorHAnsi" w:hAnsiTheme="minorHAnsi" w:cstheme="minorHAnsi"/>
          <w:szCs w:val="22"/>
        </w:rPr>
        <w:t>;</w:t>
      </w:r>
      <w:r w:rsidR="00072DB3">
        <w:rPr>
          <w:rFonts w:asciiTheme="minorHAnsi" w:hAnsiTheme="minorHAnsi" w:cstheme="minorHAnsi"/>
          <w:szCs w:val="22"/>
        </w:rPr>
        <w:t xml:space="preserve"> </w:t>
      </w:r>
      <w:r w:rsidR="007042E5" w:rsidRPr="005F120D">
        <w:rPr>
          <w:rFonts w:asciiTheme="minorHAnsi" w:hAnsiTheme="minorHAnsi" w:cstheme="minorHAnsi"/>
          <w:iCs/>
        </w:rPr>
        <w:t>accordingly</w:t>
      </w:r>
      <w:r w:rsidR="00072DB3">
        <w:rPr>
          <w:rFonts w:asciiTheme="minorHAnsi" w:hAnsiTheme="minorHAnsi" w:cstheme="minorHAnsi"/>
          <w:iCs/>
        </w:rPr>
        <w:t xml:space="preserve"> </w:t>
      </w:r>
      <w:r w:rsidRPr="005F120D">
        <w:rPr>
          <w:rFonts w:asciiTheme="minorHAnsi" w:hAnsiTheme="minorHAnsi" w:cstheme="minorHAnsi"/>
          <w:iCs/>
        </w:rPr>
        <w:t xml:space="preserve">DPE is </w:t>
      </w:r>
      <w:r w:rsidR="005C62A6" w:rsidRPr="005F120D">
        <w:rPr>
          <w:rFonts w:asciiTheme="minorHAnsi" w:hAnsiTheme="minorHAnsi" w:cstheme="minorHAnsi"/>
          <w:iCs/>
        </w:rPr>
        <w:t>p</w:t>
      </w:r>
      <w:r w:rsidRPr="005F120D">
        <w:rPr>
          <w:rFonts w:asciiTheme="minorHAnsi" w:hAnsiTheme="minorHAnsi" w:cstheme="minorHAnsi"/>
          <w:iCs/>
        </w:rPr>
        <w:t>roviding</w:t>
      </w:r>
      <w:r w:rsidR="00072DB3">
        <w:rPr>
          <w:rFonts w:asciiTheme="minorHAnsi" w:hAnsiTheme="minorHAnsi" w:cstheme="minorHAnsi"/>
          <w:iCs/>
        </w:rPr>
        <w:t xml:space="preserve"> </w:t>
      </w:r>
      <w:r w:rsidRPr="005F120D">
        <w:rPr>
          <w:rFonts w:asciiTheme="minorHAnsi" w:hAnsiTheme="minorHAnsi" w:cstheme="minorHAnsi"/>
        </w:rPr>
        <w:t>multimedia to all model s</w:t>
      </w:r>
      <w:r w:rsidR="003B47A2" w:rsidRPr="005F120D">
        <w:rPr>
          <w:rFonts w:asciiTheme="minorHAnsi" w:hAnsiTheme="minorHAnsi" w:cstheme="minorHAnsi"/>
        </w:rPr>
        <w:t>choo</w:t>
      </w:r>
      <w:r w:rsidR="007042E5" w:rsidRPr="005F120D">
        <w:rPr>
          <w:rFonts w:asciiTheme="minorHAnsi" w:hAnsiTheme="minorHAnsi" w:cstheme="minorHAnsi"/>
        </w:rPr>
        <w:t xml:space="preserve">ls including </w:t>
      </w:r>
      <w:r w:rsidRPr="005F120D">
        <w:rPr>
          <w:rFonts w:asciiTheme="minorHAnsi" w:hAnsiTheme="minorHAnsi" w:cstheme="minorHAnsi"/>
        </w:rPr>
        <w:t>l</w:t>
      </w:r>
      <w:r w:rsidR="00B67A58" w:rsidRPr="005F120D">
        <w:rPr>
          <w:rFonts w:asciiTheme="minorHAnsi" w:hAnsiTheme="minorHAnsi" w:cstheme="minorHAnsi"/>
        </w:rPr>
        <w:t xml:space="preserve">aptops </w:t>
      </w:r>
      <w:r w:rsidR="00E77A41" w:rsidRPr="005F120D">
        <w:rPr>
          <w:rFonts w:asciiTheme="minorHAnsi" w:hAnsiTheme="minorHAnsi" w:cstheme="minorHAnsi"/>
        </w:rPr>
        <w:t>in GPS</w:t>
      </w:r>
      <w:r w:rsidR="00072DB3">
        <w:rPr>
          <w:rFonts w:asciiTheme="minorHAnsi" w:hAnsiTheme="minorHAnsi" w:cstheme="minorHAnsi"/>
        </w:rPr>
        <w:t xml:space="preserve"> </w:t>
      </w:r>
      <w:r w:rsidRPr="005F120D">
        <w:rPr>
          <w:rFonts w:asciiTheme="minorHAnsi" w:hAnsiTheme="minorHAnsi" w:cstheme="minorHAnsi"/>
        </w:rPr>
        <w:t xml:space="preserve">and </w:t>
      </w:r>
      <w:r w:rsidR="00E77A41" w:rsidRPr="005F120D">
        <w:rPr>
          <w:rFonts w:asciiTheme="minorHAnsi" w:hAnsiTheme="minorHAnsi" w:cstheme="minorHAnsi"/>
        </w:rPr>
        <w:t xml:space="preserve">to </w:t>
      </w:r>
      <w:r w:rsidRPr="005F120D">
        <w:rPr>
          <w:rFonts w:asciiTheme="minorHAnsi" w:hAnsiTheme="minorHAnsi" w:cstheme="minorHAnsi"/>
        </w:rPr>
        <w:t>teacher training</w:t>
      </w:r>
      <w:r w:rsidR="00E77A41" w:rsidRPr="005F120D">
        <w:rPr>
          <w:rFonts w:asciiTheme="minorHAnsi" w:hAnsiTheme="minorHAnsi" w:cstheme="minorHAnsi"/>
        </w:rPr>
        <w:t xml:space="preserve"> units</w:t>
      </w:r>
      <w:r w:rsidRPr="005F120D">
        <w:rPr>
          <w:rFonts w:asciiTheme="minorHAnsi" w:hAnsiTheme="minorHAnsi" w:cstheme="minorHAnsi"/>
        </w:rPr>
        <w:t xml:space="preserve"> i</w:t>
      </w:r>
      <w:r w:rsidR="00E77A41" w:rsidRPr="005F120D">
        <w:rPr>
          <w:rFonts w:asciiTheme="minorHAnsi" w:hAnsiTheme="minorHAnsi" w:cstheme="minorHAnsi"/>
        </w:rPr>
        <w:t>n ITC.</w:t>
      </w:r>
      <w:r w:rsidRPr="005F120D">
        <w:rPr>
          <w:rFonts w:asciiTheme="minorHAnsi" w:hAnsiTheme="minorHAnsi" w:cstheme="minorHAnsi"/>
          <w:szCs w:val="22"/>
        </w:rPr>
        <w:t>A realistic ICT strategic</w:t>
      </w:r>
      <w:r w:rsidR="007042E5" w:rsidRPr="005F120D">
        <w:rPr>
          <w:rFonts w:asciiTheme="minorHAnsi" w:hAnsiTheme="minorHAnsi" w:cstheme="minorHAnsi"/>
          <w:szCs w:val="22"/>
        </w:rPr>
        <w:t xml:space="preserve"> plan</w:t>
      </w:r>
      <w:r w:rsidR="00072DB3">
        <w:rPr>
          <w:rFonts w:asciiTheme="minorHAnsi" w:hAnsiTheme="minorHAnsi" w:cstheme="minorHAnsi"/>
          <w:szCs w:val="22"/>
        </w:rPr>
        <w:t xml:space="preserve"> </w:t>
      </w:r>
      <w:r w:rsidR="00E77A41" w:rsidRPr="005F120D">
        <w:rPr>
          <w:rFonts w:asciiTheme="minorHAnsi" w:hAnsiTheme="minorHAnsi" w:cstheme="minorHAnsi"/>
          <w:szCs w:val="22"/>
        </w:rPr>
        <w:t>i</w:t>
      </w:r>
      <w:r w:rsidRPr="005F120D">
        <w:rPr>
          <w:rFonts w:asciiTheme="minorHAnsi" w:hAnsiTheme="minorHAnsi" w:cstheme="minorHAnsi"/>
          <w:szCs w:val="22"/>
        </w:rPr>
        <w:t>s being developed by the DPE, which will provide a</w:t>
      </w:r>
      <w:r w:rsidRPr="005F120D">
        <w:rPr>
          <w:rFonts w:asciiTheme="minorHAnsi" w:hAnsiTheme="minorHAnsi" w:cstheme="minorHAnsi"/>
        </w:rPr>
        <w:t xml:space="preserve"> further</w:t>
      </w:r>
      <w:r w:rsidR="00072DB3">
        <w:rPr>
          <w:rFonts w:asciiTheme="minorHAnsi" w:hAnsiTheme="minorHAnsi" w:cstheme="minorHAnsi"/>
        </w:rPr>
        <w:t xml:space="preserve"> </w:t>
      </w:r>
      <w:r w:rsidR="007042E5" w:rsidRPr="005F120D">
        <w:rPr>
          <w:rFonts w:asciiTheme="minorHAnsi" w:hAnsiTheme="minorHAnsi" w:cstheme="minorHAnsi"/>
          <w:szCs w:val="22"/>
        </w:rPr>
        <w:t xml:space="preserve">60,000 schools with a multi-media based class room over the remainder of PEDP3. </w:t>
      </w:r>
      <w:r w:rsidR="003B47A2" w:rsidRPr="005F120D">
        <w:rPr>
          <w:rFonts w:asciiTheme="minorHAnsi" w:hAnsiTheme="minorHAnsi" w:cstheme="minorHAnsi"/>
        </w:rPr>
        <w:t xml:space="preserve">The total original cost as per DPP was Tk. 33,826.51 </w:t>
      </w:r>
      <w:r w:rsidR="00F738CE" w:rsidRPr="005F120D">
        <w:rPr>
          <w:rFonts w:asciiTheme="minorHAnsi" w:hAnsiTheme="minorHAnsi" w:cstheme="minorHAnsi"/>
        </w:rPr>
        <w:t>Lac</w:t>
      </w:r>
      <w:r w:rsidR="003B47A2" w:rsidRPr="005F120D">
        <w:rPr>
          <w:rFonts w:asciiTheme="minorHAnsi" w:hAnsiTheme="minorHAnsi" w:cstheme="minorHAnsi"/>
        </w:rPr>
        <w:t xml:space="preserve"> and revised cost as per RDPP is Tk. 97,762.66 </w:t>
      </w:r>
      <w:r w:rsidR="00F738CE" w:rsidRPr="005F120D">
        <w:rPr>
          <w:rFonts w:asciiTheme="minorHAnsi" w:hAnsiTheme="minorHAnsi" w:cstheme="minorHAnsi"/>
        </w:rPr>
        <w:t>Lac</w:t>
      </w:r>
      <w:r w:rsidR="003A1938" w:rsidRPr="005F120D">
        <w:rPr>
          <w:rFonts w:asciiTheme="minorHAnsi" w:hAnsiTheme="minorHAnsi" w:cstheme="minorHAnsi"/>
        </w:rPr>
        <w:t>.</w:t>
      </w:r>
    </w:p>
    <w:p w:rsidR="007042E5" w:rsidRPr="005F120D" w:rsidRDefault="007042E5" w:rsidP="000A5B80">
      <w:pPr>
        <w:pStyle w:val="Caption"/>
        <w:spacing w:before="120" w:after="120"/>
        <w:rPr>
          <w:rFonts w:cstheme="minorHAnsi"/>
        </w:rPr>
      </w:pPr>
    </w:p>
    <w:p w:rsidR="007042E5" w:rsidRPr="005F120D" w:rsidRDefault="007042E5" w:rsidP="000A5B80">
      <w:pPr>
        <w:pStyle w:val="Caption"/>
        <w:spacing w:before="120" w:after="120"/>
        <w:rPr>
          <w:rFonts w:cstheme="minorHAnsi"/>
        </w:rPr>
      </w:pPr>
    </w:p>
    <w:p w:rsidR="007042E5" w:rsidRPr="005F120D" w:rsidRDefault="007042E5" w:rsidP="000A5B80">
      <w:pPr>
        <w:pStyle w:val="Caption"/>
        <w:spacing w:before="120" w:after="120"/>
        <w:rPr>
          <w:rFonts w:cstheme="minorHAnsi"/>
        </w:rPr>
      </w:pPr>
    </w:p>
    <w:p w:rsidR="0088483F" w:rsidRPr="005F120D" w:rsidRDefault="00F36795" w:rsidP="000A5B80">
      <w:pPr>
        <w:pStyle w:val="Caption"/>
        <w:spacing w:before="120" w:after="120"/>
        <w:rPr>
          <w:rFonts w:cstheme="minorHAnsi"/>
        </w:rPr>
      </w:pPr>
      <w:bookmarkStart w:id="81" w:name="_Toc462837232"/>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10</w:t>
      </w:r>
      <w:r w:rsidR="002E2ED5" w:rsidRPr="005F120D">
        <w:rPr>
          <w:rFonts w:cstheme="minorHAnsi"/>
        </w:rPr>
        <w:fldChar w:fldCharType="end"/>
      </w:r>
      <w:r w:rsidR="0088483F" w:rsidRPr="005F120D">
        <w:rPr>
          <w:rFonts w:cstheme="minorHAnsi"/>
        </w:rPr>
        <w:t xml:space="preserve">: ICT in </w:t>
      </w:r>
      <w:r w:rsidR="00072DB3" w:rsidRPr="005F120D">
        <w:rPr>
          <w:rFonts w:cstheme="minorHAnsi"/>
        </w:rPr>
        <w:t>Education: Cost</w:t>
      </w:r>
      <w:r w:rsidR="00C27B1A" w:rsidRPr="005F120D">
        <w:rPr>
          <w:rFonts w:cstheme="minorHAnsi"/>
        </w:rPr>
        <w:t xml:space="preserve"> and Expenditure as of June 2015</w:t>
      </w:r>
      <w:bookmarkEnd w:id="81"/>
    </w:p>
    <w:p w:rsidR="0088483F" w:rsidRPr="005F120D" w:rsidRDefault="0088483F" w:rsidP="000A5B80">
      <w:pPr>
        <w:spacing w:before="240" w:after="0"/>
        <w:ind w:left="720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1665"/>
        <w:gridCol w:w="771"/>
        <w:gridCol w:w="915"/>
        <w:gridCol w:w="1011"/>
        <w:gridCol w:w="915"/>
        <w:gridCol w:w="921"/>
        <w:gridCol w:w="891"/>
        <w:gridCol w:w="1211"/>
        <w:gridCol w:w="943"/>
      </w:tblGrid>
      <w:tr w:rsidR="0088483F" w:rsidRPr="005F120D" w:rsidTr="003868FA">
        <w:trPr>
          <w:tblHeader/>
        </w:trPr>
        <w:tc>
          <w:tcPr>
            <w:tcW w:w="901" w:type="pct"/>
            <w:vMerge w:val="restart"/>
            <w:shd w:val="clear" w:color="auto" w:fill="92CDDC" w:themeFill="accent5" w:themeFillTint="99"/>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12" w:type="pct"/>
            <w:gridSpan w:val="2"/>
            <w:shd w:val="clear" w:color="auto" w:fill="92CDDC" w:themeFill="accent5" w:themeFillTint="99"/>
          </w:tcPr>
          <w:p w:rsidR="0088483F" w:rsidRPr="005F120D" w:rsidRDefault="0088483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42" w:type="pct"/>
            <w:gridSpan w:val="2"/>
            <w:shd w:val="clear" w:color="auto" w:fill="92CDDC" w:themeFill="accent5" w:themeFillTint="99"/>
          </w:tcPr>
          <w:p w:rsidR="0088483F" w:rsidRPr="005F120D" w:rsidRDefault="0088483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80" w:type="pct"/>
            <w:gridSpan w:val="2"/>
            <w:shd w:val="clear" w:color="auto" w:fill="92CDDC" w:themeFill="accent5" w:themeFillTint="99"/>
          </w:tcPr>
          <w:p w:rsidR="0088483F"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55" w:type="pct"/>
            <w:vMerge w:val="restart"/>
            <w:shd w:val="clear" w:color="auto" w:fill="92CDDC" w:themeFill="accent5" w:themeFillTint="99"/>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510" w:type="pct"/>
            <w:vMerge w:val="restart"/>
            <w:shd w:val="clear" w:color="auto" w:fill="92CDDC" w:themeFill="accent5" w:themeFillTint="99"/>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88483F" w:rsidRPr="005F120D" w:rsidTr="003868FA">
        <w:trPr>
          <w:tblHeader/>
        </w:trPr>
        <w:tc>
          <w:tcPr>
            <w:tcW w:w="901" w:type="pct"/>
            <w:vMerge/>
            <w:tcBorders>
              <w:bottom w:val="single" w:sz="6" w:space="0" w:color="31849B" w:themeColor="accent5" w:themeShade="BF"/>
            </w:tcBorders>
          </w:tcPr>
          <w:p w:rsidR="0088483F" w:rsidRPr="005F120D" w:rsidRDefault="0088483F" w:rsidP="000A5B80">
            <w:pPr>
              <w:spacing w:after="0"/>
              <w:jc w:val="center"/>
              <w:rPr>
                <w:rFonts w:asciiTheme="minorHAnsi" w:hAnsiTheme="minorHAnsi" w:cstheme="minorHAnsi"/>
                <w:sz w:val="16"/>
                <w:szCs w:val="16"/>
              </w:rPr>
            </w:pPr>
          </w:p>
        </w:tc>
        <w:tc>
          <w:tcPr>
            <w:tcW w:w="417" w:type="pct"/>
            <w:shd w:val="clear" w:color="auto" w:fill="92CDDC" w:themeFill="accent5" w:themeFillTint="99"/>
          </w:tcPr>
          <w:p w:rsidR="0088483F" w:rsidRPr="005F120D" w:rsidRDefault="0088483F"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95" w:type="pct"/>
            <w:shd w:val="clear" w:color="auto" w:fill="92CDDC" w:themeFill="accent5" w:themeFillTint="99"/>
          </w:tcPr>
          <w:p w:rsidR="0088483F" w:rsidRPr="005F120D" w:rsidRDefault="0088483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47" w:type="pct"/>
            <w:shd w:val="clear" w:color="auto" w:fill="92CDDC" w:themeFill="accent5" w:themeFillTint="99"/>
          </w:tcPr>
          <w:p w:rsidR="0088483F" w:rsidRPr="005F120D" w:rsidRDefault="0088483F"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95" w:type="pct"/>
            <w:shd w:val="clear" w:color="auto" w:fill="92CDDC" w:themeFill="accent5" w:themeFillTint="99"/>
          </w:tcPr>
          <w:p w:rsidR="0088483F" w:rsidRPr="005F120D" w:rsidRDefault="0088483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98" w:type="pct"/>
            <w:shd w:val="clear" w:color="auto" w:fill="B6DDE8" w:themeFill="accent5" w:themeFillTint="66"/>
          </w:tcPr>
          <w:p w:rsidR="0088483F" w:rsidRPr="005F120D" w:rsidRDefault="0088483F" w:rsidP="000A5B80">
            <w:pPr>
              <w:tabs>
                <w:tab w:val="center" w:pos="444"/>
              </w:tabs>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ab/>
              <w:t>Physical</w:t>
            </w:r>
          </w:p>
        </w:tc>
        <w:tc>
          <w:tcPr>
            <w:tcW w:w="482" w:type="pct"/>
            <w:shd w:val="clear" w:color="auto" w:fill="B6DDE8" w:themeFill="accent5" w:themeFillTint="66"/>
          </w:tcPr>
          <w:p w:rsidR="0088483F" w:rsidRPr="005F120D" w:rsidRDefault="0088483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55" w:type="pct"/>
            <w:vMerge/>
          </w:tcPr>
          <w:p w:rsidR="0088483F" w:rsidRPr="005F120D" w:rsidRDefault="0088483F" w:rsidP="000A5B80">
            <w:pPr>
              <w:spacing w:after="0"/>
              <w:jc w:val="center"/>
              <w:rPr>
                <w:rFonts w:asciiTheme="minorHAnsi" w:hAnsiTheme="minorHAnsi" w:cstheme="minorHAnsi"/>
                <w:sz w:val="16"/>
                <w:szCs w:val="16"/>
              </w:rPr>
            </w:pPr>
          </w:p>
        </w:tc>
        <w:tc>
          <w:tcPr>
            <w:tcW w:w="510" w:type="pct"/>
            <w:vMerge/>
            <w:vAlign w:val="center"/>
          </w:tcPr>
          <w:p w:rsidR="0088483F" w:rsidRPr="005F120D" w:rsidRDefault="0088483F" w:rsidP="000A5B80">
            <w:pPr>
              <w:spacing w:after="0"/>
              <w:jc w:val="center"/>
              <w:rPr>
                <w:rFonts w:asciiTheme="minorHAnsi" w:hAnsiTheme="minorHAnsi" w:cstheme="minorHAnsi"/>
                <w:sz w:val="16"/>
                <w:szCs w:val="16"/>
              </w:rPr>
            </w:pPr>
          </w:p>
        </w:tc>
      </w:tr>
      <w:tr w:rsidR="0088483F" w:rsidRPr="005F120D" w:rsidTr="003868FA">
        <w:tc>
          <w:tcPr>
            <w:tcW w:w="901" w:type="pct"/>
            <w:tcBorders>
              <w:top w:val="single" w:sz="6" w:space="0" w:color="31849B" w:themeColor="accent5" w:themeShade="BF"/>
              <w:bottom w:val="single" w:sz="6" w:space="0" w:color="31849B" w:themeColor="accent5" w:themeShade="BF"/>
            </w:tcBorders>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1. Divisional level Orientation</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35</w:t>
            </w:r>
          </w:p>
        </w:tc>
        <w:tc>
          <w:tcPr>
            <w:tcW w:w="495"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39</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131.92</w:t>
            </w:r>
          </w:p>
        </w:tc>
        <w:tc>
          <w:tcPr>
            <w:tcW w:w="498"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w:t>
            </w: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19.92</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112.00 </w:t>
            </w:r>
          </w:p>
        </w:tc>
        <w:tc>
          <w:tcPr>
            <w:tcW w:w="510" w:type="pct"/>
          </w:tcPr>
          <w:p w:rsidR="0088483F" w:rsidRPr="005F120D" w:rsidRDefault="0088483F" w:rsidP="000A5B80">
            <w:pPr>
              <w:spacing w:after="0"/>
              <w:rPr>
                <w:rFonts w:asciiTheme="minorHAnsi" w:hAnsiTheme="minorHAnsi" w:cstheme="minorHAnsi"/>
                <w:sz w:val="16"/>
                <w:szCs w:val="16"/>
              </w:rPr>
            </w:pPr>
          </w:p>
        </w:tc>
      </w:tr>
      <w:tr w:rsidR="0088483F" w:rsidRPr="005F120D" w:rsidTr="003868FA">
        <w:tc>
          <w:tcPr>
            <w:tcW w:w="901" w:type="pct"/>
            <w:tcBorders>
              <w:top w:val="single" w:sz="6" w:space="0" w:color="31849B" w:themeColor="accent5" w:themeShade="BF"/>
              <w:bottom w:val="single" w:sz="6" w:space="0" w:color="31849B" w:themeColor="accent5" w:themeShade="BF"/>
            </w:tcBorders>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2. Teacher Training</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 yrs.</w:t>
            </w:r>
          </w:p>
        </w:tc>
        <w:tc>
          <w:tcPr>
            <w:tcW w:w="495"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3,600.00</w:t>
            </w: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65,000 </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8,417.52</w:t>
            </w:r>
          </w:p>
        </w:tc>
        <w:tc>
          <w:tcPr>
            <w:tcW w:w="498"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50,000 </w:t>
            </w: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3,493.14</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4,924.38 </w:t>
            </w:r>
          </w:p>
        </w:tc>
        <w:tc>
          <w:tcPr>
            <w:tcW w:w="510" w:type="pct"/>
          </w:tcPr>
          <w:p w:rsidR="0088483F" w:rsidRPr="005F120D" w:rsidRDefault="0088483F" w:rsidP="000A5B80">
            <w:pPr>
              <w:spacing w:after="0"/>
              <w:rPr>
                <w:rFonts w:asciiTheme="minorHAnsi" w:hAnsiTheme="minorHAnsi" w:cstheme="minorHAnsi"/>
                <w:sz w:val="16"/>
                <w:szCs w:val="16"/>
              </w:rPr>
            </w:pPr>
          </w:p>
        </w:tc>
      </w:tr>
      <w:tr w:rsidR="0088483F" w:rsidRPr="005F120D" w:rsidTr="003868FA">
        <w:tc>
          <w:tcPr>
            <w:tcW w:w="901" w:type="pct"/>
            <w:tcBorders>
              <w:top w:val="single" w:sz="6" w:space="0" w:color="31849B" w:themeColor="accent5" w:themeShade="BF"/>
              <w:bottom w:val="single" w:sz="6" w:space="0" w:color="31849B" w:themeColor="accent5" w:themeShade="BF"/>
            </w:tcBorders>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3. Trouble shooting Training</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5"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1,941 officials</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239.38</w:t>
            </w:r>
          </w:p>
        </w:tc>
        <w:tc>
          <w:tcPr>
            <w:tcW w:w="498"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672 officials</w:t>
            </w: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47.23</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192.15 </w:t>
            </w:r>
          </w:p>
        </w:tc>
        <w:tc>
          <w:tcPr>
            <w:tcW w:w="510"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UEO &amp; URC</w:t>
            </w:r>
          </w:p>
        </w:tc>
      </w:tr>
      <w:tr w:rsidR="0088483F" w:rsidRPr="005F120D" w:rsidTr="003868FA">
        <w:tc>
          <w:tcPr>
            <w:tcW w:w="901" w:type="pct"/>
            <w:tcBorders>
              <w:top w:val="single" w:sz="6" w:space="0" w:color="31849B" w:themeColor="accent5" w:themeShade="BF"/>
              <w:bottom w:val="single" w:sz="6" w:space="0" w:color="31849B" w:themeColor="accent5" w:themeShade="BF"/>
            </w:tcBorders>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4. Training on MS Access, WiFi and Online system</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5"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372 officials</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127.22</w:t>
            </w:r>
          </w:p>
        </w:tc>
        <w:tc>
          <w:tcPr>
            <w:tcW w:w="498"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155 officials</w:t>
            </w: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17.01</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110.21 </w:t>
            </w:r>
          </w:p>
        </w:tc>
        <w:tc>
          <w:tcPr>
            <w:tcW w:w="510"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CO, DEO, LDA, UDA  for HQ</w:t>
            </w:r>
          </w:p>
        </w:tc>
      </w:tr>
      <w:tr w:rsidR="0088483F" w:rsidRPr="005F120D" w:rsidTr="003868FA">
        <w:tc>
          <w:tcPr>
            <w:tcW w:w="901" w:type="pct"/>
            <w:tcBorders>
              <w:top w:val="single" w:sz="6" w:space="0" w:color="31849B" w:themeColor="accent5" w:themeShade="BF"/>
              <w:bottom w:val="single" w:sz="6" w:space="0" w:color="31849B" w:themeColor="accent5" w:themeShade="BF"/>
            </w:tcBorders>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5. Training on Network and Hardware </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852 officials</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150.00</w:t>
            </w:r>
          </w:p>
        </w:tc>
        <w:tc>
          <w:tcPr>
            <w:tcW w:w="498"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552 officials</w:t>
            </w: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40.52</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109.48 </w:t>
            </w:r>
          </w:p>
        </w:tc>
        <w:tc>
          <w:tcPr>
            <w:tcW w:w="510" w:type="pct"/>
          </w:tcPr>
          <w:p w:rsidR="0088483F" w:rsidRPr="005F120D" w:rsidRDefault="009072B2"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DPEO &amp; PTI </w:t>
            </w:r>
            <w:r w:rsidR="0088483F" w:rsidRPr="005F120D">
              <w:rPr>
                <w:rFonts w:asciiTheme="minorHAnsi" w:hAnsiTheme="minorHAnsi" w:cstheme="minorHAnsi"/>
                <w:sz w:val="16"/>
                <w:szCs w:val="16"/>
              </w:rPr>
              <w:t>officials</w:t>
            </w:r>
          </w:p>
        </w:tc>
      </w:tr>
      <w:tr w:rsidR="0088483F" w:rsidRPr="005F120D" w:rsidTr="003868FA">
        <w:trPr>
          <w:trHeight w:val="345"/>
        </w:trPr>
        <w:tc>
          <w:tcPr>
            <w:tcW w:w="901" w:type="pct"/>
            <w:tcBorders>
              <w:top w:val="single" w:sz="6" w:space="0" w:color="31849B" w:themeColor="accent5" w:themeShade="BF"/>
              <w:bottom w:val="single" w:sz="6" w:space="0" w:color="31849B" w:themeColor="accent5" w:themeShade="BF"/>
            </w:tcBorders>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6. ICT- online database </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DPE Database</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35.50</w:t>
            </w:r>
          </w:p>
        </w:tc>
        <w:tc>
          <w:tcPr>
            <w:tcW w:w="498"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35.50 </w:t>
            </w:r>
          </w:p>
        </w:tc>
        <w:tc>
          <w:tcPr>
            <w:tcW w:w="510" w:type="pct"/>
          </w:tcPr>
          <w:p w:rsidR="0088483F" w:rsidRPr="005F120D" w:rsidRDefault="0088483F" w:rsidP="000A5B80">
            <w:pPr>
              <w:spacing w:after="0"/>
              <w:rPr>
                <w:rFonts w:asciiTheme="minorHAnsi" w:hAnsiTheme="minorHAnsi" w:cstheme="minorHAnsi"/>
                <w:sz w:val="16"/>
                <w:szCs w:val="16"/>
              </w:rPr>
            </w:pPr>
          </w:p>
        </w:tc>
      </w:tr>
      <w:tr w:rsidR="0088483F" w:rsidRPr="005F120D" w:rsidTr="003868FA">
        <w:tc>
          <w:tcPr>
            <w:tcW w:w="901" w:type="pct"/>
            <w:tcBorders>
              <w:top w:val="single" w:sz="6" w:space="0" w:color="31849B" w:themeColor="accent5" w:themeShade="BF"/>
            </w:tcBorders>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7. ICT- Training on online database</w:t>
            </w:r>
          </w:p>
        </w:tc>
        <w:tc>
          <w:tcPr>
            <w:tcW w:w="417" w:type="pct"/>
          </w:tcPr>
          <w:p w:rsidR="0088483F" w:rsidRPr="005F120D" w:rsidRDefault="0088483F" w:rsidP="000A5B80">
            <w:pPr>
              <w:spacing w:after="0"/>
              <w:jc w:val="center"/>
              <w:rPr>
                <w:rFonts w:asciiTheme="minorHAnsi" w:hAnsiTheme="minorHAnsi" w:cstheme="minorHAnsi"/>
                <w:sz w:val="16"/>
                <w:szCs w:val="16"/>
              </w:rPr>
            </w:pPr>
          </w:p>
        </w:tc>
        <w:tc>
          <w:tcPr>
            <w:tcW w:w="495" w:type="pct"/>
          </w:tcPr>
          <w:p w:rsidR="0088483F" w:rsidRPr="005F120D" w:rsidRDefault="0088483F" w:rsidP="000A5B80">
            <w:pPr>
              <w:spacing w:after="0"/>
              <w:jc w:val="right"/>
              <w:rPr>
                <w:rFonts w:asciiTheme="minorHAnsi" w:hAnsiTheme="minorHAnsi" w:cstheme="minorHAnsi"/>
                <w:sz w:val="16"/>
                <w:szCs w:val="16"/>
              </w:rPr>
            </w:pP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72 officials</w:t>
            </w:r>
          </w:p>
        </w:tc>
        <w:tc>
          <w:tcPr>
            <w:tcW w:w="495"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26.49</w:t>
            </w:r>
          </w:p>
        </w:tc>
        <w:tc>
          <w:tcPr>
            <w:tcW w:w="498"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 officials</w:t>
            </w: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149</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(122.51)</w:t>
            </w:r>
          </w:p>
        </w:tc>
        <w:tc>
          <w:tcPr>
            <w:tcW w:w="510"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IMD officials</w:t>
            </w:r>
          </w:p>
        </w:tc>
      </w:tr>
      <w:tr w:rsidR="0088483F" w:rsidRPr="005F120D" w:rsidTr="003868FA">
        <w:tc>
          <w:tcPr>
            <w:tcW w:w="901"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8. Update MoPME website</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MoPME website</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3.25</w:t>
            </w:r>
          </w:p>
        </w:tc>
        <w:tc>
          <w:tcPr>
            <w:tcW w:w="498"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MoPME website</w:t>
            </w: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2.35</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0.90 </w:t>
            </w:r>
          </w:p>
        </w:tc>
        <w:tc>
          <w:tcPr>
            <w:tcW w:w="510" w:type="pct"/>
          </w:tcPr>
          <w:p w:rsidR="0088483F" w:rsidRPr="005F120D" w:rsidRDefault="0088483F" w:rsidP="000A5B80">
            <w:pPr>
              <w:spacing w:after="0"/>
              <w:rPr>
                <w:rFonts w:asciiTheme="minorHAnsi" w:hAnsiTheme="minorHAnsi" w:cstheme="minorHAnsi"/>
                <w:sz w:val="16"/>
                <w:szCs w:val="16"/>
              </w:rPr>
            </w:pPr>
          </w:p>
        </w:tc>
      </w:tr>
      <w:tr w:rsidR="0088483F" w:rsidRPr="005F120D" w:rsidTr="003868FA">
        <w:tc>
          <w:tcPr>
            <w:tcW w:w="901"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9. Training on NESS</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620 persons</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160.00</w:t>
            </w:r>
          </w:p>
        </w:tc>
        <w:tc>
          <w:tcPr>
            <w:tcW w:w="498"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   </w:t>
            </w:r>
          </w:p>
        </w:tc>
        <w:tc>
          <w:tcPr>
            <w:tcW w:w="510" w:type="pct"/>
          </w:tcPr>
          <w:p w:rsidR="0088483F" w:rsidRPr="005F120D" w:rsidRDefault="0088483F" w:rsidP="000A5B80">
            <w:pPr>
              <w:spacing w:after="0"/>
              <w:rPr>
                <w:rFonts w:asciiTheme="minorHAnsi" w:hAnsiTheme="minorHAnsi" w:cstheme="minorHAnsi"/>
                <w:sz w:val="16"/>
                <w:szCs w:val="16"/>
              </w:rPr>
            </w:pPr>
          </w:p>
        </w:tc>
      </w:tr>
      <w:tr w:rsidR="0088483F" w:rsidRPr="005F120D" w:rsidTr="003868FA">
        <w:tc>
          <w:tcPr>
            <w:tcW w:w="901"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10. ICT - internet modem, all school</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1,343.01</w:t>
            </w: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All school</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1,533.40</w:t>
            </w:r>
          </w:p>
        </w:tc>
        <w:tc>
          <w:tcPr>
            <w:tcW w:w="498"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36,117</w:t>
            </w: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162.12</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1,371.28 </w:t>
            </w:r>
          </w:p>
        </w:tc>
        <w:tc>
          <w:tcPr>
            <w:tcW w:w="510" w:type="pct"/>
          </w:tcPr>
          <w:p w:rsidR="0088483F" w:rsidRPr="005F120D" w:rsidRDefault="0088483F" w:rsidP="000A5B80">
            <w:pPr>
              <w:spacing w:after="0"/>
              <w:rPr>
                <w:rFonts w:asciiTheme="minorHAnsi" w:hAnsiTheme="minorHAnsi" w:cstheme="minorHAnsi"/>
                <w:sz w:val="16"/>
                <w:szCs w:val="16"/>
              </w:rPr>
            </w:pPr>
          </w:p>
        </w:tc>
      </w:tr>
      <w:tr w:rsidR="0088483F" w:rsidRPr="005F120D" w:rsidTr="003868FA">
        <w:tc>
          <w:tcPr>
            <w:tcW w:w="901"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11. ICT - internet modem and accessories for PTIs</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503</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1006.00</w:t>
            </w:r>
          </w:p>
        </w:tc>
        <w:tc>
          <w:tcPr>
            <w:tcW w:w="54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55 PTIs</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1187.98</w:t>
            </w:r>
          </w:p>
        </w:tc>
        <w:tc>
          <w:tcPr>
            <w:tcW w:w="498" w:type="pct"/>
          </w:tcPr>
          <w:p w:rsidR="0088483F" w:rsidRPr="005F120D" w:rsidRDefault="0088483F" w:rsidP="000A5B80">
            <w:pPr>
              <w:spacing w:after="0"/>
              <w:jc w:val="center"/>
              <w:rPr>
                <w:rFonts w:asciiTheme="minorHAnsi" w:hAnsiTheme="minorHAnsi" w:cstheme="minorHAnsi"/>
                <w:sz w:val="16"/>
                <w:szCs w:val="16"/>
              </w:rPr>
            </w:pP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227.93</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960.05 </w:t>
            </w:r>
          </w:p>
        </w:tc>
        <w:tc>
          <w:tcPr>
            <w:tcW w:w="510" w:type="pct"/>
          </w:tcPr>
          <w:p w:rsidR="0088483F" w:rsidRPr="005F120D" w:rsidRDefault="0088483F" w:rsidP="000A5B80">
            <w:pPr>
              <w:spacing w:after="0"/>
              <w:rPr>
                <w:rFonts w:asciiTheme="minorHAnsi" w:hAnsiTheme="minorHAnsi" w:cstheme="minorHAnsi"/>
                <w:sz w:val="16"/>
                <w:szCs w:val="16"/>
              </w:rPr>
            </w:pPr>
          </w:p>
        </w:tc>
      </w:tr>
      <w:tr w:rsidR="0088483F" w:rsidRPr="005F120D" w:rsidTr="003868FA">
        <w:tc>
          <w:tcPr>
            <w:tcW w:w="901"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12. Computers (1 laptop, accessories</w:t>
            </w:r>
          </w:p>
        </w:tc>
        <w:tc>
          <w:tcPr>
            <w:tcW w:w="417" w:type="pct"/>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37,710</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27,877.50</w:t>
            </w:r>
          </w:p>
        </w:tc>
        <w:tc>
          <w:tcPr>
            <w:tcW w:w="547" w:type="pct"/>
          </w:tcPr>
          <w:p w:rsidR="0088483F" w:rsidRPr="005F120D" w:rsidRDefault="0088483F" w:rsidP="000A5B80">
            <w:pPr>
              <w:spacing w:after="0"/>
              <w:rPr>
                <w:rFonts w:asciiTheme="minorHAnsi" w:hAnsiTheme="minorHAnsi" w:cstheme="minorHAnsi"/>
                <w:sz w:val="14"/>
                <w:szCs w:val="14"/>
              </w:rPr>
            </w:pPr>
            <w:r w:rsidRPr="005F120D">
              <w:rPr>
                <w:rFonts w:asciiTheme="minorHAnsi" w:hAnsiTheme="minorHAnsi" w:cstheme="minorHAnsi"/>
                <w:sz w:val="14"/>
                <w:szCs w:val="14"/>
              </w:rPr>
              <w:t>Laptop for all GPS &amp; NNGPS</w:t>
            </w:r>
          </w:p>
        </w:tc>
        <w:tc>
          <w:tcPr>
            <w:tcW w:w="49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85,750.00</w:t>
            </w:r>
          </w:p>
        </w:tc>
        <w:tc>
          <w:tcPr>
            <w:tcW w:w="498" w:type="pct"/>
          </w:tcPr>
          <w:p w:rsidR="0088483F" w:rsidRPr="005F120D" w:rsidRDefault="0088483F" w:rsidP="000A5B80">
            <w:pPr>
              <w:spacing w:after="0"/>
              <w:jc w:val="center"/>
              <w:rPr>
                <w:rFonts w:asciiTheme="minorHAnsi" w:hAnsiTheme="minorHAnsi" w:cstheme="minorHAnsi"/>
                <w:sz w:val="16"/>
                <w:szCs w:val="16"/>
              </w:rPr>
            </w:pPr>
          </w:p>
        </w:tc>
        <w:tc>
          <w:tcPr>
            <w:tcW w:w="482"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5,535.16</w:t>
            </w:r>
          </w:p>
        </w:tc>
        <w:tc>
          <w:tcPr>
            <w:tcW w:w="655" w:type="pct"/>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 xml:space="preserve">   80,214.84 </w:t>
            </w:r>
          </w:p>
        </w:tc>
        <w:tc>
          <w:tcPr>
            <w:tcW w:w="510"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Each GPS</w:t>
            </w:r>
          </w:p>
        </w:tc>
      </w:tr>
      <w:tr w:rsidR="0088483F" w:rsidRPr="005F120D" w:rsidTr="003868FA">
        <w:tc>
          <w:tcPr>
            <w:tcW w:w="901" w:type="pct"/>
            <w:shd w:val="clear" w:color="auto" w:fill="DAEEF3" w:themeFill="accent5" w:themeFillTint="33"/>
          </w:tcPr>
          <w:p w:rsidR="0088483F" w:rsidRPr="005F120D" w:rsidRDefault="0088483F"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17" w:type="pct"/>
            <w:shd w:val="clear" w:color="auto" w:fill="DAEEF3" w:themeFill="accent5" w:themeFillTint="33"/>
          </w:tcPr>
          <w:p w:rsidR="0088483F" w:rsidRPr="005F120D" w:rsidRDefault="0088483F" w:rsidP="000A5B80">
            <w:pPr>
              <w:spacing w:after="0"/>
              <w:jc w:val="both"/>
              <w:rPr>
                <w:rFonts w:asciiTheme="minorHAnsi" w:hAnsiTheme="minorHAnsi" w:cstheme="minorHAnsi"/>
                <w:b/>
                <w:sz w:val="16"/>
                <w:szCs w:val="16"/>
              </w:rPr>
            </w:pPr>
          </w:p>
        </w:tc>
        <w:tc>
          <w:tcPr>
            <w:tcW w:w="495" w:type="pct"/>
            <w:shd w:val="clear" w:color="auto" w:fill="DAEEF3" w:themeFill="accent5" w:themeFillTint="33"/>
          </w:tcPr>
          <w:p w:rsidR="0088483F" w:rsidRPr="005F120D" w:rsidRDefault="0088483F"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33,826.51</w:t>
            </w:r>
          </w:p>
        </w:tc>
        <w:tc>
          <w:tcPr>
            <w:tcW w:w="547" w:type="pct"/>
            <w:shd w:val="clear" w:color="auto" w:fill="DAEEF3" w:themeFill="accent5" w:themeFillTint="33"/>
          </w:tcPr>
          <w:p w:rsidR="0088483F" w:rsidRPr="005F120D" w:rsidRDefault="0088483F" w:rsidP="000A5B80">
            <w:pPr>
              <w:spacing w:after="0"/>
              <w:jc w:val="both"/>
              <w:rPr>
                <w:rFonts w:asciiTheme="minorHAnsi" w:hAnsiTheme="minorHAnsi" w:cstheme="minorHAnsi"/>
                <w:b/>
                <w:sz w:val="16"/>
                <w:szCs w:val="16"/>
              </w:rPr>
            </w:pPr>
          </w:p>
        </w:tc>
        <w:tc>
          <w:tcPr>
            <w:tcW w:w="495" w:type="pct"/>
            <w:shd w:val="clear" w:color="auto" w:fill="DAEEF3" w:themeFill="accent5" w:themeFillTint="33"/>
          </w:tcPr>
          <w:p w:rsidR="0088483F" w:rsidRPr="005F120D" w:rsidRDefault="0088483F"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97,762.66</w:t>
            </w:r>
          </w:p>
        </w:tc>
        <w:tc>
          <w:tcPr>
            <w:tcW w:w="498" w:type="pct"/>
            <w:shd w:val="clear" w:color="auto" w:fill="DAEEF3" w:themeFill="accent5" w:themeFillTint="33"/>
          </w:tcPr>
          <w:p w:rsidR="0088483F" w:rsidRPr="005F120D" w:rsidRDefault="0088483F" w:rsidP="000A5B80">
            <w:pPr>
              <w:spacing w:after="0"/>
              <w:jc w:val="right"/>
              <w:rPr>
                <w:rFonts w:asciiTheme="minorHAnsi" w:hAnsiTheme="minorHAnsi" w:cstheme="minorHAnsi"/>
                <w:b/>
                <w:sz w:val="16"/>
                <w:szCs w:val="16"/>
              </w:rPr>
            </w:pPr>
          </w:p>
        </w:tc>
        <w:tc>
          <w:tcPr>
            <w:tcW w:w="482" w:type="pct"/>
            <w:shd w:val="clear" w:color="auto" w:fill="DAEEF3" w:themeFill="accent5" w:themeFillTint="33"/>
          </w:tcPr>
          <w:p w:rsidR="0088483F" w:rsidRPr="005F120D" w:rsidRDefault="0088483F"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9,854.38 (10.08%)</w:t>
            </w:r>
          </w:p>
        </w:tc>
        <w:tc>
          <w:tcPr>
            <w:tcW w:w="655" w:type="pct"/>
            <w:shd w:val="clear" w:color="auto" w:fill="DAEEF3" w:themeFill="accent5" w:themeFillTint="33"/>
          </w:tcPr>
          <w:p w:rsidR="0088483F" w:rsidRPr="005F120D" w:rsidRDefault="0088483F"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 xml:space="preserve">87,908.28 </w:t>
            </w:r>
          </w:p>
          <w:p w:rsidR="0088483F" w:rsidRPr="005F120D" w:rsidRDefault="0088483F"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(89.02%)</w:t>
            </w:r>
          </w:p>
        </w:tc>
        <w:tc>
          <w:tcPr>
            <w:tcW w:w="510" w:type="pct"/>
            <w:shd w:val="clear" w:color="auto" w:fill="DAEEF3" w:themeFill="accent5" w:themeFillTint="33"/>
          </w:tcPr>
          <w:p w:rsidR="0088483F" w:rsidRPr="005F120D" w:rsidRDefault="0088483F" w:rsidP="000A5B80">
            <w:pPr>
              <w:spacing w:after="0"/>
              <w:jc w:val="both"/>
              <w:rPr>
                <w:rFonts w:asciiTheme="minorHAnsi" w:hAnsiTheme="minorHAnsi" w:cstheme="minorHAnsi"/>
                <w:sz w:val="16"/>
                <w:szCs w:val="16"/>
              </w:rPr>
            </w:pPr>
          </w:p>
        </w:tc>
      </w:tr>
    </w:tbl>
    <w:p w:rsidR="005C62A6" w:rsidRPr="005F120D" w:rsidRDefault="0088483F" w:rsidP="005C62A6">
      <w:pPr>
        <w:pStyle w:val="ListParagraph"/>
        <w:numPr>
          <w:ilvl w:val="0"/>
          <w:numId w:val="88"/>
        </w:numPr>
        <w:autoSpaceDE w:val="0"/>
        <w:autoSpaceDN w:val="0"/>
        <w:adjustRightInd w:val="0"/>
        <w:spacing w:before="240" w:after="120"/>
        <w:jc w:val="both"/>
        <w:rPr>
          <w:rFonts w:asciiTheme="minorHAnsi" w:hAnsiTheme="minorHAnsi" w:cstheme="minorHAnsi"/>
        </w:rPr>
      </w:pPr>
      <w:r w:rsidRPr="005F120D">
        <w:rPr>
          <w:rFonts w:asciiTheme="minorHAnsi" w:hAnsiTheme="minorHAnsi" w:cstheme="minorHAnsi"/>
          <w:b/>
          <w:i/>
          <w:iCs/>
          <w:color w:val="008000"/>
        </w:rPr>
        <w:t>Sub-Component 1.6 - Teacher Education and Development:</w:t>
      </w:r>
    </w:p>
    <w:p w:rsidR="0088483F" w:rsidRPr="005F120D" w:rsidRDefault="00D04E6B" w:rsidP="005C62A6">
      <w:pPr>
        <w:autoSpaceDE w:val="0"/>
        <w:autoSpaceDN w:val="0"/>
        <w:adjustRightInd w:val="0"/>
        <w:spacing w:before="240" w:after="120"/>
        <w:jc w:val="both"/>
        <w:rPr>
          <w:rFonts w:asciiTheme="minorHAnsi" w:hAnsiTheme="minorHAnsi" w:cstheme="minorHAnsi"/>
          <w:iCs/>
        </w:rPr>
      </w:pPr>
      <w:r w:rsidRPr="005F120D">
        <w:rPr>
          <w:rFonts w:asciiTheme="minorHAnsi" w:hAnsiTheme="minorHAnsi" w:cstheme="minorHAnsi"/>
          <w:szCs w:val="22"/>
        </w:rPr>
        <w:t xml:space="preserve">In line with the Teacher Education and Development Plan (TED), a range of training </w:t>
      </w:r>
      <w:r w:rsidR="00E2331F" w:rsidRPr="005F120D">
        <w:rPr>
          <w:rFonts w:asciiTheme="minorHAnsi" w:hAnsiTheme="minorHAnsi" w:cstheme="minorHAnsi"/>
          <w:szCs w:val="22"/>
        </w:rPr>
        <w:t>and development initiatives has</w:t>
      </w:r>
      <w:r w:rsidRPr="005F120D">
        <w:rPr>
          <w:rFonts w:asciiTheme="minorHAnsi" w:hAnsiTheme="minorHAnsi" w:cstheme="minorHAnsi"/>
          <w:szCs w:val="22"/>
        </w:rPr>
        <w:t xml:space="preserve"> been introduced </w:t>
      </w:r>
      <w:r w:rsidR="008E4DF6" w:rsidRPr="005F120D">
        <w:rPr>
          <w:rFonts w:asciiTheme="minorHAnsi" w:hAnsiTheme="minorHAnsi" w:cstheme="minorHAnsi"/>
          <w:szCs w:val="22"/>
        </w:rPr>
        <w:t>during</w:t>
      </w:r>
      <w:r w:rsidRPr="005F120D">
        <w:rPr>
          <w:rFonts w:asciiTheme="minorHAnsi" w:hAnsiTheme="minorHAnsi" w:cstheme="minorHAnsi"/>
          <w:szCs w:val="22"/>
        </w:rPr>
        <w:t xml:space="preserve"> PEDP3 including the Diploma in Primary Education (DPEd)</w:t>
      </w:r>
      <w:r w:rsidR="00582D39" w:rsidRPr="005F120D">
        <w:rPr>
          <w:rFonts w:asciiTheme="minorHAnsi" w:hAnsiTheme="minorHAnsi" w:cstheme="minorHAnsi"/>
          <w:szCs w:val="22"/>
        </w:rPr>
        <w:t>, i</w:t>
      </w:r>
      <w:r w:rsidRPr="005F120D">
        <w:rPr>
          <w:rFonts w:asciiTheme="minorHAnsi" w:hAnsiTheme="minorHAnsi" w:cstheme="minorHAnsi"/>
          <w:szCs w:val="22"/>
        </w:rPr>
        <w:t xml:space="preserve">n-service </w:t>
      </w:r>
      <w:r w:rsidR="00582D39" w:rsidRPr="005F120D">
        <w:rPr>
          <w:rFonts w:asciiTheme="minorHAnsi" w:hAnsiTheme="minorHAnsi" w:cstheme="minorHAnsi"/>
          <w:szCs w:val="22"/>
        </w:rPr>
        <w:t>teacher training (subject-based and s</w:t>
      </w:r>
      <w:r w:rsidRPr="005F120D">
        <w:rPr>
          <w:rFonts w:asciiTheme="minorHAnsi" w:hAnsiTheme="minorHAnsi" w:cstheme="minorHAnsi"/>
          <w:szCs w:val="22"/>
        </w:rPr>
        <w:t>ub-cluster)</w:t>
      </w:r>
      <w:r w:rsidR="00582D39" w:rsidRPr="005F120D">
        <w:rPr>
          <w:rFonts w:asciiTheme="minorHAnsi" w:hAnsiTheme="minorHAnsi" w:cstheme="minorHAnsi"/>
          <w:szCs w:val="22"/>
        </w:rPr>
        <w:t>, other needs-</w:t>
      </w:r>
      <w:r w:rsidR="0029643E" w:rsidRPr="005F120D">
        <w:rPr>
          <w:rFonts w:asciiTheme="minorHAnsi" w:hAnsiTheme="minorHAnsi" w:cstheme="minorHAnsi"/>
          <w:szCs w:val="22"/>
        </w:rPr>
        <w:t xml:space="preserve">based training </w:t>
      </w:r>
      <w:r w:rsidR="00582D39" w:rsidRPr="005F120D">
        <w:rPr>
          <w:rFonts w:asciiTheme="minorHAnsi" w:hAnsiTheme="minorHAnsi" w:cstheme="minorHAnsi"/>
          <w:szCs w:val="22"/>
        </w:rPr>
        <w:t>and teacher support n</w:t>
      </w:r>
      <w:r w:rsidR="00E2331F" w:rsidRPr="005F120D">
        <w:rPr>
          <w:rFonts w:asciiTheme="minorHAnsi" w:hAnsiTheme="minorHAnsi" w:cstheme="minorHAnsi"/>
          <w:szCs w:val="22"/>
        </w:rPr>
        <w:t xml:space="preserve">etworks. These </w:t>
      </w:r>
      <w:r w:rsidRPr="005F120D">
        <w:rPr>
          <w:rFonts w:asciiTheme="minorHAnsi" w:hAnsiTheme="minorHAnsi" w:cstheme="minorHAnsi"/>
          <w:szCs w:val="22"/>
        </w:rPr>
        <w:t>provide teachers with the s</w:t>
      </w:r>
      <w:r w:rsidR="00E2331F" w:rsidRPr="005F120D">
        <w:rPr>
          <w:rFonts w:asciiTheme="minorHAnsi" w:hAnsiTheme="minorHAnsi" w:cstheme="minorHAnsi"/>
          <w:szCs w:val="22"/>
        </w:rPr>
        <w:t>kills to implement more student-engaged</w:t>
      </w:r>
      <w:r w:rsidR="00BD13BE" w:rsidRPr="005F120D">
        <w:rPr>
          <w:rFonts w:asciiTheme="minorHAnsi" w:hAnsiTheme="minorHAnsi" w:cstheme="minorHAnsi"/>
          <w:szCs w:val="22"/>
        </w:rPr>
        <w:t xml:space="preserve"> teaching/learning, which in</w:t>
      </w:r>
      <w:r w:rsidR="00E2331F" w:rsidRPr="005F120D">
        <w:rPr>
          <w:rFonts w:asciiTheme="minorHAnsi" w:hAnsiTheme="minorHAnsi" w:cstheme="minorHAnsi"/>
          <w:szCs w:val="22"/>
        </w:rPr>
        <w:t xml:space="preserve"> turn lead</w:t>
      </w:r>
      <w:r w:rsidRPr="005F120D">
        <w:rPr>
          <w:rFonts w:asciiTheme="minorHAnsi" w:hAnsiTheme="minorHAnsi" w:cstheme="minorHAnsi"/>
          <w:szCs w:val="22"/>
        </w:rPr>
        <w:t xml:space="preserve"> to higher learning </w:t>
      </w:r>
      <w:r w:rsidR="00072DB3" w:rsidRPr="005F120D">
        <w:rPr>
          <w:rFonts w:asciiTheme="minorHAnsi" w:hAnsiTheme="minorHAnsi" w:cstheme="minorHAnsi"/>
          <w:szCs w:val="22"/>
        </w:rPr>
        <w:t>outcomes.</w:t>
      </w:r>
      <w:r w:rsidR="00072DB3" w:rsidRPr="005F120D">
        <w:rPr>
          <w:rFonts w:asciiTheme="minorHAnsi" w:hAnsiTheme="minorHAnsi" w:cstheme="minorHAnsi"/>
        </w:rPr>
        <w:t xml:space="preserve"> The</w:t>
      </w:r>
      <w:r w:rsidR="003B47A2" w:rsidRPr="005F120D">
        <w:rPr>
          <w:rFonts w:asciiTheme="minorHAnsi" w:hAnsiTheme="minorHAnsi" w:cstheme="minorHAnsi"/>
        </w:rPr>
        <w:t xml:space="preserve"> total o</w:t>
      </w:r>
      <w:r w:rsidR="003B47A2" w:rsidRPr="005F120D">
        <w:rPr>
          <w:rFonts w:asciiTheme="minorHAnsi" w:hAnsiTheme="minorHAnsi" w:cstheme="minorHAnsi"/>
          <w:bCs/>
        </w:rPr>
        <w:t xml:space="preserve">riginal cost as per DPP was Tk. 85,702.00 </w:t>
      </w:r>
      <w:r w:rsidR="00F738CE" w:rsidRPr="005F120D">
        <w:rPr>
          <w:rFonts w:asciiTheme="minorHAnsi" w:hAnsiTheme="minorHAnsi" w:cstheme="minorHAnsi"/>
          <w:bCs/>
        </w:rPr>
        <w:t>Lac</w:t>
      </w:r>
      <w:r w:rsidR="003B47A2" w:rsidRPr="005F120D">
        <w:rPr>
          <w:rFonts w:asciiTheme="minorHAnsi" w:hAnsiTheme="minorHAnsi" w:cstheme="minorHAnsi"/>
          <w:bCs/>
        </w:rPr>
        <w:t xml:space="preserve"> and revised cost as per RDPP is Tk. 115,219.74 </w:t>
      </w:r>
      <w:r w:rsidR="00F738CE" w:rsidRPr="005F120D">
        <w:rPr>
          <w:rFonts w:asciiTheme="minorHAnsi" w:hAnsiTheme="minorHAnsi" w:cstheme="minorHAnsi"/>
          <w:bCs/>
        </w:rPr>
        <w:t>Lac</w:t>
      </w:r>
      <w:r w:rsidR="00777E41" w:rsidRPr="005F120D">
        <w:rPr>
          <w:rFonts w:asciiTheme="minorHAnsi" w:hAnsiTheme="minorHAnsi" w:cstheme="minorHAnsi"/>
          <w:bCs/>
        </w:rPr>
        <w:t>.</w:t>
      </w:r>
    </w:p>
    <w:p w:rsidR="0088483F" w:rsidRPr="005F120D" w:rsidRDefault="0088483F" w:rsidP="000A5B80">
      <w:pPr>
        <w:pStyle w:val="Caption"/>
        <w:spacing w:after="120"/>
        <w:rPr>
          <w:rFonts w:cstheme="minorHAnsi"/>
        </w:rPr>
      </w:pPr>
      <w:bookmarkStart w:id="82" w:name="_Toc462837233"/>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11</w:t>
      </w:r>
      <w:r w:rsidR="002E2ED5" w:rsidRPr="005F120D">
        <w:rPr>
          <w:rFonts w:cstheme="minorHAnsi"/>
        </w:rPr>
        <w:fldChar w:fldCharType="end"/>
      </w:r>
      <w:r w:rsidRPr="005F120D">
        <w:rPr>
          <w:rFonts w:cstheme="minorHAnsi"/>
        </w:rPr>
        <w:t>: Teacher Education and Development</w:t>
      </w:r>
      <w:r w:rsidR="003A1938" w:rsidRPr="005F120D">
        <w:rPr>
          <w:rFonts w:cstheme="minorHAnsi"/>
        </w:rPr>
        <w:t>:</w:t>
      </w:r>
      <w:r w:rsidR="00C27B1A" w:rsidRPr="005F120D">
        <w:rPr>
          <w:rFonts w:cstheme="minorHAnsi"/>
        </w:rPr>
        <w:t xml:space="preserve"> Cost and Expenditure as of June 2015</w:t>
      </w:r>
      <w:bookmarkEnd w:id="82"/>
    </w:p>
    <w:p w:rsidR="0088483F" w:rsidRPr="005F120D" w:rsidRDefault="0088483F" w:rsidP="000A5B80">
      <w:pPr>
        <w:spacing w:after="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1809"/>
        <w:gridCol w:w="776"/>
        <w:gridCol w:w="868"/>
        <w:gridCol w:w="1004"/>
        <w:gridCol w:w="949"/>
        <w:gridCol w:w="953"/>
        <w:gridCol w:w="869"/>
        <w:gridCol w:w="1161"/>
        <w:gridCol w:w="854"/>
      </w:tblGrid>
      <w:tr w:rsidR="0088483F" w:rsidRPr="005F120D" w:rsidTr="008065BC">
        <w:trPr>
          <w:tblHeader/>
        </w:trPr>
        <w:tc>
          <w:tcPr>
            <w:tcW w:w="979" w:type="pct"/>
            <w:vMerge w:val="restart"/>
            <w:shd w:val="clear" w:color="auto" w:fill="B6DDE8" w:themeFill="accent5" w:themeFillTint="66"/>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89" w:type="pct"/>
            <w:gridSpan w:val="2"/>
            <w:shd w:val="clear" w:color="auto" w:fill="B6DDE8" w:themeFill="accent5" w:themeFillTint="66"/>
            <w:vAlign w:val="center"/>
          </w:tcPr>
          <w:p w:rsidR="0088483F" w:rsidRPr="005F120D" w:rsidRDefault="0088483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56" w:type="pct"/>
            <w:gridSpan w:val="2"/>
            <w:shd w:val="clear" w:color="auto" w:fill="B6DDE8" w:themeFill="accent5" w:themeFillTint="66"/>
            <w:vAlign w:val="center"/>
          </w:tcPr>
          <w:p w:rsidR="0088483F" w:rsidRPr="005F120D" w:rsidRDefault="0088483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86" w:type="pct"/>
            <w:gridSpan w:val="2"/>
            <w:shd w:val="clear" w:color="auto" w:fill="B6DDE8" w:themeFill="accent5" w:themeFillTint="66"/>
            <w:vAlign w:val="center"/>
          </w:tcPr>
          <w:p w:rsidR="0088483F"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28" w:type="pct"/>
            <w:vMerge w:val="restart"/>
            <w:shd w:val="clear" w:color="auto" w:fill="B6DDE8" w:themeFill="accent5" w:themeFillTint="66"/>
            <w:vAlign w:val="center"/>
          </w:tcPr>
          <w:p w:rsidR="0088483F" w:rsidRPr="005F120D" w:rsidRDefault="0088483F" w:rsidP="000A5B80">
            <w:pPr>
              <w:spacing w:after="0"/>
              <w:jc w:val="center"/>
              <w:rPr>
                <w:rFonts w:asciiTheme="minorHAnsi" w:hAnsiTheme="minorHAnsi" w:cstheme="minorHAnsi"/>
                <w:sz w:val="14"/>
                <w:szCs w:val="14"/>
              </w:rPr>
            </w:pPr>
            <w:r w:rsidRPr="005F120D">
              <w:rPr>
                <w:rFonts w:asciiTheme="minorHAnsi" w:hAnsiTheme="minorHAnsi" w:cstheme="minorHAnsi"/>
                <w:bCs/>
                <w:sz w:val="14"/>
                <w:szCs w:val="14"/>
              </w:rPr>
              <w:t>Unspent as of June 2015/ as % of RDPP cost</w:t>
            </w:r>
          </w:p>
        </w:tc>
        <w:tc>
          <w:tcPr>
            <w:tcW w:w="462" w:type="pct"/>
            <w:vMerge w:val="restart"/>
            <w:shd w:val="clear" w:color="auto" w:fill="B6DDE8" w:themeFill="accent5" w:themeFillTint="66"/>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88483F" w:rsidRPr="005F120D" w:rsidTr="008065BC">
        <w:trPr>
          <w:tblHeader/>
        </w:trPr>
        <w:tc>
          <w:tcPr>
            <w:tcW w:w="979" w:type="pct"/>
            <w:vMerge/>
            <w:shd w:val="clear" w:color="auto" w:fill="92CDDC" w:themeFill="accent5" w:themeFillTint="99"/>
            <w:vAlign w:val="center"/>
          </w:tcPr>
          <w:p w:rsidR="0088483F" w:rsidRPr="005F120D" w:rsidRDefault="0088483F" w:rsidP="000A5B80">
            <w:pPr>
              <w:spacing w:after="0"/>
              <w:jc w:val="center"/>
              <w:rPr>
                <w:rFonts w:asciiTheme="minorHAnsi" w:hAnsiTheme="minorHAnsi" w:cstheme="minorHAnsi"/>
                <w:sz w:val="16"/>
                <w:szCs w:val="16"/>
              </w:rPr>
            </w:pPr>
          </w:p>
        </w:tc>
        <w:tc>
          <w:tcPr>
            <w:tcW w:w="420" w:type="pct"/>
            <w:shd w:val="clear" w:color="auto" w:fill="92CDDC" w:themeFill="accent5" w:themeFillTint="99"/>
            <w:vAlign w:val="center"/>
          </w:tcPr>
          <w:p w:rsidR="0088483F" w:rsidRPr="005F120D" w:rsidRDefault="0088483F"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70" w:type="pct"/>
            <w:shd w:val="clear" w:color="auto" w:fill="92CDDC" w:themeFill="accent5" w:themeFillTint="99"/>
            <w:vAlign w:val="center"/>
          </w:tcPr>
          <w:p w:rsidR="0088483F" w:rsidRPr="005F120D" w:rsidRDefault="0088483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43" w:type="pct"/>
            <w:shd w:val="clear" w:color="auto" w:fill="92CDDC" w:themeFill="accent5" w:themeFillTint="99"/>
            <w:vAlign w:val="center"/>
          </w:tcPr>
          <w:p w:rsidR="0088483F" w:rsidRPr="005F120D" w:rsidRDefault="0088483F"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13" w:type="pct"/>
            <w:shd w:val="clear" w:color="auto" w:fill="92CDDC" w:themeFill="accent5" w:themeFillTint="99"/>
            <w:vAlign w:val="center"/>
          </w:tcPr>
          <w:p w:rsidR="0088483F" w:rsidRPr="005F120D" w:rsidRDefault="0088483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16" w:type="pct"/>
            <w:shd w:val="clear" w:color="auto" w:fill="92CDDC" w:themeFill="accent5" w:themeFillTint="99"/>
            <w:vAlign w:val="center"/>
          </w:tcPr>
          <w:p w:rsidR="0088483F" w:rsidRPr="005F120D" w:rsidRDefault="0088483F"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70" w:type="pct"/>
            <w:shd w:val="clear" w:color="auto" w:fill="92CDDC" w:themeFill="accent5" w:themeFillTint="99"/>
            <w:vAlign w:val="center"/>
          </w:tcPr>
          <w:p w:rsidR="0088483F" w:rsidRPr="005F120D" w:rsidRDefault="0088483F"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28" w:type="pct"/>
            <w:vMerge/>
            <w:vAlign w:val="center"/>
          </w:tcPr>
          <w:p w:rsidR="0088483F" w:rsidRPr="005F120D" w:rsidRDefault="0088483F" w:rsidP="000A5B80">
            <w:pPr>
              <w:spacing w:after="0"/>
              <w:jc w:val="center"/>
              <w:rPr>
                <w:rFonts w:asciiTheme="minorHAnsi" w:hAnsiTheme="minorHAnsi" w:cstheme="minorHAnsi"/>
                <w:sz w:val="16"/>
                <w:szCs w:val="16"/>
              </w:rPr>
            </w:pPr>
          </w:p>
        </w:tc>
        <w:tc>
          <w:tcPr>
            <w:tcW w:w="462" w:type="pct"/>
            <w:vMerge/>
            <w:vAlign w:val="center"/>
          </w:tcPr>
          <w:p w:rsidR="0088483F" w:rsidRPr="005F120D" w:rsidRDefault="0088483F" w:rsidP="000A5B80">
            <w:pPr>
              <w:spacing w:after="0"/>
              <w:jc w:val="center"/>
              <w:rPr>
                <w:rFonts w:asciiTheme="minorHAnsi" w:hAnsiTheme="minorHAnsi" w:cstheme="minorHAnsi"/>
                <w:sz w:val="16"/>
                <w:szCs w:val="16"/>
              </w:rPr>
            </w:pPr>
          </w:p>
        </w:tc>
      </w:tr>
      <w:tr w:rsidR="0088483F" w:rsidRPr="005F120D" w:rsidTr="008065BC">
        <w:tc>
          <w:tcPr>
            <w:tcW w:w="979"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1. Orientation Training</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60.00</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62" w:type="pct"/>
            <w:vAlign w:val="center"/>
          </w:tcPr>
          <w:p w:rsidR="0088483F" w:rsidRPr="005F120D" w:rsidRDefault="00533121"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Mat.dev. </w:t>
            </w:r>
            <w:r w:rsidR="0088483F" w:rsidRPr="005F120D">
              <w:rPr>
                <w:rFonts w:asciiTheme="minorHAnsi" w:hAnsiTheme="minorHAnsi" w:cstheme="minorHAnsi"/>
                <w:sz w:val="16"/>
                <w:szCs w:val="16"/>
              </w:rPr>
              <w:t xml:space="preserve"> printing</w:t>
            </w:r>
          </w:p>
        </w:tc>
      </w:tr>
      <w:tr w:rsidR="0088483F" w:rsidRPr="005F120D" w:rsidTr="008065BC">
        <w:tc>
          <w:tcPr>
            <w:tcW w:w="979"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2. Sub-cluster (mat. Dev. &amp; printing)</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30.00</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Block</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15.95</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15.95</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62" w:type="pct"/>
            <w:vAlign w:val="center"/>
          </w:tcPr>
          <w:p w:rsidR="0088483F" w:rsidRPr="005F120D" w:rsidRDefault="0088483F" w:rsidP="000A5B80">
            <w:pPr>
              <w:spacing w:after="0"/>
              <w:jc w:val="center"/>
              <w:rPr>
                <w:rFonts w:asciiTheme="minorHAnsi" w:hAnsiTheme="minorHAnsi" w:cstheme="minorHAnsi"/>
                <w:sz w:val="16"/>
                <w:szCs w:val="16"/>
              </w:rPr>
            </w:pPr>
          </w:p>
        </w:tc>
      </w:tr>
      <w:tr w:rsidR="0088483F" w:rsidRPr="005F120D" w:rsidTr="008065BC">
        <w:tc>
          <w:tcPr>
            <w:tcW w:w="979"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3. Subject based training</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360.00</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Mat Dev &amp; printing</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974.20</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782 persons</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974.20</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62" w:type="pct"/>
            <w:vAlign w:val="center"/>
          </w:tcPr>
          <w:p w:rsidR="0088483F" w:rsidRPr="005F120D" w:rsidRDefault="00533121"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Mat. dev. </w:t>
            </w:r>
            <w:r w:rsidR="0088483F" w:rsidRPr="005F120D">
              <w:rPr>
                <w:rFonts w:asciiTheme="minorHAnsi" w:hAnsiTheme="minorHAnsi" w:cstheme="minorHAnsi"/>
                <w:sz w:val="16"/>
                <w:szCs w:val="16"/>
              </w:rPr>
              <w:t>printing</w:t>
            </w:r>
          </w:p>
        </w:tc>
      </w:tr>
      <w:tr w:rsidR="0088483F" w:rsidRPr="005F120D" w:rsidTr="008065BC">
        <w:tc>
          <w:tcPr>
            <w:tcW w:w="979"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4. Diploma in Education</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62,200</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27,172.00</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35,500 </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27,390.17</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10,000 </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12,471.31</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14,918.86</w:t>
            </w:r>
          </w:p>
        </w:tc>
        <w:tc>
          <w:tcPr>
            <w:tcW w:w="462" w:type="pct"/>
            <w:vAlign w:val="center"/>
          </w:tcPr>
          <w:p w:rsidR="0088483F" w:rsidRPr="005F120D" w:rsidRDefault="0088483F" w:rsidP="000A5B80">
            <w:pPr>
              <w:spacing w:after="0"/>
              <w:jc w:val="center"/>
              <w:rPr>
                <w:rFonts w:asciiTheme="minorHAnsi" w:hAnsiTheme="minorHAnsi" w:cstheme="minorHAnsi"/>
                <w:sz w:val="16"/>
                <w:szCs w:val="16"/>
              </w:rPr>
            </w:pPr>
          </w:p>
        </w:tc>
      </w:tr>
      <w:tr w:rsidR="0088483F" w:rsidRPr="005F120D" w:rsidTr="008065BC">
        <w:tc>
          <w:tcPr>
            <w:tcW w:w="979"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5. Orientation &amp; subject</w:t>
            </w:r>
            <w:r w:rsidR="00B67A58" w:rsidRPr="005F120D">
              <w:rPr>
                <w:rFonts w:asciiTheme="minorHAnsi" w:hAnsiTheme="minorHAnsi" w:cstheme="minorHAnsi"/>
                <w:sz w:val="16"/>
                <w:szCs w:val="16"/>
              </w:rPr>
              <w:t>-</w:t>
            </w:r>
            <w:r w:rsidRPr="005F120D">
              <w:rPr>
                <w:rFonts w:asciiTheme="minorHAnsi" w:hAnsiTheme="minorHAnsi" w:cstheme="minorHAnsi"/>
                <w:sz w:val="16"/>
                <w:szCs w:val="16"/>
              </w:rPr>
              <w:t xml:space="preserve"> based training</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100,000</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15,000.00</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20,000 teachers</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3,872.16</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25,000 teachers</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3,869.16</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w:t>
            </w:r>
          </w:p>
        </w:tc>
        <w:tc>
          <w:tcPr>
            <w:tcW w:w="462" w:type="pct"/>
            <w:vAlign w:val="center"/>
          </w:tcPr>
          <w:p w:rsidR="0088483F" w:rsidRPr="005F120D" w:rsidRDefault="0088483F" w:rsidP="000A5B80">
            <w:pPr>
              <w:spacing w:after="0"/>
              <w:jc w:val="center"/>
              <w:rPr>
                <w:rFonts w:asciiTheme="minorHAnsi" w:hAnsiTheme="minorHAnsi" w:cstheme="minorHAnsi"/>
                <w:sz w:val="16"/>
                <w:szCs w:val="16"/>
              </w:rPr>
            </w:pPr>
          </w:p>
        </w:tc>
      </w:tr>
      <w:tr w:rsidR="0088483F" w:rsidRPr="005F120D" w:rsidTr="008065BC">
        <w:tc>
          <w:tcPr>
            <w:tcW w:w="979"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6. Sub-cluster training- 12,000 </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all teachers</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12,180.00</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All teacher 4times/year</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24,935.52</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11,498 sub-cluster</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16,063.34</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8,872.18</w:t>
            </w:r>
          </w:p>
        </w:tc>
        <w:tc>
          <w:tcPr>
            <w:tcW w:w="462"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 times in a year</w:t>
            </w:r>
          </w:p>
        </w:tc>
      </w:tr>
      <w:tr w:rsidR="0088483F" w:rsidRPr="005F120D" w:rsidTr="008065BC">
        <w:tc>
          <w:tcPr>
            <w:tcW w:w="979"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7. Orientation of AUEO</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3,000 </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150.00</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580 AUEOs</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242.35</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225 </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112.35</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130.00</w:t>
            </w:r>
          </w:p>
        </w:tc>
        <w:tc>
          <w:tcPr>
            <w:tcW w:w="462" w:type="pct"/>
            <w:vAlign w:val="center"/>
          </w:tcPr>
          <w:p w:rsidR="0088483F" w:rsidRPr="005F120D" w:rsidRDefault="0088483F" w:rsidP="000A5B80">
            <w:pPr>
              <w:spacing w:after="0"/>
              <w:jc w:val="center"/>
              <w:rPr>
                <w:rFonts w:asciiTheme="minorHAnsi" w:hAnsiTheme="minorHAnsi" w:cstheme="minorHAnsi"/>
                <w:sz w:val="16"/>
                <w:szCs w:val="16"/>
              </w:rPr>
            </w:pPr>
          </w:p>
        </w:tc>
      </w:tr>
      <w:tr w:rsidR="0088483F" w:rsidRPr="005F120D" w:rsidTr="008065BC">
        <w:tc>
          <w:tcPr>
            <w:tcW w:w="979" w:type="pct"/>
          </w:tcPr>
          <w:p w:rsidR="0088483F" w:rsidRPr="005F120D" w:rsidRDefault="0088483F" w:rsidP="00F02B3F">
            <w:pPr>
              <w:spacing w:after="0"/>
              <w:rPr>
                <w:rFonts w:asciiTheme="minorHAnsi" w:hAnsiTheme="minorHAnsi" w:cstheme="minorHAnsi"/>
                <w:sz w:val="16"/>
                <w:szCs w:val="16"/>
              </w:rPr>
            </w:pPr>
            <w:r w:rsidRPr="005F120D">
              <w:rPr>
                <w:rFonts w:asciiTheme="minorHAnsi" w:hAnsiTheme="minorHAnsi" w:cstheme="minorHAnsi"/>
                <w:sz w:val="16"/>
                <w:szCs w:val="16"/>
              </w:rPr>
              <w:t xml:space="preserve">8. </w:t>
            </w:r>
            <w:r w:rsidR="006F26E8" w:rsidRPr="005F120D">
              <w:rPr>
                <w:rFonts w:asciiTheme="minorHAnsi" w:hAnsiTheme="minorHAnsi" w:cstheme="minorHAnsi"/>
                <w:sz w:val="16"/>
                <w:szCs w:val="16"/>
              </w:rPr>
              <w:t xml:space="preserve">Training on competency </w:t>
            </w:r>
            <w:r w:rsidR="00F02B3F" w:rsidRPr="005F120D">
              <w:rPr>
                <w:rFonts w:asciiTheme="minorHAnsi" w:hAnsiTheme="minorHAnsi" w:cstheme="minorHAnsi"/>
                <w:sz w:val="16"/>
                <w:szCs w:val="16"/>
              </w:rPr>
              <w:t>-</w:t>
            </w:r>
            <w:r w:rsidRPr="005F120D">
              <w:rPr>
                <w:rFonts w:asciiTheme="minorHAnsi" w:hAnsiTheme="minorHAnsi" w:cstheme="minorHAnsi"/>
                <w:sz w:val="16"/>
                <w:szCs w:val="16"/>
              </w:rPr>
              <w:t>based test item</w:t>
            </w:r>
            <w:r w:rsidR="00F02B3F" w:rsidRPr="005F120D">
              <w:rPr>
                <w:rFonts w:asciiTheme="minorHAnsi" w:hAnsiTheme="minorHAnsi" w:cstheme="minorHAnsi"/>
                <w:sz w:val="16"/>
                <w:szCs w:val="16"/>
              </w:rPr>
              <w:t>s</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2,73,060 teachers</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9,034.07</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60,750 teachers</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4,076.01</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4,958.06</w:t>
            </w:r>
          </w:p>
        </w:tc>
        <w:tc>
          <w:tcPr>
            <w:tcW w:w="462" w:type="pct"/>
            <w:vAlign w:val="center"/>
          </w:tcPr>
          <w:p w:rsidR="0088483F" w:rsidRPr="005F120D" w:rsidRDefault="0088483F" w:rsidP="000A5B80">
            <w:pPr>
              <w:spacing w:after="0"/>
              <w:jc w:val="center"/>
              <w:rPr>
                <w:rFonts w:asciiTheme="minorHAnsi" w:hAnsiTheme="minorHAnsi" w:cstheme="minorHAnsi"/>
                <w:sz w:val="16"/>
                <w:szCs w:val="16"/>
              </w:rPr>
            </w:pPr>
          </w:p>
        </w:tc>
      </w:tr>
      <w:tr w:rsidR="0088483F" w:rsidRPr="005F120D" w:rsidTr="008065BC">
        <w:trPr>
          <w:trHeight w:val="359"/>
        </w:trPr>
        <w:tc>
          <w:tcPr>
            <w:tcW w:w="979" w:type="pct"/>
          </w:tcPr>
          <w:p w:rsidR="0088483F" w:rsidRPr="005F120D" w:rsidRDefault="00F02B3F" w:rsidP="000A5B8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9. Subject-</w:t>
            </w:r>
            <w:r w:rsidR="0088483F" w:rsidRPr="005F120D">
              <w:rPr>
                <w:rFonts w:asciiTheme="minorHAnsi" w:hAnsiTheme="minorHAnsi" w:cstheme="minorHAnsi"/>
                <w:sz w:val="16"/>
                <w:szCs w:val="16"/>
              </w:rPr>
              <w:t>based refresher training</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450,000 teachers</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22,500.00</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5,88,350 Teachers</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30,788.56</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143,184 teachers</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12,963.47</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17,825.09</w:t>
            </w:r>
          </w:p>
        </w:tc>
        <w:tc>
          <w:tcPr>
            <w:tcW w:w="462" w:type="pct"/>
            <w:vAlign w:val="center"/>
          </w:tcPr>
          <w:p w:rsidR="0088483F" w:rsidRPr="005F120D" w:rsidRDefault="0088483F" w:rsidP="000A5B80">
            <w:pPr>
              <w:spacing w:after="0"/>
              <w:jc w:val="center"/>
              <w:rPr>
                <w:rFonts w:asciiTheme="minorHAnsi" w:hAnsiTheme="minorHAnsi" w:cstheme="minorHAnsi"/>
                <w:sz w:val="16"/>
                <w:szCs w:val="16"/>
              </w:rPr>
            </w:pPr>
          </w:p>
        </w:tc>
      </w:tr>
      <w:tr w:rsidR="0088483F" w:rsidRPr="005F120D" w:rsidTr="008065BC">
        <w:trPr>
          <w:trHeight w:val="188"/>
        </w:trPr>
        <w:tc>
          <w:tcPr>
            <w:tcW w:w="979"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10. Subject</w:t>
            </w:r>
            <w:r w:rsidR="00F02B3F" w:rsidRPr="005F120D">
              <w:rPr>
                <w:rFonts w:asciiTheme="minorHAnsi" w:hAnsiTheme="minorHAnsi" w:cstheme="minorHAnsi"/>
                <w:sz w:val="16"/>
                <w:szCs w:val="16"/>
              </w:rPr>
              <w:t>-</w:t>
            </w:r>
            <w:r w:rsidRPr="005F120D">
              <w:rPr>
                <w:rFonts w:asciiTheme="minorHAnsi" w:hAnsiTheme="minorHAnsi" w:cstheme="minorHAnsi"/>
                <w:sz w:val="16"/>
                <w:szCs w:val="16"/>
              </w:rPr>
              <w:t xml:space="preserve"> based training on  5 subject</w:t>
            </w:r>
            <w:r w:rsidR="00F02B3F" w:rsidRPr="005F120D">
              <w:rPr>
                <w:rFonts w:asciiTheme="minorHAnsi" w:hAnsiTheme="minorHAnsi" w:cstheme="minorHAnsi"/>
                <w:sz w:val="16"/>
                <w:szCs w:val="16"/>
              </w:rPr>
              <w:t>s</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150,000 teachers</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7,500.00</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2,19,281 Teachers</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11,163.39</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63,540 teachers</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4,708.75</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6,454.64</w:t>
            </w:r>
          </w:p>
        </w:tc>
        <w:tc>
          <w:tcPr>
            <w:tcW w:w="462" w:type="pct"/>
            <w:vAlign w:val="center"/>
          </w:tcPr>
          <w:p w:rsidR="0088483F" w:rsidRPr="005F120D" w:rsidRDefault="0088483F" w:rsidP="000A5B80">
            <w:pPr>
              <w:spacing w:after="0"/>
              <w:jc w:val="center"/>
              <w:rPr>
                <w:rFonts w:asciiTheme="minorHAnsi" w:hAnsiTheme="minorHAnsi" w:cstheme="minorHAnsi"/>
                <w:sz w:val="16"/>
                <w:szCs w:val="16"/>
              </w:rPr>
            </w:pPr>
          </w:p>
        </w:tc>
      </w:tr>
      <w:tr w:rsidR="0088483F" w:rsidRPr="005F120D" w:rsidTr="008065BC">
        <w:trPr>
          <w:trHeight w:val="287"/>
        </w:trPr>
        <w:tc>
          <w:tcPr>
            <w:tcW w:w="979"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11. Teacher Network - all Upazilas</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 unit</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750.00</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1,05,220 teachers</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2,076.79</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30,360 teachers</w:t>
            </w: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1,010.75</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1,066.04</w:t>
            </w:r>
          </w:p>
        </w:tc>
        <w:tc>
          <w:tcPr>
            <w:tcW w:w="462"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Block allocation</w:t>
            </w:r>
          </w:p>
        </w:tc>
      </w:tr>
      <w:tr w:rsidR="0088483F" w:rsidRPr="005F120D" w:rsidTr="008065BC">
        <w:tc>
          <w:tcPr>
            <w:tcW w:w="979" w:type="pct"/>
          </w:tcPr>
          <w:p w:rsidR="0088483F" w:rsidRPr="005F120D" w:rsidRDefault="0088483F" w:rsidP="000A5B80">
            <w:pPr>
              <w:spacing w:after="0"/>
              <w:rPr>
                <w:rFonts w:asciiTheme="minorHAnsi" w:hAnsiTheme="minorHAnsi" w:cstheme="minorHAnsi"/>
                <w:sz w:val="16"/>
                <w:szCs w:val="16"/>
              </w:rPr>
            </w:pPr>
            <w:r w:rsidRPr="005F120D">
              <w:rPr>
                <w:rFonts w:asciiTheme="minorHAnsi" w:hAnsiTheme="minorHAnsi" w:cstheme="minorHAnsi"/>
                <w:sz w:val="16"/>
                <w:szCs w:val="16"/>
              </w:rPr>
              <w:t>12. JICA support</w:t>
            </w:r>
          </w:p>
        </w:tc>
        <w:tc>
          <w:tcPr>
            <w:tcW w:w="420" w:type="pct"/>
            <w:vAlign w:val="center"/>
          </w:tcPr>
          <w:p w:rsidR="0088483F" w:rsidRPr="005F120D" w:rsidRDefault="0088483F" w:rsidP="000A5B80">
            <w:pPr>
              <w:spacing w:after="0"/>
              <w:jc w:val="center"/>
              <w:rPr>
                <w:rFonts w:asciiTheme="minorHAnsi" w:hAnsiTheme="minorHAnsi" w:cstheme="minorHAnsi"/>
                <w:sz w:val="16"/>
                <w:szCs w:val="16"/>
              </w:rPr>
            </w:pP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43" w:type="pct"/>
            <w:vAlign w:val="center"/>
          </w:tcPr>
          <w:p w:rsidR="0088483F" w:rsidRPr="005F120D" w:rsidRDefault="0088483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 (Block)</w:t>
            </w:r>
          </w:p>
        </w:tc>
        <w:tc>
          <w:tcPr>
            <w:tcW w:w="513"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4,726.58</w:t>
            </w:r>
          </w:p>
        </w:tc>
        <w:tc>
          <w:tcPr>
            <w:tcW w:w="516" w:type="pct"/>
            <w:vAlign w:val="center"/>
          </w:tcPr>
          <w:p w:rsidR="0088483F" w:rsidRPr="005F120D" w:rsidRDefault="0088483F" w:rsidP="000A5B80">
            <w:pPr>
              <w:spacing w:after="0"/>
              <w:jc w:val="center"/>
              <w:rPr>
                <w:rFonts w:asciiTheme="minorHAnsi" w:hAnsiTheme="minorHAnsi" w:cstheme="minorHAnsi"/>
                <w:sz w:val="16"/>
                <w:szCs w:val="16"/>
              </w:rPr>
            </w:pPr>
          </w:p>
        </w:tc>
        <w:tc>
          <w:tcPr>
            <w:tcW w:w="470"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3,504.92</w:t>
            </w:r>
          </w:p>
        </w:tc>
        <w:tc>
          <w:tcPr>
            <w:tcW w:w="628" w:type="pct"/>
            <w:vAlign w:val="center"/>
          </w:tcPr>
          <w:p w:rsidR="0088483F" w:rsidRPr="005F120D" w:rsidRDefault="0088483F"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1,221.66</w:t>
            </w:r>
          </w:p>
        </w:tc>
        <w:tc>
          <w:tcPr>
            <w:tcW w:w="462" w:type="pct"/>
            <w:vAlign w:val="center"/>
          </w:tcPr>
          <w:p w:rsidR="0088483F" w:rsidRPr="005F120D" w:rsidRDefault="0088483F" w:rsidP="000A5B80">
            <w:pPr>
              <w:spacing w:after="0"/>
              <w:jc w:val="center"/>
              <w:rPr>
                <w:rFonts w:asciiTheme="minorHAnsi" w:hAnsiTheme="minorHAnsi" w:cstheme="minorHAnsi"/>
                <w:sz w:val="16"/>
                <w:szCs w:val="16"/>
              </w:rPr>
            </w:pPr>
          </w:p>
        </w:tc>
      </w:tr>
      <w:tr w:rsidR="0088483F" w:rsidRPr="005F120D" w:rsidTr="008065BC">
        <w:tc>
          <w:tcPr>
            <w:tcW w:w="979" w:type="pct"/>
            <w:shd w:val="clear" w:color="auto" w:fill="DAEEF3" w:themeFill="accent5" w:themeFillTint="33"/>
            <w:vAlign w:val="center"/>
          </w:tcPr>
          <w:p w:rsidR="0088483F" w:rsidRPr="005F120D" w:rsidRDefault="0088483F"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20" w:type="pct"/>
            <w:shd w:val="clear" w:color="auto" w:fill="DAEEF3" w:themeFill="accent5" w:themeFillTint="33"/>
            <w:vAlign w:val="center"/>
          </w:tcPr>
          <w:p w:rsidR="0088483F" w:rsidRPr="005F120D" w:rsidRDefault="0088483F" w:rsidP="000A5B80">
            <w:pPr>
              <w:spacing w:after="0"/>
              <w:jc w:val="center"/>
              <w:rPr>
                <w:rFonts w:asciiTheme="minorHAnsi" w:hAnsiTheme="minorHAnsi" w:cstheme="minorHAnsi"/>
                <w:b/>
                <w:sz w:val="16"/>
                <w:szCs w:val="16"/>
              </w:rPr>
            </w:pPr>
          </w:p>
        </w:tc>
        <w:tc>
          <w:tcPr>
            <w:tcW w:w="470" w:type="pct"/>
            <w:shd w:val="clear" w:color="auto" w:fill="DAEEF3" w:themeFill="accent5" w:themeFillTint="33"/>
            <w:vAlign w:val="center"/>
          </w:tcPr>
          <w:p w:rsidR="0088483F" w:rsidRPr="005F120D" w:rsidRDefault="0088483F" w:rsidP="000A5B80">
            <w:pPr>
              <w:spacing w:after="0"/>
              <w:jc w:val="right"/>
              <w:rPr>
                <w:rFonts w:asciiTheme="minorHAnsi" w:hAnsiTheme="minorHAnsi" w:cstheme="minorHAnsi"/>
                <w:b/>
                <w:sz w:val="16"/>
                <w:szCs w:val="16"/>
              </w:rPr>
            </w:pPr>
            <w:r w:rsidRPr="005F120D">
              <w:rPr>
                <w:rFonts w:asciiTheme="minorHAnsi" w:hAnsiTheme="minorHAnsi" w:cstheme="minorHAnsi"/>
                <w:b/>
                <w:bCs/>
                <w:sz w:val="16"/>
                <w:szCs w:val="16"/>
              </w:rPr>
              <w:t>85,702.00</w:t>
            </w:r>
          </w:p>
        </w:tc>
        <w:tc>
          <w:tcPr>
            <w:tcW w:w="543" w:type="pct"/>
            <w:shd w:val="clear" w:color="auto" w:fill="DAEEF3" w:themeFill="accent5" w:themeFillTint="33"/>
            <w:vAlign w:val="center"/>
          </w:tcPr>
          <w:p w:rsidR="0088483F" w:rsidRPr="005F120D" w:rsidRDefault="0088483F" w:rsidP="000A5B80">
            <w:pPr>
              <w:spacing w:after="0"/>
              <w:jc w:val="center"/>
              <w:rPr>
                <w:rFonts w:asciiTheme="minorHAnsi" w:hAnsiTheme="minorHAnsi" w:cstheme="minorHAnsi"/>
                <w:b/>
                <w:sz w:val="16"/>
                <w:szCs w:val="16"/>
              </w:rPr>
            </w:pPr>
          </w:p>
        </w:tc>
        <w:tc>
          <w:tcPr>
            <w:tcW w:w="513" w:type="pct"/>
            <w:shd w:val="clear" w:color="auto" w:fill="DAEEF3" w:themeFill="accent5" w:themeFillTint="33"/>
            <w:vAlign w:val="center"/>
          </w:tcPr>
          <w:p w:rsidR="0088483F" w:rsidRPr="005F120D" w:rsidRDefault="0088483F" w:rsidP="000A5B80">
            <w:pPr>
              <w:spacing w:after="0"/>
              <w:jc w:val="right"/>
              <w:rPr>
                <w:rFonts w:asciiTheme="minorHAnsi" w:hAnsiTheme="minorHAnsi" w:cstheme="minorHAnsi"/>
                <w:b/>
                <w:sz w:val="16"/>
                <w:szCs w:val="16"/>
              </w:rPr>
            </w:pPr>
            <w:r w:rsidRPr="005F120D">
              <w:rPr>
                <w:rFonts w:asciiTheme="minorHAnsi" w:hAnsiTheme="minorHAnsi" w:cstheme="minorHAnsi"/>
                <w:b/>
                <w:bCs/>
                <w:sz w:val="16"/>
                <w:szCs w:val="16"/>
              </w:rPr>
              <w:t>115,219.74</w:t>
            </w:r>
          </w:p>
        </w:tc>
        <w:tc>
          <w:tcPr>
            <w:tcW w:w="516" w:type="pct"/>
            <w:shd w:val="clear" w:color="auto" w:fill="DAEEF3" w:themeFill="accent5" w:themeFillTint="33"/>
            <w:vAlign w:val="center"/>
          </w:tcPr>
          <w:p w:rsidR="0088483F" w:rsidRPr="005F120D" w:rsidRDefault="0088483F" w:rsidP="000A5B80">
            <w:pPr>
              <w:spacing w:after="0"/>
              <w:jc w:val="center"/>
              <w:rPr>
                <w:rFonts w:asciiTheme="minorHAnsi" w:hAnsiTheme="minorHAnsi" w:cstheme="minorHAnsi"/>
                <w:b/>
                <w:sz w:val="16"/>
                <w:szCs w:val="16"/>
              </w:rPr>
            </w:pPr>
          </w:p>
        </w:tc>
        <w:tc>
          <w:tcPr>
            <w:tcW w:w="470" w:type="pct"/>
            <w:shd w:val="clear" w:color="auto" w:fill="DAEEF3" w:themeFill="accent5" w:themeFillTint="33"/>
            <w:vAlign w:val="center"/>
          </w:tcPr>
          <w:p w:rsidR="0088483F" w:rsidRPr="005F120D" w:rsidRDefault="0088483F"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59,770.21 (51.9%)</w:t>
            </w:r>
          </w:p>
        </w:tc>
        <w:tc>
          <w:tcPr>
            <w:tcW w:w="628" w:type="pct"/>
            <w:shd w:val="clear" w:color="auto" w:fill="DAEEF3" w:themeFill="accent5" w:themeFillTint="33"/>
            <w:vAlign w:val="center"/>
          </w:tcPr>
          <w:p w:rsidR="0088483F" w:rsidRPr="005F120D" w:rsidRDefault="0088483F"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55,449.53 (48.1%)</w:t>
            </w:r>
          </w:p>
        </w:tc>
        <w:tc>
          <w:tcPr>
            <w:tcW w:w="462" w:type="pct"/>
            <w:shd w:val="clear" w:color="auto" w:fill="DAEEF3" w:themeFill="accent5" w:themeFillTint="33"/>
            <w:vAlign w:val="center"/>
          </w:tcPr>
          <w:p w:rsidR="0088483F" w:rsidRPr="005F120D" w:rsidRDefault="0088483F" w:rsidP="000A5B80">
            <w:pPr>
              <w:spacing w:after="0"/>
              <w:jc w:val="center"/>
              <w:rPr>
                <w:rFonts w:asciiTheme="minorHAnsi" w:hAnsiTheme="minorHAnsi" w:cstheme="minorHAnsi"/>
                <w:b/>
                <w:sz w:val="16"/>
                <w:szCs w:val="16"/>
              </w:rPr>
            </w:pPr>
          </w:p>
        </w:tc>
      </w:tr>
    </w:tbl>
    <w:p w:rsidR="0088483F" w:rsidRPr="005F120D" w:rsidRDefault="003B47A2" w:rsidP="000A5B80">
      <w:pPr>
        <w:spacing w:after="0"/>
        <w:rPr>
          <w:rFonts w:asciiTheme="minorHAnsi" w:hAnsiTheme="minorHAnsi" w:cstheme="minorHAnsi"/>
          <w:b/>
          <w:bCs/>
          <w:i/>
          <w:sz w:val="18"/>
          <w:szCs w:val="18"/>
        </w:rPr>
      </w:pPr>
      <w:r w:rsidRPr="005F120D">
        <w:rPr>
          <w:rFonts w:asciiTheme="minorHAnsi" w:hAnsiTheme="minorHAnsi" w:cstheme="minorHAnsi"/>
          <w:b/>
          <w:bCs/>
          <w:i/>
          <w:sz w:val="18"/>
          <w:szCs w:val="18"/>
        </w:rPr>
        <w:t>Note: The achievements of Result Area 1 are measured through 3 KPIs (KPI1, 2 &amp; 3) and 1 Non-KPI (Non-KPI 1) at the outcome levels; and 4 PSQLs (PSQL 1, 2, 3 &amp; 4) and 21 Subcomponent indicators at the output level</w:t>
      </w:r>
      <w:r w:rsidR="0088483F" w:rsidRPr="005F120D">
        <w:rPr>
          <w:rFonts w:asciiTheme="minorHAnsi" w:hAnsiTheme="minorHAnsi" w:cstheme="minorHAnsi"/>
          <w:b/>
          <w:bCs/>
          <w:i/>
          <w:sz w:val="18"/>
          <w:szCs w:val="18"/>
        </w:rPr>
        <w:t>.</w:t>
      </w:r>
    </w:p>
    <w:p w:rsidR="006F26E8" w:rsidRPr="005F120D" w:rsidRDefault="006F26E8" w:rsidP="00847454">
      <w:pPr>
        <w:spacing w:before="120" w:after="120"/>
        <w:rPr>
          <w:rFonts w:asciiTheme="minorHAnsi" w:hAnsiTheme="minorHAnsi" w:cstheme="minorHAnsi"/>
          <w:b/>
          <w:color w:val="008000"/>
          <w:szCs w:val="22"/>
        </w:rPr>
      </w:pPr>
      <w:r w:rsidRPr="005F120D">
        <w:rPr>
          <w:rFonts w:asciiTheme="minorHAnsi" w:hAnsiTheme="minorHAnsi" w:cstheme="minorHAnsi"/>
          <w:b/>
          <w:color w:val="008000"/>
          <w:szCs w:val="22"/>
        </w:rPr>
        <w:t>Result Area 2.1: Universal Access</w:t>
      </w:r>
    </w:p>
    <w:p w:rsidR="006F26E8" w:rsidRPr="005F120D" w:rsidRDefault="003B47A2" w:rsidP="000A5B80">
      <w:pPr>
        <w:autoSpaceDE w:val="0"/>
        <w:autoSpaceDN w:val="0"/>
        <w:adjustRightInd w:val="0"/>
        <w:spacing w:before="120" w:after="120"/>
        <w:jc w:val="both"/>
        <w:rPr>
          <w:rFonts w:asciiTheme="minorHAnsi" w:hAnsiTheme="minorHAnsi" w:cstheme="minorHAnsi"/>
          <w:bCs/>
          <w:szCs w:val="22"/>
        </w:rPr>
      </w:pPr>
      <w:r w:rsidRPr="005F120D">
        <w:rPr>
          <w:rFonts w:asciiTheme="minorHAnsi" w:hAnsiTheme="minorHAnsi" w:cstheme="minorHAnsi"/>
          <w:szCs w:val="22"/>
        </w:rPr>
        <w:t xml:space="preserve">In this result area the anticipated outcome is participation of all children in pre- and primary education in all types of schools.  In component 2, there are 2 result areas and 5 </w:t>
      </w:r>
      <w:r w:rsidRPr="005F120D">
        <w:rPr>
          <w:rFonts w:asciiTheme="minorHAnsi" w:hAnsiTheme="minorHAnsi" w:cstheme="minorHAnsi"/>
          <w:bCs/>
          <w:szCs w:val="22"/>
        </w:rPr>
        <w:t>sub-components as shown in this Result Area 2.1</w:t>
      </w:r>
      <w:r w:rsidR="003A1938" w:rsidRPr="005F120D">
        <w:rPr>
          <w:rFonts w:asciiTheme="minorHAnsi" w:hAnsiTheme="minorHAnsi" w:cstheme="minorHAnsi"/>
          <w:bCs/>
          <w:szCs w:val="22"/>
        </w:rPr>
        <w:t>.</w:t>
      </w:r>
    </w:p>
    <w:p w:rsidR="00F02B3F" w:rsidRPr="005F120D" w:rsidRDefault="006F26E8" w:rsidP="00847454">
      <w:pPr>
        <w:pStyle w:val="ListParagraph"/>
        <w:numPr>
          <w:ilvl w:val="0"/>
          <w:numId w:val="88"/>
        </w:num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b/>
          <w:i/>
          <w:iCs/>
          <w:color w:val="008000"/>
        </w:rPr>
        <w:t>Sub-Component 2.1.1 - Second Chance and Alternative Education:</w:t>
      </w:r>
    </w:p>
    <w:p w:rsidR="006F26E8" w:rsidRPr="005F120D" w:rsidRDefault="0029574A" w:rsidP="00F02B3F">
      <w:p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szCs w:val="22"/>
        </w:rPr>
        <w:t>Th</w:t>
      </w:r>
      <w:r w:rsidR="005A5EBE" w:rsidRPr="005F120D">
        <w:rPr>
          <w:rFonts w:asciiTheme="minorHAnsi" w:hAnsiTheme="minorHAnsi" w:cstheme="minorHAnsi"/>
          <w:szCs w:val="22"/>
        </w:rPr>
        <w:t>is sub-component addresses</w:t>
      </w:r>
      <w:r w:rsidRPr="005F120D">
        <w:rPr>
          <w:rFonts w:asciiTheme="minorHAnsi" w:hAnsiTheme="minorHAnsi" w:cstheme="minorHAnsi"/>
          <w:szCs w:val="22"/>
        </w:rPr>
        <w:t xml:space="preserve"> the needs of both children who never enrolled in school and tho</w:t>
      </w:r>
      <w:r w:rsidR="005A5EBE" w:rsidRPr="005F120D">
        <w:rPr>
          <w:rFonts w:asciiTheme="minorHAnsi" w:hAnsiTheme="minorHAnsi" w:cstheme="minorHAnsi"/>
          <w:szCs w:val="22"/>
        </w:rPr>
        <w:t>se who have dropped out of school,</w:t>
      </w:r>
      <w:r w:rsidRPr="005F120D">
        <w:rPr>
          <w:rFonts w:asciiTheme="minorHAnsi" w:hAnsiTheme="minorHAnsi" w:cstheme="minorHAnsi"/>
          <w:szCs w:val="22"/>
        </w:rPr>
        <w:t xml:space="preserve"> through </w:t>
      </w:r>
      <w:r w:rsidR="005C62A6" w:rsidRPr="005F120D">
        <w:rPr>
          <w:rFonts w:asciiTheme="minorHAnsi" w:hAnsiTheme="minorHAnsi" w:cstheme="minorHAnsi"/>
          <w:bCs/>
        </w:rPr>
        <w:t>the p</w:t>
      </w:r>
      <w:r w:rsidR="00F02B3F" w:rsidRPr="005F120D">
        <w:rPr>
          <w:rFonts w:asciiTheme="minorHAnsi" w:hAnsiTheme="minorHAnsi" w:cstheme="minorHAnsi"/>
          <w:bCs/>
        </w:rPr>
        <w:t>rovision of “Second C</w:t>
      </w:r>
      <w:r w:rsidR="003B47A2" w:rsidRPr="005F120D">
        <w:rPr>
          <w:rFonts w:asciiTheme="minorHAnsi" w:hAnsiTheme="minorHAnsi" w:cstheme="minorHAnsi"/>
          <w:bCs/>
        </w:rPr>
        <w:t xml:space="preserve">hance” </w:t>
      </w:r>
      <w:r w:rsidR="00072DB3" w:rsidRPr="005F120D">
        <w:rPr>
          <w:rFonts w:asciiTheme="minorHAnsi" w:hAnsiTheme="minorHAnsi" w:cstheme="minorHAnsi"/>
          <w:bCs/>
        </w:rPr>
        <w:t>Education. About</w:t>
      </w:r>
      <w:r w:rsidRPr="005F120D">
        <w:rPr>
          <w:rFonts w:asciiTheme="minorHAnsi" w:hAnsiTheme="minorHAnsi" w:cstheme="minorHAnsi"/>
          <w:bCs/>
        </w:rPr>
        <w:t xml:space="preserve"> </w:t>
      </w:r>
      <w:r w:rsidR="007A429E" w:rsidRPr="005F120D">
        <w:rPr>
          <w:rFonts w:asciiTheme="minorHAnsi" w:hAnsiTheme="minorHAnsi" w:cstheme="minorHAnsi"/>
          <w:bCs/>
        </w:rPr>
        <w:t>283,000 out-of-school c</w:t>
      </w:r>
      <w:r w:rsidRPr="005F120D">
        <w:rPr>
          <w:rFonts w:asciiTheme="minorHAnsi" w:hAnsiTheme="minorHAnsi" w:cstheme="minorHAnsi"/>
          <w:bCs/>
        </w:rPr>
        <w:t>hildren</w:t>
      </w:r>
      <w:r w:rsidR="005A5EBE" w:rsidRPr="005F120D">
        <w:rPr>
          <w:rFonts w:asciiTheme="minorHAnsi" w:hAnsiTheme="minorHAnsi" w:cstheme="minorHAnsi"/>
          <w:bCs/>
        </w:rPr>
        <w:t xml:space="preserve"> are being given this</w:t>
      </w:r>
      <w:r w:rsidR="007A429E" w:rsidRPr="005F120D">
        <w:rPr>
          <w:rFonts w:asciiTheme="minorHAnsi" w:hAnsiTheme="minorHAnsi" w:cstheme="minorHAnsi"/>
          <w:bCs/>
        </w:rPr>
        <w:t xml:space="preserve"> second chance education</w:t>
      </w:r>
      <w:r w:rsidR="003B47A2" w:rsidRPr="005F120D">
        <w:rPr>
          <w:rFonts w:asciiTheme="minorHAnsi" w:hAnsiTheme="minorHAnsi" w:cstheme="minorHAnsi"/>
        </w:rPr>
        <w:t>. The total o</w:t>
      </w:r>
      <w:r w:rsidR="003B47A2" w:rsidRPr="005F120D">
        <w:rPr>
          <w:rFonts w:asciiTheme="minorHAnsi" w:hAnsiTheme="minorHAnsi" w:cstheme="minorHAnsi"/>
          <w:bCs/>
        </w:rPr>
        <w:t xml:space="preserve">riginal cost as per DPP was Tk. 69,995.46 </w:t>
      </w:r>
      <w:r w:rsidR="00F738CE" w:rsidRPr="005F120D">
        <w:rPr>
          <w:rFonts w:asciiTheme="minorHAnsi" w:hAnsiTheme="minorHAnsi" w:cstheme="minorHAnsi"/>
          <w:bCs/>
        </w:rPr>
        <w:t>Lac</w:t>
      </w:r>
      <w:r w:rsidR="003B47A2" w:rsidRPr="005F120D">
        <w:rPr>
          <w:rFonts w:asciiTheme="minorHAnsi" w:hAnsiTheme="minorHAnsi" w:cstheme="minorHAnsi"/>
          <w:bCs/>
        </w:rPr>
        <w:t xml:space="preserve"> and revised cost as per RDPP is Tk. 18,827.62 </w:t>
      </w:r>
      <w:r w:rsidR="00F738CE" w:rsidRPr="005F120D">
        <w:rPr>
          <w:rFonts w:asciiTheme="minorHAnsi" w:hAnsiTheme="minorHAnsi" w:cstheme="minorHAnsi"/>
          <w:bCs/>
        </w:rPr>
        <w:t>Lac</w:t>
      </w:r>
      <w:r w:rsidR="003A1938" w:rsidRPr="005F120D">
        <w:rPr>
          <w:rFonts w:asciiTheme="minorHAnsi" w:hAnsiTheme="minorHAnsi" w:cstheme="minorHAnsi"/>
          <w:bCs/>
        </w:rPr>
        <w:t>.</w:t>
      </w:r>
    </w:p>
    <w:p w:rsidR="006F26E8" w:rsidRPr="005F120D" w:rsidRDefault="006F26E8" w:rsidP="000A5B80">
      <w:pPr>
        <w:pStyle w:val="Caption"/>
        <w:rPr>
          <w:rFonts w:cstheme="minorHAnsi"/>
        </w:rPr>
      </w:pPr>
      <w:bookmarkStart w:id="83" w:name="_Toc462837234"/>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12</w:t>
      </w:r>
      <w:r w:rsidR="002E2ED5" w:rsidRPr="005F120D">
        <w:rPr>
          <w:rFonts w:cstheme="minorHAnsi"/>
        </w:rPr>
        <w:fldChar w:fldCharType="end"/>
      </w:r>
      <w:r w:rsidRPr="005F120D">
        <w:rPr>
          <w:rFonts w:cstheme="minorHAnsi"/>
        </w:rPr>
        <w:t>: Second Chance and Alternative Education</w:t>
      </w:r>
      <w:r w:rsidR="003A1938" w:rsidRPr="005F120D">
        <w:rPr>
          <w:rFonts w:cstheme="minorHAnsi"/>
        </w:rPr>
        <w:t>:</w:t>
      </w:r>
      <w:r w:rsidR="00C27B1A" w:rsidRPr="005F120D">
        <w:rPr>
          <w:rFonts w:cstheme="minorHAnsi"/>
        </w:rPr>
        <w:t xml:space="preserve"> Cost and Expenditure as of June 2015</w:t>
      </w:r>
      <w:bookmarkEnd w:id="83"/>
    </w:p>
    <w:p w:rsidR="006F26E8" w:rsidRPr="005F120D" w:rsidRDefault="006F26E8" w:rsidP="000A5B80">
      <w:pPr>
        <w:spacing w:after="0"/>
        <w:ind w:left="720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ook w:val="04A0"/>
      </w:tblPr>
      <w:tblGrid>
        <w:gridCol w:w="1727"/>
        <w:gridCol w:w="983"/>
        <w:gridCol w:w="930"/>
        <w:gridCol w:w="784"/>
        <w:gridCol w:w="958"/>
        <w:gridCol w:w="921"/>
        <w:gridCol w:w="991"/>
        <w:gridCol w:w="1128"/>
        <w:gridCol w:w="821"/>
      </w:tblGrid>
      <w:tr w:rsidR="007F70BA" w:rsidRPr="005F120D" w:rsidTr="008065BC">
        <w:trPr>
          <w:tblHeader/>
        </w:trPr>
        <w:tc>
          <w:tcPr>
            <w:tcW w:w="935"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1035"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942"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1033" w:type="pct"/>
            <w:gridSpan w:val="2"/>
            <w:shd w:val="clear" w:color="auto" w:fill="CCC0D9" w:themeFill="accent4" w:themeFillTint="6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10"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bCs/>
                <w:sz w:val="14"/>
                <w:szCs w:val="14"/>
              </w:rPr>
              <w:t>Unspent as of June 2015/ as % of RDPP cost</w:t>
            </w:r>
          </w:p>
        </w:tc>
        <w:tc>
          <w:tcPr>
            <w:tcW w:w="445"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7F70BA" w:rsidRPr="005F120D" w:rsidTr="008065BC">
        <w:trPr>
          <w:tblHeader/>
        </w:trPr>
        <w:tc>
          <w:tcPr>
            <w:tcW w:w="935" w:type="pct"/>
            <w:vMerge/>
            <w:tcBorders>
              <w:bottom w:val="double" w:sz="4"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p>
        </w:tc>
        <w:tc>
          <w:tcPr>
            <w:tcW w:w="532" w:type="pct"/>
            <w:tcBorders>
              <w:bottom w:val="double" w:sz="4" w:space="0" w:color="5F497A" w:themeColor="accent4" w:themeShade="BF"/>
            </w:tcBorders>
            <w:shd w:val="clear" w:color="auto" w:fill="CCC0D9" w:themeFill="accent4" w:themeFillTint="66"/>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03" w:type="pct"/>
            <w:tcBorders>
              <w:bottom w:val="double" w:sz="4" w:space="0" w:color="5F497A" w:themeColor="accent4" w:themeShade="BF"/>
            </w:tcBorders>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24" w:type="pct"/>
            <w:tcBorders>
              <w:bottom w:val="double" w:sz="4" w:space="0" w:color="5F497A" w:themeColor="accent4" w:themeShade="BF"/>
            </w:tcBorders>
            <w:shd w:val="clear" w:color="auto" w:fill="CCC0D9" w:themeFill="accent4" w:themeFillTint="66"/>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18" w:type="pct"/>
            <w:tcBorders>
              <w:bottom w:val="double" w:sz="4" w:space="0" w:color="5F497A" w:themeColor="accent4" w:themeShade="BF"/>
            </w:tcBorders>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98" w:type="pct"/>
            <w:tcBorders>
              <w:bottom w:val="double" w:sz="4" w:space="0" w:color="5F497A" w:themeColor="accent4" w:themeShade="BF"/>
            </w:tcBorders>
            <w:shd w:val="clear" w:color="auto" w:fill="CCC0D9" w:themeFill="accent4" w:themeFillTint="66"/>
          </w:tcPr>
          <w:p w:rsidR="006F26E8" w:rsidRPr="005F120D" w:rsidRDefault="006F26E8" w:rsidP="000A5B80">
            <w:pPr>
              <w:tabs>
                <w:tab w:val="center" w:pos="444"/>
              </w:tabs>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ab/>
              <w:t>Physical</w:t>
            </w:r>
          </w:p>
        </w:tc>
        <w:tc>
          <w:tcPr>
            <w:tcW w:w="536" w:type="pct"/>
            <w:tcBorders>
              <w:bottom w:val="double" w:sz="4" w:space="0" w:color="5F497A" w:themeColor="accent4" w:themeShade="BF"/>
            </w:tcBorders>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10" w:type="pct"/>
            <w:vMerge/>
            <w:tcBorders>
              <w:bottom w:val="double" w:sz="4" w:space="0" w:color="5F497A" w:themeColor="accent4" w:themeShade="BF"/>
            </w:tcBorders>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p>
        </w:tc>
        <w:tc>
          <w:tcPr>
            <w:tcW w:w="445" w:type="pct"/>
            <w:vMerge/>
            <w:tcBorders>
              <w:bottom w:val="double" w:sz="4" w:space="0" w:color="5F497A" w:themeColor="accent4" w:themeShade="BF"/>
            </w:tcBorders>
            <w:shd w:val="clear" w:color="auto" w:fill="CCC0D9" w:themeFill="accent4" w:themeFillTint="66"/>
            <w:vAlign w:val="center"/>
          </w:tcPr>
          <w:p w:rsidR="006F26E8" w:rsidRPr="005F120D" w:rsidRDefault="006F26E8" w:rsidP="000A5B80">
            <w:pPr>
              <w:spacing w:after="0"/>
              <w:jc w:val="center"/>
              <w:rPr>
                <w:rFonts w:asciiTheme="minorHAnsi" w:hAnsiTheme="minorHAnsi" w:cstheme="minorHAnsi"/>
                <w:sz w:val="16"/>
                <w:szCs w:val="16"/>
              </w:rPr>
            </w:pPr>
          </w:p>
        </w:tc>
      </w:tr>
      <w:tr w:rsidR="007F70BA" w:rsidRPr="005F120D" w:rsidTr="008065BC">
        <w:tc>
          <w:tcPr>
            <w:tcW w:w="935" w:type="pct"/>
            <w:tcBorders>
              <w:top w:val="double" w:sz="4"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Survey</w:t>
            </w:r>
          </w:p>
        </w:tc>
        <w:tc>
          <w:tcPr>
            <w:tcW w:w="532"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503"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w:t>
            </w:r>
          </w:p>
        </w:tc>
        <w:tc>
          <w:tcPr>
            <w:tcW w:w="424"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518"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w:t>
            </w:r>
          </w:p>
        </w:tc>
        <w:tc>
          <w:tcPr>
            <w:tcW w:w="498"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36"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10"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w:t>
            </w:r>
          </w:p>
        </w:tc>
        <w:tc>
          <w:tcPr>
            <w:tcW w:w="445"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F70BA" w:rsidRPr="005F120D" w:rsidTr="008065BC">
        <w:tc>
          <w:tcPr>
            <w:tcW w:w="93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O</w:t>
            </w:r>
            <w:r w:rsidR="00981CA3" w:rsidRPr="005F120D">
              <w:rPr>
                <w:rFonts w:asciiTheme="minorHAnsi" w:hAnsiTheme="minorHAnsi" w:cstheme="minorHAnsi"/>
                <w:sz w:val="16"/>
                <w:szCs w:val="16"/>
              </w:rPr>
              <w:t>ut of school (6-10 y</w:t>
            </w:r>
            <w:r w:rsidRPr="005F120D">
              <w:rPr>
                <w:rFonts w:asciiTheme="minorHAnsi" w:hAnsiTheme="minorHAnsi" w:cstheme="minorHAnsi"/>
                <w:sz w:val="16"/>
                <w:szCs w:val="16"/>
              </w:rPr>
              <w:t>rs)</w:t>
            </w:r>
          </w:p>
        </w:tc>
        <w:tc>
          <w:tcPr>
            <w:tcW w:w="53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1,162,470</w:t>
            </w:r>
          </w:p>
        </w:tc>
        <w:tc>
          <w:tcPr>
            <w:tcW w:w="50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29,061.75</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2 </w:t>
            </w:r>
            <w:r w:rsidR="00F738CE" w:rsidRPr="005F120D">
              <w:rPr>
                <w:rFonts w:asciiTheme="minorHAnsi" w:hAnsiTheme="minorHAnsi" w:cstheme="minorHAnsi"/>
                <w:sz w:val="16"/>
                <w:szCs w:val="16"/>
              </w:rPr>
              <w:t>lac</w:t>
            </w:r>
            <w:r w:rsidRPr="005F120D">
              <w:rPr>
                <w:rFonts w:asciiTheme="minorHAnsi" w:hAnsiTheme="minorHAnsi" w:cstheme="minorHAnsi"/>
                <w:sz w:val="16"/>
                <w:szCs w:val="16"/>
              </w:rPr>
              <w:t xml:space="preserve"> learner</w:t>
            </w:r>
          </w:p>
        </w:tc>
        <w:tc>
          <w:tcPr>
            <w:tcW w:w="51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8,296.25</w:t>
            </w:r>
          </w:p>
          <w:p w:rsidR="006F26E8" w:rsidRPr="005F120D" w:rsidRDefault="006F26E8" w:rsidP="000A5B80">
            <w:pPr>
              <w:spacing w:after="0"/>
              <w:jc w:val="right"/>
              <w:rPr>
                <w:rFonts w:asciiTheme="minorHAnsi" w:hAnsiTheme="minorHAnsi" w:cstheme="minorHAnsi"/>
                <w:sz w:val="16"/>
                <w:szCs w:val="16"/>
              </w:rPr>
            </w:pP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3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p w:rsidR="006F26E8" w:rsidRPr="005F120D" w:rsidRDefault="006F26E8" w:rsidP="000A5B80">
            <w:pPr>
              <w:spacing w:after="0"/>
              <w:jc w:val="right"/>
              <w:rPr>
                <w:rFonts w:asciiTheme="minorHAnsi" w:hAnsiTheme="minorHAnsi" w:cstheme="minorHAnsi"/>
                <w:sz w:val="16"/>
                <w:szCs w:val="16"/>
              </w:rPr>
            </w:pPr>
          </w:p>
        </w:tc>
        <w:tc>
          <w:tcPr>
            <w:tcW w:w="610"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8,296.25</w:t>
            </w:r>
          </w:p>
          <w:p w:rsidR="006F26E8" w:rsidRPr="005F120D" w:rsidRDefault="006F26E8" w:rsidP="000A5B80">
            <w:pPr>
              <w:spacing w:after="0"/>
              <w:jc w:val="right"/>
              <w:rPr>
                <w:rFonts w:asciiTheme="minorHAnsi" w:hAnsiTheme="minorHAnsi" w:cstheme="minorHAnsi"/>
                <w:sz w:val="16"/>
                <w:szCs w:val="16"/>
              </w:rPr>
            </w:pPr>
          </w:p>
        </w:tc>
        <w:tc>
          <w:tcPr>
            <w:tcW w:w="44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F70BA" w:rsidRPr="005F120D" w:rsidTr="008065BC">
        <w:tc>
          <w:tcPr>
            <w:tcW w:w="93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3. Drop-out from primary school </w:t>
            </w:r>
          </w:p>
        </w:tc>
        <w:tc>
          <w:tcPr>
            <w:tcW w:w="53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1,364,457</w:t>
            </w:r>
          </w:p>
        </w:tc>
        <w:tc>
          <w:tcPr>
            <w:tcW w:w="50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40,933.71</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1 </w:t>
            </w:r>
            <w:r w:rsidR="00F738CE" w:rsidRPr="005F120D">
              <w:rPr>
                <w:rFonts w:asciiTheme="minorHAnsi" w:hAnsiTheme="minorHAnsi" w:cstheme="minorHAnsi"/>
                <w:sz w:val="16"/>
                <w:szCs w:val="16"/>
              </w:rPr>
              <w:t>lac</w:t>
            </w:r>
            <w:r w:rsidRPr="005F120D">
              <w:rPr>
                <w:rFonts w:asciiTheme="minorHAnsi" w:hAnsiTheme="minorHAnsi" w:cstheme="minorHAnsi"/>
                <w:sz w:val="16"/>
                <w:szCs w:val="16"/>
              </w:rPr>
              <w:t xml:space="preserve"> learner</w:t>
            </w:r>
          </w:p>
        </w:tc>
        <w:tc>
          <w:tcPr>
            <w:tcW w:w="51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7,996.25</w:t>
            </w:r>
          </w:p>
          <w:p w:rsidR="006F26E8" w:rsidRPr="005F120D" w:rsidRDefault="006F26E8" w:rsidP="000A5B80">
            <w:pPr>
              <w:spacing w:after="0"/>
              <w:jc w:val="right"/>
              <w:rPr>
                <w:rFonts w:asciiTheme="minorHAnsi" w:hAnsiTheme="minorHAnsi" w:cstheme="minorHAnsi"/>
                <w:sz w:val="16"/>
                <w:szCs w:val="16"/>
              </w:rPr>
            </w:pP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3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p w:rsidR="006F26E8" w:rsidRPr="005F120D" w:rsidRDefault="006F26E8" w:rsidP="000A5B80">
            <w:pPr>
              <w:spacing w:after="0"/>
              <w:jc w:val="right"/>
              <w:rPr>
                <w:rFonts w:asciiTheme="minorHAnsi" w:hAnsiTheme="minorHAnsi" w:cstheme="minorHAnsi"/>
                <w:sz w:val="16"/>
                <w:szCs w:val="16"/>
              </w:rPr>
            </w:pPr>
          </w:p>
        </w:tc>
        <w:tc>
          <w:tcPr>
            <w:tcW w:w="610"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7,996.25</w:t>
            </w:r>
          </w:p>
          <w:p w:rsidR="006F26E8" w:rsidRPr="005F120D" w:rsidRDefault="006F26E8" w:rsidP="000A5B80">
            <w:pPr>
              <w:spacing w:after="0"/>
              <w:jc w:val="right"/>
              <w:rPr>
                <w:rFonts w:asciiTheme="minorHAnsi" w:hAnsiTheme="minorHAnsi" w:cstheme="minorHAnsi"/>
                <w:sz w:val="16"/>
                <w:szCs w:val="16"/>
              </w:rPr>
            </w:pPr>
          </w:p>
        </w:tc>
        <w:tc>
          <w:tcPr>
            <w:tcW w:w="44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F70BA" w:rsidRPr="005F120D" w:rsidTr="008065BC">
        <w:trPr>
          <w:trHeight w:val="282"/>
        </w:trPr>
        <w:tc>
          <w:tcPr>
            <w:tcW w:w="935" w:type="pct"/>
            <w:tcBorders>
              <w:top w:val="single" w:sz="6" w:space="0" w:color="5F497A" w:themeColor="accent4" w:themeShade="BF"/>
              <w:bottom w:val="single" w:sz="6" w:space="0" w:color="5F497A" w:themeColor="accent4" w:themeShade="BF"/>
            </w:tcBorders>
          </w:tcPr>
          <w:p w:rsidR="006F26E8" w:rsidRPr="005F120D" w:rsidRDefault="00073866"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4. Unicef TA </w:t>
            </w:r>
          </w:p>
        </w:tc>
        <w:tc>
          <w:tcPr>
            <w:tcW w:w="53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TA </w:t>
            </w:r>
          </w:p>
        </w:tc>
        <w:tc>
          <w:tcPr>
            <w:tcW w:w="51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2,345.12</w:t>
            </w: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3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255.12</w:t>
            </w:r>
          </w:p>
        </w:tc>
        <w:tc>
          <w:tcPr>
            <w:tcW w:w="610"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2,090.00</w:t>
            </w:r>
          </w:p>
        </w:tc>
        <w:tc>
          <w:tcPr>
            <w:tcW w:w="445" w:type="pct"/>
            <w:tcBorders>
              <w:top w:val="single" w:sz="6" w:space="0" w:color="5F497A" w:themeColor="accent4" w:themeShade="BF"/>
              <w:bottom w:val="single" w:sz="6" w:space="0" w:color="5F497A" w:themeColor="accent4" w:themeShade="BF"/>
            </w:tcBorders>
            <w:vAlign w:val="center"/>
          </w:tcPr>
          <w:p w:rsidR="006F26E8" w:rsidRPr="005F120D" w:rsidRDefault="00073866"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ABL </w:t>
            </w:r>
            <w:r w:rsidR="006F26E8" w:rsidRPr="005F120D">
              <w:rPr>
                <w:rFonts w:asciiTheme="minorHAnsi" w:hAnsiTheme="minorHAnsi" w:cstheme="minorHAnsi"/>
                <w:sz w:val="16"/>
                <w:szCs w:val="16"/>
              </w:rPr>
              <w:t>pack</w:t>
            </w:r>
          </w:p>
        </w:tc>
      </w:tr>
      <w:tr w:rsidR="007F70BA" w:rsidRPr="005F120D" w:rsidTr="008065BC">
        <w:tc>
          <w:tcPr>
            <w:tcW w:w="935" w:type="pct"/>
            <w:tcBorders>
              <w:top w:val="single" w:sz="6" w:space="0" w:color="5F497A" w:themeColor="accent4" w:themeShade="BF"/>
              <w:bottom w:val="double" w:sz="4"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5. Manpower </w:t>
            </w:r>
          </w:p>
        </w:tc>
        <w:tc>
          <w:tcPr>
            <w:tcW w:w="532"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3"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24"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 persons</w:t>
            </w:r>
          </w:p>
        </w:tc>
        <w:tc>
          <w:tcPr>
            <w:tcW w:w="518"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140.00</w:t>
            </w:r>
          </w:p>
        </w:tc>
        <w:tc>
          <w:tcPr>
            <w:tcW w:w="498"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36"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4.89</w:t>
            </w:r>
          </w:p>
        </w:tc>
        <w:tc>
          <w:tcPr>
            <w:tcW w:w="610"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135.11</w:t>
            </w:r>
          </w:p>
        </w:tc>
        <w:tc>
          <w:tcPr>
            <w:tcW w:w="445"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Salary</w:t>
            </w:r>
          </w:p>
        </w:tc>
      </w:tr>
      <w:tr w:rsidR="007F70BA" w:rsidRPr="005F120D" w:rsidTr="008065BC">
        <w:tc>
          <w:tcPr>
            <w:tcW w:w="935"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532"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503"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69,995.46</w:t>
            </w:r>
          </w:p>
        </w:tc>
        <w:tc>
          <w:tcPr>
            <w:tcW w:w="424"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518"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18,827.62</w:t>
            </w:r>
          </w:p>
        </w:tc>
        <w:tc>
          <w:tcPr>
            <w:tcW w:w="498"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536"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260.01 (1.4%)</w:t>
            </w:r>
          </w:p>
        </w:tc>
        <w:tc>
          <w:tcPr>
            <w:tcW w:w="610"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18,567.61 (98.6%)</w:t>
            </w:r>
          </w:p>
        </w:tc>
        <w:tc>
          <w:tcPr>
            <w:tcW w:w="445"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sz w:val="16"/>
                <w:szCs w:val="16"/>
              </w:rPr>
            </w:pPr>
          </w:p>
        </w:tc>
      </w:tr>
    </w:tbl>
    <w:p w:rsidR="00981CA3" w:rsidRPr="005F120D" w:rsidRDefault="006F26E8" w:rsidP="00847454">
      <w:pPr>
        <w:pStyle w:val="ListParagraph"/>
        <w:numPr>
          <w:ilvl w:val="0"/>
          <w:numId w:val="88"/>
        </w:numPr>
        <w:autoSpaceDE w:val="0"/>
        <w:autoSpaceDN w:val="0"/>
        <w:adjustRightInd w:val="0"/>
        <w:spacing w:before="240" w:after="120"/>
        <w:jc w:val="both"/>
        <w:rPr>
          <w:rFonts w:asciiTheme="minorHAnsi" w:hAnsiTheme="minorHAnsi" w:cstheme="minorHAnsi"/>
          <w:bCs/>
        </w:rPr>
      </w:pPr>
      <w:r w:rsidRPr="005F120D">
        <w:rPr>
          <w:rFonts w:asciiTheme="minorHAnsi" w:hAnsiTheme="minorHAnsi" w:cstheme="minorHAnsi"/>
          <w:b/>
          <w:i/>
          <w:iCs/>
          <w:color w:val="008000"/>
        </w:rPr>
        <w:t>Sub-Component 2.1.2 - Pre Primary Education (PPE):</w:t>
      </w:r>
    </w:p>
    <w:p w:rsidR="005E5710" w:rsidRPr="005F120D" w:rsidRDefault="005A5EBE" w:rsidP="00847454">
      <w:pPr>
        <w:autoSpaceDE w:val="0"/>
        <w:autoSpaceDN w:val="0"/>
        <w:adjustRightInd w:val="0"/>
        <w:spacing w:before="120" w:after="120"/>
        <w:jc w:val="both"/>
        <w:rPr>
          <w:rFonts w:asciiTheme="minorHAnsi" w:hAnsiTheme="minorHAnsi" w:cstheme="minorHAnsi"/>
          <w:bCs/>
        </w:rPr>
      </w:pPr>
      <w:r w:rsidRPr="005F120D">
        <w:rPr>
          <w:rFonts w:asciiTheme="minorHAnsi" w:hAnsiTheme="minorHAnsi" w:cstheme="minorHAnsi"/>
          <w:szCs w:val="22"/>
        </w:rPr>
        <w:t>The Government has</w:t>
      </w:r>
      <w:r w:rsidR="00BB05B5" w:rsidRPr="005F120D">
        <w:rPr>
          <w:rFonts w:asciiTheme="minorHAnsi" w:hAnsiTheme="minorHAnsi" w:cstheme="minorHAnsi"/>
          <w:szCs w:val="22"/>
        </w:rPr>
        <w:t xml:space="preserve"> pledged to provide one year </w:t>
      </w:r>
      <w:r w:rsidRPr="005F120D">
        <w:rPr>
          <w:rFonts w:asciiTheme="minorHAnsi" w:hAnsiTheme="minorHAnsi" w:cstheme="minorHAnsi"/>
          <w:szCs w:val="22"/>
        </w:rPr>
        <w:t xml:space="preserve">of </w:t>
      </w:r>
      <w:r w:rsidR="00BB05B5" w:rsidRPr="005F120D">
        <w:rPr>
          <w:rFonts w:asciiTheme="minorHAnsi" w:hAnsiTheme="minorHAnsi" w:cstheme="minorHAnsi"/>
          <w:szCs w:val="22"/>
        </w:rPr>
        <w:t>free P</w:t>
      </w:r>
      <w:r w:rsidR="00CE0616" w:rsidRPr="005F120D">
        <w:rPr>
          <w:rFonts w:asciiTheme="minorHAnsi" w:hAnsiTheme="minorHAnsi" w:cstheme="minorHAnsi"/>
          <w:szCs w:val="22"/>
        </w:rPr>
        <w:t>re-P</w:t>
      </w:r>
      <w:r w:rsidR="00BB05B5" w:rsidRPr="005F120D">
        <w:rPr>
          <w:rFonts w:asciiTheme="minorHAnsi" w:hAnsiTheme="minorHAnsi" w:cstheme="minorHAnsi"/>
          <w:szCs w:val="22"/>
        </w:rPr>
        <w:t>rimary Education</w:t>
      </w:r>
      <w:r w:rsidR="00CE0616" w:rsidRPr="005F120D">
        <w:rPr>
          <w:rFonts w:asciiTheme="minorHAnsi" w:hAnsiTheme="minorHAnsi" w:cstheme="minorHAnsi"/>
          <w:szCs w:val="22"/>
        </w:rPr>
        <w:t xml:space="preserve"> (PPE)</w:t>
      </w:r>
      <w:r w:rsidR="00BB05B5" w:rsidRPr="005F120D">
        <w:rPr>
          <w:rFonts w:asciiTheme="minorHAnsi" w:hAnsiTheme="minorHAnsi" w:cstheme="minorHAnsi"/>
          <w:szCs w:val="22"/>
        </w:rPr>
        <w:t xml:space="preserve"> to 5 and 6 year olds at G</w:t>
      </w:r>
      <w:r w:rsidR="00CE0616" w:rsidRPr="005F120D">
        <w:rPr>
          <w:rFonts w:asciiTheme="minorHAnsi" w:hAnsiTheme="minorHAnsi" w:cstheme="minorHAnsi"/>
          <w:szCs w:val="22"/>
        </w:rPr>
        <w:t xml:space="preserve">overnment </w:t>
      </w:r>
      <w:r w:rsidR="00BB05B5" w:rsidRPr="005F120D">
        <w:rPr>
          <w:rFonts w:asciiTheme="minorHAnsi" w:hAnsiTheme="minorHAnsi" w:cstheme="minorHAnsi"/>
          <w:szCs w:val="22"/>
        </w:rPr>
        <w:t>P</w:t>
      </w:r>
      <w:r w:rsidR="00CE0616" w:rsidRPr="005F120D">
        <w:rPr>
          <w:rFonts w:asciiTheme="minorHAnsi" w:hAnsiTheme="minorHAnsi" w:cstheme="minorHAnsi"/>
          <w:szCs w:val="22"/>
        </w:rPr>
        <w:t xml:space="preserve">rimary </w:t>
      </w:r>
      <w:r w:rsidR="00BB05B5" w:rsidRPr="005F120D">
        <w:rPr>
          <w:rFonts w:asciiTheme="minorHAnsi" w:hAnsiTheme="minorHAnsi" w:cstheme="minorHAnsi"/>
          <w:szCs w:val="22"/>
        </w:rPr>
        <w:t>S</w:t>
      </w:r>
      <w:r w:rsidR="00CE0616" w:rsidRPr="005F120D">
        <w:rPr>
          <w:rFonts w:asciiTheme="minorHAnsi" w:hAnsiTheme="minorHAnsi" w:cstheme="minorHAnsi"/>
          <w:szCs w:val="22"/>
        </w:rPr>
        <w:t>chools</w:t>
      </w:r>
      <w:r w:rsidR="00BB05B5" w:rsidRPr="005F120D">
        <w:rPr>
          <w:rFonts w:asciiTheme="minorHAnsi" w:hAnsiTheme="minorHAnsi" w:cstheme="minorHAnsi"/>
          <w:szCs w:val="22"/>
        </w:rPr>
        <w:t xml:space="preserve">. Since the </w:t>
      </w:r>
      <w:r w:rsidR="00CE0616" w:rsidRPr="005F120D">
        <w:rPr>
          <w:rFonts w:asciiTheme="minorHAnsi" w:hAnsiTheme="minorHAnsi" w:cstheme="minorHAnsi"/>
          <w:szCs w:val="22"/>
        </w:rPr>
        <w:t>commencement</w:t>
      </w:r>
      <w:r w:rsidR="00BB05B5" w:rsidRPr="005F120D">
        <w:rPr>
          <w:rFonts w:asciiTheme="minorHAnsi" w:hAnsiTheme="minorHAnsi" w:cstheme="minorHAnsi"/>
          <w:szCs w:val="22"/>
        </w:rPr>
        <w:t xml:space="preserve"> of PEDP3</w:t>
      </w:r>
      <w:r w:rsidRPr="005F120D">
        <w:rPr>
          <w:rFonts w:asciiTheme="minorHAnsi" w:hAnsiTheme="minorHAnsi" w:cstheme="minorHAnsi"/>
          <w:szCs w:val="22"/>
        </w:rPr>
        <w:t>,</w:t>
      </w:r>
      <w:r w:rsidR="00BB05B5" w:rsidRPr="005F120D">
        <w:rPr>
          <w:rFonts w:asciiTheme="minorHAnsi" w:hAnsiTheme="minorHAnsi" w:cstheme="minorHAnsi"/>
          <w:szCs w:val="22"/>
        </w:rPr>
        <w:t xml:space="preserve"> new </w:t>
      </w:r>
      <w:r w:rsidR="00CE0616" w:rsidRPr="005F120D">
        <w:rPr>
          <w:rFonts w:asciiTheme="minorHAnsi" w:hAnsiTheme="minorHAnsi" w:cstheme="minorHAnsi"/>
          <w:szCs w:val="22"/>
        </w:rPr>
        <w:t xml:space="preserve">PPE </w:t>
      </w:r>
      <w:r w:rsidR="00BB05B5" w:rsidRPr="005F120D">
        <w:rPr>
          <w:rFonts w:asciiTheme="minorHAnsi" w:hAnsiTheme="minorHAnsi" w:cstheme="minorHAnsi"/>
          <w:szCs w:val="22"/>
        </w:rPr>
        <w:t>teachers have been recruited and trained</w:t>
      </w:r>
      <w:r w:rsidRPr="005F120D">
        <w:rPr>
          <w:rFonts w:asciiTheme="minorHAnsi" w:hAnsiTheme="minorHAnsi" w:cstheme="minorHAnsi"/>
          <w:szCs w:val="22"/>
        </w:rPr>
        <w:t>, and together with</w:t>
      </w:r>
      <w:r w:rsidR="00BB05B5" w:rsidRPr="005F120D">
        <w:rPr>
          <w:rFonts w:asciiTheme="minorHAnsi" w:hAnsiTheme="minorHAnsi" w:cstheme="minorHAnsi"/>
          <w:szCs w:val="22"/>
        </w:rPr>
        <w:t xml:space="preserve"> existing teachers</w:t>
      </w:r>
      <w:r w:rsidRPr="005F120D">
        <w:rPr>
          <w:rFonts w:asciiTheme="minorHAnsi" w:hAnsiTheme="minorHAnsi" w:cstheme="minorHAnsi"/>
          <w:szCs w:val="22"/>
        </w:rPr>
        <w:t>, there will be</w:t>
      </w:r>
      <w:r w:rsidR="00BB05B5" w:rsidRPr="005F120D">
        <w:rPr>
          <w:rFonts w:asciiTheme="minorHAnsi" w:hAnsiTheme="minorHAnsi" w:cstheme="minorHAnsi"/>
          <w:szCs w:val="22"/>
        </w:rPr>
        <w:t xml:space="preserve"> on</w:t>
      </w:r>
      <w:r w:rsidR="00A52954" w:rsidRPr="005F120D">
        <w:rPr>
          <w:rFonts w:asciiTheme="minorHAnsi" w:hAnsiTheme="minorHAnsi" w:cstheme="minorHAnsi"/>
          <w:szCs w:val="22"/>
        </w:rPr>
        <w:t>e teacher in each</w:t>
      </w:r>
      <w:r w:rsidRPr="005F120D">
        <w:rPr>
          <w:rFonts w:asciiTheme="minorHAnsi" w:hAnsiTheme="minorHAnsi" w:cstheme="minorHAnsi"/>
          <w:szCs w:val="22"/>
        </w:rPr>
        <w:t xml:space="preserve"> primary school </w:t>
      </w:r>
      <w:r w:rsidR="00BB05B5" w:rsidRPr="005F120D">
        <w:rPr>
          <w:rFonts w:asciiTheme="minorHAnsi" w:hAnsiTheme="minorHAnsi" w:cstheme="minorHAnsi"/>
          <w:szCs w:val="22"/>
        </w:rPr>
        <w:t>qualified to teach the PPE class</w:t>
      </w:r>
      <w:r w:rsidR="00CE0616" w:rsidRPr="005F120D">
        <w:rPr>
          <w:rFonts w:asciiTheme="minorHAnsi" w:hAnsiTheme="minorHAnsi" w:cstheme="minorHAnsi"/>
          <w:szCs w:val="22"/>
        </w:rPr>
        <w:t xml:space="preserve">. APPE </w:t>
      </w:r>
      <w:r w:rsidR="00BB05B5" w:rsidRPr="005F120D">
        <w:rPr>
          <w:rFonts w:asciiTheme="minorHAnsi" w:hAnsiTheme="minorHAnsi" w:cstheme="minorHAnsi"/>
          <w:szCs w:val="22"/>
        </w:rPr>
        <w:t xml:space="preserve">Expansion Plan has been developed that sets out medium term strategic objectives and defines a framework for the provision of quality </w:t>
      </w:r>
      <w:r w:rsidR="00072DB3" w:rsidRPr="005F120D">
        <w:rPr>
          <w:rFonts w:asciiTheme="minorHAnsi" w:hAnsiTheme="minorHAnsi" w:cstheme="minorHAnsi"/>
          <w:szCs w:val="22"/>
        </w:rPr>
        <w:t>PPE.</w:t>
      </w:r>
      <w:r w:rsidR="00072DB3" w:rsidRPr="005F120D">
        <w:rPr>
          <w:rFonts w:asciiTheme="minorHAnsi" w:hAnsiTheme="minorHAnsi" w:cstheme="minorHAnsi"/>
          <w:bCs/>
        </w:rPr>
        <w:t xml:space="preserve"> The</w:t>
      </w:r>
      <w:r w:rsidR="003B47A2" w:rsidRPr="005F120D">
        <w:rPr>
          <w:rFonts w:asciiTheme="minorHAnsi" w:hAnsiTheme="minorHAnsi" w:cstheme="minorHAnsi"/>
          <w:bCs/>
        </w:rPr>
        <w:t xml:space="preserve"> total original cost as per DPP was Tk. 223,325.30 </w:t>
      </w:r>
      <w:r w:rsidR="00F738CE" w:rsidRPr="005F120D">
        <w:rPr>
          <w:rFonts w:asciiTheme="minorHAnsi" w:hAnsiTheme="minorHAnsi" w:cstheme="minorHAnsi"/>
          <w:bCs/>
        </w:rPr>
        <w:t>Lac</w:t>
      </w:r>
      <w:r w:rsidR="003B47A2" w:rsidRPr="005F120D">
        <w:rPr>
          <w:rFonts w:asciiTheme="minorHAnsi" w:hAnsiTheme="minorHAnsi" w:cstheme="minorHAnsi"/>
          <w:bCs/>
        </w:rPr>
        <w:t xml:space="preserve"> and revised cost as per RDPP is Tk.</w:t>
      </w:r>
      <w:r w:rsidR="003B47A2" w:rsidRPr="005F120D">
        <w:rPr>
          <w:rFonts w:asciiTheme="minorHAnsi" w:hAnsiTheme="minorHAnsi" w:cstheme="minorHAnsi"/>
        </w:rPr>
        <w:t xml:space="preserve"> 195,425.84 </w:t>
      </w:r>
      <w:r w:rsidR="00F738CE" w:rsidRPr="005F120D">
        <w:rPr>
          <w:rFonts w:asciiTheme="minorHAnsi" w:hAnsiTheme="minorHAnsi" w:cstheme="minorHAnsi"/>
          <w:bCs/>
        </w:rPr>
        <w:t>Lac</w:t>
      </w:r>
      <w:r w:rsidR="00704707" w:rsidRPr="005F120D">
        <w:rPr>
          <w:rFonts w:asciiTheme="minorHAnsi" w:hAnsiTheme="minorHAnsi" w:cstheme="minorHAnsi"/>
          <w:bCs/>
        </w:rPr>
        <w:t>.</w:t>
      </w:r>
    </w:p>
    <w:p w:rsidR="006F26E8" w:rsidRPr="005F120D" w:rsidRDefault="006F26E8" w:rsidP="00847454">
      <w:pPr>
        <w:pStyle w:val="Caption"/>
        <w:spacing w:before="120" w:after="120"/>
        <w:rPr>
          <w:rFonts w:cstheme="minorHAnsi"/>
        </w:rPr>
      </w:pPr>
      <w:bookmarkStart w:id="84" w:name="_Toc462837235"/>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13</w:t>
      </w:r>
      <w:r w:rsidR="002E2ED5" w:rsidRPr="005F120D">
        <w:rPr>
          <w:rFonts w:cstheme="minorHAnsi"/>
        </w:rPr>
        <w:fldChar w:fldCharType="end"/>
      </w:r>
      <w:r w:rsidRPr="005F120D">
        <w:rPr>
          <w:rFonts w:cstheme="minorHAnsi"/>
        </w:rPr>
        <w:t>: Pre Primary Education (PPE)</w:t>
      </w:r>
      <w:r w:rsidR="00704707" w:rsidRPr="005F120D">
        <w:rPr>
          <w:rFonts w:cstheme="minorHAnsi"/>
        </w:rPr>
        <w:t>:</w:t>
      </w:r>
      <w:r w:rsidR="00C27B1A" w:rsidRPr="005F120D">
        <w:rPr>
          <w:rFonts w:cstheme="minorHAnsi"/>
        </w:rPr>
        <w:t xml:space="preserve"> Cost and Expenditure as of June 2015</w:t>
      </w:r>
      <w:bookmarkEnd w:id="84"/>
    </w:p>
    <w:p w:rsidR="006F26E8" w:rsidRPr="005F120D" w:rsidRDefault="006F26E8" w:rsidP="000A5B80">
      <w:pPr>
        <w:spacing w:after="0"/>
        <w:ind w:left="720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ook w:val="04A0"/>
      </w:tblPr>
      <w:tblGrid>
        <w:gridCol w:w="1759"/>
        <w:gridCol w:w="783"/>
        <w:gridCol w:w="949"/>
        <w:gridCol w:w="917"/>
        <w:gridCol w:w="949"/>
        <w:gridCol w:w="921"/>
        <w:gridCol w:w="917"/>
        <w:gridCol w:w="1224"/>
        <w:gridCol w:w="824"/>
      </w:tblGrid>
      <w:tr w:rsidR="006F26E8" w:rsidRPr="005F120D" w:rsidTr="008065BC">
        <w:trPr>
          <w:tblHeader/>
        </w:trPr>
        <w:tc>
          <w:tcPr>
            <w:tcW w:w="952"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37"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09"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94" w:type="pct"/>
            <w:gridSpan w:val="2"/>
            <w:shd w:val="clear" w:color="auto" w:fill="CCC0D9" w:themeFill="accent4" w:themeFillTint="6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62"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46"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AF028B" w:rsidRPr="005F120D" w:rsidTr="008065BC">
        <w:trPr>
          <w:tblHeader/>
        </w:trPr>
        <w:tc>
          <w:tcPr>
            <w:tcW w:w="952" w:type="pct"/>
            <w:vMerge/>
            <w:tcBorders>
              <w:bottom w:val="double" w:sz="4"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p>
        </w:tc>
        <w:tc>
          <w:tcPr>
            <w:tcW w:w="424" w:type="pct"/>
            <w:tcBorders>
              <w:bottom w:val="double" w:sz="4" w:space="0" w:color="5F497A" w:themeColor="accent4" w:themeShade="BF"/>
            </w:tcBorders>
            <w:shd w:val="clear" w:color="auto" w:fill="CCC0D9" w:themeFill="accent4" w:themeFillTint="66"/>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13" w:type="pct"/>
            <w:tcBorders>
              <w:bottom w:val="double" w:sz="4" w:space="0" w:color="5F497A" w:themeColor="accent4" w:themeShade="BF"/>
            </w:tcBorders>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96" w:type="pct"/>
            <w:tcBorders>
              <w:bottom w:val="double" w:sz="4" w:space="0" w:color="5F497A" w:themeColor="accent4" w:themeShade="BF"/>
            </w:tcBorders>
            <w:shd w:val="clear" w:color="auto" w:fill="CCC0D9" w:themeFill="accent4" w:themeFillTint="66"/>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13" w:type="pct"/>
            <w:tcBorders>
              <w:bottom w:val="double" w:sz="4" w:space="0" w:color="5F497A" w:themeColor="accent4" w:themeShade="BF"/>
            </w:tcBorders>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98" w:type="pct"/>
            <w:tcBorders>
              <w:bottom w:val="double" w:sz="4" w:space="0" w:color="5F497A" w:themeColor="accent4" w:themeShade="BF"/>
            </w:tcBorders>
            <w:shd w:val="clear" w:color="auto" w:fill="CCC0D9" w:themeFill="accent4" w:themeFillTint="66"/>
          </w:tcPr>
          <w:p w:rsidR="006F26E8" w:rsidRPr="005F120D" w:rsidRDefault="006F26E8" w:rsidP="000A5B80">
            <w:pPr>
              <w:tabs>
                <w:tab w:val="center" w:pos="444"/>
              </w:tabs>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ab/>
              <w:t>Physical</w:t>
            </w:r>
          </w:p>
        </w:tc>
        <w:tc>
          <w:tcPr>
            <w:tcW w:w="496" w:type="pct"/>
            <w:tcBorders>
              <w:bottom w:val="double" w:sz="4" w:space="0" w:color="5F497A" w:themeColor="accent4" w:themeShade="BF"/>
            </w:tcBorders>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62" w:type="pct"/>
            <w:vMerge/>
            <w:tcBorders>
              <w:bottom w:val="double" w:sz="4"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p>
        </w:tc>
        <w:tc>
          <w:tcPr>
            <w:tcW w:w="446" w:type="pct"/>
            <w:vMerge/>
            <w:tcBorders>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double" w:sz="4"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 Curriculum </w:t>
            </w:r>
            <w:r w:rsidRPr="005F120D">
              <w:rPr>
                <w:rFonts w:asciiTheme="minorHAnsi" w:hAnsiTheme="minorHAnsi" w:cstheme="minorHAnsi"/>
                <w:sz w:val="16"/>
                <w:szCs w:val="16"/>
              </w:rPr>
              <w:lastRenderedPageBreak/>
              <w:t>Development</w:t>
            </w:r>
          </w:p>
        </w:tc>
        <w:tc>
          <w:tcPr>
            <w:tcW w:w="424"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lastRenderedPageBreak/>
              <w:t>1</w:t>
            </w:r>
          </w:p>
        </w:tc>
        <w:tc>
          <w:tcPr>
            <w:tcW w:w="513"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w:t>
            </w:r>
          </w:p>
        </w:tc>
        <w:tc>
          <w:tcPr>
            <w:tcW w:w="496"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Curr</w:t>
            </w:r>
            <w:r w:rsidR="009606E5" w:rsidRPr="005F120D">
              <w:rPr>
                <w:rFonts w:asciiTheme="minorHAnsi" w:hAnsiTheme="minorHAnsi" w:cstheme="minorHAnsi"/>
                <w:sz w:val="16"/>
                <w:szCs w:val="16"/>
              </w:rPr>
              <w:t>.</w:t>
            </w:r>
            <w:r w:rsidRPr="005F120D">
              <w:rPr>
                <w:rFonts w:asciiTheme="minorHAnsi" w:hAnsiTheme="minorHAnsi" w:cstheme="minorHAnsi"/>
                <w:sz w:val="16"/>
                <w:szCs w:val="16"/>
              </w:rPr>
              <w:t xml:space="preserve"> for </w:t>
            </w:r>
            <w:r w:rsidRPr="005F120D">
              <w:rPr>
                <w:rFonts w:asciiTheme="minorHAnsi" w:hAnsiTheme="minorHAnsi" w:cstheme="minorHAnsi"/>
                <w:sz w:val="16"/>
                <w:szCs w:val="16"/>
              </w:rPr>
              <w:lastRenderedPageBreak/>
              <w:t>PPE</w:t>
            </w:r>
          </w:p>
        </w:tc>
        <w:tc>
          <w:tcPr>
            <w:tcW w:w="513"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lastRenderedPageBreak/>
              <w:t>35.66</w:t>
            </w:r>
          </w:p>
          <w:p w:rsidR="006F26E8" w:rsidRPr="005F120D" w:rsidRDefault="006F26E8" w:rsidP="000A5B80">
            <w:pPr>
              <w:spacing w:after="0"/>
              <w:jc w:val="right"/>
              <w:rPr>
                <w:rFonts w:asciiTheme="minorHAnsi" w:hAnsiTheme="minorHAnsi" w:cstheme="minorHAnsi"/>
                <w:sz w:val="16"/>
                <w:szCs w:val="16"/>
              </w:rPr>
            </w:pPr>
          </w:p>
        </w:tc>
        <w:tc>
          <w:tcPr>
            <w:tcW w:w="498"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lastRenderedPageBreak/>
              <w:t>-</w:t>
            </w:r>
          </w:p>
        </w:tc>
        <w:tc>
          <w:tcPr>
            <w:tcW w:w="496"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0.66</w:t>
            </w:r>
          </w:p>
        </w:tc>
        <w:tc>
          <w:tcPr>
            <w:tcW w:w="662"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35.00</w:t>
            </w:r>
          </w:p>
        </w:tc>
        <w:tc>
          <w:tcPr>
            <w:tcW w:w="446"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 xml:space="preserve">2. Unicef PPE support </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TA support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1,732.11</w:t>
            </w: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582.55</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1,149.56</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3. Orientation on PPE for officers</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192.00</w:t>
            </w: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141.44</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50.56</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National &amp; field</w:t>
            </w:r>
          </w:p>
        </w:tc>
      </w:tr>
      <w:tr w:rsidR="00AF028B" w:rsidRPr="005F120D" w:rsidTr="008065BC">
        <w:trPr>
          <w:trHeight w:val="282"/>
        </w:trPr>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4. Printing of PPE Expansion plan </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PPE Ex. Plan</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54.50</w:t>
            </w: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54.50</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5. PPE Textbooks printing and distribution</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21 </w:t>
            </w:r>
            <w:r w:rsidR="00F738CE" w:rsidRPr="005F120D">
              <w:rPr>
                <w:rFonts w:asciiTheme="minorHAnsi" w:hAnsiTheme="minorHAnsi" w:cstheme="minorHAnsi"/>
                <w:sz w:val="16"/>
                <w:szCs w:val="16"/>
              </w:rPr>
              <w:t>lac</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2,100.00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Printing of PPE curr. &amp; TB</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392.54</w:t>
            </w:r>
          </w:p>
          <w:p w:rsidR="006F26E8" w:rsidRPr="005F120D" w:rsidRDefault="006F26E8" w:rsidP="000A5B80">
            <w:pPr>
              <w:spacing w:after="0"/>
              <w:jc w:val="right"/>
              <w:rPr>
                <w:rFonts w:asciiTheme="minorHAnsi" w:hAnsiTheme="minorHAnsi" w:cstheme="minorHAnsi"/>
                <w:sz w:val="16"/>
                <w:szCs w:val="16"/>
              </w:rPr>
            </w:pP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272.54</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120.00</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6. Teachers’ guide</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70,000 schools</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35.00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7. Supplementary Reading Materials</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62,000 teachers</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31.00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F02B3F"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8. Teacher </w:t>
            </w:r>
            <w:r w:rsidR="006F26E8" w:rsidRPr="005F120D">
              <w:rPr>
                <w:rFonts w:asciiTheme="minorHAnsi" w:hAnsiTheme="minorHAnsi" w:cstheme="minorHAnsi"/>
                <w:sz w:val="16"/>
                <w:szCs w:val="16"/>
              </w:rPr>
              <w:t xml:space="preserve"> Training on PPE curriculum </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73793 teachers</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75373 teachers</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7,082.50</w:t>
            </w:r>
          </w:p>
          <w:p w:rsidR="006F26E8" w:rsidRPr="005F120D" w:rsidRDefault="006F26E8" w:rsidP="000A5B80">
            <w:pPr>
              <w:spacing w:after="0"/>
              <w:jc w:val="right"/>
              <w:rPr>
                <w:rFonts w:asciiTheme="minorHAnsi" w:hAnsiTheme="minorHAnsi" w:cstheme="minorHAnsi"/>
                <w:sz w:val="16"/>
                <w:szCs w:val="16"/>
              </w:rPr>
            </w:pP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21,500 teachers</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2,670.03</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4,412.47</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9. Dev., printing &amp; distribution &amp; TOT</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10. Initial study</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11. Impact study</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rPr>
          <w:trHeight w:val="417"/>
        </w:trPr>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12. Salary for PPE GPS teachers</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37,680 teachers</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213,600.24</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37,680 teachers</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146,139.63</w:t>
            </w: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34,202.67</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111,936.96</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13. Salary for NNPS PPE Teachers</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26,193 teachers</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29,000.00</w:t>
            </w:r>
          </w:p>
          <w:p w:rsidR="006F26E8" w:rsidRPr="005F120D" w:rsidRDefault="006F26E8" w:rsidP="000A5B80">
            <w:pPr>
              <w:spacing w:after="0"/>
              <w:jc w:val="right"/>
              <w:rPr>
                <w:rFonts w:asciiTheme="minorHAnsi" w:hAnsiTheme="minorHAnsi" w:cstheme="minorHAnsi"/>
                <w:sz w:val="16"/>
                <w:szCs w:val="16"/>
              </w:rPr>
            </w:pP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29,000.00</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14. Funds for school</w:t>
            </w:r>
          </w:p>
        </w:tc>
        <w:tc>
          <w:tcPr>
            <w:tcW w:w="42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37,672 schools</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7,459.06</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65,370 schools</w:t>
            </w:r>
          </w:p>
        </w:tc>
        <w:tc>
          <w:tcPr>
            <w:tcW w:w="51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10,796.90</w:t>
            </w:r>
          </w:p>
          <w:p w:rsidR="006F26E8" w:rsidRPr="005F120D" w:rsidRDefault="006F26E8" w:rsidP="000A5B80">
            <w:pPr>
              <w:spacing w:after="0"/>
              <w:jc w:val="right"/>
              <w:rPr>
                <w:rFonts w:asciiTheme="minorHAnsi" w:hAnsiTheme="minorHAnsi" w:cstheme="minorHAnsi"/>
                <w:sz w:val="16"/>
                <w:szCs w:val="16"/>
              </w:rPr>
            </w:pPr>
          </w:p>
        </w:tc>
        <w:tc>
          <w:tcPr>
            <w:tcW w:w="498"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5,030.25</w:t>
            </w:r>
          </w:p>
        </w:tc>
        <w:tc>
          <w:tcPr>
            <w:tcW w:w="6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5,766.65</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single" w:sz="6" w:space="0" w:color="5F497A" w:themeColor="accent4" w:themeShade="BF"/>
              <w:bottom w:val="double" w:sz="4"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15. Dissemination training on PPE</w:t>
            </w:r>
          </w:p>
        </w:tc>
        <w:tc>
          <w:tcPr>
            <w:tcW w:w="424"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513"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6"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98"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496"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46"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AF028B" w:rsidRPr="005F120D" w:rsidTr="008065BC">
        <w:tc>
          <w:tcPr>
            <w:tcW w:w="952"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24"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513"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223,325.30</w:t>
            </w:r>
          </w:p>
        </w:tc>
        <w:tc>
          <w:tcPr>
            <w:tcW w:w="496"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513"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195,425.84</w:t>
            </w:r>
          </w:p>
        </w:tc>
        <w:tc>
          <w:tcPr>
            <w:tcW w:w="498"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right"/>
              <w:rPr>
                <w:rFonts w:asciiTheme="minorHAnsi" w:hAnsiTheme="minorHAnsi" w:cstheme="minorHAnsi"/>
                <w:b/>
                <w:sz w:val="16"/>
                <w:szCs w:val="16"/>
              </w:rPr>
            </w:pPr>
          </w:p>
        </w:tc>
        <w:tc>
          <w:tcPr>
            <w:tcW w:w="496"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42,900.14 (22%)</w:t>
            </w:r>
          </w:p>
        </w:tc>
        <w:tc>
          <w:tcPr>
            <w:tcW w:w="662"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152,525.70 (78%)</w:t>
            </w:r>
          </w:p>
        </w:tc>
        <w:tc>
          <w:tcPr>
            <w:tcW w:w="446" w:type="pct"/>
            <w:tcBorders>
              <w:top w:val="double" w:sz="4" w:space="0" w:color="5F497A" w:themeColor="accent4" w:themeShade="BF"/>
              <w:bottom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r>
    </w:tbl>
    <w:p w:rsidR="00981CA3" w:rsidRPr="005F120D" w:rsidRDefault="006F26E8" w:rsidP="00847454">
      <w:pPr>
        <w:pStyle w:val="ListParagraph"/>
        <w:numPr>
          <w:ilvl w:val="0"/>
          <w:numId w:val="88"/>
        </w:numPr>
        <w:autoSpaceDE w:val="0"/>
        <w:autoSpaceDN w:val="0"/>
        <w:adjustRightInd w:val="0"/>
        <w:spacing w:before="120" w:after="120"/>
        <w:jc w:val="both"/>
        <w:rPr>
          <w:rFonts w:asciiTheme="minorHAnsi" w:hAnsiTheme="minorHAnsi" w:cstheme="minorHAnsi"/>
          <w:bCs/>
        </w:rPr>
      </w:pPr>
      <w:r w:rsidRPr="005F120D">
        <w:rPr>
          <w:rFonts w:asciiTheme="minorHAnsi" w:hAnsiTheme="minorHAnsi" w:cstheme="minorHAnsi"/>
          <w:b/>
          <w:i/>
          <w:iCs/>
          <w:color w:val="008000"/>
        </w:rPr>
        <w:t>Sub-Component 2.1.3 - Mainstreaming Gender and Inclusive Education (IE):</w:t>
      </w:r>
    </w:p>
    <w:p w:rsidR="006F26E8" w:rsidRPr="005F120D" w:rsidRDefault="00B40CE4" w:rsidP="00847454">
      <w:pPr>
        <w:autoSpaceDE w:val="0"/>
        <w:autoSpaceDN w:val="0"/>
        <w:adjustRightInd w:val="0"/>
        <w:spacing w:before="120" w:after="120"/>
        <w:jc w:val="both"/>
        <w:rPr>
          <w:rFonts w:asciiTheme="minorHAnsi" w:hAnsiTheme="minorHAnsi" w:cstheme="minorHAnsi"/>
          <w:b/>
          <w:bCs/>
        </w:rPr>
      </w:pPr>
      <w:r w:rsidRPr="005F120D">
        <w:rPr>
          <w:rFonts w:asciiTheme="minorHAnsi" w:hAnsiTheme="minorHAnsi" w:cstheme="minorHAnsi"/>
          <w:szCs w:val="22"/>
        </w:rPr>
        <w:t>Inclusive education highlights the “all” in “Education for All.”  This sub-component addresses the pa</w:t>
      </w:r>
      <w:r w:rsidR="00A52954" w:rsidRPr="005F120D">
        <w:rPr>
          <w:rFonts w:asciiTheme="minorHAnsi" w:hAnsiTheme="minorHAnsi" w:cstheme="minorHAnsi"/>
          <w:szCs w:val="22"/>
        </w:rPr>
        <w:t>rticular needs</w:t>
      </w:r>
      <w:r w:rsidRPr="005F120D">
        <w:rPr>
          <w:rFonts w:asciiTheme="minorHAnsi" w:hAnsiTheme="minorHAnsi" w:cstheme="minorHAnsi"/>
          <w:szCs w:val="22"/>
        </w:rPr>
        <w:t xml:space="preserve"> of trib</w:t>
      </w:r>
      <w:r w:rsidR="00A52954" w:rsidRPr="005F120D">
        <w:rPr>
          <w:rFonts w:asciiTheme="minorHAnsi" w:hAnsiTheme="minorHAnsi" w:cstheme="minorHAnsi"/>
          <w:szCs w:val="22"/>
        </w:rPr>
        <w:t xml:space="preserve">al children, ethnic minorities, </w:t>
      </w:r>
      <w:r w:rsidRPr="005F120D">
        <w:rPr>
          <w:rFonts w:asciiTheme="minorHAnsi" w:hAnsiTheme="minorHAnsi" w:cstheme="minorHAnsi"/>
          <w:szCs w:val="22"/>
        </w:rPr>
        <w:t>children</w:t>
      </w:r>
      <w:r w:rsidR="00A52954" w:rsidRPr="005F120D">
        <w:rPr>
          <w:rFonts w:asciiTheme="minorHAnsi" w:hAnsiTheme="minorHAnsi" w:cstheme="minorHAnsi"/>
          <w:szCs w:val="22"/>
        </w:rPr>
        <w:t xml:space="preserve"> with learning disabilities,</w:t>
      </w:r>
      <w:r w:rsidRPr="005F120D">
        <w:rPr>
          <w:rFonts w:asciiTheme="minorHAnsi" w:hAnsiTheme="minorHAnsi" w:cstheme="minorHAnsi"/>
          <w:szCs w:val="22"/>
        </w:rPr>
        <w:t xml:space="preserve"> disabled </w:t>
      </w:r>
      <w:r w:rsidR="00072DB3" w:rsidRPr="005F120D">
        <w:rPr>
          <w:rFonts w:asciiTheme="minorHAnsi" w:hAnsiTheme="minorHAnsi" w:cstheme="minorHAnsi"/>
          <w:szCs w:val="22"/>
        </w:rPr>
        <w:t>children,</w:t>
      </w:r>
      <w:r w:rsidR="00072DB3" w:rsidRPr="005F120D">
        <w:rPr>
          <w:rFonts w:asciiTheme="minorHAnsi" w:hAnsiTheme="minorHAnsi" w:cstheme="minorHAnsi"/>
          <w:bCs/>
        </w:rPr>
        <w:t xml:space="preserve"> and</w:t>
      </w:r>
      <w:r w:rsidR="00F02B3F" w:rsidRPr="005F120D">
        <w:rPr>
          <w:rFonts w:asciiTheme="minorHAnsi" w:hAnsiTheme="minorHAnsi" w:cstheme="minorHAnsi"/>
          <w:bCs/>
        </w:rPr>
        <w:t xml:space="preserve"> </w:t>
      </w:r>
      <w:r w:rsidR="00A52954" w:rsidRPr="005F120D">
        <w:rPr>
          <w:rFonts w:asciiTheme="minorHAnsi" w:hAnsiTheme="minorHAnsi" w:cstheme="minorHAnsi"/>
          <w:bCs/>
        </w:rPr>
        <w:t>also promotes g</w:t>
      </w:r>
      <w:r w:rsidR="00F02B3F" w:rsidRPr="005F120D">
        <w:rPr>
          <w:rFonts w:asciiTheme="minorHAnsi" w:hAnsiTheme="minorHAnsi" w:cstheme="minorHAnsi"/>
          <w:bCs/>
        </w:rPr>
        <w:t xml:space="preserve">ender </w:t>
      </w:r>
      <w:r w:rsidR="00072DB3" w:rsidRPr="005F120D">
        <w:rPr>
          <w:rFonts w:asciiTheme="minorHAnsi" w:hAnsiTheme="minorHAnsi" w:cstheme="minorHAnsi"/>
          <w:bCs/>
        </w:rPr>
        <w:t>sensitivity</w:t>
      </w:r>
      <w:r w:rsidR="00072DB3" w:rsidRPr="005F120D">
        <w:rPr>
          <w:rFonts w:asciiTheme="minorHAnsi" w:hAnsiTheme="minorHAnsi" w:cstheme="minorHAnsi"/>
          <w:b/>
          <w:bCs/>
        </w:rPr>
        <w:t>.</w:t>
      </w:r>
      <w:r w:rsidR="00072DB3" w:rsidRPr="005F120D">
        <w:rPr>
          <w:rFonts w:asciiTheme="minorHAnsi" w:hAnsiTheme="minorHAnsi" w:cstheme="minorHAnsi"/>
          <w:szCs w:val="22"/>
        </w:rPr>
        <w:t xml:space="preserve"> The</w:t>
      </w:r>
      <w:r w:rsidRPr="005F120D">
        <w:rPr>
          <w:rFonts w:asciiTheme="minorHAnsi" w:hAnsiTheme="minorHAnsi" w:cstheme="minorHAnsi"/>
          <w:szCs w:val="22"/>
        </w:rPr>
        <w:t xml:space="preserve"> intention is to create an inclusive culture based </w:t>
      </w:r>
      <w:r w:rsidR="00655E58" w:rsidRPr="005F120D">
        <w:rPr>
          <w:rFonts w:asciiTheme="minorHAnsi" w:hAnsiTheme="minorHAnsi" w:cstheme="minorHAnsi"/>
          <w:szCs w:val="22"/>
        </w:rPr>
        <w:t xml:space="preserve">component </w:t>
      </w:r>
      <w:r w:rsidRPr="005F120D">
        <w:rPr>
          <w:rFonts w:asciiTheme="minorHAnsi" w:hAnsiTheme="minorHAnsi" w:cstheme="minorHAnsi"/>
          <w:szCs w:val="22"/>
        </w:rPr>
        <w:t>on the principle that all learners have a</w:t>
      </w:r>
      <w:r w:rsidR="00A52954" w:rsidRPr="005F120D">
        <w:rPr>
          <w:rFonts w:asciiTheme="minorHAnsi" w:hAnsiTheme="minorHAnsi" w:cstheme="minorHAnsi"/>
          <w:szCs w:val="22"/>
        </w:rPr>
        <w:t xml:space="preserve"> right to education regardless</w:t>
      </w:r>
      <w:r w:rsidRPr="005F120D">
        <w:rPr>
          <w:rFonts w:asciiTheme="minorHAnsi" w:hAnsiTheme="minorHAnsi" w:cstheme="minorHAnsi"/>
          <w:szCs w:val="22"/>
        </w:rPr>
        <w:t xml:space="preserve"> of th</w:t>
      </w:r>
      <w:r w:rsidR="00A52954" w:rsidRPr="005F120D">
        <w:rPr>
          <w:rFonts w:asciiTheme="minorHAnsi" w:hAnsiTheme="minorHAnsi" w:cstheme="minorHAnsi"/>
          <w:szCs w:val="22"/>
        </w:rPr>
        <w:t>eir individual characteristics and</w:t>
      </w:r>
      <w:r w:rsidRPr="005F120D">
        <w:rPr>
          <w:rFonts w:asciiTheme="minorHAnsi" w:hAnsiTheme="minorHAnsi" w:cstheme="minorHAnsi"/>
          <w:szCs w:val="22"/>
        </w:rPr>
        <w:t xml:space="preserve"> </w:t>
      </w:r>
      <w:r w:rsidR="00072DB3" w:rsidRPr="005F120D">
        <w:rPr>
          <w:rFonts w:asciiTheme="minorHAnsi" w:hAnsiTheme="minorHAnsi" w:cstheme="minorHAnsi"/>
          <w:szCs w:val="22"/>
        </w:rPr>
        <w:t>differences.</w:t>
      </w:r>
      <w:r w:rsidR="00072DB3" w:rsidRPr="005F120D">
        <w:rPr>
          <w:rFonts w:asciiTheme="minorHAnsi" w:hAnsiTheme="minorHAnsi" w:cstheme="minorHAnsi"/>
          <w:bCs/>
        </w:rPr>
        <w:t xml:space="preserve"> The</w:t>
      </w:r>
      <w:r w:rsidR="003B47A2" w:rsidRPr="005F120D">
        <w:rPr>
          <w:rFonts w:asciiTheme="minorHAnsi" w:hAnsiTheme="minorHAnsi" w:cstheme="minorHAnsi"/>
          <w:bCs/>
        </w:rPr>
        <w:t xml:space="preserve"> total original cost as per DPP was Tk. 502.00 </w:t>
      </w:r>
      <w:r w:rsidR="00F738CE" w:rsidRPr="005F120D">
        <w:rPr>
          <w:rFonts w:asciiTheme="minorHAnsi" w:hAnsiTheme="minorHAnsi" w:cstheme="minorHAnsi"/>
          <w:bCs/>
        </w:rPr>
        <w:t>Lac</w:t>
      </w:r>
      <w:r w:rsidR="003B47A2" w:rsidRPr="005F120D">
        <w:rPr>
          <w:rFonts w:asciiTheme="minorHAnsi" w:hAnsiTheme="minorHAnsi" w:cstheme="minorHAnsi"/>
          <w:bCs/>
        </w:rPr>
        <w:t xml:space="preserve"> and revised cost as per RDPP is Tk. 2,500.84 </w:t>
      </w:r>
      <w:r w:rsidR="00F738CE" w:rsidRPr="005F120D">
        <w:rPr>
          <w:rFonts w:asciiTheme="minorHAnsi" w:hAnsiTheme="minorHAnsi" w:cstheme="minorHAnsi"/>
          <w:bCs/>
        </w:rPr>
        <w:t>Lac</w:t>
      </w:r>
      <w:r w:rsidR="00730DB8" w:rsidRPr="005F120D">
        <w:rPr>
          <w:rFonts w:asciiTheme="minorHAnsi" w:hAnsiTheme="minorHAnsi" w:cstheme="minorHAnsi"/>
          <w:bCs/>
        </w:rPr>
        <w:t>.</w:t>
      </w:r>
    </w:p>
    <w:p w:rsidR="006F26E8" w:rsidRPr="005F120D" w:rsidRDefault="006F26E8" w:rsidP="00E4371B">
      <w:pPr>
        <w:pStyle w:val="Caption"/>
        <w:spacing w:before="120" w:after="120"/>
        <w:rPr>
          <w:rFonts w:cstheme="minorHAnsi"/>
        </w:rPr>
      </w:pPr>
      <w:bookmarkStart w:id="85" w:name="_Toc462837236"/>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14</w:t>
      </w:r>
      <w:r w:rsidR="002E2ED5" w:rsidRPr="005F120D">
        <w:rPr>
          <w:rFonts w:cstheme="minorHAnsi"/>
        </w:rPr>
        <w:fldChar w:fldCharType="end"/>
      </w:r>
      <w:r w:rsidRPr="005F120D">
        <w:rPr>
          <w:rFonts w:cstheme="minorHAnsi"/>
        </w:rPr>
        <w:t>: Mainstreaming Gender and Inclusive Education (IE)</w:t>
      </w:r>
      <w:r w:rsidR="00872CEA" w:rsidRPr="005F120D">
        <w:rPr>
          <w:rFonts w:cstheme="minorHAnsi"/>
        </w:rPr>
        <w:t>:</w:t>
      </w:r>
      <w:r w:rsidR="0059534B" w:rsidRPr="005F120D">
        <w:rPr>
          <w:rFonts w:cstheme="minorHAnsi"/>
        </w:rPr>
        <w:t xml:space="preserve"> Cost and Expenditure, June 2015</w:t>
      </w:r>
      <w:bookmarkEnd w:id="85"/>
    </w:p>
    <w:p w:rsidR="006F26E8" w:rsidRPr="005F120D" w:rsidRDefault="006F26E8" w:rsidP="000A5B80">
      <w:pPr>
        <w:pStyle w:val="ListParagraph"/>
        <w:numPr>
          <w:ilvl w:val="0"/>
          <w:numId w:val="0"/>
        </w:numPr>
        <w:spacing w:after="0"/>
        <w:ind w:left="756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ook w:val="04A0"/>
      </w:tblPr>
      <w:tblGrid>
        <w:gridCol w:w="2206"/>
        <w:gridCol w:w="765"/>
        <w:gridCol w:w="824"/>
        <w:gridCol w:w="1052"/>
        <w:gridCol w:w="861"/>
        <w:gridCol w:w="854"/>
        <w:gridCol w:w="860"/>
        <w:gridCol w:w="1028"/>
        <w:gridCol w:w="793"/>
      </w:tblGrid>
      <w:tr w:rsidR="00533121" w:rsidRPr="005F120D" w:rsidTr="000C2F70">
        <w:trPr>
          <w:tblHeader/>
        </w:trPr>
        <w:tc>
          <w:tcPr>
            <w:tcW w:w="1193" w:type="pct"/>
            <w:vMerge w:val="restart"/>
            <w:shd w:val="clear" w:color="auto" w:fill="CCC0D9" w:themeFill="accent4" w:themeFillTint="66"/>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60" w:type="pct"/>
            <w:gridSpan w:val="2"/>
            <w:shd w:val="clear" w:color="auto" w:fill="CCC0D9" w:themeFill="accent4" w:themeFillTint="66"/>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35" w:type="pct"/>
            <w:gridSpan w:val="2"/>
            <w:shd w:val="clear" w:color="auto" w:fill="CCC0D9" w:themeFill="accent4" w:themeFillTint="66"/>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27" w:type="pct"/>
            <w:gridSpan w:val="2"/>
            <w:shd w:val="clear" w:color="auto" w:fill="CCC0D9" w:themeFill="accent4" w:themeFillTint="66"/>
            <w:vAlign w:val="center"/>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556" w:type="pct"/>
            <w:vMerge w:val="restart"/>
            <w:shd w:val="clear" w:color="auto" w:fill="CCC0D9" w:themeFill="accent4" w:themeFillTint="66"/>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bCs/>
                <w:sz w:val="14"/>
                <w:szCs w:val="14"/>
              </w:rPr>
              <w:t>Unspent as of June 2015/ as % of RDPP cost</w:t>
            </w:r>
          </w:p>
        </w:tc>
        <w:tc>
          <w:tcPr>
            <w:tcW w:w="429" w:type="pct"/>
            <w:vMerge w:val="restart"/>
            <w:shd w:val="clear" w:color="auto" w:fill="CCC0D9" w:themeFill="accent4" w:themeFillTint="66"/>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533121" w:rsidRPr="005F120D" w:rsidTr="000C2F70">
        <w:trPr>
          <w:tblHeader/>
        </w:trPr>
        <w:tc>
          <w:tcPr>
            <w:tcW w:w="1193" w:type="pct"/>
            <w:vMerge/>
            <w:tcBorders>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414"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46"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69"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66"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62"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65"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56" w:type="pct"/>
            <w:vMerge/>
            <w:tcBorders>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429" w:type="pct"/>
            <w:vMerge/>
            <w:tcBorders>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533121" w:rsidRPr="005F120D" w:rsidTr="000C2F70">
        <w:tc>
          <w:tcPr>
            <w:tcW w:w="1193"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Block grants for inclusive Edn to UPEP</w:t>
            </w:r>
          </w:p>
        </w:tc>
        <w:tc>
          <w:tcPr>
            <w:tcW w:w="414"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2,510</w:t>
            </w:r>
          </w:p>
        </w:tc>
        <w:tc>
          <w:tcPr>
            <w:tcW w:w="446"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502.00</w:t>
            </w:r>
          </w:p>
        </w:tc>
        <w:tc>
          <w:tcPr>
            <w:tcW w:w="569"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508</w:t>
            </w:r>
          </w:p>
        </w:tc>
        <w:tc>
          <w:tcPr>
            <w:tcW w:w="466"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1110.30</w:t>
            </w:r>
          </w:p>
        </w:tc>
        <w:tc>
          <w:tcPr>
            <w:tcW w:w="462"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5"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601.30</w:t>
            </w:r>
          </w:p>
        </w:tc>
        <w:tc>
          <w:tcPr>
            <w:tcW w:w="556"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509.00</w:t>
            </w:r>
          </w:p>
        </w:tc>
        <w:tc>
          <w:tcPr>
            <w:tcW w:w="429"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533121" w:rsidRPr="005F120D" w:rsidTr="000C2F70">
        <w:tc>
          <w:tcPr>
            <w:tcW w:w="11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Implementation of Gender &amp; IE action plan</w:t>
            </w:r>
          </w:p>
        </w:tc>
        <w:tc>
          <w:tcPr>
            <w:tcW w:w="41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69" w:type="pct"/>
            <w:tcBorders>
              <w:top w:val="single" w:sz="6" w:space="0" w:color="5F497A" w:themeColor="accent4" w:themeShade="BF"/>
              <w:bottom w:val="single" w:sz="6" w:space="0" w:color="5F497A" w:themeColor="accent4" w:themeShade="BF"/>
            </w:tcBorders>
            <w:vAlign w:val="center"/>
          </w:tcPr>
          <w:p w:rsidR="006F26E8" w:rsidRPr="005F120D" w:rsidRDefault="0059534B"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Gender &amp; IE action plan</w:t>
            </w:r>
          </w:p>
        </w:tc>
        <w:tc>
          <w:tcPr>
            <w:tcW w:w="46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226.00</w:t>
            </w:r>
          </w:p>
        </w:tc>
        <w:tc>
          <w:tcPr>
            <w:tcW w:w="4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55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226.00</w:t>
            </w:r>
          </w:p>
        </w:tc>
        <w:tc>
          <w:tcPr>
            <w:tcW w:w="42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533121" w:rsidRPr="005F120D" w:rsidTr="000C2F70">
        <w:tc>
          <w:tcPr>
            <w:tcW w:w="11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3. Training activities on </w:t>
            </w:r>
            <w:r w:rsidR="00AF028B" w:rsidRPr="005F120D">
              <w:rPr>
                <w:rFonts w:asciiTheme="minorHAnsi" w:hAnsiTheme="minorHAnsi" w:cstheme="minorHAnsi"/>
                <w:sz w:val="16"/>
                <w:szCs w:val="16"/>
              </w:rPr>
              <w:t>IE</w:t>
            </w:r>
            <w:r w:rsidRPr="005F120D">
              <w:rPr>
                <w:rFonts w:asciiTheme="minorHAnsi" w:hAnsiTheme="minorHAnsi" w:cstheme="minorHAnsi"/>
                <w:sz w:val="16"/>
                <w:szCs w:val="16"/>
              </w:rPr>
              <w:t xml:space="preserve"> for</w:t>
            </w:r>
            <w:r w:rsidR="00AF028B" w:rsidRPr="005F120D">
              <w:rPr>
                <w:rFonts w:asciiTheme="minorHAnsi" w:hAnsiTheme="minorHAnsi" w:cstheme="minorHAnsi"/>
                <w:sz w:val="16"/>
                <w:szCs w:val="16"/>
              </w:rPr>
              <w:t xml:space="preserve"> teachers and</w:t>
            </w:r>
            <w:r w:rsidRPr="005F120D">
              <w:rPr>
                <w:rFonts w:asciiTheme="minorHAnsi" w:hAnsiTheme="minorHAnsi" w:cstheme="minorHAnsi"/>
                <w:sz w:val="16"/>
                <w:szCs w:val="16"/>
              </w:rPr>
              <w:t xml:space="preserve"> dissemination of Gender tool kits</w:t>
            </w:r>
          </w:p>
        </w:tc>
        <w:tc>
          <w:tcPr>
            <w:tcW w:w="41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6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46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112.10</w:t>
            </w:r>
          </w:p>
        </w:tc>
        <w:tc>
          <w:tcPr>
            <w:tcW w:w="4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 batches</w:t>
            </w:r>
          </w:p>
        </w:tc>
        <w:tc>
          <w:tcPr>
            <w:tcW w:w="46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38.73</w:t>
            </w:r>
          </w:p>
        </w:tc>
        <w:tc>
          <w:tcPr>
            <w:tcW w:w="55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73.37</w:t>
            </w:r>
          </w:p>
        </w:tc>
        <w:tc>
          <w:tcPr>
            <w:tcW w:w="42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533121" w:rsidRPr="005F120D" w:rsidTr="000C2F70">
        <w:tc>
          <w:tcPr>
            <w:tcW w:w="11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4. Printing of Poster, leaflets</w:t>
            </w:r>
          </w:p>
        </w:tc>
        <w:tc>
          <w:tcPr>
            <w:tcW w:w="41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6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150,000 </w:t>
            </w:r>
          </w:p>
        </w:tc>
        <w:tc>
          <w:tcPr>
            <w:tcW w:w="46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30.00</w:t>
            </w:r>
          </w:p>
        </w:tc>
        <w:tc>
          <w:tcPr>
            <w:tcW w:w="4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55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30.00</w:t>
            </w:r>
          </w:p>
        </w:tc>
        <w:tc>
          <w:tcPr>
            <w:tcW w:w="42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533121" w:rsidRPr="005F120D" w:rsidTr="000C2F70">
        <w:tc>
          <w:tcPr>
            <w:tcW w:w="11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5. Professional skill d</w:t>
            </w:r>
            <w:r w:rsidR="00847454" w:rsidRPr="005F120D">
              <w:rPr>
                <w:rFonts w:asciiTheme="minorHAnsi" w:hAnsiTheme="minorHAnsi" w:cstheme="minorHAnsi"/>
                <w:sz w:val="16"/>
                <w:szCs w:val="16"/>
              </w:rPr>
              <w:t>ev.</w:t>
            </w:r>
            <w:r w:rsidRPr="005F120D">
              <w:rPr>
                <w:rFonts w:asciiTheme="minorHAnsi" w:hAnsiTheme="minorHAnsi" w:cstheme="minorHAnsi"/>
                <w:sz w:val="16"/>
                <w:szCs w:val="16"/>
              </w:rPr>
              <w:t xml:space="preserve"> of IE focal persons</w:t>
            </w:r>
          </w:p>
        </w:tc>
        <w:tc>
          <w:tcPr>
            <w:tcW w:w="41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6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256 persons</w:t>
            </w:r>
          </w:p>
        </w:tc>
        <w:tc>
          <w:tcPr>
            <w:tcW w:w="46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20.96</w:t>
            </w:r>
          </w:p>
        </w:tc>
        <w:tc>
          <w:tcPr>
            <w:tcW w:w="4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 batches</w:t>
            </w:r>
          </w:p>
        </w:tc>
        <w:tc>
          <w:tcPr>
            <w:tcW w:w="46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5.96</w:t>
            </w:r>
          </w:p>
        </w:tc>
        <w:tc>
          <w:tcPr>
            <w:tcW w:w="55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15.00</w:t>
            </w:r>
          </w:p>
        </w:tc>
        <w:tc>
          <w:tcPr>
            <w:tcW w:w="42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533121" w:rsidRPr="005F120D" w:rsidTr="000C2F70">
        <w:tc>
          <w:tcPr>
            <w:tcW w:w="11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6. Develop the Gender and Inclusive Edn. implementation</w:t>
            </w:r>
          </w:p>
        </w:tc>
        <w:tc>
          <w:tcPr>
            <w:tcW w:w="41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6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Unicef TA Support</w:t>
            </w:r>
          </w:p>
        </w:tc>
        <w:tc>
          <w:tcPr>
            <w:tcW w:w="46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401.48</w:t>
            </w:r>
          </w:p>
        </w:tc>
        <w:tc>
          <w:tcPr>
            <w:tcW w:w="4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79.27</w:t>
            </w:r>
          </w:p>
        </w:tc>
        <w:tc>
          <w:tcPr>
            <w:tcW w:w="55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322.21</w:t>
            </w:r>
          </w:p>
        </w:tc>
        <w:tc>
          <w:tcPr>
            <w:tcW w:w="42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533121" w:rsidRPr="005F120D" w:rsidTr="000C2F70">
        <w:trPr>
          <w:trHeight w:val="282"/>
        </w:trPr>
        <w:tc>
          <w:tcPr>
            <w:tcW w:w="1193" w:type="pct"/>
            <w:tcBorders>
              <w:top w:val="single" w:sz="6" w:space="0" w:color="5F497A" w:themeColor="accent4" w:themeShade="BF"/>
              <w:bottom w:val="single" w:sz="6" w:space="0" w:color="5F497A" w:themeColor="accent4" w:themeShade="BF"/>
            </w:tcBorders>
            <w:vAlign w:val="center"/>
          </w:tcPr>
          <w:p w:rsidR="006F26E8" w:rsidRPr="005F120D" w:rsidRDefault="006F26E8" w:rsidP="00096872">
            <w:pPr>
              <w:spacing w:after="0"/>
              <w:rPr>
                <w:rFonts w:asciiTheme="minorHAnsi" w:hAnsiTheme="minorHAnsi" w:cstheme="minorHAnsi"/>
                <w:sz w:val="16"/>
                <w:szCs w:val="16"/>
              </w:rPr>
            </w:pPr>
            <w:r w:rsidRPr="005F120D">
              <w:rPr>
                <w:rFonts w:asciiTheme="minorHAnsi" w:hAnsiTheme="minorHAnsi" w:cstheme="minorHAnsi"/>
                <w:sz w:val="16"/>
                <w:szCs w:val="16"/>
              </w:rPr>
              <w:t>7. Implementat</w:t>
            </w:r>
            <w:r w:rsidR="00096872" w:rsidRPr="005F120D">
              <w:rPr>
                <w:rFonts w:asciiTheme="minorHAnsi" w:hAnsiTheme="minorHAnsi" w:cstheme="minorHAnsi"/>
                <w:sz w:val="16"/>
                <w:szCs w:val="16"/>
              </w:rPr>
              <w:t>ion of multilingual education for</w:t>
            </w:r>
            <w:r w:rsidRPr="005F120D">
              <w:rPr>
                <w:rFonts w:asciiTheme="minorHAnsi" w:hAnsiTheme="minorHAnsi" w:cstheme="minorHAnsi"/>
                <w:sz w:val="16"/>
                <w:szCs w:val="16"/>
              </w:rPr>
              <w:t xml:space="preserve"> ethnic tribal children</w:t>
            </w:r>
          </w:p>
        </w:tc>
        <w:tc>
          <w:tcPr>
            <w:tcW w:w="41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44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56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46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100.00</w:t>
            </w:r>
          </w:p>
        </w:tc>
        <w:tc>
          <w:tcPr>
            <w:tcW w:w="46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w:t>
            </w:r>
          </w:p>
        </w:tc>
        <w:tc>
          <w:tcPr>
            <w:tcW w:w="55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w:t>
            </w:r>
          </w:p>
        </w:tc>
        <w:tc>
          <w:tcPr>
            <w:tcW w:w="42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533121" w:rsidRPr="005F120D" w:rsidTr="000C2F70">
        <w:tc>
          <w:tcPr>
            <w:tcW w:w="1193" w:type="pct"/>
            <w:tcBorders>
              <w:top w:val="single" w:sz="6" w:space="0" w:color="5F497A" w:themeColor="accent4" w:themeShade="BF"/>
              <w:bottom w:val="double" w:sz="4" w:space="0" w:color="5F497A" w:themeColor="accent4" w:themeShade="BF"/>
            </w:tcBorders>
            <w:vAlign w:val="center"/>
          </w:tcPr>
          <w:p w:rsidR="006F26E8" w:rsidRPr="005F120D" w:rsidRDefault="00096872" w:rsidP="00096872">
            <w:pPr>
              <w:spacing w:after="0"/>
              <w:rPr>
                <w:rFonts w:asciiTheme="minorHAnsi" w:hAnsiTheme="minorHAnsi" w:cstheme="minorHAnsi"/>
                <w:sz w:val="16"/>
                <w:szCs w:val="16"/>
              </w:rPr>
            </w:pPr>
            <w:r w:rsidRPr="005F120D">
              <w:rPr>
                <w:rFonts w:asciiTheme="minorHAnsi" w:hAnsiTheme="minorHAnsi" w:cstheme="minorHAnsi"/>
                <w:sz w:val="16"/>
                <w:szCs w:val="16"/>
              </w:rPr>
              <w:t xml:space="preserve">8. Teacher training on </w:t>
            </w:r>
            <w:r w:rsidR="006F26E8" w:rsidRPr="005F120D">
              <w:rPr>
                <w:rFonts w:asciiTheme="minorHAnsi" w:hAnsiTheme="minorHAnsi" w:cstheme="minorHAnsi"/>
                <w:sz w:val="16"/>
                <w:szCs w:val="16"/>
              </w:rPr>
              <w:t>Autism</w:t>
            </w:r>
          </w:p>
        </w:tc>
        <w:tc>
          <w:tcPr>
            <w:tcW w:w="414"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446"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569"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65,000 </w:t>
            </w:r>
            <w:r w:rsidRPr="005F120D">
              <w:rPr>
                <w:rFonts w:asciiTheme="minorHAnsi" w:hAnsiTheme="minorHAnsi" w:cstheme="minorHAnsi"/>
                <w:sz w:val="16"/>
                <w:szCs w:val="16"/>
              </w:rPr>
              <w:lastRenderedPageBreak/>
              <w:t>teachers</w:t>
            </w:r>
          </w:p>
        </w:tc>
        <w:tc>
          <w:tcPr>
            <w:tcW w:w="466"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lastRenderedPageBreak/>
              <w:t>500.00</w:t>
            </w:r>
          </w:p>
        </w:tc>
        <w:tc>
          <w:tcPr>
            <w:tcW w:w="462"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5"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499.56</w:t>
            </w:r>
          </w:p>
        </w:tc>
        <w:tc>
          <w:tcPr>
            <w:tcW w:w="556"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0.44</w:t>
            </w:r>
          </w:p>
        </w:tc>
        <w:tc>
          <w:tcPr>
            <w:tcW w:w="429"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533121" w:rsidRPr="005F120D" w:rsidTr="000C2F70">
        <w:tc>
          <w:tcPr>
            <w:tcW w:w="1193"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lastRenderedPageBreak/>
              <w:t>Total</w:t>
            </w:r>
          </w:p>
        </w:tc>
        <w:tc>
          <w:tcPr>
            <w:tcW w:w="414"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46"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502.00</w:t>
            </w:r>
          </w:p>
        </w:tc>
        <w:tc>
          <w:tcPr>
            <w:tcW w:w="569"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66"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2,500.84</w:t>
            </w:r>
          </w:p>
        </w:tc>
        <w:tc>
          <w:tcPr>
            <w:tcW w:w="462"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65"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right"/>
              <w:rPr>
                <w:rFonts w:asciiTheme="minorHAnsi" w:hAnsiTheme="minorHAnsi" w:cstheme="minorHAnsi"/>
                <w:b/>
                <w:bCs/>
                <w:sz w:val="16"/>
                <w:szCs w:val="16"/>
              </w:rPr>
            </w:pPr>
            <w:r w:rsidRPr="005F120D">
              <w:rPr>
                <w:rFonts w:asciiTheme="minorHAnsi" w:hAnsiTheme="minorHAnsi" w:cstheme="minorHAnsi"/>
                <w:b/>
                <w:bCs/>
                <w:sz w:val="16"/>
                <w:szCs w:val="16"/>
              </w:rPr>
              <w:t>1,274.82 (51%)</w:t>
            </w:r>
          </w:p>
        </w:tc>
        <w:tc>
          <w:tcPr>
            <w:tcW w:w="556"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1,226.02</w:t>
            </w:r>
          </w:p>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(49%)</w:t>
            </w:r>
          </w:p>
        </w:tc>
        <w:tc>
          <w:tcPr>
            <w:tcW w:w="429"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sz w:val="16"/>
                <w:szCs w:val="16"/>
              </w:rPr>
            </w:pPr>
          </w:p>
        </w:tc>
      </w:tr>
    </w:tbl>
    <w:p w:rsidR="00981CA3" w:rsidRPr="005F120D" w:rsidRDefault="006F26E8" w:rsidP="00E4371B">
      <w:pPr>
        <w:pStyle w:val="ListParagraph"/>
        <w:numPr>
          <w:ilvl w:val="0"/>
          <w:numId w:val="88"/>
        </w:numPr>
        <w:autoSpaceDE w:val="0"/>
        <w:autoSpaceDN w:val="0"/>
        <w:adjustRightInd w:val="0"/>
        <w:spacing w:before="120" w:after="120"/>
        <w:jc w:val="both"/>
        <w:rPr>
          <w:rFonts w:asciiTheme="minorHAnsi" w:hAnsiTheme="minorHAnsi" w:cstheme="minorHAnsi"/>
          <w:bCs/>
        </w:rPr>
      </w:pPr>
      <w:r w:rsidRPr="005F120D">
        <w:rPr>
          <w:rFonts w:asciiTheme="minorHAnsi" w:hAnsiTheme="minorHAnsi" w:cstheme="minorHAnsi"/>
          <w:b/>
          <w:i/>
          <w:iCs/>
          <w:color w:val="008000"/>
        </w:rPr>
        <w:t>Sub-Component 2.1.4 - Education in Emergencies (EiE):</w:t>
      </w:r>
    </w:p>
    <w:p w:rsidR="00A1001D" w:rsidRPr="005F120D" w:rsidRDefault="007B2183" w:rsidP="00E4371B">
      <w:pPr>
        <w:autoSpaceDE w:val="0"/>
        <w:autoSpaceDN w:val="0"/>
        <w:adjustRightInd w:val="0"/>
        <w:spacing w:before="240"/>
        <w:jc w:val="both"/>
        <w:rPr>
          <w:rFonts w:asciiTheme="minorHAnsi" w:hAnsiTheme="minorHAnsi" w:cstheme="minorHAnsi"/>
          <w:iCs/>
        </w:rPr>
      </w:pPr>
      <w:r w:rsidRPr="005F120D">
        <w:rPr>
          <w:rFonts w:asciiTheme="minorHAnsi" w:hAnsiTheme="minorHAnsi" w:cstheme="minorHAnsi"/>
          <w:szCs w:val="22"/>
        </w:rPr>
        <w:t xml:space="preserve">More than 4,666 schools are affected by disasters </w:t>
      </w:r>
      <w:r w:rsidR="00432B84" w:rsidRPr="005F120D">
        <w:rPr>
          <w:rFonts w:asciiTheme="minorHAnsi" w:hAnsiTheme="minorHAnsi" w:cstheme="minorHAnsi"/>
          <w:szCs w:val="22"/>
        </w:rPr>
        <w:t>each</w:t>
      </w:r>
      <w:r w:rsidR="00A52954" w:rsidRPr="005F120D">
        <w:rPr>
          <w:rFonts w:asciiTheme="minorHAnsi" w:hAnsiTheme="minorHAnsi" w:cstheme="minorHAnsi"/>
          <w:szCs w:val="22"/>
        </w:rPr>
        <w:t xml:space="preserve"> year (study conducted by Save the C</w:t>
      </w:r>
      <w:r w:rsidRPr="005F120D">
        <w:rPr>
          <w:rFonts w:asciiTheme="minorHAnsi" w:hAnsiTheme="minorHAnsi" w:cstheme="minorHAnsi"/>
          <w:szCs w:val="22"/>
        </w:rPr>
        <w:t xml:space="preserve">hildren). </w:t>
      </w:r>
      <w:r w:rsidR="001D1C22" w:rsidRPr="005F120D">
        <w:rPr>
          <w:rFonts w:asciiTheme="minorHAnsi" w:hAnsiTheme="minorHAnsi" w:cstheme="minorHAnsi"/>
          <w:szCs w:val="22"/>
        </w:rPr>
        <w:t>This sub-component was</w:t>
      </w:r>
      <w:r w:rsidRPr="005F120D">
        <w:rPr>
          <w:rFonts w:asciiTheme="minorHAnsi" w:hAnsiTheme="minorHAnsi" w:cstheme="minorHAnsi"/>
          <w:szCs w:val="22"/>
        </w:rPr>
        <w:t xml:space="preserve"> designed to respond to the need</w:t>
      </w:r>
      <w:r w:rsidR="001D1C22" w:rsidRPr="005F120D">
        <w:rPr>
          <w:rFonts w:asciiTheme="minorHAnsi" w:hAnsiTheme="minorHAnsi" w:cstheme="minorHAnsi"/>
          <w:szCs w:val="22"/>
        </w:rPr>
        <w:t>s of children</w:t>
      </w:r>
      <w:r w:rsidR="00A52954" w:rsidRPr="005F120D">
        <w:rPr>
          <w:rFonts w:asciiTheme="minorHAnsi" w:hAnsiTheme="minorHAnsi" w:cstheme="minorHAnsi"/>
          <w:szCs w:val="22"/>
        </w:rPr>
        <w:t xml:space="preserve"> to enable them to continue in school during </w:t>
      </w:r>
      <w:r w:rsidR="001D1C22" w:rsidRPr="005F120D">
        <w:rPr>
          <w:rFonts w:asciiTheme="minorHAnsi" w:hAnsiTheme="minorHAnsi" w:cstheme="minorHAnsi"/>
          <w:szCs w:val="22"/>
        </w:rPr>
        <w:t>disaster times</w:t>
      </w:r>
      <w:r w:rsidRPr="005F120D">
        <w:rPr>
          <w:rFonts w:asciiTheme="minorHAnsi" w:hAnsiTheme="minorHAnsi" w:cstheme="minorHAnsi"/>
          <w:szCs w:val="22"/>
        </w:rPr>
        <w:t>.</w:t>
      </w:r>
      <w:r w:rsidR="00432B84" w:rsidRPr="005F120D">
        <w:rPr>
          <w:rFonts w:asciiTheme="minorHAnsi" w:hAnsiTheme="minorHAnsi" w:cstheme="minorHAnsi"/>
          <w:iCs/>
        </w:rPr>
        <w:t xml:space="preserve"> DPE allocated conditional fund</w:t>
      </w:r>
      <w:r w:rsidR="00A52954" w:rsidRPr="005F120D">
        <w:rPr>
          <w:rFonts w:asciiTheme="minorHAnsi" w:hAnsiTheme="minorHAnsi" w:cstheme="minorHAnsi"/>
          <w:iCs/>
        </w:rPr>
        <w:t>ing to respond to</w:t>
      </w:r>
      <w:r w:rsidR="001D1C22" w:rsidRPr="005F120D">
        <w:rPr>
          <w:rFonts w:asciiTheme="minorHAnsi" w:hAnsiTheme="minorHAnsi" w:cstheme="minorHAnsi"/>
          <w:iCs/>
        </w:rPr>
        <w:t xml:space="preserve"> such </w:t>
      </w:r>
      <w:r w:rsidR="00A52954" w:rsidRPr="005F120D">
        <w:rPr>
          <w:rFonts w:asciiTheme="minorHAnsi" w:hAnsiTheme="minorHAnsi" w:cstheme="minorHAnsi"/>
          <w:iCs/>
        </w:rPr>
        <w:t xml:space="preserve">emergencies. </w:t>
      </w:r>
      <w:r w:rsidR="001D1C22" w:rsidRPr="005F120D">
        <w:rPr>
          <w:rFonts w:asciiTheme="minorHAnsi" w:hAnsiTheme="minorHAnsi" w:cstheme="minorHAnsi"/>
          <w:iCs/>
        </w:rPr>
        <w:t xml:space="preserve">In addition, the funding covers </w:t>
      </w:r>
      <w:r w:rsidR="00A52954" w:rsidRPr="005F120D">
        <w:rPr>
          <w:rFonts w:asciiTheme="minorHAnsi" w:hAnsiTheme="minorHAnsi" w:cstheme="minorHAnsi"/>
          <w:iCs/>
        </w:rPr>
        <w:t xml:space="preserve">the </w:t>
      </w:r>
      <w:r w:rsidR="00545CC4" w:rsidRPr="005F120D">
        <w:rPr>
          <w:rFonts w:asciiTheme="minorHAnsi" w:hAnsiTheme="minorHAnsi" w:cstheme="minorHAnsi"/>
          <w:iCs/>
        </w:rPr>
        <w:t>d</w:t>
      </w:r>
      <w:r w:rsidR="00096872" w:rsidRPr="005F120D">
        <w:rPr>
          <w:rFonts w:asciiTheme="minorHAnsi" w:hAnsiTheme="minorHAnsi" w:cstheme="minorHAnsi"/>
          <w:iCs/>
        </w:rPr>
        <w:t>evelopment of</w:t>
      </w:r>
      <w:r w:rsidR="00432B84" w:rsidRPr="005F120D">
        <w:rPr>
          <w:rFonts w:asciiTheme="minorHAnsi" w:hAnsiTheme="minorHAnsi" w:cstheme="minorHAnsi"/>
          <w:bCs/>
        </w:rPr>
        <w:t xml:space="preserve"> an Information Package, UPEP Guidelines</w:t>
      </w:r>
      <w:r w:rsidR="001D1C22" w:rsidRPr="005F120D">
        <w:rPr>
          <w:rFonts w:asciiTheme="minorHAnsi" w:hAnsiTheme="minorHAnsi" w:cstheme="minorHAnsi"/>
          <w:bCs/>
        </w:rPr>
        <w:t>, and the provision of training for teachers, UEO/DEO officials and c</w:t>
      </w:r>
      <w:r w:rsidR="000C5097" w:rsidRPr="005F120D">
        <w:rPr>
          <w:rFonts w:asciiTheme="minorHAnsi" w:hAnsiTheme="minorHAnsi" w:cstheme="minorHAnsi"/>
          <w:bCs/>
        </w:rPr>
        <w:t>ommu</w:t>
      </w:r>
      <w:r w:rsidR="001D1C22" w:rsidRPr="005F120D">
        <w:rPr>
          <w:rFonts w:asciiTheme="minorHAnsi" w:hAnsiTheme="minorHAnsi" w:cstheme="minorHAnsi"/>
          <w:bCs/>
        </w:rPr>
        <w:t>nity v</w:t>
      </w:r>
      <w:r w:rsidR="000C5097" w:rsidRPr="005F120D">
        <w:rPr>
          <w:rFonts w:asciiTheme="minorHAnsi" w:hAnsiTheme="minorHAnsi" w:cstheme="minorHAnsi"/>
          <w:bCs/>
        </w:rPr>
        <w:t xml:space="preserve">olunteers. The total original cost as per DPP was Tk. 2,500.00 </w:t>
      </w:r>
      <w:r w:rsidR="00F738CE" w:rsidRPr="005F120D">
        <w:rPr>
          <w:rFonts w:asciiTheme="minorHAnsi" w:hAnsiTheme="minorHAnsi" w:cstheme="minorHAnsi"/>
          <w:bCs/>
        </w:rPr>
        <w:t>Lac</w:t>
      </w:r>
      <w:r w:rsidR="000C5097" w:rsidRPr="005F120D">
        <w:rPr>
          <w:rFonts w:asciiTheme="minorHAnsi" w:hAnsiTheme="minorHAnsi" w:cstheme="minorHAnsi"/>
          <w:bCs/>
        </w:rPr>
        <w:t xml:space="preserve"> and revised cost as per RDPP is Tk.</w:t>
      </w:r>
      <w:r w:rsidR="000C5097" w:rsidRPr="005F120D">
        <w:rPr>
          <w:rFonts w:asciiTheme="minorHAnsi" w:hAnsiTheme="minorHAnsi" w:cstheme="minorHAnsi"/>
        </w:rPr>
        <w:t xml:space="preserve"> 156,122.20 </w:t>
      </w:r>
      <w:r w:rsidR="00F738CE" w:rsidRPr="005F120D">
        <w:rPr>
          <w:rFonts w:asciiTheme="minorHAnsi" w:hAnsiTheme="minorHAnsi" w:cstheme="minorHAnsi"/>
          <w:bCs/>
        </w:rPr>
        <w:t>Lac</w:t>
      </w:r>
      <w:r w:rsidR="0059534B" w:rsidRPr="005F120D">
        <w:rPr>
          <w:rFonts w:asciiTheme="minorHAnsi" w:hAnsiTheme="minorHAnsi" w:cstheme="minorHAnsi"/>
          <w:bCs/>
        </w:rPr>
        <w:t>.</w:t>
      </w:r>
    </w:p>
    <w:p w:rsidR="006F26E8" w:rsidRPr="005F120D" w:rsidRDefault="006F26E8" w:rsidP="000A5B80">
      <w:pPr>
        <w:pStyle w:val="Caption"/>
        <w:spacing w:before="120" w:after="120"/>
        <w:rPr>
          <w:rFonts w:cstheme="minorHAnsi"/>
        </w:rPr>
      </w:pPr>
      <w:bookmarkStart w:id="86" w:name="_Toc462837237"/>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15</w:t>
      </w:r>
      <w:r w:rsidR="002E2ED5" w:rsidRPr="005F120D">
        <w:rPr>
          <w:rFonts w:cstheme="minorHAnsi"/>
        </w:rPr>
        <w:fldChar w:fldCharType="end"/>
      </w:r>
      <w:r w:rsidRPr="005F120D">
        <w:rPr>
          <w:rFonts w:cstheme="minorHAnsi"/>
        </w:rPr>
        <w:t>: Education in Emergencies (EiE)</w:t>
      </w:r>
      <w:r w:rsidR="000745D6" w:rsidRPr="005F120D">
        <w:rPr>
          <w:rFonts w:cstheme="minorHAnsi"/>
        </w:rPr>
        <w:t>:</w:t>
      </w:r>
      <w:r w:rsidR="0059534B" w:rsidRPr="005F120D">
        <w:rPr>
          <w:rFonts w:cstheme="minorHAnsi"/>
        </w:rPr>
        <w:t xml:space="preserve"> Cost and Expenditure as of June 2015</w:t>
      </w:r>
      <w:bookmarkEnd w:id="86"/>
    </w:p>
    <w:p w:rsidR="006F26E8" w:rsidRPr="005F120D" w:rsidRDefault="006F26E8" w:rsidP="000A5B80">
      <w:pPr>
        <w:spacing w:after="0"/>
        <w:ind w:left="720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ook w:val="04A0"/>
      </w:tblPr>
      <w:tblGrid>
        <w:gridCol w:w="1643"/>
        <w:gridCol w:w="828"/>
        <w:gridCol w:w="861"/>
        <w:gridCol w:w="1022"/>
        <w:gridCol w:w="1041"/>
        <w:gridCol w:w="961"/>
        <w:gridCol w:w="861"/>
        <w:gridCol w:w="1172"/>
        <w:gridCol w:w="854"/>
      </w:tblGrid>
      <w:tr w:rsidR="006F26E8" w:rsidRPr="005F120D" w:rsidTr="000C2F70">
        <w:trPr>
          <w:tblHeader/>
        </w:trPr>
        <w:tc>
          <w:tcPr>
            <w:tcW w:w="888"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14"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116"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86" w:type="pct"/>
            <w:gridSpan w:val="2"/>
            <w:shd w:val="clear" w:color="auto" w:fill="CCC0D9" w:themeFill="accent4" w:themeFillTint="6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34"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bCs/>
                <w:sz w:val="14"/>
                <w:szCs w:val="14"/>
              </w:rPr>
              <w:t>Unspent as of June 2015/ as % of RDPP cost</w:t>
            </w:r>
          </w:p>
        </w:tc>
        <w:tc>
          <w:tcPr>
            <w:tcW w:w="463"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0C2F70">
        <w:trPr>
          <w:tblHeader/>
        </w:trPr>
        <w:tc>
          <w:tcPr>
            <w:tcW w:w="888" w:type="pct"/>
            <w:vMerge/>
            <w:tcBorders>
              <w:bottom w:val="double" w:sz="4"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p>
        </w:tc>
        <w:tc>
          <w:tcPr>
            <w:tcW w:w="448" w:type="pct"/>
            <w:tcBorders>
              <w:bottom w:val="double" w:sz="4" w:space="0" w:color="5F497A" w:themeColor="accent4" w:themeShade="BF"/>
            </w:tcBorders>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66" w:type="pct"/>
            <w:tcBorders>
              <w:bottom w:val="double" w:sz="4" w:space="0" w:color="5F497A" w:themeColor="accent4" w:themeShade="BF"/>
            </w:tcBorders>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53" w:type="pct"/>
            <w:tcBorders>
              <w:bottom w:val="double" w:sz="4" w:space="0" w:color="5F497A" w:themeColor="accent4" w:themeShade="BF"/>
            </w:tcBorders>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63" w:type="pct"/>
            <w:tcBorders>
              <w:bottom w:val="double" w:sz="4" w:space="0" w:color="5F497A" w:themeColor="accent4" w:themeShade="BF"/>
            </w:tcBorders>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20" w:type="pct"/>
            <w:tcBorders>
              <w:bottom w:val="double" w:sz="4" w:space="0" w:color="5F497A" w:themeColor="accent4" w:themeShade="BF"/>
            </w:tcBorders>
            <w:shd w:val="clear" w:color="auto" w:fill="E5DFEC" w:themeFill="accent4" w:themeFillTint="33"/>
          </w:tcPr>
          <w:p w:rsidR="006F26E8" w:rsidRPr="005F120D" w:rsidRDefault="006F26E8" w:rsidP="000A5B80">
            <w:pPr>
              <w:tabs>
                <w:tab w:val="center" w:pos="444"/>
              </w:tabs>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ab/>
              <w:t>Physical</w:t>
            </w:r>
          </w:p>
        </w:tc>
        <w:tc>
          <w:tcPr>
            <w:tcW w:w="466" w:type="pct"/>
            <w:tcBorders>
              <w:bottom w:val="double" w:sz="4" w:space="0" w:color="5F497A" w:themeColor="accent4" w:themeShade="BF"/>
            </w:tcBorders>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34" w:type="pct"/>
            <w:vMerge/>
            <w:tcBorders>
              <w:bottom w:val="double" w:sz="4"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p>
        </w:tc>
        <w:tc>
          <w:tcPr>
            <w:tcW w:w="463" w:type="pct"/>
            <w:vMerge/>
            <w:tcBorders>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888" w:type="pct"/>
            <w:tcBorders>
              <w:top w:val="double" w:sz="4"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Seminar &amp; Workshop, training</w:t>
            </w:r>
          </w:p>
        </w:tc>
        <w:tc>
          <w:tcPr>
            <w:tcW w:w="448" w:type="pct"/>
            <w:tcBorders>
              <w:top w:val="double" w:sz="4" w:space="0" w:color="5F497A" w:themeColor="accent4" w:themeShade="BF"/>
              <w:bottom w:val="single" w:sz="6"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w:t>
            </w:r>
          </w:p>
        </w:tc>
        <w:tc>
          <w:tcPr>
            <w:tcW w:w="466" w:type="pct"/>
            <w:tcBorders>
              <w:top w:val="double" w:sz="4" w:space="0" w:color="5F497A" w:themeColor="accent4" w:themeShade="BF"/>
              <w:bottom w:val="single" w:sz="6" w:space="0" w:color="5F497A" w:themeColor="accent4"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53" w:type="pct"/>
            <w:tcBorders>
              <w:top w:val="double" w:sz="4"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w:t>
            </w:r>
          </w:p>
        </w:tc>
        <w:tc>
          <w:tcPr>
            <w:tcW w:w="563" w:type="pct"/>
            <w:tcBorders>
              <w:top w:val="double" w:sz="4" w:space="0" w:color="5F497A" w:themeColor="accent4" w:themeShade="BF"/>
              <w:bottom w:val="single" w:sz="6" w:space="0" w:color="5F497A" w:themeColor="accent4"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20"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466"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634"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463"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888"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2. Fund for EiE </w:t>
            </w:r>
          </w:p>
        </w:tc>
        <w:tc>
          <w:tcPr>
            <w:tcW w:w="448"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125</w:t>
            </w:r>
          </w:p>
        </w:tc>
        <w:tc>
          <w:tcPr>
            <w:tcW w:w="466"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2,500.00</w:t>
            </w:r>
          </w:p>
        </w:tc>
        <w:tc>
          <w:tcPr>
            <w:tcW w:w="553"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Need based </w:t>
            </w:r>
          </w:p>
        </w:tc>
        <w:tc>
          <w:tcPr>
            <w:tcW w:w="563"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2,500.00</w:t>
            </w:r>
          </w:p>
        </w:tc>
        <w:tc>
          <w:tcPr>
            <w:tcW w:w="520"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46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296.00</w:t>
            </w:r>
          </w:p>
        </w:tc>
        <w:tc>
          <w:tcPr>
            <w:tcW w:w="63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2,204.00</w:t>
            </w:r>
          </w:p>
        </w:tc>
        <w:tc>
          <w:tcPr>
            <w:tcW w:w="46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888"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3. EiE fund for reconstruction</w:t>
            </w:r>
          </w:p>
        </w:tc>
        <w:tc>
          <w:tcPr>
            <w:tcW w:w="448"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6"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53"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Need based Schools</w:t>
            </w:r>
          </w:p>
        </w:tc>
        <w:tc>
          <w:tcPr>
            <w:tcW w:w="563"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153,371.77</w:t>
            </w:r>
          </w:p>
          <w:p w:rsidR="006F26E8" w:rsidRPr="005F120D" w:rsidRDefault="006F26E8" w:rsidP="000A5B80">
            <w:pPr>
              <w:spacing w:after="0"/>
              <w:jc w:val="right"/>
              <w:rPr>
                <w:rFonts w:asciiTheme="minorHAnsi" w:hAnsiTheme="minorHAnsi" w:cstheme="minorHAnsi"/>
                <w:sz w:val="16"/>
                <w:szCs w:val="16"/>
              </w:rPr>
            </w:pPr>
          </w:p>
        </w:tc>
        <w:tc>
          <w:tcPr>
            <w:tcW w:w="520"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466"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63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153,371.77</w:t>
            </w:r>
          </w:p>
        </w:tc>
        <w:tc>
          <w:tcPr>
            <w:tcW w:w="46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55"/>
        </w:trPr>
        <w:tc>
          <w:tcPr>
            <w:tcW w:w="888" w:type="pct"/>
            <w:tcBorders>
              <w:top w:val="single" w:sz="6" w:space="0" w:color="5F497A" w:themeColor="accent4" w:themeShade="BF"/>
              <w:bottom w:val="double" w:sz="4" w:space="0" w:color="5F497A" w:themeColor="accent4" w:themeShade="BF"/>
            </w:tcBorders>
          </w:tcPr>
          <w:p w:rsidR="006F26E8" w:rsidRPr="005F120D" w:rsidRDefault="0059534B"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 Unicef TA</w:t>
            </w:r>
          </w:p>
        </w:tc>
        <w:tc>
          <w:tcPr>
            <w:tcW w:w="448" w:type="pct"/>
            <w:tcBorders>
              <w:top w:val="single" w:sz="6" w:space="0" w:color="5F497A" w:themeColor="accent4" w:themeShade="BF"/>
              <w:bottom w:val="double" w:sz="4"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6" w:type="pct"/>
            <w:tcBorders>
              <w:top w:val="single" w:sz="6" w:space="0" w:color="5F497A" w:themeColor="accent4" w:themeShade="BF"/>
              <w:bottom w:val="double" w:sz="4"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53" w:type="pct"/>
            <w:tcBorders>
              <w:top w:val="single" w:sz="6" w:space="0" w:color="5F497A" w:themeColor="accent4" w:themeShade="BF"/>
              <w:bottom w:val="double" w:sz="4" w:space="0" w:color="5F497A" w:themeColor="accent4"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TA support</w:t>
            </w:r>
          </w:p>
        </w:tc>
        <w:tc>
          <w:tcPr>
            <w:tcW w:w="563" w:type="pct"/>
            <w:tcBorders>
              <w:top w:val="single" w:sz="6" w:space="0" w:color="5F497A" w:themeColor="accent4" w:themeShade="BF"/>
              <w:bottom w:val="double" w:sz="4" w:space="0" w:color="5F497A" w:themeColor="accent4"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250.43</w:t>
            </w:r>
          </w:p>
        </w:tc>
        <w:tc>
          <w:tcPr>
            <w:tcW w:w="520" w:type="pct"/>
            <w:tcBorders>
              <w:top w:val="single" w:sz="6" w:space="0" w:color="5F497A" w:themeColor="accent4" w:themeShade="BF"/>
              <w:bottom w:val="double" w:sz="4" w:space="0" w:color="5F497A" w:themeColor="accent4" w:themeShade="BF"/>
            </w:tcBorders>
          </w:tcPr>
          <w:p w:rsidR="006F26E8" w:rsidRPr="005F120D" w:rsidRDefault="006F26E8" w:rsidP="000A5B80">
            <w:pPr>
              <w:spacing w:after="0"/>
              <w:jc w:val="right"/>
              <w:rPr>
                <w:rFonts w:asciiTheme="minorHAnsi" w:hAnsiTheme="minorHAnsi" w:cstheme="minorHAnsi"/>
                <w:sz w:val="16"/>
                <w:szCs w:val="16"/>
              </w:rPr>
            </w:pPr>
          </w:p>
        </w:tc>
        <w:tc>
          <w:tcPr>
            <w:tcW w:w="466" w:type="pct"/>
            <w:tcBorders>
              <w:top w:val="single" w:sz="6" w:space="0" w:color="5F497A" w:themeColor="accent4" w:themeShade="BF"/>
              <w:bottom w:val="double" w:sz="4" w:space="0" w:color="5F497A" w:themeColor="accent4"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30.00</w:t>
            </w:r>
          </w:p>
        </w:tc>
        <w:tc>
          <w:tcPr>
            <w:tcW w:w="634" w:type="pct"/>
            <w:tcBorders>
              <w:top w:val="single" w:sz="6" w:space="0" w:color="5F497A" w:themeColor="accent4" w:themeShade="BF"/>
              <w:bottom w:val="double" w:sz="4" w:space="0" w:color="5F497A" w:themeColor="accent4"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220.43</w:t>
            </w:r>
          </w:p>
        </w:tc>
        <w:tc>
          <w:tcPr>
            <w:tcW w:w="463"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888"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48"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66"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2,500.00</w:t>
            </w:r>
          </w:p>
        </w:tc>
        <w:tc>
          <w:tcPr>
            <w:tcW w:w="553"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563"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156,122.20</w:t>
            </w:r>
          </w:p>
        </w:tc>
        <w:tc>
          <w:tcPr>
            <w:tcW w:w="520"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66"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326.00 (0.2%)</w:t>
            </w:r>
          </w:p>
        </w:tc>
        <w:tc>
          <w:tcPr>
            <w:tcW w:w="634"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155,796.20</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(99.8%)</w:t>
            </w:r>
          </w:p>
        </w:tc>
        <w:tc>
          <w:tcPr>
            <w:tcW w:w="463"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sz w:val="16"/>
                <w:szCs w:val="16"/>
              </w:rPr>
            </w:pPr>
          </w:p>
        </w:tc>
      </w:tr>
    </w:tbl>
    <w:p w:rsidR="00981CA3" w:rsidRPr="005F120D" w:rsidRDefault="006F26E8" w:rsidP="00E4371B">
      <w:pPr>
        <w:pStyle w:val="ListParagraph"/>
        <w:numPr>
          <w:ilvl w:val="0"/>
          <w:numId w:val="88"/>
        </w:numPr>
        <w:autoSpaceDE w:val="0"/>
        <w:autoSpaceDN w:val="0"/>
        <w:adjustRightInd w:val="0"/>
        <w:spacing w:before="120" w:after="120"/>
        <w:jc w:val="both"/>
        <w:rPr>
          <w:rFonts w:asciiTheme="minorHAnsi" w:hAnsiTheme="minorHAnsi" w:cstheme="minorHAnsi"/>
          <w:bCs/>
        </w:rPr>
      </w:pPr>
      <w:r w:rsidRPr="005F120D">
        <w:rPr>
          <w:rFonts w:asciiTheme="minorHAnsi" w:hAnsiTheme="minorHAnsi" w:cstheme="minorHAnsi"/>
          <w:b/>
          <w:i/>
          <w:iCs/>
          <w:color w:val="008000"/>
        </w:rPr>
        <w:t>Sub-Component 2.1.5 - Communication and Social Mobilization</w:t>
      </w:r>
      <w:r w:rsidRPr="005F120D">
        <w:rPr>
          <w:rFonts w:asciiTheme="minorHAnsi" w:hAnsiTheme="minorHAnsi" w:cstheme="minorHAnsi"/>
          <w:bCs/>
          <w:color w:val="008000"/>
        </w:rPr>
        <w:t>:</w:t>
      </w:r>
    </w:p>
    <w:p w:rsidR="006F26E8" w:rsidRPr="005F120D" w:rsidRDefault="004A3634" w:rsidP="00E4371B">
      <w:pPr>
        <w:autoSpaceDE w:val="0"/>
        <w:autoSpaceDN w:val="0"/>
        <w:adjustRightInd w:val="0"/>
        <w:spacing w:before="120" w:after="120"/>
        <w:jc w:val="both"/>
        <w:rPr>
          <w:rFonts w:asciiTheme="minorHAnsi" w:hAnsiTheme="minorHAnsi" w:cstheme="minorHAnsi"/>
          <w:color w:val="FF0000"/>
          <w:szCs w:val="22"/>
        </w:rPr>
      </w:pPr>
      <w:r w:rsidRPr="005F120D">
        <w:rPr>
          <w:rFonts w:asciiTheme="minorHAnsi" w:hAnsiTheme="minorHAnsi" w:cstheme="minorHAnsi"/>
          <w:szCs w:val="22"/>
        </w:rPr>
        <w:t>The PEDP</w:t>
      </w:r>
      <w:r w:rsidR="00855084" w:rsidRPr="005F120D">
        <w:rPr>
          <w:rFonts w:asciiTheme="minorHAnsi" w:hAnsiTheme="minorHAnsi" w:cstheme="minorHAnsi"/>
          <w:szCs w:val="22"/>
        </w:rPr>
        <w:t>3 c</w:t>
      </w:r>
      <w:r w:rsidR="00545CC4" w:rsidRPr="005F120D">
        <w:rPr>
          <w:rFonts w:asciiTheme="minorHAnsi" w:hAnsiTheme="minorHAnsi" w:cstheme="minorHAnsi"/>
          <w:szCs w:val="22"/>
        </w:rPr>
        <w:t>ommunication and social mobilization sub-component is designed to complement and</w:t>
      </w:r>
      <w:r w:rsidR="00655E58" w:rsidRPr="005F120D">
        <w:rPr>
          <w:rFonts w:asciiTheme="minorHAnsi" w:hAnsiTheme="minorHAnsi" w:cstheme="minorHAnsi"/>
          <w:szCs w:val="22"/>
        </w:rPr>
        <w:t xml:space="preserve"> facilitate</w:t>
      </w:r>
      <w:r w:rsidRPr="005F120D">
        <w:rPr>
          <w:rFonts w:asciiTheme="minorHAnsi" w:hAnsiTheme="minorHAnsi" w:cstheme="minorHAnsi"/>
          <w:szCs w:val="22"/>
        </w:rPr>
        <w:t xml:space="preserve"> the achievement of PEDP</w:t>
      </w:r>
      <w:r w:rsidR="00545CC4" w:rsidRPr="005F120D">
        <w:rPr>
          <w:rFonts w:asciiTheme="minorHAnsi" w:hAnsiTheme="minorHAnsi" w:cstheme="minorHAnsi"/>
          <w:szCs w:val="22"/>
        </w:rPr>
        <w:t xml:space="preserve">3 goals. </w:t>
      </w:r>
      <w:r w:rsidRPr="005F120D">
        <w:rPr>
          <w:rFonts w:asciiTheme="minorHAnsi" w:hAnsiTheme="minorHAnsi" w:cstheme="minorHAnsi"/>
          <w:szCs w:val="22"/>
        </w:rPr>
        <w:t xml:space="preserve">Based on the </w:t>
      </w:r>
      <w:r w:rsidR="00545CC4" w:rsidRPr="005F120D">
        <w:rPr>
          <w:rFonts w:asciiTheme="minorHAnsi" w:hAnsiTheme="minorHAnsi" w:cstheme="minorHAnsi"/>
          <w:szCs w:val="22"/>
        </w:rPr>
        <w:t xml:space="preserve">Communication </w:t>
      </w:r>
      <w:r w:rsidRPr="005F120D">
        <w:rPr>
          <w:rFonts w:asciiTheme="minorHAnsi" w:hAnsiTheme="minorHAnsi" w:cstheme="minorHAnsi"/>
          <w:szCs w:val="22"/>
        </w:rPr>
        <w:t>Strategy, the c</w:t>
      </w:r>
      <w:r w:rsidR="00545CC4" w:rsidRPr="005F120D">
        <w:rPr>
          <w:rFonts w:asciiTheme="minorHAnsi" w:hAnsiTheme="minorHAnsi" w:cstheme="minorHAnsi"/>
          <w:szCs w:val="22"/>
        </w:rPr>
        <w:t>ommuni</w:t>
      </w:r>
      <w:r w:rsidR="00855084" w:rsidRPr="005F120D">
        <w:rPr>
          <w:rFonts w:asciiTheme="minorHAnsi" w:hAnsiTheme="minorHAnsi" w:cstheme="minorHAnsi"/>
          <w:szCs w:val="22"/>
        </w:rPr>
        <w:t>cation interventions cover the following:</w:t>
      </w:r>
      <w:r w:rsidR="00E31BB8" w:rsidRPr="005F120D">
        <w:rPr>
          <w:rFonts w:asciiTheme="minorHAnsi" w:hAnsiTheme="minorHAnsi" w:cstheme="minorHAnsi"/>
          <w:szCs w:val="22"/>
        </w:rPr>
        <w:t xml:space="preserve"> key messages, TV drama</w:t>
      </w:r>
      <w:r w:rsidR="00855084" w:rsidRPr="005F120D">
        <w:rPr>
          <w:rFonts w:asciiTheme="minorHAnsi" w:hAnsiTheme="minorHAnsi" w:cstheme="minorHAnsi"/>
          <w:szCs w:val="22"/>
        </w:rPr>
        <w:t>s, t</w:t>
      </w:r>
      <w:r w:rsidR="00E31BB8" w:rsidRPr="005F120D">
        <w:rPr>
          <w:rFonts w:asciiTheme="minorHAnsi" w:hAnsiTheme="minorHAnsi" w:cstheme="minorHAnsi"/>
          <w:szCs w:val="22"/>
        </w:rPr>
        <w:t xml:space="preserve">alk shows for stakeholders </w:t>
      </w:r>
      <w:r w:rsidR="00545CC4" w:rsidRPr="005F120D">
        <w:rPr>
          <w:rFonts w:asciiTheme="minorHAnsi" w:hAnsiTheme="minorHAnsi" w:cstheme="minorHAnsi"/>
          <w:szCs w:val="22"/>
        </w:rPr>
        <w:t xml:space="preserve">to promote and ensure the rights of all </w:t>
      </w:r>
      <w:r w:rsidR="002369C4" w:rsidRPr="005F120D">
        <w:rPr>
          <w:rFonts w:asciiTheme="minorHAnsi" w:hAnsiTheme="minorHAnsi" w:cstheme="minorHAnsi"/>
          <w:szCs w:val="22"/>
        </w:rPr>
        <w:t>children to education,</w:t>
      </w:r>
      <w:r w:rsidR="00855084" w:rsidRPr="005F120D">
        <w:rPr>
          <w:rFonts w:asciiTheme="minorHAnsi" w:hAnsiTheme="minorHAnsi" w:cstheme="minorHAnsi"/>
          <w:szCs w:val="22"/>
        </w:rPr>
        <w:t xml:space="preserve"> the demand by</w:t>
      </w:r>
      <w:r w:rsidR="00545CC4" w:rsidRPr="005F120D">
        <w:rPr>
          <w:rFonts w:asciiTheme="minorHAnsi" w:hAnsiTheme="minorHAnsi" w:cstheme="minorHAnsi"/>
          <w:szCs w:val="22"/>
        </w:rPr>
        <w:t xml:space="preserve"> communities for access </w:t>
      </w:r>
      <w:r w:rsidR="00855084" w:rsidRPr="005F120D">
        <w:rPr>
          <w:rFonts w:asciiTheme="minorHAnsi" w:hAnsiTheme="minorHAnsi" w:cstheme="minorHAnsi"/>
          <w:szCs w:val="22"/>
        </w:rPr>
        <w:t xml:space="preserve">to </w:t>
      </w:r>
      <w:r w:rsidR="002369C4" w:rsidRPr="005F120D">
        <w:rPr>
          <w:rFonts w:asciiTheme="minorHAnsi" w:hAnsiTheme="minorHAnsi" w:cstheme="minorHAnsi"/>
          <w:szCs w:val="22"/>
        </w:rPr>
        <w:t>quality education,</w:t>
      </w:r>
      <w:r w:rsidR="00545CC4" w:rsidRPr="005F120D">
        <w:rPr>
          <w:rFonts w:asciiTheme="minorHAnsi" w:hAnsiTheme="minorHAnsi" w:cstheme="minorHAnsi"/>
          <w:szCs w:val="22"/>
        </w:rPr>
        <w:t xml:space="preserve"> enrolment and retention in pre-primary and primary </w:t>
      </w:r>
      <w:r w:rsidR="00072DB3" w:rsidRPr="005F120D">
        <w:rPr>
          <w:rFonts w:asciiTheme="minorHAnsi" w:hAnsiTheme="minorHAnsi" w:cstheme="minorHAnsi"/>
          <w:szCs w:val="22"/>
        </w:rPr>
        <w:t>education, child</w:t>
      </w:r>
      <w:r w:rsidR="002369C4" w:rsidRPr="005F120D">
        <w:rPr>
          <w:rFonts w:asciiTheme="minorHAnsi" w:hAnsiTheme="minorHAnsi" w:cstheme="minorHAnsi"/>
          <w:szCs w:val="22"/>
        </w:rPr>
        <w:t xml:space="preserve"> friendly teaching and</w:t>
      </w:r>
      <w:r w:rsidR="00545CC4" w:rsidRPr="005F120D">
        <w:rPr>
          <w:rFonts w:asciiTheme="minorHAnsi" w:hAnsiTheme="minorHAnsi" w:cstheme="minorHAnsi"/>
          <w:szCs w:val="22"/>
        </w:rPr>
        <w:t xml:space="preserve"> inclusiveness</w:t>
      </w:r>
      <w:r w:rsidR="002369C4" w:rsidRPr="005F120D">
        <w:rPr>
          <w:rFonts w:asciiTheme="minorHAnsi" w:hAnsiTheme="minorHAnsi" w:cstheme="minorHAnsi"/>
          <w:szCs w:val="22"/>
        </w:rPr>
        <w:t>, and the elimination of</w:t>
      </w:r>
      <w:r w:rsidR="00545CC4" w:rsidRPr="005F120D">
        <w:rPr>
          <w:rFonts w:asciiTheme="minorHAnsi" w:hAnsiTheme="minorHAnsi" w:cstheme="minorHAnsi"/>
          <w:szCs w:val="22"/>
        </w:rPr>
        <w:t xml:space="preserve"> cor</w:t>
      </w:r>
      <w:r w:rsidR="00E31BB8" w:rsidRPr="005F120D">
        <w:rPr>
          <w:rFonts w:asciiTheme="minorHAnsi" w:hAnsiTheme="minorHAnsi" w:cstheme="minorHAnsi"/>
          <w:szCs w:val="22"/>
        </w:rPr>
        <w:t xml:space="preserve">poral punishment in </w:t>
      </w:r>
      <w:r w:rsidR="00072DB3" w:rsidRPr="005F120D">
        <w:rPr>
          <w:rFonts w:asciiTheme="minorHAnsi" w:hAnsiTheme="minorHAnsi" w:cstheme="minorHAnsi"/>
          <w:szCs w:val="22"/>
        </w:rPr>
        <w:t>classrooms.</w:t>
      </w:r>
      <w:r w:rsidR="00072DB3" w:rsidRPr="005F120D">
        <w:rPr>
          <w:rFonts w:asciiTheme="minorHAnsi" w:hAnsiTheme="minorHAnsi" w:cstheme="minorHAnsi"/>
          <w:bCs/>
        </w:rPr>
        <w:t xml:space="preserve"> The</w:t>
      </w:r>
      <w:r w:rsidR="000C5097" w:rsidRPr="005F120D">
        <w:rPr>
          <w:rFonts w:asciiTheme="minorHAnsi" w:hAnsiTheme="minorHAnsi" w:cstheme="minorHAnsi"/>
          <w:bCs/>
        </w:rPr>
        <w:t xml:space="preserve"> total original cost as per DPP was Tk. 4,800.00 </w:t>
      </w:r>
      <w:r w:rsidR="00F738CE" w:rsidRPr="005F120D">
        <w:rPr>
          <w:rFonts w:asciiTheme="minorHAnsi" w:hAnsiTheme="minorHAnsi" w:cstheme="minorHAnsi"/>
          <w:bCs/>
        </w:rPr>
        <w:t>Lac</w:t>
      </w:r>
      <w:r w:rsidR="000C5097" w:rsidRPr="005F120D">
        <w:rPr>
          <w:rFonts w:asciiTheme="minorHAnsi" w:hAnsiTheme="minorHAnsi" w:cstheme="minorHAnsi"/>
          <w:bCs/>
        </w:rPr>
        <w:t xml:space="preserve"> and revised cost as per RDPP is Tk.</w:t>
      </w:r>
      <w:r w:rsidR="000C5097" w:rsidRPr="005F120D">
        <w:rPr>
          <w:rFonts w:asciiTheme="minorHAnsi" w:hAnsiTheme="minorHAnsi" w:cstheme="minorHAnsi"/>
        </w:rPr>
        <w:t xml:space="preserve"> 14,610.16 </w:t>
      </w:r>
      <w:r w:rsidR="00F738CE" w:rsidRPr="005F120D">
        <w:rPr>
          <w:rFonts w:asciiTheme="minorHAnsi" w:hAnsiTheme="minorHAnsi" w:cstheme="minorHAnsi"/>
          <w:bCs/>
        </w:rPr>
        <w:t>Lac</w:t>
      </w:r>
      <w:r w:rsidR="00636B1C" w:rsidRPr="005F120D">
        <w:rPr>
          <w:rFonts w:asciiTheme="minorHAnsi" w:hAnsiTheme="minorHAnsi" w:cstheme="minorHAnsi"/>
          <w:bCs/>
        </w:rPr>
        <w:t>.</w:t>
      </w:r>
    </w:p>
    <w:p w:rsidR="006F26E8" w:rsidRPr="005F120D" w:rsidRDefault="006F26E8" w:rsidP="000A5B80">
      <w:pPr>
        <w:pStyle w:val="Caption"/>
        <w:spacing w:after="120"/>
        <w:rPr>
          <w:rFonts w:cstheme="minorHAnsi"/>
        </w:rPr>
      </w:pPr>
      <w:bookmarkStart w:id="87" w:name="_Toc462837238"/>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16</w:t>
      </w:r>
      <w:r w:rsidR="002E2ED5" w:rsidRPr="005F120D">
        <w:rPr>
          <w:rFonts w:cstheme="minorHAnsi"/>
        </w:rPr>
        <w:fldChar w:fldCharType="end"/>
      </w:r>
      <w:r w:rsidRPr="005F120D">
        <w:rPr>
          <w:rFonts w:cstheme="minorHAnsi"/>
        </w:rPr>
        <w:t>: Communication and Social Mobilization</w:t>
      </w:r>
      <w:r w:rsidR="000745D6" w:rsidRPr="005F120D">
        <w:rPr>
          <w:rFonts w:cstheme="minorHAnsi"/>
        </w:rPr>
        <w:t>:</w:t>
      </w:r>
      <w:r w:rsidR="00AD6287" w:rsidRPr="005F120D">
        <w:rPr>
          <w:rFonts w:cstheme="minorHAnsi"/>
        </w:rPr>
        <w:t xml:space="preserve"> Cost and Expenditure as of June 2015</w:t>
      </w:r>
      <w:bookmarkEnd w:id="87"/>
    </w:p>
    <w:p w:rsidR="006F26E8" w:rsidRPr="005F120D" w:rsidRDefault="006F26E8" w:rsidP="000A5B80">
      <w:pPr>
        <w:spacing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122"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ayout w:type="fixed"/>
        <w:tblLook w:val="04A0"/>
      </w:tblPr>
      <w:tblGrid>
        <w:gridCol w:w="2584"/>
        <w:gridCol w:w="744"/>
        <w:gridCol w:w="794"/>
        <w:gridCol w:w="746"/>
        <w:gridCol w:w="881"/>
        <w:gridCol w:w="951"/>
        <w:gridCol w:w="824"/>
        <w:gridCol w:w="1229"/>
        <w:gridCol w:w="716"/>
      </w:tblGrid>
      <w:tr w:rsidR="00706CC1" w:rsidRPr="005F120D" w:rsidTr="001C6C07">
        <w:trPr>
          <w:tblHeader/>
        </w:trPr>
        <w:tc>
          <w:tcPr>
            <w:tcW w:w="1365" w:type="pct"/>
            <w:vMerge w:val="restart"/>
            <w:shd w:val="clear" w:color="auto" w:fill="CCC0D9" w:themeFill="accent4" w:themeFillTint="66"/>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12" w:type="pct"/>
            <w:gridSpan w:val="2"/>
            <w:shd w:val="clear" w:color="auto" w:fill="CCC0D9" w:themeFill="accent4" w:themeFillTint="66"/>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859" w:type="pct"/>
            <w:gridSpan w:val="2"/>
            <w:shd w:val="clear" w:color="auto" w:fill="CCC0D9" w:themeFill="accent4" w:themeFillTint="66"/>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37" w:type="pct"/>
            <w:gridSpan w:val="2"/>
            <w:shd w:val="clear" w:color="auto" w:fill="CCC0D9" w:themeFill="accent4" w:themeFillTint="66"/>
            <w:vAlign w:val="center"/>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49" w:type="pct"/>
            <w:vMerge w:val="restart"/>
            <w:shd w:val="clear" w:color="auto" w:fill="CCC0D9" w:themeFill="accent4" w:themeFillTint="66"/>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379" w:type="pct"/>
            <w:vMerge w:val="restart"/>
            <w:shd w:val="clear" w:color="auto" w:fill="CCC0D9" w:themeFill="accent4" w:themeFillTint="66"/>
            <w:vAlign w:val="center"/>
          </w:tcPr>
          <w:p w:rsidR="006F26E8" w:rsidRPr="005F120D" w:rsidRDefault="001C6C07"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w:t>
            </w:r>
          </w:p>
        </w:tc>
      </w:tr>
      <w:tr w:rsidR="00706CC1" w:rsidRPr="005F120D" w:rsidTr="001C6C07">
        <w:trPr>
          <w:tblHeader/>
        </w:trPr>
        <w:tc>
          <w:tcPr>
            <w:tcW w:w="1365" w:type="pct"/>
            <w:vMerge/>
            <w:tcBorders>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393"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19"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394"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64"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02"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35" w:type="pct"/>
            <w:tcBorders>
              <w:bottom w:val="double" w:sz="4" w:space="0" w:color="5F497A" w:themeColor="accent4" w:themeShade="BF"/>
            </w:tcBorders>
            <w:shd w:val="clear" w:color="auto" w:fill="E5DFEC" w:themeFill="accent4" w:themeFillTint="33"/>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49" w:type="pct"/>
            <w:vMerge/>
            <w:tcBorders>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379" w:type="pct"/>
            <w:vMerge/>
            <w:tcBorders>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rPr>
          <w:trHeight w:val="204"/>
        </w:trPr>
        <w:tc>
          <w:tcPr>
            <w:tcW w:w="1365" w:type="pct"/>
            <w:tcBorders>
              <w:top w:val="double" w:sz="4"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Unicef TA support</w:t>
            </w:r>
          </w:p>
        </w:tc>
        <w:tc>
          <w:tcPr>
            <w:tcW w:w="393"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9"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394"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1,059.35</w:t>
            </w:r>
          </w:p>
        </w:tc>
        <w:tc>
          <w:tcPr>
            <w:tcW w:w="502"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 Study</w:t>
            </w:r>
          </w:p>
        </w:tc>
        <w:tc>
          <w:tcPr>
            <w:tcW w:w="435"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335.70</w:t>
            </w:r>
          </w:p>
        </w:tc>
        <w:tc>
          <w:tcPr>
            <w:tcW w:w="649"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723.65</w:t>
            </w:r>
          </w:p>
        </w:tc>
        <w:tc>
          <w:tcPr>
            <w:tcW w:w="379" w:type="pct"/>
            <w:tcBorders>
              <w:top w:val="double" w:sz="4"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 TA</w:t>
            </w: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2. Workshop on </w:t>
            </w:r>
            <w:r w:rsidR="00636B1C" w:rsidRPr="005F120D">
              <w:rPr>
                <w:rFonts w:asciiTheme="minorHAnsi" w:hAnsiTheme="minorHAnsi" w:cstheme="minorHAnsi"/>
                <w:sz w:val="16"/>
                <w:szCs w:val="16"/>
              </w:rPr>
              <w:t>Soc. Mob.</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867.39</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387.39</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480.00</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3. Implementation of </w:t>
            </w:r>
            <w:r w:rsidR="00706CC1" w:rsidRPr="005F120D">
              <w:rPr>
                <w:rFonts w:asciiTheme="minorHAnsi" w:hAnsiTheme="minorHAnsi" w:cstheme="minorHAnsi"/>
                <w:sz w:val="16"/>
                <w:szCs w:val="16"/>
              </w:rPr>
              <w:t xml:space="preserve">Communication </w:t>
            </w:r>
            <w:r w:rsidRPr="005F120D">
              <w:rPr>
                <w:rFonts w:asciiTheme="minorHAnsi" w:hAnsiTheme="minorHAnsi" w:cstheme="minorHAnsi"/>
                <w:sz w:val="16"/>
                <w:szCs w:val="16"/>
              </w:rPr>
              <w:t>strategy</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Block</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226.56</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48.70</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177.86</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36B1C"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4. Mobile comm. </w:t>
            </w:r>
            <w:r w:rsidR="006F26E8" w:rsidRPr="005F120D">
              <w:rPr>
                <w:rFonts w:asciiTheme="minorHAnsi" w:hAnsiTheme="minorHAnsi" w:cstheme="minorHAnsi"/>
                <w:sz w:val="16"/>
                <w:szCs w:val="16"/>
              </w:rPr>
              <w:t>for all schools</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70,000</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1,000.00</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1,000.00</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36B1C"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5. Dev. of Need based </w:t>
            </w:r>
            <w:r w:rsidR="006F26E8" w:rsidRPr="005F120D">
              <w:rPr>
                <w:rFonts w:asciiTheme="minorHAnsi" w:hAnsiTheme="minorHAnsi" w:cstheme="minorHAnsi"/>
                <w:sz w:val="16"/>
                <w:szCs w:val="16"/>
              </w:rPr>
              <w:t>documentary films</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60.00</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60.00</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6. Dev</w:t>
            </w:r>
            <w:r w:rsidR="00636B1C" w:rsidRPr="005F120D">
              <w:rPr>
                <w:rFonts w:asciiTheme="minorHAnsi" w:hAnsiTheme="minorHAnsi" w:cstheme="minorHAnsi"/>
                <w:sz w:val="16"/>
                <w:szCs w:val="16"/>
              </w:rPr>
              <w:t>.</w:t>
            </w:r>
            <w:r w:rsidRPr="005F120D">
              <w:rPr>
                <w:rFonts w:asciiTheme="minorHAnsi" w:hAnsiTheme="minorHAnsi" w:cstheme="minorHAnsi"/>
                <w:sz w:val="16"/>
                <w:szCs w:val="16"/>
              </w:rPr>
              <w:t xml:space="preserve"> of different SM materials</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1,000.00</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563.98</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3.98</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560.00</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7. Print Meena cartoon on Autism</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500,000</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500.00</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1C6C07"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(6,5000 </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30.00</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30.00</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8. Broadcasting for Soc Mob (in TV &amp; Radio.)</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10,000</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2,000.00</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70.43</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10.43</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60.00</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9. Bangabandhu gold-cup football tournament</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1,100.00</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1,437.54</w:t>
            </w:r>
          </w:p>
        </w:tc>
        <w:tc>
          <w:tcPr>
            <w:tcW w:w="502" w:type="pct"/>
            <w:tcBorders>
              <w:top w:val="single" w:sz="6" w:space="0" w:color="5F497A" w:themeColor="accent4" w:themeShade="BF"/>
              <w:bottom w:val="single" w:sz="6" w:space="0" w:color="5F497A" w:themeColor="accent4" w:themeShade="BF"/>
            </w:tcBorders>
            <w:vAlign w:val="center"/>
          </w:tcPr>
          <w:p w:rsidR="001C6C07" w:rsidRPr="005F120D" w:rsidRDefault="006F26E8" w:rsidP="001C6C07">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U:4,844, </w:t>
            </w:r>
          </w:p>
          <w:p w:rsidR="006F26E8" w:rsidRPr="005F120D" w:rsidRDefault="001C6C07"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503/64</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935.20</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502.34</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007FF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Under 7 div</w:t>
            </w:r>
            <w:r w:rsidR="001C6C07" w:rsidRPr="005F120D">
              <w:rPr>
                <w:rFonts w:asciiTheme="minorHAnsi" w:hAnsiTheme="minorHAnsi" w:cstheme="minorHAnsi"/>
                <w:sz w:val="16"/>
                <w:szCs w:val="16"/>
              </w:rPr>
              <w:t>.</w:t>
            </w: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10. Bangamata Begum Fazilatunnesa Mujib gold-cup football tournament</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1,446.92</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2"/>
                <w:szCs w:val="12"/>
              </w:rPr>
            </w:pPr>
            <w:r w:rsidRPr="005F120D">
              <w:rPr>
                <w:rFonts w:asciiTheme="minorHAnsi" w:hAnsiTheme="minorHAnsi" w:cstheme="minorHAnsi"/>
                <w:sz w:val="12"/>
                <w:szCs w:val="12"/>
              </w:rPr>
              <w:t>U=4,844, Uzs=503,</w:t>
            </w:r>
          </w:p>
          <w:p w:rsidR="006F26E8" w:rsidRPr="005F120D" w:rsidRDefault="006F26E8" w:rsidP="000A5B80">
            <w:pPr>
              <w:spacing w:after="0"/>
              <w:jc w:val="center"/>
              <w:rPr>
                <w:rFonts w:asciiTheme="minorHAnsi" w:hAnsiTheme="minorHAnsi" w:cstheme="minorHAnsi"/>
                <w:sz w:val="12"/>
                <w:szCs w:val="12"/>
              </w:rPr>
            </w:pPr>
            <w:r w:rsidRPr="005F120D">
              <w:rPr>
                <w:rFonts w:asciiTheme="minorHAnsi" w:hAnsiTheme="minorHAnsi" w:cstheme="minorHAnsi"/>
                <w:sz w:val="12"/>
                <w:szCs w:val="12"/>
              </w:rPr>
              <w:t>Dist. 64</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2"/>
                <w:szCs w:val="12"/>
              </w:rPr>
              <w:t>Div=7</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944.57</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502.35</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11. Nat</w:t>
            </w:r>
            <w:r w:rsidR="002065DB" w:rsidRPr="005F120D">
              <w:rPr>
                <w:rFonts w:asciiTheme="minorHAnsi" w:hAnsiTheme="minorHAnsi" w:cstheme="minorHAnsi"/>
                <w:sz w:val="16"/>
                <w:szCs w:val="16"/>
              </w:rPr>
              <w:t>ional Education Week(</w:t>
            </w:r>
            <w:r w:rsidRPr="005F120D">
              <w:rPr>
                <w:rFonts w:asciiTheme="minorHAnsi" w:hAnsiTheme="minorHAnsi" w:cstheme="minorHAnsi"/>
                <w:sz w:val="16"/>
                <w:szCs w:val="16"/>
              </w:rPr>
              <w:t>printing posters, etc.),</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200.00</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288.79</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163.55</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125.24</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2065DB" w:rsidP="000A5B80">
            <w:pPr>
              <w:spacing w:after="0"/>
              <w:rPr>
                <w:rFonts w:asciiTheme="minorHAnsi" w:hAnsiTheme="minorHAnsi" w:cstheme="minorHAnsi"/>
                <w:sz w:val="16"/>
                <w:szCs w:val="16"/>
              </w:rPr>
            </w:pPr>
            <w:r w:rsidRPr="005F120D">
              <w:rPr>
                <w:rFonts w:asciiTheme="minorHAnsi" w:hAnsiTheme="minorHAnsi" w:cstheme="minorHAnsi"/>
                <w:sz w:val="16"/>
                <w:szCs w:val="16"/>
              </w:rPr>
              <w:t>12. National events (needs-</w:t>
            </w:r>
            <w:r w:rsidR="006F26E8" w:rsidRPr="005F120D">
              <w:rPr>
                <w:rFonts w:asciiTheme="minorHAnsi" w:hAnsiTheme="minorHAnsi" w:cstheme="minorHAnsi"/>
                <w:sz w:val="16"/>
                <w:szCs w:val="16"/>
              </w:rPr>
              <w:t>based)</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706.62</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243.05</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463.57</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13. National events (need</w:t>
            </w:r>
            <w:r w:rsidR="002065DB" w:rsidRPr="005F120D">
              <w:rPr>
                <w:rFonts w:asciiTheme="minorHAnsi" w:hAnsiTheme="minorHAnsi" w:cstheme="minorHAnsi"/>
                <w:sz w:val="16"/>
                <w:szCs w:val="16"/>
              </w:rPr>
              <w:t>s-</w:t>
            </w:r>
            <w:r w:rsidRPr="005F120D">
              <w:rPr>
                <w:rFonts w:asciiTheme="minorHAnsi" w:hAnsiTheme="minorHAnsi" w:cstheme="minorHAnsi"/>
                <w:sz w:val="16"/>
                <w:szCs w:val="16"/>
              </w:rPr>
              <w:t xml:space="preserve"> based)</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1,686.40</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1,257.14</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429.26</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rPr>
          <w:trHeight w:val="282"/>
        </w:trPr>
        <w:tc>
          <w:tcPr>
            <w:tcW w:w="1365" w:type="pct"/>
            <w:tcBorders>
              <w:top w:val="single" w:sz="6" w:space="0" w:color="5F497A" w:themeColor="accent4" w:themeShade="BF"/>
              <w:bottom w:val="single" w:sz="6"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14. Inter-school cultural &amp; sports competition</w:t>
            </w:r>
          </w:p>
        </w:tc>
        <w:tc>
          <w:tcPr>
            <w:tcW w:w="393"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39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All schools</w:t>
            </w:r>
          </w:p>
        </w:tc>
        <w:tc>
          <w:tcPr>
            <w:tcW w:w="464"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4,982.87</w:t>
            </w:r>
          </w:p>
        </w:tc>
        <w:tc>
          <w:tcPr>
            <w:tcW w:w="502"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5"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2,982.87</w:t>
            </w:r>
          </w:p>
        </w:tc>
        <w:tc>
          <w:tcPr>
            <w:tcW w:w="64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2,000.00</w:t>
            </w:r>
          </w:p>
        </w:tc>
        <w:tc>
          <w:tcPr>
            <w:tcW w:w="379" w:type="pct"/>
            <w:tcBorders>
              <w:top w:val="single" w:sz="6" w:space="0" w:color="5F497A" w:themeColor="accent4" w:themeShade="BF"/>
              <w:bottom w:val="single" w:sz="6"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single" w:sz="6" w:space="0" w:color="5F497A" w:themeColor="accent4" w:themeShade="BF"/>
              <w:bottom w:val="double" w:sz="4" w:space="0" w:color="5F497A" w:themeColor="accent4"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15. Inter-PTI cultural competition</w:t>
            </w:r>
          </w:p>
        </w:tc>
        <w:tc>
          <w:tcPr>
            <w:tcW w:w="393"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9"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394"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4"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183.31</w:t>
            </w:r>
          </w:p>
        </w:tc>
        <w:tc>
          <w:tcPr>
            <w:tcW w:w="502"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PTI=55</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4"/>
                <w:szCs w:val="14"/>
              </w:rPr>
              <w:t>Div=7 &amp; 1N</w:t>
            </w:r>
          </w:p>
        </w:tc>
        <w:tc>
          <w:tcPr>
            <w:tcW w:w="435"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48.00</w:t>
            </w:r>
          </w:p>
        </w:tc>
        <w:tc>
          <w:tcPr>
            <w:tcW w:w="649"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135.31</w:t>
            </w:r>
          </w:p>
        </w:tc>
        <w:tc>
          <w:tcPr>
            <w:tcW w:w="379" w:type="pct"/>
            <w:tcBorders>
              <w:top w:val="single" w:sz="6" w:space="0" w:color="5F497A" w:themeColor="accent4" w:themeShade="BF"/>
              <w:bottom w:val="double" w:sz="4" w:space="0" w:color="5F497A" w:themeColor="accent4"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706CC1" w:rsidRPr="005F120D" w:rsidTr="001C6C07">
        <w:tc>
          <w:tcPr>
            <w:tcW w:w="1365"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393"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19"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4,800.00</w:t>
            </w:r>
          </w:p>
        </w:tc>
        <w:tc>
          <w:tcPr>
            <w:tcW w:w="394"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64"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14,610.16</w:t>
            </w:r>
          </w:p>
        </w:tc>
        <w:tc>
          <w:tcPr>
            <w:tcW w:w="502"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35"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7,360.58 (50.4%)</w:t>
            </w:r>
          </w:p>
        </w:tc>
        <w:tc>
          <w:tcPr>
            <w:tcW w:w="649"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7,249.58 (49.6%)</w:t>
            </w:r>
          </w:p>
        </w:tc>
        <w:tc>
          <w:tcPr>
            <w:tcW w:w="379" w:type="pct"/>
            <w:tcBorders>
              <w:top w:val="double" w:sz="4" w:space="0" w:color="5F497A" w:themeColor="accent4" w:themeShade="BF"/>
            </w:tcBorders>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sz w:val="16"/>
                <w:szCs w:val="16"/>
              </w:rPr>
            </w:pPr>
          </w:p>
        </w:tc>
      </w:tr>
    </w:tbl>
    <w:p w:rsidR="002065DB" w:rsidRPr="005F120D" w:rsidRDefault="000C5097" w:rsidP="0041031A">
      <w:pPr>
        <w:autoSpaceDE w:val="0"/>
        <w:autoSpaceDN w:val="0"/>
        <w:adjustRightInd w:val="0"/>
        <w:rPr>
          <w:rFonts w:asciiTheme="minorHAnsi" w:hAnsiTheme="minorHAnsi" w:cstheme="minorHAnsi"/>
          <w:b/>
          <w:bCs/>
          <w:i/>
          <w:sz w:val="16"/>
          <w:szCs w:val="16"/>
        </w:rPr>
      </w:pPr>
      <w:r w:rsidRPr="005F120D">
        <w:rPr>
          <w:rFonts w:asciiTheme="minorHAnsi" w:hAnsiTheme="minorHAnsi" w:cstheme="minorHAnsi"/>
          <w:b/>
          <w:bCs/>
          <w:i/>
          <w:sz w:val="16"/>
          <w:szCs w:val="16"/>
        </w:rPr>
        <w:t>Note: The achievements of Result Area 2.1 are measured through 3 KPIs (KPI 4, 5 &amp; 6) and 4 Non-KPIs (Non-KPI 2, 3, 4 &amp; 5) at the outcome level; and 2 PSQLs (PSQL 5 &amp; 6) and 5 Sub-component indicators at the outputs level</w:t>
      </w:r>
      <w:r w:rsidR="006F26E8" w:rsidRPr="005F120D">
        <w:rPr>
          <w:rFonts w:asciiTheme="minorHAnsi" w:hAnsiTheme="minorHAnsi" w:cstheme="minorHAnsi"/>
          <w:b/>
          <w:bCs/>
          <w:i/>
          <w:sz w:val="16"/>
          <w:szCs w:val="16"/>
        </w:rPr>
        <w:t>.</w:t>
      </w:r>
    </w:p>
    <w:p w:rsidR="008025F4" w:rsidRPr="005F120D" w:rsidRDefault="008025F4" w:rsidP="000A5B80">
      <w:pPr>
        <w:autoSpaceDE w:val="0"/>
        <w:autoSpaceDN w:val="0"/>
        <w:adjustRightInd w:val="0"/>
        <w:spacing w:before="120" w:after="120"/>
        <w:jc w:val="both"/>
        <w:rPr>
          <w:rFonts w:asciiTheme="minorHAnsi" w:hAnsiTheme="minorHAnsi" w:cstheme="minorHAnsi"/>
          <w:b/>
          <w:color w:val="008000"/>
          <w:szCs w:val="22"/>
        </w:rPr>
      </w:pPr>
      <w:r w:rsidRPr="005F120D">
        <w:rPr>
          <w:rFonts w:asciiTheme="minorHAnsi" w:hAnsiTheme="minorHAnsi" w:cstheme="minorHAnsi"/>
          <w:b/>
          <w:color w:val="008000"/>
          <w:szCs w:val="22"/>
        </w:rPr>
        <w:t>Result Area 2.2: Reducing Disparities</w:t>
      </w:r>
    </w:p>
    <w:p w:rsidR="006F26E8" w:rsidRPr="005F120D" w:rsidRDefault="000C5097" w:rsidP="00E4371B">
      <w:pPr>
        <w:autoSpaceDE w:val="0"/>
        <w:autoSpaceDN w:val="0"/>
        <w:adjustRightInd w:val="0"/>
        <w:spacing w:before="120" w:after="120"/>
        <w:jc w:val="both"/>
        <w:rPr>
          <w:rFonts w:asciiTheme="minorHAnsi" w:hAnsiTheme="minorHAnsi" w:cstheme="minorHAnsi"/>
          <w:bCs/>
          <w:szCs w:val="22"/>
        </w:rPr>
      </w:pPr>
      <w:r w:rsidRPr="005F120D">
        <w:rPr>
          <w:rFonts w:asciiTheme="minorHAnsi" w:hAnsiTheme="minorHAnsi" w:cstheme="minorHAnsi"/>
          <w:szCs w:val="22"/>
        </w:rPr>
        <w:t>The anticipated outcome is greater equality between geographic regions, socio-economic groups and gender in terms of participation, completion and learning outcomes in primary education. In this result area, there are 4</w:t>
      </w:r>
      <w:r w:rsidRPr="005F120D">
        <w:rPr>
          <w:rFonts w:asciiTheme="minorHAnsi" w:hAnsiTheme="minorHAnsi" w:cstheme="minorHAnsi"/>
          <w:bCs/>
          <w:szCs w:val="22"/>
        </w:rPr>
        <w:t xml:space="preserve"> sub-components under resul</w:t>
      </w:r>
      <w:r w:rsidR="002065DB" w:rsidRPr="005F120D">
        <w:rPr>
          <w:rFonts w:asciiTheme="minorHAnsi" w:hAnsiTheme="minorHAnsi" w:cstheme="minorHAnsi"/>
          <w:bCs/>
          <w:szCs w:val="22"/>
        </w:rPr>
        <w:t>t area 2.2.</w:t>
      </w:r>
    </w:p>
    <w:p w:rsidR="00981CA3" w:rsidRPr="005F120D" w:rsidRDefault="006F26E8" w:rsidP="00E4371B">
      <w:pPr>
        <w:pStyle w:val="ListParagraph"/>
        <w:numPr>
          <w:ilvl w:val="0"/>
          <w:numId w:val="88"/>
        </w:numPr>
        <w:spacing w:before="120" w:after="120"/>
        <w:jc w:val="both"/>
        <w:rPr>
          <w:rFonts w:asciiTheme="minorHAnsi" w:hAnsiTheme="minorHAnsi" w:cstheme="minorHAnsi"/>
          <w:bCs/>
        </w:rPr>
      </w:pPr>
      <w:r w:rsidRPr="005F120D">
        <w:rPr>
          <w:rFonts w:asciiTheme="minorHAnsi" w:hAnsiTheme="minorHAnsi" w:cstheme="minorHAnsi"/>
          <w:b/>
          <w:i/>
          <w:iCs/>
          <w:color w:val="008000"/>
        </w:rPr>
        <w:t>Sub-Component 2.2.1 - Targeted Stipends:</w:t>
      </w:r>
    </w:p>
    <w:p w:rsidR="00E4371B" w:rsidRPr="005F120D" w:rsidRDefault="000C5097" w:rsidP="001C6C07">
      <w:pPr>
        <w:spacing w:before="120" w:after="120"/>
        <w:jc w:val="both"/>
        <w:rPr>
          <w:rFonts w:asciiTheme="minorHAnsi" w:hAnsiTheme="minorHAnsi" w:cstheme="minorHAnsi"/>
          <w:bCs/>
        </w:rPr>
      </w:pPr>
      <w:r w:rsidRPr="005F120D">
        <w:rPr>
          <w:rFonts w:asciiTheme="minorHAnsi" w:hAnsiTheme="minorHAnsi" w:cstheme="minorHAnsi"/>
          <w:bCs/>
        </w:rPr>
        <w:t>Stipends w</w:t>
      </w:r>
      <w:r w:rsidR="00F71FBF" w:rsidRPr="005F120D">
        <w:rPr>
          <w:rFonts w:asciiTheme="minorHAnsi" w:hAnsiTheme="minorHAnsi" w:cstheme="minorHAnsi"/>
          <w:bCs/>
        </w:rPr>
        <w:t>ill be continued as a Discreet Project o</w:t>
      </w:r>
      <w:r w:rsidRPr="005F120D">
        <w:rPr>
          <w:rFonts w:asciiTheme="minorHAnsi" w:hAnsiTheme="minorHAnsi" w:cstheme="minorHAnsi"/>
          <w:bCs/>
        </w:rPr>
        <w:t xml:space="preserve">utside of PEDP3.  A study of the project will be conducted under PEDP3 to help plan for the next phase of the project. The total original cost as per DPP was Tk. </w:t>
      </w:r>
      <w:r w:rsidRPr="005F120D">
        <w:rPr>
          <w:rFonts w:asciiTheme="minorHAnsi" w:hAnsiTheme="minorHAnsi" w:cstheme="minorHAnsi"/>
        </w:rPr>
        <w:t>335,149.03</w:t>
      </w:r>
      <w:r w:rsidR="00F738CE" w:rsidRPr="005F120D">
        <w:rPr>
          <w:rFonts w:asciiTheme="minorHAnsi" w:hAnsiTheme="minorHAnsi" w:cstheme="minorHAnsi"/>
          <w:bCs/>
        </w:rPr>
        <w:t>lac</w:t>
      </w:r>
      <w:r w:rsidRPr="005F120D">
        <w:rPr>
          <w:rFonts w:asciiTheme="minorHAnsi" w:hAnsiTheme="minorHAnsi" w:cstheme="minorHAnsi"/>
          <w:bCs/>
        </w:rPr>
        <w:t xml:space="preserve"> and revised cost as per RDPP is Tk.</w:t>
      </w:r>
      <w:r w:rsidRPr="005F120D">
        <w:rPr>
          <w:rFonts w:asciiTheme="minorHAnsi" w:hAnsiTheme="minorHAnsi" w:cstheme="minorHAnsi"/>
        </w:rPr>
        <w:t xml:space="preserve"> 0.00 </w:t>
      </w:r>
      <w:r w:rsidR="00F738CE" w:rsidRPr="005F120D">
        <w:rPr>
          <w:rFonts w:asciiTheme="minorHAnsi" w:hAnsiTheme="minorHAnsi" w:cstheme="minorHAnsi"/>
          <w:bCs/>
        </w:rPr>
        <w:t>lac</w:t>
      </w:r>
      <w:r w:rsidR="00950B4F" w:rsidRPr="005F120D">
        <w:rPr>
          <w:rFonts w:asciiTheme="minorHAnsi" w:hAnsiTheme="minorHAnsi" w:cstheme="minorHAnsi"/>
          <w:bCs/>
        </w:rPr>
        <w:t xml:space="preserve">. </w:t>
      </w:r>
    </w:p>
    <w:p w:rsidR="006F26E8" w:rsidRPr="005F120D" w:rsidRDefault="006F26E8" w:rsidP="000A5B80">
      <w:pPr>
        <w:pStyle w:val="Caption"/>
        <w:spacing w:after="0"/>
        <w:rPr>
          <w:rFonts w:cstheme="minorHAnsi"/>
        </w:rPr>
      </w:pPr>
      <w:bookmarkStart w:id="88" w:name="_Toc462837239"/>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17</w:t>
      </w:r>
      <w:r w:rsidR="002E2ED5" w:rsidRPr="005F120D">
        <w:rPr>
          <w:rFonts w:cstheme="minorHAnsi"/>
        </w:rPr>
        <w:fldChar w:fldCharType="end"/>
      </w:r>
      <w:r w:rsidRPr="005F120D">
        <w:rPr>
          <w:rFonts w:cstheme="minorHAnsi"/>
        </w:rPr>
        <w:t>: Targeted Stipends</w:t>
      </w:r>
      <w:r w:rsidR="003B36DA" w:rsidRPr="005F120D">
        <w:rPr>
          <w:rFonts w:cstheme="minorHAnsi"/>
        </w:rPr>
        <w:t>:</w:t>
      </w:r>
      <w:r w:rsidR="00AD6287" w:rsidRPr="005F120D">
        <w:rPr>
          <w:rFonts w:cstheme="minorHAnsi"/>
        </w:rPr>
        <w:t xml:space="preserve"> Cost and Expenditure as of June 2015</w:t>
      </w:r>
      <w:bookmarkEnd w:id="88"/>
    </w:p>
    <w:p w:rsidR="006F26E8" w:rsidRPr="005F120D" w:rsidRDefault="006F26E8" w:rsidP="000A5B80">
      <w:pPr>
        <w:spacing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ook w:val="04A0"/>
      </w:tblPr>
      <w:tblGrid>
        <w:gridCol w:w="1373"/>
        <w:gridCol w:w="864"/>
        <w:gridCol w:w="1026"/>
        <w:gridCol w:w="871"/>
        <w:gridCol w:w="991"/>
        <w:gridCol w:w="939"/>
        <w:gridCol w:w="879"/>
        <w:gridCol w:w="1223"/>
        <w:gridCol w:w="1077"/>
      </w:tblGrid>
      <w:tr w:rsidR="006F26E8" w:rsidRPr="005F120D" w:rsidTr="000C2F70">
        <w:trPr>
          <w:tblHeader/>
        </w:trPr>
        <w:tc>
          <w:tcPr>
            <w:tcW w:w="744"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1017"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09"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85" w:type="pct"/>
            <w:gridSpan w:val="2"/>
            <w:shd w:val="clear" w:color="auto" w:fill="CCC0D9" w:themeFill="accent4" w:themeFillTint="6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62"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583"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0C2F70">
        <w:trPr>
          <w:tblHeader/>
        </w:trPr>
        <w:tc>
          <w:tcPr>
            <w:tcW w:w="744" w:type="pct"/>
            <w:vMerge/>
          </w:tcPr>
          <w:p w:rsidR="006F26E8" w:rsidRPr="005F120D" w:rsidRDefault="006F26E8" w:rsidP="000A5B80">
            <w:pPr>
              <w:spacing w:after="0"/>
              <w:jc w:val="center"/>
              <w:rPr>
                <w:rFonts w:asciiTheme="minorHAnsi" w:hAnsiTheme="minorHAnsi" w:cstheme="minorHAnsi"/>
                <w:sz w:val="16"/>
                <w:szCs w:val="16"/>
              </w:rPr>
            </w:pPr>
          </w:p>
        </w:tc>
        <w:tc>
          <w:tcPr>
            <w:tcW w:w="461"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56"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72"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37"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09"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rPr>
                <w:rFonts w:asciiTheme="minorHAnsi" w:hAnsiTheme="minorHAnsi" w:cstheme="minorHAnsi"/>
                <w:bCs/>
                <w:sz w:val="16"/>
                <w:szCs w:val="16"/>
              </w:rPr>
            </w:pPr>
            <w:r w:rsidRPr="005F120D">
              <w:rPr>
                <w:rFonts w:asciiTheme="minorHAnsi" w:hAnsiTheme="minorHAnsi" w:cstheme="minorHAnsi"/>
                <w:bCs/>
                <w:sz w:val="16"/>
                <w:szCs w:val="16"/>
              </w:rPr>
              <w:tab/>
              <w:t>Physical</w:t>
            </w:r>
          </w:p>
        </w:tc>
        <w:tc>
          <w:tcPr>
            <w:tcW w:w="476"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62" w:type="pct"/>
            <w:vMerge/>
          </w:tcPr>
          <w:p w:rsidR="006F26E8" w:rsidRPr="005F120D" w:rsidRDefault="006F26E8" w:rsidP="000A5B80">
            <w:pPr>
              <w:spacing w:after="0"/>
              <w:jc w:val="center"/>
              <w:rPr>
                <w:rFonts w:asciiTheme="minorHAnsi" w:hAnsiTheme="minorHAnsi" w:cstheme="minorHAnsi"/>
                <w:sz w:val="16"/>
                <w:szCs w:val="16"/>
              </w:rPr>
            </w:pPr>
          </w:p>
        </w:tc>
        <w:tc>
          <w:tcPr>
            <w:tcW w:w="583" w:type="pct"/>
            <w:vMerge/>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744"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Survey</w:t>
            </w:r>
          </w:p>
        </w:tc>
        <w:tc>
          <w:tcPr>
            <w:tcW w:w="46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556"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7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37"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09"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6"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vAlign w:val="center"/>
          </w:tcPr>
          <w:p w:rsidR="006F26E8" w:rsidRPr="005F120D" w:rsidRDefault="006F26E8" w:rsidP="000A5B80">
            <w:pPr>
              <w:spacing w:after="0"/>
              <w:jc w:val="right"/>
              <w:rPr>
                <w:rFonts w:asciiTheme="minorHAnsi" w:hAnsiTheme="minorHAnsi" w:cstheme="minorHAnsi"/>
                <w:sz w:val="16"/>
                <w:szCs w:val="16"/>
              </w:rPr>
            </w:pPr>
          </w:p>
        </w:tc>
        <w:tc>
          <w:tcPr>
            <w:tcW w:w="583" w:type="pct"/>
            <w:vMerge w:val="restart"/>
            <w:vAlign w:val="center"/>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will continue as discrete project</w:t>
            </w:r>
          </w:p>
        </w:tc>
      </w:tr>
      <w:tr w:rsidR="006F26E8" w:rsidRPr="005F120D" w:rsidTr="000C2F70">
        <w:tc>
          <w:tcPr>
            <w:tcW w:w="744"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Impact Study</w:t>
            </w:r>
          </w:p>
        </w:tc>
        <w:tc>
          <w:tcPr>
            <w:tcW w:w="46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556"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7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37"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09"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6"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vAlign w:val="center"/>
          </w:tcPr>
          <w:p w:rsidR="006F26E8" w:rsidRPr="005F120D" w:rsidRDefault="006F26E8" w:rsidP="000A5B80">
            <w:pPr>
              <w:spacing w:after="0"/>
              <w:jc w:val="right"/>
              <w:rPr>
                <w:rFonts w:asciiTheme="minorHAnsi" w:hAnsiTheme="minorHAnsi" w:cstheme="minorHAnsi"/>
                <w:sz w:val="16"/>
                <w:szCs w:val="16"/>
              </w:rPr>
            </w:pPr>
          </w:p>
        </w:tc>
        <w:tc>
          <w:tcPr>
            <w:tcW w:w="583" w:type="pct"/>
            <w:vMerge/>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744"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3. Stipends</w:t>
            </w:r>
          </w:p>
        </w:tc>
        <w:tc>
          <w:tcPr>
            <w:tcW w:w="46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78,00,000</w:t>
            </w:r>
          </w:p>
        </w:tc>
        <w:tc>
          <w:tcPr>
            <w:tcW w:w="556"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328,117.93</w:t>
            </w:r>
          </w:p>
        </w:tc>
        <w:tc>
          <w:tcPr>
            <w:tcW w:w="47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37"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09"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6"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vAlign w:val="center"/>
          </w:tcPr>
          <w:p w:rsidR="006F26E8" w:rsidRPr="005F120D" w:rsidRDefault="006F26E8" w:rsidP="000A5B80">
            <w:pPr>
              <w:spacing w:after="0"/>
              <w:jc w:val="right"/>
              <w:rPr>
                <w:rFonts w:asciiTheme="minorHAnsi" w:hAnsiTheme="minorHAnsi" w:cstheme="minorHAnsi"/>
                <w:sz w:val="16"/>
                <w:szCs w:val="16"/>
              </w:rPr>
            </w:pPr>
          </w:p>
        </w:tc>
        <w:tc>
          <w:tcPr>
            <w:tcW w:w="583" w:type="pct"/>
            <w:vMerge/>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744"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4. Service charge</w:t>
            </w:r>
          </w:p>
        </w:tc>
        <w:tc>
          <w:tcPr>
            <w:tcW w:w="46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Block</w:t>
            </w:r>
          </w:p>
        </w:tc>
        <w:tc>
          <w:tcPr>
            <w:tcW w:w="556"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7,031.10</w:t>
            </w:r>
          </w:p>
        </w:tc>
        <w:tc>
          <w:tcPr>
            <w:tcW w:w="47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37"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09"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6" w:type="pct"/>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62" w:type="pct"/>
            <w:vAlign w:val="center"/>
          </w:tcPr>
          <w:p w:rsidR="006F26E8" w:rsidRPr="005F120D" w:rsidRDefault="006F26E8" w:rsidP="000A5B80">
            <w:pPr>
              <w:spacing w:after="0"/>
              <w:jc w:val="right"/>
              <w:rPr>
                <w:rFonts w:asciiTheme="minorHAnsi" w:hAnsiTheme="minorHAnsi" w:cstheme="minorHAnsi"/>
                <w:sz w:val="16"/>
                <w:szCs w:val="16"/>
              </w:rPr>
            </w:pPr>
          </w:p>
        </w:tc>
        <w:tc>
          <w:tcPr>
            <w:tcW w:w="583"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Charge 2.5%  </w:t>
            </w:r>
          </w:p>
        </w:tc>
      </w:tr>
      <w:tr w:rsidR="006F26E8" w:rsidRPr="005F120D" w:rsidTr="000C2F70">
        <w:tc>
          <w:tcPr>
            <w:tcW w:w="744"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61"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c>
          <w:tcPr>
            <w:tcW w:w="556" w:type="pct"/>
            <w:shd w:val="clear" w:color="auto" w:fill="E5DFEC" w:themeFill="accent4" w:themeFillTint="33"/>
          </w:tcPr>
          <w:p w:rsidR="006F26E8" w:rsidRPr="005F120D" w:rsidRDefault="006F26E8" w:rsidP="000A5B80">
            <w:pPr>
              <w:spacing w:after="0"/>
              <w:jc w:val="both"/>
              <w:rPr>
                <w:rFonts w:asciiTheme="minorHAnsi" w:hAnsiTheme="minorHAnsi" w:cstheme="minorHAnsi"/>
                <w:b/>
                <w:sz w:val="16"/>
                <w:szCs w:val="16"/>
              </w:rPr>
            </w:pPr>
            <w:r w:rsidRPr="005F120D">
              <w:rPr>
                <w:rFonts w:asciiTheme="minorHAnsi" w:hAnsiTheme="minorHAnsi" w:cstheme="minorHAnsi"/>
                <w:b/>
                <w:sz w:val="16"/>
                <w:szCs w:val="16"/>
              </w:rPr>
              <w:t>335,149.03</w:t>
            </w:r>
          </w:p>
        </w:tc>
        <w:tc>
          <w:tcPr>
            <w:tcW w:w="472" w:type="pct"/>
            <w:shd w:val="clear" w:color="auto" w:fill="E5DFEC" w:themeFill="accent4" w:themeFillTint="33"/>
          </w:tcPr>
          <w:p w:rsidR="006F26E8" w:rsidRPr="005F120D" w:rsidRDefault="006F26E8" w:rsidP="000A5B80">
            <w:pPr>
              <w:spacing w:after="0"/>
              <w:jc w:val="both"/>
              <w:rPr>
                <w:rFonts w:asciiTheme="minorHAnsi" w:hAnsiTheme="minorHAnsi" w:cstheme="minorHAnsi"/>
                <w:b/>
                <w:sz w:val="16"/>
                <w:szCs w:val="16"/>
              </w:rPr>
            </w:pPr>
          </w:p>
        </w:tc>
        <w:tc>
          <w:tcPr>
            <w:tcW w:w="537" w:type="pct"/>
            <w:shd w:val="clear" w:color="auto" w:fill="E5DFEC" w:themeFill="accent4" w:themeFillTint="33"/>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0.00</w:t>
            </w:r>
          </w:p>
        </w:tc>
        <w:tc>
          <w:tcPr>
            <w:tcW w:w="509" w:type="pct"/>
            <w:shd w:val="clear" w:color="auto" w:fill="E5DFEC" w:themeFill="accent4" w:themeFillTint="33"/>
            <w:vAlign w:val="center"/>
          </w:tcPr>
          <w:p w:rsidR="006F26E8" w:rsidRPr="005F120D" w:rsidRDefault="006F26E8" w:rsidP="000A5B80">
            <w:pPr>
              <w:spacing w:after="0"/>
              <w:jc w:val="right"/>
              <w:rPr>
                <w:rFonts w:asciiTheme="minorHAnsi" w:hAnsiTheme="minorHAnsi" w:cstheme="minorHAnsi"/>
                <w:b/>
                <w:sz w:val="16"/>
                <w:szCs w:val="16"/>
              </w:rPr>
            </w:pPr>
          </w:p>
        </w:tc>
        <w:tc>
          <w:tcPr>
            <w:tcW w:w="476" w:type="pct"/>
            <w:shd w:val="clear" w:color="auto" w:fill="E5DFEC" w:themeFill="accent4" w:themeFillTint="33"/>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0.00</w:t>
            </w:r>
          </w:p>
        </w:tc>
        <w:tc>
          <w:tcPr>
            <w:tcW w:w="662" w:type="pct"/>
            <w:shd w:val="clear" w:color="auto" w:fill="E5DFEC" w:themeFill="accent4" w:themeFillTint="33"/>
            <w:vAlign w:val="center"/>
          </w:tcPr>
          <w:p w:rsidR="006F26E8" w:rsidRPr="005F120D" w:rsidRDefault="006F26E8" w:rsidP="000A5B80">
            <w:pPr>
              <w:spacing w:after="0"/>
              <w:jc w:val="right"/>
              <w:rPr>
                <w:rFonts w:asciiTheme="minorHAnsi" w:hAnsiTheme="minorHAnsi" w:cstheme="minorHAnsi"/>
                <w:b/>
                <w:sz w:val="16"/>
                <w:szCs w:val="16"/>
              </w:rPr>
            </w:pPr>
          </w:p>
        </w:tc>
        <w:tc>
          <w:tcPr>
            <w:tcW w:w="583" w:type="pct"/>
            <w:shd w:val="clear" w:color="auto" w:fill="E5DFEC" w:themeFill="accent4" w:themeFillTint="33"/>
            <w:vAlign w:val="center"/>
          </w:tcPr>
          <w:p w:rsidR="006F26E8" w:rsidRPr="005F120D" w:rsidRDefault="006F26E8" w:rsidP="000A5B80">
            <w:pPr>
              <w:spacing w:after="0"/>
              <w:jc w:val="center"/>
              <w:rPr>
                <w:rFonts w:asciiTheme="minorHAnsi" w:hAnsiTheme="minorHAnsi" w:cstheme="minorHAnsi"/>
                <w:b/>
                <w:sz w:val="16"/>
                <w:szCs w:val="16"/>
              </w:rPr>
            </w:pPr>
          </w:p>
        </w:tc>
      </w:tr>
    </w:tbl>
    <w:p w:rsidR="00981CA3" w:rsidRPr="005F120D" w:rsidRDefault="002065DB" w:rsidP="000A5B80">
      <w:pPr>
        <w:pStyle w:val="ListParagraph"/>
        <w:numPr>
          <w:ilvl w:val="0"/>
          <w:numId w:val="88"/>
        </w:numPr>
        <w:spacing w:before="240" w:after="240"/>
        <w:jc w:val="both"/>
        <w:rPr>
          <w:rFonts w:asciiTheme="minorHAnsi" w:hAnsiTheme="minorHAnsi" w:cstheme="minorHAnsi"/>
          <w:bCs/>
        </w:rPr>
      </w:pPr>
      <w:r w:rsidRPr="005F120D">
        <w:rPr>
          <w:rFonts w:asciiTheme="minorHAnsi" w:hAnsiTheme="minorHAnsi" w:cstheme="minorHAnsi"/>
          <w:b/>
          <w:i/>
          <w:iCs/>
          <w:color w:val="008000"/>
        </w:rPr>
        <w:t>Sub-Component 2.2.2 - School Health and School F</w:t>
      </w:r>
      <w:r w:rsidR="006F26E8" w:rsidRPr="005F120D">
        <w:rPr>
          <w:rFonts w:asciiTheme="minorHAnsi" w:hAnsiTheme="minorHAnsi" w:cstheme="minorHAnsi"/>
          <w:b/>
          <w:i/>
          <w:iCs/>
          <w:color w:val="008000"/>
        </w:rPr>
        <w:t>eeding:</w:t>
      </w:r>
    </w:p>
    <w:p w:rsidR="006F26E8" w:rsidRPr="005F120D" w:rsidRDefault="001F1DE4" w:rsidP="000A5B80">
      <w:pPr>
        <w:spacing w:before="240"/>
        <w:jc w:val="both"/>
        <w:rPr>
          <w:rFonts w:asciiTheme="minorHAnsi" w:hAnsiTheme="minorHAnsi" w:cstheme="minorHAnsi"/>
          <w:bCs/>
        </w:rPr>
      </w:pPr>
      <w:r w:rsidRPr="005F120D">
        <w:rPr>
          <w:rFonts w:asciiTheme="minorHAnsi" w:hAnsiTheme="minorHAnsi" w:cstheme="minorHAnsi"/>
          <w:szCs w:val="22"/>
        </w:rPr>
        <w:t>Schools play a critical role in promoting the health and</w:t>
      </w:r>
      <w:r w:rsidR="002369C4" w:rsidRPr="005F120D">
        <w:rPr>
          <w:rFonts w:asciiTheme="minorHAnsi" w:hAnsiTheme="minorHAnsi" w:cstheme="minorHAnsi"/>
          <w:szCs w:val="22"/>
        </w:rPr>
        <w:t xml:space="preserve"> safety of children through the adoption of</w:t>
      </w:r>
      <w:r w:rsidRPr="005F120D">
        <w:rPr>
          <w:rFonts w:asciiTheme="minorHAnsi" w:hAnsiTheme="minorHAnsi" w:cstheme="minorHAnsi"/>
          <w:szCs w:val="22"/>
        </w:rPr>
        <w:t xml:space="preserve"> lifelong healthy behavior. </w:t>
      </w:r>
      <w:r w:rsidR="00746A0B" w:rsidRPr="005F120D">
        <w:rPr>
          <w:rFonts w:asciiTheme="minorHAnsi" w:hAnsiTheme="minorHAnsi" w:cstheme="minorHAnsi"/>
          <w:bCs/>
        </w:rPr>
        <w:t xml:space="preserve">PEDP3 intends </w:t>
      </w:r>
      <w:r w:rsidR="00072DB3" w:rsidRPr="005F120D">
        <w:rPr>
          <w:rFonts w:asciiTheme="minorHAnsi" w:hAnsiTheme="minorHAnsi" w:cstheme="minorHAnsi"/>
          <w:bCs/>
        </w:rPr>
        <w:t>to conduct</w:t>
      </w:r>
      <w:r w:rsidR="00746A0B" w:rsidRPr="005F120D">
        <w:rPr>
          <w:rFonts w:asciiTheme="minorHAnsi" w:hAnsiTheme="minorHAnsi" w:cstheme="minorHAnsi"/>
          <w:bCs/>
        </w:rPr>
        <w:t xml:space="preserve"> </w:t>
      </w:r>
      <w:r w:rsidR="002369C4" w:rsidRPr="005F120D">
        <w:rPr>
          <w:rFonts w:asciiTheme="minorHAnsi" w:hAnsiTheme="minorHAnsi" w:cstheme="minorHAnsi"/>
          <w:bCs/>
        </w:rPr>
        <w:t>a once-</w:t>
      </w:r>
      <w:r w:rsidR="00746A0B" w:rsidRPr="005F120D">
        <w:rPr>
          <w:rFonts w:asciiTheme="minorHAnsi" w:hAnsiTheme="minorHAnsi" w:cstheme="minorHAnsi"/>
          <w:bCs/>
        </w:rPr>
        <w:t>a</w:t>
      </w:r>
      <w:r w:rsidR="002369C4" w:rsidRPr="005F120D">
        <w:rPr>
          <w:rFonts w:asciiTheme="minorHAnsi" w:hAnsiTheme="minorHAnsi" w:cstheme="minorHAnsi"/>
          <w:bCs/>
        </w:rPr>
        <w:t>-</w:t>
      </w:r>
      <w:r w:rsidR="00746A0B" w:rsidRPr="005F120D">
        <w:rPr>
          <w:rFonts w:asciiTheme="minorHAnsi" w:hAnsiTheme="minorHAnsi" w:cstheme="minorHAnsi"/>
          <w:bCs/>
        </w:rPr>
        <w:t>y</w:t>
      </w:r>
      <w:r w:rsidR="000C5097" w:rsidRPr="005F120D">
        <w:rPr>
          <w:rFonts w:asciiTheme="minorHAnsi" w:hAnsiTheme="minorHAnsi" w:cstheme="minorHAnsi"/>
          <w:bCs/>
        </w:rPr>
        <w:t xml:space="preserve">ear </w:t>
      </w:r>
      <w:r w:rsidR="00746A0B" w:rsidRPr="005F120D">
        <w:rPr>
          <w:rFonts w:asciiTheme="minorHAnsi" w:hAnsiTheme="minorHAnsi" w:cstheme="minorHAnsi"/>
          <w:bCs/>
        </w:rPr>
        <w:t>health c</w:t>
      </w:r>
      <w:r w:rsidR="002065DB" w:rsidRPr="005F120D">
        <w:rPr>
          <w:rFonts w:asciiTheme="minorHAnsi" w:hAnsiTheme="minorHAnsi" w:cstheme="minorHAnsi"/>
          <w:bCs/>
        </w:rPr>
        <w:t>heck-up</w:t>
      </w:r>
      <w:r w:rsidR="002369C4" w:rsidRPr="005F120D">
        <w:rPr>
          <w:rFonts w:asciiTheme="minorHAnsi" w:hAnsiTheme="minorHAnsi" w:cstheme="minorHAnsi"/>
          <w:bCs/>
        </w:rPr>
        <w:t xml:space="preserve"> in all schools</w:t>
      </w:r>
      <w:r w:rsidR="00746A0B" w:rsidRPr="005F120D">
        <w:rPr>
          <w:rFonts w:asciiTheme="minorHAnsi" w:hAnsiTheme="minorHAnsi" w:cstheme="minorHAnsi"/>
          <w:bCs/>
        </w:rPr>
        <w:t xml:space="preserve"> and </w:t>
      </w:r>
      <w:r w:rsidR="002369C4" w:rsidRPr="005F120D">
        <w:rPr>
          <w:rFonts w:asciiTheme="minorHAnsi" w:hAnsiTheme="minorHAnsi" w:cstheme="minorHAnsi"/>
          <w:bCs/>
        </w:rPr>
        <w:t>to train teachers</w:t>
      </w:r>
      <w:r w:rsidRPr="005F120D">
        <w:rPr>
          <w:rFonts w:asciiTheme="minorHAnsi" w:hAnsiTheme="minorHAnsi" w:cstheme="minorHAnsi"/>
          <w:szCs w:val="22"/>
        </w:rPr>
        <w:t xml:space="preserve"> by local healthcare providers</w:t>
      </w:r>
      <w:r w:rsidR="000C5097" w:rsidRPr="005F120D">
        <w:rPr>
          <w:rFonts w:asciiTheme="minorHAnsi" w:hAnsiTheme="minorHAnsi" w:cstheme="minorHAnsi"/>
          <w:bCs/>
        </w:rPr>
        <w:t xml:space="preserve">.PEDP3 will also collaborate with the school feeding projects and other ministries to address malnutrition and other childcare initiatives. The total original cost as per DPP was Tk. </w:t>
      </w:r>
      <w:r w:rsidR="000C5097" w:rsidRPr="005F120D">
        <w:rPr>
          <w:rFonts w:asciiTheme="minorHAnsi" w:hAnsiTheme="minorHAnsi" w:cstheme="minorHAnsi"/>
        </w:rPr>
        <w:t xml:space="preserve">207,647.47 </w:t>
      </w:r>
      <w:r w:rsidR="00F738CE" w:rsidRPr="005F120D">
        <w:rPr>
          <w:rFonts w:asciiTheme="minorHAnsi" w:hAnsiTheme="minorHAnsi" w:cstheme="minorHAnsi"/>
          <w:bCs/>
        </w:rPr>
        <w:t>Lac</w:t>
      </w:r>
      <w:r w:rsidR="000C5097" w:rsidRPr="005F120D">
        <w:rPr>
          <w:rFonts w:asciiTheme="minorHAnsi" w:hAnsiTheme="minorHAnsi" w:cstheme="minorHAnsi"/>
          <w:bCs/>
        </w:rPr>
        <w:t xml:space="preserve"> and revised cost as per RDPP is Tk.</w:t>
      </w:r>
      <w:r w:rsidR="000C5097" w:rsidRPr="005F120D">
        <w:rPr>
          <w:rFonts w:asciiTheme="minorHAnsi" w:hAnsiTheme="minorHAnsi" w:cstheme="minorHAnsi"/>
        </w:rPr>
        <w:t xml:space="preserve"> 1,545.45 </w:t>
      </w:r>
      <w:r w:rsidR="00F738CE" w:rsidRPr="005F120D">
        <w:rPr>
          <w:rFonts w:asciiTheme="minorHAnsi" w:hAnsiTheme="minorHAnsi" w:cstheme="minorHAnsi"/>
          <w:bCs/>
        </w:rPr>
        <w:t>Lac</w:t>
      </w:r>
      <w:r w:rsidR="00966709" w:rsidRPr="005F120D">
        <w:rPr>
          <w:rFonts w:asciiTheme="minorHAnsi" w:hAnsiTheme="minorHAnsi" w:cstheme="minorHAnsi"/>
          <w:bCs/>
        </w:rPr>
        <w:t>.</w:t>
      </w:r>
    </w:p>
    <w:p w:rsidR="006F26E8" w:rsidRPr="005F120D" w:rsidRDefault="006F26E8" w:rsidP="000A5B80">
      <w:pPr>
        <w:pStyle w:val="Caption"/>
        <w:rPr>
          <w:rFonts w:cstheme="minorHAnsi"/>
        </w:rPr>
      </w:pPr>
      <w:bookmarkStart w:id="89" w:name="_Toc462837240"/>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18</w:t>
      </w:r>
      <w:r w:rsidR="002E2ED5" w:rsidRPr="005F120D">
        <w:rPr>
          <w:rFonts w:cstheme="minorHAnsi"/>
        </w:rPr>
        <w:fldChar w:fldCharType="end"/>
      </w:r>
      <w:r w:rsidRPr="005F120D">
        <w:rPr>
          <w:rFonts w:cstheme="minorHAnsi"/>
        </w:rPr>
        <w:t>: School Health and School Feeding</w:t>
      </w:r>
      <w:r w:rsidR="003B36DA" w:rsidRPr="005F120D">
        <w:rPr>
          <w:rFonts w:cstheme="minorHAnsi"/>
        </w:rPr>
        <w:t>:</w:t>
      </w:r>
      <w:r w:rsidR="00AD6287" w:rsidRPr="005F120D">
        <w:rPr>
          <w:rFonts w:cstheme="minorHAnsi"/>
        </w:rPr>
        <w:t xml:space="preserve"> Cost and Expenditure as of June 2015</w:t>
      </w:r>
      <w:bookmarkEnd w:id="89"/>
    </w:p>
    <w:p w:rsidR="006F26E8" w:rsidRPr="005F120D" w:rsidRDefault="006F26E8" w:rsidP="000A5B80">
      <w:pPr>
        <w:spacing w:before="240"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ook w:val="04A0"/>
      </w:tblPr>
      <w:tblGrid>
        <w:gridCol w:w="2177"/>
        <w:gridCol w:w="864"/>
        <w:gridCol w:w="949"/>
        <w:gridCol w:w="815"/>
        <w:gridCol w:w="817"/>
        <w:gridCol w:w="736"/>
        <w:gridCol w:w="909"/>
        <w:gridCol w:w="1197"/>
        <w:gridCol w:w="779"/>
      </w:tblGrid>
      <w:tr w:rsidR="006F26E8" w:rsidRPr="005F120D" w:rsidTr="000C2F70">
        <w:trPr>
          <w:tblHeader/>
        </w:trPr>
        <w:tc>
          <w:tcPr>
            <w:tcW w:w="1186"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34"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899"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06" w:type="pct"/>
            <w:gridSpan w:val="2"/>
            <w:shd w:val="clear" w:color="auto" w:fill="CCC0D9" w:themeFill="accent4" w:themeFillTint="6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55"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21"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0C2F70">
        <w:trPr>
          <w:tblHeader/>
        </w:trPr>
        <w:tc>
          <w:tcPr>
            <w:tcW w:w="1186" w:type="pct"/>
            <w:vMerge/>
          </w:tcPr>
          <w:p w:rsidR="006F26E8" w:rsidRPr="005F120D" w:rsidRDefault="006F26E8" w:rsidP="000A5B80">
            <w:pPr>
              <w:spacing w:after="0"/>
              <w:jc w:val="center"/>
              <w:rPr>
                <w:rFonts w:asciiTheme="minorHAnsi" w:hAnsiTheme="minorHAnsi" w:cstheme="minorHAnsi"/>
                <w:sz w:val="16"/>
                <w:szCs w:val="16"/>
              </w:rPr>
            </w:pPr>
          </w:p>
        </w:tc>
        <w:tc>
          <w:tcPr>
            <w:tcW w:w="445"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89"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49"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0"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04"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02"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55" w:type="pct"/>
            <w:vMerge/>
          </w:tcPr>
          <w:p w:rsidR="006F26E8" w:rsidRPr="005F120D" w:rsidRDefault="006F26E8" w:rsidP="000A5B80">
            <w:pPr>
              <w:spacing w:after="0"/>
              <w:jc w:val="center"/>
              <w:rPr>
                <w:rFonts w:asciiTheme="minorHAnsi" w:hAnsiTheme="minorHAnsi" w:cstheme="minorHAnsi"/>
                <w:sz w:val="16"/>
                <w:szCs w:val="16"/>
              </w:rPr>
            </w:pPr>
          </w:p>
        </w:tc>
        <w:tc>
          <w:tcPr>
            <w:tcW w:w="421" w:type="pct"/>
            <w:vMerge/>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1186"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School Health Education &amp; Check-up</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Teachers Training-19,111</w:t>
            </w:r>
          </w:p>
        </w:tc>
        <w:tc>
          <w:tcPr>
            <w:tcW w:w="45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385.11</w:t>
            </w:r>
          </w:p>
        </w:tc>
        <w:tc>
          <w:tcPr>
            <w:tcW w:w="40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175.80</w:t>
            </w:r>
          </w:p>
        </w:tc>
        <w:tc>
          <w:tcPr>
            <w:tcW w:w="65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209.31</w:t>
            </w:r>
          </w:p>
        </w:tc>
        <w:tc>
          <w:tcPr>
            <w:tcW w:w="421" w:type="pct"/>
          </w:tcPr>
          <w:p w:rsidR="006F26E8" w:rsidRPr="005F120D" w:rsidRDefault="00007FF4"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Unicef Fund</w:t>
            </w:r>
          </w:p>
        </w:tc>
      </w:tr>
      <w:tr w:rsidR="006F26E8" w:rsidRPr="005F120D" w:rsidTr="000C2F70">
        <w:tc>
          <w:tcPr>
            <w:tcW w:w="1186"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Food for students (238 days every year)</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8,223,507</w:t>
            </w:r>
          </w:p>
        </w:tc>
        <w:tc>
          <w:tcPr>
            <w:tcW w:w="48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195,719.47</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discrete project</w:t>
            </w:r>
          </w:p>
        </w:tc>
        <w:tc>
          <w:tcPr>
            <w:tcW w:w="45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0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5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2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1186"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3. First Aid Box to GPS with training</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all school</w:t>
            </w:r>
          </w:p>
        </w:tc>
        <w:tc>
          <w:tcPr>
            <w:tcW w:w="48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9,418.00</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need based</w:t>
            </w:r>
          </w:p>
        </w:tc>
        <w:tc>
          <w:tcPr>
            <w:tcW w:w="45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87.00</w:t>
            </w:r>
          </w:p>
        </w:tc>
        <w:tc>
          <w:tcPr>
            <w:tcW w:w="40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5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87.00</w:t>
            </w:r>
          </w:p>
        </w:tc>
        <w:tc>
          <w:tcPr>
            <w:tcW w:w="42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1186"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4. Block grants to UPEP for </w:t>
            </w:r>
            <w:r w:rsidR="002065DB" w:rsidRPr="005F120D">
              <w:rPr>
                <w:rFonts w:asciiTheme="minorHAnsi" w:hAnsiTheme="minorHAnsi" w:cstheme="minorHAnsi"/>
                <w:sz w:val="16"/>
                <w:szCs w:val="16"/>
              </w:rPr>
              <w:t xml:space="preserve">a </w:t>
            </w:r>
            <w:r w:rsidRPr="005F120D">
              <w:rPr>
                <w:rFonts w:asciiTheme="minorHAnsi" w:hAnsiTheme="minorHAnsi" w:cstheme="minorHAnsi"/>
                <w:sz w:val="16"/>
                <w:szCs w:val="16"/>
              </w:rPr>
              <w:t>medical team once a year and training of teachers</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2,510</w:t>
            </w:r>
          </w:p>
        </w:tc>
        <w:tc>
          <w:tcPr>
            <w:tcW w:w="48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2,510.00</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63,320 teachers</w:t>
            </w:r>
          </w:p>
        </w:tc>
        <w:tc>
          <w:tcPr>
            <w:tcW w:w="45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1,073.34</w:t>
            </w:r>
          </w:p>
        </w:tc>
        <w:tc>
          <w:tcPr>
            <w:tcW w:w="40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1,044.57</w:t>
            </w:r>
          </w:p>
        </w:tc>
        <w:tc>
          <w:tcPr>
            <w:tcW w:w="65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28.77</w:t>
            </w:r>
          </w:p>
        </w:tc>
        <w:tc>
          <w:tcPr>
            <w:tcW w:w="42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1186"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45"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c>
          <w:tcPr>
            <w:tcW w:w="489"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207,647.47</w:t>
            </w:r>
          </w:p>
        </w:tc>
        <w:tc>
          <w:tcPr>
            <w:tcW w:w="449"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c>
          <w:tcPr>
            <w:tcW w:w="450"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1,545.45</w:t>
            </w:r>
          </w:p>
        </w:tc>
        <w:tc>
          <w:tcPr>
            <w:tcW w:w="404"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c>
          <w:tcPr>
            <w:tcW w:w="502" w:type="pct"/>
            <w:shd w:val="clear" w:color="auto" w:fill="E5DFEC" w:themeFill="accent4" w:themeFillTint="33"/>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1,220.37 (79%)</w:t>
            </w:r>
          </w:p>
        </w:tc>
        <w:tc>
          <w:tcPr>
            <w:tcW w:w="655"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325.08</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(21%)</w:t>
            </w:r>
          </w:p>
        </w:tc>
        <w:tc>
          <w:tcPr>
            <w:tcW w:w="421" w:type="pct"/>
            <w:shd w:val="clear" w:color="auto" w:fill="E5DFEC" w:themeFill="accent4" w:themeFillTint="33"/>
          </w:tcPr>
          <w:p w:rsidR="006F26E8" w:rsidRPr="005F120D" w:rsidRDefault="006F26E8" w:rsidP="000A5B80">
            <w:pPr>
              <w:spacing w:after="0"/>
              <w:jc w:val="center"/>
              <w:rPr>
                <w:rFonts w:asciiTheme="minorHAnsi" w:hAnsiTheme="minorHAnsi" w:cstheme="minorHAnsi"/>
                <w:sz w:val="16"/>
                <w:szCs w:val="16"/>
              </w:rPr>
            </w:pPr>
          </w:p>
        </w:tc>
      </w:tr>
    </w:tbl>
    <w:p w:rsidR="00981CA3" w:rsidRPr="005F120D" w:rsidRDefault="006F26E8" w:rsidP="001C6C07">
      <w:pPr>
        <w:pStyle w:val="ListParagraph"/>
        <w:numPr>
          <w:ilvl w:val="0"/>
          <w:numId w:val="88"/>
        </w:numPr>
        <w:spacing w:before="120" w:after="120"/>
        <w:rPr>
          <w:rFonts w:asciiTheme="minorHAnsi" w:hAnsiTheme="minorHAnsi" w:cstheme="minorHAnsi"/>
          <w:bCs/>
        </w:rPr>
      </w:pPr>
      <w:r w:rsidRPr="005F120D">
        <w:rPr>
          <w:rFonts w:asciiTheme="minorHAnsi" w:hAnsiTheme="minorHAnsi" w:cstheme="minorHAnsi"/>
          <w:b/>
          <w:i/>
          <w:iCs/>
          <w:color w:val="00B050"/>
        </w:rPr>
        <w:t>Sub-Component 2.2.3 - School Environment Improvement:</w:t>
      </w:r>
    </w:p>
    <w:p w:rsidR="006F26E8" w:rsidRPr="005F120D" w:rsidRDefault="00FE543B" w:rsidP="001C6C07">
      <w:pPr>
        <w:spacing w:before="120" w:after="120"/>
        <w:jc w:val="both"/>
        <w:rPr>
          <w:rFonts w:asciiTheme="minorHAnsi" w:hAnsiTheme="minorHAnsi" w:cstheme="minorHAnsi"/>
          <w:b/>
          <w:iCs/>
        </w:rPr>
      </w:pPr>
      <w:r w:rsidRPr="005F120D">
        <w:rPr>
          <w:rFonts w:asciiTheme="minorHAnsi" w:hAnsiTheme="minorHAnsi" w:cstheme="minorHAnsi"/>
          <w:szCs w:val="22"/>
        </w:rPr>
        <w:t>The creatio</w:t>
      </w:r>
      <w:r w:rsidR="00C14FF6" w:rsidRPr="005F120D">
        <w:rPr>
          <w:rFonts w:asciiTheme="minorHAnsi" w:hAnsiTheme="minorHAnsi" w:cstheme="minorHAnsi"/>
          <w:szCs w:val="22"/>
        </w:rPr>
        <w:t>n of</w:t>
      </w:r>
      <w:r w:rsidR="00061643" w:rsidRPr="005F120D">
        <w:rPr>
          <w:rFonts w:asciiTheme="minorHAnsi" w:hAnsiTheme="minorHAnsi" w:cstheme="minorHAnsi"/>
          <w:szCs w:val="22"/>
        </w:rPr>
        <w:t xml:space="preserve"> a child-friendly environment requires i</w:t>
      </w:r>
      <w:r w:rsidR="00C14FF6" w:rsidRPr="005F120D">
        <w:rPr>
          <w:rFonts w:asciiTheme="minorHAnsi" w:hAnsiTheme="minorHAnsi" w:cstheme="minorHAnsi"/>
          <w:szCs w:val="22"/>
        </w:rPr>
        <w:t>mproving the physical condition</w:t>
      </w:r>
      <w:r w:rsidR="00061643" w:rsidRPr="005F120D">
        <w:rPr>
          <w:rFonts w:asciiTheme="minorHAnsi" w:hAnsiTheme="minorHAnsi" w:cstheme="minorHAnsi"/>
          <w:szCs w:val="22"/>
        </w:rPr>
        <w:t xml:space="preserve"> of schools</w:t>
      </w:r>
      <w:r w:rsidR="00C14FF6" w:rsidRPr="005F120D">
        <w:rPr>
          <w:rFonts w:asciiTheme="minorHAnsi" w:hAnsiTheme="minorHAnsi" w:cstheme="minorHAnsi"/>
          <w:szCs w:val="22"/>
        </w:rPr>
        <w:t xml:space="preserve">, </w:t>
      </w:r>
      <w:r w:rsidR="00C14FF6" w:rsidRPr="005F120D">
        <w:rPr>
          <w:rFonts w:asciiTheme="minorHAnsi" w:hAnsiTheme="minorHAnsi" w:cstheme="minorHAnsi"/>
          <w:iCs/>
        </w:rPr>
        <w:t>such as</w:t>
      </w:r>
      <w:r w:rsidR="002F7BFC" w:rsidRPr="005F120D">
        <w:rPr>
          <w:rFonts w:asciiTheme="minorHAnsi" w:hAnsiTheme="minorHAnsi" w:cstheme="minorHAnsi"/>
          <w:iCs/>
        </w:rPr>
        <w:t xml:space="preserve"> the</w:t>
      </w:r>
      <w:r w:rsidR="00061643" w:rsidRPr="005F120D">
        <w:rPr>
          <w:rFonts w:asciiTheme="minorHAnsi" w:hAnsiTheme="minorHAnsi" w:cstheme="minorHAnsi"/>
          <w:iCs/>
        </w:rPr>
        <w:t xml:space="preserve"> p</w:t>
      </w:r>
      <w:r w:rsidR="002065DB" w:rsidRPr="005F120D">
        <w:rPr>
          <w:rFonts w:asciiTheme="minorHAnsi" w:hAnsiTheme="minorHAnsi" w:cstheme="minorHAnsi"/>
          <w:bCs/>
        </w:rPr>
        <w:t xml:space="preserve">rovision </w:t>
      </w:r>
      <w:r w:rsidR="002F7BFC" w:rsidRPr="005F120D">
        <w:rPr>
          <w:rFonts w:asciiTheme="minorHAnsi" w:hAnsiTheme="minorHAnsi" w:cstheme="minorHAnsi"/>
          <w:bCs/>
        </w:rPr>
        <w:t>of safe drinking w</w:t>
      </w:r>
      <w:r w:rsidR="000C5097" w:rsidRPr="005F120D">
        <w:rPr>
          <w:rFonts w:asciiTheme="minorHAnsi" w:hAnsiTheme="minorHAnsi" w:cstheme="minorHAnsi"/>
          <w:bCs/>
        </w:rPr>
        <w:t xml:space="preserve">ater, </w:t>
      </w:r>
      <w:r w:rsidR="002F7BFC" w:rsidRPr="005F120D">
        <w:rPr>
          <w:rFonts w:asciiTheme="minorHAnsi" w:hAnsiTheme="minorHAnsi" w:cstheme="minorHAnsi"/>
          <w:bCs/>
        </w:rPr>
        <w:t>sufficient t</w:t>
      </w:r>
      <w:r w:rsidR="000C5097" w:rsidRPr="005F120D">
        <w:rPr>
          <w:rFonts w:asciiTheme="minorHAnsi" w:hAnsiTheme="minorHAnsi" w:cstheme="minorHAnsi"/>
          <w:bCs/>
        </w:rPr>
        <w:t>oilets,</w:t>
      </w:r>
      <w:r w:rsidR="002F7BFC" w:rsidRPr="005F120D">
        <w:rPr>
          <w:rFonts w:asciiTheme="minorHAnsi" w:hAnsiTheme="minorHAnsi" w:cstheme="minorHAnsi"/>
          <w:bCs/>
        </w:rPr>
        <w:t xml:space="preserve"> wash blocks, suitable c</w:t>
      </w:r>
      <w:r w:rsidR="00C94B4C" w:rsidRPr="005F120D">
        <w:rPr>
          <w:rFonts w:asciiTheme="minorHAnsi" w:hAnsiTheme="minorHAnsi" w:cstheme="minorHAnsi"/>
          <w:bCs/>
        </w:rPr>
        <w:t>l</w:t>
      </w:r>
      <w:r w:rsidR="002F7BFC" w:rsidRPr="005F120D">
        <w:rPr>
          <w:rFonts w:asciiTheme="minorHAnsi" w:hAnsiTheme="minorHAnsi" w:cstheme="minorHAnsi"/>
          <w:bCs/>
        </w:rPr>
        <w:t>assroom furniture and boundary walls to ensure a s</w:t>
      </w:r>
      <w:r w:rsidR="00C94B4C" w:rsidRPr="005F120D">
        <w:rPr>
          <w:rFonts w:asciiTheme="minorHAnsi" w:hAnsiTheme="minorHAnsi" w:cstheme="minorHAnsi"/>
          <w:bCs/>
        </w:rPr>
        <w:t xml:space="preserve">afe and </w:t>
      </w:r>
      <w:r w:rsidR="002F7BFC" w:rsidRPr="005F120D">
        <w:rPr>
          <w:rFonts w:asciiTheme="minorHAnsi" w:hAnsiTheme="minorHAnsi" w:cstheme="minorHAnsi"/>
          <w:bCs/>
        </w:rPr>
        <w:t>p</w:t>
      </w:r>
      <w:r w:rsidR="00C94B4C" w:rsidRPr="005F120D">
        <w:rPr>
          <w:rFonts w:asciiTheme="minorHAnsi" w:hAnsiTheme="minorHAnsi" w:cstheme="minorHAnsi"/>
          <w:bCs/>
        </w:rPr>
        <w:t xml:space="preserve">rotective </w:t>
      </w:r>
      <w:r w:rsidR="002F7BFC" w:rsidRPr="005F120D">
        <w:rPr>
          <w:rFonts w:asciiTheme="minorHAnsi" w:hAnsiTheme="minorHAnsi" w:cstheme="minorHAnsi"/>
          <w:bCs/>
        </w:rPr>
        <w:t>l</w:t>
      </w:r>
      <w:r w:rsidR="000C5097" w:rsidRPr="005F120D">
        <w:rPr>
          <w:rFonts w:asciiTheme="minorHAnsi" w:hAnsiTheme="minorHAnsi" w:cstheme="minorHAnsi"/>
          <w:bCs/>
        </w:rPr>
        <w:t xml:space="preserve">earning </w:t>
      </w:r>
      <w:r w:rsidR="002F7BFC" w:rsidRPr="005F120D">
        <w:rPr>
          <w:rFonts w:asciiTheme="minorHAnsi" w:hAnsiTheme="minorHAnsi" w:cstheme="minorHAnsi"/>
          <w:bCs/>
        </w:rPr>
        <w:t>e</w:t>
      </w:r>
      <w:r w:rsidR="000C5097" w:rsidRPr="005F120D">
        <w:rPr>
          <w:rFonts w:asciiTheme="minorHAnsi" w:hAnsiTheme="minorHAnsi" w:cstheme="minorHAnsi"/>
          <w:bCs/>
        </w:rPr>
        <w:t xml:space="preserve">nvironment. The total original cost as per DPP was Tk. </w:t>
      </w:r>
      <w:r w:rsidR="000C5097" w:rsidRPr="005F120D">
        <w:rPr>
          <w:rFonts w:asciiTheme="minorHAnsi" w:hAnsiTheme="minorHAnsi" w:cstheme="minorHAnsi"/>
        </w:rPr>
        <w:t xml:space="preserve">120,984.05 </w:t>
      </w:r>
      <w:r w:rsidR="00F738CE" w:rsidRPr="005F120D">
        <w:rPr>
          <w:rFonts w:asciiTheme="minorHAnsi" w:hAnsiTheme="minorHAnsi" w:cstheme="minorHAnsi"/>
          <w:bCs/>
        </w:rPr>
        <w:t>Lac</w:t>
      </w:r>
      <w:r w:rsidR="000C5097" w:rsidRPr="005F120D">
        <w:rPr>
          <w:rFonts w:asciiTheme="minorHAnsi" w:hAnsiTheme="minorHAnsi" w:cstheme="minorHAnsi"/>
          <w:bCs/>
        </w:rPr>
        <w:t xml:space="preserve"> and revised cost as per RDPP is Tk.</w:t>
      </w:r>
      <w:r w:rsidR="000C5097" w:rsidRPr="005F120D">
        <w:rPr>
          <w:rFonts w:asciiTheme="minorHAnsi" w:hAnsiTheme="minorHAnsi" w:cstheme="minorHAnsi"/>
        </w:rPr>
        <w:t xml:space="preserve"> 187,783.34 </w:t>
      </w:r>
      <w:r w:rsidR="00F738CE" w:rsidRPr="005F120D">
        <w:rPr>
          <w:rFonts w:asciiTheme="minorHAnsi" w:hAnsiTheme="minorHAnsi" w:cstheme="minorHAnsi"/>
          <w:bCs/>
        </w:rPr>
        <w:t>Lac</w:t>
      </w:r>
      <w:r w:rsidR="000C5097" w:rsidRPr="005F120D">
        <w:rPr>
          <w:rFonts w:asciiTheme="minorHAnsi" w:hAnsiTheme="minorHAnsi" w:cstheme="minorHAnsi"/>
          <w:bCs/>
        </w:rPr>
        <w:t>.</w:t>
      </w:r>
    </w:p>
    <w:p w:rsidR="006F26E8" w:rsidRPr="005F120D" w:rsidRDefault="006F26E8" w:rsidP="000A5B80">
      <w:pPr>
        <w:pStyle w:val="Caption"/>
        <w:rPr>
          <w:rFonts w:cstheme="minorHAnsi"/>
        </w:rPr>
      </w:pPr>
      <w:bookmarkStart w:id="90" w:name="_Toc462837241"/>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19</w:t>
      </w:r>
      <w:r w:rsidR="002E2ED5" w:rsidRPr="005F120D">
        <w:rPr>
          <w:rFonts w:cstheme="minorHAnsi"/>
        </w:rPr>
        <w:fldChar w:fldCharType="end"/>
      </w:r>
      <w:r w:rsidRPr="005F120D">
        <w:rPr>
          <w:rFonts w:cstheme="minorHAnsi"/>
        </w:rPr>
        <w:t xml:space="preserve">: </w:t>
      </w:r>
      <w:r w:rsidRPr="005F120D">
        <w:rPr>
          <w:rFonts w:cstheme="minorHAnsi"/>
          <w:i/>
          <w:iCs/>
        </w:rPr>
        <w:t>School Environment Improvement</w:t>
      </w:r>
      <w:r w:rsidR="00AD6287" w:rsidRPr="005F120D">
        <w:rPr>
          <w:rFonts w:cstheme="minorHAnsi"/>
        </w:rPr>
        <w:t xml:space="preserve"> Cost and Expenditure as of June 2015</w:t>
      </w:r>
      <w:bookmarkEnd w:id="90"/>
    </w:p>
    <w:p w:rsidR="006F26E8" w:rsidRPr="005F120D" w:rsidRDefault="006F26E8" w:rsidP="000A5B80">
      <w:pPr>
        <w:spacing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ook w:val="04A0"/>
      </w:tblPr>
      <w:tblGrid>
        <w:gridCol w:w="1948"/>
        <w:gridCol w:w="992"/>
        <w:gridCol w:w="949"/>
        <w:gridCol w:w="886"/>
        <w:gridCol w:w="949"/>
        <w:gridCol w:w="801"/>
        <w:gridCol w:w="886"/>
        <w:gridCol w:w="1047"/>
        <w:gridCol w:w="785"/>
      </w:tblGrid>
      <w:tr w:rsidR="001C6C07" w:rsidRPr="005F120D" w:rsidTr="001C6C07">
        <w:trPr>
          <w:tblHeader/>
        </w:trPr>
        <w:tc>
          <w:tcPr>
            <w:tcW w:w="1063"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1066"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971"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30" w:type="pct"/>
            <w:gridSpan w:val="2"/>
            <w:shd w:val="clear" w:color="auto" w:fill="CCC0D9" w:themeFill="accent4" w:themeFillTint="6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575"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after June 2015/ as % of RDPP cost</w:t>
            </w:r>
          </w:p>
        </w:tc>
        <w:tc>
          <w:tcPr>
            <w:tcW w:w="395"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1C6C07" w:rsidRPr="005F120D" w:rsidTr="001C6C07">
        <w:trPr>
          <w:tblHeader/>
        </w:trPr>
        <w:tc>
          <w:tcPr>
            <w:tcW w:w="1063" w:type="pct"/>
            <w:vMerge/>
          </w:tcPr>
          <w:p w:rsidR="006F26E8" w:rsidRPr="005F120D" w:rsidRDefault="006F26E8" w:rsidP="000A5B80">
            <w:pPr>
              <w:spacing w:after="0"/>
              <w:jc w:val="center"/>
              <w:rPr>
                <w:rFonts w:asciiTheme="minorHAnsi" w:hAnsiTheme="minorHAnsi" w:cstheme="minorHAnsi"/>
                <w:sz w:val="16"/>
                <w:szCs w:val="16"/>
              </w:rPr>
            </w:pPr>
          </w:p>
        </w:tc>
        <w:tc>
          <w:tcPr>
            <w:tcW w:w="546"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20"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90"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81"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42"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88"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75" w:type="pct"/>
            <w:vMerge/>
          </w:tcPr>
          <w:p w:rsidR="006F26E8" w:rsidRPr="005F120D" w:rsidRDefault="006F26E8" w:rsidP="000A5B80">
            <w:pPr>
              <w:spacing w:after="0"/>
              <w:jc w:val="center"/>
              <w:rPr>
                <w:rFonts w:asciiTheme="minorHAnsi" w:hAnsiTheme="minorHAnsi" w:cstheme="minorHAnsi"/>
                <w:sz w:val="16"/>
                <w:szCs w:val="16"/>
              </w:rPr>
            </w:pPr>
          </w:p>
        </w:tc>
        <w:tc>
          <w:tcPr>
            <w:tcW w:w="395" w:type="pct"/>
            <w:vMerge/>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rPr>
          <w:trHeight w:val="51"/>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Toilet</w:t>
            </w:r>
            <w:r w:rsidR="00661131" w:rsidRPr="005F120D">
              <w:rPr>
                <w:rFonts w:asciiTheme="minorHAnsi" w:hAnsiTheme="minorHAnsi" w:cstheme="minorHAnsi"/>
                <w:sz w:val="16"/>
                <w:szCs w:val="16"/>
              </w:rPr>
              <w:t xml:space="preserve">s </w:t>
            </w:r>
            <w:r w:rsidRPr="005F120D">
              <w:rPr>
                <w:rFonts w:asciiTheme="minorHAnsi" w:hAnsiTheme="minorHAnsi" w:cstheme="minorHAnsi"/>
                <w:sz w:val="16"/>
                <w:szCs w:val="16"/>
              </w:rPr>
              <w:t xml:space="preserve"> for male teachers and boys</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21,955.00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16,466.25</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5500+5000 WASH Block</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62,000.00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3,390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22,250.00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39,750.00</w:t>
            </w:r>
          </w:p>
        </w:tc>
        <w:tc>
          <w:tcPr>
            <w:tcW w:w="39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WASH block</w:t>
            </w:r>
          </w:p>
        </w:tc>
      </w:tr>
      <w:tr w:rsidR="001C6C07" w:rsidRPr="005F120D" w:rsidTr="001C6C07">
        <w:trPr>
          <w:trHeight w:val="51"/>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Urinals for male teachers and boys</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53,750.00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5,375.00</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39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Included above</w:t>
            </w:r>
          </w:p>
        </w:tc>
      </w:tr>
      <w:tr w:rsidR="001C6C07" w:rsidRPr="005F120D" w:rsidTr="001C6C07">
        <w:trPr>
          <w:trHeight w:val="51"/>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3. Toilet</w:t>
            </w:r>
            <w:r w:rsidR="00661131" w:rsidRPr="005F120D">
              <w:rPr>
                <w:rFonts w:asciiTheme="minorHAnsi" w:hAnsiTheme="minorHAnsi" w:cstheme="minorHAnsi"/>
                <w:sz w:val="16"/>
                <w:szCs w:val="16"/>
              </w:rPr>
              <w:t>s</w:t>
            </w:r>
            <w:r w:rsidRPr="005F120D">
              <w:rPr>
                <w:rFonts w:asciiTheme="minorHAnsi" w:hAnsiTheme="minorHAnsi" w:cstheme="minorHAnsi"/>
                <w:sz w:val="16"/>
                <w:szCs w:val="16"/>
              </w:rPr>
              <w:t xml:space="preserve"> for female teachers and girls</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53,250.00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39,937.50</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12950 WASH Block</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43,000.00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4,051</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27,750.00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15,250.00</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rPr>
          <w:trHeight w:val="51"/>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4. Sinking of Deep Tube Well</w:t>
            </w:r>
            <w:r w:rsidR="00661131" w:rsidRPr="005F120D">
              <w:rPr>
                <w:rFonts w:asciiTheme="minorHAnsi" w:hAnsiTheme="minorHAnsi" w:cstheme="minorHAnsi"/>
                <w:sz w:val="16"/>
                <w:szCs w:val="16"/>
              </w:rPr>
              <w:t>s</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15,720.00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23,580.00</w:t>
            </w:r>
          </w:p>
        </w:tc>
        <w:tc>
          <w:tcPr>
            <w:tcW w:w="490" w:type="pct"/>
          </w:tcPr>
          <w:p w:rsidR="006F26E8" w:rsidRPr="005F120D" w:rsidRDefault="001C6C07"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 xml:space="preserve">29800 Deep </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40,042.50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6,500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15,692.00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24,350.50</w:t>
            </w:r>
          </w:p>
        </w:tc>
        <w:tc>
          <w:tcPr>
            <w:tcW w:w="39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tubewell</w:t>
            </w:r>
          </w:p>
        </w:tc>
      </w:tr>
      <w:tr w:rsidR="001C6C07" w:rsidRPr="005F120D" w:rsidTr="001C6C07">
        <w:trPr>
          <w:trHeight w:val="51"/>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5. Sinking of Shallow Tube Well</w:t>
            </w:r>
            <w:r w:rsidR="00661131" w:rsidRPr="005F120D">
              <w:rPr>
                <w:rFonts w:asciiTheme="minorHAnsi" w:hAnsiTheme="minorHAnsi" w:cstheme="minorHAnsi"/>
                <w:sz w:val="16"/>
                <w:szCs w:val="16"/>
              </w:rPr>
              <w:t>s</w:t>
            </w:r>
          </w:p>
        </w:tc>
        <w:tc>
          <w:tcPr>
            <w:tcW w:w="546" w:type="pct"/>
          </w:tcPr>
          <w:p w:rsidR="006F26E8" w:rsidRPr="005F120D" w:rsidRDefault="006F26E8" w:rsidP="000A5B80">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15,720.00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9,432.00</w:t>
            </w:r>
          </w:p>
        </w:tc>
        <w:tc>
          <w:tcPr>
            <w:tcW w:w="490" w:type="pct"/>
          </w:tcPr>
          <w:p w:rsidR="006F26E8" w:rsidRPr="005F120D" w:rsidRDefault="006F26E8" w:rsidP="001C6C07">
            <w:pPr>
              <w:spacing w:after="0"/>
              <w:jc w:val="center"/>
              <w:rPr>
                <w:rFonts w:asciiTheme="minorHAnsi" w:hAnsiTheme="minorHAnsi" w:cstheme="minorHAnsi"/>
                <w:sz w:val="14"/>
                <w:szCs w:val="14"/>
              </w:rPr>
            </w:pPr>
            <w:r w:rsidRPr="005F120D">
              <w:rPr>
                <w:rFonts w:asciiTheme="minorHAnsi" w:hAnsiTheme="minorHAnsi" w:cstheme="minorHAnsi"/>
                <w:sz w:val="14"/>
                <w:szCs w:val="14"/>
              </w:rPr>
              <w:t xml:space="preserve">5000 Shallow </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2,738.00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2,738.00</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rPr>
          <w:trHeight w:val="51"/>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6. Sinking of Tara Pump</w:t>
            </w:r>
            <w:r w:rsidR="00661131" w:rsidRPr="005F120D">
              <w:rPr>
                <w:rFonts w:asciiTheme="minorHAnsi" w:hAnsiTheme="minorHAnsi" w:cstheme="minorHAnsi"/>
                <w:sz w:val="16"/>
                <w:szCs w:val="16"/>
              </w:rPr>
              <w:t>s</w:t>
            </w:r>
          </w:p>
        </w:tc>
        <w:tc>
          <w:tcPr>
            <w:tcW w:w="546" w:type="pct"/>
          </w:tcPr>
          <w:p w:rsidR="006F26E8" w:rsidRPr="005F120D" w:rsidRDefault="006F26E8" w:rsidP="000A5B80">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7,860.00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5,895.00</w:t>
            </w:r>
          </w:p>
        </w:tc>
        <w:tc>
          <w:tcPr>
            <w:tcW w:w="490" w:type="pct"/>
          </w:tcPr>
          <w:p w:rsidR="006F26E8" w:rsidRPr="005F120D" w:rsidRDefault="001C6C07"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2500 Tara</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1,875.00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1,875.00</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rPr>
          <w:trHeight w:val="51"/>
        </w:trPr>
        <w:tc>
          <w:tcPr>
            <w:tcW w:w="1063" w:type="pct"/>
          </w:tcPr>
          <w:p w:rsidR="006F26E8" w:rsidRPr="005F120D" w:rsidRDefault="006F26E8" w:rsidP="00661131">
            <w:pPr>
              <w:spacing w:after="0"/>
              <w:rPr>
                <w:rFonts w:asciiTheme="minorHAnsi" w:hAnsiTheme="minorHAnsi" w:cstheme="minorHAnsi"/>
                <w:sz w:val="16"/>
                <w:szCs w:val="16"/>
              </w:rPr>
            </w:pPr>
            <w:r w:rsidRPr="005F120D">
              <w:rPr>
                <w:rFonts w:asciiTheme="minorHAnsi" w:hAnsiTheme="minorHAnsi" w:cstheme="minorHAnsi"/>
                <w:sz w:val="16"/>
                <w:szCs w:val="16"/>
              </w:rPr>
              <w:t xml:space="preserve">7. Sinking of tube well </w:t>
            </w:r>
            <w:r w:rsidR="00661131" w:rsidRPr="005F120D">
              <w:rPr>
                <w:rFonts w:asciiTheme="minorHAnsi" w:hAnsiTheme="minorHAnsi" w:cstheme="minorHAnsi"/>
                <w:sz w:val="16"/>
                <w:szCs w:val="16"/>
              </w:rPr>
              <w:t xml:space="preserve">– and </w:t>
            </w:r>
            <w:r w:rsidRPr="005F120D">
              <w:rPr>
                <w:rFonts w:asciiTheme="minorHAnsi" w:hAnsiTheme="minorHAnsi" w:cstheme="minorHAnsi"/>
                <w:sz w:val="16"/>
                <w:szCs w:val="16"/>
              </w:rPr>
              <w:t>other options</w:t>
            </w:r>
          </w:p>
        </w:tc>
        <w:tc>
          <w:tcPr>
            <w:tcW w:w="546" w:type="pct"/>
          </w:tcPr>
          <w:p w:rsidR="006F26E8" w:rsidRPr="005F120D" w:rsidRDefault="006F26E8" w:rsidP="000A5B80">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2000 Other sources</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2,734.50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2,734.50</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rPr>
          <w:trHeight w:val="51"/>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8. Test for Arsenic Contamination</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Block</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230.00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230.00</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rPr>
          <w:trHeight w:val="51"/>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9. Professional fee, DPHE</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2 % of works</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2,842.00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2 % of</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1,146.00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1,696.00</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rPr>
          <w:trHeight w:val="51"/>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10. Furniture for school</w:t>
            </w:r>
            <w:r w:rsidR="00661131" w:rsidRPr="005F120D">
              <w:rPr>
                <w:rFonts w:asciiTheme="minorHAnsi" w:hAnsiTheme="minorHAnsi" w:cstheme="minorHAnsi"/>
                <w:sz w:val="16"/>
                <w:szCs w:val="16"/>
              </w:rPr>
              <w:t>s</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15,000.00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15,000.00</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Need based</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20,000.00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12,500 pair</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2,240.00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17,760.00</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rPr>
          <w:trHeight w:val="51"/>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11. Repair of toilet</w:t>
            </w:r>
            <w:r w:rsidR="00661131" w:rsidRPr="005F120D">
              <w:rPr>
                <w:rFonts w:asciiTheme="minorHAnsi" w:hAnsiTheme="minorHAnsi" w:cstheme="minorHAnsi"/>
                <w:sz w:val="16"/>
                <w:szCs w:val="16"/>
              </w:rPr>
              <w:t>s</w:t>
            </w:r>
            <w:r w:rsidRPr="005F120D">
              <w:rPr>
                <w:rFonts w:asciiTheme="minorHAnsi" w:hAnsiTheme="minorHAnsi" w:cstheme="minorHAnsi"/>
                <w:sz w:val="16"/>
                <w:szCs w:val="16"/>
              </w:rPr>
              <w:t xml:space="preserve"> for male teachers</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2,415.00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724.50</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12,585.00</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3,774.81</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1,514.95</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2,259.86</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12. Repair of toilet</w:t>
            </w:r>
            <w:r w:rsidR="00661131" w:rsidRPr="005F120D">
              <w:rPr>
                <w:rFonts w:asciiTheme="minorHAnsi" w:hAnsiTheme="minorHAnsi" w:cstheme="minorHAnsi"/>
                <w:sz w:val="16"/>
                <w:szCs w:val="16"/>
              </w:rPr>
              <w:t>s</w:t>
            </w:r>
            <w:r w:rsidRPr="005F120D">
              <w:rPr>
                <w:rFonts w:asciiTheme="minorHAnsi" w:hAnsiTheme="minorHAnsi" w:cstheme="minorHAnsi"/>
                <w:sz w:val="16"/>
                <w:szCs w:val="16"/>
              </w:rPr>
              <w:t xml:space="preserve"> for boys</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7,718.00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2,315.40</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3,360.00</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1,008.08</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1,008.08</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c>
          <w:tcPr>
            <w:tcW w:w="1063" w:type="pct"/>
          </w:tcPr>
          <w:p w:rsidR="006F26E8" w:rsidRPr="005F120D" w:rsidRDefault="006F26E8" w:rsidP="00661131">
            <w:pPr>
              <w:spacing w:after="0"/>
              <w:rPr>
                <w:rFonts w:asciiTheme="minorHAnsi" w:hAnsiTheme="minorHAnsi" w:cstheme="minorHAnsi"/>
                <w:sz w:val="16"/>
                <w:szCs w:val="16"/>
              </w:rPr>
            </w:pPr>
            <w:r w:rsidRPr="005F120D">
              <w:rPr>
                <w:rFonts w:asciiTheme="minorHAnsi" w:hAnsiTheme="minorHAnsi" w:cstheme="minorHAnsi"/>
                <w:sz w:val="16"/>
                <w:szCs w:val="16"/>
              </w:rPr>
              <w:t>13. Repair of toile</w:t>
            </w:r>
            <w:r w:rsidR="00661131" w:rsidRPr="005F120D">
              <w:rPr>
                <w:rFonts w:asciiTheme="minorHAnsi" w:hAnsiTheme="minorHAnsi" w:cstheme="minorHAnsi"/>
                <w:sz w:val="16"/>
                <w:szCs w:val="16"/>
              </w:rPr>
              <w:t>ts</w:t>
            </w:r>
            <w:r w:rsidRPr="005F120D">
              <w:rPr>
                <w:rFonts w:asciiTheme="minorHAnsi" w:hAnsiTheme="minorHAnsi" w:cstheme="minorHAnsi"/>
                <w:sz w:val="16"/>
                <w:szCs w:val="16"/>
              </w:rPr>
              <w:t xml:space="preserve"> for girls</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7,528.00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2,258.40</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3,333.00</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1,000.00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1,000.00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rPr>
          <w:trHeight w:val="282"/>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14. Boundary wall</w:t>
            </w:r>
            <w:r w:rsidR="00661131" w:rsidRPr="005F120D">
              <w:rPr>
                <w:rFonts w:asciiTheme="minorHAnsi" w:hAnsiTheme="minorHAnsi" w:cstheme="minorHAnsi"/>
                <w:sz w:val="16"/>
                <w:szCs w:val="16"/>
              </w:rPr>
              <w:t>s</w:t>
            </w:r>
            <w:r w:rsidRPr="005F120D">
              <w:rPr>
                <w:rFonts w:asciiTheme="minorHAnsi" w:hAnsiTheme="minorHAnsi" w:cstheme="minorHAnsi"/>
                <w:sz w:val="16"/>
                <w:szCs w:val="16"/>
              </w:rPr>
              <w:t>/ green/ play ground</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Need based</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4,640.00</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Block fund</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190.00</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4,450.00</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rPr>
          <w:trHeight w:val="282"/>
        </w:trPr>
        <w:tc>
          <w:tcPr>
            <w:tcW w:w="1063"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15. Improvement of classroom en</w:t>
            </w:r>
            <w:r w:rsidR="000547E6" w:rsidRPr="005F120D">
              <w:rPr>
                <w:rFonts w:asciiTheme="minorHAnsi" w:hAnsiTheme="minorHAnsi" w:cstheme="minorHAnsi"/>
                <w:sz w:val="16"/>
                <w:szCs w:val="16"/>
              </w:rPr>
              <w:t>vironment</w:t>
            </w:r>
          </w:p>
        </w:tc>
        <w:tc>
          <w:tcPr>
            <w:tcW w:w="54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Unicef Fund</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Block</w:t>
            </w:r>
          </w:p>
        </w:tc>
        <w:tc>
          <w:tcPr>
            <w:tcW w:w="48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1,898.45</w:t>
            </w:r>
          </w:p>
        </w:tc>
        <w:tc>
          <w:tcPr>
            <w:tcW w:w="44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944.61</w:t>
            </w:r>
          </w:p>
        </w:tc>
        <w:tc>
          <w:tcPr>
            <w:tcW w:w="57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953.84</w:t>
            </w:r>
          </w:p>
        </w:tc>
        <w:tc>
          <w:tcPr>
            <w:tcW w:w="395" w:type="pct"/>
          </w:tcPr>
          <w:p w:rsidR="006F26E8" w:rsidRPr="005F120D" w:rsidRDefault="006F26E8" w:rsidP="000A5B80">
            <w:pPr>
              <w:spacing w:after="0"/>
              <w:jc w:val="center"/>
              <w:rPr>
                <w:rFonts w:asciiTheme="minorHAnsi" w:hAnsiTheme="minorHAnsi" w:cstheme="minorHAnsi"/>
                <w:sz w:val="16"/>
                <w:szCs w:val="16"/>
              </w:rPr>
            </w:pPr>
          </w:p>
        </w:tc>
      </w:tr>
      <w:tr w:rsidR="001C6C07" w:rsidRPr="005F120D" w:rsidTr="001C6C07">
        <w:tc>
          <w:tcPr>
            <w:tcW w:w="1063"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546"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c>
          <w:tcPr>
            <w:tcW w:w="520"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120,984.05</w:t>
            </w:r>
          </w:p>
        </w:tc>
        <w:tc>
          <w:tcPr>
            <w:tcW w:w="490"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c>
          <w:tcPr>
            <w:tcW w:w="481"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187,783.34</w:t>
            </w:r>
          </w:p>
        </w:tc>
        <w:tc>
          <w:tcPr>
            <w:tcW w:w="442"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c>
          <w:tcPr>
            <w:tcW w:w="488"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73,735.64</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(39.3%)</w:t>
            </w:r>
          </w:p>
        </w:tc>
        <w:tc>
          <w:tcPr>
            <w:tcW w:w="575"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114,047.70</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(60.7%)</w:t>
            </w:r>
          </w:p>
        </w:tc>
        <w:tc>
          <w:tcPr>
            <w:tcW w:w="395"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r>
    </w:tbl>
    <w:p w:rsidR="00061643" w:rsidRPr="005F120D" w:rsidRDefault="00061643" w:rsidP="00061643">
      <w:pPr>
        <w:pStyle w:val="ListParagraph"/>
        <w:numPr>
          <w:ilvl w:val="0"/>
          <w:numId w:val="0"/>
        </w:numPr>
        <w:spacing w:before="120"/>
        <w:ind w:left="360"/>
        <w:rPr>
          <w:rFonts w:asciiTheme="minorHAnsi" w:hAnsiTheme="minorHAnsi" w:cstheme="minorHAnsi"/>
          <w:bCs/>
        </w:rPr>
      </w:pPr>
    </w:p>
    <w:p w:rsidR="00981CA3" w:rsidRPr="005F120D" w:rsidRDefault="006F26E8" w:rsidP="000A5B80">
      <w:pPr>
        <w:pStyle w:val="ListParagraph"/>
        <w:numPr>
          <w:ilvl w:val="0"/>
          <w:numId w:val="88"/>
        </w:numPr>
        <w:spacing w:before="120"/>
        <w:rPr>
          <w:rFonts w:asciiTheme="minorHAnsi" w:hAnsiTheme="minorHAnsi" w:cstheme="minorHAnsi"/>
          <w:bCs/>
        </w:rPr>
      </w:pPr>
      <w:r w:rsidRPr="005F120D">
        <w:rPr>
          <w:rFonts w:asciiTheme="minorHAnsi" w:hAnsiTheme="minorHAnsi" w:cstheme="minorHAnsi"/>
          <w:b/>
          <w:i/>
          <w:iCs/>
          <w:color w:val="008000"/>
        </w:rPr>
        <w:t>Sub-Component 2.2.4 - Needs Based Infrastructure Development:</w:t>
      </w:r>
    </w:p>
    <w:p w:rsidR="006F26E8" w:rsidRPr="005F120D" w:rsidRDefault="00C63D2C" w:rsidP="00C63D2C">
      <w:pPr>
        <w:spacing w:before="120"/>
        <w:jc w:val="both"/>
        <w:rPr>
          <w:rFonts w:asciiTheme="minorHAnsi" w:hAnsiTheme="minorHAnsi" w:cstheme="minorHAnsi"/>
          <w:bCs/>
        </w:rPr>
      </w:pPr>
      <w:r w:rsidRPr="005F120D">
        <w:rPr>
          <w:rFonts w:asciiTheme="minorHAnsi" w:hAnsiTheme="minorHAnsi" w:cstheme="minorHAnsi"/>
          <w:szCs w:val="22"/>
        </w:rPr>
        <w:t>The PEDP3 uses a needs</w:t>
      </w:r>
      <w:r w:rsidR="006619B5" w:rsidRPr="005F120D">
        <w:rPr>
          <w:rFonts w:asciiTheme="minorHAnsi" w:hAnsiTheme="minorHAnsi" w:cstheme="minorHAnsi"/>
          <w:szCs w:val="22"/>
        </w:rPr>
        <w:t>-</w:t>
      </w:r>
      <w:r w:rsidRPr="005F120D">
        <w:rPr>
          <w:rFonts w:asciiTheme="minorHAnsi" w:hAnsiTheme="minorHAnsi" w:cstheme="minorHAnsi"/>
          <w:szCs w:val="22"/>
        </w:rPr>
        <w:t>based approach to infrastructure development</w:t>
      </w:r>
      <w:r w:rsidR="006619B5" w:rsidRPr="005F120D">
        <w:rPr>
          <w:rFonts w:asciiTheme="minorHAnsi" w:hAnsiTheme="minorHAnsi" w:cstheme="minorHAnsi"/>
          <w:szCs w:val="22"/>
        </w:rPr>
        <w:t>,</w:t>
      </w:r>
      <w:r w:rsidRPr="005F120D">
        <w:rPr>
          <w:rFonts w:asciiTheme="minorHAnsi" w:hAnsiTheme="minorHAnsi" w:cstheme="minorHAnsi"/>
          <w:szCs w:val="22"/>
        </w:rPr>
        <w:t xml:space="preserve"> in collaboration with LGED</w:t>
      </w:r>
      <w:r w:rsidR="006619B5" w:rsidRPr="005F120D">
        <w:rPr>
          <w:rFonts w:asciiTheme="minorHAnsi" w:hAnsiTheme="minorHAnsi" w:cstheme="minorHAnsi"/>
          <w:szCs w:val="22"/>
        </w:rPr>
        <w:t>,</w:t>
      </w:r>
      <w:r w:rsidRPr="005F120D">
        <w:rPr>
          <w:rFonts w:asciiTheme="minorHAnsi" w:hAnsiTheme="minorHAnsi" w:cstheme="minorHAnsi"/>
          <w:szCs w:val="22"/>
        </w:rPr>
        <w:t xml:space="preserve"> to establish a good</w:t>
      </w:r>
      <w:r w:rsidR="006619B5" w:rsidRPr="005F120D">
        <w:rPr>
          <w:rFonts w:asciiTheme="minorHAnsi" w:hAnsiTheme="minorHAnsi" w:cstheme="minorHAnsi"/>
          <w:szCs w:val="22"/>
        </w:rPr>
        <w:t xml:space="preserve"> quality learning environment in</w:t>
      </w:r>
      <w:r w:rsidRPr="005F120D">
        <w:rPr>
          <w:rFonts w:asciiTheme="minorHAnsi" w:hAnsiTheme="minorHAnsi" w:cstheme="minorHAnsi"/>
          <w:szCs w:val="22"/>
        </w:rPr>
        <w:t xml:space="preserve"> schools. Under the PEDP3</w:t>
      </w:r>
      <w:r w:rsidR="006619B5" w:rsidRPr="005F120D">
        <w:rPr>
          <w:rFonts w:asciiTheme="minorHAnsi" w:hAnsiTheme="minorHAnsi" w:cstheme="minorHAnsi"/>
          <w:szCs w:val="22"/>
        </w:rPr>
        <w:t>,</w:t>
      </w:r>
      <w:r w:rsidRPr="005F120D">
        <w:rPr>
          <w:rFonts w:asciiTheme="minorHAnsi" w:hAnsiTheme="minorHAnsi" w:cstheme="minorHAnsi"/>
          <w:szCs w:val="22"/>
        </w:rPr>
        <w:t xml:space="preserve"> new classrooms ha</w:t>
      </w:r>
      <w:r w:rsidR="006619B5" w:rsidRPr="005F120D">
        <w:rPr>
          <w:rFonts w:asciiTheme="minorHAnsi" w:hAnsiTheme="minorHAnsi" w:cstheme="minorHAnsi"/>
          <w:szCs w:val="22"/>
        </w:rPr>
        <w:t>ve</w:t>
      </w:r>
      <w:r w:rsidRPr="005F120D">
        <w:rPr>
          <w:rFonts w:asciiTheme="minorHAnsi" w:hAnsiTheme="minorHAnsi" w:cstheme="minorHAnsi"/>
          <w:szCs w:val="22"/>
        </w:rPr>
        <w:t xml:space="preserve"> been constructed, unusable classrooms reconstructed, and every school </w:t>
      </w:r>
      <w:r w:rsidR="006619B5" w:rsidRPr="005F120D">
        <w:rPr>
          <w:rFonts w:asciiTheme="minorHAnsi" w:hAnsiTheme="minorHAnsi" w:cstheme="minorHAnsi"/>
          <w:szCs w:val="22"/>
        </w:rPr>
        <w:t xml:space="preserve">has </w:t>
      </w:r>
      <w:r w:rsidRPr="005F120D">
        <w:rPr>
          <w:rFonts w:asciiTheme="minorHAnsi" w:hAnsiTheme="minorHAnsi" w:cstheme="minorHAnsi"/>
          <w:szCs w:val="22"/>
        </w:rPr>
        <w:t xml:space="preserve">received funds to </w:t>
      </w:r>
      <w:r w:rsidRPr="005F120D">
        <w:rPr>
          <w:rFonts w:asciiTheme="minorHAnsi" w:hAnsiTheme="minorHAnsi" w:cstheme="minorHAnsi"/>
          <w:szCs w:val="22"/>
        </w:rPr>
        <w:lastRenderedPageBreak/>
        <w:t>undertake small repairs</w:t>
      </w:r>
      <w:r w:rsidRPr="005F120D">
        <w:rPr>
          <w:rFonts w:asciiTheme="minorHAnsi" w:hAnsiTheme="minorHAnsi" w:cstheme="minorHAnsi"/>
          <w:b/>
          <w:iCs/>
        </w:rPr>
        <w:t xml:space="preserve">. </w:t>
      </w:r>
      <w:r w:rsidR="000C5097" w:rsidRPr="005F120D">
        <w:rPr>
          <w:rFonts w:asciiTheme="minorHAnsi" w:hAnsiTheme="minorHAnsi" w:cstheme="minorHAnsi"/>
          <w:bCs/>
        </w:rPr>
        <w:t xml:space="preserve">The total original cost as per DPP was Tk. </w:t>
      </w:r>
      <w:r w:rsidR="000C5097" w:rsidRPr="005F120D">
        <w:rPr>
          <w:rFonts w:asciiTheme="minorHAnsi" w:hAnsiTheme="minorHAnsi" w:cstheme="minorHAnsi"/>
        </w:rPr>
        <w:t xml:space="preserve">615,073.05 </w:t>
      </w:r>
      <w:r w:rsidR="00F738CE" w:rsidRPr="005F120D">
        <w:rPr>
          <w:rFonts w:asciiTheme="minorHAnsi" w:hAnsiTheme="minorHAnsi" w:cstheme="minorHAnsi"/>
          <w:bCs/>
        </w:rPr>
        <w:t>Lac</w:t>
      </w:r>
      <w:r w:rsidR="000C5097" w:rsidRPr="005F120D">
        <w:rPr>
          <w:rFonts w:asciiTheme="minorHAnsi" w:hAnsiTheme="minorHAnsi" w:cstheme="minorHAnsi"/>
          <w:bCs/>
        </w:rPr>
        <w:t xml:space="preserve"> and revised cost as per RDPP is Tk. 700,726.89 </w:t>
      </w:r>
      <w:r w:rsidR="00F738CE" w:rsidRPr="005F120D">
        <w:rPr>
          <w:rFonts w:asciiTheme="minorHAnsi" w:hAnsiTheme="minorHAnsi" w:cstheme="minorHAnsi"/>
          <w:bCs/>
        </w:rPr>
        <w:t>Lac</w:t>
      </w:r>
      <w:r w:rsidR="00195074" w:rsidRPr="005F120D">
        <w:rPr>
          <w:rFonts w:asciiTheme="minorHAnsi" w:hAnsiTheme="minorHAnsi" w:cstheme="minorHAnsi"/>
          <w:bCs/>
        </w:rPr>
        <w:t>.</w:t>
      </w:r>
    </w:p>
    <w:p w:rsidR="006F26E8" w:rsidRPr="005F120D" w:rsidRDefault="006F26E8" w:rsidP="000A5B80">
      <w:pPr>
        <w:pStyle w:val="Caption"/>
        <w:rPr>
          <w:rFonts w:cstheme="minorHAnsi"/>
        </w:rPr>
      </w:pPr>
      <w:bookmarkStart w:id="91" w:name="_Toc462837242"/>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20</w:t>
      </w:r>
      <w:r w:rsidR="002E2ED5" w:rsidRPr="005F120D">
        <w:rPr>
          <w:rFonts w:cstheme="minorHAnsi"/>
        </w:rPr>
        <w:fldChar w:fldCharType="end"/>
      </w:r>
      <w:r w:rsidRPr="005F120D">
        <w:rPr>
          <w:rFonts w:cstheme="minorHAnsi"/>
        </w:rPr>
        <w:t>: Needs Based Infrastructure Development</w:t>
      </w:r>
      <w:r w:rsidR="00944C36" w:rsidRPr="005F120D">
        <w:rPr>
          <w:rFonts w:cstheme="minorHAnsi"/>
        </w:rPr>
        <w:t>:</w:t>
      </w:r>
      <w:r w:rsidR="00AD6287" w:rsidRPr="005F120D">
        <w:rPr>
          <w:rFonts w:cstheme="minorHAnsi"/>
        </w:rPr>
        <w:t xml:space="preserve"> Cost and Expenditure as of June 2015</w:t>
      </w:r>
      <w:bookmarkEnd w:id="91"/>
    </w:p>
    <w:p w:rsidR="006F26E8" w:rsidRPr="005F120D" w:rsidRDefault="006F26E8" w:rsidP="000A5B80">
      <w:pPr>
        <w:spacing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ook w:val="04A0"/>
      </w:tblPr>
      <w:tblGrid>
        <w:gridCol w:w="2048"/>
        <w:gridCol w:w="864"/>
        <w:gridCol w:w="949"/>
        <w:gridCol w:w="938"/>
        <w:gridCol w:w="949"/>
        <w:gridCol w:w="783"/>
        <w:gridCol w:w="949"/>
        <w:gridCol w:w="984"/>
        <w:gridCol w:w="779"/>
      </w:tblGrid>
      <w:tr w:rsidR="006F26E8" w:rsidRPr="005F120D" w:rsidTr="000C2F70">
        <w:trPr>
          <w:trHeight w:val="20"/>
          <w:tblHeader/>
        </w:trPr>
        <w:tc>
          <w:tcPr>
            <w:tcW w:w="1137"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34"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972" w:type="pct"/>
            <w:gridSpan w:val="2"/>
            <w:shd w:val="clear" w:color="auto" w:fill="CCC0D9" w:themeFill="accent4"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73" w:type="pct"/>
            <w:gridSpan w:val="2"/>
            <w:shd w:val="clear" w:color="auto" w:fill="CCC0D9" w:themeFill="accent4" w:themeFillTint="6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584"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after June 2015/ as % of RDPP cost</w:t>
            </w:r>
          </w:p>
        </w:tc>
        <w:tc>
          <w:tcPr>
            <w:tcW w:w="401" w:type="pct"/>
            <w:vMerge w:val="restart"/>
            <w:shd w:val="clear" w:color="auto" w:fill="CCC0D9" w:themeFill="accent4"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0C2F70">
        <w:trPr>
          <w:trHeight w:val="20"/>
          <w:tblHeader/>
        </w:trPr>
        <w:tc>
          <w:tcPr>
            <w:tcW w:w="1137" w:type="pct"/>
            <w:vMerge/>
          </w:tcPr>
          <w:p w:rsidR="006F26E8" w:rsidRPr="005F120D" w:rsidRDefault="006F26E8" w:rsidP="000A5B80">
            <w:pPr>
              <w:spacing w:after="0"/>
              <w:jc w:val="center"/>
              <w:rPr>
                <w:rFonts w:asciiTheme="minorHAnsi" w:hAnsiTheme="minorHAnsi" w:cstheme="minorHAnsi"/>
                <w:sz w:val="16"/>
                <w:szCs w:val="16"/>
              </w:rPr>
            </w:pPr>
          </w:p>
        </w:tc>
        <w:tc>
          <w:tcPr>
            <w:tcW w:w="445"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88"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83"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88"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53" w:type="pct"/>
            <w:shd w:val="clear" w:color="auto" w:fill="E5DFEC" w:themeFill="accent4"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20" w:type="pct"/>
            <w:shd w:val="clear" w:color="auto" w:fill="E5DFEC" w:themeFill="accent4"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84" w:type="pct"/>
            <w:vMerge/>
          </w:tcPr>
          <w:p w:rsidR="006F26E8" w:rsidRPr="005F120D" w:rsidRDefault="006F26E8" w:rsidP="000A5B80">
            <w:pPr>
              <w:spacing w:after="0"/>
              <w:jc w:val="center"/>
              <w:rPr>
                <w:rFonts w:asciiTheme="minorHAnsi" w:hAnsiTheme="minorHAnsi" w:cstheme="minorHAnsi"/>
                <w:sz w:val="16"/>
                <w:szCs w:val="16"/>
              </w:rPr>
            </w:pPr>
          </w:p>
        </w:tc>
        <w:tc>
          <w:tcPr>
            <w:tcW w:w="401" w:type="pct"/>
            <w:vMerge/>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Construction of schools - GPS</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2,660.00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106,400.00</w:t>
            </w: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5,519 classroom</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90,748.11</w:t>
            </w:r>
          </w:p>
        </w:tc>
        <w:tc>
          <w:tcPr>
            <w:tcW w:w="45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2,230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89,248.91</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1,499.20</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Construction of schools - RNGPS</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32.00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1,280.00</w:t>
            </w: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3" w:type="pct"/>
          </w:tcPr>
          <w:p w:rsidR="006F26E8" w:rsidRPr="005F120D" w:rsidRDefault="006F26E8" w:rsidP="000A5B80">
            <w:pPr>
              <w:spacing w:after="0"/>
              <w:jc w:val="center"/>
              <w:rPr>
                <w:rFonts w:asciiTheme="minorHAnsi" w:hAnsiTheme="minorHAnsi" w:cstheme="minorHAnsi"/>
                <w:sz w:val="16"/>
                <w:szCs w:val="16"/>
              </w:rPr>
            </w:pP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3. Construction of schools- Community School</w:t>
            </w:r>
            <w:r w:rsidR="0034305C" w:rsidRPr="005F120D">
              <w:rPr>
                <w:rFonts w:asciiTheme="minorHAnsi" w:hAnsiTheme="minorHAnsi" w:cstheme="minorHAnsi"/>
                <w:sz w:val="16"/>
                <w:szCs w:val="16"/>
              </w:rPr>
              <w:t>s</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17.00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680.00</w:t>
            </w: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3" w:type="pct"/>
          </w:tcPr>
          <w:p w:rsidR="006F26E8" w:rsidRPr="005F120D" w:rsidRDefault="006F26E8" w:rsidP="000A5B80">
            <w:pPr>
              <w:spacing w:after="0"/>
              <w:jc w:val="center"/>
              <w:rPr>
                <w:rFonts w:asciiTheme="minorHAnsi" w:hAnsiTheme="minorHAnsi" w:cstheme="minorHAnsi"/>
                <w:sz w:val="16"/>
                <w:szCs w:val="16"/>
              </w:rPr>
            </w:pP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4. Construction of additional classrooms</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31,685.00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380,220.00</w:t>
            </w: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33,484 classrooms</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529,777.12</w:t>
            </w:r>
          </w:p>
        </w:tc>
        <w:tc>
          <w:tcPr>
            <w:tcW w:w="45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21,500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259,632.98</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270,144.14</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5.  Repair and mainte</w:t>
            </w:r>
            <w:r w:rsidR="00195074" w:rsidRPr="005F120D">
              <w:rPr>
                <w:rFonts w:asciiTheme="minorHAnsi" w:hAnsiTheme="minorHAnsi" w:cstheme="minorHAnsi"/>
                <w:sz w:val="16"/>
                <w:szCs w:val="16"/>
              </w:rPr>
              <w:t>nance of schools</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1,624.00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12,992.00</w:t>
            </w: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1,861 schools</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9,538.52</w:t>
            </w:r>
          </w:p>
        </w:tc>
        <w:tc>
          <w:tcPr>
            <w:tcW w:w="45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620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5,038.52</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4,500.00</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6. Repair and maintenance of schools- major cat. 1</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18,280.00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54,840.00</w:t>
            </w: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3" w:type="pct"/>
          </w:tcPr>
          <w:p w:rsidR="006F26E8" w:rsidRPr="005F120D" w:rsidRDefault="006F26E8" w:rsidP="000A5B80">
            <w:pPr>
              <w:spacing w:after="0"/>
              <w:jc w:val="center"/>
              <w:rPr>
                <w:rFonts w:asciiTheme="minorHAnsi" w:hAnsiTheme="minorHAnsi" w:cstheme="minorHAnsi"/>
                <w:sz w:val="16"/>
                <w:szCs w:val="16"/>
              </w:rPr>
            </w:pP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7.  Major maintenance of schools</w:t>
            </w:r>
          </w:p>
        </w:tc>
        <w:tc>
          <w:tcPr>
            <w:tcW w:w="445" w:type="pct"/>
          </w:tcPr>
          <w:p w:rsidR="006F26E8" w:rsidRPr="005F120D" w:rsidRDefault="006F26E8" w:rsidP="000A5B80">
            <w:pPr>
              <w:spacing w:after="0"/>
              <w:jc w:val="center"/>
              <w:rPr>
                <w:rFonts w:asciiTheme="minorHAnsi" w:hAnsiTheme="minorHAnsi" w:cstheme="minorHAnsi"/>
                <w:sz w:val="16"/>
                <w:szCs w:val="16"/>
              </w:rPr>
            </w:pPr>
          </w:p>
        </w:tc>
        <w:tc>
          <w:tcPr>
            <w:tcW w:w="488" w:type="pct"/>
          </w:tcPr>
          <w:p w:rsidR="006F26E8" w:rsidRPr="005F120D" w:rsidRDefault="006F26E8" w:rsidP="000A5B80">
            <w:pPr>
              <w:spacing w:after="0"/>
              <w:jc w:val="center"/>
              <w:rPr>
                <w:rFonts w:asciiTheme="minorHAnsi" w:hAnsiTheme="minorHAnsi" w:cstheme="minorHAnsi"/>
                <w:sz w:val="16"/>
                <w:szCs w:val="16"/>
              </w:rPr>
            </w:pP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3139 schools</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15,380.00</w:t>
            </w:r>
          </w:p>
        </w:tc>
        <w:tc>
          <w:tcPr>
            <w:tcW w:w="45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15,380.00</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34305C" w:rsidP="000A5B80">
            <w:pPr>
              <w:spacing w:after="0"/>
              <w:rPr>
                <w:rFonts w:asciiTheme="minorHAnsi" w:hAnsiTheme="minorHAnsi" w:cstheme="minorHAnsi"/>
                <w:sz w:val="16"/>
                <w:szCs w:val="16"/>
              </w:rPr>
            </w:pPr>
            <w:r w:rsidRPr="005F120D">
              <w:rPr>
                <w:rFonts w:asciiTheme="minorHAnsi" w:hAnsiTheme="minorHAnsi" w:cstheme="minorHAnsi"/>
                <w:sz w:val="16"/>
                <w:szCs w:val="16"/>
              </w:rPr>
              <w:t>8. Third Party Monitoring of</w:t>
            </w:r>
            <w:r w:rsidR="006F26E8" w:rsidRPr="005F120D">
              <w:rPr>
                <w:rFonts w:asciiTheme="minorHAnsi" w:hAnsiTheme="minorHAnsi" w:cstheme="minorHAnsi"/>
                <w:sz w:val="16"/>
                <w:szCs w:val="16"/>
              </w:rPr>
              <w:t xml:space="preserve"> civil works</w:t>
            </w:r>
          </w:p>
        </w:tc>
        <w:tc>
          <w:tcPr>
            <w:tcW w:w="445" w:type="pct"/>
          </w:tcPr>
          <w:p w:rsidR="006F26E8" w:rsidRPr="005F120D" w:rsidRDefault="006F26E8" w:rsidP="000A5B80">
            <w:pPr>
              <w:spacing w:after="0"/>
              <w:jc w:val="center"/>
              <w:rPr>
                <w:rFonts w:asciiTheme="minorHAnsi" w:hAnsiTheme="minorHAnsi" w:cstheme="minorHAnsi"/>
                <w:sz w:val="16"/>
                <w:szCs w:val="16"/>
              </w:rPr>
            </w:pPr>
          </w:p>
        </w:tc>
        <w:tc>
          <w:tcPr>
            <w:tcW w:w="488" w:type="pct"/>
          </w:tcPr>
          <w:p w:rsidR="006F26E8" w:rsidRPr="005F120D" w:rsidRDefault="006F26E8" w:rsidP="000A5B80">
            <w:pPr>
              <w:spacing w:after="0"/>
              <w:jc w:val="center"/>
              <w:rPr>
                <w:rFonts w:asciiTheme="minorHAnsi" w:hAnsiTheme="minorHAnsi" w:cstheme="minorHAnsi"/>
                <w:sz w:val="16"/>
                <w:szCs w:val="16"/>
              </w:rPr>
            </w:pP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9. Professional Fee for LGED</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 service charge</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16,660.12</w:t>
            </w:r>
          </w:p>
        </w:tc>
        <w:tc>
          <w:tcPr>
            <w:tcW w:w="45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7,195.55</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9,464.57</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10. Need</w:t>
            </w:r>
            <w:r w:rsidR="0034305C" w:rsidRPr="005F120D">
              <w:rPr>
                <w:rFonts w:asciiTheme="minorHAnsi" w:hAnsiTheme="minorHAnsi" w:cstheme="minorHAnsi"/>
                <w:sz w:val="16"/>
                <w:szCs w:val="16"/>
              </w:rPr>
              <w:t>s-</w:t>
            </w:r>
            <w:r w:rsidRPr="005F120D">
              <w:rPr>
                <w:rFonts w:asciiTheme="minorHAnsi" w:hAnsiTheme="minorHAnsi" w:cstheme="minorHAnsi"/>
                <w:sz w:val="16"/>
                <w:szCs w:val="16"/>
              </w:rPr>
              <w:t xml:space="preserve"> based Furniture, Maintenance and Other Construction Modules of PEPMIS Software</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11. Repair and maintenance of schools- major cat. 2</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18,280.00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27,420.00</w:t>
            </w: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Need based</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26,623.32</w:t>
            </w:r>
          </w:p>
        </w:tc>
        <w:tc>
          <w:tcPr>
            <w:tcW w:w="45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7,080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10,623.32</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16,000.00</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12. Routine maintenance of schools</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23,223.00</w:t>
            </w:r>
          </w:p>
        </w:tc>
        <w:tc>
          <w:tcPr>
            <w:tcW w:w="48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Need based</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11,999.70</w:t>
            </w:r>
          </w:p>
        </w:tc>
        <w:tc>
          <w:tcPr>
            <w:tcW w:w="45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20,000</w:t>
            </w:r>
          </w:p>
        </w:tc>
        <w:tc>
          <w:tcPr>
            <w:tcW w:w="520"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5,999.70</w:t>
            </w:r>
          </w:p>
        </w:tc>
        <w:tc>
          <w:tcPr>
            <w:tcW w:w="58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6,000.00</w:t>
            </w:r>
          </w:p>
        </w:tc>
        <w:tc>
          <w:tcPr>
            <w:tcW w:w="401"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shd w:val="clear" w:color="auto" w:fill="auto"/>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13.  Other maintenance works of schools</w:t>
            </w:r>
          </w:p>
        </w:tc>
        <w:tc>
          <w:tcPr>
            <w:tcW w:w="445" w:type="pct"/>
            <w:shd w:val="clear" w:color="auto" w:fill="auto"/>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block</w:t>
            </w:r>
          </w:p>
        </w:tc>
        <w:tc>
          <w:tcPr>
            <w:tcW w:w="488" w:type="pct"/>
            <w:shd w:val="clear" w:color="auto" w:fill="auto"/>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8,018.05</w:t>
            </w:r>
          </w:p>
        </w:tc>
        <w:tc>
          <w:tcPr>
            <w:tcW w:w="483" w:type="pct"/>
            <w:shd w:val="clear" w:color="auto" w:fill="auto"/>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Block fund-</w:t>
            </w:r>
          </w:p>
        </w:tc>
        <w:tc>
          <w:tcPr>
            <w:tcW w:w="488" w:type="pct"/>
            <w:shd w:val="clear" w:color="auto" w:fill="auto"/>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3" w:type="pct"/>
            <w:shd w:val="clear" w:color="auto" w:fill="auto"/>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20" w:type="pct"/>
            <w:shd w:val="clear" w:color="auto" w:fill="auto"/>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84" w:type="pct"/>
            <w:shd w:val="clear" w:color="auto" w:fill="auto"/>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01" w:type="pct"/>
            <w:shd w:val="clear" w:color="auto" w:fill="auto"/>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0"/>
        </w:trPr>
        <w:tc>
          <w:tcPr>
            <w:tcW w:w="1137"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45"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c>
          <w:tcPr>
            <w:tcW w:w="488"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615,073.05</w:t>
            </w:r>
          </w:p>
        </w:tc>
        <w:tc>
          <w:tcPr>
            <w:tcW w:w="483"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c>
          <w:tcPr>
            <w:tcW w:w="488"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bCs/>
                <w:sz w:val="16"/>
                <w:szCs w:val="16"/>
              </w:rPr>
              <w:t>700,726.89</w:t>
            </w:r>
          </w:p>
        </w:tc>
        <w:tc>
          <w:tcPr>
            <w:tcW w:w="453"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p>
        </w:tc>
        <w:tc>
          <w:tcPr>
            <w:tcW w:w="520" w:type="pct"/>
            <w:shd w:val="clear" w:color="auto" w:fill="E5DFEC" w:themeFill="accent4" w:themeFillTint="33"/>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377,738.98 (53.9%)</w:t>
            </w:r>
          </w:p>
        </w:tc>
        <w:tc>
          <w:tcPr>
            <w:tcW w:w="584" w:type="pct"/>
            <w:shd w:val="clear" w:color="auto" w:fill="E5DFEC" w:themeFill="accent4"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322,987.91 (46.1%)</w:t>
            </w:r>
          </w:p>
        </w:tc>
        <w:tc>
          <w:tcPr>
            <w:tcW w:w="401" w:type="pct"/>
            <w:shd w:val="clear" w:color="auto" w:fill="E5DFEC" w:themeFill="accent4" w:themeFillTint="33"/>
          </w:tcPr>
          <w:p w:rsidR="006F26E8" w:rsidRPr="005F120D" w:rsidRDefault="006F26E8" w:rsidP="000A5B80">
            <w:pPr>
              <w:spacing w:after="0"/>
              <w:jc w:val="center"/>
              <w:rPr>
                <w:rFonts w:asciiTheme="minorHAnsi" w:hAnsiTheme="minorHAnsi" w:cstheme="minorHAnsi"/>
                <w:sz w:val="16"/>
                <w:szCs w:val="16"/>
              </w:rPr>
            </w:pPr>
          </w:p>
        </w:tc>
      </w:tr>
    </w:tbl>
    <w:p w:rsidR="006F26E8" w:rsidRPr="005F120D" w:rsidRDefault="000C5097" w:rsidP="000A5B80">
      <w:pPr>
        <w:autoSpaceDE w:val="0"/>
        <w:autoSpaceDN w:val="0"/>
        <w:adjustRightInd w:val="0"/>
        <w:spacing w:after="0"/>
        <w:rPr>
          <w:rFonts w:asciiTheme="minorHAnsi" w:hAnsiTheme="minorHAnsi" w:cstheme="minorHAnsi"/>
          <w:b/>
          <w:bCs/>
          <w:i/>
          <w:sz w:val="18"/>
          <w:szCs w:val="18"/>
        </w:rPr>
      </w:pPr>
      <w:r w:rsidRPr="005F120D">
        <w:rPr>
          <w:rFonts w:asciiTheme="minorHAnsi" w:hAnsiTheme="minorHAnsi" w:cstheme="minorHAnsi"/>
          <w:b/>
          <w:bCs/>
          <w:sz w:val="18"/>
          <w:szCs w:val="18"/>
        </w:rPr>
        <w:t xml:space="preserve">Note: </w:t>
      </w:r>
      <w:r w:rsidRPr="005F120D">
        <w:rPr>
          <w:rFonts w:asciiTheme="minorHAnsi" w:hAnsiTheme="minorHAnsi" w:cstheme="minorHAnsi"/>
          <w:b/>
          <w:bCs/>
          <w:i/>
          <w:sz w:val="18"/>
          <w:szCs w:val="18"/>
        </w:rPr>
        <w:t>The achievements of Result Area 2.2 are measure</w:t>
      </w:r>
      <w:r w:rsidR="0034305C" w:rsidRPr="005F120D">
        <w:rPr>
          <w:rFonts w:asciiTheme="minorHAnsi" w:hAnsiTheme="minorHAnsi" w:cstheme="minorHAnsi"/>
          <w:b/>
          <w:bCs/>
          <w:i/>
          <w:sz w:val="18"/>
          <w:szCs w:val="18"/>
        </w:rPr>
        <w:t>d</w:t>
      </w:r>
      <w:r w:rsidRPr="005F120D">
        <w:rPr>
          <w:rFonts w:asciiTheme="minorHAnsi" w:hAnsiTheme="minorHAnsi" w:cstheme="minorHAnsi"/>
          <w:b/>
          <w:bCs/>
          <w:i/>
          <w:sz w:val="18"/>
          <w:szCs w:val="18"/>
        </w:rPr>
        <w:t xml:space="preserve"> through 3 KPIs (7, 8 &amp; 9) and 2 Non-KPIs (6 &amp; 7) at the outcome level; and 5 PSQLs (7, 8, 9, 10 &amp; 11) and 8 subcomponent indicators at the output level</w:t>
      </w:r>
      <w:r w:rsidR="006F26E8" w:rsidRPr="005F120D">
        <w:rPr>
          <w:rFonts w:asciiTheme="minorHAnsi" w:hAnsiTheme="minorHAnsi" w:cstheme="minorHAnsi"/>
          <w:b/>
          <w:bCs/>
          <w:i/>
          <w:sz w:val="18"/>
          <w:szCs w:val="18"/>
        </w:rPr>
        <w:t>.</w:t>
      </w:r>
    </w:p>
    <w:p w:rsidR="001511DD" w:rsidRPr="005F120D" w:rsidRDefault="001511DD" w:rsidP="001C6C07">
      <w:pPr>
        <w:autoSpaceDE w:val="0"/>
        <w:autoSpaceDN w:val="0"/>
        <w:adjustRightInd w:val="0"/>
        <w:spacing w:before="120" w:after="120"/>
        <w:jc w:val="both"/>
        <w:rPr>
          <w:rFonts w:asciiTheme="minorHAnsi" w:hAnsiTheme="minorHAnsi" w:cstheme="minorHAnsi"/>
          <w:b/>
          <w:color w:val="008000"/>
          <w:szCs w:val="22"/>
        </w:rPr>
      </w:pPr>
      <w:r w:rsidRPr="005F120D">
        <w:rPr>
          <w:rFonts w:asciiTheme="minorHAnsi" w:hAnsiTheme="minorHAnsi" w:cstheme="minorHAnsi"/>
          <w:b/>
          <w:color w:val="008000"/>
          <w:szCs w:val="22"/>
        </w:rPr>
        <w:t>Result Area 3.1: Decentralization</w:t>
      </w:r>
    </w:p>
    <w:p w:rsidR="006F26E8" w:rsidRPr="005F120D" w:rsidRDefault="000C5097" w:rsidP="001C6C07">
      <w:pPr>
        <w:autoSpaceDE w:val="0"/>
        <w:autoSpaceDN w:val="0"/>
        <w:adjustRightInd w:val="0"/>
        <w:spacing w:before="120" w:after="120"/>
        <w:jc w:val="both"/>
        <w:rPr>
          <w:rFonts w:asciiTheme="minorHAnsi" w:hAnsiTheme="minorHAnsi" w:cstheme="minorHAnsi"/>
          <w:szCs w:val="22"/>
        </w:rPr>
      </w:pPr>
      <w:r w:rsidRPr="005F120D">
        <w:rPr>
          <w:rFonts w:asciiTheme="minorHAnsi" w:hAnsiTheme="minorHAnsi" w:cstheme="minorHAnsi"/>
          <w:szCs w:val="22"/>
        </w:rPr>
        <w:t xml:space="preserve">The anticipated outcome is expanded </w:t>
      </w:r>
      <w:r w:rsidRPr="005F120D">
        <w:rPr>
          <w:rFonts w:asciiTheme="minorHAnsi" w:hAnsiTheme="minorHAnsi" w:cstheme="minorHAnsi"/>
          <w:iCs/>
          <w:szCs w:val="22"/>
        </w:rPr>
        <w:t>decentralized planning, management and monitoring at district, Upazila and school</w:t>
      </w:r>
      <w:r w:rsidRPr="005F120D">
        <w:rPr>
          <w:rFonts w:asciiTheme="minorHAnsi" w:hAnsiTheme="minorHAnsi" w:cstheme="minorHAnsi"/>
          <w:szCs w:val="22"/>
        </w:rPr>
        <w:t xml:space="preserve"> levels. There are 4 sub-components under Result Area 3.1 </w:t>
      </w:r>
      <w:r w:rsidRPr="005F120D">
        <w:rPr>
          <w:rFonts w:asciiTheme="minorHAnsi" w:hAnsiTheme="minorHAnsi" w:cstheme="minorHAnsi"/>
          <w:bCs/>
          <w:szCs w:val="22"/>
        </w:rPr>
        <w:t>Decentralization</w:t>
      </w:r>
      <w:r w:rsidR="006F26E8" w:rsidRPr="005F120D">
        <w:rPr>
          <w:rFonts w:asciiTheme="minorHAnsi" w:hAnsiTheme="minorHAnsi" w:cstheme="minorHAnsi"/>
          <w:szCs w:val="22"/>
        </w:rPr>
        <w:t>.</w:t>
      </w:r>
    </w:p>
    <w:p w:rsidR="00981CA3" w:rsidRPr="005F120D" w:rsidRDefault="006F26E8" w:rsidP="001C6C07">
      <w:pPr>
        <w:pStyle w:val="ListParagraph"/>
        <w:numPr>
          <w:ilvl w:val="0"/>
          <w:numId w:val="88"/>
        </w:num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b/>
          <w:i/>
          <w:iCs/>
          <w:color w:val="008000"/>
        </w:rPr>
        <w:t>Sub-Component 3.1.1 - Field-Level Offices Strengthened:</w:t>
      </w:r>
    </w:p>
    <w:p w:rsidR="00EA5E2B" w:rsidRPr="005F120D" w:rsidRDefault="004C0A13" w:rsidP="001C6C07">
      <w:pPr>
        <w:autoSpaceDE w:val="0"/>
        <w:autoSpaceDN w:val="0"/>
        <w:adjustRightInd w:val="0"/>
        <w:spacing w:before="120" w:after="120"/>
        <w:jc w:val="both"/>
        <w:rPr>
          <w:rFonts w:asciiTheme="minorHAnsi" w:hAnsiTheme="minorHAnsi" w:cstheme="minorHAnsi"/>
          <w:bCs/>
        </w:rPr>
      </w:pPr>
      <w:r w:rsidRPr="005F120D">
        <w:rPr>
          <w:rFonts w:asciiTheme="minorHAnsi" w:hAnsiTheme="minorHAnsi" w:cstheme="minorHAnsi"/>
          <w:szCs w:val="22"/>
        </w:rPr>
        <w:t>Under the PEDP</w:t>
      </w:r>
      <w:r w:rsidR="0022079F" w:rsidRPr="005F120D">
        <w:rPr>
          <w:rFonts w:asciiTheme="minorHAnsi" w:hAnsiTheme="minorHAnsi" w:cstheme="minorHAnsi"/>
          <w:szCs w:val="22"/>
        </w:rPr>
        <w:t xml:space="preserve">3, </w:t>
      </w:r>
      <w:r w:rsidR="00455C0B" w:rsidRPr="005F120D">
        <w:rPr>
          <w:rFonts w:asciiTheme="minorHAnsi" w:hAnsiTheme="minorHAnsi" w:cstheme="minorHAnsi"/>
          <w:szCs w:val="22"/>
        </w:rPr>
        <w:t xml:space="preserve">there is an </w:t>
      </w:r>
      <w:r w:rsidR="0022079F" w:rsidRPr="005F120D">
        <w:rPr>
          <w:rFonts w:asciiTheme="minorHAnsi" w:hAnsiTheme="minorHAnsi" w:cstheme="minorHAnsi"/>
          <w:szCs w:val="22"/>
        </w:rPr>
        <w:t xml:space="preserve">initiative </w:t>
      </w:r>
      <w:r w:rsidRPr="005F120D">
        <w:rPr>
          <w:rFonts w:asciiTheme="minorHAnsi" w:hAnsiTheme="minorHAnsi" w:cstheme="minorHAnsi"/>
          <w:szCs w:val="22"/>
        </w:rPr>
        <w:t xml:space="preserve">to strengthen </w:t>
      </w:r>
      <w:r w:rsidR="00E52201" w:rsidRPr="005F120D">
        <w:rPr>
          <w:rFonts w:asciiTheme="minorHAnsi" w:hAnsiTheme="minorHAnsi" w:cstheme="minorHAnsi"/>
        </w:rPr>
        <w:t>field l</w:t>
      </w:r>
      <w:r w:rsidR="002D1B07" w:rsidRPr="005F120D">
        <w:rPr>
          <w:rFonts w:asciiTheme="minorHAnsi" w:hAnsiTheme="minorHAnsi" w:cstheme="minorHAnsi"/>
        </w:rPr>
        <w:t xml:space="preserve">evel </w:t>
      </w:r>
      <w:r w:rsidR="00072DB3" w:rsidRPr="005F120D">
        <w:rPr>
          <w:rFonts w:asciiTheme="minorHAnsi" w:hAnsiTheme="minorHAnsi" w:cstheme="minorHAnsi"/>
        </w:rPr>
        <w:t>offices, through</w:t>
      </w:r>
      <w:r w:rsidR="00837AAC" w:rsidRPr="005F120D">
        <w:rPr>
          <w:rFonts w:asciiTheme="minorHAnsi" w:hAnsiTheme="minorHAnsi" w:cstheme="minorHAnsi"/>
        </w:rPr>
        <w:t xml:space="preserve"> </w:t>
      </w:r>
      <w:r w:rsidR="00E52201" w:rsidRPr="005F120D">
        <w:rPr>
          <w:rFonts w:asciiTheme="minorHAnsi" w:hAnsiTheme="minorHAnsi" w:cstheme="minorHAnsi"/>
        </w:rPr>
        <w:t>the filling of v</w:t>
      </w:r>
      <w:r w:rsidR="007D75C1" w:rsidRPr="005F120D">
        <w:rPr>
          <w:rFonts w:asciiTheme="minorHAnsi" w:hAnsiTheme="minorHAnsi" w:cstheme="minorHAnsi"/>
        </w:rPr>
        <w:t>acanc</w:t>
      </w:r>
      <w:r w:rsidR="00E52201" w:rsidRPr="005F120D">
        <w:rPr>
          <w:rFonts w:asciiTheme="minorHAnsi" w:hAnsiTheme="minorHAnsi" w:cstheme="minorHAnsi"/>
        </w:rPr>
        <w:t>ies at PTIs, UEOs and URCs, and the s</w:t>
      </w:r>
      <w:r w:rsidR="007D75C1" w:rsidRPr="005F120D">
        <w:rPr>
          <w:rFonts w:asciiTheme="minorHAnsi" w:hAnsiTheme="minorHAnsi" w:cstheme="minorHAnsi"/>
        </w:rPr>
        <w:t>trengthen</w:t>
      </w:r>
      <w:r w:rsidR="00E52201" w:rsidRPr="005F120D">
        <w:rPr>
          <w:rFonts w:asciiTheme="minorHAnsi" w:hAnsiTheme="minorHAnsi" w:cstheme="minorHAnsi"/>
        </w:rPr>
        <w:t>ing of local capacity planning and m</w:t>
      </w:r>
      <w:r w:rsidR="007D75C1" w:rsidRPr="005F120D">
        <w:rPr>
          <w:rFonts w:asciiTheme="minorHAnsi" w:hAnsiTheme="minorHAnsi" w:cstheme="minorHAnsi"/>
        </w:rPr>
        <w:t xml:space="preserve">onitoring </w:t>
      </w:r>
      <w:r w:rsidR="00072DB3" w:rsidRPr="005F120D">
        <w:rPr>
          <w:rFonts w:asciiTheme="minorHAnsi" w:hAnsiTheme="minorHAnsi" w:cstheme="minorHAnsi"/>
        </w:rPr>
        <w:t>functions.</w:t>
      </w:r>
      <w:r w:rsidR="00072DB3" w:rsidRPr="005F120D">
        <w:rPr>
          <w:rFonts w:asciiTheme="minorHAnsi" w:hAnsiTheme="minorHAnsi" w:cstheme="minorHAnsi"/>
          <w:szCs w:val="22"/>
        </w:rPr>
        <w:t xml:space="preserve"> Some</w:t>
      </w:r>
      <w:r w:rsidR="00837AAC" w:rsidRPr="005F120D">
        <w:rPr>
          <w:rFonts w:asciiTheme="minorHAnsi" w:hAnsiTheme="minorHAnsi" w:cstheme="minorHAnsi"/>
          <w:szCs w:val="22"/>
        </w:rPr>
        <w:t xml:space="preserve"> field level functions have </w:t>
      </w:r>
      <w:r w:rsidR="00072DB3" w:rsidRPr="005F120D">
        <w:rPr>
          <w:rFonts w:asciiTheme="minorHAnsi" w:hAnsiTheme="minorHAnsi" w:cstheme="minorHAnsi"/>
          <w:szCs w:val="22"/>
        </w:rPr>
        <w:t>been delegated</w:t>
      </w:r>
      <w:r w:rsidR="00455C0B" w:rsidRPr="005F120D">
        <w:rPr>
          <w:rFonts w:asciiTheme="minorHAnsi" w:hAnsiTheme="minorHAnsi" w:cstheme="minorHAnsi"/>
          <w:szCs w:val="22"/>
        </w:rPr>
        <w:t xml:space="preserve"> and </w:t>
      </w:r>
      <w:r w:rsidR="0075188F" w:rsidRPr="005F120D">
        <w:rPr>
          <w:rFonts w:asciiTheme="minorHAnsi" w:hAnsiTheme="minorHAnsi" w:cstheme="minorHAnsi"/>
          <w:szCs w:val="22"/>
        </w:rPr>
        <w:t xml:space="preserve">expanded </w:t>
      </w:r>
      <w:r w:rsidR="00837AAC" w:rsidRPr="005F120D">
        <w:rPr>
          <w:rFonts w:asciiTheme="minorHAnsi" w:hAnsiTheme="minorHAnsi" w:cstheme="minorHAnsi"/>
          <w:szCs w:val="22"/>
        </w:rPr>
        <w:t xml:space="preserve">to local bodies, </w:t>
      </w:r>
      <w:r w:rsidR="0075188F" w:rsidRPr="005F120D">
        <w:rPr>
          <w:rFonts w:asciiTheme="minorHAnsi" w:hAnsiTheme="minorHAnsi" w:cstheme="minorHAnsi"/>
          <w:szCs w:val="22"/>
        </w:rPr>
        <w:t>e.g.</w:t>
      </w:r>
      <w:r w:rsidR="00837AAC" w:rsidRPr="005F120D">
        <w:rPr>
          <w:rFonts w:asciiTheme="minorHAnsi" w:hAnsiTheme="minorHAnsi" w:cstheme="minorHAnsi"/>
          <w:szCs w:val="22"/>
        </w:rPr>
        <w:t>,</w:t>
      </w:r>
      <w:r w:rsidR="0075188F" w:rsidRPr="005F120D">
        <w:rPr>
          <w:rFonts w:asciiTheme="minorHAnsi" w:hAnsiTheme="minorHAnsi" w:cstheme="minorHAnsi"/>
          <w:szCs w:val="22"/>
        </w:rPr>
        <w:t xml:space="preserve"> AUEOs </w:t>
      </w:r>
      <w:r w:rsidR="00655E58" w:rsidRPr="005F120D">
        <w:rPr>
          <w:rFonts w:asciiTheme="minorHAnsi" w:hAnsiTheme="minorHAnsi" w:cstheme="minorHAnsi"/>
          <w:szCs w:val="22"/>
        </w:rPr>
        <w:t>who will</w:t>
      </w:r>
      <w:r w:rsidR="0075188F" w:rsidRPr="005F120D">
        <w:rPr>
          <w:rFonts w:asciiTheme="minorHAnsi" w:hAnsiTheme="minorHAnsi" w:cstheme="minorHAnsi"/>
          <w:szCs w:val="22"/>
        </w:rPr>
        <w:t xml:space="preserve"> monitor</w:t>
      </w:r>
      <w:r w:rsidR="00455C0B" w:rsidRPr="005F120D">
        <w:rPr>
          <w:rFonts w:asciiTheme="minorHAnsi" w:hAnsiTheme="minorHAnsi" w:cstheme="minorHAnsi"/>
          <w:szCs w:val="22"/>
        </w:rPr>
        <w:t xml:space="preserve"> the</w:t>
      </w:r>
      <w:r w:rsidR="0075188F" w:rsidRPr="005F120D">
        <w:rPr>
          <w:rFonts w:asciiTheme="minorHAnsi" w:hAnsiTheme="minorHAnsi" w:cstheme="minorHAnsi"/>
          <w:szCs w:val="22"/>
        </w:rPr>
        <w:t xml:space="preserve"> Shikhbe Protiti Shishu</w:t>
      </w:r>
      <w:r w:rsidR="00455C0B" w:rsidRPr="005F120D">
        <w:rPr>
          <w:rFonts w:asciiTheme="minorHAnsi" w:hAnsiTheme="minorHAnsi" w:cstheme="minorHAnsi"/>
          <w:szCs w:val="22"/>
        </w:rPr>
        <w:t xml:space="preserve"> activity</w:t>
      </w:r>
      <w:r w:rsidR="00837AAC" w:rsidRPr="005F120D">
        <w:rPr>
          <w:rFonts w:asciiTheme="minorHAnsi" w:hAnsiTheme="minorHAnsi" w:cstheme="minorHAnsi"/>
          <w:szCs w:val="22"/>
        </w:rPr>
        <w:t xml:space="preserve"> and</w:t>
      </w:r>
      <w:r w:rsidR="0075188F" w:rsidRPr="005F120D">
        <w:rPr>
          <w:rFonts w:asciiTheme="minorHAnsi" w:hAnsiTheme="minorHAnsi" w:cstheme="minorHAnsi"/>
          <w:szCs w:val="22"/>
        </w:rPr>
        <w:t xml:space="preserve"> conduct dema</w:t>
      </w:r>
      <w:r w:rsidR="00837AAC" w:rsidRPr="005F120D">
        <w:rPr>
          <w:rFonts w:asciiTheme="minorHAnsi" w:hAnsiTheme="minorHAnsi" w:cstheme="minorHAnsi"/>
          <w:szCs w:val="22"/>
        </w:rPr>
        <w:t>nd-based sub-cluster training</w:t>
      </w:r>
      <w:r w:rsidR="007D75C1" w:rsidRPr="005F120D">
        <w:rPr>
          <w:rFonts w:asciiTheme="minorHAnsi" w:hAnsiTheme="minorHAnsi" w:cstheme="minorHAnsi"/>
        </w:rPr>
        <w:t xml:space="preserve">. </w:t>
      </w:r>
      <w:r w:rsidR="007D75C1" w:rsidRPr="005F120D">
        <w:rPr>
          <w:rFonts w:asciiTheme="minorHAnsi" w:hAnsiTheme="minorHAnsi" w:cstheme="minorHAnsi"/>
          <w:bCs/>
        </w:rPr>
        <w:t xml:space="preserve">The total original cost as per DPP was Tk. </w:t>
      </w:r>
      <w:r w:rsidR="007D75C1" w:rsidRPr="005F120D">
        <w:rPr>
          <w:rFonts w:asciiTheme="minorHAnsi" w:hAnsiTheme="minorHAnsi" w:cstheme="minorHAnsi"/>
        </w:rPr>
        <w:t xml:space="preserve">35068.12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the revised cost as per RDPP is TK. 54,956.42 </w:t>
      </w:r>
      <w:r w:rsidR="00F738CE" w:rsidRPr="005F120D">
        <w:rPr>
          <w:rFonts w:asciiTheme="minorHAnsi" w:hAnsiTheme="minorHAnsi" w:cstheme="minorHAnsi"/>
          <w:bCs/>
        </w:rPr>
        <w:t>Lac</w:t>
      </w:r>
      <w:r w:rsidR="002E3B66" w:rsidRPr="005F120D">
        <w:rPr>
          <w:rFonts w:asciiTheme="minorHAnsi" w:hAnsiTheme="minorHAnsi" w:cstheme="minorHAnsi"/>
          <w:bCs/>
        </w:rPr>
        <w:t>.</w:t>
      </w:r>
    </w:p>
    <w:p w:rsidR="00B12842" w:rsidRPr="005F120D" w:rsidRDefault="00B12842" w:rsidP="001C6C07">
      <w:pPr>
        <w:autoSpaceDE w:val="0"/>
        <w:autoSpaceDN w:val="0"/>
        <w:adjustRightInd w:val="0"/>
        <w:spacing w:before="120" w:after="120"/>
        <w:jc w:val="both"/>
        <w:rPr>
          <w:rFonts w:asciiTheme="minorHAnsi" w:hAnsiTheme="minorHAnsi" w:cstheme="minorHAnsi"/>
          <w:bCs/>
        </w:rPr>
      </w:pPr>
    </w:p>
    <w:p w:rsidR="00B12842" w:rsidRPr="005F120D" w:rsidRDefault="00B12842" w:rsidP="001C6C07">
      <w:pPr>
        <w:autoSpaceDE w:val="0"/>
        <w:autoSpaceDN w:val="0"/>
        <w:adjustRightInd w:val="0"/>
        <w:spacing w:before="120" w:after="120"/>
        <w:jc w:val="both"/>
        <w:rPr>
          <w:rFonts w:asciiTheme="minorHAnsi" w:hAnsiTheme="minorHAnsi" w:cstheme="minorHAnsi"/>
          <w:bCs/>
        </w:rPr>
      </w:pPr>
    </w:p>
    <w:p w:rsidR="00B12842" w:rsidRPr="005F120D" w:rsidRDefault="00B12842" w:rsidP="001C6C07">
      <w:pPr>
        <w:autoSpaceDE w:val="0"/>
        <w:autoSpaceDN w:val="0"/>
        <w:adjustRightInd w:val="0"/>
        <w:spacing w:before="120" w:after="120"/>
        <w:jc w:val="both"/>
        <w:rPr>
          <w:rFonts w:asciiTheme="minorHAnsi" w:hAnsiTheme="minorHAnsi" w:cstheme="minorHAnsi"/>
          <w:bCs/>
        </w:rPr>
      </w:pPr>
    </w:p>
    <w:p w:rsidR="006F26E8" w:rsidRPr="005F120D" w:rsidRDefault="00D2239B" w:rsidP="000A5B80">
      <w:pPr>
        <w:pStyle w:val="Caption"/>
        <w:rPr>
          <w:rFonts w:cstheme="minorHAnsi"/>
        </w:rPr>
      </w:pPr>
      <w:bookmarkStart w:id="92" w:name="_Toc462837243"/>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21</w:t>
      </w:r>
      <w:r w:rsidR="002E2ED5" w:rsidRPr="005F120D">
        <w:rPr>
          <w:rFonts w:cstheme="minorHAnsi"/>
        </w:rPr>
        <w:fldChar w:fldCharType="end"/>
      </w:r>
      <w:r w:rsidR="006F26E8" w:rsidRPr="005F120D">
        <w:rPr>
          <w:rFonts w:cstheme="minorHAnsi"/>
        </w:rPr>
        <w:t>: Field-Level Offices Strengthened</w:t>
      </w:r>
      <w:r w:rsidR="00944C36" w:rsidRPr="005F120D">
        <w:rPr>
          <w:rFonts w:cstheme="minorHAnsi"/>
        </w:rPr>
        <w:t>:</w:t>
      </w:r>
      <w:r w:rsidR="00112A70" w:rsidRPr="005F120D">
        <w:rPr>
          <w:rFonts w:cstheme="minorHAnsi"/>
        </w:rPr>
        <w:t xml:space="preserve"> Cost and Expenditure as of June 2015</w:t>
      </w:r>
      <w:bookmarkEnd w:id="92"/>
    </w:p>
    <w:p w:rsidR="006F26E8" w:rsidRPr="005F120D" w:rsidRDefault="006F26E8" w:rsidP="000A5B80">
      <w:pPr>
        <w:spacing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128"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2202"/>
        <w:gridCol w:w="783"/>
        <w:gridCol w:w="868"/>
        <w:gridCol w:w="844"/>
        <w:gridCol w:w="868"/>
        <w:gridCol w:w="925"/>
        <w:gridCol w:w="861"/>
        <w:gridCol w:w="1350"/>
        <w:gridCol w:w="779"/>
      </w:tblGrid>
      <w:tr w:rsidR="001F44E6" w:rsidRPr="005F120D" w:rsidTr="001C6C07">
        <w:trPr>
          <w:tblHeader/>
        </w:trPr>
        <w:tc>
          <w:tcPr>
            <w:tcW w:w="1162"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71" w:type="pct"/>
            <w:gridSpan w:val="2"/>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903" w:type="pct"/>
            <w:gridSpan w:val="2"/>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42" w:type="pct"/>
            <w:gridSpan w:val="2"/>
            <w:shd w:val="clear" w:color="auto" w:fill="92CDDC" w:themeFill="accent5" w:themeFillTint="99"/>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712"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11"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D10A27" w:rsidRPr="005F120D" w:rsidTr="001C6C07">
        <w:trPr>
          <w:tblHeader/>
        </w:trPr>
        <w:tc>
          <w:tcPr>
            <w:tcW w:w="1162" w:type="pct"/>
            <w:vMerge/>
          </w:tcPr>
          <w:p w:rsidR="006F26E8" w:rsidRPr="005F120D" w:rsidRDefault="006F26E8" w:rsidP="000A5B80">
            <w:pPr>
              <w:spacing w:after="0"/>
              <w:jc w:val="center"/>
              <w:rPr>
                <w:rFonts w:asciiTheme="minorHAnsi" w:hAnsiTheme="minorHAnsi" w:cstheme="minorHAnsi"/>
                <w:sz w:val="16"/>
                <w:szCs w:val="16"/>
              </w:rPr>
            </w:pPr>
          </w:p>
        </w:tc>
        <w:tc>
          <w:tcPr>
            <w:tcW w:w="413" w:type="pct"/>
            <w:shd w:val="clear" w:color="auto" w:fill="92CDDC" w:themeFill="accent5" w:themeFillTint="99"/>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8" w:type="pct"/>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45" w:type="pct"/>
            <w:shd w:val="clear" w:color="auto" w:fill="92CDDC" w:themeFill="accent5" w:themeFillTint="99"/>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8" w:type="pct"/>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88" w:type="pct"/>
            <w:shd w:val="clear" w:color="auto" w:fill="B6DDE8" w:themeFill="accent5" w:themeFillTint="66"/>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4" w:type="pct"/>
            <w:shd w:val="clear" w:color="auto" w:fill="B6DDE8" w:themeFill="accent5"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712" w:type="pct"/>
            <w:vMerge/>
          </w:tcPr>
          <w:p w:rsidR="006F26E8" w:rsidRPr="005F120D" w:rsidRDefault="006F26E8" w:rsidP="000A5B80">
            <w:pPr>
              <w:spacing w:after="0"/>
              <w:jc w:val="center"/>
              <w:rPr>
                <w:rFonts w:asciiTheme="minorHAnsi" w:hAnsiTheme="minorHAnsi" w:cstheme="minorHAnsi"/>
                <w:sz w:val="16"/>
                <w:szCs w:val="16"/>
              </w:rPr>
            </w:pPr>
          </w:p>
        </w:tc>
        <w:tc>
          <w:tcPr>
            <w:tcW w:w="411" w:type="pct"/>
            <w:vMerge/>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PTI expansion works</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55</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2,750.00</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block</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18,000.00</w:t>
            </w:r>
          </w:p>
        </w:tc>
        <w:tc>
          <w:tcPr>
            <w:tcW w:w="48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 PTIs</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2,400.00</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15,600.00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Construction of Auditorium</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1,500.00</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3 Auditorium</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800.00</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700.00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3. URC (new) construction</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1,500.00</w:t>
            </w:r>
          </w:p>
        </w:tc>
        <w:tc>
          <w:tcPr>
            <w:tcW w:w="445"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 URC</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2,450.00</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10</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2,450.00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4. Repair works of URCs</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Need based</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800.00</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107</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163.00</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637.00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5. Furniture for URCs</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Need based</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1,393.10</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167</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315.00</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1,078.10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6. UEO expansion works</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503</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10,060.00</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Need based</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16,750.00</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75</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650.00</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16,100.00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7. Construction of TEO offices in Dhaka and C</w:t>
            </w:r>
            <w:r w:rsidR="00980797" w:rsidRPr="005F120D">
              <w:rPr>
                <w:rFonts w:asciiTheme="minorHAnsi" w:hAnsiTheme="minorHAnsi" w:cstheme="minorHAnsi"/>
                <w:sz w:val="16"/>
                <w:szCs w:val="16"/>
              </w:rPr>
              <w:t>TG</w:t>
            </w:r>
            <w:r w:rsidRPr="005F120D">
              <w:rPr>
                <w:rFonts w:asciiTheme="minorHAnsi" w:hAnsiTheme="minorHAnsi" w:cstheme="minorHAnsi"/>
                <w:sz w:val="16"/>
                <w:szCs w:val="16"/>
              </w:rPr>
              <w:t xml:space="preserve"> city</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New</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 xml:space="preserve">TEO office </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2,000.00</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2,000.00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8. Construction of store rooms at UEO offices</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New</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9. Computers/ Laptops, UPS, volt stabilizer for PTI, UEO, URC</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2,130</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4,260.00</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Total 2755</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1,623.23</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Total: 1,069</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647.87</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975.36</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10. Laptop for 29 PTIs for DPEd</w:t>
            </w:r>
          </w:p>
        </w:tc>
        <w:tc>
          <w:tcPr>
            <w:tcW w:w="413" w:type="pct"/>
          </w:tcPr>
          <w:p w:rsidR="006F26E8" w:rsidRPr="005F120D" w:rsidRDefault="006F26E8" w:rsidP="000A5B80">
            <w:pPr>
              <w:spacing w:after="0"/>
              <w:jc w:val="center"/>
              <w:rPr>
                <w:rFonts w:asciiTheme="minorHAnsi" w:hAnsiTheme="minorHAnsi" w:cstheme="minorHAnsi"/>
                <w:sz w:val="16"/>
                <w:szCs w:val="16"/>
              </w:rPr>
            </w:pP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Laptop-29x16=464</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759.10</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Carry over for 29 PTIs</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759.10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11. Printers (laser &amp; colour) &amp; scanner for PTI, UEO, URC</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1,120</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672.00</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1106 printer</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206.00</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895</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27.00</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179.00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C14B97">
            <w:pPr>
              <w:spacing w:after="0"/>
              <w:rPr>
                <w:rFonts w:asciiTheme="minorHAnsi" w:hAnsiTheme="minorHAnsi" w:cstheme="minorHAnsi"/>
                <w:sz w:val="16"/>
                <w:szCs w:val="16"/>
              </w:rPr>
            </w:pPr>
            <w:r w:rsidRPr="005F120D">
              <w:rPr>
                <w:rFonts w:asciiTheme="minorHAnsi" w:hAnsiTheme="minorHAnsi" w:cstheme="minorHAnsi"/>
                <w:sz w:val="16"/>
                <w:szCs w:val="16"/>
              </w:rPr>
              <w:t>12. Multimedia projecto</w:t>
            </w:r>
            <w:r w:rsidR="00C14B97" w:rsidRPr="005F120D">
              <w:rPr>
                <w:rFonts w:asciiTheme="minorHAnsi" w:hAnsiTheme="minorHAnsi" w:cstheme="minorHAnsi"/>
                <w:sz w:val="16"/>
                <w:szCs w:val="16"/>
              </w:rPr>
              <w:t>rs</w:t>
            </w:r>
            <w:r w:rsidRPr="005F120D">
              <w:rPr>
                <w:rFonts w:asciiTheme="minorHAnsi" w:hAnsiTheme="minorHAnsi" w:cstheme="minorHAnsi"/>
                <w:sz w:val="16"/>
                <w:szCs w:val="16"/>
              </w:rPr>
              <w:t xml:space="preserve"> for PTI, UEO, URC</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1,120</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1,120.00</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1,120 MMP</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687.35</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1.078</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165.75</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521.60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156"/>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13. Photocopier</w:t>
            </w:r>
            <w:r w:rsidR="00C14B97" w:rsidRPr="005F120D">
              <w:rPr>
                <w:rFonts w:asciiTheme="minorHAnsi" w:hAnsiTheme="minorHAnsi" w:cstheme="minorHAnsi"/>
                <w:sz w:val="16"/>
                <w:szCs w:val="16"/>
              </w:rPr>
              <w:t>s</w:t>
            </w:r>
            <w:r w:rsidRPr="005F120D">
              <w:rPr>
                <w:rFonts w:asciiTheme="minorHAnsi" w:hAnsiTheme="minorHAnsi" w:cstheme="minorHAnsi"/>
                <w:sz w:val="16"/>
                <w:szCs w:val="16"/>
              </w:rPr>
              <w:t>, PTI</w:t>
            </w:r>
            <w:r w:rsidR="00C14B97" w:rsidRPr="005F120D">
              <w:rPr>
                <w:rFonts w:asciiTheme="minorHAnsi" w:hAnsiTheme="minorHAnsi" w:cstheme="minorHAnsi"/>
                <w:sz w:val="16"/>
                <w:szCs w:val="16"/>
              </w:rPr>
              <w:t>s</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55</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165.00</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67</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58.47</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11 PTIs</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34.47</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24.00</w:t>
            </w:r>
          </w:p>
        </w:tc>
        <w:tc>
          <w:tcPr>
            <w:tcW w:w="411" w:type="pct"/>
          </w:tcPr>
          <w:p w:rsidR="006F26E8" w:rsidRPr="005F120D" w:rsidRDefault="006F26E8" w:rsidP="000A5B80">
            <w:pPr>
              <w:spacing w:after="0"/>
              <w:rPr>
                <w:rFonts w:asciiTheme="minorHAnsi" w:hAnsiTheme="minorHAnsi" w:cstheme="minorHAnsi"/>
                <w:sz w:val="16"/>
                <w:szCs w:val="16"/>
              </w:rPr>
            </w:pPr>
          </w:p>
        </w:tc>
      </w:tr>
      <w:tr w:rsidR="00D10A27" w:rsidRPr="005F120D" w:rsidTr="001C6C07">
        <w:trPr>
          <w:trHeight w:val="138"/>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14. Microbus for PTIs</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55.00</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1,650.00</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 xml:space="preserve">55 </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2,000.00</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55</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1,225.91</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774.09</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282"/>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15. Motorbikes for UEO, AUEO, AMO</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2,569.00</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3,082.80</w:t>
            </w:r>
          </w:p>
        </w:tc>
        <w:tc>
          <w:tcPr>
            <w:tcW w:w="445"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2</w:t>
            </w:r>
            <w:r w:rsidR="00980797" w:rsidRPr="005F120D">
              <w:rPr>
                <w:rFonts w:asciiTheme="minorHAnsi" w:hAnsiTheme="minorHAnsi" w:cstheme="minorHAnsi"/>
                <w:sz w:val="14"/>
                <w:szCs w:val="14"/>
              </w:rPr>
              <w:t>,</w:t>
            </w:r>
            <w:r w:rsidRPr="005F120D">
              <w:rPr>
                <w:rFonts w:asciiTheme="minorHAnsi" w:hAnsiTheme="minorHAnsi" w:cstheme="minorHAnsi"/>
                <w:sz w:val="14"/>
                <w:szCs w:val="14"/>
              </w:rPr>
              <w:t xml:space="preserve">569 </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3,082.80</w:t>
            </w:r>
          </w:p>
        </w:tc>
        <w:tc>
          <w:tcPr>
            <w:tcW w:w="488"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3,082.80</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rPr>
          <w:trHeight w:val="336"/>
        </w:trPr>
        <w:tc>
          <w:tcPr>
            <w:tcW w:w="11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16. Salary for Additional staff PTI, URC, UEO</w:t>
            </w:r>
          </w:p>
        </w:tc>
        <w:tc>
          <w:tcPr>
            <w:tcW w:w="413"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9,808.32</w:t>
            </w:r>
          </w:p>
        </w:tc>
        <w:tc>
          <w:tcPr>
            <w:tcW w:w="445" w:type="pct"/>
          </w:tcPr>
          <w:p w:rsidR="006F26E8" w:rsidRPr="005F120D" w:rsidRDefault="006F26E8" w:rsidP="000A5B80">
            <w:pPr>
              <w:spacing w:after="0"/>
              <w:jc w:val="center"/>
              <w:rPr>
                <w:rFonts w:asciiTheme="minorHAnsi" w:hAnsiTheme="minorHAnsi" w:cstheme="minorHAnsi"/>
                <w:sz w:val="16"/>
                <w:szCs w:val="16"/>
              </w:rPr>
            </w:pP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3,646.37</w:t>
            </w:r>
          </w:p>
        </w:tc>
        <w:tc>
          <w:tcPr>
            <w:tcW w:w="488" w:type="pct"/>
          </w:tcPr>
          <w:p w:rsidR="006F26E8" w:rsidRPr="005F120D" w:rsidRDefault="00D10A27"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 xml:space="preserve">PTI: 59 </w:t>
            </w:r>
            <w:r w:rsidR="006F26E8" w:rsidRPr="005F120D">
              <w:rPr>
                <w:rFonts w:asciiTheme="minorHAnsi" w:hAnsiTheme="minorHAnsi" w:cstheme="minorHAnsi"/>
                <w:sz w:val="14"/>
                <w:szCs w:val="14"/>
              </w:rPr>
              <w:t xml:space="preserve"> 240, URC: 96 &amp; UEO:71</w:t>
            </w:r>
          </w:p>
        </w:tc>
        <w:tc>
          <w:tcPr>
            <w:tcW w:w="45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896.04</w:t>
            </w:r>
          </w:p>
        </w:tc>
        <w:tc>
          <w:tcPr>
            <w:tcW w:w="71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(896.04)</w:t>
            </w:r>
          </w:p>
        </w:tc>
        <w:tc>
          <w:tcPr>
            <w:tcW w:w="411" w:type="pct"/>
          </w:tcPr>
          <w:p w:rsidR="006F26E8" w:rsidRPr="005F120D" w:rsidRDefault="006F26E8" w:rsidP="000A5B80">
            <w:pPr>
              <w:spacing w:after="0"/>
              <w:jc w:val="center"/>
              <w:rPr>
                <w:rFonts w:asciiTheme="minorHAnsi" w:hAnsiTheme="minorHAnsi" w:cstheme="minorHAnsi"/>
                <w:sz w:val="16"/>
                <w:szCs w:val="16"/>
              </w:rPr>
            </w:pPr>
          </w:p>
        </w:tc>
      </w:tr>
      <w:tr w:rsidR="00D10A27" w:rsidRPr="005F120D" w:rsidTr="001C6C07">
        <w:tc>
          <w:tcPr>
            <w:tcW w:w="1162"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13"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p>
        </w:tc>
        <w:tc>
          <w:tcPr>
            <w:tcW w:w="458"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35,068.12</w:t>
            </w:r>
          </w:p>
        </w:tc>
        <w:tc>
          <w:tcPr>
            <w:tcW w:w="445"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p>
        </w:tc>
        <w:tc>
          <w:tcPr>
            <w:tcW w:w="458"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54,956.42</w:t>
            </w:r>
          </w:p>
        </w:tc>
        <w:tc>
          <w:tcPr>
            <w:tcW w:w="488"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p>
        </w:tc>
        <w:tc>
          <w:tcPr>
            <w:tcW w:w="454"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7,325.04</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(13.1%)</w:t>
            </w:r>
          </w:p>
        </w:tc>
        <w:tc>
          <w:tcPr>
            <w:tcW w:w="712"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47,631.38</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(76.9%)</w:t>
            </w:r>
          </w:p>
        </w:tc>
        <w:tc>
          <w:tcPr>
            <w:tcW w:w="411"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p>
        </w:tc>
      </w:tr>
    </w:tbl>
    <w:p w:rsidR="00981CA3" w:rsidRPr="005F120D" w:rsidRDefault="006F26E8" w:rsidP="000A5B80">
      <w:pPr>
        <w:pStyle w:val="ListParagraph"/>
        <w:numPr>
          <w:ilvl w:val="0"/>
          <w:numId w:val="88"/>
        </w:numPr>
        <w:autoSpaceDE w:val="0"/>
        <w:autoSpaceDN w:val="0"/>
        <w:adjustRightInd w:val="0"/>
        <w:spacing w:before="240"/>
        <w:jc w:val="both"/>
        <w:rPr>
          <w:rFonts w:asciiTheme="minorHAnsi" w:hAnsiTheme="minorHAnsi" w:cstheme="minorHAnsi"/>
        </w:rPr>
      </w:pPr>
      <w:r w:rsidRPr="005F120D">
        <w:rPr>
          <w:rFonts w:asciiTheme="minorHAnsi" w:hAnsiTheme="minorHAnsi" w:cstheme="minorHAnsi"/>
          <w:b/>
          <w:i/>
          <w:iCs/>
          <w:color w:val="008000"/>
        </w:rPr>
        <w:t>Sub-Component 3.1.2 - Decentralized School Management and Governance:</w:t>
      </w:r>
    </w:p>
    <w:p w:rsidR="009A2E97" w:rsidRPr="005F120D" w:rsidRDefault="00BC46F6" w:rsidP="00BC46F6">
      <w:pPr>
        <w:autoSpaceDE w:val="0"/>
        <w:autoSpaceDN w:val="0"/>
        <w:adjustRightInd w:val="0"/>
        <w:spacing w:before="240"/>
        <w:jc w:val="both"/>
        <w:rPr>
          <w:rFonts w:asciiTheme="minorHAnsi" w:hAnsiTheme="minorHAnsi" w:cstheme="minorHAnsi"/>
        </w:rPr>
      </w:pPr>
      <w:r w:rsidRPr="005F120D">
        <w:rPr>
          <w:rFonts w:asciiTheme="minorHAnsi" w:hAnsiTheme="minorHAnsi" w:cstheme="minorHAnsi"/>
          <w:szCs w:val="22"/>
        </w:rPr>
        <w:t xml:space="preserve">A key dimension of PEDP3 is to enhance decentralized planning at District, Upazila and school </w:t>
      </w:r>
      <w:r w:rsidR="00072DB3" w:rsidRPr="005F120D">
        <w:rPr>
          <w:rFonts w:asciiTheme="minorHAnsi" w:hAnsiTheme="minorHAnsi" w:cstheme="minorHAnsi"/>
          <w:szCs w:val="22"/>
        </w:rPr>
        <w:t>levels.</w:t>
      </w:r>
      <w:r w:rsidR="00072DB3" w:rsidRPr="005F120D">
        <w:rPr>
          <w:rFonts w:asciiTheme="minorHAnsi" w:hAnsiTheme="minorHAnsi" w:cstheme="minorHAnsi"/>
          <w:iCs/>
        </w:rPr>
        <w:t xml:space="preserve"> The</w:t>
      </w:r>
      <w:r w:rsidR="00E1413A" w:rsidRPr="005F120D">
        <w:rPr>
          <w:rFonts w:asciiTheme="minorHAnsi" w:hAnsiTheme="minorHAnsi" w:cstheme="minorHAnsi"/>
          <w:iCs/>
        </w:rPr>
        <w:t xml:space="preserve"> </w:t>
      </w:r>
      <w:r w:rsidR="00B55A92" w:rsidRPr="005F120D">
        <w:rPr>
          <w:rFonts w:asciiTheme="minorHAnsi" w:hAnsiTheme="minorHAnsi" w:cstheme="minorHAnsi"/>
          <w:szCs w:val="22"/>
        </w:rPr>
        <w:t>d</w:t>
      </w:r>
      <w:r w:rsidR="00E1413A" w:rsidRPr="005F120D">
        <w:rPr>
          <w:rFonts w:asciiTheme="minorHAnsi" w:hAnsiTheme="minorHAnsi" w:cstheme="minorHAnsi"/>
          <w:szCs w:val="22"/>
        </w:rPr>
        <w:t xml:space="preserve">evolution of power/authority is proposed on </w:t>
      </w:r>
      <w:r w:rsidR="00B55A92" w:rsidRPr="005F120D">
        <w:rPr>
          <w:rFonts w:asciiTheme="minorHAnsi" w:hAnsiTheme="minorHAnsi" w:cstheme="minorHAnsi"/>
          <w:szCs w:val="22"/>
        </w:rPr>
        <w:t xml:space="preserve">a </w:t>
      </w:r>
      <w:r w:rsidR="00E1413A" w:rsidRPr="005F120D">
        <w:rPr>
          <w:rFonts w:asciiTheme="minorHAnsi" w:hAnsiTheme="minorHAnsi" w:cstheme="minorHAnsi"/>
          <w:szCs w:val="22"/>
        </w:rPr>
        <w:t xml:space="preserve">selected basis in several administrative areas and a comprehensive devolution plan will be developed and </w:t>
      </w:r>
      <w:r w:rsidR="00072DB3" w:rsidRPr="005F120D">
        <w:rPr>
          <w:rFonts w:asciiTheme="minorHAnsi" w:hAnsiTheme="minorHAnsi" w:cstheme="minorHAnsi"/>
          <w:szCs w:val="22"/>
        </w:rPr>
        <w:t>implemented.</w:t>
      </w:r>
      <w:r w:rsidR="00072DB3" w:rsidRPr="005F120D">
        <w:rPr>
          <w:rFonts w:asciiTheme="minorHAnsi" w:hAnsiTheme="minorHAnsi" w:cstheme="minorHAnsi"/>
          <w:iCs/>
        </w:rPr>
        <w:t xml:space="preserve"> </w:t>
      </w:r>
      <w:r w:rsidR="00072DB3" w:rsidRPr="005F120D">
        <w:rPr>
          <w:rFonts w:asciiTheme="minorHAnsi" w:hAnsiTheme="minorHAnsi" w:cstheme="minorHAnsi"/>
        </w:rPr>
        <w:t>All</w:t>
      </w:r>
      <w:r w:rsidR="00E1413A" w:rsidRPr="005F120D">
        <w:rPr>
          <w:rFonts w:asciiTheme="minorHAnsi" w:hAnsiTheme="minorHAnsi" w:cstheme="minorHAnsi"/>
        </w:rPr>
        <w:t xml:space="preserve"> Schools p</w:t>
      </w:r>
      <w:r w:rsidR="007D75C1" w:rsidRPr="005F120D">
        <w:rPr>
          <w:rFonts w:asciiTheme="minorHAnsi" w:hAnsiTheme="minorHAnsi" w:cstheme="minorHAnsi"/>
        </w:rPr>
        <w:t>rep</w:t>
      </w:r>
      <w:r w:rsidR="00E1413A" w:rsidRPr="005F120D">
        <w:rPr>
          <w:rFonts w:asciiTheme="minorHAnsi" w:hAnsiTheme="minorHAnsi" w:cstheme="minorHAnsi"/>
        </w:rPr>
        <w:t>are and i</w:t>
      </w:r>
      <w:r w:rsidR="009A2E97" w:rsidRPr="005F120D">
        <w:rPr>
          <w:rFonts w:asciiTheme="minorHAnsi" w:hAnsiTheme="minorHAnsi" w:cstheme="minorHAnsi"/>
        </w:rPr>
        <w:t>mplement</w:t>
      </w:r>
      <w:r w:rsidR="007D75C1" w:rsidRPr="005F120D">
        <w:rPr>
          <w:rFonts w:asciiTheme="minorHAnsi" w:hAnsiTheme="minorHAnsi" w:cstheme="minorHAnsi"/>
        </w:rPr>
        <w:t xml:space="preserve"> the School Learning Improvement Plan (SLIP) and </w:t>
      </w:r>
      <w:r w:rsidR="00E1413A" w:rsidRPr="005F120D">
        <w:rPr>
          <w:rFonts w:asciiTheme="minorHAnsi" w:hAnsiTheme="minorHAnsi" w:cstheme="minorHAnsi"/>
        </w:rPr>
        <w:t>75% of Upazilas/Thanas p</w:t>
      </w:r>
      <w:r w:rsidR="009A2E97" w:rsidRPr="005F120D">
        <w:rPr>
          <w:rFonts w:asciiTheme="minorHAnsi" w:hAnsiTheme="minorHAnsi" w:cstheme="minorHAnsi"/>
        </w:rPr>
        <w:t>repare</w:t>
      </w:r>
      <w:r w:rsidR="007D75C1" w:rsidRPr="005F120D">
        <w:rPr>
          <w:rFonts w:asciiTheme="minorHAnsi" w:hAnsiTheme="minorHAnsi" w:cstheme="minorHAnsi"/>
        </w:rPr>
        <w:t xml:space="preserve"> the Upazila Primary Education Plans (UPEP). </w:t>
      </w:r>
      <w:r w:rsidR="007D75C1" w:rsidRPr="005F120D">
        <w:rPr>
          <w:rFonts w:asciiTheme="minorHAnsi" w:hAnsiTheme="minorHAnsi" w:cstheme="minorHAnsi"/>
          <w:bCs/>
        </w:rPr>
        <w:t xml:space="preserve">The total original cost as per DPP was Tk. 140,948.87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106,323.67 </w:t>
      </w:r>
      <w:r w:rsidR="00F738CE" w:rsidRPr="005F120D">
        <w:rPr>
          <w:rFonts w:asciiTheme="minorHAnsi" w:hAnsiTheme="minorHAnsi" w:cstheme="minorHAnsi"/>
          <w:bCs/>
        </w:rPr>
        <w:t>Lac</w:t>
      </w:r>
      <w:r w:rsidR="00980797" w:rsidRPr="005F120D">
        <w:rPr>
          <w:rFonts w:asciiTheme="minorHAnsi" w:hAnsiTheme="minorHAnsi" w:cstheme="minorHAnsi"/>
          <w:bCs/>
        </w:rPr>
        <w:t>.</w:t>
      </w:r>
    </w:p>
    <w:p w:rsidR="006F26E8" w:rsidRPr="005F120D" w:rsidRDefault="00516938" w:rsidP="000A5B80">
      <w:pPr>
        <w:pStyle w:val="Caption"/>
        <w:rPr>
          <w:rFonts w:cstheme="minorHAnsi"/>
        </w:rPr>
      </w:pPr>
      <w:bookmarkStart w:id="93" w:name="_Toc462837244"/>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22</w:t>
      </w:r>
      <w:r w:rsidR="002E2ED5" w:rsidRPr="005F120D">
        <w:rPr>
          <w:rFonts w:cstheme="minorHAnsi"/>
        </w:rPr>
        <w:fldChar w:fldCharType="end"/>
      </w:r>
      <w:r w:rsidR="006F26E8" w:rsidRPr="005F120D">
        <w:rPr>
          <w:rFonts w:cstheme="minorHAnsi"/>
        </w:rPr>
        <w:t xml:space="preserve">: Decentralized School Management and </w:t>
      </w:r>
      <w:r w:rsidR="00072DB3" w:rsidRPr="005F120D">
        <w:rPr>
          <w:rFonts w:cstheme="minorHAnsi"/>
        </w:rPr>
        <w:t>Governance: Cost</w:t>
      </w:r>
      <w:r w:rsidR="00D10A27" w:rsidRPr="005F120D">
        <w:rPr>
          <w:rFonts w:cstheme="minorHAnsi"/>
        </w:rPr>
        <w:t xml:space="preserve"> and Ex</w:t>
      </w:r>
      <w:r w:rsidR="00E57EB4" w:rsidRPr="005F120D">
        <w:rPr>
          <w:rFonts w:cstheme="minorHAnsi"/>
        </w:rPr>
        <w:t>pend</w:t>
      </w:r>
      <w:r w:rsidR="00112A70" w:rsidRPr="005F120D">
        <w:rPr>
          <w:rFonts w:cstheme="minorHAnsi"/>
        </w:rPr>
        <w:t xml:space="preserve"> as of June 2015</w:t>
      </w:r>
      <w:bookmarkEnd w:id="93"/>
    </w:p>
    <w:p w:rsidR="006F26E8" w:rsidRPr="005F120D" w:rsidRDefault="006F26E8" w:rsidP="000A5B80">
      <w:pPr>
        <w:spacing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128"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1824"/>
        <w:gridCol w:w="743"/>
        <w:gridCol w:w="950"/>
        <w:gridCol w:w="851"/>
        <w:gridCol w:w="950"/>
        <w:gridCol w:w="895"/>
        <w:gridCol w:w="868"/>
        <w:gridCol w:w="1426"/>
        <w:gridCol w:w="973"/>
      </w:tblGrid>
      <w:tr w:rsidR="006F26E8" w:rsidRPr="005F120D" w:rsidTr="001C6C07">
        <w:trPr>
          <w:tblHeader/>
        </w:trPr>
        <w:tc>
          <w:tcPr>
            <w:tcW w:w="962"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92" w:type="pct"/>
            <w:gridSpan w:val="2"/>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950" w:type="pct"/>
            <w:gridSpan w:val="2"/>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30" w:type="pct"/>
            <w:gridSpan w:val="2"/>
            <w:shd w:val="clear" w:color="auto" w:fill="92CDDC" w:themeFill="accent5" w:themeFillTint="99"/>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752"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514"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1C6C07">
        <w:trPr>
          <w:tblHeader/>
        </w:trPr>
        <w:tc>
          <w:tcPr>
            <w:tcW w:w="962" w:type="pct"/>
            <w:vMerge/>
          </w:tcPr>
          <w:p w:rsidR="006F26E8" w:rsidRPr="005F120D" w:rsidRDefault="006F26E8" w:rsidP="000A5B80">
            <w:pPr>
              <w:spacing w:after="0"/>
              <w:jc w:val="center"/>
              <w:rPr>
                <w:rFonts w:asciiTheme="minorHAnsi" w:hAnsiTheme="minorHAnsi" w:cstheme="minorHAnsi"/>
                <w:sz w:val="16"/>
                <w:szCs w:val="16"/>
              </w:rPr>
            </w:pPr>
          </w:p>
        </w:tc>
        <w:tc>
          <w:tcPr>
            <w:tcW w:w="392" w:type="pct"/>
            <w:shd w:val="clear" w:color="auto" w:fill="92CDDC" w:themeFill="accent5" w:themeFillTint="99"/>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01" w:type="pct"/>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49" w:type="pct"/>
            <w:shd w:val="clear" w:color="auto" w:fill="92CDDC" w:themeFill="accent5" w:themeFillTint="99"/>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01" w:type="pct"/>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72" w:type="pct"/>
            <w:shd w:val="clear" w:color="auto" w:fill="B6DDE8" w:themeFill="accent5" w:themeFillTint="66"/>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8" w:type="pct"/>
            <w:shd w:val="clear" w:color="auto" w:fill="B6DDE8" w:themeFill="accent5"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752" w:type="pct"/>
            <w:vMerge/>
          </w:tcPr>
          <w:p w:rsidR="006F26E8" w:rsidRPr="005F120D" w:rsidRDefault="006F26E8" w:rsidP="000A5B80">
            <w:pPr>
              <w:spacing w:after="0"/>
              <w:jc w:val="center"/>
              <w:rPr>
                <w:rFonts w:asciiTheme="minorHAnsi" w:hAnsiTheme="minorHAnsi" w:cstheme="minorHAnsi"/>
                <w:sz w:val="16"/>
                <w:szCs w:val="16"/>
              </w:rPr>
            </w:pPr>
          </w:p>
        </w:tc>
        <w:tc>
          <w:tcPr>
            <w:tcW w:w="514" w:type="pct"/>
            <w:vMerge/>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1C6C07">
        <w:trPr>
          <w:trHeight w:val="282"/>
        </w:trPr>
        <w:tc>
          <w:tcPr>
            <w:tcW w:w="9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SLIP stakeholder training</w:t>
            </w:r>
          </w:p>
        </w:tc>
        <w:tc>
          <w:tcPr>
            <w:tcW w:w="39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573,858</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8,607.87</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6,40,000 persons</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6,314.48</w:t>
            </w:r>
          </w:p>
        </w:tc>
        <w:tc>
          <w:tcPr>
            <w:tcW w:w="472" w:type="pct"/>
          </w:tcPr>
          <w:p w:rsidR="006F26E8" w:rsidRPr="005F120D" w:rsidRDefault="00D21A4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1,736.52</w:t>
            </w:r>
          </w:p>
        </w:tc>
        <w:tc>
          <w:tcPr>
            <w:tcW w:w="75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4,577.96</w:t>
            </w:r>
          </w:p>
        </w:tc>
        <w:tc>
          <w:tcPr>
            <w:tcW w:w="514"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1C6C07">
        <w:trPr>
          <w:trHeight w:val="282"/>
        </w:trPr>
        <w:tc>
          <w:tcPr>
            <w:tcW w:w="9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SLIP master training refresher</w:t>
            </w:r>
          </w:p>
        </w:tc>
        <w:tc>
          <w:tcPr>
            <w:tcW w:w="39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3,500</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175.00</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2,500 persons</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63.76</w:t>
            </w:r>
          </w:p>
        </w:tc>
        <w:tc>
          <w:tcPr>
            <w:tcW w:w="472" w:type="pct"/>
          </w:tcPr>
          <w:p w:rsidR="006F26E8" w:rsidRPr="005F120D" w:rsidRDefault="00D21A4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9.48</w:t>
            </w:r>
          </w:p>
        </w:tc>
        <w:tc>
          <w:tcPr>
            <w:tcW w:w="75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54.28</w:t>
            </w:r>
          </w:p>
        </w:tc>
        <w:tc>
          <w:tcPr>
            <w:tcW w:w="514" w:type="pct"/>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1C6C07">
        <w:trPr>
          <w:trHeight w:val="282"/>
        </w:trPr>
        <w:tc>
          <w:tcPr>
            <w:tcW w:w="9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3. SLIP school funding</w:t>
            </w:r>
          </w:p>
        </w:tc>
        <w:tc>
          <w:tcPr>
            <w:tcW w:w="39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318,810</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127,524.00</w:t>
            </w:r>
          </w:p>
        </w:tc>
        <w:tc>
          <w:tcPr>
            <w:tcW w:w="449" w:type="pct"/>
          </w:tcPr>
          <w:p w:rsidR="006F26E8" w:rsidRPr="005F120D" w:rsidRDefault="00D21A4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99,584.00</w:t>
            </w:r>
          </w:p>
        </w:tc>
        <w:tc>
          <w:tcPr>
            <w:tcW w:w="47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47,000 schools</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35,558.10</w:t>
            </w:r>
          </w:p>
        </w:tc>
        <w:tc>
          <w:tcPr>
            <w:tcW w:w="75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64,025.90</w:t>
            </w:r>
          </w:p>
        </w:tc>
        <w:tc>
          <w:tcPr>
            <w:tcW w:w="514" w:type="pct"/>
          </w:tcPr>
          <w:p w:rsidR="006F26E8" w:rsidRPr="005F120D" w:rsidRDefault="006F26E8" w:rsidP="000A5B80">
            <w:pPr>
              <w:spacing w:after="0"/>
              <w:jc w:val="center"/>
              <w:rPr>
                <w:rFonts w:asciiTheme="minorHAnsi" w:hAnsiTheme="minorHAnsi" w:cstheme="minorHAnsi"/>
                <w:sz w:val="14"/>
                <w:szCs w:val="14"/>
              </w:rPr>
            </w:pPr>
          </w:p>
        </w:tc>
      </w:tr>
      <w:tr w:rsidR="006F26E8" w:rsidRPr="005F120D" w:rsidTr="001C6C07">
        <w:trPr>
          <w:trHeight w:val="282"/>
        </w:trPr>
        <w:tc>
          <w:tcPr>
            <w:tcW w:w="9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4. Develop SMC &amp; PTA guidelines &amp; distribution</w:t>
            </w:r>
          </w:p>
        </w:tc>
        <w:tc>
          <w:tcPr>
            <w:tcW w:w="39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186.96</w:t>
            </w:r>
          </w:p>
        </w:tc>
        <w:tc>
          <w:tcPr>
            <w:tcW w:w="472" w:type="pct"/>
          </w:tcPr>
          <w:p w:rsidR="006F26E8" w:rsidRPr="005F120D" w:rsidRDefault="00D21A4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36.96</w:t>
            </w:r>
          </w:p>
        </w:tc>
        <w:tc>
          <w:tcPr>
            <w:tcW w:w="75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150.00</w:t>
            </w:r>
          </w:p>
        </w:tc>
        <w:tc>
          <w:tcPr>
            <w:tcW w:w="514"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Unicef Fund</w:t>
            </w:r>
          </w:p>
        </w:tc>
      </w:tr>
      <w:tr w:rsidR="006F26E8" w:rsidRPr="005F120D" w:rsidTr="001C6C07">
        <w:trPr>
          <w:trHeight w:val="282"/>
        </w:trPr>
        <w:tc>
          <w:tcPr>
            <w:tcW w:w="9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5. SLIP review &amp; monitoring</w:t>
            </w:r>
          </w:p>
        </w:tc>
        <w:tc>
          <w:tcPr>
            <w:tcW w:w="39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9.00</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2" w:type="pct"/>
          </w:tcPr>
          <w:p w:rsidR="006F26E8" w:rsidRPr="005F120D" w:rsidRDefault="006F26E8" w:rsidP="000A5B80">
            <w:pPr>
              <w:spacing w:after="0"/>
              <w:jc w:val="center"/>
              <w:rPr>
                <w:rFonts w:asciiTheme="minorHAnsi" w:hAnsiTheme="minorHAnsi" w:cstheme="minorHAnsi"/>
                <w:sz w:val="16"/>
                <w:szCs w:val="16"/>
              </w:rPr>
            </w:pP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75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4"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(Unicef Fund)</w:t>
            </w:r>
          </w:p>
        </w:tc>
      </w:tr>
      <w:tr w:rsidR="006F26E8" w:rsidRPr="005F120D" w:rsidTr="001C6C07">
        <w:trPr>
          <w:trHeight w:val="282"/>
        </w:trPr>
        <w:tc>
          <w:tcPr>
            <w:tcW w:w="9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6. UPEP master training</w:t>
            </w:r>
          </w:p>
        </w:tc>
        <w:tc>
          <w:tcPr>
            <w:tcW w:w="39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1,600</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80.00</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38.37</w:t>
            </w:r>
          </w:p>
        </w:tc>
        <w:tc>
          <w:tcPr>
            <w:tcW w:w="472" w:type="pct"/>
          </w:tcPr>
          <w:p w:rsidR="006F26E8" w:rsidRPr="005F120D" w:rsidRDefault="006F26E8" w:rsidP="000A5B80">
            <w:pPr>
              <w:spacing w:after="0"/>
              <w:jc w:val="center"/>
              <w:rPr>
                <w:rFonts w:asciiTheme="minorHAnsi" w:hAnsiTheme="minorHAnsi" w:cstheme="minorHAnsi"/>
                <w:sz w:val="16"/>
                <w:szCs w:val="16"/>
              </w:rPr>
            </w:pP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37.76</w:t>
            </w:r>
          </w:p>
        </w:tc>
        <w:tc>
          <w:tcPr>
            <w:tcW w:w="75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0.61</w:t>
            </w:r>
          </w:p>
        </w:tc>
        <w:tc>
          <w:tcPr>
            <w:tcW w:w="514" w:type="pct"/>
          </w:tcPr>
          <w:p w:rsidR="006F26E8" w:rsidRPr="005F120D" w:rsidRDefault="006F26E8" w:rsidP="000A5B80">
            <w:pPr>
              <w:spacing w:after="0"/>
              <w:jc w:val="center"/>
              <w:rPr>
                <w:rFonts w:asciiTheme="minorHAnsi" w:hAnsiTheme="minorHAnsi" w:cstheme="minorHAnsi"/>
                <w:sz w:val="14"/>
                <w:szCs w:val="14"/>
              </w:rPr>
            </w:pPr>
          </w:p>
        </w:tc>
      </w:tr>
      <w:tr w:rsidR="006F26E8" w:rsidRPr="005F120D" w:rsidTr="001C6C07">
        <w:trPr>
          <w:trHeight w:val="282"/>
        </w:trPr>
        <w:tc>
          <w:tcPr>
            <w:tcW w:w="962" w:type="pct"/>
          </w:tcPr>
          <w:p w:rsidR="006F26E8" w:rsidRPr="005F120D" w:rsidRDefault="009A2E97" w:rsidP="000A5B80">
            <w:pPr>
              <w:spacing w:after="0"/>
              <w:rPr>
                <w:rFonts w:asciiTheme="minorHAnsi" w:hAnsiTheme="minorHAnsi" w:cstheme="minorHAnsi"/>
                <w:sz w:val="16"/>
                <w:szCs w:val="16"/>
              </w:rPr>
            </w:pPr>
            <w:r w:rsidRPr="005F120D">
              <w:rPr>
                <w:rFonts w:asciiTheme="minorHAnsi" w:hAnsiTheme="minorHAnsi" w:cstheme="minorHAnsi"/>
                <w:sz w:val="16"/>
                <w:szCs w:val="16"/>
              </w:rPr>
              <w:t>7. UPEP upazila f</w:t>
            </w:r>
            <w:r w:rsidR="006F26E8" w:rsidRPr="005F120D">
              <w:rPr>
                <w:rFonts w:asciiTheme="minorHAnsi" w:hAnsiTheme="minorHAnsi" w:cstheme="minorHAnsi"/>
                <w:sz w:val="16"/>
                <w:szCs w:val="16"/>
              </w:rPr>
              <w:t>unding</w:t>
            </w:r>
          </w:p>
        </w:tc>
        <w:tc>
          <w:tcPr>
            <w:tcW w:w="39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2,515</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503.00</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75% Uzs.</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101.10</w:t>
            </w:r>
          </w:p>
        </w:tc>
        <w:tc>
          <w:tcPr>
            <w:tcW w:w="47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253 Upazilas</w:t>
            </w: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20.20</w:t>
            </w:r>
          </w:p>
        </w:tc>
        <w:tc>
          <w:tcPr>
            <w:tcW w:w="75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80.90</w:t>
            </w:r>
          </w:p>
        </w:tc>
        <w:tc>
          <w:tcPr>
            <w:tcW w:w="514" w:type="pct"/>
          </w:tcPr>
          <w:p w:rsidR="006F26E8" w:rsidRPr="005F120D" w:rsidRDefault="006F26E8" w:rsidP="000A5B80">
            <w:pPr>
              <w:spacing w:after="0"/>
              <w:jc w:val="center"/>
              <w:rPr>
                <w:rFonts w:asciiTheme="minorHAnsi" w:hAnsiTheme="minorHAnsi" w:cstheme="minorHAnsi"/>
                <w:sz w:val="14"/>
                <w:szCs w:val="14"/>
              </w:rPr>
            </w:pPr>
          </w:p>
        </w:tc>
      </w:tr>
      <w:tr w:rsidR="006F26E8" w:rsidRPr="005F120D" w:rsidTr="001C6C07">
        <w:trPr>
          <w:trHeight w:val="282"/>
        </w:trPr>
        <w:tc>
          <w:tcPr>
            <w:tcW w:w="9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8. UPEP workshop</w:t>
            </w:r>
            <w:r w:rsidR="009A2E97" w:rsidRPr="005F120D">
              <w:rPr>
                <w:rFonts w:asciiTheme="minorHAnsi" w:hAnsiTheme="minorHAnsi" w:cstheme="minorHAnsi"/>
                <w:sz w:val="16"/>
                <w:szCs w:val="16"/>
              </w:rPr>
              <w:t>s</w:t>
            </w:r>
          </w:p>
        </w:tc>
        <w:tc>
          <w:tcPr>
            <w:tcW w:w="39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50.00</w:t>
            </w:r>
          </w:p>
        </w:tc>
        <w:tc>
          <w:tcPr>
            <w:tcW w:w="44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2" w:type="pct"/>
          </w:tcPr>
          <w:p w:rsidR="006F26E8" w:rsidRPr="005F120D" w:rsidRDefault="006F26E8" w:rsidP="000A5B80">
            <w:pPr>
              <w:spacing w:after="0"/>
              <w:jc w:val="center"/>
              <w:rPr>
                <w:rFonts w:asciiTheme="minorHAnsi" w:hAnsiTheme="minorHAnsi" w:cstheme="minorHAnsi"/>
                <w:sz w:val="16"/>
                <w:szCs w:val="16"/>
              </w:rPr>
            </w:pP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75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4" w:type="pct"/>
          </w:tcPr>
          <w:p w:rsidR="006F26E8" w:rsidRPr="005F120D" w:rsidRDefault="006F26E8" w:rsidP="000A5B80">
            <w:pPr>
              <w:spacing w:after="0"/>
              <w:jc w:val="center"/>
              <w:rPr>
                <w:rFonts w:asciiTheme="minorHAnsi" w:hAnsiTheme="minorHAnsi" w:cstheme="minorHAnsi"/>
                <w:sz w:val="14"/>
                <w:szCs w:val="14"/>
              </w:rPr>
            </w:pPr>
          </w:p>
        </w:tc>
      </w:tr>
      <w:tr w:rsidR="006F26E8" w:rsidRPr="005F120D" w:rsidTr="001C6C07">
        <w:trPr>
          <w:trHeight w:val="282"/>
        </w:trPr>
        <w:tc>
          <w:tcPr>
            <w:tcW w:w="962"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9. UPEP workshop</w:t>
            </w:r>
            <w:r w:rsidR="009A2E97" w:rsidRPr="005F120D">
              <w:rPr>
                <w:rFonts w:asciiTheme="minorHAnsi" w:hAnsiTheme="minorHAnsi" w:cstheme="minorHAnsi"/>
                <w:sz w:val="16"/>
                <w:szCs w:val="16"/>
              </w:rPr>
              <w:t>s</w:t>
            </w:r>
          </w:p>
        </w:tc>
        <w:tc>
          <w:tcPr>
            <w:tcW w:w="39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9" w:type="pct"/>
          </w:tcPr>
          <w:p w:rsidR="006F26E8" w:rsidRPr="005F120D" w:rsidRDefault="00D21A4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1"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35.00</w:t>
            </w:r>
          </w:p>
        </w:tc>
        <w:tc>
          <w:tcPr>
            <w:tcW w:w="472" w:type="pct"/>
          </w:tcPr>
          <w:p w:rsidR="006F26E8" w:rsidRPr="005F120D" w:rsidRDefault="006F26E8" w:rsidP="000A5B80">
            <w:pPr>
              <w:spacing w:after="0"/>
              <w:jc w:val="center"/>
              <w:rPr>
                <w:rFonts w:asciiTheme="minorHAnsi" w:hAnsiTheme="minorHAnsi" w:cstheme="minorHAnsi"/>
                <w:sz w:val="16"/>
                <w:szCs w:val="16"/>
              </w:rPr>
            </w:pPr>
          </w:p>
        </w:tc>
        <w:tc>
          <w:tcPr>
            <w:tcW w:w="458"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w:t>
            </w:r>
          </w:p>
        </w:tc>
        <w:tc>
          <w:tcPr>
            <w:tcW w:w="75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30.00</w:t>
            </w:r>
          </w:p>
        </w:tc>
        <w:tc>
          <w:tcPr>
            <w:tcW w:w="514"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(Unicef Fund)</w:t>
            </w:r>
          </w:p>
        </w:tc>
      </w:tr>
      <w:tr w:rsidR="006F26E8" w:rsidRPr="005F120D" w:rsidTr="001C6C07">
        <w:tc>
          <w:tcPr>
            <w:tcW w:w="962"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392"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p>
        </w:tc>
        <w:tc>
          <w:tcPr>
            <w:tcW w:w="501"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136,948.87</w:t>
            </w:r>
          </w:p>
        </w:tc>
        <w:tc>
          <w:tcPr>
            <w:tcW w:w="449"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p>
        </w:tc>
        <w:tc>
          <w:tcPr>
            <w:tcW w:w="501"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106,323.67</w:t>
            </w:r>
          </w:p>
        </w:tc>
        <w:tc>
          <w:tcPr>
            <w:tcW w:w="472"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p>
        </w:tc>
        <w:tc>
          <w:tcPr>
            <w:tcW w:w="458"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37,404.02</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(35.2%)</w:t>
            </w:r>
          </w:p>
        </w:tc>
        <w:tc>
          <w:tcPr>
            <w:tcW w:w="752"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68,919.65</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(64.8%)</w:t>
            </w:r>
          </w:p>
        </w:tc>
        <w:tc>
          <w:tcPr>
            <w:tcW w:w="514"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4"/>
                <w:szCs w:val="14"/>
              </w:rPr>
            </w:pPr>
          </w:p>
        </w:tc>
      </w:tr>
    </w:tbl>
    <w:p w:rsidR="00981CA3" w:rsidRPr="005F120D" w:rsidRDefault="006F26E8" w:rsidP="000A5B80">
      <w:pPr>
        <w:pStyle w:val="ListParagraph"/>
        <w:numPr>
          <w:ilvl w:val="0"/>
          <w:numId w:val="88"/>
        </w:numPr>
        <w:autoSpaceDE w:val="0"/>
        <w:autoSpaceDN w:val="0"/>
        <w:adjustRightInd w:val="0"/>
        <w:spacing w:before="240"/>
        <w:jc w:val="both"/>
        <w:rPr>
          <w:rFonts w:asciiTheme="minorHAnsi" w:hAnsiTheme="minorHAnsi" w:cstheme="minorHAnsi"/>
        </w:rPr>
      </w:pPr>
      <w:r w:rsidRPr="005F120D">
        <w:rPr>
          <w:rFonts w:asciiTheme="minorHAnsi" w:hAnsiTheme="minorHAnsi" w:cstheme="minorHAnsi"/>
          <w:b/>
          <w:i/>
          <w:iCs/>
          <w:color w:val="008000"/>
        </w:rPr>
        <w:t>Sub-Component 3.1.3 - School Level Leadership and Development:</w:t>
      </w:r>
    </w:p>
    <w:p w:rsidR="006F26E8" w:rsidRPr="005F120D" w:rsidRDefault="00C03D60" w:rsidP="001C6C07">
      <w:p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szCs w:val="22"/>
        </w:rPr>
        <w:t>The focus on improvements in children’s learn</w:t>
      </w:r>
      <w:r w:rsidR="00B55A92" w:rsidRPr="005F120D">
        <w:rPr>
          <w:rFonts w:asciiTheme="minorHAnsi" w:hAnsiTheme="minorHAnsi" w:cstheme="minorHAnsi"/>
          <w:szCs w:val="22"/>
        </w:rPr>
        <w:t>ing in the classrooms requires Head T</w:t>
      </w:r>
      <w:r w:rsidRPr="005F120D">
        <w:rPr>
          <w:rFonts w:asciiTheme="minorHAnsi" w:hAnsiTheme="minorHAnsi" w:cstheme="minorHAnsi"/>
          <w:szCs w:val="22"/>
        </w:rPr>
        <w:t xml:space="preserve">eachers to assume a more active role in the academic supervision of </w:t>
      </w:r>
      <w:r w:rsidR="00072DB3" w:rsidRPr="005F120D">
        <w:rPr>
          <w:rFonts w:asciiTheme="minorHAnsi" w:hAnsiTheme="minorHAnsi" w:cstheme="minorHAnsi"/>
          <w:szCs w:val="22"/>
        </w:rPr>
        <w:t>teachers.</w:t>
      </w:r>
      <w:r w:rsidR="00072DB3" w:rsidRPr="005F120D">
        <w:rPr>
          <w:rFonts w:asciiTheme="minorHAnsi" w:hAnsiTheme="minorHAnsi" w:cstheme="minorHAnsi"/>
          <w:iCs/>
        </w:rPr>
        <w:t xml:space="preserve"> This</w:t>
      </w:r>
      <w:r w:rsidR="00B55A92" w:rsidRPr="005F120D">
        <w:rPr>
          <w:rFonts w:asciiTheme="minorHAnsi" w:hAnsiTheme="minorHAnsi" w:cstheme="minorHAnsi"/>
          <w:iCs/>
        </w:rPr>
        <w:t xml:space="preserve"> focus has required the d</w:t>
      </w:r>
      <w:r w:rsidR="007D75C1" w:rsidRPr="005F120D">
        <w:rPr>
          <w:rFonts w:asciiTheme="minorHAnsi" w:hAnsiTheme="minorHAnsi" w:cstheme="minorHAnsi"/>
        </w:rPr>
        <w:t>evelop</w:t>
      </w:r>
      <w:r w:rsidR="009A2E97" w:rsidRPr="005F120D">
        <w:rPr>
          <w:rFonts w:asciiTheme="minorHAnsi" w:hAnsiTheme="minorHAnsi" w:cstheme="minorHAnsi"/>
        </w:rPr>
        <w:t xml:space="preserve">ment of a </w:t>
      </w:r>
      <w:r w:rsidR="00B55A92" w:rsidRPr="005F120D">
        <w:rPr>
          <w:rFonts w:asciiTheme="minorHAnsi" w:hAnsiTheme="minorHAnsi" w:cstheme="minorHAnsi"/>
        </w:rPr>
        <w:t>School Leadership Handbook and the provision of Head Teacher training. The original cost</w:t>
      </w:r>
      <w:r w:rsidR="007D75C1" w:rsidRPr="005F120D">
        <w:rPr>
          <w:rFonts w:asciiTheme="minorHAnsi" w:hAnsiTheme="minorHAnsi" w:cstheme="minorHAnsi"/>
          <w:bCs/>
        </w:rPr>
        <w:t xml:space="preserve"> was Tk. 6,450.00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7,923.94 </w:t>
      </w:r>
      <w:r w:rsidR="00F738CE" w:rsidRPr="005F120D">
        <w:rPr>
          <w:rFonts w:asciiTheme="minorHAnsi" w:hAnsiTheme="minorHAnsi" w:cstheme="minorHAnsi"/>
          <w:bCs/>
        </w:rPr>
        <w:t>Lac</w:t>
      </w:r>
      <w:r w:rsidR="00D21A48" w:rsidRPr="005F120D">
        <w:rPr>
          <w:rFonts w:asciiTheme="minorHAnsi" w:hAnsiTheme="minorHAnsi" w:cstheme="minorHAnsi"/>
          <w:bCs/>
        </w:rPr>
        <w:t>.</w:t>
      </w:r>
    </w:p>
    <w:p w:rsidR="006F26E8" w:rsidRPr="005F120D" w:rsidRDefault="006F26E8" w:rsidP="000A5B80">
      <w:pPr>
        <w:pStyle w:val="Caption"/>
        <w:rPr>
          <w:rFonts w:cstheme="minorHAnsi"/>
        </w:rPr>
      </w:pPr>
      <w:bookmarkStart w:id="94" w:name="_Toc462837245"/>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23</w:t>
      </w:r>
      <w:r w:rsidR="002E2ED5" w:rsidRPr="005F120D">
        <w:rPr>
          <w:rFonts w:cstheme="minorHAnsi"/>
        </w:rPr>
        <w:fldChar w:fldCharType="end"/>
      </w:r>
      <w:r w:rsidRPr="005F120D">
        <w:rPr>
          <w:rFonts w:cstheme="minorHAnsi"/>
        </w:rPr>
        <w:t>: School Level Leadership and Development</w:t>
      </w:r>
      <w:r w:rsidR="00E57EB4" w:rsidRPr="005F120D">
        <w:rPr>
          <w:rFonts w:cstheme="minorHAnsi"/>
        </w:rPr>
        <w:t>:</w:t>
      </w:r>
      <w:r w:rsidR="00112A70" w:rsidRPr="005F120D">
        <w:rPr>
          <w:rFonts w:cstheme="minorHAnsi"/>
        </w:rPr>
        <w:t xml:space="preserve"> Cost and Expenditure as of June 2015</w:t>
      </w:r>
      <w:bookmarkEnd w:id="94"/>
    </w:p>
    <w:p w:rsidR="006F26E8" w:rsidRPr="005F120D" w:rsidRDefault="006F26E8" w:rsidP="000A5B80">
      <w:pPr>
        <w:spacing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128"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ayout w:type="fixed"/>
        <w:tblLook w:val="04A0"/>
      </w:tblPr>
      <w:tblGrid>
        <w:gridCol w:w="2608"/>
        <w:gridCol w:w="747"/>
        <w:gridCol w:w="789"/>
        <w:gridCol w:w="834"/>
        <w:gridCol w:w="789"/>
        <w:gridCol w:w="738"/>
        <w:gridCol w:w="952"/>
        <w:gridCol w:w="1246"/>
        <w:gridCol w:w="777"/>
      </w:tblGrid>
      <w:tr w:rsidR="00DD07AB" w:rsidRPr="005F120D" w:rsidTr="001C6C07">
        <w:trPr>
          <w:tblHeader/>
        </w:trPr>
        <w:tc>
          <w:tcPr>
            <w:tcW w:w="1375"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10" w:type="pct"/>
            <w:gridSpan w:val="2"/>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856" w:type="pct"/>
            <w:gridSpan w:val="2"/>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891" w:type="pct"/>
            <w:gridSpan w:val="2"/>
            <w:shd w:val="clear" w:color="auto" w:fill="92CDDC" w:themeFill="accent5" w:themeFillTint="99"/>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57"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10"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DD07AB" w:rsidRPr="005F120D" w:rsidTr="001C6C07">
        <w:trPr>
          <w:tblHeader/>
        </w:trPr>
        <w:tc>
          <w:tcPr>
            <w:tcW w:w="1375" w:type="pct"/>
            <w:vMerge/>
          </w:tcPr>
          <w:p w:rsidR="006F26E8" w:rsidRPr="005F120D" w:rsidRDefault="006F26E8" w:rsidP="000A5B80">
            <w:pPr>
              <w:spacing w:after="0"/>
              <w:jc w:val="center"/>
              <w:rPr>
                <w:rFonts w:asciiTheme="minorHAnsi" w:hAnsiTheme="minorHAnsi" w:cstheme="minorHAnsi"/>
                <w:sz w:val="16"/>
                <w:szCs w:val="16"/>
              </w:rPr>
            </w:pPr>
          </w:p>
        </w:tc>
        <w:tc>
          <w:tcPr>
            <w:tcW w:w="394" w:type="pct"/>
            <w:shd w:val="clear" w:color="auto" w:fill="92CDDC" w:themeFill="accent5" w:themeFillTint="99"/>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16" w:type="pct"/>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40" w:type="pct"/>
            <w:shd w:val="clear" w:color="auto" w:fill="92CDDC" w:themeFill="accent5" w:themeFillTint="99"/>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16" w:type="pct"/>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389" w:type="pct"/>
            <w:shd w:val="clear" w:color="auto" w:fill="B6DDE8" w:themeFill="accent5" w:themeFillTint="66"/>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02" w:type="pct"/>
            <w:shd w:val="clear" w:color="auto" w:fill="B6DDE8" w:themeFill="accent5" w:themeFillTint="66"/>
          </w:tcPr>
          <w:p w:rsidR="006F26E8" w:rsidRPr="005F120D" w:rsidRDefault="001C6C07"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57" w:type="pct"/>
            <w:vMerge/>
          </w:tcPr>
          <w:p w:rsidR="006F26E8" w:rsidRPr="005F120D" w:rsidRDefault="006F26E8" w:rsidP="000A5B80">
            <w:pPr>
              <w:spacing w:after="0"/>
              <w:jc w:val="center"/>
              <w:rPr>
                <w:rFonts w:asciiTheme="minorHAnsi" w:hAnsiTheme="minorHAnsi" w:cstheme="minorHAnsi"/>
                <w:sz w:val="16"/>
                <w:szCs w:val="16"/>
              </w:rPr>
            </w:pPr>
          </w:p>
        </w:tc>
        <w:tc>
          <w:tcPr>
            <w:tcW w:w="410" w:type="pct"/>
            <w:vMerge/>
          </w:tcPr>
          <w:p w:rsidR="006F26E8" w:rsidRPr="005F120D" w:rsidRDefault="006F26E8" w:rsidP="000A5B80">
            <w:pPr>
              <w:spacing w:after="0"/>
              <w:jc w:val="center"/>
              <w:rPr>
                <w:rFonts w:asciiTheme="minorHAnsi" w:hAnsiTheme="minorHAnsi" w:cstheme="minorHAnsi"/>
                <w:sz w:val="16"/>
                <w:szCs w:val="16"/>
              </w:rPr>
            </w:pPr>
          </w:p>
        </w:tc>
      </w:tr>
      <w:tr w:rsidR="00DD07AB" w:rsidRPr="005F120D" w:rsidTr="001C6C07">
        <w:trPr>
          <w:trHeight w:val="282"/>
        </w:trPr>
        <w:tc>
          <w:tcPr>
            <w:tcW w:w="1375"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Learning mat dev, printing &amp;TOT</w:t>
            </w:r>
          </w:p>
        </w:tc>
        <w:tc>
          <w:tcPr>
            <w:tcW w:w="39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w:t>
            </w:r>
          </w:p>
        </w:tc>
        <w:tc>
          <w:tcPr>
            <w:tcW w:w="416" w:type="pct"/>
          </w:tcPr>
          <w:p w:rsidR="006F26E8" w:rsidRPr="005F120D" w:rsidRDefault="006F26E8" w:rsidP="000A5B80">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150.00</w:t>
            </w:r>
          </w:p>
        </w:tc>
        <w:tc>
          <w:tcPr>
            <w:tcW w:w="44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ToT - 975</w:t>
            </w:r>
          </w:p>
        </w:tc>
        <w:tc>
          <w:tcPr>
            <w:tcW w:w="41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123.69</w:t>
            </w:r>
          </w:p>
        </w:tc>
        <w:tc>
          <w:tcPr>
            <w:tcW w:w="38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123.62</w:t>
            </w:r>
          </w:p>
        </w:tc>
        <w:tc>
          <w:tcPr>
            <w:tcW w:w="657"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0.07</w:t>
            </w:r>
          </w:p>
        </w:tc>
        <w:tc>
          <w:tcPr>
            <w:tcW w:w="410" w:type="pct"/>
          </w:tcPr>
          <w:p w:rsidR="006F26E8" w:rsidRPr="005F120D" w:rsidRDefault="006F26E8" w:rsidP="000A5B80">
            <w:pPr>
              <w:spacing w:after="0"/>
              <w:jc w:val="center"/>
              <w:rPr>
                <w:rFonts w:asciiTheme="minorHAnsi" w:hAnsiTheme="minorHAnsi" w:cstheme="minorHAnsi"/>
                <w:sz w:val="16"/>
                <w:szCs w:val="16"/>
              </w:rPr>
            </w:pPr>
          </w:p>
        </w:tc>
      </w:tr>
      <w:tr w:rsidR="00DD07AB" w:rsidRPr="005F120D" w:rsidTr="001C6C07">
        <w:trPr>
          <w:trHeight w:val="282"/>
        </w:trPr>
        <w:tc>
          <w:tcPr>
            <w:tcW w:w="1375"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Study on school level leadership</w:t>
            </w:r>
          </w:p>
        </w:tc>
        <w:tc>
          <w:tcPr>
            <w:tcW w:w="39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4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1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38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57"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w:t>
            </w:r>
          </w:p>
        </w:tc>
        <w:tc>
          <w:tcPr>
            <w:tcW w:w="410" w:type="pct"/>
          </w:tcPr>
          <w:p w:rsidR="006F26E8" w:rsidRPr="005F120D" w:rsidRDefault="006F26E8" w:rsidP="000A5B80">
            <w:pPr>
              <w:spacing w:after="0"/>
              <w:jc w:val="center"/>
              <w:rPr>
                <w:rFonts w:asciiTheme="minorHAnsi" w:hAnsiTheme="minorHAnsi" w:cstheme="minorHAnsi"/>
                <w:sz w:val="16"/>
                <w:szCs w:val="16"/>
              </w:rPr>
            </w:pPr>
          </w:p>
        </w:tc>
      </w:tr>
      <w:tr w:rsidR="00DD07AB" w:rsidRPr="005F120D" w:rsidTr="001C6C07">
        <w:trPr>
          <w:trHeight w:val="282"/>
        </w:trPr>
        <w:tc>
          <w:tcPr>
            <w:tcW w:w="1375"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3. Workshop</w:t>
            </w:r>
            <w:r w:rsidR="005D04A1" w:rsidRPr="005F120D">
              <w:rPr>
                <w:rFonts w:asciiTheme="minorHAnsi" w:hAnsiTheme="minorHAnsi" w:cstheme="minorHAnsi"/>
                <w:sz w:val="16"/>
                <w:szCs w:val="16"/>
              </w:rPr>
              <w:t>s</w:t>
            </w:r>
            <w:r w:rsidRPr="005F120D">
              <w:rPr>
                <w:rFonts w:asciiTheme="minorHAnsi" w:hAnsiTheme="minorHAnsi" w:cstheme="minorHAnsi"/>
                <w:sz w:val="16"/>
                <w:szCs w:val="16"/>
              </w:rPr>
              <w:t xml:space="preserve"> on school level leadership</w:t>
            </w:r>
          </w:p>
        </w:tc>
        <w:tc>
          <w:tcPr>
            <w:tcW w:w="39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4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1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38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0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57"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w:t>
            </w:r>
          </w:p>
        </w:tc>
        <w:tc>
          <w:tcPr>
            <w:tcW w:w="410" w:type="pct"/>
          </w:tcPr>
          <w:p w:rsidR="006F26E8" w:rsidRPr="005F120D" w:rsidRDefault="006F26E8" w:rsidP="000A5B80">
            <w:pPr>
              <w:spacing w:after="0"/>
              <w:jc w:val="center"/>
              <w:rPr>
                <w:rFonts w:asciiTheme="minorHAnsi" w:hAnsiTheme="minorHAnsi" w:cstheme="minorHAnsi"/>
                <w:sz w:val="16"/>
                <w:szCs w:val="16"/>
              </w:rPr>
            </w:pPr>
          </w:p>
        </w:tc>
      </w:tr>
      <w:tr w:rsidR="00DD07AB" w:rsidRPr="005F120D" w:rsidTr="001C6C07">
        <w:trPr>
          <w:trHeight w:val="282"/>
        </w:trPr>
        <w:tc>
          <w:tcPr>
            <w:tcW w:w="1375"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4. Head</w:t>
            </w:r>
            <w:r w:rsidR="00425FE9" w:rsidRPr="005F120D">
              <w:rPr>
                <w:rFonts w:asciiTheme="minorHAnsi" w:hAnsiTheme="minorHAnsi" w:cstheme="minorHAnsi"/>
                <w:sz w:val="16"/>
                <w:szCs w:val="16"/>
              </w:rPr>
              <w:t xml:space="preserve"> T</w:t>
            </w:r>
            <w:r w:rsidR="005D04A1" w:rsidRPr="005F120D">
              <w:rPr>
                <w:rFonts w:asciiTheme="minorHAnsi" w:hAnsiTheme="minorHAnsi" w:cstheme="minorHAnsi"/>
                <w:sz w:val="16"/>
                <w:szCs w:val="16"/>
              </w:rPr>
              <w:t>eacher</w:t>
            </w:r>
            <w:r w:rsidRPr="005F120D">
              <w:rPr>
                <w:rFonts w:asciiTheme="minorHAnsi" w:hAnsiTheme="minorHAnsi" w:cstheme="minorHAnsi"/>
                <w:sz w:val="16"/>
                <w:szCs w:val="16"/>
              </w:rPr>
              <w:t xml:space="preserve"> training on school level leadership</w:t>
            </w:r>
          </w:p>
        </w:tc>
        <w:tc>
          <w:tcPr>
            <w:tcW w:w="394"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42,000 </w:t>
            </w:r>
          </w:p>
        </w:tc>
        <w:tc>
          <w:tcPr>
            <w:tcW w:w="41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6300.00</w:t>
            </w:r>
          </w:p>
        </w:tc>
        <w:tc>
          <w:tcPr>
            <w:tcW w:w="440" w:type="pct"/>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 xml:space="preserve">66,500 </w:t>
            </w:r>
            <w:r w:rsidR="00142598" w:rsidRPr="005F120D">
              <w:rPr>
                <w:rFonts w:asciiTheme="minorHAnsi" w:hAnsiTheme="minorHAnsi" w:cstheme="minorHAnsi"/>
                <w:sz w:val="14"/>
                <w:szCs w:val="14"/>
              </w:rPr>
              <w:t>HTs</w:t>
            </w:r>
          </w:p>
        </w:tc>
        <w:tc>
          <w:tcPr>
            <w:tcW w:w="416"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7800.25</w:t>
            </w:r>
          </w:p>
        </w:tc>
        <w:tc>
          <w:tcPr>
            <w:tcW w:w="389"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1,010 batches</w:t>
            </w:r>
          </w:p>
        </w:tc>
        <w:tc>
          <w:tcPr>
            <w:tcW w:w="502"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4257.41</w:t>
            </w:r>
          </w:p>
        </w:tc>
        <w:tc>
          <w:tcPr>
            <w:tcW w:w="657" w:type="pct"/>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3542.84</w:t>
            </w:r>
          </w:p>
        </w:tc>
        <w:tc>
          <w:tcPr>
            <w:tcW w:w="410" w:type="pct"/>
          </w:tcPr>
          <w:p w:rsidR="006F26E8" w:rsidRPr="005F120D" w:rsidRDefault="006F26E8" w:rsidP="000A5B80">
            <w:pPr>
              <w:spacing w:after="0"/>
              <w:jc w:val="center"/>
              <w:rPr>
                <w:rFonts w:asciiTheme="minorHAnsi" w:hAnsiTheme="minorHAnsi" w:cstheme="minorHAnsi"/>
                <w:sz w:val="16"/>
                <w:szCs w:val="16"/>
              </w:rPr>
            </w:pPr>
          </w:p>
        </w:tc>
      </w:tr>
      <w:tr w:rsidR="00DD07AB" w:rsidRPr="005F120D" w:rsidTr="001C6C07">
        <w:tc>
          <w:tcPr>
            <w:tcW w:w="1375"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p>
        </w:tc>
        <w:tc>
          <w:tcPr>
            <w:tcW w:w="394"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p>
        </w:tc>
        <w:tc>
          <w:tcPr>
            <w:tcW w:w="416" w:type="pct"/>
            <w:shd w:val="clear" w:color="auto" w:fill="DAEEF3" w:themeFill="accent5" w:themeFillTint="33"/>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6,450.00</w:t>
            </w:r>
          </w:p>
        </w:tc>
        <w:tc>
          <w:tcPr>
            <w:tcW w:w="440" w:type="pct"/>
            <w:shd w:val="clear" w:color="auto" w:fill="DAEEF3" w:themeFill="accent5" w:themeFillTint="33"/>
          </w:tcPr>
          <w:p w:rsidR="006F26E8" w:rsidRPr="005F120D" w:rsidRDefault="006F26E8" w:rsidP="000A5B80">
            <w:pPr>
              <w:spacing w:after="0"/>
              <w:jc w:val="center"/>
              <w:rPr>
                <w:rFonts w:asciiTheme="minorHAnsi" w:hAnsiTheme="minorHAnsi" w:cstheme="minorHAnsi"/>
                <w:b/>
                <w:bCs/>
                <w:sz w:val="16"/>
                <w:szCs w:val="16"/>
              </w:rPr>
            </w:pPr>
          </w:p>
        </w:tc>
        <w:tc>
          <w:tcPr>
            <w:tcW w:w="416" w:type="pct"/>
            <w:shd w:val="clear" w:color="auto" w:fill="DAEEF3" w:themeFill="accent5" w:themeFillTint="33"/>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7,923.94</w:t>
            </w:r>
          </w:p>
        </w:tc>
        <w:tc>
          <w:tcPr>
            <w:tcW w:w="389" w:type="pct"/>
            <w:shd w:val="clear" w:color="auto" w:fill="DAEEF3" w:themeFill="accent5" w:themeFillTint="33"/>
          </w:tcPr>
          <w:p w:rsidR="006F26E8" w:rsidRPr="005F120D" w:rsidRDefault="006F26E8" w:rsidP="000A5B80">
            <w:pPr>
              <w:spacing w:after="0"/>
              <w:jc w:val="center"/>
              <w:rPr>
                <w:rFonts w:asciiTheme="minorHAnsi" w:hAnsiTheme="minorHAnsi" w:cstheme="minorHAnsi"/>
                <w:b/>
                <w:bCs/>
                <w:sz w:val="16"/>
                <w:szCs w:val="16"/>
              </w:rPr>
            </w:pPr>
          </w:p>
        </w:tc>
        <w:tc>
          <w:tcPr>
            <w:tcW w:w="502" w:type="pct"/>
            <w:shd w:val="clear" w:color="auto" w:fill="DAEEF3" w:themeFill="accent5" w:themeFillTint="33"/>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4,381.03</w:t>
            </w:r>
          </w:p>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(55.3%)</w:t>
            </w:r>
          </w:p>
        </w:tc>
        <w:tc>
          <w:tcPr>
            <w:tcW w:w="657"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3542.91</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(44.7%)</w:t>
            </w:r>
          </w:p>
        </w:tc>
        <w:tc>
          <w:tcPr>
            <w:tcW w:w="410" w:type="pct"/>
            <w:shd w:val="clear" w:color="auto" w:fill="DAEEF3" w:themeFill="accent5" w:themeFillTint="33"/>
          </w:tcPr>
          <w:p w:rsidR="006F26E8" w:rsidRPr="005F120D" w:rsidRDefault="006F26E8" w:rsidP="000A5B80">
            <w:pPr>
              <w:spacing w:after="0"/>
              <w:jc w:val="center"/>
              <w:rPr>
                <w:rFonts w:asciiTheme="minorHAnsi" w:hAnsiTheme="minorHAnsi" w:cstheme="minorHAnsi"/>
                <w:b/>
                <w:sz w:val="16"/>
                <w:szCs w:val="16"/>
              </w:rPr>
            </w:pPr>
          </w:p>
        </w:tc>
      </w:tr>
    </w:tbl>
    <w:p w:rsidR="00981CA3" w:rsidRPr="005F120D" w:rsidRDefault="006F26E8" w:rsidP="001C6C07">
      <w:pPr>
        <w:pStyle w:val="ListParagraph"/>
        <w:numPr>
          <w:ilvl w:val="0"/>
          <w:numId w:val="88"/>
        </w:num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b/>
          <w:i/>
          <w:iCs/>
          <w:color w:val="008000"/>
        </w:rPr>
        <w:t>Sub-Component 3.1.4 - Organizational Review and Strengthening:</w:t>
      </w:r>
    </w:p>
    <w:p w:rsidR="003D44D9" w:rsidRPr="003D44D9" w:rsidRDefault="003D44D9" w:rsidP="00AC5EB4">
      <w:pPr>
        <w:autoSpaceDE w:val="0"/>
        <w:autoSpaceDN w:val="0"/>
        <w:adjustRightInd w:val="0"/>
        <w:spacing w:before="240"/>
        <w:jc w:val="both"/>
        <w:rPr>
          <w:rFonts w:asciiTheme="minorHAnsi" w:hAnsiTheme="minorHAnsi" w:cstheme="minorHAnsi"/>
          <w:b/>
          <w:iCs/>
          <w:color w:val="FF0000"/>
        </w:rPr>
      </w:pPr>
      <w:r w:rsidRPr="005F120D">
        <w:rPr>
          <w:rFonts w:asciiTheme="minorHAnsi" w:hAnsiTheme="minorHAnsi" w:cstheme="minorHAnsi"/>
          <w:szCs w:val="22"/>
        </w:rPr>
        <w:t>The creation of posts and filling of vacancies is a significant issue. This sub-component center</w:t>
      </w:r>
      <w:r>
        <w:rPr>
          <w:rFonts w:asciiTheme="minorHAnsi" w:hAnsiTheme="minorHAnsi" w:cstheme="minorHAnsi"/>
          <w:szCs w:val="22"/>
        </w:rPr>
        <w:t>s</w:t>
      </w:r>
      <w:r w:rsidRPr="005F120D">
        <w:rPr>
          <w:rFonts w:asciiTheme="minorHAnsi" w:hAnsiTheme="minorHAnsi" w:cstheme="minorHAnsi"/>
          <w:szCs w:val="22"/>
        </w:rPr>
        <w:t xml:space="preserve"> on </w:t>
      </w:r>
      <w:r w:rsidRPr="005F120D">
        <w:rPr>
          <w:rFonts w:asciiTheme="minorHAnsi" w:hAnsiTheme="minorHAnsi" w:cstheme="minorHAnsi"/>
          <w:iCs/>
        </w:rPr>
        <w:t xml:space="preserve">preparing Terms of Reference for all DPE Divisions and Career Paths for DPE Staff; Identification of DPE Staffing Needs; and Formulation of Other </w:t>
      </w:r>
      <w:r w:rsidRPr="005F120D">
        <w:rPr>
          <w:rFonts w:asciiTheme="minorHAnsi" w:hAnsiTheme="minorHAnsi" w:cstheme="minorHAnsi"/>
        </w:rPr>
        <w:t xml:space="preserve">Organizational Strengthening Initiatives. </w:t>
      </w:r>
      <w:r w:rsidRPr="005F120D">
        <w:rPr>
          <w:rFonts w:asciiTheme="minorHAnsi" w:hAnsiTheme="minorHAnsi" w:cstheme="minorHAnsi"/>
          <w:bCs/>
        </w:rPr>
        <w:t>Original Cost (DPP) was Tk. 21,114.07 Lac, and the Revised Cost (RDPP) is TK. 19,410.79 Lac.</w:t>
      </w:r>
    </w:p>
    <w:p w:rsidR="006F26E8" w:rsidRPr="005F120D" w:rsidRDefault="006F26E8" w:rsidP="000A5B80">
      <w:pPr>
        <w:pStyle w:val="Caption"/>
        <w:rPr>
          <w:rFonts w:cstheme="minorHAnsi"/>
        </w:rPr>
      </w:pPr>
      <w:bookmarkStart w:id="95" w:name="_Toc462837246"/>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24</w:t>
      </w:r>
      <w:r w:rsidR="002E2ED5" w:rsidRPr="005F120D">
        <w:rPr>
          <w:rFonts w:cstheme="minorHAnsi"/>
        </w:rPr>
        <w:fldChar w:fldCharType="end"/>
      </w:r>
      <w:r w:rsidRPr="005F120D">
        <w:rPr>
          <w:rFonts w:cstheme="minorHAnsi"/>
        </w:rPr>
        <w:t>: Organizational Review and Strengthening</w:t>
      </w:r>
      <w:r w:rsidR="00E57EB4" w:rsidRPr="005F120D">
        <w:rPr>
          <w:rFonts w:cstheme="minorHAnsi"/>
        </w:rPr>
        <w:t>:</w:t>
      </w:r>
      <w:r w:rsidR="00112A70" w:rsidRPr="005F120D">
        <w:rPr>
          <w:rFonts w:cstheme="minorHAnsi"/>
        </w:rPr>
        <w:t xml:space="preserve"> Cost and Expenditure as of June 2015</w:t>
      </w:r>
      <w:bookmarkEnd w:id="95"/>
    </w:p>
    <w:p w:rsidR="006F26E8" w:rsidRPr="005F120D" w:rsidRDefault="006F26E8" w:rsidP="000A5B80">
      <w:pPr>
        <w:pStyle w:val="ListParagraph"/>
        <w:numPr>
          <w:ilvl w:val="0"/>
          <w:numId w:val="0"/>
        </w:numPr>
        <w:spacing w:after="0"/>
        <w:ind w:left="756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2146"/>
        <w:gridCol w:w="766"/>
        <w:gridCol w:w="868"/>
        <w:gridCol w:w="953"/>
        <w:gridCol w:w="868"/>
        <w:gridCol w:w="788"/>
        <w:gridCol w:w="888"/>
        <w:gridCol w:w="1187"/>
        <w:gridCol w:w="779"/>
      </w:tblGrid>
      <w:tr w:rsidR="003777CC" w:rsidRPr="005F120D" w:rsidTr="000C2F70">
        <w:trPr>
          <w:tblHeader/>
        </w:trPr>
        <w:tc>
          <w:tcPr>
            <w:tcW w:w="1178"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86" w:type="pct"/>
            <w:gridSpan w:val="2"/>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984" w:type="pct"/>
            <w:gridSpan w:val="2"/>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42" w:type="pct"/>
            <w:gridSpan w:val="2"/>
            <w:shd w:val="clear" w:color="auto" w:fill="92CDDC" w:themeFill="accent5" w:themeFillTint="99"/>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59"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351" w:type="pct"/>
            <w:vMerge w:val="restart"/>
            <w:shd w:val="clear" w:color="auto" w:fill="92CDDC" w:themeFill="accent5" w:themeFillTint="99"/>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BF7796" w:rsidRPr="005F120D" w:rsidTr="000C2F70">
        <w:trPr>
          <w:tblHeader/>
        </w:trPr>
        <w:tc>
          <w:tcPr>
            <w:tcW w:w="1178" w:type="pct"/>
            <w:vMerge/>
          </w:tcPr>
          <w:p w:rsidR="006F26E8" w:rsidRPr="005F120D" w:rsidRDefault="006F26E8" w:rsidP="000A5B80">
            <w:pPr>
              <w:spacing w:after="0"/>
              <w:jc w:val="center"/>
              <w:rPr>
                <w:rFonts w:asciiTheme="minorHAnsi" w:hAnsiTheme="minorHAnsi" w:cstheme="minorHAnsi"/>
                <w:sz w:val="16"/>
                <w:szCs w:val="16"/>
              </w:rPr>
            </w:pPr>
          </w:p>
        </w:tc>
        <w:tc>
          <w:tcPr>
            <w:tcW w:w="431" w:type="pct"/>
            <w:shd w:val="clear" w:color="auto" w:fill="92CDDC" w:themeFill="accent5" w:themeFillTint="99"/>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5" w:type="pct"/>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30" w:type="pct"/>
            <w:shd w:val="clear" w:color="auto" w:fill="92CDDC" w:themeFill="accent5" w:themeFillTint="99"/>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4" w:type="pct"/>
            <w:shd w:val="clear" w:color="auto" w:fill="92CDDC" w:themeFill="accent5" w:themeFillTint="99"/>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45" w:type="pct"/>
            <w:shd w:val="clear" w:color="auto" w:fill="B6DDE8" w:themeFill="accent5" w:themeFillTint="66"/>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97" w:type="pct"/>
            <w:shd w:val="clear" w:color="auto" w:fill="B6DDE8" w:themeFill="accent5"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59" w:type="pct"/>
            <w:vMerge/>
          </w:tcPr>
          <w:p w:rsidR="006F26E8" w:rsidRPr="005F120D" w:rsidRDefault="006F26E8" w:rsidP="000A5B80">
            <w:pPr>
              <w:spacing w:after="0"/>
              <w:jc w:val="center"/>
              <w:rPr>
                <w:rFonts w:asciiTheme="minorHAnsi" w:hAnsiTheme="minorHAnsi" w:cstheme="minorHAnsi"/>
                <w:sz w:val="16"/>
                <w:szCs w:val="16"/>
              </w:rPr>
            </w:pPr>
          </w:p>
        </w:tc>
        <w:tc>
          <w:tcPr>
            <w:tcW w:w="351" w:type="pct"/>
            <w:vMerge/>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Construction works - DPE HQ expansion</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4,500.00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 xml:space="preserve">DPE HQ </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5,570.00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Going on</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70.00</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5,500.00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Construction works - Div office rest house</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7 div. offices</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1,700.00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2 </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330.00</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1,370.00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3. Construction works - DPEO  expansion</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64</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1,600.00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64 DPEO offices</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1,940.00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620.00</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1,320.00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4. Leadership training centre at Cox's Bazar</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1,100.00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1,200.00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1,200.00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5. Construction works - NAPE expansion</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2,500.00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NAPE expansion</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1,000.00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1,000.00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6. Computers/ Laptops, UPS, volt stabilizer for DPE, DD, DPEO</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342</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684.00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342 Desktops/ Laptops</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246.55</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121</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107.35</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139.20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7. Established  maintenance data center and WiFi system</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287.09</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63.30</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223.79</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8. Hardware &amp; software</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Need based</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46.55</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1.55</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45.00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9. Maintenance of computers, accessories </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Need based</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51.95</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9.53</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42.42</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10. Printers (laser &amp;</w:t>
            </w:r>
            <w:r w:rsidR="00B07C5E" w:rsidRPr="005F120D">
              <w:rPr>
                <w:rFonts w:asciiTheme="minorHAnsi" w:hAnsiTheme="minorHAnsi" w:cstheme="minorHAnsi"/>
                <w:sz w:val="16"/>
                <w:szCs w:val="16"/>
              </w:rPr>
              <w:t xml:space="preserve"> </w:t>
            </w:r>
            <w:r w:rsidR="003F16F0" w:rsidRPr="005F120D">
              <w:rPr>
                <w:rFonts w:asciiTheme="minorHAnsi" w:hAnsiTheme="minorHAnsi" w:cstheme="minorHAnsi"/>
                <w:sz w:val="16"/>
                <w:szCs w:val="16"/>
              </w:rPr>
              <w:t>color</w:t>
            </w:r>
            <w:r w:rsidR="00B07C5E" w:rsidRPr="005F120D">
              <w:rPr>
                <w:rFonts w:asciiTheme="minorHAnsi" w:hAnsiTheme="minorHAnsi" w:cstheme="minorHAnsi"/>
                <w:sz w:val="16"/>
                <w:szCs w:val="16"/>
              </w:rPr>
              <w:t xml:space="preserve">) &amp; scanner for DPE, DD, </w:t>
            </w:r>
            <w:r w:rsidRPr="005F120D">
              <w:rPr>
                <w:rFonts w:asciiTheme="minorHAnsi" w:hAnsiTheme="minorHAnsi" w:cstheme="minorHAnsi"/>
                <w:sz w:val="16"/>
                <w:szCs w:val="16"/>
              </w:rPr>
              <w:t>DPEO</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91</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54.60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128 printer</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48.70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18.70</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11. Multimedia projector for DPE, DD, DPEO</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91</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91.00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 xml:space="preserve">91 multi media </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55.23</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6.63</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48.60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3777CC"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12. Photocopier for DPE, DD, DPEO</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89</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267.00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Photocopier -89</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188.00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34.00</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154.00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13. Equipment - isograph, fire alarm &amp; extinguisher, PABX, CC TV, water refiner machine, floor cleaner, scanner</w:t>
            </w:r>
            <w:r w:rsidR="007930F6" w:rsidRPr="005F120D">
              <w:rPr>
                <w:rFonts w:asciiTheme="minorHAnsi" w:hAnsiTheme="minorHAnsi" w:cstheme="minorHAnsi"/>
                <w:sz w:val="16"/>
                <w:szCs w:val="16"/>
              </w:rPr>
              <w:t>,</w:t>
            </w:r>
            <w:r w:rsidRPr="005F120D">
              <w:rPr>
                <w:rFonts w:asciiTheme="minorHAnsi" w:hAnsiTheme="minorHAnsi" w:cstheme="minorHAnsi"/>
                <w:sz w:val="16"/>
                <w:szCs w:val="16"/>
              </w:rPr>
              <w:t xml:space="preserve"> drinking water purification kits</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Equipment - isograph, fire alarm &amp; extinguisher, PABX, CC TV, water refiner</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222.00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5.31</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216.69</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14. Equipment for NAPE (block amount t.b.d)</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 package</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Equipment for NAPE</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60.00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 and 5</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60.00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15. Jeep, for DPE, DD, DPEO</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81</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6,480.00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45 jeeps</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3,600.00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372.47</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3,227.53</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16. Microbus for DPE</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Microbus -10</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300.00</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300.00</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17. Workshop/ seminar</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w:t>
            </w: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30" w:type="pct"/>
            <w:vAlign w:val="center"/>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rPr>
          <w:trHeight w:val="282"/>
        </w:trPr>
        <w:tc>
          <w:tcPr>
            <w:tcW w:w="1178" w:type="pct"/>
          </w:tcPr>
          <w:p w:rsidR="006F26E8" w:rsidRPr="005F120D" w:rsidRDefault="00752A8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18. Additional manpower DPE and </w:t>
            </w:r>
            <w:r w:rsidR="006F26E8" w:rsidRPr="005F120D">
              <w:rPr>
                <w:rFonts w:asciiTheme="minorHAnsi" w:hAnsiTheme="minorHAnsi" w:cstheme="minorHAnsi"/>
                <w:sz w:val="16"/>
                <w:szCs w:val="16"/>
              </w:rPr>
              <w:t>NAPE</w:t>
            </w:r>
          </w:p>
        </w:tc>
        <w:tc>
          <w:tcPr>
            <w:tcW w:w="431" w:type="pct"/>
            <w:vAlign w:val="center"/>
          </w:tcPr>
          <w:p w:rsidR="006F26E8" w:rsidRPr="005F120D" w:rsidRDefault="006F26E8" w:rsidP="000A5B80">
            <w:pPr>
              <w:spacing w:after="0"/>
              <w:jc w:val="center"/>
              <w:rPr>
                <w:rFonts w:asciiTheme="minorHAnsi" w:hAnsiTheme="minorHAnsi" w:cstheme="minorHAnsi"/>
                <w:sz w:val="16"/>
                <w:szCs w:val="16"/>
              </w:rPr>
            </w:pPr>
          </w:p>
        </w:tc>
        <w:tc>
          <w:tcPr>
            <w:tcW w:w="45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2,857.47</w:t>
            </w:r>
          </w:p>
        </w:tc>
        <w:tc>
          <w:tcPr>
            <w:tcW w:w="530" w:type="pct"/>
            <w:vAlign w:val="center"/>
          </w:tcPr>
          <w:p w:rsidR="006F26E8" w:rsidRPr="005F120D" w:rsidRDefault="006F26E8" w:rsidP="000A5B80">
            <w:pPr>
              <w:spacing w:after="0"/>
              <w:jc w:val="center"/>
              <w:rPr>
                <w:rFonts w:asciiTheme="minorHAnsi" w:hAnsiTheme="minorHAnsi" w:cstheme="minorHAnsi"/>
                <w:sz w:val="16"/>
                <w:szCs w:val="16"/>
              </w:rPr>
            </w:pPr>
          </w:p>
        </w:tc>
        <w:tc>
          <w:tcPr>
            <w:tcW w:w="454"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2894.72</w:t>
            </w:r>
          </w:p>
        </w:tc>
        <w:tc>
          <w:tcPr>
            <w:tcW w:w="445" w:type="pct"/>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49+22+7 officials</w:t>
            </w:r>
          </w:p>
        </w:tc>
        <w:tc>
          <w:tcPr>
            <w:tcW w:w="497"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493.09</w:t>
            </w:r>
          </w:p>
        </w:tc>
        <w:tc>
          <w:tcPr>
            <w:tcW w:w="659" w:type="pct"/>
            <w:vAlign w:val="center"/>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2401.63</w:t>
            </w:r>
          </w:p>
        </w:tc>
        <w:tc>
          <w:tcPr>
            <w:tcW w:w="351" w:type="pct"/>
            <w:vAlign w:val="center"/>
          </w:tcPr>
          <w:p w:rsidR="006F26E8" w:rsidRPr="005F120D" w:rsidRDefault="006F26E8" w:rsidP="000A5B80">
            <w:pPr>
              <w:spacing w:after="0"/>
              <w:jc w:val="center"/>
              <w:rPr>
                <w:rFonts w:asciiTheme="minorHAnsi" w:hAnsiTheme="minorHAnsi" w:cstheme="minorHAnsi"/>
                <w:sz w:val="16"/>
                <w:szCs w:val="16"/>
              </w:rPr>
            </w:pPr>
          </w:p>
        </w:tc>
      </w:tr>
      <w:tr w:rsidR="00BF7796" w:rsidRPr="005F120D" w:rsidTr="000C2F70">
        <w:tc>
          <w:tcPr>
            <w:tcW w:w="1178" w:type="pct"/>
            <w:shd w:val="clear" w:color="auto" w:fill="DAEEF3" w:themeFill="accent5" w:themeFillTint="33"/>
          </w:tcPr>
          <w:p w:rsidR="006F26E8" w:rsidRPr="005F120D" w:rsidRDefault="006F26E8" w:rsidP="000A5B80">
            <w:pPr>
              <w:spacing w:after="0"/>
              <w:rPr>
                <w:rFonts w:asciiTheme="minorHAnsi" w:hAnsiTheme="minorHAnsi" w:cstheme="minorHAnsi"/>
                <w:sz w:val="16"/>
                <w:szCs w:val="16"/>
              </w:rPr>
            </w:pPr>
          </w:p>
        </w:tc>
        <w:tc>
          <w:tcPr>
            <w:tcW w:w="431" w:type="pct"/>
            <w:shd w:val="clear" w:color="auto" w:fill="DAEEF3" w:themeFill="accent5" w:themeFillTint="33"/>
            <w:vAlign w:val="center"/>
          </w:tcPr>
          <w:p w:rsidR="006F26E8" w:rsidRPr="005F120D" w:rsidRDefault="006F26E8" w:rsidP="000A5B80">
            <w:pPr>
              <w:spacing w:after="0"/>
              <w:jc w:val="center"/>
              <w:rPr>
                <w:rFonts w:asciiTheme="minorHAnsi" w:hAnsiTheme="minorHAnsi" w:cstheme="minorHAnsi"/>
                <w:sz w:val="16"/>
                <w:szCs w:val="16"/>
              </w:rPr>
            </w:pPr>
          </w:p>
        </w:tc>
        <w:tc>
          <w:tcPr>
            <w:tcW w:w="455" w:type="pct"/>
            <w:shd w:val="clear" w:color="auto" w:fill="DAEEF3" w:themeFill="accent5"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21,114.07</w:t>
            </w:r>
          </w:p>
        </w:tc>
        <w:tc>
          <w:tcPr>
            <w:tcW w:w="530" w:type="pct"/>
            <w:shd w:val="clear" w:color="auto" w:fill="DAEEF3" w:themeFill="accent5"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54" w:type="pct"/>
            <w:shd w:val="clear" w:color="auto" w:fill="DAEEF3" w:themeFill="accent5"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19,410.79</w:t>
            </w:r>
          </w:p>
        </w:tc>
        <w:tc>
          <w:tcPr>
            <w:tcW w:w="445" w:type="pct"/>
            <w:shd w:val="clear" w:color="auto" w:fill="DAEEF3" w:themeFill="accent5"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97" w:type="pct"/>
            <w:shd w:val="clear" w:color="auto" w:fill="DAEEF3" w:themeFill="accent5"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2,131.93 (11%)</w:t>
            </w:r>
          </w:p>
        </w:tc>
        <w:tc>
          <w:tcPr>
            <w:tcW w:w="659" w:type="pct"/>
            <w:shd w:val="clear" w:color="auto" w:fill="DAEEF3" w:themeFill="accent5"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17,278.86</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(89%)</w:t>
            </w:r>
          </w:p>
        </w:tc>
        <w:tc>
          <w:tcPr>
            <w:tcW w:w="351" w:type="pct"/>
            <w:shd w:val="clear" w:color="auto" w:fill="DAEEF3" w:themeFill="accent5" w:themeFillTint="33"/>
            <w:vAlign w:val="center"/>
          </w:tcPr>
          <w:p w:rsidR="006F26E8" w:rsidRPr="005F120D" w:rsidRDefault="006F26E8" w:rsidP="000A5B80">
            <w:pPr>
              <w:spacing w:after="0"/>
              <w:jc w:val="center"/>
              <w:rPr>
                <w:rFonts w:asciiTheme="minorHAnsi" w:hAnsiTheme="minorHAnsi" w:cstheme="minorHAnsi"/>
                <w:b/>
                <w:sz w:val="16"/>
                <w:szCs w:val="16"/>
              </w:rPr>
            </w:pPr>
          </w:p>
        </w:tc>
      </w:tr>
    </w:tbl>
    <w:p w:rsidR="006F26E8" w:rsidRPr="005F120D" w:rsidRDefault="007D75C1" w:rsidP="000A5B80">
      <w:pPr>
        <w:autoSpaceDE w:val="0"/>
        <w:autoSpaceDN w:val="0"/>
        <w:adjustRightInd w:val="0"/>
        <w:spacing w:after="0"/>
        <w:jc w:val="both"/>
        <w:rPr>
          <w:rFonts w:asciiTheme="minorHAnsi" w:hAnsiTheme="minorHAnsi" w:cstheme="minorHAnsi"/>
          <w:b/>
          <w:i/>
          <w:sz w:val="18"/>
          <w:szCs w:val="18"/>
        </w:rPr>
      </w:pPr>
      <w:r w:rsidRPr="005F120D">
        <w:rPr>
          <w:rFonts w:asciiTheme="minorHAnsi" w:hAnsiTheme="minorHAnsi" w:cstheme="minorHAnsi"/>
          <w:b/>
          <w:sz w:val="18"/>
          <w:szCs w:val="18"/>
        </w:rPr>
        <w:t xml:space="preserve">Note: </w:t>
      </w:r>
      <w:r w:rsidRPr="005F120D">
        <w:rPr>
          <w:rFonts w:asciiTheme="minorHAnsi" w:hAnsiTheme="minorHAnsi" w:cstheme="minorHAnsi"/>
          <w:b/>
          <w:bCs/>
          <w:i/>
          <w:sz w:val="18"/>
          <w:szCs w:val="18"/>
        </w:rPr>
        <w:t>The achievements of Result Area 3.1 are measured through 2 KPIs (10 &amp; 11) and 1 Non-KPI (8) at the outcome level; and 2 PSQLs (12 &amp; 13) and 4 subcomponent indicators at the output level</w:t>
      </w:r>
      <w:r w:rsidR="006F26E8" w:rsidRPr="005F120D">
        <w:rPr>
          <w:rFonts w:asciiTheme="minorHAnsi" w:hAnsiTheme="minorHAnsi" w:cstheme="minorHAnsi"/>
          <w:b/>
          <w:bCs/>
          <w:i/>
          <w:sz w:val="18"/>
          <w:szCs w:val="18"/>
        </w:rPr>
        <w:t>.</w:t>
      </w:r>
    </w:p>
    <w:p w:rsidR="007930F6" w:rsidRPr="005F120D" w:rsidRDefault="007930F6" w:rsidP="000A5B80">
      <w:pPr>
        <w:autoSpaceDE w:val="0"/>
        <w:autoSpaceDN w:val="0"/>
        <w:adjustRightInd w:val="0"/>
        <w:spacing w:before="120" w:after="120"/>
        <w:rPr>
          <w:rFonts w:asciiTheme="minorHAnsi" w:hAnsiTheme="minorHAnsi" w:cstheme="minorHAnsi"/>
          <w:color w:val="008000"/>
          <w:szCs w:val="22"/>
        </w:rPr>
      </w:pPr>
    </w:p>
    <w:p w:rsidR="001511DD" w:rsidRPr="005F120D" w:rsidRDefault="001511DD" w:rsidP="000A5B80">
      <w:pPr>
        <w:autoSpaceDE w:val="0"/>
        <w:autoSpaceDN w:val="0"/>
        <w:adjustRightInd w:val="0"/>
        <w:spacing w:before="120" w:after="120"/>
        <w:rPr>
          <w:rFonts w:asciiTheme="minorHAnsi" w:hAnsiTheme="minorHAnsi" w:cstheme="minorHAnsi"/>
          <w:b/>
          <w:color w:val="008000"/>
          <w:szCs w:val="22"/>
        </w:rPr>
      </w:pPr>
      <w:r w:rsidRPr="005F120D">
        <w:rPr>
          <w:rFonts w:asciiTheme="minorHAnsi" w:hAnsiTheme="minorHAnsi" w:cstheme="minorHAnsi"/>
          <w:b/>
          <w:color w:val="008000"/>
          <w:szCs w:val="22"/>
        </w:rPr>
        <w:t>Results Area 3.2: Effectiveness</w:t>
      </w:r>
    </w:p>
    <w:p w:rsidR="006F26E8" w:rsidRPr="005F120D" w:rsidRDefault="007D75C1" w:rsidP="000A5B80">
      <w:pPr>
        <w:autoSpaceDE w:val="0"/>
        <w:autoSpaceDN w:val="0"/>
        <w:adjustRightInd w:val="0"/>
        <w:spacing w:before="120" w:after="120"/>
        <w:jc w:val="both"/>
        <w:rPr>
          <w:rFonts w:asciiTheme="minorHAnsi" w:hAnsiTheme="minorHAnsi" w:cstheme="minorHAnsi"/>
          <w:bCs/>
          <w:szCs w:val="22"/>
        </w:rPr>
      </w:pPr>
      <w:r w:rsidRPr="005F120D">
        <w:rPr>
          <w:rFonts w:asciiTheme="minorHAnsi" w:hAnsiTheme="minorHAnsi" w:cstheme="minorHAnsi"/>
          <w:szCs w:val="22"/>
        </w:rPr>
        <w:t xml:space="preserve">The anticipated outcome is increased effectiveness in education budget utilization in terms of achievement of PEDP 3 goals and objectives.  There are 4 </w:t>
      </w:r>
      <w:r w:rsidRPr="005F120D">
        <w:rPr>
          <w:rFonts w:asciiTheme="minorHAnsi" w:hAnsiTheme="minorHAnsi" w:cstheme="minorHAnsi"/>
          <w:bCs/>
          <w:szCs w:val="22"/>
        </w:rPr>
        <w:t>sub-components und</w:t>
      </w:r>
      <w:r w:rsidR="007930F6" w:rsidRPr="005F120D">
        <w:rPr>
          <w:rFonts w:asciiTheme="minorHAnsi" w:hAnsiTheme="minorHAnsi" w:cstheme="minorHAnsi"/>
          <w:bCs/>
          <w:szCs w:val="22"/>
        </w:rPr>
        <w:t>er Result Area 3</w:t>
      </w:r>
      <w:r w:rsidR="006F26E8" w:rsidRPr="005F120D">
        <w:rPr>
          <w:rFonts w:asciiTheme="minorHAnsi" w:hAnsiTheme="minorHAnsi" w:cstheme="minorHAnsi"/>
          <w:bCs/>
          <w:szCs w:val="22"/>
        </w:rPr>
        <w:t>.</w:t>
      </w:r>
    </w:p>
    <w:p w:rsidR="00981CA3" w:rsidRPr="005F120D" w:rsidRDefault="006F26E8" w:rsidP="000A5B80">
      <w:pPr>
        <w:pStyle w:val="ListParagraph"/>
        <w:numPr>
          <w:ilvl w:val="0"/>
          <w:numId w:val="88"/>
        </w:numPr>
        <w:jc w:val="both"/>
        <w:rPr>
          <w:rFonts w:asciiTheme="minorHAnsi" w:hAnsiTheme="minorHAnsi" w:cstheme="minorHAnsi"/>
          <w:bCs/>
        </w:rPr>
      </w:pPr>
      <w:r w:rsidRPr="005F120D">
        <w:rPr>
          <w:rFonts w:asciiTheme="minorHAnsi" w:hAnsiTheme="minorHAnsi" w:cstheme="minorHAnsi"/>
          <w:b/>
          <w:i/>
          <w:iCs/>
          <w:color w:val="008000"/>
        </w:rPr>
        <w:t>Sub-Component 3.2.1 - Grade 5 PECE Strengthened:</w:t>
      </w:r>
    </w:p>
    <w:p w:rsidR="006F26E8" w:rsidRPr="005F120D" w:rsidRDefault="00500C66" w:rsidP="000A5B80">
      <w:pPr>
        <w:jc w:val="both"/>
        <w:rPr>
          <w:rFonts w:asciiTheme="minorHAnsi" w:hAnsiTheme="minorHAnsi" w:cstheme="minorHAnsi"/>
          <w:color w:val="FF0000"/>
          <w:szCs w:val="22"/>
        </w:rPr>
      </w:pPr>
      <w:r w:rsidRPr="005F120D">
        <w:rPr>
          <w:rFonts w:asciiTheme="minorHAnsi" w:hAnsiTheme="minorHAnsi" w:cstheme="minorHAnsi"/>
          <w:szCs w:val="22"/>
        </w:rPr>
        <w:t xml:space="preserve">The Primary Education Completion Examination (PECE) was introduced for the first time in 2009 and the Ebtedayee Completion Examination (EECE) in 2010. The </w:t>
      </w:r>
      <w:r w:rsidR="00DF6719" w:rsidRPr="005F120D">
        <w:rPr>
          <w:rFonts w:asciiTheme="minorHAnsi" w:hAnsiTheme="minorHAnsi" w:cstheme="minorHAnsi"/>
          <w:szCs w:val="22"/>
        </w:rPr>
        <w:t>current</w:t>
      </w:r>
      <w:r w:rsidR="00CA3DA8" w:rsidRPr="005F120D">
        <w:rPr>
          <w:rFonts w:asciiTheme="minorHAnsi" w:hAnsiTheme="minorHAnsi" w:cstheme="minorHAnsi"/>
          <w:szCs w:val="22"/>
        </w:rPr>
        <w:t xml:space="preserve"> aim</w:t>
      </w:r>
      <w:r w:rsidRPr="005F120D">
        <w:rPr>
          <w:rFonts w:asciiTheme="minorHAnsi" w:hAnsiTheme="minorHAnsi" w:cstheme="minorHAnsi"/>
          <w:szCs w:val="22"/>
        </w:rPr>
        <w:t xml:space="preserve"> is to </w:t>
      </w:r>
      <w:r w:rsidRPr="005F120D">
        <w:rPr>
          <w:rFonts w:asciiTheme="minorHAnsi" w:hAnsiTheme="minorHAnsi" w:cstheme="minorHAnsi"/>
          <w:iCs/>
        </w:rPr>
        <w:t>improve</w:t>
      </w:r>
      <w:r w:rsidR="007D75C1" w:rsidRPr="005F120D">
        <w:rPr>
          <w:rFonts w:asciiTheme="minorHAnsi" w:hAnsiTheme="minorHAnsi" w:cstheme="minorHAnsi"/>
          <w:bCs/>
        </w:rPr>
        <w:t xml:space="preserve"> the Grade 5 </w:t>
      </w:r>
      <w:r w:rsidRPr="005F120D">
        <w:rPr>
          <w:rFonts w:asciiTheme="minorHAnsi" w:hAnsiTheme="minorHAnsi" w:cstheme="minorHAnsi"/>
          <w:bCs/>
        </w:rPr>
        <w:t xml:space="preserve">PECE </w:t>
      </w:r>
      <w:r w:rsidR="007D75C1" w:rsidRPr="005F120D">
        <w:rPr>
          <w:rFonts w:asciiTheme="minorHAnsi" w:hAnsiTheme="minorHAnsi" w:cstheme="minorHAnsi"/>
          <w:bCs/>
        </w:rPr>
        <w:t>through</w:t>
      </w:r>
      <w:r w:rsidR="003F3E7F" w:rsidRPr="005F120D">
        <w:rPr>
          <w:rFonts w:asciiTheme="minorHAnsi" w:hAnsiTheme="minorHAnsi" w:cstheme="minorHAnsi"/>
          <w:bCs/>
        </w:rPr>
        <w:t xml:space="preserve"> the</w:t>
      </w:r>
      <w:r w:rsidR="00072DB3">
        <w:rPr>
          <w:rFonts w:asciiTheme="minorHAnsi" w:hAnsiTheme="minorHAnsi" w:cstheme="minorHAnsi"/>
          <w:bCs/>
        </w:rPr>
        <w:t xml:space="preserve"> </w:t>
      </w:r>
      <w:r w:rsidR="00DF6719" w:rsidRPr="005F120D">
        <w:rPr>
          <w:rFonts w:asciiTheme="minorHAnsi" w:hAnsiTheme="minorHAnsi" w:cstheme="minorHAnsi"/>
          <w:bCs/>
        </w:rPr>
        <w:t>g</w:t>
      </w:r>
      <w:r w:rsidR="003F3E7F" w:rsidRPr="005F120D">
        <w:rPr>
          <w:rFonts w:asciiTheme="minorHAnsi" w:hAnsiTheme="minorHAnsi" w:cstheme="minorHAnsi"/>
          <w:bCs/>
        </w:rPr>
        <w:t>radual inclusion of competency-based t</w:t>
      </w:r>
      <w:r w:rsidR="007930F6" w:rsidRPr="005F120D">
        <w:rPr>
          <w:rFonts w:asciiTheme="minorHAnsi" w:hAnsiTheme="minorHAnsi" w:cstheme="minorHAnsi"/>
          <w:bCs/>
        </w:rPr>
        <w:t>est I</w:t>
      </w:r>
      <w:r w:rsidR="007D75C1" w:rsidRPr="005F120D">
        <w:rPr>
          <w:rFonts w:asciiTheme="minorHAnsi" w:hAnsiTheme="minorHAnsi" w:cstheme="minorHAnsi"/>
          <w:bCs/>
        </w:rPr>
        <w:t>tem</w:t>
      </w:r>
      <w:r w:rsidR="003F3E7F" w:rsidRPr="005F120D">
        <w:rPr>
          <w:rFonts w:asciiTheme="minorHAnsi" w:hAnsiTheme="minorHAnsi" w:cstheme="minorHAnsi"/>
          <w:bCs/>
        </w:rPr>
        <w:t>s (questions), test item p</w:t>
      </w:r>
      <w:r w:rsidR="007930F6" w:rsidRPr="005F120D">
        <w:rPr>
          <w:rFonts w:asciiTheme="minorHAnsi" w:hAnsiTheme="minorHAnsi" w:cstheme="minorHAnsi"/>
          <w:bCs/>
        </w:rPr>
        <w:t xml:space="preserve">re-testing, and </w:t>
      </w:r>
      <w:r w:rsidRPr="005F120D">
        <w:rPr>
          <w:rFonts w:asciiTheme="minorHAnsi" w:hAnsiTheme="minorHAnsi" w:cstheme="minorHAnsi"/>
          <w:bCs/>
        </w:rPr>
        <w:t>scaling-</w:t>
      </w:r>
      <w:r w:rsidR="003F16F0" w:rsidRPr="005F120D">
        <w:rPr>
          <w:rFonts w:asciiTheme="minorHAnsi" w:hAnsiTheme="minorHAnsi" w:cstheme="minorHAnsi"/>
          <w:bCs/>
        </w:rPr>
        <w:t>up.</w:t>
      </w:r>
      <w:r w:rsidR="003F16F0" w:rsidRPr="005F120D">
        <w:rPr>
          <w:rFonts w:asciiTheme="minorHAnsi" w:hAnsiTheme="minorHAnsi" w:cstheme="minorHAnsi"/>
          <w:szCs w:val="22"/>
        </w:rPr>
        <w:t xml:space="preserve"> Thinking</w:t>
      </w:r>
      <w:r w:rsidR="00E15A4A" w:rsidRPr="005F120D">
        <w:rPr>
          <w:rFonts w:asciiTheme="minorHAnsi" w:hAnsiTheme="minorHAnsi" w:cstheme="minorHAnsi"/>
          <w:szCs w:val="22"/>
        </w:rPr>
        <w:t xml:space="preserve"> and problem solving skills </w:t>
      </w:r>
      <w:r w:rsidR="003F3E7F" w:rsidRPr="005F120D">
        <w:rPr>
          <w:rFonts w:asciiTheme="minorHAnsi" w:hAnsiTheme="minorHAnsi" w:cstheme="minorHAnsi"/>
          <w:szCs w:val="22"/>
        </w:rPr>
        <w:t>are</w:t>
      </w:r>
      <w:r w:rsidR="00E15A4A" w:rsidRPr="005F120D">
        <w:rPr>
          <w:rFonts w:asciiTheme="minorHAnsi" w:hAnsiTheme="minorHAnsi" w:cstheme="minorHAnsi"/>
          <w:szCs w:val="22"/>
        </w:rPr>
        <w:t xml:space="preserve"> added to assess what students can do with </w:t>
      </w:r>
      <w:r w:rsidR="003F3E7F" w:rsidRPr="005F120D">
        <w:rPr>
          <w:rFonts w:asciiTheme="minorHAnsi" w:hAnsiTheme="minorHAnsi" w:cstheme="minorHAnsi"/>
          <w:szCs w:val="22"/>
        </w:rPr>
        <w:t xml:space="preserve">their acquired </w:t>
      </w:r>
      <w:r w:rsidR="00E15A4A" w:rsidRPr="005F120D">
        <w:rPr>
          <w:rFonts w:asciiTheme="minorHAnsi" w:hAnsiTheme="minorHAnsi" w:cstheme="minorHAnsi"/>
          <w:szCs w:val="22"/>
        </w:rPr>
        <w:t>knowledge</w:t>
      </w:r>
      <w:r w:rsidR="003F3E7F" w:rsidRPr="005F120D">
        <w:rPr>
          <w:rFonts w:asciiTheme="minorHAnsi" w:hAnsiTheme="minorHAnsi" w:cstheme="minorHAnsi"/>
          <w:szCs w:val="22"/>
        </w:rPr>
        <w:t>.</w:t>
      </w:r>
      <w:r w:rsidR="007D75C1" w:rsidRPr="005F120D">
        <w:rPr>
          <w:rFonts w:asciiTheme="minorHAnsi" w:hAnsiTheme="minorHAnsi" w:cstheme="minorHAnsi"/>
          <w:bCs/>
        </w:rPr>
        <w:t xml:space="preserve"> By 2018, all </w:t>
      </w:r>
      <w:r w:rsidR="00DF6719" w:rsidRPr="005F120D">
        <w:rPr>
          <w:rFonts w:asciiTheme="minorHAnsi" w:hAnsiTheme="minorHAnsi" w:cstheme="minorHAnsi"/>
          <w:bCs/>
        </w:rPr>
        <w:t>the test items</w:t>
      </w:r>
      <w:r w:rsidR="007D75C1" w:rsidRPr="005F120D">
        <w:rPr>
          <w:rFonts w:asciiTheme="minorHAnsi" w:hAnsiTheme="minorHAnsi" w:cstheme="minorHAnsi"/>
          <w:bCs/>
        </w:rPr>
        <w:t xml:space="preserve"> will be competency based. The total original cost as per DPP was Tk. 375.00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1,807.99 </w:t>
      </w:r>
      <w:r w:rsidR="00F738CE" w:rsidRPr="005F120D">
        <w:rPr>
          <w:rFonts w:asciiTheme="minorHAnsi" w:hAnsiTheme="minorHAnsi" w:cstheme="minorHAnsi"/>
          <w:bCs/>
        </w:rPr>
        <w:t>Lac</w:t>
      </w:r>
      <w:r w:rsidR="001929B8" w:rsidRPr="005F120D">
        <w:rPr>
          <w:rFonts w:asciiTheme="minorHAnsi" w:hAnsiTheme="minorHAnsi" w:cstheme="minorHAnsi"/>
          <w:bCs/>
        </w:rPr>
        <w:t>.</w:t>
      </w:r>
    </w:p>
    <w:p w:rsidR="006F26E8" w:rsidRPr="005F120D" w:rsidRDefault="006F26E8" w:rsidP="000A5B80">
      <w:pPr>
        <w:pStyle w:val="Caption"/>
        <w:rPr>
          <w:rFonts w:cstheme="minorHAnsi"/>
        </w:rPr>
      </w:pPr>
      <w:bookmarkStart w:id="96" w:name="_Toc462837247"/>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25</w:t>
      </w:r>
      <w:r w:rsidR="002E2ED5" w:rsidRPr="005F120D">
        <w:rPr>
          <w:rFonts w:cstheme="minorHAnsi"/>
        </w:rPr>
        <w:fldChar w:fldCharType="end"/>
      </w:r>
      <w:r w:rsidRPr="005F120D">
        <w:rPr>
          <w:rFonts w:cstheme="minorHAnsi"/>
        </w:rPr>
        <w:t>: Grade 5 PECE Strengthened</w:t>
      </w:r>
      <w:r w:rsidR="006919B4" w:rsidRPr="005F120D">
        <w:rPr>
          <w:rFonts w:cstheme="minorHAnsi"/>
        </w:rPr>
        <w:t>:</w:t>
      </w:r>
      <w:r w:rsidR="00112A70" w:rsidRPr="005F120D">
        <w:rPr>
          <w:rFonts w:cstheme="minorHAnsi"/>
        </w:rPr>
        <w:t xml:space="preserve"> Cost and Expenditure as of June 2015</w:t>
      </w:r>
      <w:bookmarkEnd w:id="96"/>
    </w:p>
    <w:p w:rsidR="006F26E8" w:rsidRPr="005F120D" w:rsidRDefault="006F26E8" w:rsidP="000A5B80">
      <w:pPr>
        <w:spacing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943634" w:themeColor="accent2" w:themeShade="BF"/>
          <w:left w:val="double" w:sz="4" w:space="0" w:color="943634" w:themeColor="accent2" w:themeShade="BF"/>
          <w:bottom w:val="double" w:sz="4" w:space="0" w:color="943634" w:themeColor="accent2" w:themeShade="BF"/>
          <w:right w:val="double" w:sz="4" w:space="0" w:color="943634" w:themeColor="accent2" w:themeShade="BF"/>
          <w:insideH w:val="single" w:sz="6" w:space="0" w:color="943634" w:themeColor="accent2" w:themeShade="BF"/>
          <w:insideV w:val="single" w:sz="6" w:space="0" w:color="943634" w:themeColor="accent2" w:themeShade="BF"/>
        </w:tblBorders>
        <w:tblLook w:val="04A0"/>
      </w:tblPr>
      <w:tblGrid>
        <w:gridCol w:w="1648"/>
        <w:gridCol w:w="736"/>
        <w:gridCol w:w="956"/>
        <w:gridCol w:w="912"/>
        <w:gridCol w:w="974"/>
        <w:gridCol w:w="928"/>
        <w:gridCol w:w="863"/>
        <w:gridCol w:w="1396"/>
        <w:gridCol w:w="830"/>
      </w:tblGrid>
      <w:tr w:rsidR="006F26E8" w:rsidRPr="005F120D" w:rsidTr="000C2F70">
        <w:trPr>
          <w:tblHeader/>
        </w:trPr>
        <w:tc>
          <w:tcPr>
            <w:tcW w:w="893" w:type="pct"/>
            <w:vMerge w:val="restart"/>
            <w:shd w:val="clear" w:color="auto" w:fill="E5B8B7" w:themeFill="accent2"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07" w:type="pct"/>
            <w:gridSpan w:val="2"/>
            <w:shd w:val="clear" w:color="auto" w:fill="E5B8B7" w:themeFill="accent2"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23" w:type="pct"/>
            <w:gridSpan w:val="2"/>
            <w:shd w:val="clear" w:color="auto" w:fill="E5B8B7" w:themeFill="accent2"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71" w:type="pct"/>
            <w:gridSpan w:val="2"/>
            <w:shd w:val="clear" w:color="auto" w:fill="E5B8B7" w:themeFill="accent2" w:themeFillTint="6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756" w:type="pct"/>
            <w:vMerge w:val="restart"/>
            <w:shd w:val="clear" w:color="auto" w:fill="E5B8B7" w:themeFill="accent2"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50" w:type="pct"/>
            <w:vMerge w:val="restart"/>
            <w:shd w:val="clear" w:color="auto" w:fill="E5B8B7" w:themeFill="accent2"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0C2F70">
        <w:trPr>
          <w:tblHeader/>
        </w:trPr>
        <w:tc>
          <w:tcPr>
            <w:tcW w:w="893" w:type="pct"/>
            <w:vMerge/>
            <w:tcBorders>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388" w:type="pct"/>
            <w:tcBorders>
              <w:bottom w:val="double" w:sz="4" w:space="0" w:color="943634" w:themeColor="accent2" w:themeShade="BF"/>
            </w:tcBorders>
            <w:shd w:val="clear" w:color="auto" w:fill="F2DBDB" w:themeFill="accent2"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19" w:type="pct"/>
            <w:tcBorders>
              <w:bottom w:val="double" w:sz="4" w:space="0" w:color="943634" w:themeColor="accent2" w:themeShade="BF"/>
            </w:tcBorders>
            <w:shd w:val="clear" w:color="auto" w:fill="F2DBDB" w:themeFill="accent2"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95" w:type="pct"/>
            <w:tcBorders>
              <w:bottom w:val="double" w:sz="4" w:space="0" w:color="943634" w:themeColor="accent2" w:themeShade="BF"/>
            </w:tcBorders>
            <w:shd w:val="clear" w:color="auto" w:fill="F2DBDB" w:themeFill="accent2"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28" w:type="pct"/>
            <w:tcBorders>
              <w:bottom w:val="double" w:sz="4" w:space="0" w:color="943634" w:themeColor="accent2" w:themeShade="BF"/>
            </w:tcBorders>
            <w:shd w:val="clear" w:color="auto" w:fill="F2DBDB" w:themeFill="accent2"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03" w:type="pct"/>
            <w:tcBorders>
              <w:bottom w:val="double" w:sz="4" w:space="0" w:color="943634" w:themeColor="accent2" w:themeShade="BF"/>
            </w:tcBorders>
            <w:shd w:val="clear" w:color="auto" w:fill="F2DBDB" w:themeFill="accent2"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68" w:type="pct"/>
            <w:tcBorders>
              <w:bottom w:val="double" w:sz="4" w:space="0" w:color="943634" w:themeColor="accent2" w:themeShade="BF"/>
            </w:tcBorders>
            <w:shd w:val="clear" w:color="auto" w:fill="F2DBDB" w:themeFill="accent2"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756" w:type="pct"/>
            <w:vMerge/>
            <w:tcBorders>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450" w:type="pct"/>
            <w:vMerge/>
            <w:tcBorders>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893" w:type="pct"/>
            <w:tcBorders>
              <w:top w:val="double" w:sz="4" w:space="0" w:color="943634" w:themeColor="accent2" w:themeShade="BF"/>
              <w:left w:val="double" w:sz="4" w:space="0" w:color="943634" w:themeColor="accent2" w:themeShade="BF"/>
              <w:bottom w:val="single" w:sz="6" w:space="0" w:color="943634" w:themeColor="accent2" w:themeShade="BF"/>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 </w:t>
            </w:r>
            <w:r w:rsidR="00BF7796" w:rsidRPr="005F120D">
              <w:rPr>
                <w:rFonts w:asciiTheme="minorHAnsi" w:hAnsiTheme="minorHAnsi" w:cstheme="minorHAnsi"/>
                <w:sz w:val="16"/>
                <w:szCs w:val="16"/>
              </w:rPr>
              <w:t>PECE</w:t>
            </w:r>
            <w:r w:rsidRPr="005F120D">
              <w:rPr>
                <w:rFonts w:asciiTheme="minorHAnsi" w:hAnsiTheme="minorHAnsi" w:cstheme="minorHAnsi"/>
                <w:sz w:val="16"/>
                <w:szCs w:val="16"/>
              </w:rPr>
              <w:t>: items</w:t>
            </w:r>
            <w:r w:rsidR="007930F6" w:rsidRPr="005F120D">
              <w:rPr>
                <w:rFonts w:asciiTheme="minorHAnsi" w:hAnsiTheme="minorHAnsi" w:cstheme="minorHAnsi"/>
                <w:sz w:val="16"/>
                <w:szCs w:val="16"/>
              </w:rPr>
              <w:t>:</w:t>
            </w:r>
            <w:r w:rsidRPr="005F120D">
              <w:rPr>
                <w:rFonts w:asciiTheme="minorHAnsi" w:hAnsiTheme="minorHAnsi" w:cstheme="minorHAnsi"/>
                <w:sz w:val="16"/>
                <w:szCs w:val="16"/>
              </w:rPr>
              <w:t xml:space="preserve"> writing, testing and analyzing</w:t>
            </w:r>
          </w:p>
        </w:tc>
        <w:tc>
          <w:tcPr>
            <w:tcW w:w="388"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w:t>
            </w:r>
          </w:p>
        </w:tc>
        <w:tc>
          <w:tcPr>
            <w:tcW w:w="519"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375.00</w:t>
            </w:r>
          </w:p>
        </w:tc>
        <w:tc>
          <w:tcPr>
            <w:tcW w:w="495"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workshop on - PECE</w:t>
            </w:r>
          </w:p>
        </w:tc>
        <w:tc>
          <w:tcPr>
            <w:tcW w:w="528"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906.81</w:t>
            </w:r>
          </w:p>
        </w:tc>
        <w:tc>
          <w:tcPr>
            <w:tcW w:w="503"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8"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6.81</w:t>
            </w:r>
          </w:p>
        </w:tc>
        <w:tc>
          <w:tcPr>
            <w:tcW w:w="756"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900.00</w:t>
            </w:r>
          </w:p>
        </w:tc>
        <w:tc>
          <w:tcPr>
            <w:tcW w:w="450" w:type="pct"/>
            <w:tcBorders>
              <w:top w:val="double" w:sz="4" w:space="0" w:color="943634" w:themeColor="accent2" w:themeShade="BF"/>
              <w:bottom w:val="single" w:sz="6" w:space="0" w:color="943634" w:themeColor="accent2" w:themeShade="BF"/>
              <w:right w:val="double" w:sz="4" w:space="0" w:color="943634" w:themeColor="accent2"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893" w:type="pct"/>
            <w:tcBorders>
              <w:top w:val="single" w:sz="6" w:space="0" w:color="943634" w:themeColor="accent2" w:themeShade="BF"/>
              <w:left w:val="double" w:sz="4" w:space="0" w:color="943634" w:themeColor="accent2" w:themeShade="BF"/>
              <w:bottom w:val="single" w:sz="6" w:space="0" w:color="943634" w:themeColor="accent2" w:themeShade="BF"/>
            </w:tcBorders>
          </w:tcPr>
          <w:p w:rsidR="006F26E8" w:rsidRPr="005F120D" w:rsidRDefault="00BF7796" w:rsidP="000A5B8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2. Study on</w:t>
            </w:r>
            <w:r w:rsidR="006F26E8" w:rsidRPr="005F120D">
              <w:rPr>
                <w:rFonts w:asciiTheme="minorHAnsi" w:hAnsiTheme="minorHAnsi" w:cstheme="minorHAnsi"/>
                <w:sz w:val="16"/>
                <w:szCs w:val="16"/>
              </w:rPr>
              <w:t xml:space="preserve"> PECE</w:t>
            </w:r>
          </w:p>
        </w:tc>
        <w:tc>
          <w:tcPr>
            <w:tcW w:w="388"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9"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95"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 Study</w:t>
            </w:r>
          </w:p>
        </w:tc>
        <w:tc>
          <w:tcPr>
            <w:tcW w:w="528"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901.18</w:t>
            </w:r>
          </w:p>
        </w:tc>
        <w:tc>
          <w:tcPr>
            <w:tcW w:w="503"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68"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386.10</w:t>
            </w:r>
          </w:p>
        </w:tc>
        <w:tc>
          <w:tcPr>
            <w:tcW w:w="75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515.08</w:t>
            </w:r>
          </w:p>
        </w:tc>
        <w:tc>
          <w:tcPr>
            <w:tcW w:w="450" w:type="pct"/>
            <w:tcBorders>
              <w:top w:val="single" w:sz="6" w:space="0" w:color="943634" w:themeColor="accent2" w:themeShade="BF"/>
              <w:bottom w:val="single" w:sz="6" w:space="0" w:color="943634" w:themeColor="accent2" w:themeShade="BF"/>
              <w:right w:val="double" w:sz="4" w:space="0" w:color="943634" w:themeColor="accent2"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893"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388"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519"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375.00</w:t>
            </w:r>
          </w:p>
        </w:tc>
        <w:tc>
          <w:tcPr>
            <w:tcW w:w="495"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p>
        </w:tc>
        <w:tc>
          <w:tcPr>
            <w:tcW w:w="528"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1,807.99</w:t>
            </w:r>
          </w:p>
        </w:tc>
        <w:tc>
          <w:tcPr>
            <w:tcW w:w="503"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p>
        </w:tc>
        <w:tc>
          <w:tcPr>
            <w:tcW w:w="468"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392.91 (21.7%)</w:t>
            </w:r>
          </w:p>
        </w:tc>
        <w:tc>
          <w:tcPr>
            <w:tcW w:w="756"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1,415.08 (78.3%)</w:t>
            </w:r>
          </w:p>
        </w:tc>
        <w:tc>
          <w:tcPr>
            <w:tcW w:w="450"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p>
        </w:tc>
      </w:tr>
    </w:tbl>
    <w:p w:rsidR="00981CA3" w:rsidRPr="005F120D" w:rsidRDefault="006F26E8" w:rsidP="000A5B80">
      <w:pPr>
        <w:pStyle w:val="ListParagraph"/>
        <w:numPr>
          <w:ilvl w:val="0"/>
          <w:numId w:val="88"/>
        </w:numPr>
        <w:spacing w:before="240"/>
        <w:jc w:val="both"/>
        <w:rPr>
          <w:rFonts w:asciiTheme="minorHAnsi" w:hAnsiTheme="minorHAnsi" w:cstheme="minorHAnsi"/>
          <w:bCs/>
        </w:rPr>
      </w:pPr>
      <w:r w:rsidRPr="005F120D">
        <w:rPr>
          <w:rFonts w:asciiTheme="minorHAnsi" w:hAnsiTheme="minorHAnsi" w:cstheme="minorHAnsi"/>
          <w:b/>
          <w:i/>
          <w:iCs/>
          <w:color w:val="008000"/>
        </w:rPr>
        <w:t>Sub-Component 3.2.2 - Teacher Recruitment, Promotion and Deployment:</w:t>
      </w:r>
    </w:p>
    <w:p w:rsidR="006F26E8" w:rsidRPr="005F120D" w:rsidRDefault="00E15A4A" w:rsidP="000A5B80">
      <w:pPr>
        <w:spacing w:before="240"/>
        <w:jc w:val="both"/>
        <w:rPr>
          <w:rFonts w:asciiTheme="minorHAnsi" w:hAnsiTheme="minorHAnsi" w:cstheme="minorHAnsi"/>
          <w:bCs/>
        </w:rPr>
      </w:pPr>
      <w:r w:rsidRPr="005F120D">
        <w:rPr>
          <w:rFonts w:asciiTheme="minorHAnsi" w:hAnsiTheme="minorHAnsi" w:cstheme="minorHAnsi"/>
          <w:szCs w:val="22"/>
        </w:rPr>
        <w:t>The major shift in PEDP3 is to a demand or need</w:t>
      </w:r>
      <w:r w:rsidR="003F3E7F" w:rsidRPr="005F120D">
        <w:rPr>
          <w:rFonts w:asciiTheme="minorHAnsi" w:hAnsiTheme="minorHAnsi" w:cstheme="minorHAnsi"/>
          <w:szCs w:val="22"/>
        </w:rPr>
        <w:t>s</w:t>
      </w:r>
      <w:r w:rsidRPr="005F120D">
        <w:rPr>
          <w:rFonts w:asciiTheme="minorHAnsi" w:hAnsiTheme="minorHAnsi" w:cstheme="minorHAnsi"/>
          <w:szCs w:val="22"/>
        </w:rPr>
        <w:t xml:space="preserve">-based deployment of resources, including teachers.  Accordingly, </w:t>
      </w:r>
      <w:r w:rsidRPr="005F120D">
        <w:rPr>
          <w:rFonts w:asciiTheme="minorHAnsi" w:hAnsiTheme="minorHAnsi" w:cstheme="minorHAnsi"/>
          <w:iCs/>
        </w:rPr>
        <w:t xml:space="preserve">improve </w:t>
      </w:r>
      <w:r w:rsidRPr="005F120D">
        <w:rPr>
          <w:rFonts w:asciiTheme="minorHAnsi" w:hAnsiTheme="minorHAnsi" w:cstheme="minorHAnsi"/>
        </w:rPr>
        <w:t>the t</w:t>
      </w:r>
      <w:r w:rsidR="00A14DD4" w:rsidRPr="005F120D">
        <w:rPr>
          <w:rFonts w:asciiTheme="minorHAnsi" w:hAnsiTheme="minorHAnsi" w:cstheme="minorHAnsi"/>
        </w:rPr>
        <w:t>eacher r</w:t>
      </w:r>
      <w:r w:rsidR="007930F6" w:rsidRPr="005F120D">
        <w:rPr>
          <w:rFonts w:asciiTheme="minorHAnsi" w:hAnsiTheme="minorHAnsi" w:cstheme="minorHAnsi"/>
        </w:rPr>
        <w:t>ec</w:t>
      </w:r>
      <w:r w:rsidR="00A14DD4" w:rsidRPr="005F120D">
        <w:rPr>
          <w:rFonts w:asciiTheme="minorHAnsi" w:hAnsiTheme="minorHAnsi" w:cstheme="minorHAnsi"/>
        </w:rPr>
        <w:t>ruitment/</w:t>
      </w:r>
      <w:r w:rsidR="00E339CE" w:rsidRPr="005F120D">
        <w:rPr>
          <w:rFonts w:asciiTheme="minorHAnsi" w:hAnsiTheme="minorHAnsi" w:cstheme="minorHAnsi"/>
        </w:rPr>
        <w:t>employment</w:t>
      </w:r>
      <w:r w:rsidRPr="005F120D">
        <w:rPr>
          <w:rFonts w:asciiTheme="minorHAnsi" w:hAnsiTheme="minorHAnsi" w:cstheme="minorHAnsi"/>
        </w:rPr>
        <w:t xml:space="preserve"> process and applying</w:t>
      </w:r>
      <w:r w:rsidR="00A14DD4" w:rsidRPr="005F120D">
        <w:rPr>
          <w:rFonts w:asciiTheme="minorHAnsi" w:hAnsiTheme="minorHAnsi" w:cstheme="minorHAnsi"/>
        </w:rPr>
        <w:t xml:space="preserve"> a</w:t>
      </w:r>
      <w:r w:rsidRPr="005F120D">
        <w:rPr>
          <w:rFonts w:asciiTheme="minorHAnsi" w:hAnsiTheme="minorHAnsi" w:cstheme="minorHAnsi"/>
        </w:rPr>
        <w:t xml:space="preserve"> clear c</w:t>
      </w:r>
      <w:r w:rsidR="007930F6" w:rsidRPr="005F120D">
        <w:rPr>
          <w:rFonts w:asciiTheme="minorHAnsi" w:hAnsiTheme="minorHAnsi" w:cstheme="minorHAnsi"/>
        </w:rPr>
        <w:t>riteria-</w:t>
      </w:r>
      <w:r w:rsidR="00A14DD4" w:rsidRPr="005F120D">
        <w:rPr>
          <w:rFonts w:asciiTheme="minorHAnsi" w:hAnsiTheme="minorHAnsi" w:cstheme="minorHAnsi"/>
        </w:rPr>
        <w:t>based need for new teachers on school-by-school r</w:t>
      </w:r>
      <w:r w:rsidR="004A0F9A" w:rsidRPr="005F120D">
        <w:rPr>
          <w:rFonts w:asciiTheme="minorHAnsi" w:hAnsiTheme="minorHAnsi" w:cstheme="minorHAnsi"/>
        </w:rPr>
        <w:t>equirements</w:t>
      </w:r>
      <w:r w:rsidR="006919B4" w:rsidRPr="005F120D">
        <w:rPr>
          <w:rFonts w:asciiTheme="minorHAnsi" w:hAnsiTheme="minorHAnsi" w:cstheme="minorHAnsi"/>
        </w:rPr>
        <w:t xml:space="preserve">. </w:t>
      </w:r>
      <w:r w:rsidR="006919B4" w:rsidRPr="005F120D">
        <w:rPr>
          <w:rFonts w:asciiTheme="minorHAnsi" w:hAnsiTheme="minorHAnsi" w:cstheme="minorHAnsi"/>
          <w:bCs/>
        </w:rPr>
        <w:t xml:space="preserve">The approval of a teacher career path is another key objective of the sub-component. The total original cost as per DPP was Tk. 30,390.00 </w:t>
      </w:r>
      <w:r w:rsidR="00F738CE" w:rsidRPr="005F120D">
        <w:rPr>
          <w:rFonts w:asciiTheme="minorHAnsi" w:hAnsiTheme="minorHAnsi" w:cstheme="minorHAnsi"/>
          <w:bCs/>
        </w:rPr>
        <w:t>Lac</w:t>
      </w:r>
      <w:r w:rsidR="006919B4" w:rsidRPr="005F120D">
        <w:rPr>
          <w:rFonts w:asciiTheme="minorHAnsi" w:hAnsiTheme="minorHAnsi" w:cstheme="minorHAnsi"/>
          <w:bCs/>
        </w:rPr>
        <w:t xml:space="preserve"> and revised cost as per RDPP is TK. 21,003.50 </w:t>
      </w:r>
      <w:r w:rsidR="00F738CE" w:rsidRPr="005F120D">
        <w:rPr>
          <w:rFonts w:asciiTheme="minorHAnsi" w:hAnsiTheme="minorHAnsi" w:cstheme="minorHAnsi"/>
          <w:bCs/>
        </w:rPr>
        <w:t>Lac</w:t>
      </w:r>
      <w:r w:rsidR="000333F3" w:rsidRPr="005F120D">
        <w:rPr>
          <w:rFonts w:asciiTheme="minorHAnsi" w:hAnsiTheme="minorHAnsi" w:cstheme="minorHAnsi"/>
          <w:bCs/>
        </w:rPr>
        <w:t>.</w:t>
      </w:r>
    </w:p>
    <w:p w:rsidR="006F26E8" w:rsidRPr="005F120D" w:rsidRDefault="006F26E8" w:rsidP="000A5B80">
      <w:pPr>
        <w:pStyle w:val="Caption"/>
        <w:rPr>
          <w:rFonts w:cstheme="minorHAnsi"/>
        </w:rPr>
      </w:pPr>
      <w:bookmarkStart w:id="97" w:name="_Toc462837248"/>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26</w:t>
      </w:r>
      <w:r w:rsidR="002E2ED5" w:rsidRPr="005F120D">
        <w:rPr>
          <w:rFonts w:cstheme="minorHAnsi"/>
        </w:rPr>
        <w:fldChar w:fldCharType="end"/>
      </w:r>
      <w:r w:rsidRPr="005F120D">
        <w:rPr>
          <w:rFonts w:cstheme="minorHAnsi"/>
        </w:rPr>
        <w:t>: Teacher Recruitment, Promotion and Deployment</w:t>
      </w:r>
      <w:r w:rsidR="006919B4" w:rsidRPr="005F120D">
        <w:rPr>
          <w:rFonts w:cstheme="minorHAnsi"/>
        </w:rPr>
        <w:t>:</w:t>
      </w:r>
      <w:r w:rsidR="00112A70" w:rsidRPr="005F120D">
        <w:rPr>
          <w:rFonts w:cstheme="minorHAnsi"/>
        </w:rPr>
        <w:t xml:space="preserve"> Cost and Expenditure</w:t>
      </w:r>
      <w:r w:rsidR="000333F3" w:rsidRPr="005F120D">
        <w:rPr>
          <w:rFonts w:cstheme="minorHAnsi"/>
        </w:rPr>
        <w:t xml:space="preserve">, </w:t>
      </w:r>
      <w:r w:rsidR="00112A70" w:rsidRPr="005F120D">
        <w:rPr>
          <w:rFonts w:cstheme="minorHAnsi"/>
        </w:rPr>
        <w:t>June 2015</w:t>
      </w:r>
      <w:bookmarkEnd w:id="97"/>
    </w:p>
    <w:p w:rsidR="006F26E8" w:rsidRPr="005F120D" w:rsidRDefault="006F26E8" w:rsidP="000A5B80">
      <w:pPr>
        <w:spacing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4938" w:type="pct"/>
        <w:tblBorders>
          <w:top w:val="double" w:sz="4" w:space="0" w:color="943634" w:themeColor="accent2" w:themeShade="BF"/>
          <w:left w:val="double" w:sz="4" w:space="0" w:color="943634" w:themeColor="accent2" w:themeShade="BF"/>
          <w:bottom w:val="double" w:sz="4" w:space="0" w:color="943634" w:themeColor="accent2" w:themeShade="BF"/>
          <w:right w:val="double" w:sz="4" w:space="0" w:color="943634" w:themeColor="accent2" w:themeShade="BF"/>
          <w:insideH w:val="single" w:sz="6" w:space="0" w:color="943634" w:themeColor="accent2" w:themeShade="BF"/>
          <w:insideV w:val="single" w:sz="6" w:space="0" w:color="943634" w:themeColor="accent2" w:themeShade="BF"/>
        </w:tblBorders>
        <w:tblLook w:val="04A0"/>
      </w:tblPr>
      <w:tblGrid>
        <w:gridCol w:w="2090"/>
        <w:gridCol w:w="938"/>
        <w:gridCol w:w="876"/>
        <w:gridCol w:w="812"/>
        <w:gridCol w:w="869"/>
        <w:gridCol w:w="738"/>
        <w:gridCol w:w="891"/>
        <w:gridCol w:w="1134"/>
        <w:gridCol w:w="780"/>
      </w:tblGrid>
      <w:tr w:rsidR="00832DF0" w:rsidRPr="005F120D" w:rsidTr="00832DF0">
        <w:trPr>
          <w:tblHeader/>
        </w:trPr>
        <w:tc>
          <w:tcPr>
            <w:tcW w:w="1145" w:type="pct"/>
            <w:vMerge w:val="restart"/>
            <w:shd w:val="clear" w:color="auto" w:fill="E5B8B7" w:themeFill="accent2" w:themeFillTint="66"/>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94" w:type="pct"/>
            <w:gridSpan w:val="2"/>
            <w:shd w:val="clear" w:color="auto" w:fill="E5B8B7" w:themeFill="accent2" w:themeFillTint="66"/>
          </w:tcPr>
          <w:p w:rsidR="00832DF0" w:rsidRPr="005F120D" w:rsidRDefault="00832DF0"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921" w:type="pct"/>
            <w:gridSpan w:val="2"/>
            <w:shd w:val="clear" w:color="auto" w:fill="E5B8B7" w:themeFill="accent2" w:themeFillTint="66"/>
          </w:tcPr>
          <w:p w:rsidR="00832DF0" w:rsidRPr="005F120D" w:rsidRDefault="00832DF0"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892" w:type="pct"/>
            <w:gridSpan w:val="2"/>
            <w:shd w:val="clear" w:color="auto" w:fill="E5B8B7" w:themeFill="accent2" w:themeFillTint="66"/>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21" w:type="pct"/>
            <w:vMerge w:val="restart"/>
            <w:shd w:val="clear" w:color="auto" w:fill="E5B8B7" w:themeFill="accent2" w:themeFillTint="66"/>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27" w:type="pct"/>
            <w:shd w:val="clear" w:color="auto" w:fill="E5B8B7" w:themeFill="accent2" w:themeFillTint="66"/>
          </w:tcPr>
          <w:p w:rsidR="00832DF0" w:rsidRPr="005F120D" w:rsidRDefault="00832DF0" w:rsidP="000A5B80">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Remarks</w:t>
            </w:r>
          </w:p>
        </w:tc>
      </w:tr>
      <w:tr w:rsidR="00832DF0" w:rsidRPr="005F120D" w:rsidTr="00832DF0">
        <w:trPr>
          <w:tblHeader/>
        </w:trPr>
        <w:tc>
          <w:tcPr>
            <w:tcW w:w="1145" w:type="pct"/>
            <w:vMerge/>
            <w:tcBorders>
              <w:bottom w:val="double" w:sz="4"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p>
        </w:tc>
        <w:tc>
          <w:tcPr>
            <w:tcW w:w="514" w:type="pct"/>
            <w:tcBorders>
              <w:bottom w:val="double" w:sz="4" w:space="0" w:color="943634" w:themeColor="accent2" w:themeShade="BF"/>
            </w:tcBorders>
            <w:shd w:val="clear" w:color="auto" w:fill="F2DBDB" w:themeFill="accent2" w:themeFillTint="33"/>
          </w:tcPr>
          <w:p w:rsidR="00832DF0" w:rsidRPr="005F120D" w:rsidRDefault="00832DF0"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80" w:type="pct"/>
            <w:tcBorders>
              <w:bottom w:val="double" w:sz="4" w:space="0" w:color="943634" w:themeColor="accent2" w:themeShade="BF"/>
            </w:tcBorders>
            <w:shd w:val="clear" w:color="auto" w:fill="F2DBDB" w:themeFill="accent2" w:themeFillTint="33"/>
          </w:tcPr>
          <w:p w:rsidR="00832DF0" w:rsidRPr="005F120D" w:rsidRDefault="00832DF0"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45" w:type="pct"/>
            <w:tcBorders>
              <w:bottom w:val="double" w:sz="4" w:space="0" w:color="943634" w:themeColor="accent2" w:themeShade="BF"/>
            </w:tcBorders>
            <w:shd w:val="clear" w:color="auto" w:fill="F2DBDB" w:themeFill="accent2" w:themeFillTint="33"/>
          </w:tcPr>
          <w:p w:rsidR="00832DF0" w:rsidRPr="005F120D" w:rsidRDefault="00832DF0"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75" w:type="pct"/>
            <w:tcBorders>
              <w:bottom w:val="double" w:sz="4" w:space="0" w:color="943634" w:themeColor="accent2" w:themeShade="BF"/>
            </w:tcBorders>
            <w:shd w:val="clear" w:color="auto" w:fill="F2DBDB" w:themeFill="accent2" w:themeFillTint="33"/>
          </w:tcPr>
          <w:p w:rsidR="00832DF0" w:rsidRPr="005F120D" w:rsidRDefault="00832DF0"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04" w:type="pct"/>
            <w:tcBorders>
              <w:bottom w:val="double" w:sz="4" w:space="0" w:color="943634" w:themeColor="accent2" w:themeShade="BF"/>
            </w:tcBorders>
            <w:shd w:val="clear" w:color="auto" w:fill="F2DBDB" w:themeFill="accent2" w:themeFillTint="33"/>
          </w:tcPr>
          <w:p w:rsidR="00832DF0" w:rsidRPr="005F120D" w:rsidRDefault="00832DF0"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88" w:type="pct"/>
            <w:tcBorders>
              <w:bottom w:val="double" w:sz="4" w:space="0" w:color="943634" w:themeColor="accent2" w:themeShade="BF"/>
            </w:tcBorders>
            <w:shd w:val="clear" w:color="auto" w:fill="F2DBDB" w:themeFill="accent2" w:themeFillTint="33"/>
          </w:tcPr>
          <w:p w:rsidR="00832DF0" w:rsidRPr="005F120D" w:rsidRDefault="00832DF0"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21" w:type="pct"/>
            <w:vMerge/>
            <w:tcBorders>
              <w:bottom w:val="double" w:sz="4"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p>
        </w:tc>
        <w:tc>
          <w:tcPr>
            <w:tcW w:w="427" w:type="pct"/>
            <w:tcBorders>
              <w:bottom w:val="double" w:sz="4"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p>
        </w:tc>
      </w:tr>
      <w:tr w:rsidR="00832DF0" w:rsidRPr="005F120D" w:rsidTr="00832DF0">
        <w:trPr>
          <w:trHeight w:val="282"/>
        </w:trPr>
        <w:tc>
          <w:tcPr>
            <w:tcW w:w="1145" w:type="pct"/>
            <w:tcBorders>
              <w:top w:val="double" w:sz="4" w:space="0" w:color="943634" w:themeColor="accent2" w:themeShade="BF"/>
              <w:left w:val="double" w:sz="4" w:space="0" w:color="943634" w:themeColor="accent2" w:themeShade="BF"/>
              <w:bottom w:val="single" w:sz="6" w:space="0" w:color="943634" w:themeColor="accent2" w:themeShade="BF"/>
            </w:tcBorders>
          </w:tcPr>
          <w:p w:rsidR="00832DF0" w:rsidRPr="005F120D" w:rsidRDefault="00832DF0"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 Study </w:t>
            </w:r>
          </w:p>
        </w:tc>
        <w:tc>
          <w:tcPr>
            <w:tcW w:w="514" w:type="pct"/>
            <w:tcBorders>
              <w:top w:val="double" w:sz="4"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w:t>
            </w:r>
          </w:p>
        </w:tc>
        <w:tc>
          <w:tcPr>
            <w:tcW w:w="480" w:type="pct"/>
            <w:tcBorders>
              <w:top w:val="double" w:sz="4" w:space="0" w:color="943634" w:themeColor="accent2" w:themeShade="BF"/>
              <w:bottom w:val="single" w:sz="6" w:space="0" w:color="943634" w:themeColor="accent2" w:themeShade="BF"/>
            </w:tcBorders>
            <w:vAlign w:val="center"/>
          </w:tcPr>
          <w:p w:rsidR="00832DF0" w:rsidRPr="005F120D" w:rsidRDefault="00832DF0"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45" w:type="pct"/>
            <w:tcBorders>
              <w:top w:val="double" w:sz="4"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5" w:type="pct"/>
            <w:tcBorders>
              <w:top w:val="double" w:sz="4" w:space="0" w:color="943634" w:themeColor="accent2" w:themeShade="BF"/>
              <w:bottom w:val="single" w:sz="6" w:space="0" w:color="943634" w:themeColor="accent2" w:themeShade="BF"/>
            </w:tcBorders>
            <w:vAlign w:val="center"/>
          </w:tcPr>
          <w:p w:rsidR="00832DF0" w:rsidRPr="005F120D" w:rsidRDefault="00832DF0"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04" w:type="pct"/>
            <w:tcBorders>
              <w:top w:val="double" w:sz="4"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488" w:type="pct"/>
            <w:tcBorders>
              <w:top w:val="double" w:sz="4"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621" w:type="pct"/>
            <w:tcBorders>
              <w:top w:val="double" w:sz="4"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427" w:type="pct"/>
            <w:tcBorders>
              <w:top w:val="double" w:sz="4"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p>
        </w:tc>
      </w:tr>
      <w:tr w:rsidR="00832DF0" w:rsidRPr="005F120D" w:rsidTr="00832DF0">
        <w:trPr>
          <w:trHeight w:val="282"/>
        </w:trPr>
        <w:tc>
          <w:tcPr>
            <w:tcW w:w="1145" w:type="pct"/>
            <w:tcBorders>
              <w:top w:val="single" w:sz="6" w:space="0" w:color="943634" w:themeColor="accent2" w:themeShade="BF"/>
              <w:left w:val="double" w:sz="4" w:space="0" w:color="943634" w:themeColor="accent2" w:themeShade="BF"/>
              <w:bottom w:val="single" w:sz="6" w:space="0" w:color="943634" w:themeColor="accent2" w:themeShade="BF"/>
            </w:tcBorders>
          </w:tcPr>
          <w:p w:rsidR="00832DF0" w:rsidRPr="005F120D" w:rsidRDefault="00832DF0" w:rsidP="000A5B80">
            <w:pPr>
              <w:spacing w:after="0"/>
              <w:rPr>
                <w:rFonts w:asciiTheme="minorHAnsi" w:hAnsiTheme="minorHAnsi" w:cstheme="minorHAnsi"/>
                <w:sz w:val="16"/>
                <w:szCs w:val="16"/>
              </w:rPr>
            </w:pPr>
            <w:r w:rsidRPr="005F120D">
              <w:rPr>
                <w:rFonts w:asciiTheme="minorHAnsi" w:hAnsiTheme="minorHAnsi" w:cstheme="minorHAnsi"/>
                <w:sz w:val="16"/>
                <w:szCs w:val="16"/>
              </w:rPr>
              <w:t>2. Workshop/ seminar on teacher recruitment, promotion and deployment</w:t>
            </w:r>
          </w:p>
        </w:tc>
        <w:tc>
          <w:tcPr>
            <w:tcW w:w="514" w:type="pct"/>
            <w:tcBorders>
              <w:top w:val="single" w:sz="6"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80"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45" w:type="pct"/>
            <w:tcBorders>
              <w:top w:val="single" w:sz="6"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5"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04"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488"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621"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427" w:type="pct"/>
            <w:tcBorders>
              <w:top w:val="single" w:sz="6"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p>
        </w:tc>
      </w:tr>
      <w:tr w:rsidR="00832DF0" w:rsidRPr="005F120D" w:rsidTr="00832DF0">
        <w:trPr>
          <w:trHeight w:val="282"/>
        </w:trPr>
        <w:tc>
          <w:tcPr>
            <w:tcW w:w="1145" w:type="pct"/>
            <w:tcBorders>
              <w:top w:val="single" w:sz="6" w:space="0" w:color="943634" w:themeColor="accent2" w:themeShade="BF"/>
              <w:left w:val="double" w:sz="4" w:space="0" w:color="943634" w:themeColor="accent2" w:themeShade="BF"/>
              <w:bottom w:val="single" w:sz="6" w:space="0" w:color="943634" w:themeColor="accent2" w:themeShade="BF"/>
            </w:tcBorders>
          </w:tcPr>
          <w:p w:rsidR="00832DF0" w:rsidRPr="005F120D" w:rsidRDefault="00832DF0" w:rsidP="000A5B80">
            <w:pPr>
              <w:spacing w:after="0"/>
              <w:rPr>
                <w:rFonts w:asciiTheme="minorHAnsi" w:hAnsiTheme="minorHAnsi" w:cstheme="minorHAnsi"/>
                <w:sz w:val="16"/>
                <w:szCs w:val="16"/>
              </w:rPr>
            </w:pPr>
            <w:r w:rsidRPr="005F120D">
              <w:rPr>
                <w:rFonts w:asciiTheme="minorHAnsi" w:hAnsiTheme="minorHAnsi" w:cstheme="minorHAnsi"/>
                <w:sz w:val="16"/>
                <w:szCs w:val="16"/>
              </w:rPr>
              <w:t>3. Teachers incentive pilot</w:t>
            </w:r>
          </w:p>
        </w:tc>
        <w:tc>
          <w:tcPr>
            <w:tcW w:w="514" w:type="pct"/>
            <w:tcBorders>
              <w:top w:val="single" w:sz="6"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50.00</w:t>
            </w:r>
          </w:p>
        </w:tc>
        <w:tc>
          <w:tcPr>
            <w:tcW w:w="480"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150.00</w:t>
            </w:r>
          </w:p>
        </w:tc>
        <w:tc>
          <w:tcPr>
            <w:tcW w:w="445" w:type="pct"/>
            <w:tcBorders>
              <w:top w:val="single" w:sz="6"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75"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04"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488"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621"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427" w:type="pct"/>
            <w:tcBorders>
              <w:top w:val="single" w:sz="6"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p>
        </w:tc>
      </w:tr>
      <w:tr w:rsidR="00832DF0" w:rsidRPr="005F120D" w:rsidTr="00832DF0">
        <w:trPr>
          <w:trHeight w:val="282"/>
        </w:trPr>
        <w:tc>
          <w:tcPr>
            <w:tcW w:w="1145" w:type="pct"/>
            <w:tcBorders>
              <w:top w:val="single" w:sz="6" w:space="0" w:color="943634" w:themeColor="accent2" w:themeShade="BF"/>
              <w:left w:val="double" w:sz="4" w:space="0" w:color="943634" w:themeColor="accent2" w:themeShade="BF"/>
              <w:bottom w:val="single" w:sz="6" w:space="0" w:color="943634" w:themeColor="accent2" w:themeShade="BF"/>
            </w:tcBorders>
          </w:tcPr>
          <w:p w:rsidR="00832DF0" w:rsidRPr="005F120D" w:rsidRDefault="00832DF0" w:rsidP="000A5B80">
            <w:pPr>
              <w:spacing w:after="0"/>
              <w:rPr>
                <w:rFonts w:asciiTheme="minorHAnsi" w:hAnsiTheme="minorHAnsi" w:cstheme="minorHAnsi"/>
                <w:sz w:val="16"/>
                <w:szCs w:val="16"/>
              </w:rPr>
            </w:pPr>
            <w:r w:rsidRPr="005F120D">
              <w:rPr>
                <w:rFonts w:asciiTheme="minorHAnsi" w:hAnsiTheme="minorHAnsi" w:cstheme="minorHAnsi"/>
                <w:sz w:val="16"/>
                <w:szCs w:val="16"/>
              </w:rPr>
              <w:t>4.  Salary for Additional Teacher GPS</w:t>
            </w:r>
          </w:p>
        </w:tc>
        <w:tc>
          <w:tcPr>
            <w:tcW w:w="514" w:type="pct"/>
            <w:tcBorders>
              <w:top w:val="single" w:sz="6"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10,000</w:t>
            </w:r>
          </w:p>
        </w:tc>
        <w:tc>
          <w:tcPr>
            <w:tcW w:w="480"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30,240.00</w:t>
            </w:r>
          </w:p>
        </w:tc>
        <w:tc>
          <w:tcPr>
            <w:tcW w:w="445" w:type="pct"/>
            <w:tcBorders>
              <w:top w:val="single" w:sz="6"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10,000</w:t>
            </w:r>
          </w:p>
        </w:tc>
        <w:tc>
          <w:tcPr>
            <w:tcW w:w="475"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20,700.00</w:t>
            </w:r>
          </w:p>
        </w:tc>
        <w:tc>
          <w:tcPr>
            <w:tcW w:w="404"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488"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21" w:type="pct"/>
            <w:tcBorders>
              <w:top w:val="single" w:sz="6" w:space="0" w:color="943634" w:themeColor="accent2" w:themeShade="BF"/>
              <w:bottom w:val="single" w:sz="6"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20,700.00</w:t>
            </w:r>
          </w:p>
        </w:tc>
        <w:tc>
          <w:tcPr>
            <w:tcW w:w="427" w:type="pct"/>
            <w:tcBorders>
              <w:top w:val="single" w:sz="6" w:space="0" w:color="943634" w:themeColor="accent2" w:themeShade="BF"/>
              <w:bottom w:val="single" w:sz="6"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p>
        </w:tc>
      </w:tr>
      <w:tr w:rsidR="00832DF0" w:rsidRPr="005F120D" w:rsidTr="00832DF0">
        <w:trPr>
          <w:trHeight w:val="282"/>
        </w:trPr>
        <w:tc>
          <w:tcPr>
            <w:tcW w:w="1145" w:type="pct"/>
            <w:tcBorders>
              <w:top w:val="single" w:sz="6" w:space="0" w:color="943634" w:themeColor="accent2" w:themeShade="BF"/>
              <w:left w:val="double" w:sz="4" w:space="0" w:color="943634" w:themeColor="accent2" w:themeShade="BF"/>
              <w:bottom w:val="double" w:sz="4" w:space="0" w:color="943634" w:themeColor="accent2" w:themeShade="BF"/>
            </w:tcBorders>
          </w:tcPr>
          <w:p w:rsidR="00832DF0" w:rsidRPr="005F120D" w:rsidRDefault="00832DF0" w:rsidP="000A5B80">
            <w:pPr>
              <w:spacing w:after="0"/>
              <w:rPr>
                <w:rFonts w:asciiTheme="minorHAnsi" w:hAnsiTheme="minorHAnsi" w:cstheme="minorHAnsi"/>
                <w:sz w:val="16"/>
                <w:szCs w:val="16"/>
              </w:rPr>
            </w:pPr>
            <w:r w:rsidRPr="005F120D">
              <w:rPr>
                <w:rFonts w:asciiTheme="minorHAnsi" w:hAnsiTheme="minorHAnsi" w:cstheme="minorHAnsi"/>
                <w:sz w:val="16"/>
                <w:szCs w:val="16"/>
              </w:rPr>
              <w:t>5. Additional Manpower for Hostel in Hill-tract</w:t>
            </w:r>
            <w:r w:rsidR="004A0F9A" w:rsidRPr="005F120D">
              <w:rPr>
                <w:rFonts w:asciiTheme="minorHAnsi" w:hAnsiTheme="minorHAnsi" w:cstheme="minorHAnsi"/>
                <w:sz w:val="16"/>
                <w:szCs w:val="16"/>
              </w:rPr>
              <w:t xml:space="preserve"> area</w:t>
            </w:r>
          </w:p>
        </w:tc>
        <w:tc>
          <w:tcPr>
            <w:tcW w:w="514" w:type="pct"/>
            <w:tcBorders>
              <w:top w:val="single" w:sz="6" w:space="0" w:color="943634" w:themeColor="accent2" w:themeShade="BF"/>
              <w:bottom w:val="double" w:sz="4"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Manpower budget</w:t>
            </w:r>
          </w:p>
        </w:tc>
        <w:tc>
          <w:tcPr>
            <w:tcW w:w="480" w:type="pct"/>
            <w:tcBorders>
              <w:top w:val="single" w:sz="6" w:space="0" w:color="943634" w:themeColor="accent2" w:themeShade="BF"/>
              <w:bottom w:val="double" w:sz="4" w:space="0" w:color="943634" w:themeColor="accent2" w:themeShade="BF"/>
            </w:tcBorders>
            <w:vAlign w:val="center"/>
          </w:tcPr>
          <w:p w:rsidR="00832DF0" w:rsidRPr="005F120D" w:rsidRDefault="00832DF0"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45" w:type="pct"/>
            <w:tcBorders>
              <w:top w:val="single" w:sz="6" w:space="0" w:color="943634" w:themeColor="accent2" w:themeShade="BF"/>
              <w:bottom w:val="double" w:sz="4" w:space="0" w:color="943634" w:themeColor="accent2" w:themeShade="BF"/>
            </w:tcBorders>
          </w:tcPr>
          <w:p w:rsidR="00832DF0" w:rsidRPr="005F120D" w:rsidRDefault="00832DF0" w:rsidP="000A5B80">
            <w:pPr>
              <w:spacing w:after="0"/>
              <w:jc w:val="center"/>
              <w:rPr>
                <w:rFonts w:asciiTheme="minorHAnsi" w:hAnsiTheme="minorHAnsi" w:cstheme="minorHAnsi"/>
                <w:sz w:val="12"/>
                <w:szCs w:val="12"/>
              </w:rPr>
            </w:pPr>
            <w:r w:rsidRPr="005F120D">
              <w:rPr>
                <w:rFonts w:asciiTheme="minorHAnsi" w:hAnsiTheme="minorHAnsi" w:cstheme="minorHAnsi"/>
                <w:sz w:val="12"/>
                <w:szCs w:val="12"/>
              </w:rPr>
              <w:t>Salary for 40 staff</w:t>
            </w:r>
          </w:p>
        </w:tc>
        <w:tc>
          <w:tcPr>
            <w:tcW w:w="475" w:type="pct"/>
            <w:tcBorders>
              <w:top w:val="single" w:sz="6" w:space="0" w:color="943634" w:themeColor="accent2" w:themeShade="BF"/>
              <w:bottom w:val="double" w:sz="4" w:space="0" w:color="943634" w:themeColor="accent2" w:themeShade="BF"/>
            </w:tcBorders>
            <w:vAlign w:val="center"/>
          </w:tcPr>
          <w:p w:rsidR="00832DF0" w:rsidRPr="005F120D" w:rsidRDefault="00832DF0"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303.50</w:t>
            </w:r>
          </w:p>
        </w:tc>
        <w:tc>
          <w:tcPr>
            <w:tcW w:w="404" w:type="pct"/>
            <w:tcBorders>
              <w:top w:val="single" w:sz="6" w:space="0" w:color="943634" w:themeColor="accent2" w:themeShade="BF"/>
              <w:bottom w:val="double" w:sz="4"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p>
        </w:tc>
        <w:tc>
          <w:tcPr>
            <w:tcW w:w="488" w:type="pct"/>
            <w:tcBorders>
              <w:top w:val="single" w:sz="6" w:space="0" w:color="943634" w:themeColor="accent2" w:themeShade="BF"/>
              <w:bottom w:val="double" w:sz="4"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27.8</w:t>
            </w:r>
          </w:p>
        </w:tc>
        <w:tc>
          <w:tcPr>
            <w:tcW w:w="621" w:type="pct"/>
            <w:tcBorders>
              <w:top w:val="single" w:sz="6" w:space="0" w:color="943634" w:themeColor="accent2" w:themeShade="BF"/>
              <w:bottom w:val="double" w:sz="4" w:space="0" w:color="943634" w:themeColor="accent2" w:themeShade="BF"/>
            </w:tcBorders>
            <w:vAlign w:val="center"/>
          </w:tcPr>
          <w:p w:rsidR="00832DF0" w:rsidRPr="005F120D" w:rsidRDefault="00832DF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275.70</w:t>
            </w:r>
          </w:p>
        </w:tc>
        <w:tc>
          <w:tcPr>
            <w:tcW w:w="427" w:type="pct"/>
            <w:tcBorders>
              <w:top w:val="single" w:sz="6" w:space="0" w:color="943634" w:themeColor="accent2" w:themeShade="BF"/>
              <w:bottom w:val="double" w:sz="4" w:space="0" w:color="943634" w:themeColor="accent2" w:themeShade="BF"/>
            </w:tcBorders>
          </w:tcPr>
          <w:p w:rsidR="00832DF0" w:rsidRPr="005F120D" w:rsidRDefault="00832DF0" w:rsidP="000A5B80">
            <w:pPr>
              <w:spacing w:after="0"/>
              <w:jc w:val="center"/>
              <w:rPr>
                <w:rFonts w:asciiTheme="minorHAnsi" w:hAnsiTheme="minorHAnsi" w:cstheme="minorHAnsi"/>
                <w:sz w:val="16"/>
                <w:szCs w:val="16"/>
              </w:rPr>
            </w:pPr>
          </w:p>
        </w:tc>
      </w:tr>
      <w:tr w:rsidR="00832DF0" w:rsidRPr="005F120D" w:rsidTr="00832DF0">
        <w:tc>
          <w:tcPr>
            <w:tcW w:w="1145" w:type="pct"/>
            <w:tcBorders>
              <w:top w:val="double" w:sz="4" w:space="0" w:color="943634" w:themeColor="accent2" w:themeShade="BF"/>
            </w:tcBorders>
            <w:shd w:val="clear" w:color="auto" w:fill="F2DBDB" w:themeFill="accent2" w:themeFillTint="33"/>
            <w:vAlign w:val="center"/>
          </w:tcPr>
          <w:p w:rsidR="00832DF0" w:rsidRPr="005F120D" w:rsidRDefault="00832DF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514" w:type="pct"/>
            <w:tcBorders>
              <w:top w:val="double" w:sz="4" w:space="0" w:color="943634" w:themeColor="accent2" w:themeShade="BF"/>
            </w:tcBorders>
            <w:shd w:val="clear" w:color="auto" w:fill="F2DBDB" w:themeFill="accent2" w:themeFillTint="33"/>
            <w:vAlign w:val="center"/>
          </w:tcPr>
          <w:p w:rsidR="00832DF0" w:rsidRPr="005F120D" w:rsidRDefault="00832DF0" w:rsidP="000A5B80">
            <w:pPr>
              <w:spacing w:after="0"/>
              <w:jc w:val="center"/>
              <w:rPr>
                <w:rFonts w:asciiTheme="minorHAnsi" w:hAnsiTheme="minorHAnsi" w:cstheme="minorHAnsi"/>
                <w:b/>
                <w:sz w:val="16"/>
                <w:szCs w:val="16"/>
              </w:rPr>
            </w:pPr>
          </w:p>
        </w:tc>
        <w:tc>
          <w:tcPr>
            <w:tcW w:w="480" w:type="pct"/>
            <w:tcBorders>
              <w:top w:val="double" w:sz="4" w:space="0" w:color="943634" w:themeColor="accent2" w:themeShade="BF"/>
            </w:tcBorders>
            <w:shd w:val="clear" w:color="auto" w:fill="F2DBDB" w:themeFill="accent2" w:themeFillTint="33"/>
            <w:vAlign w:val="center"/>
          </w:tcPr>
          <w:p w:rsidR="00832DF0" w:rsidRPr="005F120D" w:rsidRDefault="00832DF0"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30,390.00</w:t>
            </w:r>
          </w:p>
        </w:tc>
        <w:tc>
          <w:tcPr>
            <w:tcW w:w="445" w:type="pct"/>
            <w:tcBorders>
              <w:top w:val="double" w:sz="4" w:space="0" w:color="943634" w:themeColor="accent2" w:themeShade="BF"/>
            </w:tcBorders>
            <w:shd w:val="clear" w:color="auto" w:fill="F2DBDB" w:themeFill="accent2" w:themeFillTint="33"/>
            <w:vAlign w:val="center"/>
          </w:tcPr>
          <w:p w:rsidR="00832DF0" w:rsidRPr="005F120D" w:rsidRDefault="00832DF0" w:rsidP="000A5B80">
            <w:pPr>
              <w:spacing w:after="0"/>
              <w:jc w:val="center"/>
              <w:rPr>
                <w:rFonts w:asciiTheme="minorHAnsi" w:hAnsiTheme="minorHAnsi" w:cstheme="minorHAnsi"/>
                <w:b/>
                <w:sz w:val="16"/>
                <w:szCs w:val="16"/>
              </w:rPr>
            </w:pPr>
          </w:p>
        </w:tc>
        <w:tc>
          <w:tcPr>
            <w:tcW w:w="475" w:type="pct"/>
            <w:tcBorders>
              <w:top w:val="double" w:sz="4" w:space="0" w:color="943634" w:themeColor="accent2" w:themeShade="BF"/>
            </w:tcBorders>
            <w:shd w:val="clear" w:color="auto" w:fill="F2DBDB" w:themeFill="accent2" w:themeFillTint="33"/>
            <w:vAlign w:val="center"/>
          </w:tcPr>
          <w:p w:rsidR="00832DF0" w:rsidRPr="005F120D" w:rsidRDefault="00832DF0"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21,003.50</w:t>
            </w:r>
          </w:p>
        </w:tc>
        <w:tc>
          <w:tcPr>
            <w:tcW w:w="404" w:type="pct"/>
            <w:tcBorders>
              <w:top w:val="double" w:sz="4" w:space="0" w:color="943634" w:themeColor="accent2" w:themeShade="BF"/>
            </w:tcBorders>
            <w:shd w:val="clear" w:color="auto" w:fill="F2DBDB" w:themeFill="accent2" w:themeFillTint="33"/>
            <w:vAlign w:val="center"/>
          </w:tcPr>
          <w:p w:rsidR="00832DF0" w:rsidRPr="005F120D" w:rsidRDefault="00832DF0" w:rsidP="000A5B80">
            <w:pPr>
              <w:spacing w:after="0"/>
              <w:jc w:val="center"/>
              <w:rPr>
                <w:rFonts w:asciiTheme="minorHAnsi" w:hAnsiTheme="minorHAnsi" w:cstheme="minorHAnsi"/>
                <w:b/>
                <w:bCs/>
                <w:sz w:val="16"/>
                <w:szCs w:val="16"/>
              </w:rPr>
            </w:pPr>
          </w:p>
        </w:tc>
        <w:tc>
          <w:tcPr>
            <w:tcW w:w="488" w:type="pct"/>
            <w:tcBorders>
              <w:top w:val="double" w:sz="4" w:space="0" w:color="943634" w:themeColor="accent2" w:themeShade="BF"/>
            </w:tcBorders>
            <w:shd w:val="clear" w:color="auto" w:fill="F2DBDB" w:themeFill="accent2" w:themeFillTint="33"/>
            <w:vAlign w:val="center"/>
          </w:tcPr>
          <w:p w:rsidR="00832DF0" w:rsidRPr="005F120D" w:rsidRDefault="00832DF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27.8 (0.13%)</w:t>
            </w:r>
          </w:p>
        </w:tc>
        <w:tc>
          <w:tcPr>
            <w:tcW w:w="621" w:type="pct"/>
            <w:tcBorders>
              <w:top w:val="double" w:sz="4" w:space="0" w:color="943634" w:themeColor="accent2" w:themeShade="BF"/>
            </w:tcBorders>
            <w:shd w:val="clear" w:color="auto" w:fill="F2DBDB" w:themeFill="accent2" w:themeFillTint="33"/>
            <w:vAlign w:val="center"/>
          </w:tcPr>
          <w:p w:rsidR="00832DF0" w:rsidRPr="005F120D" w:rsidRDefault="00832DF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20,975.70 (99.87%)</w:t>
            </w:r>
          </w:p>
        </w:tc>
        <w:tc>
          <w:tcPr>
            <w:tcW w:w="427" w:type="pct"/>
            <w:tcBorders>
              <w:top w:val="double" w:sz="4" w:space="0" w:color="943634" w:themeColor="accent2" w:themeShade="BF"/>
            </w:tcBorders>
            <w:shd w:val="clear" w:color="auto" w:fill="F2DBDB" w:themeFill="accent2" w:themeFillTint="33"/>
          </w:tcPr>
          <w:p w:rsidR="00832DF0" w:rsidRPr="005F120D" w:rsidRDefault="00832DF0" w:rsidP="000A5B80">
            <w:pPr>
              <w:spacing w:after="0"/>
              <w:jc w:val="center"/>
              <w:rPr>
                <w:rFonts w:asciiTheme="minorHAnsi" w:hAnsiTheme="minorHAnsi" w:cstheme="minorHAnsi"/>
                <w:b/>
                <w:sz w:val="16"/>
                <w:szCs w:val="16"/>
              </w:rPr>
            </w:pPr>
          </w:p>
        </w:tc>
      </w:tr>
    </w:tbl>
    <w:p w:rsidR="006F26E8" w:rsidRPr="005F120D" w:rsidRDefault="006F26E8" w:rsidP="000A5B80">
      <w:pPr>
        <w:spacing w:after="0"/>
        <w:rPr>
          <w:rFonts w:asciiTheme="minorHAnsi" w:hAnsiTheme="minorHAnsi" w:cstheme="minorHAnsi"/>
          <w:b/>
          <w:bCs/>
        </w:rPr>
      </w:pPr>
    </w:p>
    <w:p w:rsidR="00981CA3" w:rsidRPr="005F120D" w:rsidRDefault="006F26E8" w:rsidP="005351D1">
      <w:pPr>
        <w:pStyle w:val="ListParagraph"/>
        <w:numPr>
          <w:ilvl w:val="0"/>
          <w:numId w:val="88"/>
        </w:numPr>
        <w:spacing w:after="120"/>
        <w:jc w:val="both"/>
        <w:rPr>
          <w:rFonts w:asciiTheme="minorHAnsi" w:hAnsiTheme="minorHAnsi" w:cstheme="minorHAnsi"/>
          <w:bCs/>
        </w:rPr>
      </w:pPr>
      <w:r w:rsidRPr="005F120D">
        <w:rPr>
          <w:rFonts w:asciiTheme="minorHAnsi" w:hAnsiTheme="minorHAnsi" w:cstheme="minorHAnsi"/>
          <w:b/>
          <w:i/>
          <w:iCs/>
          <w:color w:val="008000"/>
        </w:rPr>
        <w:t>Sub-Component 3.2.3 - Annual Primary School Census (APSC):</w:t>
      </w:r>
    </w:p>
    <w:p w:rsidR="006F26E8" w:rsidRPr="005F120D" w:rsidRDefault="000B3689" w:rsidP="005351D1">
      <w:pPr>
        <w:spacing w:after="120"/>
        <w:jc w:val="both"/>
        <w:rPr>
          <w:rFonts w:asciiTheme="minorHAnsi" w:hAnsiTheme="minorHAnsi" w:cstheme="minorHAnsi"/>
          <w:color w:val="FF0000"/>
          <w:szCs w:val="22"/>
        </w:rPr>
      </w:pPr>
      <w:r w:rsidRPr="005F120D">
        <w:rPr>
          <w:rFonts w:asciiTheme="minorHAnsi" w:hAnsiTheme="minorHAnsi" w:cstheme="minorHAnsi"/>
          <w:szCs w:val="22"/>
        </w:rPr>
        <w:t>The APSC has been conducted since 2005, producing a primary information source for accurate, reliable data for evidence bas</w:t>
      </w:r>
      <w:r w:rsidR="004950A5" w:rsidRPr="005F120D">
        <w:rPr>
          <w:rFonts w:asciiTheme="minorHAnsi" w:hAnsiTheme="minorHAnsi" w:cstheme="minorHAnsi"/>
          <w:szCs w:val="22"/>
        </w:rPr>
        <w:t>ed policy making</w:t>
      </w:r>
      <w:r w:rsidRPr="005F120D">
        <w:rPr>
          <w:rFonts w:asciiTheme="minorHAnsi" w:hAnsiTheme="minorHAnsi" w:cstheme="minorHAnsi"/>
          <w:szCs w:val="22"/>
        </w:rPr>
        <w:t xml:space="preserve">, targeted service delivery for quality primary education. </w:t>
      </w:r>
      <w:r w:rsidR="004950A5" w:rsidRPr="005F120D">
        <w:rPr>
          <w:rFonts w:asciiTheme="minorHAnsi" w:hAnsiTheme="minorHAnsi" w:cstheme="minorHAnsi"/>
          <w:szCs w:val="22"/>
        </w:rPr>
        <w:t xml:space="preserve">The main focus is to </w:t>
      </w:r>
      <w:r w:rsidR="003F3E7F" w:rsidRPr="005F120D">
        <w:rPr>
          <w:rFonts w:asciiTheme="minorHAnsi" w:hAnsiTheme="minorHAnsi" w:cstheme="minorHAnsi"/>
          <w:iCs/>
        </w:rPr>
        <w:t>expand</w:t>
      </w:r>
      <w:r w:rsidR="004950A5" w:rsidRPr="005F120D">
        <w:rPr>
          <w:rFonts w:asciiTheme="minorHAnsi" w:hAnsiTheme="minorHAnsi" w:cstheme="minorHAnsi"/>
          <w:iCs/>
        </w:rPr>
        <w:t xml:space="preserve"> the </w:t>
      </w:r>
      <w:r w:rsidR="004950A5" w:rsidRPr="005F120D">
        <w:rPr>
          <w:rFonts w:asciiTheme="minorHAnsi" w:hAnsiTheme="minorHAnsi" w:cstheme="minorHAnsi"/>
          <w:bCs/>
        </w:rPr>
        <w:t>APSC c</w:t>
      </w:r>
      <w:r w:rsidR="004A0F9A" w:rsidRPr="005F120D">
        <w:rPr>
          <w:rFonts w:asciiTheme="minorHAnsi" w:hAnsiTheme="minorHAnsi" w:cstheme="minorHAnsi"/>
          <w:bCs/>
        </w:rPr>
        <w:t>overage</w:t>
      </w:r>
      <w:r w:rsidR="003F3E7F" w:rsidRPr="005F120D">
        <w:rPr>
          <w:rFonts w:asciiTheme="minorHAnsi" w:hAnsiTheme="minorHAnsi" w:cstheme="minorHAnsi"/>
          <w:bCs/>
        </w:rPr>
        <w:t xml:space="preserve"> </w:t>
      </w:r>
      <w:r w:rsidR="003F16F0" w:rsidRPr="005F120D">
        <w:rPr>
          <w:rFonts w:asciiTheme="minorHAnsi" w:hAnsiTheme="minorHAnsi" w:cstheme="minorHAnsi"/>
          <w:bCs/>
        </w:rPr>
        <w:t>to include</w:t>
      </w:r>
      <w:r w:rsidR="004A0F9A" w:rsidRPr="005F120D">
        <w:rPr>
          <w:rFonts w:asciiTheme="minorHAnsi" w:hAnsiTheme="minorHAnsi" w:cstheme="minorHAnsi"/>
          <w:bCs/>
        </w:rPr>
        <w:t xml:space="preserve"> all Primary S</w:t>
      </w:r>
      <w:r w:rsidR="007D75C1" w:rsidRPr="005F120D">
        <w:rPr>
          <w:rFonts w:asciiTheme="minorHAnsi" w:hAnsiTheme="minorHAnsi" w:cstheme="minorHAnsi"/>
          <w:bCs/>
        </w:rPr>
        <w:t xml:space="preserve">chools, and </w:t>
      </w:r>
      <w:r w:rsidR="003F3E7F" w:rsidRPr="005F120D">
        <w:rPr>
          <w:rFonts w:asciiTheme="minorHAnsi" w:hAnsiTheme="minorHAnsi" w:cstheme="minorHAnsi"/>
          <w:bCs/>
        </w:rPr>
        <w:t xml:space="preserve">to </w:t>
      </w:r>
      <w:r w:rsidR="003F16F0" w:rsidRPr="005F120D">
        <w:rPr>
          <w:rFonts w:asciiTheme="minorHAnsi" w:hAnsiTheme="minorHAnsi" w:cstheme="minorHAnsi"/>
          <w:bCs/>
        </w:rPr>
        <w:t>improve data</w:t>
      </w:r>
      <w:r w:rsidR="004950A5" w:rsidRPr="005F120D">
        <w:rPr>
          <w:rFonts w:asciiTheme="minorHAnsi" w:hAnsiTheme="minorHAnsi" w:cstheme="minorHAnsi"/>
          <w:bCs/>
        </w:rPr>
        <w:t xml:space="preserve"> accuracy and timeliness in APSC r</w:t>
      </w:r>
      <w:r w:rsidR="007D75C1" w:rsidRPr="005F120D">
        <w:rPr>
          <w:rFonts w:asciiTheme="minorHAnsi" w:hAnsiTheme="minorHAnsi" w:cstheme="minorHAnsi"/>
          <w:bCs/>
        </w:rPr>
        <w:t xml:space="preserve">eporting. The total original cost as per DPP was Tk. 3,000.00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2,547.72 </w:t>
      </w:r>
      <w:r w:rsidR="00F738CE" w:rsidRPr="005F120D">
        <w:rPr>
          <w:rFonts w:asciiTheme="minorHAnsi" w:hAnsiTheme="minorHAnsi" w:cstheme="minorHAnsi"/>
          <w:bCs/>
        </w:rPr>
        <w:t>Lac</w:t>
      </w:r>
      <w:r w:rsidR="000333F3" w:rsidRPr="005F120D">
        <w:rPr>
          <w:rFonts w:asciiTheme="minorHAnsi" w:hAnsiTheme="minorHAnsi" w:cstheme="minorHAnsi"/>
          <w:bCs/>
        </w:rPr>
        <w:t>.</w:t>
      </w:r>
    </w:p>
    <w:p w:rsidR="006F26E8" w:rsidRPr="005F120D" w:rsidRDefault="006F26E8" w:rsidP="000A5B80">
      <w:pPr>
        <w:pStyle w:val="Caption"/>
        <w:rPr>
          <w:rFonts w:cstheme="minorHAnsi"/>
        </w:rPr>
      </w:pPr>
      <w:bookmarkStart w:id="98" w:name="_Toc462837249"/>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27</w:t>
      </w:r>
      <w:r w:rsidR="002E2ED5" w:rsidRPr="005F120D">
        <w:rPr>
          <w:rFonts w:cstheme="minorHAnsi"/>
        </w:rPr>
        <w:fldChar w:fldCharType="end"/>
      </w:r>
      <w:r w:rsidRPr="005F120D">
        <w:rPr>
          <w:rFonts w:cstheme="minorHAnsi"/>
        </w:rPr>
        <w:t>: Annual Primary School Census (APSC)</w:t>
      </w:r>
      <w:r w:rsidR="006919B4" w:rsidRPr="005F120D">
        <w:rPr>
          <w:rFonts w:cstheme="minorHAnsi"/>
        </w:rPr>
        <w:t>:</w:t>
      </w:r>
      <w:r w:rsidR="00112A70" w:rsidRPr="005F120D">
        <w:rPr>
          <w:rFonts w:cstheme="minorHAnsi"/>
        </w:rPr>
        <w:t xml:space="preserve"> Cost and Expenditure as of June 2015</w:t>
      </w:r>
      <w:bookmarkEnd w:id="98"/>
    </w:p>
    <w:p w:rsidR="006F26E8" w:rsidRPr="005F120D" w:rsidRDefault="006F26E8" w:rsidP="000A5B80">
      <w:pPr>
        <w:spacing w:after="0"/>
        <w:ind w:left="450" w:hanging="360"/>
        <w:jc w:val="right"/>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943634" w:themeColor="accent2" w:themeShade="BF"/>
          <w:left w:val="double" w:sz="4" w:space="0" w:color="943634" w:themeColor="accent2" w:themeShade="BF"/>
          <w:bottom w:val="double" w:sz="4" w:space="0" w:color="943634" w:themeColor="accent2" w:themeShade="BF"/>
          <w:right w:val="double" w:sz="4" w:space="0" w:color="943634" w:themeColor="accent2" w:themeShade="BF"/>
          <w:insideH w:val="single" w:sz="6" w:space="0" w:color="943634" w:themeColor="accent2" w:themeShade="BF"/>
          <w:insideV w:val="single" w:sz="6" w:space="0" w:color="943634" w:themeColor="accent2" w:themeShade="BF"/>
        </w:tblBorders>
        <w:tblLook w:val="04A0"/>
      </w:tblPr>
      <w:tblGrid>
        <w:gridCol w:w="1428"/>
        <w:gridCol w:w="736"/>
        <w:gridCol w:w="861"/>
        <w:gridCol w:w="971"/>
        <w:gridCol w:w="861"/>
        <w:gridCol w:w="1338"/>
        <w:gridCol w:w="789"/>
        <w:gridCol w:w="1314"/>
        <w:gridCol w:w="945"/>
      </w:tblGrid>
      <w:tr w:rsidR="006F26E8" w:rsidRPr="005F120D" w:rsidTr="000C2F70">
        <w:trPr>
          <w:tblHeader/>
        </w:trPr>
        <w:tc>
          <w:tcPr>
            <w:tcW w:w="772" w:type="pct"/>
            <w:vMerge w:val="restart"/>
            <w:shd w:val="clear" w:color="auto" w:fill="E5B8B7" w:themeFill="accent2"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64" w:type="pct"/>
            <w:gridSpan w:val="2"/>
            <w:shd w:val="clear" w:color="auto" w:fill="E5B8B7" w:themeFill="accent2"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991" w:type="pct"/>
            <w:gridSpan w:val="2"/>
            <w:shd w:val="clear" w:color="auto" w:fill="E5B8B7" w:themeFill="accent2"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1151" w:type="pct"/>
            <w:gridSpan w:val="2"/>
            <w:shd w:val="clear" w:color="auto" w:fill="E5B8B7" w:themeFill="accent2" w:themeFillTint="6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711" w:type="pct"/>
            <w:vMerge w:val="restart"/>
            <w:shd w:val="clear" w:color="auto" w:fill="E5B8B7" w:themeFill="accent2"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511" w:type="pct"/>
            <w:vMerge w:val="restart"/>
            <w:shd w:val="clear" w:color="auto" w:fill="E5B8B7" w:themeFill="accent2"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0C2F70">
        <w:trPr>
          <w:tblHeader/>
        </w:trPr>
        <w:tc>
          <w:tcPr>
            <w:tcW w:w="772" w:type="pct"/>
            <w:vMerge/>
            <w:tcBorders>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398" w:type="pct"/>
            <w:tcBorders>
              <w:bottom w:val="double" w:sz="4" w:space="0" w:color="943634" w:themeColor="accent2" w:themeShade="BF"/>
            </w:tcBorders>
            <w:shd w:val="clear" w:color="auto" w:fill="F2DBDB" w:themeFill="accent2"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66" w:type="pct"/>
            <w:tcBorders>
              <w:bottom w:val="double" w:sz="4" w:space="0" w:color="943634" w:themeColor="accent2" w:themeShade="BF"/>
            </w:tcBorders>
            <w:shd w:val="clear" w:color="auto" w:fill="F2DBDB" w:themeFill="accent2"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25" w:type="pct"/>
            <w:tcBorders>
              <w:bottom w:val="double" w:sz="4" w:space="0" w:color="943634" w:themeColor="accent2" w:themeShade="BF"/>
            </w:tcBorders>
            <w:shd w:val="clear" w:color="auto" w:fill="F2DBDB" w:themeFill="accent2"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66" w:type="pct"/>
            <w:tcBorders>
              <w:bottom w:val="double" w:sz="4" w:space="0" w:color="943634" w:themeColor="accent2" w:themeShade="BF"/>
            </w:tcBorders>
            <w:shd w:val="clear" w:color="auto" w:fill="F2DBDB" w:themeFill="accent2"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724" w:type="pct"/>
            <w:tcBorders>
              <w:bottom w:val="double" w:sz="4" w:space="0" w:color="943634" w:themeColor="accent2" w:themeShade="BF"/>
            </w:tcBorders>
            <w:shd w:val="clear" w:color="auto" w:fill="F2DBDB" w:themeFill="accent2"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27" w:type="pct"/>
            <w:tcBorders>
              <w:bottom w:val="double" w:sz="4" w:space="0" w:color="943634" w:themeColor="accent2" w:themeShade="BF"/>
            </w:tcBorders>
            <w:shd w:val="clear" w:color="auto" w:fill="F2DBDB" w:themeFill="accent2"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711" w:type="pct"/>
            <w:vMerge/>
            <w:tcBorders>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511" w:type="pct"/>
            <w:vMerge/>
            <w:tcBorders>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772" w:type="pct"/>
            <w:tcBorders>
              <w:top w:val="double" w:sz="4" w:space="0" w:color="943634" w:themeColor="accent2" w:themeShade="BF"/>
              <w:left w:val="double" w:sz="4" w:space="0" w:color="943634" w:themeColor="accent2" w:themeShade="BF"/>
              <w:bottom w:val="single" w:sz="6" w:space="0" w:color="943634" w:themeColor="accent2" w:themeShade="BF"/>
            </w:tcBorders>
          </w:tcPr>
          <w:p w:rsidR="006F26E8" w:rsidRPr="005F120D" w:rsidRDefault="00824325" w:rsidP="000A5B80">
            <w:pPr>
              <w:spacing w:after="0"/>
              <w:rPr>
                <w:rFonts w:asciiTheme="minorHAnsi" w:hAnsiTheme="minorHAnsi" w:cstheme="minorHAnsi"/>
                <w:sz w:val="14"/>
                <w:szCs w:val="14"/>
              </w:rPr>
            </w:pPr>
            <w:r w:rsidRPr="005F120D">
              <w:rPr>
                <w:rFonts w:asciiTheme="minorHAnsi" w:hAnsiTheme="minorHAnsi" w:cstheme="minorHAnsi"/>
                <w:sz w:val="16"/>
                <w:szCs w:val="16"/>
              </w:rPr>
              <w:t xml:space="preserve">1 </w:t>
            </w:r>
            <w:r w:rsidR="00B07C5E" w:rsidRPr="005F120D">
              <w:rPr>
                <w:rFonts w:asciiTheme="minorHAnsi" w:hAnsiTheme="minorHAnsi" w:cstheme="minorHAnsi"/>
                <w:sz w:val="16"/>
                <w:szCs w:val="16"/>
              </w:rPr>
              <w:t>APSC</w:t>
            </w:r>
            <w:r w:rsidR="006F26E8" w:rsidRPr="005F120D">
              <w:rPr>
                <w:rFonts w:asciiTheme="minorHAnsi" w:hAnsiTheme="minorHAnsi" w:cstheme="minorHAnsi"/>
                <w:sz w:val="16"/>
                <w:szCs w:val="16"/>
              </w:rPr>
              <w:t xml:space="preserve"> Workshop and printing</w:t>
            </w:r>
          </w:p>
        </w:tc>
        <w:tc>
          <w:tcPr>
            <w:tcW w:w="398"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w:t>
            </w:r>
          </w:p>
        </w:tc>
        <w:tc>
          <w:tcPr>
            <w:tcW w:w="466"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3,000.00</w:t>
            </w:r>
          </w:p>
        </w:tc>
        <w:tc>
          <w:tcPr>
            <w:tcW w:w="525"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25</w:t>
            </w:r>
            <w:r w:rsidR="00B07C5E" w:rsidRPr="005F120D">
              <w:rPr>
                <w:rFonts w:asciiTheme="minorHAnsi" w:hAnsiTheme="minorHAnsi" w:cstheme="minorHAnsi"/>
                <w:sz w:val="14"/>
                <w:szCs w:val="14"/>
              </w:rPr>
              <w:t xml:space="preserve">,000 and workshop </w:t>
            </w:r>
            <w:r w:rsidRPr="005F120D">
              <w:rPr>
                <w:rFonts w:asciiTheme="minorHAnsi" w:hAnsiTheme="minorHAnsi" w:cstheme="minorHAnsi"/>
                <w:sz w:val="14"/>
                <w:szCs w:val="14"/>
              </w:rPr>
              <w:t>192</w:t>
            </w:r>
          </w:p>
        </w:tc>
        <w:tc>
          <w:tcPr>
            <w:tcW w:w="466"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1,520.15</w:t>
            </w:r>
          </w:p>
        </w:tc>
        <w:tc>
          <w:tcPr>
            <w:tcW w:w="724"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 xml:space="preserve"> Qnns: 260,000Guideline: 130,000</w:t>
            </w:r>
            <w:r w:rsidR="00DD07AB" w:rsidRPr="005F120D">
              <w:rPr>
                <w:rFonts w:asciiTheme="minorHAnsi" w:hAnsiTheme="minorHAnsi" w:cstheme="minorHAnsi"/>
                <w:sz w:val="14"/>
                <w:szCs w:val="14"/>
              </w:rPr>
              <w:t>&amp; APSC 5,000</w:t>
            </w:r>
          </w:p>
        </w:tc>
        <w:tc>
          <w:tcPr>
            <w:tcW w:w="427"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296.85</w:t>
            </w:r>
          </w:p>
        </w:tc>
        <w:tc>
          <w:tcPr>
            <w:tcW w:w="711"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1,223.30</w:t>
            </w:r>
          </w:p>
        </w:tc>
        <w:tc>
          <w:tcPr>
            <w:tcW w:w="511" w:type="pct"/>
            <w:tcBorders>
              <w:top w:val="double" w:sz="4" w:space="0" w:color="943634" w:themeColor="accent2" w:themeShade="BF"/>
              <w:bottom w:val="single" w:sz="6" w:space="0" w:color="943634" w:themeColor="accent2" w:themeShade="BF"/>
              <w:right w:val="double" w:sz="4" w:space="0" w:color="943634" w:themeColor="accent2" w:themeShade="BF"/>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Every year</w:t>
            </w:r>
          </w:p>
        </w:tc>
      </w:tr>
      <w:tr w:rsidR="006F26E8" w:rsidRPr="005F120D" w:rsidTr="000C2F70">
        <w:trPr>
          <w:trHeight w:val="282"/>
        </w:trPr>
        <w:tc>
          <w:tcPr>
            <w:tcW w:w="772" w:type="pct"/>
            <w:tcBorders>
              <w:top w:val="single" w:sz="6" w:space="0" w:color="943634" w:themeColor="accent2" w:themeShade="BF"/>
              <w:left w:val="double" w:sz="4" w:space="0" w:color="943634" w:themeColor="accent2" w:themeShade="BF"/>
              <w:bottom w:val="single" w:sz="6" w:space="0" w:color="943634" w:themeColor="accent2" w:themeShade="BF"/>
            </w:tcBorders>
          </w:tcPr>
          <w:p w:rsidR="006F26E8" w:rsidRPr="005F120D" w:rsidRDefault="0082432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2. </w:t>
            </w:r>
            <w:r w:rsidR="006F26E8" w:rsidRPr="005F120D">
              <w:rPr>
                <w:rFonts w:asciiTheme="minorHAnsi" w:hAnsiTheme="minorHAnsi" w:cstheme="minorHAnsi"/>
                <w:sz w:val="16"/>
                <w:szCs w:val="16"/>
              </w:rPr>
              <w:t>Orienta</w:t>
            </w:r>
            <w:r w:rsidR="00B07C5E" w:rsidRPr="005F120D">
              <w:rPr>
                <w:rFonts w:asciiTheme="minorHAnsi" w:hAnsiTheme="minorHAnsi" w:cstheme="minorHAnsi"/>
                <w:sz w:val="16"/>
                <w:szCs w:val="16"/>
              </w:rPr>
              <w:t>tion and Workshop on</w:t>
            </w:r>
            <w:r w:rsidR="006F26E8" w:rsidRPr="005F120D">
              <w:rPr>
                <w:rFonts w:asciiTheme="minorHAnsi" w:hAnsiTheme="minorHAnsi" w:cstheme="minorHAnsi"/>
                <w:sz w:val="16"/>
                <w:szCs w:val="16"/>
              </w:rPr>
              <w:t>APSC</w:t>
            </w:r>
          </w:p>
        </w:tc>
        <w:tc>
          <w:tcPr>
            <w:tcW w:w="398"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1600</w:t>
            </w:r>
          </w:p>
        </w:tc>
        <w:tc>
          <w:tcPr>
            <w:tcW w:w="46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25"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Workshop - 172</w:t>
            </w:r>
          </w:p>
        </w:tc>
        <w:tc>
          <w:tcPr>
            <w:tcW w:w="46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1,027.57</w:t>
            </w:r>
          </w:p>
        </w:tc>
        <w:tc>
          <w:tcPr>
            <w:tcW w:w="724"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50 batches</w:t>
            </w:r>
          </w:p>
        </w:tc>
        <w:tc>
          <w:tcPr>
            <w:tcW w:w="427"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132.86</w:t>
            </w:r>
          </w:p>
        </w:tc>
        <w:tc>
          <w:tcPr>
            <w:tcW w:w="711"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894.71</w:t>
            </w:r>
          </w:p>
        </w:tc>
        <w:tc>
          <w:tcPr>
            <w:tcW w:w="511" w:type="pct"/>
            <w:tcBorders>
              <w:top w:val="single" w:sz="6" w:space="0" w:color="943634" w:themeColor="accent2" w:themeShade="BF"/>
              <w:bottom w:val="single" w:sz="6" w:space="0" w:color="943634" w:themeColor="accent2" w:themeShade="BF"/>
              <w:right w:val="double" w:sz="4" w:space="0" w:color="943634" w:themeColor="accent2"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772"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398"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66"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right"/>
              <w:rPr>
                <w:rFonts w:asciiTheme="minorHAnsi" w:hAnsiTheme="minorHAnsi" w:cstheme="minorHAnsi"/>
                <w:b/>
                <w:bCs/>
                <w:sz w:val="16"/>
                <w:szCs w:val="16"/>
              </w:rPr>
            </w:pPr>
            <w:r w:rsidRPr="005F120D">
              <w:rPr>
                <w:rFonts w:asciiTheme="minorHAnsi" w:hAnsiTheme="minorHAnsi" w:cstheme="minorHAnsi"/>
                <w:b/>
                <w:bCs/>
                <w:sz w:val="16"/>
                <w:szCs w:val="16"/>
              </w:rPr>
              <w:t>3,000.00</w:t>
            </w:r>
          </w:p>
        </w:tc>
        <w:tc>
          <w:tcPr>
            <w:tcW w:w="525"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p>
        </w:tc>
        <w:tc>
          <w:tcPr>
            <w:tcW w:w="466"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right"/>
              <w:rPr>
                <w:rFonts w:asciiTheme="minorHAnsi" w:hAnsiTheme="minorHAnsi" w:cstheme="minorHAnsi"/>
                <w:b/>
                <w:bCs/>
                <w:sz w:val="16"/>
                <w:szCs w:val="16"/>
              </w:rPr>
            </w:pPr>
            <w:r w:rsidRPr="005F120D">
              <w:rPr>
                <w:rFonts w:asciiTheme="minorHAnsi" w:hAnsiTheme="minorHAnsi" w:cstheme="minorHAnsi"/>
                <w:b/>
                <w:bCs/>
                <w:sz w:val="16"/>
                <w:szCs w:val="16"/>
              </w:rPr>
              <w:t>2,547.72</w:t>
            </w:r>
          </w:p>
        </w:tc>
        <w:tc>
          <w:tcPr>
            <w:tcW w:w="724"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p>
        </w:tc>
        <w:tc>
          <w:tcPr>
            <w:tcW w:w="427"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429.71 (16.9%)</w:t>
            </w:r>
          </w:p>
        </w:tc>
        <w:tc>
          <w:tcPr>
            <w:tcW w:w="711"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2,118.01 (83.1%)</w:t>
            </w:r>
          </w:p>
        </w:tc>
        <w:tc>
          <w:tcPr>
            <w:tcW w:w="511"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p>
        </w:tc>
      </w:tr>
    </w:tbl>
    <w:p w:rsidR="006F26E8" w:rsidRPr="005F120D" w:rsidRDefault="006F26E8" w:rsidP="000A5B80">
      <w:pPr>
        <w:pStyle w:val="ListParagraph"/>
        <w:numPr>
          <w:ilvl w:val="0"/>
          <w:numId w:val="0"/>
        </w:numPr>
        <w:ind w:left="360"/>
        <w:rPr>
          <w:rFonts w:asciiTheme="minorHAnsi" w:hAnsiTheme="minorHAnsi" w:cstheme="minorHAnsi"/>
          <w:bCs/>
        </w:rPr>
      </w:pPr>
    </w:p>
    <w:p w:rsidR="004950A5" w:rsidRPr="005F120D" w:rsidRDefault="004950A5" w:rsidP="004950A5">
      <w:pPr>
        <w:pStyle w:val="ListParagraph"/>
        <w:numPr>
          <w:ilvl w:val="0"/>
          <w:numId w:val="0"/>
        </w:numPr>
        <w:ind w:left="360"/>
        <w:rPr>
          <w:rFonts w:asciiTheme="minorHAnsi" w:hAnsiTheme="minorHAnsi" w:cstheme="minorHAnsi"/>
          <w:bCs/>
        </w:rPr>
      </w:pPr>
    </w:p>
    <w:p w:rsidR="00E339CE" w:rsidRPr="005F120D" w:rsidRDefault="00E339CE" w:rsidP="004950A5">
      <w:pPr>
        <w:pStyle w:val="ListParagraph"/>
        <w:numPr>
          <w:ilvl w:val="0"/>
          <w:numId w:val="0"/>
        </w:numPr>
        <w:ind w:left="360"/>
        <w:rPr>
          <w:rFonts w:asciiTheme="minorHAnsi" w:hAnsiTheme="minorHAnsi" w:cstheme="minorHAnsi"/>
          <w:bCs/>
        </w:rPr>
      </w:pPr>
    </w:p>
    <w:p w:rsidR="00E339CE" w:rsidRPr="005F120D" w:rsidRDefault="00E339CE" w:rsidP="004950A5">
      <w:pPr>
        <w:pStyle w:val="ListParagraph"/>
        <w:numPr>
          <w:ilvl w:val="0"/>
          <w:numId w:val="0"/>
        </w:numPr>
        <w:ind w:left="360"/>
        <w:rPr>
          <w:rFonts w:asciiTheme="minorHAnsi" w:hAnsiTheme="minorHAnsi" w:cstheme="minorHAnsi"/>
          <w:bCs/>
        </w:rPr>
      </w:pPr>
    </w:p>
    <w:p w:rsidR="00981CA3" w:rsidRPr="005F120D" w:rsidRDefault="006F26E8" w:rsidP="000A5B80">
      <w:pPr>
        <w:pStyle w:val="ListParagraph"/>
        <w:numPr>
          <w:ilvl w:val="0"/>
          <w:numId w:val="88"/>
        </w:numPr>
        <w:rPr>
          <w:rFonts w:asciiTheme="minorHAnsi" w:hAnsiTheme="minorHAnsi" w:cstheme="minorHAnsi"/>
          <w:bCs/>
        </w:rPr>
      </w:pPr>
      <w:r w:rsidRPr="005F120D">
        <w:rPr>
          <w:rFonts w:asciiTheme="minorHAnsi" w:hAnsiTheme="minorHAnsi" w:cstheme="minorHAnsi"/>
          <w:b/>
          <w:i/>
          <w:iCs/>
          <w:color w:val="008000"/>
        </w:rPr>
        <w:t>Sub-Component 3.2.4 - National Assessment of Students:</w:t>
      </w:r>
    </w:p>
    <w:p w:rsidR="006F26E8" w:rsidRPr="005F120D" w:rsidRDefault="008C3399" w:rsidP="000A5B80">
      <w:pPr>
        <w:jc w:val="both"/>
        <w:rPr>
          <w:rFonts w:asciiTheme="minorHAnsi" w:hAnsiTheme="minorHAnsi" w:cstheme="minorHAnsi"/>
          <w:szCs w:val="22"/>
        </w:rPr>
      </w:pPr>
      <w:r w:rsidRPr="005F120D">
        <w:rPr>
          <w:rFonts w:asciiTheme="minorHAnsi" w:hAnsiTheme="minorHAnsi" w:cstheme="minorHAnsi"/>
        </w:rPr>
        <w:t>The Nati</w:t>
      </w:r>
      <w:r w:rsidR="007724E5" w:rsidRPr="005F120D">
        <w:rPr>
          <w:rFonts w:asciiTheme="minorHAnsi" w:hAnsiTheme="minorHAnsi" w:cstheme="minorHAnsi"/>
        </w:rPr>
        <w:t>onal Student Assessment (NSA) gives</w:t>
      </w:r>
      <w:r w:rsidRPr="005F120D">
        <w:rPr>
          <w:rFonts w:asciiTheme="minorHAnsi" w:hAnsiTheme="minorHAnsi" w:cstheme="minorHAnsi"/>
        </w:rPr>
        <w:t xml:space="preserve"> a </w:t>
      </w:r>
      <w:r w:rsidRPr="005F120D">
        <w:rPr>
          <w:rFonts w:asciiTheme="minorHAnsi" w:hAnsiTheme="minorHAnsi" w:cstheme="minorHAnsi"/>
          <w:iCs/>
        </w:rPr>
        <w:t xml:space="preserve">qualitative assessment of student achievement </w:t>
      </w:r>
      <w:r w:rsidRPr="005F120D">
        <w:rPr>
          <w:rFonts w:asciiTheme="minorHAnsi" w:hAnsiTheme="minorHAnsi" w:cstheme="minorHAnsi"/>
        </w:rPr>
        <w:t>te</w:t>
      </w:r>
      <w:r w:rsidR="007724E5" w:rsidRPr="005F120D">
        <w:rPr>
          <w:rFonts w:asciiTheme="minorHAnsi" w:hAnsiTheme="minorHAnsi" w:cstheme="minorHAnsi"/>
        </w:rPr>
        <w:t>sts in Grade 3 and Grade 5 Bangla and M</w:t>
      </w:r>
      <w:r w:rsidRPr="005F120D">
        <w:rPr>
          <w:rFonts w:asciiTheme="minorHAnsi" w:hAnsiTheme="minorHAnsi" w:cstheme="minorHAnsi"/>
        </w:rPr>
        <w:t xml:space="preserve">athematics </w:t>
      </w:r>
      <w:r w:rsidR="007724E5" w:rsidRPr="005F120D">
        <w:rPr>
          <w:rFonts w:asciiTheme="minorHAnsi" w:hAnsiTheme="minorHAnsi" w:cstheme="minorHAnsi"/>
        </w:rPr>
        <w:t>on a bi-annual basis</w:t>
      </w:r>
      <w:r w:rsidRPr="005F120D">
        <w:rPr>
          <w:rFonts w:asciiTheme="minorHAnsi" w:hAnsiTheme="minorHAnsi" w:cstheme="minorHAnsi"/>
        </w:rPr>
        <w:t>. The NSA</w:t>
      </w:r>
      <w:r w:rsidR="007724E5" w:rsidRPr="005F120D">
        <w:rPr>
          <w:rFonts w:asciiTheme="minorHAnsi" w:hAnsiTheme="minorHAnsi" w:cstheme="minorHAnsi"/>
        </w:rPr>
        <w:t xml:space="preserve"> was</w:t>
      </w:r>
      <w:r w:rsidRPr="005F120D">
        <w:rPr>
          <w:rFonts w:asciiTheme="minorHAnsi" w:hAnsiTheme="minorHAnsi" w:cstheme="minorHAnsi"/>
        </w:rPr>
        <w:t xml:space="preserve"> conducted </w:t>
      </w:r>
      <w:r w:rsidR="007724E5" w:rsidRPr="005F120D">
        <w:rPr>
          <w:rFonts w:asciiTheme="minorHAnsi" w:hAnsiTheme="minorHAnsi" w:cstheme="minorHAnsi"/>
          <w:bCs/>
        </w:rPr>
        <w:t>in y</w:t>
      </w:r>
      <w:r w:rsidR="007D75C1" w:rsidRPr="005F120D">
        <w:rPr>
          <w:rFonts w:asciiTheme="minorHAnsi" w:hAnsiTheme="minorHAnsi" w:cstheme="minorHAnsi"/>
          <w:bCs/>
        </w:rPr>
        <w:t xml:space="preserve">ears </w:t>
      </w:r>
      <w:r w:rsidRPr="005F120D">
        <w:rPr>
          <w:rFonts w:asciiTheme="minorHAnsi" w:hAnsiTheme="minorHAnsi" w:cstheme="minorHAnsi"/>
          <w:bCs/>
        </w:rPr>
        <w:t xml:space="preserve">2008, </w:t>
      </w:r>
      <w:r w:rsidR="007D75C1" w:rsidRPr="005F120D">
        <w:rPr>
          <w:rFonts w:asciiTheme="minorHAnsi" w:hAnsiTheme="minorHAnsi" w:cstheme="minorHAnsi"/>
          <w:bCs/>
        </w:rPr>
        <w:t>2011, 2013 and 2015</w:t>
      </w:r>
      <w:r w:rsidRPr="005F120D">
        <w:rPr>
          <w:rFonts w:asciiTheme="minorHAnsi" w:hAnsiTheme="minorHAnsi" w:cstheme="minorHAnsi"/>
          <w:szCs w:val="22"/>
        </w:rPr>
        <w:t xml:space="preserve"> and the National Assessment Cell (NAC) of Monitoring and Evaluation Division of DPE is accountable for </w:t>
      </w:r>
      <w:r w:rsidR="007724E5" w:rsidRPr="005F120D">
        <w:rPr>
          <w:rFonts w:asciiTheme="minorHAnsi" w:hAnsiTheme="minorHAnsi" w:cstheme="minorHAnsi"/>
          <w:szCs w:val="22"/>
        </w:rPr>
        <w:t>the</w:t>
      </w:r>
      <w:r w:rsidR="001E1877" w:rsidRPr="005F120D">
        <w:rPr>
          <w:rFonts w:asciiTheme="minorHAnsi" w:hAnsiTheme="minorHAnsi" w:cstheme="minorHAnsi"/>
          <w:szCs w:val="22"/>
        </w:rPr>
        <w:t xml:space="preserve"> administration of the</w:t>
      </w:r>
      <w:r w:rsidRPr="005F120D">
        <w:rPr>
          <w:rFonts w:asciiTheme="minorHAnsi" w:hAnsiTheme="minorHAnsi" w:cstheme="minorHAnsi"/>
          <w:szCs w:val="22"/>
        </w:rPr>
        <w:t xml:space="preserve"> NSA. </w:t>
      </w:r>
      <w:r w:rsidR="007D75C1" w:rsidRPr="005F120D">
        <w:rPr>
          <w:rFonts w:asciiTheme="minorHAnsi" w:hAnsiTheme="minorHAnsi" w:cstheme="minorHAnsi"/>
          <w:bCs/>
        </w:rPr>
        <w:t xml:space="preserve">The total original cost as per DPP was Tk. 2,450.00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949.25 </w:t>
      </w:r>
      <w:r w:rsidR="00F738CE" w:rsidRPr="005F120D">
        <w:rPr>
          <w:rFonts w:asciiTheme="minorHAnsi" w:hAnsiTheme="minorHAnsi" w:cstheme="minorHAnsi"/>
          <w:bCs/>
        </w:rPr>
        <w:t>Lac</w:t>
      </w:r>
      <w:r w:rsidR="00824325" w:rsidRPr="005F120D">
        <w:rPr>
          <w:rFonts w:asciiTheme="minorHAnsi" w:hAnsiTheme="minorHAnsi" w:cstheme="minorHAnsi"/>
          <w:bCs/>
        </w:rPr>
        <w:t>.</w:t>
      </w:r>
    </w:p>
    <w:p w:rsidR="006F26E8" w:rsidRPr="005F120D" w:rsidRDefault="006F26E8" w:rsidP="000A5B80">
      <w:pPr>
        <w:pStyle w:val="Caption"/>
        <w:rPr>
          <w:rFonts w:cstheme="minorHAnsi"/>
        </w:rPr>
      </w:pPr>
      <w:bookmarkStart w:id="99" w:name="_Toc462837250"/>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28</w:t>
      </w:r>
      <w:r w:rsidR="002E2ED5" w:rsidRPr="005F120D">
        <w:rPr>
          <w:rFonts w:cstheme="minorHAnsi"/>
        </w:rPr>
        <w:fldChar w:fldCharType="end"/>
      </w:r>
      <w:r w:rsidRPr="005F120D">
        <w:rPr>
          <w:rFonts w:cstheme="minorHAnsi"/>
        </w:rPr>
        <w:t>: National Assessment of Students (NSA)</w:t>
      </w:r>
      <w:r w:rsidR="00256F3C" w:rsidRPr="005F120D">
        <w:rPr>
          <w:rFonts w:cstheme="minorHAnsi"/>
        </w:rPr>
        <w:t>:</w:t>
      </w:r>
      <w:r w:rsidR="00112A70" w:rsidRPr="005F120D">
        <w:rPr>
          <w:rFonts w:cstheme="minorHAnsi"/>
        </w:rPr>
        <w:t xml:space="preserve"> Cost and Expenditure as of June 2015</w:t>
      </w:r>
      <w:bookmarkEnd w:id="99"/>
    </w:p>
    <w:p w:rsidR="006F26E8" w:rsidRPr="005F120D" w:rsidRDefault="006F26E8" w:rsidP="000A5B80">
      <w:pPr>
        <w:spacing w:after="0"/>
        <w:ind w:left="720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943634" w:themeColor="accent2" w:themeShade="BF"/>
          <w:left w:val="double" w:sz="4" w:space="0" w:color="943634" w:themeColor="accent2" w:themeShade="BF"/>
          <w:bottom w:val="double" w:sz="4" w:space="0" w:color="943634" w:themeColor="accent2" w:themeShade="BF"/>
          <w:right w:val="double" w:sz="4" w:space="0" w:color="943634" w:themeColor="accent2" w:themeShade="BF"/>
          <w:insideH w:val="single" w:sz="6" w:space="0" w:color="943634" w:themeColor="accent2" w:themeShade="BF"/>
          <w:insideV w:val="single" w:sz="6" w:space="0" w:color="943634" w:themeColor="accent2" w:themeShade="BF"/>
        </w:tblBorders>
        <w:tblLook w:val="04A0"/>
      </w:tblPr>
      <w:tblGrid>
        <w:gridCol w:w="1653"/>
        <w:gridCol w:w="827"/>
        <w:gridCol w:w="795"/>
        <w:gridCol w:w="1131"/>
        <w:gridCol w:w="935"/>
        <w:gridCol w:w="935"/>
        <w:gridCol w:w="874"/>
        <w:gridCol w:w="1314"/>
        <w:gridCol w:w="779"/>
      </w:tblGrid>
      <w:tr w:rsidR="006F26E8" w:rsidRPr="005F120D" w:rsidTr="000C2F70">
        <w:trPr>
          <w:tblHeader/>
        </w:trPr>
        <w:tc>
          <w:tcPr>
            <w:tcW w:w="895" w:type="pct"/>
            <w:vMerge w:val="restart"/>
            <w:shd w:val="clear" w:color="auto" w:fill="E5B8B7" w:themeFill="accent2"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78" w:type="pct"/>
            <w:gridSpan w:val="2"/>
            <w:shd w:val="clear" w:color="auto" w:fill="E5B8B7" w:themeFill="accent2"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118" w:type="pct"/>
            <w:gridSpan w:val="2"/>
            <w:shd w:val="clear" w:color="auto" w:fill="E5B8B7" w:themeFill="accent2" w:themeFillTint="6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79" w:type="pct"/>
            <w:gridSpan w:val="2"/>
            <w:shd w:val="clear" w:color="auto" w:fill="E5B8B7" w:themeFill="accent2" w:themeFillTint="6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711" w:type="pct"/>
            <w:vMerge w:val="restart"/>
            <w:shd w:val="clear" w:color="auto" w:fill="E5B8B7" w:themeFill="accent2"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18" w:type="pct"/>
            <w:vMerge w:val="restart"/>
            <w:shd w:val="clear" w:color="auto" w:fill="E5B8B7" w:themeFill="accent2" w:themeFillTint="6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824325" w:rsidRPr="005F120D" w:rsidTr="000C2F70">
        <w:trPr>
          <w:tblHeader/>
        </w:trPr>
        <w:tc>
          <w:tcPr>
            <w:tcW w:w="895" w:type="pct"/>
            <w:vMerge/>
            <w:tcBorders>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448" w:type="pct"/>
            <w:tcBorders>
              <w:bottom w:val="double" w:sz="4" w:space="0" w:color="943634" w:themeColor="accent2" w:themeShade="BF"/>
            </w:tcBorders>
            <w:shd w:val="clear" w:color="auto" w:fill="F2DBDB" w:themeFill="accent2"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30" w:type="pct"/>
            <w:tcBorders>
              <w:bottom w:val="double" w:sz="4" w:space="0" w:color="943634" w:themeColor="accent2" w:themeShade="BF"/>
            </w:tcBorders>
            <w:shd w:val="clear" w:color="auto" w:fill="F2DBDB" w:themeFill="accent2"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12" w:type="pct"/>
            <w:tcBorders>
              <w:bottom w:val="double" w:sz="4" w:space="0" w:color="943634" w:themeColor="accent2" w:themeShade="BF"/>
            </w:tcBorders>
            <w:shd w:val="clear" w:color="auto" w:fill="F2DBDB" w:themeFill="accent2"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06" w:type="pct"/>
            <w:tcBorders>
              <w:bottom w:val="double" w:sz="4" w:space="0" w:color="943634" w:themeColor="accent2" w:themeShade="BF"/>
            </w:tcBorders>
            <w:shd w:val="clear" w:color="auto" w:fill="F2DBDB" w:themeFill="accent2"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06" w:type="pct"/>
            <w:tcBorders>
              <w:bottom w:val="double" w:sz="4" w:space="0" w:color="943634" w:themeColor="accent2" w:themeShade="BF"/>
            </w:tcBorders>
            <w:shd w:val="clear" w:color="auto" w:fill="F2DBDB" w:themeFill="accent2" w:themeFillTint="33"/>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73" w:type="pct"/>
            <w:tcBorders>
              <w:bottom w:val="double" w:sz="4" w:space="0" w:color="943634" w:themeColor="accent2" w:themeShade="BF"/>
            </w:tcBorders>
            <w:shd w:val="clear" w:color="auto" w:fill="F2DBDB" w:themeFill="accent2" w:themeFillTint="33"/>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711" w:type="pct"/>
            <w:vMerge/>
            <w:tcBorders>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418" w:type="pct"/>
            <w:vMerge/>
            <w:tcBorders>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r>
      <w:tr w:rsidR="00824325" w:rsidRPr="005F120D" w:rsidTr="000C2F70">
        <w:trPr>
          <w:trHeight w:val="204"/>
        </w:trPr>
        <w:tc>
          <w:tcPr>
            <w:tcW w:w="895" w:type="pct"/>
            <w:tcBorders>
              <w:top w:val="double" w:sz="4" w:space="0" w:color="943634" w:themeColor="accent2" w:themeShade="BF"/>
              <w:left w:val="double" w:sz="4" w:space="0" w:color="943634" w:themeColor="accent2" w:themeShade="BF"/>
              <w:bottom w:val="single" w:sz="6" w:space="0" w:color="943634" w:themeColor="accent2" w:themeShade="BF"/>
            </w:tcBorders>
          </w:tcPr>
          <w:p w:rsidR="006F26E8" w:rsidRPr="005F120D" w:rsidRDefault="0082432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 </w:t>
            </w:r>
            <w:r w:rsidR="006F26E8" w:rsidRPr="005F120D">
              <w:rPr>
                <w:rFonts w:asciiTheme="minorHAnsi" w:hAnsiTheme="minorHAnsi" w:cstheme="minorHAnsi"/>
                <w:sz w:val="16"/>
                <w:szCs w:val="16"/>
              </w:rPr>
              <w:t>NSA</w:t>
            </w:r>
          </w:p>
        </w:tc>
        <w:tc>
          <w:tcPr>
            <w:tcW w:w="448"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 rounds</w:t>
            </w:r>
          </w:p>
        </w:tc>
        <w:tc>
          <w:tcPr>
            <w:tcW w:w="430"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2400.00</w:t>
            </w:r>
          </w:p>
        </w:tc>
        <w:tc>
          <w:tcPr>
            <w:tcW w:w="612"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18,000</w:t>
            </w:r>
          </w:p>
        </w:tc>
        <w:tc>
          <w:tcPr>
            <w:tcW w:w="506"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311.17</w:t>
            </w:r>
          </w:p>
        </w:tc>
        <w:tc>
          <w:tcPr>
            <w:tcW w:w="506"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473"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136.17</w:t>
            </w:r>
          </w:p>
        </w:tc>
        <w:tc>
          <w:tcPr>
            <w:tcW w:w="711" w:type="pct"/>
            <w:tcBorders>
              <w:top w:val="double" w:sz="4"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175.00</w:t>
            </w:r>
          </w:p>
        </w:tc>
        <w:tc>
          <w:tcPr>
            <w:tcW w:w="418" w:type="pct"/>
            <w:tcBorders>
              <w:top w:val="double" w:sz="4" w:space="0" w:color="943634" w:themeColor="accent2" w:themeShade="BF"/>
              <w:bottom w:val="single" w:sz="6" w:space="0" w:color="943634" w:themeColor="accent2" w:themeShade="BF"/>
              <w:right w:val="double" w:sz="4" w:space="0" w:color="943634" w:themeColor="accent2"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824325" w:rsidRPr="005F120D" w:rsidTr="000C2F70">
        <w:trPr>
          <w:trHeight w:val="282"/>
        </w:trPr>
        <w:tc>
          <w:tcPr>
            <w:tcW w:w="895" w:type="pct"/>
            <w:tcBorders>
              <w:top w:val="single" w:sz="6" w:space="0" w:color="943634" w:themeColor="accent2" w:themeShade="BF"/>
              <w:left w:val="double" w:sz="4" w:space="0" w:color="943634" w:themeColor="accent2" w:themeShade="BF"/>
              <w:bottom w:val="single" w:sz="6" w:space="0" w:color="943634" w:themeColor="accent2" w:themeShade="BF"/>
            </w:tcBorders>
          </w:tcPr>
          <w:p w:rsidR="006F26E8" w:rsidRPr="005F120D" w:rsidRDefault="0082432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2. </w:t>
            </w:r>
            <w:r w:rsidR="00DD07AB" w:rsidRPr="005F120D">
              <w:rPr>
                <w:rFonts w:asciiTheme="minorHAnsi" w:hAnsiTheme="minorHAnsi" w:cstheme="minorHAnsi"/>
                <w:sz w:val="16"/>
                <w:szCs w:val="16"/>
              </w:rPr>
              <w:t>Orientation on Dev</w:t>
            </w:r>
            <w:r w:rsidR="006F26E8" w:rsidRPr="005F120D">
              <w:rPr>
                <w:rFonts w:asciiTheme="minorHAnsi" w:hAnsiTheme="minorHAnsi" w:cstheme="minorHAnsi"/>
                <w:sz w:val="16"/>
                <w:szCs w:val="16"/>
              </w:rPr>
              <w:t>, Piloting and Finalizing</w:t>
            </w:r>
            <w:r w:rsidR="00DD07AB" w:rsidRPr="005F120D">
              <w:rPr>
                <w:rFonts w:asciiTheme="minorHAnsi" w:hAnsiTheme="minorHAnsi" w:cstheme="minorHAnsi"/>
                <w:sz w:val="16"/>
                <w:szCs w:val="16"/>
              </w:rPr>
              <w:t xml:space="preserve"> test item for Gr-</w:t>
            </w:r>
            <w:r w:rsidRPr="005F120D">
              <w:rPr>
                <w:rFonts w:asciiTheme="minorHAnsi" w:hAnsiTheme="minorHAnsi" w:cstheme="minorHAnsi"/>
                <w:sz w:val="16"/>
                <w:szCs w:val="16"/>
              </w:rPr>
              <w:t>3 and</w:t>
            </w:r>
            <w:r w:rsidR="006F26E8" w:rsidRPr="005F120D">
              <w:rPr>
                <w:rFonts w:asciiTheme="minorHAnsi" w:hAnsiTheme="minorHAnsi" w:cstheme="minorHAnsi"/>
                <w:sz w:val="16"/>
                <w:szCs w:val="16"/>
              </w:rPr>
              <w:t xml:space="preserve"> 5, Bangla and Math</w:t>
            </w:r>
          </w:p>
        </w:tc>
        <w:tc>
          <w:tcPr>
            <w:tcW w:w="448"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0"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12"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19 Workshops</w:t>
            </w:r>
          </w:p>
        </w:tc>
        <w:tc>
          <w:tcPr>
            <w:tcW w:w="50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25.25</w:t>
            </w:r>
          </w:p>
        </w:tc>
        <w:tc>
          <w:tcPr>
            <w:tcW w:w="50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473"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25.25</w:t>
            </w:r>
          </w:p>
        </w:tc>
        <w:tc>
          <w:tcPr>
            <w:tcW w:w="711"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8" w:type="pct"/>
            <w:tcBorders>
              <w:top w:val="single" w:sz="6" w:space="0" w:color="943634" w:themeColor="accent2" w:themeShade="BF"/>
              <w:bottom w:val="single" w:sz="6" w:space="0" w:color="943634" w:themeColor="accent2" w:themeShade="BF"/>
              <w:right w:val="double" w:sz="4" w:space="0" w:color="943634" w:themeColor="accent2"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824325" w:rsidRPr="005F120D" w:rsidTr="000C2F70">
        <w:trPr>
          <w:trHeight w:val="282"/>
        </w:trPr>
        <w:tc>
          <w:tcPr>
            <w:tcW w:w="895" w:type="pct"/>
            <w:tcBorders>
              <w:top w:val="single" w:sz="6" w:space="0" w:color="943634" w:themeColor="accent2" w:themeShade="BF"/>
              <w:left w:val="double" w:sz="4" w:space="0" w:color="943634" w:themeColor="accent2" w:themeShade="BF"/>
              <w:bottom w:val="single" w:sz="6" w:space="0" w:color="943634" w:themeColor="accent2" w:themeShade="BF"/>
            </w:tcBorders>
          </w:tcPr>
          <w:p w:rsidR="006F26E8" w:rsidRPr="005F120D" w:rsidRDefault="0082432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3. </w:t>
            </w:r>
            <w:r w:rsidR="006F26E8" w:rsidRPr="005F120D">
              <w:rPr>
                <w:rFonts w:asciiTheme="minorHAnsi" w:hAnsiTheme="minorHAnsi" w:cstheme="minorHAnsi"/>
                <w:sz w:val="16"/>
                <w:szCs w:val="16"/>
              </w:rPr>
              <w:t>Workshop</w:t>
            </w:r>
            <w:r w:rsidR="004A0F9A" w:rsidRPr="005F120D">
              <w:rPr>
                <w:rFonts w:asciiTheme="minorHAnsi" w:hAnsiTheme="minorHAnsi" w:cstheme="minorHAnsi"/>
                <w:sz w:val="16"/>
                <w:szCs w:val="16"/>
              </w:rPr>
              <w:t>s</w:t>
            </w:r>
            <w:r w:rsidR="006F26E8" w:rsidRPr="005F120D">
              <w:rPr>
                <w:rFonts w:asciiTheme="minorHAnsi" w:hAnsiTheme="minorHAnsi" w:cstheme="minorHAnsi"/>
                <w:sz w:val="16"/>
                <w:szCs w:val="16"/>
              </w:rPr>
              <w:t xml:space="preserve"> for subject teachers </w:t>
            </w:r>
          </w:p>
        </w:tc>
        <w:tc>
          <w:tcPr>
            <w:tcW w:w="448"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0"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12"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64 Workshops</w:t>
            </w:r>
          </w:p>
        </w:tc>
        <w:tc>
          <w:tcPr>
            <w:tcW w:w="50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296.55</w:t>
            </w:r>
          </w:p>
        </w:tc>
        <w:tc>
          <w:tcPr>
            <w:tcW w:w="50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473"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6.08</w:t>
            </w:r>
          </w:p>
        </w:tc>
        <w:tc>
          <w:tcPr>
            <w:tcW w:w="711"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290.47</w:t>
            </w:r>
          </w:p>
        </w:tc>
        <w:tc>
          <w:tcPr>
            <w:tcW w:w="418" w:type="pct"/>
            <w:tcBorders>
              <w:top w:val="single" w:sz="6" w:space="0" w:color="943634" w:themeColor="accent2" w:themeShade="BF"/>
              <w:bottom w:val="single" w:sz="6" w:space="0" w:color="943634" w:themeColor="accent2" w:themeShade="BF"/>
              <w:right w:val="double" w:sz="4" w:space="0" w:color="943634" w:themeColor="accent2"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824325" w:rsidRPr="005F120D" w:rsidTr="000C2F70">
        <w:trPr>
          <w:trHeight w:val="282"/>
        </w:trPr>
        <w:tc>
          <w:tcPr>
            <w:tcW w:w="895" w:type="pct"/>
            <w:tcBorders>
              <w:top w:val="single" w:sz="6" w:space="0" w:color="943634" w:themeColor="accent2" w:themeShade="BF"/>
              <w:left w:val="double" w:sz="4" w:space="0" w:color="943634" w:themeColor="accent2" w:themeShade="BF"/>
              <w:bottom w:val="single" w:sz="6" w:space="0" w:color="943634" w:themeColor="accent2" w:themeShade="BF"/>
            </w:tcBorders>
          </w:tcPr>
          <w:p w:rsidR="006F26E8" w:rsidRPr="005F120D" w:rsidRDefault="0082432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4. </w:t>
            </w:r>
            <w:r w:rsidR="006F26E8" w:rsidRPr="005F120D">
              <w:rPr>
                <w:rFonts w:asciiTheme="minorHAnsi" w:hAnsiTheme="minorHAnsi" w:cstheme="minorHAnsi"/>
                <w:sz w:val="16"/>
                <w:szCs w:val="16"/>
              </w:rPr>
              <w:t>Dissemination workshop</w:t>
            </w:r>
            <w:r w:rsidR="004A0F9A" w:rsidRPr="005F120D">
              <w:rPr>
                <w:rFonts w:asciiTheme="minorHAnsi" w:hAnsiTheme="minorHAnsi" w:cstheme="minorHAnsi"/>
                <w:sz w:val="16"/>
                <w:szCs w:val="16"/>
              </w:rPr>
              <w:t>s</w:t>
            </w:r>
          </w:p>
        </w:tc>
        <w:tc>
          <w:tcPr>
            <w:tcW w:w="448"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0"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12"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Dissemination workshops</w:t>
            </w:r>
          </w:p>
        </w:tc>
        <w:tc>
          <w:tcPr>
            <w:tcW w:w="50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303.10</w:t>
            </w:r>
          </w:p>
        </w:tc>
        <w:tc>
          <w:tcPr>
            <w:tcW w:w="50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473"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37.11</w:t>
            </w:r>
          </w:p>
        </w:tc>
        <w:tc>
          <w:tcPr>
            <w:tcW w:w="711"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265.99</w:t>
            </w:r>
          </w:p>
        </w:tc>
        <w:tc>
          <w:tcPr>
            <w:tcW w:w="418" w:type="pct"/>
            <w:tcBorders>
              <w:top w:val="single" w:sz="6" w:space="0" w:color="943634" w:themeColor="accent2" w:themeShade="BF"/>
              <w:bottom w:val="single" w:sz="6" w:space="0" w:color="943634" w:themeColor="accent2" w:themeShade="BF"/>
              <w:right w:val="double" w:sz="4" w:space="0" w:color="943634" w:themeColor="accent2"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824325" w:rsidRPr="005F120D" w:rsidTr="000C2F70">
        <w:trPr>
          <w:trHeight w:val="183"/>
        </w:trPr>
        <w:tc>
          <w:tcPr>
            <w:tcW w:w="895" w:type="pct"/>
            <w:tcBorders>
              <w:top w:val="single" w:sz="6" w:space="0" w:color="943634" w:themeColor="accent2" w:themeShade="BF"/>
              <w:left w:val="double" w:sz="4" w:space="0" w:color="943634" w:themeColor="accent2" w:themeShade="BF"/>
              <w:bottom w:val="single" w:sz="6" w:space="0" w:color="943634" w:themeColor="accent2" w:themeShade="BF"/>
            </w:tcBorders>
          </w:tcPr>
          <w:p w:rsidR="006F26E8" w:rsidRPr="005F120D" w:rsidRDefault="00824325" w:rsidP="000A5B80">
            <w:pPr>
              <w:spacing w:after="0"/>
              <w:rPr>
                <w:rFonts w:asciiTheme="minorHAnsi" w:hAnsiTheme="minorHAnsi" w:cstheme="minorHAnsi"/>
                <w:b/>
                <w:bCs/>
                <w:sz w:val="16"/>
                <w:szCs w:val="16"/>
                <w:u w:val="single"/>
              </w:rPr>
            </w:pPr>
            <w:r w:rsidRPr="005F120D">
              <w:rPr>
                <w:rFonts w:asciiTheme="minorHAnsi" w:hAnsiTheme="minorHAnsi" w:cstheme="minorHAnsi"/>
                <w:sz w:val="16"/>
                <w:szCs w:val="16"/>
              </w:rPr>
              <w:t xml:space="preserve">5. </w:t>
            </w:r>
            <w:r w:rsidR="006F26E8" w:rsidRPr="005F120D">
              <w:rPr>
                <w:rFonts w:asciiTheme="minorHAnsi" w:hAnsiTheme="minorHAnsi" w:cstheme="minorHAnsi"/>
                <w:sz w:val="16"/>
                <w:szCs w:val="16"/>
              </w:rPr>
              <w:t>Workshop</w:t>
            </w:r>
            <w:r w:rsidR="004A0F9A" w:rsidRPr="005F120D">
              <w:rPr>
                <w:rFonts w:asciiTheme="minorHAnsi" w:hAnsiTheme="minorHAnsi" w:cstheme="minorHAnsi"/>
                <w:sz w:val="16"/>
                <w:szCs w:val="16"/>
              </w:rPr>
              <w:t>s</w:t>
            </w:r>
            <w:r w:rsidR="006F26E8" w:rsidRPr="005F120D">
              <w:rPr>
                <w:rFonts w:asciiTheme="minorHAnsi" w:hAnsiTheme="minorHAnsi" w:cstheme="minorHAnsi"/>
                <w:sz w:val="16"/>
                <w:szCs w:val="16"/>
              </w:rPr>
              <w:t xml:space="preserve"> on NSA</w:t>
            </w:r>
          </w:p>
        </w:tc>
        <w:tc>
          <w:tcPr>
            <w:tcW w:w="448"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0"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12"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4 workshops</w:t>
            </w:r>
          </w:p>
        </w:tc>
        <w:tc>
          <w:tcPr>
            <w:tcW w:w="50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13.18</w:t>
            </w:r>
          </w:p>
        </w:tc>
        <w:tc>
          <w:tcPr>
            <w:tcW w:w="506"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473"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13.18</w:t>
            </w:r>
          </w:p>
        </w:tc>
        <w:tc>
          <w:tcPr>
            <w:tcW w:w="711" w:type="pct"/>
            <w:tcBorders>
              <w:top w:val="single" w:sz="6" w:space="0" w:color="943634" w:themeColor="accent2" w:themeShade="BF"/>
              <w:bottom w:val="single" w:sz="6"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8" w:type="pct"/>
            <w:tcBorders>
              <w:top w:val="single" w:sz="6" w:space="0" w:color="943634" w:themeColor="accent2" w:themeShade="BF"/>
              <w:bottom w:val="single" w:sz="6" w:space="0" w:color="943634" w:themeColor="accent2" w:themeShade="BF"/>
              <w:right w:val="double" w:sz="4" w:space="0" w:color="943634" w:themeColor="accent2"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824325" w:rsidRPr="005F120D" w:rsidTr="000C2F70">
        <w:trPr>
          <w:trHeight w:val="156"/>
        </w:trPr>
        <w:tc>
          <w:tcPr>
            <w:tcW w:w="895" w:type="pct"/>
            <w:tcBorders>
              <w:top w:val="single" w:sz="6" w:space="0" w:color="943634" w:themeColor="accent2" w:themeShade="BF"/>
              <w:left w:val="double" w:sz="4" w:space="0" w:color="943634" w:themeColor="accent2" w:themeShade="BF"/>
              <w:bottom w:val="double" w:sz="4" w:space="0" w:color="943634" w:themeColor="accent2" w:themeShade="BF"/>
            </w:tcBorders>
          </w:tcPr>
          <w:p w:rsidR="006F26E8" w:rsidRPr="005F120D" w:rsidRDefault="00824325"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6. </w:t>
            </w:r>
            <w:r w:rsidR="006F26E8" w:rsidRPr="005F120D">
              <w:rPr>
                <w:rFonts w:asciiTheme="minorHAnsi" w:hAnsiTheme="minorHAnsi" w:cstheme="minorHAnsi"/>
                <w:sz w:val="16"/>
                <w:szCs w:val="16"/>
              </w:rPr>
              <w:t xml:space="preserve">NAC operation cost </w:t>
            </w:r>
          </w:p>
        </w:tc>
        <w:tc>
          <w:tcPr>
            <w:tcW w:w="448" w:type="pct"/>
            <w:tcBorders>
              <w:top w:val="single" w:sz="6" w:space="0" w:color="943634" w:themeColor="accent2" w:themeShade="BF"/>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0" w:type="pct"/>
            <w:tcBorders>
              <w:top w:val="single" w:sz="6" w:space="0" w:color="943634" w:themeColor="accent2" w:themeShade="BF"/>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50.00</w:t>
            </w:r>
          </w:p>
        </w:tc>
        <w:tc>
          <w:tcPr>
            <w:tcW w:w="612" w:type="pct"/>
            <w:tcBorders>
              <w:top w:val="single" w:sz="6" w:space="0" w:color="943634" w:themeColor="accent2" w:themeShade="BF"/>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506" w:type="pct"/>
            <w:tcBorders>
              <w:top w:val="single" w:sz="6" w:space="0" w:color="943634" w:themeColor="accent2" w:themeShade="BF"/>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06" w:type="pct"/>
            <w:tcBorders>
              <w:top w:val="single" w:sz="6" w:space="0" w:color="943634" w:themeColor="accent2" w:themeShade="BF"/>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p>
        </w:tc>
        <w:tc>
          <w:tcPr>
            <w:tcW w:w="473" w:type="pct"/>
            <w:tcBorders>
              <w:top w:val="single" w:sz="6" w:space="0" w:color="943634" w:themeColor="accent2" w:themeShade="BF"/>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711" w:type="pct"/>
            <w:tcBorders>
              <w:top w:val="single" w:sz="6" w:space="0" w:color="943634" w:themeColor="accent2" w:themeShade="BF"/>
              <w:bottom w:val="double" w:sz="4" w:space="0" w:color="943634" w:themeColor="accent2" w:themeShade="BF"/>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8" w:type="pct"/>
            <w:tcBorders>
              <w:top w:val="single" w:sz="6" w:space="0" w:color="943634" w:themeColor="accent2" w:themeShade="BF"/>
              <w:bottom w:val="double" w:sz="4" w:space="0" w:color="943634" w:themeColor="accent2" w:themeShade="BF"/>
              <w:right w:val="double" w:sz="4" w:space="0" w:color="943634" w:themeColor="accent2" w:themeShade="BF"/>
            </w:tcBorders>
            <w:vAlign w:val="center"/>
          </w:tcPr>
          <w:p w:rsidR="006F26E8" w:rsidRPr="005F120D" w:rsidRDefault="006F26E8" w:rsidP="000A5B80">
            <w:pPr>
              <w:spacing w:after="0"/>
              <w:jc w:val="center"/>
              <w:rPr>
                <w:rFonts w:asciiTheme="minorHAnsi" w:hAnsiTheme="minorHAnsi" w:cstheme="minorHAnsi"/>
                <w:sz w:val="16"/>
                <w:szCs w:val="16"/>
              </w:rPr>
            </w:pPr>
          </w:p>
        </w:tc>
      </w:tr>
      <w:tr w:rsidR="00824325" w:rsidRPr="005F120D" w:rsidTr="000C2F70">
        <w:tc>
          <w:tcPr>
            <w:tcW w:w="895"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48"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p>
        </w:tc>
        <w:tc>
          <w:tcPr>
            <w:tcW w:w="430"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2,450.00</w:t>
            </w:r>
          </w:p>
        </w:tc>
        <w:tc>
          <w:tcPr>
            <w:tcW w:w="612"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p>
        </w:tc>
        <w:tc>
          <w:tcPr>
            <w:tcW w:w="506"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949.25</w:t>
            </w:r>
          </w:p>
        </w:tc>
        <w:tc>
          <w:tcPr>
            <w:tcW w:w="506"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p>
        </w:tc>
        <w:tc>
          <w:tcPr>
            <w:tcW w:w="473"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217.79 (22.9%)</w:t>
            </w:r>
          </w:p>
        </w:tc>
        <w:tc>
          <w:tcPr>
            <w:tcW w:w="711"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 xml:space="preserve">731.46 </w:t>
            </w:r>
          </w:p>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(77.1%)</w:t>
            </w:r>
          </w:p>
        </w:tc>
        <w:tc>
          <w:tcPr>
            <w:tcW w:w="418" w:type="pct"/>
            <w:tcBorders>
              <w:top w:val="double" w:sz="4" w:space="0" w:color="943634" w:themeColor="accent2" w:themeShade="BF"/>
            </w:tcBorders>
            <w:shd w:val="clear" w:color="auto" w:fill="F2DBDB" w:themeFill="accent2" w:themeFillTint="33"/>
            <w:vAlign w:val="center"/>
          </w:tcPr>
          <w:p w:rsidR="006F26E8" w:rsidRPr="005F120D" w:rsidRDefault="006F26E8" w:rsidP="000A5B80">
            <w:pPr>
              <w:spacing w:after="0"/>
              <w:jc w:val="center"/>
              <w:rPr>
                <w:rFonts w:asciiTheme="minorHAnsi" w:hAnsiTheme="minorHAnsi" w:cstheme="minorHAnsi"/>
                <w:b/>
                <w:sz w:val="16"/>
                <w:szCs w:val="16"/>
              </w:rPr>
            </w:pPr>
          </w:p>
        </w:tc>
      </w:tr>
    </w:tbl>
    <w:p w:rsidR="004A0F9A" w:rsidRPr="005F120D" w:rsidRDefault="007D75C1" w:rsidP="00AC0CF9">
      <w:pPr>
        <w:autoSpaceDE w:val="0"/>
        <w:autoSpaceDN w:val="0"/>
        <w:adjustRightInd w:val="0"/>
        <w:jc w:val="both"/>
        <w:rPr>
          <w:rFonts w:asciiTheme="minorHAnsi" w:hAnsiTheme="minorHAnsi" w:cstheme="minorHAnsi"/>
          <w:b/>
          <w:i/>
          <w:sz w:val="18"/>
          <w:szCs w:val="18"/>
        </w:rPr>
      </w:pPr>
      <w:r w:rsidRPr="005F120D">
        <w:rPr>
          <w:rFonts w:asciiTheme="minorHAnsi" w:hAnsiTheme="minorHAnsi" w:cstheme="minorHAnsi"/>
          <w:b/>
          <w:bCs/>
          <w:i/>
          <w:sz w:val="18"/>
          <w:szCs w:val="18"/>
        </w:rPr>
        <w:t>Note: The achievements of Result Area 3.2 are measured through 4 KPIs (12, 13, 14 and 15) and 2 Non-KPIs (9and10) at the outcome level; and 1 PSQL (14) and 12 sub-component indicators at the output level</w:t>
      </w:r>
      <w:r w:rsidR="006F26E8" w:rsidRPr="005F120D">
        <w:rPr>
          <w:rFonts w:asciiTheme="minorHAnsi" w:hAnsiTheme="minorHAnsi" w:cstheme="minorHAnsi"/>
          <w:b/>
          <w:bCs/>
          <w:i/>
          <w:sz w:val="18"/>
          <w:szCs w:val="18"/>
        </w:rPr>
        <w:t>.</w:t>
      </w:r>
    </w:p>
    <w:p w:rsidR="001511DD" w:rsidRPr="005F120D" w:rsidRDefault="001511DD" w:rsidP="005351D1">
      <w:pPr>
        <w:autoSpaceDE w:val="0"/>
        <w:autoSpaceDN w:val="0"/>
        <w:adjustRightInd w:val="0"/>
        <w:spacing w:before="120" w:after="120"/>
        <w:jc w:val="both"/>
        <w:rPr>
          <w:rFonts w:asciiTheme="minorHAnsi" w:hAnsiTheme="minorHAnsi" w:cstheme="minorHAnsi"/>
          <w:b/>
          <w:color w:val="008000"/>
          <w:sz w:val="24"/>
          <w:szCs w:val="24"/>
        </w:rPr>
      </w:pPr>
      <w:r w:rsidRPr="005F120D">
        <w:rPr>
          <w:rFonts w:asciiTheme="minorHAnsi" w:hAnsiTheme="minorHAnsi" w:cstheme="minorHAnsi"/>
          <w:b/>
          <w:color w:val="008000"/>
          <w:sz w:val="24"/>
          <w:szCs w:val="24"/>
        </w:rPr>
        <w:t xml:space="preserve">Result Area 4:  </w:t>
      </w:r>
      <w:r w:rsidR="00802B33" w:rsidRPr="005F120D">
        <w:rPr>
          <w:rFonts w:asciiTheme="minorHAnsi" w:hAnsiTheme="minorHAnsi" w:cstheme="minorHAnsi"/>
          <w:b/>
          <w:color w:val="008000"/>
          <w:sz w:val="24"/>
          <w:szCs w:val="24"/>
        </w:rPr>
        <w:t>Program</w:t>
      </w:r>
      <w:r w:rsidRPr="005F120D">
        <w:rPr>
          <w:rFonts w:asciiTheme="minorHAnsi" w:hAnsiTheme="minorHAnsi" w:cstheme="minorHAnsi"/>
          <w:b/>
          <w:color w:val="008000"/>
          <w:sz w:val="24"/>
          <w:szCs w:val="24"/>
        </w:rPr>
        <w:t xml:space="preserve"> Planning and Management</w:t>
      </w:r>
    </w:p>
    <w:p w:rsidR="006F26E8" w:rsidRPr="005F120D" w:rsidRDefault="007D75C1" w:rsidP="005351D1">
      <w:pPr>
        <w:autoSpaceDE w:val="0"/>
        <w:autoSpaceDN w:val="0"/>
        <w:adjustRightInd w:val="0"/>
        <w:spacing w:before="120" w:after="120"/>
        <w:jc w:val="both"/>
        <w:rPr>
          <w:rFonts w:asciiTheme="minorHAnsi" w:hAnsiTheme="minorHAnsi" w:cstheme="minorHAnsi"/>
          <w:szCs w:val="22"/>
        </w:rPr>
      </w:pPr>
      <w:r w:rsidRPr="005F120D">
        <w:rPr>
          <w:rFonts w:asciiTheme="minorHAnsi" w:hAnsiTheme="minorHAnsi" w:cstheme="minorHAnsi"/>
          <w:szCs w:val="22"/>
        </w:rPr>
        <w:t>The anticipated outcome is the strengthened capacity of the primary education system in planning, budgeting, financial management, and results based management.  There are 6 sub-components under Res</w:t>
      </w:r>
      <w:r w:rsidR="004A0F9A" w:rsidRPr="005F120D">
        <w:rPr>
          <w:rFonts w:asciiTheme="minorHAnsi" w:hAnsiTheme="minorHAnsi" w:cstheme="minorHAnsi"/>
          <w:szCs w:val="22"/>
        </w:rPr>
        <w:t>ult Area 4</w:t>
      </w:r>
      <w:r w:rsidR="006F26E8" w:rsidRPr="005F120D">
        <w:rPr>
          <w:rFonts w:asciiTheme="minorHAnsi" w:hAnsiTheme="minorHAnsi" w:cstheme="minorHAnsi"/>
          <w:szCs w:val="22"/>
        </w:rPr>
        <w:t>.</w:t>
      </w:r>
    </w:p>
    <w:p w:rsidR="00981CA3" w:rsidRPr="005F120D" w:rsidRDefault="006F26E8" w:rsidP="000A5B80">
      <w:pPr>
        <w:pStyle w:val="ListParagraph"/>
        <w:numPr>
          <w:ilvl w:val="0"/>
          <w:numId w:val="88"/>
        </w:numPr>
        <w:autoSpaceDE w:val="0"/>
        <w:autoSpaceDN w:val="0"/>
        <w:adjustRightInd w:val="0"/>
        <w:spacing w:before="240"/>
        <w:jc w:val="both"/>
        <w:rPr>
          <w:rFonts w:asciiTheme="minorHAnsi" w:hAnsiTheme="minorHAnsi" w:cstheme="minorHAnsi"/>
        </w:rPr>
      </w:pPr>
      <w:r w:rsidRPr="005F120D">
        <w:rPr>
          <w:rFonts w:asciiTheme="minorHAnsi" w:hAnsiTheme="minorHAnsi" w:cstheme="minorHAnsi"/>
          <w:b/>
          <w:i/>
          <w:iCs/>
          <w:color w:val="008000"/>
        </w:rPr>
        <w:t>Sub-Component 4.1 - PEDP3 Management and Governance:</w:t>
      </w:r>
    </w:p>
    <w:p w:rsidR="006F26E8" w:rsidRPr="005F120D" w:rsidRDefault="00A558E5" w:rsidP="00E339CE">
      <w:p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szCs w:val="22"/>
        </w:rPr>
        <w:t>The PEDP3 has been manag</w:t>
      </w:r>
      <w:r w:rsidR="00B50B4F" w:rsidRPr="005F120D">
        <w:rPr>
          <w:rFonts w:asciiTheme="minorHAnsi" w:hAnsiTheme="minorHAnsi" w:cstheme="minorHAnsi"/>
          <w:szCs w:val="22"/>
        </w:rPr>
        <w:t>ed by</w:t>
      </w:r>
      <w:r w:rsidRPr="005F120D">
        <w:rPr>
          <w:rFonts w:asciiTheme="minorHAnsi" w:hAnsiTheme="minorHAnsi" w:cstheme="minorHAnsi"/>
          <w:szCs w:val="22"/>
        </w:rPr>
        <w:t xml:space="preserve"> divisions an</w:t>
      </w:r>
      <w:r w:rsidR="00B50B4F" w:rsidRPr="005F120D">
        <w:rPr>
          <w:rFonts w:asciiTheme="minorHAnsi" w:hAnsiTheme="minorHAnsi" w:cstheme="minorHAnsi"/>
          <w:szCs w:val="22"/>
        </w:rPr>
        <w:t>d units that are part of MoPME</w:t>
      </w:r>
      <w:r w:rsidRPr="005F120D">
        <w:rPr>
          <w:rFonts w:asciiTheme="minorHAnsi" w:hAnsiTheme="minorHAnsi" w:cstheme="minorHAnsi"/>
          <w:szCs w:val="22"/>
        </w:rPr>
        <w:t xml:space="preserve"> and DPE’s organizational </w:t>
      </w:r>
      <w:r w:rsidR="00D9586F" w:rsidRPr="005F120D">
        <w:rPr>
          <w:rFonts w:asciiTheme="minorHAnsi" w:hAnsiTheme="minorHAnsi" w:cstheme="minorHAnsi"/>
          <w:szCs w:val="22"/>
        </w:rPr>
        <w:t>structure.</w:t>
      </w:r>
      <w:r w:rsidR="00D9586F" w:rsidRPr="005F120D">
        <w:rPr>
          <w:rFonts w:asciiTheme="minorHAnsi" w:hAnsiTheme="minorHAnsi" w:cstheme="minorHAnsi"/>
          <w:iCs/>
        </w:rPr>
        <w:t xml:space="preserve"> The</w:t>
      </w:r>
      <w:r w:rsidR="003F7100" w:rsidRPr="005F120D">
        <w:rPr>
          <w:rFonts w:asciiTheme="minorHAnsi" w:hAnsiTheme="minorHAnsi" w:cstheme="minorHAnsi"/>
          <w:iCs/>
        </w:rPr>
        <w:t xml:space="preserve"> administration of </w:t>
      </w:r>
      <w:r w:rsidR="00A65030" w:rsidRPr="005F120D">
        <w:rPr>
          <w:rFonts w:asciiTheme="minorHAnsi" w:hAnsiTheme="minorHAnsi" w:cstheme="minorHAnsi"/>
          <w:iCs/>
        </w:rPr>
        <w:t xml:space="preserve">the </w:t>
      </w:r>
      <w:r w:rsidR="003F7100" w:rsidRPr="005F120D">
        <w:rPr>
          <w:rFonts w:asciiTheme="minorHAnsi" w:hAnsiTheme="minorHAnsi" w:cstheme="minorHAnsi"/>
          <w:iCs/>
        </w:rPr>
        <w:t xml:space="preserve">PEDP3 is </w:t>
      </w:r>
      <w:r w:rsidR="00A14DD4" w:rsidRPr="005F120D">
        <w:rPr>
          <w:rFonts w:asciiTheme="minorHAnsi" w:hAnsiTheme="minorHAnsi" w:cstheme="minorHAnsi"/>
          <w:iCs/>
        </w:rPr>
        <w:t xml:space="preserve">now </w:t>
      </w:r>
      <w:r w:rsidR="003F7100" w:rsidRPr="005F120D">
        <w:rPr>
          <w:rFonts w:asciiTheme="minorHAnsi" w:hAnsiTheme="minorHAnsi" w:cstheme="minorHAnsi"/>
          <w:iCs/>
        </w:rPr>
        <w:t>strengthened through the e</w:t>
      </w:r>
      <w:r w:rsidR="004A0F9A" w:rsidRPr="005F120D">
        <w:rPr>
          <w:rFonts w:asciiTheme="minorHAnsi" w:hAnsiTheme="minorHAnsi" w:cstheme="minorHAnsi"/>
          <w:iCs/>
        </w:rPr>
        <w:t>stablishment of</w:t>
      </w:r>
      <w:r w:rsidR="004A0F9A" w:rsidRPr="005F120D">
        <w:rPr>
          <w:rFonts w:asciiTheme="minorHAnsi" w:hAnsiTheme="minorHAnsi" w:cstheme="minorHAnsi"/>
        </w:rPr>
        <w:t xml:space="preserve"> a PEDP3 S</w:t>
      </w:r>
      <w:r w:rsidR="00CA6A6F" w:rsidRPr="005F120D">
        <w:rPr>
          <w:rFonts w:asciiTheme="minorHAnsi" w:hAnsiTheme="minorHAnsi" w:cstheme="minorHAnsi"/>
        </w:rPr>
        <w:t>teering Committee (PSC) and a Project S</w:t>
      </w:r>
      <w:r w:rsidR="007D75C1" w:rsidRPr="005F120D">
        <w:rPr>
          <w:rFonts w:asciiTheme="minorHAnsi" w:hAnsiTheme="minorHAnsi" w:cstheme="minorHAnsi"/>
        </w:rPr>
        <w:t xml:space="preserve">upport </w:t>
      </w:r>
      <w:r w:rsidR="00CA6A6F" w:rsidRPr="005F120D">
        <w:rPr>
          <w:rFonts w:asciiTheme="minorHAnsi" w:hAnsiTheme="minorHAnsi" w:cstheme="minorHAnsi"/>
        </w:rPr>
        <w:t>Office (PSO)</w:t>
      </w:r>
      <w:r w:rsidR="003F7100" w:rsidRPr="005F120D">
        <w:rPr>
          <w:rFonts w:asciiTheme="minorHAnsi" w:hAnsiTheme="minorHAnsi" w:cstheme="minorHAnsi"/>
        </w:rPr>
        <w:t>,</w:t>
      </w:r>
      <w:r w:rsidR="00CA6A6F" w:rsidRPr="005F120D">
        <w:rPr>
          <w:rFonts w:asciiTheme="minorHAnsi" w:hAnsiTheme="minorHAnsi" w:cstheme="minorHAnsi"/>
        </w:rPr>
        <w:t xml:space="preserve"> and </w:t>
      </w:r>
      <w:r w:rsidR="003F7100" w:rsidRPr="005F120D">
        <w:rPr>
          <w:rFonts w:asciiTheme="minorHAnsi" w:hAnsiTheme="minorHAnsi" w:cstheme="minorHAnsi"/>
        </w:rPr>
        <w:t>the improvement of the planning and e</w:t>
      </w:r>
      <w:r w:rsidR="007D75C1" w:rsidRPr="005F120D">
        <w:rPr>
          <w:rFonts w:asciiTheme="minorHAnsi" w:hAnsiTheme="minorHAnsi" w:cstheme="minorHAnsi"/>
        </w:rPr>
        <w:t xml:space="preserve">xecution of the Annual Operational Plan (AOP). </w:t>
      </w:r>
      <w:r w:rsidR="007D75C1" w:rsidRPr="005F120D">
        <w:rPr>
          <w:rFonts w:asciiTheme="minorHAnsi" w:hAnsiTheme="minorHAnsi" w:cstheme="minorHAnsi"/>
          <w:bCs/>
        </w:rPr>
        <w:t xml:space="preserve">The total original cost as per DPP was Tk. 36,584.88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20,650.84 </w:t>
      </w:r>
      <w:r w:rsidR="00F738CE" w:rsidRPr="005F120D">
        <w:rPr>
          <w:rFonts w:asciiTheme="minorHAnsi" w:hAnsiTheme="minorHAnsi" w:cstheme="minorHAnsi"/>
          <w:bCs/>
        </w:rPr>
        <w:t>Lac</w:t>
      </w:r>
      <w:r w:rsidR="00836870" w:rsidRPr="005F120D">
        <w:rPr>
          <w:rFonts w:asciiTheme="minorHAnsi" w:hAnsiTheme="minorHAnsi" w:cstheme="minorHAnsi"/>
          <w:bCs/>
        </w:rPr>
        <w:t>.</w:t>
      </w:r>
    </w:p>
    <w:p w:rsidR="006F26E8" w:rsidRPr="005F120D" w:rsidRDefault="006F26E8" w:rsidP="000A5B80">
      <w:pPr>
        <w:pStyle w:val="Caption"/>
        <w:rPr>
          <w:rFonts w:cstheme="minorHAnsi"/>
        </w:rPr>
      </w:pPr>
      <w:bookmarkStart w:id="100" w:name="_Toc462837251"/>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29</w:t>
      </w:r>
      <w:r w:rsidR="002E2ED5" w:rsidRPr="005F120D">
        <w:rPr>
          <w:rFonts w:cstheme="minorHAnsi"/>
        </w:rPr>
        <w:fldChar w:fldCharType="end"/>
      </w:r>
      <w:r w:rsidRPr="005F120D">
        <w:rPr>
          <w:rFonts w:cstheme="minorHAnsi"/>
        </w:rPr>
        <w:t xml:space="preserve">: PEDP3 Management and </w:t>
      </w:r>
      <w:r w:rsidR="00D9586F" w:rsidRPr="005F120D">
        <w:rPr>
          <w:rFonts w:cstheme="minorHAnsi"/>
        </w:rPr>
        <w:t>Governance: Cost</w:t>
      </w:r>
      <w:r w:rsidR="00112A70" w:rsidRPr="005F120D">
        <w:rPr>
          <w:rFonts w:cstheme="minorHAnsi"/>
        </w:rPr>
        <w:t xml:space="preserve"> and Expenditure as of June 2015</w:t>
      </w:r>
      <w:bookmarkEnd w:id="100"/>
    </w:p>
    <w:p w:rsidR="006F26E8" w:rsidRPr="005F120D" w:rsidRDefault="006F26E8" w:rsidP="000A5B80">
      <w:pPr>
        <w:pStyle w:val="ListParagraph"/>
        <w:numPr>
          <w:ilvl w:val="0"/>
          <w:numId w:val="0"/>
        </w:numPr>
        <w:spacing w:after="0"/>
        <w:ind w:left="756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4A0"/>
      </w:tblPr>
      <w:tblGrid>
        <w:gridCol w:w="1968"/>
        <w:gridCol w:w="779"/>
        <w:gridCol w:w="886"/>
        <w:gridCol w:w="1055"/>
        <w:gridCol w:w="901"/>
        <w:gridCol w:w="736"/>
        <w:gridCol w:w="927"/>
        <w:gridCol w:w="1078"/>
        <w:gridCol w:w="913"/>
      </w:tblGrid>
      <w:tr w:rsidR="005E73EA" w:rsidRPr="005F120D" w:rsidTr="000C2F70">
        <w:trPr>
          <w:tblHeader/>
        </w:trPr>
        <w:tc>
          <w:tcPr>
            <w:tcW w:w="1065"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02" w:type="pct"/>
            <w:gridSpan w:val="2"/>
            <w:shd w:val="clear" w:color="auto" w:fill="DDD9C3" w:themeFill="background2" w:themeFillShade="E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59" w:type="pct"/>
            <w:gridSpan w:val="2"/>
            <w:shd w:val="clear" w:color="auto" w:fill="DDD9C3" w:themeFill="background2" w:themeFillShade="E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897" w:type="pct"/>
            <w:gridSpan w:val="2"/>
            <w:shd w:val="clear" w:color="auto" w:fill="DDD9C3" w:themeFill="background2" w:themeFillShade="E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583"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94"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DB3BD6" w:rsidRPr="005F120D" w:rsidTr="000C2F70">
        <w:trPr>
          <w:tblHeader/>
        </w:trPr>
        <w:tc>
          <w:tcPr>
            <w:tcW w:w="1065"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22"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4"/>
                <w:szCs w:val="14"/>
              </w:rPr>
            </w:pPr>
            <w:r w:rsidRPr="005F120D">
              <w:rPr>
                <w:rFonts w:asciiTheme="minorHAnsi" w:hAnsiTheme="minorHAnsi" w:cstheme="minorHAnsi"/>
                <w:bCs/>
                <w:sz w:val="14"/>
                <w:szCs w:val="14"/>
              </w:rPr>
              <w:t>Physical</w:t>
            </w:r>
          </w:p>
        </w:tc>
        <w:tc>
          <w:tcPr>
            <w:tcW w:w="480"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71"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88"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395"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02"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83"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94"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DB3BD6" w:rsidRPr="005F120D" w:rsidTr="000C2F70">
        <w:trPr>
          <w:trHeight w:val="282"/>
        </w:trPr>
        <w:tc>
          <w:tcPr>
            <w:tcW w:w="1065" w:type="pct"/>
            <w:tcBorders>
              <w:top w:val="double" w:sz="4" w:space="0" w:color="948A54" w:themeColor="background2" w:themeShade="80"/>
              <w:bottom w:val="single" w:sz="6" w:space="0" w:color="948A54" w:themeColor="background2" w:themeShade="80"/>
            </w:tcBorders>
          </w:tcPr>
          <w:p w:rsidR="006F26E8" w:rsidRPr="005F120D" w:rsidRDefault="00DB3BD6"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 </w:t>
            </w:r>
            <w:r w:rsidR="006F26E8" w:rsidRPr="005F120D">
              <w:rPr>
                <w:rFonts w:asciiTheme="minorHAnsi" w:hAnsiTheme="minorHAnsi" w:cstheme="minorHAnsi"/>
                <w:sz w:val="16"/>
                <w:szCs w:val="16"/>
              </w:rPr>
              <w:t>Computers, software, printers, OHP, volt stabilizer</w:t>
            </w:r>
          </w:p>
        </w:tc>
        <w:tc>
          <w:tcPr>
            <w:tcW w:w="422"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20.00</w:t>
            </w:r>
          </w:p>
        </w:tc>
        <w:tc>
          <w:tcPr>
            <w:tcW w:w="480"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80.00</w:t>
            </w:r>
          </w:p>
        </w:tc>
        <w:tc>
          <w:tcPr>
            <w:tcW w:w="571"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Desktop PC- 3, online printer- 2</w:t>
            </w:r>
          </w:p>
        </w:tc>
        <w:tc>
          <w:tcPr>
            <w:tcW w:w="488"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79.45</w:t>
            </w:r>
          </w:p>
        </w:tc>
        <w:tc>
          <w:tcPr>
            <w:tcW w:w="395"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19.35</w:t>
            </w:r>
          </w:p>
        </w:tc>
        <w:tc>
          <w:tcPr>
            <w:tcW w:w="583"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60.10</w:t>
            </w:r>
          </w:p>
        </w:tc>
        <w:tc>
          <w:tcPr>
            <w:tcW w:w="494"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PSO/PSU/ MoPME - need based</w:t>
            </w: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DB3BD6"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2. </w:t>
            </w:r>
            <w:r w:rsidR="006F26E8" w:rsidRPr="005F120D">
              <w:rPr>
                <w:rFonts w:asciiTheme="minorHAnsi" w:hAnsiTheme="minorHAnsi" w:cstheme="minorHAnsi"/>
                <w:sz w:val="16"/>
                <w:szCs w:val="16"/>
              </w:rPr>
              <w:t>Re-configuration of up gradation of server room of MoPME</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incl. in operating cost</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Up gradation of server of MoPME</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36.30</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4.29</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32.01</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DB3BD6" w:rsidP="000A5B80">
            <w:pPr>
              <w:spacing w:after="0"/>
              <w:rPr>
                <w:rFonts w:asciiTheme="minorHAnsi" w:hAnsiTheme="minorHAnsi" w:cstheme="minorHAnsi"/>
                <w:sz w:val="16"/>
                <w:szCs w:val="16"/>
              </w:rPr>
            </w:pPr>
            <w:r w:rsidRPr="005F120D">
              <w:rPr>
                <w:rFonts w:asciiTheme="minorHAnsi" w:hAnsiTheme="minorHAnsi" w:cstheme="minorHAnsi"/>
                <w:sz w:val="16"/>
                <w:szCs w:val="16"/>
              </w:rPr>
              <w:lastRenderedPageBreak/>
              <w:t xml:space="preserve">3. </w:t>
            </w:r>
            <w:r w:rsidR="006F26E8" w:rsidRPr="005F120D">
              <w:rPr>
                <w:rFonts w:asciiTheme="minorHAnsi" w:hAnsiTheme="minorHAnsi" w:cstheme="minorHAnsi"/>
                <w:sz w:val="16"/>
                <w:szCs w:val="16"/>
              </w:rPr>
              <w:t>Digital camera, scanner, photocopier for PSO, PMU</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40.00</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Photocopier1, scanner 1</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200.00</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13.52</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186.48</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336"/>
        </w:trPr>
        <w:tc>
          <w:tcPr>
            <w:tcW w:w="1065" w:type="pct"/>
            <w:tcBorders>
              <w:top w:val="single" w:sz="6" w:space="0" w:color="948A54" w:themeColor="background2" w:themeShade="80"/>
              <w:bottom w:val="single" w:sz="6" w:space="0" w:color="948A54" w:themeColor="background2" w:themeShade="80"/>
            </w:tcBorders>
          </w:tcPr>
          <w:p w:rsidR="006F26E8" w:rsidRPr="005F120D" w:rsidRDefault="00DB3BD6"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4. Jeep-1 and microbus-1 </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2.00</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115.00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Jeep -1 and Microbus1</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194.26</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72.26</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122.00</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DB3BD6"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 xml:space="preserve">For </w:t>
            </w:r>
            <w:r w:rsidR="006F26E8" w:rsidRPr="005F120D">
              <w:rPr>
                <w:rFonts w:asciiTheme="minorHAnsi" w:hAnsiTheme="minorHAnsi" w:cstheme="minorHAnsi"/>
                <w:sz w:val="14"/>
                <w:szCs w:val="14"/>
              </w:rPr>
              <w:t>PSO</w:t>
            </w: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DB3BD6" w:rsidP="000A5B80">
            <w:pPr>
              <w:spacing w:after="0"/>
              <w:rPr>
                <w:rFonts w:asciiTheme="minorHAnsi" w:hAnsiTheme="minorHAnsi" w:cstheme="minorHAnsi"/>
                <w:sz w:val="16"/>
                <w:szCs w:val="16"/>
              </w:rPr>
            </w:pPr>
            <w:r w:rsidRPr="005F120D">
              <w:rPr>
                <w:rFonts w:asciiTheme="minorHAnsi" w:hAnsiTheme="minorHAnsi" w:cstheme="minorHAnsi"/>
                <w:sz w:val="16"/>
                <w:szCs w:val="16"/>
              </w:rPr>
              <w:t>5. Jeep-2 &amp;</w:t>
            </w:r>
            <w:r w:rsidR="006F26E8" w:rsidRPr="005F120D">
              <w:rPr>
                <w:rFonts w:asciiTheme="minorHAnsi" w:hAnsiTheme="minorHAnsi" w:cstheme="minorHAnsi"/>
                <w:sz w:val="16"/>
                <w:szCs w:val="16"/>
              </w:rPr>
              <w:t xml:space="preserve"> microbus-2  </w:t>
            </w:r>
            <w:r w:rsidRPr="005F120D">
              <w:rPr>
                <w:rFonts w:asciiTheme="minorHAnsi" w:hAnsiTheme="minorHAnsi" w:cstheme="minorHAnsi"/>
                <w:sz w:val="16"/>
                <w:szCs w:val="16"/>
              </w:rPr>
              <w:t>for Program div.</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4.00</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185.00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Jeep-1 and Microbus1</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119.26</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72.26</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47.00</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Program Division</w:t>
            </w: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6.</w:t>
            </w:r>
            <w:r w:rsidR="006F26E8" w:rsidRPr="005F120D">
              <w:rPr>
                <w:rFonts w:asciiTheme="minorHAnsi" w:hAnsiTheme="minorHAnsi" w:cstheme="minorHAnsi"/>
                <w:sz w:val="16"/>
                <w:szCs w:val="16"/>
              </w:rPr>
              <w:t>Furniture for DPE and field offices, PSO and PSU</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51.00</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306.00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Furniture Need based</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306.00</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13.46</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292.54</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7. </w:t>
            </w:r>
            <w:r w:rsidR="006F26E8" w:rsidRPr="005F120D">
              <w:rPr>
                <w:rFonts w:asciiTheme="minorHAnsi" w:hAnsiTheme="minorHAnsi" w:cstheme="minorHAnsi"/>
                <w:sz w:val="16"/>
                <w:szCs w:val="16"/>
              </w:rPr>
              <w:t>Study (t.b.d) managed by Prog</w:t>
            </w:r>
            <w:r w:rsidR="00EE6322">
              <w:rPr>
                <w:rFonts w:asciiTheme="minorHAnsi" w:hAnsiTheme="minorHAnsi" w:cstheme="minorHAnsi"/>
                <w:sz w:val="16"/>
                <w:szCs w:val="16"/>
              </w:rPr>
              <w:t>.</w:t>
            </w:r>
            <w:r w:rsidR="006F26E8" w:rsidRPr="005F120D">
              <w:rPr>
                <w:rFonts w:asciiTheme="minorHAnsi" w:hAnsiTheme="minorHAnsi" w:cstheme="minorHAnsi"/>
                <w:sz w:val="16"/>
                <w:szCs w:val="16"/>
              </w:rPr>
              <w:t xml:space="preserve"> Div</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5.00</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2,040.00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Study - block fund</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900.00</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900.00</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8. </w:t>
            </w:r>
            <w:r w:rsidR="006F26E8" w:rsidRPr="005F120D">
              <w:rPr>
                <w:rFonts w:asciiTheme="minorHAnsi" w:hAnsiTheme="minorHAnsi" w:cstheme="minorHAnsi"/>
                <w:sz w:val="16"/>
                <w:szCs w:val="16"/>
              </w:rPr>
              <w:t>Workshop/ seminar (t.b.d) managed by Prog Div</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750.00</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1,125.00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Block</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317.04</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90.84</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226.20</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9. </w:t>
            </w:r>
            <w:r w:rsidR="006F26E8" w:rsidRPr="005F120D">
              <w:rPr>
                <w:rFonts w:asciiTheme="minorHAnsi" w:hAnsiTheme="minorHAnsi" w:cstheme="minorHAnsi"/>
                <w:sz w:val="16"/>
                <w:szCs w:val="16"/>
              </w:rPr>
              <w:t>International consultant through package</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750 person months</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13,125.00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60 person month</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1,050.00</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1,050.00</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10. </w:t>
            </w:r>
            <w:r w:rsidR="006F26E8" w:rsidRPr="005F120D">
              <w:rPr>
                <w:rFonts w:asciiTheme="minorHAnsi" w:hAnsiTheme="minorHAnsi" w:cstheme="minorHAnsi"/>
                <w:sz w:val="16"/>
                <w:szCs w:val="16"/>
              </w:rPr>
              <w:t>International consultant (pool) individual</w:t>
            </w:r>
            <w:r w:rsidR="00CA6A6F" w:rsidRPr="005F120D">
              <w:rPr>
                <w:rFonts w:asciiTheme="minorHAnsi" w:hAnsiTheme="minorHAnsi" w:cstheme="minorHAnsi"/>
                <w:sz w:val="16"/>
                <w:szCs w:val="16"/>
              </w:rPr>
              <w:t>s</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100 person months</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1,750.00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35 person month</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389.75</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52.91</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336.84</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11. </w:t>
            </w:r>
            <w:r w:rsidR="006F26E8" w:rsidRPr="005F120D">
              <w:rPr>
                <w:rFonts w:asciiTheme="minorHAnsi" w:hAnsiTheme="minorHAnsi" w:cstheme="minorHAnsi"/>
                <w:sz w:val="16"/>
                <w:szCs w:val="16"/>
              </w:rPr>
              <w:t>National consultant through package</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BD4D59"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2000 per.</w:t>
            </w:r>
            <w:r w:rsidR="006F26E8" w:rsidRPr="005F120D">
              <w:rPr>
                <w:rFonts w:asciiTheme="minorHAnsi" w:hAnsiTheme="minorHAnsi" w:cstheme="minorHAnsi"/>
                <w:sz w:val="14"/>
                <w:szCs w:val="14"/>
              </w:rPr>
              <w:t xml:space="preserve"> months</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7,000.00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420 person months</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2,100.00</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100.56</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1,999.44</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12. </w:t>
            </w:r>
            <w:r w:rsidR="006F26E8" w:rsidRPr="005F120D">
              <w:rPr>
                <w:rFonts w:asciiTheme="minorHAnsi" w:hAnsiTheme="minorHAnsi" w:cstheme="minorHAnsi"/>
                <w:sz w:val="16"/>
                <w:szCs w:val="16"/>
              </w:rPr>
              <w:t>National consultant (pool) individual</w:t>
            </w:r>
            <w:r w:rsidR="00CA6A6F" w:rsidRPr="005F120D">
              <w:rPr>
                <w:rFonts w:asciiTheme="minorHAnsi" w:hAnsiTheme="minorHAnsi" w:cstheme="minorHAnsi"/>
                <w:sz w:val="16"/>
                <w:szCs w:val="16"/>
              </w:rPr>
              <w:t>s</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BD4D59"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500 per.</w:t>
            </w:r>
            <w:r w:rsidR="006F26E8" w:rsidRPr="005F120D">
              <w:rPr>
                <w:rFonts w:asciiTheme="minorHAnsi" w:hAnsiTheme="minorHAnsi" w:cstheme="minorHAnsi"/>
                <w:sz w:val="14"/>
                <w:szCs w:val="14"/>
              </w:rPr>
              <w:t xml:space="preserve"> months</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1,750.00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224 person months</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737.44</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160.47</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576.97</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13. </w:t>
            </w:r>
            <w:r w:rsidR="006F26E8" w:rsidRPr="005F120D">
              <w:rPr>
                <w:rFonts w:asciiTheme="minorHAnsi" w:hAnsiTheme="minorHAnsi" w:cstheme="minorHAnsi"/>
                <w:sz w:val="16"/>
                <w:szCs w:val="16"/>
              </w:rPr>
              <w:t>National consultant (pool) individual</w:t>
            </w:r>
            <w:r w:rsidR="00CA6A6F" w:rsidRPr="005F120D">
              <w:rPr>
                <w:rFonts w:asciiTheme="minorHAnsi" w:hAnsiTheme="minorHAnsi" w:cstheme="minorHAnsi"/>
                <w:sz w:val="16"/>
                <w:szCs w:val="16"/>
              </w:rPr>
              <w:t>s</w:t>
            </w:r>
            <w:r w:rsidR="006F26E8" w:rsidRPr="005F120D">
              <w:rPr>
                <w:rFonts w:asciiTheme="minorHAnsi" w:hAnsiTheme="minorHAnsi" w:cstheme="minorHAnsi"/>
                <w:sz w:val="16"/>
                <w:szCs w:val="16"/>
              </w:rPr>
              <w:t xml:space="preserve"> - FM, procurement and IT specialist for CAS</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122 person months</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416.38</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107.28</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309.10</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14. </w:t>
            </w:r>
            <w:r w:rsidR="006F26E8" w:rsidRPr="005F120D">
              <w:rPr>
                <w:rFonts w:asciiTheme="minorHAnsi" w:hAnsiTheme="minorHAnsi" w:cstheme="minorHAnsi"/>
                <w:sz w:val="16"/>
                <w:szCs w:val="16"/>
              </w:rPr>
              <w:t>Natio</w:t>
            </w:r>
            <w:r w:rsidR="00BD4D59" w:rsidRPr="005F120D">
              <w:rPr>
                <w:rFonts w:asciiTheme="minorHAnsi" w:hAnsiTheme="minorHAnsi" w:cstheme="minorHAnsi"/>
                <w:sz w:val="16"/>
                <w:szCs w:val="16"/>
              </w:rPr>
              <w:t>nal consultant (pool) ind. - CR &amp;</w:t>
            </w:r>
            <w:r w:rsidR="006F26E8" w:rsidRPr="005F120D">
              <w:rPr>
                <w:rFonts w:asciiTheme="minorHAnsi" w:hAnsiTheme="minorHAnsi" w:cstheme="minorHAnsi"/>
                <w:sz w:val="16"/>
                <w:szCs w:val="16"/>
              </w:rPr>
              <w:t xml:space="preserve"> TED</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116 person months</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329.04</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173.09</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155.95</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19"/>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15. </w:t>
            </w:r>
            <w:r w:rsidR="006F26E8" w:rsidRPr="005F120D">
              <w:rPr>
                <w:rFonts w:asciiTheme="minorHAnsi" w:hAnsiTheme="minorHAnsi" w:cstheme="minorHAnsi"/>
                <w:sz w:val="16"/>
                <w:szCs w:val="16"/>
              </w:rPr>
              <w:t>PSO at MOPME</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375.00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Block</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250.00</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250.00</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16. </w:t>
            </w:r>
            <w:r w:rsidR="006F26E8" w:rsidRPr="005F120D">
              <w:rPr>
                <w:rFonts w:asciiTheme="minorHAnsi" w:hAnsiTheme="minorHAnsi" w:cstheme="minorHAnsi"/>
                <w:sz w:val="16"/>
                <w:szCs w:val="16"/>
              </w:rPr>
              <w:t>Prog Div Officer</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299.48</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7 persons</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231.01</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58.69</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172.32</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BD4D59"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Salary</w:t>
            </w:r>
          </w:p>
        </w:tc>
      </w:tr>
      <w:tr w:rsidR="00DB3BD6" w:rsidRPr="005F120D" w:rsidTr="000C2F70">
        <w:trPr>
          <w:trHeight w:val="192"/>
        </w:trPr>
        <w:tc>
          <w:tcPr>
            <w:tcW w:w="106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Prog Div Staff</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134.40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10 persons</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79.91</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79.91</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BD4D59"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Salary</w:t>
            </w: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17. </w:t>
            </w:r>
            <w:r w:rsidR="006F26E8" w:rsidRPr="005F120D">
              <w:rPr>
                <w:rFonts w:asciiTheme="minorHAnsi" w:hAnsiTheme="minorHAnsi" w:cstheme="minorHAnsi"/>
                <w:sz w:val="16"/>
                <w:szCs w:val="16"/>
              </w:rPr>
              <w:t>Operational Cost of PEDP3</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5 years</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8,100.00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 xml:space="preserve">Contingency cost </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12,700.00</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7,486.37</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5,213.63</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rPr>
          <w:trHeight w:val="282"/>
        </w:trPr>
        <w:tc>
          <w:tcPr>
            <w:tcW w:w="1065" w:type="pct"/>
            <w:tcBorders>
              <w:top w:val="single" w:sz="6" w:space="0" w:color="948A54" w:themeColor="background2" w:themeShade="80"/>
              <w:bottom w:val="single" w:sz="6" w:space="0" w:color="948A54" w:themeColor="background2" w:themeShade="80"/>
            </w:tcBorders>
          </w:tcPr>
          <w:p w:rsidR="006F26E8" w:rsidRPr="005F120D" w:rsidRDefault="005E73EA"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18. </w:t>
            </w:r>
            <w:r w:rsidR="006F26E8" w:rsidRPr="005F120D">
              <w:rPr>
                <w:rFonts w:asciiTheme="minorHAnsi" w:hAnsiTheme="minorHAnsi" w:cstheme="minorHAnsi"/>
                <w:sz w:val="16"/>
                <w:szCs w:val="16"/>
              </w:rPr>
              <w:t>DPE office maintenance</w:t>
            </w:r>
          </w:p>
        </w:tc>
        <w:tc>
          <w:tcPr>
            <w:tcW w:w="42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DPE HQ repair</w:t>
            </w:r>
          </w:p>
        </w:tc>
        <w:tc>
          <w:tcPr>
            <w:tcW w:w="48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215.00</w:t>
            </w:r>
          </w:p>
        </w:tc>
        <w:tc>
          <w:tcPr>
            <w:tcW w:w="39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0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39.94</w:t>
            </w:r>
          </w:p>
        </w:tc>
        <w:tc>
          <w:tcPr>
            <w:tcW w:w="58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175.06</w:t>
            </w:r>
          </w:p>
        </w:tc>
        <w:tc>
          <w:tcPr>
            <w:tcW w:w="49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DB3BD6" w:rsidRPr="005F120D" w:rsidTr="000C2F70">
        <w:tc>
          <w:tcPr>
            <w:tcW w:w="1065"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22"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c>
          <w:tcPr>
            <w:tcW w:w="480"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36,584.88</w:t>
            </w:r>
          </w:p>
        </w:tc>
        <w:tc>
          <w:tcPr>
            <w:tcW w:w="571"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c>
          <w:tcPr>
            <w:tcW w:w="488"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20,650.84</w:t>
            </w:r>
          </w:p>
        </w:tc>
        <w:tc>
          <w:tcPr>
            <w:tcW w:w="395"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bCs/>
                <w:sz w:val="16"/>
                <w:szCs w:val="16"/>
              </w:rPr>
            </w:pPr>
          </w:p>
        </w:tc>
        <w:tc>
          <w:tcPr>
            <w:tcW w:w="502" w:type="pct"/>
            <w:tcBorders>
              <w:top w:val="double" w:sz="4" w:space="0" w:color="948A54" w:themeColor="background2" w:themeShade="80"/>
            </w:tcBorders>
            <w:shd w:val="clear" w:color="auto" w:fill="EEECE1" w:themeFill="background2"/>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8,465.29 (41%)</w:t>
            </w:r>
          </w:p>
        </w:tc>
        <w:tc>
          <w:tcPr>
            <w:tcW w:w="583" w:type="pct"/>
            <w:tcBorders>
              <w:top w:val="double" w:sz="4" w:space="0" w:color="948A54" w:themeColor="background2" w:themeShade="80"/>
            </w:tcBorders>
            <w:shd w:val="clear" w:color="auto" w:fill="EEECE1" w:themeFill="background2"/>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12,185.55</w:t>
            </w:r>
          </w:p>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(59%)</w:t>
            </w:r>
          </w:p>
        </w:tc>
        <w:tc>
          <w:tcPr>
            <w:tcW w:w="494"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r>
    </w:tbl>
    <w:p w:rsidR="00981CA3" w:rsidRPr="005F120D" w:rsidRDefault="006F26E8" w:rsidP="000A5B80">
      <w:pPr>
        <w:pStyle w:val="ListParagraph"/>
        <w:numPr>
          <w:ilvl w:val="0"/>
          <w:numId w:val="88"/>
        </w:numPr>
        <w:autoSpaceDE w:val="0"/>
        <w:autoSpaceDN w:val="0"/>
        <w:adjustRightInd w:val="0"/>
        <w:spacing w:before="240"/>
        <w:jc w:val="both"/>
        <w:rPr>
          <w:rFonts w:asciiTheme="minorHAnsi" w:hAnsiTheme="minorHAnsi" w:cstheme="minorHAnsi"/>
        </w:rPr>
      </w:pPr>
      <w:r w:rsidRPr="005F120D">
        <w:rPr>
          <w:rFonts w:asciiTheme="minorHAnsi" w:hAnsiTheme="minorHAnsi" w:cstheme="minorHAnsi"/>
          <w:b/>
          <w:i/>
          <w:iCs/>
          <w:color w:val="008000"/>
        </w:rPr>
        <w:t>Sub-Component 4.2 - PEDP3 Financial Management</w:t>
      </w:r>
      <w:r w:rsidRPr="005F120D">
        <w:rPr>
          <w:rFonts w:asciiTheme="minorHAnsi" w:hAnsiTheme="minorHAnsi" w:cstheme="minorHAnsi"/>
          <w:b/>
          <w:i/>
          <w:iCs/>
          <w:color w:val="00B050"/>
        </w:rPr>
        <w:t>:</w:t>
      </w:r>
    </w:p>
    <w:p w:rsidR="006F26E8" w:rsidRPr="005F120D" w:rsidRDefault="00B03DE8" w:rsidP="000A5B80">
      <w:pPr>
        <w:autoSpaceDE w:val="0"/>
        <w:autoSpaceDN w:val="0"/>
        <w:adjustRightInd w:val="0"/>
        <w:spacing w:before="240"/>
        <w:jc w:val="both"/>
        <w:rPr>
          <w:rFonts w:asciiTheme="minorHAnsi" w:hAnsiTheme="minorHAnsi" w:cstheme="minorHAnsi"/>
        </w:rPr>
      </w:pPr>
      <w:r w:rsidRPr="005F120D">
        <w:rPr>
          <w:rFonts w:asciiTheme="minorHAnsi" w:hAnsiTheme="minorHAnsi" w:cstheme="minorHAnsi"/>
          <w:iCs/>
        </w:rPr>
        <w:t xml:space="preserve">The </w:t>
      </w:r>
      <w:r w:rsidR="009131D9" w:rsidRPr="005F120D">
        <w:rPr>
          <w:rFonts w:asciiTheme="minorHAnsi" w:hAnsiTheme="minorHAnsi" w:cstheme="minorHAnsi"/>
        </w:rPr>
        <w:t>PEDP</w:t>
      </w:r>
      <w:r w:rsidR="00A14DD4" w:rsidRPr="005F120D">
        <w:rPr>
          <w:rFonts w:asciiTheme="minorHAnsi" w:hAnsiTheme="minorHAnsi" w:cstheme="minorHAnsi"/>
        </w:rPr>
        <w:t>’s financial management and fiduciary o</w:t>
      </w:r>
      <w:r w:rsidR="009131D9" w:rsidRPr="005F120D">
        <w:rPr>
          <w:rFonts w:asciiTheme="minorHAnsi" w:hAnsiTheme="minorHAnsi" w:cstheme="minorHAnsi"/>
        </w:rPr>
        <w:t xml:space="preserve">versight </w:t>
      </w:r>
      <w:r w:rsidR="00A65030" w:rsidRPr="005F120D">
        <w:rPr>
          <w:rFonts w:asciiTheme="minorHAnsi" w:hAnsiTheme="minorHAnsi" w:cstheme="minorHAnsi"/>
        </w:rPr>
        <w:t>are</w:t>
      </w:r>
      <w:r w:rsidRPr="005F120D">
        <w:rPr>
          <w:rFonts w:asciiTheme="minorHAnsi" w:hAnsiTheme="minorHAnsi" w:cstheme="minorHAnsi"/>
        </w:rPr>
        <w:t xml:space="preserve"> strengthened </w:t>
      </w:r>
      <w:r w:rsidR="00A14DD4" w:rsidRPr="005F120D">
        <w:rPr>
          <w:rFonts w:asciiTheme="minorHAnsi" w:hAnsiTheme="minorHAnsi" w:cstheme="minorHAnsi"/>
        </w:rPr>
        <w:t>through the i</w:t>
      </w:r>
      <w:r w:rsidR="007D75C1" w:rsidRPr="005F120D">
        <w:rPr>
          <w:rFonts w:asciiTheme="minorHAnsi" w:hAnsiTheme="minorHAnsi" w:cstheme="minorHAnsi"/>
        </w:rPr>
        <w:t>mplementat</w:t>
      </w:r>
      <w:r w:rsidR="00A14DD4" w:rsidRPr="005F120D">
        <w:rPr>
          <w:rFonts w:asciiTheme="minorHAnsi" w:hAnsiTheme="minorHAnsi" w:cstheme="minorHAnsi"/>
        </w:rPr>
        <w:t>ion of a procurement and financial m</w:t>
      </w:r>
      <w:r w:rsidR="007D75C1" w:rsidRPr="005F120D">
        <w:rPr>
          <w:rFonts w:asciiTheme="minorHAnsi" w:hAnsiTheme="minorHAnsi" w:cstheme="minorHAnsi"/>
        </w:rPr>
        <w:t xml:space="preserve">anagement Action Plan. </w:t>
      </w:r>
      <w:r w:rsidR="007D75C1" w:rsidRPr="005F120D">
        <w:rPr>
          <w:rFonts w:asciiTheme="minorHAnsi" w:hAnsiTheme="minorHAnsi" w:cstheme="minorHAnsi"/>
          <w:bCs/>
        </w:rPr>
        <w:t xml:space="preserve">The total original cost as per DPP was Tk. 493.36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431.58 </w:t>
      </w:r>
      <w:r w:rsidR="00F738CE" w:rsidRPr="005F120D">
        <w:rPr>
          <w:rFonts w:asciiTheme="minorHAnsi" w:hAnsiTheme="minorHAnsi" w:cstheme="minorHAnsi"/>
          <w:bCs/>
        </w:rPr>
        <w:t>Lac</w:t>
      </w:r>
      <w:r w:rsidR="00BD4D59" w:rsidRPr="005F120D">
        <w:rPr>
          <w:rFonts w:asciiTheme="minorHAnsi" w:hAnsiTheme="minorHAnsi" w:cstheme="minorHAnsi"/>
          <w:bCs/>
        </w:rPr>
        <w:t>.</w:t>
      </w:r>
    </w:p>
    <w:p w:rsidR="006F26E8" w:rsidRPr="005F120D" w:rsidRDefault="006F26E8" w:rsidP="000A5B80">
      <w:pPr>
        <w:pStyle w:val="Caption"/>
        <w:rPr>
          <w:rFonts w:cstheme="minorHAnsi"/>
        </w:rPr>
      </w:pPr>
      <w:bookmarkStart w:id="101" w:name="_Toc462837252"/>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30</w:t>
      </w:r>
      <w:r w:rsidR="002E2ED5" w:rsidRPr="005F120D">
        <w:rPr>
          <w:rFonts w:cstheme="minorHAnsi"/>
        </w:rPr>
        <w:fldChar w:fldCharType="end"/>
      </w:r>
      <w:r w:rsidRPr="005F120D">
        <w:rPr>
          <w:rFonts w:cstheme="minorHAnsi"/>
        </w:rPr>
        <w:t>: PEDP3 Financial Management</w:t>
      </w:r>
      <w:r w:rsidR="00D02007" w:rsidRPr="005F120D">
        <w:rPr>
          <w:rFonts w:cstheme="minorHAnsi"/>
        </w:rPr>
        <w:t>:</w:t>
      </w:r>
      <w:r w:rsidR="00112A70" w:rsidRPr="005F120D">
        <w:rPr>
          <w:rFonts w:cstheme="minorHAnsi"/>
        </w:rPr>
        <w:t xml:space="preserve"> Cost and Expenditure as of June 2015</w:t>
      </w:r>
      <w:bookmarkEnd w:id="101"/>
    </w:p>
    <w:p w:rsidR="006F26E8" w:rsidRPr="005F120D" w:rsidRDefault="006F26E8" w:rsidP="000A5B80">
      <w:pPr>
        <w:pStyle w:val="ListParagraph"/>
        <w:numPr>
          <w:ilvl w:val="0"/>
          <w:numId w:val="0"/>
        </w:numPr>
        <w:spacing w:after="0"/>
        <w:ind w:left="756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4A0"/>
      </w:tblPr>
      <w:tblGrid>
        <w:gridCol w:w="1686"/>
        <w:gridCol w:w="865"/>
        <w:gridCol w:w="930"/>
        <w:gridCol w:w="854"/>
        <w:gridCol w:w="948"/>
        <w:gridCol w:w="904"/>
        <w:gridCol w:w="1054"/>
        <w:gridCol w:w="1203"/>
        <w:gridCol w:w="799"/>
      </w:tblGrid>
      <w:tr w:rsidR="006F26E8" w:rsidRPr="005F120D" w:rsidTr="000C2F70">
        <w:trPr>
          <w:tblHeader/>
        </w:trPr>
        <w:tc>
          <w:tcPr>
            <w:tcW w:w="912"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71" w:type="pct"/>
            <w:gridSpan w:val="2"/>
            <w:shd w:val="clear" w:color="auto" w:fill="DDD9C3" w:themeFill="background2" w:themeFillShade="E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975" w:type="pct"/>
            <w:gridSpan w:val="2"/>
            <w:shd w:val="clear" w:color="auto" w:fill="DDD9C3" w:themeFill="background2" w:themeFillShade="E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1059" w:type="pct"/>
            <w:gridSpan w:val="2"/>
            <w:shd w:val="clear" w:color="auto" w:fill="DDD9C3" w:themeFill="background2" w:themeFillShade="E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51"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33"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0C2F70">
        <w:trPr>
          <w:tblHeader/>
        </w:trPr>
        <w:tc>
          <w:tcPr>
            <w:tcW w:w="912"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68"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03"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62"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13"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89"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70"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51"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33"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12" w:type="pct"/>
            <w:tcBorders>
              <w:top w:val="double" w:sz="4" w:space="0" w:color="948A54" w:themeColor="background2" w:themeShade="80"/>
              <w:bottom w:val="single" w:sz="6" w:space="0" w:color="948A54" w:themeColor="background2" w:themeShade="80"/>
            </w:tcBorders>
          </w:tcPr>
          <w:p w:rsidR="006F26E8" w:rsidRPr="005F120D" w:rsidRDefault="00BD4D59" w:rsidP="000A5B80">
            <w:pPr>
              <w:spacing w:after="0"/>
              <w:rPr>
                <w:rFonts w:asciiTheme="minorHAnsi" w:hAnsiTheme="minorHAnsi" w:cstheme="minorHAnsi"/>
                <w:sz w:val="16"/>
                <w:szCs w:val="16"/>
              </w:rPr>
            </w:pPr>
            <w:r w:rsidRPr="005F120D">
              <w:rPr>
                <w:rFonts w:asciiTheme="minorHAnsi" w:hAnsiTheme="minorHAnsi" w:cstheme="minorHAnsi"/>
                <w:sz w:val="16"/>
                <w:szCs w:val="16"/>
              </w:rPr>
              <w:t>Dev.</w:t>
            </w:r>
            <w:r w:rsidR="006F26E8" w:rsidRPr="005F120D">
              <w:rPr>
                <w:rFonts w:asciiTheme="minorHAnsi" w:hAnsiTheme="minorHAnsi" w:cstheme="minorHAnsi"/>
                <w:sz w:val="16"/>
                <w:szCs w:val="16"/>
              </w:rPr>
              <w:t xml:space="preserve"> computerized accounting system  </w:t>
            </w:r>
          </w:p>
        </w:tc>
        <w:tc>
          <w:tcPr>
            <w:tcW w:w="468"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Block</w:t>
            </w:r>
          </w:p>
        </w:tc>
        <w:tc>
          <w:tcPr>
            <w:tcW w:w="503"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150.00</w:t>
            </w:r>
          </w:p>
        </w:tc>
        <w:tc>
          <w:tcPr>
            <w:tcW w:w="462"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90.00</w:t>
            </w:r>
          </w:p>
        </w:tc>
        <w:tc>
          <w:tcPr>
            <w:tcW w:w="489"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70"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51"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90.00</w:t>
            </w:r>
          </w:p>
        </w:tc>
        <w:tc>
          <w:tcPr>
            <w:tcW w:w="433"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1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Server and computer for IBAS terminal</w:t>
            </w:r>
          </w:p>
        </w:tc>
        <w:tc>
          <w:tcPr>
            <w:tcW w:w="46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Block</w:t>
            </w:r>
          </w:p>
        </w:tc>
        <w:tc>
          <w:tcPr>
            <w:tcW w:w="50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25.00</w:t>
            </w:r>
          </w:p>
        </w:tc>
        <w:tc>
          <w:tcPr>
            <w:tcW w:w="46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8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7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6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1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Training on  financial management</w:t>
            </w:r>
          </w:p>
        </w:tc>
        <w:tc>
          <w:tcPr>
            <w:tcW w:w="46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4548 person</w:t>
            </w:r>
          </w:p>
        </w:tc>
        <w:tc>
          <w:tcPr>
            <w:tcW w:w="50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318.36</w:t>
            </w:r>
          </w:p>
        </w:tc>
        <w:tc>
          <w:tcPr>
            <w:tcW w:w="46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1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341.58</w:t>
            </w:r>
          </w:p>
        </w:tc>
        <w:tc>
          <w:tcPr>
            <w:tcW w:w="48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7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135.76</w:t>
            </w:r>
          </w:p>
        </w:tc>
        <w:tc>
          <w:tcPr>
            <w:tcW w:w="6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205.82</w:t>
            </w:r>
          </w:p>
        </w:tc>
        <w:tc>
          <w:tcPr>
            <w:tcW w:w="4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912"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68"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c>
          <w:tcPr>
            <w:tcW w:w="503"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493.36</w:t>
            </w:r>
          </w:p>
        </w:tc>
        <w:tc>
          <w:tcPr>
            <w:tcW w:w="462"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c>
          <w:tcPr>
            <w:tcW w:w="513"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431.58</w:t>
            </w:r>
          </w:p>
        </w:tc>
        <w:tc>
          <w:tcPr>
            <w:tcW w:w="489"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bCs/>
                <w:sz w:val="16"/>
                <w:szCs w:val="16"/>
              </w:rPr>
            </w:pPr>
          </w:p>
        </w:tc>
        <w:tc>
          <w:tcPr>
            <w:tcW w:w="570"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135.76 (31.5%)</w:t>
            </w:r>
          </w:p>
        </w:tc>
        <w:tc>
          <w:tcPr>
            <w:tcW w:w="651"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295.82 (68.5%)</w:t>
            </w:r>
          </w:p>
        </w:tc>
        <w:tc>
          <w:tcPr>
            <w:tcW w:w="433"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r>
    </w:tbl>
    <w:p w:rsidR="00A65030" w:rsidRPr="005F120D" w:rsidRDefault="00A65030" w:rsidP="00A65030">
      <w:pPr>
        <w:pStyle w:val="ListParagraph"/>
        <w:numPr>
          <w:ilvl w:val="0"/>
          <w:numId w:val="0"/>
        </w:numPr>
        <w:autoSpaceDE w:val="0"/>
        <w:autoSpaceDN w:val="0"/>
        <w:adjustRightInd w:val="0"/>
        <w:spacing w:before="120" w:after="120"/>
        <w:ind w:left="360"/>
        <w:jc w:val="both"/>
        <w:rPr>
          <w:rFonts w:asciiTheme="minorHAnsi" w:hAnsiTheme="minorHAnsi" w:cstheme="minorHAnsi"/>
        </w:rPr>
      </w:pPr>
    </w:p>
    <w:p w:rsidR="00A65030" w:rsidRPr="005F120D" w:rsidRDefault="00A65030" w:rsidP="00A65030">
      <w:pPr>
        <w:pStyle w:val="ListParagraph"/>
        <w:numPr>
          <w:ilvl w:val="0"/>
          <w:numId w:val="0"/>
        </w:numPr>
        <w:autoSpaceDE w:val="0"/>
        <w:autoSpaceDN w:val="0"/>
        <w:adjustRightInd w:val="0"/>
        <w:spacing w:before="120" w:after="120"/>
        <w:ind w:left="360"/>
        <w:jc w:val="both"/>
        <w:rPr>
          <w:rFonts w:asciiTheme="minorHAnsi" w:hAnsiTheme="minorHAnsi" w:cstheme="minorHAnsi"/>
        </w:rPr>
      </w:pPr>
    </w:p>
    <w:p w:rsidR="00981CA3" w:rsidRPr="005F120D" w:rsidRDefault="006F26E8" w:rsidP="000A5B80">
      <w:pPr>
        <w:pStyle w:val="ListParagraph"/>
        <w:numPr>
          <w:ilvl w:val="0"/>
          <w:numId w:val="88"/>
        </w:num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b/>
          <w:i/>
          <w:iCs/>
          <w:color w:val="008000"/>
        </w:rPr>
        <w:t>Sub-Component 4.3 - Sector Finance:</w:t>
      </w:r>
    </w:p>
    <w:p w:rsidR="006F26E8" w:rsidRPr="005F120D" w:rsidRDefault="00494B26" w:rsidP="000A5B80">
      <w:p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iCs/>
        </w:rPr>
        <w:t>It is important to e</w:t>
      </w:r>
      <w:r w:rsidR="007D75C1" w:rsidRPr="005F120D">
        <w:rPr>
          <w:rFonts w:asciiTheme="minorHAnsi" w:hAnsiTheme="minorHAnsi" w:cstheme="minorHAnsi"/>
        </w:rPr>
        <w:t xml:space="preserve">nsure that </w:t>
      </w:r>
      <w:r w:rsidRPr="005F120D">
        <w:rPr>
          <w:rFonts w:asciiTheme="minorHAnsi" w:hAnsiTheme="minorHAnsi" w:cstheme="minorHAnsi"/>
        </w:rPr>
        <w:t>appropriate financing is a</w:t>
      </w:r>
      <w:r w:rsidR="007D75C1" w:rsidRPr="005F120D">
        <w:rPr>
          <w:rFonts w:asciiTheme="minorHAnsi" w:hAnsiTheme="minorHAnsi" w:cstheme="minorHAnsi"/>
        </w:rPr>
        <w:t xml:space="preserve">vailable to MoPME for </w:t>
      </w:r>
      <w:r w:rsidRPr="005F120D">
        <w:rPr>
          <w:rFonts w:asciiTheme="minorHAnsi" w:hAnsiTheme="minorHAnsi" w:cstheme="minorHAnsi"/>
        </w:rPr>
        <w:t>i</w:t>
      </w:r>
      <w:r w:rsidR="009131D9" w:rsidRPr="005F120D">
        <w:rPr>
          <w:rFonts w:asciiTheme="minorHAnsi" w:hAnsiTheme="minorHAnsi" w:cstheme="minorHAnsi"/>
        </w:rPr>
        <w:t>mplement</w:t>
      </w:r>
      <w:r w:rsidRPr="005F120D">
        <w:rPr>
          <w:rFonts w:asciiTheme="minorHAnsi" w:hAnsiTheme="minorHAnsi" w:cstheme="minorHAnsi"/>
        </w:rPr>
        <w:t>ation of all Primary Education p</w:t>
      </w:r>
      <w:r w:rsidR="007D75C1" w:rsidRPr="005F120D">
        <w:rPr>
          <w:rFonts w:asciiTheme="minorHAnsi" w:hAnsiTheme="minorHAnsi" w:cstheme="minorHAnsi"/>
        </w:rPr>
        <w:t xml:space="preserve">rograms and </w:t>
      </w:r>
      <w:r w:rsidRPr="005F120D">
        <w:rPr>
          <w:rFonts w:asciiTheme="minorHAnsi" w:hAnsiTheme="minorHAnsi" w:cstheme="minorHAnsi"/>
        </w:rPr>
        <w:t>a</w:t>
      </w:r>
      <w:r w:rsidR="007D75C1" w:rsidRPr="005F120D">
        <w:rPr>
          <w:rFonts w:asciiTheme="minorHAnsi" w:hAnsiTheme="minorHAnsi" w:cstheme="minorHAnsi"/>
        </w:rPr>
        <w:t>ctiv</w:t>
      </w:r>
      <w:r w:rsidRPr="005F120D">
        <w:rPr>
          <w:rFonts w:asciiTheme="minorHAnsi" w:hAnsiTheme="minorHAnsi" w:cstheme="minorHAnsi"/>
        </w:rPr>
        <w:t>ities, including PEDP3 and all discreet p</w:t>
      </w:r>
      <w:r w:rsidR="007D75C1" w:rsidRPr="005F120D">
        <w:rPr>
          <w:rFonts w:asciiTheme="minorHAnsi" w:hAnsiTheme="minorHAnsi" w:cstheme="minorHAnsi"/>
        </w:rPr>
        <w:t xml:space="preserve">rojects. </w:t>
      </w:r>
      <w:r w:rsidR="007D75C1" w:rsidRPr="005F120D">
        <w:rPr>
          <w:rFonts w:asciiTheme="minorHAnsi" w:hAnsiTheme="minorHAnsi" w:cstheme="minorHAnsi"/>
          <w:bCs/>
        </w:rPr>
        <w:t xml:space="preserve">The total original cost as per DPP was 0.00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0.00 </w:t>
      </w:r>
      <w:r w:rsidR="00F738CE" w:rsidRPr="005F120D">
        <w:rPr>
          <w:rFonts w:asciiTheme="minorHAnsi" w:hAnsiTheme="minorHAnsi" w:cstheme="minorHAnsi"/>
          <w:bCs/>
        </w:rPr>
        <w:t>Lac</w:t>
      </w:r>
      <w:r w:rsidR="00BD4D59" w:rsidRPr="005F120D">
        <w:rPr>
          <w:rFonts w:asciiTheme="minorHAnsi" w:hAnsiTheme="minorHAnsi" w:cstheme="minorHAnsi"/>
          <w:bCs/>
        </w:rPr>
        <w:t>.</w:t>
      </w:r>
    </w:p>
    <w:p w:rsidR="006F26E8" w:rsidRPr="005F120D" w:rsidRDefault="006F26E8" w:rsidP="000A5B80">
      <w:pPr>
        <w:pStyle w:val="Caption"/>
        <w:rPr>
          <w:rFonts w:cstheme="minorHAnsi"/>
        </w:rPr>
      </w:pPr>
      <w:bookmarkStart w:id="102" w:name="_Toc462837253"/>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31</w:t>
      </w:r>
      <w:r w:rsidR="002E2ED5" w:rsidRPr="005F120D">
        <w:rPr>
          <w:rFonts w:cstheme="minorHAnsi"/>
        </w:rPr>
        <w:fldChar w:fldCharType="end"/>
      </w:r>
      <w:r w:rsidRPr="005F120D">
        <w:rPr>
          <w:rFonts w:cstheme="minorHAnsi"/>
        </w:rPr>
        <w:t>: Sector Finance</w:t>
      </w:r>
      <w:r w:rsidR="001B3F22" w:rsidRPr="005F120D">
        <w:rPr>
          <w:rFonts w:cstheme="minorHAnsi"/>
        </w:rPr>
        <w:t>:</w:t>
      </w:r>
      <w:r w:rsidR="00112A70" w:rsidRPr="005F120D">
        <w:rPr>
          <w:rFonts w:cstheme="minorHAnsi"/>
        </w:rPr>
        <w:t xml:space="preserve"> Cost and Expenditure as of June 2015</w:t>
      </w:r>
      <w:bookmarkEnd w:id="102"/>
    </w:p>
    <w:p w:rsidR="006F26E8" w:rsidRPr="005F120D" w:rsidRDefault="006F26E8" w:rsidP="000A5B80">
      <w:pPr>
        <w:pStyle w:val="ListParagraph"/>
        <w:numPr>
          <w:ilvl w:val="0"/>
          <w:numId w:val="0"/>
        </w:numPr>
        <w:spacing w:after="0"/>
        <w:ind w:left="756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4978"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4A0"/>
      </w:tblPr>
      <w:tblGrid>
        <w:gridCol w:w="1712"/>
        <w:gridCol w:w="825"/>
        <w:gridCol w:w="812"/>
        <w:gridCol w:w="791"/>
        <w:gridCol w:w="959"/>
        <w:gridCol w:w="915"/>
        <w:gridCol w:w="1067"/>
        <w:gridCol w:w="1342"/>
        <w:gridCol w:w="779"/>
      </w:tblGrid>
      <w:tr w:rsidR="006F26E8" w:rsidRPr="005F120D" w:rsidTr="00BD4D59">
        <w:trPr>
          <w:tblHeader/>
        </w:trPr>
        <w:tc>
          <w:tcPr>
            <w:tcW w:w="931"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90" w:type="pct"/>
            <w:gridSpan w:val="2"/>
            <w:shd w:val="clear" w:color="auto" w:fill="DDD9C3" w:themeFill="background2" w:themeFillShade="E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951" w:type="pct"/>
            <w:gridSpan w:val="2"/>
            <w:shd w:val="clear" w:color="auto" w:fill="DDD9C3" w:themeFill="background2" w:themeFillShade="E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1076" w:type="pct"/>
            <w:gridSpan w:val="2"/>
            <w:shd w:val="clear" w:color="auto" w:fill="DDD9C3" w:themeFill="background2" w:themeFillShade="E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729"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23"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BD4D59">
        <w:trPr>
          <w:tblHeader/>
        </w:trPr>
        <w:tc>
          <w:tcPr>
            <w:tcW w:w="931"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49"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41"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30"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21"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97"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580"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729"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23"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BD4D59">
        <w:trPr>
          <w:trHeight w:val="282"/>
        </w:trPr>
        <w:tc>
          <w:tcPr>
            <w:tcW w:w="931"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Study</w:t>
            </w:r>
          </w:p>
        </w:tc>
        <w:tc>
          <w:tcPr>
            <w:tcW w:w="449"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w:t>
            </w:r>
          </w:p>
        </w:tc>
        <w:tc>
          <w:tcPr>
            <w:tcW w:w="441"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30"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21"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97"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80"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729"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23"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BD4D59">
        <w:trPr>
          <w:trHeight w:val="282"/>
        </w:trPr>
        <w:tc>
          <w:tcPr>
            <w:tcW w:w="931" w:type="pct"/>
            <w:tcBorders>
              <w:top w:val="single" w:sz="6" w:space="0" w:color="948A54" w:themeColor="background2" w:themeShade="80"/>
              <w:bottom w:val="single" w:sz="6" w:space="0" w:color="948A54" w:themeColor="background2" w:themeShade="80"/>
            </w:tcBorders>
          </w:tcPr>
          <w:p w:rsidR="006F26E8" w:rsidRPr="005F120D" w:rsidRDefault="00BD4D59" w:rsidP="000A5B80">
            <w:pPr>
              <w:spacing w:after="0"/>
              <w:rPr>
                <w:rFonts w:asciiTheme="minorHAnsi" w:hAnsiTheme="minorHAnsi" w:cstheme="minorHAnsi"/>
                <w:sz w:val="16"/>
                <w:szCs w:val="16"/>
              </w:rPr>
            </w:pPr>
            <w:r w:rsidRPr="005F120D">
              <w:rPr>
                <w:rFonts w:asciiTheme="minorHAnsi" w:hAnsiTheme="minorHAnsi" w:cstheme="minorHAnsi"/>
                <w:sz w:val="16"/>
                <w:szCs w:val="16"/>
              </w:rPr>
              <w:t>Workshop</w:t>
            </w:r>
            <w:r w:rsidR="006F4774" w:rsidRPr="005F120D">
              <w:rPr>
                <w:rFonts w:asciiTheme="minorHAnsi" w:hAnsiTheme="minorHAnsi" w:cstheme="minorHAnsi"/>
                <w:sz w:val="16"/>
                <w:szCs w:val="16"/>
              </w:rPr>
              <w:t>s</w:t>
            </w:r>
            <w:r w:rsidRPr="005F120D">
              <w:rPr>
                <w:rFonts w:asciiTheme="minorHAnsi" w:hAnsiTheme="minorHAnsi" w:cstheme="minorHAnsi"/>
                <w:sz w:val="16"/>
                <w:szCs w:val="16"/>
              </w:rPr>
              <w:t>&amp;</w:t>
            </w:r>
            <w:r w:rsidR="006F26E8" w:rsidRPr="005F120D">
              <w:rPr>
                <w:rFonts w:asciiTheme="minorHAnsi" w:hAnsiTheme="minorHAnsi" w:cstheme="minorHAnsi"/>
                <w:sz w:val="16"/>
                <w:szCs w:val="16"/>
              </w:rPr>
              <w:t xml:space="preserve"> seminar</w:t>
            </w:r>
            <w:r w:rsidR="006F4774" w:rsidRPr="005F120D">
              <w:rPr>
                <w:rFonts w:asciiTheme="minorHAnsi" w:hAnsiTheme="minorHAnsi" w:cstheme="minorHAnsi"/>
                <w:sz w:val="16"/>
                <w:szCs w:val="16"/>
              </w:rPr>
              <w:t>s</w:t>
            </w:r>
          </w:p>
        </w:tc>
        <w:tc>
          <w:tcPr>
            <w:tcW w:w="44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250</w:t>
            </w:r>
          </w:p>
        </w:tc>
        <w:tc>
          <w:tcPr>
            <w:tcW w:w="44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3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2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9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8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72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2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BD4D59">
        <w:tc>
          <w:tcPr>
            <w:tcW w:w="931"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49"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c>
          <w:tcPr>
            <w:tcW w:w="441"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0.00</w:t>
            </w:r>
          </w:p>
        </w:tc>
        <w:tc>
          <w:tcPr>
            <w:tcW w:w="430"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c>
          <w:tcPr>
            <w:tcW w:w="521"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0.00</w:t>
            </w:r>
          </w:p>
        </w:tc>
        <w:tc>
          <w:tcPr>
            <w:tcW w:w="497"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bCs/>
                <w:sz w:val="16"/>
                <w:szCs w:val="16"/>
              </w:rPr>
            </w:pPr>
          </w:p>
        </w:tc>
        <w:tc>
          <w:tcPr>
            <w:tcW w:w="580"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0.00</w:t>
            </w:r>
          </w:p>
        </w:tc>
        <w:tc>
          <w:tcPr>
            <w:tcW w:w="729"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c>
          <w:tcPr>
            <w:tcW w:w="423"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r>
    </w:tbl>
    <w:p w:rsidR="00981CA3" w:rsidRPr="005F120D" w:rsidRDefault="006F26E8" w:rsidP="000A5B80">
      <w:pPr>
        <w:pStyle w:val="ListParagraph"/>
        <w:numPr>
          <w:ilvl w:val="0"/>
          <w:numId w:val="88"/>
        </w:numPr>
        <w:autoSpaceDE w:val="0"/>
        <w:autoSpaceDN w:val="0"/>
        <w:adjustRightInd w:val="0"/>
        <w:spacing w:before="240" w:after="240"/>
        <w:jc w:val="both"/>
        <w:rPr>
          <w:rFonts w:asciiTheme="minorHAnsi" w:hAnsiTheme="minorHAnsi" w:cstheme="minorHAnsi"/>
        </w:rPr>
      </w:pPr>
      <w:r w:rsidRPr="005F120D">
        <w:rPr>
          <w:rFonts w:asciiTheme="minorHAnsi" w:hAnsiTheme="minorHAnsi" w:cstheme="minorHAnsi"/>
          <w:b/>
          <w:i/>
          <w:iCs/>
          <w:color w:val="008000"/>
        </w:rPr>
        <w:t>Sub-Component 4.4 - Strengthening Monitoring Functions:</w:t>
      </w:r>
    </w:p>
    <w:p w:rsidR="006F26E8" w:rsidRPr="005F120D" w:rsidRDefault="00A558E5" w:rsidP="000A5B80">
      <w:pPr>
        <w:autoSpaceDE w:val="0"/>
        <w:autoSpaceDN w:val="0"/>
        <w:adjustRightInd w:val="0"/>
        <w:spacing w:before="240"/>
        <w:jc w:val="both"/>
        <w:rPr>
          <w:rFonts w:asciiTheme="minorHAnsi" w:hAnsiTheme="minorHAnsi" w:cstheme="minorHAnsi"/>
        </w:rPr>
      </w:pPr>
      <w:r w:rsidRPr="005F120D">
        <w:rPr>
          <w:rFonts w:asciiTheme="minorHAnsi" w:hAnsiTheme="minorHAnsi" w:cstheme="minorHAnsi"/>
          <w:szCs w:val="22"/>
        </w:rPr>
        <w:t>Evidence based planning and</w:t>
      </w:r>
      <w:r w:rsidR="00A14DD4" w:rsidRPr="005F120D">
        <w:rPr>
          <w:rFonts w:asciiTheme="minorHAnsi" w:hAnsiTheme="minorHAnsi" w:cstheme="minorHAnsi"/>
          <w:szCs w:val="22"/>
        </w:rPr>
        <w:t xml:space="preserve"> results based management </w:t>
      </w:r>
      <w:r w:rsidR="00E339CE" w:rsidRPr="005F120D">
        <w:rPr>
          <w:rFonts w:asciiTheme="minorHAnsi" w:hAnsiTheme="minorHAnsi" w:cstheme="minorHAnsi"/>
          <w:szCs w:val="22"/>
        </w:rPr>
        <w:t>relies</w:t>
      </w:r>
      <w:r w:rsidRPr="005F120D">
        <w:rPr>
          <w:rFonts w:asciiTheme="minorHAnsi" w:hAnsiTheme="minorHAnsi" w:cstheme="minorHAnsi"/>
          <w:szCs w:val="22"/>
        </w:rPr>
        <w:t xml:space="preserve"> on a strong monitoring system</w:t>
      </w:r>
      <w:r w:rsidR="00A14DD4" w:rsidRPr="005F120D">
        <w:rPr>
          <w:rFonts w:asciiTheme="minorHAnsi" w:hAnsiTheme="minorHAnsi" w:cstheme="minorHAnsi"/>
          <w:szCs w:val="22"/>
        </w:rPr>
        <w:t xml:space="preserve"> using</w:t>
      </w:r>
      <w:r w:rsidRPr="005F120D">
        <w:rPr>
          <w:rFonts w:asciiTheme="minorHAnsi" w:hAnsiTheme="minorHAnsi" w:cstheme="minorHAnsi"/>
          <w:szCs w:val="22"/>
        </w:rPr>
        <w:t xml:space="preserve"> the RBM </w:t>
      </w:r>
      <w:r w:rsidR="003F16F0" w:rsidRPr="005F120D">
        <w:rPr>
          <w:rFonts w:asciiTheme="minorHAnsi" w:hAnsiTheme="minorHAnsi" w:cstheme="minorHAnsi"/>
          <w:szCs w:val="22"/>
        </w:rPr>
        <w:t>approach. The</w:t>
      </w:r>
      <w:r w:rsidRPr="005F120D">
        <w:rPr>
          <w:rFonts w:asciiTheme="minorHAnsi" w:hAnsiTheme="minorHAnsi" w:cstheme="minorHAnsi"/>
          <w:szCs w:val="22"/>
        </w:rPr>
        <w:t xml:space="preserve"> M&amp;E Division is responsible for quality assurance of this sub-component. </w:t>
      </w:r>
      <w:r w:rsidRPr="005F120D">
        <w:rPr>
          <w:rFonts w:asciiTheme="minorHAnsi" w:hAnsiTheme="minorHAnsi" w:cstheme="minorHAnsi"/>
          <w:iCs/>
        </w:rPr>
        <w:t>This includes strengthening</w:t>
      </w:r>
      <w:r w:rsidR="00494B26" w:rsidRPr="005F120D">
        <w:rPr>
          <w:rFonts w:asciiTheme="minorHAnsi" w:hAnsiTheme="minorHAnsi" w:cstheme="minorHAnsi"/>
        </w:rPr>
        <w:t xml:space="preserve"> the u</w:t>
      </w:r>
      <w:r w:rsidRPr="005F120D">
        <w:rPr>
          <w:rFonts w:asciiTheme="minorHAnsi" w:hAnsiTheme="minorHAnsi" w:cstheme="minorHAnsi"/>
        </w:rPr>
        <w:t>tilization of the RBM a</w:t>
      </w:r>
      <w:r w:rsidR="007D75C1" w:rsidRPr="005F120D">
        <w:rPr>
          <w:rFonts w:asciiTheme="minorHAnsi" w:hAnsiTheme="minorHAnsi" w:cstheme="minorHAnsi"/>
        </w:rPr>
        <w:t xml:space="preserve">pproach at all </w:t>
      </w:r>
      <w:r w:rsidR="00494B26" w:rsidRPr="005F120D">
        <w:rPr>
          <w:rFonts w:asciiTheme="minorHAnsi" w:hAnsiTheme="minorHAnsi" w:cstheme="minorHAnsi"/>
        </w:rPr>
        <w:t>levels of the p</w:t>
      </w:r>
      <w:r w:rsidR="006F4774" w:rsidRPr="005F120D">
        <w:rPr>
          <w:rFonts w:asciiTheme="minorHAnsi" w:hAnsiTheme="minorHAnsi" w:cstheme="minorHAnsi"/>
        </w:rPr>
        <w:t xml:space="preserve">rimary </w:t>
      </w:r>
      <w:r w:rsidR="00494B26" w:rsidRPr="005F120D">
        <w:rPr>
          <w:rFonts w:asciiTheme="minorHAnsi" w:hAnsiTheme="minorHAnsi" w:cstheme="minorHAnsi"/>
        </w:rPr>
        <w:t>education system, including SLIP, UPEP and school inspection.  The total original cost as per DP</w:t>
      </w:r>
      <w:r w:rsidR="007D75C1" w:rsidRPr="005F120D">
        <w:rPr>
          <w:rFonts w:asciiTheme="minorHAnsi" w:hAnsiTheme="minorHAnsi" w:cstheme="minorHAnsi"/>
          <w:bCs/>
        </w:rPr>
        <w:t xml:space="preserve">P was Tk. 5,800.00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1,369.19 </w:t>
      </w:r>
      <w:r w:rsidR="00F738CE" w:rsidRPr="005F120D">
        <w:rPr>
          <w:rFonts w:asciiTheme="minorHAnsi" w:hAnsiTheme="minorHAnsi" w:cstheme="minorHAnsi"/>
          <w:bCs/>
        </w:rPr>
        <w:t>Lac</w:t>
      </w:r>
      <w:r w:rsidR="001B3F22" w:rsidRPr="005F120D">
        <w:rPr>
          <w:rFonts w:asciiTheme="minorHAnsi" w:hAnsiTheme="minorHAnsi" w:cstheme="minorHAnsi"/>
          <w:bCs/>
        </w:rPr>
        <w:t>.</w:t>
      </w:r>
    </w:p>
    <w:p w:rsidR="006F26E8" w:rsidRPr="005F120D" w:rsidRDefault="006F26E8" w:rsidP="000A5B80">
      <w:pPr>
        <w:pStyle w:val="Caption"/>
        <w:rPr>
          <w:rFonts w:cstheme="minorHAnsi"/>
        </w:rPr>
      </w:pPr>
      <w:bookmarkStart w:id="103" w:name="_Toc462837254"/>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32</w:t>
      </w:r>
      <w:r w:rsidR="002E2ED5" w:rsidRPr="005F120D">
        <w:rPr>
          <w:rFonts w:cstheme="minorHAnsi"/>
        </w:rPr>
        <w:fldChar w:fldCharType="end"/>
      </w:r>
      <w:r w:rsidRPr="005F120D">
        <w:rPr>
          <w:rFonts w:cstheme="minorHAnsi"/>
        </w:rPr>
        <w:t>: Strengthening Monitoring Functions</w:t>
      </w:r>
      <w:r w:rsidR="00EA713F" w:rsidRPr="005F120D">
        <w:rPr>
          <w:rFonts w:cstheme="minorHAnsi"/>
        </w:rPr>
        <w:t>:</w:t>
      </w:r>
      <w:r w:rsidR="00112A70" w:rsidRPr="005F120D">
        <w:rPr>
          <w:rFonts w:cstheme="minorHAnsi"/>
        </w:rPr>
        <w:t xml:space="preserve"> Cost and Expenditure as of June 2015</w:t>
      </w:r>
      <w:bookmarkEnd w:id="103"/>
    </w:p>
    <w:p w:rsidR="006F26E8" w:rsidRPr="005F120D" w:rsidRDefault="006F26E8" w:rsidP="000A5B80">
      <w:pPr>
        <w:pStyle w:val="ListParagraph"/>
        <w:numPr>
          <w:ilvl w:val="0"/>
          <w:numId w:val="0"/>
        </w:numPr>
        <w:spacing w:after="0"/>
        <w:ind w:left="6840" w:firstLine="36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4A0"/>
      </w:tblPr>
      <w:tblGrid>
        <w:gridCol w:w="1808"/>
        <w:gridCol w:w="955"/>
        <w:gridCol w:w="811"/>
        <w:gridCol w:w="1111"/>
        <w:gridCol w:w="789"/>
        <w:gridCol w:w="920"/>
        <w:gridCol w:w="806"/>
        <w:gridCol w:w="1264"/>
        <w:gridCol w:w="779"/>
      </w:tblGrid>
      <w:tr w:rsidR="006F26E8" w:rsidRPr="005F120D" w:rsidTr="000C2F70">
        <w:trPr>
          <w:tblHeader/>
        </w:trPr>
        <w:tc>
          <w:tcPr>
            <w:tcW w:w="982"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962" w:type="pct"/>
            <w:gridSpan w:val="2"/>
            <w:shd w:val="clear" w:color="auto" w:fill="DDD9C3" w:themeFill="background2" w:themeFillShade="E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22" w:type="pct"/>
            <w:gridSpan w:val="2"/>
            <w:shd w:val="clear" w:color="auto" w:fill="DDD9C3" w:themeFill="background2" w:themeFillShade="E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940" w:type="pct"/>
            <w:gridSpan w:val="2"/>
            <w:shd w:val="clear" w:color="auto" w:fill="DDD9C3" w:themeFill="background2" w:themeFillShade="E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687"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407"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0C2F70">
        <w:trPr>
          <w:tblHeader/>
        </w:trPr>
        <w:tc>
          <w:tcPr>
            <w:tcW w:w="982" w:type="pct"/>
            <w:vMerge/>
            <w:tcBorders>
              <w:bottom w:val="double" w:sz="4"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520" w:type="pct"/>
            <w:tcBorders>
              <w:bottom w:val="double" w:sz="4" w:space="0" w:color="948A54" w:themeColor="background2" w:themeShade="80"/>
            </w:tcBorders>
            <w:shd w:val="clear" w:color="auto" w:fill="EEECE1" w:themeFill="background2"/>
            <w:vAlign w:val="center"/>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42" w:type="pct"/>
            <w:tcBorders>
              <w:bottom w:val="double" w:sz="4" w:space="0" w:color="948A54" w:themeColor="background2" w:themeShade="80"/>
            </w:tcBorders>
            <w:shd w:val="clear" w:color="auto" w:fill="EEECE1" w:themeFill="background2"/>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04" w:type="pct"/>
            <w:tcBorders>
              <w:bottom w:val="double" w:sz="4" w:space="0" w:color="948A54" w:themeColor="background2" w:themeShade="80"/>
            </w:tcBorders>
            <w:shd w:val="clear" w:color="auto" w:fill="EEECE1" w:themeFill="background2"/>
            <w:vAlign w:val="center"/>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18" w:type="pct"/>
            <w:tcBorders>
              <w:bottom w:val="double" w:sz="4" w:space="0" w:color="948A54" w:themeColor="background2" w:themeShade="80"/>
            </w:tcBorders>
            <w:shd w:val="clear" w:color="auto" w:fill="EEECE1" w:themeFill="background2"/>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01" w:type="pct"/>
            <w:tcBorders>
              <w:bottom w:val="double" w:sz="4" w:space="0" w:color="948A54" w:themeColor="background2" w:themeShade="80"/>
            </w:tcBorders>
            <w:shd w:val="clear" w:color="auto" w:fill="EEECE1" w:themeFill="background2"/>
            <w:vAlign w:val="center"/>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39" w:type="pct"/>
            <w:tcBorders>
              <w:bottom w:val="double" w:sz="4" w:space="0" w:color="948A54" w:themeColor="background2" w:themeShade="80"/>
            </w:tcBorders>
            <w:shd w:val="clear" w:color="auto" w:fill="EEECE1" w:themeFill="background2"/>
            <w:vAlign w:val="center"/>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687" w:type="pct"/>
            <w:vMerge/>
            <w:tcBorders>
              <w:bottom w:val="double" w:sz="4"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c>
          <w:tcPr>
            <w:tcW w:w="407" w:type="pct"/>
            <w:vMerge/>
            <w:tcBorders>
              <w:bottom w:val="double" w:sz="4"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82"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Workshop</w:t>
            </w:r>
            <w:r w:rsidR="00DA5F89" w:rsidRPr="005F120D">
              <w:rPr>
                <w:rFonts w:asciiTheme="minorHAnsi" w:hAnsiTheme="minorHAnsi" w:cstheme="minorHAnsi"/>
                <w:sz w:val="16"/>
                <w:szCs w:val="16"/>
              </w:rPr>
              <w:t xml:space="preserve">s </w:t>
            </w:r>
            <w:r w:rsidRPr="005F120D">
              <w:rPr>
                <w:rFonts w:asciiTheme="minorHAnsi" w:hAnsiTheme="minorHAnsi" w:cstheme="minorHAnsi"/>
                <w:sz w:val="16"/>
                <w:szCs w:val="16"/>
              </w:rPr>
              <w:t xml:space="preserve"> and Seminar</w:t>
            </w:r>
            <w:r w:rsidR="00DA5F89" w:rsidRPr="005F120D">
              <w:rPr>
                <w:rFonts w:asciiTheme="minorHAnsi" w:hAnsiTheme="minorHAnsi" w:cstheme="minorHAnsi"/>
                <w:sz w:val="16"/>
                <w:szCs w:val="16"/>
              </w:rPr>
              <w:t xml:space="preserve">s, </w:t>
            </w:r>
            <w:r w:rsidRPr="005F120D">
              <w:rPr>
                <w:rFonts w:asciiTheme="minorHAnsi" w:hAnsiTheme="minorHAnsi" w:cstheme="minorHAnsi"/>
                <w:sz w:val="16"/>
                <w:szCs w:val="16"/>
              </w:rPr>
              <w:t xml:space="preserve"> QSTF</w:t>
            </w:r>
          </w:p>
        </w:tc>
        <w:tc>
          <w:tcPr>
            <w:tcW w:w="520"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2"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04"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Workshops for QSTF - 51</w:t>
            </w:r>
          </w:p>
        </w:tc>
        <w:tc>
          <w:tcPr>
            <w:tcW w:w="418"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75.04</w:t>
            </w:r>
          </w:p>
        </w:tc>
        <w:tc>
          <w:tcPr>
            <w:tcW w:w="501"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19 batches</w:t>
            </w:r>
          </w:p>
        </w:tc>
        <w:tc>
          <w:tcPr>
            <w:tcW w:w="439"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35.95</w:t>
            </w:r>
          </w:p>
        </w:tc>
        <w:tc>
          <w:tcPr>
            <w:tcW w:w="687"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39.09</w:t>
            </w:r>
          </w:p>
        </w:tc>
        <w:tc>
          <w:tcPr>
            <w:tcW w:w="407" w:type="pct"/>
            <w:tcBorders>
              <w:top w:val="double" w:sz="4"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QSTF- at National level</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workshop need based - 3</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24.91</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4.91</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20.00</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Review progress monitoring </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National - 1 (70 persons)</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4.12</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4.12</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National level</w:t>
            </w: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Progress review Divisional level</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Half yearly workshop-102</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306.71</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128.26</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178.45</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Progress review at District level</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Half yearly district - 384</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90.00</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63.99</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26.01</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EHS</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Need based</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5,000.00</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 xml:space="preserve">Block fund </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161.45</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108.17</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53.28</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BBS</w:t>
            </w: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ASPR</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ASPR printing 15,000  copy</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255.00</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5,000</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255.00</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GIS implem</w:t>
            </w:r>
            <w:r w:rsidR="006A4807" w:rsidRPr="005F120D">
              <w:rPr>
                <w:rFonts w:asciiTheme="minorHAnsi" w:hAnsiTheme="minorHAnsi" w:cstheme="minorHAnsi"/>
                <w:sz w:val="16"/>
                <w:szCs w:val="16"/>
              </w:rPr>
              <w:t>entation</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300.00</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A4807" w:rsidP="000A5B80">
            <w:pPr>
              <w:spacing w:after="0"/>
              <w:rPr>
                <w:rFonts w:asciiTheme="minorHAnsi" w:hAnsiTheme="minorHAnsi" w:cstheme="minorHAnsi"/>
                <w:sz w:val="16"/>
                <w:szCs w:val="16"/>
              </w:rPr>
            </w:pPr>
            <w:r w:rsidRPr="005F120D">
              <w:rPr>
                <w:rFonts w:asciiTheme="minorHAnsi" w:hAnsiTheme="minorHAnsi" w:cstheme="minorHAnsi"/>
                <w:sz w:val="16"/>
                <w:szCs w:val="16"/>
              </w:rPr>
              <w:t>Existing GIS - Renovation</w:t>
            </w:r>
            <w:r w:rsidR="006F26E8" w:rsidRPr="005F120D">
              <w:rPr>
                <w:rFonts w:asciiTheme="minorHAnsi" w:hAnsiTheme="minorHAnsi" w:cstheme="minorHAnsi"/>
                <w:sz w:val="16"/>
                <w:szCs w:val="16"/>
              </w:rPr>
              <w:t xml:space="preserve"> and re-customiz</w:t>
            </w:r>
            <w:r w:rsidR="00DA5F89" w:rsidRPr="005F120D">
              <w:rPr>
                <w:rFonts w:asciiTheme="minorHAnsi" w:hAnsiTheme="minorHAnsi" w:cstheme="minorHAnsi"/>
                <w:sz w:val="16"/>
                <w:szCs w:val="16"/>
              </w:rPr>
              <w:t>ing</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Part of AOP Sl. No.'0194</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17.00</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17.00</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Quality re-checking /error minimization</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2.00</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2.00</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Monthly review meeting </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0.00</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303.43</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266.93</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36.50</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All levels</w:t>
            </w:r>
          </w:p>
        </w:tc>
      </w:tr>
      <w:tr w:rsidR="006F26E8" w:rsidRPr="005F120D" w:rsidTr="000C2F70">
        <w:trPr>
          <w:trHeight w:val="282"/>
        </w:trPr>
        <w:tc>
          <w:tcPr>
            <w:tcW w:w="98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Training on RBM</w:t>
            </w:r>
          </w:p>
        </w:tc>
        <w:tc>
          <w:tcPr>
            <w:tcW w:w="520"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1000</w:t>
            </w:r>
          </w:p>
        </w:tc>
        <w:tc>
          <w:tcPr>
            <w:tcW w:w="442"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500.00</w:t>
            </w:r>
          </w:p>
        </w:tc>
        <w:tc>
          <w:tcPr>
            <w:tcW w:w="604"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2,040 persons</w:t>
            </w:r>
          </w:p>
        </w:tc>
        <w:tc>
          <w:tcPr>
            <w:tcW w:w="418"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129.47</w:t>
            </w:r>
          </w:p>
        </w:tc>
        <w:tc>
          <w:tcPr>
            <w:tcW w:w="50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 batches</w:t>
            </w:r>
          </w:p>
        </w:tc>
        <w:tc>
          <w:tcPr>
            <w:tcW w:w="43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111.22</w:t>
            </w:r>
          </w:p>
        </w:tc>
        <w:tc>
          <w:tcPr>
            <w:tcW w:w="687"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right"/>
              <w:rPr>
                <w:rFonts w:asciiTheme="minorHAnsi" w:hAnsiTheme="minorHAnsi" w:cstheme="minorHAnsi"/>
                <w:sz w:val="16"/>
                <w:szCs w:val="16"/>
              </w:rPr>
            </w:pPr>
            <w:r w:rsidRPr="005F120D">
              <w:rPr>
                <w:rFonts w:asciiTheme="minorHAnsi" w:hAnsiTheme="minorHAnsi" w:cstheme="minorHAnsi"/>
                <w:sz w:val="16"/>
                <w:szCs w:val="16"/>
              </w:rPr>
              <w:t>18.25</w:t>
            </w:r>
          </w:p>
        </w:tc>
        <w:tc>
          <w:tcPr>
            <w:tcW w:w="407" w:type="pct"/>
            <w:tcBorders>
              <w:top w:val="single" w:sz="6" w:space="0" w:color="948A54" w:themeColor="background2" w:themeShade="80"/>
              <w:bottom w:val="single" w:sz="6" w:space="0" w:color="948A54" w:themeColor="background2" w:themeShade="80"/>
            </w:tcBorders>
            <w:vAlign w:val="center"/>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982"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520"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c>
          <w:tcPr>
            <w:tcW w:w="442"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5,800.00</w:t>
            </w:r>
          </w:p>
        </w:tc>
        <w:tc>
          <w:tcPr>
            <w:tcW w:w="604"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c>
          <w:tcPr>
            <w:tcW w:w="418"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1,369.13</w:t>
            </w:r>
          </w:p>
        </w:tc>
        <w:tc>
          <w:tcPr>
            <w:tcW w:w="501"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bCs/>
                <w:sz w:val="16"/>
                <w:szCs w:val="16"/>
              </w:rPr>
            </w:pPr>
          </w:p>
        </w:tc>
        <w:tc>
          <w:tcPr>
            <w:tcW w:w="439"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719.43 (52.5%)</w:t>
            </w:r>
          </w:p>
        </w:tc>
        <w:tc>
          <w:tcPr>
            <w:tcW w:w="687"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 xml:space="preserve">649.70 </w:t>
            </w:r>
          </w:p>
          <w:p w:rsidR="006F26E8" w:rsidRPr="005F120D" w:rsidRDefault="006F26E8" w:rsidP="000A5B80">
            <w:pPr>
              <w:spacing w:after="0"/>
              <w:jc w:val="right"/>
              <w:rPr>
                <w:rFonts w:asciiTheme="minorHAnsi" w:hAnsiTheme="minorHAnsi" w:cstheme="minorHAnsi"/>
                <w:b/>
                <w:sz w:val="16"/>
                <w:szCs w:val="16"/>
              </w:rPr>
            </w:pPr>
            <w:r w:rsidRPr="005F120D">
              <w:rPr>
                <w:rFonts w:asciiTheme="minorHAnsi" w:hAnsiTheme="minorHAnsi" w:cstheme="minorHAnsi"/>
                <w:b/>
                <w:sz w:val="16"/>
                <w:szCs w:val="16"/>
              </w:rPr>
              <w:t>(47.5%)</w:t>
            </w:r>
          </w:p>
        </w:tc>
        <w:tc>
          <w:tcPr>
            <w:tcW w:w="407" w:type="pct"/>
            <w:tcBorders>
              <w:top w:val="double" w:sz="4" w:space="0" w:color="948A54" w:themeColor="background2" w:themeShade="80"/>
            </w:tcBorders>
            <w:shd w:val="clear" w:color="auto" w:fill="EEECE1" w:themeFill="background2"/>
            <w:vAlign w:val="center"/>
          </w:tcPr>
          <w:p w:rsidR="006F26E8" w:rsidRPr="005F120D" w:rsidRDefault="006F26E8" w:rsidP="000A5B80">
            <w:pPr>
              <w:spacing w:after="0"/>
              <w:jc w:val="center"/>
              <w:rPr>
                <w:rFonts w:asciiTheme="minorHAnsi" w:hAnsiTheme="minorHAnsi" w:cstheme="minorHAnsi"/>
                <w:b/>
                <w:sz w:val="16"/>
                <w:szCs w:val="16"/>
              </w:rPr>
            </w:pPr>
          </w:p>
        </w:tc>
      </w:tr>
    </w:tbl>
    <w:p w:rsidR="00FE4377" w:rsidRPr="005F120D" w:rsidRDefault="00FE4377" w:rsidP="00FE4377">
      <w:pPr>
        <w:pStyle w:val="ListParagraph"/>
        <w:numPr>
          <w:ilvl w:val="0"/>
          <w:numId w:val="0"/>
        </w:numPr>
        <w:autoSpaceDE w:val="0"/>
        <w:autoSpaceDN w:val="0"/>
        <w:adjustRightInd w:val="0"/>
        <w:spacing w:before="120" w:after="120"/>
        <w:ind w:left="360"/>
        <w:jc w:val="both"/>
        <w:rPr>
          <w:rFonts w:asciiTheme="minorHAnsi" w:hAnsiTheme="minorHAnsi" w:cstheme="minorHAnsi"/>
        </w:rPr>
      </w:pPr>
    </w:p>
    <w:p w:rsidR="00FE4377" w:rsidRPr="005F120D" w:rsidRDefault="00FE4377" w:rsidP="00FE4377">
      <w:pPr>
        <w:pStyle w:val="ListParagraph"/>
        <w:numPr>
          <w:ilvl w:val="0"/>
          <w:numId w:val="0"/>
        </w:numPr>
        <w:autoSpaceDE w:val="0"/>
        <w:autoSpaceDN w:val="0"/>
        <w:adjustRightInd w:val="0"/>
        <w:spacing w:before="120" w:after="120"/>
        <w:ind w:left="360"/>
        <w:jc w:val="both"/>
        <w:rPr>
          <w:rFonts w:asciiTheme="minorHAnsi" w:hAnsiTheme="minorHAnsi" w:cstheme="minorHAnsi"/>
        </w:rPr>
      </w:pPr>
    </w:p>
    <w:p w:rsidR="00E339CE" w:rsidRPr="005F120D" w:rsidRDefault="00E339CE" w:rsidP="00FE4377">
      <w:pPr>
        <w:pStyle w:val="ListParagraph"/>
        <w:numPr>
          <w:ilvl w:val="0"/>
          <w:numId w:val="0"/>
        </w:numPr>
        <w:autoSpaceDE w:val="0"/>
        <w:autoSpaceDN w:val="0"/>
        <w:adjustRightInd w:val="0"/>
        <w:spacing w:before="120" w:after="120"/>
        <w:ind w:left="360"/>
        <w:jc w:val="both"/>
        <w:rPr>
          <w:rFonts w:asciiTheme="minorHAnsi" w:hAnsiTheme="minorHAnsi" w:cstheme="minorHAnsi"/>
        </w:rPr>
      </w:pPr>
    </w:p>
    <w:p w:rsidR="00981CA3" w:rsidRPr="005F120D" w:rsidRDefault="00EA713F" w:rsidP="000A5B80">
      <w:pPr>
        <w:pStyle w:val="ListParagraph"/>
        <w:numPr>
          <w:ilvl w:val="0"/>
          <w:numId w:val="88"/>
        </w:num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b/>
          <w:i/>
          <w:iCs/>
          <w:color w:val="008000"/>
        </w:rPr>
        <w:t>Sub-Component 4.5-</w:t>
      </w:r>
      <w:r w:rsidR="006F26E8" w:rsidRPr="005F120D">
        <w:rPr>
          <w:rFonts w:asciiTheme="minorHAnsi" w:hAnsiTheme="minorHAnsi" w:cstheme="minorHAnsi"/>
          <w:b/>
          <w:i/>
          <w:iCs/>
          <w:color w:val="008000"/>
        </w:rPr>
        <w:t>Human Resource Development:</w:t>
      </w:r>
    </w:p>
    <w:p w:rsidR="000C2F70" w:rsidRPr="005F120D" w:rsidRDefault="00494B26" w:rsidP="00494B26">
      <w:p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iCs/>
        </w:rPr>
        <w:t>The Human Resource Plan includes the d</w:t>
      </w:r>
      <w:r w:rsidR="007D75C1" w:rsidRPr="005F120D">
        <w:rPr>
          <w:rFonts w:asciiTheme="minorHAnsi" w:hAnsiTheme="minorHAnsi" w:cstheme="minorHAnsi"/>
        </w:rPr>
        <w:t>evelop</w:t>
      </w:r>
      <w:r w:rsidRPr="005F120D">
        <w:rPr>
          <w:rFonts w:asciiTheme="minorHAnsi" w:hAnsiTheme="minorHAnsi" w:cstheme="minorHAnsi"/>
        </w:rPr>
        <w:t>ment of p</w:t>
      </w:r>
      <w:r w:rsidR="007D75C1" w:rsidRPr="005F120D">
        <w:rPr>
          <w:rFonts w:asciiTheme="minorHAnsi" w:hAnsiTheme="minorHAnsi" w:cstheme="minorHAnsi"/>
        </w:rPr>
        <w:t>ro</w:t>
      </w:r>
      <w:r w:rsidRPr="005F120D">
        <w:rPr>
          <w:rFonts w:asciiTheme="minorHAnsi" w:hAnsiTheme="minorHAnsi" w:cstheme="minorHAnsi"/>
        </w:rPr>
        <w:t>fessional c</w:t>
      </w:r>
      <w:r w:rsidR="007D75C1" w:rsidRPr="005F120D">
        <w:rPr>
          <w:rFonts w:asciiTheme="minorHAnsi" w:hAnsiTheme="minorHAnsi" w:cstheme="minorHAnsi"/>
        </w:rPr>
        <w:t xml:space="preserve">ompetency </w:t>
      </w:r>
      <w:r w:rsidRPr="005F120D">
        <w:rPr>
          <w:rFonts w:asciiTheme="minorHAnsi" w:hAnsiTheme="minorHAnsi" w:cstheme="minorHAnsi"/>
        </w:rPr>
        <w:t>standards for DPE field level staff; identification of training n</w:t>
      </w:r>
      <w:r w:rsidR="00DA5F89" w:rsidRPr="005F120D">
        <w:rPr>
          <w:rFonts w:asciiTheme="minorHAnsi" w:hAnsiTheme="minorHAnsi" w:cstheme="minorHAnsi"/>
        </w:rPr>
        <w:t xml:space="preserve">eeds; and </w:t>
      </w:r>
      <w:r w:rsidRPr="005F120D">
        <w:rPr>
          <w:rFonts w:asciiTheme="minorHAnsi" w:hAnsiTheme="minorHAnsi" w:cstheme="minorHAnsi"/>
        </w:rPr>
        <w:t>preparation of a training p</w:t>
      </w:r>
      <w:r w:rsidR="007D75C1" w:rsidRPr="005F120D">
        <w:rPr>
          <w:rFonts w:asciiTheme="minorHAnsi" w:hAnsiTheme="minorHAnsi" w:cstheme="minorHAnsi"/>
        </w:rPr>
        <w:t xml:space="preserve">lan. </w:t>
      </w:r>
      <w:r w:rsidR="007D75C1" w:rsidRPr="005F120D">
        <w:rPr>
          <w:rFonts w:asciiTheme="minorHAnsi" w:hAnsiTheme="minorHAnsi" w:cstheme="minorHAnsi"/>
          <w:bCs/>
        </w:rPr>
        <w:t xml:space="preserve">The total original cost as per DPP was Tk. 7,344.80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8,353.31 </w:t>
      </w:r>
      <w:r w:rsidR="00F738CE" w:rsidRPr="005F120D">
        <w:rPr>
          <w:rFonts w:asciiTheme="minorHAnsi" w:hAnsiTheme="minorHAnsi" w:cstheme="minorHAnsi"/>
          <w:bCs/>
        </w:rPr>
        <w:t>Lac</w:t>
      </w:r>
      <w:r w:rsidR="00AF5807" w:rsidRPr="005F120D">
        <w:rPr>
          <w:rFonts w:asciiTheme="minorHAnsi" w:hAnsiTheme="minorHAnsi" w:cstheme="minorHAnsi"/>
          <w:bCs/>
        </w:rPr>
        <w:t>.</w:t>
      </w:r>
    </w:p>
    <w:p w:rsidR="006F26E8" w:rsidRPr="005F120D" w:rsidRDefault="006F26E8" w:rsidP="000A5B80">
      <w:pPr>
        <w:pStyle w:val="Caption"/>
        <w:rPr>
          <w:rFonts w:cstheme="minorHAnsi"/>
        </w:rPr>
      </w:pPr>
      <w:bookmarkStart w:id="104" w:name="_Toc462837255"/>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33</w:t>
      </w:r>
      <w:r w:rsidR="002E2ED5" w:rsidRPr="005F120D">
        <w:rPr>
          <w:rFonts w:cstheme="minorHAnsi"/>
        </w:rPr>
        <w:fldChar w:fldCharType="end"/>
      </w:r>
      <w:r w:rsidRPr="005F120D">
        <w:rPr>
          <w:rFonts w:cstheme="minorHAnsi"/>
        </w:rPr>
        <w:t>: Human Resource Development</w:t>
      </w:r>
      <w:r w:rsidR="00EA713F" w:rsidRPr="005F120D">
        <w:rPr>
          <w:rFonts w:cstheme="minorHAnsi"/>
        </w:rPr>
        <w:t>:</w:t>
      </w:r>
      <w:r w:rsidR="00112A70" w:rsidRPr="005F120D">
        <w:rPr>
          <w:rFonts w:cstheme="minorHAnsi"/>
        </w:rPr>
        <w:t xml:space="preserve"> Cost and Expenditure as of June 2015</w:t>
      </w:r>
      <w:bookmarkEnd w:id="104"/>
    </w:p>
    <w:p w:rsidR="006F26E8" w:rsidRPr="005F120D" w:rsidRDefault="006F26E8" w:rsidP="000A5B80">
      <w:pPr>
        <w:pStyle w:val="ListParagraph"/>
        <w:numPr>
          <w:ilvl w:val="0"/>
          <w:numId w:val="0"/>
        </w:numPr>
        <w:spacing w:after="0"/>
        <w:ind w:left="6840" w:firstLine="36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00"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4A0"/>
      </w:tblPr>
      <w:tblGrid>
        <w:gridCol w:w="2042"/>
        <w:gridCol w:w="775"/>
        <w:gridCol w:w="837"/>
        <w:gridCol w:w="1102"/>
        <w:gridCol w:w="837"/>
        <w:gridCol w:w="775"/>
        <w:gridCol w:w="834"/>
        <w:gridCol w:w="1056"/>
        <w:gridCol w:w="985"/>
      </w:tblGrid>
      <w:tr w:rsidR="006F26E8" w:rsidRPr="005F120D" w:rsidTr="000C2F70">
        <w:trPr>
          <w:tblHeader/>
        </w:trPr>
        <w:tc>
          <w:tcPr>
            <w:tcW w:w="1105"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Key</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Item/Activity</w:t>
            </w:r>
          </w:p>
        </w:tc>
        <w:tc>
          <w:tcPr>
            <w:tcW w:w="872" w:type="pct"/>
            <w:gridSpan w:val="2"/>
            <w:shd w:val="clear" w:color="auto" w:fill="DDD9C3" w:themeFill="background2" w:themeFillShade="E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Original</w:t>
            </w:r>
            <w:r w:rsidRPr="005F120D">
              <w:rPr>
                <w:rFonts w:asciiTheme="minorHAnsi" w:hAnsiTheme="minorHAnsi" w:cstheme="minorHAnsi"/>
                <w:bCs/>
                <w:sz w:val="16"/>
                <w:szCs w:val="16"/>
              </w:rPr>
              <w:t xml:space="preserve"> (DPP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2016)</w:t>
            </w:r>
          </w:p>
        </w:tc>
        <w:tc>
          <w:tcPr>
            <w:tcW w:w="1049" w:type="pct"/>
            <w:gridSpan w:val="2"/>
            <w:shd w:val="clear" w:color="auto" w:fill="DDD9C3" w:themeFill="background2" w:themeFillShade="E6"/>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sz w:val="16"/>
                <w:szCs w:val="16"/>
              </w:rPr>
              <w:t>Revised</w:t>
            </w:r>
            <w:r w:rsidRPr="005F120D">
              <w:rPr>
                <w:rFonts w:asciiTheme="minorHAnsi" w:hAnsiTheme="minorHAnsi" w:cstheme="minorHAnsi"/>
                <w:bCs/>
                <w:sz w:val="16"/>
                <w:szCs w:val="16"/>
              </w:rPr>
              <w:t xml:space="preserve"> (RDPP Target</w:t>
            </w:r>
          </w:p>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2011 to 2017)</w:t>
            </w:r>
          </w:p>
        </w:tc>
        <w:tc>
          <w:tcPr>
            <w:tcW w:w="870" w:type="pct"/>
            <w:gridSpan w:val="2"/>
            <w:shd w:val="clear" w:color="auto" w:fill="DDD9C3" w:themeFill="background2" w:themeFillShade="E6"/>
          </w:tcPr>
          <w:p w:rsidR="006F26E8" w:rsidRPr="005F120D" w:rsidRDefault="0064464F"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Progress as of June 2015</w:t>
            </w:r>
          </w:p>
        </w:tc>
        <w:tc>
          <w:tcPr>
            <w:tcW w:w="571"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bCs/>
                <w:sz w:val="16"/>
                <w:szCs w:val="16"/>
              </w:rPr>
              <w:t>Unspent as of June 2015/ as % of RDPP cost</w:t>
            </w:r>
          </w:p>
        </w:tc>
        <w:tc>
          <w:tcPr>
            <w:tcW w:w="533" w:type="pct"/>
            <w:vMerge w:val="restart"/>
            <w:shd w:val="clear" w:color="auto" w:fill="DDD9C3" w:themeFill="background2" w:themeFillShade="E6"/>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6F26E8" w:rsidRPr="005F120D" w:rsidTr="000C2F70">
        <w:trPr>
          <w:tblHeader/>
        </w:trPr>
        <w:tc>
          <w:tcPr>
            <w:tcW w:w="1105"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19"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3"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96"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3"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419" w:type="pct"/>
            <w:tcBorders>
              <w:bottom w:val="double" w:sz="4" w:space="0" w:color="948A54" w:themeColor="background2" w:themeShade="80"/>
            </w:tcBorders>
            <w:shd w:val="clear" w:color="auto" w:fill="EEECE1" w:themeFill="background2"/>
          </w:tcPr>
          <w:p w:rsidR="006F26E8" w:rsidRPr="005F120D" w:rsidRDefault="006F26E8" w:rsidP="000A5B80">
            <w:pPr>
              <w:tabs>
                <w:tab w:val="center" w:pos="444"/>
              </w:tabs>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Physical</w:t>
            </w:r>
          </w:p>
        </w:tc>
        <w:tc>
          <w:tcPr>
            <w:tcW w:w="451" w:type="pct"/>
            <w:tcBorders>
              <w:bottom w:val="double" w:sz="4" w:space="0" w:color="948A54" w:themeColor="background2" w:themeShade="80"/>
            </w:tcBorders>
            <w:shd w:val="clear" w:color="auto" w:fill="EEECE1" w:themeFill="background2"/>
          </w:tcPr>
          <w:p w:rsidR="006F26E8" w:rsidRPr="005F120D" w:rsidRDefault="006F26E8" w:rsidP="000A5B80">
            <w:pPr>
              <w:autoSpaceDE w:val="0"/>
              <w:autoSpaceDN w:val="0"/>
              <w:adjustRightInd w:val="0"/>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Financial</w:t>
            </w:r>
          </w:p>
        </w:tc>
        <w:tc>
          <w:tcPr>
            <w:tcW w:w="571"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33" w:type="pct"/>
            <w:vMerge/>
            <w:tcBorders>
              <w:bottom w:val="double" w:sz="4"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hRule="exact" w:val="216"/>
        </w:trPr>
        <w:tc>
          <w:tcPr>
            <w:tcW w:w="1105"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 Training for AUEOs</w:t>
            </w:r>
          </w:p>
        </w:tc>
        <w:tc>
          <w:tcPr>
            <w:tcW w:w="419"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w:t>
            </w:r>
          </w:p>
        </w:tc>
        <w:tc>
          <w:tcPr>
            <w:tcW w:w="453"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40.00</w:t>
            </w:r>
          </w:p>
        </w:tc>
        <w:tc>
          <w:tcPr>
            <w:tcW w:w="596"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3"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19"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1"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1"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33" w:type="pct"/>
            <w:tcBorders>
              <w:top w:val="double" w:sz="4"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hRule="exact" w:val="216"/>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2. Local training for URC</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50.00</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hRule="exact" w:val="216"/>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3. Study on HRD</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O and M</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30.00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30.00</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hRule="exact" w:val="216"/>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4. Workshop on HRD</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19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5. Initial training </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1,000</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700.00</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AUEOs -250</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41.34</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41.34</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New AUEOs</w:t>
            </w: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6. Academic supervision, AUEOs</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2,000</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300.00</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3000 AUEOs</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1,162.60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532 batches</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722.78</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439.82</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7.Training of UEOs/ HTs on quality assurance insp.</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3,000</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142.50</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8. Training of URC Insts.</w:t>
            </w:r>
            <w:r w:rsidR="00EE6322">
              <w:rPr>
                <w:rFonts w:asciiTheme="minorHAnsi" w:hAnsiTheme="minorHAnsi" w:cstheme="minorHAnsi"/>
                <w:sz w:val="16"/>
                <w:szCs w:val="16"/>
              </w:rPr>
              <w:t xml:space="preserve"> </w:t>
            </w:r>
            <w:r w:rsidRPr="005F120D">
              <w:rPr>
                <w:rFonts w:asciiTheme="minorHAnsi" w:hAnsiTheme="minorHAnsi" w:cstheme="minorHAnsi"/>
                <w:sz w:val="16"/>
                <w:szCs w:val="16"/>
              </w:rPr>
              <w:t>and Asst. Insts.</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750</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262.50</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600 officials</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179.41</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300 officials</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100.25</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79.16</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9. Dev. of course &amp; content for NAPE,PTI </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1,000 person</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400.00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9.68</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390.32</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Workshops</w:t>
            </w: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10. Training for newly recruited PTI Insts.</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290 PTI instructor</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54.00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54.00</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11. Management Training for DPE staff </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400</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28.00</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Class I &amp; II-384</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95.97</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120</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60.41</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35.56</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4"/>
                <w:szCs w:val="14"/>
              </w:rPr>
            </w:pPr>
            <w:r w:rsidRPr="005F120D">
              <w:rPr>
                <w:rFonts w:asciiTheme="minorHAnsi" w:hAnsiTheme="minorHAnsi" w:cstheme="minorHAnsi"/>
                <w:sz w:val="14"/>
                <w:szCs w:val="14"/>
              </w:rPr>
              <w:t>DPEO, ADPEO, AD</w:t>
            </w: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 xml:space="preserve">12.Training of management &amp; staff -DPE and field level </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7,500</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750.00</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Class III 2,400 persons</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889.99</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600</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479.99</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410.00</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4"/>
                <w:szCs w:val="14"/>
              </w:rPr>
            </w:pPr>
            <w:r w:rsidRPr="005F120D">
              <w:rPr>
                <w:rFonts w:asciiTheme="minorHAnsi" w:hAnsiTheme="minorHAnsi" w:cstheme="minorHAnsi"/>
                <w:sz w:val="14"/>
                <w:szCs w:val="14"/>
              </w:rPr>
              <w:t>Office mgt &amp; computer</w:t>
            </w: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13. Training of Upazila Chairman and Vice Chair</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1,560</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46.80</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14. Training of Pourashava/UP</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7,500</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225.00</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15. Overseas training (15 days exposure)</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8,000 days</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4,800.00</w:t>
            </w: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2600 Person</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4,800.00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447.21</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4,352.79</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rPr>
          <w:trHeight w:val="282"/>
        </w:trPr>
        <w:tc>
          <w:tcPr>
            <w:tcW w:w="1105"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rPr>
                <w:rFonts w:asciiTheme="minorHAnsi" w:hAnsiTheme="minorHAnsi" w:cstheme="minorHAnsi"/>
                <w:sz w:val="16"/>
                <w:szCs w:val="16"/>
              </w:rPr>
            </w:pPr>
            <w:r w:rsidRPr="005F120D">
              <w:rPr>
                <w:rFonts w:asciiTheme="minorHAnsi" w:hAnsiTheme="minorHAnsi" w:cstheme="minorHAnsi"/>
                <w:sz w:val="16"/>
                <w:szCs w:val="16"/>
              </w:rPr>
              <w:t>16. Training  and Higher studies (Local &amp; overseas)</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c>
          <w:tcPr>
            <w:tcW w:w="596"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40 (20+20) persons</w:t>
            </w:r>
          </w:p>
        </w:tc>
        <w:tc>
          <w:tcPr>
            <w:tcW w:w="45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700.00</w:t>
            </w:r>
          </w:p>
        </w:tc>
        <w:tc>
          <w:tcPr>
            <w:tcW w:w="419"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5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0.00</w:t>
            </w:r>
          </w:p>
        </w:tc>
        <w:tc>
          <w:tcPr>
            <w:tcW w:w="571"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700.00</w:t>
            </w:r>
          </w:p>
        </w:tc>
        <w:tc>
          <w:tcPr>
            <w:tcW w:w="533" w:type="pct"/>
            <w:tcBorders>
              <w:top w:val="single" w:sz="6" w:space="0" w:color="948A54" w:themeColor="background2" w:themeShade="80"/>
              <w:bottom w:val="single" w:sz="6" w:space="0" w:color="948A54" w:themeColor="background2" w:themeShade="80"/>
            </w:tcBorders>
          </w:tcPr>
          <w:p w:rsidR="006F26E8" w:rsidRPr="005F120D" w:rsidRDefault="006F26E8" w:rsidP="000A5B80">
            <w:pPr>
              <w:spacing w:after="0"/>
              <w:jc w:val="center"/>
              <w:rPr>
                <w:rFonts w:asciiTheme="minorHAnsi" w:hAnsiTheme="minorHAnsi" w:cstheme="minorHAnsi"/>
                <w:sz w:val="16"/>
                <w:szCs w:val="16"/>
              </w:rPr>
            </w:pPr>
          </w:p>
        </w:tc>
      </w:tr>
      <w:tr w:rsidR="006F26E8" w:rsidRPr="005F120D" w:rsidTr="000C2F70">
        <w:tc>
          <w:tcPr>
            <w:tcW w:w="1105"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19"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p>
        </w:tc>
        <w:tc>
          <w:tcPr>
            <w:tcW w:w="453"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7,344.80</w:t>
            </w:r>
          </w:p>
        </w:tc>
        <w:tc>
          <w:tcPr>
            <w:tcW w:w="596"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p>
        </w:tc>
        <w:tc>
          <w:tcPr>
            <w:tcW w:w="453"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8,353.31</w:t>
            </w:r>
          </w:p>
        </w:tc>
        <w:tc>
          <w:tcPr>
            <w:tcW w:w="419"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bCs/>
                <w:sz w:val="16"/>
                <w:szCs w:val="16"/>
              </w:rPr>
            </w:pPr>
          </w:p>
        </w:tc>
        <w:tc>
          <w:tcPr>
            <w:tcW w:w="451"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1,861.66 (22.3%)</w:t>
            </w:r>
          </w:p>
        </w:tc>
        <w:tc>
          <w:tcPr>
            <w:tcW w:w="571"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6,491.65 (77.7%)</w:t>
            </w:r>
          </w:p>
        </w:tc>
        <w:tc>
          <w:tcPr>
            <w:tcW w:w="533" w:type="pct"/>
            <w:tcBorders>
              <w:top w:val="double" w:sz="4" w:space="0" w:color="948A54" w:themeColor="background2" w:themeShade="80"/>
            </w:tcBorders>
            <w:shd w:val="clear" w:color="auto" w:fill="EEECE1" w:themeFill="background2"/>
          </w:tcPr>
          <w:p w:rsidR="006F26E8" w:rsidRPr="005F120D" w:rsidRDefault="006F26E8" w:rsidP="000A5B80">
            <w:pPr>
              <w:spacing w:after="0"/>
              <w:jc w:val="center"/>
              <w:rPr>
                <w:rFonts w:asciiTheme="minorHAnsi" w:hAnsiTheme="minorHAnsi" w:cstheme="minorHAnsi"/>
                <w:b/>
                <w:sz w:val="16"/>
                <w:szCs w:val="16"/>
              </w:rPr>
            </w:pPr>
          </w:p>
        </w:tc>
      </w:tr>
    </w:tbl>
    <w:p w:rsidR="00981CA3" w:rsidRPr="005F120D" w:rsidRDefault="000D6799" w:rsidP="00FE4377">
      <w:pPr>
        <w:pStyle w:val="ListParagraph"/>
        <w:numPr>
          <w:ilvl w:val="0"/>
          <w:numId w:val="88"/>
        </w:numPr>
        <w:autoSpaceDE w:val="0"/>
        <w:autoSpaceDN w:val="0"/>
        <w:adjustRightInd w:val="0"/>
        <w:spacing w:before="120" w:after="120"/>
        <w:jc w:val="both"/>
        <w:rPr>
          <w:rFonts w:asciiTheme="minorHAnsi" w:hAnsiTheme="minorHAnsi" w:cstheme="minorHAnsi"/>
        </w:rPr>
      </w:pPr>
      <w:r w:rsidRPr="005F120D">
        <w:rPr>
          <w:rFonts w:asciiTheme="minorHAnsi" w:hAnsiTheme="minorHAnsi" w:cstheme="minorHAnsi"/>
          <w:b/>
          <w:i/>
          <w:iCs/>
          <w:color w:val="008000"/>
        </w:rPr>
        <w:t>Sub-Component 4.6 - Public-Private Partnerships (PPP):</w:t>
      </w:r>
    </w:p>
    <w:p w:rsidR="000D6799" w:rsidRPr="005F120D" w:rsidRDefault="00A14DD4" w:rsidP="00FE4377">
      <w:pPr>
        <w:autoSpaceDE w:val="0"/>
        <w:autoSpaceDN w:val="0"/>
        <w:adjustRightInd w:val="0"/>
        <w:spacing w:before="240"/>
        <w:jc w:val="both"/>
        <w:rPr>
          <w:rFonts w:asciiTheme="minorHAnsi" w:hAnsiTheme="minorHAnsi" w:cstheme="minorHAnsi"/>
        </w:rPr>
      </w:pPr>
      <w:r w:rsidRPr="005F120D">
        <w:rPr>
          <w:rFonts w:asciiTheme="minorHAnsi" w:hAnsiTheme="minorHAnsi" w:cstheme="minorHAnsi"/>
          <w:iCs/>
        </w:rPr>
        <w:t>The PEDP3 is committed to the</w:t>
      </w:r>
      <w:r w:rsidR="006875F5" w:rsidRPr="005F120D">
        <w:rPr>
          <w:rFonts w:asciiTheme="minorHAnsi" w:hAnsiTheme="minorHAnsi" w:cstheme="minorHAnsi"/>
          <w:iCs/>
        </w:rPr>
        <w:t xml:space="preserve"> d</w:t>
      </w:r>
      <w:r w:rsidR="007D75C1" w:rsidRPr="005F120D">
        <w:rPr>
          <w:rFonts w:asciiTheme="minorHAnsi" w:hAnsiTheme="minorHAnsi" w:cstheme="minorHAnsi"/>
        </w:rPr>
        <w:t>evelop</w:t>
      </w:r>
      <w:r w:rsidR="006875F5" w:rsidRPr="005F120D">
        <w:rPr>
          <w:rFonts w:asciiTheme="minorHAnsi" w:hAnsiTheme="minorHAnsi" w:cstheme="minorHAnsi"/>
        </w:rPr>
        <w:t>ment and i</w:t>
      </w:r>
      <w:r w:rsidR="007D75C1" w:rsidRPr="005F120D">
        <w:rPr>
          <w:rFonts w:asciiTheme="minorHAnsi" w:hAnsiTheme="minorHAnsi" w:cstheme="minorHAnsi"/>
        </w:rPr>
        <w:t>mplement</w:t>
      </w:r>
      <w:r w:rsidR="00DA5F89" w:rsidRPr="005F120D">
        <w:rPr>
          <w:rFonts w:asciiTheme="minorHAnsi" w:hAnsiTheme="minorHAnsi" w:cstheme="minorHAnsi"/>
        </w:rPr>
        <w:t xml:space="preserve">ation of a PPP </w:t>
      </w:r>
      <w:r w:rsidR="006875F5" w:rsidRPr="005F120D">
        <w:rPr>
          <w:rFonts w:asciiTheme="minorHAnsi" w:hAnsiTheme="minorHAnsi" w:cstheme="minorHAnsi"/>
        </w:rPr>
        <w:t>Framework to e</w:t>
      </w:r>
      <w:r w:rsidR="007D75C1" w:rsidRPr="005F120D">
        <w:rPr>
          <w:rFonts w:asciiTheme="minorHAnsi" w:hAnsiTheme="minorHAnsi" w:cstheme="minorHAnsi"/>
        </w:rPr>
        <w:t xml:space="preserve">xpand </w:t>
      </w:r>
      <w:r w:rsidR="006875F5" w:rsidRPr="005F120D">
        <w:rPr>
          <w:rFonts w:asciiTheme="minorHAnsi" w:hAnsiTheme="minorHAnsi" w:cstheme="minorHAnsi"/>
        </w:rPr>
        <w:t>c</w:t>
      </w:r>
      <w:r w:rsidR="007D75C1" w:rsidRPr="005F120D">
        <w:rPr>
          <w:rFonts w:asciiTheme="minorHAnsi" w:hAnsiTheme="minorHAnsi" w:cstheme="minorHAnsi"/>
        </w:rPr>
        <w:t xml:space="preserve">ooperation with the </w:t>
      </w:r>
      <w:r w:rsidRPr="005F120D">
        <w:rPr>
          <w:rFonts w:asciiTheme="minorHAnsi" w:hAnsiTheme="minorHAnsi" w:cstheme="minorHAnsi"/>
        </w:rPr>
        <w:t>private s</w:t>
      </w:r>
      <w:r w:rsidR="007D75C1" w:rsidRPr="005F120D">
        <w:rPr>
          <w:rFonts w:asciiTheme="minorHAnsi" w:hAnsiTheme="minorHAnsi" w:cstheme="minorHAnsi"/>
        </w:rPr>
        <w:t>ector and NGOs</w:t>
      </w:r>
      <w:r w:rsidR="00FE4377" w:rsidRPr="005F120D">
        <w:rPr>
          <w:rFonts w:asciiTheme="minorHAnsi" w:hAnsiTheme="minorHAnsi" w:cstheme="minorHAnsi"/>
        </w:rPr>
        <w:t xml:space="preserve"> as stated in the National Education Policy 2010 (NEP)</w:t>
      </w:r>
      <w:r w:rsidR="007D75C1" w:rsidRPr="005F120D">
        <w:rPr>
          <w:rFonts w:asciiTheme="minorHAnsi" w:hAnsiTheme="minorHAnsi" w:cstheme="minorHAnsi"/>
        </w:rPr>
        <w:t xml:space="preserve">. </w:t>
      </w:r>
      <w:r w:rsidR="007D75C1" w:rsidRPr="005F120D">
        <w:rPr>
          <w:rFonts w:asciiTheme="minorHAnsi" w:hAnsiTheme="minorHAnsi" w:cstheme="minorHAnsi"/>
          <w:bCs/>
        </w:rPr>
        <w:t xml:space="preserve">The total original cost as per DPP was Tk. 102.00 </w:t>
      </w:r>
      <w:r w:rsidR="00F738CE" w:rsidRPr="005F120D">
        <w:rPr>
          <w:rFonts w:asciiTheme="minorHAnsi" w:hAnsiTheme="minorHAnsi" w:cstheme="minorHAnsi"/>
          <w:bCs/>
        </w:rPr>
        <w:t>Lac</w:t>
      </w:r>
      <w:r w:rsidR="007D75C1" w:rsidRPr="005F120D">
        <w:rPr>
          <w:rFonts w:asciiTheme="minorHAnsi" w:hAnsiTheme="minorHAnsi" w:cstheme="minorHAnsi"/>
          <w:bCs/>
        </w:rPr>
        <w:t xml:space="preserve"> and revised cost as per RDPP is TK. 2,505.00</w:t>
      </w:r>
      <w:r w:rsidR="00F738CE" w:rsidRPr="005F120D">
        <w:rPr>
          <w:rFonts w:asciiTheme="minorHAnsi" w:hAnsiTheme="minorHAnsi" w:cstheme="minorHAnsi"/>
          <w:bCs/>
        </w:rPr>
        <w:t>Lac</w:t>
      </w:r>
      <w:r w:rsidR="000D6799" w:rsidRPr="005F120D">
        <w:rPr>
          <w:rFonts w:asciiTheme="minorHAnsi" w:hAnsiTheme="minorHAnsi" w:cstheme="minorHAnsi"/>
          <w:bCs/>
        </w:rPr>
        <w:t>.</w:t>
      </w:r>
    </w:p>
    <w:p w:rsidR="006F26E8" w:rsidRPr="005F120D" w:rsidRDefault="006F26E8" w:rsidP="00FE4377">
      <w:pPr>
        <w:pStyle w:val="Caption"/>
        <w:spacing w:before="120" w:after="120"/>
        <w:rPr>
          <w:rFonts w:cstheme="minorHAnsi"/>
        </w:rPr>
      </w:pPr>
      <w:bookmarkStart w:id="105" w:name="_Toc462837256"/>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34</w:t>
      </w:r>
      <w:r w:rsidR="002E2ED5" w:rsidRPr="005F120D">
        <w:rPr>
          <w:rFonts w:cstheme="minorHAnsi"/>
        </w:rPr>
        <w:fldChar w:fldCharType="end"/>
      </w:r>
      <w:r w:rsidRPr="005F120D">
        <w:rPr>
          <w:rFonts w:cstheme="minorHAnsi"/>
        </w:rPr>
        <w:t>: Public-Private Partnerships (PPP)</w:t>
      </w:r>
      <w:r w:rsidR="00CA6F66" w:rsidRPr="005F120D">
        <w:rPr>
          <w:rFonts w:cstheme="minorHAnsi"/>
        </w:rPr>
        <w:t>:</w:t>
      </w:r>
      <w:r w:rsidR="00112A70" w:rsidRPr="005F120D">
        <w:rPr>
          <w:rFonts w:cstheme="minorHAnsi"/>
        </w:rPr>
        <w:t xml:space="preserve"> Cost and Expenditure as of June 2015</w:t>
      </w:r>
      <w:bookmarkEnd w:id="105"/>
    </w:p>
    <w:p w:rsidR="006F26E8" w:rsidRPr="005F120D" w:rsidRDefault="006F26E8" w:rsidP="00FE4377">
      <w:pPr>
        <w:pStyle w:val="ListParagraph"/>
        <w:numPr>
          <w:ilvl w:val="0"/>
          <w:numId w:val="0"/>
        </w:numPr>
        <w:spacing w:after="0"/>
        <w:ind w:left="6840" w:firstLine="360"/>
        <w:rPr>
          <w:rFonts w:asciiTheme="minorHAnsi" w:hAnsiTheme="minorHAnsi" w:cstheme="minorHAnsi"/>
          <w:b/>
          <w:sz w:val="18"/>
          <w:szCs w:val="18"/>
        </w:rPr>
      </w:pPr>
      <w:r w:rsidRPr="005F120D">
        <w:rPr>
          <w:rFonts w:asciiTheme="minorHAnsi" w:hAnsiTheme="minorHAnsi" w:cstheme="minorHAnsi"/>
          <w:b/>
          <w:sz w:val="18"/>
          <w:szCs w:val="18"/>
        </w:rPr>
        <w:t xml:space="preserve">Cost in </w:t>
      </w:r>
      <w:r w:rsidR="00F738CE" w:rsidRPr="005F120D">
        <w:rPr>
          <w:rFonts w:asciiTheme="minorHAnsi" w:hAnsiTheme="minorHAnsi" w:cstheme="minorHAnsi"/>
          <w:b/>
          <w:sz w:val="18"/>
          <w:szCs w:val="18"/>
        </w:rPr>
        <w:t>Lac</w:t>
      </w:r>
      <w:r w:rsidRPr="005F120D">
        <w:rPr>
          <w:rFonts w:asciiTheme="minorHAnsi" w:hAnsiTheme="minorHAnsi" w:cstheme="minorHAnsi"/>
          <w:b/>
          <w:sz w:val="18"/>
          <w:szCs w:val="18"/>
        </w:rPr>
        <w:t xml:space="preserve"> Taka</w:t>
      </w:r>
    </w:p>
    <w:tbl>
      <w:tblPr>
        <w:tblW w:w="5068"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4A0"/>
      </w:tblPr>
      <w:tblGrid>
        <w:gridCol w:w="1859"/>
        <w:gridCol w:w="802"/>
        <w:gridCol w:w="862"/>
        <w:gridCol w:w="1042"/>
        <w:gridCol w:w="877"/>
        <w:gridCol w:w="836"/>
        <w:gridCol w:w="978"/>
        <w:gridCol w:w="1240"/>
        <w:gridCol w:w="873"/>
      </w:tblGrid>
      <w:tr w:rsidR="006F26E8" w:rsidRPr="005F120D" w:rsidTr="00FE4377">
        <w:trPr>
          <w:tblHeader/>
        </w:trPr>
        <w:tc>
          <w:tcPr>
            <w:tcW w:w="992" w:type="pct"/>
            <w:vMerge w:val="restart"/>
            <w:shd w:val="clear" w:color="auto" w:fill="DDD9C3" w:themeFill="background2" w:themeFillShade="E6"/>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Key</w:t>
            </w:r>
          </w:p>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Item/Activity</w:t>
            </w:r>
          </w:p>
        </w:tc>
        <w:tc>
          <w:tcPr>
            <w:tcW w:w="887" w:type="pct"/>
            <w:gridSpan w:val="2"/>
            <w:shd w:val="clear" w:color="auto" w:fill="DDD9C3" w:themeFill="background2" w:themeFillShade="E6"/>
          </w:tcPr>
          <w:p w:rsidR="006F26E8" w:rsidRPr="005F120D" w:rsidRDefault="006F26E8" w:rsidP="00FE4377">
            <w:pPr>
              <w:autoSpaceDE w:val="0"/>
              <w:autoSpaceDN w:val="0"/>
              <w:adjustRightInd w:val="0"/>
              <w:spacing w:after="0"/>
              <w:jc w:val="center"/>
              <w:rPr>
                <w:rFonts w:asciiTheme="minorHAnsi" w:hAnsiTheme="minorHAnsi" w:cstheme="minorHAnsi"/>
                <w:bCs/>
                <w:sz w:val="18"/>
                <w:szCs w:val="18"/>
              </w:rPr>
            </w:pPr>
            <w:r w:rsidRPr="005F120D">
              <w:rPr>
                <w:rFonts w:asciiTheme="minorHAnsi" w:hAnsiTheme="minorHAnsi" w:cstheme="minorHAnsi"/>
                <w:sz w:val="18"/>
                <w:szCs w:val="18"/>
              </w:rPr>
              <w:t>Original</w:t>
            </w:r>
            <w:r w:rsidRPr="005F120D">
              <w:rPr>
                <w:rFonts w:asciiTheme="minorHAnsi" w:hAnsiTheme="minorHAnsi" w:cstheme="minorHAnsi"/>
                <w:bCs/>
                <w:sz w:val="18"/>
                <w:szCs w:val="18"/>
              </w:rPr>
              <w:t xml:space="preserve"> (DPP Target</w:t>
            </w:r>
          </w:p>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bCs/>
                <w:sz w:val="18"/>
                <w:szCs w:val="18"/>
              </w:rPr>
              <w:t>2011 to 2016)</w:t>
            </w:r>
          </w:p>
        </w:tc>
        <w:tc>
          <w:tcPr>
            <w:tcW w:w="1023" w:type="pct"/>
            <w:gridSpan w:val="2"/>
            <w:shd w:val="clear" w:color="auto" w:fill="DDD9C3" w:themeFill="background2" w:themeFillShade="E6"/>
          </w:tcPr>
          <w:p w:rsidR="006F26E8" w:rsidRPr="005F120D" w:rsidRDefault="006F26E8" w:rsidP="00FE4377">
            <w:pPr>
              <w:autoSpaceDE w:val="0"/>
              <w:autoSpaceDN w:val="0"/>
              <w:adjustRightInd w:val="0"/>
              <w:spacing w:after="0"/>
              <w:jc w:val="center"/>
              <w:rPr>
                <w:rFonts w:asciiTheme="minorHAnsi" w:hAnsiTheme="minorHAnsi" w:cstheme="minorHAnsi"/>
                <w:bCs/>
                <w:sz w:val="18"/>
                <w:szCs w:val="18"/>
              </w:rPr>
            </w:pPr>
            <w:r w:rsidRPr="005F120D">
              <w:rPr>
                <w:rFonts w:asciiTheme="minorHAnsi" w:hAnsiTheme="minorHAnsi" w:cstheme="minorHAnsi"/>
                <w:sz w:val="18"/>
                <w:szCs w:val="18"/>
              </w:rPr>
              <w:t>Revised</w:t>
            </w:r>
            <w:r w:rsidRPr="005F120D">
              <w:rPr>
                <w:rFonts w:asciiTheme="minorHAnsi" w:hAnsiTheme="minorHAnsi" w:cstheme="minorHAnsi"/>
                <w:bCs/>
                <w:sz w:val="18"/>
                <w:szCs w:val="18"/>
              </w:rPr>
              <w:t xml:space="preserve"> (RDPP Target</w:t>
            </w:r>
          </w:p>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bCs/>
                <w:sz w:val="18"/>
                <w:szCs w:val="18"/>
              </w:rPr>
              <w:t>2011 to 2017)</w:t>
            </w:r>
          </w:p>
        </w:tc>
        <w:tc>
          <w:tcPr>
            <w:tcW w:w="968" w:type="pct"/>
            <w:gridSpan w:val="2"/>
            <w:shd w:val="clear" w:color="auto" w:fill="DDD9C3" w:themeFill="background2" w:themeFillShade="E6"/>
          </w:tcPr>
          <w:p w:rsidR="006F26E8" w:rsidRPr="005F120D" w:rsidRDefault="0064464F" w:rsidP="00FE4377">
            <w:pPr>
              <w:spacing w:after="0"/>
              <w:jc w:val="center"/>
              <w:rPr>
                <w:rFonts w:asciiTheme="minorHAnsi" w:hAnsiTheme="minorHAnsi" w:cstheme="minorHAnsi"/>
                <w:sz w:val="18"/>
                <w:szCs w:val="18"/>
              </w:rPr>
            </w:pPr>
            <w:r w:rsidRPr="005F120D">
              <w:rPr>
                <w:rFonts w:asciiTheme="minorHAnsi" w:hAnsiTheme="minorHAnsi" w:cstheme="minorHAnsi"/>
                <w:sz w:val="16"/>
                <w:szCs w:val="16"/>
              </w:rPr>
              <w:t>Progress as of June 2015</w:t>
            </w:r>
          </w:p>
        </w:tc>
        <w:tc>
          <w:tcPr>
            <w:tcW w:w="662" w:type="pct"/>
            <w:vMerge w:val="restart"/>
            <w:shd w:val="clear" w:color="auto" w:fill="DDD9C3" w:themeFill="background2" w:themeFillShade="E6"/>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bCs/>
                <w:sz w:val="18"/>
                <w:szCs w:val="18"/>
              </w:rPr>
              <w:t>Unspent as of June 2015/ as % of RDPP cost</w:t>
            </w:r>
          </w:p>
        </w:tc>
        <w:tc>
          <w:tcPr>
            <w:tcW w:w="469" w:type="pct"/>
            <w:vMerge w:val="restart"/>
            <w:shd w:val="clear" w:color="auto" w:fill="DDD9C3" w:themeFill="background2" w:themeFillShade="E6"/>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Remarks</w:t>
            </w:r>
          </w:p>
        </w:tc>
      </w:tr>
      <w:tr w:rsidR="006F26E8" w:rsidRPr="005F120D" w:rsidTr="00FE4377">
        <w:trPr>
          <w:tblHeader/>
        </w:trPr>
        <w:tc>
          <w:tcPr>
            <w:tcW w:w="992" w:type="pct"/>
            <w:vMerge/>
            <w:tcBorders>
              <w:bottom w:val="double" w:sz="4"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p>
        </w:tc>
        <w:tc>
          <w:tcPr>
            <w:tcW w:w="428" w:type="pct"/>
            <w:tcBorders>
              <w:bottom w:val="double" w:sz="4" w:space="0" w:color="948A54" w:themeColor="background2" w:themeShade="80"/>
            </w:tcBorders>
            <w:shd w:val="clear" w:color="auto" w:fill="EEECE1" w:themeFill="background2"/>
          </w:tcPr>
          <w:p w:rsidR="006F26E8" w:rsidRPr="005F120D" w:rsidRDefault="006F26E8" w:rsidP="00FE4377">
            <w:pPr>
              <w:tabs>
                <w:tab w:val="center" w:pos="444"/>
              </w:tabs>
              <w:autoSpaceDE w:val="0"/>
              <w:autoSpaceDN w:val="0"/>
              <w:adjustRightInd w:val="0"/>
              <w:spacing w:after="0"/>
              <w:jc w:val="center"/>
              <w:rPr>
                <w:rFonts w:asciiTheme="minorHAnsi" w:hAnsiTheme="minorHAnsi" w:cstheme="minorHAnsi"/>
                <w:bCs/>
                <w:sz w:val="18"/>
                <w:szCs w:val="18"/>
              </w:rPr>
            </w:pPr>
            <w:r w:rsidRPr="005F120D">
              <w:rPr>
                <w:rFonts w:asciiTheme="minorHAnsi" w:hAnsiTheme="minorHAnsi" w:cstheme="minorHAnsi"/>
                <w:bCs/>
                <w:sz w:val="18"/>
                <w:szCs w:val="18"/>
              </w:rPr>
              <w:t>Physical</w:t>
            </w:r>
          </w:p>
        </w:tc>
        <w:tc>
          <w:tcPr>
            <w:tcW w:w="460" w:type="pct"/>
            <w:tcBorders>
              <w:bottom w:val="double" w:sz="4" w:space="0" w:color="948A54" w:themeColor="background2" w:themeShade="80"/>
            </w:tcBorders>
            <w:shd w:val="clear" w:color="auto" w:fill="EEECE1" w:themeFill="background2"/>
          </w:tcPr>
          <w:p w:rsidR="006F26E8" w:rsidRPr="005F120D" w:rsidRDefault="006F26E8" w:rsidP="00FE4377">
            <w:pPr>
              <w:autoSpaceDE w:val="0"/>
              <w:autoSpaceDN w:val="0"/>
              <w:adjustRightInd w:val="0"/>
              <w:spacing w:after="0"/>
              <w:jc w:val="center"/>
              <w:rPr>
                <w:rFonts w:asciiTheme="minorHAnsi" w:hAnsiTheme="minorHAnsi" w:cstheme="minorHAnsi"/>
                <w:bCs/>
                <w:sz w:val="18"/>
                <w:szCs w:val="18"/>
              </w:rPr>
            </w:pPr>
            <w:r w:rsidRPr="005F120D">
              <w:rPr>
                <w:rFonts w:asciiTheme="minorHAnsi" w:hAnsiTheme="minorHAnsi" w:cstheme="minorHAnsi"/>
                <w:bCs/>
                <w:sz w:val="18"/>
                <w:szCs w:val="18"/>
              </w:rPr>
              <w:t>Financial</w:t>
            </w:r>
          </w:p>
        </w:tc>
        <w:tc>
          <w:tcPr>
            <w:tcW w:w="556" w:type="pct"/>
            <w:tcBorders>
              <w:bottom w:val="double" w:sz="4" w:space="0" w:color="948A54" w:themeColor="background2" w:themeShade="80"/>
            </w:tcBorders>
            <w:shd w:val="clear" w:color="auto" w:fill="EEECE1" w:themeFill="background2"/>
          </w:tcPr>
          <w:p w:rsidR="006F26E8" w:rsidRPr="005F120D" w:rsidRDefault="006F26E8" w:rsidP="00FE4377">
            <w:pPr>
              <w:tabs>
                <w:tab w:val="center" w:pos="444"/>
              </w:tabs>
              <w:autoSpaceDE w:val="0"/>
              <w:autoSpaceDN w:val="0"/>
              <w:adjustRightInd w:val="0"/>
              <w:spacing w:after="0"/>
              <w:jc w:val="center"/>
              <w:rPr>
                <w:rFonts w:asciiTheme="minorHAnsi" w:hAnsiTheme="minorHAnsi" w:cstheme="minorHAnsi"/>
                <w:bCs/>
                <w:sz w:val="18"/>
                <w:szCs w:val="18"/>
              </w:rPr>
            </w:pPr>
            <w:r w:rsidRPr="005F120D">
              <w:rPr>
                <w:rFonts w:asciiTheme="minorHAnsi" w:hAnsiTheme="minorHAnsi" w:cstheme="minorHAnsi"/>
                <w:bCs/>
                <w:sz w:val="18"/>
                <w:szCs w:val="18"/>
              </w:rPr>
              <w:t>Physical</w:t>
            </w:r>
          </w:p>
        </w:tc>
        <w:tc>
          <w:tcPr>
            <w:tcW w:w="468" w:type="pct"/>
            <w:tcBorders>
              <w:bottom w:val="double" w:sz="4" w:space="0" w:color="948A54" w:themeColor="background2" w:themeShade="80"/>
            </w:tcBorders>
            <w:shd w:val="clear" w:color="auto" w:fill="EEECE1" w:themeFill="background2"/>
          </w:tcPr>
          <w:p w:rsidR="006F26E8" w:rsidRPr="005F120D" w:rsidRDefault="006F26E8" w:rsidP="00FE4377">
            <w:pPr>
              <w:autoSpaceDE w:val="0"/>
              <w:autoSpaceDN w:val="0"/>
              <w:adjustRightInd w:val="0"/>
              <w:spacing w:after="0"/>
              <w:jc w:val="center"/>
              <w:rPr>
                <w:rFonts w:asciiTheme="minorHAnsi" w:hAnsiTheme="minorHAnsi" w:cstheme="minorHAnsi"/>
                <w:bCs/>
                <w:sz w:val="18"/>
                <w:szCs w:val="18"/>
              </w:rPr>
            </w:pPr>
            <w:r w:rsidRPr="005F120D">
              <w:rPr>
                <w:rFonts w:asciiTheme="minorHAnsi" w:hAnsiTheme="minorHAnsi" w:cstheme="minorHAnsi"/>
                <w:bCs/>
                <w:sz w:val="18"/>
                <w:szCs w:val="18"/>
              </w:rPr>
              <w:t>Financial</w:t>
            </w:r>
          </w:p>
        </w:tc>
        <w:tc>
          <w:tcPr>
            <w:tcW w:w="446" w:type="pct"/>
            <w:tcBorders>
              <w:bottom w:val="double" w:sz="4" w:space="0" w:color="948A54" w:themeColor="background2" w:themeShade="80"/>
            </w:tcBorders>
            <w:shd w:val="clear" w:color="auto" w:fill="EEECE1" w:themeFill="background2"/>
          </w:tcPr>
          <w:p w:rsidR="006F26E8" w:rsidRPr="005F120D" w:rsidRDefault="006F26E8" w:rsidP="00FE4377">
            <w:pPr>
              <w:tabs>
                <w:tab w:val="center" w:pos="444"/>
              </w:tabs>
              <w:autoSpaceDE w:val="0"/>
              <w:autoSpaceDN w:val="0"/>
              <w:adjustRightInd w:val="0"/>
              <w:spacing w:after="0"/>
              <w:jc w:val="center"/>
              <w:rPr>
                <w:rFonts w:asciiTheme="minorHAnsi" w:hAnsiTheme="minorHAnsi" w:cstheme="minorHAnsi"/>
                <w:bCs/>
                <w:sz w:val="18"/>
                <w:szCs w:val="18"/>
              </w:rPr>
            </w:pPr>
            <w:r w:rsidRPr="005F120D">
              <w:rPr>
                <w:rFonts w:asciiTheme="minorHAnsi" w:hAnsiTheme="minorHAnsi" w:cstheme="minorHAnsi"/>
                <w:bCs/>
                <w:sz w:val="18"/>
                <w:szCs w:val="18"/>
              </w:rPr>
              <w:t>Physical</w:t>
            </w:r>
          </w:p>
        </w:tc>
        <w:tc>
          <w:tcPr>
            <w:tcW w:w="522" w:type="pct"/>
            <w:tcBorders>
              <w:bottom w:val="double" w:sz="4" w:space="0" w:color="948A54" w:themeColor="background2" w:themeShade="80"/>
            </w:tcBorders>
            <w:shd w:val="clear" w:color="auto" w:fill="EEECE1" w:themeFill="background2"/>
          </w:tcPr>
          <w:p w:rsidR="006F26E8" w:rsidRPr="005F120D" w:rsidRDefault="006F26E8" w:rsidP="00FE4377">
            <w:pPr>
              <w:autoSpaceDE w:val="0"/>
              <w:autoSpaceDN w:val="0"/>
              <w:adjustRightInd w:val="0"/>
              <w:spacing w:after="0"/>
              <w:jc w:val="center"/>
              <w:rPr>
                <w:rFonts w:asciiTheme="minorHAnsi" w:hAnsiTheme="minorHAnsi" w:cstheme="minorHAnsi"/>
                <w:bCs/>
                <w:sz w:val="18"/>
                <w:szCs w:val="18"/>
              </w:rPr>
            </w:pPr>
            <w:r w:rsidRPr="005F120D">
              <w:rPr>
                <w:rFonts w:asciiTheme="minorHAnsi" w:hAnsiTheme="minorHAnsi" w:cstheme="minorHAnsi"/>
                <w:bCs/>
                <w:sz w:val="18"/>
                <w:szCs w:val="18"/>
              </w:rPr>
              <w:t>Financial</w:t>
            </w:r>
          </w:p>
        </w:tc>
        <w:tc>
          <w:tcPr>
            <w:tcW w:w="662" w:type="pct"/>
            <w:vMerge/>
            <w:tcBorders>
              <w:bottom w:val="double" w:sz="4"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p>
        </w:tc>
        <w:tc>
          <w:tcPr>
            <w:tcW w:w="469" w:type="pct"/>
            <w:vMerge/>
            <w:tcBorders>
              <w:bottom w:val="double" w:sz="4"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p>
        </w:tc>
      </w:tr>
      <w:tr w:rsidR="006F26E8" w:rsidRPr="005F120D" w:rsidTr="00FE4377">
        <w:trPr>
          <w:trHeight w:val="282"/>
        </w:trPr>
        <w:tc>
          <w:tcPr>
            <w:tcW w:w="992" w:type="pct"/>
            <w:tcBorders>
              <w:top w:val="double" w:sz="4" w:space="0" w:color="948A54" w:themeColor="background2" w:themeShade="80"/>
              <w:bottom w:val="single" w:sz="6" w:space="0" w:color="948A54" w:themeColor="background2" w:themeShade="80"/>
            </w:tcBorders>
          </w:tcPr>
          <w:p w:rsidR="006F26E8" w:rsidRPr="005F120D" w:rsidRDefault="006F26E8" w:rsidP="00FE4377">
            <w:pPr>
              <w:spacing w:after="0"/>
              <w:rPr>
                <w:rFonts w:asciiTheme="minorHAnsi" w:hAnsiTheme="minorHAnsi" w:cstheme="minorHAnsi"/>
                <w:sz w:val="18"/>
                <w:szCs w:val="18"/>
              </w:rPr>
            </w:pPr>
            <w:r w:rsidRPr="005F120D">
              <w:rPr>
                <w:rFonts w:asciiTheme="minorHAnsi" w:hAnsiTheme="minorHAnsi" w:cstheme="minorHAnsi"/>
                <w:sz w:val="18"/>
                <w:szCs w:val="18"/>
              </w:rPr>
              <w:t>1.Study on PPP</w:t>
            </w:r>
          </w:p>
        </w:tc>
        <w:tc>
          <w:tcPr>
            <w:tcW w:w="428" w:type="pct"/>
            <w:tcBorders>
              <w:top w:val="double" w:sz="4"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5+1</w:t>
            </w:r>
          </w:p>
        </w:tc>
        <w:tc>
          <w:tcPr>
            <w:tcW w:w="460" w:type="pct"/>
            <w:tcBorders>
              <w:top w:val="double" w:sz="4"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102.00</w:t>
            </w:r>
          </w:p>
        </w:tc>
        <w:tc>
          <w:tcPr>
            <w:tcW w:w="556" w:type="pct"/>
            <w:tcBorders>
              <w:top w:val="double" w:sz="4"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w:t>
            </w:r>
          </w:p>
        </w:tc>
        <w:tc>
          <w:tcPr>
            <w:tcW w:w="468" w:type="pct"/>
            <w:tcBorders>
              <w:top w:val="double" w:sz="4"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446" w:type="pct"/>
            <w:tcBorders>
              <w:top w:val="double" w:sz="4"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p>
        </w:tc>
        <w:tc>
          <w:tcPr>
            <w:tcW w:w="522" w:type="pct"/>
            <w:tcBorders>
              <w:top w:val="double" w:sz="4"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662" w:type="pct"/>
            <w:tcBorders>
              <w:top w:val="double" w:sz="4"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469" w:type="pct"/>
            <w:tcBorders>
              <w:top w:val="double" w:sz="4"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p>
        </w:tc>
      </w:tr>
      <w:tr w:rsidR="006F26E8" w:rsidRPr="005F120D" w:rsidTr="00FE4377">
        <w:trPr>
          <w:trHeight w:val="282"/>
        </w:trPr>
        <w:tc>
          <w:tcPr>
            <w:tcW w:w="992"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rPr>
                <w:rFonts w:asciiTheme="minorHAnsi" w:hAnsiTheme="minorHAnsi" w:cstheme="minorHAnsi"/>
                <w:sz w:val="18"/>
                <w:szCs w:val="18"/>
              </w:rPr>
            </w:pPr>
            <w:r w:rsidRPr="005F120D">
              <w:rPr>
                <w:rFonts w:asciiTheme="minorHAnsi" w:hAnsiTheme="minorHAnsi" w:cstheme="minorHAnsi"/>
                <w:sz w:val="18"/>
                <w:szCs w:val="18"/>
              </w:rPr>
              <w:t>2. Workshop</w:t>
            </w:r>
            <w:r w:rsidR="00DA5F89" w:rsidRPr="005F120D">
              <w:rPr>
                <w:rFonts w:asciiTheme="minorHAnsi" w:hAnsiTheme="minorHAnsi" w:cstheme="minorHAnsi"/>
                <w:sz w:val="18"/>
                <w:szCs w:val="18"/>
              </w:rPr>
              <w:t>s</w:t>
            </w:r>
            <w:r w:rsidRPr="005F120D">
              <w:rPr>
                <w:rFonts w:asciiTheme="minorHAnsi" w:hAnsiTheme="minorHAnsi" w:cstheme="minorHAnsi"/>
                <w:sz w:val="18"/>
                <w:szCs w:val="18"/>
              </w:rPr>
              <w:t xml:space="preserve"> on PPP</w:t>
            </w:r>
          </w:p>
        </w:tc>
        <w:tc>
          <w:tcPr>
            <w:tcW w:w="428"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460"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556"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Workshops</w:t>
            </w:r>
          </w:p>
        </w:tc>
        <w:tc>
          <w:tcPr>
            <w:tcW w:w="468"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5.00</w:t>
            </w:r>
          </w:p>
        </w:tc>
        <w:tc>
          <w:tcPr>
            <w:tcW w:w="446"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p>
        </w:tc>
        <w:tc>
          <w:tcPr>
            <w:tcW w:w="522"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662"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5.00</w:t>
            </w:r>
          </w:p>
        </w:tc>
        <w:tc>
          <w:tcPr>
            <w:tcW w:w="469"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p>
        </w:tc>
      </w:tr>
      <w:tr w:rsidR="006F26E8" w:rsidRPr="005F120D" w:rsidTr="00FE4377">
        <w:trPr>
          <w:trHeight w:val="255"/>
        </w:trPr>
        <w:tc>
          <w:tcPr>
            <w:tcW w:w="992"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rPr>
                <w:rFonts w:asciiTheme="minorHAnsi" w:hAnsiTheme="minorHAnsi" w:cstheme="minorHAnsi"/>
                <w:sz w:val="18"/>
                <w:szCs w:val="18"/>
              </w:rPr>
            </w:pPr>
            <w:r w:rsidRPr="005F120D">
              <w:rPr>
                <w:rFonts w:asciiTheme="minorHAnsi" w:hAnsiTheme="minorHAnsi" w:cstheme="minorHAnsi"/>
                <w:sz w:val="18"/>
                <w:szCs w:val="18"/>
              </w:rPr>
              <w:t>3. PPP</w:t>
            </w:r>
          </w:p>
        </w:tc>
        <w:tc>
          <w:tcPr>
            <w:tcW w:w="428"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w:t>
            </w:r>
          </w:p>
        </w:tc>
        <w:tc>
          <w:tcPr>
            <w:tcW w:w="460"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556"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Workshops</w:t>
            </w:r>
          </w:p>
        </w:tc>
        <w:tc>
          <w:tcPr>
            <w:tcW w:w="468"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2,500.00</w:t>
            </w:r>
          </w:p>
        </w:tc>
        <w:tc>
          <w:tcPr>
            <w:tcW w:w="446"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p>
        </w:tc>
        <w:tc>
          <w:tcPr>
            <w:tcW w:w="522"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662"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r w:rsidRPr="005F120D">
              <w:rPr>
                <w:rFonts w:asciiTheme="minorHAnsi" w:hAnsiTheme="minorHAnsi" w:cstheme="minorHAnsi"/>
                <w:sz w:val="18"/>
                <w:szCs w:val="18"/>
              </w:rPr>
              <w:t>2,500.00</w:t>
            </w:r>
          </w:p>
        </w:tc>
        <w:tc>
          <w:tcPr>
            <w:tcW w:w="469" w:type="pct"/>
            <w:tcBorders>
              <w:top w:val="single" w:sz="6" w:space="0" w:color="948A54" w:themeColor="background2" w:themeShade="80"/>
              <w:bottom w:val="single" w:sz="6" w:space="0" w:color="948A54" w:themeColor="background2" w:themeShade="80"/>
            </w:tcBorders>
          </w:tcPr>
          <w:p w:rsidR="006F26E8" w:rsidRPr="005F120D" w:rsidRDefault="006F26E8" w:rsidP="00FE4377">
            <w:pPr>
              <w:spacing w:after="0"/>
              <w:jc w:val="center"/>
              <w:rPr>
                <w:rFonts w:asciiTheme="minorHAnsi" w:hAnsiTheme="minorHAnsi" w:cstheme="minorHAnsi"/>
                <w:sz w:val="18"/>
                <w:szCs w:val="18"/>
              </w:rPr>
            </w:pPr>
          </w:p>
        </w:tc>
      </w:tr>
      <w:tr w:rsidR="006F26E8" w:rsidRPr="005F120D" w:rsidTr="00FE4377">
        <w:tc>
          <w:tcPr>
            <w:tcW w:w="992" w:type="pct"/>
            <w:tcBorders>
              <w:top w:val="double" w:sz="4" w:space="0" w:color="948A54" w:themeColor="background2" w:themeShade="80"/>
            </w:tcBorders>
            <w:shd w:val="clear" w:color="auto" w:fill="EEECE1" w:themeFill="background2"/>
            <w:vAlign w:val="center"/>
          </w:tcPr>
          <w:p w:rsidR="006F26E8" w:rsidRPr="005F120D" w:rsidRDefault="006F26E8" w:rsidP="00FE4377">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lastRenderedPageBreak/>
              <w:t>Total</w:t>
            </w:r>
          </w:p>
        </w:tc>
        <w:tc>
          <w:tcPr>
            <w:tcW w:w="428" w:type="pct"/>
            <w:tcBorders>
              <w:top w:val="double" w:sz="4" w:space="0" w:color="948A54" w:themeColor="background2" w:themeShade="80"/>
            </w:tcBorders>
            <w:shd w:val="clear" w:color="auto" w:fill="EEECE1" w:themeFill="background2"/>
            <w:vAlign w:val="center"/>
          </w:tcPr>
          <w:p w:rsidR="006F26E8" w:rsidRPr="005F120D" w:rsidRDefault="006F26E8" w:rsidP="00FE4377">
            <w:pPr>
              <w:spacing w:after="0"/>
              <w:jc w:val="center"/>
              <w:rPr>
                <w:rFonts w:asciiTheme="minorHAnsi" w:hAnsiTheme="minorHAnsi" w:cstheme="minorHAnsi"/>
                <w:b/>
                <w:sz w:val="18"/>
                <w:szCs w:val="18"/>
              </w:rPr>
            </w:pPr>
          </w:p>
        </w:tc>
        <w:tc>
          <w:tcPr>
            <w:tcW w:w="460" w:type="pct"/>
            <w:tcBorders>
              <w:top w:val="double" w:sz="4" w:space="0" w:color="948A54" w:themeColor="background2" w:themeShade="80"/>
            </w:tcBorders>
            <w:shd w:val="clear" w:color="auto" w:fill="EEECE1" w:themeFill="background2"/>
          </w:tcPr>
          <w:p w:rsidR="006F26E8" w:rsidRPr="005F120D" w:rsidRDefault="006F26E8" w:rsidP="00FE4377">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102.00</w:t>
            </w:r>
          </w:p>
        </w:tc>
        <w:tc>
          <w:tcPr>
            <w:tcW w:w="556" w:type="pct"/>
            <w:tcBorders>
              <w:top w:val="double" w:sz="4" w:space="0" w:color="948A54" w:themeColor="background2" w:themeShade="80"/>
            </w:tcBorders>
            <w:shd w:val="clear" w:color="auto" w:fill="EEECE1" w:themeFill="background2"/>
            <w:vAlign w:val="center"/>
          </w:tcPr>
          <w:p w:rsidR="006F26E8" w:rsidRPr="005F120D" w:rsidRDefault="006F26E8" w:rsidP="00FE4377">
            <w:pPr>
              <w:spacing w:after="0"/>
              <w:jc w:val="center"/>
              <w:rPr>
                <w:rFonts w:asciiTheme="minorHAnsi" w:hAnsiTheme="minorHAnsi" w:cstheme="minorHAnsi"/>
                <w:b/>
                <w:sz w:val="18"/>
                <w:szCs w:val="18"/>
              </w:rPr>
            </w:pPr>
          </w:p>
        </w:tc>
        <w:tc>
          <w:tcPr>
            <w:tcW w:w="468" w:type="pct"/>
            <w:tcBorders>
              <w:top w:val="double" w:sz="4" w:space="0" w:color="948A54" w:themeColor="background2" w:themeShade="80"/>
            </w:tcBorders>
            <w:shd w:val="clear" w:color="auto" w:fill="EEECE1" w:themeFill="background2"/>
          </w:tcPr>
          <w:p w:rsidR="006F26E8" w:rsidRPr="005F120D" w:rsidRDefault="006F26E8" w:rsidP="00FE4377">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2,505.00</w:t>
            </w:r>
          </w:p>
        </w:tc>
        <w:tc>
          <w:tcPr>
            <w:tcW w:w="446" w:type="pct"/>
            <w:tcBorders>
              <w:top w:val="double" w:sz="4" w:space="0" w:color="948A54" w:themeColor="background2" w:themeShade="80"/>
            </w:tcBorders>
            <w:shd w:val="clear" w:color="auto" w:fill="EEECE1" w:themeFill="background2"/>
            <w:vAlign w:val="center"/>
          </w:tcPr>
          <w:p w:rsidR="006F26E8" w:rsidRPr="005F120D" w:rsidRDefault="006F26E8" w:rsidP="00FE4377">
            <w:pPr>
              <w:spacing w:after="0"/>
              <w:jc w:val="center"/>
              <w:rPr>
                <w:rFonts w:asciiTheme="minorHAnsi" w:hAnsiTheme="minorHAnsi" w:cstheme="minorHAnsi"/>
                <w:b/>
                <w:bCs/>
                <w:sz w:val="18"/>
                <w:szCs w:val="18"/>
              </w:rPr>
            </w:pPr>
          </w:p>
        </w:tc>
        <w:tc>
          <w:tcPr>
            <w:tcW w:w="522" w:type="pct"/>
            <w:tcBorders>
              <w:top w:val="double" w:sz="4" w:space="0" w:color="948A54" w:themeColor="background2" w:themeShade="80"/>
            </w:tcBorders>
            <w:shd w:val="clear" w:color="auto" w:fill="EEECE1" w:themeFill="background2"/>
          </w:tcPr>
          <w:p w:rsidR="006F26E8" w:rsidRPr="005F120D" w:rsidRDefault="006F26E8" w:rsidP="00FE4377">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0.00</w:t>
            </w:r>
          </w:p>
        </w:tc>
        <w:tc>
          <w:tcPr>
            <w:tcW w:w="662" w:type="pct"/>
            <w:tcBorders>
              <w:top w:val="double" w:sz="4" w:space="0" w:color="948A54" w:themeColor="background2" w:themeShade="80"/>
            </w:tcBorders>
            <w:shd w:val="clear" w:color="auto" w:fill="EEECE1" w:themeFill="background2"/>
            <w:vAlign w:val="center"/>
          </w:tcPr>
          <w:p w:rsidR="006F26E8" w:rsidRPr="005F120D" w:rsidRDefault="006F26E8" w:rsidP="00FE4377">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2,050.00</w:t>
            </w:r>
          </w:p>
        </w:tc>
        <w:tc>
          <w:tcPr>
            <w:tcW w:w="469" w:type="pct"/>
            <w:tcBorders>
              <w:top w:val="double" w:sz="4" w:space="0" w:color="948A54" w:themeColor="background2" w:themeShade="80"/>
            </w:tcBorders>
            <w:shd w:val="clear" w:color="auto" w:fill="EEECE1" w:themeFill="background2"/>
            <w:vAlign w:val="center"/>
          </w:tcPr>
          <w:p w:rsidR="006F26E8" w:rsidRPr="005F120D" w:rsidRDefault="006F26E8" w:rsidP="00FE4377">
            <w:pPr>
              <w:spacing w:after="0"/>
              <w:jc w:val="center"/>
              <w:rPr>
                <w:rFonts w:asciiTheme="minorHAnsi" w:hAnsiTheme="minorHAnsi" w:cstheme="minorHAnsi"/>
                <w:b/>
                <w:sz w:val="18"/>
                <w:szCs w:val="18"/>
              </w:rPr>
            </w:pPr>
          </w:p>
        </w:tc>
      </w:tr>
    </w:tbl>
    <w:p w:rsidR="005050B4" w:rsidRPr="005F120D" w:rsidRDefault="00CA6F66" w:rsidP="000A5B80">
      <w:pPr>
        <w:autoSpaceDE w:val="0"/>
        <w:autoSpaceDN w:val="0"/>
        <w:adjustRightInd w:val="0"/>
        <w:rPr>
          <w:rFonts w:asciiTheme="minorHAnsi" w:hAnsiTheme="minorHAnsi" w:cstheme="minorHAnsi"/>
          <w:b/>
          <w:sz w:val="18"/>
          <w:szCs w:val="18"/>
        </w:rPr>
      </w:pPr>
      <w:r w:rsidRPr="005F120D">
        <w:rPr>
          <w:rFonts w:asciiTheme="minorHAnsi" w:hAnsiTheme="minorHAnsi" w:cstheme="minorHAnsi"/>
          <w:b/>
          <w:bCs/>
          <w:i/>
          <w:sz w:val="18"/>
          <w:szCs w:val="18"/>
        </w:rPr>
        <w:t>Note: The achievements of Result Area 4 are measured through 2 Non-KPIs (11and12) at the outcome level and 14 subcomponent indicators at the output level</w:t>
      </w:r>
      <w:r w:rsidR="006F26E8" w:rsidRPr="005F120D">
        <w:rPr>
          <w:rFonts w:asciiTheme="minorHAnsi" w:hAnsiTheme="minorHAnsi" w:cstheme="minorHAnsi"/>
          <w:b/>
          <w:bCs/>
          <w:i/>
          <w:sz w:val="18"/>
          <w:szCs w:val="18"/>
        </w:rPr>
        <w:t>.</w:t>
      </w:r>
    </w:p>
    <w:p w:rsidR="005351D1" w:rsidRPr="005F120D" w:rsidRDefault="005351D1" w:rsidP="00C437AA">
      <w:pPr>
        <w:spacing w:before="240" w:line="276" w:lineRule="auto"/>
        <w:jc w:val="both"/>
        <w:rPr>
          <w:rFonts w:asciiTheme="minorHAnsi" w:hAnsiTheme="minorHAnsi" w:cstheme="minorHAnsi"/>
          <w:b/>
          <w:color w:val="3333CC"/>
          <w:szCs w:val="22"/>
        </w:rPr>
      </w:pPr>
      <w:r w:rsidRPr="005F120D">
        <w:rPr>
          <w:rFonts w:asciiTheme="minorHAnsi" w:hAnsiTheme="minorHAnsi" w:cstheme="minorHAnsi"/>
          <w:b/>
          <w:color w:val="3333CC"/>
          <w:szCs w:val="22"/>
        </w:rPr>
        <w:t>Overall Status of Implementation of Sub-component</w:t>
      </w:r>
      <w:r w:rsidR="00862E31" w:rsidRPr="005F120D">
        <w:rPr>
          <w:rFonts w:asciiTheme="minorHAnsi" w:hAnsiTheme="minorHAnsi" w:cstheme="minorHAnsi"/>
          <w:b/>
          <w:color w:val="3333CC"/>
          <w:szCs w:val="22"/>
        </w:rPr>
        <w:t>s</w:t>
      </w:r>
      <w:r w:rsidRPr="005F120D">
        <w:rPr>
          <w:rFonts w:asciiTheme="minorHAnsi" w:hAnsiTheme="minorHAnsi" w:cstheme="minorHAnsi"/>
          <w:b/>
          <w:color w:val="3333CC"/>
          <w:szCs w:val="22"/>
        </w:rPr>
        <w:t>:</w:t>
      </w:r>
    </w:p>
    <w:p w:rsidR="00104535" w:rsidRPr="005F120D" w:rsidRDefault="007D75C1" w:rsidP="00C437AA">
      <w:pPr>
        <w:spacing w:before="240" w:line="276" w:lineRule="auto"/>
        <w:jc w:val="both"/>
        <w:rPr>
          <w:rFonts w:asciiTheme="minorHAnsi" w:hAnsiTheme="minorHAnsi" w:cstheme="minorHAnsi"/>
          <w:szCs w:val="22"/>
        </w:rPr>
      </w:pPr>
      <w:r w:rsidRPr="005F120D">
        <w:rPr>
          <w:rFonts w:asciiTheme="minorHAnsi" w:hAnsiTheme="minorHAnsi" w:cstheme="minorHAnsi"/>
          <w:szCs w:val="22"/>
        </w:rPr>
        <w:t>It must be mentioned that, out of 29 subcomponents, 14 sub-components show steady progress, 7 sub-components indicate moderate progress and 8 sub-components have</w:t>
      </w:r>
      <w:r w:rsidR="00814478" w:rsidRPr="005F120D">
        <w:rPr>
          <w:rFonts w:asciiTheme="minorHAnsi" w:hAnsiTheme="minorHAnsi" w:cstheme="minorHAnsi"/>
          <w:szCs w:val="22"/>
        </w:rPr>
        <w:t xml:space="preserve"> made</w:t>
      </w:r>
      <w:r w:rsidRPr="005F120D">
        <w:rPr>
          <w:rFonts w:asciiTheme="minorHAnsi" w:hAnsiTheme="minorHAnsi" w:cstheme="minorHAnsi"/>
          <w:szCs w:val="22"/>
        </w:rPr>
        <w:t xml:space="preserve"> limited progress against their individual set targets as reflected in the </w:t>
      </w:r>
      <w:r w:rsidR="005351D1" w:rsidRPr="005F120D">
        <w:rPr>
          <w:rFonts w:asciiTheme="minorHAnsi" w:hAnsiTheme="minorHAnsi" w:cstheme="minorHAnsi"/>
          <w:szCs w:val="22"/>
        </w:rPr>
        <w:t>PEDP3 R</w:t>
      </w:r>
      <w:r w:rsidRPr="005F120D">
        <w:rPr>
          <w:rFonts w:asciiTheme="minorHAnsi" w:hAnsiTheme="minorHAnsi" w:cstheme="minorHAnsi"/>
          <w:szCs w:val="22"/>
        </w:rPr>
        <w:t>evised result matrix in 2014 (see Table 2.35) as of March 2016. It is necessary to accelerate the implementation of moderate and limited achievement of sub-components in the final year of PEDP3</w:t>
      </w:r>
      <w:r w:rsidR="003A6695" w:rsidRPr="005F120D">
        <w:rPr>
          <w:rFonts w:asciiTheme="minorHAnsi" w:hAnsiTheme="minorHAnsi" w:cstheme="minorHAnsi"/>
          <w:szCs w:val="22"/>
        </w:rPr>
        <w:t>.</w:t>
      </w:r>
    </w:p>
    <w:p w:rsidR="00104535" w:rsidRPr="005F120D" w:rsidRDefault="00104535" w:rsidP="00C437AA">
      <w:pPr>
        <w:pStyle w:val="Caption"/>
        <w:spacing w:line="276" w:lineRule="auto"/>
        <w:rPr>
          <w:rFonts w:cstheme="minorHAnsi"/>
          <w:szCs w:val="22"/>
        </w:rPr>
      </w:pPr>
      <w:bookmarkStart w:id="106" w:name="_Toc462837257"/>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35</w:t>
      </w:r>
      <w:r w:rsidR="002E2ED5" w:rsidRPr="005F120D">
        <w:rPr>
          <w:rFonts w:cstheme="minorHAnsi"/>
        </w:rPr>
        <w:fldChar w:fldCharType="end"/>
      </w:r>
      <w:r w:rsidRPr="005F120D">
        <w:rPr>
          <w:rFonts w:cstheme="minorHAnsi"/>
        </w:rPr>
        <w:t>: Status of the Sub-components</w:t>
      </w:r>
      <w:r w:rsidR="000B6B31" w:rsidRPr="005F120D">
        <w:rPr>
          <w:rFonts w:cstheme="minorHAnsi"/>
        </w:rPr>
        <w:t xml:space="preserve"> based on their Implementation</w:t>
      </w:r>
      <w:r w:rsidRPr="005F120D">
        <w:rPr>
          <w:rFonts w:cstheme="minorHAnsi"/>
        </w:rPr>
        <w:t xml:space="preserve"> 2015</w:t>
      </w:r>
      <w:bookmarkEnd w:id="106"/>
    </w:p>
    <w:tbl>
      <w:tblPr>
        <w:tblStyle w:val="TableGrid"/>
        <w:tblW w:w="0" w:type="auto"/>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double" w:sz="4" w:space="0" w:color="948A54" w:themeColor="background2" w:themeShade="80"/>
          <w:insideV w:val="double" w:sz="4" w:space="0" w:color="948A54" w:themeColor="background2" w:themeShade="80"/>
        </w:tblBorders>
        <w:tblLook w:val="04A0"/>
      </w:tblPr>
      <w:tblGrid>
        <w:gridCol w:w="3618"/>
        <w:gridCol w:w="2544"/>
        <w:gridCol w:w="3081"/>
      </w:tblGrid>
      <w:tr w:rsidR="00104535" w:rsidRPr="005F120D" w:rsidTr="000D6799">
        <w:tc>
          <w:tcPr>
            <w:tcW w:w="3618" w:type="dxa"/>
          </w:tcPr>
          <w:p w:rsidR="00104535" w:rsidRPr="005F120D" w:rsidRDefault="005050B4" w:rsidP="006D1AB0">
            <w:pPr>
              <w:spacing w:after="0" w:line="276" w:lineRule="auto"/>
              <w:jc w:val="center"/>
              <w:rPr>
                <w:rFonts w:asciiTheme="minorHAnsi" w:hAnsiTheme="minorHAnsi" w:cstheme="minorHAnsi"/>
                <w:b/>
              </w:rPr>
            </w:pPr>
            <w:r w:rsidRPr="005F120D">
              <w:rPr>
                <w:rFonts w:asciiTheme="minorHAnsi" w:hAnsiTheme="minorHAnsi" w:cstheme="minorHAnsi"/>
                <w:b/>
              </w:rPr>
              <w:br w:type="page"/>
            </w:r>
            <w:r w:rsidR="006D1AB0">
              <w:rPr>
                <w:rFonts w:asciiTheme="minorHAnsi" w:hAnsiTheme="minorHAnsi" w:cstheme="minorHAnsi"/>
                <w:b/>
              </w:rPr>
              <w:t xml:space="preserve">Significant </w:t>
            </w:r>
            <w:r w:rsidR="00104535" w:rsidRPr="005F120D">
              <w:rPr>
                <w:rFonts w:asciiTheme="minorHAnsi" w:hAnsiTheme="minorHAnsi" w:cstheme="minorHAnsi"/>
                <w:b/>
              </w:rPr>
              <w:t>Achievement</w:t>
            </w:r>
            <w:r w:rsidR="006D1AB0">
              <w:rPr>
                <w:rFonts w:asciiTheme="minorHAnsi" w:hAnsiTheme="minorHAnsi" w:cstheme="minorHAnsi"/>
                <w:b/>
              </w:rPr>
              <w:t>s</w:t>
            </w:r>
          </w:p>
        </w:tc>
        <w:tc>
          <w:tcPr>
            <w:tcW w:w="2544" w:type="dxa"/>
          </w:tcPr>
          <w:p w:rsidR="00104535" w:rsidRPr="005F120D" w:rsidRDefault="00104535" w:rsidP="00C437AA">
            <w:pPr>
              <w:spacing w:after="0" w:line="276" w:lineRule="auto"/>
              <w:jc w:val="center"/>
              <w:rPr>
                <w:rFonts w:asciiTheme="minorHAnsi" w:hAnsiTheme="minorHAnsi" w:cstheme="minorHAnsi"/>
                <w:b/>
              </w:rPr>
            </w:pPr>
            <w:r w:rsidRPr="005F120D">
              <w:rPr>
                <w:rFonts w:asciiTheme="minorHAnsi" w:hAnsiTheme="minorHAnsi" w:cstheme="minorHAnsi"/>
                <w:b/>
              </w:rPr>
              <w:t>Moderate Achievement</w:t>
            </w:r>
            <w:r w:rsidR="006D1AB0">
              <w:rPr>
                <w:rFonts w:asciiTheme="minorHAnsi" w:hAnsiTheme="minorHAnsi" w:cstheme="minorHAnsi"/>
                <w:b/>
              </w:rPr>
              <w:t>s</w:t>
            </w:r>
          </w:p>
        </w:tc>
        <w:tc>
          <w:tcPr>
            <w:tcW w:w="3081" w:type="dxa"/>
          </w:tcPr>
          <w:p w:rsidR="00104535" w:rsidRPr="005F120D" w:rsidRDefault="00104535" w:rsidP="00C437AA">
            <w:pPr>
              <w:spacing w:after="0" w:line="276" w:lineRule="auto"/>
              <w:jc w:val="center"/>
              <w:rPr>
                <w:rFonts w:asciiTheme="minorHAnsi" w:hAnsiTheme="minorHAnsi" w:cstheme="minorHAnsi"/>
                <w:b/>
                <w:color w:val="3333FF"/>
              </w:rPr>
            </w:pPr>
            <w:r w:rsidRPr="005F120D">
              <w:rPr>
                <w:rFonts w:asciiTheme="minorHAnsi" w:hAnsiTheme="minorHAnsi" w:cstheme="minorHAnsi"/>
                <w:b/>
                <w:color w:val="3333FF"/>
              </w:rPr>
              <w:t>Limited Achievement</w:t>
            </w:r>
            <w:r w:rsidR="006D1AB0">
              <w:rPr>
                <w:rFonts w:asciiTheme="minorHAnsi" w:hAnsiTheme="minorHAnsi" w:cstheme="minorHAnsi"/>
                <w:b/>
                <w:color w:val="3333FF"/>
              </w:rPr>
              <w:t>s</w:t>
            </w:r>
          </w:p>
        </w:tc>
      </w:tr>
      <w:tr w:rsidR="00104535" w:rsidRPr="005F120D" w:rsidTr="000D6799">
        <w:trPr>
          <w:trHeight w:val="170"/>
        </w:trPr>
        <w:tc>
          <w:tcPr>
            <w:tcW w:w="3618" w:type="dxa"/>
          </w:tcPr>
          <w:p w:rsidR="00104535" w:rsidRPr="005F120D" w:rsidRDefault="00104535" w:rsidP="00C437AA">
            <w:pPr>
              <w:spacing w:after="0" w:line="276" w:lineRule="auto"/>
              <w:rPr>
                <w:rFonts w:asciiTheme="minorHAnsi" w:hAnsiTheme="minorHAnsi" w:cstheme="minorHAnsi"/>
              </w:rPr>
            </w:pPr>
            <w:r w:rsidRPr="005F120D">
              <w:rPr>
                <w:rFonts w:asciiTheme="minorHAnsi" w:hAnsiTheme="minorHAnsi" w:cstheme="minorHAnsi"/>
              </w:rPr>
              <w:t>1.3</w:t>
            </w:r>
            <w:r w:rsidR="0061564A" w:rsidRPr="005F120D">
              <w:rPr>
                <w:rFonts w:asciiTheme="minorHAnsi" w:hAnsiTheme="minorHAnsi" w:cstheme="minorHAnsi"/>
              </w:rPr>
              <w:t xml:space="preserve"> Curri</w:t>
            </w:r>
            <w:r w:rsidR="00BE206A">
              <w:rPr>
                <w:rFonts w:asciiTheme="minorHAnsi" w:hAnsiTheme="minorHAnsi" w:cstheme="minorHAnsi"/>
              </w:rPr>
              <w:t>culum and Textbooks Strengthen</w:t>
            </w:r>
          </w:p>
          <w:p w:rsidR="00104535" w:rsidRPr="005F120D" w:rsidRDefault="00104535" w:rsidP="00C437AA">
            <w:pPr>
              <w:spacing w:after="0" w:line="276" w:lineRule="auto"/>
              <w:rPr>
                <w:rFonts w:asciiTheme="minorHAnsi" w:hAnsiTheme="minorHAnsi" w:cstheme="minorHAnsi"/>
              </w:rPr>
            </w:pPr>
            <w:r w:rsidRPr="005F120D">
              <w:rPr>
                <w:rFonts w:asciiTheme="minorHAnsi" w:hAnsiTheme="minorHAnsi" w:cstheme="minorHAnsi"/>
              </w:rPr>
              <w:t>1.4</w:t>
            </w:r>
            <w:r w:rsidR="0061564A" w:rsidRPr="005F120D">
              <w:rPr>
                <w:rFonts w:asciiTheme="minorHAnsi" w:hAnsiTheme="minorHAnsi" w:cstheme="minorHAnsi"/>
              </w:rPr>
              <w:t xml:space="preserve"> Production and Distribution of Textbooks</w:t>
            </w:r>
          </w:p>
          <w:p w:rsidR="00104535" w:rsidRPr="005F120D" w:rsidRDefault="00104535" w:rsidP="00C437AA">
            <w:pPr>
              <w:spacing w:after="0" w:line="276" w:lineRule="auto"/>
              <w:rPr>
                <w:rFonts w:asciiTheme="minorHAnsi" w:hAnsiTheme="minorHAnsi" w:cstheme="minorHAnsi"/>
              </w:rPr>
            </w:pPr>
            <w:r w:rsidRPr="005F120D">
              <w:rPr>
                <w:rFonts w:asciiTheme="minorHAnsi" w:hAnsiTheme="minorHAnsi" w:cstheme="minorHAnsi"/>
              </w:rPr>
              <w:t>1.5</w:t>
            </w:r>
            <w:r w:rsidR="0061564A" w:rsidRPr="005F120D">
              <w:rPr>
                <w:rFonts w:asciiTheme="minorHAnsi" w:hAnsiTheme="minorHAnsi" w:cstheme="minorHAnsi"/>
              </w:rPr>
              <w:t xml:space="preserve"> ICT in Education</w:t>
            </w:r>
          </w:p>
          <w:p w:rsidR="00104535" w:rsidRPr="005F120D" w:rsidRDefault="00104535" w:rsidP="00C437AA">
            <w:pPr>
              <w:spacing w:after="0" w:line="276" w:lineRule="auto"/>
              <w:rPr>
                <w:rFonts w:asciiTheme="minorHAnsi" w:hAnsiTheme="minorHAnsi" w:cstheme="minorHAnsi"/>
              </w:rPr>
            </w:pPr>
            <w:r w:rsidRPr="005F120D">
              <w:rPr>
                <w:rFonts w:asciiTheme="minorHAnsi" w:hAnsiTheme="minorHAnsi" w:cstheme="minorHAnsi"/>
              </w:rPr>
              <w:t>1.6</w:t>
            </w:r>
            <w:r w:rsidR="0061564A" w:rsidRPr="005F120D">
              <w:rPr>
                <w:rFonts w:asciiTheme="minorHAnsi" w:hAnsiTheme="minorHAnsi" w:cstheme="minorHAnsi"/>
              </w:rPr>
              <w:t xml:space="preserve"> Teacher Education and Development</w:t>
            </w:r>
          </w:p>
          <w:p w:rsidR="0061564A"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 xml:space="preserve">2.1.2 Pre-Primary Education </w:t>
            </w:r>
          </w:p>
          <w:p w:rsidR="0061564A"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 xml:space="preserve">2.2.1 Targeted Stipends </w:t>
            </w:r>
          </w:p>
          <w:p w:rsidR="00862E31"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 xml:space="preserve">2.2.2 School Health and School Feeding </w:t>
            </w:r>
          </w:p>
          <w:p w:rsidR="00104535"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3.2.1 Grade 5 PECE Strengthened</w:t>
            </w:r>
          </w:p>
          <w:p w:rsidR="0061564A"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 xml:space="preserve">3.2.2 Teacher Recruitment, Promotion and Deployment </w:t>
            </w:r>
          </w:p>
          <w:p w:rsidR="0061564A"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 xml:space="preserve">3.2.3 Annual Primary School Census </w:t>
            </w:r>
          </w:p>
          <w:p w:rsidR="0061564A"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 xml:space="preserve">3.2.4 National Student Assessment </w:t>
            </w:r>
          </w:p>
          <w:p w:rsidR="0061564A"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 xml:space="preserve">4.1 PEDP3 Management and Governance </w:t>
            </w:r>
          </w:p>
          <w:p w:rsidR="00104535"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4.2 PEDP3 Financial Management</w:t>
            </w:r>
          </w:p>
          <w:p w:rsidR="00104535" w:rsidRPr="005F120D" w:rsidRDefault="00104535" w:rsidP="00C437AA">
            <w:pPr>
              <w:spacing w:after="0" w:line="276" w:lineRule="auto"/>
              <w:rPr>
                <w:rFonts w:asciiTheme="minorHAnsi" w:hAnsiTheme="minorHAnsi" w:cstheme="minorHAnsi"/>
              </w:rPr>
            </w:pPr>
            <w:r w:rsidRPr="005F120D">
              <w:rPr>
                <w:rFonts w:asciiTheme="minorHAnsi" w:hAnsiTheme="minorHAnsi" w:cstheme="minorHAnsi"/>
              </w:rPr>
              <w:t>4.3</w:t>
            </w:r>
            <w:r w:rsidR="0061564A" w:rsidRPr="005F120D">
              <w:rPr>
                <w:rFonts w:asciiTheme="minorHAnsi" w:hAnsiTheme="minorHAnsi" w:cstheme="minorHAnsi"/>
              </w:rPr>
              <w:t xml:space="preserve"> Sector Finance</w:t>
            </w:r>
          </w:p>
        </w:tc>
        <w:tc>
          <w:tcPr>
            <w:tcW w:w="2544" w:type="dxa"/>
          </w:tcPr>
          <w:p w:rsidR="00104535" w:rsidRPr="005F120D" w:rsidRDefault="00104535" w:rsidP="00C437AA">
            <w:pPr>
              <w:spacing w:after="0" w:line="276" w:lineRule="auto"/>
              <w:rPr>
                <w:rFonts w:asciiTheme="minorHAnsi" w:hAnsiTheme="minorHAnsi" w:cstheme="minorHAnsi"/>
              </w:rPr>
            </w:pPr>
            <w:r w:rsidRPr="005F120D">
              <w:rPr>
                <w:rFonts w:asciiTheme="minorHAnsi" w:hAnsiTheme="minorHAnsi" w:cstheme="minorHAnsi"/>
              </w:rPr>
              <w:t>1.1</w:t>
            </w:r>
            <w:r w:rsidR="00F65D66" w:rsidRPr="005F120D">
              <w:rPr>
                <w:rFonts w:asciiTheme="minorHAnsi" w:hAnsiTheme="minorHAnsi" w:cstheme="minorHAnsi"/>
              </w:rPr>
              <w:t>Each Child Learns</w:t>
            </w:r>
          </w:p>
          <w:p w:rsidR="0098073B"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 xml:space="preserve">2.1.3 Mainstreaming Inclusive Education </w:t>
            </w:r>
          </w:p>
          <w:p w:rsidR="00104535"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2.1.4 Education in Emergencies</w:t>
            </w:r>
          </w:p>
          <w:p w:rsidR="0061564A"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 xml:space="preserve">2.2.4 Needs based Infrastructure Development </w:t>
            </w:r>
          </w:p>
          <w:p w:rsidR="0061564A"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 xml:space="preserve">3.1.1 Field Level Offices Strengthened </w:t>
            </w:r>
          </w:p>
          <w:p w:rsidR="00104535"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3.1.2 Decentralized School Management and Governance</w:t>
            </w:r>
          </w:p>
          <w:p w:rsidR="00104535" w:rsidRPr="005F120D" w:rsidRDefault="0061564A" w:rsidP="00C437AA">
            <w:pPr>
              <w:spacing w:after="0" w:line="276" w:lineRule="auto"/>
              <w:rPr>
                <w:rFonts w:asciiTheme="minorHAnsi" w:hAnsiTheme="minorHAnsi" w:cstheme="minorHAnsi"/>
              </w:rPr>
            </w:pPr>
            <w:r w:rsidRPr="005F120D">
              <w:rPr>
                <w:rFonts w:asciiTheme="minorHAnsi" w:hAnsiTheme="minorHAnsi" w:cstheme="minorHAnsi"/>
              </w:rPr>
              <w:t>3.1.3 School Level Leadership Development</w:t>
            </w:r>
          </w:p>
        </w:tc>
        <w:tc>
          <w:tcPr>
            <w:tcW w:w="3081" w:type="dxa"/>
          </w:tcPr>
          <w:p w:rsidR="00104535" w:rsidRPr="005F120D" w:rsidRDefault="00104535" w:rsidP="00C437AA">
            <w:pPr>
              <w:spacing w:after="0" w:line="276" w:lineRule="auto"/>
              <w:rPr>
                <w:rFonts w:asciiTheme="minorHAnsi" w:hAnsiTheme="minorHAnsi" w:cstheme="minorHAnsi"/>
                <w:color w:val="3333FF"/>
              </w:rPr>
            </w:pPr>
            <w:r w:rsidRPr="005F120D">
              <w:rPr>
                <w:rFonts w:asciiTheme="minorHAnsi" w:hAnsiTheme="minorHAnsi" w:cstheme="minorHAnsi"/>
                <w:color w:val="3333FF"/>
              </w:rPr>
              <w:t>1.2</w:t>
            </w:r>
            <w:r w:rsidR="0061564A" w:rsidRPr="005F120D">
              <w:rPr>
                <w:rFonts w:asciiTheme="minorHAnsi" w:hAnsiTheme="minorHAnsi" w:cstheme="minorHAnsi"/>
                <w:color w:val="3333FF"/>
              </w:rPr>
              <w:t xml:space="preserve"> School and Classroom-based Assessment</w:t>
            </w:r>
          </w:p>
          <w:p w:rsidR="00104535" w:rsidRPr="005F120D" w:rsidRDefault="00104535" w:rsidP="00C437AA">
            <w:pPr>
              <w:spacing w:after="0" w:line="276" w:lineRule="auto"/>
              <w:rPr>
                <w:rFonts w:asciiTheme="minorHAnsi" w:hAnsiTheme="minorHAnsi" w:cstheme="minorHAnsi"/>
                <w:color w:val="3333FF"/>
              </w:rPr>
            </w:pPr>
            <w:r w:rsidRPr="005F120D">
              <w:rPr>
                <w:rFonts w:asciiTheme="minorHAnsi" w:hAnsiTheme="minorHAnsi" w:cstheme="minorHAnsi"/>
                <w:color w:val="3333FF"/>
              </w:rPr>
              <w:t>2.1.1</w:t>
            </w:r>
            <w:r w:rsidR="0061564A" w:rsidRPr="005F120D">
              <w:rPr>
                <w:rFonts w:asciiTheme="minorHAnsi" w:hAnsiTheme="minorHAnsi" w:cstheme="minorHAnsi"/>
                <w:color w:val="3333FF"/>
              </w:rPr>
              <w:t xml:space="preserve"> Second chance and Alternative Education (NFE)</w:t>
            </w:r>
          </w:p>
          <w:p w:rsidR="0061564A" w:rsidRPr="005F120D" w:rsidRDefault="0061564A" w:rsidP="00C437AA">
            <w:pPr>
              <w:spacing w:after="0" w:line="276" w:lineRule="auto"/>
              <w:rPr>
                <w:rFonts w:asciiTheme="minorHAnsi" w:hAnsiTheme="minorHAnsi" w:cstheme="minorHAnsi"/>
                <w:color w:val="3333FF"/>
              </w:rPr>
            </w:pPr>
            <w:r w:rsidRPr="005F120D">
              <w:rPr>
                <w:rFonts w:asciiTheme="minorHAnsi" w:hAnsiTheme="minorHAnsi" w:cstheme="minorHAnsi"/>
                <w:color w:val="3333FF"/>
              </w:rPr>
              <w:t xml:space="preserve">2.1.5 Communications and social mobilization </w:t>
            </w:r>
          </w:p>
          <w:p w:rsidR="0061564A" w:rsidRPr="005F120D" w:rsidRDefault="0061564A" w:rsidP="00C437AA">
            <w:pPr>
              <w:spacing w:after="0" w:line="276" w:lineRule="auto"/>
              <w:rPr>
                <w:rFonts w:asciiTheme="minorHAnsi" w:hAnsiTheme="minorHAnsi" w:cstheme="minorHAnsi"/>
                <w:color w:val="3333FF"/>
              </w:rPr>
            </w:pPr>
            <w:r w:rsidRPr="005F120D">
              <w:rPr>
                <w:rFonts w:asciiTheme="minorHAnsi" w:hAnsiTheme="minorHAnsi" w:cstheme="minorHAnsi"/>
                <w:color w:val="3333FF"/>
              </w:rPr>
              <w:t xml:space="preserve">2.2.3 Needs based School Environment Improvement </w:t>
            </w:r>
          </w:p>
          <w:p w:rsidR="0061564A" w:rsidRPr="005F120D" w:rsidRDefault="0061564A" w:rsidP="00C437AA">
            <w:pPr>
              <w:spacing w:after="0" w:line="276" w:lineRule="auto"/>
              <w:rPr>
                <w:rFonts w:asciiTheme="minorHAnsi" w:hAnsiTheme="minorHAnsi" w:cstheme="minorHAnsi"/>
                <w:color w:val="3333FF"/>
              </w:rPr>
            </w:pPr>
            <w:r w:rsidRPr="005F120D">
              <w:rPr>
                <w:rFonts w:asciiTheme="minorHAnsi" w:hAnsiTheme="minorHAnsi" w:cstheme="minorHAnsi"/>
                <w:color w:val="3333FF"/>
              </w:rPr>
              <w:t xml:space="preserve">3.1.4 Organizational Review and Strengthening </w:t>
            </w:r>
          </w:p>
          <w:p w:rsidR="0061564A" w:rsidRPr="005F120D" w:rsidRDefault="0061564A" w:rsidP="00C437AA">
            <w:pPr>
              <w:spacing w:after="0" w:line="276" w:lineRule="auto"/>
              <w:rPr>
                <w:rFonts w:asciiTheme="minorHAnsi" w:hAnsiTheme="minorHAnsi" w:cstheme="minorHAnsi"/>
                <w:color w:val="3333FF"/>
              </w:rPr>
            </w:pPr>
            <w:r w:rsidRPr="005F120D">
              <w:rPr>
                <w:rFonts w:asciiTheme="minorHAnsi" w:hAnsiTheme="minorHAnsi" w:cstheme="minorHAnsi"/>
                <w:color w:val="3333FF"/>
              </w:rPr>
              <w:t xml:space="preserve">4.4 Strengthening Monitoring Functions </w:t>
            </w:r>
          </w:p>
          <w:p w:rsidR="0061564A" w:rsidRPr="005F120D" w:rsidRDefault="0061564A" w:rsidP="00C437AA">
            <w:pPr>
              <w:spacing w:after="0" w:line="276" w:lineRule="auto"/>
              <w:rPr>
                <w:rFonts w:asciiTheme="minorHAnsi" w:hAnsiTheme="minorHAnsi" w:cstheme="minorHAnsi"/>
                <w:color w:val="3333FF"/>
              </w:rPr>
            </w:pPr>
            <w:r w:rsidRPr="005F120D">
              <w:rPr>
                <w:rFonts w:asciiTheme="minorHAnsi" w:hAnsiTheme="minorHAnsi" w:cstheme="minorHAnsi"/>
                <w:color w:val="3333FF"/>
              </w:rPr>
              <w:t xml:space="preserve">4.5 Human Resource Development </w:t>
            </w:r>
          </w:p>
          <w:p w:rsidR="00104535" w:rsidRPr="005F120D" w:rsidRDefault="0061564A" w:rsidP="00C437AA">
            <w:pPr>
              <w:spacing w:after="0" w:line="276" w:lineRule="auto"/>
              <w:rPr>
                <w:rFonts w:asciiTheme="minorHAnsi" w:hAnsiTheme="minorHAnsi" w:cstheme="minorHAnsi"/>
                <w:color w:val="3333FF"/>
              </w:rPr>
            </w:pPr>
            <w:r w:rsidRPr="005F120D">
              <w:rPr>
                <w:rFonts w:asciiTheme="minorHAnsi" w:hAnsiTheme="minorHAnsi" w:cstheme="minorHAnsi"/>
                <w:color w:val="3333FF"/>
              </w:rPr>
              <w:t>4.6 Public Private Partnerships</w:t>
            </w:r>
          </w:p>
        </w:tc>
      </w:tr>
    </w:tbl>
    <w:p w:rsidR="005050B4" w:rsidRPr="005F120D" w:rsidRDefault="005050B4" w:rsidP="003F5F17">
      <w:pPr>
        <w:pStyle w:val="Heading1"/>
      </w:pPr>
      <w:bookmarkStart w:id="107" w:name="_Toc462837179"/>
      <w:r w:rsidRPr="005F120D">
        <w:lastRenderedPageBreak/>
        <w:t>Sector Performance and Outcomes</w:t>
      </w:r>
      <w:bookmarkEnd w:id="107"/>
    </w:p>
    <w:p w:rsidR="007D75C1" w:rsidRPr="005F120D" w:rsidRDefault="007D75C1" w:rsidP="00F934B1">
      <w:pPr>
        <w:jc w:val="both"/>
        <w:rPr>
          <w:rFonts w:asciiTheme="minorHAnsi" w:hAnsiTheme="minorHAnsi" w:cstheme="minorHAnsi"/>
        </w:rPr>
      </w:pPr>
      <w:r w:rsidRPr="005F120D">
        <w:rPr>
          <w:rFonts w:asciiTheme="minorHAnsi" w:hAnsiTheme="minorHAnsi" w:cstheme="minorHAnsi"/>
        </w:rPr>
        <w:t>The PEDP3 program document based on the RBM approach and expected results (Baselines and Targets) at all levels (scope, goals, purposes, objectives, impact, outcomes, and outputs) was integrated into the main and revised PEDP3 document. The scope of PEDP3 is the whole primary education sector including pre-primary, second chance and alternative education (non-formal education)</w:t>
      </w:r>
    </w:p>
    <w:p w:rsidR="005050B4" w:rsidRPr="005F120D" w:rsidRDefault="007D75C1" w:rsidP="00DF16D8">
      <w:pPr>
        <w:autoSpaceDE w:val="0"/>
        <w:autoSpaceDN w:val="0"/>
        <w:adjustRightInd w:val="0"/>
        <w:spacing w:before="240"/>
        <w:jc w:val="both"/>
        <w:rPr>
          <w:rFonts w:asciiTheme="minorHAnsi" w:hAnsiTheme="minorHAnsi" w:cstheme="minorHAnsi"/>
          <w:i/>
          <w:color w:val="3333FF"/>
          <w:sz w:val="21"/>
        </w:rPr>
      </w:pPr>
      <w:r w:rsidRPr="005F120D">
        <w:rPr>
          <w:rFonts w:asciiTheme="minorHAnsi" w:hAnsiTheme="minorHAnsi" w:cstheme="minorHAnsi"/>
        </w:rPr>
        <w:t xml:space="preserve">The overall goal of PEDP3 is to provide </w:t>
      </w:r>
      <w:r w:rsidRPr="005F120D">
        <w:rPr>
          <w:rFonts w:asciiTheme="minorHAnsi" w:hAnsiTheme="minorHAnsi" w:cstheme="minorHAnsi"/>
          <w:i/>
          <w:color w:val="3333FF"/>
        </w:rPr>
        <w:t>“quality education for all our children”,</w:t>
      </w:r>
      <w:r w:rsidRPr="005F120D">
        <w:rPr>
          <w:rFonts w:asciiTheme="minorHAnsi" w:hAnsiTheme="minorHAnsi" w:cstheme="minorHAnsi"/>
          <w:color w:val="3333FF"/>
        </w:rPr>
        <w:t xml:space="preserve"> with the specific objective of achieving </w:t>
      </w:r>
      <w:r w:rsidRPr="005F120D">
        <w:rPr>
          <w:rFonts w:asciiTheme="minorHAnsi" w:hAnsiTheme="minorHAnsi" w:cstheme="minorHAnsi"/>
          <w:i/>
          <w:color w:val="3333FF"/>
        </w:rPr>
        <w:t xml:space="preserve">“an efficient, inclusive and equitable primary education system delivering effective and relevant teaching and learning to all Bangladeshi children from pre-primary though Grade 5 primary”. </w:t>
      </w:r>
      <w:r w:rsidRPr="005F120D">
        <w:rPr>
          <w:rFonts w:asciiTheme="minorHAnsi" w:hAnsiTheme="minorHAnsi" w:cstheme="minorHAnsi"/>
        </w:rPr>
        <w:t xml:space="preserve">A review of the primary education sector performance has to start from an examination of short to medium-term outcomes. </w:t>
      </w:r>
      <w:r w:rsidRPr="005F120D">
        <w:rPr>
          <w:rFonts w:asciiTheme="minorHAnsi" w:hAnsiTheme="minorHAnsi" w:cstheme="minorHAnsi"/>
          <w:szCs w:val="22"/>
        </w:rPr>
        <w:t xml:space="preserve">Key </w:t>
      </w:r>
      <w:r w:rsidR="00DF16D8" w:rsidRPr="005F120D">
        <w:rPr>
          <w:rFonts w:asciiTheme="minorHAnsi" w:hAnsiTheme="minorHAnsi" w:cstheme="minorHAnsi"/>
          <w:szCs w:val="22"/>
        </w:rPr>
        <w:t xml:space="preserve">and Non-Key </w:t>
      </w:r>
      <w:r w:rsidRPr="005F120D">
        <w:rPr>
          <w:rFonts w:asciiTheme="minorHAnsi" w:hAnsiTheme="minorHAnsi" w:cstheme="minorHAnsi"/>
          <w:szCs w:val="22"/>
        </w:rPr>
        <w:t>Performance Indicators (KPIs</w:t>
      </w:r>
      <w:r w:rsidR="00DF16D8" w:rsidRPr="005F120D">
        <w:rPr>
          <w:rFonts w:asciiTheme="minorHAnsi" w:hAnsiTheme="minorHAnsi" w:cstheme="minorHAnsi"/>
          <w:szCs w:val="22"/>
        </w:rPr>
        <w:t xml:space="preserve"> and Non-KPIs)</w:t>
      </w:r>
      <w:r w:rsidRPr="005F120D">
        <w:rPr>
          <w:rFonts w:asciiTheme="minorHAnsi" w:hAnsiTheme="minorHAnsi" w:cstheme="minorHAnsi"/>
          <w:szCs w:val="22"/>
        </w:rPr>
        <w:t xml:space="preserve"> are designated to monitor the overall progress of PEDP3 interventions at the outcomes and impact levels of each result area. </w:t>
      </w:r>
      <w:r w:rsidR="00DF16D8" w:rsidRPr="005F120D">
        <w:rPr>
          <w:rFonts w:asciiTheme="minorHAnsi" w:hAnsiTheme="minorHAnsi" w:cstheme="minorHAnsi"/>
        </w:rPr>
        <w:t xml:space="preserve">These are grouped based on the PEDP3 result areas as follows. </w:t>
      </w:r>
    </w:p>
    <w:p w:rsidR="006B3A22" w:rsidRPr="005F120D" w:rsidRDefault="006B3A22" w:rsidP="00C437AA">
      <w:pPr>
        <w:pStyle w:val="Caption"/>
        <w:spacing w:line="276" w:lineRule="auto"/>
        <w:rPr>
          <w:rFonts w:cstheme="minorHAnsi"/>
        </w:rPr>
      </w:pPr>
      <w:bookmarkStart w:id="108" w:name="_Toc462837258"/>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Pr="005F120D">
        <w:rPr>
          <w:rFonts w:cstheme="minorHAnsi"/>
        </w:rPr>
        <w:t xml:space="preserve">: Key </w:t>
      </w:r>
      <w:r w:rsidR="0073508C" w:rsidRPr="005F120D">
        <w:rPr>
          <w:rFonts w:cstheme="minorHAnsi"/>
        </w:rPr>
        <w:t xml:space="preserve">and Non-Key </w:t>
      </w:r>
      <w:r w:rsidRPr="005F120D">
        <w:rPr>
          <w:rFonts w:cstheme="minorHAnsi"/>
        </w:rPr>
        <w:t>Performance Indicators (KPIs</w:t>
      </w:r>
      <w:r w:rsidR="0073508C" w:rsidRPr="005F120D">
        <w:rPr>
          <w:rFonts w:cstheme="minorHAnsi"/>
        </w:rPr>
        <w:t>&amp; Non-KPIs</w:t>
      </w:r>
      <w:r w:rsidRPr="005F120D">
        <w:rPr>
          <w:rFonts w:cstheme="minorHAnsi"/>
        </w:rPr>
        <w:t>) by PEDP3 Result Areas</w:t>
      </w:r>
      <w:bookmarkEnd w:id="108"/>
    </w:p>
    <w:tbl>
      <w:tblPr>
        <w:tblStyle w:val="LightList-Accent11"/>
        <w:tblW w:w="5201" w:type="pct"/>
        <w:tblLook w:val="04A0"/>
      </w:tblPr>
      <w:tblGrid>
        <w:gridCol w:w="1377"/>
        <w:gridCol w:w="1977"/>
        <w:gridCol w:w="1500"/>
        <w:gridCol w:w="1902"/>
        <w:gridCol w:w="1363"/>
        <w:gridCol w:w="1496"/>
      </w:tblGrid>
      <w:tr w:rsidR="00E10371" w:rsidRPr="005F120D" w:rsidTr="00473BC8">
        <w:trPr>
          <w:cnfStyle w:val="100000000000"/>
          <w:trHeight w:val="403"/>
        </w:trPr>
        <w:tc>
          <w:tcPr>
            <w:cnfStyle w:val="001000000000"/>
            <w:tcW w:w="716" w:type="pct"/>
          </w:tcPr>
          <w:p w:rsidR="00E10371" w:rsidRPr="005F120D" w:rsidRDefault="00E10371" w:rsidP="000A5B80">
            <w:pPr>
              <w:pStyle w:val="NoSpacing"/>
              <w:jc w:val="center"/>
              <w:rPr>
                <w:rFonts w:asciiTheme="minorHAnsi" w:hAnsiTheme="minorHAnsi" w:cstheme="minorHAnsi"/>
                <w:bCs w:val="0"/>
                <w:sz w:val="17"/>
                <w:szCs w:val="17"/>
              </w:rPr>
            </w:pPr>
            <w:r w:rsidRPr="005F120D">
              <w:rPr>
                <w:rFonts w:asciiTheme="minorHAnsi" w:hAnsiTheme="minorHAnsi" w:cstheme="minorHAnsi"/>
                <w:sz w:val="17"/>
                <w:szCs w:val="17"/>
              </w:rPr>
              <w:t>Component 1: Teaching &amp; Learning</w:t>
            </w:r>
          </w:p>
        </w:tc>
        <w:tc>
          <w:tcPr>
            <w:tcW w:w="1808" w:type="pct"/>
            <w:gridSpan w:val="2"/>
          </w:tcPr>
          <w:p w:rsidR="00E10371" w:rsidRPr="005F120D" w:rsidRDefault="00E10371" w:rsidP="000A5B80">
            <w:pPr>
              <w:pStyle w:val="NoSpacing"/>
              <w:jc w:val="center"/>
              <w:cnfStyle w:val="100000000000"/>
              <w:rPr>
                <w:rFonts w:asciiTheme="minorHAnsi" w:hAnsiTheme="minorHAnsi" w:cstheme="minorHAnsi"/>
                <w:bCs w:val="0"/>
                <w:sz w:val="17"/>
                <w:szCs w:val="17"/>
              </w:rPr>
            </w:pPr>
            <w:r w:rsidRPr="005F120D">
              <w:rPr>
                <w:rFonts w:asciiTheme="minorHAnsi" w:hAnsiTheme="minorHAnsi" w:cstheme="minorHAnsi"/>
                <w:sz w:val="17"/>
                <w:szCs w:val="17"/>
              </w:rPr>
              <w:t>Component 2:Participation &amp;</w:t>
            </w:r>
          </w:p>
          <w:p w:rsidR="00E10371" w:rsidRPr="005F120D" w:rsidRDefault="00E10371" w:rsidP="000A5B80">
            <w:pPr>
              <w:pStyle w:val="NoSpacing"/>
              <w:jc w:val="center"/>
              <w:cnfStyle w:val="100000000000"/>
              <w:rPr>
                <w:rFonts w:asciiTheme="minorHAnsi" w:hAnsiTheme="minorHAnsi" w:cstheme="minorHAnsi"/>
                <w:sz w:val="17"/>
                <w:szCs w:val="17"/>
              </w:rPr>
            </w:pPr>
            <w:r w:rsidRPr="005F120D">
              <w:rPr>
                <w:rFonts w:asciiTheme="minorHAnsi" w:hAnsiTheme="minorHAnsi" w:cstheme="minorHAnsi"/>
                <w:sz w:val="17"/>
                <w:szCs w:val="17"/>
              </w:rPr>
              <w:t>Disparities</w:t>
            </w:r>
          </w:p>
        </w:tc>
        <w:tc>
          <w:tcPr>
            <w:tcW w:w="1698" w:type="pct"/>
            <w:gridSpan w:val="2"/>
          </w:tcPr>
          <w:p w:rsidR="00E10371" w:rsidRPr="005F120D" w:rsidRDefault="00E10371" w:rsidP="000A5B80">
            <w:pPr>
              <w:pStyle w:val="NoSpacing"/>
              <w:jc w:val="center"/>
              <w:cnfStyle w:val="100000000000"/>
              <w:rPr>
                <w:rFonts w:asciiTheme="minorHAnsi" w:hAnsiTheme="minorHAnsi" w:cstheme="minorHAnsi"/>
                <w:bCs w:val="0"/>
                <w:sz w:val="17"/>
                <w:szCs w:val="17"/>
              </w:rPr>
            </w:pPr>
            <w:r w:rsidRPr="005F120D">
              <w:rPr>
                <w:rFonts w:asciiTheme="minorHAnsi" w:hAnsiTheme="minorHAnsi" w:cstheme="minorHAnsi"/>
                <w:sz w:val="17"/>
                <w:szCs w:val="17"/>
              </w:rPr>
              <w:t>Component 3:Decentralization &amp;</w:t>
            </w:r>
          </w:p>
          <w:p w:rsidR="00E10371" w:rsidRPr="005F120D" w:rsidRDefault="00E10371" w:rsidP="000A5B80">
            <w:pPr>
              <w:pStyle w:val="NoSpacing"/>
              <w:jc w:val="center"/>
              <w:cnfStyle w:val="100000000000"/>
              <w:rPr>
                <w:rFonts w:asciiTheme="minorHAnsi" w:hAnsiTheme="minorHAnsi" w:cstheme="minorHAnsi"/>
                <w:bCs w:val="0"/>
                <w:sz w:val="17"/>
                <w:szCs w:val="17"/>
              </w:rPr>
            </w:pPr>
            <w:r w:rsidRPr="005F120D">
              <w:rPr>
                <w:rFonts w:asciiTheme="minorHAnsi" w:hAnsiTheme="minorHAnsi" w:cstheme="minorHAnsi"/>
                <w:sz w:val="17"/>
                <w:szCs w:val="17"/>
              </w:rPr>
              <w:t>Effectiveness</w:t>
            </w:r>
          </w:p>
        </w:tc>
        <w:tc>
          <w:tcPr>
            <w:tcW w:w="779" w:type="pct"/>
          </w:tcPr>
          <w:p w:rsidR="00E10371" w:rsidRPr="005F120D" w:rsidRDefault="00E10371" w:rsidP="000A5B80">
            <w:pPr>
              <w:pStyle w:val="NoSpacing"/>
              <w:jc w:val="center"/>
              <w:cnfStyle w:val="100000000000"/>
              <w:rPr>
                <w:rFonts w:asciiTheme="minorHAnsi" w:hAnsiTheme="minorHAnsi" w:cstheme="minorHAnsi"/>
                <w:sz w:val="17"/>
                <w:szCs w:val="17"/>
              </w:rPr>
            </w:pPr>
            <w:r w:rsidRPr="005F120D">
              <w:rPr>
                <w:rFonts w:asciiTheme="minorHAnsi" w:hAnsiTheme="minorHAnsi" w:cstheme="minorHAnsi"/>
                <w:sz w:val="17"/>
                <w:szCs w:val="17"/>
              </w:rPr>
              <w:t>Component 3:</w:t>
            </w:r>
            <w:r w:rsidR="004A3A67" w:rsidRPr="005F120D">
              <w:rPr>
                <w:rFonts w:asciiTheme="minorHAnsi" w:hAnsiTheme="minorHAnsi" w:cstheme="minorHAnsi"/>
                <w:b w:val="0"/>
                <w:sz w:val="17"/>
                <w:szCs w:val="17"/>
              </w:rPr>
              <w:t xml:space="preserve"> Program Planning and Management</w:t>
            </w:r>
          </w:p>
        </w:tc>
      </w:tr>
      <w:tr w:rsidR="00E10371" w:rsidRPr="005F120D" w:rsidTr="00473BC8">
        <w:trPr>
          <w:cnfStyle w:val="000000100000"/>
          <w:trHeight w:val="565"/>
        </w:trPr>
        <w:tc>
          <w:tcPr>
            <w:cnfStyle w:val="001000000000"/>
            <w:tcW w:w="716" w:type="pct"/>
          </w:tcPr>
          <w:p w:rsidR="00E10371" w:rsidRPr="005F120D" w:rsidRDefault="00E10371" w:rsidP="000A5B80">
            <w:pPr>
              <w:pStyle w:val="NoSpacing"/>
              <w:jc w:val="center"/>
              <w:rPr>
                <w:rFonts w:asciiTheme="minorHAnsi" w:hAnsiTheme="minorHAnsi" w:cstheme="minorHAnsi"/>
                <w:bCs w:val="0"/>
                <w:sz w:val="17"/>
                <w:szCs w:val="17"/>
              </w:rPr>
            </w:pPr>
            <w:r w:rsidRPr="005F120D">
              <w:rPr>
                <w:rFonts w:asciiTheme="minorHAnsi" w:hAnsiTheme="minorHAnsi" w:cstheme="minorHAnsi"/>
                <w:sz w:val="17"/>
                <w:szCs w:val="17"/>
              </w:rPr>
              <w:t>Results Area1</w:t>
            </w:r>
          </w:p>
          <w:p w:rsidR="00E10371" w:rsidRPr="005F120D" w:rsidRDefault="00E10371" w:rsidP="000A5B80">
            <w:pPr>
              <w:pStyle w:val="NoSpacing"/>
              <w:jc w:val="center"/>
              <w:rPr>
                <w:rFonts w:asciiTheme="minorHAnsi" w:hAnsiTheme="minorHAnsi" w:cstheme="minorHAnsi"/>
                <w:bCs w:val="0"/>
                <w:sz w:val="17"/>
                <w:szCs w:val="17"/>
              </w:rPr>
            </w:pPr>
            <w:r w:rsidRPr="005F120D">
              <w:rPr>
                <w:rFonts w:asciiTheme="minorHAnsi" w:hAnsiTheme="minorHAnsi" w:cstheme="minorHAnsi"/>
                <w:sz w:val="17"/>
                <w:szCs w:val="17"/>
              </w:rPr>
              <w:t>Learning Outcomes</w:t>
            </w:r>
          </w:p>
        </w:tc>
        <w:tc>
          <w:tcPr>
            <w:tcW w:w="1028" w:type="pct"/>
          </w:tcPr>
          <w:p w:rsidR="00E10371" w:rsidRPr="005F120D" w:rsidRDefault="00E10371" w:rsidP="000A5B80">
            <w:pPr>
              <w:pStyle w:val="NoSpacing"/>
              <w:jc w:val="center"/>
              <w:cnfStyle w:val="000000100000"/>
              <w:rPr>
                <w:rFonts w:asciiTheme="minorHAnsi" w:hAnsiTheme="minorHAnsi" w:cstheme="minorHAnsi"/>
                <w:b/>
                <w:sz w:val="17"/>
                <w:szCs w:val="17"/>
              </w:rPr>
            </w:pPr>
            <w:r w:rsidRPr="005F120D">
              <w:rPr>
                <w:rFonts w:asciiTheme="minorHAnsi" w:hAnsiTheme="minorHAnsi" w:cstheme="minorHAnsi"/>
                <w:b/>
                <w:sz w:val="17"/>
                <w:szCs w:val="17"/>
              </w:rPr>
              <w:t>Results Area 2.1 Universal Access and Participation</w:t>
            </w:r>
          </w:p>
        </w:tc>
        <w:tc>
          <w:tcPr>
            <w:tcW w:w="780" w:type="pct"/>
          </w:tcPr>
          <w:p w:rsidR="00E10371" w:rsidRPr="005F120D" w:rsidRDefault="00E10371" w:rsidP="000A5B80">
            <w:pPr>
              <w:pStyle w:val="NoSpacing"/>
              <w:jc w:val="center"/>
              <w:cnfStyle w:val="000000100000"/>
              <w:rPr>
                <w:rFonts w:asciiTheme="minorHAnsi" w:hAnsiTheme="minorHAnsi" w:cstheme="minorHAnsi"/>
                <w:b/>
                <w:sz w:val="17"/>
                <w:szCs w:val="17"/>
              </w:rPr>
            </w:pPr>
            <w:r w:rsidRPr="005F120D">
              <w:rPr>
                <w:rFonts w:asciiTheme="minorHAnsi" w:hAnsiTheme="minorHAnsi" w:cstheme="minorHAnsi"/>
                <w:b/>
                <w:sz w:val="17"/>
                <w:szCs w:val="17"/>
              </w:rPr>
              <w:t>Results Area 2.2</w:t>
            </w:r>
          </w:p>
          <w:p w:rsidR="00E10371" w:rsidRPr="005F120D" w:rsidRDefault="00E10371" w:rsidP="000A5B80">
            <w:pPr>
              <w:pStyle w:val="NoSpacing"/>
              <w:jc w:val="center"/>
              <w:cnfStyle w:val="000000100000"/>
              <w:rPr>
                <w:rFonts w:asciiTheme="minorHAnsi" w:hAnsiTheme="minorHAnsi" w:cstheme="minorHAnsi"/>
                <w:b/>
                <w:sz w:val="17"/>
                <w:szCs w:val="17"/>
              </w:rPr>
            </w:pPr>
            <w:r w:rsidRPr="005F120D">
              <w:rPr>
                <w:rFonts w:asciiTheme="minorHAnsi" w:hAnsiTheme="minorHAnsi" w:cstheme="minorHAnsi"/>
                <w:b/>
                <w:sz w:val="17"/>
                <w:szCs w:val="17"/>
              </w:rPr>
              <w:t>Reducing Disparities</w:t>
            </w:r>
          </w:p>
        </w:tc>
        <w:tc>
          <w:tcPr>
            <w:tcW w:w="989" w:type="pct"/>
          </w:tcPr>
          <w:p w:rsidR="00E10371" w:rsidRPr="005F120D" w:rsidRDefault="00E10371" w:rsidP="000A5B80">
            <w:pPr>
              <w:pStyle w:val="NoSpacing"/>
              <w:jc w:val="center"/>
              <w:cnfStyle w:val="000000100000"/>
              <w:rPr>
                <w:rFonts w:asciiTheme="minorHAnsi" w:hAnsiTheme="minorHAnsi" w:cstheme="minorHAnsi"/>
                <w:b/>
                <w:sz w:val="17"/>
                <w:szCs w:val="17"/>
              </w:rPr>
            </w:pPr>
            <w:r w:rsidRPr="005F120D">
              <w:rPr>
                <w:rFonts w:asciiTheme="minorHAnsi" w:hAnsiTheme="minorHAnsi" w:cstheme="minorHAnsi"/>
                <w:b/>
                <w:sz w:val="17"/>
                <w:szCs w:val="17"/>
              </w:rPr>
              <w:t>Results Area 3.1</w:t>
            </w:r>
          </w:p>
          <w:p w:rsidR="00E10371" w:rsidRPr="005F120D" w:rsidRDefault="00E10371" w:rsidP="000A5B80">
            <w:pPr>
              <w:pStyle w:val="NoSpacing"/>
              <w:jc w:val="center"/>
              <w:cnfStyle w:val="000000100000"/>
              <w:rPr>
                <w:rFonts w:asciiTheme="minorHAnsi" w:hAnsiTheme="minorHAnsi" w:cstheme="minorHAnsi"/>
                <w:b/>
                <w:sz w:val="17"/>
                <w:szCs w:val="17"/>
              </w:rPr>
            </w:pPr>
            <w:r w:rsidRPr="005F120D">
              <w:rPr>
                <w:rFonts w:asciiTheme="minorHAnsi" w:hAnsiTheme="minorHAnsi" w:cstheme="minorHAnsi"/>
                <w:b/>
                <w:sz w:val="17"/>
                <w:szCs w:val="17"/>
              </w:rPr>
              <w:t>Decentralization</w:t>
            </w:r>
          </w:p>
        </w:tc>
        <w:tc>
          <w:tcPr>
            <w:tcW w:w="708" w:type="pct"/>
          </w:tcPr>
          <w:p w:rsidR="00E10371" w:rsidRPr="005F120D" w:rsidRDefault="00E10371" w:rsidP="000A5B80">
            <w:pPr>
              <w:pStyle w:val="NoSpacing"/>
              <w:jc w:val="center"/>
              <w:cnfStyle w:val="000000100000"/>
              <w:rPr>
                <w:rFonts w:asciiTheme="minorHAnsi" w:hAnsiTheme="minorHAnsi" w:cstheme="minorHAnsi"/>
                <w:b/>
                <w:sz w:val="17"/>
                <w:szCs w:val="17"/>
              </w:rPr>
            </w:pPr>
            <w:r w:rsidRPr="005F120D">
              <w:rPr>
                <w:rFonts w:asciiTheme="minorHAnsi" w:hAnsiTheme="minorHAnsi" w:cstheme="minorHAnsi"/>
                <w:b/>
                <w:sz w:val="17"/>
                <w:szCs w:val="17"/>
              </w:rPr>
              <w:t>Results Area 3.2</w:t>
            </w:r>
          </w:p>
          <w:p w:rsidR="00E10371" w:rsidRPr="005F120D" w:rsidRDefault="00E10371" w:rsidP="000A5B80">
            <w:pPr>
              <w:pStyle w:val="NoSpacing"/>
              <w:jc w:val="center"/>
              <w:cnfStyle w:val="000000100000"/>
              <w:rPr>
                <w:rFonts w:asciiTheme="minorHAnsi" w:hAnsiTheme="minorHAnsi" w:cstheme="minorHAnsi"/>
                <w:b/>
                <w:sz w:val="17"/>
                <w:szCs w:val="17"/>
              </w:rPr>
            </w:pPr>
            <w:r w:rsidRPr="005F120D">
              <w:rPr>
                <w:rFonts w:asciiTheme="minorHAnsi" w:hAnsiTheme="minorHAnsi" w:cstheme="minorHAnsi"/>
                <w:b/>
                <w:sz w:val="17"/>
                <w:szCs w:val="17"/>
              </w:rPr>
              <w:t>Effectiveness</w:t>
            </w:r>
          </w:p>
        </w:tc>
        <w:tc>
          <w:tcPr>
            <w:tcW w:w="779" w:type="pct"/>
          </w:tcPr>
          <w:p w:rsidR="00E10371" w:rsidRPr="005F120D" w:rsidRDefault="00E10371" w:rsidP="00E10371">
            <w:pPr>
              <w:pStyle w:val="NoSpacing"/>
              <w:jc w:val="center"/>
              <w:cnfStyle w:val="000000100000"/>
              <w:rPr>
                <w:rFonts w:asciiTheme="minorHAnsi" w:hAnsiTheme="minorHAnsi" w:cstheme="minorHAnsi"/>
                <w:b/>
                <w:sz w:val="17"/>
                <w:szCs w:val="17"/>
              </w:rPr>
            </w:pPr>
            <w:r w:rsidRPr="005F120D">
              <w:rPr>
                <w:rFonts w:asciiTheme="minorHAnsi" w:hAnsiTheme="minorHAnsi" w:cstheme="minorHAnsi"/>
                <w:b/>
                <w:sz w:val="17"/>
                <w:szCs w:val="17"/>
              </w:rPr>
              <w:t>Results Area 4</w:t>
            </w:r>
          </w:p>
          <w:p w:rsidR="00E10371" w:rsidRPr="005F120D" w:rsidRDefault="00E10371" w:rsidP="00E10371">
            <w:pPr>
              <w:pStyle w:val="NoSpacing"/>
              <w:jc w:val="center"/>
              <w:cnfStyle w:val="000000100000"/>
              <w:rPr>
                <w:rFonts w:asciiTheme="minorHAnsi" w:hAnsiTheme="minorHAnsi" w:cstheme="minorHAnsi"/>
                <w:b/>
                <w:sz w:val="17"/>
                <w:szCs w:val="17"/>
              </w:rPr>
            </w:pPr>
            <w:r w:rsidRPr="005F120D">
              <w:rPr>
                <w:rFonts w:asciiTheme="minorHAnsi" w:hAnsiTheme="minorHAnsi" w:cstheme="minorHAnsi"/>
                <w:b/>
                <w:sz w:val="17"/>
                <w:szCs w:val="17"/>
              </w:rPr>
              <w:t>Prog</w:t>
            </w:r>
            <w:r w:rsidR="004A3A67" w:rsidRPr="005F120D">
              <w:rPr>
                <w:rFonts w:asciiTheme="minorHAnsi" w:hAnsiTheme="minorHAnsi" w:cstheme="minorHAnsi"/>
                <w:b/>
                <w:sz w:val="17"/>
                <w:szCs w:val="17"/>
              </w:rPr>
              <w:t>ram</w:t>
            </w:r>
            <w:r w:rsidRPr="005F120D">
              <w:rPr>
                <w:rFonts w:asciiTheme="minorHAnsi" w:hAnsiTheme="minorHAnsi" w:cstheme="minorHAnsi"/>
                <w:b/>
                <w:sz w:val="17"/>
                <w:szCs w:val="17"/>
              </w:rPr>
              <w:t xml:space="preserve"> Planning and Management</w:t>
            </w:r>
          </w:p>
        </w:tc>
      </w:tr>
      <w:tr w:rsidR="00E10371" w:rsidRPr="005F120D" w:rsidTr="00473BC8">
        <w:trPr>
          <w:trHeight w:val="925"/>
        </w:trPr>
        <w:tc>
          <w:tcPr>
            <w:cnfStyle w:val="001000000000"/>
            <w:tcW w:w="716" w:type="pct"/>
          </w:tcPr>
          <w:p w:rsidR="00E10371" w:rsidRPr="005F120D" w:rsidRDefault="00E10371" w:rsidP="000A5B80">
            <w:pPr>
              <w:pStyle w:val="NoSpacing"/>
              <w:rPr>
                <w:rFonts w:asciiTheme="minorHAnsi" w:hAnsiTheme="minorHAnsi" w:cstheme="minorHAnsi"/>
                <w:b w:val="0"/>
                <w:sz w:val="17"/>
                <w:szCs w:val="17"/>
              </w:rPr>
            </w:pPr>
            <w:r w:rsidRPr="005F120D">
              <w:rPr>
                <w:rFonts w:asciiTheme="minorHAnsi" w:hAnsiTheme="minorHAnsi" w:cstheme="minorHAnsi"/>
                <w:b w:val="0"/>
                <w:sz w:val="17"/>
                <w:szCs w:val="17"/>
              </w:rPr>
              <w:t>KPI 1:</w:t>
            </w:r>
          </w:p>
          <w:p w:rsidR="00E10371" w:rsidRPr="005F120D" w:rsidRDefault="00E10371" w:rsidP="000A5B80">
            <w:pPr>
              <w:pStyle w:val="NoSpacing"/>
              <w:rPr>
                <w:rFonts w:asciiTheme="minorHAnsi" w:hAnsiTheme="minorHAnsi" w:cstheme="minorHAnsi"/>
                <w:b w:val="0"/>
                <w:sz w:val="17"/>
                <w:szCs w:val="17"/>
              </w:rPr>
            </w:pPr>
            <w:r w:rsidRPr="005F120D">
              <w:rPr>
                <w:rFonts w:asciiTheme="minorHAnsi" w:hAnsiTheme="minorHAnsi" w:cstheme="minorHAnsi"/>
                <w:b w:val="0"/>
                <w:sz w:val="17"/>
                <w:szCs w:val="17"/>
              </w:rPr>
              <w:t>% of students achieving Grade 3 competencies (All; Boys; Girls)</w:t>
            </w:r>
          </w:p>
        </w:tc>
        <w:tc>
          <w:tcPr>
            <w:tcW w:w="1028" w:type="pct"/>
          </w:tcPr>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KPI 4:</w:t>
            </w:r>
          </w:p>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 of children out of school (boys and girls)</w:t>
            </w:r>
          </w:p>
          <w:p w:rsidR="00E10371" w:rsidRPr="005F120D" w:rsidRDefault="00E10371" w:rsidP="000A5B80">
            <w:pPr>
              <w:pStyle w:val="NoSpacing"/>
              <w:cnfStyle w:val="000000000000"/>
              <w:rPr>
                <w:rFonts w:asciiTheme="minorHAnsi" w:hAnsiTheme="minorHAnsi" w:cstheme="minorHAnsi"/>
                <w:sz w:val="17"/>
                <w:szCs w:val="17"/>
              </w:rPr>
            </w:pPr>
          </w:p>
        </w:tc>
        <w:tc>
          <w:tcPr>
            <w:tcW w:w="780" w:type="pct"/>
          </w:tcPr>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KPI 7:</w:t>
            </w:r>
          </w:p>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Gender parity index of GER</w:t>
            </w:r>
          </w:p>
          <w:p w:rsidR="00E10371" w:rsidRPr="005F120D" w:rsidRDefault="00E10371" w:rsidP="000A5B80">
            <w:pPr>
              <w:pStyle w:val="NoSpacing"/>
              <w:cnfStyle w:val="000000000000"/>
              <w:rPr>
                <w:rFonts w:asciiTheme="minorHAnsi" w:hAnsiTheme="minorHAnsi" w:cstheme="minorHAnsi"/>
                <w:sz w:val="17"/>
                <w:szCs w:val="17"/>
              </w:rPr>
            </w:pPr>
          </w:p>
        </w:tc>
        <w:tc>
          <w:tcPr>
            <w:tcW w:w="989" w:type="pct"/>
          </w:tcPr>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KPI 10:</w:t>
            </w:r>
          </w:p>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eastAsia="Calibri" w:hAnsiTheme="minorHAnsi" w:cstheme="minorHAnsi"/>
                <w:bCs/>
                <w:sz w:val="17"/>
                <w:szCs w:val="17"/>
              </w:rPr>
              <w:t xml:space="preserve">% of AOP budget allocation for unconditional block grants (SLIPs and UPEPs for schools and </w:t>
            </w:r>
            <w:r w:rsidRPr="005F120D">
              <w:rPr>
                <w:rFonts w:asciiTheme="minorHAnsi" w:eastAsia="Calibri" w:hAnsiTheme="minorHAnsi" w:cstheme="minorHAnsi"/>
                <w:bCs/>
                <w:i/>
                <w:sz w:val="17"/>
                <w:szCs w:val="17"/>
              </w:rPr>
              <w:t>Upazilas</w:t>
            </w:r>
          </w:p>
        </w:tc>
        <w:tc>
          <w:tcPr>
            <w:tcW w:w="708" w:type="pct"/>
          </w:tcPr>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 xml:space="preserve">KPI 12: </w:t>
            </w:r>
          </w:p>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Completion rate</w:t>
            </w:r>
          </w:p>
          <w:p w:rsidR="00E10371" w:rsidRPr="005F120D" w:rsidRDefault="00E10371" w:rsidP="00E10371">
            <w:pPr>
              <w:pStyle w:val="NoSpacing"/>
              <w:cnfStyle w:val="000000000000"/>
              <w:rPr>
                <w:rFonts w:asciiTheme="minorHAnsi" w:hAnsiTheme="minorHAnsi" w:cstheme="minorHAnsi"/>
                <w:sz w:val="17"/>
                <w:szCs w:val="17"/>
              </w:rPr>
            </w:pPr>
          </w:p>
          <w:p w:rsidR="00E10371" w:rsidRPr="005F120D" w:rsidRDefault="00E10371" w:rsidP="00E10371">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KPI 13:</w:t>
            </w:r>
          </w:p>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Dropout rate</w:t>
            </w:r>
          </w:p>
        </w:tc>
        <w:tc>
          <w:tcPr>
            <w:tcW w:w="779" w:type="pct"/>
          </w:tcPr>
          <w:p w:rsidR="00473BC8" w:rsidRPr="005F120D" w:rsidRDefault="00473BC8" w:rsidP="00473BC8">
            <w:pPr>
              <w:pStyle w:val="NoSpacing"/>
              <w:cnfStyle w:val="000000000000"/>
              <w:rPr>
                <w:rFonts w:asciiTheme="minorHAnsi" w:hAnsiTheme="minorHAnsi" w:cstheme="minorHAnsi"/>
                <w:color w:val="3333CC"/>
                <w:sz w:val="17"/>
                <w:szCs w:val="17"/>
              </w:rPr>
            </w:pPr>
            <w:r w:rsidRPr="005F120D">
              <w:rPr>
                <w:rFonts w:asciiTheme="minorHAnsi" w:hAnsiTheme="minorHAnsi" w:cstheme="minorHAnsi"/>
                <w:color w:val="3333CC"/>
                <w:sz w:val="17"/>
                <w:szCs w:val="17"/>
              </w:rPr>
              <w:t>Non-KPI 11:</w:t>
            </w:r>
          </w:p>
          <w:p w:rsidR="00473BC8" w:rsidRPr="005F120D" w:rsidRDefault="00473BC8" w:rsidP="00473BC8">
            <w:pPr>
              <w:pStyle w:val="NoSpacing"/>
              <w:cnfStyle w:val="000000000000"/>
              <w:rPr>
                <w:rFonts w:asciiTheme="minorHAnsi" w:hAnsiTheme="minorHAnsi" w:cstheme="minorHAnsi"/>
                <w:color w:val="3333CC"/>
                <w:sz w:val="17"/>
                <w:szCs w:val="17"/>
              </w:rPr>
            </w:pPr>
            <w:r w:rsidRPr="005F120D">
              <w:rPr>
                <w:rFonts w:asciiTheme="minorHAnsi" w:hAnsiTheme="minorHAnsi" w:cstheme="minorHAnsi"/>
                <w:color w:val="3333CC"/>
                <w:sz w:val="17"/>
                <w:szCs w:val="17"/>
              </w:rPr>
              <w:t>Public education expenditure as percentage of GDP ( EFA-7)</w:t>
            </w:r>
          </w:p>
          <w:p w:rsidR="00E10371" w:rsidRPr="005F120D" w:rsidRDefault="00E10371" w:rsidP="000A5B80">
            <w:pPr>
              <w:pStyle w:val="NoSpacing"/>
              <w:cnfStyle w:val="000000000000"/>
              <w:rPr>
                <w:rFonts w:asciiTheme="minorHAnsi" w:hAnsiTheme="minorHAnsi" w:cstheme="minorHAnsi"/>
                <w:sz w:val="17"/>
                <w:szCs w:val="17"/>
              </w:rPr>
            </w:pPr>
          </w:p>
        </w:tc>
      </w:tr>
      <w:tr w:rsidR="00E10371" w:rsidRPr="005F120D" w:rsidTr="00473BC8">
        <w:trPr>
          <w:cnfStyle w:val="000000100000"/>
          <w:trHeight w:val="250"/>
        </w:trPr>
        <w:tc>
          <w:tcPr>
            <w:cnfStyle w:val="001000000000"/>
            <w:tcW w:w="716" w:type="pct"/>
          </w:tcPr>
          <w:p w:rsidR="00E10371" w:rsidRPr="005F120D" w:rsidRDefault="00E10371" w:rsidP="000A5B80">
            <w:pPr>
              <w:pStyle w:val="NoSpacing"/>
              <w:rPr>
                <w:rFonts w:asciiTheme="minorHAnsi" w:hAnsiTheme="minorHAnsi" w:cstheme="minorHAnsi"/>
                <w:b w:val="0"/>
                <w:sz w:val="17"/>
                <w:szCs w:val="17"/>
              </w:rPr>
            </w:pPr>
            <w:r w:rsidRPr="005F120D">
              <w:rPr>
                <w:rFonts w:asciiTheme="minorHAnsi" w:hAnsiTheme="minorHAnsi" w:cstheme="minorHAnsi"/>
                <w:b w:val="0"/>
                <w:sz w:val="17"/>
                <w:szCs w:val="17"/>
              </w:rPr>
              <w:t>KPI 2:</w:t>
            </w:r>
          </w:p>
          <w:p w:rsidR="00E10371" w:rsidRPr="005F120D" w:rsidRDefault="00E10371" w:rsidP="000A5B80">
            <w:pPr>
              <w:pStyle w:val="NoSpacing"/>
              <w:rPr>
                <w:rFonts w:asciiTheme="minorHAnsi" w:hAnsiTheme="minorHAnsi" w:cstheme="minorHAnsi"/>
                <w:b w:val="0"/>
                <w:sz w:val="17"/>
                <w:szCs w:val="17"/>
              </w:rPr>
            </w:pPr>
            <w:r w:rsidRPr="005F120D">
              <w:rPr>
                <w:rFonts w:asciiTheme="minorHAnsi" w:hAnsiTheme="minorHAnsi" w:cstheme="minorHAnsi"/>
                <w:b w:val="0"/>
                <w:sz w:val="17"/>
                <w:szCs w:val="17"/>
              </w:rPr>
              <w:t>% of students achieving Grade 5 competencies (All; Boys; Girls)</w:t>
            </w:r>
          </w:p>
        </w:tc>
        <w:tc>
          <w:tcPr>
            <w:tcW w:w="1028" w:type="pct"/>
          </w:tcPr>
          <w:p w:rsidR="00E10371" w:rsidRPr="005F120D" w:rsidRDefault="00E10371" w:rsidP="000A5B80">
            <w:pPr>
              <w:pStyle w:val="NoSpacing"/>
              <w:cnfStyle w:val="000000100000"/>
              <w:rPr>
                <w:rFonts w:asciiTheme="minorHAnsi" w:hAnsiTheme="minorHAnsi" w:cstheme="minorHAnsi"/>
                <w:sz w:val="17"/>
                <w:szCs w:val="17"/>
              </w:rPr>
            </w:pPr>
            <w:r w:rsidRPr="005F120D">
              <w:rPr>
                <w:rFonts w:asciiTheme="minorHAnsi" w:hAnsiTheme="minorHAnsi" w:cstheme="minorHAnsi"/>
                <w:sz w:val="17"/>
                <w:szCs w:val="17"/>
              </w:rPr>
              <w:t>KPI 5:</w:t>
            </w:r>
          </w:p>
          <w:p w:rsidR="00E10371" w:rsidRPr="005F120D" w:rsidRDefault="00E10371" w:rsidP="000A5B80">
            <w:pPr>
              <w:pStyle w:val="NoSpacing"/>
              <w:cnfStyle w:val="000000100000"/>
              <w:rPr>
                <w:rFonts w:asciiTheme="minorHAnsi" w:hAnsiTheme="minorHAnsi" w:cstheme="minorHAnsi"/>
                <w:sz w:val="17"/>
                <w:szCs w:val="17"/>
              </w:rPr>
            </w:pPr>
            <w:r w:rsidRPr="005F120D">
              <w:rPr>
                <w:rFonts w:asciiTheme="minorHAnsi" w:hAnsiTheme="minorHAnsi" w:cstheme="minorHAnsi"/>
                <w:sz w:val="17"/>
                <w:szCs w:val="17"/>
              </w:rPr>
              <w:t>GER [EFA 5]</w:t>
            </w:r>
          </w:p>
          <w:p w:rsidR="00E10371" w:rsidRPr="005F120D" w:rsidRDefault="00E10371" w:rsidP="00F934B1">
            <w:pPr>
              <w:pStyle w:val="NoSpacing"/>
              <w:cnfStyle w:val="000000100000"/>
              <w:rPr>
                <w:rFonts w:asciiTheme="minorHAnsi" w:hAnsiTheme="minorHAnsi" w:cstheme="minorHAnsi"/>
                <w:sz w:val="17"/>
                <w:szCs w:val="17"/>
              </w:rPr>
            </w:pPr>
          </w:p>
          <w:p w:rsidR="00E10371" w:rsidRPr="005F120D" w:rsidRDefault="00E10371" w:rsidP="00F934B1">
            <w:pPr>
              <w:pStyle w:val="NoSpacing"/>
              <w:cnfStyle w:val="000000100000"/>
              <w:rPr>
                <w:rFonts w:asciiTheme="minorHAnsi" w:hAnsiTheme="minorHAnsi" w:cstheme="minorHAnsi"/>
                <w:sz w:val="17"/>
                <w:szCs w:val="17"/>
              </w:rPr>
            </w:pPr>
            <w:r w:rsidRPr="005F120D">
              <w:rPr>
                <w:rFonts w:asciiTheme="minorHAnsi" w:hAnsiTheme="minorHAnsi" w:cstheme="minorHAnsi"/>
                <w:sz w:val="17"/>
                <w:szCs w:val="17"/>
              </w:rPr>
              <w:t>KPI 6:</w:t>
            </w:r>
          </w:p>
          <w:p w:rsidR="00E10371" w:rsidRPr="005F120D" w:rsidRDefault="00E10371" w:rsidP="000A5B80">
            <w:pPr>
              <w:pStyle w:val="NoSpacing"/>
              <w:cnfStyle w:val="000000100000"/>
              <w:rPr>
                <w:rFonts w:asciiTheme="minorHAnsi" w:hAnsiTheme="minorHAnsi" w:cstheme="minorHAnsi"/>
                <w:sz w:val="17"/>
                <w:szCs w:val="17"/>
              </w:rPr>
            </w:pPr>
            <w:r w:rsidRPr="005F120D">
              <w:rPr>
                <w:rFonts w:asciiTheme="minorHAnsi" w:hAnsiTheme="minorHAnsi" w:cstheme="minorHAnsi"/>
                <w:sz w:val="17"/>
                <w:szCs w:val="17"/>
              </w:rPr>
              <w:t>NER [EFA 6]</w:t>
            </w:r>
          </w:p>
        </w:tc>
        <w:tc>
          <w:tcPr>
            <w:tcW w:w="780" w:type="pct"/>
          </w:tcPr>
          <w:p w:rsidR="00E10371" w:rsidRPr="005F120D" w:rsidRDefault="00E10371" w:rsidP="000A5B80">
            <w:pPr>
              <w:pStyle w:val="NoSpacing"/>
              <w:cnfStyle w:val="000000100000"/>
              <w:rPr>
                <w:rFonts w:asciiTheme="minorHAnsi" w:hAnsiTheme="minorHAnsi" w:cstheme="minorHAnsi"/>
                <w:sz w:val="17"/>
                <w:szCs w:val="17"/>
              </w:rPr>
            </w:pPr>
            <w:r w:rsidRPr="005F120D">
              <w:rPr>
                <w:rFonts w:asciiTheme="minorHAnsi" w:hAnsiTheme="minorHAnsi" w:cstheme="minorHAnsi"/>
                <w:sz w:val="17"/>
                <w:szCs w:val="17"/>
              </w:rPr>
              <w:t>KPI 8: NER – Range between top &amp;bottom20% of households by consumption quintile</w:t>
            </w:r>
          </w:p>
        </w:tc>
        <w:tc>
          <w:tcPr>
            <w:tcW w:w="989" w:type="pct"/>
          </w:tcPr>
          <w:p w:rsidR="00E10371" w:rsidRPr="005F120D" w:rsidRDefault="00E10371" w:rsidP="000A5B80">
            <w:pPr>
              <w:pStyle w:val="NoSpacing"/>
              <w:cnfStyle w:val="000000100000"/>
              <w:rPr>
                <w:rFonts w:asciiTheme="minorHAnsi" w:hAnsiTheme="minorHAnsi" w:cstheme="minorHAnsi"/>
                <w:sz w:val="17"/>
                <w:szCs w:val="17"/>
              </w:rPr>
            </w:pPr>
            <w:r w:rsidRPr="005F120D">
              <w:rPr>
                <w:rFonts w:asciiTheme="minorHAnsi" w:hAnsiTheme="minorHAnsi" w:cstheme="minorHAnsi"/>
                <w:sz w:val="17"/>
                <w:szCs w:val="17"/>
              </w:rPr>
              <w:t>KPI 11:</w:t>
            </w:r>
          </w:p>
          <w:p w:rsidR="00E10371" w:rsidRPr="005F120D" w:rsidRDefault="00E10371" w:rsidP="000A5B80">
            <w:pPr>
              <w:pStyle w:val="NoSpacing"/>
              <w:cnfStyle w:val="000000100000"/>
              <w:rPr>
                <w:rFonts w:asciiTheme="minorHAnsi" w:hAnsiTheme="minorHAnsi" w:cstheme="minorHAnsi"/>
                <w:i/>
                <w:sz w:val="17"/>
                <w:szCs w:val="17"/>
              </w:rPr>
            </w:pPr>
            <w:r w:rsidRPr="005F120D">
              <w:rPr>
                <w:rFonts w:asciiTheme="minorHAnsi" w:hAnsiTheme="minorHAnsi" w:cstheme="minorHAnsi"/>
                <w:sz w:val="17"/>
                <w:szCs w:val="17"/>
              </w:rPr>
              <w:t xml:space="preserve">Expenditure of block grants (unconditional) for Upazilas and schools </w:t>
            </w:r>
          </w:p>
        </w:tc>
        <w:tc>
          <w:tcPr>
            <w:tcW w:w="708" w:type="pct"/>
          </w:tcPr>
          <w:p w:rsidR="00E10371" w:rsidRPr="005F120D" w:rsidRDefault="00E10371" w:rsidP="00E10371">
            <w:pPr>
              <w:pStyle w:val="NoSpacing"/>
              <w:cnfStyle w:val="000000100000"/>
              <w:rPr>
                <w:rFonts w:asciiTheme="minorHAnsi" w:hAnsiTheme="minorHAnsi" w:cstheme="minorHAnsi"/>
                <w:sz w:val="17"/>
                <w:szCs w:val="17"/>
              </w:rPr>
            </w:pPr>
            <w:r w:rsidRPr="005F120D">
              <w:rPr>
                <w:rFonts w:asciiTheme="minorHAnsi" w:hAnsiTheme="minorHAnsi" w:cstheme="minorHAnsi"/>
                <w:sz w:val="17"/>
                <w:szCs w:val="17"/>
              </w:rPr>
              <w:t>KPI 14:</w:t>
            </w:r>
          </w:p>
          <w:p w:rsidR="00E10371" w:rsidRPr="005F120D" w:rsidRDefault="00E10371" w:rsidP="000A5B80">
            <w:pPr>
              <w:pStyle w:val="NoSpacing"/>
              <w:cnfStyle w:val="000000100000"/>
              <w:rPr>
                <w:rFonts w:asciiTheme="minorHAnsi" w:hAnsiTheme="minorHAnsi" w:cstheme="minorHAnsi"/>
                <w:sz w:val="17"/>
                <w:szCs w:val="17"/>
              </w:rPr>
            </w:pPr>
            <w:r w:rsidRPr="005F120D">
              <w:rPr>
                <w:rFonts w:asciiTheme="minorHAnsi" w:hAnsiTheme="minorHAnsi" w:cstheme="minorHAnsi"/>
                <w:sz w:val="17"/>
                <w:szCs w:val="17"/>
              </w:rPr>
              <w:t>Coefficient of efficiency [EFA 14]</w:t>
            </w:r>
          </w:p>
        </w:tc>
        <w:tc>
          <w:tcPr>
            <w:tcW w:w="779" w:type="pct"/>
          </w:tcPr>
          <w:p w:rsidR="00473BC8" w:rsidRPr="005F120D" w:rsidRDefault="00473BC8" w:rsidP="00473BC8">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 xml:space="preserve">Non-KPI 12: </w:t>
            </w:r>
          </w:p>
          <w:p w:rsidR="00E10371" w:rsidRPr="005F120D" w:rsidRDefault="00473BC8" w:rsidP="00473BC8">
            <w:pPr>
              <w:pStyle w:val="NoSpacing"/>
              <w:cnfStyle w:val="000000100000"/>
              <w:rPr>
                <w:rFonts w:asciiTheme="minorHAnsi" w:hAnsiTheme="minorHAnsi" w:cstheme="minorHAnsi"/>
                <w:sz w:val="17"/>
                <w:szCs w:val="17"/>
              </w:rPr>
            </w:pPr>
            <w:r w:rsidRPr="005F120D">
              <w:rPr>
                <w:rFonts w:asciiTheme="minorHAnsi" w:hAnsiTheme="minorHAnsi" w:cstheme="minorHAnsi"/>
                <w:color w:val="3333CC"/>
                <w:sz w:val="17"/>
                <w:szCs w:val="17"/>
              </w:rPr>
              <w:t>Public expenditure on primary education as % of total public expenditure on education (EFA-8)</w:t>
            </w:r>
          </w:p>
        </w:tc>
      </w:tr>
      <w:tr w:rsidR="00E10371" w:rsidRPr="005F120D" w:rsidTr="00473BC8">
        <w:trPr>
          <w:trHeight w:val="772"/>
        </w:trPr>
        <w:tc>
          <w:tcPr>
            <w:cnfStyle w:val="001000000000"/>
            <w:tcW w:w="716" w:type="pct"/>
          </w:tcPr>
          <w:p w:rsidR="00E10371" w:rsidRPr="005F120D" w:rsidRDefault="00E10371" w:rsidP="000A5B80">
            <w:pPr>
              <w:pStyle w:val="NoSpacing"/>
              <w:rPr>
                <w:rFonts w:asciiTheme="minorHAnsi" w:hAnsiTheme="minorHAnsi" w:cstheme="minorHAnsi"/>
                <w:b w:val="0"/>
                <w:sz w:val="17"/>
                <w:szCs w:val="17"/>
              </w:rPr>
            </w:pPr>
            <w:r w:rsidRPr="005F120D">
              <w:rPr>
                <w:rFonts w:asciiTheme="minorHAnsi" w:hAnsiTheme="minorHAnsi" w:cstheme="minorHAnsi"/>
                <w:b w:val="0"/>
                <w:sz w:val="17"/>
                <w:szCs w:val="17"/>
              </w:rPr>
              <w:t>KPI 3: Grade 5 Primary Education Completion examination (PECE) pass rate</w:t>
            </w:r>
          </w:p>
        </w:tc>
        <w:tc>
          <w:tcPr>
            <w:tcW w:w="1028" w:type="pct"/>
          </w:tcPr>
          <w:p w:rsidR="00E10371" w:rsidRPr="005F120D" w:rsidRDefault="00E10371" w:rsidP="00F934B1">
            <w:pPr>
              <w:pStyle w:val="NoSpacing"/>
              <w:cnfStyle w:val="000000000000"/>
              <w:rPr>
                <w:rFonts w:asciiTheme="minorHAnsi" w:hAnsiTheme="minorHAnsi" w:cstheme="minorHAnsi"/>
                <w:color w:val="3333CC"/>
                <w:sz w:val="17"/>
                <w:szCs w:val="17"/>
              </w:rPr>
            </w:pPr>
            <w:r w:rsidRPr="005F120D">
              <w:rPr>
                <w:rFonts w:asciiTheme="minorHAnsi" w:hAnsiTheme="minorHAnsi" w:cstheme="minorHAnsi"/>
                <w:color w:val="3333CC"/>
                <w:sz w:val="17"/>
                <w:szCs w:val="17"/>
              </w:rPr>
              <w:t>Non-KPI 2:</w:t>
            </w:r>
          </w:p>
          <w:p w:rsidR="00E10371" w:rsidRPr="005F120D" w:rsidRDefault="00E10371" w:rsidP="00F934B1">
            <w:pPr>
              <w:pStyle w:val="NoSpacing"/>
              <w:cnfStyle w:val="000000000000"/>
              <w:rPr>
                <w:rFonts w:asciiTheme="minorHAnsi" w:hAnsiTheme="minorHAnsi" w:cstheme="minorHAnsi"/>
                <w:color w:val="3333CC"/>
                <w:sz w:val="17"/>
                <w:szCs w:val="17"/>
              </w:rPr>
            </w:pPr>
            <w:r w:rsidRPr="005F120D">
              <w:rPr>
                <w:rFonts w:asciiTheme="minorHAnsi" w:hAnsiTheme="minorHAnsi" w:cstheme="minorHAnsi"/>
                <w:color w:val="3333CC"/>
                <w:sz w:val="17"/>
                <w:szCs w:val="17"/>
              </w:rPr>
              <w:t>Repetition rate (EFA-12)</w:t>
            </w:r>
          </w:p>
        </w:tc>
        <w:tc>
          <w:tcPr>
            <w:tcW w:w="780" w:type="pct"/>
          </w:tcPr>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KPI 9:</w:t>
            </w:r>
          </w:p>
          <w:p w:rsidR="00E10371" w:rsidRPr="005F120D" w:rsidRDefault="00E10371" w:rsidP="000A5B80">
            <w:pPr>
              <w:pStyle w:val="NoSpacing"/>
              <w:cnfStyle w:val="000000000000"/>
              <w:rPr>
                <w:rFonts w:asciiTheme="minorHAnsi" w:hAnsiTheme="minorHAnsi" w:cstheme="minorHAnsi"/>
                <w:i/>
                <w:sz w:val="17"/>
                <w:szCs w:val="17"/>
              </w:rPr>
            </w:pPr>
            <w:r w:rsidRPr="005F120D">
              <w:rPr>
                <w:rFonts w:asciiTheme="minorHAnsi" w:hAnsiTheme="minorHAnsi" w:cstheme="minorHAnsi"/>
                <w:sz w:val="17"/>
                <w:szCs w:val="17"/>
              </w:rPr>
              <w:t>Upazila composite performance indicator</w:t>
            </w:r>
          </w:p>
        </w:tc>
        <w:tc>
          <w:tcPr>
            <w:tcW w:w="989" w:type="pct"/>
          </w:tcPr>
          <w:p w:rsidR="00E10371" w:rsidRPr="005F120D" w:rsidRDefault="00E10371" w:rsidP="000A5B80">
            <w:pPr>
              <w:pStyle w:val="NoSpacing"/>
              <w:cnfStyle w:val="000000000000"/>
              <w:rPr>
                <w:rFonts w:asciiTheme="minorHAnsi" w:hAnsiTheme="minorHAnsi" w:cstheme="minorHAnsi"/>
                <w:i/>
                <w:sz w:val="17"/>
                <w:szCs w:val="17"/>
              </w:rPr>
            </w:pPr>
          </w:p>
        </w:tc>
        <w:tc>
          <w:tcPr>
            <w:tcW w:w="708" w:type="pct"/>
          </w:tcPr>
          <w:p w:rsidR="00E10371" w:rsidRPr="005F120D" w:rsidRDefault="00E10371" w:rsidP="000A5B80">
            <w:pPr>
              <w:pStyle w:val="NoSpacing"/>
              <w:cnfStyle w:val="000000000000"/>
              <w:rPr>
                <w:rFonts w:asciiTheme="minorHAnsi" w:hAnsiTheme="minorHAnsi" w:cstheme="minorHAnsi"/>
                <w:sz w:val="17"/>
                <w:szCs w:val="17"/>
              </w:rPr>
            </w:pPr>
            <w:r w:rsidRPr="005F120D">
              <w:rPr>
                <w:rFonts w:asciiTheme="minorHAnsi" w:hAnsiTheme="minorHAnsi" w:cstheme="minorHAnsi"/>
                <w:sz w:val="17"/>
                <w:szCs w:val="17"/>
              </w:rPr>
              <w:t>KPI 15: % of schools that meet 3 out of 4 PSQL indicators</w:t>
            </w:r>
          </w:p>
        </w:tc>
        <w:tc>
          <w:tcPr>
            <w:tcW w:w="779" w:type="pct"/>
          </w:tcPr>
          <w:p w:rsidR="00E10371" w:rsidRPr="005F120D" w:rsidRDefault="00E10371" w:rsidP="00473BC8">
            <w:pPr>
              <w:pStyle w:val="NoSpacing"/>
              <w:cnfStyle w:val="000000000000"/>
              <w:rPr>
                <w:rFonts w:asciiTheme="minorHAnsi" w:hAnsiTheme="minorHAnsi" w:cstheme="minorHAnsi"/>
                <w:sz w:val="17"/>
                <w:szCs w:val="17"/>
              </w:rPr>
            </w:pPr>
          </w:p>
        </w:tc>
      </w:tr>
      <w:tr w:rsidR="00E10371" w:rsidRPr="005F120D" w:rsidTr="00473BC8">
        <w:trPr>
          <w:cnfStyle w:val="000000100000"/>
          <w:trHeight w:val="250"/>
        </w:trPr>
        <w:tc>
          <w:tcPr>
            <w:cnfStyle w:val="001000000000"/>
            <w:tcW w:w="716" w:type="pct"/>
          </w:tcPr>
          <w:p w:rsidR="00E10371" w:rsidRPr="005F120D" w:rsidRDefault="00E10371" w:rsidP="00F934B1">
            <w:pPr>
              <w:pStyle w:val="NoSpacing"/>
              <w:rPr>
                <w:rFonts w:asciiTheme="minorHAnsi" w:hAnsiTheme="minorHAnsi" w:cstheme="minorHAnsi"/>
                <w:b w:val="0"/>
                <w:color w:val="3333CC"/>
                <w:sz w:val="17"/>
                <w:szCs w:val="17"/>
              </w:rPr>
            </w:pPr>
            <w:r w:rsidRPr="005F120D">
              <w:rPr>
                <w:rFonts w:asciiTheme="minorHAnsi" w:hAnsiTheme="minorHAnsi" w:cstheme="minorHAnsi"/>
                <w:b w:val="0"/>
                <w:color w:val="3333CC"/>
                <w:sz w:val="17"/>
                <w:szCs w:val="17"/>
              </w:rPr>
              <w:t>Non-KPI 1:</w:t>
            </w:r>
          </w:p>
          <w:p w:rsidR="00E10371" w:rsidRPr="005F120D" w:rsidRDefault="00E10371" w:rsidP="000A5B80">
            <w:pPr>
              <w:pStyle w:val="NoSpacing"/>
              <w:rPr>
                <w:rFonts w:asciiTheme="minorHAnsi" w:hAnsiTheme="minorHAnsi" w:cstheme="minorHAnsi"/>
                <w:b w:val="0"/>
                <w:color w:val="3333CC"/>
                <w:sz w:val="17"/>
                <w:szCs w:val="17"/>
              </w:rPr>
            </w:pPr>
            <w:r w:rsidRPr="005F120D">
              <w:rPr>
                <w:rFonts w:asciiTheme="minorHAnsi" w:hAnsiTheme="minorHAnsi" w:cstheme="minorHAnsi"/>
                <w:b w:val="0"/>
                <w:color w:val="3333CC"/>
                <w:sz w:val="17"/>
                <w:szCs w:val="17"/>
              </w:rPr>
              <w:t>PECE Participation rate (based on Descriptive Roll)</w:t>
            </w:r>
          </w:p>
        </w:tc>
        <w:tc>
          <w:tcPr>
            <w:tcW w:w="1028" w:type="pct"/>
          </w:tcPr>
          <w:p w:rsidR="00E10371" w:rsidRPr="005F120D" w:rsidRDefault="00E10371" w:rsidP="00F934B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Non-KPI 3:</w:t>
            </w:r>
          </w:p>
          <w:p w:rsidR="00E10371" w:rsidRPr="005F120D" w:rsidRDefault="00E10371" w:rsidP="00F934B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Percentage of  Grade1 new intakes who completed PPE (EFA-2)</w:t>
            </w:r>
          </w:p>
          <w:p w:rsidR="00E10371" w:rsidRPr="005F120D" w:rsidRDefault="00E10371" w:rsidP="0073508C">
            <w:pPr>
              <w:pStyle w:val="NoSpacing"/>
              <w:cnfStyle w:val="000000100000"/>
              <w:rPr>
                <w:rFonts w:asciiTheme="minorHAnsi" w:hAnsiTheme="minorHAnsi" w:cstheme="minorHAnsi"/>
                <w:color w:val="3333CC"/>
                <w:sz w:val="17"/>
                <w:szCs w:val="17"/>
              </w:rPr>
            </w:pPr>
          </w:p>
          <w:p w:rsidR="00E10371" w:rsidRPr="005F120D" w:rsidRDefault="00E10371" w:rsidP="0073508C">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Non-KPI 4:</w:t>
            </w:r>
          </w:p>
          <w:p w:rsidR="00E10371" w:rsidRPr="005F120D" w:rsidRDefault="00E10371" w:rsidP="0073508C">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Student attendance rate</w:t>
            </w:r>
          </w:p>
          <w:p w:rsidR="00E10371" w:rsidRPr="005F120D" w:rsidRDefault="00E10371" w:rsidP="00F934B1">
            <w:pPr>
              <w:pStyle w:val="NoSpacing"/>
              <w:cnfStyle w:val="000000100000"/>
              <w:rPr>
                <w:rFonts w:asciiTheme="minorHAnsi" w:hAnsiTheme="minorHAnsi" w:cstheme="minorHAnsi"/>
                <w:color w:val="3333CC"/>
                <w:sz w:val="17"/>
                <w:szCs w:val="17"/>
              </w:rPr>
            </w:pPr>
          </w:p>
          <w:p w:rsidR="00E10371" w:rsidRPr="005F120D" w:rsidRDefault="00E10371" w:rsidP="00F934B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Non-KPI 5: Number of children from NFE institutes taking Grade 5 PECE</w:t>
            </w:r>
          </w:p>
        </w:tc>
        <w:tc>
          <w:tcPr>
            <w:tcW w:w="780" w:type="pct"/>
          </w:tcPr>
          <w:p w:rsidR="00E10371" w:rsidRPr="005F120D" w:rsidRDefault="00E10371" w:rsidP="00E1037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Non-KPI 6:</w:t>
            </w:r>
          </w:p>
          <w:p w:rsidR="00E10371" w:rsidRPr="005F120D" w:rsidRDefault="00E10371" w:rsidP="00E1037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Survival Rate (EFA-13)</w:t>
            </w:r>
          </w:p>
          <w:p w:rsidR="00E10371" w:rsidRPr="005F120D" w:rsidRDefault="00E10371" w:rsidP="00E10371">
            <w:pPr>
              <w:pStyle w:val="NoSpacing"/>
              <w:cnfStyle w:val="000000100000"/>
              <w:rPr>
                <w:rFonts w:asciiTheme="minorHAnsi" w:hAnsiTheme="minorHAnsi" w:cstheme="minorHAnsi"/>
                <w:color w:val="3333CC"/>
                <w:sz w:val="17"/>
                <w:szCs w:val="17"/>
              </w:rPr>
            </w:pPr>
          </w:p>
          <w:p w:rsidR="00E10371" w:rsidRPr="005F120D" w:rsidRDefault="00E10371" w:rsidP="00E1037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 xml:space="preserve">Non-KPI 7: </w:t>
            </w:r>
          </w:p>
          <w:p w:rsidR="00E10371" w:rsidRPr="005F120D" w:rsidRDefault="00E10371" w:rsidP="00E1037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Number of Single Shift School (Contact hour</w:t>
            </w:r>
            <w:r w:rsidR="00051E97" w:rsidRPr="005F120D">
              <w:rPr>
                <w:rFonts w:asciiTheme="minorHAnsi" w:hAnsiTheme="minorHAnsi" w:cstheme="minorHAnsi"/>
                <w:color w:val="3333CC"/>
                <w:sz w:val="17"/>
                <w:szCs w:val="17"/>
              </w:rPr>
              <w:t>s</w:t>
            </w:r>
            <w:r w:rsidRPr="005F120D">
              <w:rPr>
                <w:rFonts w:asciiTheme="minorHAnsi" w:hAnsiTheme="minorHAnsi" w:cstheme="minorHAnsi"/>
                <w:color w:val="3333CC"/>
                <w:sz w:val="17"/>
                <w:szCs w:val="17"/>
              </w:rPr>
              <w:t>)</w:t>
            </w:r>
          </w:p>
          <w:p w:rsidR="00E10371" w:rsidRPr="005F120D" w:rsidRDefault="00E10371" w:rsidP="00E10371">
            <w:pPr>
              <w:pStyle w:val="NoSpacing"/>
              <w:cnfStyle w:val="000000100000"/>
              <w:rPr>
                <w:rFonts w:asciiTheme="minorHAnsi" w:hAnsiTheme="minorHAnsi" w:cstheme="minorHAnsi"/>
                <w:color w:val="3333CC"/>
                <w:sz w:val="17"/>
                <w:szCs w:val="17"/>
              </w:rPr>
            </w:pPr>
          </w:p>
          <w:p w:rsidR="00E10371" w:rsidRPr="005F120D" w:rsidRDefault="00E10371" w:rsidP="000A5B80">
            <w:pPr>
              <w:pStyle w:val="NoSpacing"/>
              <w:cnfStyle w:val="000000100000"/>
              <w:rPr>
                <w:rFonts w:asciiTheme="minorHAnsi" w:hAnsiTheme="minorHAnsi" w:cstheme="minorHAnsi"/>
                <w:i/>
                <w:color w:val="3333CC"/>
                <w:sz w:val="17"/>
                <w:szCs w:val="17"/>
              </w:rPr>
            </w:pPr>
          </w:p>
        </w:tc>
        <w:tc>
          <w:tcPr>
            <w:tcW w:w="989" w:type="pct"/>
          </w:tcPr>
          <w:p w:rsidR="00E10371" w:rsidRPr="005F120D" w:rsidRDefault="00E10371" w:rsidP="00E1037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Non-KPI 8:</w:t>
            </w:r>
          </w:p>
          <w:p w:rsidR="00E10371" w:rsidRPr="005F120D" w:rsidRDefault="00E10371" w:rsidP="00E10371">
            <w:pPr>
              <w:pStyle w:val="NoSpacing"/>
              <w:cnfStyle w:val="000000100000"/>
              <w:rPr>
                <w:rFonts w:asciiTheme="minorHAnsi" w:hAnsiTheme="minorHAnsi" w:cstheme="minorHAnsi"/>
                <w:i/>
                <w:color w:val="3333CC"/>
                <w:sz w:val="17"/>
                <w:szCs w:val="17"/>
              </w:rPr>
            </w:pPr>
            <w:r w:rsidRPr="005F120D">
              <w:rPr>
                <w:rFonts w:asciiTheme="minorHAnsi" w:hAnsiTheme="minorHAnsi" w:cstheme="minorHAnsi"/>
                <w:color w:val="3333CC"/>
                <w:sz w:val="17"/>
                <w:szCs w:val="17"/>
              </w:rPr>
              <w:t xml:space="preserve">Percentage of sanctioned posts filled in district and </w:t>
            </w:r>
            <w:r w:rsidR="00EE6322" w:rsidRPr="005F120D">
              <w:rPr>
                <w:rFonts w:asciiTheme="minorHAnsi" w:hAnsiTheme="minorHAnsi" w:cstheme="minorHAnsi"/>
                <w:color w:val="3333CC"/>
                <w:sz w:val="17"/>
                <w:szCs w:val="17"/>
              </w:rPr>
              <w:t>Upazilas</w:t>
            </w:r>
          </w:p>
        </w:tc>
        <w:tc>
          <w:tcPr>
            <w:tcW w:w="708" w:type="pct"/>
          </w:tcPr>
          <w:p w:rsidR="00E10371" w:rsidRPr="005F120D" w:rsidRDefault="00E10371" w:rsidP="00E1037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 xml:space="preserve">Non-KPI 9: </w:t>
            </w:r>
          </w:p>
          <w:p w:rsidR="00E10371" w:rsidRPr="005F120D" w:rsidRDefault="00E10371" w:rsidP="00E1037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Gross Completion rate</w:t>
            </w:r>
          </w:p>
          <w:p w:rsidR="00E10371" w:rsidRPr="005F120D" w:rsidRDefault="00E10371" w:rsidP="00E1037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Non-KPI 10:</w:t>
            </w:r>
          </w:p>
          <w:p w:rsidR="00E10371" w:rsidRPr="005F120D" w:rsidRDefault="00E10371" w:rsidP="00E10371">
            <w:pPr>
              <w:pStyle w:val="NoSpacing"/>
              <w:cnfStyle w:val="000000100000"/>
              <w:rPr>
                <w:rFonts w:asciiTheme="minorHAnsi" w:hAnsiTheme="minorHAnsi" w:cstheme="minorHAnsi"/>
                <w:color w:val="3333CC"/>
                <w:sz w:val="17"/>
                <w:szCs w:val="17"/>
              </w:rPr>
            </w:pPr>
            <w:r w:rsidRPr="005F120D">
              <w:rPr>
                <w:rFonts w:asciiTheme="minorHAnsi" w:hAnsiTheme="minorHAnsi" w:cstheme="minorHAnsi"/>
                <w:color w:val="3333CC"/>
                <w:sz w:val="17"/>
                <w:szCs w:val="17"/>
              </w:rPr>
              <w:t>Transition rate from Grade 5 to Grade 6</w:t>
            </w:r>
          </w:p>
          <w:p w:rsidR="00E10371" w:rsidRPr="005F120D" w:rsidRDefault="00E10371" w:rsidP="00E10371">
            <w:pPr>
              <w:pStyle w:val="NoSpacing"/>
              <w:cnfStyle w:val="000000100000"/>
              <w:rPr>
                <w:rFonts w:asciiTheme="minorHAnsi" w:hAnsiTheme="minorHAnsi" w:cstheme="minorHAnsi"/>
                <w:color w:val="3333CC"/>
                <w:sz w:val="17"/>
                <w:szCs w:val="17"/>
              </w:rPr>
            </w:pPr>
          </w:p>
        </w:tc>
        <w:tc>
          <w:tcPr>
            <w:tcW w:w="779" w:type="pct"/>
          </w:tcPr>
          <w:p w:rsidR="00E10371" w:rsidRPr="005F120D" w:rsidRDefault="00E10371" w:rsidP="00473BC8">
            <w:pPr>
              <w:pStyle w:val="NoSpacing"/>
              <w:cnfStyle w:val="000000100000"/>
              <w:rPr>
                <w:rFonts w:asciiTheme="minorHAnsi" w:hAnsiTheme="minorHAnsi" w:cstheme="minorHAnsi"/>
                <w:color w:val="3333CC"/>
                <w:sz w:val="17"/>
                <w:szCs w:val="17"/>
              </w:rPr>
            </w:pPr>
          </w:p>
        </w:tc>
      </w:tr>
    </w:tbl>
    <w:p w:rsidR="00491555" w:rsidRPr="005F120D" w:rsidRDefault="00491555" w:rsidP="00C437AA">
      <w:pPr>
        <w:spacing w:line="276" w:lineRule="auto"/>
        <w:rPr>
          <w:rFonts w:asciiTheme="minorHAnsi" w:hAnsiTheme="minorHAnsi" w:cstheme="minorHAnsi"/>
          <w:color w:val="FF0000"/>
        </w:rPr>
        <w:sectPr w:rsidR="00491555" w:rsidRPr="005F120D" w:rsidSect="00EA356A">
          <w:type w:val="nextColumn"/>
          <w:pgSz w:w="11907" w:h="16839" w:code="9"/>
          <w:pgMar w:top="1440" w:right="1440" w:bottom="1440" w:left="1440" w:header="720" w:footer="720" w:gutter="0"/>
          <w:cols w:space="720"/>
          <w:docGrid w:linePitch="360"/>
        </w:sectPr>
      </w:pPr>
    </w:p>
    <w:p w:rsidR="008E4159" w:rsidRPr="005F120D" w:rsidRDefault="00430D21" w:rsidP="00C437AA">
      <w:pPr>
        <w:pStyle w:val="Heading2"/>
        <w:spacing w:line="276" w:lineRule="auto"/>
        <w:rPr>
          <w:rFonts w:cstheme="minorHAnsi"/>
        </w:rPr>
      </w:pPr>
      <w:bookmarkStart w:id="109" w:name="_Toc385250431"/>
      <w:bookmarkStart w:id="110" w:name="_Toc385252800"/>
      <w:bookmarkStart w:id="111" w:name="_Toc385252957"/>
      <w:bookmarkStart w:id="112" w:name="_Toc385253031"/>
      <w:bookmarkStart w:id="113" w:name="_Toc385253081"/>
      <w:bookmarkStart w:id="114" w:name="_Toc385257104"/>
      <w:bookmarkStart w:id="115" w:name="_Toc385257455"/>
      <w:bookmarkStart w:id="116" w:name="_Toc385257646"/>
      <w:bookmarkStart w:id="117" w:name="_Toc385257709"/>
      <w:bookmarkStart w:id="118" w:name="_Toc385320589"/>
      <w:bookmarkStart w:id="119" w:name="_Toc385419513"/>
      <w:bookmarkStart w:id="120" w:name="_Toc386366249"/>
      <w:bookmarkStart w:id="121" w:name="_Toc386961499"/>
      <w:bookmarkStart w:id="122" w:name="_Toc387149665"/>
      <w:bookmarkStart w:id="123" w:name="_Toc387397594"/>
      <w:bookmarkStart w:id="124" w:name="_Toc387825977"/>
      <w:bookmarkStart w:id="125" w:name="_Toc387925745"/>
      <w:bookmarkStart w:id="126" w:name="_Toc387926485"/>
      <w:bookmarkStart w:id="127" w:name="_Toc387998899"/>
      <w:bookmarkStart w:id="128" w:name="_Toc388006874"/>
      <w:bookmarkStart w:id="129" w:name="_Toc388637181"/>
      <w:bookmarkStart w:id="130" w:name="_Toc388697542"/>
      <w:bookmarkStart w:id="131" w:name="_Toc388697776"/>
      <w:bookmarkStart w:id="132" w:name="_Toc388697972"/>
      <w:bookmarkStart w:id="133" w:name="_Toc388698993"/>
      <w:bookmarkStart w:id="134" w:name="_Toc388783415"/>
      <w:bookmarkStart w:id="135" w:name="_Toc388786667"/>
      <w:bookmarkStart w:id="136" w:name="_Toc390078203"/>
      <w:bookmarkStart w:id="137" w:name="_Toc391307152"/>
      <w:bookmarkStart w:id="138" w:name="_Toc436482172"/>
      <w:bookmarkStart w:id="139" w:name="_Toc443861716"/>
      <w:bookmarkStart w:id="140" w:name="_Toc443998803"/>
      <w:bookmarkStart w:id="141" w:name="_Toc443998919"/>
      <w:bookmarkStart w:id="142" w:name="_Toc444008373"/>
      <w:bookmarkStart w:id="143" w:name="_Toc444340435"/>
      <w:bookmarkStart w:id="144" w:name="_Toc384739035"/>
      <w:bookmarkStart w:id="145" w:name="_Toc384739136"/>
      <w:bookmarkStart w:id="146" w:name="_Toc384739231"/>
      <w:bookmarkStart w:id="147" w:name="_Toc384739359"/>
      <w:bookmarkStart w:id="148" w:name="_Toc384739744"/>
      <w:bookmarkStart w:id="149" w:name="_Toc384740237"/>
      <w:bookmarkStart w:id="150" w:name="_Toc385242082"/>
      <w:bookmarkStart w:id="151" w:name="_Toc385245708"/>
      <w:bookmarkStart w:id="152" w:name="_Toc385245867"/>
      <w:bookmarkStart w:id="153" w:name="_Toc385246089"/>
      <w:bookmarkStart w:id="154" w:name="_Toc385246431"/>
      <w:bookmarkStart w:id="155" w:name="_Toc385250432"/>
      <w:bookmarkStart w:id="156" w:name="_Toc385252801"/>
      <w:bookmarkStart w:id="157" w:name="_Toc385252958"/>
      <w:bookmarkStart w:id="158" w:name="_Toc385253032"/>
      <w:bookmarkStart w:id="159" w:name="_Toc385253082"/>
      <w:bookmarkStart w:id="160" w:name="_Toc385257105"/>
      <w:bookmarkStart w:id="161" w:name="_Toc385257456"/>
      <w:bookmarkStart w:id="162" w:name="_Toc385257647"/>
      <w:bookmarkStart w:id="163" w:name="_Toc385257710"/>
      <w:bookmarkStart w:id="164" w:name="_Toc385320590"/>
      <w:bookmarkStart w:id="165" w:name="_Toc385419514"/>
      <w:bookmarkStart w:id="166" w:name="_Toc386366250"/>
      <w:bookmarkStart w:id="167" w:name="_Toc386961500"/>
      <w:bookmarkStart w:id="168" w:name="_Toc387149666"/>
      <w:bookmarkStart w:id="169" w:name="_Toc387397595"/>
      <w:bookmarkStart w:id="170" w:name="_Toc387825978"/>
      <w:bookmarkStart w:id="171" w:name="_Toc387925746"/>
      <w:bookmarkStart w:id="172" w:name="_Toc387926486"/>
      <w:bookmarkStart w:id="173" w:name="_Toc387998900"/>
      <w:bookmarkStart w:id="174" w:name="_Toc388006875"/>
      <w:bookmarkStart w:id="175" w:name="_Toc388637182"/>
      <w:bookmarkStart w:id="176" w:name="_Toc388697543"/>
      <w:bookmarkStart w:id="177" w:name="_Toc388697777"/>
      <w:bookmarkStart w:id="178" w:name="_Toc388697973"/>
      <w:bookmarkStart w:id="179" w:name="_Toc388698994"/>
      <w:bookmarkStart w:id="180" w:name="_Toc388783416"/>
      <w:bookmarkStart w:id="181" w:name="_Toc388786668"/>
      <w:bookmarkStart w:id="182" w:name="_Toc390078204"/>
      <w:bookmarkStart w:id="183" w:name="_Toc391307153"/>
      <w:bookmarkStart w:id="184" w:name="_Toc436482173"/>
      <w:bookmarkStart w:id="185" w:name="_Toc443861717"/>
      <w:bookmarkStart w:id="186" w:name="_Toc443998804"/>
      <w:bookmarkStart w:id="187" w:name="_Toc443998920"/>
      <w:bookmarkStart w:id="188" w:name="_Toc444008374"/>
      <w:bookmarkStart w:id="189" w:name="_Toc444340436"/>
      <w:bookmarkStart w:id="190" w:name="_Toc384739036"/>
      <w:bookmarkStart w:id="191" w:name="_Toc384739137"/>
      <w:bookmarkStart w:id="192" w:name="_Toc384739232"/>
      <w:bookmarkStart w:id="193" w:name="_Toc384739360"/>
      <w:bookmarkStart w:id="194" w:name="_Toc384739745"/>
      <w:bookmarkStart w:id="195" w:name="_Toc384740238"/>
      <w:bookmarkStart w:id="196" w:name="_Toc385242083"/>
      <w:bookmarkStart w:id="197" w:name="_Toc385245709"/>
      <w:bookmarkStart w:id="198" w:name="_Toc385245868"/>
      <w:bookmarkStart w:id="199" w:name="_Toc385246090"/>
      <w:bookmarkStart w:id="200" w:name="_Toc385246432"/>
      <w:bookmarkStart w:id="201" w:name="_Toc385250433"/>
      <w:bookmarkStart w:id="202" w:name="_Toc385252802"/>
      <w:bookmarkStart w:id="203" w:name="_Toc385252959"/>
      <w:bookmarkStart w:id="204" w:name="_Toc385253033"/>
      <w:bookmarkStart w:id="205" w:name="_Toc385253083"/>
      <w:bookmarkStart w:id="206" w:name="_Toc385257106"/>
      <w:bookmarkStart w:id="207" w:name="_Toc385257457"/>
      <w:bookmarkStart w:id="208" w:name="_Toc385257648"/>
      <w:bookmarkStart w:id="209" w:name="_Toc385257711"/>
      <w:bookmarkStart w:id="210" w:name="_Toc385320591"/>
      <w:bookmarkStart w:id="211" w:name="_Toc385419515"/>
      <w:bookmarkStart w:id="212" w:name="_Toc386366251"/>
      <w:bookmarkStart w:id="213" w:name="_Toc386961501"/>
      <w:bookmarkStart w:id="214" w:name="_Toc387149667"/>
      <w:bookmarkStart w:id="215" w:name="_Toc387397596"/>
      <w:bookmarkStart w:id="216" w:name="_Toc387825979"/>
      <w:bookmarkStart w:id="217" w:name="_Toc387925747"/>
      <w:bookmarkStart w:id="218" w:name="_Toc387926487"/>
      <w:bookmarkStart w:id="219" w:name="_Toc387998901"/>
      <w:bookmarkStart w:id="220" w:name="_Toc388006876"/>
      <w:bookmarkStart w:id="221" w:name="_Toc388637183"/>
      <w:bookmarkStart w:id="222" w:name="_Toc388697544"/>
      <w:bookmarkStart w:id="223" w:name="_Toc388697778"/>
      <w:bookmarkStart w:id="224" w:name="_Toc388697974"/>
      <w:bookmarkStart w:id="225" w:name="_Toc388698995"/>
      <w:bookmarkStart w:id="226" w:name="_Toc388783417"/>
      <w:bookmarkStart w:id="227" w:name="_Toc388786669"/>
      <w:bookmarkStart w:id="228" w:name="_Toc390078205"/>
      <w:bookmarkStart w:id="229" w:name="_Toc391307154"/>
      <w:bookmarkStart w:id="230" w:name="_Toc436482174"/>
      <w:bookmarkStart w:id="231" w:name="_Toc443861718"/>
      <w:bookmarkStart w:id="232" w:name="_Toc443998805"/>
      <w:bookmarkStart w:id="233" w:name="_Toc443998921"/>
      <w:bookmarkStart w:id="234" w:name="_Toc444008375"/>
      <w:bookmarkStart w:id="235" w:name="_Toc444340437"/>
      <w:bookmarkStart w:id="236" w:name="_Ref269155805"/>
      <w:bookmarkStart w:id="237" w:name="_Toc302835143"/>
      <w:bookmarkStart w:id="238" w:name="_Toc338856147"/>
      <w:bookmarkStart w:id="239" w:name="_Toc385242084"/>
      <w:bookmarkStart w:id="240" w:name="_Toc385245710"/>
      <w:bookmarkStart w:id="241" w:name="_Toc462837180"/>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5F120D">
        <w:rPr>
          <w:rFonts w:cstheme="minorHAnsi"/>
        </w:rPr>
        <w:lastRenderedPageBreak/>
        <w:t xml:space="preserve">Component 1: </w:t>
      </w:r>
      <w:r w:rsidR="0038277A" w:rsidRPr="005F120D">
        <w:rPr>
          <w:rFonts w:cstheme="minorHAnsi"/>
        </w:rPr>
        <w:t>Teaching and Learning</w:t>
      </w:r>
      <w:bookmarkEnd w:id="241"/>
    </w:p>
    <w:p w:rsidR="00C94502" w:rsidRPr="005F120D" w:rsidRDefault="00C94502" w:rsidP="004E125D">
      <w:pPr>
        <w:pStyle w:val="BodyText1"/>
        <w:spacing w:line="240" w:lineRule="auto"/>
        <w:jc w:val="both"/>
        <w:rPr>
          <w:rFonts w:asciiTheme="minorHAnsi" w:hAnsiTheme="minorHAnsi" w:cstheme="minorHAnsi"/>
          <w:b w:val="0"/>
        </w:rPr>
      </w:pPr>
      <w:bookmarkStart w:id="242" w:name="_Ref385253496"/>
      <w:bookmarkStart w:id="243" w:name="_Ref291601784"/>
      <w:bookmarkStart w:id="244" w:name="_Toc338839636"/>
      <w:r w:rsidRPr="005F120D">
        <w:rPr>
          <w:rFonts w:asciiTheme="minorHAnsi" w:hAnsiTheme="minorHAnsi" w:cstheme="minorHAnsi"/>
          <w:b w:val="0"/>
        </w:rPr>
        <w:t>Component 1: The focus on improving learning outcomes is one of the major shifts in educational approaches under PEDP3. The achievement of grade-wise and subject-wise learning outcomes or competencies is the ultimate outcome in the primary education sector. The following three KPIs and one non-KPI measure the performance of learning outcomes. KPIs 1 and 2 measure the achievement in Bangla and Mathematics of students of Grades 3 and 5. KPI 3 measures the pass rate in the PECE. Non-KPI-1 measures the participation rate of students in the PECE based on Descriptive Role (DR).</w:t>
      </w:r>
    </w:p>
    <w:p w:rsidR="00C94502" w:rsidRPr="005F120D" w:rsidRDefault="00C94502" w:rsidP="004E125D">
      <w:pPr>
        <w:pStyle w:val="BodyText1"/>
        <w:spacing w:after="0" w:line="240" w:lineRule="auto"/>
        <w:ind w:left="2160" w:hanging="2160"/>
        <w:jc w:val="both"/>
        <w:rPr>
          <w:rFonts w:asciiTheme="minorHAnsi" w:hAnsiTheme="minorHAnsi" w:cstheme="minorHAnsi"/>
          <w:i/>
          <w:sz w:val="20"/>
          <w:szCs w:val="20"/>
        </w:rPr>
      </w:pPr>
      <w:r w:rsidRPr="005F120D">
        <w:rPr>
          <w:rFonts w:asciiTheme="minorHAnsi" w:hAnsiTheme="minorHAnsi" w:cstheme="minorHAnsi"/>
          <w:i/>
          <w:sz w:val="20"/>
          <w:szCs w:val="20"/>
        </w:rPr>
        <w:tab/>
        <w:t>KPIs 1 and2:</w:t>
      </w:r>
      <w:r w:rsidRPr="005F120D">
        <w:rPr>
          <w:rFonts w:asciiTheme="minorHAnsi" w:hAnsiTheme="minorHAnsi" w:cstheme="minorHAnsi"/>
          <w:i/>
          <w:sz w:val="20"/>
          <w:szCs w:val="20"/>
        </w:rPr>
        <w:tab/>
        <w:t>Percentage of Grade 3 and 5 students who achieve Grade 3 and 5 competencies (All; Boys; Girls) in Bangla and Mathematics</w:t>
      </w:r>
    </w:p>
    <w:p w:rsidR="00C94502" w:rsidRPr="005F120D" w:rsidRDefault="00C94502" w:rsidP="004E125D">
      <w:pPr>
        <w:pStyle w:val="BodyText1"/>
        <w:spacing w:after="0" w:line="240" w:lineRule="auto"/>
        <w:ind w:left="2160" w:hanging="2160"/>
        <w:jc w:val="both"/>
        <w:rPr>
          <w:rFonts w:asciiTheme="minorHAnsi" w:hAnsiTheme="minorHAnsi" w:cstheme="minorHAnsi"/>
          <w:i/>
          <w:sz w:val="20"/>
          <w:szCs w:val="20"/>
        </w:rPr>
      </w:pPr>
      <w:r w:rsidRPr="005F120D">
        <w:rPr>
          <w:rFonts w:asciiTheme="minorHAnsi" w:hAnsiTheme="minorHAnsi" w:cstheme="minorHAnsi"/>
          <w:i/>
          <w:sz w:val="20"/>
          <w:szCs w:val="20"/>
        </w:rPr>
        <w:tab/>
        <w:t xml:space="preserve">KPI 3: </w:t>
      </w:r>
      <w:r w:rsidRPr="005F120D">
        <w:rPr>
          <w:rFonts w:asciiTheme="minorHAnsi" w:hAnsiTheme="minorHAnsi" w:cstheme="minorHAnsi"/>
          <w:i/>
          <w:sz w:val="20"/>
          <w:szCs w:val="20"/>
        </w:rPr>
        <w:tab/>
        <w:t>Grade 5 Primary Education Completion examination (PECE) pass rate (All; Boys; Girls)</w:t>
      </w:r>
    </w:p>
    <w:p w:rsidR="00C94502" w:rsidRPr="005F120D" w:rsidRDefault="00C94502" w:rsidP="004E125D">
      <w:pPr>
        <w:pStyle w:val="NoSpacing"/>
        <w:spacing w:after="240"/>
        <w:ind w:firstLine="720"/>
        <w:rPr>
          <w:rFonts w:asciiTheme="minorHAnsi" w:hAnsiTheme="minorHAnsi" w:cstheme="minorHAnsi"/>
          <w:b/>
          <w:i/>
          <w:sz w:val="20"/>
        </w:rPr>
      </w:pPr>
      <w:r w:rsidRPr="005F120D">
        <w:rPr>
          <w:rFonts w:asciiTheme="minorHAnsi" w:hAnsiTheme="minorHAnsi" w:cstheme="minorHAnsi"/>
          <w:b/>
          <w:i/>
          <w:sz w:val="20"/>
        </w:rPr>
        <w:t>Non-KPI 1:</w:t>
      </w:r>
      <w:r w:rsidRPr="005F120D">
        <w:rPr>
          <w:rFonts w:asciiTheme="minorHAnsi" w:hAnsiTheme="minorHAnsi" w:cstheme="minorHAnsi"/>
          <w:b/>
          <w:i/>
          <w:sz w:val="20"/>
        </w:rPr>
        <w:tab/>
        <w:t>PECE Participation rate (based on Descriptive Roll) (All; Boys; Girls)</w:t>
      </w:r>
    </w:p>
    <w:p w:rsidR="00C94502" w:rsidRPr="005F120D" w:rsidRDefault="00C94502" w:rsidP="004E125D">
      <w:pPr>
        <w:pStyle w:val="BodyText1"/>
        <w:spacing w:line="240" w:lineRule="auto"/>
        <w:jc w:val="both"/>
        <w:rPr>
          <w:rFonts w:asciiTheme="minorHAnsi" w:hAnsiTheme="minorHAnsi" w:cstheme="minorHAnsi"/>
          <w:b w:val="0"/>
        </w:rPr>
      </w:pPr>
      <w:r w:rsidRPr="005F120D">
        <w:rPr>
          <w:rFonts w:asciiTheme="minorHAnsi" w:hAnsiTheme="minorHAnsi" w:cstheme="minorHAnsi"/>
          <w:b w:val="0"/>
        </w:rPr>
        <w:t xml:space="preserve">There are two credible and authentic data sources for measuring the learning assessment: </w:t>
      </w:r>
    </w:p>
    <w:p w:rsidR="00C94502" w:rsidRPr="005F120D" w:rsidRDefault="00C94502" w:rsidP="004E125D">
      <w:pPr>
        <w:numPr>
          <w:ilvl w:val="0"/>
          <w:numId w:val="26"/>
        </w:numPr>
        <w:spacing w:after="0"/>
        <w:ind w:left="720"/>
        <w:contextualSpacing/>
        <w:rPr>
          <w:rFonts w:asciiTheme="minorHAnsi" w:hAnsiTheme="minorHAnsi" w:cstheme="minorHAnsi"/>
        </w:rPr>
      </w:pPr>
      <w:r w:rsidRPr="005F120D">
        <w:rPr>
          <w:rFonts w:asciiTheme="minorHAnsi" w:hAnsiTheme="minorHAnsi" w:cstheme="minorHAnsi"/>
        </w:rPr>
        <w:t>NSA surveys (conducting bi-annually);</w:t>
      </w:r>
    </w:p>
    <w:p w:rsidR="004F7B1D" w:rsidRPr="005F120D" w:rsidRDefault="00C94502" w:rsidP="004E125D">
      <w:pPr>
        <w:pStyle w:val="ListParagraph"/>
        <w:spacing w:after="0"/>
        <w:ind w:left="720"/>
        <w:rPr>
          <w:rFonts w:asciiTheme="minorHAnsi" w:hAnsiTheme="minorHAnsi" w:cstheme="minorHAnsi"/>
        </w:rPr>
      </w:pPr>
      <w:r w:rsidRPr="005F120D">
        <w:rPr>
          <w:rFonts w:asciiTheme="minorHAnsi" w:hAnsiTheme="minorHAnsi" w:cstheme="minorHAnsi"/>
        </w:rPr>
        <w:t>The PECE and EECE (annually, PECE since 2009 and EECE since 2010)</w:t>
      </w:r>
      <w:r w:rsidR="004F7B1D" w:rsidRPr="005F120D">
        <w:rPr>
          <w:rFonts w:asciiTheme="minorHAnsi" w:hAnsiTheme="minorHAnsi" w:cstheme="minorHAnsi"/>
        </w:rPr>
        <w:t xml:space="preserve">. </w:t>
      </w:r>
    </w:p>
    <w:p w:rsidR="007D4963" w:rsidRPr="005F120D" w:rsidRDefault="008225B1" w:rsidP="004E77B3">
      <w:pPr>
        <w:pStyle w:val="Heading3"/>
      </w:pPr>
      <w:bookmarkStart w:id="245" w:name="_Toc338839512"/>
      <w:bookmarkStart w:id="246" w:name="_Toc338856161"/>
      <w:bookmarkStart w:id="247" w:name="_Toc385242091"/>
      <w:bookmarkStart w:id="248" w:name="_Toc385245717"/>
      <w:r w:rsidRPr="005F120D">
        <w:t xml:space="preserve">2013 </w:t>
      </w:r>
      <w:r w:rsidR="007D4963" w:rsidRPr="005F120D">
        <w:t>National Student Assessment (NSA)</w:t>
      </w:r>
      <w:bookmarkEnd w:id="245"/>
      <w:bookmarkEnd w:id="246"/>
      <w:bookmarkEnd w:id="247"/>
      <w:bookmarkEnd w:id="248"/>
    </w:p>
    <w:p w:rsidR="00C94502" w:rsidRPr="005F120D" w:rsidRDefault="00C94502" w:rsidP="00C437AA">
      <w:pPr>
        <w:spacing w:after="120" w:line="276" w:lineRule="auto"/>
        <w:jc w:val="both"/>
        <w:rPr>
          <w:rFonts w:asciiTheme="minorHAnsi" w:hAnsiTheme="minorHAnsi" w:cstheme="minorHAnsi"/>
        </w:rPr>
      </w:pPr>
      <w:r w:rsidRPr="005F120D">
        <w:rPr>
          <w:rFonts w:asciiTheme="minorHAnsi" w:hAnsiTheme="minorHAnsi" w:cstheme="minorHAnsi"/>
        </w:rPr>
        <w:t>The National Student Assessment (NSA) tests Grade 3 and Grade 5 students in Bangla and mathematics. There have been four rounds of NSA carried out in 2006, 2008, 2011 and 2013. The 2011 round of NSA was originally planned for 2010.  But due to the need to establish a PEDP3 baseline on student achievement, it was agreed to move the NSA to 2011. The 2015</w:t>
      </w:r>
      <w:r w:rsidR="00D658C3" w:rsidRPr="005F120D">
        <w:rPr>
          <w:rFonts w:asciiTheme="minorHAnsi" w:hAnsiTheme="minorHAnsi" w:cstheme="minorHAnsi"/>
        </w:rPr>
        <w:t xml:space="preserve"> NSA has already been complet</w:t>
      </w:r>
      <w:r w:rsidRPr="005F120D">
        <w:rPr>
          <w:rFonts w:asciiTheme="minorHAnsi" w:hAnsiTheme="minorHAnsi" w:cstheme="minorHAnsi"/>
        </w:rPr>
        <w:t>ed. It is expected the results will be published in 2016, with the findings contained in the 2017 ASPR.</w:t>
      </w:r>
    </w:p>
    <w:p w:rsidR="00C94502" w:rsidRPr="005F120D" w:rsidRDefault="00C94502" w:rsidP="00C437AA">
      <w:pPr>
        <w:spacing w:line="276" w:lineRule="auto"/>
        <w:jc w:val="both"/>
        <w:rPr>
          <w:rFonts w:asciiTheme="minorHAnsi" w:hAnsiTheme="minorHAnsi" w:cstheme="minorHAnsi"/>
        </w:rPr>
      </w:pPr>
      <w:r w:rsidRPr="005F120D">
        <w:rPr>
          <w:rFonts w:asciiTheme="minorHAnsi" w:hAnsiTheme="minorHAnsi" w:cstheme="minorHAnsi"/>
        </w:rPr>
        <w:t xml:space="preserve">While each survey provides important insights into learning and related factors, the results from the first two rounds (2006 and 2008) of surveys under PEDPII were incompatible because of insufficient standardization of tests items. From 2011, standardized test items </w:t>
      </w:r>
      <w:r w:rsidR="00AC4C44" w:rsidRPr="005F120D">
        <w:rPr>
          <w:rFonts w:asciiTheme="minorHAnsi" w:hAnsiTheme="minorHAnsi" w:cstheme="minorHAnsi"/>
        </w:rPr>
        <w:t xml:space="preserve">were to </w:t>
      </w:r>
      <w:r w:rsidR="003F16F0" w:rsidRPr="005F120D">
        <w:rPr>
          <w:rFonts w:asciiTheme="minorHAnsi" w:hAnsiTheme="minorHAnsi" w:cstheme="minorHAnsi"/>
        </w:rPr>
        <w:t>ensure that</w:t>
      </w:r>
      <w:r w:rsidR="00B86EDE" w:rsidRPr="005F120D">
        <w:rPr>
          <w:rFonts w:asciiTheme="minorHAnsi" w:hAnsiTheme="minorHAnsi" w:cstheme="minorHAnsi"/>
        </w:rPr>
        <w:t xml:space="preserve"> the NSA 2011, 2013 and 2015 were compatible and comparisons could</w:t>
      </w:r>
      <w:r w:rsidRPr="005F120D">
        <w:rPr>
          <w:rFonts w:asciiTheme="minorHAnsi" w:hAnsiTheme="minorHAnsi" w:cstheme="minorHAnsi"/>
        </w:rPr>
        <w:t xml:space="preserve"> be drawn with caution.</w:t>
      </w:r>
    </w:p>
    <w:p w:rsidR="00C94502" w:rsidRPr="005F120D" w:rsidRDefault="00C94502" w:rsidP="00C437AA">
      <w:pPr>
        <w:spacing w:line="276" w:lineRule="auto"/>
        <w:jc w:val="both"/>
        <w:rPr>
          <w:rFonts w:asciiTheme="minorHAnsi" w:hAnsiTheme="minorHAnsi" w:cstheme="minorHAnsi"/>
        </w:rPr>
      </w:pPr>
      <w:r w:rsidRPr="005F120D">
        <w:rPr>
          <w:rFonts w:asciiTheme="minorHAnsi" w:hAnsiTheme="minorHAnsi" w:cstheme="minorHAnsi"/>
        </w:rPr>
        <w:t>The NSA 2011, 2013 and 2015 analysts used the Item Response Theory (IRT) to construct a common measurement scale for Grade 3 and Grade 5 for Bangla and Mathematics. For each subject, this scale represents a continuum of skills and understandings for the subject, based on test items in order of increasing difficulty. Both scales have a range of about 60 to 180. Student performance levels are grouped into bands, which reference the student’s level of proficiency in a subject and help to track the present and future performance of the student. Band 1 is considered the ba</w:t>
      </w:r>
      <w:r w:rsidR="00D51ED3" w:rsidRPr="005F120D">
        <w:rPr>
          <w:rFonts w:asciiTheme="minorHAnsi" w:hAnsiTheme="minorHAnsi" w:cstheme="minorHAnsi"/>
        </w:rPr>
        <w:t>sic level of proficiency while B</w:t>
      </w:r>
      <w:r w:rsidRPr="005F120D">
        <w:rPr>
          <w:rFonts w:asciiTheme="minorHAnsi" w:hAnsiTheme="minorHAnsi" w:cstheme="minorHAnsi"/>
        </w:rPr>
        <w:t xml:space="preserve">and 5 is considered the highest skill level. </w:t>
      </w:r>
    </w:p>
    <w:p w:rsidR="00C94502" w:rsidRPr="005F120D" w:rsidRDefault="00C94502" w:rsidP="000A5B80">
      <w:pPr>
        <w:spacing w:before="120" w:after="120" w:line="276" w:lineRule="auto"/>
        <w:rPr>
          <w:rFonts w:asciiTheme="minorHAnsi" w:hAnsiTheme="minorHAnsi" w:cstheme="minorHAnsi"/>
        </w:rPr>
      </w:pPr>
      <w:r w:rsidRPr="005F120D">
        <w:rPr>
          <w:rFonts w:asciiTheme="minorHAnsi" w:hAnsiTheme="minorHAnsi" w:cstheme="minorHAnsi"/>
        </w:rPr>
        <w:t>Each subject scale was split into five bands, which show the grade level that students are working at:</w:t>
      </w:r>
    </w:p>
    <w:p w:rsidR="00C94502" w:rsidRPr="005F120D" w:rsidRDefault="00C94502" w:rsidP="00C437AA">
      <w:pPr>
        <w:pStyle w:val="Listsub-bullet"/>
        <w:spacing w:after="0" w:line="276" w:lineRule="auto"/>
        <w:ind w:left="720"/>
        <w:rPr>
          <w:rFonts w:asciiTheme="minorHAnsi" w:hAnsiTheme="minorHAnsi" w:cstheme="minorHAnsi"/>
          <w:color w:val="auto"/>
        </w:rPr>
      </w:pPr>
      <w:r w:rsidRPr="005F120D">
        <w:rPr>
          <w:rFonts w:asciiTheme="minorHAnsi" w:hAnsiTheme="minorHAnsi" w:cstheme="minorHAnsi"/>
          <w:color w:val="auto"/>
        </w:rPr>
        <w:t xml:space="preserve">Band 1: </w:t>
      </w:r>
      <w:r w:rsidRPr="005F120D">
        <w:rPr>
          <w:rFonts w:asciiTheme="minorHAnsi" w:hAnsiTheme="minorHAnsi" w:cstheme="minorHAnsi"/>
          <w:color w:val="auto"/>
        </w:rPr>
        <w:tab/>
        <w:t>Students working well below Grade 3 level;</w:t>
      </w:r>
    </w:p>
    <w:p w:rsidR="00C94502" w:rsidRPr="005F120D" w:rsidRDefault="00C94502" w:rsidP="00C437AA">
      <w:pPr>
        <w:pStyle w:val="Listsub-bullet"/>
        <w:spacing w:after="0" w:line="276" w:lineRule="auto"/>
        <w:ind w:left="720"/>
        <w:rPr>
          <w:rFonts w:asciiTheme="minorHAnsi" w:hAnsiTheme="minorHAnsi" w:cstheme="minorHAnsi"/>
          <w:color w:val="auto"/>
        </w:rPr>
      </w:pPr>
      <w:r w:rsidRPr="005F120D">
        <w:rPr>
          <w:rFonts w:asciiTheme="minorHAnsi" w:hAnsiTheme="minorHAnsi" w:cstheme="minorHAnsi"/>
          <w:color w:val="auto"/>
        </w:rPr>
        <w:t xml:space="preserve">Band 2: </w:t>
      </w:r>
      <w:r w:rsidRPr="005F120D">
        <w:rPr>
          <w:rFonts w:asciiTheme="minorHAnsi" w:hAnsiTheme="minorHAnsi" w:cstheme="minorHAnsi"/>
          <w:color w:val="auto"/>
        </w:rPr>
        <w:tab/>
        <w:t>Students working below Grade 3 level;</w:t>
      </w:r>
    </w:p>
    <w:p w:rsidR="00C94502" w:rsidRPr="005F120D" w:rsidRDefault="00C94502" w:rsidP="00C437AA">
      <w:pPr>
        <w:pStyle w:val="Listsub-bullet"/>
        <w:spacing w:after="0" w:line="276" w:lineRule="auto"/>
        <w:ind w:left="720"/>
        <w:rPr>
          <w:rFonts w:asciiTheme="minorHAnsi" w:hAnsiTheme="minorHAnsi" w:cstheme="minorHAnsi"/>
          <w:color w:val="auto"/>
        </w:rPr>
      </w:pPr>
      <w:r w:rsidRPr="005F120D">
        <w:rPr>
          <w:rFonts w:asciiTheme="minorHAnsi" w:hAnsiTheme="minorHAnsi" w:cstheme="minorHAnsi"/>
          <w:color w:val="auto"/>
        </w:rPr>
        <w:t xml:space="preserve">Band 3: </w:t>
      </w:r>
      <w:r w:rsidRPr="005F120D">
        <w:rPr>
          <w:rFonts w:asciiTheme="minorHAnsi" w:hAnsiTheme="minorHAnsi" w:cstheme="minorHAnsi"/>
          <w:color w:val="auto"/>
        </w:rPr>
        <w:tab/>
        <w:t>Students working at Grade 3 level;</w:t>
      </w:r>
    </w:p>
    <w:p w:rsidR="00C94502" w:rsidRPr="005F120D" w:rsidRDefault="00C94502" w:rsidP="00C437AA">
      <w:pPr>
        <w:pStyle w:val="Listsub-bullet"/>
        <w:spacing w:after="0" w:line="276" w:lineRule="auto"/>
        <w:ind w:left="720"/>
        <w:rPr>
          <w:rFonts w:asciiTheme="minorHAnsi" w:hAnsiTheme="minorHAnsi" w:cstheme="minorHAnsi"/>
          <w:color w:val="auto"/>
        </w:rPr>
      </w:pPr>
      <w:r w:rsidRPr="005F120D">
        <w:rPr>
          <w:rFonts w:asciiTheme="minorHAnsi" w:hAnsiTheme="minorHAnsi" w:cstheme="minorHAnsi"/>
          <w:color w:val="auto"/>
        </w:rPr>
        <w:t xml:space="preserve">Band 4: </w:t>
      </w:r>
      <w:r w:rsidRPr="005F120D">
        <w:rPr>
          <w:rFonts w:asciiTheme="minorHAnsi" w:hAnsiTheme="minorHAnsi" w:cstheme="minorHAnsi"/>
          <w:color w:val="auto"/>
        </w:rPr>
        <w:tab/>
        <w:t>Students working above Grade 3 level; and</w:t>
      </w:r>
    </w:p>
    <w:p w:rsidR="00BA4305" w:rsidRPr="005F120D" w:rsidRDefault="00C94502" w:rsidP="00C437AA">
      <w:pPr>
        <w:pStyle w:val="Listsub-bullet"/>
        <w:spacing w:after="240" w:line="276" w:lineRule="auto"/>
        <w:ind w:left="720"/>
        <w:rPr>
          <w:rFonts w:asciiTheme="minorHAnsi" w:hAnsiTheme="minorHAnsi" w:cstheme="minorHAnsi"/>
          <w:color w:val="auto"/>
        </w:rPr>
      </w:pPr>
      <w:r w:rsidRPr="005F120D">
        <w:rPr>
          <w:rFonts w:asciiTheme="minorHAnsi" w:hAnsiTheme="minorHAnsi" w:cstheme="minorHAnsi"/>
          <w:color w:val="auto"/>
        </w:rPr>
        <w:t>Band 5:</w:t>
      </w:r>
      <w:r w:rsidRPr="005F120D">
        <w:rPr>
          <w:rFonts w:asciiTheme="minorHAnsi" w:hAnsiTheme="minorHAnsi" w:cstheme="minorHAnsi"/>
          <w:color w:val="auto"/>
        </w:rPr>
        <w:tab/>
      </w:r>
      <w:r w:rsidRPr="005F120D">
        <w:rPr>
          <w:rFonts w:asciiTheme="minorHAnsi" w:hAnsiTheme="minorHAnsi" w:cstheme="minorHAnsi"/>
          <w:color w:val="auto"/>
        </w:rPr>
        <w:tab/>
        <w:t>Students working at Grade 5 level</w:t>
      </w:r>
    </w:p>
    <w:p w:rsidR="00FD58DD" w:rsidRPr="005F120D" w:rsidRDefault="00FD58DD" w:rsidP="00C437AA">
      <w:pPr>
        <w:spacing w:line="276" w:lineRule="auto"/>
        <w:jc w:val="both"/>
        <w:rPr>
          <w:rFonts w:asciiTheme="minorHAnsi" w:hAnsiTheme="minorHAnsi" w:cstheme="minorHAnsi"/>
        </w:rPr>
      </w:pPr>
      <w:bookmarkStart w:id="249" w:name="_Ref387830048"/>
      <w:r w:rsidRPr="005F120D">
        <w:rPr>
          <w:rFonts w:asciiTheme="minorHAnsi" w:hAnsiTheme="minorHAnsi" w:cstheme="minorHAnsi"/>
        </w:rPr>
        <w:lastRenderedPageBreak/>
        <w:t>The 2013 NSA sample size remains comparable to previous rounds, comprising Grade 3 (22,871) and Grade 5 (</w:t>
      </w:r>
      <w:r w:rsidR="00B86EDE" w:rsidRPr="005F120D">
        <w:rPr>
          <w:rFonts w:asciiTheme="minorHAnsi" w:hAnsiTheme="minorHAnsi" w:cstheme="minorHAnsi"/>
        </w:rPr>
        <w:t>17,828) selected students</w:t>
      </w:r>
      <w:r w:rsidRPr="005F120D">
        <w:rPr>
          <w:rFonts w:asciiTheme="minorHAnsi" w:hAnsiTheme="minorHAnsi" w:cstheme="minorHAnsi"/>
        </w:rPr>
        <w:t xml:space="preserve">, using a nationally representative probability proportionate to size (PPS) sampling method from 1,001 sampled schools, (in 2011 726 schools and 30,000 students were included). </w:t>
      </w:r>
    </w:p>
    <w:p w:rsidR="00FD58DD" w:rsidRPr="005F120D" w:rsidRDefault="00FD58DD" w:rsidP="000A5B80">
      <w:pPr>
        <w:spacing w:before="120" w:after="120" w:line="276" w:lineRule="auto"/>
        <w:rPr>
          <w:rFonts w:asciiTheme="minorHAnsi" w:hAnsiTheme="minorHAnsi" w:cstheme="minorHAnsi"/>
        </w:rPr>
      </w:pPr>
      <w:r w:rsidRPr="005F120D">
        <w:rPr>
          <w:rFonts w:asciiTheme="minorHAnsi" w:hAnsiTheme="minorHAnsi" w:cstheme="minorHAnsi"/>
          <w:szCs w:val="22"/>
        </w:rPr>
        <w:t xml:space="preserve">The results of the 2013 NSA </w:t>
      </w:r>
      <w:r w:rsidRPr="005F120D">
        <w:rPr>
          <w:rFonts w:asciiTheme="minorHAnsi" w:hAnsiTheme="minorHAnsi" w:cstheme="minorHAnsi"/>
        </w:rPr>
        <w:t>based on the common scale are discussed below.</w:t>
      </w:r>
    </w:p>
    <w:p w:rsidR="00FD58DD" w:rsidRPr="005F120D" w:rsidRDefault="00FD58DD" w:rsidP="00C437AA">
      <w:pPr>
        <w:pStyle w:val="Heading4"/>
        <w:numPr>
          <w:ilvl w:val="0"/>
          <w:numId w:val="0"/>
        </w:numPr>
        <w:spacing w:line="276" w:lineRule="auto"/>
        <w:ind w:left="864" w:hanging="864"/>
        <w:rPr>
          <w:rFonts w:asciiTheme="minorHAnsi" w:hAnsiTheme="minorHAnsi" w:cstheme="minorHAnsi"/>
          <w:b/>
        </w:rPr>
      </w:pPr>
      <w:r w:rsidRPr="005F120D">
        <w:rPr>
          <w:rFonts w:asciiTheme="minorHAnsi" w:hAnsiTheme="minorHAnsi" w:cstheme="minorHAnsi"/>
          <w:b/>
        </w:rPr>
        <w:t>Performance in Bangla Test (preliminary estimates)</w:t>
      </w:r>
    </w:p>
    <w:p w:rsidR="00D04356" w:rsidRPr="005F120D" w:rsidRDefault="00450C9B" w:rsidP="00450C9B">
      <w:pPr>
        <w:pStyle w:val="Caption"/>
        <w:rPr>
          <w:rFonts w:cstheme="minorHAnsi"/>
        </w:rPr>
      </w:pPr>
      <w:bookmarkStart w:id="250" w:name="_Toc462837259"/>
      <w:bookmarkEnd w:id="249"/>
      <w:r w:rsidRPr="005F120D">
        <w:rPr>
          <w:rFonts w:cstheme="minorHAnsi"/>
        </w:rPr>
        <w:t xml:space="preserve">Table </w:t>
      </w:r>
      <w:r w:rsidR="002E2ED5" w:rsidRPr="005F120D">
        <w:rPr>
          <w:rFonts w:cstheme="minorHAnsi"/>
        </w:rPr>
        <w:fldChar w:fldCharType="begin"/>
      </w:r>
      <w:r w:rsidR="00487DFD"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487DFD"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4565E6" w:rsidRPr="005F120D">
        <w:rPr>
          <w:rFonts w:cstheme="minorHAnsi"/>
        </w:rPr>
        <w:t>:</w:t>
      </w:r>
      <w:r w:rsidR="003F16F0">
        <w:rPr>
          <w:rFonts w:cstheme="minorHAnsi"/>
        </w:rPr>
        <w:t xml:space="preserve"> </w:t>
      </w:r>
      <w:r w:rsidR="00D04356" w:rsidRPr="005F120D">
        <w:rPr>
          <w:rFonts w:cstheme="minorHAnsi"/>
        </w:rPr>
        <w:t xml:space="preserve">Band </w:t>
      </w:r>
      <w:r w:rsidR="004C5448" w:rsidRPr="005F120D">
        <w:rPr>
          <w:rFonts w:cstheme="minorHAnsi"/>
        </w:rPr>
        <w:t>D</w:t>
      </w:r>
      <w:r w:rsidR="00D04356" w:rsidRPr="005F120D">
        <w:rPr>
          <w:rFonts w:cstheme="minorHAnsi"/>
        </w:rPr>
        <w:t>istribution in B</w:t>
      </w:r>
      <w:r w:rsidR="004C5448" w:rsidRPr="005F120D">
        <w:rPr>
          <w:rFonts w:cstheme="minorHAnsi"/>
        </w:rPr>
        <w:t>angla L</w:t>
      </w:r>
      <w:r w:rsidR="00D04356" w:rsidRPr="005F120D">
        <w:rPr>
          <w:rFonts w:cstheme="minorHAnsi"/>
        </w:rPr>
        <w:t>anguage b</w:t>
      </w:r>
      <w:r w:rsidR="007D4681" w:rsidRPr="005F120D">
        <w:rPr>
          <w:rFonts w:cstheme="minorHAnsi"/>
        </w:rPr>
        <w:t>y Grade</w:t>
      </w:r>
      <w:r w:rsidR="00D04356" w:rsidRPr="005F120D">
        <w:rPr>
          <w:rFonts w:cstheme="minorHAnsi"/>
        </w:rPr>
        <w:t xml:space="preserve"> 2013 NSA</w:t>
      </w:r>
      <w:bookmarkEnd w:id="250"/>
    </w:p>
    <w:tbl>
      <w:tblPr>
        <w:tblStyle w:val="TableGrid"/>
        <w:tblW w:w="4944" w:type="pct"/>
        <w:tblInd w:w="108" w:type="dxa"/>
        <w:tblLook w:val="04A0"/>
      </w:tblPr>
      <w:tblGrid>
        <w:gridCol w:w="1272"/>
        <w:gridCol w:w="1575"/>
        <w:gridCol w:w="1574"/>
        <w:gridCol w:w="1574"/>
        <w:gridCol w:w="1574"/>
        <w:gridCol w:w="1572"/>
      </w:tblGrid>
      <w:tr w:rsidR="00D04356" w:rsidRPr="005F120D" w:rsidTr="000A5B80">
        <w:trPr>
          <w:trHeight w:hRule="exact" w:val="288"/>
        </w:trPr>
        <w:tc>
          <w:tcPr>
            <w:tcW w:w="695" w:type="pct"/>
            <w:tcBorders>
              <w:bottom w:val="single" w:sz="4" w:space="0" w:color="000000"/>
            </w:tcBorders>
            <w:shd w:val="clear" w:color="auto" w:fill="EAF1DD" w:themeFill="accent3" w:themeFillTint="33"/>
          </w:tcPr>
          <w:p w:rsidR="00D04356" w:rsidRPr="005F120D" w:rsidRDefault="00D04356" w:rsidP="00C437AA">
            <w:pPr>
              <w:spacing w:before="40" w:after="40" w:line="276" w:lineRule="auto"/>
              <w:rPr>
                <w:rFonts w:asciiTheme="minorHAnsi" w:hAnsiTheme="minorHAnsi" w:cstheme="minorHAnsi"/>
                <w:b/>
                <w:sz w:val="21"/>
                <w:szCs w:val="28"/>
              </w:rPr>
            </w:pPr>
          </w:p>
        </w:tc>
        <w:tc>
          <w:tcPr>
            <w:tcW w:w="861" w:type="pct"/>
            <w:tcBorders>
              <w:bottom w:val="single" w:sz="4" w:space="0" w:color="000000"/>
            </w:tcBorders>
            <w:shd w:val="clear" w:color="auto" w:fill="EAF1DD" w:themeFill="accent3" w:themeFillTint="33"/>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Band 1</w:t>
            </w:r>
          </w:p>
        </w:tc>
        <w:tc>
          <w:tcPr>
            <w:tcW w:w="861" w:type="pct"/>
            <w:tcBorders>
              <w:bottom w:val="single" w:sz="4" w:space="0" w:color="000000"/>
            </w:tcBorders>
            <w:shd w:val="clear" w:color="auto" w:fill="EAF1DD" w:themeFill="accent3" w:themeFillTint="33"/>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Band 2</w:t>
            </w:r>
          </w:p>
        </w:tc>
        <w:tc>
          <w:tcPr>
            <w:tcW w:w="861" w:type="pct"/>
            <w:tcBorders>
              <w:bottom w:val="single" w:sz="4" w:space="0" w:color="000000"/>
            </w:tcBorders>
            <w:shd w:val="clear" w:color="auto" w:fill="EAF1DD" w:themeFill="accent3" w:themeFillTint="33"/>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Band 3</w:t>
            </w:r>
          </w:p>
        </w:tc>
        <w:tc>
          <w:tcPr>
            <w:tcW w:w="861" w:type="pct"/>
            <w:tcBorders>
              <w:bottom w:val="single" w:sz="4" w:space="0" w:color="000000"/>
            </w:tcBorders>
            <w:shd w:val="clear" w:color="auto" w:fill="EAF1DD" w:themeFill="accent3" w:themeFillTint="33"/>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Band 4</w:t>
            </w:r>
          </w:p>
        </w:tc>
        <w:tc>
          <w:tcPr>
            <w:tcW w:w="860" w:type="pct"/>
            <w:tcBorders>
              <w:bottom w:val="single" w:sz="4" w:space="0" w:color="000000"/>
            </w:tcBorders>
            <w:shd w:val="clear" w:color="auto" w:fill="EAF1DD" w:themeFill="accent3" w:themeFillTint="33"/>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Band 5</w:t>
            </w:r>
          </w:p>
        </w:tc>
      </w:tr>
      <w:tr w:rsidR="00D04356" w:rsidRPr="005F120D" w:rsidTr="000A5B80">
        <w:trPr>
          <w:trHeight w:hRule="exact" w:val="288"/>
        </w:trPr>
        <w:tc>
          <w:tcPr>
            <w:tcW w:w="695" w:type="pct"/>
            <w:tcBorders>
              <w:bottom w:val="single" w:sz="4" w:space="0" w:color="000000"/>
            </w:tcBorders>
            <w:shd w:val="clear" w:color="auto" w:fill="D6E3BC" w:themeFill="accent3" w:themeFillTint="66"/>
          </w:tcPr>
          <w:p w:rsidR="00D04356" w:rsidRPr="005F120D" w:rsidRDefault="00D04356" w:rsidP="00C437AA">
            <w:pPr>
              <w:spacing w:before="40" w:after="40" w:line="276" w:lineRule="auto"/>
              <w:rPr>
                <w:rFonts w:asciiTheme="minorHAnsi" w:hAnsiTheme="minorHAnsi" w:cstheme="minorHAnsi"/>
                <w:b/>
                <w:sz w:val="21"/>
                <w:szCs w:val="28"/>
              </w:rPr>
            </w:pPr>
            <w:r w:rsidRPr="005F120D">
              <w:rPr>
                <w:rFonts w:asciiTheme="minorHAnsi" w:hAnsiTheme="minorHAnsi" w:cstheme="minorHAnsi"/>
                <w:b/>
                <w:sz w:val="21"/>
                <w:szCs w:val="28"/>
              </w:rPr>
              <w:t>Grade 3</w:t>
            </w:r>
          </w:p>
        </w:tc>
        <w:tc>
          <w:tcPr>
            <w:tcW w:w="861" w:type="pct"/>
            <w:tcBorders>
              <w:bottom w:val="single" w:sz="4" w:space="0" w:color="000000"/>
            </w:tcBorders>
            <w:shd w:val="clear" w:color="auto" w:fill="D6E3BC" w:themeFill="accent3" w:themeFillTint="66"/>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5%</w:t>
            </w:r>
          </w:p>
        </w:tc>
        <w:tc>
          <w:tcPr>
            <w:tcW w:w="861" w:type="pct"/>
            <w:tcBorders>
              <w:bottom w:val="single" w:sz="4" w:space="0" w:color="000000"/>
            </w:tcBorders>
            <w:shd w:val="clear" w:color="auto" w:fill="D6E3BC" w:themeFill="accent3" w:themeFillTint="66"/>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20%</w:t>
            </w:r>
          </w:p>
        </w:tc>
        <w:tc>
          <w:tcPr>
            <w:tcW w:w="861" w:type="pct"/>
            <w:tcBorders>
              <w:bottom w:val="single" w:sz="4" w:space="0" w:color="000000"/>
            </w:tcBorders>
            <w:shd w:val="clear" w:color="auto" w:fill="D6E3BC" w:themeFill="accent3" w:themeFillTint="66"/>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40%</w:t>
            </w:r>
          </w:p>
        </w:tc>
        <w:tc>
          <w:tcPr>
            <w:tcW w:w="861" w:type="pct"/>
            <w:tcBorders>
              <w:bottom w:val="single" w:sz="4" w:space="0" w:color="000000"/>
            </w:tcBorders>
            <w:shd w:val="clear" w:color="auto" w:fill="D6E3BC" w:themeFill="accent3" w:themeFillTint="66"/>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27%</w:t>
            </w:r>
          </w:p>
        </w:tc>
        <w:tc>
          <w:tcPr>
            <w:tcW w:w="860" w:type="pct"/>
            <w:tcBorders>
              <w:bottom w:val="single" w:sz="4" w:space="0" w:color="000000"/>
            </w:tcBorders>
            <w:shd w:val="clear" w:color="auto" w:fill="D6E3BC" w:themeFill="accent3" w:themeFillTint="66"/>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8%</w:t>
            </w:r>
          </w:p>
        </w:tc>
      </w:tr>
      <w:tr w:rsidR="00D04356" w:rsidRPr="005F120D" w:rsidTr="000A5B80">
        <w:trPr>
          <w:trHeight w:hRule="exact" w:val="288"/>
        </w:trPr>
        <w:tc>
          <w:tcPr>
            <w:tcW w:w="695" w:type="pct"/>
            <w:shd w:val="clear" w:color="auto" w:fill="C2D69B" w:themeFill="accent3" w:themeFillTint="99"/>
          </w:tcPr>
          <w:p w:rsidR="00D04356" w:rsidRPr="005F120D" w:rsidRDefault="00D04356" w:rsidP="00C437AA">
            <w:pPr>
              <w:spacing w:before="40" w:after="40" w:line="276" w:lineRule="auto"/>
              <w:rPr>
                <w:rFonts w:asciiTheme="minorHAnsi" w:hAnsiTheme="minorHAnsi" w:cstheme="minorHAnsi"/>
                <w:b/>
                <w:sz w:val="21"/>
                <w:szCs w:val="28"/>
              </w:rPr>
            </w:pPr>
            <w:r w:rsidRPr="005F120D">
              <w:rPr>
                <w:rFonts w:asciiTheme="minorHAnsi" w:hAnsiTheme="minorHAnsi" w:cstheme="minorHAnsi"/>
                <w:b/>
                <w:sz w:val="21"/>
                <w:szCs w:val="28"/>
              </w:rPr>
              <w:t>Grade 5</w:t>
            </w:r>
          </w:p>
        </w:tc>
        <w:tc>
          <w:tcPr>
            <w:tcW w:w="861" w:type="pct"/>
            <w:shd w:val="clear" w:color="auto" w:fill="C2D69B" w:themeFill="accent3" w:themeFillTint="99"/>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0%</w:t>
            </w:r>
          </w:p>
        </w:tc>
        <w:tc>
          <w:tcPr>
            <w:tcW w:w="861" w:type="pct"/>
            <w:shd w:val="clear" w:color="auto" w:fill="C2D69B" w:themeFill="accent3" w:themeFillTint="99"/>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3%</w:t>
            </w:r>
          </w:p>
        </w:tc>
        <w:tc>
          <w:tcPr>
            <w:tcW w:w="861" w:type="pct"/>
            <w:shd w:val="clear" w:color="auto" w:fill="C2D69B" w:themeFill="accent3" w:themeFillTint="99"/>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20%</w:t>
            </w:r>
          </w:p>
        </w:tc>
        <w:tc>
          <w:tcPr>
            <w:tcW w:w="861" w:type="pct"/>
            <w:shd w:val="clear" w:color="auto" w:fill="C2D69B" w:themeFill="accent3" w:themeFillTint="99"/>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52%</w:t>
            </w:r>
          </w:p>
        </w:tc>
        <w:tc>
          <w:tcPr>
            <w:tcW w:w="860" w:type="pct"/>
            <w:shd w:val="clear" w:color="auto" w:fill="C2D69B" w:themeFill="accent3" w:themeFillTint="99"/>
          </w:tcPr>
          <w:p w:rsidR="00D04356" w:rsidRPr="005F120D" w:rsidRDefault="00D04356" w:rsidP="00C437AA">
            <w:pPr>
              <w:spacing w:before="40" w:after="40" w:line="276" w:lineRule="auto"/>
              <w:jc w:val="right"/>
              <w:rPr>
                <w:rFonts w:asciiTheme="minorHAnsi" w:hAnsiTheme="minorHAnsi" w:cstheme="minorHAnsi"/>
                <w:b/>
                <w:sz w:val="21"/>
                <w:szCs w:val="28"/>
              </w:rPr>
            </w:pPr>
            <w:r w:rsidRPr="005F120D">
              <w:rPr>
                <w:rFonts w:asciiTheme="minorHAnsi" w:hAnsiTheme="minorHAnsi" w:cstheme="minorHAnsi"/>
                <w:b/>
                <w:sz w:val="21"/>
                <w:szCs w:val="28"/>
              </w:rPr>
              <w:t>25%</w:t>
            </w:r>
          </w:p>
        </w:tc>
      </w:tr>
    </w:tbl>
    <w:p w:rsidR="00413E15" w:rsidRPr="005F120D" w:rsidRDefault="00D04356" w:rsidP="000A5B80">
      <w:pPr>
        <w:spacing w:before="40" w:line="276" w:lineRule="auto"/>
        <w:rPr>
          <w:rFonts w:asciiTheme="minorHAnsi" w:hAnsiTheme="minorHAnsi" w:cstheme="minorHAnsi"/>
          <w:b/>
          <w:i/>
          <w:sz w:val="16"/>
          <w:szCs w:val="16"/>
        </w:rPr>
      </w:pPr>
      <w:bookmarkStart w:id="251" w:name="_MON_1459768086"/>
      <w:bookmarkEnd w:id="251"/>
      <w:r w:rsidRPr="005F120D">
        <w:rPr>
          <w:rFonts w:asciiTheme="minorHAnsi" w:hAnsiTheme="minorHAnsi" w:cstheme="minorHAnsi"/>
          <w:b/>
          <w:i/>
          <w:sz w:val="16"/>
          <w:szCs w:val="16"/>
        </w:rPr>
        <w:t xml:space="preserve">Source: 2013 NSA, Note:  Band 1 is considered as the basic level of proficiency while </w:t>
      </w:r>
      <w:r w:rsidR="00B10E85" w:rsidRPr="005F120D">
        <w:rPr>
          <w:rFonts w:asciiTheme="minorHAnsi" w:hAnsiTheme="minorHAnsi" w:cstheme="minorHAnsi"/>
          <w:b/>
          <w:i/>
          <w:sz w:val="16"/>
          <w:szCs w:val="16"/>
        </w:rPr>
        <w:t>b</w:t>
      </w:r>
      <w:r w:rsidRPr="005F120D">
        <w:rPr>
          <w:rFonts w:asciiTheme="minorHAnsi" w:hAnsiTheme="minorHAnsi" w:cstheme="minorHAnsi"/>
          <w:b/>
          <w:i/>
          <w:sz w:val="16"/>
          <w:szCs w:val="16"/>
        </w:rPr>
        <w:t>and 5 is considered the highest skill level.</w:t>
      </w:r>
      <w:bookmarkStart w:id="252" w:name="_Ref387418181"/>
      <w:bookmarkStart w:id="253" w:name="_Ref387618257"/>
      <w:bookmarkStart w:id="254" w:name="_Ref330559179"/>
      <w:bookmarkStart w:id="255" w:name="_Toc338839633"/>
      <w:bookmarkStart w:id="256" w:name="_Toc385419655"/>
    </w:p>
    <w:p w:rsidR="00D04356" w:rsidRPr="005F120D" w:rsidRDefault="00D27514" w:rsidP="00C437AA">
      <w:pPr>
        <w:pStyle w:val="Caption"/>
        <w:spacing w:line="276" w:lineRule="auto"/>
        <w:rPr>
          <w:rFonts w:cstheme="minorHAnsi"/>
        </w:rPr>
      </w:pPr>
      <w:bookmarkStart w:id="257" w:name="_Toc462837410"/>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bookmarkEnd w:id="252"/>
      <w:bookmarkEnd w:id="253"/>
      <w:bookmarkEnd w:id="254"/>
      <w:bookmarkEnd w:id="255"/>
      <w:bookmarkEnd w:id="256"/>
      <w:r w:rsidR="004565E6" w:rsidRPr="005F120D">
        <w:rPr>
          <w:rFonts w:cstheme="minorHAnsi"/>
        </w:rPr>
        <w:t>:</w:t>
      </w:r>
      <w:r w:rsidR="003F16F0">
        <w:rPr>
          <w:rFonts w:cstheme="minorHAnsi"/>
        </w:rPr>
        <w:t xml:space="preserve"> </w:t>
      </w:r>
      <w:r w:rsidR="001F2275" w:rsidRPr="005F120D">
        <w:rPr>
          <w:rFonts w:cstheme="minorHAnsi"/>
        </w:rPr>
        <w:t>Percentage of</w:t>
      </w:r>
      <w:r w:rsidR="00446E0C" w:rsidRPr="005F120D">
        <w:rPr>
          <w:rFonts w:cstheme="minorHAnsi"/>
        </w:rPr>
        <w:t xml:space="preserve"> Students </w:t>
      </w:r>
      <w:r w:rsidR="004C5448" w:rsidRPr="005F120D">
        <w:rPr>
          <w:rFonts w:cstheme="minorHAnsi"/>
        </w:rPr>
        <w:t>i</w:t>
      </w:r>
      <w:r w:rsidR="00446E0C" w:rsidRPr="005F120D">
        <w:rPr>
          <w:rFonts w:cstheme="minorHAnsi"/>
        </w:rPr>
        <w:t xml:space="preserve">n Bands </w:t>
      </w:r>
      <w:r w:rsidR="00D920C1" w:rsidRPr="005F120D">
        <w:rPr>
          <w:rFonts w:cstheme="minorHAnsi"/>
        </w:rPr>
        <w:t>f</w:t>
      </w:r>
      <w:r w:rsidR="007D4681" w:rsidRPr="005F120D">
        <w:rPr>
          <w:rFonts w:cstheme="minorHAnsi"/>
        </w:rPr>
        <w:t>or Grade 3 and 5 Bangla</w:t>
      </w:r>
      <w:r w:rsidR="00446E0C" w:rsidRPr="005F120D">
        <w:rPr>
          <w:rFonts w:cstheme="minorHAnsi"/>
        </w:rPr>
        <w:t xml:space="preserve"> 2011 and 2013</w:t>
      </w:r>
      <w:bookmarkEnd w:id="257"/>
    </w:p>
    <w:p w:rsidR="009E5226" w:rsidRPr="005F120D" w:rsidRDefault="00D04356" w:rsidP="00C437AA">
      <w:pPr>
        <w:spacing w:after="0" w:line="276" w:lineRule="auto"/>
        <w:jc w:val="center"/>
        <w:rPr>
          <w:rFonts w:asciiTheme="minorHAnsi" w:hAnsiTheme="minorHAnsi" w:cstheme="minorHAnsi"/>
          <w:i/>
          <w:color w:val="FF0000"/>
          <w:sz w:val="18"/>
          <w:szCs w:val="18"/>
          <w:vertAlign w:val="superscript"/>
        </w:rPr>
      </w:pPr>
      <w:r w:rsidRPr="005F120D">
        <w:rPr>
          <w:rFonts w:asciiTheme="minorHAnsi" w:hAnsiTheme="minorHAnsi" w:cstheme="minorHAnsi"/>
          <w:noProof/>
          <w:color w:val="FF0000"/>
          <w:lang w:eastAsia="en-US"/>
        </w:rPr>
        <w:drawing>
          <wp:inline distT="0" distB="0" distL="0" distR="0">
            <wp:extent cx="5694790" cy="2406098"/>
            <wp:effectExtent l="38100" t="19050" r="20210" b="0"/>
            <wp:docPr id="11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0DAA" w:rsidRPr="005F120D" w:rsidRDefault="009E5226" w:rsidP="00C437AA">
      <w:pPr>
        <w:spacing w:after="0" w:line="276" w:lineRule="auto"/>
        <w:jc w:val="both"/>
        <w:rPr>
          <w:rFonts w:asciiTheme="minorHAnsi" w:hAnsiTheme="minorHAnsi" w:cstheme="minorHAnsi"/>
          <w:b/>
          <w:sz w:val="16"/>
          <w:szCs w:val="16"/>
          <w:vertAlign w:val="superscript"/>
        </w:rPr>
      </w:pPr>
      <w:r w:rsidRPr="005F120D">
        <w:rPr>
          <w:rFonts w:asciiTheme="minorHAnsi" w:hAnsiTheme="minorHAnsi" w:cstheme="minorHAnsi"/>
          <w:b/>
          <w:i/>
          <w:sz w:val="16"/>
          <w:szCs w:val="16"/>
        </w:rPr>
        <w:t>Source: NSA 2011 and 2013</w:t>
      </w:r>
    </w:p>
    <w:p w:rsidR="00FD58DD" w:rsidRPr="005F120D" w:rsidRDefault="00FD58DD" w:rsidP="00C437AA">
      <w:pPr>
        <w:spacing w:before="240" w:line="276" w:lineRule="auto"/>
        <w:rPr>
          <w:rFonts w:asciiTheme="minorHAnsi" w:hAnsiTheme="minorHAnsi" w:cstheme="minorHAnsi"/>
          <w:b/>
        </w:rPr>
      </w:pPr>
      <w:r w:rsidRPr="005F120D">
        <w:rPr>
          <w:rFonts w:asciiTheme="minorHAnsi" w:hAnsiTheme="minorHAnsi" w:cstheme="minorHAnsi"/>
          <w:b/>
        </w:rPr>
        <w:t>The findings on the Bangla test are:</w:t>
      </w:r>
    </w:p>
    <w:p w:rsidR="00FD58DD" w:rsidRPr="005F120D" w:rsidRDefault="00FD58DD" w:rsidP="00C437AA">
      <w:pPr>
        <w:numPr>
          <w:ilvl w:val="0"/>
          <w:numId w:val="32"/>
        </w:numPr>
        <w:spacing w:after="200" w:line="276" w:lineRule="auto"/>
        <w:contextualSpacing/>
        <w:jc w:val="both"/>
        <w:rPr>
          <w:rFonts w:asciiTheme="minorHAnsi" w:hAnsiTheme="minorHAnsi" w:cstheme="minorHAnsi"/>
        </w:rPr>
      </w:pPr>
      <w:r w:rsidRPr="005F120D">
        <w:rPr>
          <w:rFonts w:asciiTheme="minorHAnsi" w:hAnsiTheme="minorHAnsi" w:cstheme="minorHAnsi"/>
        </w:rPr>
        <w:t xml:space="preserve">In NSA 2013, the average scale score for Bangla was 104.2 (Band 3 up from 100.2 in 2011) and 115.2 (Band 4 up from116.2 in 2011) for Grades 3 and 5 respectively. This difference is statistically significant, indicating a strong growth in Bangla skills and understanding from Grade 3 to Grade 5. Three quarters (75%) of Grade 3 students were working at Grade 3 level or above in 2013 compared to 68% in 2011. This is a good sign, but it is of concern that the </w:t>
      </w:r>
      <w:r w:rsidR="00B86EDE" w:rsidRPr="005F120D">
        <w:rPr>
          <w:rFonts w:asciiTheme="minorHAnsi" w:hAnsiTheme="minorHAnsi" w:cstheme="minorHAnsi"/>
        </w:rPr>
        <w:t>majority of Grade 5 students were</w:t>
      </w:r>
      <w:r w:rsidRPr="005F120D">
        <w:rPr>
          <w:rFonts w:asciiTheme="minorHAnsi" w:hAnsiTheme="minorHAnsi" w:cstheme="minorHAnsi"/>
        </w:rPr>
        <w:t xml:space="preserve"> not working at their expected grade level (only 25% both in 2011 and 2013).</w:t>
      </w:r>
    </w:p>
    <w:p w:rsidR="00FD58DD" w:rsidRPr="005F120D" w:rsidRDefault="00FD58DD" w:rsidP="00C437AA">
      <w:pPr>
        <w:spacing w:after="200" w:line="276" w:lineRule="auto"/>
        <w:ind w:left="540"/>
        <w:contextualSpacing/>
        <w:jc w:val="both"/>
        <w:rPr>
          <w:rFonts w:asciiTheme="minorHAnsi" w:hAnsiTheme="minorHAnsi" w:cstheme="minorHAnsi"/>
          <w:sz w:val="8"/>
        </w:rPr>
      </w:pPr>
    </w:p>
    <w:p w:rsidR="00FD58DD" w:rsidRPr="005F120D" w:rsidRDefault="00FD58DD" w:rsidP="00C437AA">
      <w:pPr>
        <w:numPr>
          <w:ilvl w:val="0"/>
          <w:numId w:val="32"/>
        </w:numPr>
        <w:spacing w:after="200" w:line="276" w:lineRule="auto"/>
        <w:contextualSpacing/>
        <w:jc w:val="both"/>
        <w:rPr>
          <w:rFonts w:asciiTheme="minorHAnsi" w:hAnsiTheme="minorHAnsi" w:cstheme="minorHAnsi"/>
        </w:rPr>
      </w:pPr>
      <w:r w:rsidRPr="005F120D">
        <w:rPr>
          <w:rFonts w:asciiTheme="minorHAnsi" w:hAnsiTheme="minorHAnsi" w:cstheme="minorHAnsi"/>
        </w:rPr>
        <w:t>There are a small percentage of Grade 3 students (5% i</w:t>
      </w:r>
      <w:r w:rsidR="00B86EDE" w:rsidRPr="005F120D">
        <w:rPr>
          <w:rFonts w:asciiTheme="minorHAnsi" w:hAnsiTheme="minorHAnsi" w:cstheme="minorHAnsi"/>
        </w:rPr>
        <w:t>n 2013 and 6.2% in 2011) who were</w:t>
      </w:r>
      <w:r w:rsidRPr="005F120D">
        <w:rPr>
          <w:rFonts w:asciiTheme="minorHAnsi" w:hAnsiTheme="minorHAnsi" w:cstheme="minorHAnsi"/>
        </w:rPr>
        <w:t xml:space="preserve"> very far behind their peers (band 1). The </w:t>
      </w:r>
      <w:r w:rsidR="00B86EDE" w:rsidRPr="005F120D">
        <w:rPr>
          <w:rFonts w:asciiTheme="minorHAnsi" w:hAnsiTheme="minorHAnsi" w:cstheme="minorHAnsi"/>
        </w:rPr>
        <w:t>majority of Grade 5 students were</w:t>
      </w:r>
      <w:r w:rsidRPr="005F120D">
        <w:rPr>
          <w:rFonts w:asciiTheme="minorHAnsi" w:hAnsiTheme="minorHAnsi" w:cstheme="minorHAnsi"/>
        </w:rPr>
        <w:t xml:space="preserve"> working at Grade 4 level (52% in 2013 and 57% in 2011), but nearly 23% in 2013 (18% in 2011) were working well below their grade level i.e. band 1 and 2.</w:t>
      </w:r>
    </w:p>
    <w:p w:rsidR="00FD58DD" w:rsidRPr="005F120D" w:rsidRDefault="00FD58DD" w:rsidP="00C437AA">
      <w:pPr>
        <w:numPr>
          <w:ilvl w:val="0"/>
          <w:numId w:val="32"/>
        </w:numPr>
        <w:spacing w:before="240" w:line="276" w:lineRule="auto"/>
        <w:ind w:left="547"/>
        <w:contextualSpacing/>
        <w:jc w:val="both"/>
        <w:rPr>
          <w:rFonts w:asciiTheme="minorHAnsi" w:hAnsiTheme="minorHAnsi" w:cstheme="minorHAnsi"/>
        </w:rPr>
      </w:pPr>
      <w:r w:rsidRPr="005F120D">
        <w:rPr>
          <w:rFonts w:asciiTheme="minorHAnsi" w:hAnsiTheme="minorHAnsi" w:cstheme="minorHAnsi"/>
        </w:rPr>
        <w:lastRenderedPageBreak/>
        <w:t xml:space="preserve">Gender differences in Bangla scores are very small and not statistically significant. The Bangla achievement of Grade 3 boys and girls in 2013 increased by 4 scale score points compared to 2011 which is considered the medium scale. However for Grade 5, the Bangla achievement of boys and girls in 2013 was similar to that of boys and girls in 2011. </w:t>
      </w:r>
    </w:p>
    <w:p w:rsidR="00FD58DD" w:rsidRPr="005F120D" w:rsidRDefault="00FD58DD" w:rsidP="00C437AA">
      <w:pPr>
        <w:numPr>
          <w:ilvl w:val="0"/>
          <w:numId w:val="26"/>
        </w:numPr>
        <w:spacing w:after="200" w:line="276" w:lineRule="auto"/>
        <w:ind w:left="540"/>
        <w:contextualSpacing/>
        <w:jc w:val="both"/>
        <w:rPr>
          <w:rFonts w:asciiTheme="minorHAnsi" w:hAnsiTheme="minorHAnsi" w:cstheme="minorHAnsi"/>
        </w:rPr>
      </w:pPr>
      <w:r w:rsidRPr="005F120D">
        <w:rPr>
          <w:rFonts w:asciiTheme="minorHAnsi" w:hAnsiTheme="minorHAnsi" w:cstheme="minorHAnsi"/>
        </w:rPr>
        <w:t>The average score for Grade 3 in Bangla increased by 4 scale score points between 2011 and 2013 for both boys and girls. However, the average scale score for Grade 5 decreased by 3 scale score points between 2011 and 2013. Changes at both levels are small and are likely to have little practical significance.</w:t>
      </w:r>
    </w:p>
    <w:p w:rsidR="00FD58DD" w:rsidRPr="005F120D" w:rsidRDefault="00FD58DD" w:rsidP="00C437AA">
      <w:pPr>
        <w:numPr>
          <w:ilvl w:val="0"/>
          <w:numId w:val="26"/>
        </w:numPr>
        <w:spacing w:after="200" w:line="276" w:lineRule="auto"/>
        <w:ind w:left="540"/>
        <w:contextualSpacing/>
        <w:jc w:val="both"/>
        <w:rPr>
          <w:rFonts w:asciiTheme="minorHAnsi" w:hAnsiTheme="minorHAnsi" w:cstheme="minorHAnsi"/>
        </w:rPr>
      </w:pPr>
      <w:r w:rsidRPr="005F120D">
        <w:rPr>
          <w:rFonts w:asciiTheme="minorHAnsi" w:hAnsiTheme="minorHAnsi" w:cstheme="minorHAnsi"/>
        </w:rPr>
        <w:t>Students in GPS performed better than those in NNPS in Grade 3 and Grade 5. The differences at both grades are statistically significant (104.3 in GPS and 103.2 in NNPS).</w:t>
      </w:r>
    </w:p>
    <w:p w:rsidR="00FD58DD" w:rsidRPr="005F120D" w:rsidRDefault="00FD58DD" w:rsidP="00B86EDE">
      <w:pPr>
        <w:numPr>
          <w:ilvl w:val="0"/>
          <w:numId w:val="26"/>
        </w:numPr>
        <w:spacing w:after="200" w:line="276" w:lineRule="auto"/>
        <w:ind w:left="540"/>
        <w:contextualSpacing/>
        <w:jc w:val="both"/>
        <w:rPr>
          <w:rFonts w:asciiTheme="minorHAnsi" w:hAnsiTheme="minorHAnsi" w:cstheme="minorHAnsi"/>
          <w:color w:val="FF0000"/>
        </w:rPr>
      </w:pPr>
      <w:r w:rsidRPr="005F120D">
        <w:rPr>
          <w:rFonts w:asciiTheme="minorHAnsi" w:hAnsiTheme="minorHAnsi" w:cstheme="minorHAnsi"/>
        </w:rPr>
        <w:t>In Grade 3 Bangla, the average scale score of students in KG schools was the highest (107.1 Bangla Scale Score (BSS)), while the average scale score in BRAC schools was the lowest (98.7 BSS)</w:t>
      </w:r>
      <w:r w:rsidR="00B86EDE" w:rsidRPr="005F120D">
        <w:rPr>
          <w:rFonts w:asciiTheme="minorHAnsi" w:hAnsiTheme="minorHAnsi" w:cstheme="minorHAnsi"/>
        </w:rPr>
        <w:t>.</w:t>
      </w:r>
    </w:p>
    <w:p w:rsidR="009F0DAA" w:rsidRPr="005F120D" w:rsidRDefault="00FD58DD" w:rsidP="00C437AA">
      <w:pPr>
        <w:pStyle w:val="ListParagraph"/>
        <w:numPr>
          <w:ilvl w:val="0"/>
          <w:numId w:val="32"/>
        </w:numPr>
        <w:spacing w:line="276" w:lineRule="auto"/>
        <w:jc w:val="both"/>
        <w:rPr>
          <w:rFonts w:asciiTheme="minorHAnsi" w:hAnsiTheme="minorHAnsi" w:cstheme="minorHAnsi"/>
        </w:rPr>
      </w:pPr>
      <w:r w:rsidRPr="005F120D">
        <w:rPr>
          <w:rFonts w:asciiTheme="minorHAnsi" w:hAnsiTheme="minorHAnsi" w:cstheme="minorHAnsi"/>
        </w:rPr>
        <w:t xml:space="preserve">In Grade 5 Bangla, the average scale score of students in KG schools was the highest (118.2 BSS), while the </w:t>
      </w:r>
      <w:r w:rsidR="003F16F0">
        <w:rPr>
          <w:rFonts w:asciiTheme="minorHAnsi" w:hAnsiTheme="minorHAnsi" w:cstheme="minorHAnsi"/>
        </w:rPr>
        <w:t>average scale score in Madrasha</w:t>
      </w:r>
      <w:r w:rsidRPr="005F120D">
        <w:rPr>
          <w:rFonts w:asciiTheme="minorHAnsi" w:hAnsiTheme="minorHAnsi" w:cstheme="minorHAnsi"/>
        </w:rPr>
        <w:t xml:space="preserve"> was the lowest (110.4 BSS). There was a medium to large difference in the Bang</w:t>
      </w:r>
      <w:r w:rsidR="003F16F0">
        <w:rPr>
          <w:rFonts w:asciiTheme="minorHAnsi" w:hAnsiTheme="minorHAnsi" w:cstheme="minorHAnsi"/>
        </w:rPr>
        <w:t>la scale score between Madrasha and KG schools, Madrasha</w:t>
      </w:r>
      <w:r w:rsidRPr="005F120D">
        <w:rPr>
          <w:rFonts w:asciiTheme="minorHAnsi" w:hAnsiTheme="minorHAnsi" w:cstheme="minorHAnsi"/>
        </w:rPr>
        <w:t xml:space="preserve"> and GPS, and KG and NNPS.</w:t>
      </w:r>
    </w:p>
    <w:p w:rsidR="00446E0C" w:rsidRPr="005F120D" w:rsidRDefault="007D4963" w:rsidP="00C437AA">
      <w:pPr>
        <w:pStyle w:val="Heading4"/>
        <w:numPr>
          <w:ilvl w:val="0"/>
          <w:numId w:val="0"/>
        </w:numPr>
        <w:spacing w:line="276" w:lineRule="auto"/>
        <w:rPr>
          <w:rFonts w:asciiTheme="minorHAnsi" w:hAnsiTheme="minorHAnsi" w:cstheme="minorHAnsi"/>
          <w:b/>
        </w:rPr>
      </w:pPr>
      <w:r w:rsidRPr="005F120D">
        <w:rPr>
          <w:rFonts w:asciiTheme="minorHAnsi" w:hAnsiTheme="minorHAnsi" w:cstheme="minorHAnsi"/>
          <w:b/>
        </w:rPr>
        <w:t>P</w:t>
      </w:r>
      <w:r w:rsidR="00446E0C" w:rsidRPr="005F120D">
        <w:rPr>
          <w:rFonts w:asciiTheme="minorHAnsi" w:hAnsiTheme="minorHAnsi" w:cstheme="minorHAnsi"/>
          <w:b/>
        </w:rPr>
        <w:t>erf</w:t>
      </w:r>
      <w:r w:rsidR="00234B4A" w:rsidRPr="005F120D">
        <w:rPr>
          <w:rFonts w:asciiTheme="minorHAnsi" w:hAnsiTheme="minorHAnsi" w:cstheme="minorHAnsi"/>
          <w:b/>
        </w:rPr>
        <w:t>ormance i</w:t>
      </w:r>
      <w:r w:rsidR="00446E0C" w:rsidRPr="005F120D">
        <w:rPr>
          <w:rFonts w:asciiTheme="minorHAnsi" w:hAnsiTheme="minorHAnsi" w:cstheme="minorHAnsi"/>
          <w:b/>
        </w:rPr>
        <w:t>n Mathematics Test</w:t>
      </w:r>
      <w:r w:rsidR="00B207AB" w:rsidRPr="005F120D">
        <w:rPr>
          <w:rFonts w:asciiTheme="minorHAnsi" w:hAnsiTheme="minorHAnsi" w:cstheme="minorHAnsi"/>
          <w:b/>
        </w:rPr>
        <w:t xml:space="preserve"> (preliminary estimates)</w:t>
      </w:r>
    </w:p>
    <w:p w:rsidR="00446E0C" w:rsidRPr="005F120D" w:rsidRDefault="00D27514" w:rsidP="00C437AA">
      <w:pPr>
        <w:pStyle w:val="Caption"/>
        <w:spacing w:line="276" w:lineRule="auto"/>
        <w:rPr>
          <w:rFonts w:cstheme="minorHAnsi"/>
        </w:rPr>
      </w:pPr>
      <w:bookmarkStart w:id="258" w:name="_Toc462837260"/>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4565E6" w:rsidRPr="005F120D">
        <w:rPr>
          <w:rFonts w:cstheme="minorHAnsi"/>
        </w:rPr>
        <w:t>:</w:t>
      </w:r>
      <w:r w:rsidR="003F16F0">
        <w:rPr>
          <w:rFonts w:cstheme="minorHAnsi"/>
        </w:rPr>
        <w:t xml:space="preserve"> </w:t>
      </w:r>
      <w:r w:rsidR="004C5448" w:rsidRPr="005F120D">
        <w:rPr>
          <w:rFonts w:cstheme="minorHAnsi"/>
        </w:rPr>
        <w:t>Band Distribution in M</w:t>
      </w:r>
      <w:r w:rsidR="009E5226" w:rsidRPr="005F120D">
        <w:rPr>
          <w:rFonts w:cstheme="minorHAnsi"/>
        </w:rPr>
        <w:t>athematics by Grade</w:t>
      </w:r>
      <w:r w:rsidR="00446E0C" w:rsidRPr="005F120D">
        <w:rPr>
          <w:rFonts w:cstheme="minorHAnsi"/>
        </w:rPr>
        <w:t xml:space="preserve"> 2013 NSA</w:t>
      </w:r>
      <w:bookmarkEnd w:id="258"/>
    </w:p>
    <w:tbl>
      <w:tblPr>
        <w:tblStyle w:val="TableGrid"/>
        <w:tblW w:w="4840" w:type="pct"/>
        <w:tblInd w:w="108" w:type="dxa"/>
        <w:tblLook w:val="04A0"/>
      </w:tblPr>
      <w:tblGrid>
        <w:gridCol w:w="1271"/>
        <w:gridCol w:w="1575"/>
        <w:gridCol w:w="1575"/>
        <w:gridCol w:w="1575"/>
        <w:gridCol w:w="1575"/>
        <w:gridCol w:w="1378"/>
      </w:tblGrid>
      <w:tr w:rsidR="00446E0C" w:rsidRPr="005F120D" w:rsidTr="009E5226">
        <w:tc>
          <w:tcPr>
            <w:tcW w:w="710" w:type="pct"/>
            <w:tcBorders>
              <w:bottom w:val="single" w:sz="4" w:space="0" w:color="000000"/>
            </w:tcBorders>
            <w:shd w:val="clear" w:color="auto" w:fill="EAF1DD" w:themeFill="accent3" w:themeFillTint="33"/>
          </w:tcPr>
          <w:p w:rsidR="00446E0C" w:rsidRPr="005F120D" w:rsidRDefault="00446E0C" w:rsidP="00C437AA">
            <w:pPr>
              <w:spacing w:after="0" w:line="276" w:lineRule="auto"/>
              <w:rPr>
                <w:rFonts w:asciiTheme="minorHAnsi" w:hAnsiTheme="minorHAnsi" w:cstheme="minorHAnsi"/>
                <w:b/>
                <w:sz w:val="20"/>
                <w:szCs w:val="20"/>
              </w:rPr>
            </w:pPr>
          </w:p>
        </w:tc>
        <w:tc>
          <w:tcPr>
            <w:tcW w:w="880" w:type="pct"/>
            <w:tcBorders>
              <w:bottom w:val="single" w:sz="4" w:space="0" w:color="000000"/>
            </w:tcBorders>
            <w:shd w:val="clear" w:color="auto" w:fill="EAF1DD" w:themeFill="accent3" w:themeFillTint="33"/>
          </w:tcPr>
          <w:p w:rsidR="00446E0C" w:rsidRPr="005F120D" w:rsidRDefault="00446E0C" w:rsidP="00C437AA">
            <w:pPr>
              <w:spacing w:after="0"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Band 1</w:t>
            </w:r>
          </w:p>
        </w:tc>
        <w:tc>
          <w:tcPr>
            <w:tcW w:w="880" w:type="pct"/>
            <w:tcBorders>
              <w:bottom w:val="single" w:sz="4" w:space="0" w:color="000000"/>
            </w:tcBorders>
            <w:shd w:val="clear" w:color="auto" w:fill="EAF1DD" w:themeFill="accent3" w:themeFillTint="33"/>
          </w:tcPr>
          <w:p w:rsidR="00446E0C" w:rsidRPr="005F120D" w:rsidRDefault="00446E0C" w:rsidP="00C437AA">
            <w:pPr>
              <w:spacing w:after="0"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Band 2</w:t>
            </w:r>
          </w:p>
        </w:tc>
        <w:tc>
          <w:tcPr>
            <w:tcW w:w="880" w:type="pct"/>
            <w:tcBorders>
              <w:bottom w:val="single" w:sz="4" w:space="0" w:color="000000"/>
            </w:tcBorders>
            <w:shd w:val="clear" w:color="auto" w:fill="EAF1DD" w:themeFill="accent3" w:themeFillTint="33"/>
          </w:tcPr>
          <w:p w:rsidR="00446E0C" w:rsidRPr="005F120D" w:rsidRDefault="00446E0C" w:rsidP="00C437AA">
            <w:pPr>
              <w:spacing w:after="0"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Band 3</w:t>
            </w:r>
          </w:p>
        </w:tc>
        <w:tc>
          <w:tcPr>
            <w:tcW w:w="880" w:type="pct"/>
            <w:tcBorders>
              <w:bottom w:val="single" w:sz="4" w:space="0" w:color="000000"/>
            </w:tcBorders>
            <w:shd w:val="clear" w:color="auto" w:fill="EAF1DD" w:themeFill="accent3" w:themeFillTint="33"/>
          </w:tcPr>
          <w:p w:rsidR="00446E0C" w:rsidRPr="005F120D" w:rsidRDefault="00446E0C" w:rsidP="00C437AA">
            <w:pPr>
              <w:spacing w:after="0"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Band 4</w:t>
            </w:r>
          </w:p>
        </w:tc>
        <w:tc>
          <w:tcPr>
            <w:tcW w:w="771" w:type="pct"/>
            <w:tcBorders>
              <w:bottom w:val="single" w:sz="4" w:space="0" w:color="000000"/>
            </w:tcBorders>
            <w:shd w:val="clear" w:color="auto" w:fill="EAF1DD" w:themeFill="accent3" w:themeFillTint="33"/>
          </w:tcPr>
          <w:p w:rsidR="00446E0C" w:rsidRPr="005F120D" w:rsidRDefault="00446E0C" w:rsidP="00C437AA">
            <w:pPr>
              <w:spacing w:after="0"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Band 5</w:t>
            </w:r>
          </w:p>
        </w:tc>
      </w:tr>
      <w:tr w:rsidR="00446E0C" w:rsidRPr="005F120D" w:rsidTr="00076AF1">
        <w:tc>
          <w:tcPr>
            <w:tcW w:w="710" w:type="pct"/>
            <w:tcBorders>
              <w:bottom w:val="single" w:sz="4" w:space="0" w:color="000000"/>
            </w:tcBorders>
            <w:shd w:val="clear" w:color="auto" w:fill="D6E3BC" w:themeFill="accent3" w:themeFillTint="66"/>
            <w:vAlign w:val="center"/>
          </w:tcPr>
          <w:p w:rsidR="00446E0C" w:rsidRPr="005F120D" w:rsidRDefault="00446E0C" w:rsidP="00C437AA">
            <w:pPr>
              <w:spacing w:after="0" w:line="276" w:lineRule="auto"/>
              <w:rPr>
                <w:rFonts w:asciiTheme="minorHAnsi" w:hAnsiTheme="minorHAnsi" w:cstheme="minorHAnsi"/>
                <w:b/>
                <w:sz w:val="20"/>
                <w:szCs w:val="20"/>
              </w:rPr>
            </w:pPr>
            <w:r w:rsidRPr="005F120D">
              <w:rPr>
                <w:rFonts w:asciiTheme="minorHAnsi" w:hAnsiTheme="minorHAnsi" w:cstheme="minorHAnsi"/>
                <w:b/>
                <w:sz w:val="20"/>
                <w:szCs w:val="20"/>
              </w:rPr>
              <w:t>Grade 3</w:t>
            </w:r>
          </w:p>
        </w:tc>
        <w:tc>
          <w:tcPr>
            <w:tcW w:w="880" w:type="pct"/>
            <w:tcBorders>
              <w:bottom w:val="single" w:sz="4" w:space="0" w:color="000000"/>
            </w:tcBorders>
            <w:shd w:val="clear" w:color="auto" w:fill="D6E3BC" w:themeFill="accent3" w:themeFillTint="66"/>
            <w:vAlign w:val="center"/>
          </w:tcPr>
          <w:p w:rsidR="00446E0C" w:rsidRPr="005F120D" w:rsidRDefault="00446E0C" w:rsidP="00C437AA">
            <w:pPr>
              <w:spacing w:after="0" w:line="276" w:lineRule="auto"/>
              <w:jc w:val="right"/>
              <w:rPr>
                <w:rFonts w:asciiTheme="minorHAnsi" w:hAnsiTheme="minorHAnsi" w:cstheme="minorHAnsi"/>
                <w:b/>
                <w:sz w:val="20"/>
                <w:szCs w:val="20"/>
              </w:rPr>
            </w:pPr>
            <w:r w:rsidRPr="005F120D">
              <w:rPr>
                <w:rFonts w:asciiTheme="minorHAnsi" w:hAnsiTheme="minorHAnsi" w:cstheme="minorHAnsi"/>
                <w:b/>
                <w:sz w:val="20"/>
                <w:szCs w:val="20"/>
              </w:rPr>
              <w:t>15%</w:t>
            </w:r>
          </w:p>
        </w:tc>
        <w:tc>
          <w:tcPr>
            <w:tcW w:w="880" w:type="pct"/>
            <w:tcBorders>
              <w:bottom w:val="single" w:sz="4" w:space="0" w:color="000000"/>
            </w:tcBorders>
            <w:shd w:val="clear" w:color="auto" w:fill="D6E3BC" w:themeFill="accent3" w:themeFillTint="66"/>
            <w:vAlign w:val="center"/>
          </w:tcPr>
          <w:p w:rsidR="00446E0C" w:rsidRPr="005F120D" w:rsidRDefault="00446E0C" w:rsidP="00C437AA">
            <w:pPr>
              <w:spacing w:after="0" w:line="276" w:lineRule="auto"/>
              <w:jc w:val="right"/>
              <w:rPr>
                <w:rFonts w:asciiTheme="minorHAnsi" w:hAnsiTheme="minorHAnsi" w:cstheme="minorHAnsi"/>
                <w:b/>
                <w:sz w:val="20"/>
                <w:szCs w:val="20"/>
              </w:rPr>
            </w:pPr>
            <w:r w:rsidRPr="005F120D">
              <w:rPr>
                <w:rFonts w:asciiTheme="minorHAnsi" w:hAnsiTheme="minorHAnsi" w:cstheme="minorHAnsi"/>
                <w:b/>
                <w:sz w:val="20"/>
                <w:szCs w:val="20"/>
              </w:rPr>
              <w:t>28%</w:t>
            </w:r>
          </w:p>
        </w:tc>
        <w:tc>
          <w:tcPr>
            <w:tcW w:w="880" w:type="pct"/>
            <w:tcBorders>
              <w:bottom w:val="single" w:sz="4" w:space="0" w:color="000000"/>
            </w:tcBorders>
            <w:shd w:val="clear" w:color="auto" w:fill="D6E3BC" w:themeFill="accent3" w:themeFillTint="66"/>
            <w:vAlign w:val="center"/>
          </w:tcPr>
          <w:p w:rsidR="00446E0C" w:rsidRPr="005F120D" w:rsidRDefault="00446E0C" w:rsidP="00C437AA">
            <w:pPr>
              <w:spacing w:after="0" w:line="276" w:lineRule="auto"/>
              <w:jc w:val="right"/>
              <w:rPr>
                <w:rFonts w:asciiTheme="minorHAnsi" w:hAnsiTheme="minorHAnsi" w:cstheme="minorHAnsi"/>
                <w:b/>
                <w:sz w:val="20"/>
                <w:szCs w:val="20"/>
              </w:rPr>
            </w:pPr>
            <w:r w:rsidRPr="005F120D">
              <w:rPr>
                <w:rFonts w:asciiTheme="minorHAnsi" w:hAnsiTheme="minorHAnsi" w:cstheme="minorHAnsi"/>
                <w:b/>
                <w:sz w:val="20"/>
                <w:szCs w:val="20"/>
              </w:rPr>
              <w:t>33%</w:t>
            </w:r>
          </w:p>
        </w:tc>
        <w:tc>
          <w:tcPr>
            <w:tcW w:w="880" w:type="pct"/>
            <w:tcBorders>
              <w:bottom w:val="single" w:sz="4" w:space="0" w:color="000000"/>
            </w:tcBorders>
            <w:shd w:val="clear" w:color="auto" w:fill="D6E3BC" w:themeFill="accent3" w:themeFillTint="66"/>
            <w:vAlign w:val="center"/>
          </w:tcPr>
          <w:p w:rsidR="00446E0C" w:rsidRPr="005F120D" w:rsidRDefault="00446E0C" w:rsidP="00C437AA">
            <w:pPr>
              <w:spacing w:after="0" w:line="276" w:lineRule="auto"/>
              <w:jc w:val="right"/>
              <w:rPr>
                <w:rFonts w:asciiTheme="minorHAnsi" w:hAnsiTheme="minorHAnsi" w:cstheme="minorHAnsi"/>
                <w:b/>
                <w:sz w:val="20"/>
                <w:szCs w:val="20"/>
              </w:rPr>
            </w:pPr>
            <w:r w:rsidRPr="005F120D">
              <w:rPr>
                <w:rFonts w:asciiTheme="minorHAnsi" w:hAnsiTheme="minorHAnsi" w:cstheme="minorHAnsi"/>
                <w:b/>
                <w:sz w:val="20"/>
                <w:szCs w:val="20"/>
              </w:rPr>
              <w:t>20%</w:t>
            </w:r>
          </w:p>
        </w:tc>
        <w:tc>
          <w:tcPr>
            <w:tcW w:w="771" w:type="pct"/>
            <w:tcBorders>
              <w:bottom w:val="single" w:sz="4" w:space="0" w:color="000000"/>
            </w:tcBorders>
            <w:shd w:val="clear" w:color="auto" w:fill="D6E3BC" w:themeFill="accent3" w:themeFillTint="66"/>
            <w:vAlign w:val="center"/>
          </w:tcPr>
          <w:p w:rsidR="00446E0C" w:rsidRPr="005F120D" w:rsidRDefault="00446E0C" w:rsidP="00C437AA">
            <w:pPr>
              <w:spacing w:after="0" w:line="276" w:lineRule="auto"/>
              <w:jc w:val="right"/>
              <w:rPr>
                <w:rFonts w:asciiTheme="minorHAnsi" w:hAnsiTheme="minorHAnsi" w:cstheme="minorHAnsi"/>
                <w:b/>
                <w:sz w:val="20"/>
                <w:szCs w:val="20"/>
              </w:rPr>
            </w:pPr>
            <w:r w:rsidRPr="005F120D">
              <w:rPr>
                <w:rFonts w:asciiTheme="minorHAnsi" w:hAnsiTheme="minorHAnsi" w:cstheme="minorHAnsi"/>
                <w:b/>
                <w:sz w:val="20"/>
                <w:szCs w:val="20"/>
              </w:rPr>
              <w:t>4%</w:t>
            </w:r>
          </w:p>
        </w:tc>
      </w:tr>
      <w:tr w:rsidR="00446E0C" w:rsidRPr="005F120D" w:rsidTr="00076AF1">
        <w:tc>
          <w:tcPr>
            <w:tcW w:w="710" w:type="pct"/>
            <w:shd w:val="clear" w:color="auto" w:fill="C2D69B" w:themeFill="accent3" w:themeFillTint="99"/>
            <w:vAlign w:val="center"/>
          </w:tcPr>
          <w:p w:rsidR="00446E0C" w:rsidRPr="005F120D" w:rsidRDefault="00446E0C" w:rsidP="00C437AA">
            <w:pPr>
              <w:spacing w:after="0" w:line="276" w:lineRule="auto"/>
              <w:rPr>
                <w:rFonts w:asciiTheme="minorHAnsi" w:hAnsiTheme="minorHAnsi" w:cstheme="minorHAnsi"/>
                <w:b/>
                <w:sz w:val="20"/>
                <w:szCs w:val="20"/>
              </w:rPr>
            </w:pPr>
            <w:r w:rsidRPr="005F120D">
              <w:rPr>
                <w:rFonts w:asciiTheme="minorHAnsi" w:hAnsiTheme="minorHAnsi" w:cstheme="minorHAnsi"/>
                <w:b/>
                <w:sz w:val="20"/>
                <w:szCs w:val="20"/>
              </w:rPr>
              <w:t>Grade 5</w:t>
            </w:r>
          </w:p>
        </w:tc>
        <w:tc>
          <w:tcPr>
            <w:tcW w:w="880" w:type="pct"/>
            <w:shd w:val="clear" w:color="auto" w:fill="C2D69B" w:themeFill="accent3" w:themeFillTint="99"/>
            <w:vAlign w:val="center"/>
          </w:tcPr>
          <w:p w:rsidR="00446E0C" w:rsidRPr="005F120D" w:rsidRDefault="00446E0C" w:rsidP="00C437AA">
            <w:pPr>
              <w:spacing w:after="0" w:line="276" w:lineRule="auto"/>
              <w:jc w:val="right"/>
              <w:rPr>
                <w:rFonts w:asciiTheme="minorHAnsi" w:hAnsiTheme="minorHAnsi" w:cstheme="minorHAnsi"/>
                <w:b/>
                <w:sz w:val="20"/>
                <w:szCs w:val="20"/>
              </w:rPr>
            </w:pPr>
            <w:r w:rsidRPr="005F120D">
              <w:rPr>
                <w:rFonts w:asciiTheme="minorHAnsi" w:hAnsiTheme="minorHAnsi" w:cstheme="minorHAnsi"/>
                <w:b/>
                <w:sz w:val="20"/>
                <w:szCs w:val="20"/>
              </w:rPr>
              <w:t>1%</w:t>
            </w:r>
          </w:p>
        </w:tc>
        <w:tc>
          <w:tcPr>
            <w:tcW w:w="880" w:type="pct"/>
            <w:shd w:val="clear" w:color="auto" w:fill="C2D69B" w:themeFill="accent3" w:themeFillTint="99"/>
            <w:vAlign w:val="center"/>
          </w:tcPr>
          <w:p w:rsidR="00446E0C" w:rsidRPr="005F120D" w:rsidRDefault="00446E0C" w:rsidP="00C437AA">
            <w:pPr>
              <w:spacing w:after="0" w:line="276" w:lineRule="auto"/>
              <w:jc w:val="right"/>
              <w:rPr>
                <w:rFonts w:asciiTheme="minorHAnsi" w:hAnsiTheme="minorHAnsi" w:cstheme="minorHAnsi"/>
                <w:b/>
                <w:sz w:val="20"/>
                <w:szCs w:val="20"/>
              </w:rPr>
            </w:pPr>
            <w:r w:rsidRPr="005F120D">
              <w:rPr>
                <w:rFonts w:asciiTheme="minorHAnsi" w:hAnsiTheme="minorHAnsi" w:cstheme="minorHAnsi"/>
                <w:b/>
                <w:sz w:val="20"/>
                <w:szCs w:val="20"/>
              </w:rPr>
              <w:t>10%</w:t>
            </w:r>
          </w:p>
        </w:tc>
        <w:tc>
          <w:tcPr>
            <w:tcW w:w="880" w:type="pct"/>
            <w:shd w:val="clear" w:color="auto" w:fill="C2D69B" w:themeFill="accent3" w:themeFillTint="99"/>
            <w:vAlign w:val="center"/>
          </w:tcPr>
          <w:p w:rsidR="00446E0C" w:rsidRPr="005F120D" w:rsidRDefault="00446E0C" w:rsidP="00C437AA">
            <w:pPr>
              <w:spacing w:after="0" w:line="276" w:lineRule="auto"/>
              <w:jc w:val="right"/>
              <w:rPr>
                <w:rFonts w:asciiTheme="minorHAnsi" w:hAnsiTheme="minorHAnsi" w:cstheme="minorHAnsi"/>
                <w:b/>
                <w:sz w:val="20"/>
                <w:szCs w:val="20"/>
              </w:rPr>
            </w:pPr>
            <w:r w:rsidRPr="005F120D">
              <w:rPr>
                <w:rFonts w:asciiTheme="minorHAnsi" w:hAnsiTheme="minorHAnsi" w:cstheme="minorHAnsi"/>
                <w:b/>
                <w:sz w:val="20"/>
                <w:szCs w:val="20"/>
              </w:rPr>
              <w:t>30%</w:t>
            </w:r>
          </w:p>
        </w:tc>
        <w:tc>
          <w:tcPr>
            <w:tcW w:w="880" w:type="pct"/>
            <w:shd w:val="clear" w:color="auto" w:fill="C2D69B" w:themeFill="accent3" w:themeFillTint="99"/>
            <w:vAlign w:val="center"/>
          </w:tcPr>
          <w:p w:rsidR="00446E0C" w:rsidRPr="005F120D" w:rsidRDefault="00446E0C" w:rsidP="00C437AA">
            <w:pPr>
              <w:spacing w:after="0" w:line="276" w:lineRule="auto"/>
              <w:jc w:val="right"/>
              <w:rPr>
                <w:rFonts w:asciiTheme="minorHAnsi" w:hAnsiTheme="minorHAnsi" w:cstheme="minorHAnsi"/>
                <w:b/>
                <w:sz w:val="20"/>
                <w:szCs w:val="20"/>
              </w:rPr>
            </w:pPr>
            <w:r w:rsidRPr="005F120D">
              <w:rPr>
                <w:rFonts w:asciiTheme="minorHAnsi" w:hAnsiTheme="minorHAnsi" w:cstheme="minorHAnsi"/>
                <w:b/>
                <w:sz w:val="20"/>
                <w:szCs w:val="20"/>
              </w:rPr>
              <w:t>34%</w:t>
            </w:r>
          </w:p>
        </w:tc>
        <w:tc>
          <w:tcPr>
            <w:tcW w:w="771" w:type="pct"/>
            <w:shd w:val="clear" w:color="auto" w:fill="C2D69B" w:themeFill="accent3" w:themeFillTint="99"/>
            <w:vAlign w:val="center"/>
          </w:tcPr>
          <w:p w:rsidR="00446E0C" w:rsidRPr="005F120D" w:rsidRDefault="00446E0C" w:rsidP="00C437AA">
            <w:pPr>
              <w:spacing w:after="0" w:line="276" w:lineRule="auto"/>
              <w:jc w:val="right"/>
              <w:rPr>
                <w:rFonts w:asciiTheme="minorHAnsi" w:hAnsiTheme="minorHAnsi" w:cstheme="minorHAnsi"/>
                <w:b/>
                <w:sz w:val="20"/>
                <w:szCs w:val="20"/>
              </w:rPr>
            </w:pPr>
            <w:r w:rsidRPr="005F120D">
              <w:rPr>
                <w:rFonts w:asciiTheme="minorHAnsi" w:hAnsiTheme="minorHAnsi" w:cstheme="minorHAnsi"/>
                <w:b/>
                <w:sz w:val="20"/>
                <w:szCs w:val="20"/>
              </w:rPr>
              <w:t>25%</w:t>
            </w:r>
          </w:p>
        </w:tc>
      </w:tr>
    </w:tbl>
    <w:p w:rsidR="00446E0C" w:rsidRPr="005F120D" w:rsidRDefault="00446E0C" w:rsidP="00C437AA">
      <w:pPr>
        <w:spacing w:after="0" w:line="276" w:lineRule="auto"/>
        <w:rPr>
          <w:rFonts w:asciiTheme="minorHAnsi" w:hAnsiTheme="minorHAnsi" w:cstheme="minorHAnsi"/>
          <w:b/>
          <w:i/>
          <w:sz w:val="16"/>
          <w:szCs w:val="16"/>
        </w:rPr>
      </w:pPr>
      <w:bookmarkStart w:id="259" w:name="_Ref387422229"/>
      <w:bookmarkStart w:id="260" w:name="_Toc385419656"/>
      <w:r w:rsidRPr="005F120D">
        <w:rPr>
          <w:rFonts w:asciiTheme="minorHAnsi" w:hAnsiTheme="minorHAnsi" w:cstheme="minorHAnsi"/>
          <w:b/>
          <w:i/>
          <w:sz w:val="16"/>
          <w:szCs w:val="16"/>
        </w:rPr>
        <w:t xml:space="preserve">Source 2013 NSA, Note:  Band 1 is considered as the basic level of proficiency while </w:t>
      </w:r>
      <w:r w:rsidR="00677265" w:rsidRPr="005F120D">
        <w:rPr>
          <w:rFonts w:asciiTheme="minorHAnsi" w:hAnsiTheme="minorHAnsi" w:cstheme="minorHAnsi"/>
          <w:b/>
          <w:i/>
          <w:sz w:val="16"/>
          <w:szCs w:val="16"/>
        </w:rPr>
        <w:t>b</w:t>
      </w:r>
      <w:r w:rsidRPr="005F120D">
        <w:rPr>
          <w:rFonts w:asciiTheme="minorHAnsi" w:hAnsiTheme="minorHAnsi" w:cstheme="minorHAnsi"/>
          <w:b/>
          <w:i/>
          <w:sz w:val="16"/>
          <w:szCs w:val="16"/>
        </w:rPr>
        <w:t>and 5 is considered the highest skill level.</w:t>
      </w:r>
    </w:p>
    <w:p w:rsidR="00446E0C" w:rsidRPr="005F120D" w:rsidRDefault="00D27514" w:rsidP="00C437AA">
      <w:pPr>
        <w:pStyle w:val="Caption"/>
        <w:spacing w:before="240" w:line="276" w:lineRule="auto"/>
        <w:rPr>
          <w:rFonts w:cstheme="minorHAnsi"/>
        </w:rPr>
      </w:pPr>
      <w:bookmarkStart w:id="261" w:name="_Toc462837411"/>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bookmarkEnd w:id="259"/>
      <w:bookmarkEnd w:id="260"/>
      <w:r w:rsidR="004565E6" w:rsidRPr="005F120D">
        <w:rPr>
          <w:rFonts w:cstheme="minorHAnsi"/>
        </w:rPr>
        <w:t>:</w:t>
      </w:r>
      <w:r w:rsidR="003F16F0">
        <w:rPr>
          <w:rFonts w:cstheme="minorHAnsi"/>
        </w:rPr>
        <w:t xml:space="preserve"> </w:t>
      </w:r>
      <w:r w:rsidR="00446E0C" w:rsidRPr="005F120D">
        <w:rPr>
          <w:rFonts w:cstheme="minorHAnsi"/>
        </w:rPr>
        <w:t xml:space="preserve">Percentage </w:t>
      </w:r>
      <w:r w:rsidR="00D920C1" w:rsidRPr="005F120D">
        <w:rPr>
          <w:rFonts w:cstheme="minorHAnsi"/>
        </w:rPr>
        <w:t>o</w:t>
      </w:r>
      <w:r w:rsidR="00446E0C" w:rsidRPr="005F120D">
        <w:rPr>
          <w:rFonts w:cstheme="minorHAnsi"/>
        </w:rPr>
        <w:t xml:space="preserve">f Students </w:t>
      </w:r>
      <w:r w:rsidR="00D920C1" w:rsidRPr="005F120D">
        <w:rPr>
          <w:rFonts w:cstheme="minorHAnsi"/>
        </w:rPr>
        <w:t>i</w:t>
      </w:r>
      <w:r w:rsidR="00446E0C" w:rsidRPr="005F120D">
        <w:rPr>
          <w:rFonts w:cstheme="minorHAnsi"/>
        </w:rPr>
        <w:t xml:space="preserve">n Bands </w:t>
      </w:r>
      <w:r w:rsidR="00D920C1" w:rsidRPr="005F120D">
        <w:rPr>
          <w:rFonts w:cstheme="minorHAnsi"/>
        </w:rPr>
        <w:t>f</w:t>
      </w:r>
      <w:r w:rsidR="00446E0C" w:rsidRPr="005F120D">
        <w:rPr>
          <w:rFonts w:cstheme="minorHAnsi"/>
        </w:rPr>
        <w:t>or Grade 3</w:t>
      </w:r>
      <w:r w:rsidR="009E5226" w:rsidRPr="005F120D">
        <w:rPr>
          <w:rFonts w:cstheme="minorHAnsi"/>
        </w:rPr>
        <w:t xml:space="preserve"> and 5 Mathematics</w:t>
      </w:r>
      <w:r w:rsidR="00446E0C" w:rsidRPr="005F120D">
        <w:rPr>
          <w:rFonts w:cstheme="minorHAnsi"/>
        </w:rPr>
        <w:t xml:space="preserve"> 2011 &amp; 2013</w:t>
      </w:r>
      <w:bookmarkEnd w:id="261"/>
    </w:p>
    <w:p w:rsidR="000A5B80" w:rsidRPr="005F120D" w:rsidRDefault="00446E0C" w:rsidP="000A5B80">
      <w:pPr>
        <w:pStyle w:val="Tablenotes"/>
        <w:spacing w:after="40"/>
      </w:pPr>
      <w:r w:rsidRPr="005F120D">
        <w:rPr>
          <w:noProof/>
          <w:lang w:eastAsia="en-US"/>
        </w:rPr>
        <w:drawing>
          <wp:inline distT="0" distB="0" distL="0" distR="0">
            <wp:extent cx="5647083" cy="2240721"/>
            <wp:effectExtent l="38100" t="19050" r="10767" b="7179"/>
            <wp:docPr id="11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00EE" w:rsidRPr="005F120D" w:rsidRDefault="00446E0C" w:rsidP="000A5B80">
      <w:pPr>
        <w:pStyle w:val="Tablenotes"/>
        <w:spacing w:after="40"/>
      </w:pPr>
      <w:r w:rsidRPr="005F120D">
        <w:t>Source: NSA 2011 and 2013 data as cited in ACER</w:t>
      </w:r>
    </w:p>
    <w:p w:rsidR="004E125D" w:rsidRPr="005F120D" w:rsidRDefault="004E125D" w:rsidP="000A5B80">
      <w:pPr>
        <w:spacing w:before="240" w:line="276" w:lineRule="auto"/>
        <w:rPr>
          <w:rFonts w:asciiTheme="minorHAnsi" w:hAnsiTheme="minorHAnsi" w:cstheme="minorHAnsi"/>
          <w:b/>
        </w:rPr>
      </w:pPr>
    </w:p>
    <w:p w:rsidR="00E339CE" w:rsidRPr="005F120D" w:rsidRDefault="00E339CE" w:rsidP="000A5B80">
      <w:pPr>
        <w:spacing w:before="240" w:line="276" w:lineRule="auto"/>
        <w:rPr>
          <w:rFonts w:asciiTheme="minorHAnsi" w:hAnsiTheme="minorHAnsi" w:cstheme="minorHAnsi"/>
          <w:b/>
        </w:rPr>
      </w:pPr>
    </w:p>
    <w:p w:rsidR="00935A02" w:rsidRPr="005F120D" w:rsidRDefault="00935A02" w:rsidP="000A5B80">
      <w:pPr>
        <w:spacing w:before="240" w:line="276" w:lineRule="auto"/>
        <w:rPr>
          <w:rFonts w:asciiTheme="minorHAnsi" w:hAnsiTheme="minorHAnsi" w:cstheme="minorHAnsi"/>
          <w:b/>
        </w:rPr>
      </w:pPr>
      <w:r w:rsidRPr="005F120D">
        <w:rPr>
          <w:rFonts w:asciiTheme="minorHAnsi" w:hAnsiTheme="minorHAnsi" w:cstheme="minorHAnsi"/>
          <w:b/>
        </w:rPr>
        <w:lastRenderedPageBreak/>
        <w:t xml:space="preserve">The findings on the </w:t>
      </w:r>
      <w:r w:rsidR="00B86EDE" w:rsidRPr="005F120D">
        <w:rPr>
          <w:rFonts w:asciiTheme="minorHAnsi" w:hAnsiTheme="minorHAnsi" w:cstheme="minorHAnsi"/>
          <w:b/>
        </w:rPr>
        <w:t>Mathematics test we</w:t>
      </w:r>
      <w:r w:rsidRPr="005F120D">
        <w:rPr>
          <w:rFonts w:asciiTheme="minorHAnsi" w:hAnsiTheme="minorHAnsi" w:cstheme="minorHAnsi"/>
          <w:b/>
        </w:rPr>
        <w:t>re:</w:t>
      </w:r>
    </w:p>
    <w:p w:rsidR="00FB6259" w:rsidRPr="005F120D" w:rsidRDefault="00D23071" w:rsidP="00C437AA">
      <w:pPr>
        <w:pStyle w:val="ListParagraph"/>
        <w:spacing w:line="276" w:lineRule="auto"/>
        <w:ind w:left="540"/>
        <w:jc w:val="both"/>
        <w:rPr>
          <w:rFonts w:asciiTheme="minorHAnsi" w:hAnsiTheme="minorHAnsi" w:cstheme="minorHAnsi"/>
        </w:rPr>
      </w:pPr>
      <w:bookmarkStart w:id="262" w:name="_Toc386974119"/>
      <w:r w:rsidRPr="005F120D">
        <w:rPr>
          <w:rFonts w:asciiTheme="minorHAnsi" w:hAnsiTheme="minorHAnsi" w:cstheme="minorHAnsi"/>
        </w:rPr>
        <w:t>The average scale scores for G</w:t>
      </w:r>
      <w:r w:rsidR="00FB6259" w:rsidRPr="005F120D">
        <w:rPr>
          <w:rFonts w:asciiTheme="minorHAnsi" w:hAnsiTheme="minorHAnsi" w:cstheme="minorHAnsi"/>
        </w:rPr>
        <w:t xml:space="preserve">rade 3 increased by 3 scale score point from 100.8 in2011 to 103.7 in 2013 (Both Band 2) and the average scale scores for </w:t>
      </w:r>
      <w:r w:rsidRPr="005F120D">
        <w:rPr>
          <w:rFonts w:asciiTheme="minorHAnsi" w:hAnsiTheme="minorHAnsi" w:cstheme="minorHAnsi"/>
        </w:rPr>
        <w:t>G</w:t>
      </w:r>
      <w:r w:rsidR="00FB6259" w:rsidRPr="005F120D">
        <w:rPr>
          <w:rFonts w:asciiTheme="minorHAnsi" w:hAnsiTheme="minorHAnsi" w:cstheme="minorHAnsi"/>
        </w:rPr>
        <w:t>rade 5 decreased by 3 scale score point from 118.6 in2011 to 115.8 in 2013 (Both B</w:t>
      </w:r>
      <w:r w:rsidR="00B86EDE" w:rsidRPr="005F120D">
        <w:rPr>
          <w:rFonts w:asciiTheme="minorHAnsi" w:hAnsiTheme="minorHAnsi" w:cstheme="minorHAnsi"/>
        </w:rPr>
        <w:t>and 4). Changes at both levels were small and</w:t>
      </w:r>
      <w:r w:rsidR="00FB6259" w:rsidRPr="005F120D">
        <w:rPr>
          <w:rFonts w:asciiTheme="minorHAnsi" w:hAnsiTheme="minorHAnsi" w:cstheme="minorHAnsi"/>
        </w:rPr>
        <w:t xml:space="preserve"> likely to have little practical significance.  The main concerns are nearly 43% </w:t>
      </w:r>
      <w:r w:rsidR="00B86EDE" w:rsidRPr="005F120D">
        <w:rPr>
          <w:rFonts w:asciiTheme="minorHAnsi" w:hAnsiTheme="minorHAnsi" w:cstheme="minorHAnsi"/>
        </w:rPr>
        <w:t>of Grade 3 students and 75% of G</w:t>
      </w:r>
      <w:r w:rsidR="00FB6259" w:rsidRPr="005F120D">
        <w:rPr>
          <w:rFonts w:asciiTheme="minorHAnsi" w:hAnsiTheme="minorHAnsi" w:cstheme="minorHAnsi"/>
        </w:rPr>
        <w:t>rade 5 students are working below their grade level as shown in Table 3.3 and Figure 3.2 above</w:t>
      </w:r>
    </w:p>
    <w:p w:rsidR="00076AF1" w:rsidRPr="005F120D" w:rsidRDefault="00076AF1" w:rsidP="00C437AA">
      <w:pPr>
        <w:pStyle w:val="ListParagraph"/>
        <w:numPr>
          <w:ilvl w:val="0"/>
          <w:numId w:val="0"/>
        </w:numPr>
        <w:spacing w:line="276" w:lineRule="auto"/>
        <w:ind w:left="540"/>
        <w:jc w:val="both"/>
        <w:rPr>
          <w:rFonts w:asciiTheme="minorHAnsi" w:hAnsiTheme="minorHAnsi" w:cstheme="minorHAnsi"/>
          <w:sz w:val="10"/>
        </w:rPr>
      </w:pPr>
    </w:p>
    <w:p w:rsidR="00FB6259" w:rsidRPr="005F120D" w:rsidRDefault="00FB6259" w:rsidP="00C437AA">
      <w:pPr>
        <w:pStyle w:val="ListParagraph"/>
        <w:spacing w:line="276" w:lineRule="auto"/>
        <w:ind w:left="540"/>
        <w:jc w:val="both"/>
        <w:rPr>
          <w:rFonts w:asciiTheme="minorHAnsi" w:hAnsiTheme="minorHAnsi" w:cstheme="minorHAnsi"/>
        </w:rPr>
      </w:pPr>
      <w:r w:rsidRPr="005F120D">
        <w:rPr>
          <w:rFonts w:asciiTheme="minorHAnsi" w:hAnsiTheme="minorHAnsi" w:cstheme="minorHAnsi"/>
        </w:rPr>
        <w:t>A higher proportion of grade-app</w:t>
      </w:r>
      <w:r w:rsidR="00687C3A" w:rsidRPr="005F120D">
        <w:rPr>
          <w:rFonts w:asciiTheme="minorHAnsi" w:hAnsiTheme="minorHAnsi" w:cstheme="minorHAnsi"/>
        </w:rPr>
        <w:t>ropriate learning was evident for G</w:t>
      </w:r>
      <w:r w:rsidRPr="005F120D">
        <w:rPr>
          <w:rFonts w:asciiTheme="minorHAnsi" w:hAnsiTheme="minorHAnsi" w:cstheme="minorHAnsi"/>
        </w:rPr>
        <w:t>rade 3 students compare</w:t>
      </w:r>
      <w:r w:rsidR="00B86EDE" w:rsidRPr="005F120D">
        <w:rPr>
          <w:rFonts w:asciiTheme="minorHAnsi" w:hAnsiTheme="minorHAnsi" w:cstheme="minorHAnsi"/>
        </w:rPr>
        <w:t>d</w:t>
      </w:r>
      <w:r w:rsidRPr="005F120D">
        <w:rPr>
          <w:rFonts w:asciiTheme="minorHAnsi" w:hAnsiTheme="minorHAnsi" w:cstheme="minorHAnsi"/>
        </w:rPr>
        <w:t xml:space="preserve"> to 2011. However, there is a worry</w:t>
      </w:r>
      <w:r w:rsidR="00B86EDE" w:rsidRPr="005F120D">
        <w:rPr>
          <w:rFonts w:asciiTheme="minorHAnsi" w:hAnsiTheme="minorHAnsi" w:cstheme="minorHAnsi"/>
        </w:rPr>
        <w:t>ingly high proportion (15%) of G</w:t>
      </w:r>
      <w:r w:rsidRPr="005F120D">
        <w:rPr>
          <w:rFonts w:asciiTheme="minorHAnsi" w:hAnsiTheme="minorHAnsi" w:cstheme="minorHAnsi"/>
        </w:rPr>
        <w:t>rade 3 children working well</w:t>
      </w:r>
      <w:r w:rsidR="00B86EDE" w:rsidRPr="005F120D">
        <w:rPr>
          <w:rFonts w:asciiTheme="minorHAnsi" w:hAnsiTheme="minorHAnsi" w:cstheme="minorHAnsi"/>
        </w:rPr>
        <w:t xml:space="preserve"> below their expected grade in M</w:t>
      </w:r>
      <w:r w:rsidRPr="005F120D">
        <w:rPr>
          <w:rFonts w:asciiTheme="minorHAnsi" w:hAnsiTheme="minorHAnsi" w:cstheme="minorHAnsi"/>
        </w:rPr>
        <w:t>athematics (Band 1). There is a clear danger that without remedial action to s</w:t>
      </w:r>
      <w:r w:rsidR="00B86EDE" w:rsidRPr="005F120D">
        <w:rPr>
          <w:rFonts w:asciiTheme="minorHAnsi" w:hAnsiTheme="minorHAnsi" w:cstheme="minorHAnsi"/>
        </w:rPr>
        <w:t>upport the weakest learners in M</w:t>
      </w:r>
      <w:r w:rsidRPr="005F120D">
        <w:rPr>
          <w:rFonts w:asciiTheme="minorHAnsi" w:hAnsiTheme="minorHAnsi" w:cstheme="minorHAnsi"/>
        </w:rPr>
        <w:t xml:space="preserve">athematics, they will fall further behind and potentially drop out. </w:t>
      </w:r>
    </w:p>
    <w:p w:rsidR="00076AF1" w:rsidRPr="005F120D" w:rsidRDefault="00076AF1" w:rsidP="00C437AA">
      <w:pPr>
        <w:pStyle w:val="ListParagraph"/>
        <w:numPr>
          <w:ilvl w:val="0"/>
          <w:numId w:val="0"/>
        </w:numPr>
        <w:spacing w:line="276" w:lineRule="auto"/>
        <w:ind w:left="540"/>
        <w:jc w:val="both"/>
        <w:rPr>
          <w:rFonts w:asciiTheme="minorHAnsi" w:hAnsiTheme="minorHAnsi" w:cstheme="minorHAnsi"/>
          <w:sz w:val="10"/>
        </w:rPr>
      </w:pPr>
    </w:p>
    <w:p w:rsidR="00FB6259" w:rsidRPr="005F120D" w:rsidRDefault="00B86EDE" w:rsidP="00C437AA">
      <w:pPr>
        <w:pStyle w:val="ListParagraph"/>
        <w:spacing w:line="276" w:lineRule="auto"/>
        <w:ind w:left="540"/>
        <w:jc w:val="both"/>
        <w:rPr>
          <w:rFonts w:asciiTheme="minorHAnsi" w:hAnsiTheme="minorHAnsi" w:cstheme="minorHAnsi"/>
        </w:rPr>
      </w:pPr>
      <w:r w:rsidRPr="005F120D">
        <w:rPr>
          <w:rFonts w:asciiTheme="minorHAnsi" w:hAnsiTheme="minorHAnsi" w:cstheme="minorHAnsi"/>
        </w:rPr>
        <w:t>Gender differences in M</w:t>
      </w:r>
      <w:r w:rsidR="00FB6259" w:rsidRPr="005F120D">
        <w:rPr>
          <w:rFonts w:asciiTheme="minorHAnsi" w:hAnsiTheme="minorHAnsi" w:cstheme="minorHAnsi"/>
        </w:rPr>
        <w:t>athematics were small, equivalent of less than one score point on the tests,</w:t>
      </w:r>
      <w:r w:rsidR="003F16F0">
        <w:rPr>
          <w:rFonts w:asciiTheme="minorHAnsi" w:hAnsiTheme="minorHAnsi" w:cstheme="minorHAnsi"/>
        </w:rPr>
        <w:t xml:space="preserve"> </w:t>
      </w:r>
      <w:r w:rsidR="00FB6259" w:rsidRPr="005F120D">
        <w:rPr>
          <w:rFonts w:asciiTheme="minorHAnsi" w:hAnsiTheme="minorHAnsi" w:cstheme="minorHAnsi"/>
        </w:rPr>
        <w:t>hence not likely to be of practical significance.</w:t>
      </w:r>
    </w:p>
    <w:p w:rsidR="00076AF1" w:rsidRPr="005F120D" w:rsidRDefault="00076AF1" w:rsidP="00C437AA">
      <w:pPr>
        <w:pStyle w:val="ListParagraph"/>
        <w:numPr>
          <w:ilvl w:val="0"/>
          <w:numId w:val="0"/>
        </w:numPr>
        <w:spacing w:line="276" w:lineRule="auto"/>
        <w:ind w:left="540"/>
        <w:jc w:val="both"/>
        <w:rPr>
          <w:rFonts w:asciiTheme="minorHAnsi" w:hAnsiTheme="minorHAnsi" w:cstheme="minorHAnsi"/>
          <w:sz w:val="10"/>
        </w:rPr>
      </w:pPr>
    </w:p>
    <w:p w:rsidR="00FB6259" w:rsidRPr="005F120D" w:rsidRDefault="00687C3A" w:rsidP="00C437AA">
      <w:pPr>
        <w:pStyle w:val="ListParagraph"/>
        <w:spacing w:line="276" w:lineRule="auto"/>
        <w:ind w:left="540"/>
        <w:jc w:val="both"/>
        <w:rPr>
          <w:rFonts w:asciiTheme="minorHAnsi" w:hAnsiTheme="minorHAnsi" w:cstheme="minorHAnsi"/>
        </w:rPr>
      </w:pPr>
      <w:r w:rsidRPr="005F120D">
        <w:rPr>
          <w:rFonts w:asciiTheme="minorHAnsi" w:hAnsiTheme="minorHAnsi" w:cstheme="minorHAnsi"/>
        </w:rPr>
        <w:t>As in Bangla, mean score in M</w:t>
      </w:r>
      <w:r w:rsidR="00FB6259" w:rsidRPr="005F120D">
        <w:rPr>
          <w:rFonts w:asciiTheme="minorHAnsi" w:hAnsiTheme="minorHAnsi" w:cstheme="minorHAnsi"/>
        </w:rPr>
        <w:t>athematics for GPS students was higher than for students in NNPS, with the difference being statistically significant for both Grade</w:t>
      </w:r>
      <w:r w:rsidR="004F37C2" w:rsidRPr="005F120D">
        <w:rPr>
          <w:rFonts w:asciiTheme="minorHAnsi" w:hAnsiTheme="minorHAnsi" w:cstheme="minorHAnsi"/>
        </w:rPr>
        <w:t>s</w:t>
      </w:r>
      <w:r w:rsidR="00FB6259" w:rsidRPr="005F120D">
        <w:rPr>
          <w:rFonts w:asciiTheme="minorHAnsi" w:hAnsiTheme="minorHAnsi" w:cstheme="minorHAnsi"/>
        </w:rPr>
        <w:t xml:space="preserve"> 3 and 5.  </w:t>
      </w:r>
    </w:p>
    <w:p w:rsidR="00076AF1" w:rsidRPr="005F120D" w:rsidRDefault="00076AF1" w:rsidP="00C437AA">
      <w:pPr>
        <w:pStyle w:val="ListParagraph"/>
        <w:numPr>
          <w:ilvl w:val="0"/>
          <w:numId w:val="0"/>
        </w:numPr>
        <w:spacing w:line="276" w:lineRule="auto"/>
        <w:ind w:left="540"/>
        <w:jc w:val="both"/>
        <w:rPr>
          <w:rFonts w:asciiTheme="minorHAnsi" w:hAnsiTheme="minorHAnsi" w:cstheme="minorHAnsi"/>
          <w:sz w:val="10"/>
        </w:rPr>
      </w:pPr>
    </w:p>
    <w:p w:rsidR="00FB6259" w:rsidRPr="005F120D" w:rsidRDefault="00FB6259" w:rsidP="00C437AA">
      <w:pPr>
        <w:pStyle w:val="ListParagraph"/>
        <w:spacing w:line="276" w:lineRule="auto"/>
        <w:ind w:left="540"/>
        <w:jc w:val="both"/>
        <w:rPr>
          <w:rFonts w:asciiTheme="minorHAnsi" w:hAnsiTheme="minorHAnsi" w:cstheme="minorHAnsi"/>
        </w:rPr>
      </w:pPr>
      <w:r w:rsidRPr="005F120D">
        <w:rPr>
          <w:rFonts w:asciiTheme="minorHAnsi" w:hAnsiTheme="minorHAnsi" w:cstheme="minorHAnsi"/>
        </w:rPr>
        <w:t>In Grade 3, the average scale score of pupils in</w:t>
      </w:r>
      <w:r w:rsidR="00687C3A" w:rsidRPr="005F120D">
        <w:rPr>
          <w:rFonts w:asciiTheme="minorHAnsi" w:hAnsiTheme="minorHAnsi" w:cstheme="minorHAnsi"/>
        </w:rPr>
        <w:t xml:space="preserve"> KG schools was the highest in M</w:t>
      </w:r>
      <w:r w:rsidRPr="005F120D">
        <w:rPr>
          <w:rFonts w:asciiTheme="minorHAnsi" w:hAnsiTheme="minorHAnsi" w:cstheme="minorHAnsi"/>
        </w:rPr>
        <w:t>athematics (10</w:t>
      </w:r>
      <w:r w:rsidR="00FD58DD" w:rsidRPr="005F120D">
        <w:rPr>
          <w:rFonts w:asciiTheme="minorHAnsi" w:hAnsiTheme="minorHAnsi" w:cstheme="minorHAnsi"/>
        </w:rPr>
        <w:t>5 Mathematics Scale Score (MSS)</w:t>
      </w:r>
      <w:r w:rsidRPr="005F120D">
        <w:rPr>
          <w:rFonts w:asciiTheme="minorHAnsi" w:hAnsiTheme="minorHAnsi" w:cstheme="minorHAnsi"/>
        </w:rPr>
        <w:t>, while the avera</w:t>
      </w:r>
      <w:r w:rsidR="00687C3A" w:rsidRPr="005F120D">
        <w:rPr>
          <w:rFonts w:asciiTheme="minorHAnsi" w:hAnsiTheme="minorHAnsi" w:cstheme="minorHAnsi"/>
        </w:rPr>
        <w:t>ge scale score in BRAC schools</w:t>
      </w:r>
      <w:r w:rsidRPr="005F120D">
        <w:rPr>
          <w:rFonts w:asciiTheme="minorHAnsi" w:hAnsiTheme="minorHAnsi" w:cstheme="minorHAnsi"/>
        </w:rPr>
        <w:t xml:space="preserve"> was the lowest (97.5 MSS). There was a</w:t>
      </w:r>
      <w:r w:rsidR="00687C3A" w:rsidRPr="005F120D">
        <w:rPr>
          <w:rFonts w:asciiTheme="minorHAnsi" w:hAnsiTheme="minorHAnsi" w:cstheme="minorHAnsi"/>
        </w:rPr>
        <w:t xml:space="preserve"> medium to large difference in the M</w:t>
      </w:r>
      <w:r w:rsidRPr="005F120D">
        <w:rPr>
          <w:rFonts w:asciiTheme="minorHAnsi" w:hAnsiTheme="minorHAnsi" w:cstheme="minorHAnsi"/>
        </w:rPr>
        <w:t>athematics sc</w:t>
      </w:r>
      <w:r w:rsidR="00687C3A" w:rsidRPr="005F120D">
        <w:rPr>
          <w:rFonts w:asciiTheme="minorHAnsi" w:hAnsiTheme="minorHAnsi" w:cstheme="minorHAnsi"/>
        </w:rPr>
        <w:t>ale score between BRAC schools</w:t>
      </w:r>
      <w:r w:rsidRPr="005F120D">
        <w:rPr>
          <w:rFonts w:asciiTheme="minorHAnsi" w:hAnsiTheme="minorHAnsi" w:cstheme="minorHAnsi"/>
        </w:rPr>
        <w:t xml:space="preserve"> an</w:t>
      </w:r>
      <w:r w:rsidR="003F16F0">
        <w:rPr>
          <w:rFonts w:asciiTheme="minorHAnsi" w:hAnsiTheme="minorHAnsi" w:cstheme="minorHAnsi"/>
        </w:rPr>
        <w:t>d KG schools, BRAC and Madrasha</w:t>
      </w:r>
      <w:r w:rsidRPr="005F120D">
        <w:rPr>
          <w:rFonts w:asciiTheme="minorHAnsi" w:hAnsiTheme="minorHAnsi" w:cstheme="minorHAnsi"/>
        </w:rPr>
        <w:t xml:space="preserve">, and BRAC and GPS schools. </w:t>
      </w:r>
    </w:p>
    <w:p w:rsidR="00076AF1" w:rsidRPr="005F120D" w:rsidRDefault="00076AF1" w:rsidP="00C437AA">
      <w:pPr>
        <w:pStyle w:val="ListParagraph"/>
        <w:numPr>
          <w:ilvl w:val="0"/>
          <w:numId w:val="0"/>
        </w:numPr>
        <w:spacing w:line="276" w:lineRule="auto"/>
        <w:ind w:left="540"/>
        <w:jc w:val="both"/>
        <w:rPr>
          <w:rFonts w:asciiTheme="minorHAnsi" w:hAnsiTheme="minorHAnsi" w:cstheme="minorHAnsi"/>
          <w:sz w:val="10"/>
        </w:rPr>
      </w:pPr>
    </w:p>
    <w:p w:rsidR="00935A02" w:rsidRPr="005F120D" w:rsidRDefault="00687C3A" w:rsidP="00C437AA">
      <w:pPr>
        <w:pStyle w:val="ListParagraph"/>
        <w:spacing w:line="276" w:lineRule="auto"/>
        <w:ind w:left="540"/>
        <w:jc w:val="both"/>
        <w:rPr>
          <w:rFonts w:asciiTheme="minorHAnsi" w:hAnsiTheme="minorHAnsi" w:cstheme="minorHAnsi"/>
        </w:rPr>
      </w:pPr>
      <w:r w:rsidRPr="005F120D">
        <w:rPr>
          <w:rFonts w:asciiTheme="minorHAnsi" w:hAnsiTheme="minorHAnsi" w:cstheme="minorHAnsi"/>
        </w:rPr>
        <w:t>In Grade 5 M</w:t>
      </w:r>
      <w:r w:rsidR="00FB6259" w:rsidRPr="005F120D">
        <w:rPr>
          <w:rFonts w:asciiTheme="minorHAnsi" w:hAnsiTheme="minorHAnsi" w:cstheme="minorHAnsi"/>
        </w:rPr>
        <w:t>athematics, the average MSS of pupils in GPS was the highest (117.2), while the aver</w:t>
      </w:r>
      <w:r w:rsidRPr="005F120D">
        <w:rPr>
          <w:rFonts w:asciiTheme="minorHAnsi" w:hAnsiTheme="minorHAnsi" w:cstheme="minorHAnsi"/>
        </w:rPr>
        <w:t>age scale score in BRAC schools</w:t>
      </w:r>
      <w:r w:rsidR="00FB6259" w:rsidRPr="005F120D">
        <w:rPr>
          <w:rFonts w:asciiTheme="minorHAnsi" w:hAnsiTheme="minorHAnsi" w:cstheme="minorHAnsi"/>
        </w:rPr>
        <w:t xml:space="preserve"> was the lowest (110.2 MSS). There was a medium to large difference in MSS between BRAC and GPS and BRAC and KG schools</w:t>
      </w:r>
      <w:r w:rsidR="00935A02" w:rsidRPr="005F120D">
        <w:rPr>
          <w:rFonts w:asciiTheme="minorHAnsi" w:hAnsiTheme="minorHAnsi" w:cstheme="minorHAnsi"/>
        </w:rPr>
        <w:t xml:space="preserve">. </w:t>
      </w:r>
    </w:p>
    <w:p w:rsidR="00446E0C" w:rsidRPr="005F120D" w:rsidRDefault="00935A02" w:rsidP="00C437AA">
      <w:pPr>
        <w:pStyle w:val="Heading4"/>
        <w:numPr>
          <w:ilvl w:val="0"/>
          <w:numId w:val="0"/>
        </w:numPr>
        <w:spacing w:line="276" w:lineRule="auto"/>
        <w:rPr>
          <w:rFonts w:asciiTheme="minorHAnsi" w:hAnsiTheme="minorHAnsi" w:cstheme="minorHAnsi"/>
          <w:b/>
          <w:bCs/>
        </w:rPr>
      </w:pPr>
      <w:r w:rsidRPr="005F120D">
        <w:rPr>
          <w:rFonts w:asciiTheme="minorHAnsi" w:hAnsiTheme="minorHAnsi" w:cstheme="minorHAnsi"/>
          <w:b/>
        </w:rPr>
        <w:t xml:space="preserve">NSA 2011 and NSA </w:t>
      </w:r>
      <w:bookmarkEnd w:id="262"/>
      <w:r w:rsidR="00446E0C" w:rsidRPr="005F120D">
        <w:rPr>
          <w:rFonts w:asciiTheme="minorHAnsi" w:hAnsiTheme="minorHAnsi" w:cstheme="minorHAnsi"/>
          <w:b/>
        </w:rPr>
        <w:t>2013</w:t>
      </w:r>
      <w:r w:rsidRPr="005F120D">
        <w:rPr>
          <w:rFonts w:asciiTheme="minorHAnsi" w:hAnsiTheme="minorHAnsi" w:cstheme="minorHAnsi"/>
          <w:b/>
        </w:rPr>
        <w:t>Performance Comparison</w:t>
      </w:r>
    </w:p>
    <w:p w:rsidR="00FB6259" w:rsidRPr="005F120D" w:rsidRDefault="00FB6259" w:rsidP="00C437AA">
      <w:pPr>
        <w:spacing w:after="0" w:line="276" w:lineRule="auto"/>
        <w:jc w:val="both"/>
        <w:rPr>
          <w:rFonts w:asciiTheme="minorHAnsi" w:hAnsiTheme="minorHAnsi" w:cstheme="minorHAnsi"/>
        </w:rPr>
      </w:pPr>
      <w:r w:rsidRPr="005F120D">
        <w:rPr>
          <w:rFonts w:asciiTheme="minorHAnsi" w:hAnsiTheme="minorHAnsi" w:cstheme="minorHAnsi"/>
        </w:rPr>
        <w:t>The main conclusions based on comparison of performance between 2011 and 2013 assessments are:</w:t>
      </w:r>
    </w:p>
    <w:p w:rsidR="00FB6259" w:rsidRPr="005F120D" w:rsidRDefault="00687C3A" w:rsidP="00C437AA">
      <w:pPr>
        <w:pStyle w:val="ListParagraph"/>
        <w:spacing w:after="0" w:line="276" w:lineRule="auto"/>
        <w:ind w:left="720"/>
        <w:jc w:val="both"/>
        <w:rPr>
          <w:rFonts w:asciiTheme="minorHAnsi" w:hAnsiTheme="minorHAnsi" w:cstheme="minorHAnsi"/>
        </w:rPr>
      </w:pPr>
      <w:r w:rsidRPr="005F120D">
        <w:rPr>
          <w:rFonts w:asciiTheme="minorHAnsi" w:hAnsiTheme="minorHAnsi" w:cstheme="minorHAnsi"/>
        </w:rPr>
        <w:t>There was</w:t>
      </w:r>
      <w:r w:rsidR="00FB6259" w:rsidRPr="005F120D">
        <w:rPr>
          <w:rFonts w:asciiTheme="minorHAnsi" w:hAnsiTheme="minorHAnsi" w:cstheme="minorHAnsi"/>
        </w:rPr>
        <w:t xml:space="preserve"> no significant change in overall student achievement between 2011 and 2013 assessments. The student achievement of Grade 3 Bangla was on average a little bit high</w:t>
      </w:r>
      <w:r w:rsidRPr="005F120D">
        <w:rPr>
          <w:rFonts w:asciiTheme="minorHAnsi" w:hAnsiTheme="minorHAnsi" w:cstheme="minorHAnsi"/>
        </w:rPr>
        <w:t>er in NSA 2013 than in NSA 2011;</w:t>
      </w:r>
      <w:r w:rsidR="00FB6259" w:rsidRPr="005F120D">
        <w:rPr>
          <w:rFonts w:asciiTheme="minorHAnsi" w:hAnsiTheme="minorHAnsi" w:cstheme="minorHAnsi"/>
        </w:rPr>
        <w:t xml:space="preserve"> however this difference was moderate. Si</w:t>
      </w:r>
      <w:r w:rsidRPr="005F120D">
        <w:rPr>
          <w:rFonts w:asciiTheme="minorHAnsi" w:hAnsiTheme="minorHAnsi" w:cstheme="minorHAnsi"/>
        </w:rPr>
        <w:t>milarly student achievement of G</w:t>
      </w:r>
      <w:r w:rsidR="00FB6259" w:rsidRPr="005F120D">
        <w:rPr>
          <w:rFonts w:asciiTheme="minorHAnsi" w:hAnsiTheme="minorHAnsi" w:cstheme="minorHAnsi"/>
        </w:rPr>
        <w:t>rade 5 Bangla in NSA 2013 was on a par with NSA 2011.</w:t>
      </w:r>
    </w:p>
    <w:p w:rsidR="00076AF1" w:rsidRPr="005F120D" w:rsidRDefault="00076AF1" w:rsidP="00C437AA">
      <w:pPr>
        <w:pStyle w:val="ListParagraph"/>
        <w:numPr>
          <w:ilvl w:val="0"/>
          <w:numId w:val="0"/>
        </w:numPr>
        <w:spacing w:line="276" w:lineRule="auto"/>
        <w:ind w:left="720"/>
        <w:jc w:val="both"/>
        <w:rPr>
          <w:rFonts w:asciiTheme="minorHAnsi" w:hAnsiTheme="minorHAnsi" w:cstheme="minorHAnsi"/>
          <w:sz w:val="10"/>
        </w:rPr>
      </w:pPr>
    </w:p>
    <w:p w:rsidR="00FB6259" w:rsidRPr="005F120D" w:rsidRDefault="00687C3A" w:rsidP="00C437AA">
      <w:pPr>
        <w:pStyle w:val="ListParagraph"/>
        <w:spacing w:line="276" w:lineRule="auto"/>
        <w:ind w:left="720"/>
        <w:jc w:val="both"/>
        <w:rPr>
          <w:rFonts w:asciiTheme="minorHAnsi" w:hAnsiTheme="minorHAnsi" w:cstheme="minorHAnsi"/>
        </w:rPr>
      </w:pPr>
      <w:r w:rsidRPr="005F120D">
        <w:rPr>
          <w:rFonts w:asciiTheme="minorHAnsi" w:hAnsiTheme="minorHAnsi" w:cstheme="minorHAnsi"/>
        </w:rPr>
        <w:t>Grade 3 M</w:t>
      </w:r>
      <w:r w:rsidR="00FB6259" w:rsidRPr="005F120D">
        <w:rPr>
          <w:rFonts w:asciiTheme="minorHAnsi" w:hAnsiTheme="minorHAnsi" w:cstheme="minorHAnsi"/>
        </w:rPr>
        <w:t>athematics mean performance was a little high</w:t>
      </w:r>
      <w:r w:rsidRPr="005F120D">
        <w:rPr>
          <w:rFonts w:asciiTheme="minorHAnsi" w:hAnsiTheme="minorHAnsi" w:cstheme="minorHAnsi"/>
        </w:rPr>
        <w:t>er in NSA 2013 than in NSA 2011;</w:t>
      </w:r>
      <w:r w:rsidR="00FB6259" w:rsidRPr="005F120D">
        <w:rPr>
          <w:rFonts w:asciiTheme="minorHAnsi" w:hAnsiTheme="minorHAnsi" w:cstheme="minorHAnsi"/>
        </w:rPr>
        <w:t xml:space="preserve"> however this difference was very small. Mathema</w:t>
      </w:r>
      <w:r w:rsidRPr="005F120D">
        <w:rPr>
          <w:rFonts w:asciiTheme="minorHAnsi" w:hAnsiTheme="minorHAnsi" w:cstheme="minorHAnsi"/>
        </w:rPr>
        <w:t>tics G</w:t>
      </w:r>
      <w:r w:rsidR="00FB6259" w:rsidRPr="005F120D">
        <w:rPr>
          <w:rFonts w:asciiTheme="minorHAnsi" w:hAnsiTheme="minorHAnsi" w:cstheme="minorHAnsi"/>
        </w:rPr>
        <w:t>rade 5 mean performance was a little higher in NSA 2011 than in NSA 2013. This difference was also very small.</w:t>
      </w:r>
    </w:p>
    <w:p w:rsidR="00076AF1" w:rsidRPr="005F120D" w:rsidRDefault="00076AF1" w:rsidP="00C437AA">
      <w:pPr>
        <w:pStyle w:val="ListParagraph"/>
        <w:numPr>
          <w:ilvl w:val="0"/>
          <w:numId w:val="0"/>
        </w:numPr>
        <w:spacing w:line="276" w:lineRule="auto"/>
        <w:ind w:left="720"/>
        <w:jc w:val="both"/>
        <w:rPr>
          <w:rFonts w:asciiTheme="minorHAnsi" w:hAnsiTheme="minorHAnsi" w:cstheme="minorHAnsi"/>
          <w:sz w:val="10"/>
        </w:rPr>
      </w:pPr>
    </w:p>
    <w:p w:rsidR="00446E0C" w:rsidRPr="005F120D" w:rsidRDefault="00FB6259" w:rsidP="00C437AA">
      <w:pPr>
        <w:pStyle w:val="ListParagraph"/>
        <w:spacing w:line="276" w:lineRule="auto"/>
        <w:ind w:left="720"/>
        <w:jc w:val="both"/>
        <w:rPr>
          <w:rFonts w:asciiTheme="minorHAnsi" w:hAnsiTheme="minorHAnsi" w:cstheme="minorHAnsi"/>
        </w:rPr>
      </w:pPr>
      <w:r w:rsidRPr="005F120D">
        <w:rPr>
          <w:rFonts w:asciiTheme="minorHAnsi" w:hAnsiTheme="minorHAnsi" w:cstheme="minorHAnsi"/>
        </w:rPr>
        <w:t>Me</w:t>
      </w:r>
      <w:r w:rsidR="00687C3A" w:rsidRPr="005F120D">
        <w:rPr>
          <w:rFonts w:asciiTheme="minorHAnsi" w:hAnsiTheme="minorHAnsi" w:cstheme="minorHAnsi"/>
        </w:rPr>
        <w:t>an performances by division in G</w:t>
      </w:r>
      <w:r w:rsidRPr="005F120D">
        <w:rPr>
          <w:rFonts w:asciiTheme="minorHAnsi" w:hAnsiTheme="minorHAnsi" w:cstheme="minorHAnsi"/>
        </w:rPr>
        <w:t>rade 3 shows a significant difference for Barisal, Rajshahi and Rangpur. Dhaka, which had the highest mean in 2011, remained consistent at 102 in 2013. Further investigation is required to uncover the reasons for significant improvements in some divisions.</w:t>
      </w:r>
      <w:r w:rsidR="003F16F0">
        <w:rPr>
          <w:rFonts w:asciiTheme="minorHAnsi" w:hAnsiTheme="minorHAnsi" w:cstheme="minorHAnsi"/>
        </w:rPr>
        <w:t xml:space="preserve"> </w:t>
      </w:r>
      <w:r w:rsidRPr="005F120D">
        <w:rPr>
          <w:rFonts w:asciiTheme="minorHAnsi" w:hAnsiTheme="minorHAnsi" w:cstheme="minorHAnsi"/>
        </w:rPr>
        <w:t>The rank order of the highest achieving districts has</w:t>
      </w:r>
      <w:r w:rsidR="003F16F0">
        <w:rPr>
          <w:rFonts w:asciiTheme="minorHAnsi" w:hAnsiTheme="minorHAnsi" w:cstheme="minorHAnsi"/>
        </w:rPr>
        <w:t xml:space="preserve"> </w:t>
      </w:r>
      <w:r w:rsidRPr="005F120D">
        <w:rPr>
          <w:rFonts w:asciiTheme="minorHAnsi" w:hAnsiTheme="minorHAnsi" w:cstheme="minorHAnsi"/>
        </w:rPr>
        <w:t>changed since 2011. Barisal and Rajshahi are high performers while Sylhet remains the lowest for both subjects in both grades</w:t>
      </w:r>
      <w:r w:rsidR="00446E0C" w:rsidRPr="005F120D">
        <w:rPr>
          <w:rFonts w:asciiTheme="minorHAnsi" w:hAnsiTheme="minorHAnsi" w:cstheme="minorHAnsi"/>
        </w:rPr>
        <w:t>.</w:t>
      </w:r>
    </w:p>
    <w:p w:rsidR="00935A02" w:rsidRPr="005F120D" w:rsidRDefault="00935A02" w:rsidP="00C437AA">
      <w:pPr>
        <w:pStyle w:val="ListParagraph"/>
        <w:numPr>
          <w:ilvl w:val="0"/>
          <w:numId w:val="0"/>
        </w:numPr>
        <w:spacing w:line="276" w:lineRule="auto"/>
        <w:jc w:val="both"/>
        <w:rPr>
          <w:rFonts w:asciiTheme="minorHAnsi" w:hAnsiTheme="minorHAnsi" w:cstheme="minorHAnsi"/>
          <w:sz w:val="10"/>
        </w:rPr>
      </w:pPr>
    </w:p>
    <w:p w:rsidR="00FB6259" w:rsidRPr="005F120D" w:rsidRDefault="00687C3A" w:rsidP="00C437AA">
      <w:pPr>
        <w:pStyle w:val="ListParagraph"/>
        <w:spacing w:line="276" w:lineRule="auto"/>
        <w:ind w:left="720"/>
        <w:jc w:val="both"/>
        <w:rPr>
          <w:rFonts w:asciiTheme="minorHAnsi" w:hAnsiTheme="minorHAnsi" w:cstheme="minorHAnsi"/>
        </w:rPr>
      </w:pPr>
      <w:r w:rsidRPr="005F120D">
        <w:rPr>
          <w:rFonts w:asciiTheme="minorHAnsi" w:hAnsiTheme="minorHAnsi" w:cstheme="minorHAnsi"/>
        </w:rPr>
        <w:t>Gender differences were</w:t>
      </w:r>
      <w:r w:rsidR="00FB6259" w:rsidRPr="005F120D">
        <w:rPr>
          <w:rFonts w:asciiTheme="minorHAnsi" w:hAnsiTheme="minorHAnsi" w:cstheme="minorHAnsi"/>
        </w:rPr>
        <w:t xml:space="preserve"> negligible and indicative of the equity achieved by the Bangladesh primary education system. This is consistent across the grades, and subjects between assessment cycles.</w:t>
      </w:r>
    </w:p>
    <w:p w:rsidR="00076AF1" w:rsidRPr="005F120D" w:rsidRDefault="00076AF1" w:rsidP="00C437AA">
      <w:pPr>
        <w:pStyle w:val="ListParagraph"/>
        <w:numPr>
          <w:ilvl w:val="0"/>
          <w:numId w:val="0"/>
        </w:numPr>
        <w:spacing w:line="276" w:lineRule="auto"/>
        <w:ind w:left="720"/>
        <w:jc w:val="both"/>
        <w:rPr>
          <w:rFonts w:asciiTheme="minorHAnsi" w:hAnsiTheme="minorHAnsi" w:cstheme="minorHAnsi"/>
          <w:sz w:val="10"/>
        </w:rPr>
      </w:pPr>
    </w:p>
    <w:p w:rsidR="00FB6259" w:rsidRPr="005F120D" w:rsidRDefault="00FB6259" w:rsidP="00C437AA">
      <w:pPr>
        <w:pStyle w:val="ListParagraph"/>
        <w:spacing w:line="276" w:lineRule="auto"/>
        <w:ind w:left="720"/>
        <w:jc w:val="both"/>
        <w:rPr>
          <w:rFonts w:asciiTheme="minorHAnsi" w:hAnsiTheme="minorHAnsi" w:cstheme="minorHAnsi"/>
        </w:rPr>
      </w:pPr>
      <w:r w:rsidRPr="005F120D">
        <w:rPr>
          <w:rFonts w:asciiTheme="minorHAnsi" w:hAnsiTheme="minorHAnsi" w:cstheme="minorHAnsi"/>
        </w:rPr>
        <w:t>In both grades, performance of rural students was slightly better th</w:t>
      </w:r>
      <w:r w:rsidR="00687C3A" w:rsidRPr="005F120D">
        <w:rPr>
          <w:rFonts w:asciiTheme="minorHAnsi" w:hAnsiTheme="minorHAnsi" w:cstheme="minorHAnsi"/>
        </w:rPr>
        <w:t>an their urban counterparts in M</w:t>
      </w:r>
      <w:r w:rsidRPr="005F120D">
        <w:rPr>
          <w:rFonts w:asciiTheme="minorHAnsi" w:hAnsiTheme="minorHAnsi" w:cstheme="minorHAnsi"/>
        </w:rPr>
        <w:t>athematics.</w:t>
      </w:r>
    </w:p>
    <w:p w:rsidR="00076AF1" w:rsidRPr="005F120D" w:rsidRDefault="00076AF1" w:rsidP="00C437AA">
      <w:pPr>
        <w:pStyle w:val="ListParagraph"/>
        <w:numPr>
          <w:ilvl w:val="0"/>
          <w:numId w:val="0"/>
        </w:numPr>
        <w:spacing w:line="276" w:lineRule="auto"/>
        <w:ind w:left="720"/>
        <w:jc w:val="both"/>
        <w:rPr>
          <w:rFonts w:asciiTheme="minorHAnsi" w:hAnsiTheme="minorHAnsi" w:cstheme="minorHAnsi"/>
          <w:sz w:val="10"/>
        </w:rPr>
      </w:pPr>
    </w:p>
    <w:p w:rsidR="00FB6259" w:rsidRPr="005F120D" w:rsidRDefault="00FB6259" w:rsidP="00C437AA">
      <w:pPr>
        <w:pStyle w:val="ListParagraph"/>
        <w:spacing w:line="276" w:lineRule="auto"/>
        <w:ind w:left="720"/>
        <w:jc w:val="both"/>
        <w:rPr>
          <w:rFonts w:asciiTheme="minorHAnsi" w:hAnsiTheme="minorHAnsi" w:cstheme="minorHAnsi"/>
        </w:rPr>
      </w:pPr>
      <w:r w:rsidRPr="005F120D">
        <w:rPr>
          <w:rFonts w:asciiTheme="minorHAnsi" w:hAnsiTheme="minorHAnsi" w:cstheme="minorHAnsi"/>
        </w:rPr>
        <w:t>Th</w:t>
      </w:r>
      <w:r w:rsidR="00687C3A" w:rsidRPr="005F120D">
        <w:rPr>
          <w:rFonts w:asciiTheme="minorHAnsi" w:hAnsiTheme="minorHAnsi" w:cstheme="minorHAnsi"/>
        </w:rPr>
        <w:t>e overall performance of GPS was</w:t>
      </w:r>
      <w:r w:rsidR="007C5249" w:rsidRPr="005F120D">
        <w:rPr>
          <w:rFonts w:asciiTheme="minorHAnsi" w:hAnsiTheme="minorHAnsi" w:cstheme="minorHAnsi"/>
        </w:rPr>
        <w:t xml:space="preserve"> higher than the</w:t>
      </w:r>
      <w:r w:rsidRPr="005F120D">
        <w:rPr>
          <w:rFonts w:asciiTheme="minorHAnsi" w:hAnsiTheme="minorHAnsi" w:cstheme="minorHAnsi"/>
        </w:rPr>
        <w:t xml:space="preserve"> other sampled 7 types of primary schools and this again is consistent from 2011. However, further school effectiveness studies need to be undertaken to analyze and explain the between- school variations. </w:t>
      </w:r>
    </w:p>
    <w:p w:rsidR="00FB6259" w:rsidRPr="005F120D" w:rsidRDefault="00FB6259" w:rsidP="00C437AA">
      <w:pPr>
        <w:spacing w:line="276" w:lineRule="auto"/>
        <w:jc w:val="both"/>
        <w:rPr>
          <w:rFonts w:asciiTheme="minorHAnsi" w:hAnsiTheme="minorHAnsi" w:cstheme="minorHAnsi"/>
        </w:rPr>
      </w:pPr>
      <w:r w:rsidRPr="005F120D">
        <w:rPr>
          <w:rFonts w:asciiTheme="minorHAnsi" w:hAnsiTheme="minorHAnsi" w:cstheme="minorHAnsi"/>
        </w:rPr>
        <w:t>The result of NSA 20</w:t>
      </w:r>
      <w:r w:rsidR="007C5249" w:rsidRPr="005F120D">
        <w:rPr>
          <w:rFonts w:asciiTheme="minorHAnsi" w:hAnsiTheme="minorHAnsi" w:cstheme="minorHAnsi"/>
        </w:rPr>
        <w:t>13 has shown that the share of G</w:t>
      </w:r>
      <w:r w:rsidRPr="005F120D">
        <w:rPr>
          <w:rFonts w:asciiTheme="minorHAnsi" w:hAnsiTheme="minorHAnsi" w:cstheme="minorHAnsi"/>
        </w:rPr>
        <w:t>rade 5 students meeting th</w:t>
      </w:r>
      <w:r w:rsidR="009606E5" w:rsidRPr="005F120D">
        <w:rPr>
          <w:rFonts w:asciiTheme="minorHAnsi" w:hAnsiTheme="minorHAnsi" w:cstheme="minorHAnsi"/>
        </w:rPr>
        <w:t>e relevant competency level in M</w:t>
      </w:r>
      <w:r w:rsidRPr="005F120D">
        <w:rPr>
          <w:rFonts w:asciiTheme="minorHAnsi" w:hAnsiTheme="minorHAnsi" w:cstheme="minorHAnsi"/>
        </w:rPr>
        <w:t>ath is slightly lower than that of 2011. A number of factors might have influenced the results, including:</w:t>
      </w:r>
    </w:p>
    <w:p w:rsidR="00FB6259" w:rsidRPr="005F120D" w:rsidRDefault="00FB6259" w:rsidP="00C437AA">
      <w:pPr>
        <w:pStyle w:val="ListParagraph"/>
        <w:numPr>
          <w:ilvl w:val="0"/>
          <w:numId w:val="48"/>
        </w:numPr>
        <w:spacing w:line="276" w:lineRule="auto"/>
        <w:ind w:left="810"/>
        <w:jc w:val="both"/>
        <w:rPr>
          <w:rFonts w:asciiTheme="minorHAnsi" w:hAnsiTheme="minorHAnsi" w:cstheme="minorHAnsi"/>
        </w:rPr>
      </w:pPr>
      <w:r w:rsidRPr="005F120D">
        <w:rPr>
          <w:rFonts w:asciiTheme="minorHAnsi" w:hAnsiTheme="minorHAnsi" w:cstheme="minorHAnsi"/>
          <w:b/>
          <w:i/>
        </w:rPr>
        <w:t>Curriculum reform</w:t>
      </w:r>
      <w:r w:rsidRPr="005F120D">
        <w:rPr>
          <w:rFonts w:asciiTheme="minorHAnsi" w:hAnsiTheme="minorHAnsi" w:cstheme="minorHAnsi"/>
        </w:rPr>
        <w:t>: The new curriculum and textbooks were introduced in 2012 and 2013. The finding of NSA 2013 highlights that there are several important lessons/concepts</w:t>
      </w:r>
      <w:r w:rsidR="007C5249" w:rsidRPr="005F120D">
        <w:rPr>
          <w:rFonts w:asciiTheme="minorHAnsi" w:hAnsiTheme="minorHAnsi" w:cstheme="minorHAnsi"/>
        </w:rPr>
        <w:t xml:space="preserve"> that were included in the old G</w:t>
      </w:r>
      <w:r w:rsidRPr="005F120D">
        <w:rPr>
          <w:rFonts w:asciiTheme="minorHAnsi" w:hAnsiTheme="minorHAnsi" w:cstheme="minorHAnsi"/>
        </w:rPr>
        <w:t>rade 5 textbook (i.e. until 2012) but the contents were not covered (or o</w:t>
      </w:r>
      <w:r w:rsidR="007C5249" w:rsidRPr="005F120D">
        <w:rPr>
          <w:rFonts w:asciiTheme="minorHAnsi" w:hAnsiTheme="minorHAnsi" w:cstheme="minorHAnsi"/>
        </w:rPr>
        <w:t>nly partly covered) in the new G</w:t>
      </w:r>
      <w:r w:rsidRPr="005F120D">
        <w:rPr>
          <w:rFonts w:asciiTheme="minorHAnsi" w:hAnsiTheme="minorHAnsi" w:cstheme="minorHAnsi"/>
        </w:rPr>
        <w:t>rade 5 textbook bec</w:t>
      </w:r>
      <w:r w:rsidR="007C5249" w:rsidRPr="005F120D">
        <w:rPr>
          <w:rFonts w:asciiTheme="minorHAnsi" w:hAnsiTheme="minorHAnsi" w:cstheme="minorHAnsi"/>
        </w:rPr>
        <w:t>ause they were moved to the new G</w:t>
      </w:r>
      <w:r w:rsidRPr="005F120D">
        <w:rPr>
          <w:rFonts w:asciiTheme="minorHAnsi" w:hAnsiTheme="minorHAnsi" w:cstheme="minorHAnsi"/>
        </w:rPr>
        <w:t>rade 4 textbook in  2013.  As a result, the cadre of students that took NSA 2013 missed out on those less</w:t>
      </w:r>
      <w:r w:rsidR="007C5249" w:rsidRPr="005F120D">
        <w:rPr>
          <w:rFonts w:asciiTheme="minorHAnsi" w:hAnsiTheme="minorHAnsi" w:cstheme="minorHAnsi"/>
        </w:rPr>
        <w:t>ons/concepts when they were in G</w:t>
      </w:r>
      <w:r w:rsidRPr="005F120D">
        <w:rPr>
          <w:rFonts w:asciiTheme="minorHAnsi" w:hAnsiTheme="minorHAnsi" w:cstheme="minorHAnsi"/>
        </w:rPr>
        <w:t>rade 4 in 2012 and</w:t>
      </w:r>
      <w:r w:rsidR="003F16F0">
        <w:rPr>
          <w:rFonts w:asciiTheme="minorHAnsi" w:hAnsiTheme="minorHAnsi" w:cstheme="minorHAnsi"/>
        </w:rPr>
        <w:t xml:space="preserve"> </w:t>
      </w:r>
      <w:r w:rsidR="007C5249" w:rsidRPr="005F120D">
        <w:rPr>
          <w:rFonts w:asciiTheme="minorHAnsi" w:hAnsiTheme="minorHAnsi" w:cstheme="minorHAnsi"/>
        </w:rPr>
        <w:t>again in G</w:t>
      </w:r>
      <w:r w:rsidRPr="005F120D">
        <w:rPr>
          <w:rFonts w:asciiTheme="minorHAnsi" w:hAnsiTheme="minorHAnsi" w:cstheme="minorHAnsi"/>
        </w:rPr>
        <w:t>rade 5 in 2013.</w:t>
      </w:r>
    </w:p>
    <w:p w:rsidR="00FB6259" w:rsidRPr="005F120D" w:rsidRDefault="00FB6259" w:rsidP="00C437AA">
      <w:pPr>
        <w:pStyle w:val="ListParagraph"/>
        <w:numPr>
          <w:ilvl w:val="0"/>
          <w:numId w:val="0"/>
        </w:numPr>
        <w:spacing w:line="276" w:lineRule="auto"/>
        <w:ind w:left="810"/>
        <w:jc w:val="both"/>
        <w:rPr>
          <w:rFonts w:asciiTheme="minorHAnsi" w:hAnsiTheme="minorHAnsi" w:cstheme="minorHAnsi"/>
          <w:sz w:val="10"/>
        </w:rPr>
      </w:pPr>
    </w:p>
    <w:p w:rsidR="00FB6259" w:rsidRPr="005F120D" w:rsidRDefault="008A207D" w:rsidP="00C437AA">
      <w:pPr>
        <w:pStyle w:val="ListParagraph"/>
        <w:numPr>
          <w:ilvl w:val="0"/>
          <w:numId w:val="48"/>
        </w:numPr>
        <w:spacing w:line="276" w:lineRule="auto"/>
        <w:ind w:left="810"/>
        <w:jc w:val="both"/>
        <w:rPr>
          <w:rFonts w:asciiTheme="minorHAnsi" w:hAnsiTheme="minorHAnsi" w:cstheme="minorHAnsi"/>
        </w:rPr>
      </w:pPr>
      <w:r w:rsidRPr="005F120D">
        <w:rPr>
          <w:rFonts w:asciiTheme="minorHAnsi" w:hAnsiTheme="minorHAnsi" w:cstheme="minorHAnsi"/>
          <w:b/>
          <w:i/>
        </w:rPr>
        <w:t>Lack</w:t>
      </w:r>
      <w:r w:rsidR="00FB6259" w:rsidRPr="005F120D">
        <w:rPr>
          <w:rFonts w:asciiTheme="minorHAnsi" w:hAnsiTheme="minorHAnsi" w:cstheme="minorHAnsi"/>
          <w:b/>
          <w:i/>
        </w:rPr>
        <w:t xml:space="preserve"> of teacher orientation on new curriculum</w:t>
      </w:r>
      <w:r w:rsidR="00FB6259" w:rsidRPr="005F120D">
        <w:rPr>
          <w:rFonts w:asciiTheme="minorHAnsi" w:hAnsiTheme="minorHAnsi" w:cstheme="minorHAnsi"/>
        </w:rPr>
        <w:t>: Teachers did not receive any training or orientation on the new curriculum. Teachers’ guides, teachers’ addition and q</w:t>
      </w:r>
      <w:r w:rsidR="007C5249" w:rsidRPr="005F120D">
        <w:rPr>
          <w:rFonts w:asciiTheme="minorHAnsi" w:hAnsiTheme="minorHAnsi" w:cstheme="minorHAnsi"/>
        </w:rPr>
        <w:t>uestion booklet had also not been</w:t>
      </w:r>
      <w:r w:rsidR="00FB6259" w:rsidRPr="005F120D">
        <w:rPr>
          <w:rFonts w:asciiTheme="minorHAnsi" w:hAnsiTheme="minorHAnsi" w:cstheme="minorHAnsi"/>
        </w:rPr>
        <w:t xml:space="preserve"> finalized in 2012/13. As a result, the teachers did not have any supplementary materials or training opportunities to familiarize themselves with the instructional concepts of the new curriculum. </w:t>
      </w:r>
    </w:p>
    <w:p w:rsidR="00FB6259" w:rsidRPr="005F120D" w:rsidRDefault="00FB6259" w:rsidP="00C437AA">
      <w:pPr>
        <w:pStyle w:val="ListParagraph"/>
        <w:numPr>
          <w:ilvl w:val="0"/>
          <w:numId w:val="0"/>
        </w:numPr>
        <w:spacing w:line="276" w:lineRule="auto"/>
        <w:ind w:left="810"/>
        <w:jc w:val="both"/>
        <w:rPr>
          <w:rFonts w:asciiTheme="minorHAnsi" w:hAnsiTheme="minorHAnsi" w:cstheme="minorHAnsi"/>
          <w:sz w:val="10"/>
        </w:rPr>
      </w:pPr>
    </w:p>
    <w:p w:rsidR="00FB6259" w:rsidRPr="005F120D" w:rsidRDefault="00FB6259" w:rsidP="00C437AA">
      <w:pPr>
        <w:pStyle w:val="ListParagraph"/>
        <w:numPr>
          <w:ilvl w:val="0"/>
          <w:numId w:val="48"/>
        </w:numPr>
        <w:spacing w:line="276" w:lineRule="auto"/>
        <w:ind w:left="810"/>
        <w:jc w:val="both"/>
        <w:rPr>
          <w:rFonts w:asciiTheme="minorHAnsi" w:hAnsiTheme="minorHAnsi" w:cstheme="minorHAnsi"/>
        </w:rPr>
      </w:pPr>
      <w:r w:rsidRPr="005F120D">
        <w:rPr>
          <w:rFonts w:asciiTheme="minorHAnsi" w:hAnsiTheme="minorHAnsi" w:cstheme="minorHAnsi"/>
          <w:b/>
          <w:i/>
        </w:rPr>
        <w:t>School sampling and comparability</w:t>
      </w:r>
      <w:r w:rsidRPr="005F120D">
        <w:rPr>
          <w:rFonts w:asciiTheme="minorHAnsi" w:hAnsiTheme="minorHAnsi" w:cstheme="minorHAnsi"/>
        </w:rPr>
        <w:t xml:space="preserve">: NSA 2011 included only GPS </w:t>
      </w:r>
      <w:r w:rsidR="007C5249" w:rsidRPr="005F120D">
        <w:rPr>
          <w:rFonts w:asciiTheme="minorHAnsi" w:hAnsiTheme="minorHAnsi" w:cstheme="minorHAnsi"/>
        </w:rPr>
        <w:t xml:space="preserve">and NNPS while NSA 2013 included </w:t>
      </w:r>
      <w:r w:rsidRPr="005F120D">
        <w:rPr>
          <w:rFonts w:asciiTheme="minorHAnsi" w:hAnsiTheme="minorHAnsi" w:cstheme="minorHAnsi"/>
        </w:rPr>
        <w:t>7types of schools including non-formal schools such as BRAC and other NGO schools. Hence, the school samples between NSA 2011 and 2013 vary across a number of factors such as teachers profiles (qualification and training), student’s background (socio-economic conditions),and school physical facilities etc.</w:t>
      </w:r>
    </w:p>
    <w:p w:rsidR="00FB6259" w:rsidRPr="005F120D" w:rsidRDefault="00FB6259" w:rsidP="00C437AA">
      <w:pPr>
        <w:pStyle w:val="ListParagraph"/>
        <w:numPr>
          <w:ilvl w:val="0"/>
          <w:numId w:val="0"/>
        </w:numPr>
        <w:spacing w:line="276" w:lineRule="auto"/>
        <w:ind w:left="810"/>
        <w:jc w:val="both"/>
        <w:rPr>
          <w:rFonts w:asciiTheme="minorHAnsi" w:hAnsiTheme="minorHAnsi" w:cstheme="minorHAnsi"/>
          <w:sz w:val="10"/>
        </w:rPr>
      </w:pPr>
    </w:p>
    <w:p w:rsidR="00E95CE5" w:rsidRPr="005F120D" w:rsidRDefault="00FB6259" w:rsidP="00C437AA">
      <w:pPr>
        <w:pStyle w:val="ListParagraph"/>
        <w:numPr>
          <w:ilvl w:val="0"/>
          <w:numId w:val="48"/>
        </w:numPr>
        <w:spacing w:line="276" w:lineRule="auto"/>
        <w:ind w:left="810"/>
        <w:jc w:val="both"/>
        <w:rPr>
          <w:rFonts w:asciiTheme="minorHAnsi" w:hAnsiTheme="minorHAnsi" w:cstheme="minorHAnsi"/>
          <w:color w:val="FF0000"/>
        </w:rPr>
      </w:pPr>
      <w:r w:rsidRPr="005F120D">
        <w:rPr>
          <w:rFonts w:asciiTheme="minorHAnsi" w:hAnsiTheme="minorHAnsi" w:cstheme="minorHAnsi"/>
          <w:b/>
          <w:i/>
        </w:rPr>
        <w:t xml:space="preserve">Country’s situation in 2013: </w:t>
      </w:r>
      <w:r w:rsidRPr="005F120D">
        <w:rPr>
          <w:rFonts w:asciiTheme="minorHAnsi" w:hAnsiTheme="minorHAnsi" w:cstheme="minorHAnsi"/>
        </w:rPr>
        <w:t>The political situation for a few months before the national election in January 2014 was volatile. Schools closures were reported in many cases and the number of hours of instruction might</w:t>
      </w:r>
      <w:r w:rsidR="007C5249" w:rsidRPr="005F120D">
        <w:rPr>
          <w:rFonts w:asciiTheme="minorHAnsi" w:hAnsiTheme="minorHAnsi" w:cstheme="minorHAnsi"/>
        </w:rPr>
        <w:t xml:space="preserve"> also</w:t>
      </w:r>
      <w:r w:rsidRPr="005F120D">
        <w:rPr>
          <w:rFonts w:asciiTheme="minorHAnsi" w:hAnsiTheme="minorHAnsi" w:cstheme="minorHAnsi"/>
        </w:rPr>
        <w:t xml:space="preserve"> have been affected</w:t>
      </w:r>
      <w:r w:rsidR="00C07DCC" w:rsidRPr="005F120D">
        <w:rPr>
          <w:rFonts w:asciiTheme="minorHAnsi" w:hAnsiTheme="minorHAnsi" w:cstheme="minorHAnsi"/>
          <w:color w:val="FF0000"/>
        </w:rPr>
        <w:t xml:space="preserve">. </w:t>
      </w:r>
    </w:p>
    <w:p w:rsidR="00A21DCE" w:rsidRDefault="00A2703C" w:rsidP="004E77B3">
      <w:pPr>
        <w:pStyle w:val="Heading3"/>
      </w:pPr>
      <w:r w:rsidRPr="005F120D">
        <w:t>2011 National Student Assessment (NSA)</w:t>
      </w:r>
      <w:r w:rsidR="00FA5158" w:rsidRPr="005F120D">
        <w:t xml:space="preserve">: </w:t>
      </w:r>
    </w:p>
    <w:p w:rsidR="00A2703C" w:rsidRPr="005F120D" w:rsidRDefault="00FA5158" w:rsidP="004E77B3">
      <w:pPr>
        <w:pStyle w:val="Heading3"/>
      </w:pPr>
      <w:r w:rsidRPr="005F120D">
        <w:t>Which factors make a difference to student achievement?</w:t>
      </w:r>
    </w:p>
    <w:p w:rsidR="00FD58DD" w:rsidRPr="005F120D" w:rsidRDefault="00FD58DD" w:rsidP="00C437AA">
      <w:pPr>
        <w:spacing w:line="276" w:lineRule="auto"/>
        <w:jc w:val="both"/>
        <w:rPr>
          <w:rFonts w:asciiTheme="minorHAnsi" w:hAnsiTheme="minorHAnsi" w:cstheme="minorHAnsi"/>
          <w:szCs w:val="24"/>
        </w:rPr>
      </w:pPr>
      <w:r w:rsidRPr="005F120D">
        <w:rPr>
          <w:rFonts w:asciiTheme="minorHAnsi" w:hAnsiTheme="minorHAnsi" w:cstheme="minorHAnsi"/>
          <w:szCs w:val="24"/>
        </w:rPr>
        <w:t xml:space="preserve">In order to improve learning achievement in Bangladesh, policy-makers need information on what interventions (school factors) </w:t>
      </w:r>
      <w:r w:rsidR="00E453C9" w:rsidRPr="005F120D">
        <w:rPr>
          <w:rFonts w:asciiTheme="minorHAnsi" w:hAnsiTheme="minorHAnsi" w:cstheme="minorHAnsi"/>
          <w:szCs w:val="24"/>
        </w:rPr>
        <w:t>has</w:t>
      </w:r>
      <w:r w:rsidRPr="005F120D">
        <w:rPr>
          <w:rFonts w:asciiTheme="minorHAnsi" w:hAnsiTheme="minorHAnsi" w:cstheme="minorHAnsi"/>
          <w:szCs w:val="24"/>
        </w:rPr>
        <w:t xml:space="preserve"> the most impact on test scores. </w:t>
      </w:r>
      <w:r w:rsidRPr="005F120D">
        <w:rPr>
          <w:rFonts w:asciiTheme="minorHAnsi" w:hAnsiTheme="minorHAnsi" w:cstheme="minorHAnsi"/>
        </w:rPr>
        <w:t xml:space="preserve">The NSA therefore collects information on factors such as gender, geographical location, and socioeconomic status – factors that are known to have an impact on student learning outcomes – and investigates the correlation </w:t>
      </w:r>
      <w:r w:rsidRPr="005F120D">
        <w:rPr>
          <w:rFonts w:asciiTheme="minorHAnsi" w:hAnsiTheme="minorHAnsi" w:cstheme="minorHAnsi"/>
        </w:rPr>
        <w:lastRenderedPageBreak/>
        <w:t xml:space="preserve">between these factors and learning outcomes. </w:t>
      </w:r>
      <w:r w:rsidRPr="005F120D">
        <w:rPr>
          <w:rFonts w:asciiTheme="minorHAnsi" w:hAnsiTheme="minorHAnsi" w:cstheme="minorHAnsi"/>
          <w:szCs w:val="24"/>
        </w:rPr>
        <w:t xml:space="preserve">It is essential to carry out an assessment by carefully examining correlates of student test scores. </w:t>
      </w:r>
    </w:p>
    <w:p w:rsidR="00970462" w:rsidRPr="005F120D" w:rsidRDefault="00FD58DD" w:rsidP="00C437AA">
      <w:pPr>
        <w:spacing w:line="276" w:lineRule="auto"/>
        <w:rPr>
          <w:rFonts w:asciiTheme="minorHAnsi" w:hAnsiTheme="minorHAnsi" w:cstheme="minorHAnsi"/>
        </w:rPr>
      </w:pPr>
      <w:r w:rsidRPr="005F120D">
        <w:rPr>
          <w:rFonts w:asciiTheme="minorHAnsi" w:hAnsiTheme="minorHAnsi" w:cstheme="minorHAnsi"/>
        </w:rPr>
        <w:t>The World Bank’s 201</w:t>
      </w:r>
      <w:r w:rsidR="007C5249" w:rsidRPr="005F120D">
        <w:rPr>
          <w:rFonts w:asciiTheme="minorHAnsi" w:hAnsiTheme="minorHAnsi" w:cstheme="minorHAnsi"/>
        </w:rPr>
        <w:t xml:space="preserve">4 education sector review </w:t>
      </w:r>
      <w:r w:rsidRPr="005F120D">
        <w:rPr>
          <w:rFonts w:asciiTheme="minorHAnsi" w:hAnsiTheme="minorHAnsi" w:cstheme="minorHAnsi"/>
        </w:rPr>
        <w:t>conducted a detailed analysis of the NSA 2011 data to identify key factors that can impact either positively or negatively on student learning outcomes.   The summary table on these findings is presented in Table 3.</w:t>
      </w:r>
      <w:r w:rsidR="00450C9B" w:rsidRPr="005F120D">
        <w:rPr>
          <w:rFonts w:asciiTheme="minorHAnsi" w:hAnsiTheme="minorHAnsi" w:cstheme="minorHAnsi"/>
        </w:rPr>
        <w:t>4</w:t>
      </w:r>
      <w:r w:rsidRPr="005F120D">
        <w:rPr>
          <w:rFonts w:asciiTheme="minorHAnsi" w:hAnsiTheme="minorHAnsi" w:cstheme="minorHAnsi"/>
        </w:rPr>
        <w:t>.</w:t>
      </w:r>
    </w:p>
    <w:p w:rsidR="00F8692E" w:rsidRPr="005F120D" w:rsidRDefault="00D27514" w:rsidP="00C437AA">
      <w:pPr>
        <w:pStyle w:val="Caption"/>
        <w:spacing w:before="240" w:line="276" w:lineRule="auto"/>
        <w:rPr>
          <w:rFonts w:cstheme="minorHAnsi"/>
        </w:rPr>
      </w:pPr>
      <w:bookmarkStart w:id="263" w:name="_Ref387919611"/>
      <w:bookmarkStart w:id="264" w:name="_Toc462837261"/>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bookmarkEnd w:id="263"/>
      <w:r w:rsidR="004565E6" w:rsidRPr="005F120D">
        <w:rPr>
          <w:rFonts w:cstheme="minorHAnsi"/>
        </w:rPr>
        <w:t>:</w:t>
      </w:r>
      <w:r w:rsidR="003F16F0">
        <w:rPr>
          <w:rFonts w:cstheme="minorHAnsi"/>
        </w:rPr>
        <w:t xml:space="preserve"> </w:t>
      </w:r>
      <w:r w:rsidR="00237A83" w:rsidRPr="005F120D">
        <w:rPr>
          <w:rFonts w:cstheme="minorHAnsi"/>
          <w:lang w:eastAsia="ja-JP"/>
        </w:rPr>
        <w:t>Regression Analysis on Factors Correlated with Students’ Learning, NSA 2011</w:t>
      </w:r>
      <w:bookmarkEnd w:id="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0"/>
        <w:gridCol w:w="1063"/>
        <w:gridCol w:w="886"/>
        <w:gridCol w:w="1010"/>
        <w:gridCol w:w="886"/>
      </w:tblGrid>
      <w:tr w:rsidR="00237A83" w:rsidRPr="005F120D" w:rsidTr="00576200">
        <w:trPr>
          <w:jc w:val="center"/>
        </w:trPr>
        <w:tc>
          <w:tcPr>
            <w:tcW w:w="2921" w:type="pct"/>
            <w:vMerge w:val="restart"/>
            <w:shd w:val="clear" w:color="auto" w:fill="4F6228" w:themeFill="accent3" w:themeFillShade="80"/>
            <w:noWrap/>
            <w:vAlign w:val="center"/>
            <w:hideMark/>
          </w:tcPr>
          <w:p w:rsidR="00237A83" w:rsidRPr="005F120D" w:rsidRDefault="00237A83" w:rsidP="00C437AA">
            <w:pPr>
              <w:spacing w:after="0" w:line="276" w:lineRule="auto"/>
              <w:rPr>
                <w:rFonts w:asciiTheme="minorHAnsi" w:hAnsiTheme="minorHAnsi" w:cstheme="minorHAnsi"/>
                <w:color w:val="FFFFFF" w:themeColor="background1"/>
                <w:sz w:val="20"/>
              </w:rPr>
            </w:pPr>
            <w:r w:rsidRPr="005F120D">
              <w:rPr>
                <w:rFonts w:asciiTheme="minorHAnsi" w:hAnsiTheme="minorHAnsi" w:cstheme="minorHAnsi"/>
                <w:color w:val="FFFFFF" w:themeColor="background1"/>
                <w:sz w:val="20"/>
              </w:rPr>
              <w:t> </w:t>
            </w:r>
          </w:p>
        </w:tc>
        <w:tc>
          <w:tcPr>
            <w:tcW w:w="1054" w:type="pct"/>
            <w:gridSpan w:val="2"/>
            <w:shd w:val="clear" w:color="auto" w:fill="4F6228" w:themeFill="accent3" w:themeFillShade="80"/>
            <w:noWrap/>
            <w:vAlign w:val="center"/>
            <w:hideMark/>
          </w:tcPr>
          <w:p w:rsidR="00237A83" w:rsidRPr="005F120D" w:rsidRDefault="00237A83" w:rsidP="00C437AA">
            <w:pPr>
              <w:spacing w:after="0" w:line="276" w:lineRule="auto"/>
              <w:jc w:val="center"/>
              <w:rPr>
                <w:rFonts w:asciiTheme="minorHAnsi" w:hAnsiTheme="minorHAnsi" w:cstheme="minorHAnsi"/>
                <w:b/>
                <w:color w:val="FFFFFF" w:themeColor="background1"/>
                <w:sz w:val="20"/>
              </w:rPr>
            </w:pPr>
            <w:r w:rsidRPr="005F120D">
              <w:rPr>
                <w:rFonts w:asciiTheme="minorHAnsi" w:hAnsiTheme="minorHAnsi" w:cstheme="minorHAnsi"/>
                <w:b/>
                <w:bCs/>
                <w:color w:val="FFFFFF" w:themeColor="background1"/>
                <w:sz w:val="20"/>
              </w:rPr>
              <w:t>Grade3</w:t>
            </w:r>
          </w:p>
        </w:tc>
        <w:tc>
          <w:tcPr>
            <w:tcW w:w="1025" w:type="pct"/>
            <w:gridSpan w:val="2"/>
            <w:shd w:val="clear" w:color="auto" w:fill="4F6228" w:themeFill="accent3" w:themeFillShade="80"/>
            <w:noWrap/>
            <w:vAlign w:val="center"/>
            <w:hideMark/>
          </w:tcPr>
          <w:p w:rsidR="00237A83" w:rsidRPr="005F120D" w:rsidRDefault="00237A83" w:rsidP="00C437AA">
            <w:pPr>
              <w:spacing w:after="0" w:line="276" w:lineRule="auto"/>
              <w:jc w:val="center"/>
              <w:rPr>
                <w:rFonts w:asciiTheme="minorHAnsi" w:hAnsiTheme="minorHAnsi" w:cstheme="minorHAnsi"/>
                <w:b/>
                <w:color w:val="FFFFFF" w:themeColor="background1"/>
                <w:sz w:val="20"/>
              </w:rPr>
            </w:pPr>
            <w:r w:rsidRPr="005F120D">
              <w:rPr>
                <w:rFonts w:asciiTheme="minorHAnsi" w:hAnsiTheme="minorHAnsi" w:cstheme="minorHAnsi"/>
                <w:b/>
                <w:bCs/>
                <w:color w:val="FFFFFF" w:themeColor="background1"/>
                <w:sz w:val="20"/>
              </w:rPr>
              <w:t>Grade5</w:t>
            </w:r>
          </w:p>
        </w:tc>
      </w:tr>
      <w:tr w:rsidR="00237A83" w:rsidRPr="005F120D" w:rsidTr="00576200">
        <w:trPr>
          <w:jc w:val="center"/>
        </w:trPr>
        <w:tc>
          <w:tcPr>
            <w:tcW w:w="2921" w:type="pct"/>
            <w:vMerge/>
            <w:tcBorders>
              <w:bottom w:val="single" w:sz="4" w:space="0" w:color="auto"/>
            </w:tcBorders>
            <w:shd w:val="clear" w:color="auto" w:fill="4F6228" w:themeFill="accent3" w:themeFillShade="80"/>
            <w:noWrap/>
            <w:vAlign w:val="center"/>
            <w:hideMark/>
          </w:tcPr>
          <w:p w:rsidR="00237A83" w:rsidRPr="005F120D" w:rsidRDefault="00237A83" w:rsidP="00C437AA">
            <w:pPr>
              <w:spacing w:after="0" w:line="276" w:lineRule="auto"/>
              <w:rPr>
                <w:rFonts w:asciiTheme="minorHAnsi" w:hAnsiTheme="minorHAnsi" w:cstheme="minorHAnsi"/>
                <w:color w:val="FFFFFF" w:themeColor="background1"/>
                <w:sz w:val="20"/>
              </w:rPr>
            </w:pPr>
          </w:p>
        </w:tc>
        <w:tc>
          <w:tcPr>
            <w:tcW w:w="575" w:type="pct"/>
            <w:tcBorders>
              <w:bottom w:val="single" w:sz="4" w:space="0" w:color="auto"/>
            </w:tcBorders>
            <w:shd w:val="clear" w:color="auto" w:fill="4F6228" w:themeFill="accent3" w:themeFillShade="80"/>
            <w:noWrap/>
            <w:vAlign w:val="center"/>
            <w:hideMark/>
          </w:tcPr>
          <w:p w:rsidR="00237A83" w:rsidRPr="005F120D" w:rsidRDefault="00237A83" w:rsidP="00C437AA">
            <w:pPr>
              <w:spacing w:after="0" w:line="276" w:lineRule="auto"/>
              <w:jc w:val="center"/>
              <w:rPr>
                <w:rFonts w:asciiTheme="minorHAnsi" w:hAnsiTheme="minorHAnsi" w:cstheme="minorHAnsi"/>
                <w:b/>
                <w:bCs/>
                <w:color w:val="FFFFFF" w:themeColor="background1"/>
                <w:sz w:val="20"/>
              </w:rPr>
            </w:pPr>
            <w:r w:rsidRPr="005F120D">
              <w:rPr>
                <w:rFonts w:asciiTheme="minorHAnsi" w:hAnsiTheme="minorHAnsi" w:cstheme="minorHAnsi"/>
                <w:b/>
                <w:bCs/>
                <w:color w:val="FFFFFF" w:themeColor="background1"/>
                <w:sz w:val="20"/>
              </w:rPr>
              <w:t>Bangla</w:t>
            </w:r>
          </w:p>
        </w:tc>
        <w:tc>
          <w:tcPr>
            <w:tcW w:w="479" w:type="pct"/>
            <w:tcBorders>
              <w:bottom w:val="single" w:sz="4" w:space="0" w:color="auto"/>
            </w:tcBorders>
            <w:shd w:val="clear" w:color="auto" w:fill="4F6228" w:themeFill="accent3" w:themeFillShade="80"/>
            <w:noWrap/>
            <w:vAlign w:val="center"/>
            <w:hideMark/>
          </w:tcPr>
          <w:p w:rsidR="00237A83" w:rsidRPr="005F120D" w:rsidRDefault="00237A83" w:rsidP="00C437AA">
            <w:pPr>
              <w:spacing w:after="0" w:line="276" w:lineRule="auto"/>
              <w:jc w:val="center"/>
              <w:rPr>
                <w:rFonts w:asciiTheme="minorHAnsi" w:hAnsiTheme="minorHAnsi" w:cstheme="minorHAnsi"/>
                <w:b/>
                <w:bCs/>
                <w:color w:val="FFFFFF" w:themeColor="background1"/>
                <w:sz w:val="20"/>
              </w:rPr>
            </w:pPr>
            <w:r w:rsidRPr="005F120D">
              <w:rPr>
                <w:rFonts w:asciiTheme="minorHAnsi" w:hAnsiTheme="minorHAnsi" w:cstheme="minorHAnsi"/>
                <w:b/>
                <w:bCs/>
                <w:color w:val="FFFFFF" w:themeColor="background1"/>
                <w:sz w:val="20"/>
              </w:rPr>
              <w:t>Math</w:t>
            </w:r>
          </w:p>
        </w:tc>
        <w:tc>
          <w:tcPr>
            <w:tcW w:w="546" w:type="pct"/>
            <w:tcBorders>
              <w:bottom w:val="single" w:sz="4" w:space="0" w:color="auto"/>
            </w:tcBorders>
            <w:shd w:val="clear" w:color="auto" w:fill="4F6228" w:themeFill="accent3" w:themeFillShade="80"/>
            <w:noWrap/>
            <w:vAlign w:val="center"/>
            <w:hideMark/>
          </w:tcPr>
          <w:p w:rsidR="00237A83" w:rsidRPr="005F120D" w:rsidRDefault="00237A83" w:rsidP="00C437AA">
            <w:pPr>
              <w:spacing w:after="0" w:line="276" w:lineRule="auto"/>
              <w:jc w:val="center"/>
              <w:rPr>
                <w:rFonts w:asciiTheme="minorHAnsi" w:hAnsiTheme="minorHAnsi" w:cstheme="minorHAnsi"/>
                <w:b/>
                <w:bCs/>
                <w:color w:val="FFFFFF" w:themeColor="background1"/>
                <w:sz w:val="20"/>
              </w:rPr>
            </w:pPr>
            <w:r w:rsidRPr="005F120D">
              <w:rPr>
                <w:rFonts w:asciiTheme="minorHAnsi" w:hAnsiTheme="minorHAnsi" w:cstheme="minorHAnsi"/>
                <w:b/>
                <w:bCs/>
                <w:color w:val="FFFFFF" w:themeColor="background1"/>
                <w:sz w:val="20"/>
              </w:rPr>
              <w:t>Bangla</w:t>
            </w:r>
          </w:p>
        </w:tc>
        <w:tc>
          <w:tcPr>
            <w:tcW w:w="479" w:type="pct"/>
            <w:tcBorders>
              <w:bottom w:val="single" w:sz="4" w:space="0" w:color="auto"/>
            </w:tcBorders>
            <w:shd w:val="clear" w:color="auto" w:fill="4F6228" w:themeFill="accent3" w:themeFillShade="80"/>
            <w:noWrap/>
            <w:vAlign w:val="center"/>
            <w:hideMark/>
          </w:tcPr>
          <w:p w:rsidR="00237A83" w:rsidRPr="005F120D" w:rsidRDefault="00237A83" w:rsidP="00C437AA">
            <w:pPr>
              <w:spacing w:after="0" w:line="276" w:lineRule="auto"/>
              <w:jc w:val="center"/>
              <w:rPr>
                <w:rFonts w:asciiTheme="minorHAnsi" w:hAnsiTheme="minorHAnsi" w:cstheme="minorHAnsi"/>
                <w:b/>
                <w:bCs/>
                <w:color w:val="FFFFFF" w:themeColor="background1"/>
                <w:sz w:val="20"/>
                <w:szCs w:val="18"/>
              </w:rPr>
            </w:pPr>
            <w:r w:rsidRPr="005F120D">
              <w:rPr>
                <w:rFonts w:asciiTheme="minorHAnsi" w:hAnsiTheme="minorHAnsi" w:cstheme="minorHAnsi"/>
                <w:b/>
                <w:bCs/>
                <w:color w:val="FFFFFF" w:themeColor="background1"/>
                <w:sz w:val="20"/>
                <w:szCs w:val="18"/>
              </w:rPr>
              <w:t>Math</w:t>
            </w:r>
          </w:p>
        </w:tc>
      </w:tr>
      <w:tr w:rsidR="00C65FCA" w:rsidRPr="005F120D" w:rsidTr="00576200">
        <w:trPr>
          <w:trHeight w:hRule="exact" w:val="245"/>
          <w:jc w:val="center"/>
        </w:trPr>
        <w:tc>
          <w:tcPr>
            <w:tcW w:w="5000" w:type="pct"/>
            <w:gridSpan w:val="5"/>
            <w:shd w:val="clear" w:color="auto" w:fill="C2D69B" w:themeFill="accent3" w:themeFillTint="99"/>
            <w:noWrap/>
            <w:vAlign w:val="center"/>
          </w:tcPr>
          <w:p w:rsidR="00C65FCA" w:rsidRPr="005F120D" w:rsidRDefault="00C65FCA" w:rsidP="00C437AA">
            <w:pPr>
              <w:spacing w:after="0" w:line="276" w:lineRule="auto"/>
              <w:rPr>
                <w:rFonts w:asciiTheme="minorHAnsi" w:hAnsiTheme="minorHAnsi" w:cstheme="minorHAnsi"/>
                <w:b/>
                <w:bCs/>
                <w:sz w:val="20"/>
                <w:szCs w:val="18"/>
              </w:rPr>
            </w:pPr>
            <w:r w:rsidRPr="005F120D">
              <w:rPr>
                <w:rFonts w:asciiTheme="minorHAnsi" w:hAnsiTheme="minorHAnsi" w:cstheme="minorHAnsi"/>
                <w:b/>
                <w:bCs/>
                <w:sz w:val="20"/>
              </w:rPr>
              <w:t>School-related</w:t>
            </w:r>
            <w:r w:rsidR="003F16F0">
              <w:rPr>
                <w:rFonts w:asciiTheme="minorHAnsi" w:hAnsiTheme="minorHAnsi" w:cstheme="minorHAnsi"/>
                <w:b/>
                <w:bCs/>
                <w:sz w:val="20"/>
              </w:rPr>
              <w:t xml:space="preserve"> </w:t>
            </w:r>
            <w:r w:rsidRPr="005F120D">
              <w:rPr>
                <w:rFonts w:asciiTheme="minorHAnsi" w:hAnsiTheme="minorHAnsi" w:cstheme="minorHAnsi"/>
                <w:b/>
                <w:bCs/>
                <w:sz w:val="20"/>
              </w:rPr>
              <w:t>factors</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7"/>
              </w:numPr>
              <w:spacing w:after="0" w:line="276" w:lineRule="auto"/>
              <w:rPr>
                <w:rFonts w:asciiTheme="minorHAnsi" w:hAnsiTheme="minorHAnsi" w:cstheme="minorHAnsi"/>
                <w:sz w:val="20"/>
              </w:rPr>
            </w:pPr>
            <w:r w:rsidRPr="005F120D">
              <w:rPr>
                <w:rFonts w:asciiTheme="minorHAnsi" w:hAnsiTheme="minorHAnsi" w:cstheme="minorHAnsi"/>
                <w:sz w:val="20"/>
              </w:rPr>
              <w:t>Divisions</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bCs/>
                <w:sz w:val="24"/>
              </w:rPr>
            </w:pPr>
            <w:r w:rsidRPr="005F120D">
              <w:rPr>
                <w:rFonts w:asciiTheme="minorHAnsi" w:hAnsiTheme="minorHAnsi" w:cstheme="minorHAnsi"/>
                <w:b/>
                <w:bCs/>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bCs/>
                <w:sz w:val="24"/>
              </w:rPr>
            </w:pPr>
            <w:r w:rsidRPr="005F120D">
              <w:rPr>
                <w:rFonts w:asciiTheme="minorHAnsi" w:hAnsiTheme="minorHAnsi" w:cstheme="minorHAnsi"/>
                <w:b/>
                <w:bCs/>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bCs/>
                <w:sz w:val="24"/>
              </w:rPr>
            </w:pPr>
            <w:r w:rsidRPr="005F120D">
              <w:rPr>
                <w:rFonts w:asciiTheme="minorHAnsi" w:hAnsiTheme="minorHAnsi" w:cstheme="minorHAnsi"/>
                <w:b/>
                <w:bCs/>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bCs/>
                <w:sz w:val="24"/>
                <w:szCs w:val="18"/>
              </w:rPr>
            </w:pPr>
            <w:r w:rsidRPr="005F120D">
              <w:rPr>
                <w:rFonts w:asciiTheme="minorHAnsi" w:hAnsiTheme="minorHAnsi" w:cstheme="minorHAnsi"/>
                <w:b/>
                <w:bCs/>
                <w:sz w:val="24"/>
                <w:szCs w:val="18"/>
              </w:rPr>
              <w:t>+</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7"/>
              </w:numPr>
              <w:spacing w:after="0" w:line="276" w:lineRule="auto"/>
              <w:rPr>
                <w:rFonts w:asciiTheme="minorHAnsi" w:hAnsiTheme="minorHAnsi" w:cstheme="minorHAnsi"/>
                <w:sz w:val="20"/>
              </w:rPr>
            </w:pPr>
            <w:r w:rsidRPr="005F120D">
              <w:rPr>
                <w:rFonts w:asciiTheme="minorHAnsi" w:hAnsiTheme="minorHAnsi" w:cstheme="minorHAnsi"/>
                <w:sz w:val="20"/>
              </w:rPr>
              <w:t>Rural</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bCs/>
                <w:sz w:val="24"/>
              </w:rPr>
            </w:pPr>
            <w:r w:rsidRPr="005F120D">
              <w:rPr>
                <w:rFonts w:asciiTheme="minorHAnsi" w:hAnsiTheme="minorHAnsi" w:cstheme="minorHAnsi"/>
                <w:b/>
                <w:bCs/>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szCs w:val="18"/>
              </w:rPr>
            </w:pPr>
            <w:r w:rsidRPr="005F120D">
              <w:rPr>
                <w:rFonts w:asciiTheme="minorHAnsi" w:hAnsiTheme="minorHAnsi" w:cstheme="minorHAnsi"/>
                <w:b/>
                <w:sz w:val="24"/>
                <w:szCs w:val="18"/>
              </w:rPr>
              <w:t>+</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7"/>
              </w:numPr>
              <w:spacing w:after="0" w:line="276" w:lineRule="auto"/>
              <w:rPr>
                <w:rFonts w:asciiTheme="minorHAnsi" w:hAnsiTheme="minorHAnsi" w:cstheme="minorHAnsi"/>
                <w:sz w:val="20"/>
              </w:rPr>
            </w:pPr>
            <w:r w:rsidRPr="005F120D">
              <w:rPr>
                <w:rFonts w:asciiTheme="minorHAnsi" w:hAnsiTheme="minorHAnsi" w:cstheme="minorHAnsi"/>
                <w:sz w:val="20"/>
              </w:rPr>
              <w:t>GPS</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szCs w:val="18"/>
              </w:rPr>
            </w:pPr>
            <w:r w:rsidRPr="005F120D">
              <w:rPr>
                <w:rFonts w:asciiTheme="minorHAnsi" w:hAnsiTheme="minorHAnsi" w:cstheme="minorHAnsi"/>
                <w:b/>
                <w:sz w:val="24"/>
                <w:szCs w:val="18"/>
              </w:rPr>
              <w:t>+</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7"/>
              </w:numPr>
              <w:spacing w:after="0" w:line="276" w:lineRule="auto"/>
              <w:rPr>
                <w:rFonts w:asciiTheme="minorHAnsi" w:hAnsiTheme="minorHAnsi" w:cstheme="minorHAnsi"/>
                <w:sz w:val="20"/>
              </w:rPr>
            </w:pPr>
            <w:r w:rsidRPr="005F120D">
              <w:rPr>
                <w:rFonts w:asciiTheme="minorHAnsi" w:hAnsiTheme="minorHAnsi" w:cstheme="minorHAnsi"/>
                <w:sz w:val="20"/>
              </w:rPr>
              <w:t>PECE pass rate</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szCs w:val="18"/>
              </w:rPr>
            </w:pPr>
            <w:r w:rsidRPr="005F120D">
              <w:rPr>
                <w:rFonts w:asciiTheme="minorHAnsi" w:hAnsiTheme="minorHAnsi" w:cstheme="minorHAnsi"/>
                <w:b/>
                <w:sz w:val="24"/>
                <w:szCs w:val="18"/>
              </w:rPr>
              <w:t>+</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7"/>
              </w:numPr>
              <w:spacing w:after="0" w:line="276" w:lineRule="auto"/>
              <w:rPr>
                <w:rFonts w:asciiTheme="minorHAnsi" w:hAnsiTheme="minorHAnsi" w:cstheme="minorHAnsi"/>
                <w:sz w:val="20"/>
              </w:rPr>
            </w:pPr>
            <w:r w:rsidRPr="005F120D">
              <w:rPr>
                <w:rFonts w:asciiTheme="minorHAnsi" w:hAnsiTheme="minorHAnsi" w:cstheme="minorHAnsi"/>
                <w:sz w:val="20"/>
              </w:rPr>
              <w:t>Class size</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7"/>
              </w:numPr>
              <w:spacing w:after="0" w:line="276" w:lineRule="auto"/>
              <w:rPr>
                <w:rFonts w:asciiTheme="minorHAnsi" w:hAnsiTheme="minorHAnsi" w:cstheme="minorHAnsi"/>
                <w:sz w:val="20"/>
              </w:rPr>
            </w:pPr>
            <w:r w:rsidRPr="005F120D">
              <w:rPr>
                <w:rFonts w:asciiTheme="minorHAnsi" w:hAnsiTheme="minorHAnsi" w:cstheme="minorHAnsi"/>
                <w:sz w:val="20"/>
              </w:rPr>
              <w:t>Primary Education Stipend</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r>
      <w:tr w:rsidR="009E6F54" w:rsidRPr="005F120D" w:rsidTr="00576200">
        <w:trPr>
          <w:trHeight w:hRule="exact" w:val="245"/>
          <w:jc w:val="center"/>
        </w:trPr>
        <w:tc>
          <w:tcPr>
            <w:tcW w:w="2921" w:type="pct"/>
            <w:tcBorders>
              <w:bottom w:val="single" w:sz="4" w:space="0" w:color="auto"/>
            </w:tcBorders>
            <w:shd w:val="clear" w:color="auto" w:fill="auto"/>
            <w:noWrap/>
            <w:vAlign w:val="center"/>
            <w:hideMark/>
          </w:tcPr>
          <w:p w:rsidR="009E6F54" w:rsidRPr="005F120D" w:rsidRDefault="009E6F54" w:rsidP="00C437AA">
            <w:pPr>
              <w:pStyle w:val="ListParagraph"/>
              <w:numPr>
                <w:ilvl w:val="0"/>
                <w:numId w:val="27"/>
              </w:numPr>
              <w:spacing w:after="0" w:line="276" w:lineRule="auto"/>
              <w:rPr>
                <w:rFonts w:asciiTheme="minorHAnsi" w:hAnsiTheme="minorHAnsi" w:cstheme="minorHAnsi"/>
                <w:sz w:val="20"/>
              </w:rPr>
            </w:pPr>
            <w:r w:rsidRPr="005F120D">
              <w:rPr>
                <w:rFonts w:asciiTheme="minorHAnsi" w:hAnsiTheme="minorHAnsi" w:cstheme="minorHAnsi"/>
                <w:sz w:val="20"/>
              </w:rPr>
              <w:t>Program (PESP) school</w:t>
            </w:r>
          </w:p>
        </w:tc>
        <w:tc>
          <w:tcPr>
            <w:tcW w:w="575" w:type="pct"/>
            <w:tcBorders>
              <w:bottom w:val="single" w:sz="4" w:space="0" w:color="auto"/>
            </w:tcBorders>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tcBorders>
              <w:bottom w:val="single" w:sz="4" w:space="0" w:color="auto"/>
            </w:tcBorders>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tcBorders>
              <w:bottom w:val="single" w:sz="4" w:space="0" w:color="auto"/>
            </w:tcBorders>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tcBorders>
              <w:bottom w:val="single" w:sz="4" w:space="0" w:color="auto"/>
            </w:tcBorders>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szCs w:val="18"/>
              </w:rPr>
            </w:pPr>
            <w:r w:rsidRPr="005F120D">
              <w:rPr>
                <w:rFonts w:asciiTheme="minorHAnsi" w:hAnsiTheme="minorHAnsi" w:cstheme="minorHAnsi"/>
                <w:b/>
                <w:sz w:val="24"/>
                <w:szCs w:val="18"/>
              </w:rPr>
              <w:t>-</w:t>
            </w:r>
          </w:p>
        </w:tc>
      </w:tr>
      <w:tr w:rsidR="00C65FCA" w:rsidRPr="005F120D" w:rsidTr="00576200">
        <w:trPr>
          <w:trHeight w:hRule="exact" w:val="245"/>
          <w:jc w:val="center"/>
        </w:trPr>
        <w:tc>
          <w:tcPr>
            <w:tcW w:w="5000" w:type="pct"/>
            <w:gridSpan w:val="5"/>
            <w:shd w:val="clear" w:color="auto" w:fill="C2D69B" w:themeFill="accent3" w:themeFillTint="99"/>
            <w:noWrap/>
            <w:vAlign w:val="center"/>
            <w:hideMark/>
          </w:tcPr>
          <w:p w:rsidR="00C65FCA" w:rsidRPr="005F120D" w:rsidRDefault="00C65FCA" w:rsidP="00C437AA">
            <w:pPr>
              <w:spacing w:after="0" w:line="276" w:lineRule="auto"/>
              <w:rPr>
                <w:rFonts w:asciiTheme="minorHAnsi" w:hAnsiTheme="minorHAnsi" w:cstheme="minorHAnsi"/>
                <w:b/>
                <w:sz w:val="24"/>
              </w:rPr>
            </w:pPr>
            <w:r w:rsidRPr="005F120D">
              <w:rPr>
                <w:rFonts w:asciiTheme="minorHAnsi" w:hAnsiTheme="minorHAnsi" w:cstheme="minorHAnsi"/>
                <w:b/>
                <w:bCs/>
                <w:sz w:val="20"/>
              </w:rPr>
              <w:t>Teacher-related</w:t>
            </w:r>
            <w:r w:rsidR="003F16F0">
              <w:rPr>
                <w:rFonts w:asciiTheme="minorHAnsi" w:hAnsiTheme="minorHAnsi" w:cstheme="minorHAnsi"/>
                <w:b/>
                <w:bCs/>
                <w:sz w:val="20"/>
              </w:rPr>
              <w:t xml:space="preserve"> </w:t>
            </w:r>
            <w:r w:rsidRPr="005F120D">
              <w:rPr>
                <w:rFonts w:asciiTheme="minorHAnsi" w:hAnsiTheme="minorHAnsi" w:cstheme="minorHAnsi"/>
                <w:b/>
                <w:bCs/>
                <w:sz w:val="20"/>
              </w:rPr>
              <w:t>factors</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Teacher experience</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Subject training</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szCs w:val="18"/>
              </w:rPr>
            </w:pPr>
            <w:r w:rsidRPr="005F120D">
              <w:rPr>
                <w:rFonts w:asciiTheme="minorHAnsi" w:hAnsiTheme="minorHAnsi" w:cstheme="minorHAnsi"/>
                <w:b/>
                <w:sz w:val="24"/>
                <w:szCs w:val="18"/>
              </w:rPr>
              <w:t>+</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Teacher qualification: HSC</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Teacher qualification: Bachelor</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szCs w:val="18"/>
              </w:rPr>
            </w:pPr>
            <w:r w:rsidRPr="005F120D">
              <w:rPr>
                <w:rFonts w:asciiTheme="minorHAnsi" w:hAnsiTheme="minorHAnsi" w:cstheme="minorHAnsi"/>
                <w:b/>
                <w:sz w:val="24"/>
                <w:szCs w:val="18"/>
              </w:rPr>
              <w:t>-</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Teacher qualification: Master+</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r>
      <w:tr w:rsidR="009E6F54" w:rsidRPr="005F120D" w:rsidTr="00576200">
        <w:trPr>
          <w:trHeight w:hRule="exact" w:val="245"/>
          <w:jc w:val="center"/>
        </w:trPr>
        <w:tc>
          <w:tcPr>
            <w:tcW w:w="2921" w:type="pct"/>
            <w:tcBorders>
              <w:bottom w:val="single" w:sz="4" w:space="0" w:color="auto"/>
            </w:tcBorders>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Use teaching and learning materials (TLMs)</w:t>
            </w:r>
          </w:p>
        </w:tc>
        <w:tc>
          <w:tcPr>
            <w:tcW w:w="575" w:type="pct"/>
            <w:tcBorders>
              <w:bottom w:val="single" w:sz="4" w:space="0" w:color="auto"/>
            </w:tcBorders>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tcBorders>
              <w:bottom w:val="single" w:sz="4" w:space="0" w:color="auto"/>
            </w:tcBorders>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tcBorders>
              <w:bottom w:val="single" w:sz="4" w:space="0" w:color="auto"/>
            </w:tcBorders>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tcBorders>
              <w:bottom w:val="single" w:sz="4" w:space="0" w:color="auto"/>
            </w:tcBorders>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szCs w:val="18"/>
              </w:rPr>
            </w:pPr>
            <w:r w:rsidRPr="005F120D">
              <w:rPr>
                <w:rFonts w:asciiTheme="minorHAnsi" w:hAnsiTheme="minorHAnsi" w:cstheme="minorHAnsi"/>
                <w:b/>
                <w:sz w:val="24"/>
                <w:szCs w:val="18"/>
              </w:rPr>
              <w:t>+</w:t>
            </w:r>
          </w:p>
        </w:tc>
      </w:tr>
      <w:tr w:rsidR="00C65FCA" w:rsidRPr="005F120D" w:rsidTr="00576200">
        <w:trPr>
          <w:trHeight w:hRule="exact" w:val="245"/>
          <w:jc w:val="center"/>
        </w:trPr>
        <w:tc>
          <w:tcPr>
            <w:tcW w:w="5000" w:type="pct"/>
            <w:gridSpan w:val="5"/>
            <w:shd w:val="clear" w:color="auto" w:fill="C2D69B" w:themeFill="accent3" w:themeFillTint="99"/>
            <w:noWrap/>
            <w:vAlign w:val="center"/>
            <w:hideMark/>
          </w:tcPr>
          <w:p w:rsidR="00C65FCA" w:rsidRPr="005F120D" w:rsidRDefault="00C65FCA" w:rsidP="00C437AA">
            <w:pPr>
              <w:spacing w:after="0" w:line="276" w:lineRule="auto"/>
              <w:rPr>
                <w:rFonts w:asciiTheme="minorHAnsi" w:hAnsiTheme="minorHAnsi" w:cstheme="minorHAnsi"/>
                <w:b/>
                <w:sz w:val="24"/>
              </w:rPr>
            </w:pPr>
            <w:r w:rsidRPr="005F120D">
              <w:rPr>
                <w:rFonts w:asciiTheme="minorHAnsi" w:hAnsiTheme="minorHAnsi" w:cstheme="minorHAnsi"/>
                <w:b/>
                <w:bCs/>
                <w:sz w:val="20"/>
              </w:rPr>
              <w:t>Student</w:t>
            </w:r>
            <w:r w:rsidR="003F16F0">
              <w:rPr>
                <w:rFonts w:asciiTheme="minorHAnsi" w:hAnsiTheme="minorHAnsi" w:cstheme="minorHAnsi"/>
                <w:b/>
                <w:bCs/>
                <w:sz w:val="20"/>
              </w:rPr>
              <w:t xml:space="preserve"> </w:t>
            </w:r>
            <w:r w:rsidRPr="005F120D">
              <w:rPr>
                <w:rFonts w:asciiTheme="minorHAnsi" w:hAnsiTheme="minorHAnsi" w:cstheme="minorHAnsi"/>
                <w:b/>
                <w:bCs/>
                <w:sz w:val="20"/>
              </w:rPr>
              <w:t>and</w:t>
            </w:r>
            <w:r w:rsidR="003F16F0">
              <w:rPr>
                <w:rFonts w:asciiTheme="minorHAnsi" w:hAnsiTheme="minorHAnsi" w:cstheme="minorHAnsi"/>
                <w:b/>
                <w:bCs/>
                <w:sz w:val="20"/>
              </w:rPr>
              <w:t xml:space="preserve"> </w:t>
            </w:r>
            <w:r w:rsidRPr="005F120D">
              <w:rPr>
                <w:rFonts w:asciiTheme="minorHAnsi" w:hAnsiTheme="minorHAnsi" w:cstheme="minorHAnsi"/>
                <w:b/>
                <w:bCs/>
                <w:sz w:val="20"/>
              </w:rPr>
              <w:t>household</w:t>
            </w:r>
            <w:r w:rsidR="003F16F0">
              <w:rPr>
                <w:rFonts w:asciiTheme="minorHAnsi" w:hAnsiTheme="minorHAnsi" w:cstheme="minorHAnsi"/>
                <w:b/>
                <w:bCs/>
                <w:sz w:val="20"/>
              </w:rPr>
              <w:t xml:space="preserve"> </w:t>
            </w:r>
            <w:r w:rsidRPr="005F120D">
              <w:rPr>
                <w:rFonts w:asciiTheme="minorHAnsi" w:hAnsiTheme="minorHAnsi" w:cstheme="minorHAnsi"/>
                <w:b/>
                <w:bCs/>
                <w:sz w:val="20"/>
              </w:rPr>
              <w:t>factors</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Age</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Female</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Repetition</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Father's education</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Mother's education</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szCs w:val="18"/>
              </w:rPr>
            </w:pPr>
            <w:r w:rsidRPr="005F120D">
              <w:rPr>
                <w:rFonts w:asciiTheme="minorHAnsi" w:hAnsiTheme="minorHAnsi" w:cstheme="minorHAnsi"/>
                <w:b/>
                <w:sz w:val="24"/>
                <w:szCs w:val="18"/>
              </w:rPr>
              <w:t>+</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Books at home</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szCs w:val="18"/>
              </w:rPr>
            </w:pPr>
            <w:r w:rsidRPr="005F120D">
              <w:rPr>
                <w:rFonts w:asciiTheme="minorHAnsi" w:hAnsiTheme="minorHAnsi" w:cstheme="minorHAnsi"/>
                <w:b/>
                <w:sz w:val="24"/>
                <w:szCs w:val="18"/>
              </w:rPr>
              <w:t>+</w:t>
            </w: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Wealth index</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p>
        </w:tc>
      </w:tr>
      <w:tr w:rsidR="009E6F54" w:rsidRPr="005F120D" w:rsidTr="00576200">
        <w:trPr>
          <w:trHeight w:hRule="exact" w:val="245"/>
          <w:jc w:val="center"/>
        </w:trPr>
        <w:tc>
          <w:tcPr>
            <w:tcW w:w="2921" w:type="pct"/>
            <w:shd w:val="clear" w:color="auto" w:fill="auto"/>
            <w:noWrap/>
            <w:vAlign w:val="center"/>
            <w:hideMark/>
          </w:tcPr>
          <w:p w:rsidR="009E6F54" w:rsidRPr="005F120D" w:rsidRDefault="009E6F54" w:rsidP="00C437AA">
            <w:pPr>
              <w:pStyle w:val="ListParagraph"/>
              <w:numPr>
                <w:ilvl w:val="0"/>
                <w:numId w:val="28"/>
              </w:numPr>
              <w:spacing w:after="0" w:line="276" w:lineRule="auto"/>
              <w:rPr>
                <w:rFonts w:asciiTheme="minorHAnsi" w:hAnsiTheme="minorHAnsi" w:cstheme="minorHAnsi"/>
                <w:sz w:val="20"/>
              </w:rPr>
            </w:pPr>
            <w:r w:rsidRPr="005F120D">
              <w:rPr>
                <w:rFonts w:asciiTheme="minorHAnsi" w:hAnsiTheme="minorHAnsi" w:cstheme="minorHAnsi"/>
                <w:sz w:val="20"/>
              </w:rPr>
              <w:t>Number of days absent</w:t>
            </w:r>
          </w:p>
        </w:tc>
        <w:tc>
          <w:tcPr>
            <w:tcW w:w="575"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546"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rPr>
            </w:pPr>
            <w:r w:rsidRPr="005F120D">
              <w:rPr>
                <w:rFonts w:asciiTheme="minorHAnsi" w:hAnsiTheme="minorHAnsi" w:cstheme="minorHAnsi"/>
                <w:b/>
                <w:sz w:val="24"/>
              </w:rPr>
              <w:t>-</w:t>
            </w:r>
          </w:p>
        </w:tc>
        <w:tc>
          <w:tcPr>
            <w:tcW w:w="479" w:type="pct"/>
            <w:shd w:val="clear" w:color="auto" w:fill="auto"/>
            <w:noWrap/>
            <w:vAlign w:val="center"/>
            <w:hideMark/>
          </w:tcPr>
          <w:p w:rsidR="009E6F54" w:rsidRPr="005F120D" w:rsidRDefault="009E6F54" w:rsidP="00C437AA">
            <w:pPr>
              <w:spacing w:after="0" w:line="276" w:lineRule="auto"/>
              <w:jc w:val="center"/>
              <w:rPr>
                <w:rFonts w:asciiTheme="minorHAnsi" w:hAnsiTheme="minorHAnsi" w:cstheme="minorHAnsi"/>
                <w:b/>
                <w:sz w:val="24"/>
                <w:szCs w:val="18"/>
              </w:rPr>
            </w:pPr>
            <w:r w:rsidRPr="005F120D">
              <w:rPr>
                <w:rFonts w:asciiTheme="minorHAnsi" w:hAnsiTheme="minorHAnsi" w:cstheme="minorHAnsi"/>
                <w:b/>
                <w:sz w:val="24"/>
                <w:szCs w:val="18"/>
              </w:rPr>
              <w:t>-</w:t>
            </w:r>
          </w:p>
        </w:tc>
      </w:tr>
    </w:tbl>
    <w:p w:rsidR="002D7B91" w:rsidRPr="005F120D" w:rsidRDefault="00237A83" w:rsidP="00C437AA">
      <w:pPr>
        <w:pStyle w:val="NoSpacing"/>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Sour</w:t>
      </w:r>
      <w:r w:rsidR="008111DD" w:rsidRPr="005F120D">
        <w:rPr>
          <w:rFonts w:asciiTheme="minorHAnsi" w:hAnsiTheme="minorHAnsi" w:cstheme="minorHAnsi"/>
          <w:b/>
          <w:i/>
          <w:sz w:val="16"/>
          <w:szCs w:val="16"/>
        </w:rPr>
        <w:t>ce:  World Bank “Seeding Fertile</w:t>
      </w:r>
      <w:r w:rsidRPr="005F120D">
        <w:rPr>
          <w:rFonts w:asciiTheme="minorHAnsi" w:hAnsiTheme="minorHAnsi" w:cstheme="minorHAnsi"/>
          <w:b/>
          <w:i/>
          <w:sz w:val="16"/>
          <w:szCs w:val="16"/>
        </w:rPr>
        <w:t xml:space="preserve"> Ground: Education That Works for Bangladesh” 2014</w:t>
      </w:r>
    </w:p>
    <w:p w:rsidR="00237A83" w:rsidRPr="005F120D" w:rsidRDefault="00237A83" w:rsidP="00C437AA">
      <w:pPr>
        <w:pStyle w:val="NoSpacing"/>
        <w:spacing w:after="240" w:line="276" w:lineRule="auto"/>
        <w:rPr>
          <w:rFonts w:asciiTheme="minorHAnsi" w:hAnsiTheme="minorHAnsi" w:cstheme="minorHAnsi"/>
          <w:b/>
          <w:sz w:val="16"/>
          <w:szCs w:val="16"/>
          <w:lang w:eastAsia="ja-JP"/>
        </w:rPr>
      </w:pPr>
      <w:r w:rsidRPr="005F120D">
        <w:rPr>
          <w:rFonts w:asciiTheme="minorHAnsi" w:hAnsiTheme="minorHAnsi" w:cstheme="minorHAnsi"/>
          <w:b/>
          <w:sz w:val="16"/>
          <w:szCs w:val="16"/>
          <w:lang w:eastAsia="ja-JP"/>
        </w:rPr>
        <w:t>Note: “+” indicates positive correlation; “-” indicates negative correlation.</w:t>
      </w:r>
    </w:p>
    <w:p w:rsidR="0031358F" w:rsidRPr="005F120D" w:rsidRDefault="0031358F" w:rsidP="004E172D">
      <w:pPr>
        <w:spacing w:line="276" w:lineRule="auto"/>
        <w:jc w:val="both"/>
        <w:rPr>
          <w:rFonts w:asciiTheme="minorHAnsi" w:hAnsiTheme="minorHAnsi" w:cstheme="minorHAnsi"/>
        </w:rPr>
      </w:pPr>
      <w:r w:rsidRPr="005F120D">
        <w:rPr>
          <w:rFonts w:asciiTheme="minorHAnsi" w:hAnsiTheme="minorHAnsi" w:cstheme="minorHAnsi"/>
        </w:rPr>
        <w:t>With regard to teacher t</w:t>
      </w:r>
      <w:r w:rsidR="004C7443" w:rsidRPr="005F120D">
        <w:rPr>
          <w:rFonts w:asciiTheme="minorHAnsi" w:hAnsiTheme="minorHAnsi" w:cstheme="minorHAnsi"/>
        </w:rPr>
        <w:t>raining, positive correlation was</w:t>
      </w:r>
      <w:r w:rsidRPr="005F120D">
        <w:rPr>
          <w:rFonts w:asciiTheme="minorHAnsi" w:hAnsiTheme="minorHAnsi" w:cstheme="minorHAnsi"/>
        </w:rPr>
        <w:t xml:space="preserve"> found only in s</w:t>
      </w:r>
      <w:r w:rsidR="004C7443" w:rsidRPr="005F120D">
        <w:rPr>
          <w:rFonts w:asciiTheme="minorHAnsi" w:hAnsiTheme="minorHAnsi" w:cstheme="minorHAnsi"/>
        </w:rPr>
        <w:t>ubject-based training.  There was</w:t>
      </w:r>
      <w:r w:rsidRPr="005F120D">
        <w:rPr>
          <w:rFonts w:asciiTheme="minorHAnsi" w:hAnsiTheme="minorHAnsi" w:cstheme="minorHAnsi"/>
        </w:rPr>
        <w:t xml:space="preserve"> no statistically significant impact on student achievements for Certificate-in-Education (C-in-Ed) training. Hence, it is worth closely monitoring, during its early phase of national implementation, the impact of the new Diploma-in-Education (DPEd) program, which will </w:t>
      </w:r>
      <w:r w:rsidR="00570223" w:rsidRPr="005F120D">
        <w:rPr>
          <w:rFonts w:asciiTheme="minorHAnsi" w:hAnsiTheme="minorHAnsi" w:cstheme="minorHAnsi"/>
        </w:rPr>
        <w:t>replace</w:t>
      </w:r>
      <w:r w:rsidRPr="005F120D">
        <w:rPr>
          <w:rFonts w:asciiTheme="minorHAnsi" w:hAnsiTheme="minorHAnsi" w:cstheme="minorHAnsi"/>
        </w:rPr>
        <w:t xml:space="preserve"> the C-in-Ed </w:t>
      </w:r>
    </w:p>
    <w:p w:rsidR="004E172D" w:rsidRPr="005F120D" w:rsidRDefault="0031358F" w:rsidP="002B788C">
      <w:pPr>
        <w:spacing w:before="120" w:after="120" w:line="276" w:lineRule="auto"/>
        <w:jc w:val="both"/>
        <w:rPr>
          <w:rFonts w:asciiTheme="minorHAnsi" w:hAnsiTheme="minorHAnsi" w:cstheme="minorHAnsi"/>
        </w:rPr>
      </w:pPr>
      <w:r w:rsidRPr="005F120D">
        <w:rPr>
          <w:rFonts w:asciiTheme="minorHAnsi" w:hAnsiTheme="minorHAnsi" w:cstheme="minorHAnsi"/>
        </w:rPr>
        <w:t>Lastly, “Time on Task” affects s</w:t>
      </w:r>
      <w:r w:rsidR="004C7443" w:rsidRPr="005F120D">
        <w:rPr>
          <w:rFonts w:asciiTheme="minorHAnsi" w:hAnsiTheme="minorHAnsi" w:cstheme="minorHAnsi"/>
        </w:rPr>
        <w:t xml:space="preserve">tudent achievement.  There was </w:t>
      </w:r>
      <w:r w:rsidRPr="005F120D">
        <w:rPr>
          <w:rFonts w:asciiTheme="minorHAnsi" w:hAnsiTheme="minorHAnsi" w:cstheme="minorHAnsi"/>
        </w:rPr>
        <w:t>strong correlation between the number of days of student absence and their poor performance at the test.  For example, in the month of November 2011, 8 percent of primary school students were absent from school for more than six days within the month, and their performance was markedly lower on PECE when c</w:t>
      </w:r>
      <w:r w:rsidR="004C7443" w:rsidRPr="005F120D">
        <w:rPr>
          <w:rFonts w:asciiTheme="minorHAnsi" w:hAnsiTheme="minorHAnsi" w:cstheme="minorHAnsi"/>
        </w:rPr>
        <w:t>ompared to students who had not been</w:t>
      </w:r>
      <w:r w:rsidRPr="005F120D">
        <w:rPr>
          <w:rFonts w:asciiTheme="minorHAnsi" w:hAnsiTheme="minorHAnsi" w:cstheme="minorHAnsi"/>
        </w:rPr>
        <w:t xml:space="preserve"> absent.</w:t>
      </w:r>
    </w:p>
    <w:p w:rsidR="000E47F0" w:rsidRPr="005F120D" w:rsidRDefault="00D51ED3" w:rsidP="004E77B3">
      <w:pPr>
        <w:pStyle w:val="Heading3"/>
      </w:pPr>
      <w:bookmarkStart w:id="265" w:name="_Toc302835151"/>
      <w:r w:rsidRPr="005F120D">
        <w:lastRenderedPageBreak/>
        <w:t xml:space="preserve">2014 </w:t>
      </w:r>
      <w:bookmarkEnd w:id="265"/>
      <w:r w:rsidRPr="005F120D">
        <w:t>CAMPE SURVEY</w:t>
      </w:r>
    </w:p>
    <w:p w:rsidR="00071B7E" w:rsidRPr="005F120D" w:rsidRDefault="0031358F" w:rsidP="00CA6367">
      <w:pPr>
        <w:pStyle w:val="BodyText1"/>
        <w:spacing w:after="120"/>
        <w:jc w:val="both"/>
        <w:rPr>
          <w:rFonts w:asciiTheme="minorHAnsi" w:hAnsiTheme="minorHAnsi" w:cstheme="minorHAnsi"/>
          <w:b w:val="0"/>
        </w:rPr>
      </w:pPr>
      <w:r w:rsidRPr="005F120D">
        <w:rPr>
          <w:rFonts w:asciiTheme="minorHAnsi" w:hAnsiTheme="minorHAnsi" w:cstheme="minorHAnsi"/>
          <w:b w:val="0"/>
        </w:rPr>
        <w:t>Unlike the NSA, the 2015 Edu</w:t>
      </w:r>
      <w:r w:rsidR="004C7443" w:rsidRPr="005F120D">
        <w:rPr>
          <w:rFonts w:asciiTheme="minorHAnsi" w:hAnsiTheme="minorHAnsi" w:cstheme="minorHAnsi"/>
          <w:b w:val="0"/>
        </w:rPr>
        <w:t>cation Watch CAMPE survey</w:t>
      </w:r>
      <w:r w:rsidRPr="005F120D">
        <w:rPr>
          <w:rFonts w:asciiTheme="minorHAnsi" w:hAnsiTheme="minorHAnsi" w:cstheme="minorHAnsi"/>
          <w:b w:val="0"/>
        </w:rPr>
        <w:t xml:space="preserve"> established a long-term trend in achievement of Grade 5 students because it used exactly the same tests that had been used in the 2000 and 2008 Education Watch CAMPE surveys. As only very small changes have been noticed in the 27 (out of 50) terminal competencies through 64 items under assessment, the instrument was not modified precisely in order to enable learning achievement to be compared between 2000, 2008 and 2014. The test was administered to more than 2,509 Grade 5 students in 186 schools</w:t>
      </w:r>
      <w:r w:rsidR="004C7443" w:rsidRPr="005F120D">
        <w:rPr>
          <w:rFonts w:asciiTheme="minorHAnsi" w:hAnsiTheme="minorHAnsi" w:cstheme="minorHAnsi"/>
          <w:b w:val="0"/>
        </w:rPr>
        <w:t xml:space="preserve"> in 2000</w:t>
      </w:r>
      <w:r w:rsidRPr="005F120D">
        <w:rPr>
          <w:rFonts w:asciiTheme="minorHAnsi" w:hAnsiTheme="minorHAnsi" w:cstheme="minorHAnsi"/>
          <w:b w:val="0"/>
        </w:rPr>
        <w:t>; 7,093 Grade 5 students in 440 schools in 2008; and 5,375 Grade 5 students in 309 schools in 2014. Figure 3.3 shows the key results. The mai</w:t>
      </w:r>
      <w:r w:rsidR="004C7443" w:rsidRPr="005F120D">
        <w:rPr>
          <w:rFonts w:asciiTheme="minorHAnsi" w:hAnsiTheme="minorHAnsi" w:cstheme="minorHAnsi"/>
          <w:b w:val="0"/>
        </w:rPr>
        <w:t>n finding is that there was</w:t>
      </w:r>
      <w:r w:rsidRPr="005F120D">
        <w:rPr>
          <w:rFonts w:asciiTheme="minorHAnsi" w:hAnsiTheme="minorHAnsi" w:cstheme="minorHAnsi"/>
          <w:b w:val="0"/>
        </w:rPr>
        <w:t xml:space="preserve"> a small but significant improvement in the mean number o</w:t>
      </w:r>
      <w:r w:rsidR="004E125D" w:rsidRPr="005F120D">
        <w:rPr>
          <w:rFonts w:asciiTheme="minorHAnsi" w:hAnsiTheme="minorHAnsi" w:cstheme="minorHAnsi"/>
          <w:b w:val="0"/>
        </w:rPr>
        <w:t xml:space="preserve">f competencies achieved between </w:t>
      </w:r>
      <w:r w:rsidRPr="005F120D">
        <w:rPr>
          <w:rFonts w:asciiTheme="minorHAnsi" w:hAnsiTheme="minorHAnsi" w:cstheme="minorHAnsi"/>
          <w:b w:val="0"/>
        </w:rPr>
        <w:t>2000</w:t>
      </w:r>
      <w:r w:rsidR="004E125D" w:rsidRPr="005F120D">
        <w:rPr>
          <w:rFonts w:asciiTheme="minorHAnsi" w:hAnsiTheme="minorHAnsi" w:cstheme="minorHAnsi"/>
          <w:b w:val="0"/>
        </w:rPr>
        <w:t xml:space="preserve"> and </w:t>
      </w:r>
      <w:r w:rsidRPr="005F120D">
        <w:rPr>
          <w:rFonts w:asciiTheme="minorHAnsi" w:hAnsiTheme="minorHAnsi" w:cstheme="minorHAnsi"/>
          <w:b w:val="0"/>
        </w:rPr>
        <w:t>2014 (16.1 or 59.6% in 2000; 20.1 or 67% in 2008; and 20.1 or 74.4% in 2014).</w:t>
      </w:r>
    </w:p>
    <w:p w:rsidR="004E125D" w:rsidRPr="005F120D" w:rsidRDefault="004C7443" w:rsidP="00CA6367">
      <w:pPr>
        <w:spacing w:after="0" w:line="276" w:lineRule="auto"/>
        <w:jc w:val="both"/>
        <w:rPr>
          <w:rFonts w:asciiTheme="minorHAnsi" w:hAnsiTheme="minorHAnsi" w:cstheme="minorHAnsi"/>
          <w:szCs w:val="22"/>
        </w:rPr>
      </w:pPr>
      <w:r w:rsidRPr="005F120D">
        <w:rPr>
          <w:rFonts w:asciiTheme="minorHAnsi" w:hAnsiTheme="minorHAnsi" w:cstheme="minorHAnsi"/>
          <w:szCs w:val="22"/>
        </w:rPr>
        <w:t>Mean is not good statistically in comparing</w:t>
      </w:r>
      <w:r w:rsidR="004E125D" w:rsidRPr="005F120D">
        <w:rPr>
          <w:rFonts w:asciiTheme="minorHAnsi" w:hAnsiTheme="minorHAnsi" w:cstheme="minorHAnsi"/>
          <w:szCs w:val="22"/>
        </w:rPr>
        <w:t xml:space="preserve"> student le</w:t>
      </w:r>
      <w:r w:rsidRPr="005F120D">
        <w:rPr>
          <w:rFonts w:asciiTheme="minorHAnsi" w:hAnsiTheme="minorHAnsi" w:cstheme="minorHAnsi"/>
          <w:szCs w:val="22"/>
        </w:rPr>
        <w:t>arning achievement. A better method</w:t>
      </w:r>
      <w:r w:rsidR="004E125D" w:rsidRPr="005F120D">
        <w:rPr>
          <w:rFonts w:asciiTheme="minorHAnsi" w:hAnsiTheme="minorHAnsi" w:cstheme="minorHAnsi"/>
          <w:szCs w:val="22"/>
        </w:rPr>
        <w:t xml:space="preserve"> of comparison is to transform their mean achievement into percentage form. Subjec</w:t>
      </w:r>
      <w:r w:rsidRPr="005F120D">
        <w:rPr>
          <w:rFonts w:asciiTheme="minorHAnsi" w:hAnsiTheme="minorHAnsi" w:cstheme="minorHAnsi"/>
          <w:szCs w:val="22"/>
        </w:rPr>
        <w:t>t-wise analysis showed that the G</w:t>
      </w:r>
      <w:r w:rsidR="004E125D" w:rsidRPr="005F120D">
        <w:rPr>
          <w:rFonts w:asciiTheme="minorHAnsi" w:hAnsiTheme="minorHAnsi" w:cstheme="minorHAnsi"/>
          <w:szCs w:val="22"/>
        </w:rPr>
        <w:t xml:space="preserve">rade 5 </w:t>
      </w:r>
      <w:r w:rsidRPr="005F120D">
        <w:rPr>
          <w:rFonts w:asciiTheme="minorHAnsi" w:hAnsiTheme="minorHAnsi" w:cstheme="minorHAnsi"/>
          <w:szCs w:val="22"/>
        </w:rPr>
        <w:t xml:space="preserve">students </w:t>
      </w:r>
      <w:r w:rsidR="004E125D" w:rsidRPr="005F120D">
        <w:rPr>
          <w:rFonts w:asciiTheme="minorHAnsi" w:hAnsiTheme="minorHAnsi" w:cstheme="minorHAnsi"/>
          <w:szCs w:val="22"/>
        </w:rPr>
        <w:t>of 2014, on average achieved</w:t>
      </w:r>
      <w:r w:rsidR="00025F07" w:rsidRPr="005F120D">
        <w:rPr>
          <w:rFonts w:asciiTheme="minorHAnsi" w:hAnsiTheme="minorHAnsi" w:cstheme="minorHAnsi"/>
          <w:szCs w:val="22"/>
        </w:rPr>
        <w:t xml:space="preserve"> a</w:t>
      </w:r>
      <w:r w:rsidR="004E125D" w:rsidRPr="005F120D">
        <w:rPr>
          <w:rFonts w:asciiTheme="minorHAnsi" w:hAnsiTheme="minorHAnsi" w:cstheme="minorHAnsi"/>
          <w:szCs w:val="22"/>
        </w:rPr>
        <w:t xml:space="preserve"> learning achievement in Bangla </w:t>
      </w:r>
      <w:r w:rsidR="00025F07" w:rsidRPr="005F120D">
        <w:rPr>
          <w:rFonts w:asciiTheme="minorHAnsi" w:hAnsiTheme="minorHAnsi" w:cstheme="minorHAnsi"/>
          <w:szCs w:val="22"/>
        </w:rPr>
        <w:t xml:space="preserve">of </w:t>
      </w:r>
      <w:r w:rsidR="004E125D" w:rsidRPr="005F120D">
        <w:rPr>
          <w:rFonts w:asciiTheme="minorHAnsi" w:hAnsiTheme="minorHAnsi" w:cstheme="minorHAnsi"/>
          <w:szCs w:val="22"/>
        </w:rPr>
        <w:t>73.7% (boys 70.7% and girls 76.3%)</w:t>
      </w:r>
      <w:r w:rsidR="00025F07" w:rsidRPr="005F120D">
        <w:rPr>
          <w:rFonts w:asciiTheme="minorHAnsi" w:hAnsiTheme="minorHAnsi" w:cstheme="minorHAnsi"/>
          <w:szCs w:val="22"/>
        </w:rPr>
        <w:t>,</w:t>
      </w:r>
      <w:r w:rsidR="004E125D" w:rsidRPr="005F120D">
        <w:rPr>
          <w:rFonts w:asciiTheme="minorHAnsi" w:hAnsiTheme="minorHAnsi" w:cstheme="minorHAnsi"/>
          <w:szCs w:val="22"/>
        </w:rPr>
        <w:t xml:space="preserve"> and </w:t>
      </w:r>
      <w:r w:rsidR="00025F07" w:rsidRPr="005F120D">
        <w:rPr>
          <w:rFonts w:asciiTheme="minorHAnsi" w:hAnsiTheme="minorHAnsi" w:cstheme="minorHAnsi"/>
          <w:szCs w:val="22"/>
        </w:rPr>
        <w:t xml:space="preserve">in </w:t>
      </w:r>
      <w:r w:rsidR="004E125D" w:rsidRPr="005F120D">
        <w:rPr>
          <w:rFonts w:asciiTheme="minorHAnsi" w:hAnsiTheme="minorHAnsi" w:cstheme="minorHAnsi"/>
          <w:szCs w:val="22"/>
        </w:rPr>
        <w:t xml:space="preserve">Math </w:t>
      </w:r>
      <w:r w:rsidR="00025F07" w:rsidRPr="005F120D">
        <w:rPr>
          <w:rFonts w:asciiTheme="minorHAnsi" w:hAnsiTheme="minorHAnsi" w:cstheme="minorHAnsi"/>
          <w:szCs w:val="22"/>
        </w:rPr>
        <w:t xml:space="preserve">of </w:t>
      </w:r>
      <w:r w:rsidR="004E125D" w:rsidRPr="005F120D">
        <w:rPr>
          <w:rFonts w:asciiTheme="minorHAnsi" w:hAnsiTheme="minorHAnsi" w:cstheme="minorHAnsi"/>
          <w:szCs w:val="22"/>
        </w:rPr>
        <w:t>69.2% (boys 70.6% and girls 67.6%). The girls perform</w:t>
      </w:r>
      <w:r w:rsidR="00025F07" w:rsidRPr="005F120D">
        <w:rPr>
          <w:rFonts w:asciiTheme="minorHAnsi" w:hAnsiTheme="minorHAnsi" w:cstheme="minorHAnsi"/>
          <w:szCs w:val="22"/>
        </w:rPr>
        <w:t>ed</w:t>
      </w:r>
      <w:r w:rsidR="004E125D" w:rsidRPr="005F120D">
        <w:rPr>
          <w:rFonts w:asciiTheme="minorHAnsi" w:hAnsiTheme="minorHAnsi" w:cstheme="minorHAnsi"/>
          <w:szCs w:val="22"/>
        </w:rPr>
        <w:t xml:space="preserve"> better than boys in Bangla and </w:t>
      </w:r>
      <w:r w:rsidR="00025F07" w:rsidRPr="005F120D">
        <w:rPr>
          <w:rFonts w:asciiTheme="minorHAnsi" w:hAnsiTheme="minorHAnsi" w:cstheme="minorHAnsi"/>
          <w:szCs w:val="22"/>
        </w:rPr>
        <w:t xml:space="preserve">the </w:t>
      </w:r>
      <w:r w:rsidR="004E125D" w:rsidRPr="005F120D">
        <w:rPr>
          <w:rFonts w:asciiTheme="minorHAnsi" w:hAnsiTheme="minorHAnsi" w:cstheme="minorHAnsi"/>
          <w:szCs w:val="22"/>
        </w:rPr>
        <w:t>reverse in Math. The urban (U) areas p</w:t>
      </w:r>
      <w:r w:rsidR="00025F07" w:rsidRPr="005F120D">
        <w:rPr>
          <w:rFonts w:asciiTheme="minorHAnsi" w:hAnsiTheme="minorHAnsi" w:cstheme="minorHAnsi"/>
          <w:szCs w:val="22"/>
        </w:rPr>
        <w:t xml:space="preserve">erformed better in both </w:t>
      </w:r>
      <w:r w:rsidR="004E125D" w:rsidRPr="005F120D">
        <w:rPr>
          <w:rFonts w:asciiTheme="minorHAnsi" w:hAnsiTheme="minorHAnsi" w:cstheme="minorHAnsi"/>
          <w:szCs w:val="22"/>
        </w:rPr>
        <w:t xml:space="preserve">Bangla (U 80% and R 72.3%) and Math (U 75.2% and R 68%) than their rural (R) counterparts. </w:t>
      </w:r>
    </w:p>
    <w:p w:rsidR="004E125D" w:rsidRPr="005F120D" w:rsidRDefault="004E125D" w:rsidP="00C437AA">
      <w:pPr>
        <w:pStyle w:val="BodyText1"/>
        <w:spacing w:after="120"/>
        <w:jc w:val="both"/>
        <w:rPr>
          <w:rFonts w:asciiTheme="minorHAnsi" w:hAnsiTheme="minorHAnsi" w:cstheme="minorHAnsi"/>
          <w:b w:val="0"/>
        </w:rPr>
      </w:pPr>
    </w:p>
    <w:p w:rsidR="00071B7E" w:rsidRPr="005F120D" w:rsidRDefault="00071B7E" w:rsidP="00C437AA">
      <w:pPr>
        <w:pStyle w:val="Caption"/>
        <w:spacing w:line="276" w:lineRule="auto"/>
        <w:rPr>
          <w:rFonts w:cstheme="minorHAnsi"/>
          <w:b w:val="0"/>
        </w:rPr>
      </w:pPr>
      <w:bookmarkStart w:id="266" w:name="_Toc462837412"/>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Pr="005F120D">
        <w:rPr>
          <w:rFonts w:cstheme="minorHAnsi"/>
        </w:rPr>
        <w:t xml:space="preserve">: Mean No. </w:t>
      </w:r>
      <w:r w:rsidR="00C935A5" w:rsidRPr="005F120D">
        <w:rPr>
          <w:rFonts w:cstheme="minorHAnsi"/>
        </w:rPr>
        <w:t xml:space="preserve">and Trend </w:t>
      </w:r>
      <w:r w:rsidRPr="005F120D">
        <w:rPr>
          <w:rFonts w:cstheme="minorHAnsi"/>
        </w:rPr>
        <w:t xml:space="preserve">of Competencies achieved by School </w:t>
      </w:r>
      <w:r w:rsidR="00C935A5" w:rsidRPr="005F120D">
        <w:rPr>
          <w:rFonts w:cstheme="minorHAnsi"/>
        </w:rPr>
        <w:t>T</w:t>
      </w:r>
      <w:r w:rsidRPr="005F120D">
        <w:rPr>
          <w:rFonts w:cstheme="minorHAnsi"/>
        </w:rPr>
        <w:t xml:space="preserve">ype </w:t>
      </w:r>
      <w:r w:rsidR="003C142E" w:rsidRPr="005F120D">
        <w:rPr>
          <w:rFonts w:cstheme="minorHAnsi"/>
        </w:rPr>
        <w:t>2000, 2008 and 2014</w:t>
      </w:r>
      <w:bookmarkEnd w:id="266"/>
    </w:p>
    <w:tbl>
      <w:tblPr>
        <w:tblStyle w:val="TableGrid"/>
        <w:tblW w:w="9378" w:type="dxa"/>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double" w:sz="4" w:space="0" w:color="948A54" w:themeColor="background2" w:themeShade="80"/>
          <w:insideV w:val="double" w:sz="4" w:space="0" w:color="948A54" w:themeColor="background2" w:themeShade="80"/>
        </w:tblBorders>
        <w:tblLayout w:type="fixed"/>
        <w:tblLook w:val="04A0"/>
      </w:tblPr>
      <w:tblGrid>
        <w:gridCol w:w="4068"/>
        <w:gridCol w:w="5310"/>
      </w:tblGrid>
      <w:tr w:rsidR="000E47F0" w:rsidRPr="005F120D" w:rsidTr="00CA6367">
        <w:trPr>
          <w:trHeight w:val="4812"/>
        </w:trPr>
        <w:tc>
          <w:tcPr>
            <w:tcW w:w="4068" w:type="dxa"/>
          </w:tcPr>
          <w:p w:rsidR="00637EB4" w:rsidRPr="005F120D" w:rsidRDefault="000D635E" w:rsidP="00C437AA">
            <w:pPr>
              <w:pStyle w:val="Tabletext"/>
              <w:spacing w:before="0" w:after="0" w:line="276" w:lineRule="auto"/>
              <w:jc w:val="center"/>
              <w:rPr>
                <w:rFonts w:asciiTheme="minorHAnsi" w:hAnsiTheme="minorHAnsi" w:cstheme="minorHAnsi"/>
                <w:bCs/>
              </w:rPr>
            </w:pPr>
            <w:r w:rsidRPr="005F120D">
              <w:rPr>
                <w:rFonts w:asciiTheme="minorHAnsi" w:hAnsiTheme="minorHAnsi" w:cstheme="minorHAnsi"/>
                <w:bCs/>
                <w:noProof/>
                <w:lang w:val="en-US" w:eastAsia="en-US"/>
              </w:rPr>
              <w:drawing>
                <wp:inline distT="0" distB="0" distL="0" distR="0">
                  <wp:extent cx="2340591" cy="2790967"/>
                  <wp:effectExtent l="0" t="0" r="0" b="0"/>
                  <wp:docPr id="115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310" w:type="dxa"/>
          </w:tcPr>
          <w:p w:rsidR="000E47F0" w:rsidRPr="005F120D" w:rsidRDefault="009957AA" w:rsidP="00C437AA">
            <w:pPr>
              <w:pStyle w:val="BodyText1"/>
              <w:spacing w:after="0"/>
              <w:jc w:val="both"/>
              <w:rPr>
                <w:rFonts w:asciiTheme="minorHAnsi" w:hAnsiTheme="minorHAnsi" w:cstheme="minorHAnsi"/>
                <w:bCs/>
                <w:sz w:val="20"/>
                <w:szCs w:val="20"/>
              </w:rPr>
            </w:pPr>
            <w:r w:rsidRPr="005F120D">
              <w:rPr>
                <w:rFonts w:asciiTheme="minorHAnsi" w:hAnsiTheme="minorHAnsi" w:cstheme="minorHAnsi"/>
                <w:bCs/>
                <w:noProof/>
                <w:sz w:val="20"/>
                <w:szCs w:val="20"/>
                <w:lang w:val="en-US" w:eastAsia="en-US"/>
              </w:rPr>
              <w:drawing>
                <wp:inline distT="0" distB="0" distL="0" distR="0">
                  <wp:extent cx="3289110" cy="2790967"/>
                  <wp:effectExtent l="0" t="0" r="0" b="0"/>
                  <wp:docPr id="115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EB6A6E" w:rsidRPr="005F120D" w:rsidRDefault="00AB0C2F" w:rsidP="00C437AA">
      <w:pPr>
        <w:spacing w:after="0" w:line="276" w:lineRule="auto"/>
        <w:rPr>
          <w:rFonts w:asciiTheme="minorHAnsi" w:hAnsiTheme="minorHAnsi" w:cstheme="minorHAnsi"/>
          <w:b/>
          <w:sz w:val="16"/>
          <w:szCs w:val="16"/>
        </w:rPr>
      </w:pPr>
      <w:r w:rsidRPr="005F120D">
        <w:rPr>
          <w:rFonts w:asciiTheme="minorHAnsi" w:hAnsiTheme="minorHAnsi" w:cstheme="minorHAnsi"/>
          <w:b/>
          <w:sz w:val="16"/>
          <w:szCs w:val="16"/>
        </w:rPr>
        <w:t>Source: CAMPE 2000, 2008, 2014</w:t>
      </w:r>
    </w:p>
    <w:p w:rsidR="00EB6A6E" w:rsidRPr="005F120D" w:rsidRDefault="00EB6A6E" w:rsidP="00C437AA">
      <w:pPr>
        <w:spacing w:after="0" w:line="276" w:lineRule="auto"/>
        <w:rPr>
          <w:rFonts w:asciiTheme="minorHAnsi" w:hAnsiTheme="minorHAnsi" w:cstheme="minorHAnsi"/>
          <w:b/>
          <w:sz w:val="16"/>
          <w:szCs w:val="16"/>
        </w:rPr>
      </w:pPr>
    </w:p>
    <w:p w:rsidR="00CA6367" w:rsidRPr="005F120D" w:rsidRDefault="00CA6367" w:rsidP="00C437AA">
      <w:pPr>
        <w:spacing w:after="0" w:line="276" w:lineRule="auto"/>
        <w:rPr>
          <w:rFonts w:asciiTheme="minorHAnsi" w:hAnsiTheme="minorHAnsi" w:cstheme="minorHAnsi"/>
          <w:b/>
          <w:sz w:val="16"/>
          <w:szCs w:val="16"/>
        </w:rPr>
      </w:pPr>
      <w:r w:rsidRPr="005F120D">
        <w:rPr>
          <w:rFonts w:asciiTheme="minorHAnsi" w:hAnsiTheme="minorHAnsi" w:cstheme="minorHAnsi"/>
          <w:b/>
          <w:sz w:val="16"/>
          <w:szCs w:val="16"/>
        </w:rPr>
        <w:t>Note: NSA and CAMPE findings are not comparable because methodology and test items are different.</w:t>
      </w:r>
    </w:p>
    <w:p w:rsidR="00450C9B" w:rsidRPr="005F120D" w:rsidRDefault="00450C9B" w:rsidP="00C437AA">
      <w:pPr>
        <w:spacing w:after="0" w:line="276" w:lineRule="auto"/>
        <w:rPr>
          <w:rFonts w:asciiTheme="minorHAnsi" w:hAnsiTheme="minorHAnsi" w:cstheme="minorHAnsi"/>
          <w:b/>
          <w:sz w:val="16"/>
          <w:szCs w:val="16"/>
        </w:rPr>
      </w:pPr>
    </w:p>
    <w:p w:rsidR="00450C9B" w:rsidRPr="005F120D" w:rsidRDefault="00450C9B" w:rsidP="00C437AA">
      <w:pPr>
        <w:spacing w:after="0" w:line="276" w:lineRule="auto"/>
        <w:rPr>
          <w:rFonts w:asciiTheme="minorHAnsi" w:hAnsiTheme="minorHAnsi" w:cstheme="minorHAnsi"/>
          <w:b/>
          <w:sz w:val="16"/>
          <w:szCs w:val="16"/>
        </w:rPr>
      </w:pPr>
    </w:p>
    <w:p w:rsidR="007D4963" w:rsidRPr="005F120D" w:rsidRDefault="007D4963" w:rsidP="004E77B3">
      <w:pPr>
        <w:pStyle w:val="Heading3"/>
      </w:pPr>
      <w:bookmarkStart w:id="267" w:name="_Toc338839516"/>
      <w:bookmarkStart w:id="268" w:name="_Toc338856165"/>
      <w:bookmarkStart w:id="269" w:name="_Toc385242093"/>
      <w:bookmarkStart w:id="270" w:name="_Toc385245719"/>
      <w:r w:rsidRPr="005F120D">
        <w:lastRenderedPageBreak/>
        <w:t xml:space="preserve">Grade 5 Primary </w:t>
      </w:r>
      <w:r w:rsidR="00B743FA" w:rsidRPr="005F120D">
        <w:t xml:space="preserve">and Ebtedayee </w:t>
      </w:r>
      <w:r w:rsidRPr="005F120D">
        <w:t>Education Completion Examination (PECE</w:t>
      </w:r>
      <w:r w:rsidR="005B1ED2" w:rsidRPr="005F120D">
        <w:t>&amp; EECE</w:t>
      </w:r>
      <w:r w:rsidRPr="005F120D">
        <w:t>)</w:t>
      </w:r>
      <w:bookmarkEnd w:id="267"/>
      <w:bookmarkEnd w:id="268"/>
      <w:bookmarkEnd w:id="269"/>
      <w:bookmarkEnd w:id="270"/>
    </w:p>
    <w:p w:rsidR="0031358F" w:rsidRPr="005F120D" w:rsidRDefault="0031358F" w:rsidP="000A5B80">
      <w:pPr>
        <w:jc w:val="both"/>
        <w:rPr>
          <w:rFonts w:asciiTheme="minorHAnsi" w:hAnsiTheme="minorHAnsi" w:cstheme="minorHAnsi"/>
          <w:szCs w:val="22"/>
        </w:rPr>
      </w:pPr>
      <w:bookmarkStart w:id="271" w:name="_Ref387915452"/>
      <w:bookmarkStart w:id="272" w:name="_Toc385419589"/>
      <w:r w:rsidRPr="005F120D">
        <w:rPr>
          <w:rFonts w:asciiTheme="minorHAnsi" w:hAnsiTheme="minorHAnsi" w:cstheme="minorHAnsi"/>
          <w:szCs w:val="22"/>
        </w:rPr>
        <w:t xml:space="preserve">The Primary Education Completion Examination (PECE) was introduced for the first time in 2009 and the Ebtedayee Completion Examination (EECE) in 2010. Either exam is the required certification for the completion of the primary education cycle.  The PECE </w:t>
      </w:r>
      <w:r w:rsidR="00570223" w:rsidRPr="005F120D">
        <w:rPr>
          <w:rFonts w:asciiTheme="minorHAnsi" w:hAnsiTheme="minorHAnsi" w:cstheme="minorHAnsi"/>
          <w:szCs w:val="22"/>
        </w:rPr>
        <w:t>replaced</w:t>
      </w:r>
      <w:r w:rsidRPr="005F120D">
        <w:rPr>
          <w:rFonts w:asciiTheme="minorHAnsi" w:hAnsiTheme="minorHAnsi" w:cstheme="minorHAnsi"/>
          <w:szCs w:val="22"/>
        </w:rPr>
        <w:t xml:space="preserve"> the Grade 5 primary schola</w:t>
      </w:r>
      <w:r w:rsidR="00025F07" w:rsidRPr="005F120D">
        <w:rPr>
          <w:rFonts w:asciiTheme="minorHAnsi" w:hAnsiTheme="minorHAnsi" w:cstheme="minorHAnsi"/>
          <w:szCs w:val="22"/>
        </w:rPr>
        <w:t>rship examination in 2009. Students can</w:t>
      </w:r>
      <w:r w:rsidRPr="005F120D">
        <w:rPr>
          <w:rFonts w:asciiTheme="minorHAnsi" w:hAnsiTheme="minorHAnsi" w:cstheme="minorHAnsi"/>
          <w:szCs w:val="22"/>
        </w:rPr>
        <w:t xml:space="preserve"> receive a scholarship based on their PECE result. Students from both formal and non-formal institutes are eligible to sit the exam; students from both streams sat the examination for the first time in 2009. In addition, s</w:t>
      </w:r>
      <w:r w:rsidR="003F16F0">
        <w:rPr>
          <w:rFonts w:asciiTheme="minorHAnsi" w:hAnsiTheme="minorHAnsi" w:cstheme="minorHAnsi"/>
          <w:szCs w:val="22"/>
        </w:rPr>
        <w:t>tudents from Ebtedayee Madrasha</w:t>
      </w:r>
      <w:r w:rsidRPr="005F120D">
        <w:rPr>
          <w:rFonts w:asciiTheme="minorHAnsi" w:hAnsiTheme="minorHAnsi" w:cstheme="minorHAnsi"/>
          <w:szCs w:val="22"/>
        </w:rPr>
        <w:t xml:space="preserve"> sat the similar examination – EECE - for the first time in 2010. </w:t>
      </w:r>
    </w:p>
    <w:p w:rsidR="00D957D4" w:rsidRPr="005F120D" w:rsidRDefault="00450C9B" w:rsidP="000A5B80">
      <w:pPr>
        <w:jc w:val="both"/>
        <w:rPr>
          <w:rFonts w:asciiTheme="minorHAnsi" w:hAnsiTheme="minorHAnsi" w:cstheme="minorHAnsi"/>
          <w:szCs w:val="22"/>
        </w:rPr>
      </w:pPr>
      <w:r w:rsidRPr="005F120D">
        <w:rPr>
          <w:rFonts w:asciiTheme="minorHAnsi" w:hAnsiTheme="minorHAnsi" w:cstheme="minorHAnsi"/>
          <w:szCs w:val="22"/>
        </w:rPr>
        <w:t>The following Tables 3.5 and Table 3.6</w:t>
      </w:r>
      <w:r w:rsidR="0031358F" w:rsidRPr="005F120D">
        <w:rPr>
          <w:rFonts w:asciiTheme="minorHAnsi" w:hAnsiTheme="minorHAnsi" w:cstheme="minorHAnsi"/>
          <w:szCs w:val="22"/>
        </w:rPr>
        <w:t xml:space="preserve"> present information on, and the results of the Primary and Ebtedayee completion examination between 2009 and 2015. Over this period in PECE, th</w:t>
      </w:r>
      <w:r w:rsidR="00025F07" w:rsidRPr="005F120D">
        <w:rPr>
          <w:rFonts w:asciiTheme="minorHAnsi" w:hAnsiTheme="minorHAnsi" w:cstheme="minorHAnsi"/>
          <w:szCs w:val="22"/>
        </w:rPr>
        <w:t>e number of institutes rose</w:t>
      </w:r>
      <w:r w:rsidR="0031358F" w:rsidRPr="005F120D">
        <w:rPr>
          <w:rFonts w:asciiTheme="minorHAnsi" w:hAnsiTheme="minorHAnsi" w:cstheme="minorHAnsi"/>
          <w:szCs w:val="22"/>
        </w:rPr>
        <w:t xml:space="preserve"> by 24.5%; the number of students included in the Descriptive Role (DR) increased by 56.3%; the number of students appearing in the examination increased by 61.7%; and the number of students who </w:t>
      </w:r>
      <w:r w:rsidR="00025F07" w:rsidRPr="005F120D">
        <w:rPr>
          <w:rFonts w:asciiTheme="minorHAnsi" w:hAnsiTheme="minorHAnsi" w:cstheme="minorHAnsi"/>
          <w:szCs w:val="22"/>
        </w:rPr>
        <w:t>passed the examination rose</w:t>
      </w:r>
      <w:r w:rsidR="0031358F" w:rsidRPr="005F120D">
        <w:rPr>
          <w:rFonts w:asciiTheme="minorHAnsi" w:hAnsiTheme="minorHAnsi" w:cstheme="minorHAnsi"/>
          <w:szCs w:val="22"/>
        </w:rPr>
        <w:t xml:space="preserve"> by 77.8%.  In the 2013 PECE, the number of institutes dropped because the ROSC schools did not participate in the examination as it was the completion of the first phase and the beginning of the second phase of the project</w:t>
      </w:r>
      <w:r w:rsidR="007479B0" w:rsidRPr="005F120D">
        <w:rPr>
          <w:rFonts w:asciiTheme="minorHAnsi" w:hAnsiTheme="minorHAnsi" w:cstheme="minorHAnsi"/>
          <w:szCs w:val="22"/>
        </w:rPr>
        <w:t xml:space="preserve">. </w:t>
      </w:r>
    </w:p>
    <w:p w:rsidR="002A2DDF" w:rsidRPr="005F120D" w:rsidRDefault="00D27514" w:rsidP="000A5B80">
      <w:pPr>
        <w:pStyle w:val="Caption"/>
        <w:rPr>
          <w:rFonts w:cstheme="minorHAnsi"/>
        </w:rPr>
      </w:pPr>
      <w:bookmarkStart w:id="273" w:name="_Toc462837262"/>
      <w:r w:rsidRPr="005F120D">
        <w:rPr>
          <w:rFonts w:cstheme="minorHAnsi"/>
        </w:rPr>
        <w:t>Table</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5</w:t>
      </w:r>
      <w:r w:rsidR="002E2ED5" w:rsidRPr="005F120D">
        <w:rPr>
          <w:rFonts w:cstheme="minorHAnsi"/>
        </w:rPr>
        <w:fldChar w:fldCharType="end"/>
      </w:r>
      <w:bookmarkEnd w:id="271"/>
      <w:r w:rsidR="004565E6" w:rsidRPr="005F120D">
        <w:rPr>
          <w:rFonts w:cstheme="minorHAnsi"/>
        </w:rPr>
        <w:t>:</w:t>
      </w:r>
      <w:r w:rsidR="003F16F0">
        <w:rPr>
          <w:rFonts w:cstheme="minorHAnsi"/>
        </w:rPr>
        <w:t xml:space="preserve"> </w:t>
      </w:r>
      <w:r w:rsidR="00453DC0" w:rsidRPr="005F120D">
        <w:rPr>
          <w:rFonts w:cstheme="minorHAnsi"/>
        </w:rPr>
        <w:t>Results of Primary Educatio</w:t>
      </w:r>
      <w:r w:rsidR="007D4681" w:rsidRPr="005F120D">
        <w:rPr>
          <w:rFonts w:cstheme="minorHAnsi"/>
        </w:rPr>
        <w:t>n Completion Examination [PECE]</w:t>
      </w:r>
      <w:r w:rsidR="00453DC0" w:rsidRPr="005F120D">
        <w:rPr>
          <w:rFonts w:cstheme="minorHAnsi"/>
        </w:rPr>
        <w:t xml:space="preserve"> 2009-201</w:t>
      </w:r>
      <w:bookmarkEnd w:id="272"/>
      <w:r w:rsidR="004620FB" w:rsidRPr="005F120D">
        <w:rPr>
          <w:rFonts w:cstheme="minorHAnsi"/>
        </w:rPr>
        <w:t>5</w:t>
      </w:r>
      <w:bookmarkEnd w:id="273"/>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541"/>
        <w:gridCol w:w="744"/>
        <w:gridCol w:w="864"/>
        <w:gridCol w:w="864"/>
        <w:gridCol w:w="866"/>
        <w:gridCol w:w="864"/>
        <w:gridCol w:w="864"/>
        <w:gridCol w:w="865"/>
        <w:gridCol w:w="917"/>
        <w:gridCol w:w="930"/>
        <w:gridCol w:w="926"/>
      </w:tblGrid>
      <w:tr w:rsidR="00453DC0" w:rsidRPr="005F120D" w:rsidTr="00C437AA">
        <w:trPr>
          <w:trHeight w:hRule="exact" w:val="331"/>
        </w:trPr>
        <w:tc>
          <w:tcPr>
            <w:tcW w:w="292" w:type="pct"/>
            <w:vMerge w:val="restart"/>
            <w:shd w:val="clear" w:color="auto" w:fill="C2D69B"/>
            <w:hideMark/>
          </w:tcPr>
          <w:p w:rsidR="00453DC0"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Year</w:t>
            </w:r>
          </w:p>
        </w:tc>
        <w:tc>
          <w:tcPr>
            <w:tcW w:w="403" w:type="pct"/>
            <w:vMerge w:val="restart"/>
            <w:shd w:val="clear" w:color="auto" w:fill="C2D69B"/>
            <w:hideMark/>
          </w:tcPr>
          <w:p w:rsidR="005629F9"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No. of Inst.</w:t>
            </w:r>
          </w:p>
        </w:tc>
        <w:tc>
          <w:tcPr>
            <w:tcW w:w="1403" w:type="pct"/>
            <w:gridSpan w:val="3"/>
            <w:shd w:val="clear" w:color="auto" w:fill="C2D69B"/>
            <w:hideMark/>
          </w:tcPr>
          <w:p w:rsidR="001568D1"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Descriptive Roll (DR)</w:t>
            </w:r>
          </w:p>
        </w:tc>
        <w:tc>
          <w:tcPr>
            <w:tcW w:w="1402" w:type="pct"/>
            <w:gridSpan w:val="3"/>
            <w:shd w:val="clear" w:color="auto" w:fill="C2D69B"/>
            <w:hideMark/>
          </w:tcPr>
          <w:p w:rsidR="001568D1"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Appeared in the Exam</w:t>
            </w:r>
          </w:p>
        </w:tc>
        <w:tc>
          <w:tcPr>
            <w:tcW w:w="1501" w:type="pct"/>
            <w:gridSpan w:val="3"/>
            <w:shd w:val="clear" w:color="auto" w:fill="C2D69B"/>
            <w:hideMark/>
          </w:tcPr>
          <w:p w:rsidR="001568D1"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Passed in the Exam</w:t>
            </w:r>
          </w:p>
        </w:tc>
      </w:tr>
      <w:tr w:rsidR="00453DC0" w:rsidRPr="005F120D" w:rsidTr="00C437AA">
        <w:trPr>
          <w:trHeight w:hRule="exact" w:val="331"/>
        </w:trPr>
        <w:tc>
          <w:tcPr>
            <w:tcW w:w="292" w:type="pct"/>
            <w:vMerge/>
            <w:shd w:val="clear" w:color="auto" w:fill="C2D69B"/>
            <w:hideMark/>
          </w:tcPr>
          <w:p w:rsidR="001568D1" w:rsidRPr="005F120D" w:rsidRDefault="001568D1" w:rsidP="000A5B80">
            <w:pPr>
              <w:spacing w:after="0"/>
              <w:jc w:val="center"/>
              <w:rPr>
                <w:rFonts w:asciiTheme="minorHAnsi" w:hAnsiTheme="minorHAnsi" w:cstheme="minorHAnsi"/>
                <w:b/>
                <w:smallCaps/>
                <w:sz w:val="16"/>
                <w:szCs w:val="16"/>
              </w:rPr>
            </w:pPr>
          </w:p>
        </w:tc>
        <w:tc>
          <w:tcPr>
            <w:tcW w:w="403" w:type="pct"/>
            <w:vMerge/>
            <w:shd w:val="clear" w:color="auto" w:fill="C2D69B"/>
            <w:hideMark/>
          </w:tcPr>
          <w:p w:rsidR="001568D1" w:rsidRPr="005F120D" w:rsidRDefault="001568D1" w:rsidP="000A5B80">
            <w:pPr>
              <w:spacing w:after="0"/>
              <w:jc w:val="center"/>
              <w:rPr>
                <w:rFonts w:asciiTheme="minorHAnsi" w:hAnsiTheme="minorHAnsi" w:cstheme="minorHAnsi"/>
                <w:b/>
                <w:smallCaps/>
                <w:sz w:val="16"/>
                <w:szCs w:val="16"/>
              </w:rPr>
            </w:pPr>
          </w:p>
        </w:tc>
        <w:tc>
          <w:tcPr>
            <w:tcW w:w="467" w:type="pct"/>
            <w:shd w:val="clear" w:color="auto" w:fill="C2D69B"/>
            <w:hideMark/>
          </w:tcPr>
          <w:p w:rsidR="00D06E85"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Boy</w:t>
            </w:r>
          </w:p>
        </w:tc>
        <w:tc>
          <w:tcPr>
            <w:tcW w:w="467" w:type="pct"/>
            <w:shd w:val="clear" w:color="auto" w:fill="C2D69B"/>
            <w:hideMark/>
          </w:tcPr>
          <w:p w:rsidR="005629F9"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Girl</w:t>
            </w:r>
          </w:p>
        </w:tc>
        <w:tc>
          <w:tcPr>
            <w:tcW w:w="468" w:type="pct"/>
            <w:shd w:val="clear" w:color="auto" w:fill="C2D69B"/>
            <w:hideMark/>
          </w:tcPr>
          <w:p w:rsidR="001568D1"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67" w:type="pct"/>
            <w:shd w:val="clear" w:color="auto" w:fill="C2D69B"/>
            <w:hideMark/>
          </w:tcPr>
          <w:p w:rsidR="001568D1"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Boy</w:t>
            </w:r>
          </w:p>
        </w:tc>
        <w:tc>
          <w:tcPr>
            <w:tcW w:w="467" w:type="pct"/>
            <w:shd w:val="clear" w:color="auto" w:fill="C2D69B"/>
            <w:hideMark/>
          </w:tcPr>
          <w:p w:rsidR="001568D1"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Girl</w:t>
            </w:r>
          </w:p>
        </w:tc>
        <w:tc>
          <w:tcPr>
            <w:tcW w:w="468" w:type="pct"/>
            <w:shd w:val="clear" w:color="auto" w:fill="C2D69B"/>
            <w:hideMark/>
          </w:tcPr>
          <w:p w:rsidR="001568D1"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Total</w:t>
            </w:r>
          </w:p>
        </w:tc>
        <w:tc>
          <w:tcPr>
            <w:tcW w:w="496" w:type="pct"/>
            <w:shd w:val="clear" w:color="auto" w:fill="C2D69B"/>
            <w:hideMark/>
          </w:tcPr>
          <w:p w:rsidR="001568D1"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Boy</w:t>
            </w:r>
          </w:p>
        </w:tc>
        <w:tc>
          <w:tcPr>
            <w:tcW w:w="503" w:type="pct"/>
            <w:shd w:val="clear" w:color="auto" w:fill="C2D69B"/>
            <w:hideMark/>
          </w:tcPr>
          <w:p w:rsidR="001568D1" w:rsidRPr="005F120D" w:rsidRDefault="00453DC0" w:rsidP="000A5B80">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Girl</w:t>
            </w:r>
          </w:p>
        </w:tc>
        <w:tc>
          <w:tcPr>
            <w:tcW w:w="502" w:type="pct"/>
            <w:shd w:val="clear" w:color="auto" w:fill="C2D69B"/>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b/>
                <w:sz w:val="16"/>
                <w:szCs w:val="16"/>
              </w:rPr>
              <w:t>Total</w:t>
            </w:r>
          </w:p>
        </w:tc>
      </w:tr>
      <w:tr w:rsidR="00453DC0" w:rsidRPr="005F120D" w:rsidTr="00C437AA">
        <w:trPr>
          <w:trHeight w:hRule="exact" w:val="331"/>
        </w:trPr>
        <w:tc>
          <w:tcPr>
            <w:tcW w:w="292" w:type="pct"/>
            <w:shd w:val="clear" w:color="auto" w:fill="auto"/>
            <w:hideMark/>
          </w:tcPr>
          <w:p w:rsidR="00453DC0" w:rsidRPr="005F120D" w:rsidRDefault="00453DC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2009</w:t>
            </w:r>
          </w:p>
        </w:tc>
        <w:tc>
          <w:tcPr>
            <w:tcW w:w="403" w:type="pct"/>
            <w:shd w:val="clear" w:color="auto" w:fill="auto"/>
            <w:hideMark/>
          </w:tcPr>
          <w:p w:rsidR="005629F9" w:rsidRPr="005F120D" w:rsidRDefault="00453DC0" w:rsidP="000A5B80">
            <w:pPr>
              <w:spacing w:after="0"/>
              <w:jc w:val="center"/>
              <w:rPr>
                <w:rFonts w:asciiTheme="minorHAnsi" w:hAnsiTheme="minorHAnsi" w:cstheme="minorHAnsi"/>
                <w:b/>
                <w:bCs/>
                <w:caps/>
                <w:sz w:val="16"/>
                <w:szCs w:val="16"/>
              </w:rPr>
            </w:pPr>
            <w:r w:rsidRPr="005F120D">
              <w:rPr>
                <w:rFonts w:asciiTheme="minorHAnsi" w:hAnsiTheme="minorHAnsi" w:cstheme="minorHAnsi"/>
                <w:b/>
                <w:bCs/>
                <w:sz w:val="16"/>
                <w:szCs w:val="16"/>
              </w:rPr>
              <w:t>81,389</w:t>
            </w:r>
          </w:p>
        </w:tc>
        <w:tc>
          <w:tcPr>
            <w:tcW w:w="467" w:type="pct"/>
            <w:shd w:val="clear" w:color="auto" w:fill="auto"/>
            <w:noWrap/>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907,570</w:t>
            </w:r>
          </w:p>
        </w:tc>
        <w:tc>
          <w:tcPr>
            <w:tcW w:w="467" w:type="pct"/>
            <w:shd w:val="clear" w:color="auto" w:fill="auto"/>
            <w:noWrap/>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1,072,325</w:t>
            </w:r>
          </w:p>
        </w:tc>
        <w:tc>
          <w:tcPr>
            <w:tcW w:w="468" w:type="pct"/>
            <w:shd w:val="clear" w:color="auto" w:fill="auto"/>
            <w:noWrap/>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1,979,895</w:t>
            </w:r>
          </w:p>
        </w:tc>
        <w:tc>
          <w:tcPr>
            <w:tcW w:w="467" w:type="pct"/>
            <w:shd w:val="clear" w:color="auto" w:fill="auto"/>
            <w:noWrap/>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830,880</w:t>
            </w:r>
          </w:p>
        </w:tc>
        <w:tc>
          <w:tcPr>
            <w:tcW w:w="467" w:type="pct"/>
            <w:shd w:val="clear" w:color="auto" w:fill="auto"/>
            <w:noWrap/>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992,585</w:t>
            </w:r>
          </w:p>
        </w:tc>
        <w:tc>
          <w:tcPr>
            <w:tcW w:w="468" w:type="pct"/>
            <w:shd w:val="clear" w:color="auto" w:fill="auto"/>
            <w:noWrap/>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1,823,465</w:t>
            </w:r>
          </w:p>
        </w:tc>
        <w:tc>
          <w:tcPr>
            <w:tcW w:w="496" w:type="pct"/>
            <w:shd w:val="clear" w:color="auto" w:fill="auto"/>
            <w:noWrap/>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751,466</w:t>
            </w:r>
          </w:p>
        </w:tc>
        <w:tc>
          <w:tcPr>
            <w:tcW w:w="503" w:type="pct"/>
            <w:shd w:val="clear" w:color="auto" w:fill="auto"/>
            <w:noWrap/>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868,588</w:t>
            </w:r>
          </w:p>
        </w:tc>
        <w:tc>
          <w:tcPr>
            <w:tcW w:w="502" w:type="pct"/>
            <w:shd w:val="clear" w:color="auto" w:fill="auto"/>
            <w:noWrap/>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1,620,054</w:t>
            </w:r>
          </w:p>
        </w:tc>
      </w:tr>
      <w:tr w:rsidR="00453DC0" w:rsidRPr="005F120D" w:rsidTr="00C437AA">
        <w:trPr>
          <w:trHeight w:hRule="exact" w:val="331"/>
        </w:trPr>
        <w:tc>
          <w:tcPr>
            <w:tcW w:w="292" w:type="pct"/>
            <w:shd w:val="clear" w:color="auto" w:fill="D6E3BC"/>
            <w:hideMark/>
          </w:tcPr>
          <w:p w:rsidR="00453DC0" w:rsidRPr="005F120D" w:rsidRDefault="00453DC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2010</w:t>
            </w:r>
          </w:p>
        </w:tc>
        <w:tc>
          <w:tcPr>
            <w:tcW w:w="403" w:type="pct"/>
            <w:shd w:val="clear" w:color="auto" w:fill="D6E3BC"/>
            <w:hideMark/>
          </w:tcPr>
          <w:p w:rsidR="005629F9"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97,344</w:t>
            </w:r>
          </w:p>
        </w:tc>
        <w:tc>
          <w:tcPr>
            <w:tcW w:w="467"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1,161,875</w:t>
            </w:r>
          </w:p>
        </w:tc>
        <w:tc>
          <w:tcPr>
            <w:tcW w:w="467"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1,326,454</w:t>
            </w:r>
          </w:p>
        </w:tc>
        <w:tc>
          <w:tcPr>
            <w:tcW w:w="468"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2,488,329</w:t>
            </w:r>
          </w:p>
        </w:tc>
        <w:tc>
          <w:tcPr>
            <w:tcW w:w="467"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1,016,394</w:t>
            </w:r>
          </w:p>
        </w:tc>
        <w:tc>
          <w:tcPr>
            <w:tcW w:w="467"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1,188,803</w:t>
            </w:r>
          </w:p>
        </w:tc>
        <w:tc>
          <w:tcPr>
            <w:tcW w:w="468"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2,205,197</w:t>
            </w:r>
          </w:p>
        </w:tc>
        <w:tc>
          <w:tcPr>
            <w:tcW w:w="496"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934,699</w:t>
            </w:r>
          </w:p>
        </w:tc>
        <w:tc>
          <w:tcPr>
            <w:tcW w:w="503"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1,079,267</w:t>
            </w:r>
          </w:p>
        </w:tc>
        <w:tc>
          <w:tcPr>
            <w:tcW w:w="502"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2,013,966</w:t>
            </w:r>
          </w:p>
        </w:tc>
      </w:tr>
      <w:tr w:rsidR="00453DC0" w:rsidRPr="005F120D" w:rsidTr="00C437AA">
        <w:trPr>
          <w:trHeight w:hRule="exact" w:val="331"/>
        </w:trPr>
        <w:tc>
          <w:tcPr>
            <w:tcW w:w="292" w:type="pct"/>
            <w:shd w:val="clear" w:color="auto" w:fill="auto"/>
            <w:hideMark/>
          </w:tcPr>
          <w:p w:rsidR="00453DC0" w:rsidRPr="005F120D" w:rsidRDefault="00453DC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2011</w:t>
            </w:r>
          </w:p>
        </w:tc>
        <w:tc>
          <w:tcPr>
            <w:tcW w:w="403" w:type="pct"/>
            <w:shd w:val="clear" w:color="auto" w:fill="auto"/>
            <w:hideMark/>
          </w:tcPr>
          <w:p w:rsidR="005629F9"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99,351</w:t>
            </w:r>
          </w:p>
        </w:tc>
        <w:tc>
          <w:tcPr>
            <w:tcW w:w="467" w:type="pct"/>
            <w:shd w:val="clear" w:color="auto" w:fill="auto"/>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1,216,846</w:t>
            </w:r>
          </w:p>
        </w:tc>
        <w:tc>
          <w:tcPr>
            <w:tcW w:w="467" w:type="pct"/>
            <w:shd w:val="clear" w:color="auto" w:fill="auto"/>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1,420,835</w:t>
            </w:r>
          </w:p>
        </w:tc>
        <w:tc>
          <w:tcPr>
            <w:tcW w:w="468" w:type="pct"/>
            <w:shd w:val="clear" w:color="auto" w:fill="auto"/>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2,637,681</w:t>
            </w:r>
          </w:p>
        </w:tc>
        <w:tc>
          <w:tcPr>
            <w:tcW w:w="467" w:type="pct"/>
            <w:shd w:val="clear" w:color="auto" w:fill="auto"/>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1,126,357</w:t>
            </w:r>
          </w:p>
        </w:tc>
        <w:tc>
          <w:tcPr>
            <w:tcW w:w="467" w:type="pct"/>
            <w:shd w:val="clear" w:color="auto" w:fill="auto"/>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1,331,561</w:t>
            </w:r>
          </w:p>
        </w:tc>
        <w:tc>
          <w:tcPr>
            <w:tcW w:w="468" w:type="pct"/>
            <w:shd w:val="clear" w:color="auto" w:fill="auto"/>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2,457,918</w:t>
            </w:r>
          </w:p>
        </w:tc>
        <w:tc>
          <w:tcPr>
            <w:tcW w:w="496" w:type="pct"/>
            <w:shd w:val="clear" w:color="auto" w:fill="auto"/>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1,091,719</w:t>
            </w:r>
          </w:p>
        </w:tc>
        <w:tc>
          <w:tcPr>
            <w:tcW w:w="503" w:type="pct"/>
            <w:shd w:val="clear" w:color="auto" w:fill="auto"/>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1,282,584</w:t>
            </w:r>
          </w:p>
        </w:tc>
        <w:tc>
          <w:tcPr>
            <w:tcW w:w="502" w:type="pct"/>
            <w:shd w:val="clear" w:color="auto" w:fill="auto"/>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2,374,303</w:t>
            </w:r>
          </w:p>
        </w:tc>
      </w:tr>
      <w:tr w:rsidR="00453DC0" w:rsidRPr="005F120D" w:rsidTr="00C437AA">
        <w:trPr>
          <w:trHeight w:hRule="exact" w:val="331"/>
        </w:trPr>
        <w:tc>
          <w:tcPr>
            <w:tcW w:w="292" w:type="pct"/>
            <w:shd w:val="clear" w:color="auto" w:fill="D6E3BC"/>
            <w:hideMark/>
          </w:tcPr>
          <w:p w:rsidR="00453DC0" w:rsidRPr="005F120D" w:rsidRDefault="00453DC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2012</w:t>
            </w:r>
          </w:p>
        </w:tc>
        <w:tc>
          <w:tcPr>
            <w:tcW w:w="403" w:type="pct"/>
            <w:shd w:val="clear" w:color="auto" w:fill="D6E3BC"/>
            <w:hideMark/>
          </w:tcPr>
          <w:p w:rsidR="005629F9"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103,930</w:t>
            </w:r>
          </w:p>
        </w:tc>
        <w:tc>
          <w:tcPr>
            <w:tcW w:w="467"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1,363,815</w:t>
            </w:r>
          </w:p>
        </w:tc>
        <w:tc>
          <w:tcPr>
            <w:tcW w:w="467"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1,607,857</w:t>
            </w:r>
          </w:p>
        </w:tc>
        <w:tc>
          <w:tcPr>
            <w:tcW w:w="468"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2,971,672</w:t>
            </w:r>
          </w:p>
        </w:tc>
        <w:tc>
          <w:tcPr>
            <w:tcW w:w="467"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1,255,652</w:t>
            </w:r>
          </w:p>
        </w:tc>
        <w:tc>
          <w:tcPr>
            <w:tcW w:w="467"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1,501,840</w:t>
            </w:r>
          </w:p>
        </w:tc>
        <w:tc>
          <w:tcPr>
            <w:tcW w:w="468"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2,757,492</w:t>
            </w:r>
          </w:p>
        </w:tc>
        <w:tc>
          <w:tcPr>
            <w:tcW w:w="496"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1,219,163</w:t>
            </w:r>
          </w:p>
        </w:tc>
        <w:tc>
          <w:tcPr>
            <w:tcW w:w="503"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1,451,672</w:t>
            </w:r>
          </w:p>
        </w:tc>
        <w:tc>
          <w:tcPr>
            <w:tcW w:w="502" w:type="pct"/>
            <w:shd w:val="clear" w:color="auto" w:fill="D6E3BC"/>
            <w:hideMark/>
          </w:tcPr>
          <w:p w:rsidR="001568D1" w:rsidRPr="005F120D" w:rsidRDefault="00453DC0" w:rsidP="000A5B80">
            <w:pPr>
              <w:spacing w:after="0"/>
              <w:jc w:val="center"/>
              <w:rPr>
                <w:rFonts w:asciiTheme="minorHAnsi" w:hAnsiTheme="minorHAnsi" w:cstheme="minorHAnsi"/>
                <w:b/>
                <w:caps/>
                <w:sz w:val="16"/>
                <w:szCs w:val="16"/>
              </w:rPr>
            </w:pPr>
            <w:r w:rsidRPr="005F120D">
              <w:rPr>
                <w:rFonts w:asciiTheme="minorHAnsi" w:hAnsiTheme="minorHAnsi" w:cstheme="minorHAnsi"/>
                <w:sz w:val="16"/>
                <w:szCs w:val="16"/>
              </w:rPr>
              <w:t>2,670,835</w:t>
            </w:r>
          </w:p>
        </w:tc>
      </w:tr>
      <w:tr w:rsidR="00453DC0" w:rsidRPr="005F120D" w:rsidTr="00C437AA">
        <w:trPr>
          <w:trHeight w:hRule="exact" w:val="331"/>
        </w:trPr>
        <w:tc>
          <w:tcPr>
            <w:tcW w:w="292" w:type="pct"/>
            <w:shd w:val="clear" w:color="auto" w:fill="FFFFFF" w:themeFill="background1"/>
          </w:tcPr>
          <w:p w:rsidR="00453DC0" w:rsidRPr="005F120D" w:rsidRDefault="00453DC0"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2013</w:t>
            </w:r>
          </w:p>
        </w:tc>
        <w:tc>
          <w:tcPr>
            <w:tcW w:w="403" w:type="pct"/>
            <w:shd w:val="clear" w:color="auto" w:fill="FFFFFF" w:themeFill="background1"/>
          </w:tcPr>
          <w:p w:rsidR="005629F9" w:rsidRPr="005F120D" w:rsidRDefault="00453DC0" w:rsidP="000A5B80">
            <w:pPr>
              <w:spacing w:after="0"/>
              <w:jc w:val="center"/>
              <w:rPr>
                <w:rFonts w:asciiTheme="minorHAnsi" w:hAnsiTheme="minorHAnsi" w:cstheme="minorHAnsi"/>
                <w:caps/>
                <w:sz w:val="16"/>
                <w:szCs w:val="16"/>
              </w:rPr>
            </w:pPr>
            <w:r w:rsidRPr="005F120D">
              <w:rPr>
                <w:rFonts w:asciiTheme="minorHAnsi" w:hAnsiTheme="minorHAnsi" w:cstheme="minorHAnsi"/>
                <w:sz w:val="16"/>
                <w:szCs w:val="16"/>
              </w:rPr>
              <w:t>98,960</w:t>
            </w:r>
          </w:p>
        </w:tc>
        <w:tc>
          <w:tcPr>
            <w:tcW w:w="467" w:type="pct"/>
            <w:shd w:val="clear" w:color="auto" w:fill="FFFFFF" w:themeFill="background1"/>
          </w:tcPr>
          <w:p w:rsidR="001568D1" w:rsidRPr="005F120D" w:rsidRDefault="00453DC0" w:rsidP="000A5B80">
            <w:pPr>
              <w:spacing w:after="0"/>
              <w:jc w:val="center"/>
              <w:rPr>
                <w:rFonts w:asciiTheme="minorHAnsi" w:hAnsiTheme="minorHAnsi" w:cstheme="minorHAnsi"/>
                <w:caps/>
                <w:sz w:val="16"/>
                <w:szCs w:val="16"/>
              </w:rPr>
            </w:pPr>
            <w:r w:rsidRPr="005F120D">
              <w:rPr>
                <w:rFonts w:asciiTheme="minorHAnsi" w:hAnsiTheme="minorHAnsi" w:cstheme="minorHAnsi"/>
                <w:sz w:val="16"/>
                <w:szCs w:val="16"/>
              </w:rPr>
              <w:t>1,376,253</w:t>
            </w:r>
          </w:p>
        </w:tc>
        <w:tc>
          <w:tcPr>
            <w:tcW w:w="467" w:type="pct"/>
            <w:shd w:val="clear" w:color="auto" w:fill="FFFFFF" w:themeFill="background1"/>
          </w:tcPr>
          <w:p w:rsidR="001568D1" w:rsidRPr="005F120D" w:rsidRDefault="00453DC0" w:rsidP="000A5B80">
            <w:pPr>
              <w:spacing w:after="0"/>
              <w:jc w:val="center"/>
              <w:rPr>
                <w:rFonts w:asciiTheme="minorHAnsi" w:hAnsiTheme="minorHAnsi" w:cstheme="minorHAnsi"/>
                <w:caps/>
                <w:sz w:val="16"/>
                <w:szCs w:val="16"/>
              </w:rPr>
            </w:pPr>
            <w:r w:rsidRPr="005F120D">
              <w:rPr>
                <w:rFonts w:asciiTheme="minorHAnsi" w:hAnsiTheme="minorHAnsi" w:cstheme="minorHAnsi"/>
                <w:sz w:val="16"/>
                <w:szCs w:val="16"/>
              </w:rPr>
              <w:t>1,584,984</w:t>
            </w:r>
          </w:p>
        </w:tc>
        <w:tc>
          <w:tcPr>
            <w:tcW w:w="468" w:type="pct"/>
            <w:shd w:val="clear" w:color="auto" w:fill="FFFFFF" w:themeFill="background1"/>
          </w:tcPr>
          <w:p w:rsidR="001568D1" w:rsidRPr="005F120D" w:rsidRDefault="00453DC0" w:rsidP="000A5B80">
            <w:pPr>
              <w:spacing w:after="0"/>
              <w:jc w:val="center"/>
              <w:rPr>
                <w:rFonts w:asciiTheme="minorHAnsi" w:hAnsiTheme="minorHAnsi" w:cstheme="minorHAnsi"/>
                <w:caps/>
                <w:sz w:val="16"/>
                <w:szCs w:val="16"/>
              </w:rPr>
            </w:pPr>
            <w:r w:rsidRPr="005F120D">
              <w:rPr>
                <w:rFonts w:asciiTheme="minorHAnsi" w:hAnsiTheme="minorHAnsi" w:cstheme="minorHAnsi"/>
                <w:sz w:val="16"/>
                <w:szCs w:val="16"/>
              </w:rPr>
              <w:t>2,961,237</w:t>
            </w:r>
          </w:p>
        </w:tc>
        <w:tc>
          <w:tcPr>
            <w:tcW w:w="467" w:type="pct"/>
            <w:shd w:val="clear" w:color="auto" w:fill="FFFFFF" w:themeFill="background1"/>
          </w:tcPr>
          <w:p w:rsidR="001568D1" w:rsidRPr="005F120D" w:rsidRDefault="00453DC0" w:rsidP="000A5B80">
            <w:pPr>
              <w:spacing w:after="0"/>
              <w:jc w:val="center"/>
              <w:rPr>
                <w:rFonts w:asciiTheme="minorHAnsi" w:hAnsiTheme="minorHAnsi" w:cstheme="minorHAnsi"/>
                <w:caps/>
                <w:sz w:val="16"/>
                <w:szCs w:val="16"/>
              </w:rPr>
            </w:pPr>
            <w:r w:rsidRPr="005F120D">
              <w:rPr>
                <w:rFonts w:asciiTheme="minorHAnsi" w:hAnsiTheme="minorHAnsi" w:cstheme="minorHAnsi"/>
                <w:sz w:val="16"/>
                <w:szCs w:val="16"/>
              </w:rPr>
              <w:t>1,289,266</w:t>
            </w:r>
          </w:p>
        </w:tc>
        <w:tc>
          <w:tcPr>
            <w:tcW w:w="467" w:type="pct"/>
            <w:shd w:val="clear" w:color="auto" w:fill="FFFFFF" w:themeFill="background1"/>
          </w:tcPr>
          <w:p w:rsidR="001568D1" w:rsidRPr="005F120D" w:rsidRDefault="00453DC0" w:rsidP="000A5B80">
            <w:pPr>
              <w:spacing w:after="0"/>
              <w:jc w:val="center"/>
              <w:rPr>
                <w:rFonts w:asciiTheme="minorHAnsi" w:hAnsiTheme="minorHAnsi" w:cstheme="minorHAnsi"/>
                <w:caps/>
                <w:sz w:val="16"/>
                <w:szCs w:val="16"/>
              </w:rPr>
            </w:pPr>
            <w:r w:rsidRPr="005F120D">
              <w:rPr>
                <w:rFonts w:asciiTheme="minorHAnsi" w:hAnsiTheme="minorHAnsi" w:cstheme="minorHAnsi"/>
                <w:sz w:val="16"/>
                <w:szCs w:val="16"/>
              </w:rPr>
              <w:t>1,503,748</w:t>
            </w:r>
          </w:p>
        </w:tc>
        <w:tc>
          <w:tcPr>
            <w:tcW w:w="468" w:type="pct"/>
            <w:shd w:val="clear" w:color="auto" w:fill="FFFFFF" w:themeFill="background1"/>
          </w:tcPr>
          <w:p w:rsidR="001568D1" w:rsidRPr="005F120D" w:rsidRDefault="00453DC0" w:rsidP="000A5B80">
            <w:pPr>
              <w:spacing w:after="0"/>
              <w:jc w:val="center"/>
              <w:rPr>
                <w:rFonts w:asciiTheme="minorHAnsi" w:hAnsiTheme="minorHAnsi" w:cstheme="minorHAnsi"/>
                <w:caps/>
                <w:sz w:val="16"/>
                <w:szCs w:val="16"/>
              </w:rPr>
            </w:pPr>
            <w:r w:rsidRPr="005F120D">
              <w:rPr>
                <w:rFonts w:asciiTheme="minorHAnsi" w:hAnsiTheme="minorHAnsi" w:cstheme="minorHAnsi"/>
                <w:sz w:val="16"/>
                <w:szCs w:val="16"/>
              </w:rPr>
              <w:t>2,793,014</w:t>
            </w:r>
          </w:p>
        </w:tc>
        <w:tc>
          <w:tcPr>
            <w:tcW w:w="496" w:type="pct"/>
            <w:shd w:val="clear" w:color="auto" w:fill="FFFFFF" w:themeFill="background1"/>
          </w:tcPr>
          <w:p w:rsidR="001568D1" w:rsidRPr="005F120D" w:rsidRDefault="00453DC0" w:rsidP="000A5B80">
            <w:pPr>
              <w:spacing w:after="0"/>
              <w:jc w:val="center"/>
              <w:rPr>
                <w:rFonts w:asciiTheme="minorHAnsi" w:hAnsiTheme="minorHAnsi" w:cstheme="minorHAnsi"/>
                <w:caps/>
                <w:sz w:val="16"/>
                <w:szCs w:val="16"/>
              </w:rPr>
            </w:pPr>
            <w:r w:rsidRPr="005F120D">
              <w:rPr>
                <w:rFonts w:asciiTheme="minorHAnsi" w:hAnsiTheme="minorHAnsi" w:cstheme="minorHAnsi"/>
                <w:sz w:val="16"/>
                <w:szCs w:val="16"/>
              </w:rPr>
              <w:t>1,268,221</w:t>
            </w:r>
          </w:p>
        </w:tc>
        <w:tc>
          <w:tcPr>
            <w:tcW w:w="503" w:type="pct"/>
            <w:shd w:val="clear" w:color="auto" w:fill="FFFFFF" w:themeFill="background1"/>
          </w:tcPr>
          <w:p w:rsidR="001568D1" w:rsidRPr="005F120D" w:rsidRDefault="00453DC0" w:rsidP="000A5B80">
            <w:pPr>
              <w:spacing w:after="0"/>
              <w:jc w:val="center"/>
              <w:rPr>
                <w:rFonts w:asciiTheme="minorHAnsi" w:hAnsiTheme="minorHAnsi" w:cstheme="minorHAnsi"/>
                <w:caps/>
                <w:sz w:val="16"/>
                <w:szCs w:val="16"/>
              </w:rPr>
            </w:pPr>
            <w:r w:rsidRPr="005F120D">
              <w:rPr>
                <w:rFonts w:asciiTheme="minorHAnsi" w:hAnsiTheme="minorHAnsi" w:cstheme="minorHAnsi"/>
                <w:sz w:val="16"/>
                <w:szCs w:val="16"/>
              </w:rPr>
              <w:t>1,477,396</w:t>
            </w:r>
          </w:p>
        </w:tc>
        <w:tc>
          <w:tcPr>
            <w:tcW w:w="502" w:type="pct"/>
            <w:shd w:val="clear" w:color="auto" w:fill="FFFFFF" w:themeFill="background1"/>
          </w:tcPr>
          <w:p w:rsidR="001568D1" w:rsidRPr="005F120D" w:rsidRDefault="00453DC0" w:rsidP="000A5B80">
            <w:pPr>
              <w:spacing w:after="0"/>
              <w:jc w:val="center"/>
              <w:rPr>
                <w:rFonts w:asciiTheme="minorHAnsi" w:hAnsiTheme="minorHAnsi" w:cstheme="minorHAnsi"/>
                <w:caps/>
                <w:sz w:val="16"/>
                <w:szCs w:val="16"/>
              </w:rPr>
            </w:pPr>
            <w:r w:rsidRPr="005F120D">
              <w:rPr>
                <w:rFonts w:asciiTheme="minorHAnsi" w:hAnsiTheme="minorHAnsi" w:cstheme="minorHAnsi"/>
                <w:sz w:val="16"/>
                <w:szCs w:val="16"/>
              </w:rPr>
              <w:t>2,745,614</w:t>
            </w:r>
          </w:p>
        </w:tc>
      </w:tr>
      <w:tr w:rsidR="00005D7C" w:rsidRPr="005F120D" w:rsidTr="00C437AA">
        <w:trPr>
          <w:trHeight w:hRule="exact" w:val="331"/>
        </w:trPr>
        <w:tc>
          <w:tcPr>
            <w:tcW w:w="292" w:type="pct"/>
            <w:shd w:val="clear" w:color="auto" w:fill="D6E3BC" w:themeFill="accent3" w:themeFillTint="66"/>
          </w:tcPr>
          <w:p w:rsidR="00DF34D6" w:rsidRPr="005F120D" w:rsidRDefault="00DF34D6"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2014</w:t>
            </w:r>
          </w:p>
        </w:tc>
        <w:tc>
          <w:tcPr>
            <w:tcW w:w="403" w:type="pct"/>
            <w:shd w:val="clear" w:color="auto" w:fill="D6E3BC" w:themeFill="accent3" w:themeFillTint="66"/>
          </w:tcPr>
          <w:p w:rsidR="00DF34D6" w:rsidRPr="005F120D" w:rsidRDefault="00D45A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101,322</w:t>
            </w:r>
          </w:p>
        </w:tc>
        <w:tc>
          <w:tcPr>
            <w:tcW w:w="467" w:type="pct"/>
            <w:shd w:val="clear" w:color="auto" w:fill="D6E3BC" w:themeFill="accent3" w:themeFillTint="66"/>
          </w:tcPr>
          <w:p w:rsidR="00DF34D6" w:rsidRPr="005F120D" w:rsidRDefault="00D45A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1,438,596</w:t>
            </w:r>
          </w:p>
        </w:tc>
        <w:tc>
          <w:tcPr>
            <w:tcW w:w="467" w:type="pct"/>
            <w:shd w:val="clear" w:color="auto" w:fill="D6E3BC" w:themeFill="accent3" w:themeFillTint="66"/>
          </w:tcPr>
          <w:p w:rsidR="00DF34D6" w:rsidRPr="005F120D" w:rsidRDefault="00D45A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1,656,725</w:t>
            </w:r>
          </w:p>
        </w:tc>
        <w:tc>
          <w:tcPr>
            <w:tcW w:w="468" w:type="pct"/>
            <w:shd w:val="clear" w:color="auto" w:fill="D6E3BC" w:themeFill="accent3" w:themeFillTint="66"/>
          </w:tcPr>
          <w:p w:rsidR="00DF34D6" w:rsidRPr="005F120D" w:rsidRDefault="00D45A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3,095,321</w:t>
            </w:r>
          </w:p>
        </w:tc>
        <w:tc>
          <w:tcPr>
            <w:tcW w:w="467" w:type="pct"/>
            <w:shd w:val="clear" w:color="auto" w:fill="D6E3BC" w:themeFill="accent3" w:themeFillTint="66"/>
          </w:tcPr>
          <w:p w:rsidR="00DF34D6" w:rsidRPr="005F120D" w:rsidRDefault="00D45A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1,360,856</w:t>
            </w:r>
          </w:p>
        </w:tc>
        <w:tc>
          <w:tcPr>
            <w:tcW w:w="467" w:type="pct"/>
            <w:shd w:val="clear" w:color="auto" w:fill="D6E3BC" w:themeFill="accent3" w:themeFillTint="66"/>
          </w:tcPr>
          <w:p w:rsidR="00DF34D6" w:rsidRPr="005F120D" w:rsidRDefault="00D45A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1,588,899</w:t>
            </w:r>
          </w:p>
        </w:tc>
        <w:tc>
          <w:tcPr>
            <w:tcW w:w="468" w:type="pct"/>
            <w:shd w:val="clear" w:color="auto" w:fill="D6E3BC" w:themeFill="accent3" w:themeFillTint="66"/>
          </w:tcPr>
          <w:p w:rsidR="00DF34D6" w:rsidRPr="005F120D" w:rsidRDefault="00D45A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2,949,755</w:t>
            </w:r>
          </w:p>
        </w:tc>
        <w:tc>
          <w:tcPr>
            <w:tcW w:w="496" w:type="pct"/>
            <w:shd w:val="clear" w:color="auto" w:fill="D6E3BC" w:themeFill="accent3" w:themeFillTint="66"/>
          </w:tcPr>
          <w:p w:rsidR="00DF34D6" w:rsidRPr="005F120D" w:rsidRDefault="00D45A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1,329,589</w:t>
            </w:r>
          </w:p>
        </w:tc>
        <w:tc>
          <w:tcPr>
            <w:tcW w:w="503" w:type="pct"/>
            <w:shd w:val="clear" w:color="auto" w:fill="D6E3BC" w:themeFill="accent3" w:themeFillTint="66"/>
          </w:tcPr>
          <w:p w:rsidR="00DF34D6" w:rsidRPr="005F120D" w:rsidRDefault="00D45A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1,553,767</w:t>
            </w:r>
          </w:p>
        </w:tc>
        <w:tc>
          <w:tcPr>
            <w:tcW w:w="502" w:type="pct"/>
            <w:shd w:val="clear" w:color="auto" w:fill="D6E3BC" w:themeFill="accent3" w:themeFillTint="66"/>
          </w:tcPr>
          <w:p w:rsidR="00DF34D6" w:rsidRPr="005F120D" w:rsidRDefault="00D45A95"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2,883,356</w:t>
            </w:r>
          </w:p>
        </w:tc>
      </w:tr>
      <w:tr w:rsidR="00455BDA" w:rsidRPr="005F120D" w:rsidTr="00C437AA">
        <w:trPr>
          <w:trHeight w:hRule="exact" w:val="545"/>
        </w:trPr>
        <w:tc>
          <w:tcPr>
            <w:tcW w:w="292" w:type="pct"/>
            <w:shd w:val="clear" w:color="auto" w:fill="FFFFFF" w:themeFill="background1"/>
          </w:tcPr>
          <w:p w:rsidR="00455BDA" w:rsidRPr="005F120D" w:rsidRDefault="00455BDA"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2015</w:t>
            </w:r>
          </w:p>
        </w:tc>
        <w:tc>
          <w:tcPr>
            <w:tcW w:w="403" w:type="pct"/>
            <w:shd w:val="clear" w:color="auto" w:fill="FFFFFF" w:themeFill="background1"/>
          </w:tcPr>
          <w:p w:rsidR="00005D7C" w:rsidRPr="005F120D" w:rsidRDefault="00005D7C"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99,221</w:t>
            </w:r>
          </w:p>
          <w:p w:rsidR="00455BDA" w:rsidRPr="005F120D" w:rsidRDefault="00455BDA" w:rsidP="000A5B80">
            <w:pPr>
              <w:spacing w:after="0"/>
              <w:jc w:val="center"/>
              <w:rPr>
                <w:rFonts w:asciiTheme="minorHAnsi" w:hAnsiTheme="minorHAnsi" w:cstheme="minorHAnsi"/>
                <w:sz w:val="16"/>
                <w:szCs w:val="16"/>
              </w:rPr>
            </w:pPr>
          </w:p>
        </w:tc>
        <w:tc>
          <w:tcPr>
            <w:tcW w:w="467" w:type="pct"/>
            <w:shd w:val="clear" w:color="auto" w:fill="FFFFFF" w:themeFill="background1"/>
          </w:tcPr>
          <w:p w:rsidR="00CA780C" w:rsidRPr="005F120D" w:rsidRDefault="00005D7C"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1,355,296</w:t>
            </w:r>
          </w:p>
          <w:p w:rsidR="00CA780C" w:rsidRPr="005F120D" w:rsidRDefault="00CA780C" w:rsidP="000A5B80">
            <w:pPr>
              <w:spacing w:after="0"/>
              <w:jc w:val="center"/>
              <w:rPr>
                <w:rFonts w:asciiTheme="minorHAnsi" w:hAnsiTheme="minorHAnsi" w:cstheme="minorHAnsi"/>
                <w:sz w:val="16"/>
                <w:szCs w:val="16"/>
              </w:rPr>
            </w:pPr>
            <w:r w:rsidRPr="005F120D">
              <w:rPr>
                <w:rFonts w:asciiTheme="minorHAnsi" w:hAnsiTheme="minorHAnsi" w:cstheme="minorHAnsi"/>
                <w:color w:val="000000" w:themeColor="text1"/>
                <w:sz w:val="16"/>
                <w:szCs w:val="16"/>
              </w:rPr>
              <w:t>(45.93%)</w:t>
            </w:r>
          </w:p>
          <w:p w:rsidR="00CA780C" w:rsidRPr="005F120D" w:rsidRDefault="00CA780C" w:rsidP="000A5B80">
            <w:pPr>
              <w:spacing w:after="0"/>
              <w:jc w:val="center"/>
              <w:rPr>
                <w:rFonts w:asciiTheme="minorHAnsi" w:hAnsiTheme="minorHAnsi" w:cstheme="minorHAnsi"/>
                <w:sz w:val="16"/>
                <w:szCs w:val="16"/>
              </w:rPr>
            </w:pPr>
          </w:p>
          <w:p w:rsidR="00CA780C" w:rsidRPr="005F120D" w:rsidRDefault="00CA780C" w:rsidP="000A5B80">
            <w:pPr>
              <w:spacing w:after="0"/>
              <w:jc w:val="center"/>
              <w:rPr>
                <w:rFonts w:asciiTheme="minorHAnsi" w:hAnsiTheme="minorHAnsi" w:cstheme="minorHAnsi"/>
                <w:sz w:val="16"/>
                <w:szCs w:val="16"/>
              </w:rPr>
            </w:pPr>
          </w:p>
          <w:p w:rsidR="00CA780C" w:rsidRPr="005F120D" w:rsidRDefault="00CA780C" w:rsidP="000A5B80">
            <w:pPr>
              <w:spacing w:after="0"/>
              <w:jc w:val="center"/>
              <w:rPr>
                <w:rFonts w:asciiTheme="minorHAnsi" w:hAnsiTheme="minorHAnsi" w:cstheme="minorHAnsi"/>
                <w:sz w:val="16"/>
                <w:szCs w:val="16"/>
              </w:rPr>
            </w:pPr>
          </w:p>
          <w:p w:rsidR="00005D7C" w:rsidRPr="005F120D" w:rsidRDefault="00005D7C" w:rsidP="000A5B80">
            <w:pPr>
              <w:spacing w:after="0"/>
              <w:jc w:val="center"/>
              <w:rPr>
                <w:rFonts w:asciiTheme="minorHAnsi" w:hAnsiTheme="minorHAnsi" w:cstheme="minorHAnsi"/>
                <w:sz w:val="16"/>
                <w:szCs w:val="16"/>
              </w:rPr>
            </w:pPr>
          </w:p>
          <w:p w:rsidR="00455BDA" w:rsidRPr="005F120D" w:rsidRDefault="00455BDA" w:rsidP="000A5B80">
            <w:pPr>
              <w:spacing w:after="0"/>
              <w:jc w:val="center"/>
              <w:rPr>
                <w:rFonts w:asciiTheme="minorHAnsi" w:hAnsiTheme="minorHAnsi" w:cstheme="minorHAnsi"/>
                <w:sz w:val="16"/>
                <w:szCs w:val="16"/>
              </w:rPr>
            </w:pPr>
          </w:p>
        </w:tc>
        <w:tc>
          <w:tcPr>
            <w:tcW w:w="467" w:type="pct"/>
            <w:shd w:val="clear" w:color="auto" w:fill="FFFFFF" w:themeFill="background1"/>
          </w:tcPr>
          <w:p w:rsidR="00005D7C" w:rsidRPr="005F120D" w:rsidRDefault="00005D7C"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1,595,468</w:t>
            </w:r>
          </w:p>
          <w:p w:rsidR="00CA780C" w:rsidRPr="005F120D" w:rsidRDefault="00CA780C" w:rsidP="000A5B80">
            <w:pPr>
              <w:spacing w:after="0"/>
              <w:jc w:val="center"/>
              <w:rPr>
                <w:rFonts w:asciiTheme="minorHAnsi" w:hAnsiTheme="minorHAnsi" w:cstheme="minorHAnsi"/>
                <w:sz w:val="16"/>
                <w:szCs w:val="16"/>
              </w:rPr>
            </w:pPr>
            <w:r w:rsidRPr="005F120D">
              <w:rPr>
                <w:rFonts w:asciiTheme="minorHAnsi" w:hAnsiTheme="minorHAnsi" w:cstheme="minorHAnsi"/>
                <w:color w:val="000000" w:themeColor="text1"/>
                <w:sz w:val="16"/>
                <w:szCs w:val="16"/>
              </w:rPr>
              <w:t>(54.07%)</w:t>
            </w:r>
          </w:p>
          <w:p w:rsidR="00455BDA" w:rsidRPr="005F120D" w:rsidRDefault="00455BDA" w:rsidP="000A5B80">
            <w:pPr>
              <w:spacing w:after="0"/>
              <w:jc w:val="center"/>
              <w:rPr>
                <w:rFonts w:asciiTheme="minorHAnsi" w:hAnsiTheme="minorHAnsi" w:cstheme="minorHAnsi"/>
                <w:sz w:val="16"/>
                <w:szCs w:val="16"/>
              </w:rPr>
            </w:pPr>
          </w:p>
        </w:tc>
        <w:tc>
          <w:tcPr>
            <w:tcW w:w="468" w:type="pct"/>
            <w:shd w:val="clear" w:color="auto" w:fill="FFFFFF" w:themeFill="background1"/>
          </w:tcPr>
          <w:p w:rsidR="00005D7C" w:rsidRPr="005F120D" w:rsidRDefault="00005D7C"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2,950,764</w:t>
            </w:r>
          </w:p>
          <w:p w:rsidR="00455BDA" w:rsidRPr="005F120D" w:rsidRDefault="00455BDA" w:rsidP="000A5B80">
            <w:pPr>
              <w:spacing w:after="0"/>
              <w:jc w:val="center"/>
              <w:rPr>
                <w:rFonts w:asciiTheme="minorHAnsi" w:hAnsiTheme="minorHAnsi" w:cstheme="minorHAnsi"/>
                <w:sz w:val="16"/>
                <w:szCs w:val="16"/>
              </w:rPr>
            </w:pPr>
          </w:p>
        </w:tc>
        <w:tc>
          <w:tcPr>
            <w:tcW w:w="467" w:type="pct"/>
            <w:shd w:val="clear" w:color="auto" w:fill="FFFFFF" w:themeFill="background1"/>
          </w:tcPr>
          <w:p w:rsidR="00005D7C" w:rsidRPr="005F120D" w:rsidRDefault="00005D7C"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1,297,265</w:t>
            </w:r>
          </w:p>
          <w:p w:rsidR="00455BDA" w:rsidRPr="005F120D" w:rsidRDefault="00CA780C" w:rsidP="000A5B80">
            <w:pPr>
              <w:spacing w:after="0"/>
              <w:jc w:val="center"/>
              <w:rPr>
                <w:rFonts w:asciiTheme="minorHAnsi" w:hAnsiTheme="minorHAnsi" w:cstheme="minorHAnsi"/>
                <w:sz w:val="16"/>
                <w:szCs w:val="16"/>
              </w:rPr>
            </w:pPr>
            <w:r w:rsidRPr="005F120D">
              <w:rPr>
                <w:rFonts w:asciiTheme="minorHAnsi" w:hAnsiTheme="minorHAnsi" w:cstheme="minorHAnsi"/>
                <w:color w:val="000000" w:themeColor="text1"/>
                <w:sz w:val="16"/>
                <w:szCs w:val="16"/>
              </w:rPr>
              <w:t>(</w:t>
            </w:r>
            <w:r w:rsidR="00BE63E3" w:rsidRPr="005F120D">
              <w:rPr>
                <w:rFonts w:asciiTheme="minorHAnsi" w:hAnsiTheme="minorHAnsi" w:cstheme="minorHAnsi"/>
                <w:color w:val="000000" w:themeColor="text1"/>
                <w:sz w:val="16"/>
                <w:szCs w:val="16"/>
              </w:rPr>
              <w:t>4</w:t>
            </w:r>
            <w:r w:rsidRPr="005F120D">
              <w:rPr>
                <w:rFonts w:asciiTheme="minorHAnsi" w:hAnsiTheme="minorHAnsi" w:cstheme="minorHAnsi"/>
                <w:color w:val="000000" w:themeColor="text1"/>
                <w:sz w:val="16"/>
                <w:szCs w:val="16"/>
              </w:rPr>
              <w:t>5.6</w:t>
            </w:r>
            <w:r w:rsidR="00BE63E3" w:rsidRPr="005F120D">
              <w:rPr>
                <w:rFonts w:asciiTheme="minorHAnsi" w:hAnsiTheme="minorHAnsi" w:cstheme="minorHAnsi"/>
                <w:color w:val="000000" w:themeColor="text1"/>
                <w:sz w:val="16"/>
                <w:szCs w:val="16"/>
              </w:rPr>
              <w:t>9</w:t>
            </w:r>
            <w:r w:rsidRPr="005F120D">
              <w:rPr>
                <w:rFonts w:asciiTheme="minorHAnsi" w:hAnsiTheme="minorHAnsi" w:cstheme="minorHAnsi"/>
                <w:color w:val="000000" w:themeColor="text1"/>
                <w:sz w:val="16"/>
                <w:szCs w:val="16"/>
              </w:rPr>
              <w:t>%)</w:t>
            </w:r>
          </w:p>
        </w:tc>
        <w:tc>
          <w:tcPr>
            <w:tcW w:w="467" w:type="pct"/>
            <w:shd w:val="clear" w:color="auto" w:fill="FFFFFF" w:themeFill="background1"/>
          </w:tcPr>
          <w:p w:rsidR="00005D7C" w:rsidRPr="005F120D" w:rsidRDefault="00005D7C"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1,541,973</w:t>
            </w:r>
          </w:p>
          <w:p w:rsidR="00CA780C" w:rsidRPr="005F120D" w:rsidRDefault="00CA780C" w:rsidP="000A5B80">
            <w:pPr>
              <w:spacing w:after="0"/>
              <w:jc w:val="center"/>
              <w:rPr>
                <w:rFonts w:asciiTheme="minorHAnsi" w:hAnsiTheme="minorHAnsi" w:cstheme="minorHAnsi"/>
                <w:sz w:val="16"/>
                <w:szCs w:val="16"/>
              </w:rPr>
            </w:pPr>
            <w:r w:rsidRPr="005F120D">
              <w:rPr>
                <w:rFonts w:asciiTheme="minorHAnsi" w:hAnsiTheme="minorHAnsi" w:cstheme="minorHAnsi"/>
                <w:color w:val="000000" w:themeColor="text1"/>
                <w:sz w:val="16"/>
                <w:szCs w:val="16"/>
              </w:rPr>
              <w:t>(5</w:t>
            </w:r>
            <w:r w:rsidR="00BE63E3" w:rsidRPr="005F120D">
              <w:rPr>
                <w:rFonts w:asciiTheme="minorHAnsi" w:hAnsiTheme="minorHAnsi" w:cstheme="minorHAnsi"/>
                <w:color w:val="000000" w:themeColor="text1"/>
                <w:sz w:val="16"/>
                <w:szCs w:val="16"/>
              </w:rPr>
              <w:t>4</w:t>
            </w:r>
            <w:r w:rsidRPr="005F120D">
              <w:rPr>
                <w:rFonts w:asciiTheme="minorHAnsi" w:hAnsiTheme="minorHAnsi" w:cstheme="minorHAnsi"/>
                <w:color w:val="000000" w:themeColor="text1"/>
                <w:sz w:val="16"/>
                <w:szCs w:val="16"/>
              </w:rPr>
              <w:t>.</w:t>
            </w:r>
            <w:r w:rsidR="00BE63E3" w:rsidRPr="005F120D">
              <w:rPr>
                <w:rFonts w:asciiTheme="minorHAnsi" w:hAnsiTheme="minorHAnsi" w:cstheme="minorHAnsi"/>
                <w:color w:val="000000" w:themeColor="text1"/>
                <w:sz w:val="16"/>
                <w:szCs w:val="16"/>
              </w:rPr>
              <w:t>31</w:t>
            </w:r>
            <w:r w:rsidRPr="005F120D">
              <w:rPr>
                <w:rFonts w:asciiTheme="minorHAnsi" w:hAnsiTheme="minorHAnsi" w:cstheme="minorHAnsi"/>
                <w:color w:val="000000" w:themeColor="text1"/>
                <w:sz w:val="16"/>
                <w:szCs w:val="16"/>
              </w:rPr>
              <w:t>%)</w:t>
            </w:r>
          </w:p>
          <w:p w:rsidR="00455BDA" w:rsidRPr="005F120D" w:rsidRDefault="00455BDA" w:rsidP="000A5B80">
            <w:pPr>
              <w:spacing w:after="0"/>
              <w:jc w:val="center"/>
              <w:rPr>
                <w:rFonts w:asciiTheme="minorHAnsi" w:hAnsiTheme="minorHAnsi" w:cstheme="minorHAnsi"/>
                <w:sz w:val="16"/>
                <w:szCs w:val="16"/>
              </w:rPr>
            </w:pPr>
          </w:p>
        </w:tc>
        <w:tc>
          <w:tcPr>
            <w:tcW w:w="468" w:type="pct"/>
            <w:shd w:val="clear" w:color="auto" w:fill="FFFFFF" w:themeFill="background1"/>
          </w:tcPr>
          <w:p w:rsidR="00BE63E3" w:rsidRPr="005F120D" w:rsidRDefault="00005D7C"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2,839,238</w:t>
            </w:r>
          </w:p>
          <w:p w:rsidR="00BE63E3" w:rsidRPr="005F120D" w:rsidRDefault="00BE63E3" w:rsidP="000A5B80">
            <w:pPr>
              <w:spacing w:after="0"/>
              <w:jc w:val="center"/>
              <w:rPr>
                <w:rFonts w:asciiTheme="minorHAnsi" w:hAnsiTheme="minorHAnsi" w:cstheme="minorHAnsi"/>
                <w:sz w:val="16"/>
                <w:szCs w:val="16"/>
              </w:rPr>
            </w:pPr>
            <w:r w:rsidRPr="005F120D">
              <w:rPr>
                <w:rFonts w:asciiTheme="minorHAnsi" w:hAnsiTheme="minorHAnsi" w:cstheme="minorHAnsi"/>
                <w:color w:val="000000" w:themeColor="text1"/>
                <w:sz w:val="16"/>
                <w:szCs w:val="16"/>
              </w:rPr>
              <w:t>(96.22%)</w:t>
            </w:r>
          </w:p>
          <w:p w:rsidR="00455BDA" w:rsidRPr="005F120D" w:rsidRDefault="00455BDA" w:rsidP="000A5B80">
            <w:pPr>
              <w:spacing w:after="0"/>
              <w:jc w:val="center"/>
              <w:rPr>
                <w:rFonts w:asciiTheme="minorHAnsi" w:hAnsiTheme="minorHAnsi" w:cstheme="minorHAnsi"/>
                <w:sz w:val="16"/>
                <w:szCs w:val="16"/>
              </w:rPr>
            </w:pPr>
          </w:p>
        </w:tc>
        <w:tc>
          <w:tcPr>
            <w:tcW w:w="496" w:type="pct"/>
            <w:shd w:val="clear" w:color="auto" w:fill="FFFFFF" w:themeFill="background1"/>
          </w:tcPr>
          <w:p w:rsidR="00005D7C" w:rsidRPr="005F120D" w:rsidRDefault="00005D7C"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1,277,146</w:t>
            </w:r>
          </w:p>
          <w:p w:rsidR="00BE63E3" w:rsidRPr="005F120D" w:rsidRDefault="00BE63E3" w:rsidP="000A5B80">
            <w:pPr>
              <w:spacing w:after="0"/>
              <w:jc w:val="center"/>
              <w:rPr>
                <w:rFonts w:asciiTheme="minorHAnsi" w:hAnsiTheme="minorHAnsi" w:cstheme="minorHAnsi"/>
                <w:sz w:val="16"/>
                <w:szCs w:val="16"/>
              </w:rPr>
            </w:pPr>
            <w:r w:rsidRPr="005F120D">
              <w:rPr>
                <w:rFonts w:asciiTheme="minorHAnsi" w:hAnsiTheme="minorHAnsi" w:cstheme="minorHAnsi"/>
                <w:color w:val="000000" w:themeColor="text1"/>
                <w:sz w:val="16"/>
                <w:szCs w:val="16"/>
              </w:rPr>
              <w:t>(45.66%)</w:t>
            </w:r>
          </w:p>
          <w:p w:rsidR="00455BDA" w:rsidRPr="005F120D" w:rsidRDefault="00455BDA" w:rsidP="000A5B80">
            <w:pPr>
              <w:spacing w:after="0"/>
              <w:jc w:val="center"/>
              <w:rPr>
                <w:rFonts w:asciiTheme="minorHAnsi" w:hAnsiTheme="minorHAnsi" w:cstheme="minorHAnsi"/>
                <w:sz w:val="16"/>
                <w:szCs w:val="16"/>
              </w:rPr>
            </w:pPr>
          </w:p>
        </w:tc>
        <w:tc>
          <w:tcPr>
            <w:tcW w:w="503" w:type="pct"/>
            <w:shd w:val="clear" w:color="auto" w:fill="FFFFFF" w:themeFill="background1"/>
          </w:tcPr>
          <w:p w:rsidR="00005D7C" w:rsidRPr="005F120D" w:rsidRDefault="00005D7C"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1,520,128</w:t>
            </w:r>
          </w:p>
          <w:p w:rsidR="00BE63E3" w:rsidRPr="005F120D" w:rsidRDefault="00BE63E3" w:rsidP="000A5B80">
            <w:pPr>
              <w:spacing w:after="0"/>
              <w:jc w:val="center"/>
              <w:rPr>
                <w:rFonts w:asciiTheme="minorHAnsi" w:hAnsiTheme="minorHAnsi" w:cstheme="minorHAnsi"/>
                <w:sz w:val="16"/>
                <w:szCs w:val="16"/>
              </w:rPr>
            </w:pPr>
            <w:r w:rsidRPr="005F120D">
              <w:rPr>
                <w:rFonts w:asciiTheme="minorHAnsi" w:hAnsiTheme="minorHAnsi" w:cstheme="minorHAnsi"/>
                <w:color w:val="000000" w:themeColor="text1"/>
                <w:sz w:val="16"/>
                <w:szCs w:val="16"/>
              </w:rPr>
              <w:t>(54.34%)</w:t>
            </w:r>
          </w:p>
          <w:p w:rsidR="00455BDA" w:rsidRPr="005F120D" w:rsidRDefault="00455BDA" w:rsidP="000A5B80">
            <w:pPr>
              <w:spacing w:after="0"/>
              <w:jc w:val="center"/>
              <w:rPr>
                <w:rFonts w:asciiTheme="minorHAnsi" w:hAnsiTheme="minorHAnsi" w:cstheme="minorHAnsi"/>
                <w:sz w:val="16"/>
                <w:szCs w:val="16"/>
              </w:rPr>
            </w:pPr>
          </w:p>
        </w:tc>
        <w:tc>
          <w:tcPr>
            <w:tcW w:w="502" w:type="pct"/>
            <w:shd w:val="clear" w:color="auto" w:fill="FFFFFF" w:themeFill="background1"/>
          </w:tcPr>
          <w:p w:rsidR="00005D7C" w:rsidRPr="005F120D" w:rsidRDefault="00005D7C" w:rsidP="000A5B80">
            <w:pPr>
              <w:spacing w:after="0"/>
              <w:jc w:val="center"/>
              <w:rPr>
                <w:rFonts w:asciiTheme="minorHAnsi" w:hAnsiTheme="minorHAnsi" w:cstheme="minorHAnsi"/>
                <w:sz w:val="16"/>
                <w:szCs w:val="16"/>
              </w:rPr>
            </w:pPr>
            <w:r w:rsidRPr="005F120D">
              <w:rPr>
                <w:rFonts w:asciiTheme="minorHAnsi" w:hAnsiTheme="minorHAnsi" w:cstheme="minorHAnsi"/>
                <w:sz w:val="16"/>
                <w:szCs w:val="16"/>
              </w:rPr>
              <w:t>2,797,274</w:t>
            </w:r>
          </w:p>
          <w:p w:rsidR="00455BDA" w:rsidRPr="005F120D" w:rsidRDefault="00455BDA" w:rsidP="000A5B80">
            <w:pPr>
              <w:spacing w:after="0"/>
              <w:jc w:val="center"/>
              <w:rPr>
                <w:rFonts w:asciiTheme="minorHAnsi" w:hAnsiTheme="minorHAnsi" w:cstheme="minorHAnsi"/>
                <w:sz w:val="16"/>
                <w:szCs w:val="16"/>
              </w:rPr>
            </w:pPr>
          </w:p>
        </w:tc>
      </w:tr>
    </w:tbl>
    <w:p w:rsidR="00C437AA" w:rsidRPr="005F120D" w:rsidRDefault="00D161E9" w:rsidP="000A5B80">
      <w:pPr>
        <w:pStyle w:val="Listbulletfinal"/>
        <w:tabs>
          <w:tab w:val="clear" w:pos="360"/>
        </w:tabs>
        <w:spacing w:after="0"/>
        <w:ind w:left="0" w:firstLine="0"/>
        <w:rPr>
          <w:rFonts w:asciiTheme="minorHAnsi" w:hAnsiTheme="minorHAnsi" w:cstheme="minorHAnsi"/>
          <w:b/>
          <w:i/>
          <w:sz w:val="16"/>
          <w:szCs w:val="16"/>
        </w:rPr>
      </w:pPr>
      <w:r w:rsidRPr="005F120D">
        <w:rPr>
          <w:rFonts w:asciiTheme="minorHAnsi" w:hAnsiTheme="minorHAnsi" w:cstheme="minorHAnsi"/>
          <w:b/>
          <w:i/>
          <w:sz w:val="16"/>
          <w:szCs w:val="16"/>
        </w:rPr>
        <w:t>Source: PECE results, 2009-2015</w:t>
      </w:r>
      <w:r w:rsidR="00453DC0" w:rsidRPr="005F120D">
        <w:rPr>
          <w:rFonts w:asciiTheme="minorHAnsi" w:hAnsiTheme="minorHAnsi" w:cstheme="minorHAnsi"/>
          <w:b/>
          <w:i/>
          <w:sz w:val="16"/>
          <w:szCs w:val="16"/>
        </w:rPr>
        <w:t xml:space="preserve">. </w:t>
      </w:r>
      <w:bookmarkStart w:id="274" w:name="_Ref387915687"/>
      <w:bookmarkStart w:id="275" w:name="_Toc385419590"/>
    </w:p>
    <w:p w:rsidR="00F24A61" w:rsidRPr="005F120D" w:rsidRDefault="00F24A61" w:rsidP="000A5B80">
      <w:pPr>
        <w:pStyle w:val="Caption"/>
        <w:spacing w:before="240"/>
        <w:rPr>
          <w:rFonts w:cstheme="minorHAnsi"/>
        </w:rPr>
      </w:pPr>
      <w:bookmarkStart w:id="276" w:name="_Toc462837263"/>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Pr="005F120D">
        <w:rPr>
          <w:rFonts w:cstheme="minorHAnsi"/>
        </w:rPr>
        <w:t xml:space="preserve">: Results of </w:t>
      </w:r>
      <w:r w:rsidR="00450C9B" w:rsidRPr="005F120D">
        <w:rPr>
          <w:rFonts w:cstheme="minorHAnsi"/>
        </w:rPr>
        <w:t>Ebtedayee</w:t>
      </w:r>
      <w:r w:rsidRPr="005F120D">
        <w:rPr>
          <w:rFonts w:cstheme="minorHAnsi"/>
        </w:rPr>
        <w:t xml:space="preserve"> Education Completion Examination [</w:t>
      </w:r>
      <w:r w:rsidR="00005D7C" w:rsidRPr="005F120D">
        <w:rPr>
          <w:rFonts w:cstheme="minorHAnsi"/>
        </w:rPr>
        <w:t>E</w:t>
      </w:r>
      <w:r w:rsidR="00450C9B" w:rsidRPr="005F120D">
        <w:rPr>
          <w:rFonts w:cstheme="minorHAnsi"/>
        </w:rPr>
        <w:t>ECE] 2010</w:t>
      </w:r>
      <w:r w:rsidRPr="005F120D">
        <w:rPr>
          <w:rFonts w:cstheme="minorHAnsi"/>
        </w:rPr>
        <w:t>-2015</w:t>
      </w:r>
      <w:bookmarkEnd w:id="276"/>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553"/>
        <w:gridCol w:w="716"/>
        <w:gridCol w:w="873"/>
        <w:gridCol w:w="873"/>
        <w:gridCol w:w="876"/>
        <w:gridCol w:w="841"/>
        <w:gridCol w:w="841"/>
        <w:gridCol w:w="845"/>
        <w:gridCol w:w="943"/>
        <w:gridCol w:w="943"/>
        <w:gridCol w:w="941"/>
      </w:tblGrid>
      <w:tr w:rsidR="00F24A61" w:rsidRPr="005F120D" w:rsidTr="00C437AA">
        <w:trPr>
          <w:trHeight w:hRule="exact" w:val="350"/>
        </w:trPr>
        <w:tc>
          <w:tcPr>
            <w:tcW w:w="299" w:type="pct"/>
            <w:vMerge w:val="restart"/>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Year</w:t>
            </w:r>
          </w:p>
        </w:tc>
        <w:tc>
          <w:tcPr>
            <w:tcW w:w="387" w:type="pct"/>
            <w:vMerge w:val="restart"/>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No. of Inst.</w:t>
            </w:r>
          </w:p>
        </w:tc>
        <w:tc>
          <w:tcPr>
            <w:tcW w:w="1418" w:type="pct"/>
            <w:gridSpan w:val="3"/>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Descriptive Roll (DR)</w:t>
            </w:r>
          </w:p>
        </w:tc>
        <w:tc>
          <w:tcPr>
            <w:tcW w:w="1367" w:type="pct"/>
            <w:gridSpan w:val="3"/>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Appeared in the Exam</w:t>
            </w:r>
          </w:p>
        </w:tc>
        <w:tc>
          <w:tcPr>
            <w:tcW w:w="1529" w:type="pct"/>
            <w:gridSpan w:val="3"/>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Passed in the Exam</w:t>
            </w:r>
          </w:p>
        </w:tc>
      </w:tr>
      <w:tr w:rsidR="00F24A61" w:rsidRPr="005F120D" w:rsidTr="00C437AA">
        <w:trPr>
          <w:trHeight w:hRule="exact" w:val="350"/>
        </w:trPr>
        <w:tc>
          <w:tcPr>
            <w:tcW w:w="299" w:type="pct"/>
            <w:vMerge/>
            <w:shd w:val="clear" w:color="auto" w:fill="C2D69B"/>
            <w:hideMark/>
          </w:tcPr>
          <w:p w:rsidR="00F24A61" w:rsidRPr="005F120D" w:rsidRDefault="00F24A61" w:rsidP="000A5B80">
            <w:pPr>
              <w:spacing w:after="0"/>
              <w:jc w:val="center"/>
              <w:rPr>
                <w:rFonts w:asciiTheme="minorHAnsi" w:hAnsiTheme="minorHAnsi" w:cstheme="minorHAnsi"/>
                <w:b/>
                <w:smallCaps/>
                <w:color w:val="000000" w:themeColor="text1"/>
                <w:sz w:val="18"/>
                <w:szCs w:val="18"/>
              </w:rPr>
            </w:pPr>
          </w:p>
        </w:tc>
        <w:tc>
          <w:tcPr>
            <w:tcW w:w="387" w:type="pct"/>
            <w:vMerge/>
            <w:shd w:val="clear" w:color="auto" w:fill="C2D69B"/>
            <w:hideMark/>
          </w:tcPr>
          <w:p w:rsidR="00F24A61" w:rsidRPr="005F120D" w:rsidRDefault="00F24A61" w:rsidP="000A5B80">
            <w:pPr>
              <w:spacing w:after="0"/>
              <w:jc w:val="center"/>
              <w:rPr>
                <w:rFonts w:asciiTheme="minorHAnsi" w:hAnsiTheme="minorHAnsi" w:cstheme="minorHAnsi"/>
                <w:b/>
                <w:smallCaps/>
                <w:color w:val="000000" w:themeColor="text1"/>
                <w:sz w:val="18"/>
                <w:szCs w:val="18"/>
              </w:rPr>
            </w:pPr>
          </w:p>
        </w:tc>
        <w:tc>
          <w:tcPr>
            <w:tcW w:w="472" w:type="pct"/>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Boy</w:t>
            </w:r>
          </w:p>
        </w:tc>
        <w:tc>
          <w:tcPr>
            <w:tcW w:w="472" w:type="pct"/>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Girl</w:t>
            </w:r>
          </w:p>
        </w:tc>
        <w:tc>
          <w:tcPr>
            <w:tcW w:w="474" w:type="pct"/>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Total</w:t>
            </w:r>
          </w:p>
        </w:tc>
        <w:tc>
          <w:tcPr>
            <w:tcW w:w="455" w:type="pct"/>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Boy</w:t>
            </w:r>
          </w:p>
        </w:tc>
        <w:tc>
          <w:tcPr>
            <w:tcW w:w="455" w:type="pct"/>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Girl</w:t>
            </w:r>
          </w:p>
        </w:tc>
        <w:tc>
          <w:tcPr>
            <w:tcW w:w="457" w:type="pct"/>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Total</w:t>
            </w:r>
          </w:p>
        </w:tc>
        <w:tc>
          <w:tcPr>
            <w:tcW w:w="510" w:type="pct"/>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Boy</w:t>
            </w:r>
          </w:p>
        </w:tc>
        <w:tc>
          <w:tcPr>
            <w:tcW w:w="510" w:type="pct"/>
            <w:shd w:val="clear" w:color="auto" w:fill="C2D69B"/>
            <w:hideMark/>
          </w:tcPr>
          <w:p w:rsidR="00F24A61" w:rsidRPr="005F120D" w:rsidRDefault="00F24A61" w:rsidP="000A5B80">
            <w:pPr>
              <w:spacing w:after="0"/>
              <w:jc w:val="center"/>
              <w:rPr>
                <w:rFonts w:asciiTheme="minorHAnsi" w:hAnsiTheme="minorHAnsi" w:cstheme="minorHAnsi"/>
                <w:b/>
                <w:color w:val="000000" w:themeColor="text1"/>
                <w:sz w:val="18"/>
                <w:szCs w:val="18"/>
              </w:rPr>
            </w:pPr>
            <w:r w:rsidRPr="005F120D">
              <w:rPr>
                <w:rFonts w:asciiTheme="minorHAnsi" w:hAnsiTheme="minorHAnsi" w:cstheme="minorHAnsi"/>
                <w:b/>
                <w:color w:val="000000" w:themeColor="text1"/>
                <w:sz w:val="18"/>
                <w:szCs w:val="18"/>
              </w:rPr>
              <w:t>Girl</w:t>
            </w:r>
          </w:p>
        </w:tc>
        <w:tc>
          <w:tcPr>
            <w:tcW w:w="509" w:type="pct"/>
            <w:shd w:val="clear" w:color="auto" w:fill="C2D69B"/>
            <w:hideMark/>
          </w:tcPr>
          <w:p w:rsidR="00F24A61" w:rsidRPr="005F120D" w:rsidRDefault="00F24A61" w:rsidP="000A5B80">
            <w:pPr>
              <w:spacing w:after="0"/>
              <w:jc w:val="center"/>
              <w:rPr>
                <w:rFonts w:asciiTheme="minorHAnsi" w:hAnsiTheme="minorHAnsi" w:cstheme="minorHAnsi"/>
                <w:b/>
                <w:caps/>
                <w:color w:val="000000" w:themeColor="text1"/>
                <w:sz w:val="18"/>
                <w:szCs w:val="18"/>
              </w:rPr>
            </w:pPr>
            <w:r w:rsidRPr="005F120D">
              <w:rPr>
                <w:rFonts w:asciiTheme="minorHAnsi" w:hAnsiTheme="minorHAnsi" w:cstheme="minorHAnsi"/>
                <w:b/>
                <w:color w:val="000000" w:themeColor="text1"/>
                <w:sz w:val="18"/>
                <w:szCs w:val="18"/>
              </w:rPr>
              <w:t>Total</w:t>
            </w:r>
          </w:p>
        </w:tc>
      </w:tr>
      <w:tr w:rsidR="0021031E" w:rsidRPr="005F120D" w:rsidTr="00C437AA">
        <w:trPr>
          <w:trHeight w:hRule="exact" w:val="350"/>
        </w:trPr>
        <w:tc>
          <w:tcPr>
            <w:tcW w:w="299" w:type="pct"/>
            <w:shd w:val="clear" w:color="auto" w:fill="D6E3BC"/>
            <w:hideMark/>
          </w:tcPr>
          <w:p w:rsidR="0021031E" w:rsidRPr="005F120D" w:rsidRDefault="0021031E"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2010</w:t>
            </w:r>
          </w:p>
        </w:tc>
        <w:tc>
          <w:tcPr>
            <w:tcW w:w="387"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11,453</w:t>
            </w:r>
          </w:p>
        </w:tc>
        <w:tc>
          <w:tcPr>
            <w:tcW w:w="472"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154,809</w:t>
            </w:r>
          </w:p>
        </w:tc>
        <w:tc>
          <w:tcPr>
            <w:tcW w:w="472"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176,799</w:t>
            </w:r>
          </w:p>
        </w:tc>
        <w:tc>
          <w:tcPr>
            <w:tcW w:w="474"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331,608</w:t>
            </w:r>
          </w:p>
        </w:tc>
        <w:tc>
          <w:tcPr>
            <w:tcW w:w="455"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122,025</w:t>
            </w:r>
          </w:p>
        </w:tc>
        <w:tc>
          <w:tcPr>
            <w:tcW w:w="455"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142,841</w:t>
            </w:r>
          </w:p>
        </w:tc>
        <w:tc>
          <w:tcPr>
            <w:tcW w:w="457"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264,866</w:t>
            </w:r>
          </w:p>
        </w:tc>
        <w:tc>
          <w:tcPr>
            <w:tcW w:w="510"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105,168</w:t>
            </w:r>
          </w:p>
        </w:tc>
        <w:tc>
          <w:tcPr>
            <w:tcW w:w="510"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117,147</w:t>
            </w:r>
          </w:p>
        </w:tc>
        <w:tc>
          <w:tcPr>
            <w:tcW w:w="509"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222,315</w:t>
            </w:r>
          </w:p>
        </w:tc>
      </w:tr>
      <w:tr w:rsidR="0021031E" w:rsidRPr="005F120D" w:rsidTr="00C437AA">
        <w:trPr>
          <w:trHeight w:hRule="exact" w:val="350"/>
        </w:trPr>
        <w:tc>
          <w:tcPr>
            <w:tcW w:w="299" w:type="pct"/>
            <w:shd w:val="clear" w:color="auto" w:fill="auto"/>
            <w:hideMark/>
          </w:tcPr>
          <w:p w:rsidR="0021031E" w:rsidRPr="005F120D" w:rsidRDefault="0021031E"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2011</w:t>
            </w:r>
          </w:p>
        </w:tc>
        <w:tc>
          <w:tcPr>
            <w:tcW w:w="387" w:type="pct"/>
            <w:shd w:val="clear" w:color="auto" w:fill="auto"/>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11,519</w:t>
            </w:r>
          </w:p>
        </w:tc>
        <w:tc>
          <w:tcPr>
            <w:tcW w:w="472" w:type="pct"/>
            <w:shd w:val="clear" w:color="auto" w:fill="auto"/>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150,018</w:t>
            </w:r>
          </w:p>
        </w:tc>
        <w:tc>
          <w:tcPr>
            <w:tcW w:w="472" w:type="pct"/>
            <w:shd w:val="clear" w:color="auto" w:fill="auto"/>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171,142</w:t>
            </w:r>
          </w:p>
        </w:tc>
        <w:tc>
          <w:tcPr>
            <w:tcW w:w="474" w:type="pct"/>
            <w:shd w:val="clear" w:color="auto" w:fill="auto"/>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321,160</w:t>
            </w:r>
          </w:p>
        </w:tc>
        <w:tc>
          <w:tcPr>
            <w:tcW w:w="455" w:type="pct"/>
            <w:shd w:val="clear" w:color="auto" w:fill="auto"/>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125,600</w:t>
            </w:r>
          </w:p>
        </w:tc>
        <w:tc>
          <w:tcPr>
            <w:tcW w:w="455" w:type="pct"/>
            <w:shd w:val="clear" w:color="auto" w:fill="auto"/>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146,571</w:t>
            </w:r>
          </w:p>
        </w:tc>
        <w:tc>
          <w:tcPr>
            <w:tcW w:w="457" w:type="pct"/>
            <w:shd w:val="clear" w:color="auto" w:fill="auto"/>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272,171</w:t>
            </w:r>
          </w:p>
        </w:tc>
        <w:tc>
          <w:tcPr>
            <w:tcW w:w="510" w:type="pct"/>
            <w:shd w:val="clear" w:color="auto" w:fill="auto"/>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116,190</w:t>
            </w:r>
          </w:p>
        </w:tc>
        <w:tc>
          <w:tcPr>
            <w:tcW w:w="510" w:type="pct"/>
            <w:shd w:val="clear" w:color="auto" w:fill="auto"/>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132,244</w:t>
            </w:r>
          </w:p>
        </w:tc>
        <w:tc>
          <w:tcPr>
            <w:tcW w:w="509" w:type="pct"/>
            <w:shd w:val="clear" w:color="auto" w:fill="auto"/>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248,434</w:t>
            </w:r>
          </w:p>
        </w:tc>
      </w:tr>
      <w:tr w:rsidR="0021031E" w:rsidRPr="005F120D" w:rsidTr="00C437AA">
        <w:trPr>
          <w:trHeight w:hRule="exact" w:val="350"/>
        </w:trPr>
        <w:tc>
          <w:tcPr>
            <w:tcW w:w="299" w:type="pct"/>
            <w:shd w:val="clear" w:color="auto" w:fill="D6E3BC"/>
            <w:hideMark/>
          </w:tcPr>
          <w:p w:rsidR="0021031E" w:rsidRPr="005F120D" w:rsidRDefault="0021031E"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2012</w:t>
            </w:r>
          </w:p>
        </w:tc>
        <w:tc>
          <w:tcPr>
            <w:tcW w:w="387"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11,602</w:t>
            </w:r>
          </w:p>
        </w:tc>
        <w:tc>
          <w:tcPr>
            <w:tcW w:w="472"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157,121</w:t>
            </w:r>
          </w:p>
        </w:tc>
        <w:tc>
          <w:tcPr>
            <w:tcW w:w="472"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172,648</w:t>
            </w:r>
          </w:p>
        </w:tc>
        <w:tc>
          <w:tcPr>
            <w:tcW w:w="474"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329,769</w:t>
            </w:r>
          </w:p>
        </w:tc>
        <w:tc>
          <w:tcPr>
            <w:tcW w:w="455"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129,818</w:t>
            </w:r>
          </w:p>
        </w:tc>
        <w:tc>
          <w:tcPr>
            <w:tcW w:w="455"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146,555</w:t>
            </w:r>
          </w:p>
        </w:tc>
        <w:tc>
          <w:tcPr>
            <w:tcW w:w="457"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276,373</w:t>
            </w:r>
          </w:p>
        </w:tc>
        <w:tc>
          <w:tcPr>
            <w:tcW w:w="510"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121,090</w:t>
            </w:r>
          </w:p>
        </w:tc>
        <w:tc>
          <w:tcPr>
            <w:tcW w:w="510"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134,404</w:t>
            </w:r>
          </w:p>
        </w:tc>
        <w:tc>
          <w:tcPr>
            <w:tcW w:w="509" w:type="pct"/>
            <w:shd w:val="clear" w:color="auto" w:fill="D6E3BC"/>
            <w:hideMark/>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255,494</w:t>
            </w:r>
          </w:p>
        </w:tc>
      </w:tr>
      <w:tr w:rsidR="0021031E" w:rsidRPr="005F120D" w:rsidTr="00C437AA">
        <w:trPr>
          <w:trHeight w:hRule="exact" w:val="350"/>
        </w:trPr>
        <w:tc>
          <w:tcPr>
            <w:tcW w:w="299"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2013</w:t>
            </w:r>
          </w:p>
        </w:tc>
        <w:tc>
          <w:tcPr>
            <w:tcW w:w="387"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11,771</w:t>
            </w:r>
          </w:p>
        </w:tc>
        <w:tc>
          <w:tcPr>
            <w:tcW w:w="472"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160,921</w:t>
            </w:r>
          </w:p>
        </w:tc>
        <w:tc>
          <w:tcPr>
            <w:tcW w:w="472"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161,271</w:t>
            </w:r>
          </w:p>
        </w:tc>
        <w:tc>
          <w:tcPr>
            <w:tcW w:w="474"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322,192</w:t>
            </w:r>
          </w:p>
        </w:tc>
        <w:tc>
          <w:tcPr>
            <w:tcW w:w="455"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134,458</w:t>
            </w:r>
          </w:p>
        </w:tc>
        <w:tc>
          <w:tcPr>
            <w:tcW w:w="455"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139,521</w:t>
            </w:r>
          </w:p>
        </w:tc>
        <w:tc>
          <w:tcPr>
            <w:tcW w:w="457"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273,979</w:t>
            </w:r>
          </w:p>
        </w:tc>
        <w:tc>
          <w:tcPr>
            <w:tcW w:w="510"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129,320</w:t>
            </w:r>
          </w:p>
        </w:tc>
        <w:tc>
          <w:tcPr>
            <w:tcW w:w="510"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133,152</w:t>
            </w:r>
          </w:p>
        </w:tc>
        <w:tc>
          <w:tcPr>
            <w:tcW w:w="509"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262,472</w:t>
            </w:r>
          </w:p>
        </w:tc>
      </w:tr>
      <w:tr w:rsidR="0021031E" w:rsidRPr="005F120D" w:rsidTr="00C437AA">
        <w:trPr>
          <w:trHeight w:hRule="exact" w:val="350"/>
        </w:trPr>
        <w:tc>
          <w:tcPr>
            <w:tcW w:w="299"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2014</w:t>
            </w:r>
          </w:p>
        </w:tc>
        <w:tc>
          <w:tcPr>
            <w:tcW w:w="387"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11,410</w:t>
            </w:r>
          </w:p>
        </w:tc>
        <w:tc>
          <w:tcPr>
            <w:tcW w:w="472"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157,378</w:t>
            </w:r>
          </w:p>
        </w:tc>
        <w:tc>
          <w:tcPr>
            <w:tcW w:w="472"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148,680</w:t>
            </w:r>
          </w:p>
        </w:tc>
        <w:tc>
          <w:tcPr>
            <w:tcW w:w="474"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306,058</w:t>
            </w:r>
          </w:p>
        </w:tc>
        <w:tc>
          <w:tcPr>
            <w:tcW w:w="455"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133,920</w:t>
            </w:r>
          </w:p>
        </w:tc>
        <w:tc>
          <w:tcPr>
            <w:tcW w:w="455"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132,054</w:t>
            </w:r>
          </w:p>
        </w:tc>
        <w:tc>
          <w:tcPr>
            <w:tcW w:w="457"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265,974</w:t>
            </w:r>
          </w:p>
        </w:tc>
        <w:tc>
          <w:tcPr>
            <w:tcW w:w="510"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128,713</w:t>
            </w:r>
          </w:p>
        </w:tc>
        <w:tc>
          <w:tcPr>
            <w:tcW w:w="510"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126,560</w:t>
            </w:r>
          </w:p>
        </w:tc>
        <w:tc>
          <w:tcPr>
            <w:tcW w:w="509" w:type="pct"/>
            <w:shd w:val="clear" w:color="auto" w:fill="FFFFFF" w:themeFill="background1"/>
          </w:tcPr>
          <w:p w:rsidR="0021031E" w:rsidRPr="005F120D" w:rsidRDefault="0021031E" w:rsidP="000A5B80">
            <w:pPr>
              <w:spacing w:after="0"/>
              <w:jc w:val="center"/>
              <w:rPr>
                <w:rFonts w:asciiTheme="minorHAnsi" w:hAnsiTheme="minorHAnsi" w:cstheme="minorHAnsi"/>
                <w:color w:val="000000"/>
                <w:sz w:val="16"/>
                <w:szCs w:val="16"/>
              </w:rPr>
            </w:pPr>
            <w:r w:rsidRPr="005F120D">
              <w:rPr>
                <w:rFonts w:asciiTheme="minorHAnsi" w:hAnsiTheme="minorHAnsi" w:cstheme="minorHAnsi"/>
                <w:color w:val="000000"/>
                <w:sz w:val="16"/>
                <w:szCs w:val="16"/>
              </w:rPr>
              <w:t>255,273</w:t>
            </w:r>
          </w:p>
        </w:tc>
      </w:tr>
      <w:tr w:rsidR="00F24A61" w:rsidRPr="005F120D" w:rsidTr="00C437AA">
        <w:trPr>
          <w:trHeight w:hRule="exact" w:val="586"/>
        </w:trPr>
        <w:tc>
          <w:tcPr>
            <w:tcW w:w="299" w:type="pct"/>
            <w:shd w:val="clear" w:color="auto" w:fill="FFFFFF" w:themeFill="background1"/>
          </w:tcPr>
          <w:p w:rsidR="00F24A61" w:rsidRPr="005F120D" w:rsidRDefault="00F24A61"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2015</w:t>
            </w:r>
          </w:p>
        </w:tc>
        <w:tc>
          <w:tcPr>
            <w:tcW w:w="387" w:type="pct"/>
            <w:shd w:val="clear" w:color="auto" w:fill="FFFFFF" w:themeFill="background1"/>
          </w:tcPr>
          <w:p w:rsidR="00F24A61"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11,549</w:t>
            </w:r>
          </w:p>
        </w:tc>
        <w:tc>
          <w:tcPr>
            <w:tcW w:w="472" w:type="pct"/>
            <w:shd w:val="clear" w:color="auto" w:fill="FFFFFF" w:themeFill="background1"/>
          </w:tcPr>
          <w:p w:rsidR="00F24A61"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160,643</w:t>
            </w:r>
          </w:p>
          <w:p w:rsidR="008A129F"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(52.46%)</w:t>
            </w:r>
          </w:p>
        </w:tc>
        <w:tc>
          <w:tcPr>
            <w:tcW w:w="472" w:type="pct"/>
            <w:shd w:val="clear" w:color="auto" w:fill="FFFFFF" w:themeFill="background1"/>
          </w:tcPr>
          <w:p w:rsidR="00F24A61"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145,553</w:t>
            </w:r>
          </w:p>
          <w:p w:rsidR="008A129F"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(47.54%)</w:t>
            </w:r>
          </w:p>
          <w:p w:rsidR="008A129F" w:rsidRPr="005F120D" w:rsidRDefault="008A129F" w:rsidP="000A5B80">
            <w:pPr>
              <w:spacing w:after="0"/>
              <w:jc w:val="center"/>
              <w:rPr>
                <w:rFonts w:asciiTheme="minorHAnsi" w:hAnsiTheme="minorHAnsi" w:cstheme="minorHAnsi"/>
                <w:color w:val="000000" w:themeColor="text1"/>
                <w:sz w:val="16"/>
                <w:szCs w:val="16"/>
              </w:rPr>
            </w:pPr>
          </w:p>
        </w:tc>
        <w:tc>
          <w:tcPr>
            <w:tcW w:w="474" w:type="pct"/>
            <w:shd w:val="clear" w:color="auto" w:fill="FFFFFF" w:themeFill="background1"/>
          </w:tcPr>
          <w:p w:rsidR="00F24A61"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306,196</w:t>
            </w:r>
          </w:p>
        </w:tc>
        <w:tc>
          <w:tcPr>
            <w:tcW w:w="455" w:type="pct"/>
            <w:shd w:val="clear" w:color="auto" w:fill="FFFFFF" w:themeFill="background1"/>
          </w:tcPr>
          <w:p w:rsidR="00F24A61"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135,058</w:t>
            </w:r>
          </w:p>
          <w:p w:rsidR="008A129F"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(51.13%)</w:t>
            </w:r>
          </w:p>
        </w:tc>
        <w:tc>
          <w:tcPr>
            <w:tcW w:w="455" w:type="pct"/>
            <w:shd w:val="clear" w:color="auto" w:fill="FFFFFF" w:themeFill="background1"/>
          </w:tcPr>
          <w:p w:rsidR="00F24A61"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129,076</w:t>
            </w:r>
          </w:p>
          <w:p w:rsidR="008A129F"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(48.87%)</w:t>
            </w:r>
          </w:p>
        </w:tc>
        <w:tc>
          <w:tcPr>
            <w:tcW w:w="457" w:type="pct"/>
            <w:shd w:val="clear" w:color="auto" w:fill="FFFFFF" w:themeFill="background1"/>
          </w:tcPr>
          <w:p w:rsidR="00F24A61"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264,134</w:t>
            </w:r>
          </w:p>
          <w:p w:rsidR="008A129F"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(86.26%)</w:t>
            </w:r>
          </w:p>
        </w:tc>
        <w:tc>
          <w:tcPr>
            <w:tcW w:w="510" w:type="pct"/>
            <w:shd w:val="clear" w:color="auto" w:fill="FFFFFF" w:themeFill="background1"/>
          </w:tcPr>
          <w:p w:rsidR="00F24A61"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128,425</w:t>
            </w:r>
          </w:p>
          <w:p w:rsidR="008A129F"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(51.11%)</w:t>
            </w:r>
          </w:p>
        </w:tc>
        <w:tc>
          <w:tcPr>
            <w:tcW w:w="510" w:type="pct"/>
            <w:shd w:val="clear" w:color="auto" w:fill="FFFFFF" w:themeFill="background1"/>
          </w:tcPr>
          <w:p w:rsidR="00F24A61"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122,841</w:t>
            </w:r>
          </w:p>
          <w:p w:rsidR="008A129F"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(48.9%)</w:t>
            </w:r>
          </w:p>
        </w:tc>
        <w:tc>
          <w:tcPr>
            <w:tcW w:w="509" w:type="pct"/>
            <w:shd w:val="clear" w:color="auto" w:fill="FFFFFF" w:themeFill="background1"/>
          </w:tcPr>
          <w:p w:rsidR="00F24A61" w:rsidRPr="005F120D" w:rsidRDefault="008A129F" w:rsidP="000A5B80">
            <w:pPr>
              <w:spacing w:after="0"/>
              <w:jc w:val="center"/>
              <w:rPr>
                <w:rFonts w:asciiTheme="minorHAnsi" w:hAnsiTheme="minorHAnsi" w:cstheme="minorHAnsi"/>
                <w:color w:val="000000" w:themeColor="text1"/>
                <w:sz w:val="16"/>
                <w:szCs w:val="16"/>
              </w:rPr>
            </w:pPr>
            <w:r w:rsidRPr="005F120D">
              <w:rPr>
                <w:rFonts w:asciiTheme="minorHAnsi" w:hAnsiTheme="minorHAnsi" w:cstheme="minorHAnsi"/>
                <w:color w:val="000000" w:themeColor="text1"/>
                <w:sz w:val="16"/>
                <w:szCs w:val="16"/>
              </w:rPr>
              <w:t>251,266</w:t>
            </w:r>
          </w:p>
          <w:p w:rsidR="008A129F" w:rsidRPr="005F120D" w:rsidRDefault="008A129F" w:rsidP="000A5B80">
            <w:pPr>
              <w:spacing w:after="0"/>
              <w:jc w:val="center"/>
              <w:rPr>
                <w:rFonts w:asciiTheme="minorHAnsi" w:hAnsiTheme="minorHAnsi" w:cstheme="minorHAnsi"/>
                <w:color w:val="000000" w:themeColor="text1"/>
                <w:sz w:val="16"/>
                <w:szCs w:val="16"/>
              </w:rPr>
            </w:pPr>
          </w:p>
        </w:tc>
      </w:tr>
    </w:tbl>
    <w:p w:rsidR="00EE6132" w:rsidRPr="005F120D" w:rsidRDefault="00450C9B" w:rsidP="000A5B80">
      <w:pPr>
        <w:spacing w:after="0"/>
        <w:jc w:val="both"/>
        <w:rPr>
          <w:rFonts w:asciiTheme="minorHAnsi" w:hAnsiTheme="minorHAnsi" w:cstheme="minorHAnsi"/>
          <w:color w:val="000000" w:themeColor="text1"/>
        </w:rPr>
      </w:pPr>
      <w:r w:rsidRPr="005F120D">
        <w:rPr>
          <w:rFonts w:asciiTheme="minorHAnsi" w:hAnsiTheme="minorHAnsi" w:cstheme="minorHAnsi"/>
          <w:b/>
          <w:i/>
          <w:color w:val="000000" w:themeColor="text1"/>
          <w:sz w:val="16"/>
          <w:szCs w:val="16"/>
        </w:rPr>
        <w:t>Source: EECE results, 2010</w:t>
      </w:r>
      <w:r w:rsidR="00F24A61" w:rsidRPr="005F120D">
        <w:rPr>
          <w:rFonts w:asciiTheme="minorHAnsi" w:hAnsiTheme="minorHAnsi" w:cstheme="minorHAnsi"/>
          <w:b/>
          <w:i/>
          <w:color w:val="000000" w:themeColor="text1"/>
          <w:sz w:val="16"/>
          <w:szCs w:val="16"/>
        </w:rPr>
        <w:t>-201</w:t>
      </w:r>
      <w:r w:rsidR="002E05EF" w:rsidRPr="005F120D">
        <w:rPr>
          <w:rFonts w:asciiTheme="minorHAnsi" w:hAnsiTheme="minorHAnsi" w:cstheme="minorHAnsi"/>
          <w:b/>
          <w:i/>
          <w:color w:val="000000" w:themeColor="text1"/>
          <w:sz w:val="16"/>
          <w:szCs w:val="16"/>
        </w:rPr>
        <w:t>5</w:t>
      </w:r>
    </w:p>
    <w:p w:rsidR="005636D4" w:rsidRPr="003F16F0" w:rsidRDefault="00152D22" w:rsidP="003F16F0">
      <w:pPr>
        <w:spacing w:before="240"/>
        <w:jc w:val="both"/>
        <w:rPr>
          <w:rFonts w:asciiTheme="minorHAnsi" w:hAnsiTheme="minorHAnsi" w:cstheme="minorHAnsi"/>
          <w:b/>
          <w:color w:val="000000" w:themeColor="text1"/>
        </w:rPr>
      </w:pPr>
      <w:r w:rsidRPr="005F120D">
        <w:rPr>
          <w:rFonts w:asciiTheme="minorHAnsi" w:hAnsiTheme="minorHAnsi" w:cstheme="minorHAnsi"/>
          <w:color w:val="000000"/>
        </w:rPr>
        <w:t xml:space="preserve">The 2015 PECE and EECE examinations were held from 22 to 30 November 2015. The total mark for the examination is 600, comprising 100 marks in each subject of Bengali, English, Mathematics, Bangladesh and Global Studies, Environmental Science and Religion and Moral Education. The </w:t>
      </w:r>
      <w:r w:rsidRPr="005F120D">
        <w:rPr>
          <w:rFonts w:asciiTheme="minorHAnsi" w:hAnsiTheme="minorHAnsi" w:cstheme="minorHAnsi"/>
          <w:color w:val="000000"/>
        </w:rPr>
        <w:lastRenderedPageBreak/>
        <w:t xml:space="preserve">examination was held at 7,071 exam </w:t>
      </w:r>
      <w:r w:rsidR="008A207D" w:rsidRPr="005F120D">
        <w:rPr>
          <w:rFonts w:asciiTheme="minorHAnsi" w:hAnsiTheme="minorHAnsi" w:cstheme="minorHAnsi"/>
          <w:color w:val="000000"/>
        </w:rPr>
        <w:t>centers</w:t>
      </w:r>
      <w:r w:rsidRPr="005F120D">
        <w:rPr>
          <w:rFonts w:asciiTheme="minorHAnsi" w:hAnsiTheme="minorHAnsi" w:cstheme="minorHAnsi"/>
          <w:color w:val="000000"/>
        </w:rPr>
        <w:t xml:space="preserve"> covering seven divisions and including 11 </w:t>
      </w:r>
      <w:r w:rsidR="008A207D" w:rsidRPr="005F120D">
        <w:rPr>
          <w:rFonts w:asciiTheme="minorHAnsi" w:hAnsiTheme="minorHAnsi" w:cstheme="minorHAnsi"/>
          <w:color w:val="000000"/>
        </w:rPr>
        <w:t>centers</w:t>
      </w:r>
      <w:r w:rsidRPr="005F120D">
        <w:rPr>
          <w:rFonts w:asciiTheme="minorHAnsi" w:hAnsiTheme="minorHAnsi" w:cstheme="minorHAnsi"/>
          <w:color w:val="000000"/>
        </w:rPr>
        <w:t xml:space="preserve"> abroad (8 countries).   A summary of the 2015 PECE and EEC</w:t>
      </w:r>
      <w:r w:rsidR="00A150D7" w:rsidRPr="005F120D">
        <w:rPr>
          <w:rFonts w:asciiTheme="minorHAnsi" w:hAnsiTheme="minorHAnsi" w:cstheme="minorHAnsi"/>
          <w:color w:val="000000"/>
        </w:rPr>
        <w:t>E results are shown in Table 3.7</w:t>
      </w:r>
      <w:r w:rsidRPr="005F120D">
        <w:rPr>
          <w:rFonts w:asciiTheme="minorHAnsi" w:hAnsiTheme="minorHAnsi" w:cstheme="minorHAnsi"/>
          <w:color w:val="000000"/>
        </w:rPr>
        <w:t>, by school type; pass rate are shown in Figure</w:t>
      </w:r>
      <w:r w:rsidR="00025F07" w:rsidRPr="005F120D">
        <w:rPr>
          <w:rFonts w:asciiTheme="minorHAnsi" w:hAnsiTheme="minorHAnsi" w:cstheme="minorHAnsi"/>
          <w:color w:val="000000"/>
        </w:rPr>
        <w:t xml:space="preserve"> 3.4; and by Upazila the pass rate of</w:t>
      </w:r>
      <w:r w:rsidRPr="005F120D">
        <w:rPr>
          <w:rFonts w:asciiTheme="minorHAnsi" w:hAnsiTheme="minorHAnsi" w:cstheme="minorHAnsi"/>
          <w:color w:val="000000"/>
        </w:rPr>
        <w:t xml:space="preserve"> eligible student</w:t>
      </w:r>
      <w:r w:rsidR="00025F07" w:rsidRPr="005F120D">
        <w:rPr>
          <w:rFonts w:asciiTheme="minorHAnsi" w:hAnsiTheme="minorHAnsi" w:cstheme="minorHAnsi"/>
          <w:color w:val="000000"/>
        </w:rPr>
        <w:t>s are presented in</w:t>
      </w:r>
      <w:r w:rsidRPr="005F120D">
        <w:rPr>
          <w:rFonts w:asciiTheme="minorHAnsi" w:hAnsiTheme="minorHAnsi" w:cstheme="minorHAnsi"/>
          <w:color w:val="000000"/>
        </w:rPr>
        <w:t xml:space="preserve"> Figure 3.5</w:t>
      </w:r>
      <w:r w:rsidR="00962D04" w:rsidRPr="005F120D">
        <w:rPr>
          <w:rFonts w:asciiTheme="minorHAnsi" w:hAnsiTheme="minorHAnsi" w:cstheme="minorHAnsi"/>
          <w:color w:val="000000" w:themeColor="text1"/>
        </w:rPr>
        <w:t>.</w:t>
      </w:r>
      <w:bookmarkStart w:id="277" w:name="_Ref391120829"/>
    </w:p>
    <w:p w:rsidR="002F7AF4" w:rsidRPr="005F120D" w:rsidRDefault="00E45F77" w:rsidP="00C437AA">
      <w:pPr>
        <w:pStyle w:val="Caption"/>
        <w:spacing w:line="276" w:lineRule="auto"/>
        <w:rPr>
          <w:rFonts w:cstheme="minorHAnsi"/>
        </w:rPr>
      </w:pPr>
      <w:bookmarkStart w:id="278" w:name="_Toc462837264"/>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7</w:t>
      </w:r>
      <w:r w:rsidR="002E2ED5" w:rsidRPr="005F120D">
        <w:rPr>
          <w:rFonts w:cstheme="minorHAnsi"/>
        </w:rPr>
        <w:fldChar w:fldCharType="end"/>
      </w:r>
      <w:bookmarkEnd w:id="274"/>
      <w:bookmarkEnd w:id="277"/>
      <w:r w:rsidR="004565E6" w:rsidRPr="005F120D">
        <w:rPr>
          <w:rFonts w:cstheme="minorHAnsi"/>
        </w:rPr>
        <w:t>:</w:t>
      </w:r>
      <w:r w:rsidR="003F16F0">
        <w:rPr>
          <w:rFonts w:cstheme="minorHAnsi"/>
        </w:rPr>
        <w:t xml:space="preserve"> </w:t>
      </w:r>
      <w:r w:rsidR="00796238" w:rsidRPr="005F120D">
        <w:rPr>
          <w:rFonts w:cstheme="minorHAnsi"/>
        </w:rPr>
        <w:t xml:space="preserve">Results of </w:t>
      </w:r>
      <w:r w:rsidR="00453DC0" w:rsidRPr="005F120D">
        <w:rPr>
          <w:rFonts w:cstheme="minorHAnsi"/>
        </w:rPr>
        <w:t>Primary Education Completion Examination</w:t>
      </w:r>
      <w:bookmarkEnd w:id="275"/>
      <w:r w:rsidR="00D920C1" w:rsidRPr="005F120D">
        <w:rPr>
          <w:rFonts w:cstheme="minorHAnsi"/>
        </w:rPr>
        <w:t xml:space="preserve"> 201</w:t>
      </w:r>
      <w:r w:rsidR="00F24A61" w:rsidRPr="005F120D">
        <w:rPr>
          <w:rFonts w:cstheme="minorHAnsi"/>
        </w:rPr>
        <w:t>5</w:t>
      </w:r>
      <w:bookmarkEnd w:id="278"/>
    </w:p>
    <w:tbl>
      <w:tblPr>
        <w:tblW w:w="5123" w:type="pct"/>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4"/>
        <w:gridCol w:w="987"/>
        <w:gridCol w:w="1038"/>
        <w:gridCol w:w="1004"/>
        <w:gridCol w:w="1175"/>
        <w:gridCol w:w="1125"/>
        <w:gridCol w:w="1243"/>
        <w:gridCol w:w="1176"/>
      </w:tblGrid>
      <w:tr w:rsidR="00453DC0" w:rsidRPr="005F120D" w:rsidTr="003B3565">
        <w:trPr>
          <w:tblHeader/>
          <w:jc w:val="center"/>
        </w:trPr>
        <w:tc>
          <w:tcPr>
            <w:tcW w:w="910" w:type="pct"/>
            <w:tcBorders>
              <w:left w:val="single" w:sz="4" w:space="0" w:color="auto"/>
              <w:bottom w:val="nil"/>
            </w:tcBorders>
            <w:shd w:val="clear" w:color="auto" w:fill="FFFFFF" w:themeFill="background1"/>
          </w:tcPr>
          <w:p w:rsidR="00453DC0" w:rsidRPr="005F120D" w:rsidRDefault="00453DC0" w:rsidP="00C437AA">
            <w:pPr>
              <w:pStyle w:val="Tabletext"/>
              <w:keepNext/>
              <w:spacing w:line="276" w:lineRule="auto"/>
              <w:jc w:val="center"/>
              <w:rPr>
                <w:rFonts w:asciiTheme="minorHAnsi" w:hAnsiTheme="minorHAnsi" w:cstheme="minorHAnsi"/>
                <w:sz w:val="18"/>
                <w:szCs w:val="18"/>
              </w:rPr>
            </w:pPr>
          </w:p>
        </w:tc>
        <w:tc>
          <w:tcPr>
            <w:tcW w:w="521" w:type="pct"/>
            <w:tcBorders>
              <w:bottom w:val="nil"/>
            </w:tcBorders>
            <w:shd w:val="clear" w:color="auto" w:fill="DDD9C3" w:themeFill="background2" w:themeFillShade="E6"/>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Schools</w:t>
            </w:r>
          </w:p>
        </w:tc>
        <w:tc>
          <w:tcPr>
            <w:tcW w:w="547" w:type="pct"/>
            <w:tcBorders>
              <w:bottom w:val="nil"/>
            </w:tcBorders>
            <w:shd w:val="clear" w:color="auto" w:fill="FFFFFF" w:themeFill="background1"/>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Eligible students (DR)</w:t>
            </w:r>
          </w:p>
        </w:tc>
        <w:tc>
          <w:tcPr>
            <w:tcW w:w="530" w:type="pct"/>
            <w:tcBorders>
              <w:bottom w:val="nil"/>
            </w:tcBorders>
            <w:shd w:val="clear" w:color="auto" w:fill="DBE5F1" w:themeFill="accent1" w:themeFillTint="33"/>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Present students</w:t>
            </w:r>
          </w:p>
        </w:tc>
        <w:tc>
          <w:tcPr>
            <w:tcW w:w="620" w:type="pct"/>
            <w:tcBorders>
              <w:bottom w:val="nil"/>
            </w:tcBorders>
            <w:shd w:val="clear" w:color="auto" w:fill="F2DBDB" w:themeFill="accent2" w:themeFillTint="33"/>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Participation rate</w:t>
            </w:r>
          </w:p>
        </w:tc>
        <w:tc>
          <w:tcPr>
            <w:tcW w:w="594" w:type="pct"/>
            <w:tcBorders>
              <w:bottom w:val="nil"/>
            </w:tcBorders>
            <w:shd w:val="clear" w:color="auto" w:fill="E5DFEC" w:themeFill="accent4" w:themeFillTint="33"/>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Students passed</w:t>
            </w:r>
          </w:p>
        </w:tc>
        <w:tc>
          <w:tcPr>
            <w:tcW w:w="656" w:type="pct"/>
            <w:tcBorders>
              <w:bottom w:val="nil"/>
            </w:tcBorders>
            <w:shd w:val="clear" w:color="auto" w:fill="DAEEF3" w:themeFill="accent5" w:themeFillTint="33"/>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xml:space="preserve">Pass rate, as percentage of </w:t>
            </w:r>
            <w:r w:rsidR="00C15133" w:rsidRPr="005F120D">
              <w:rPr>
                <w:rFonts w:asciiTheme="minorHAnsi" w:hAnsiTheme="minorHAnsi" w:cstheme="minorHAnsi"/>
                <w:sz w:val="18"/>
                <w:szCs w:val="18"/>
              </w:rPr>
              <w:t>appeared</w:t>
            </w:r>
            <w:r w:rsidRPr="005F120D">
              <w:rPr>
                <w:rFonts w:asciiTheme="minorHAnsi" w:hAnsiTheme="minorHAnsi" w:cstheme="minorHAnsi"/>
                <w:sz w:val="18"/>
                <w:szCs w:val="18"/>
              </w:rPr>
              <w:t xml:space="preserve"> students</w:t>
            </w:r>
          </w:p>
        </w:tc>
        <w:tc>
          <w:tcPr>
            <w:tcW w:w="622" w:type="pct"/>
            <w:tcBorders>
              <w:bottom w:val="nil"/>
              <w:right w:val="single" w:sz="4" w:space="0" w:color="auto"/>
            </w:tcBorders>
            <w:shd w:val="clear" w:color="auto" w:fill="FDE9D9" w:themeFill="accent6" w:themeFillTint="33"/>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Pass rate, as percentage of eligible students</w:t>
            </w:r>
          </w:p>
        </w:tc>
      </w:tr>
      <w:tr w:rsidR="00453DC0" w:rsidRPr="005F120D" w:rsidTr="003B3565">
        <w:trPr>
          <w:trHeight w:val="135"/>
          <w:tblHeader/>
          <w:jc w:val="center"/>
        </w:trPr>
        <w:tc>
          <w:tcPr>
            <w:tcW w:w="910" w:type="pct"/>
            <w:tcBorders>
              <w:top w:val="nil"/>
              <w:left w:val="single" w:sz="4" w:space="0" w:color="auto"/>
              <w:bottom w:val="single" w:sz="4" w:space="0" w:color="auto"/>
            </w:tcBorders>
            <w:shd w:val="clear" w:color="auto" w:fill="FFFFFF" w:themeFill="background1"/>
          </w:tcPr>
          <w:p w:rsidR="00453DC0" w:rsidRPr="005F120D" w:rsidRDefault="00453DC0" w:rsidP="00C437AA">
            <w:pPr>
              <w:pStyle w:val="Tabletext"/>
              <w:keepNext/>
              <w:spacing w:line="276" w:lineRule="auto"/>
              <w:jc w:val="center"/>
              <w:rPr>
                <w:rFonts w:asciiTheme="minorHAnsi" w:hAnsiTheme="minorHAnsi" w:cstheme="minorHAnsi"/>
                <w:sz w:val="18"/>
                <w:szCs w:val="18"/>
              </w:rPr>
            </w:pPr>
          </w:p>
        </w:tc>
        <w:tc>
          <w:tcPr>
            <w:tcW w:w="521" w:type="pct"/>
            <w:tcBorders>
              <w:top w:val="nil"/>
              <w:bottom w:val="single" w:sz="4" w:space="0" w:color="auto"/>
            </w:tcBorders>
            <w:shd w:val="clear" w:color="auto" w:fill="DDD9C3" w:themeFill="background2" w:themeFillShade="E6"/>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47" w:type="pct"/>
            <w:tcBorders>
              <w:top w:val="nil"/>
              <w:bottom w:val="single" w:sz="4" w:space="0" w:color="auto"/>
            </w:tcBorders>
            <w:shd w:val="clear" w:color="auto" w:fill="FFFFFF" w:themeFill="background1"/>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530" w:type="pct"/>
            <w:tcBorders>
              <w:top w:val="nil"/>
              <w:bottom w:val="single" w:sz="4" w:space="0" w:color="auto"/>
            </w:tcBorders>
            <w:shd w:val="clear" w:color="auto" w:fill="DBE5F1" w:themeFill="accent1" w:themeFillTint="33"/>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620" w:type="pct"/>
            <w:tcBorders>
              <w:top w:val="nil"/>
              <w:bottom w:val="single" w:sz="4" w:space="0" w:color="auto"/>
            </w:tcBorders>
            <w:shd w:val="clear" w:color="auto" w:fill="F2DBDB" w:themeFill="accent2" w:themeFillTint="33"/>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=(3)/(2)</w:t>
            </w:r>
          </w:p>
        </w:tc>
        <w:tc>
          <w:tcPr>
            <w:tcW w:w="594" w:type="pct"/>
            <w:tcBorders>
              <w:top w:val="nil"/>
              <w:bottom w:val="single" w:sz="4" w:space="0" w:color="auto"/>
            </w:tcBorders>
            <w:shd w:val="clear" w:color="auto" w:fill="E5DFEC" w:themeFill="accent4" w:themeFillTint="33"/>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656" w:type="pct"/>
            <w:tcBorders>
              <w:top w:val="nil"/>
              <w:bottom w:val="single" w:sz="4" w:space="0" w:color="auto"/>
            </w:tcBorders>
            <w:shd w:val="clear" w:color="auto" w:fill="DAEEF3" w:themeFill="accent5" w:themeFillTint="33"/>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=(4)/(3)</w:t>
            </w:r>
          </w:p>
        </w:tc>
        <w:tc>
          <w:tcPr>
            <w:tcW w:w="622" w:type="pct"/>
            <w:tcBorders>
              <w:top w:val="nil"/>
              <w:bottom w:val="single" w:sz="4" w:space="0" w:color="auto"/>
              <w:right w:val="single" w:sz="4" w:space="0" w:color="auto"/>
            </w:tcBorders>
            <w:shd w:val="clear" w:color="auto" w:fill="FDE9D9" w:themeFill="accent6" w:themeFillTint="33"/>
          </w:tcPr>
          <w:p w:rsidR="00453DC0" w:rsidRPr="005F120D" w:rsidRDefault="00453DC0" w:rsidP="00C437AA">
            <w:pPr>
              <w:pStyle w:val="Tabletext"/>
              <w:keepNext/>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=(4)/(2)</w:t>
            </w:r>
          </w:p>
        </w:tc>
      </w:tr>
      <w:tr w:rsidR="003825A0" w:rsidRPr="005F120D" w:rsidTr="003B3565">
        <w:trPr>
          <w:trHeight w:hRule="exact" w:val="217"/>
          <w:jc w:val="center"/>
        </w:trPr>
        <w:tc>
          <w:tcPr>
            <w:tcW w:w="1431" w:type="pct"/>
            <w:gridSpan w:val="2"/>
            <w:tcBorders>
              <w:top w:val="single" w:sz="4" w:space="0" w:color="auto"/>
              <w:left w:val="single" w:sz="4" w:space="0" w:color="auto"/>
              <w:bottom w:val="single" w:sz="4" w:space="0" w:color="auto"/>
              <w:right w:val="nil"/>
            </w:tcBorders>
            <w:shd w:val="clear" w:color="auto" w:fill="FFFFFF" w:themeFill="background1"/>
          </w:tcPr>
          <w:p w:rsidR="003825A0" w:rsidRPr="005F120D" w:rsidRDefault="003825A0" w:rsidP="00C437AA">
            <w:pPr>
              <w:spacing w:line="276" w:lineRule="auto"/>
              <w:rPr>
                <w:rFonts w:asciiTheme="minorHAnsi" w:hAnsiTheme="minorHAnsi" w:cstheme="minorHAnsi"/>
                <w:sz w:val="18"/>
                <w:szCs w:val="18"/>
              </w:rPr>
            </w:pPr>
            <w:r w:rsidRPr="005F120D">
              <w:rPr>
                <w:rFonts w:asciiTheme="minorHAnsi" w:hAnsiTheme="minorHAnsi" w:cstheme="minorHAnsi"/>
                <w:b/>
                <w:bCs/>
                <w:sz w:val="18"/>
                <w:szCs w:val="18"/>
              </w:rPr>
              <w:t>PECE (Formal schools)</w:t>
            </w:r>
          </w:p>
        </w:tc>
        <w:tc>
          <w:tcPr>
            <w:tcW w:w="547" w:type="pct"/>
            <w:tcBorders>
              <w:top w:val="single" w:sz="4" w:space="0" w:color="auto"/>
              <w:left w:val="nil"/>
              <w:bottom w:val="single" w:sz="4" w:space="0" w:color="auto"/>
              <w:right w:val="nil"/>
            </w:tcBorders>
            <w:shd w:val="clear" w:color="auto" w:fill="FFFFFF" w:themeFill="background1"/>
          </w:tcPr>
          <w:p w:rsidR="003825A0" w:rsidRPr="005F120D" w:rsidRDefault="003825A0" w:rsidP="00C437AA">
            <w:pPr>
              <w:spacing w:line="276" w:lineRule="auto"/>
              <w:jc w:val="center"/>
              <w:rPr>
                <w:rFonts w:asciiTheme="minorHAnsi" w:hAnsiTheme="minorHAnsi" w:cstheme="minorHAnsi"/>
                <w:sz w:val="18"/>
                <w:szCs w:val="18"/>
              </w:rPr>
            </w:pPr>
          </w:p>
        </w:tc>
        <w:tc>
          <w:tcPr>
            <w:tcW w:w="530" w:type="pct"/>
            <w:tcBorders>
              <w:top w:val="single" w:sz="4" w:space="0" w:color="auto"/>
              <w:left w:val="nil"/>
              <w:bottom w:val="single" w:sz="4" w:space="0" w:color="auto"/>
              <w:right w:val="nil"/>
            </w:tcBorders>
            <w:shd w:val="clear" w:color="auto" w:fill="FFFFFF" w:themeFill="background1"/>
          </w:tcPr>
          <w:p w:rsidR="003825A0" w:rsidRPr="005F120D" w:rsidRDefault="003825A0" w:rsidP="00C437AA">
            <w:pPr>
              <w:spacing w:line="276" w:lineRule="auto"/>
              <w:jc w:val="center"/>
              <w:rPr>
                <w:rFonts w:asciiTheme="minorHAnsi" w:hAnsiTheme="minorHAnsi" w:cstheme="minorHAnsi"/>
                <w:sz w:val="18"/>
                <w:szCs w:val="18"/>
              </w:rPr>
            </w:pPr>
          </w:p>
        </w:tc>
        <w:tc>
          <w:tcPr>
            <w:tcW w:w="620" w:type="pct"/>
            <w:tcBorders>
              <w:top w:val="single" w:sz="4" w:space="0" w:color="auto"/>
              <w:left w:val="nil"/>
              <w:bottom w:val="single" w:sz="4" w:space="0" w:color="auto"/>
              <w:right w:val="nil"/>
            </w:tcBorders>
            <w:shd w:val="clear" w:color="auto" w:fill="FFFFFF" w:themeFill="background1"/>
          </w:tcPr>
          <w:p w:rsidR="003825A0" w:rsidRPr="005F120D" w:rsidRDefault="003825A0" w:rsidP="00C437AA">
            <w:pPr>
              <w:spacing w:line="276" w:lineRule="auto"/>
              <w:jc w:val="center"/>
              <w:rPr>
                <w:rFonts w:asciiTheme="minorHAnsi" w:hAnsiTheme="minorHAnsi" w:cstheme="minorHAnsi"/>
                <w:sz w:val="18"/>
                <w:szCs w:val="18"/>
              </w:rPr>
            </w:pPr>
          </w:p>
        </w:tc>
        <w:tc>
          <w:tcPr>
            <w:tcW w:w="594" w:type="pct"/>
            <w:tcBorders>
              <w:top w:val="single" w:sz="4" w:space="0" w:color="auto"/>
              <w:left w:val="nil"/>
              <w:bottom w:val="single" w:sz="4" w:space="0" w:color="auto"/>
              <w:right w:val="nil"/>
            </w:tcBorders>
            <w:shd w:val="clear" w:color="auto" w:fill="FFFFFF" w:themeFill="background1"/>
          </w:tcPr>
          <w:p w:rsidR="003825A0" w:rsidRPr="005F120D" w:rsidRDefault="003825A0" w:rsidP="00C437AA">
            <w:pPr>
              <w:spacing w:line="276" w:lineRule="auto"/>
              <w:jc w:val="center"/>
              <w:rPr>
                <w:rFonts w:asciiTheme="minorHAnsi" w:hAnsiTheme="minorHAnsi" w:cstheme="minorHAnsi"/>
                <w:sz w:val="18"/>
                <w:szCs w:val="18"/>
              </w:rPr>
            </w:pPr>
          </w:p>
        </w:tc>
        <w:tc>
          <w:tcPr>
            <w:tcW w:w="656" w:type="pct"/>
            <w:tcBorders>
              <w:top w:val="single" w:sz="4" w:space="0" w:color="auto"/>
              <w:left w:val="nil"/>
              <w:bottom w:val="single" w:sz="4" w:space="0" w:color="auto"/>
              <w:right w:val="nil"/>
            </w:tcBorders>
            <w:shd w:val="clear" w:color="auto" w:fill="FFFFFF" w:themeFill="background1"/>
          </w:tcPr>
          <w:p w:rsidR="003825A0" w:rsidRPr="005F120D" w:rsidRDefault="003825A0" w:rsidP="00C437AA">
            <w:pPr>
              <w:spacing w:line="276" w:lineRule="auto"/>
              <w:jc w:val="center"/>
              <w:rPr>
                <w:rFonts w:asciiTheme="minorHAnsi" w:hAnsiTheme="minorHAnsi" w:cstheme="minorHAnsi"/>
                <w:sz w:val="18"/>
                <w:szCs w:val="18"/>
              </w:rPr>
            </w:pPr>
          </w:p>
        </w:tc>
        <w:tc>
          <w:tcPr>
            <w:tcW w:w="622" w:type="pct"/>
            <w:tcBorders>
              <w:top w:val="single" w:sz="4" w:space="0" w:color="auto"/>
              <w:left w:val="nil"/>
              <w:bottom w:val="single" w:sz="4" w:space="0" w:color="auto"/>
              <w:right w:val="single" w:sz="4" w:space="0" w:color="auto"/>
            </w:tcBorders>
            <w:shd w:val="clear" w:color="auto" w:fill="FFFFFF" w:themeFill="background1"/>
          </w:tcPr>
          <w:p w:rsidR="003825A0" w:rsidRPr="005F120D" w:rsidRDefault="003825A0" w:rsidP="00C437AA">
            <w:pPr>
              <w:spacing w:line="276" w:lineRule="auto"/>
              <w:jc w:val="center"/>
              <w:rPr>
                <w:rFonts w:asciiTheme="minorHAnsi" w:hAnsiTheme="minorHAnsi" w:cstheme="minorHAnsi"/>
                <w:sz w:val="18"/>
                <w:szCs w:val="18"/>
              </w:rPr>
            </w:pPr>
          </w:p>
        </w:tc>
      </w:tr>
      <w:tr w:rsidR="00005D7C" w:rsidRPr="005F120D" w:rsidTr="003B3565">
        <w:trPr>
          <w:trHeight w:hRule="exact" w:val="262"/>
          <w:jc w:val="center"/>
        </w:trPr>
        <w:tc>
          <w:tcPr>
            <w:tcW w:w="910" w:type="pct"/>
            <w:tcBorders>
              <w:top w:val="single" w:sz="4" w:space="0" w:color="auto"/>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1. GPS</w:t>
            </w:r>
          </w:p>
        </w:tc>
        <w:tc>
          <w:tcPr>
            <w:tcW w:w="521" w:type="pct"/>
            <w:tcBorders>
              <w:top w:val="single" w:sz="4" w:space="0" w:color="auto"/>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37,261</w:t>
            </w:r>
          </w:p>
        </w:tc>
        <w:tc>
          <w:tcPr>
            <w:tcW w:w="547" w:type="pct"/>
            <w:tcBorders>
              <w:top w:val="single" w:sz="4" w:space="0" w:color="auto"/>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1,516,441</w:t>
            </w:r>
          </w:p>
        </w:tc>
        <w:tc>
          <w:tcPr>
            <w:tcW w:w="530" w:type="pct"/>
            <w:tcBorders>
              <w:top w:val="single" w:sz="4" w:space="0" w:color="auto"/>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1,470,005</w:t>
            </w:r>
          </w:p>
        </w:tc>
        <w:tc>
          <w:tcPr>
            <w:tcW w:w="620" w:type="pct"/>
            <w:tcBorders>
              <w:top w:val="single" w:sz="4" w:space="0" w:color="auto"/>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96.94%</w:t>
            </w:r>
          </w:p>
        </w:tc>
        <w:tc>
          <w:tcPr>
            <w:tcW w:w="594" w:type="pct"/>
            <w:tcBorders>
              <w:top w:val="single" w:sz="4" w:space="0" w:color="auto"/>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1,452,336</w:t>
            </w:r>
          </w:p>
        </w:tc>
        <w:tc>
          <w:tcPr>
            <w:tcW w:w="656" w:type="pct"/>
            <w:tcBorders>
              <w:top w:val="single" w:sz="4" w:space="0" w:color="auto"/>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98.80%</w:t>
            </w:r>
          </w:p>
        </w:tc>
        <w:tc>
          <w:tcPr>
            <w:tcW w:w="622" w:type="pct"/>
            <w:tcBorders>
              <w:top w:val="single" w:sz="4" w:space="0" w:color="auto"/>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95.77%</w:t>
            </w:r>
          </w:p>
        </w:tc>
      </w:tr>
      <w:tr w:rsidR="00005D7C" w:rsidRPr="005F120D" w:rsidTr="003B3565">
        <w:trPr>
          <w:trHeight w:hRule="exact" w:val="262"/>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2. RNGPS</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97</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2,193</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2,056</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93.75%</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2,007</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97.62%</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91.52%</w:t>
            </w:r>
          </w:p>
        </w:tc>
      </w:tr>
      <w:tr w:rsidR="00005D7C" w:rsidRPr="005F120D" w:rsidTr="003B3565">
        <w:trPr>
          <w:trHeight w:hRule="exact" w:val="262"/>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3. Model Govt.</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503</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50,582</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49,533</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97.93%</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49,120</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99.17%</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97.11%</w:t>
            </w:r>
          </w:p>
        </w:tc>
      </w:tr>
      <w:tr w:rsidR="00005D7C" w:rsidRPr="005F120D" w:rsidTr="003B3565">
        <w:trPr>
          <w:trHeight w:hRule="exact" w:val="262"/>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4. Experimental</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56</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1,942</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1,913</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98.51%</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1,907</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99.69%</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98.20%</w:t>
            </w:r>
          </w:p>
        </w:tc>
      </w:tr>
      <w:tr w:rsidR="00005D7C" w:rsidRPr="005F120D" w:rsidTr="003B3565">
        <w:trPr>
          <w:trHeight w:hRule="exact" w:val="262"/>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5.  Temp. Reg. Non.Gov. Pry. Sch.</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139</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1,543</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1,350</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87.49%</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1,328</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98.37%</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86.07%</w:t>
            </w:r>
          </w:p>
        </w:tc>
      </w:tr>
      <w:tr w:rsidR="00005D7C" w:rsidRPr="005F120D" w:rsidTr="003B3565">
        <w:trPr>
          <w:trHeight w:hRule="exact" w:val="270"/>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6. Kindergarten</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18,144</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304,065</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292,605</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96.23%</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290,719</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99.36%</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95.61%</w:t>
            </w:r>
          </w:p>
        </w:tc>
      </w:tr>
      <w:tr w:rsidR="00005D7C" w:rsidRPr="005F120D" w:rsidTr="003B3565">
        <w:trPr>
          <w:trHeight w:hRule="exact" w:val="207"/>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7. NGO</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5,714</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143,935</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136,234</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94.65%</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132,413</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97.20%</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91.99%</w:t>
            </w:r>
          </w:p>
        </w:tc>
      </w:tr>
      <w:tr w:rsidR="00005D7C" w:rsidRPr="005F120D" w:rsidTr="003B3565">
        <w:trPr>
          <w:trHeight w:hRule="exact" w:val="225"/>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8. Community</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79</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892</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809</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90.70%</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781</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96.54%</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87.56%</w:t>
            </w:r>
          </w:p>
        </w:tc>
      </w:tr>
      <w:tr w:rsidR="00005D7C" w:rsidRPr="005F120D" w:rsidTr="003B3565">
        <w:trPr>
          <w:trHeight w:hRule="exact" w:val="270"/>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09. NNNPS</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2,455</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25,304</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22,147</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87.52%</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21,301</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96.18%</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84.18%</w:t>
            </w:r>
          </w:p>
        </w:tc>
      </w:tr>
      <w:tr w:rsidR="00005D7C" w:rsidRPr="005F120D" w:rsidTr="003B3565">
        <w:trPr>
          <w:trHeight w:hRule="exact" w:val="432"/>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25F07"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 xml:space="preserve">10. High schools </w:t>
            </w:r>
            <w:r w:rsidR="00F45237" w:rsidRPr="005F120D">
              <w:rPr>
                <w:rFonts w:asciiTheme="minorHAnsi" w:hAnsiTheme="minorHAnsi" w:cstheme="minorHAnsi"/>
                <w:sz w:val="18"/>
                <w:szCs w:val="18"/>
              </w:rPr>
              <w:t xml:space="preserve">+ </w:t>
            </w:r>
            <w:r w:rsidR="00005D7C" w:rsidRPr="005F120D">
              <w:rPr>
                <w:rFonts w:asciiTheme="minorHAnsi" w:hAnsiTheme="minorHAnsi" w:cstheme="minorHAnsi"/>
                <w:sz w:val="18"/>
                <w:szCs w:val="18"/>
              </w:rPr>
              <w:t>attached primary</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1,856</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148,067</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143,892</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97.18%</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142,989</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99.37%</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96.57%</w:t>
            </w:r>
          </w:p>
        </w:tc>
      </w:tr>
      <w:tr w:rsidR="00005D7C" w:rsidRPr="005F120D" w:rsidTr="003B3565">
        <w:trPr>
          <w:trHeight w:hRule="exact" w:val="432"/>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14. 1500 School Project</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448</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6,656</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6,357</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95.51%</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6,250</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98.32%</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93.90%</w:t>
            </w:r>
          </w:p>
        </w:tc>
      </w:tr>
      <w:tr w:rsidR="00005D7C" w:rsidRPr="005F120D" w:rsidTr="003B3565">
        <w:trPr>
          <w:trHeight w:hRule="exact" w:val="252"/>
          <w:jc w:val="center"/>
        </w:trPr>
        <w:tc>
          <w:tcPr>
            <w:tcW w:w="910" w:type="pct"/>
            <w:tcBorders>
              <w:top w:val="nil"/>
              <w:left w:val="single" w:sz="4" w:space="0" w:color="auto"/>
              <w:bottom w:val="single" w:sz="4" w:space="0" w:color="auto"/>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15. NNPS</w:t>
            </w:r>
          </w:p>
        </w:tc>
        <w:tc>
          <w:tcPr>
            <w:tcW w:w="521" w:type="pct"/>
            <w:tcBorders>
              <w:top w:val="nil"/>
              <w:left w:val="single" w:sz="4" w:space="0" w:color="auto"/>
              <w:bottom w:val="single" w:sz="4" w:space="0" w:color="auto"/>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25,465</w:t>
            </w:r>
          </w:p>
        </w:tc>
        <w:tc>
          <w:tcPr>
            <w:tcW w:w="547" w:type="pct"/>
            <w:tcBorders>
              <w:top w:val="nil"/>
              <w:left w:val="single" w:sz="4" w:space="0" w:color="auto"/>
              <w:bottom w:val="single" w:sz="4" w:space="0" w:color="auto"/>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587,308</w:t>
            </w:r>
          </w:p>
        </w:tc>
        <w:tc>
          <w:tcPr>
            <w:tcW w:w="530" w:type="pct"/>
            <w:tcBorders>
              <w:top w:val="nil"/>
              <w:left w:val="single" w:sz="4" w:space="0" w:color="auto"/>
              <w:bottom w:val="single" w:sz="4" w:space="0" w:color="auto"/>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559,908</w:t>
            </w:r>
          </w:p>
        </w:tc>
        <w:tc>
          <w:tcPr>
            <w:tcW w:w="620" w:type="pct"/>
            <w:tcBorders>
              <w:top w:val="nil"/>
              <w:left w:val="single" w:sz="4" w:space="0" w:color="auto"/>
              <w:bottom w:val="single" w:sz="4" w:space="0" w:color="auto"/>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95.33%</w:t>
            </w:r>
          </w:p>
        </w:tc>
        <w:tc>
          <w:tcPr>
            <w:tcW w:w="594" w:type="pct"/>
            <w:tcBorders>
              <w:top w:val="nil"/>
              <w:left w:val="single" w:sz="4" w:space="0" w:color="auto"/>
              <w:bottom w:val="single" w:sz="4" w:space="0" w:color="auto"/>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546,324</w:t>
            </w:r>
          </w:p>
        </w:tc>
        <w:tc>
          <w:tcPr>
            <w:tcW w:w="656" w:type="pct"/>
            <w:tcBorders>
              <w:top w:val="nil"/>
              <w:left w:val="single" w:sz="4" w:space="0" w:color="auto"/>
              <w:bottom w:val="single" w:sz="4" w:space="0" w:color="auto"/>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97.57%</w:t>
            </w:r>
          </w:p>
        </w:tc>
        <w:tc>
          <w:tcPr>
            <w:tcW w:w="622" w:type="pct"/>
            <w:tcBorders>
              <w:top w:val="nil"/>
              <w:left w:val="single" w:sz="4" w:space="0" w:color="auto"/>
              <w:bottom w:val="single" w:sz="4" w:space="0" w:color="auto"/>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93.02%</w:t>
            </w:r>
          </w:p>
        </w:tc>
      </w:tr>
      <w:tr w:rsidR="00453DC0" w:rsidRPr="005F120D" w:rsidTr="003B3565">
        <w:trPr>
          <w:trHeight w:hRule="exact" w:val="208"/>
          <w:jc w:val="center"/>
        </w:trPr>
        <w:tc>
          <w:tcPr>
            <w:tcW w:w="1979" w:type="pct"/>
            <w:gridSpan w:val="3"/>
            <w:tcBorders>
              <w:top w:val="single" w:sz="4" w:space="0" w:color="auto"/>
              <w:left w:val="single" w:sz="4" w:space="0" w:color="auto"/>
              <w:bottom w:val="single" w:sz="4" w:space="0" w:color="auto"/>
              <w:right w:val="nil"/>
            </w:tcBorders>
            <w:shd w:val="clear" w:color="auto" w:fill="FFFFFF" w:themeFill="background1"/>
          </w:tcPr>
          <w:p w:rsidR="00453DC0" w:rsidRPr="005F120D" w:rsidRDefault="003825A0" w:rsidP="00C437AA">
            <w:pPr>
              <w:spacing w:line="276" w:lineRule="auto"/>
              <w:rPr>
                <w:rFonts w:asciiTheme="minorHAnsi" w:hAnsiTheme="minorHAnsi" w:cstheme="minorHAnsi"/>
                <w:b/>
                <w:bCs/>
                <w:sz w:val="18"/>
                <w:szCs w:val="18"/>
              </w:rPr>
            </w:pPr>
            <w:r w:rsidRPr="005F120D">
              <w:rPr>
                <w:rFonts w:asciiTheme="minorHAnsi" w:hAnsiTheme="minorHAnsi" w:cstheme="minorHAnsi"/>
                <w:b/>
                <w:bCs/>
                <w:sz w:val="18"/>
                <w:szCs w:val="18"/>
              </w:rPr>
              <w:t>PECE (</w:t>
            </w:r>
            <w:r w:rsidR="00453DC0" w:rsidRPr="005F120D">
              <w:rPr>
                <w:rFonts w:asciiTheme="minorHAnsi" w:hAnsiTheme="minorHAnsi" w:cstheme="minorHAnsi"/>
                <w:b/>
                <w:bCs/>
                <w:sz w:val="18"/>
                <w:szCs w:val="18"/>
              </w:rPr>
              <w:t>Non-formal schools</w:t>
            </w:r>
            <w:r w:rsidRPr="005F120D">
              <w:rPr>
                <w:rFonts w:asciiTheme="minorHAnsi" w:hAnsiTheme="minorHAnsi" w:cstheme="minorHAnsi"/>
                <w:b/>
                <w:bCs/>
                <w:sz w:val="18"/>
                <w:szCs w:val="18"/>
              </w:rPr>
              <w:t>)</w:t>
            </w:r>
          </w:p>
          <w:p w:rsidR="00453DC0" w:rsidRPr="005F120D" w:rsidRDefault="00453DC0"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p w:rsidR="00453DC0" w:rsidRPr="005F120D" w:rsidRDefault="00453DC0"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530" w:type="pct"/>
            <w:tcBorders>
              <w:top w:val="single" w:sz="4" w:space="0" w:color="auto"/>
              <w:left w:val="nil"/>
              <w:bottom w:val="single" w:sz="4" w:space="0" w:color="auto"/>
              <w:right w:val="nil"/>
            </w:tcBorders>
            <w:shd w:val="clear" w:color="auto" w:fill="FFFFFF" w:themeFill="background1"/>
          </w:tcPr>
          <w:p w:rsidR="00453DC0" w:rsidRPr="005F120D" w:rsidRDefault="00453DC0"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620" w:type="pct"/>
            <w:tcBorders>
              <w:top w:val="single" w:sz="4" w:space="0" w:color="auto"/>
              <w:left w:val="nil"/>
              <w:bottom w:val="single" w:sz="4" w:space="0" w:color="auto"/>
              <w:right w:val="nil"/>
            </w:tcBorders>
            <w:shd w:val="clear" w:color="auto" w:fill="FFFFFF" w:themeFill="background1"/>
          </w:tcPr>
          <w:p w:rsidR="00453DC0" w:rsidRPr="005F120D" w:rsidRDefault="00453DC0"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594" w:type="pct"/>
            <w:tcBorders>
              <w:top w:val="single" w:sz="4" w:space="0" w:color="auto"/>
              <w:left w:val="nil"/>
              <w:bottom w:val="single" w:sz="4" w:space="0" w:color="auto"/>
              <w:right w:val="nil"/>
            </w:tcBorders>
            <w:shd w:val="clear" w:color="auto" w:fill="FFFFFF" w:themeFill="background1"/>
          </w:tcPr>
          <w:p w:rsidR="00453DC0" w:rsidRPr="005F120D" w:rsidRDefault="00453DC0"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656" w:type="pct"/>
            <w:tcBorders>
              <w:top w:val="single" w:sz="4" w:space="0" w:color="auto"/>
              <w:left w:val="nil"/>
              <w:bottom w:val="single" w:sz="4" w:space="0" w:color="auto"/>
              <w:right w:val="nil"/>
            </w:tcBorders>
            <w:shd w:val="clear" w:color="auto" w:fill="FFFFFF" w:themeFill="background1"/>
          </w:tcPr>
          <w:p w:rsidR="00453DC0" w:rsidRPr="005F120D" w:rsidRDefault="00453DC0"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622" w:type="pct"/>
            <w:tcBorders>
              <w:top w:val="single" w:sz="4" w:space="0" w:color="auto"/>
              <w:left w:val="nil"/>
              <w:bottom w:val="single" w:sz="4" w:space="0" w:color="auto"/>
              <w:right w:val="single" w:sz="4" w:space="0" w:color="auto"/>
            </w:tcBorders>
            <w:shd w:val="clear" w:color="auto" w:fill="FFFFFF" w:themeFill="background1"/>
          </w:tcPr>
          <w:p w:rsidR="00453DC0" w:rsidRPr="005F120D" w:rsidRDefault="00453DC0"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r>
      <w:tr w:rsidR="00005D7C" w:rsidRPr="005F120D" w:rsidTr="003B3565">
        <w:trPr>
          <w:trHeight w:hRule="exact" w:val="288"/>
          <w:jc w:val="center"/>
        </w:trPr>
        <w:tc>
          <w:tcPr>
            <w:tcW w:w="910" w:type="pct"/>
            <w:tcBorders>
              <w:top w:val="single" w:sz="4" w:space="0" w:color="auto"/>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11. BRAC</w:t>
            </w:r>
          </w:p>
        </w:tc>
        <w:tc>
          <w:tcPr>
            <w:tcW w:w="521" w:type="pct"/>
            <w:tcBorders>
              <w:top w:val="single" w:sz="4" w:space="0" w:color="auto"/>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4,833</w:t>
            </w:r>
          </w:p>
        </w:tc>
        <w:tc>
          <w:tcPr>
            <w:tcW w:w="547" w:type="pct"/>
            <w:tcBorders>
              <w:top w:val="single" w:sz="4" w:space="0" w:color="auto"/>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129,342</w:t>
            </w:r>
          </w:p>
        </w:tc>
        <w:tc>
          <w:tcPr>
            <w:tcW w:w="530" w:type="pct"/>
            <w:tcBorders>
              <w:top w:val="single" w:sz="4" w:space="0" w:color="auto"/>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124,625</w:t>
            </w:r>
          </w:p>
        </w:tc>
        <w:tc>
          <w:tcPr>
            <w:tcW w:w="620" w:type="pct"/>
            <w:tcBorders>
              <w:top w:val="single" w:sz="4" w:space="0" w:color="auto"/>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96.35%</w:t>
            </w:r>
          </w:p>
        </w:tc>
        <w:tc>
          <w:tcPr>
            <w:tcW w:w="594" w:type="pct"/>
            <w:tcBorders>
              <w:top w:val="single" w:sz="4" w:space="0" w:color="auto"/>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124,204</w:t>
            </w:r>
          </w:p>
        </w:tc>
        <w:tc>
          <w:tcPr>
            <w:tcW w:w="656" w:type="pct"/>
            <w:tcBorders>
              <w:top w:val="single" w:sz="4" w:space="0" w:color="auto"/>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99.66%</w:t>
            </w:r>
          </w:p>
        </w:tc>
        <w:tc>
          <w:tcPr>
            <w:tcW w:w="622" w:type="pct"/>
            <w:tcBorders>
              <w:top w:val="single" w:sz="4" w:space="0" w:color="auto"/>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96.03%</w:t>
            </w:r>
          </w:p>
        </w:tc>
      </w:tr>
      <w:tr w:rsidR="00005D7C" w:rsidRPr="005F120D" w:rsidTr="003B3565">
        <w:trPr>
          <w:trHeight w:hRule="exact" w:val="342"/>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12. Anandya School</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2,053</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30,759</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26,243</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85.32%</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24,103</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91.85%</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78.36%</w:t>
            </w:r>
          </w:p>
        </w:tc>
      </w:tr>
      <w:tr w:rsidR="00005D7C" w:rsidRPr="005F120D" w:rsidTr="003B3565">
        <w:trPr>
          <w:trHeight w:hRule="exact" w:val="288"/>
          <w:jc w:val="center"/>
        </w:trPr>
        <w:tc>
          <w:tcPr>
            <w:tcW w:w="910"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13. Shishu Kollyan</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118</w:t>
            </w:r>
          </w:p>
        </w:tc>
        <w:tc>
          <w:tcPr>
            <w:tcW w:w="547" w:type="pct"/>
            <w:tcBorders>
              <w:top w:val="nil"/>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1,735</w:t>
            </w:r>
          </w:p>
        </w:tc>
        <w:tc>
          <w:tcPr>
            <w:tcW w:w="530" w:type="pct"/>
            <w:tcBorders>
              <w:top w:val="nil"/>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1,561</w:t>
            </w:r>
          </w:p>
        </w:tc>
        <w:tc>
          <w:tcPr>
            <w:tcW w:w="620" w:type="pct"/>
            <w:tcBorders>
              <w:top w:val="nil"/>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89.97%</w:t>
            </w:r>
          </w:p>
        </w:tc>
        <w:tc>
          <w:tcPr>
            <w:tcW w:w="594" w:type="pct"/>
            <w:tcBorders>
              <w:top w:val="nil"/>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1,492</w:t>
            </w:r>
          </w:p>
        </w:tc>
        <w:tc>
          <w:tcPr>
            <w:tcW w:w="656" w:type="pct"/>
            <w:tcBorders>
              <w:top w:val="nil"/>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95.58%</w:t>
            </w:r>
          </w:p>
        </w:tc>
        <w:tc>
          <w:tcPr>
            <w:tcW w:w="622" w:type="pct"/>
            <w:tcBorders>
              <w:top w:val="nil"/>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85.99%</w:t>
            </w:r>
          </w:p>
        </w:tc>
      </w:tr>
      <w:tr w:rsidR="00005D7C" w:rsidRPr="005F120D" w:rsidTr="003B3565">
        <w:trPr>
          <w:trHeight w:hRule="exact" w:val="288"/>
          <w:jc w:val="center"/>
        </w:trPr>
        <w:tc>
          <w:tcPr>
            <w:tcW w:w="910" w:type="pct"/>
            <w:tcBorders>
              <w:top w:val="single" w:sz="4" w:space="0" w:color="000000"/>
              <w:left w:val="single" w:sz="4" w:space="0" w:color="000000"/>
              <w:bottom w:val="nil"/>
              <w:right w:val="single" w:sz="4" w:space="0" w:color="000000"/>
            </w:tcBorders>
            <w:shd w:val="clear" w:color="auto" w:fill="FFFFFF" w:themeFill="background1"/>
          </w:tcPr>
          <w:p w:rsidR="00005D7C" w:rsidRPr="005F120D" w:rsidRDefault="00005D7C" w:rsidP="00C437AA">
            <w:pPr>
              <w:spacing w:line="276" w:lineRule="auto"/>
              <w:jc w:val="right"/>
              <w:rPr>
                <w:rFonts w:asciiTheme="minorHAnsi" w:hAnsiTheme="minorHAnsi" w:cstheme="minorHAnsi"/>
                <w:b/>
                <w:bCs/>
                <w:sz w:val="18"/>
                <w:szCs w:val="18"/>
              </w:rPr>
            </w:pPr>
            <w:r w:rsidRPr="005F120D">
              <w:rPr>
                <w:rFonts w:asciiTheme="minorHAnsi" w:hAnsiTheme="minorHAnsi" w:cstheme="minorHAnsi"/>
                <w:b/>
                <w:bCs/>
                <w:sz w:val="18"/>
                <w:szCs w:val="18"/>
              </w:rPr>
              <w:t>Total</w:t>
            </w:r>
          </w:p>
        </w:tc>
        <w:tc>
          <w:tcPr>
            <w:tcW w:w="521" w:type="pct"/>
            <w:tcBorders>
              <w:top w:val="single" w:sz="4" w:space="0" w:color="auto"/>
              <w:left w:val="single" w:sz="4" w:space="0" w:color="000000"/>
              <w:bottom w:val="single" w:sz="4" w:space="0" w:color="000000"/>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99,221</w:t>
            </w:r>
          </w:p>
        </w:tc>
        <w:tc>
          <w:tcPr>
            <w:tcW w:w="547" w:type="pct"/>
            <w:tcBorders>
              <w:top w:val="single" w:sz="4" w:space="0" w:color="auto"/>
              <w:left w:val="single" w:sz="4" w:space="0" w:color="auto"/>
              <w:bottom w:val="single" w:sz="4" w:space="0" w:color="000000"/>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2,950,764</w:t>
            </w:r>
          </w:p>
        </w:tc>
        <w:tc>
          <w:tcPr>
            <w:tcW w:w="530" w:type="pct"/>
            <w:tcBorders>
              <w:top w:val="single" w:sz="4" w:space="0" w:color="auto"/>
              <w:left w:val="single" w:sz="4" w:space="0" w:color="auto"/>
              <w:bottom w:val="single" w:sz="4" w:space="0" w:color="000000"/>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2,839,238</w:t>
            </w:r>
          </w:p>
        </w:tc>
        <w:tc>
          <w:tcPr>
            <w:tcW w:w="620" w:type="pct"/>
            <w:tcBorders>
              <w:top w:val="single" w:sz="4" w:space="0" w:color="auto"/>
              <w:left w:val="single" w:sz="4" w:space="0" w:color="auto"/>
              <w:bottom w:val="single" w:sz="4" w:space="0" w:color="000000"/>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96.22%</w:t>
            </w:r>
          </w:p>
        </w:tc>
        <w:tc>
          <w:tcPr>
            <w:tcW w:w="594" w:type="pct"/>
            <w:tcBorders>
              <w:top w:val="single" w:sz="4" w:space="0" w:color="auto"/>
              <w:left w:val="single" w:sz="4" w:space="0" w:color="auto"/>
              <w:bottom w:val="single" w:sz="4" w:space="0" w:color="000000"/>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2,797,274</w:t>
            </w:r>
          </w:p>
        </w:tc>
        <w:tc>
          <w:tcPr>
            <w:tcW w:w="656" w:type="pct"/>
            <w:tcBorders>
              <w:top w:val="single" w:sz="4" w:space="0" w:color="auto"/>
              <w:left w:val="single" w:sz="4" w:space="0" w:color="auto"/>
              <w:bottom w:val="single" w:sz="4" w:space="0" w:color="000000"/>
              <w:right w:val="single" w:sz="4" w:space="0" w:color="auto"/>
            </w:tcBorders>
            <w:shd w:val="clear" w:color="auto" w:fill="DAEEF3" w:themeFill="accent5" w:themeFillTint="33"/>
          </w:tcPr>
          <w:p w:rsidR="00005D7C" w:rsidRPr="005F120D" w:rsidRDefault="00772F3A"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98.5</w:t>
            </w:r>
            <w:r w:rsidR="00005D7C" w:rsidRPr="005F120D">
              <w:rPr>
                <w:rFonts w:asciiTheme="minorHAnsi" w:hAnsiTheme="minorHAnsi" w:cstheme="minorHAnsi"/>
                <w:sz w:val="18"/>
                <w:szCs w:val="18"/>
              </w:rPr>
              <w:t>%</w:t>
            </w:r>
          </w:p>
        </w:tc>
        <w:tc>
          <w:tcPr>
            <w:tcW w:w="622" w:type="pct"/>
            <w:tcBorders>
              <w:top w:val="single" w:sz="4" w:space="0" w:color="auto"/>
              <w:left w:val="single" w:sz="4" w:space="0" w:color="auto"/>
              <w:bottom w:val="single" w:sz="4" w:space="0" w:color="000000"/>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94.80%</w:t>
            </w:r>
          </w:p>
        </w:tc>
      </w:tr>
      <w:tr w:rsidR="00005D7C" w:rsidRPr="005F120D" w:rsidTr="003B3565">
        <w:trPr>
          <w:trHeight w:hRule="exact" w:val="442"/>
          <w:jc w:val="center"/>
        </w:trPr>
        <w:tc>
          <w:tcPr>
            <w:tcW w:w="910" w:type="pct"/>
            <w:tcBorders>
              <w:top w:val="nil"/>
              <w:left w:val="single" w:sz="4" w:space="0" w:color="000000"/>
              <w:bottom w:val="nil"/>
              <w:right w:val="single" w:sz="4" w:space="0" w:color="000000"/>
            </w:tcBorders>
            <w:shd w:val="clear" w:color="auto" w:fill="FFFFFF" w:themeFill="background1"/>
          </w:tcPr>
          <w:p w:rsidR="00005D7C" w:rsidRPr="005F120D" w:rsidRDefault="00005D7C" w:rsidP="00C437AA">
            <w:pPr>
              <w:spacing w:line="276" w:lineRule="auto"/>
              <w:jc w:val="right"/>
              <w:rPr>
                <w:rFonts w:asciiTheme="minorHAnsi" w:hAnsiTheme="minorHAnsi" w:cstheme="minorHAnsi"/>
                <w:b/>
                <w:bCs/>
                <w:sz w:val="18"/>
                <w:szCs w:val="18"/>
              </w:rPr>
            </w:pPr>
            <w:r w:rsidRPr="005F120D">
              <w:rPr>
                <w:rFonts w:asciiTheme="minorHAnsi" w:hAnsiTheme="minorHAnsi" w:cstheme="minorHAnsi"/>
                <w:b/>
                <w:bCs/>
                <w:sz w:val="18"/>
                <w:szCs w:val="18"/>
              </w:rPr>
              <w:t>Boys</w:t>
            </w:r>
          </w:p>
        </w:tc>
        <w:tc>
          <w:tcPr>
            <w:tcW w:w="5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5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1,355,296 (45.93%)</w:t>
            </w:r>
          </w:p>
        </w:tc>
        <w:tc>
          <w:tcPr>
            <w:tcW w:w="53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1,297,265 (45.69%)</w:t>
            </w:r>
          </w:p>
        </w:tc>
        <w:tc>
          <w:tcPr>
            <w:tcW w:w="620"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95.76%</w:t>
            </w:r>
          </w:p>
        </w:tc>
        <w:tc>
          <w:tcPr>
            <w:tcW w:w="594" w:type="pct"/>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1,277,146 (45.66%)</w:t>
            </w:r>
          </w:p>
        </w:tc>
        <w:tc>
          <w:tcPr>
            <w:tcW w:w="656"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05D7C" w:rsidRPr="005F120D" w:rsidRDefault="00772F3A"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98.4</w:t>
            </w:r>
            <w:r w:rsidR="00005D7C" w:rsidRPr="005F120D">
              <w:rPr>
                <w:rFonts w:asciiTheme="minorHAnsi" w:hAnsiTheme="minorHAnsi" w:cstheme="minorHAnsi"/>
                <w:sz w:val="18"/>
                <w:szCs w:val="18"/>
              </w:rPr>
              <w:t>%</w:t>
            </w:r>
          </w:p>
        </w:tc>
        <w:tc>
          <w:tcPr>
            <w:tcW w:w="62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93.73%</w:t>
            </w:r>
          </w:p>
        </w:tc>
      </w:tr>
      <w:tr w:rsidR="00005D7C" w:rsidRPr="005F120D" w:rsidTr="003B3565">
        <w:trPr>
          <w:trHeight w:hRule="exact" w:val="532"/>
          <w:jc w:val="center"/>
        </w:trPr>
        <w:tc>
          <w:tcPr>
            <w:tcW w:w="910" w:type="pct"/>
            <w:tcBorders>
              <w:top w:val="nil"/>
              <w:left w:val="single" w:sz="4" w:space="0" w:color="000000"/>
              <w:bottom w:val="single" w:sz="4" w:space="0" w:color="000000"/>
              <w:right w:val="single" w:sz="4" w:space="0" w:color="000000"/>
            </w:tcBorders>
            <w:shd w:val="clear" w:color="auto" w:fill="FFFFFF" w:themeFill="background1"/>
          </w:tcPr>
          <w:p w:rsidR="00005D7C" w:rsidRPr="005F120D" w:rsidRDefault="00005D7C" w:rsidP="00C437AA">
            <w:pPr>
              <w:spacing w:line="276" w:lineRule="auto"/>
              <w:jc w:val="right"/>
              <w:rPr>
                <w:rFonts w:asciiTheme="minorHAnsi" w:hAnsiTheme="minorHAnsi" w:cstheme="minorHAnsi"/>
                <w:b/>
                <w:bCs/>
                <w:sz w:val="18"/>
                <w:szCs w:val="18"/>
              </w:rPr>
            </w:pPr>
            <w:r w:rsidRPr="005F120D">
              <w:rPr>
                <w:rFonts w:asciiTheme="minorHAnsi" w:hAnsiTheme="minorHAnsi" w:cstheme="minorHAnsi"/>
                <w:b/>
                <w:bCs/>
                <w:sz w:val="18"/>
                <w:szCs w:val="18"/>
              </w:rPr>
              <w:t>Girls</w:t>
            </w:r>
          </w:p>
        </w:tc>
        <w:tc>
          <w:tcPr>
            <w:tcW w:w="521" w:type="pct"/>
            <w:tcBorders>
              <w:top w:val="single" w:sz="4" w:space="0" w:color="000000"/>
              <w:left w:val="single" w:sz="4" w:space="0" w:color="000000"/>
              <w:bottom w:val="single" w:sz="4" w:space="0" w:color="auto"/>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547" w:type="pct"/>
            <w:tcBorders>
              <w:top w:val="single" w:sz="4" w:space="0" w:color="000000"/>
              <w:left w:val="single" w:sz="4" w:space="0" w:color="auto"/>
              <w:bottom w:val="single" w:sz="4" w:space="0" w:color="auto"/>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1,595,468 (54.07%)</w:t>
            </w:r>
          </w:p>
        </w:tc>
        <w:tc>
          <w:tcPr>
            <w:tcW w:w="530" w:type="pct"/>
            <w:tcBorders>
              <w:top w:val="single" w:sz="4" w:space="0" w:color="000000"/>
              <w:left w:val="single" w:sz="4" w:space="0" w:color="auto"/>
              <w:bottom w:val="single" w:sz="4" w:space="0" w:color="auto"/>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1,541,973 (54.31%)</w:t>
            </w:r>
          </w:p>
        </w:tc>
        <w:tc>
          <w:tcPr>
            <w:tcW w:w="620" w:type="pct"/>
            <w:tcBorders>
              <w:top w:val="single" w:sz="4" w:space="0" w:color="000000"/>
              <w:left w:val="single" w:sz="4" w:space="0" w:color="auto"/>
              <w:bottom w:val="single" w:sz="4" w:space="0" w:color="auto"/>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96.60%</w:t>
            </w:r>
          </w:p>
        </w:tc>
        <w:tc>
          <w:tcPr>
            <w:tcW w:w="594" w:type="pct"/>
            <w:tcBorders>
              <w:top w:val="single" w:sz="4" w:space="0" w:color="000000"/>
              <w:left w:val="single" w:sz="4" w:space="0" w:color="auto"/>
              <w:bottom w:val="single" w:sz="4" w:space="0" w:color="auto"/>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1,520,128 (54.34%)</w:t>
            </w:r>
          </w:p>
        </w:tc>
        <w:tc>
          <w:tcPr>
            <w:tcW w:w="656" w:type="pct"/>
            <w:tcBorders>
              <w:top w:val="single" w:sz="4" w:space="0" w:color="000000"/>
              <w:left w:val="single" w:sz="4" w:space="0" w:color="auto"/>
              <w:bottom w:val="single" w:sz="4" w:space="0" w:color="auto"/>
              <w:right w:val="single" w:sz="4" w:space="0" w:color="auto"/>
            </w:tcBorders>
            <w:shd w:val="clear" w:color="auto" w:fill="DAEEF3" w:themeFill="accent5" w:themeFillTint="33"/>
          </w:tcPr>
          <w:p w:rsidR="00005D7C" w:rsidRPr="005F120D" w:rsidRDefault="00772F3A"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98.6</w:t>
            </w:r>
            <w:r w:rsidR="00005D7C" w:rsidRPr="005F120D">
              <w:rPr>
                <w:rFonts w:asciiTheme="minorHAnsi" w:hAnsiTheme="minorHAnsi" w:cstheme="minorHAnsi"/>
                <w:sz w:val="18"/>
                <w:szCs w:val="18"/>
              </w:rPr>
              <w:t>%</w:t>
            </w:r>
          </w:p>
        </w:tc>
        <w:tc>
          <w:tcPr>
            <w:tcW w:w="622" w:type="pct"/>
            <w:tcBorders>
              <w:top w:val="single" w:sz="4" w:space="0" w:color="000000"/>
              <w:left w:val="single" w:sz="4" w:space="0" w:color="auto"/>
              <w:bottom w:val="single" w:sz="4" w:space="0" w:color="auto"/>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94.64%</w:t>
            </w:r>
          </w:p>
        </w:tc>
      </w:tr>
      <w:tr w:rsidR="00005D7C" w:rsidRPr="005F120D" w:rsidTr="003B3565">
        <w:trPr>
          <w:trHeight w:hRule="exact" w:val="352"/>
          <w:jc w:val="center"/>
        </w:trPr>
        <w:tc>
          <w:tcPr>
            <w:tcW w:w="910" w:type="pct"/>
            <w:tcBorders>
              <w:top w:val="single" w:sz="4" w:space="0" w:color="000000"/>
              <w:left w:val="single" w:sz="4" w:space="0" w:color="auto"/>
              <w:bottom w:val="single" w:sz="4" w:space="0" w:color="auto"/>
              <w:right w:val="nil"/>
            </w:tcBorders>
            <w:shd w:val="clear" w:color="auto" w:fill="FFFFFF" w:themeFill="background1"/>
            <w:vAlign w:val="center"/>
          </w:tcPr>
          <w:p w:rsidR="00005D7C" w:rsidRPr="005F120D" w:rsidRDefault="00770B93" w:rsidP="00C437AA">
            <w:pPr>
              <w:spacing w:line="276" w:lineRule="auto"/>
              <w:rPr>
                <w:rFonts w:asciiTheme="minorHAnsi" w:hAnsiTheme="minorHAnsi" w:cstheme="minorHAnsi"/>
                <w:sz w:val="18"/>
                <w:szCs w:val="18"/>
              </w:rPr>
            </w:pPr>
            <w:r>
              <w:rPr>
                <w:rFonts w:asciiTheme="minorHAnsi" w:hAnsiTheme="minorHAnsi" w:cstheme="minorHAnsi"/>
                <w:sz w:val="18"/>
                <w:szCs w:val="18"/>
              </w:rPr>
              <w:t>Madrasha</w:t>
            </w:r>
            <w:r w:rsidR="003825A0" w:rsidRPr="005F120D">
              <w:rPr>
                <w:rFonts w:asciiTheme="minorHAnsi" w:hAnsiTheme="minorHAnsi" w:cstheme="minorHAnsi"/>
                <w:sz w:val="18"/>
                <w:szCs w:val="18"/>
              </w:rPr>
              <w:t xml:space="preserve"> (EECE)</w:t>
            </w:r>
          </w:p>
        </w:tc>
        <w:tc>
          <w:tcPr>
            <w:tcW w:w="521" w:type="pct"/>
            <w:tcBorders>
              <w:top w:val="single" w:sz="4" w:space="0" w:color="auto"/>
              <w:left w:val="nil"/>
              <w:bottom w:val="single" w:sz="4" w:space="0" w:color="auto"/>
              <w:right w:val="nil"/>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547" w:type="pct"/>
            <w:tcBorders>
              <w:top w:val="single" w:sz="4" w:space="0" w:color="auto"/>
              <w:left w:val="nil"/>
              <w:bottom w:val="single" w:sz="4" w:space="0" w:color="auto"/>
              <w:right w:val="nil"/>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530" w:type="pct"/>
            <w:tcBorders>
              <w:top w:val="single" w:sz="4" w:space="0" w:color="auto"/>
              <w:left w:val="nil"/>
              <w:bottom w:val="single" w:sz="4" w:space="0" w:color="auto"/>
              <w:right w:val="nil"/>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620" w:type="pct"/>
            <w:tcBorders>
              <w:top w:val="single" w:sz="4" w:space="0" w:color="auto"/>
              <w:left w:val="nil"/>
              <w:bottom w:val="single" w:sz="4" w:space="0" w:color="auto"/>
              <w:right w:val="nil"/>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594" w:type="pct"/>
            <w:tcBorders>
              <w:top w:val="single" w:sz="4" w:space="0" w:color="auto"/>
              <w:left w:val="nil"/>
              <w:bottom w:val="single" w:sz="4" w:space="0" w:color="auto"/>
              <w:right w:val="nil"/>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656" w:type="pct"/>
            <w:tcBorders>
              <w:top w:val="single" w:sz="4" w:space="0" w:color="auto"/>
              <w:left w:val="nil"/>
              <w:bottom w:val="single" w:sz="4" w:space="0" w:color="auto"/>
              <w:right w:val="nil"/>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622" w:type="pct"/>
            <w:tcBorders>
              <w:top w:val="single" w:sz="4" w:space="0" w:color="auto"/>
              <w:left w:val="nil"/>
              <w:bottom w:val="single" w:sz="4" w:space="0" w:color="auto"/>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r>
      <w:tr w:rsidR="00005D7C" w:rsidRPr="005F120D" w:rsidTr="003B3565">
        <w:trPr>
          <w:trHeight w:hRule="exact" w:val="351"/>
          <w:jc w:val="center"/>
        </w:trPr>
        <w:tc>
          <w:tcPr>
            <w:tcW w:w="910" w:type="pct"/>
            <w:tcBorders>
              <w:top w:val="single" w:sz="4" w:space="0" w:color="auto"/>
              <w:left w:val="single" w:sz="4" w:space="0" w:color="auto"/>
              <w:bottom w:val="nil"/>
              <w:right w:val="single" w:sz="4" w:space="0" w:color="auto"/>
            </w:tcBorders>
            <w:shd w:val="clear" w:color="auto" w:fill="FFFFFF" w:themeFill="background1"/>
            <w:vAlign w:val="bottom"/>
          </w:tcPr>
          <w:p w:rsidR="00005D7C" w:rsidRPr="005F120D" w:rsidRDefault="00005D7C" w:rsidP="00C437AA">
            <w:pPr>
              <w:spacing w:line="276" w:lineRule="auto"/>
              <w:rPr>
                <w:rFonts w:asciiTheme="minorHAnsi" w:hAnsiTheme="minorHAnsi" w:cstheme="minorHAnsi"/>
                <w:sz w:val="18"/>
                <w:szCs w:val="18"/>
              </w:rPr>
            </w:pPr>
            <w:r w:rsidRPr="005F120D">
              <w:rPr>
                <w:rFonts w:asciiTheme="minorHAnsi" w:hAnsiTheme="minorHAnsi" w:cstheme="minorHAnsi"/>
                <w:sz w:val="18"/>
                <w:szCs w:val="18"/>
              </w:rPr>
              <w:t>1.  Ebtedayee</w:t>
            </w:r>
          </w:p>
        </w:tc>
        <w:tc>
          <w:tcPr>
            <w:tcW w:w="521" w:type="pct"/>
            <w:tcBorders>
              <w:top w:val="single" w:sz="4" w:space="0" w:color="auto"/>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2,478</w:t>
            </w:r>
          </w:p>
        </w:tc>
        <w:tc>
          <w:tcPr>
            <w:tcW w:w="547" w:type="pct"/>
            <w:tcBorders>
              <w:top w:val="single" w:sz="4" w:space="0" w:color="auto"/>
              <w:left w:val="single" w:sz="4" w:space="0" w:color="auto"/>
              <w:bottom w:val="nil"/>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35,536</w:t>
            </w:r>
          </w:p>
        </w:tc>
        <w:tc>
          <w:tcPr>
            <w:tcW w:w="530" w:type="pct"/>
            <w:tcBorders>
              <w:top w:val="single" w:sz="4" w:space="0" w:color="auto"/>
              <w:left w:val="single" w:sz="4" w:space="0" w:color="auto"/>
              <w:bottom w:val="nil"/>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30,239</w:t>
            </w:r>
          </w:p>
        </w:tc>
        <w:tc>
          <w:tcPr>
            <w:tcW w:w="620" w:type="pct"/>
            <w:tcBorders>
              <w:top w:val="single" w:sz="4" w:space="0" w:color="auto"/>
              <w:left w:val="single" w:sz="4" w:space="0" w:color="auto"/>
              <w:bottom w:val="nil"/>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85.09%</w:t>
            </w:r>
          </w:p>
        </w:tc>
        <w:tc>
          <w:tcPr>
            <w:tcW w:w="594" w:type="pct"/>
            <w:tcBorders>
              <w:top w:val="single" w:sz="4" w:space="0" w:color="auto"/>
              <w:left w:val="single" w:sz="4" w:space="0" w:color="auto"/>
              <w:bottom w:val="nil"/>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29,008</w:t>
            </w:r>
          </w:p>
        </w:tc>
        <w:tc>
          <w:tcPr>
            <w:tcW w:w="656" w:type="pct"/>
            <w:tcBorders>
              <w:top w:val="single" w:sz="4" w:space="0" w:color="auto"/>
              <w:left w:val="single" w:sz="4" w:space="0" w:color="auto"/>
              <w:bottom w:val="nil"/>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95.93%</w:t>
            </w:r>
          </w:p>
        </w:tc>
        <w:tc>
          <w:tcPr>
            <w:tcW w:w="622" w:type="pct"/>
            <w:tcBorders>
              <w:top w:val="single" w:sz="4" w:space="0" w:color="auto"/>
              <w:left w:val="single" w:sz="4" w:space="0" w:color="auto"/>
              <w:bottom w:val="nil"/>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81.63%</w:t>
            </w:r>
          </w:p>
        </w:tc>
      </w:tr>
      <w:tr w:rsidR="00005D7C" w:rsidRPr="005F120D" w:rsidTr="003B3565">
        <w:trPr>
          <w:trHeight w:hRule="exact" w:val="288"/>
          <w:jc w:val="center"/>
        </w:trPr>
        <w:tc>
          <w:tcPr>
            <w:tcW w:w="910" w:type="pct"/>
            <w:tcBorders>
              <w:top w:val="nil"/>
              <w:left w:val="single" w:sz="4" w:space="0" w:color="auto"/>
              <w:bottom w:val="single" w:sz="4" w:space="0" w:color="auto"/>
              <w:right w:val="single" w:sz="4" w:space="0" w:color="auto"/>
            </w:tcBorders>
            <w:shd w:val="clear" w:color="auto" w:fill="FFFFFF" w:themeFill="background1"/>
            <w:vAlign w:val="bottom"/>
          </w:tcPr>
          <w:p w:rsidR="00005D7C" w:rsidRPr="005F120D" w:rsidRDefault="00005D7C" w:rsidP="00770B93">
            <w:pPr>
              <w:spacing w:line="276" w:lineRule="auto"/>
              <w:rPr>
                <w:rFonts w:asciiTheme="minorHAnsi" w:hAnsiTheme="minorHAnsi" w:cstheme="minorHAnsi"/>
                <w:sz w:val="18"/>
                <w:szCs w:val="18"/>
              </w:rPr>
            </w:pPr>
            <w:r w:rsidRPr="005F120D">
              <w:rPr>
                <w:rFonts w:asciiTheme="minorHAnsi" w:hAnsiTheme="minorHAnsi" w:cstheme="minorHAnsi"/>
                <w:sz w:val="18"/>
                <w:szCs w:val="18"/>
              </w:rPr>
              <w:t>2. Dakhil</w:t>
            </w:r>
            <w:r w:rsidR="00770B93">
              <w:rPr>
                <w:rFonts w:asciiTheme="minorHAnsi" w:hAnsiTheme="minorHAnsi" w:cstheme="minorHAnsi"/>
                <w:sz w:val="18"/>
                <w:szCs w:val="18"/>
              </w:rPr>
              <w:t xml:space="preserve"> and</w:t>
            </w:r>
            <w:r w:rsidRPr="005F120D">
              <w:rPr>
                <w:rFonts w:asciiTheme="minorHAnsi" w:hAnsiTheme="minorHAnsi" w:cstheme="minorHAnsi"/>
                <w:sz w:val="18"/>
                <w:szCs w:val="18"/>
              </w:rPr>
              <w:t xml:space="preserve"> higher</w:t>
            </w:r>
          </w:p>
        </w:tc>
        <w:tc>
          <w:tcPr>
            <w:tcW w:w="521" w:type="pct"/>
            <w:tcBorders>
              <w:top w:val="nil"/>
              <w:left w:val="single" w:sz="4" w:space="0" w:color="auto"/>
              <w:bottom w:val="single" w:sz="4" w:space="0" w:color="auto"/>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9,071</w:t>
            </w:r>
          </w:p>
        </w:tc>
        <w:tc>
          <w:tcPr>
            <w:tcW w:w="547" w:type="pct"/>
            <w:tcBorders>
              <w:top w:val="nil"/>
              <w:left w:val="single" w:sz="4" w:space="0" w:color="auto"/>
              <w:bottom w:val="single" w:sz="4" w:space="0" w:color="auto"/>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270,660</w:t>
            </w:r>
          </w:p>
        </w:tc>
        <w:tc>
          <w:tcPr>
            <w:tcW w:w="530" w:type="pct"/>
            <w:tcBorders>
              <w:top w:val="nil"/>
              <w:left w:val="single" w:sz="4" w:space="0" w:color="auto"/>
              <w:bottom w:val="single" w:sz="4" w:space="0" w:color="auto"/>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233,895</w:t>
            </w:r>
          </w:p>
        </w:tc>
        <w:tc>
          <w:tcPr>
            <w:tcW w:w="620" w:type="pct"/>
            <w:tcBorders>
              <w:top w:val="nil"/>
              <w:left w:val="single" w:sz="4" w:space="0" w:color="auto"/>
              <w:bottom w:val="single" w:sz="4" w:space="0" w:color="auto"/>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86.42%</w:t>
            </w:r>
          </w:p>
        </w:tc>
        <w:tc>
          <w:tcPr>
            <w:tcW w:w="594" w:type="pct"/>
            <w:tcBorders>
              <w:top w:val="nil"/>
              <w:left w:val="single" w:sz="4" w:space="0" w:color="auto"/>
              <w:bottom w:val="single" w:sz="4" w:space="0" w:color="auto"/>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222,258</w:t>
            </w:r>
          </w:p>
        </w:tc>
        <w:tc>
          <w:tcPr>
            <w:tcW w:w="656" w:type="pct"/>
            <w:tcBorders>
              <w:top w:val="nil"/>
              <w:left w:val="single" w:sz="4" w:space="0" w:color="auto"/>
              <w:bottom w:val="single" w:sz="4" w:space="0" w:color="auto"/>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95.02%</w:t>
            </w:r>
          </w:p>
        </w:tc>
        <w:tc>
          <w:tcPr>
            <w:tcW w:w="622" w:type="pct"/>
            <w:tcBorders>
              <w:top w:val="nil"/>
              <w:left w:val="single" w:sz="4" w:space="0" w:color="auto"/>
              <w:bottom w:val="single" w:sz="4" w:space="0" w:color="auto"/>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82.12%</w:t>
            </w:r>
          </w:p>
        </w:tc>
      </w:tr>
      <w:tr w:rsidR="00005D7C" w:rsidRPr="005F120D" w:rsidTr="003B3565">
        <w:trPr>
          <w:trHeight w:hRule="exact" w:val="226"/>
          <w:jc w:val="center"/>
        </w:trPr>
        <w:tc>
          <w:tcPr>
            <w:tcW w:w="910" w:type="pct"/>
            <w:tcBorders>
              <w:top w:val="single" w:sz="4" w:space="0" w:color="auto"/>
              <w:left w:val="single" w:sz="4" w:space="0" w:color="000000"/>
              <w:bottom w:val="nil"/>
              <w:right w:val="single" w:sz="4" w:space="0" w:color="auto"/>
            </w:tcBorders>
            <w:shd w:val="clear" w:color="auto" w:fill="FFFFFF" w:themeFill="background1"/>
            <w:vAlign w:val="bottom"/>
          </w:tcPr>
          <w:p w:rsidR="00005D7C" w:rsidRPr="005F120D" w:rsidRDefault="00005D7C" w:rsidP="00C437AA">
            <w:pPr>
              <w:spacing w:line="276" w:lineRule="auto"/>
              <w:jc w:val="right"/>
              <w:rPr>
                <w:rFonts w:asciiTheme="minorHAnsi" w:hAnsiTheme="minorHAnsi" w:cstheme="minorHAnsi"/>
                <w:b/>
                <w:bCs/>
                <w:sz w:val="18"/>
                <w:szCs w:val="18"/>
              </w:rPr>
            </w:pPr>
            <w:r w:rsidRPr="005F120D">
              <w:rPr>
                <w:rFonts w:asciiTheme="minorHAnsi" w:hAnsiTheme="minorHAnsi" w:cstheme="minorHAnsi"/>
                <w:b/>
                <w:bCs/>
                <w:sz w:val="18"/>
                <w:szCs w:val="18"/>
              </w:rPr>
              <w:t>Total</w:t>
            </w:r>
          </w:p>
        </w:tc>
        <w:tc>
          <w:tcPr>
            <w:tcW w:w="521" w:type="pct"/>
            <w:tcBorders>
              <w:top w:val="single" w:sz="4" w:space="0" w:color="auto"/>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11,549</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306,196</w:t>
            </w:r>
          </w:p>
        </w:tc>
        <w:tc>
          <w:tcPr>
            <w:tcW w:w="53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264,134</w:t>
            </w:r>
          </w:p>
        </w:tc>
        <w:tc>
          <w:tcPr>
            <w:tcW w:w="62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86.26%</w:t>
            </w:r>
          </w:p>
        </w:tc>
        <w:tc>
          <w:tcPr>
            <w:tcW w:w="594"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251,266</w:t>
            </w:r>
          </w:p>
        </w:tc>
        <w:tc>
          <w:tcPr>
            <w:tcW w:w="656"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95.13%</w:t>
            </w:r>
          </w:p>
        </w:tc>
        <w:tc>
          <w:tcPr>
            <w:tcW w:w="62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82.06%</w:t>
            </w:r>
          </w:p>
        </w:tc>
      </w:tr>
      <w:tr w:rsidR="00005D7C" w:rsidRPr="005F120D" w:rsidTr="003B3565">
        <w:trPr>
          <w:trHeight w:hRule="exact" w:val="460"/>
          <w:jc w:val="center"/>
        </w:trPr>
        <w:tc>
          <w:tcPr>
            <w:tcW w:w="910" w:type="pct"/>
            <w:tcBorders>
              <w:top w:val="nil"/>
              <w:left w:val="single" w:sz="4" w:space="0" w:color="000000"/>
              <w:bottom w:val="nil"/>
              <w:right w:val="single" w:sz="4" w:space="0" w:color="auto"/>
            </w:tcBorders>
            <w:shd w:val="clear" w:color="auto" w:fill="FFFFFF" w:themeFill="background1"/>
            <w:vAlign w:val="bottom"/>
          </w:tcPr>
          <w:p w:rsidR="00005D7C" w:rsidRPr="005F120D" w:rsidRDefault="00005D7C" w:rsidP="00C437AA">
            <w:pPr>
              <w:spacing w:line="276" w:lineRule="auto"/>
              <w:jc w:val="right"/>
              <w:rPr>
                <w:rFonts w:asciiTheme="minorHAnsi" w:hAnsiTheme="minorHAnsi" w:cstheme="minorHAnsi"/>
                <w:b/>
                <w:bCs/>
                <w:sz w:val="18"/>
                <w:szCs w:val="18"/>
              </w:rPr>
            </w:pPr>
            <w:r w:rsidRPr="005F120D">
              <w:rPr>
                <w:rFonts w:asciiTheme="minorHAnsi" w:hAnsiTheme="minorHAnsi" w:cstheme="minorHAnsi"/>
                <w:b/>
                <w:bCs/>
                <w:sz w:val="18"/>
                <w:szCs w:val="18"/>
              </w:rPr>
              <w:t>Boy</w:t>
            </w:r>
          </w:p>
        </w:tc>
        <w:tc>
          <w:tcPr>
            <w:tcW w:w="521" w:type="pct"/>
            <w:tcBorders>
              <w:top w:val="nil"/>
              <w:left w:val="single" w:sz="4" w:space="0" w:color="auto"/>
              <w:bottom w:val="nil"/>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160,643 (52.46%)</w:t>
            </w:r>
          </w:p>
        </w:tc>
        <w:tc>
          <w:tcPr>
            <w:tcW w:w="53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135,058 (51.13%)</w:t>
            </w:r>
          </w:p>
        </w:tc>
        <w:tc>
          <w:tcPr>
            <w:tcW w:w="62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85.09%</w:t>
            </w:r>
          </w:p>
        </w:tc>
        <w:tc>
          <w:tcPr>
            <w:tcW w:w="594"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128,425 (51.11%)</w:t>
            </w:r>
          </w:p>
        </w:tc>
        <w:tc>
          <w:tcPr>
            <w:tcW w:w="656"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05D7C" w:rsidRPr="005F120D" w:rsidRDefault="00BB6B15"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95.09</w:t>
            </w:r>
            <w:r w:rsidR="00005D7C" w:rsidRPr="005F120D">
              <w:rPr>
                <w:rFonts w:asciiTheme="minorHAnsi" w:hAnsiTheme="minorHAnsi" w:cstheme="minorHAnsi"/>
                <w:sz w:val="18"/>
                <w:szCs w:val="18"/>
              </w:rPr>
              <w:t>%</w:t>
            </w:r>
          </w:p>
        </w:tc>
        <w:tc>
          <w:tcPr>
            <w:tcW w:w="62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80.36%</w:t>
            </w:r>
          </w:p>
        </w:tc>
      </w:tr>
      <w:tr w:rsidR="00005D7C" w:rsidRPr="005F120D" w:rsidTr="003B3565">
        <w:trPr>
          <w:trHeight w:hRule="exact" w:val="496"/>
          <w:jc w:val="center"/>
        </w:trPr>
        <w:tc>
          <w:tcPr>
            <w:tcW w:w="910" w:type="pct"/>
            <w:tcBorders>
              <w:top w:val="nil"/>
              <w:left w:val="single" w:sz="4" w:space="0" w:color="000000"/>
              <w:bottom w:val="single" w:sz="4" w:space="0" w:color="000000"/>
              <w:right w:val="single" w:sz="4" w:space="0" w:color="auto"/>
            </w:tcBorders>
            <w:shd w:val="clear" w:color="auto" w:fill="FFFFFF" w:themeFill="background1"/>
            <w:vAlign w:val="bottom"/>
          </w:tcPr>
          <w:p w:rsidR="00005D7C" w:rsidRPr="005F120D" w:rsidRDefault="00005D7C" w:rsidP="00C437AA">
            <w:pPr>
              <w:spacing w:line="276" w:lineRule="auto"/>
              <w:jc w:val="right"/>
              <w:rPr>
                <w:rFonts w:asciiTheme="minorHAnsi" w:hAnsiTheme="minorHAnsi" w:cstheme="minorHAnsi"/>
                <w:b/>
                <w:bCs/>
                <w:sz w:val="18"/>
                <w:szCs w:val="18"/>
              </w:rPr>
            </w:pPr>
            <w:r w:rsidRPr="005F120D">
              <w:rPr>
                <w:rFonts w:asciiTheme="minorHAnsi" w:hAnsiTheme="minorHAnsi" w:cstheme="minorHAnsi"/>
                <w:b/>
                <w:bCs/>
                <w:sz w:val="18"/>
                <w:szCs w:val="18"/>
              </w:rPr>
              <w:t>Girl</w:t>
            </w:r>
          </w:p>
        </w:tc>
        <w:tc>
          <w:tcPr>
            <w:tcW w:w="521" w:type="pct"/>
            <w:tcBorders>
              <w:top w:val="nil"/>
              <w:left w:val="single" w:sz="4" w:space="0" w:color="auto"/>
              <w:bottom w:val="single" w:sz="4" w:space="0" w:color="auto"/>
              <w:right w:val="single" w:sz="4" w:space="0" w:color="auto"/>
            </w:tcBorders>
            <w:shd w:val="clear" w:color="auto" w:fill="DDD9C3" w:themeFill="background2" w:themeFillShade="E6"/>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 </w:t>
            </w:r>
          </w:p>
        </w:tc>
        <w:tc>
          <w:tcPr>
            <w:tcW w:w="547" w:type="pct"/>
            <w:tcBorders>
              <w:top w:val="single" w:sz="4" w:space="0" w:color="auto"/>
              <w:left w:val="single" w:sz="4" w:space="0" w:color="auto"/>
              <w:bottom w:val="single" w:sz="4" w:space="0" w:color="000000"/>
              <w:right w:val="single" w:sz="4" w:space="0" w:color="auto"/>
            </w:tcBorders>
            <w:shd w:val="clear" w:color="auto" w:fill="FFFFFF" w:themeFill="background1"/>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145,553 (47.54%)</w:t>
            </w:r>
          </w:p>
        </w:tc>
        <w:tc>
          <w:tcPr>
            <w:tcW w:w="530" w:type="pct"/>
            <w:tcBorders>
              <w:top w:val="single" w:sz="4" w:space="0" w:color="auto"/>
              <w:left w:val="single" w:sz="4" w:space="0" w:color="auto"/>
              <w:bottom w:val="single" w:sz="4" w:space="0" w:color="000000"/>
              <w:right w:val="single" w:sz="4" w:space="0" w:color="auto"/>
            </w:tcBorders>
            <w:shd w:val="clear" w:color="auto" w:fill="DBE5F1" w:themeFill="accent1"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129,076 (48.87%)</w:t>
            </w:r>
          </w:p>
        </w:tc>
        <w:tc>
          <w:tcPr>
            <w:tcW w:w="620" w:type="pct"/>
            <w:tcBorders>
              <w:top w:val="single" w:sz="4" w:space="0" w:color="auto"/>
              <w:left w:val="single" w:sz="4" w:space="0" w:color="auto"/>
              <w:bottom w:val="single" w:sz="4" w:space="0" w:color="000000"/>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88.82%</w:t>
            </w:r>
          </w:p>
        </w:tc>
        <w:tc>
          <w:tcPr>
            <w:tcW w:w="594" w:type="pct"/>
            <w:tcBorders>
              <w:top w:val="single" w:sz="4" w:space="0" w:color="auto"/>
              <w:left w:val="single" w:sz="4" w:space="0" w:color="auto"/>
              <w:bottom w:val="single" w:sz="4" w:space="0" w:color="000000"/>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122,841 (48.89%)</w:t>
            </w:r>
          </w:p>
        </w:tc>
        <w:tc>
          <w:tcPr>
            <w:tcW w:w="656" w:type="pct"/>
            <w:tcBorders>
              <w:top w:val="single" w:sz="4" w:space="0" w:color="auto"/>
              <w:left w:val="single" w:sz="4" w:space="0" w:color="auto"/>
              <w:bottom w:val="single" w:sz="4" w:space="0" w:color="000000"/>
              <w:right w:val="single" w:sz="4" w:space="0" w:color="auto"/>
            </w:tcBorders>
            <w:shd w:val="clear" w:color="auto" w:fill="DAEEF3" w:themeFill="accent5" w:themeFillTint="33"/>
          </w:tcPr>
          <w:p w:rsidR="00005D7C" w:rsidRPr="005F120D" w:rsidRDefault="00BB6B15"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95.17</w:t>
            </w:r>
            <w:r w:rsidR="00005D7C" w:rsidRPr="005F120D">
              <w:rPr>
                <w:rFonts w:asciiTheme="minorHAnsi" w:hAnsiTheme="minorHAnsi" w:cstheme="minorHAnsi"/>
                <w:sz w:val="18"/>
                <w:szCs w:val="18"/>
              </w:rPr>
              <w:t>%</w:t>
            </w:r>
          </w:p>
        </w:tc>
        <w:tc>
          <w:tcPr>
            <w:tcW w:w="622" w:type="pct"/>
            <w:tcBorders>
              <w:top w:val="single" w:sz="4" w:space="0" w:color="auto"/>
              <w:left w:val="single" w:sz="4" w:space="0" w:color="auto"/>
              <w:bottom w:val="single" w:sz="4" w:space="0" w:color="000000"/>
              <w:right w:val="single" w:sz="4" w:space="0" w:color="auto"/>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sz w:val="18"/>
                <w:szCs w:val="18"/>
              </w:rPr>
            </w:pPr>
            <w:r w:rsidRPr="005F120D">
              <w:rPr>
                <w:rFonts w:asciiTheme="minorHAnsi" w:hAnsiTheme="minorHAnsi" w:cstheme="minorHAnsi"/>
                <w:sz w:val="18"/>
                <w:szCs w:val="18"/>
              </w:rPr>
              <w:t>82.56%</w:t>
            </w:r>
          </w:p>
        </w:tc>
      </w:tr>
      <w:tr w:rsidR="00005D7C" w:rsidRPr="005F120D" w:rsidTr="003B3565">
        <w:trPr>
          <w:trHeight w:hRule="exact" w:val="478"/>
          <w:jc w:val="center"/>
        </w:trPr>
        <w:tc>
          <w:tcPr>
            <w:tcW w:w="9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005D7C" w:rsidRPr="005F120D" w:rsidRDefault="00005D7C" w:rsidP="00770B93">
            <w:pPr>
              <w:spacing w:line="276" w:lineRule="auto"/>
              <w:jc w:val="right"/>
              <w:rPr>
                <w:rFonts w:asciiTheme="minorHAnsi" w:hAnsiTheme="minorHAnsi" w:cstheme="minorHAnsi"/>
                <w:b/>
                <w:bCs/>
                <w:sz w:val="18"/>
                <w:szCs w:val="18"/>
              </w:rPr>
            </w:pPr>
            <w:r w:rsidRPr="005F120D">
              <w:rPr>
                <w:rFonts w:asciiTheme="minorHAnsi" w:hAnsiTheme="minorHAnsi" w:cstheme="minorHAnsi"/>
                <w:b/>
                <w:bCs/>
                <w:sz w:val="18"/>
                <w:szCs w:val="18"/>
              </w:rPr>
              <w:t xml:space="preserve">Total: Combined PE </w:t>
            </w:r>
            <w:r w:rsidR="00770B93">
              <w:rPr>
                <w:rFonts w:asciiTheme="minorHAnsi" w:hAnsiTheme="minorHAnsi" w:cstheme="minorHAnsi"/>
                <w:b/>
                <w:bCs/>
                <w:sz w:val="18"/>
                <w:szCs w:val="18"/>
              </w:rPr>
              <w:t xml:space="preserve">and </w:t>
            </w:r>
            <w:r w:rsidRPr="005F120D">
              <w:rPr>
                <w:rFonts w:asciiTheme="minorHAnsi" w:hAnsiTheme="minorHAnsi" w:cstheme="minorHAnsi"/>
                <w:b/>
                <w:bCs/>
                <w:sz w:val="18"/>
                <w:szCs w:val="18"/>
              </w:rPr>
              <w:t>Madrasha</w:t>
            </w:r>
          </w:p>
        </w:tc>
        <w:tc>
          <w:tcPr>
            <w:tcW w:w="521" w:type="pct"/>
            <w:tcBorders>
              <w:top w:val="single" w:sz="4" w:space="0" w:color="auto"/>
              <w:left w:val="single" w:sz="4" w:space="0" w:color="000000"/>
              <w:bottom w:val="single" w:sz="4" w:space="0" w:color="000000"/>
              <w:right w:val="single" w:sz="4" w:space="0" w:color="auto"/>
            </w:tcBorders>
            <w:shd w:val="clear" w:color="auto" w:fill="DDD9C3" w:themeFill="background2" w:themeFillShade="E6"/>
          </w:tcPr>
          <w:p w:rsidR="00005D7C" w:rsidRPr="005F120D" w:rsidRDefault="00005D7C" w:rsidP="00C437AA">
            <w:pPr>
              <w:spacing w:line="276" w:lineRule="auto"/>
              <w:jc w:val="right"/>
              <w:rPr>
                <w:rFonts w:asciiTheme="minorHAnsi" w:hAnsiTheme="minorHAnsi" w:cstheme="minorHAnsi"/>
                <w:b/>
                <w:bCs/>
                <w:sz w:val="18"/>
                <w:szCs w:val="18"/>
              </w:rPr>
            </w:pPr>
            <w:r w:rsidRPr="005F120D">
              <w:rPr>
                <w:rFonts w:asciiTheme="minorHAnsi" w:hAnsiTheme="minorHAnsi" w:cstheme="minorHAnsi"/>
                <w:b/>
                <w:bCs/>
                <w:sz w:val="18"/>
                <w:szCs w:val="18"/>
              </w:rPr>
              <w:t>110,770</w:t>
            </w:r>
          </w:p>
        </w:tc>
        <w:tc>
          <w:tcPr>
            <w:tcW w:w="547" w:type="pct"/>
            <w:tcBorders>
              <w:top w:val="single" w:sz="4" w:space="0" w:color="000000"/>
              <w:left w:val="single" w:sz="4" w:space="0" w:color="auto"/>
              <w:bottom w:val="single" w:sz="4" w:space="0" w:color="000000"/>
              <w:right w:val="single" w:sz="4" w:space="0" w:color="auto"/>
            </w:tcBorders>
            <w:shd w:val="clear" w:color="auto" w:fill="FFFFFF" w:themeFill="background1"/>
          </w:tcPr>
          <w:p w:rsidR="00005D7C" w:rsidRPr="005F120D" w:rsidRDefault="00005D7C" w:rsidP="00C437AA">
            <w:pPr>
              <w:spacing w:line="276" w:lineRule="auto"/>
              <w:jc w:val="right"/>
              <w:rPr>
                <w:rFonts w:asciiTheme="minorHAnsi" w:hAnsiTheme="minorHAnsi" w:cstheme="minorHAnsi"/>
                <w:b/>
                <w:bCs/>
                <w:sz w:val="18"/>
                <w:szCs w:val="18"/>
              </w:rPr>
            </w:pPr>
            <w:r w:rsidRPr="005F120D">
              <w:rPr>
                <w:rFonts w:asciiTheme="minorHAnsi" w:hAnsiTheme="minorHAnsi" w:cstheme="minorHAnsi"/>
                <w:b/>
                <w:bCs/>
                <w:sz w:val="18"/>
                <w:szCs w:val="18"/>
              </w:rPr>
              <w:t>3,256,960</w:t>
            </w:r>
          </w:p>
        </w:tc>
        <w:tc>
          <w:tcPr>
            <w:tcW w:w="530" w:type="pct"/>
            <w:tcBorders>
              <w:top w:val="single" w:sz="4" w:space="0" w:color="000000"/>
              <w:left w:val="single" w:sz="4" w:space="0" w:color="auto"/>
              <w:bottom w:val="single" w:sz="4" w:space="0" w:color="000000"/>
              <w:right w:val="single" w:sz="4" w:space="0" w:color="auto"/>
            </w:tcBorders>
            <w:shd w:val="clear" w:color="auto" w:fill="DBE5F1" w:themeFill="accent1" w:themeFillTint="33"/>
          </w:tcPr>
          <w:p w:rsidR="00005D7C" w:rsidRPr="005F120D" w:rsidRDefault="00005D7C" w:rsidP="00C437AA">
            <w:pPr>
              <w:spacing w:line="276" w:lineRule="auto"/>
              <w:jc w:val="right"/>
              <w:rPr>
                <w:rFonts w:asciiTheme="minorHAnsi" w:hAnsiTheme="minorHAnsi" w:cstheme="minorHAnsi"/>
                <w:b/>
                <w:bCs/>
                <w:sz w:val="18"/>
                <w:szCs w:val="18"/>
              </w:rPr>
            </w:pPr>
            <w:r w:rsidRPr="005F120D">
              <w:rPr>
                <w:rFonts w:asciiTheme="minorHAnsi" w:hAnsiTheme="minorHAnsi" w:cstheme="minorHAnsi"/>
                <w:b/>
                <w:bCs/>
                <w:sz w:val="18"/>
                <w:szCs w:val="18"/>
              </w:rPr>
              <w:t>3,103,372</w:t>
            </w:r>
          </w:p>
        </w:tc>
        <w:tc>
          <w:tcPr>
            <w:tcW w:w="620" w:type="pct"/>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005D7C" w:rsidRPr="005F120D" w:rsidRDefault="00005D7C" w:rsidP="00C437AA">
            <w:pPr>
              <w:spacing w:line="276" w:lineRule="auto"/>
              <w:jc w:val="center"/>
              <w:rPr>
                <w:rFonts w:asciiTheme="minorHAnsi" w:hAnsiTheme="minorHAnsi" w:cstheme="minorHAnsi"/>
                <w:b/>
                <w:bCs/>
                <w:sz w:val="18"/>
                <w:szCs w:val="18"/>
              </w:rPr>
            </w:pPr>
            <w:r w:rsidRPr="005F120D">
              <w:rPr>
                <w:rFonts w:asciiTheme="minorHAnsi" w:hAnsiTheme="minorHAnsi" w:cstheme="minorHAnsi"/>
                <w:b/>
                <w:bCs/>
                <w:sz w:val="18"/>
                <w:szCs w:val="18"/>
              </w:rPr>
              <w:t>95.28%</w:t>
            </w:r>
          </w:p>
        </w:tc>
        <w:tc>
          <w:tcPr>
            <w:tcW w:w="594" w:type="pct"/>
            <w:tcBorders>
              <w:top w:val="single" w:sz="4" w:space="0" w:color="000000"/>
              <w:left w:val="single" w:sz="4" w:space="0" w:color="auto"/>
              <w:bottom w:val="single" w:sz="4" w:space="0" w:color="000000"/>
              <w:right w:val="single" w:sz="4" w:space="0" w:color="auto"/>
            </w:tcBorders>
            <w:shd w:val="clear" w:color="auto" w:fill="E5DFEC" w:themeFill="accent4" w:themeFillTint="33"/>
          </w:tcPr>
          <w:p w:rsidR="00005D7C" w:rsidRPr="005F120D" w:rsidRDefault="00005D7C" w:rsidP="00C437AA">
            <w:pPr>
              <w:spacing w:line="276" w:lineRule="auto"/>
              <w:jc w:val="center"/>
              <w:rPr>
                <w:rFonts w:asciiTheme="minorHAnsi" w:hAnsiTheme="minorHAnsi" w:cstheme="minorHAnsi"/>
                <w:b/>
                <w:bCs/>
                <w:sz w:val="18"/>
                <w:szCs w:val="18"/>
              </w:rPr>
            </w:pPr>
            <w:r w:rsidRPr="005F120D">
              <w:rPr>
                <w:rFonts w:asciiTheme="minorHAnsi" w:hAnsiTheme="minorHAnsi" w:cstheme="minorHAnsi"/>
                <w:b/>
                <w:bCs/>
                <w:sz w:val="18"/>
                <w:szCs w:val="18"/>
              </w:rPr>
              <w:t>3,048,540</w:t>
            </w:r>
          </w:p>
        </w:tc>
        <w:tc>
          <w:tcPr>
            <w:tcW w:w="656" w:type="pct"/>
            <w:tcBorders>
              <w:top w:val="single" w:sz="4" w:space="0" w:color="000000"/>
              <w:left w:val="single" w:sz="4" w:space="0" w:color="auto"/>
              <w:bottom w:val="single" w:sz="4" w:space="0" w:color="000000"/>
              <w:right w:val="single" w:sz="4" w:space="0" w:color="auto"/>
            </w:tcBorders>
            <w:shd w:val="clear" w:color="auto" w:fill="DAEEF3" w:themeFill="accent5" w:themeFillTint="33"/>
          </w:tcPr>
          <w:p w:rsidR="00005D7C" w:rsidRPr="005F120D" w:rsidRDefault="00005D7C" w:rsidP="00C437AA">
            <w:pPr>
              <w:spacing w:line="276" w:lineRule="auto"/>
              <w:jc w:val="center"/>
              <w:rPr>
                <w:rFonts w:asciiTheme="minorHAnsi" w:hAnsiTheme="minorHAnsi" w:cstheme="minorHAnsi"/>
                <w:b/>
                <w:bCs/>
                <w:sz w:val="18"/>
                <w:szCs w:val="18"/>
              </w:rPr>
            </w:pPr>
            <w:r w:rsidRPr="005F120D">
              <w:rPr>
                <w:rFonts w:asciiTheme="minorHAnsi" w:hAnsiTheme="minorHAnsi" w:cstheme="minorHAnsi"/>
                <w:b/>
                <w:bCs/>
                <w:sz w:val="18"/>
                <w:szCs w:val="18"/>
              </w:rPr>
              <w:t>98.23%</w:t>
            </w:r>
          </w:p>
        </w:tc>
        <w:tc>
          <w:tcPr>
            <w:tcW w:w="622" w:type="pct"/>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005D7C" w:rsidRPr="005F120D" w:rsidRDefault="00005D7C" w:rsidP="00C437AA">
            <w:pPr>
              <w:spacing w:line="276" w:lineRule="auto"/>
              <w:jc w:val="center"/>
              <w:rPr>
                <w:rFonts w:asciiTheme="minorHAnsi" w:hAnsiTheme="minorHAnsi" w:cstheme="minorHAnsi"/>
                <w:b/>
                <w:bCs/>
                <w:sz w:val="18"/>
                <w:szCs w:val="18"/>
              </w:rPr>
            </w:pPr>
            <w:r w:rsidRPr="005F120D">
              <w:rPr>
                <w:rFonts w:asciiTheme="minorHAnsi" w:hAnsiTheme="minorHAnsi" w:cstheme="minorHAnsi"/>
                <w:b/>
                <w:bCs/>
                <w:sz w:val="18"/>
                <w:szCs w:val="18"/>
              </w:rPr>
              <w:t>93.60%</w:t>
            </w:r>
          </w:p>
        </w:tc>
      </w:tr>
    </w:tbl>
    <w:p w:rsidR="00A150D7" w:rsidRPr="005F120D" w:rsidRDefault="00453DC0" w:rsidP="00F45237">
      <w:pPr>
        <w:pStyle w:val="Tablenotes"/>
      </w:pPr>
      <w:r w:rsidRPr="005F120D">
        <w:t>Source: 201</w:t>
      </w:r>
      <w:r w:rsidR="003D6319" w:rsidRPr="005F120D">
        <w:t>5</w:t>
      </w:r>
      <w:r w:rsidRPr="005F120D">
        <w:t xml:space="preserve"> Primary </w:t>
      </w:r>
      <w:r w:rsidR="003825A0" w:rsidRPr="005F120D">
        <w:t xml:space="preserve">and Ebtedayee </w:t>
      </w:r>
      <w:r w:rsidRPr="005F120D">
        <w:t>Education Completion Examination Result</w:t>
      </w:r>
      <w:r w:rsidR="003825A0" w:rsidRPr="005F120D">
        <w:t>s</w:t>
      </w:r>
      <w:r w:rsidRPr="005F120D">
        <w:t xml:space="preserve"> (PECE</w:t>
      </w:r>
      <w:r w:rsidR="003825A0" w:rsidRPr="005F120D">
        <w:t xml:space="preserve"> and EECE</w:t>
      </w:r>
      <w:r w:rsidRPr="005F120D">
        <w:t>).</w:t>
      </w:r>
      <w:r w:rsidR="00F45237" w:rsidRPr="005F120D">
        <w:t xml:space="preserve"> Note: the </w:t>
      </w:r>
      <w:r w:rsidR="003D6319" w:rsidRPr="005F120D">
        <w:t xml:space="preserve">primary section of government high </w:t>
      </w:r>
      <w:r w:rsidR="00E339CE" w:rsidRPr="005F120D">
        <w:t xml:space="preserve">schools is </w:t>
      </w:r>
      <w:r w:rsidR="00F45237" w:rsidRPr="005F120D">
        <w:t>included in</w:t>
      </w:r>
      <w:r w:rsidR="003D6319" w:rsidRPr="005F120D">
        <w:t xml:space="preserve"> the type of high school </w:t>
      </w:r>
      <w:r w:rsidR="00F45237" w:rsidRPr="005F120D">
        <w:t xml:space="preserve">with an </w:t>
      </w:r>
      <w:r w:rsidR="003D6319" w:rsidRPr="005F120D">
        <w:t>attached primary</w:t>
      </w:r>
      <w:r w:rsidR="003825A0" w:rsidRPr="005F120D">
        <w:t xml:space="preserve"> section.</w:t>
      </w:r>
    </w:p>
    <w:p w:rsidR="00152D22" w:rsidRPr="005F120D" w:rsidRDefault="00152D22" w:rsidP="00C437AA">
      <w:pPr>
        <w:spacing w:after="120" w:line="276" w:lineRule="auto"/>
        <w:rPr>
          <w:rFonts w:asciiTheme="minorHAnsi" w:hAnsiTheme="minorHAnsi" w:cstheme="minorHAnsi"/>
          <w:b/>
          <w:color w:val="000000"/>
        </w:rPr>
      </w:pPr>
      <w:r w:rsidRPr="005F120D">
        <w:rPr>
          <w:rFonts w:asciiTheme="minorHAnsi" w:hAnsiTheme="minorHAnsi" w:cstheme="minorHAnsi"/>
          <w:b/>
          <w:color w:val="000000"/>
        </w:rPr>
        <w:t>The major findings of the 2015 PECE result are presented below:</w:t>
      </w:r>
    </w:p>
    <w:p w:rsidR="00152D22" w:rsidRPr="005F120D" w:rsidRDefault="00152D22" w:rsidP="000A5B80">
      <w:pPr>
        <w:numPr>
          <w:ilvl w:val="0"/>
          <w:numId w:val="79"/>
        </w:numPr>
        <w:spacing w:after="0"/>
        <w:contextualSpacing/>
        <w:jc w:val="both"/>
        <w:rPr>
          <w:rFonts w:asciiTheme="minorHAnsi" w:hAnsiTheme="minorHAnsi" w:cstheme="minorHAnsi"/>
          <w:color w:val="000000"/>
        </w:rPr>
      </w:pPr>
      <w:r w:rsidRPr="005F120D">
        <w:rPr>
          <w:rFonts w:asciiTheme="minorHAnsi" w:hAnsiTheme="minorHAnsi" w:cstheme="minorHAnsi"/>
          <w:color w:val="000000"/>
        </w:rPr>
        <w:t xml:space="preserve">In the 2015 PECE, a total of 2,950,764 Grade 5 students - Boys 1,355,296 (45.9%) and Girls 1,595,468 (54.1%) – were included in the Descriptive Role (DR) from the 99,221 formal and </w:t>
      </w:r>
      <w:r w:rsidRPr="005F120D">
        <w:rPr>
          <w:rFonts w:asciiTheme="minorHAnsi" w:hAnsiTheme="minorHAnsi" w:cstheme="minorHAnsi"/>
          <w:color w:val="000000"/>
        </w:rPr>
        <w:lastRenderedPageBreak/>
        <w:t xml:space="preserve">non-formal primary education institutes. This total was up from 2,789,263 - Boys 1,281,218 and Girls 1,508,045 - of Grade 5 students in the DR list from 89,912 formal and non-formal primary education institutes in 2014.  It is noted that there were 240,172 more girls than boys in the DR. </w:t>
      </w:r>
    </w:p>
    <w:p w:rsidR="00152D22" w:rsidRPr="005F120D" w:rsidRDefault="00152D22" w:rsidP="000A5B80">
      <w:pPr>
        <w:spacing w:after="0"/>
        <w:jc w:val="both"/>
        <w:rPr>
          <w:rFonts w:asciiTheme="minorHAnsi" w:hAnsiTheme="minorHAnsi" w:cstheme="minorHAnsi"/>
          <w:color w:val="000000"/>
          <w:sz w:val="6"/>
        </w:rPr>
      </w:pPr>
    </w:p>
    <w:p w:rsidR="00152D22" w:rsidRPr="005F120D" w:rsidRDefault="00152D22" w:rsidP="000A5B80">
      <w:pPr>
        <w:numPr>
          <w:ilvl w:val="0"/>
          <w:numId w:val="79"/>
        </w:numPr>
        <w:spacing w:after="0"/>
        <w:contextualSpacing/>
        <w:jc w:val="both"/>
        <w:rPr>
          <w:rFonts w:asciiTheme="minorHAnsi" w:hAnsiTheme="minorHAnsi" w:cstheme="minorHAnsi"/>
          <w:sz w:val="6"/>
        </w:rPr>
      </w:pPr>
      <w:r w:rsidRPr="005F120D">
        <w:rPr>
          <w:rFonts w:asciiTheme="minorHAnsi" w:hAnsiTheme="minorHAnsi" w:cstheme="minorHAnsi"/>
          <w:color w:val="000000"/>
        </w:rPr>
        <w:t xml:space="preserve">A total of 2,839,238 (Boys 1,297,265 and Girls 1,541,973) Grade 5 students sat the examination.  As per the DR, the participation rate was 96.2%.  The boys’ participation rate was 95.7% and that of girls 96.7%. </w:t>
      </w:r>
    </w:p>
    <w:p w:rsidR="00152D22" w:rsidRPr="005F120D" w:rsidRDefault="00152D22" w:rsidP="000A5B80">
      <w:pPr>
        <w:numPr>
          <w:ilvl w:val="0"/>
          <w:numId w:val="79"/>
        </w:numPr>
        <w:spacing w:after="0"/>
        <w:contextualSpacing/>
        <w:jc w:val="both"/>
        <w:rPr>
          <w:rFonts w:asciiTheme="minorHAnsi" w:hAnsiTheme="minorHAnsi" w:cstheme="minorHAnsi"/>
          <w:color w:val="000000"/>
        </w:rPr>
      </w:pPr>
      <w:r w:rsidRPr="005F120D">
        <w:rPr>
          <w:rFonts w:asciiTheme="minorHAnsi" w:hAnsiTheme="minorHAnsi" w:cstheme="minorHAnsi"/>
          <w:color w:val="000000"/>
        </w:rPr>
        <w:t>The students are required to score at least 33% in all 6 six subjects in order to pass the examination. The overall pass rate for students from formal and non-formal institutes was 98.5% (total 2,797,274).  The gender difference is negligible: boys 98.4% (boys 1,277,146) and girls 98.6% (girls 1,520,128).</w:t>
      </w:r>
    </w:p>
    <w:p w:rsidR="00152D22" w:rsidRPr="005F120D" w:rsidRDefault="00152D22" w:rsidP="000A5B80">
      <w:pPr>
        <w:spacing w:after="0"/>
        <w:ind w:left="450"/>
        <w:rPr>
          <w:rFonts w:asciiTheme="minorHAnsi" w:hAnsiTheme="minorHAnsi" w:cstheme="minorHAnsi"/>
          <w:color w:val="FF0000"/>
          <w:sz w:val="6"/>
        </w:rPr>
      </w:pPr>
    </w:p>
    <w:p w:rsidR="00152D22" w:rsidRPr="005F120D" w:rsidRDefault="00152D22" w:rsidP="000A5B80">
      <w:pPr>
        <w:numPr>
          <w:ilvl w:val="0"/>
          <w:numId w:val="79"/>
        </w:numPr>
        <w:spacing w:after="0"/>
        <w:contextualSpacing/>
        <w:jc w:val="both"/>
        <w:rPr>
          <w:rFonts w:asciiTheme="minorHAnsi" w:hAnsiTheme="minorHAnsi" w:cstheme="minorHAnsi"/>
          <w:color w:val="000000"/>
        </w:rPr>
      </w:pPr>
      <w:r w:rsidRPr="005F120D">
        <w:rPr>
          <w:rFonts w:asciiTheme="minorHAnsi" w:hAnsiTheme="minorHAnsi" w:cstheme="minorHAnsi"/>
          <w:color w:val="000000"/>
        </w:rPr>
        <w:t>There was virtually no variation in the pass rates by school type in PECE.  The pass rate in almost all formal schools was nearer to or above 98%; and non-formal pass rates were nearer to or above 92%.</w:t>
      </w:r>
    </w:p>
    <w:p w:rsidR="00152D22" w:rsidRPr="005F120D" w:rsidRDefault="00152D22" w:rsidP="000A5B80">
      <w:pPr>
        <w:spacing w:after="0"/>
        <w:ind w:left="450"/>
        <w:rPr>
          <w:rFonts w:asciiTheme="minorHAnsi" w:hAnsiTheme="minorHAnsi" w:cstheme="minorHAnsi"/>
          <w:color w:val="FF0000"/>
          <w:sz w:val="6"/>
        </w:rPr>
      </w:pPr>
    </w:p>
    <w:p w:rsidR="00152D22" w:rsidRPr="005F120D" w:rsidRDefault="00152D22" w:rsidP="000A5B80">
      <w:pPr>
        <w:numPr>
          <w:ilvl w:val="0"/>
          <w:numId w:val="79"/>
        </w:numPr>
        <w:spacing w:after="0"/>
        <w:contextualSpacing/>
        <w:jc w:val="both"/>
        <w:rPr>
          <w:rFonts w:asciiTheme="minorHAnsi" w:hAnsiTheme="minorHAnsi" w:cstheme="minorHAnsi"/>
          <w:color w:val="000000"/>
        </w:rPr>
      </w:pPr>
      <w:r w:rsidRPr="005F120D">
        <w:rPr>
          <w:rFonts w:asciiTheme="minorHAnsi" w:hAnsiTheme="minorHAnsi" w:cstheme="minorHAnsi"/>
          <w:color w:val="000000"/>
        </w:rPr>
        <w:t>Rajshahi Division had the highest pass rate of 99%. Sylhet division had the lowest pass rate of 96.8%.</w:t>
      </w:r>
    </w:p>
    <w:p w:rsidR="00152D22" w:rsidRPr="005F120D" w:rsidRDefault="00152D22" w:rsidP="000A5B80">
      <w:pPr>
        <w:spacing w:after="0"/>
        <w:ind w:left="450"/>
        <w:rPr>
          <w:rFonts w:asciiTheme="minorHAnsi" w:hAnsiTheme="minorHAnsi" w:cstheme="minorHAnsi"/>
          <w:color w:val="FF0000"/>
          <w:sz w:val="6"/>
        </w:rPr>
      </w:pPr>
    </w:p>
    <w:p w:rsidR="00152D22" w:rsidRPr="005F120D" w:rsidRDefault="00152D22" w:rsidP="000A5B80">
      <w:pPr>
        <w:numPr>
          <w:ilvl w:val="0"/>
          <w:numId w:val="79"/>
        </w:numPr>
        <w:spacing w:after="0"/>
        <w:contextualSpacing/>
        <w:jc w:val="both"/>
        <w:rPr>
          <w:rFonts w:asciiTheme="minorHAnsi" w:hAnsiTheme="minorHAnsi" w:cstheme="minorHAnsi"/>
          <w:color w:val="000000"/>
        </w:rPr>
      </w:pPr>
      <w:r w:rsidRPr="005F120D">
        <w:rPr>
          <w:rFonts w:asciiTheme="minorHAnsi" w:hAnsiTheme="minorHAnsi" w:cstheme="minorHAnsi"/>
          <w:color w:val="000000"/>
        </w:rPr>
        <w:t xml:space="preserve">Out of 64 districts, Munshigonj district ranked first with a pass rate of 100%. Barguna district had the lowest pass rate of 93.8%). Out of 509 Upazilas/Thanas, the vast majority of Upazilas achieved pass rates near or above 98%, including 23 </w:t>
      </w:r>
      <w:r w:rsidR="008A207D" w:rsidRPr="005F120D">
        <w:rPr>
          <w:rFonts w:asciiTheme="minorHAnsi" w:hAnsiTheme="minorHAnsi" w:cstheme="minorHAnsi"/>
          <w:color w:val="000000"/>
        </w:rPr>
        <w:t>Upazilas</w:t>
      </w:r>
      <w:r w:rsidRPr="005F120D">
        <w:rPr>
          <w:rFonts w:asciiTheme="minorHAnsi" w:hAnsiTheme="minorHAnsi" w:cstheme="minorHAnsi"/>
          <w:color w:val="000000"/>
        </w:rPr>
        <w:t xml:space="preserve"> with 100% pass rate.  The Taltali Upazila under Barguna district had the lowest pass rate of 82.7%.</w:t>
      </w:r>
    </w:p>
    <w:p w:rsidR="00152D22" w:rsidRPr="005F120D" w:rsidRDefault="00152D22" w:rsidP="000A5B80">
      <w:pPr>
        <w:spacing w:after="0"/>
        <w:ind w:left="450"/>
        <w:rPr>
          <w:rFonts w:asciiTheme="minorHAnsi" w:hAnsiTheme="minorHAnsi" w:cstheme="minorHAnsi"/>
          <w:color w:val="000000"/>
          <w:sz w:val="6"/>
        </w:rPr>
      </w:pPr>
    </w:p>
    <w:p w:rsidR="00152D22" w:rsidRPr="005F120D" w:rsidRDefault="00152D22" w:rsidP="000A5B80">
      <w:pPr>
        <w:numPr>
          <w:ilvl w:val="0"/>
          <w:numId w:val="79"/>
        </w:numPr>
        <w:spacing w:after="0"/>
        <w:contextualSpacing/>
        <w:jc w:val="both"/>
        <w:rPr>
          <w:rFonts w:asciiTheme="minorHAnsi" w:hAnsiTheme="minorHAnsi" w:cstheme="minorHAnsi"/>
          <w:color w:val="000000"/>
        </w:rPr>
      </w:pPr>
      <w:r w:rsidRPr="005F120D">
        <w:rPr>
          <w:rFonts w:asciiTheme="minorHAnsi" w:hAnsiTheme="minorHAnsi" w:cstheme="minorHAnsi"/>
          <w:color w:val="000000"/>
        </w:rPr>
        <w:t>4,640 special needs children (2,444 boys and 2,196 girls)</w:t>
      </w:r>
      <w:r w:rsidR="00F45237" w:rsidRPr="005F120D">
        <w:rPr>
          <w:rFonts w:asciiTheme="minorHAnsi" w:hAnsiTheme="minorHAnsi" w:cstheme="minorHAnsi"/>
          <w:color w:val="000000"/>
        </w:rPr>
        <w:t xml:space="preserve"> were</w:t>
      </w:r>
      <w:r w:rsidRPr="005F120D">
        <w:rPr>
          <w:rFonts w:asciiTheme="minorHAnsi" w:hAnsiTheme="minorHAnsi" w:cstheme="minorHAnsi"/>
          <w:color w:val="000000"/>
        </w:rPr>
        <w:t xml:space="preserve"> included in the DR list of EECE; of them, 4,410 students (2,311 boys and 2,099 girls) appeared for the examination and 4,262 students passed. The participation and pass rate were 95% and 96.6% respectively.</w:t>
      </w:r>
    </w:p>
    <w:p w:rsidR="00152D22" w:rsidRPr="005F120D" w:rsidRDefault="00152D22" w:rsidP="000A5B80">
      <w:pPr>
        <w:spacing w:after="0"/>
        <w:ind w:left="450"/>
        <w:rPr>
          <w:rFonts w:asciiTheme="minorHAnsi" w:hAnsiTheme="minorHAnsi" w:cstheme="minorHAnsi"/>
          <w:color w:val="FF0000"/>
          <w:sz w:val="6"/>
        </w:rPr>
      </w:pPr>
    </w:p>
    <w:p w:rsidR="00152D22" w:rsidRPr="005F120D" w:rsidRDefault="00152D22" w:rsidP="000A5B80">
      <w:pPr>
        <w:numPr>
          <w:ilvl w:val="0"/>
          <w:numId w:val="79"/>
        </w:numPr>
        <w:spacing w:after="0"/>
        <w:contextualSpacing/>
        <w:jc w:val="both"/>
        <w:rPr>
          <w:rFonts w:asciiTheme="minorHAnsi" w:hAnsiTheme="minorHAnsi" w:cstheme="minorHAnsi"/>
          <w:color w:val="000000"/>
        </w:rPr>
      </w:pPr>
      <w:r w:rsidRPr="005F120D">
        <w:rPr>
          <w:rFonts w:asciiTheme="minorHAnsi" w:hAnsiTheme="minorHAnsi" w:cstheme="minorHAnsi"/>
          <w:color w:val="000000"/>
        </w:rPr>
        <w:t>A total of 12,904 repeaters from 2014 were listed in the 2015 DR: 11,997 appeared for the examination and 11,591 passed. The pass rate was 96.6%.</w:t>
      </w:r>
    </w:p>
    <w:p w:rsidR="00152D22" w:rsidRPr="005F120D" w:rsidRDefault="00152D22" w:rsidP="000A5B80">
      <w:pPr>
        <w:spacing w:after="0"/>
        <w:ind w:left="450"/>
        <w:rPr>
          <w:rFonts w:asciiTheme="minorHAnsi" w:hAnsiTheme="minorHAnsi" w:cstheme="minorHAnsi"/>
          <w:color w:val="000000"/>
          <w:sz w:val="6"/>
        </w:rPr>
      </w:pPr>
    </w:p>
    <w:p w:rsidR="00725F3C" w:rsidRPr="005F120D" w:rsidRDefault="00152D22" w:rsidP="000A5B80">
      <w:pPr>
        <w:pStyle w:val="ListParagraph"/>
        <w:numPr>
          <w:ilvl w:val="0"/>
          <w:numId w:val="79"/>
        </w:numPr>
        <w:spacing w:after="0"/>
        <w:ind w:left="446"/>
        <w:jc w:val="both"/>
        <w:rPr>
          <w:rFonts w:asciiTheme="minorHAnsi" w:eastAsiaTheme="minorHAnsi" w:hAnsiTheme="minorHAnsi" w:cstheme="minorHAnsi"/>
          <w:color w:val="000000" w:themeColor="text1"/>
        </w:rPr>
      </w:pPr>
      <w:r w:rsidRPr="005F120D">
        <w:rPr>
          <w:rFonts w:asciiTheme="minorHAnsi" w:hAnsiTheme="minorHAnsi" w:cstheme="minorHAnsi"/>
          <w:color w:val="000000"/>
        </w:rPr>
        <w:t>By type of school, government high schools with a primary section had the highest pass rate (99.97%) and ROSC schools had the lowest pass rate (91.85%). By type of school, the pass rate is given in Figure 3.4</w:t>
      </w:r>
      <w:r w:rsidR="007E6B0B" w:rsidRPr="005F120D">
        <w:rPr>
          <w:rFonts w:asciiTheme="minorHAnsi" w:eastAsiaTheme="minorHAnsi" w:hAnsiTheme="minorHAnsi" w:cstheme="minorHAnsi"/>
          <w:color w:val="000000" w:themeColor="text1"/>
        </w:rPr>
        <w:t>.</w:t>
      </w:r>
    </w:p>
    <w:p w:rsidR="00B5388D" w:rsidRPr="005F120D" w:rsidRDefault="004706BB" w:rsidP="00C437AA">
      <w:pPr>
        <w:pStyle w:val="Caption"/>
        <w:spacing w:before="120" w:after="120" w:line="276" w:lineRule="auto"/>
        <w:rPr>
          <w:rFonts w:cstheme="minorHAnsi"/>
        </w:rPr>
      </w:pPr>
      <w:bookmarkStart w:id="279" w:name="_Toc462837413"/>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Pr="005F120D">
        <w:rPr>
          <w:rFonts w:cstheme="minorHAnsi"/>
        </w:rPr>
        <w:t xml:space="preserve">: </w:t>
      </w:r>
      <w:r w:rsidR="00F10290" w:rsidRPr="005F120D">
        <w:rPr>
          <w:rFonts w:cstheme="minorHAnsi"/>
        </w:rPr>
        <w:t xml:space="preserve">PECE and EECE </w:t>
      </w:r>
      <w:r w:rsidRPr="005F120D">
        <w:rPr>
          <w:rFonts w:cstheme="minorHAnsi"/>
        </w:rPr>
        <w:t>Pass Rate by Type of schools 2015</w:t>
      </w:r>
      <w:bookmarkStart w:id="280" w:name="_Ref387846655"/>
      <w:bookmarkEnd w:id="279"/>
    </w:p>
    <w:p w:rsidR="00C25A7F" w:rsidRPr="005F120D" w:rsidRDefault="008020D8" w:rsidP="00C437AA">
      <w:pPr>
        <w:pStyle w:val="Caption"/>
        <w:spacing w:before="240" w:line="276" w:lineRule="auto"/>
        <w:jc w:val="left"/>
        <w:rPr>
          <w:rFonts w:cstheme="minorHAnsi"/>
          <w:b w:val="0"/>
          <w:color w:val="000000" w:themeColor="text1"/>
        </w:rPr>
      </w:pPr>
      <w:r w:rsidRPr="005F120D">
        <w:rPr>
          <w:rFonts w:cstheme="minorHAnsi"/>
          <w:b w:val="0"/>
          <w:noProof/>
          <w:color w:val="000000" w:themeColor="text1"/>
          <w:lang w:eastAsia="en-US"/>
        </w:rPr>
        <w:drawing>
          <wp:inline distT="0" distB="0" distL="0" distR="0">
            <wp:extent cx="5858358" cy="2655911"/>
            <wp:effectExtent l="38100" t="19050" r="28092" b="0"/>
            <wp:docPr id="11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2D22" w:rsidRPr="005F120D" w:rsidRDefault="00152D22" w:rsidP="00C437AA">
      <w:pPr>
        <w:numPr>
          <w:ilvl w:val="0"/>
          <w:numId w:val="79"/>
        </w:numPr>
        <w:spacing w:before="240" w:after="120" w:line="276" w:lineRule="auto"/>
        <w:ind w:left="446"/>
        <w:contextualSpacing/>
        <w:jc w:val="both"/>
        <w:rPr>
          <w:rFonts w:asciiTheme="minorHAnsi" w:hAnsiTheme="minorHAnsi" w:cstheme="minorHAnsi"/>
        </w:rPr>
      </w:pPr>
      <w:r w:rsidRPr="005F120D">
        <w:rPr>
          <w:rFonts w:asciiTheme="minorHAnsi" w:hAnsiTheme="minorHAnsi" w:cstheme="minorHAnsi"/>
        </w:rPr>
        <w:t>A total of 1,435 students from 204 schools (GPS 2, RNGPS 1, Temp. 3, KG 56, NGO 32, NRNGPS 57, ROSC 49, 1500 GPS 1 and NNPS 3) did not parti</w:t>
      </w:r>
      <w:r w:rsidR="00F45237" w:rsidRPr="005F120D">
        <w:rPr>
          <w:rFonts w:asciiTheme="minorHAnsi" w:hAnsiTheme="minorHAnsi" w:cstheme="minorHAnsi"/>
        </w:rPr>
        <w:t>cipate in the examination. N</w:t>
      </w:r>
      <w:r w:rsidRPr="005F120D">
        <w:rPr>
          <w:rFonts w:asciiTheme="minorHAnsi" w:hAnsiTheme="minorHAnsi" w:cstheme="minorHAnsi"/>
        </w:rPr>
        <w:t xml:space="preserve">o students </w:t>
      </w:r>
      <w:r w:rsidRPr="005F120D">
        <w:rPr>
          <w:rFonts w:asciiTheme="minorHAnsi" w:hAnsiTheme="minorHAnsi" w:cstheme="minorHAnsi"/>
        </w:rPr>
        <w:lastRenderedPageBreak/>
        <w:t>passed in 106 schools (GPS 2, RNGPS 1, Temp. 1, KG 15, NGO 19, NRNGPS 25, High school attached 1, ROSC 32, Shishu Kollyan 1 and NNPS 10), (total 654 students in the DR). It is necessary to examine further why the 1,435 students from the 204 institutes did not participate in the examination, as well as why no students passed from 106 institutes.</w:t>
      </w:r>
    </w:p>
    <w:p w:rsidR="00152D22" w:rsidRPr="005F120D" w:rsidRDefault="00152D22" w:rsidP="00C437AA">
      <w:pPr>
        <w:pStyle w:val="Caption"/>
        <w:spacing w:line="276" w:lineRule="auto"/>
        <w:jc w:val="left"/>
        <w:rPr>
          <w:rFonts w:cstheme="minorHAnsi"/>
          <w:color w:val="000000"/>
        </w:rPr>
      </w:pPr>
      <w:r w:rsidRPr="005F120D">
        <w:rPr>
          <w:rFonts w:cstheme="minorHAnsi"/>
          <w:color w:val="000000"/>
        </w:rPr>
        <w:t>The majo</w:t>
      </w:r>
      <w:r w:rsidR="002E2AEB" w:rsidRPr="005F120D">
        <w:rPr>
          <w:rFonts w:cstheme="minorHAnsi"/>
          <w:color w:val="000000"/>
        </w:rPr>
        <w:t xml:space="preserve">r findings of the 2015 </w:t>
      </w:r>
      <w:r w:rsidRPr="005F120D">
        <w:rPr>
          <w:rFonts w:cstheme="minorHAnsi"/>
          <w:color w:val="000000"/>
        </w:rPr>
        <w:t>EECE results are as follows:</w:t>
      </w:r>
    </w:p>
    <w:p w:rsidR="00152D22" w:rsidRPr="005F120D" w:rsidRDefault="00152D22" w:rsidP="00C437AA">
      <w:pPr>
        <w:numPr>
          <w:ilvl w:val="0"/>
          <w:numId w:val="79"/>
        </w:numPr>
        <w:spacing w:line="276" w:lineRule="auto"/>
        <w:contextualSpacing/>
        <w:jc w:val="both"/>
        <w:rPr>
          <w:rFonts w:asciiTheme="minorHAnsi" w:hAnsiTheme="minorHAnsi" w:cstheme="minorHAnsi"/>
        </w:rPr>
      </w:pPr>
      <w:r w:rsidRPr="005F120D">
        <w:rPr>
          <w:rFonts w:asciiTheme="minorHAnsi" w:hAnsiTheme="minorHAnsi" w:cstheme="minorHAnsi"/>
        </w:rPr>
        <w:t>In 2015 EECE, a total of 306,196 Grade 5 students [Boys 160,643 (52.46%) and Girls 145,553 (47.54%)] were included in the Descriptive Role (DR) from the 11,549 Ebtedaye</w:t>
      </w:r>
      <w:r w:rsidR="00770B93">
        <w:rPr>
          <w:rFonts w:asciiTheme="minorHAnsi" w:hAnsiTheme="minorHAnsi" w:cstheme="minorHAnsi"/>
        </w:rPr>
        <w:t>e Madrasha and High Madrasha</w:t>
      </w:r>
      <w:r w:rsidRPr="005F120D">
        <w:rPr>
          <w:rFonts w:asciiTheme="minorHAnsi" w:hAnsiTheme="minorHAnsi" w:cstheme="minorHAnsi"/>
        </w:rPr>
        <w:t xml:space="preserve"> attached Ebtedayee sections, whereas in 2014, a total of 306,058 students (157,921 boys and 148,680 girls) were included in the DR from the 11,410 Ebtedaye</w:t>
      </w:r>
      <w:r w:rsidR="00770B93">
        <w:rPr>
          <w:rFonts w:asciiTheme="minorHAnsi" w:hAnsiTheme="minorHAnsi" w:cstheme="minorHAnsi"/>
        </w:rPr>
        <w:t>e Madrasha and High Madrasha</w:t>
      </w:r>
      <w:r w:rsidRPr="005F120D">
        <w:rPr>
          <w:rFonts w:asciiTheme="minorHAnsi" w:hAnsiTheme="minorHAnsi" w:cstheme="minorHAnsi"/>
        </w:rPr>
        <w:t xml:space="preserve"> attached Ebtedayee sections. </w:t>
      </w:r>
    </w:p>
    <w:p w:rsidR="00152D22" w:rsidRPr="005F120D" w:rsidRDefault="00152D22" w:rsidP="00C437AA">
      <w:pPr>
        <w:numPr>
          <w:ilvl w:val="0"/>
          <w:numId w:val="79"/>
        </w:numPr>
        <w:spacing w:line="276" w:lineRule="auto"/>
        <w:contextualSpacing/>
        <w:jc w:val="both"/>
        <w:rPr>
          <w:rFonts w:asciiTheme="minorHAnsi" w:hAnsiTheme="minorHAnsi" w:cstheme="minorHAnsi"/>
        </w:rPr>
      </w:pPr>
      <w:r w:rsidRPr="005F120D">
        <w:rPr>
          <w:rFonts w:asciiTheme="minorHAnsi" w:hAnsiTheme="minorHAnsi" w:cstheme="minorHAnsi"/>
        </w:rPr>
        <w:t>Based on the DR, all eligible students did not sit the EECE. The total number of the students who participated was 264,134 (86.26%), boys 135,058 (51.13%) and girls 129,076 (48.87). The participation rate was 86.26% (girls 88.82% and boys 85.09%) in 2015.</w:t>
      </w:r>
    </w:p>
    <w:p w:rsidR="00152D22" w:rsidRPr="005F120D" w:rsidRDefault="00152D22" w:rsidP="00C437AA">
      <w:pPr>
        <w:numPr>
          <w:ilvl w:val="0"/>
          <w:numId w:val="79"/>
        </w:numPr>
        <w:spacing w:line="276" w:lineRule="auto"/>
        <w:contextualSpacing/>
        <w:jc w:val="both"/>
        <w:rPr>
          <w:rFonts w:asciiTheme="minorHAnsi" w:hAnsiTheme="minorHAnsi" w:cstheme="minorHAnsi"/>
        </w:rPr>
      </w:pPr>
      <w:r w:rsidRPr="005F120D">
        <w:rPr>
          <w:rFonts w:asciiTheme="minorHAnsi" w:hAnsiTheme="minorHAnsi" w:cstheme="minorHAnsi"/>
          <w:color w:val="000000"/>
        </w:rPr>
        <w:t>The overall pass rate was 95.13%.  The gender difference was negligible: boys 95.09% and girls 95.17%.</w:t>
      </w:r>
    </w:p>
    <w:p w:rsidR="00152D22" w:rsidRPr="005F120D" w:rsidRDefault="00152D22" w:rsidP="00C437AA">
      <w:pPr>
        <w:numPr>
          <w:ilvl w:val="0"/>
          <w:numId w:val="79"/>
        </w:numPr>
        <w:spacing w:line="276" w:lineRule="auto"/>
        <w:contextualSpacing/>
        <w:jc w:val="both"/>
        <w:rPr>
          <w:rFonts w:asciiTheme="minorHAnsi" w:hAnsiTheme="minorHAnsi" w:cstheme="minorHAnsi"/>
        </w:rPr>
      </w:pPr>
      <w:r w:rsidRPr="005F120D">
        <w:rPr>
          <w:rFonts w:asciiTheme="minorHAnsi" w:hAnsiTheme="minorHAnsi" w:cstheme="minorHAnsi"/>
        </w:rPr>
        <w:t>The pass rate of EECE (95.13%) was lowe</w:t>
      </w:r>
      <w:r w:rsidR="00F45237" w:rsidRPr="005F120D">
        <w:rPr>
          <w:rFonts w:asciiTheme="minorHAnsi" w:hAnsiTheme="minorHAnsi" w:cstheme="minorHAnsi"/>
        </w:rPr>
        <w:t>r than that of PECE (98.52%), t</w:t>
      </w:r>
      <w:r w:rsidRPr="005F120D">
        <w:rPr>
          <w:rFonts w:asciiTheme="minorHAnsi" w:hAnsiTheme="minorHAnsi" w:cstheme="minorHAnsi"/>
        </w:rPr>
        <w:t xml:space="preserve">he pass rate of boys (95.09%) </w:t>
      </w:r>
      <w:r w:rsidR="002E2AEB" w:rsidRPr="005F120D">
        <w:rPr>
          <w:rFonts w:asciiTheme="minorHAnsi" w:hAnsiTheme="minorHAnsi" w:cstheme="minorHAnsi"/>
        </w:rPr>
        <w:t>and</w:t>
      </w:r>
      <w:r w:rsidRPr="005F120D">
        <w:rPr>
          <w:rFonts w:asciiTheme="minorHAnsi" w:hAnsiTheme="minorHAnsi" w:cstheme="minorHAnsi"/>
        </w:rPr>
        <w:t xml:space="preserve"> girls (95.17%). </w:t>
      </w:r>
    </w:p>
    <w:p w:rsidR="00152D22" w:rsidRPr="005F120D" w:rsidRDefault="00403B69" w:rsidP="00C437AA">
      <w:pPr>
        <w:numPr>
          <w:ilvl w:val="0"/>
          <w:numId w:val="79"/>
        </w:numPr>
        <w:spacing w:line="276" w:lineRule="auto"/>
        <w:contextualSpacing/>
        <w:jc w:val="both"/>
        <w:rPr>
          <w:rFonts w:asciiTheme="minorHAnsi" w:hAnsiTheme="minorHAnsi" w:cstheme="minorHAnsi"/>
        </w:rPr>
      </w:pPr>
      <w:r w:rsidRPr="005F120D">
        <w:rPr>
          <w:rFonts w:asciiTheme="minorHAnsi" w:hAnsiTheme="minorHAnsi" w:cstheme="minorHAnsi"/>
        </w:rPr>
        <w:t>There was</w:t>
      </w:r>
      <w:r w:rsidR="00152D22" w:rsidRPr="005F120D">
        <w:rPr>
          <w:rFonts w:asciiTheme="minorHAnsi" w:hAnsiTheme="minorHAnsi" w:cstheme="minorHAnsi"/>
        </w:rPr>
        <w:t xml:space="preserve"> virtually no variation of pass rates by type in EECE. The pass r</w:t>
      </w:r>
      <w:r w:rsidR="00770B93">
        <w:rPr>
          <w:rFonts w:asciiTheme="minorHAnsi" w:hAnsiTheme="minorHAnsi" w:cstheme="minorHAnsi"/>
        </w:rPr>
        <w:t>ate of both Ebtedayee Madrasha (95.93%) and High Madrasha</w:t>
      </w:r>
      <w:r w:rsidR="00152D22" w:rsidRPr="005F120D">
        <w:rPr>
          <w:rFonts w:asciiTheme="minorHAnsi" w:hAnsiTheme="minorHAnsi" w:cstheme="minorHAnsi"/>
        </w:rPr>
        <w:t xml:space="preserve"> attached Ebtedayee sections (95.02%) were near to or above 95%.</w:t>
      </w:r>
    </w:p>
    <w:p w:rsidR="00152D22" w:rsidRPr="005F120D" w:rsidRDefault="00152D22" w:rsidP="00C437AA">
      <w:pPr>
        <w:numPr>
          <w:ilvl w:val="0"/>
          <w:numId w:val="79"/>
        </w:numPr>
        <w:spacing w:line="276" w:lineRule="auto"/>
        <w:contextualSpacing/>
        <w:jc w:val="both"/>
        <w:rPr>
          <w:rFonts w:asciiTheme="minorHAnsi" w:hAnsiTheme="minorHAnsi" w:cstheme="minorHAnsi"/>
        </w:rPr>
      </w:pPr>
      <w:r w:rsidRPr="005F120D">
        <w:rPr>
          <w:rFonts w:asciiTheme="minorHAnsi" w:hAnsiTheme="minorHAnsi" w:cstheme="minorHAnsi"/>
        </w:rPr>
        <w:t>Rajshahi Division had the highest pass rate of 97.88%. Sylhet division had the lowest pass rate of 90.01%.</w:t>
      </w:r>
    </w:p>
    <w:p w:rsidR="00152D22" w:rsidRPr="005F120D" w:rsidRDefault="00152D22" w:rsidP="00C437AA">
      <w:pPr>
        <w:numPr>
          <w:ilvl w:val="0"/>
          <w:numId w:val="79"/>
        </w:numPr>
        <w:spacing w:line="276" w:lineRule="auto"/>
        <w:contextualSpacing/>
        <w:jc w:val="both"/>
        <w:rPr>
          <w:rFonts w:asciiTheme="minorHAnsi" w:hAnsiTheme="minorHAnsi" w:cstheme="minorHAnsi"/>
        </w:rPr>
      </w:pPr>
      <w:r w:rsidRPr="005F120D">
        <w:rPr>
          <w:rFonts w:asciiTheme="minorHAnsi" w:hAnsiTheme="minorHAnsi" w:cstheme="minorHAnsi"/>
        </w:rPr>
        <w:t xml:space="preserve">District-wise, Kushtia district ranked first with a pass rate of 99.71%.  Chowadangha district had the lowest pass rate at 85.95%). Dharmapasha </w:t>
      </w:r>
      <w:r w:rsidR="00EE6322" w:rsidRPr="005F120D">
        <w:rPr>
          <w:rFonts w:asciiTheme="minorHAnsi" w:hAnsiTheme="minorHAnsi" w:cstheme="minorHAnsi"/>
        </w:rPr>
        <w:t>Upazila</w:t>
      </w:r>
      <w:r w:rsidRPr="005F120D">
        <w:rPr>
          <w:rFonts w:asciiTheme="minorHAnsi" w:hAnsiTheme="minorHAnsi" w:cstheme="minorHAnsi"/>
        </w:rPr>
        <w:t xml:space="preserve"> in Sunamgonj district ranked the lowest at 64.62%.</w:t>
      </w:r>
      <w:bookmarkStart w:id="281" w:name="_Ref291418528"/>
      <w:bookmarkStart w:id="282" w:name="_Toc338839608"/>
    </w:p>
    <w:p w:rsidR="00152D22" w:rsidRPr="005F120D" w:rsidRDefault="00403B69" w:rsidP="00C437AA">
      <w:pPr>
        <w:numPr>
          <w:ilvl w:val="0"/>
          <w:numId w:val="79"/>
        </w:numPr>
        <w:spacing w:line="276" w:lineRule="auto"/>
        <w:contextualSpacing/>
        <w:jc w:val="both"/>
        <w:rPr>
          <w:rFonts w:asciiTheme="minorHAnsi" w:hAnsiTheme="minorHAnsi" w:cstheme="minorHAnsi"/>
        </w:rPr>
      </w:pPr>
      <w:r w:rsidRPr="005F120D">
        <w:rPr>
          <w:rFonts w:asciiTheme="minorHAnsi" w:hAnsiTheme="minorHAnsi" w:cstheme="minorHAnsi"/>
        </w:rPr>
        <w:t>There were</w:t>
      </w:r>
      <w:r w:rsidR="00152D22" w:rsidRPr="005F120D">
        <w:rPr>
          <w:rFonts w:asciiTheme="minorHAnsi" w:hAnsiTheme="minorHAnsi" w:cstheme="minorHAnsi"/>
        </w:rPr>
        <w:t xml:space="preserve"> 143 special needs children (65 boys and 78 girls) included in the DR list of EECE; of them, 123 students (54 boys and 69 girls) sat for the examination and 113 students passed. The participation and pass rates were 86% and 91.87% respectively.</w:t>
      </w:r>
    </w:p>
    <w:p w:rsidR="00152D22" w:rsidRPr="005F120D" w:rsidRDefault="00152D22" w:rsidP="00C437AA">
      <w:pPr>
        <w:numPr>
          <w:ilvl w:val="0"/>
          <w:numId w:val="79"/>
        </w:numPr>
        <w:spacing w:before="240" w:line="276" w:lineRule="auto"/>
        <w:ind w:left="446"/>
        <w:contextualSpacing/>
        <w:jc w:val="both"/>
        <w:rPr>
          <w:rFonts w:asciiTheme="minorHAnsi" w:hAnsiTheme="minorHAnsi" w:cstheme="minorHAnsi"/>
          <w:b/>
        </w:rPr>
      </w:pPr>
      <w:r w:rsidRPr="005F120D">
        <w:rPr>
          <w:rFonts w:asciiTheme="minorHAnsi" w:hAnsiTheme="minorHAnsi" w:cstheme="minorHAnsi"/>
        </w:rPr>
        <w:t>A total of 1,106 students from 201 (Ebtedayee</w:t>
      </w:r>
      <w:r w:rsidR="00770B93">
        <w:rPr>
          <w:rFonts w:asciiTheme="minorHAnsi" w:hAnsiTheme="minorHAnsi" w:cstheme="minorHAnsi"/>
        </w:rPr>
        <w:t xml:space="preserve"> 149 and attached 52) Madrasha</w:t>
      </w:r>
      <w:r w:rsidRPr="005F120D">
        <w:rPr>
          <w:rFonts w:asciiTheme="minorHAnsi" w:hAnsiTheme="minorHAnsi" w:cstheme="minorHAnsi"/>
        </w:rPr>
        <w:t xml:space="preserve"> did not participate in the exam. No s</w:t>
      </w:r>
      <w:r w:rsidR="00770B93">
        <w:rPr>
          <w:rFonts w:asciiTheme="minorHAnsi" w:hAnsiTheme="minorHAnsi" w:cstheme="minorHAnsi"/>
        </w:rPr>
        <w:t>tudent passed from 42 Madrasha</w:t>
      </w:r>
      <w:r w:rsidRPr="005F120D">
        <w:rPr>
          <w:rFonts w:asciiTheme="minorHAnsi" w:hAnsiTheme="minorHAnsi" w:cstheme="minorHAnsi"/>
        </w:rPr>
        <w:t xml:space="preserve"> (Ebtedayee 31 and attached </w:t>
      </w:r>
      <w:r w:rsidRPr="005F120D">
        <w:rPr>
          <w:rFonts w:asciiTheme="minorHAnsi" w:hAnsiTheme="minorHAnsi" w:cstheme="minorHAnsi"/>
          <w:b/>
        </w:rPr>
        <w:t>11).</w:t>
      </w:r>
      <w:bookmarkEnd w:id="281"/>
      <w:bookmarkEnd w:id="282"/>
    </w:p>
    <w:p w:rsidR="00152D22" w:rsidRPr="005F120D" w:rsidRDefault="00152D22" w:rsidP="00C437AA">
      <w:pPr>
        <w:spacing w:before="240" w:line="276" w:lineRule="auto"/>
        <w:contextualSpacing/>
        <w:jc w:val="both"/>
        <w:rPr>
          <w:rFonts w:asciiTheme="minorHAnsi" w:hAnsiTheme="minorHAnsi" w:cstheme="minorHAnsi"/>
          <w:b/>
        </w:rPr>
      </w:pPr>
    </w:p>
    <w:p w:rsidR="00403B69" w:rsidRPr="005F120D" w:rsidRDefault="00403B69" w:rsidP="002B788C">
      <w:pPr>
        <w:spacing w:before="240" w:line="276" w:lineRule="auto"/>
        <w:contextualSpacing/>
        <w:jc w:val="both"/>
        <w:rPr>
          <w:rFonts w:asciiTheme="minorHAnsi" w:hAnsiTheme="minorHAnsi" w:cstheme="minorHAnsi"/>
        </w:rPr>
      </w:pPr>
      <w:r w:rsidRPr="005F120D">
        <w:rPr>
          <w:rFonts w:asciiTheme="minorHAnsi" w:hAnsiTheme="minorHAnsi" w:cstheme="minorHAnsi"/>
        </w:rPr>
        <w:t>Previously the</w:t>
      </w:r>
      <w:r w:rsidR="00152D22" w:rsidRPr="005F120D">
        <w:rPr>
          <w:rFonts w:asciiTheme="minorHAnsi" w:hAnsiTheme="minorHAnsi" w:cstheme="minorHAnsi"/>
        </w:rPr>
        <w:t xml:space="preserve"> Grade 5 terminal examination was based on memory recall of textbook content.  Under PEDP3, DPE is committed to reforming the examination by progressively introducing competency-based test items. In 2012, 10% of the test items </w:t>
      </w:r>
      <w:r w:rsidR="001A00CD" w:rsidRPr="005F120D">
        <w:rPr>
          <w:rFonts w:asciiTheme="minorHAnsi" w:hAnsiTheme="minorHAnsi" w:cstheme="minorHAnsi"/>
        </w:rPr>
        <w:t>were</w:t>
      </w:r>
      <w:r w:rsidR="00152D22" w:rsidRPr="005F120D">
        <w:rPr>
          <w:rFonts w:asciiTheme="minorHAnsi" w:hAnsiTheme="minorHAnsi" w:cstheme="minorHAnsi"/>
        </w:rPr>
        <w:t xml:space="preserve"> compe</w:t>
      </w:r>
      <w:r w:rsidRPr="005F120D">
        <w:rPr>
          <w:rFonts w:asciiTheme="minorHAnsi" w:hAnsiTheme="minorHAnsi" w:cstheme="minorHAnsi"/>
        </w:rPr>
        <w:t>tency based and 25% i</w:t>
      </w:r>
      <w:r w:rsidRPr="005F120D">
        <w:rPr>
          <w:rFonts w:asciiTheme="minorHAnsi" w:hAnsiTheme="minorHAnsi" w:cstheme="minorHAnsi"/>
          <w:b/>
        </w:rPr>
        <w:t>n</w:t>
      </w:r>
      <w:r w:rsidRPr="005F120D">
        <w:rPr>
          <w:rFonts w:asciiTheme="minorHAnsi" w:hAnsiTheme="minorHAnsi" w:cstheme="minorHAnsi"/>
        </w:rPr>
        <w:t xml:space="preserve"> 2013. </w:t>
      </w:r>
      <w:r w:rsidR="00152D22" w:rsidRPr="005F120D">
        <w:rPr>
          <w:rFonts w:asciiTheme="minorHAnsi" w:hAnsiTheme="minorHAnsi" w:cstheme="minorHAnsi"/>
        </w:rPr>
        <w:t xml:space="preserve"> As the examination system moves towards being fully competency-based with markers having discretion over grading the examination papers, the management and administration of the examination together with marking and scoring must be strengthened to enable PECE to become a viable instrument of student learning achievement</w:t>
      </w:r>
      <w:r w:rsidR="002B788C" w:rsidRPr="005F120D">
        <w:rPr>
          <w:rFonts w:asciiTheme="minorHAnsi" w:hAnsiTheme="minorHAnsi" w:cstheme="minorHAnsi"/>
        </w:rPr>
        <w:t>.</w:t>
      </w:r>
    </w:p>
    <w:p w:rsidR="005636D4" w:rsidRPr="005F120D" w:rsidRDefault="005636D4" w:rsidP="00C437AA">
      <w:pPr>
        <w:pStyle w:val="Caption"/>
        <w:spacing w:line="276" w:lineRule="auto"/>
        <w:rPr>
          <w:rFonts w:cstheme="minorHAnsi"/>
        </w:rPr>
      </w:pPr>
    </w:p>
    <w:p w:rsidR="005636D4" w:rsidRPr="005F120D" w:rsidRDefault="005636D4" w:rsidP="00C437AA">
      <w:pPr>
        <w:pStyle w:val="Caption"/>
        <w:spacing w:line="276" w:lineRule="auto"/>
        <w:rPr>
          <w:rFonts w:cstheme="minorHAnsi"/>
        </w:rPr>
      </w:pPr>
    </w:p>
    <w:p w:rsidR="00770B93" w:rsidRDefault="00770B93" w:rsidP="00C437AA">
      <w:pPr>
        <w:pStyle w:val="Caption"/>
        <w:spacing w:line="276" w:lineRule="auto"/>
        <w:rPr>
          <w:rFonts w:cstheme="minorHAnsi"/>
        </w:rPr>
      </w:pPr>
    </w:p>
    <w:p w:rsidR="0038277A" w:rsidRPr="005F120D" w:rsidRDefault="00D27514" w:rsidP="00C437AA">
      <w:pPr>
        <w:pStyle w:val="Caption"/>
        <w:spacing w:line="276" w:lineRule="auto"/>
        <w:rPr>
          <w:rFonts w:cstheme="minorHAnsi"/>
        </w:rPr>
      </w:pPr>
      <w:bookmarkStart w:id="283" w:name="_Toc462837414"/>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5</w:t>
      </w:r>
      <w:r w:rsidR="002E2ED5" w:rsidRPr="005F120D">
        <w:rPr>
          <w:rFonts w:cstheme="minorHAnsi"/>
        </w:rPr>
        <w:fldChar w:fldCharType="end"/>
      </w:r>
      <w:bookmarkEnd w:id="242"/>
      <w:bookmarkEnd w:id="280"/>
      <w:r w:rsidR="004565E6" w:rsidRPr="005F120D">
        <w:rPr>
          <w:rFonts w:cstheme="minorHAnsi"/>
        </w:rPr>
        <w:t>:</w:t>
      </w:r>
      <w:r w:rsidR="00770B93">
        <w:rPr>
          <w:rFonts w:cstheme="minorHAnsi"/>
        </w:rPr>
        <w:t xml:space="preserve"> </w:t>
      </w:r>
      <w:r w:rsidR="00AA25B8" w:rsidRPr="005F120D">
        <w:rPr>
          <w:rFonts w:cstheme="minorHAnsi"/>
        </w:rPr>
        <w:t>PECE Pass Rate a</w:t>
      </w:r>
      <w:r w:rsidR="00920E7E" w:rsidRPr="005F120D">
        <w:rPr>
          <w:rFonts w:cstheme="minorHAnsi"/>
        </w:rPr>
        <w:t>mong Eligible S</w:t>
      </w:r>
      <w:r w:rsidR="00AA25B8" w:rsidRPr="005F120D">
        <w:rPr>
          <w:rFonts w:cstheme="minorHAnsi"/>
        </w:rPr>
        <w:t>tudents by Upazila</w:t>
      </w:r>
      <w:r w:rsidR="0038277A" w:rsidRPr="005F120D">
        <w:rPr>
          <w:rFonts w:cstheme="minorHAnsi"/>
        </w:rPr>
        <w:t xml:space="preserve"> 201</w:t>
      </w:r>
      <w:bookmarkEnd w:id="243"/>
      <w:bookmarkEnd w:id="244"/>
      <w:r w:rsidR="00587FC2" w:rsidRPr="005F120D">
        <w:rPr>
          <w:rFonts w:cstheme="minorHAnsi"/>
        </w:rPr>
        <w:t>5</w:t>
      </w:r>
      <w:bookmarkEnd w:id="283"/>
    </w:p>
    <w:p w:rsidR="00413097" w:rsidRPr="005F120D" w:rsidRDefault="00413097" w:rsidP="00C437AA">
      <w:pPr>
        <w:spacing w:after="0" w:line="276" w:lineRule="auto"/>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5327822" cy="7537193"/>
            <wp:effectExtent l="38100" t="19050" r="25228" b="25657"/>
            <wp:docPr id="16" name="Picture 1" descr="C:\Users\user\Downloads\2PECE pass rat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PECE pass rate2015.png"/>
                    <pic:cNvPicPr>
                      <a:picLocks noChangeAspect="1" noChangeArrowheads="1"/>
                    </pic:cNvPicPr>
                  </pic:nvPicPr>
                  <pic:blipFill>
                    <a:blip r:embed="rId25"/>
                    <a:srcRect/>
                    <a:stretch>
                      <a:fillRect/>
                    </a:stretch>
                  </pic:blipFill>
                  <pic:spPr bwMode="auto">
                    <a:xfrm>
                      <a:off x="0" y="0"/>
                      <a:ext cx="5328316" cy="7537892"/>
                    </a:xfrm>
                    <a:prstGeom prst="rect">
                      <a:avLst/>
                    </a:prstGeom>
                    <a:noFill/>
                    <a:ln w="25400" cmpd="dbl">
                      <a:solidFill>
                        <a:schemeClr val="accent6">
                          <a:lumMod val="75000"/>
                        </a:schemeClr>
                      </a:solidFill>
                      <a:miter lim="800000"/>
                      <a:headEnd/>
                      <a:tailEnd/>
                    </a:ln>
                  </pic:spPr>
                </pic:pic>
              </a:graphicData>
            </a:graphic>
          </wp:inline>
        </w:drawing>
      </w:r>
    </w:p>
    <w:p w:rsidR="00344041" w:rsidRPr="005F120D" w:rsidRDefault="00770B93" w:rsidP="00C437AA">
      <w:pPr>
        <w:pStyle w:val="BodyText1"/>
        <w:spacing w:after="0"/>
        <w:rPr>
          <w:rFonts w:asciiTheme="minorHAnsi" w:hAnsiTheme="minorHAnsi" w:cstheme="minorHAnsi"/>
          <w:sz w:val="16"/>
          <w:szCs w:val="16"/>
        </w:rPr>
      </w:pPr>
      <w:r>
        <w:rPr>
          <w:rFonts w:asciiTheme="minorHAnsi" w:hAnsiTheme="minorHAnsi" w:cstheme="minorHAnsi"/>
          <w:noProof/>
          <w:sz w:val="16"/>
          <w:szCs w:val="16"/>
          <w:lang w:val="en-US" w:eastAsia="en-US"/>
        </w:rPr>
        <w:t xml:space="preserve">      </w:t>
      </w:r>
      <w:r w:rsidR="00413097" w:rsidRPr="005F120D">
        <w:rPr>
          <w:rFonts w:asciiTheme="minorHAnsi" w:hAnsiTheme="minorHAnsi" w:cstheme="minorHAnsi"/>
          <w:noProof/>
          <w:sz w:val="16"/>
          <w:szCs w:val="16"/>
          <w:lang w:val="en-US" w:eastAsia="en-US"/>
        </w:rPr>
        <w:t>Source: PECE and EECE result 2015</w:t>
      </w:r>
    </w:p>
    <w:p w:rsidR="00344041" w:rsidRPr="005F120D" w:rsidRDefault="00344041" w:rsidP="00C437AA">
      <w:pPr>
        <w:pStyle w:val="BodyText1"/>
        <w:spacing w:after="0"/>
        <w:jc w:val="center"/>
        <w:rPr>
          <w:rFonts w:asciiTheme="minorHAnsi" w:hAnsiTheme="minorHAnsi" w:cstheme="minorHAnsi"/>
          <w:color w:val="FF0000"/>
          <w:sz w:val="16"/>
          <w:szCs w:val="16"/>
        </w:rPr>
      </w:pPr>
    </w:p>
    <w:p w:rsidR="007D4EC5" w:rsidRPr="005F120D" w:rsidRDefault="007D4EC5" w:rsidP="004E77B3">
      <w:pPr>
        <w:pStyle w:val="Heading3"/>
      </w:pPr>
      <w:r w:rsidRPr="005F120D">
        <w:lastRenderedPageBreak/>
        <w:t>NFE children taking P</w:t>
      </w:r>
      <w:r w:rsidR="003F702B" w:rsidRPr="005F120D">
        <w:t xml:space="preserve">rimary </w:t>
      </w:r>
      <w:r w:rsidRPr="005F120D">
        <w:t>E</w:t>
      </w:r>
      <w:r w:rsidR="003F702B" w:rsidRPr="005F120D">
        <w:t xml:space="preserve">ducation </w:t>
      </w:r>
      <w:r w:rsidRPr="005F120D">
        <w:t>C</w:t>
      </w:r>
      <w:r w:rsidR="003F702B" w:rsidRPr="005F120D">
        <w:t xml:space="preserve">ompletion </w:t>
      </w:r>
      <w:r w:rsidRPr="005F120D">
        <w:t>E</w:t>
      </w:r>
      <w:r w:rsidR="003F702B" w:rsidRPr="005F120D">
        <w:t>xamination (PECE)</w:t>
      </w:r>
    </w:p>
    <w:p w:rsidR="00E052A9" w:rsidRPr="005F120D" w:rsidRDefault="00152D22" w:rsidP="00C437AA">
      <w:pPr>
        <w:pStyle w:val="Caption"/>
        <w:spacing w:before="240" w:line="276" w:lineRule="auto"/>
        <w:jc w:val="both"/>
        <w:rPr>
          <w:rFonts w:cstheme="minorHAnsi"/>
          <w:b w:val="0"/>
          <w:color w:val="000000" w:themeColor="text1"/>
        </w:rPr>
      </w:pPr>
      <w:r w:rsidRPr="005F120D">
        <w:rPr>
          <w:rFonts w:cstheme="minorHAnsi"/>
          <w:b w:val="0"/>
          <w:color w:val="000000"/>
        </w:rPr>
        <w:t>In the 2013-14 Mid-Term Review</w:t>
      </w:r>
      <w:r w:rsidR="00403B69" w:rsidRPr="005F120D">
        <w:rPr>
          <w:rFonts w:cstheme="minorHAnsi"/>
          <w:b w:val="0"/>
          <w:color w:val="000000"/>
        </w:rPr>
        <w:t>,</w:t>
      </w:r>
      <w:r w:rsidRPr="005F120D">
        <w:rPr>
          <w:rFonts w:cstheme="minorHAnsi"/>
          <w:b w:val="0"/>
          <w:color w:val="000000"/>
          <w:u w:val="single"/>
        </w:rPr>
        <w:t xml:space="preserve">Non-KPI-5 - </w:t>
      </w:r>
      <w:r w:rsidRPr="005F120D">
        <w:rPr>
          <w:rFonts w:cstheme="minorHAnsi"/>
          <w:b w:val="0"/>
          <w:i/>
          <w:color w:val="000000"/>
          <w:u w:val="single"/>
        </w:rPr>
        <w:t>‘Number of children from NFE institutes taking PECE’</w:t>
      </w:r>
      <w:r w:rsidR="00770B93">
        <w:rPr>
          <w:rFonts w:cstheme="minorHAnsi"/>
          <w:b w:val="0"/>
          <w:i/>
          <w:color w:val="000000"/>
          <w:u w:val="single"/>
        </w:rPr>
        <w:t xml:space="preserve"> </w:t>
      </w:r>
      <w:r w:rsidRPr="005F120D">
        <w:rPr>
          <w:rFonts w:cstheme="minorHAnsi"/>
          <w:b w:val="0"/>
          <w:color w:val="000000"/>
        </w:rPr>
        <w:t>was included in the PEDP3 revised document. 152,429 students from NFE institutes (BRAC, ROSC and Shishu Kollyan) appeared in the PECE in 2015 compared to 283,161 in the PEDP3 baseline 2010 and 78,643 in 2014. Student participation increased remarkably by 93.8% in 2015 compared to 2014. Figure 3.5 outlines the number of children who participated between 2010 and 2015. According to the DR list, 25% students in 2010, 11.3% in 2011, 10.6% in 2012, 2.8% in 2013, 10.2% in 2014 and 5.8% in 2015 respectively did not appear in the examination. The number of children taking the examination in BRAC Primary Schools decreased dramatically from 2013 to 2014 but increase</w:t>
      </w:r>
      <w:r w:rsidR="00237BFB" w:rsidRPr="005F120D">
        <w:rPr>
          <w:rFonts w:cstheme="minorHAnsi"/>
          <w:b w:val="0"/>
          <w:color w:val="000000"/>
        </w:rPr>
        <w:t>d greatly in 2015 (see Table 3.8</w:t>
      </w:r>
      <w:r w:rsidRPr="005F120D">
        <w:rPr>
          <w:rFonts w:cstheme="minorHAnsi"/>
          <w:b w:val="0"/>
          <w:color w:val="000000"/>
        </w:rPr>
        <w:t>). A question arises as to why one of the discrete projects, namely the ‘SHARE program’ did not participate i</w:t>
      </w:r>
      <w:r w:rsidR="00403B69" w:rsidRPr="005F120D">
        <w:rPr>
          <w:rFonts w:cstheme="minorHAnsi"/>
          <w:b w:val="0"/>
          <w:color w:val="000000"/>
        </w:rPr>
        <w:t>n the examination although SHARE claims that it is</w:t>
      </w:r>
      <w:r w:rsidRPr="005F120D">
        <w:rPr>
          <w:rFonts w:cstheme="minorHAnsi"/>
          <w:b w:val="0"/>
          <w:color w:val="000000"/>
        </w:rPr>
        <w:t xml:space="preserve"> managing 6 </w:t>
      </w:r>
      <w:r w:rsidR="00F738CE" w:rsidRPr="005F120D">
        <w:rPr>
          <w:rFonts w:cstheme="minorHAnsi"/>
          <w:b w:val="0"/>
          <w:color w:val="000000"/>
        </w:rPr>
        <w:t>lac</w:t>
      </w:r>
      <w:r w:rsidRPr="005F120D">
        <w:rPr>
          <w:rFonts w:cstheme="minorHAnsi"/>
          <w:b w:val="0"/>
          <w:color w:val="000000"/>
        </w:rPr>
        <w:t xml:space="preserve"> children. So there may be a possibility of double counting of non-formal children within some NFE programs</w:t>
      </w:r>
      <w:r w:rsidR="00253E94" w:rsidRPr="005F120D">
        <w:rPr>
          <w:rFonts w:cstheme="minorHAnsi"/>
          <w:b w:val="0"/>
          <w:color w:val="000000" w:themeColor="text1"/>
        </w:rPr>
        <w:t>.</w:t>
      </w:r>
    </w:p>
    <w:p w:rsidR="00E052A9" w:rsidRPr="005F120D" w:rsidRDefault="00E45F77" w:rsidP="00C437AA">
      <w:pPr>
        <w:pStyle w:val="Caption"/>
        <w:spacing w:before="240" w:line="276" w:lineRule="auto"/>
        <w:rPr>
          <w:rFonts w:cstheme="minorHAnsi"/>
        </w:rPr>
      </w:pPr>
      <w:bookmarkStart w:id="284" w:name="_Toc462837265"/>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8</w:t>
      </w:r>
      <w:r w:rsidR="002E2ED5" w:rsidRPr="005F120D">
        <w:rPr>
          <w:rFonts w:cstheme="minorHAnsi"/>
        </w:rPr>
        <w:fldChar w:fldCharType="end"/>
      </w:r>
      <w:r w:rsidR="004565E6" w:rsidRPr="005F120D">
        <w:rPr>
          <w:rFonts w:cstheme="minorHAnsi"/>
        </w:rPr>
        <w:t>:</w:t>
      </w:r>
      <w:r w:rsidR="00770B93">
        <w:rPr>
          <w:rFonts w:cstheme="minorHAnsi"/>
        </w:rPr>
        <w:t xml:space="preserve"> </w:t>
      </w:r>
      <w:r w:rsidR="00E052A9" w:rsidRPr="005F120D">
        <w:rPr>
          <w:rFonts w:cstheme="minorHAnsi"/>
        </w:rPr>
        <w:t xml:space="preserve">Number of </w:t>
      </w:r>
      <w:r w:rsidR="00F20247" w:rsidRPr="005F120D">
        <w:rPr>
          <w:rFonts w:cstheme="minorHAnsi"/>
        </w:rPr>
        <w:t xml:space="preserve">NFE </w:t>
      </w:r>
      <w:r w:rsidR="00E052A9" w:rsidRPr="005F120D">
        <w:rPr>
          <w:rFonts w:cstheme="minorHAnsi"/>
        </w:rPr>
        <w:t>Children appeared in the PECE 2010-201</w:t>
      </w:r>
      <w:r w:rsidR="00D161E9" w:rsidRPr="005F120D">
        <w:rPr>
          <w:rFonts w:cstheme="minorHAnsi"/>
        </w:rPr>
        <w:t>5</w:t>
      </w:r>
      <w:bookmarkEnd w:id="284"/>
    </w:p>
    <w:tbl>
      <w:tblPr>
        <w:tblStyle w:val="MediumGrid1-Accent5"/>
        <w:tblW w:w="4942" w:type="pct"/>
        <w:tblInd w:w="108" w:type="dxa"/>
        <w:tblLook w:val="04A0"/>
      </w:tblPr>
      <w:tblGrid>
        <w:gridCol w:w="2165"/>
        <w:gridCol w:w="1003"/>
        <w:gridCol w:w="1237"/>
        <w:gridCol w:w="1237"/>
        <w:gridCol w:w="1237"/>
        <w:gridCol w:w="1135"/>
        <w:gridCol w:w="1124"/>
      </w:tblGrid>
      <w:tr w:rsidR="00D161E9" w:rsidRPr="005F120D" w:rsidTr="004F6928">
        <w:trPr>
          <w:cnfStyle w:val="100000000000"/>
          <w:trHeight w:val="300"/>
        </w:trPr>
        <w:tc>
          <w:tcPr>
            <w:cnfStyle w:val="001000000000"/>
            <w:tcW w:w="1172" w:type="pct"/>
            <w:noWrap/>
            <w:hideMark/>
          </w:tcPr>
          <w:p w:rsidR="00D161E9" w:rsidRPr="005F120D" w:rsidRDefault="00D161E9" w:rsidP="000A5B80">
            <w:pPr>
              <w:spacing w:after="0"/>
              <w:jc w:val="center"/>
              <w:rPr>
                <w:rFonts w:asciiTheme="minorHAnsi" w:hAnsiTheme="minorHAnsi" w:cstheme="minorHAnsi"/>
                <w:sz w:val="20"/>
                <w:lang w:eastAsia="en-US"/>
              </w:rPr>
            </w:pPr>
          </w:p>
        </w:tc>
        <w:tc>
          <w:tcPr>
            <w:tcW w:w="551" w:type="pct"/>
            <w:noWrap/>
            <w:hideMark/>
          </w:tcPr>
          <w:p w:rsidR="00D161E9" w:rsidRPr="005F120D" w:rsidRDefault="00D161E9" w:rsidP="000A5B80">
            <w:pPr>
              <w:spacing w:after="0"/>
              <w:jc w:val="center"/>
              <w:cnfStyle w:val="100000000000"/>
              <w:rPr>
                <w:rFonts w:asciiTheme="minorHAnsi" w:hAnsiTheme="minorHAnsi" w:cstheme="minorHAnsi"/>
                <w:sz w:val="20"/>
                <w:lang w:eastAsia="en-US"/>
              </w:rPr>
            </w:pPr>
            <w:r w:rsidRPr="005F120D">
              <w:rPr>
                <w:rFonts w:asciiTheme="minorHAnsi" w:hAnsiTheme="minorHAnsi" w:cstheme="minorHAnsi"/>
                <w:sz w:val="20"/>
                <w:lang w:eastAsia="en-US"/>
              </w:rPr>
              <w:t>2,010</w:t>
            </w:r>
          </w:p>
        </w:tc>
        <w:tc>
          <w:tcPr>
            <w:tcW w:w="679" w:type="pct"/>
            <w:noWrap/>
            <w:hideMark/>
          </w:tcPr>
          <w:p w:rsidR="00D161E9" w:rsidRPr="005F120D" w:rsidRDefault="00D161E9" w:rsidP="000A5B80">
            <w:pPr>
              <w:spacing w:after="0"/>
              <w:jc w:val="center"/>
              <w:cnfStyle w:val="100000000000"/>
              <w:rPr>
                <w:rFonts w:asciiTheme="minorHAnsi" w:hAnsiTheme="minorHAnsi" w:cstheme="minorHAnsi"/>
                <w:sz w:val="20"/>
                <w:lang w:eastAsia="en-US"/>
              </w:rPr>
            </w:pPr>
            <w:r w:rsidRPr="005F120D">
              <w:rPr>
                <w:rFonts w:asciiTheme="minorHAnsi" w:hAnsiTheme="minorHAnsi" w:cstheme="minorHAnsi"/>
                <w:sz w:val="20"/>
                <w:lang w:eastAsia="en-US"/>
              </w:rPr>
              <w:t>2,011</w:t>
            </w:r>
          </w:p>
        </w:tc>
        <w:tc>
          <w:tcPr>
            <w:tcW w:w="679" w:type="pct"/>
            <w:noWrap/>
            <w:hideMark/>
          </w:tcPr>
          <w:p w:rsidR="00D161E9" w:rsidRPr="005F120D" w:rsidRDefault="00D161E9" w:rsidP="000A5B80">
            <w:pPr>
              <w:spacing w:after="0"/>
              <w:jc w:val="center"/>
              <w:cnfStyle w:val="100000000000"/>
              <w:rPr>
                <w:rFonts w:asciiTheme="minorHAnsi" w:hAnsiTheme="minorHAnsi" w:cstheme="minorHAnsi"/>
                <w:sz w:val="20"/>
                <w:lang w:eastAsia="en-US"/>
              </w:rPr>
            </w:pPr>
            <w:r w:rsidRPr="005F120D">
              <w:rPr>
                <w:rFonts w:asciiTheme="minorHAnsi" w:hAnsiTheme="minorHAnsi" w:cstheme="minorHAnsi"/>
                <w:sz w:val="20"/>
                <w:lang w:eastAsia="en-US"/>
              </w:rPr>
              <w:t>2,012</w:t>
            </w:r>
          </w:p>
        </w:tc>
        <w:tc>
          <w:tcPr>
            <w:tcW w:w="679" w:type="pct"/>
            <w:noWrap/>
            <w:hideMark/>
          </w:tcPr>
          <w:p w:rsidR="00D161E9" w:rsidRPr="005F120D" w:rsidRDefault="00D161E9" w:rsidP="000A5B80">
            <w:pPr>
              <w:spacing w:after="0"/>
              <w:jc w:val="center"/>
              <w:cnfStyle w:val="100000000000"/>
              <w:rPr>
                <w:rFonts w:asciiTheme="minorHAnsi" w:hAnsiTheme="minorHAnsi" w:cstheme="minorHAnsi"/>
                <w:sz w:val="20"/>
                <w:lang w:eastAsia="en-US"/>
              </w:rPr>
            </w:pPr>
            <w:r w:rsidRPr="005F120D">
              <w:rPr>
                <w:rFonts w:asciiTheme="minorHAnsi" w:hAnsiTheme="minorHAnsi" w:cstheme="minorHAnsi"/>
                <w:sz w:val="20"/>
                <w:lang w:eastAsia="en-US"/>
              </w:rPr>
              <w:t>2,013</w:t>
            </w:r>
          </w:p>
        </w:tc>
        <w:tc>
          <w:tcPr>
            <w:tcW w:w="623" w:type="pct"/>
            <w:noWrap/>
            <w:hideMark/>
          </w:tcPr>
          <w:p w:rsidR="00D161E9" w:rsidRPr="005F120D" w:rsidRDefault="00D161E9" w:rsidP="000A5B80">
            <w:pPr>
              <w:spacing w:after="0"/>
              <w:jc w:val="center"/>
              <w:cnfStyle w:val="100000000000"/>
              <w:rPr>
                <w:rFonts w:asciiTheme="minorHAnsi" w:hAnsiTheme="minorHAnsi" w:cstheme="minorHAnsi"/>
                <w:sz w:val="20"/>
                <w:lang w:eastAsia="en-US"/>
              </w:rPr>
            </w:pPr>
            <w:r w:rsidRPr="005F120D">
              <w:rPr>
                <w:rFonts w:asciiTheme="minorHAnsi" w:hAnsiTheme="minorHAnsi" w:cstheme="minorHAnsi"/>
                <w:sz w:val="20"/>
                <w:lang w:eastAsia="en-US"/>
              </w:rPr>
              <w:t>2,014</w:t>
            </w:r>
          </w:p>
        </w:tc>
        <w:tc>
          <w:tcPr>
            <w:tcW w:w="617" w:type="pct"/>
          </w:tcPr>
          <w:p w:rsidR="00D161E9" w:rsidRPr="005F120D" w:rsidRDefault="00D161E9" w:rsidP="000A5B80">
            <w:pPr>
              <w:spacing w:after="0"/>
              <w:jc w:val="center"/>
              <w:cnfStyle w:val="100000000000"/>
              <w:rPr>
                <w:rFonts w:asciiTheme="minorHAnsi" w:hAnsiTheme="minorHAnsi" w:cstheme="minorHAnsi"/>
                <w:sz w:val="20"/>
                <w:lang w:eastAsia="en-US"/>
              </w:rPr>
            </w:pPr>
            <w:r w:rsidRPr="005F120D">
              <w:rPr>
                <w:rFonts w:asciiTheme="minorHAnsi" w:hAnsiTheme="minorHAnsi" w:cstheme="minorHAnsi"/>
                <w:sz w:val="20"/>
                <w:lang w:eastAsia="en-US"/>
              </w:rPr>
              <w:t>2015</w:t>
            </w:r>
          </w:p>
        </w:tc>
      </w:tr>
      <w:tr w:rsidR="00C077FA" w:rsidRPr="005F120D" w:rsidTr="004F6928">
        <w:trPr>
          <w:cnfStyle w:val="000000100000"/>
          <w:trHeight w:val="300"/>
        </w:trPr>
        <w:tc>
          <w:tcPr>
            <w:cnfStyle w:val="001000000000"/>
            <w:tcW w:w="1172" w:type="pct"/>
            <w:noWrap/>
            <w:hideMark/>
          </w:tcPr>
          <w:p w:rsidR="00C077FA" w:rsidRPr="005F120D" w:rsidRDefault="00C077FA" w:rsidP="000A5B80">
            <w:pPr>
              <w:spacing w:after="0"/>
              <w:rPr>
                <w:rFonts w:asciiTheme="minorHAnsi" w:hAnsiTheme="minorHAnsi" w:cstheme="minorHAnsi"/>
                <w:sz w:val="20"/>
                <w:lang w:eastAsia="en-US"/>
              </w:rPr>
            </w:pPr>
            <w:r w:rsidRPr="005F120D">
              <w:rPr>
                <w:rFonts w:asciiTheme="minorHAnsi" w:hAnsiTheme="minorHAnsi" w:cstheme="minorHAnsi"/>
                <w:sz w:val="20"/>
                <w:lang w:eastAsia="en-US"/>
              </w:rPr>
              <w:t>BRAC</w:t>
            </w:r>
          </w:p>
        </w:tc>
        <w:tc>
          <w:tcPr>
            <w:tcW w:w="551" w:type="pct"/>
            <w:noWrap/>
            <w:hideMark/>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138,475</w:t>
            </w:r>
          </w:p>
        </w:tc>
        <w:tc>
          <w:tcPr>
            <w:tcW w:w="679" w:type="pct"/>
            <w:noWrap/>
            <w:hideMark/>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171,785</w:t>
            </w:r>
          </w:p>
        </w:tc>
        <w:tc>
          <w:tcPr>
            <w:tcW w:w="679" w:type="pct"/>
            <w:noWrap/>
            <w:hideMark/>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215,336</w:t>
            </w:r>
          </w:p>
        </w:tc>
        <w:tc>
          <w:tcPr>
            <w:tcW w:w="679" w:type="pct"/>
            <w:noWrap/>
            <w:hideMark/>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110,695</w:t>
            </w:r>
          </w:p>
        </w:tc>
        <w:tc>
          <w:tcPr>
            <w:tcW w:w="623" w:type="pct"/>
            <w:noWrap/>
            <w:hideMark/>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46,422</w:t>
            </w:r>
          </w:p>
        </w:tc>
        <w:tc>
          <w:tcPr>
            <w:tcW w:w="617" w:type="pct"/>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124,625</w:t>
            </w:r>
          </w:p>
        </w:tc>
      </w:tr>
      <w:tr w:rsidR="00C077FA" w:rsidRPr="005F120D" w:rsidTr="004F6928">
        <w:trPr>
          <w:trHeight w:val="300"/>
        </w:trPr>
        <w:tc>
          <w:tcPr>
            <w:cnfStyle w:val="001000000000"/>
            <w:tcW w:w="1172" w:type="pct"/>
            <w:noWrap/>
            <w:hideMark/>
          </w:tcPr>
          <w:p w:rsidR="00C077FA" w:rsidRPr="005F120D" w:rsidRDefault="00C077FA" w:rsidP="000A5B80">
            <w:pPr>
              <w:spacing w:after="0"/>
              <w:rPr>
                <w:rFonts w:asciiTheme="minorHAnsi" w:hAnsiTheme="minorHAnsi" w:cstheme="minorHAnsi"/>
                <w:sz w:val="20"/>
                <w:lang w:eastAsia="en-US"/>
              </w:rPr>
            </w:pPr>
            <w:r w:rsidRPr="005F120D">
              <w:rPr>
                <w:rFonts w:asciiTheme="minorHAnsi" w:hAnsiTheme="minorHAnsi" w:cstheme="minorHAnsi"/>
                <w:sz w:val="20"/>
                <w:lang w:eastAsia="en-US"/>
              </w:rPr>
              <w:t>Shishu Kollyan</w:t>
            </w:r>
          </w:p>
        </w:tc>
        <w:tc>
          <w:tcPr>
            <w:tcW w:w="551" w:type="pct"/>
            <w:noWrap/>
            <w:hideMark/>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143,466</w:t>
            </w:r>
          </w:p>
        </w:tc>
        <w:tc>
          <w:tcPr>
            <w:tcW w:w="679" w:type="pct"/>
            <w:noWrap/>
            <w:hideMark/>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1,396</w:t>
            </w:r>
          </w:p>
        </w:tc>
        <w:tc>
          <w:tcPr>
            <w:tcW w:w="679" w:type="pct"/>
            <w:noWrap/>
            <w:hideMark/>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1,388</w:t>
            </w:r>
          </w:p>
        </w:tc>
        <w:tc>
          <w:tcPr>
            <w:tcW w:w="679" w:type="pct"/>
            <w:noWrap/>
            <w:hideMark/>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1,688</w:t>
            </w:r>
          </w:p>
        </w:tc>
        <w:tc>
          <w:tcPr>
            <w:tcW w:w="623" w:type="pct"/>
            <w:noWrap/>
            <w:hideMark/>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1,769</w:t>
            </w:r>
          </w:p>
        </w:tc>
        <w:tc>
          <w:tcPr>
            <w:tcW w:w="617" w:type="pct"/>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1,561</w:t>
            </w:r>
          </w:p>
        </w:tc>
      </w:tr>
      <w:tr w:rsidR="00C077FA" w:rsidRPr="005F120D" w:rsidTr="004F6928">
        <w:trPr>
          <w:cnfStyle w:val="000000100000"/>
          <w:trHeight w:val="300"/>
        </w:trPr>
        <w:tc>
          <w:tcPr>
            <w:cnfStyle w:val="001000000000"/>
            <w:tcW w:w="1172" w:type="pct"/>
            <w:noWrap/>
            <w:hideMark/>
          </w:tcPr>
          <w:p w:rsidR="00C077FA" w:rsidRPr="005F120D" w:rsidRDefault="00C077FA" w:rsidP="000A5B80">
            <w:pPr>
              <w:spacing w:after="0"/>
              <w:rPr>
                <w:rFonts w:asciiTheme="minorHAnsi" w:hAnsiTheme="minorHAnsi" w:cstheme="minorHAnsi"/>
                <w:sz w:val="20"/>
                <w:lang w:eastAsia="en-US"/>
              </w:rPr>
            </w:pPr>
            <w:r w:rsidRPr="005F120D">
              <w:rPr>
                <w:rFonts w:asciiTheme="minorHAnsi" w:hAnsiTheme="minorHAnsi" w:cstheme="minorHAnsi"/>
                <w:sz w:val="20"/>
                <w:lang w:eastAsia="en-US"/>
              </w:rPr>
              <w:t>Anandya School (ROSC)</w:t>
            </w:r>
          </w:p>
        </w:tc>
        <w:tc>
          <w:tcPr>
            <w:tcW w:w="551" w:type="pct"/>
            <w:noWrap/>
            <w:hideMark/>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1,220</w:t>
            </w:r>
          </w:p>
        </w:tc>
        <w:tc>
          <w:tcPr>
            <w:tcW w:w="679" w:type="pct"/>
            <w:noWrap/>
            <w:hideMark/>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45,118</w:t>
            </w:r>
          </w:p>
        </w:tc>
        <w:tc>
          <w:tcPr>
            <w:tcW w:w="679" w:type="pct"/>
            <w:noWrap/>
            <w:hideMark/>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59,228</w:t>
            </w:r>
          </w:p>
        </w:tc>
        <w:tc>
          <w:tcPr>
            <w:tcW w:w="679" w:type="pct"/>
            <w:noWrap/>
            <w:hideMark/>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w:t>
            </w:r>
          </w:p>
        </w:tc>
        <w:tc>
          <w:tcPr>
            <w:tcW w:w="623" w:type="pct"/>
            <w:noWrap/>
            <w:hideMark/>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30,452</w:t>
            </w:r>
          </w:p>
        </w:tc>
        <w:tc>
          <w:tcPr>
            <w:tcW w:w="617" w:type="pct"/>
          </w:tcPr>
          <w:p w:rsidR="00C077FA" w:rsidRPr="005F120D" w:rsidRDefault="00C077FA" w:rsidP="000A5B80">
            <w:pPr>
              <w:spacing w:after="0"/>
              <w:jc w:val="center"/>
              <w:cnfStyle w:val="000000100000"/>
              <w:rPr>
                <w:rFonts w:asciiTheme="minorHAnsi" w:hAnsiTheme="minorHAnsi" w:cstheme="minorHAnsi"/>
                <w:sz w:val="20"/>
              </w:rPr>
            </w:pPr>
            <w:r w:rsidRPr="005F120D">
              <w:rPr>
                <w:rFonts w:asciiTheme="minorHAnsi" w:hAnsiTheme="minorHAnsi" w:cstheme="minorHAnsi"/>
                <w:sz w:val="20"/>
              </w:rPr>
              <w:t>26,243</w:t>
            </w:r>
          </w:p>
        </w:tc>
      </w:tr>
      <w:tr w:rsidR="00C077FA" w:rsidRPr="005F120D" w:rsidTr="004F6928">
        <w:trPr>
          <w:trHeight w:val="300"/>
        </w:trPr>
        <w:tc>
          <w:tcPr>
            <w:cnfStyle w:val="001000000000"/>
            <w:tcW w:w="1172" w:type="pct"/>
            <w:noWrap/>
            <w:hideMark/>
          </w:tcPr>
          <w:p w:rsidR="00C077FA" w:rsidRPr="005F120D" w:rsidRDefault="00C077FA" w:rsidP="000A5B80">
            <w:pPr>
              <w:spacing w:after="0"/>
              <w:jc w:val="center"/>
              <w:rPr>
                <w:rFonts w:asciiTheme="minorHAnsi" w:hAnsiTheme="minorHAnsi" w:cstheme="minorHAnsi"/>
                <w:sz w:val="20"/>
                <w:lang w:eastAsia="en-US"/>
              </w:rPr>
            </w:pPr>
            <w:r w:rsidRPr="005F120D">
              <w:rPr>
                <w:rFonts w:asciiTheme="minorHAnsi" w:hAnsiTheme="minorHAnsi" w:cstheme="minorHAnsi"/>
                <w:sz w:val="20"/>
                <w:lang w:eastAsia="en-US"/>
              </w:rPr>
              <w:t>Total</w:t>
            </w:r>
          </w:p>
        </w:tc>
        <w:tc>
          <w:tcPr>
            <w:tcW w:w="551" w:type="pct"/>
            <w:noWrap/>
            <w:hideMark/>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283,161</w:t>
            </w:r>
          </w:p>
        </w:tc>
        <w:tc>
          <w:tcPr>
            <w:tcW w:w="679" w:type="pct"/>
            <w:noWrap/>
            <w:hideMark/>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218,299</w:t>
            </w:r>
          </w:p>
        </w:tc>
        <w:tc>
          <w:tcPr>
            <w:tcW w:w="679" w:type="pct"/>
            <w:noWrap/>
            <w:hideMark/>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275,952</w:t>
            </w:r>
          </w:p>
        </w:tc>
        <w:tc>
          <w:tcPr>
            <w:tcW w:w="679" w:type="pct"/>
            <w:noWrap/>
            <w:hideMark/>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112,383</w:t>
            </w:r>
          </w:p>
        </w:tc>
        <w:tc>
          <w:tcPr>
            <w:tcW w:w="623" w:type="pct"/>
            <w:noWrap/>
            <w:hideMark/>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78,643</w:t>
            </w:r>
          </w:p>
        </w:tc>
        <w:tc>
          <w:tcPr>
            <w:tcW w:w="617" w:type="pct"/>
          </w:tcPr>
          <w:p w:rsidR="00C077FA" w:rsidRPr="005F120D" w:rsidRDefault="00C077FA" w:rsidP="000A5B80">
            <w:pPr>
              <w:spacing w:after="0"/>
              <w:jc w:val="center"/>
              <w:cnfStyle w:val="000000000000"/>
              <w:rPr>
                <w:rFonts w:asciiTheme="minorHAnsi" w:hAnsiTheme="minorHAnsi" w:cstheme="minorHAnsi"/>
                <w:sz w:val="20"/>
              </w:rPr>
            </w:pPr>
            <w:r w:rsidRPr="005F120D">
              <w:rPr>
                <w:rFonts w:asciiTheme="minorHAnsi" w:hAnsiTheme="minorHAnsi" w:cstheme="minorHAnsi"/>
                <w:sz w:val="20"/>
              </w:rPr>
              <w:t>152,429</w:t>
            </w:r>
          </w:p>
        </w:tc>
      </w:tr>
    </w:tbl>
    <w:p w:rsidR="00DF35C4" w:rsidRPr="005F120D" w:rsidRDefault="00D161E9" w:rsidP="00C437AA">
      <w:pPr>
        <w:spacing w:line="276" w:lineRule="auto"/>
        <w:rPr>
          <w:rFonts w:asciiTheme="minorHAnsi" w:hAnsiTheme="minorHAnsi" w:cstheme="minorHAnsi"/>
          <w:b/>
          <w:sz w:val="16"/>
          <w:szCs w:val="16"/>
        </w:rPr>
      </w:pPr>
      <w:r w:rsidRPr="005F120D">
        <w:rPr>
          <w:rFonts w:asciiTheme="minorHAnsi" w:hAnsiTheme="minorHAnsi" w:cstheme="minorHAnsi"/>
          <w:b/>
          <w:sz w:val="16"/>
          <w:szCs w:val="16"/>
        </w:rPr>
        <w:t>Source: PECE result 2010-15</w:t>
      </w:r>
    </w:p>
    <w:p w:rsidR="0045573B" w:rsidRPr="005F120D" w:rsidRDefault="00F37455" w:rsidP="00C437AA">
      <w:pPr>
        <w:pStyle w:val="Caption"/>
        <w:spacing w:before="240" w:line="276" w:lineRule="auto"/>
        <w:rPr>
          <w:rFonts w:cstheme="minorHAnsi"/>
        </w:rPr>
      </w:pPr>
      <w:bookmarkStart w:id="285" w:name="_Toc462837415"/>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4565E6" w:rsidRPr="005F120D">
        <w:rPr>
          <w:rFonts w:cstheme="minorHAnsi"/>
        </w:rPr>
        <w:t>:</w:t>
      </w:r>
      <w:r w:rsidR="00770B93">
        <w:rPr>
          <w:rFonts w:cstheme="minorHAnsi"/>
        </w:rPr>
        <w:t xml:space="preserve"> </w:t>
      </w:r>
      <w:r w:rsidR="002F12D8" w:rsidRPr="005F120D">
        <w:rPr>
          <w:rFonts w:cstheme="minorHAnsi"/>
        </w:rPr>
        <w:t xml:space="preserve">Number of </w:t>
      </w:r>
      <w:r w:rsidR="00A350CD" w:rsidRPr="005F120D">
        <w:rPr>
          <w:rFonts w:cstheme="minorHAnsi"/>
        </w:rPr>
        <w:t>Children</w:t>
      </w:r>
      <w:r w:rsidR="002F12D8" w:rsidRPr="005F120D">
        <w:rPr>
          <w:rFonts w:cstheme="minorHAnsi"/>
        </w:rPr>
        <w:t xml:space="preserve"> from NFE institutes taking PECE</w:t>
      </w:r>
      <w:r w:rsidR="00DF35C4" w:rsidRPr="005F120D">
        <w:rPr>
          <w:rFonts w:cstheme="minorHAnsi"/>
        </w:rPr>
        <w:t xml:space="preserve"> 2010-201</w:t>
      </w:r>
      <w:r w:rsidR="00D161E9" w:rsidRPr="005F120D">
        <w:rPr>
          <w:rFonts w:cstheme="minorHAnsi"/>
        </w:rPr>
        <w:t>5</w:t>
      </w:r>
      <w:bookmarkEnd w:id="285"/>
    </w:p>
    <w:p w:rsidR="00DF35C4" w:rsidRPr="005F120D" w:rsidRDefault="0045573B" w:rsidP="00C437AA">
      <w:pPr>
        <w:spacing w:after="0" w:line="276" w:lineRule="auto"/>
        <w:jc w:val="center"/>
        <w:rPr>
          <w:rFonts w:asciiTheme="minorHAnsi" w:hAnsiTheme="minorHAnsi" w:cstheme="minorHAnsi"/>
          <w:color w:val="FF0000"/>
        </w:rPr>
      </w:pPr>
      <w:r w:rsidRPr="005F120D">
        <w:rPr>
          <w:rFonts w:asciiTheme="minorHAnsi" w:hAnsiTheme="minorHAnsi" w:cstheme="minorHAnsi"/>
          <w:noProof/>
          <w:color w:val="FF0000"/>
          <w:lang w:eastAsia="en-US"/>
        </w:rPr>
        <w:drawing>
          <wp:inline distT="0" distB="0" distL="0" distR="0">
            <wp:extent cx="5081706" cy="2969810"/>
            <wp:effectExtent l="38100" t="19050" r="23694" b="199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3187" w:rsidRPr="005F120D" w:rsidRDefault="00C41AA7" w:rsidP="00C437AA">
      <w:pPr>
        <w:pStyle w:val="BodyText1"/>
        <w:spacing w:after="0"/>
        <w:jc w:val="both"/>
        <w:rPr>
          <w:rFonts w:asciiTheme="minorHAnsi" w:hAnsiTheme="minorHAnsi" w:cstheme="minorHAnsi"/>
          <w:sz w:val="16"/>
          <w:szCs w:val="16"/>
        </w:rPr>
      </w:pPr>
      <w:r w:rsidRPr="005F120D">
        <w:rPr>
          <w:rFonts w:asciiTheme="minorHAnsi" w:hAnsiTheme="minorHAnsi" w:cstheme="minorHAnsi"/>
          <w:color w:val="FF0000"/>
          <w:sz w:val="16"/>
          <w:szCs w:val="16"/>
        </w:rPr>
        <w:tab/>
      </w:r>
      <w:r w:rsidR="00C13187" w:rsidRPr="005F120D">
        <w:rPr>
          <w:rFonts w:asciiTheme="minorHAnsi" w:hAnsiTheme="minorHAnsi" w:cstheme="minorHAnsi"/>
          <w:sz w:val="16"/>
          <w:szCs w:val="16"/>
        </w:rPr>
        <w:t>Sou</w:t>
      </w:r>
      <w:r w:rsidR="00572855" w:rsidRPr="005F120D">
        <w:rPr>
          <w:rFonts w:asciiTheme="minorHAnsi" w:hAnsiTheme="minorHAnsi" w:cstheme="minorHAnsi"/>
          <w:sz w:val="16"/>
          <w:szCs w:val="16"/>
        </w:rPr>
        <w:t>rce: Different years PECE results</w:t>
      </w:r>
    </w:p>
    <w:p w:rsidR="00213A7E" w:rsidRPr="005F120D" w:rsidRDefault="00213A7E" w:rsidP="00C437AA">
      <w:pPr>
        <w:pStyle w:val="BodyText1"/>
        <w:spacing w:before="240"/>
        <w:jc w:val="both"/>
        <w:rPr>
          <w:rFonts w:asciiTheme="minorHAnsi" w:hAnsiTheme="minorHAnsi" w:cstheme="minorHAnsi"/>
          <w:sz w:val="18"/>
          <w:szCs w:val="18"/>
        </w:rPr>
      </w:pPr>
    </w:p>
    <w:p w:rsidR="0052141F" w:rsidRPr="005F120D" w:rsidRDefault="00E95CE5" w:rsidP="00C437AA">
      <w:pPr>
        <w:pStyle w:val="Heading2"/>
        <w:spacing w:line="276" w:lineRule="auto"/>
        <w:rPr>
          <w:rFonts w:cstheme="minorHAnsi"/>
          <w:color w:val="auto"/>
        </w:rPr>
      </w:pPr>
      <w:bookmarkStart w:id="286" w:name="_Toc462837181"/>
      <w:r w:rsidRPr="005F120D">
        <w:rPr>
          <w:rFonts w:cstheme="minorHAnsi"/>
          <w:color w:val="auto"/>
        </w:rPr>
        <w:lastRenderedPageBreak/>
        <w:t xml:space="preserve">Component 2: </w:t>
      </w:r>
      <w:r w:rsidR="00770B93" w:rsidRPr="005F120D">
        <w:rPr>
          <w:rFonts w:cstheme="minorHAnsi"/>
          <w:color w:val="auto"/>
        </w:rPr>
        <w:t>Participation and</w:t>
      </w:r>
      <w:r w:rsidRPr="005F120D">
        <w:rPr>
          <w:rFonts w:cstheme="minorHAnsi"/>
          <w:color w:val="auto"/>
        </w:rPr>
        <w:t xml:space="preserve"> Disparities</w:t>
      </w:r>
      <w:bookmarkEnd w:id="286"/>
    </w:p>
    <w:bookmarkEnd w:id="236"/>
    <w:bookmarkEnd w:id="237"/>
    <w:bookmarkEnd w:id="238"/>
    <w:bookmarkEnd w:id="239"/>
    <w:bookmarkEnd w:id="240"/>
    <w:p w:rsidR="005347A2" w:rsidRPr="005F120D" w:rsidRDefault="00152D22" w:rsidP="00C437AA">
      <w:pPr>
        <w:autoSpaceDE w:val="0"/>
        <w:autoSpaceDN w:val="0"/>
        <w:adjustRightInd w:val="0"/>
        <w:spacing w:before="240" w:line="276" w:lineRule="auto"/>
        <w:jc w:val="both"/>
        <w:rPr>
          <w:rFonts w:asciiTheme="minorHAnsi" w:hAnsiTheme="minorHAnsi" w:cstheme="minorHAnsi"/>
        </w:rPr>
      </w:pPr>
      <w:r w:rsidRPr="005F120D">
        <w:rPr>
          <w:rFonts w:asciiTheme="minorHAnsi" w:hAnsiTheme="minorHAnsi" w:cstheme="minorHAnsi"/>
          <w:szCs w:val="22"/>
        </w:rPr>
        <w:t xml:space="preserve">Access to primary education has been improving gradually in </w:t>
      </w:r>
      <w:r w:rsidRPr="005F120D">
        <w:rPr>
          <w:rFonts w:asciiTheme="minorHAnsi" w:hAnsiTheme="minorHAnsi" w:cstheme="minorHAnsi"/>
        </w:rPr>
        <w:t>Bangladesh; in addition, gender and social disparities in enrollment are narrowing. School intake and gross and net enrolment rates are edging over 97%. The National Education Policy affirms that children participate in the country’s free and compulsory education system through formal and non-formal channels. Universal access, participation and the reduction of disparities in the primary education sector collectively are a crucial component of PEDP3’s Program</w:t>
      </w:r>
      <w:r w:rsidR="005347A2" w:rsidRPr="005F120D">
        <w:rPr>
          <w:rFonts w:asciiTheme="minorHAnsi" w:hAnsiTheme="minorHAnsi" w:cstheme="minorHAnsi"/>
        </w:rPr>
        <w:t>.</w:t>
      </w:r>
    </w:p>
    <w:p w:rsidR="0038277A" w:rsidRPr="005F120D" w:rsidRDefault="00425C1B" w:rsidP="004E77B3">
      <w:pPr>
        <w:pStyle w:val="Heading3"/>
      </w:pPr>
      <w:r w:rsidRPr="005F120D">
        <w:t>Universal Access</w:t>
      </w:r>
      <w:r w:rsidR="00A41BF0" w:rsidRPr="005F120D">
        <w:t xml:space="preserve"> to</w:t>
      </w:r>
      <w:r w:rsidR="00A15EA4" w:rsidRPr="005F120D">
        <w:t xml:space="preserve">, </w:t>
      </w:r>
      <w:r w:rsidRPr="005F120D">
        <w:t xml:space="preserve">and </w:t>
      </w:r>
      <w:r w:rsidR="00E339CE" w:rsidRPr="005F120D">
        <w:t xml:space="preserve">Participation </w:t>
      </w:r>
      <w:r w:rsidR="00770B93" w:rsidRPr="005F120D">
        <w:t>in Primary</w:t>
      </w:r>
      <w:r w:rsidR="0038277A" w:rsidRPr="005F120D">
        <w:t xml:space="preserve"> Education</w:t>
      </w:r>
    </w:p>
    <w:p w:rsidR="00152D22" w:rsidRPr="005F120D" w:rsidRDefault="00152D22" w:rsidP="00C437AA">
      <w:pPr>
        <w:spacing w:after="120" w:line="276" w:lineRule="auto"/>
        <w:rPr>
          <w:rFonts w:asciiTheme="minorHAnsi" w:hAnsiTheme="minorHAnsi" w:cstheme="minorHAnsi"/>
        </w:rPr>
      </w:pPr>
      <w:bookmarkStart w:id="287" w:name="_Ref386552515"/>
      <w:r w:rsidRPr="005F120D">
        <w:rPr>
          <w:rFonts w:asciiTheme="minorHAnsi" w:hAnsiTheme="minorHAnsi" w:cstheme="minorHAnsi"/>
        </w:rPr>
        <w:t>The PEDP3 Results Area 2.1 on u</w:t>
      </w:r>
      <w:r w:rsidR="00E339CE" w:rsidRPr="005F120D">
        <w:rPr>
          <w:rFonts w:asciiTheme="minorHAnsi" w:hAnsiTheme="minorHAnsi" w:cstheme="minorHAnsi"/>
        </w:rPr>
        <w:t>niversal access</w:t>
      </w:r>
      <w:r w:rsidRPr="005F120D">
        <w:rPr>
          <w:rFonts w:asciiTheme="minorHAnsi" w:hAnsiTheme="minorHAnsi" w:cstheme="minorHAnsi"/>
        </w:rPr>
        <w:t xml:space="preserve"> and participation</w:t>
      </w:r>
      <w:r w:rsidR="00A41BF0" w:rsidRPr="005F120D">
        <w:rPr>
          <w:rFonts w:asciiTheme="minorHAnsi" w:hAnsiTheme="minorHAnsi" w:cstheme="minorHAnsi"/>
        </w:rPr>
        <w:t xml:space="preserve"> in primary education are</w:t>
      </w:r>
      <w:r w:rsidRPr="005F120D">
        <w:rPr>
          <w:rFonts w:asciiTheme="minorHAnsi" w:hAnsiTheme="minorHAnsi" w:cstheme="minorHAnsi"/>
        </w:rPr>
        <w:t xml:space="preserve"> measured through the following 3 KPIs and 4 Non-KPIs:</w:t>
      </w:r>
    </w:p>
    <w:p w:rsidR="00152D22" w:rsidRPr="005F120D" w:rsidRDefault="00152D22" w:rsidP="00C437AA">
      <w:pPr>
        <w:pStyle w:val="NoSpacing"/>
        <w:spacing w:line="276" w:lineRule="auto"/>
        <w:ind w:firstLine="720"/>
        <w:rPr>
          <w:rFonts w:asciiTheme="minorHAnsi" w:hAnsiTheme="minorHAnsi" w:cstheme="minorHAnsi"/>
          <w:i/>
          <w:sz w:val="20"/>
        </w:rPr>
      </w:pPr>
      <w:r w:rsidRPr="005F120D">
        <w:rPr>
          <w:rFonts w:asciiTheme="minorHAnsi" w:hAnsiTheme="minorHAnsi" w:cstheme="minorHAnsi"/>
          <w:i/>
          <w:sz w:val="20"/>
        </w:rPr>
        <w:t>KPI 4:</w:t>
      </w:r>
      <w:r w:rsidRPr="005F120D">
        <w:rPr>
          <w:rFonts w:asciiTheme="minorHAnsi" w:hAnsiTheme="minorHAnsi" w:cstheme="minorHAnsi"/>
          <w:i/>
          <w:sz w:val="20"/>
        </w:rPr>
        <w:tab/>
        <w:t>Percentage of children out of school (boys and girls;</w:t>
      </w:r>
    </w:p>
    <w:p w:rsidR="00152D22" w:rsidRPr="005F120D" w:rsidRDefault="00152D22" w:rsidP="00C437AA">
      <w:pPr>
        <w:spacing w:after="0" w:line="276" w:lineRule="auto"/>
        <w:ind w:firstLine="720"/>
        <w:rPr>
          <w:rFonts w:asciiTheme="minorHAnsi" w:hAnsiTheme="minorHAnsi" w:cstheme="minorHAnsi"/>
          <w:i/>
          <w:sz w:val="20"/>
        </w:rPr>
      </w:pPr>
      <w:r w:rsidRPr="005F120D">
        <w:rPr>
          <w:rFonts w:asciiTheme="minorHAnsi" w:hAnsiTheme="minorHAnsi" w:cstheme="minorHAnsi"/>
          <w:i/>
          <w:sz w:val="20"/>
        </w:rPr>
        <w:t>KPI 5:</w:t>
      </w:r>
      <w:r w:rsidRPr="005F120D">
        <w:rPr>
          <w:rFonts w:asciiTheme="minorHAnsi" w:hAnsiTheme="minorHAnsi" w:cstheme="minorHAnsi"/>
          <w:i/>
          <w:sz w:val="20"/>
        </w:rPr>
        <w:tab/>
        <w:t>Gross Enrolment Rate (GER) (EFA-5); and</w:t>
      </w:r>
    </w:p>
    <w:p w:rsidR="00152D22" w:rsidRPr="005F120D" w:rsidRDefault="00152D22" w:rsidP="00C437AA">
      <w:pPr>
        <w:spacing w:after="120" w:line="276" w:lineRule="auto"/>
        <w:ind w:firstLine="720"/>
        <w:rPr>
          <w:rFonts w:asciiTheme="minorHAnsi" w:hAnsiTheme="minorHAnsi" w:cstheme="minorHAnsi"/>
          <w:i/>
          <w:sz w:val="20"/>
        </w:rPr>
      </w:pPr>
      <w:r w:rsidRPr="005F120D">
        <w:rPr>
          <w:rFonts w:asciiTheme="minorHAnsi" w:hAnsiTheme="minorHAnsi" w:cstheme="minorHAnsi"/>
          <w:i/>
          <w:sz w:val="20"/>
        </w:rPr>
        <w:t>KPI 6:</w:t>
      </w:r>
      <w:r w:rsidRPr="005F120D">
        <w:rPr>
          <w:rFonts w:asciiTheme="minorHAnsi" w:hAnsiTheme="minorHAnsi" w:cstheme="minorHAnsi"/>
          <w:i/>
          <w:sz w:val="20"/>
        </w:rPr>
        <w:tab/>
        <w:t>Net Enrolment Rate (NER) (EFA-6</w:t>
      </w:r>
      <w:r w:rsidR="00A41BF0" w:rsidRPr="005F120D">
        <w:rPr>
          <w:rFonts w:asciiTheme="minorHAnsi" w:hAnsiTheme="minorHAnsi" w:cstheme="minorHAnsi"/>
          <w:i/>
          <w:sz w:val="20"/>
        </w:rPr>
        <w:t>)</w:t>
      </w:r>
      <w:r w:rsidRPr="005F120D">
        <w:rPr>
          <w:rFonts w:asciiTheme="minorHAnsi" w:hAnsiTheme="minorHAnsi" w:cstheme="minorHAnsi"/>
          <w:i/>
          <w:sz w:val="20"/>
        </w:rPr>
        <w:t>.</w:t>
      </w:r>
    </w:p>
    <w:p w:rsidR="00152D22" w:rsidRPr="005F120D" w:rsidRDefault="00152D22" w:rsidP="00C437AA">
      <w:pPr>
        <w:pStyle w:val="NoSpacing"/>
        <w:spacing w:line="276" w:lineRule="auto"/>
        <w:ind w:firstLine="720"/>
        <w:rPr>
          <w:rFonts w:asciiTheme="minorHAnsi" w:hAnsiTheme="minorHAnsi" w:cstheme="minorHAnsi"/>
          <w:i/>
          <w:sz w:val="20"/>
        </w:rPr>
      </w:pPr>
      <w:r w:rsidRPr="005F120D">
        <w:rPr>
          <w:rFonts w:asciiTheme="minorHAnsi" w:hAnsiTheme="minorHAnsi" w:cstheme="minorHAnsi"/>
          <w:i/>
          <w:sz w:val="20"/>
        </w:rPr>
        <w:t>Non-KPI2:</w:t>
      </w:r>
      <w:r w:rsidRPr="005F120D">
        <w:rPr>
          <w:rFonts w:asciiTheme="minorHAnsi" w:hAnsiTheme="minorHAnsi" w:cstheme="minorHAnsi"/>
          <w:i/>
          <w:sz w:val="20"/>
        </w:rPr>
        <w:tab/>
        <w:t>Repetition rate (EFA-12);</w:t>
      </w:r>
    </w:p>
    <w:p w:rsidR="00152D22" w:rsidRPr="005F120D" w:rsidRDefault="00152D22" w:rsidP="00C437AA">
      <w:pPr>
        <w:spacing w:after="0" w:line="276" w:lineRule="auto"/>
        <w:ind w:firstLine="720"/>
        <w:rPr>
          <w:rFonts w:asciiTheme="minorHAnsi" w:hAnsiTheme="minorHAnsi" w:cstheme="minorHAnsi"/>
          <w:i/>
          <w:sz w:val="20"/>
        </w:rPr>
      </w:pPr>
      <w:r w:rsidRPr="005F120D">
        <w:rPr>
          <w:rFonts w:asciiTheme="minorHAnsi" w:hAnsiTheme="minorHAnsi" w:cstheme="minorHAnsi"/>
          <w:i/>
          <w:sz w:val="20"/>
        </w:rPr>
        <w:t>Non-KPI3:</w:t>
      </w:r>
      <w:r w:rsidRPr="005F120D">
        <w:rPr>
          <w:rFonts w:asciiTheme="minorHAnsi" w:hAnsiTheme="minorHAnsi" w:cstheme="minorHAnsi"/>
          <w:i/>
          <w:sz w:val="20"/>
        </w:rPr>
        <w:tab/>
        <w:t>Percentage of Grade1 new intakes who completed PPE (EFA-2);</w:t>
      </w:r>
    </w:p>
    <w:p w:rsidR="00152D22" w:rsidRPr="005F120D" w:rsidRDefault="00152D22" w:rsidP="00C437AA">
      <w:pPr>
        <w:pStyle w:val="NoSpacing"/>
        <w:spacing w:line="276" w:lineRule="auto"/>
        <w:ind w:firstLine="720"/>
        <w:rPr>
          <w:rFonts w:asciiTheme="minorHAnsi" w:hAnsiTheme="minorHAnsi" w:cstheme="minorHAnsi"/>
          <w:i/>
          <w:sz w:val="20"/>
        </w:rPr>
      </w:pPr>
      <w:r w:rsidRPr="005F120D">
        <w:rPr>
          <w:rFonts w:asciiTheme="minorHAnsi" w:hAnsiTheme="minorHAnsi" w:cstheme="minorHAnsi"/>
          <w:i/>
          <w:sz w:val="20"/>
        </w:rPr>
        <w:t xml:space="preserve">Non-KPI4: </w:t>
      </w:r>
      <w:r w:rsidRPr="005F120D">
        <w:rPr>
          <w:rFonts w:asciiTheme="minorHAnsi" w:hAnsiTheme="minorHAnsi" w:cstheme="minorHAnsi"/>
          <w:i/>
          <w:sz w:val="20"/>
        </w:rPr>
        <w:tab/>
        <w:t>Student attendance rate and;</w:t>
      </w:r>
    </w:p>
    <w:p w:rsidR="00152D22" w:rsidRPr="005F120D" w:rsidRDefault="00152D22" w:rsidP="00C437AA">
      <w:pPr>
        <w:spacing w:after="120" w:line="276" w:lineRule="auto"/>
        <w:ind w:firstLine="720"/>
        <w:rPr>
          <w:rFonts w:asciiTheme="minorHAnsi" w:hAnsiTheme="minorHAnsi" w:cstheme="minorHAnsi"/>
          <w:i/>
          <w:sz w:val="20"/>
        </w:rPr>
      </w:pPr>
      <w:r w:rsidRPr="005F120D">
        <w:rPr>
          <w:rFonts w:asciiTheme="minorHAnsi" w:hAnsiTheme="minorHAnsi" w:cstheme="minorHAnsi"/>
          <w:i/>
          <w:sz w:val="20"/>
        </w:rPr>
        <w:t>Non-KPI 5:</w:t>
      </w:r>
      <w:r w:rsidRPr="005F120D">
        <w:rPr>
          <w:rFonts w:asciiTheme="minorHAnsi" w:hAnsiTheme="minorHAnsi" w:cstheme="minorHAnsi"/>
          <w:i/>
          <w:sz w:val="20"/>
        </w:rPr>
        <w:tab/>
        <w:t>Number of children from NFE institutes taking Grade 5 PECE.</w:t>
      </w:r>
    </w:p>
    <w:p w:rsidR="00152D22" w:rsidRPr="005F120D" w:rsidRDefault="00152D22" w:rsidP="00C437AA">
      <w:pPr>
        <w:spacing w:line="276" w:lineRule="auto"/>
        <w:jc w:val="both"/>
        <w:rPr>
          <w:rFonts w:asciiTheme="minorHAnsi" w:hAnsiTheme="minorHAnsi" w:cstheme="minorHAnsi"/>
          <w:szCs w:val="22"/>
        </w:rPr>
      </w:pPr>
      <w:r w:rsidRPr="005F120D">
        <w:rPr>
          <w:rFonts w:asciiTheme="minorHAnsi" w:hAnsiTheme="minorHAnsi" w:cstheme="minorHAnsi"/>
        </w:rPr>
        <w:t xml:space="preserve">Bangladesh has made </w:t>
      </w:r>
      <w:r w:rsidR="00B4696C">
        <w:rPr>
          <w:rFonts w:asciiTheme="minorHAnsi" w:hAnsiTheme="minorHAnsi" w:cstheme="minorHAnsi"/>
        </w:rPr>
        <w:t>significant</w:t>
      </w:r>
      <w:r w:rsidRPr="005F120D">
        <w:rPr>
          <w:rFonts w:asciiTheme="minorHAnsi" w:hAnsiTheme="minorHAnsi" w:cstheme="minorHAnsi"/>
        </w:rPr>
        <w:t xml:space="preserve"> progress in enabling all children to access both pre-primary and primary education. T</w:t>
      </w:r>
      <w:r w:rsidR="00A41BF0" w:rsidRPr="005F120D">
        <w:rPr>
          <w:rFonts w:asciiTheme="minorHAnsi" w:hAnsiTheme="minorHAnsi" w:cstheme="minorHAnsi"/>
          <w:szCs w:val="22"/>
        </w:rPr>
        <w:t>here has been an increase of</w:t>
      </w:r>
      <w:r w:rsidRPr="005F120D">
        <w:rPr>
          <w:rFonts w:asciiTheme="minorHAnsi" w:hAnsiTheme="minorHAnsi" w:cstheme="minorHAnsi"/>
          <w:szCs w:val="22"/>
        </w:rPr>
        <w:t xml:space="preserve"> enrolment in all types of institutes since 2008 </w:t>
      </w:r>
      <w:r w:rsidRPr="005F120D">
        <w:rPr>
          <w:rFonts w:asciiTheme="minorHAnsi" w:hAnsiTheme="minorHAnsi" w:cstheme="minorHAnsi"/>
        </w:rPr>
        <w:t>due to a number of programs aimed at reducing the cost of schooling for poor families – programs such as stipends, school feeding, mid-day meals, free text books etc.</w:t>
      </w:r>
    </w:p>
    <w:p w:rsidR="00152D22" w:rsidRPr="005F120D" w:rsidRDefault="00152D22" w:rsidP="00C437AA">
      <w:pPr>
        <w:spacing w:line="276" w:lineRule="auto"/>
        <w:jc w:val="both"/>
        <w:rPr>
          <w:rFonts w:asciiTheme="minorHAnsi" w:hAnsiTheme="minorHAnsi" w:cstheme="minorHAnsi"/>
          <w:szCs w:val="22"/>
        </w:rPr>
      </w:pPr>
      <w:r w:rsidRPr="005F120D">
        <w:rPr>
          <w:rFonts w:asciiTheme="minorHAnsi" w:hAnsiTheme="minorHAnsi" w:cstheme="minorHAnsi"/>
          <w:szCs w:val="22"/>
        </w:rPr>
        <w:t xml:space="preserve">According to APSC data </w:t>
      </w:r>
      <w:r w:rsidR="00B02632" w:rsidRPr="005F120D">
        <w:rPr>
          <w:rFonts w:asciiTheme="minorHAnsi" w:hAnsiTheme="minorHAnsi" w:cstheme="minorHAnsi"/>
          <w:szCs w:val="22"/>
        </w:rPr>
        <w:t xml:space="preserve">coverage </w:t>
      </w:r>
      <w:r w:rsidRPr="005F120D">
        <w:rPr>
          <w:rFonts w:asciiTheme="minorHAnsi" w:hAnsiTheme="minorHAnsi" w:cstheme="minorHAnsi"/>
          <w:szCs w:val="22"/>
        </w:rPr>
        <w:t xml:space="preserve">on institutes, the annual growth was about 6% between 2008 and 2015, even though the number of schools declined in 2008 (82,218) and 2009 (78,685). However, numbers rose by 14% between 2010 and 2011, and there was a further sharp rise to 21% between 2011 and 2014, and by 12.6% between 2014 and 2015. </w:t>
      </w:r>
    </w:p>
    <w:p w:rsidR="00152D22" w:rsidRPr="005F120D" w:rsidRDefault="00152D22" w:rsidP="00C437AA">
      <w:pPr>
        <w:spacing w:line="276" w:lineRule="auto"/>
        <w:jc w:val="both"/>
        <w:rPr>
          <w:rFonts w:asciiTheme="minorHAnsi" w:hAnsiTheme="minorHAnsi" w:cstheme="minorHAnsi"/>
          <w:szCs w:val="22"/>
        </w:rPr>
      </w:pPr>
      <w:r w:rsidRPr="005F120D">
        <w:rPr>
          <w:rFonts w:asciiTheme="minorHAnsi" w:hAnsiTheme="minorHAnsi" w:cstheme="minorHAnsi"/>
        </w:rPr>
        <w:t xml:space="preserve">The enrolment </w:t>
      </w:r>
      <w:r w:rsidR="00A41BF0" w:rsidRPr="005F120D">
        <w:rPr>
          <w:rFonts w:asciiTheme="minorHAnsi" w:hAnsiTheme="minorHAnsi" w:cstheme="minorHAnsi"/>
        </w:rPr>
        <w:t>of children aged 6 –10 years</w:t>
      </w:r>
      <w:r w:rsidRPr="005F120D">
        <w:rPr>
          <w:rFonts w:asciiTheme="minorHAnsi" w:hAnsiTheme="minorHAnsi" w:cstheme="minorHAnsi"/>
        </w:rPr>
        <w:t xml:space="preserve"> increased sharply by 15% between 2010 and 2011, and by 2.2% between 2011 and 2014</w:t>
      </w:r>
      <w:r w:rsidRPr="005F120D">
        <w:rPr>
          <w:rFonts w:asciiTheme="minorHAnsi" w:hAnsiTheme="minorHAnsi" w:cstheme="minorHAnsi"/>
          <w:szCs w:val="22"/>
        </w:rPr>
        <w:t xml:space="preserve">. </w:t>
      </w:r>
      <w:r w:rsidRPr="005F120D">
        <w:rPr>
          <w:rFonts w:asciiTheme="minorHAnsi" w:hAnsiTheme="minorHAnsi" w:cstheme="minorHAnsi"/>
          <w:szCs w:val="22"/>
          <w:lang w:val="en-GB"/>
        </w:rPr>
        <w:t>M</w:t>
      </w:r>
      <w:r w:rsidRPr="005F120D">
        <w:rPr>
          <w:rFonts w:asciiTheme="minorHAnsi" w:hAnsiTheme="minorHAnsi" w:cstheme="minorHAnsi"/>
          <w:szCs w:val="22"/>
        </w:rPr>
        <w:t>any factors may have contributed to this improvement. The most significant of these may have been the Government’s vigorous campaigns for 100% enrolment and community mobil</w:t>
      </w:r>
      <w:r w:rsidR="007C596D" w:rsidRPr="005F120D">
        <w:rPr>
          <w:rFonts w:asciiTheme="minorHAnsi" w:hAnsiTheme="minorHAnsi" w:cstheme="minorHAnsi"/>
          <w:szCs w:val="22"/>
        </w:rPr>
        <w:t>ization efforts by the Government</w:t>
      </w:r>
      <w:r w:rsidRPr="005F120D">
        <w:rPr>
          <w:rFonts w:asciiTheme="minorHAnsi" w:hAnsiTheme="minorHAnsi" w:cstheme="minorHAnsi"/>
          <w:szCs w:val="22"/>
        </w:rPr>
        <w:t>.  The introduction of the PECE also may have increased awareness among parents and guardians to send their children to school (see</w:t>
      </w:r>
      <w:r w:rsidRPr="005F120D">
        <w:rPr>
          <w:rFonts w:asciiTheme="minorHAnsi" w:hAnsiTheme="minorHAnsi" w:cstheme="minorHAnsi"/>
        </w:rPr>
        <w:t xml:space="preserve"> Figure 3.10 </w:t>
      </w:r>
      <w:r w:rsidRPr="005F120D">
        <w:rPr>
          <w:rFonts w:asciiTheme="minorHAnsi" w:hAnsiTheme="minorHAnsi" w:cstheme="minorHAnsi"/>
          <w:szCs w:val="22"/>
        </w:rPr>
        <w:t>and</w:t>
      </w:r>
      <w:r w:rsidRPr="005F120D">
        <w:rPr>
          <w:rFonts w:asciiTheme="minorHAnsi" w:hAnsiTheme="minorHAnsi" w:cstheme="minorHAnsi"/>
        </w:rPr>
        <w:t xml:space="preserve"> Table 3.11 for KPI 5, KPI 6 and Figure 3.12 for KPI-4</w:t>
      </w:r>
      <w:r w:rsidRPr="005F120D">
        <w:rPr>
          <w:rFonts w:asciiTheme="minorHAnsi" w:hAnsiTheme="minorHAnsi" w:cstheme="minorHAnsi"/>
          <w:szCs w:val="22"/>
        </w:rPr>
        <w:t>).</w:t>
      </w:r>
    </w:p>
    <w:p w:rsidR="00152D22" w:rsidRPr="005F120D" w:rsidRDefault="00152D22" w:rsidP="00C437AA">
      <w:pPr>
        <w:spacing w:line="276" w:lineRule="auto"/>
        <w:jc w:val="both"/>
        <w:rPr>
          <w:rFonts w:asciiTheme="minorHAnsi" w:hAnsiTheme="minorHAnsi" w:cstheme="minorHAnsi"/>
          <w:szCs w:val="22"/>
        </w:rPr>
      </w:pPr>
      <w:r w:rsidRPr="005F120D">
        <w:rPr>
          <w:rFonts w:asciiTheme="minorHAnsi" w:hAnsiTheme="minorHAnsi" w:cstheme="minorHAnsi"/>
          <w:szCs w:val="22"/>
        </w:rPr>
        <w:t>Enrolment dropped by 2.5% in 2015, which is consistent with the declining trend in the country’s population.  Grade</w:t>
      </w:r>
      <w:r w:rsidR="00A57CCE" w:rsidRPr="005F120D">
        <w:rPr>
          <w:rFonts w:asciiTheme="minorHAnsi" w:hAnsiTheme="minorHAnsi" w:cstheme="minorHAnsi"/>
          <w:szCs w:val="22"/>
        </w:rPr>
        <w:t xml:space="preserve"> 1 enrolment also dropped </w:t>
      </w:r>
      <w:r w:rsidR="00770B93">
        <w:rPr>
          <w:rFonts w:asciiTheme="minorHAnsi" w:hAnsiTheme="minorHAnsi" w:cstheme="minorHAnsi"/>
          <w:szCs w:val="22"/>
        </w:rPr>
        <w:t>by</w:t>
      </w:r>
      <w:r w:rsidR="00A57CCE" w:rsidRPr="005F120D">
        <w:rPr>
          <w:rFonts w:asciiTheme="minorHAnsi" w:hAnsiTheme="minorHAnsi" w:cstheme="minorHAnsi"/>
          <w:szCs w:val="22"/>
        </w:rPr>
        <w:t xml:space="preserve"> </w:t>
      </w:r>
      <w:r w:rsidRPr="005F120D">
        <w:rPr>
          <w:rFonts w:asciiTheme="minorHAnsi" w:hAnsiTheme="minorHAnsi" w:cstheme="minorHAnsi"/>
          <w:szCs w:val="22"/>
        </w:rPr>
        <w:t xml:space="preserve">3 </w:t>
      </w:r>
      <w:r w:rsidR="00F738CE" w:rsidRPr="005F120D">
        <w:rPr>
          <w:rFonts w:asciiTheme="minorHAnsi" w:hAnsiTheme="minorHAnsi" w:cstheme="minorHAnsi"/>
          <w:szCs w:val="22"/>
        </w:rPr>
        <w:t>lac</w:t>
      </w:r>
      <w:r w:rsidRPr="005F120D">
        <w:rPr>
          <w:rFonts w:asciiTheme="minorHAnsi" w:hAnsiTheme="minorHAnsi" w:cstheme="minorHAnsi"/>
          <w:szCs w:val="22"/>
        </w:rPr>
        <w:t xml:space="preserve"> </w:t>
      </w:r>
      <w:r w:rsidR="00770B93">
        <w:rPr>
          <w:rFonts w:asciiTheme="minorHAnsi" w:hAnsiTheme="minorHAnsi" w:cstheme="minorHAnsi"/>
          <w:szCs w:val="22"/>
        </w:rPr>
        <w:t xml:space="preserve">approximately </w:t>
      </w:r>
      <w:r w:rsidRPr="005F120D">
        <w:rPr>
          <w:rFonts w:asciiTheme="minorHAnsi" w:hAnsiTheme="minorHAnsi" w:cstheme="minorHAnsi"/>
          <w:szCs w:val="22"/>
        </w:rPr>
        <w:t>in 2015. It is clearly evident that the 6-10 year population has been decreasing gradually (see Figure 3.7)</w:t>
      </w:r>
      <w:r w:rsidR="00A41BF0" w:rsidRPr="005F120D">
        <w:rPr>
          <w:rFonts w:asciiTheme="minorHAnsi" w:hAnsiTheme="minorHAnsi" w:cstheme="minorHAnsi"/>
          <w:szCs w:val="22"/>
        </w:rPr>
        <w:t>, thus</w:t>
      </w:r>
      <w:r w:rsidR="007C596D" w:rsidRPr="005F120D">
        <w:rPr>
          <w:rFonts w:asciiTheme="minorHAnsi" w:hAnsiTheme="minorHAnsi" w:cstheme="minorHAnsi"/>
          <w:szCs w:val="22"/>
        </w:rPr>
        <w:t xml:space="preserve"> impact</w:t>
      </w:r>
      <w:r w:rsidR="00A41BF0" w:rsidRPr="005F120D">
        <w:rPr>
          <w:rFonts w:asciiTheme="minorHAnsi" w:hAnsiTheme="minorHAnsi" w:cstheme="minorHAnsi"/>
          <w:szCs w:val="22"/>
        </w:rPr>
        <w:t xml:space="preserve">ing </w:t>
      </w:r>
      <w:r w:rsidR="007C596D" w:rsidRPr="005F120D">
        <w:rPr>
          <w:rFonts w:asciiTheme="minorHAnsi" w:hAnsiTheme="minorHAnsi" w:cstheme="minorHAnsi"/>
          <w:szCs w:val="22"/>
        </w:rPr>
        <w:t>total enrolment</w:t>
      </w:r>
      <w:r w:rsidRPr="005F120D">
        <w:rPr>
          <w:rFonts w:asciiTheme="minorHAnsi" w:hAnsiTheme="minorHAnsi" w:cstheme="minorHAnsi"/>
          <w:szCs w:val="22"/>
        </w:rPr>
        <w:t>.</w:t>
      </w:r>
    </w:p>
    <w:p w:rsidR="002F3AC3" w:rsidRPr="005F120D" w:rsidRDefault="00152D22" w:rsidP="00C437AA">
      <w:pPr>
        <w:spacing w:line="276" w:lineRule="auto"/>
        <w:jc w:val="both"/>
        <w:rPr>
          <w:rFonts w:asciiTheme="minorHAnsi" w:hAnsiTheme="minorHAnsi" w:cstheme="minorHAnsi"/>
        </w:rPr>
      </w:pPr>
      <w:r w:rsidRPr="005F120D">
        <w:rPr>
          <w:rFonts w:asciiTheme="minorHAnsi" w:hAnsiTheme="minorHAnsi" w:cstheme="minorHAnsi"/>
        </w:rPr>
        <w:t>Figure 3.7 below shows that total enrolment wa</w:t>
      </w:r>
      <w:r w:rsidR="00520E6C" w:rsidRPr="005F120D">
        <w:rPr>
          <w:rFonts w:asciiTheme="minorHAnsi" w:hAnsiTheme="minorHAnsi" w:cstheme="minorHAnsi"/>
        </w:rPr>
        <w:t>s steady between 2005 and 2010 (around 17</w:t>
      </w:r>
      <w:r w:rsidRPr="005F120D">
        <w:rPr>
          <w:rFonts w:asciiTheme="minorHAnsi" w:hAnsiTheme="minorHAnsi" w:cstheme="minorHAnsi"/>
        </w:rPr>
        <w:t xml:space="preserve"> million each year)</w:t>
      </w:r>
      <w:r w:rsidR="00A41BF0" w:rsidRPr="005F120D">
        <w:rPr>
          <w:rFonts w:asciiTheme="minorHAnsi" w:hAnsiTheme="minorHAnsi" w:cstheme="minorHAnsi"/>
        </w:rPr>
        <w:t xml:space="preserve"> but increased sharply</w:t>
      </w:r>
      <w:r w:rsidR="00520E6C" w:rsidRPr="005F120D">
        <w:rPr>
          <w:rFonts w:asciiTheme="minorHAnsi" w:hAnsiTheme="minorHAnsi" w:cstheme="minorHAnsi"/>
        </w:rPr>
        <w:t xml:space="preserve"> between 2010 -2011</w:t>
      </w:r>
      <w:r w:rsidRPr="005F120D">
        <w:rPr>
          <w:rFonts w:asciiTheme="minorHAnsi" w:hAnsiTheme="minorHAnsi" w:cstheme="minorHAnsi"/>
        </w:rPr>
        <w:t xml:space="preserve"> (by 3,100,000 students or 18%). This is a positive development. At the same time, the cohort of children aged 6-10 years declined by </w:t>
      </w:r>
      <w:r w:rsidRPr="005F120D">
        <w:rPr>
          <w:rFonts w:asciiTheme="minorHAnsi" w:hAnsiTheme="minorHAnsi" w:cstheme="minorHAnsi"/>
        </w:rPr>
        <w:lastRenderedPageBreak/>
        <w:t>9.1%according to the population projections of the BBS between 2005 and 2010. The cohort of children aged 6-10 years radically increased by 15.4% in 201</w:t>
      </w:r>
      <w:r w:rsidR="00E339CE" w:rsidRPr="005F120D">
        <w:rPr>
          <w:rFonts w:asciiTheme="minorHAnsi" w:hAnsiTheme="minorHAnsi" w:cstheme="minorHAnsi"/>
        </w:rPr>
        <w:t xml:space="preserve">1 and again declined in 2013; </w:t>
      </w:r>
      <w:r w:rsidRPr="005F120D">
        <w:rPr>
          <w:rFonts w:asciiTheme="minorHAnsi" w:hAnsiTheme="minorHAnsi" w:cstheme="minorHAnsi"/>
        </w:rPr>
        <w:t>this trend continues.  There is, therefore, a steady closing of the gap between the number of children aged 6-10 and the number of those children enrolled in school</w:t>
      </w:r>
      <w:r w:rsidR="00687E7A" w:rsidRPr="005F120D">
        <w:rPr>
          <w:rFonts w:asciiTheme="minorHAnsi" w:hAnsiTheme="minorHAnsi" w:cstheme="minorHAnsi"/>
        </w:rPr>
        <w:t xml:space="preserve">. </w:t>
      </w:r>
    </w:p>
    <w:p w:rsidR="005B4486" w:rsidRPr="005F120D" w:rsidRDefault="00F37455" w:rsidP="00C437AA">
      <w:pPr>
        <w:pStyle w:val="Caption"/>
        <w:spacing w:line="276" w:lineRule="auto"/>
        <w:rPr>
          <w:rFonts w:cstheme="minorHAnsi"/>
        </w:rPr>
      </w:pPr>
      <w:bookmarkStart w:id="288" w:name="_Toc462837416"/>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7</w:t>
      </w:r>
      <w:r w:rsidR="002E2ED5" w:rsidRPr="005F120D">
        <w:rPr>
          <w:rFonts w:cstheme="minorHAnsi"/>
        </w:rPr>
        <w:fldChar w:fldCharType="end"/>
      </w:r>
      <w:bookmarkEnd w:id="287"/>
      <w:r w:rsidR="00260546" w:rsidRPr="005F120D">
        <w:rPr>
          <w:rFonts w:cstheme="minorHAnsi"/>
        </w:rPr>
        <w:t xml:space="preserve">: </w:t>
      </w:r>
      <w:r w:rsidR="00770B93" w:rsidRPr="005F120D">
        <w:rPr>
          <w:rFonts w:cstheme="minorHAnsi"/>
        </w:rPr>
        <w:t>Primary Enrolment</w:t>
      </w:r>
      <w:r w:rsidR="00920E7E" w:rsidRPr="005F120D">
        <w:rPr>
          <w:rFonts w:cstheme="minorHAnsi"/>
        </w:rPr>
        <w:t xml:space="preserve"> and Population C</w:t>
      </w:r>
      <w:r w:rsidR="007D4681" w:rsidRPr="005F120D">
        <w:rPr>
          <w:rFonts w:cstheme="minorHAnsi"/>
        </w:rPr>
        <w:t>ohort</w:t>
      </w:r>
      <w:r w:rsidR="009C3F3D" w:rsidRPr="005F120D">
        <w:rPr>
          <w:rFonts w:cstheme="minorHAnsi"/>
        </w:rPr>
        <w:t xml:space="preserve"> 2005–2015</w:t>
      </w:r>
      <w:r w:rsidR="007658DE" w:rsidRPr="005F120D">
        <w:rPr>
          <w:rFonts w:cstheme="minorHAnsi"/>
        </w:rPr>
        <w:t xml:space="preserve"> (in millions)</w:t>
      </w:r>
      <w:bookmarkEnd w:id="288"/>
    </w:p>
    <w:p w:rsidR="00087310" w:rsidRPr="005F120D" w:rsidRDefault="009C3F3D" w:rsidP="00C437AA">
      <w:pPr>
        <w:spacing w:after="40" w:line="276" w:lineRule="auto"/>
        <w:jc w:val="center"/>
        <w:rPr>
          <w:rFonts w:asciiTheme="minorHAnsi" w:hAnsiTheme="minorHAnsi" w:cstheme="minorHAnsi"/>
          <w:color w:val="FF0000"/>
        </w:rPr>
      </w:pPr>
      <w:r w:rsidRPr="005F120D">
        <w:rPr>
          <w:rFonts w:asciiTheme="minorHAnsi" w:hAnsiTheme="minorHAnsi" w:cstheme="minorHAnsi"/>
          <w:noProof/>
          <w:color w:val="FF0000"/>
          <w:lang w:eastAsia="en-US"/>
        </w:rPr>
        <w:drawing>
          <wp:inline distT="0" distB="0" distL="0" distR="0">
            <wp:extent cx="5655310" cy="2317750"/>
            <wp:effectExtent l="38100" t="19050" r="21590" b="635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2CA2" w:rsidRPr="005F120D" w:rsidRDefault="00DC2B6A" w:rsidP="00C437AA">
      <w:pPr>
        <w:spacing w:line="276" w:lineRule="auto"/>
        <w:jc w:val="both"/>
        <w:rPr>
          <w:rFonts w:asciiTheme="minorHAnsi" w:hAnsiTheme="minorHAnsi" w:cstheme="minorHAnsi"/>
          <w:color w:val="FF0000"/>
        </w:rPr>
      </w:pPr>
      <w:r w:rsidRPr="005F120D">
        <w:rPr>
          <w:rFonts w:asciiTheme="minorHAnsi" w:hAnsiTheme="minorHAnsi" w:cstheme="minorHAnsi"/>
          <w:b/>
          <w:sz w:val="16"/>
          <w:szCs w:val="16"/>
        </w:rPr>
        <w:t xml:space="preserve">Sources: </w:t>
      </w:r>
      <w:r w:rsidR="00152D22" w:rsidRPr="005F120D">
        <w:rPr>
          <w:rFonts w:asciiTheme="minorHAnsi" w:hAnsiTheme="minorHAnsi" w:cstheme="minorHAnsi"/>
          <w:b/>
          <w:sz w:val="16"/>
          <w:szCs w:val="16"/>
        </w:rPr>
        <w:t>Enrolment data: APSC 2005 to 2013; BANBEIS 2005 to 2010; Population data: BBS estimates for 2005–2010 based on 2001 population census, BBS estimate for 2011, 2012, 2013 &amp; 2014 based on 2011 population census.  Note:  The 2014 enrolment rate estimates are comparable with those of 2011, 2012 and 2013 but not strictly comparable to the previous years because the estimates of the population aged 6–10 for the denominators are based on different sources</w:t>
      </w:r>
      <w:r w:rsidR="001338E4" w:rsidRPr="005F120D">
        <w:rPr>
          <w:rFonts w:asciiTheme="minorHAnsi" w:hAnsiTheme="minorHAnsi" w:cstheme="minorHAnsi"/>
          <w:b/>
          <w:sz w:val="16"/>
          <w:szCs w:val="16"/>
        </w:rPr>
        <w:t>.</w:t>
      </w:r>
    </w:p>
    <w:p w:rsidR="00836115" w:rsidRPr="005F120D" w:rsidRDefault="00836115" w:rsidP="00C437AA">
      <w:pPr>
        <w:pStyle w:val="Heading4"/>
        <w:spacing w:line="276" w:lineRule="auto"/>
        <w:rPr>
          <w:rFonts w:asciiTheme="minorHAnsi" w:hAnsiTheme="minorHAnsi" w:cstheme="minorHAnsi"/>
          <w:b/>
          <w:color w:val="006600"/>
        </w:rPr>
      </w:pPr>
      <w:r w:rsidRPr="005F120D">
        <w:rPr>
          <w:rFonts w:asciiTheme="minorHAnsi" w:hAnsiTheme="minorHAnsi" w:cstheme="minorHAnsi"/>
          <w:b/>
          <w:color w:val="006600"/>
        </w:rPr>
        <w:t>Gross and Net Intake Rate (GIR &amp; NIR)</w:t>
      </w:r>
    </w:p>
    <w:p w:rsidR="00136961" w:rsidRPr="005F120D" w:rsidRDefault="00152D22" w:rsidP="00C437AA">
      <w:pPr>
        <w:pStyle w:val="BodyText1"/>
        <w:spacing w:before="240" w:after="120"/>
        <w:jc w:val="both"/>
        <w:rPr>
          <w:rFonts w:asciiTheme="minorHAnsi" w:hAnsiTheme="minorHAnsi" w:cstheme="minorHAnsi"/>
          <w:b w:val="0"/>
        </w:rPr>
      </w:pPr>
      <w:r w:rsidRPr="005F120D">
        <w:rPr>
          <w:rFonts w:asciiTheme="minorHAnsi" w:hAnsiTheme="minorHAnsi" w:cstheme="minorHAnsi"/>
        </w:rPr>
        <w:t>Gross Intake Rate (GIR):</w:t>
      </w:r>
      <w:r w:rsidRPr="005F120D">
        <w:rPr>
          <w:rFonts w:asciiTheme="minorHAnsi" w:hAnsiTheme="minorHAnsi" w:cstheme="minorHAnsi"/>
          <w:b w:val="0"/>
        </w:rPr>
        <w:t xml:space="preserve"> In terms of access, the GIR (i.e. the number of children who enrolled for the first time in Grade 1 (new entrants) relative to the total population of children aged 6 years, remain</w:t>
      </w:r>
      <w:r w:rsidR="00B02632" w:rsidRPr="005F120D">
        <w:rPr>
          <w:rFonts w:asciiTheme="minorHAnsi" w:hAnsiTheme="minorHAnsi" w:cstheme="minorHAnsi"/>
          <w:b w:val="0"/>
        </w:rPr>
        <w:t>ed constant over the period 2010-2015</w:t>
      </w:r>
      <w:r w:rsidRPr="005F120D">
        <w:rPr>
          <w:rFonts w:asciiTheme="minorHAnsi" w:hAnsiTheme="minorHAnsi" w:cstheme="minorHAnsi"/>
          <w:b w:val="0"/>
        </w:rPr>
        <w:t xml:space="preserve"> at arou</w:t>
      </w:r>
      <w:r w:rsidR="00B02632" w:rsidRPr="005F120D">
        <w:rPr>
          <w:rFonts w:asciiTheme="minorHAnsi" w:hAnsiTheme="minorHAnsi" w:cstheme="minorHAnsi"/>
          <w:b w:val="0"/>
        </w:rPr>
        <w:t>nd 104-113</w:t>
      </w:r>
      <w:r w:rsidRPr="005F120D">
        <w:rPr>
          <w:rFonts w:asciiTheme="minorHAnsi" w:hAnsiTheme="minorHAnsi" w:cstheme="minorHAnsi"/>
          <w:b w:val="0"/>
        </w:rPr>
        <w:t>%</w:t>
      </w:r>
      <w:r w:rsidR="000C5871" w:rsidRPr="005F120D">
        <w:rPr>
          <w:rFonts w:asciiTheme="minorHAnsi" w:hAnsiTheme="minorHAnsi" w:cstheme="minorHAnsi"/>
          <w:b w:val="0"/>
        </w:rPr>
        <w:t xml:space="preserve">. </w:t>
      </w:r>
    </w:p>
    <w:p w:rsidR="006C45E9" w:rsidRPr="005F120D" w:rsidRDefault="00BE3740" w:rsidP="00C437AA">
      <w:pPr>
        <w:pStyle w:val="Caption"/>
        <w:spacing w:line="276" w:lineRule="auto"/>
        <w:rPr>
          <w:rFonts w:cstheme="minorHAnsi"/>
        </w:rPr>
      </w:pPr>
      <w:bookmarkStart w:id="289" w:name="_Toc462837417"/>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8</w:t>
      </w:r>
      <w:r w:rsidR="002E2ED5" w:rsidRPr="005F120D">
        <w:rPr>
          <w:rFonts w:cstheme="minorHAnsi"/>
        </w:rPr>
        <w:fldChar w:fldCharType="end"/>
      </w:r>
      <w:r w:rsidRPr="005F120D">
        <w:rPr>
          <w:rFonts w:cstheme="minorHAnsi"/>
        </w:rPr>
        <w:t>: Gross Intake Rate by Gender (GIR) 2005, 2010 - 2015</w:t>
      </w:r>
      <w:bookmarkEnd w:id="289"/>
    </w:p>
    <w:p w:rsidR="006C45E9" w:rsidRPr="005F120D" w:rsidRDefault="006C45E9" w:rsidP="00C437AA">
      <w:pPr>
        <w:spacing w:line="276" w:lineRule="auto"/>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5035766" cy="2199736"/>
            <wp:effectExtent l="19050" t="0" r="12484" b="0"/>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45E9" w:rsidRPr="005F120D" w:rsidRDefault="00152D22" w:rsidP="00C437AA">
      <w:pPr>
        <w:pStyle w:val="Caption"/>
        <w:spacing w:before="240" w:line="276" w:lineRule="auto"/>
        <w:jc w:val="both"/>
        <w:rPr>
          <w:rFonts w:cstheme="minorHAnsi"/>
        </w:rPr>
      </w:pPr>
      <w:r w:rsidRPr="005F120D">
        <w:rPr>
          <w:rFonts w:cstheme="minorHAnsi"/>
        </w:rPr>
        <w:lastRenderedPageBreak/>
        <w:t xml:space="preserve">Net Intake Rate (NIR): </w:t>
      </w:r>
      <w:r w:rsidRPr="005F120D">
        <w:rPr>
          <w:rFonts w:cstheme="minorHAnsi"/>
          <w:b w:val="0"/>
        </w:rPr>
        <w:t xml:space="preserve">the NIR (i.e. the number of children aged 6 years who enrolled for the first time in Grade 1 relative to the total population of children aged 6 years) remained constant over the period 2005-2008 at around 94-95%, but </w:t>
      </w:r>
      <w:r w:rsidR="002B788C" w:rsidRPr="005F120D">
        <w:rPr>
          <w:rFonts w:cstheme="minorHAnsi"/>
          <w:b w:val="0"/>
        </w:rPr>
        <w:t>increas</w:t>
      </w:r>
      <w:r w:rsidRPr="005F120D">
        <w:rPr>
          <w:rFonts w:cstheme="minorHAnsi"/>
          <w:b w:val="0"/>
        </w:rPr>
        <w:t>ed to 98% between 2009 and 2015 (see Table 3.10)</w:t>
      </w:r>
      <w:r w:rsidR="006C45E9" w:rsidRPr="005F120D">
        <w:rPr>
          <w:rFonts w:cstheme="minorHAnsi"/>
          <w:b w:val="0"/>
        </w:rPr>
        <w:t>.</w:t>
      </w:r>
    </w:p>
    <w:p w:rsidR="006C45E9" w:rsidRPr="005F120D" w:rsidRDefault="00BE3740" w:rsidP="00C437AA">
      <w:pPr>
        <w:pStyle w:val="Caption"/>
        <w:spacing w:line="276" w:lineRule="auto"/>
        <w:rPr>
          <w:rFonts w:cstheme="minorHAnsi"/>
        </w:rPr>
      </w:pPr>
      <w:bookmarkStart w:id="290" w:name="_Toc462837418"/>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9</w:t>
      </w:r>
      <w:r w:rsidR="002E2ED5" w:rsidRPr="005F120D">
        <w:rPr>
          <w:rFonts w:cstheme="minorHAnsi"/>
        </w:rPr>
        <w:fldChar w:fldCharType="end"/>
      </w:r>
      <w:r w:rsidRPr="005F120D">
        <w:rPr>
          <w:rFonts w:cstheme="minorHAnsi"/>
        </w:rPr>
        <w:t xml:space="preserve">: </w:t>
      </w:r>
      <w:r w:rsidR="006C45E9" w:rsidRPr="005F120D">
        <w:rPr>
          <w:rFonts w:cstheme="minorHAnsi"/>
        </w:rPr>
        <w:t>N</w:t>
      </w:r>
      <w:r w:rsidRPr="005F120D">
        <w:rPr>
          <w:rFonts w:cstheme="minorHAnsi"/>
        </w:rPr>
        <w:t>et Intake Rate by Gender (</w:t>
      </w:r>
      <w:r w:rsidR="006C45E9" w:rsidRPr="005F120D">
        <w:rPr>
          <w:rFonts w:cstheme="minorHAnsi"/>
        </w:rPr>
        <w:t>NIR) 2005</w:t>
      </w:r>
      <w:r w:rsidRPr="005F120D">
        <w:rPr>
          <w:rFonts w:cstheme="minorHAnsi"/>
        </w:rPr>
        <w:t xml:space="preserve">, 2010 </w:t>
      </w:r>
      <w:r w:rsidR="006C45E9" w:rsidRPr="005F120D">
        <w:rPr>
          <w:rFonts w:cstheme="minorHAnsi"/>
        </w:rPr>
        <w:t>-2015</w:t>
      </w:r>
      <w:bookmarkEnd w:id="290"/>
    </w:p>
    <w:p w:rsidR="006C45E9" w:rsidRPr="005F120D" w:rsidRDefault="006C45E9" w:rsidP="00C437AA">
      <w:pPr>
        <w:spacing w:before="240" w:line="276" w:lineRule="auto"/>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5105400" cy="2139950"/>
            <wp:effectExtent l="38100" t="19050" r="19050" b="0"/>
            <wp:docPr id="11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6961" w:rsidRPr="005F120D" w:rsidRDefault="00152D22" w:rsidP="00C437AA">
      <w:pPr>
        <w:spacing w:line="276" w:lineRule="auto"/>
        <w:rPr>
          <w:rFonts w:asciiTheme="minorHAnsi" w:hAnsiTheme="minorHAnsi" w:cstheme="minorHAnsi"/>
        </w:rPr>
      </w:pPr>
      <w:r w:rsidRPr="005F120D">
        <w:rPr>
          <w:rFonts w:asciiTheme="minorHAnsi" w:hAnsiTheme="minorHAnsi" w:cstheme="minorHAnsi"/>
        </w:rPr>
        <w:t>The trend of achievement in gross and net intake is prese</w:t>
      </w:r>
      <w:r w:rsidR="00237BFB" w:rsidRPr="005F120D">
        <w:rPr>
          <w:rFonts w:asciiTheme="minorHAnsi" w:hAnsiTheme="minorHAnsi" w:cstheme="minorHAnsi"/>
        </w:rPr>
        <w:t>nted in the following Table 3.9</w:t>
      </w:r>
    </w:p>
    <w:p w:rsidR="006C45E9" w:rsidRPr="005F120D" w:rsidRDefault="00BE3740" w:rsidP="00C437AA">
      <w:pPr>
        <w:pStyle w:val="Caption"/>
        <w:spacing w:line="276" w:lineRule="auto"/>
        <w:rPr>
          <w:rFonts w:cstheme="minorHAnsi"/>
        </w:rPr>
      </w:pPr>
      <w:bookmarkStart w:id="291" w:name="_Toc439426382"/>
      <w:bookmarkStart w:id="292" w:name="_Toc462837266"/>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9</w:t>
      </w:r>
      <w:r w:rsidR="002E2ED5" w:rsidRPr="005F120D">
        <w:rPr>
          <w:rFonts w:cstheme="minorHAnsi"/>
        </w:rPr>
        <w:fldChar w:fldCharType="end"/>
      </w:r>
      <w:r w:rsidRPr="005F120D">
        <w:rPr>
          <w:rFonts w:cstheme="minorHAnsi"/>
        </w:rPr>
        <w:t xml:space="preserve"> Gross and Net Intake Rate </w:t>
      </w:r>
      <w:r w:rsidR="00152D22" w:rsidRPr="005F120D">
        <w:rPr>
          <w:rFonts w:cstheme="minorHAnsi"/>
        </w:rPr>
        <w:t xml:space="preserve">(GIR &amp; NIR) </w:t>
      </w:r>
      <w:r w:rsidRPr="005F120D">
        <w:rPr>
          <w:rFonts w:cstheme="minorHAnsi"/>
        </w:rPr>
        <w:t>by Gender 2005-2015</w:t>
      </w:r>
      <w:bookmarkEnd w:id="291"/>
      <w:bookmarkEnd w:id="292"/>
    </w:p>
    <w:tbl>
      <w:tblPr>
        <w:tblW w:w="5000" w:type="pct"/>
        <w:tblBorders>
          <w:top w:val="double" w:sz="4" w:space="0" w:color="76923C"/>
          <w:left w:val="double" w:sz="4" w:space="0" w:color="76923C"/>
          <w:bottom w:val="double" w:sz="4" w:space="0" w:color="76923C"/>
          <w:right w:val="double" w:sz="4" w:space="0" w:color="76923C"/>
          <w:insideH w:val="single" w:sz="6" w:space="0" w:color="76923C"/>
          <w:insideV w:val="single" w:sz="6" w:space="0" w:color="76923C"/>
        </w:tblBorders>
        <w:tblLook w:val="04A0"/>
      </w:tblPr>
      <w:tblGrid>
        <w:gridCol w:w="1962"/>
        <w:gridCol w:w="1191"/>
        <w:gridCol w:w="1289"/>
        <w:gridCol w:w="1291"/>
        <w:gridCol w:w="1109"/>
        <w:gridCol w:w="1109"/>
        <w:gridCol w:w="1294"/>
      </w:tblGrid>
      <w:tr w:rsidR="001A67CE" w:rsidRPr="005F120D" w:rsidTr="00BE3740">
        <w:trPr>
          <w:trHeight w:hRule="exact" w:val="245"/>
          <w:tblHeader/>
        </w:trPr>
        <w:tc>
          <w:tcPr>
            <w:tcW w:w="1061" w:type="pct"/>
            <w:vMerge w:val="restart"/>
            <w:tcBorders>
              <w:top w:val="double" w:sz="4" w:space="0" w:color="943634" w:themeColor="accent2" w:themeShade="BF"/>
              <w:left w:val="double" w:sz="4" w:space="0" w:color="943634" w:themeColor="accent2" w:themeShade="BF"/>
              <w:bottom w:val="single" w:sz="6" w:space="0" w:color="76923C"/>
              <w:right w:val="double" w:sz="4" w:space="0" w:color="76923C"/>
            </w:tcBorders>
            <w:shd w:val="clear" w:color="auto" w:fill="D6E3BC"/>
          </w:tcPr>
          <w:p w:rsidR="001A67CE" w:rsidRPr="005F120D" w:rsidRDefault="001A67CE" w:rsidP="000A5B80">
            <w:pPr>
              <w:spacing w:after="0"/>
              <w:jc w:val="center"/>
              <w:rPr>
                <w:rFonts w:asciiTheme="minorHAnsi" w:hAnsiTheme="minorHAnsi" w:cstheme="minorHAnsi"/>
                <w:b/>
                <w:sz w:val="20"/>
              </w:rPr>
            </w:pPr>
            <w:r w:rsidRPr="005F120D">
              <w:rPr>
                <w:rFonts w:asciiTheme="minorHAnsi" w:hAnsiTheme="minorHAnsi" w:cstheme="minorHAnsi"/>
                <w:b/>
                <w:sz w:val="20"/>
              </w:rPr>
              <w:t>Year</w:t>
            </w:r>
          </w:p>
        </w:tc>
        <w:tc>
          <w:tcPr>
            <w:tcW w:w="2039" w:type="pct"/>
            <w:gridSpan w:val="3"/>
            <w:tcBorders>
              <w:top w:val="double" w:sz="4" w:space="0" w:color="943634" w:themeColor="accent2" w:themeShade="BF"/>
              <w:left w:val="double" w:sz="4" w:space="0" w:color="76923C"/>
              <w:bottom w:val="double" w:sz="4" w:space="0" w:color="76923C"/>
              <w:right w:val="double" w:sz="4" w:space="0" w:color="76923C"/>
            </w:tcBorders>
            <w:shd w:val="clear" w:color="auto" w:fill="D6E3BC"/>
          </w:tcPr>
          <w:p w:rsidR="001A67CE" w:rsidRPr="005F120D" w:rsidRDefault="001A67CE" w:rsidP="000A5B80">
            <w:pPr>
              <w:spacing w:after="0"/>
              <w:jc w:val="center"/>
              <w:rPr>
                <w:rFonts w:asciiTheme="minorHAnsi" w:hAnsiTheme="minorHAnsi" w:cstheme="minorHAnsi"/>
                <w:b/>
                <w:bCs/>
                <w:sz w:val="20"/>
              </w:rPr>
            </w:pPr>
            <w:r w:rsidRPr="005F120D">
              <w:rPr>
                <w:rFonts w:asciiTheme="minorHAnsi" w:hAnsiTheme="minorHAnsi" w:cstheme="minorHAnsi"/>
                <w:b/>
                <w:bCs/>
                <w:sz w:val="20"/>
              </w:rPr>
              <w:t>Gross Intake Rate (%)</w:t>
            </w:r>
          </w:p>
        </w:tc>
        <w:tc>
          <w:tcPr>
            <w:tcW w:w="1899" w:type="pct"/>
            <w:gridSpan w:val="3"/>
            <w:tcBorders>
              <w:top w:val="double" w:sz="4" w:space="0" w:color="943634" w:themeColor="accent2" w:themeShade="BF"/>
              <w:left w:val="double" w:sz="4" w:space="0" w:color="76923C"/>
              <w:bottom w:val="double" w:sz="4" w:space="0" w:color="76923C"/>
              <w:right w:val="double" w:sz="4" w:space="0" w:color="943634" w:themeColor="accent2" w:themeShade="BF"/>
            </w:tcBorders>
            <w:shd w:val="clear" w:color="auto" w:fill="D6E3BC"/>
          </w:tcPr>
          <w:p w:rsidR="001A67CE" w:rsidRPr="005F120D" w:rsidRDefault="001A67CE" w:rsidP="000A5B80">
            <w:pPr>
              <w:spacing w:after="0"/>
              <w:jc w:val="center"/>
              <w:rPr>
                <w:rFonts w:asciiTheme="minorHAnsi" w:hAnsiTheme="minorHAnsi" w:cstheme="minorHAnsi"/>
                <w:b/>
                <w:bCs/>
                <w:color w:val="0033CC"/>
                <w:sz w:val="20"/>
              </w:rPr>
            </w:pPr>
            <w:r w:rsidRPr="005F120D">
              <w:rPr>
                <w:rFonts w:asciiTheme="minorHAnsi" w:hAnsiTheme="minorHAnsi" w:cstheme="minorHAnsi"/>
                <w:b/>
                <w:bCs/>
                <w:color w:val="0033CC"/>
                <w:sz w:val="20"/>
              </w:rPr>
              <w:t>Net Intake Rate (%) (6 years)</w:t>
            </w:r>
          </w:p>
        </w:tc>
      </w:tr>
      <w:tr w:rsidR="001A67CE" w:rsidRPr="005F120D" w:rsidTr="00BE3740">
        <w:trPr>
          <w:trHeight w:hRule="exact" w:val="245"/>
          <w:tblHeader/>
        </w:trPr>
        <w:tc>
          <w:tcPr>
            <w:tcW w:w="1061" w:type="pct"/>
            <w:vMerge/>
            <w:tcBorders>
              <w:top w:val="single" w:sz="6" w:space="0" w:color="76923C"/>
              <w:left w:val="double" w:sz="4" w:space="0" w:color="943634" w:themeColor="accent2" w:themeShade="BF"/>
              <w:bottom w:val="double" w:sz="4" w:space="0" w:color="76923C"/>
              <w:right w:val="double" w:sz="4" w:space="0" w:color="76923C"/>
            </w:tcBorders>
            <w:shd w:val="clear" w:color="auto" w:fill="D6E3BC"/>
          </w:tcPr>
          <w:p w:rsidR="001A67CE" w:rsidRPr="005F120D" w:rsidRDefault="001A67CE" w:rsidP="00C437AA">
            <w:pPr>
              <w:spacing w:after="0" w:line="276" w:lineRule="auto"/>
              <w:jc w:val="center"/>
              <w:rPr>
                <w:rFonts w:asciiTheme="minorHAnsi" w:hAnsiTheme="minorHAnsi" w:cstheme="minorHAnsi"/>
                <w:b/>
                <w:sz w:val="20"/>
              </w:rPr>
            </w:pPr>
          </w:p>
        </w:tc>
        <w:tc>
          <w:tcPr>
            <w:tcW w:w="644" w:type="pct"/>
            <w:tcBorders>
              <w:top w:val="double" w:sz="4" w:space="0" w:color="76923C"/>
              <w:left w:val="double" w:sz="4" w:space="0" w:color="76923C"/>
              <w:bottom w:val="double" w:sz="4" w:space="0" w:color="76923C"/>
            </w:tcBorders>
            <w:shd w:val="clear" w:color="auto" w:fill="D6E3BC"/>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bCs/>
                <w:sz w:val="20"/>
              </w:rPr>
              <w:t>Boys</w:t>
            </w:r>
          </w:p>
        </w:tc>
        <w:tc>
          <w:tcPr>
            <w:tcW w:w="697" w:type="pct"/>
            <w:tcBorders>
              <w:top w:val="double" w:sz="4" w:space="0" w:color="76923C"/>
              <w:bottom w:val="double" w:sz="4" w:space="0" w:color="76923C"/>
            </w:tcBorders>
            <w:shd w:val="clear" w:color="auto" w:fill="D6E3BC"/>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bCs/>
                <w:sz w:val="20"/>
              </w:rPr>
              <w:t>Girls</w:t>
            </w:r>
          </w:p>
        </w:tc>
        <w:tc>
          <w:tcPr>
            <w:tcW w:w="698" w:type="pct"/>
            <w:tcBorders>
              <w:top w:val="double" w:sz="4" w:space="0" w:color="76923C"/>
              <w:bottom w:val="double" w:sz="4" w:space="0" w:color="76923C"/>
              <w:right w:val="double" w:sz="4" w:space="0" w:color="76923C"/>
            </w:tcBorders>
            <w:shd w:val="clear" w:color="auto" w:fill="D6E3BC"/>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bCs/>
                <w:sz w:val="20"/>
              </w:rPr>
              <w:t>All</w:t>
            </w:r>
          </w:p>
        </w:tc>
        <w:tc>
          <w:tcPr>
            <w:tcW w:w="600" w:type="pct"/>
            <w:tcBorders>
              <w:top w:val="double" w:sz="4" w:space="0" w:color="76923C"/>
              <w:left w:val="double" w:sz="4" w:space="0" w:color="76923C"/>
              <w:bottom w:val="double" w:sz="4" w:space="0" w:color="76923C"/>
            </w:tcBorders>
            <w:shd w:val="clear" w:color="auto" w:fill="D6E3BC"/>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bCs/>
                <w:color w:val="0033CC"/>
                <w:sz w:val="20"/>
              </w:rPr>
              <w:t>Boys</w:t>
            </w:r>
          </w:p>
        </w:tc>
        <w:tc>
          <w:tcPr>
            <w:tcW w:w="600" w:type="pct"/>
            <w:tcBorders>
              <w:top w:val="double" w:sz="4" w:space="0" w:color="76923C"/>
              <w:bottom w:val="double" w:sz="4" w:space="0" w:color="76923C"/>
            </w:tcBorders>
            <w:shd w:val="clear" w:color="auto" w:fill="D6E3BC"/>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bCs/>
                <w:color w:val="0033CC"/>
                <w:sz w:val="20"/>
              </w:rPr>
              <w:t>Girls</w:t>
            </w:r>
          </w:p>
        </w:tc>
        <w:tc>
          <w:tcPr>
            <w:tcW w:w="700" w:type="pct"/>
            <w:tcBorders>
              <w:top w:val="double" w:sz="4" w:space="0" w:color="76923C"/>
              <w:bottom w:val="double" w:sz="4" w:space="0" w:color="76923C"/>
              <w:right w:val="double" w:sz="4" w:space="0" w:color="943634" w:themeColor="accent2" w:themeShade="BF"/>
            </w:tcBorders>
            <w:shd w:val="clear" w:color="auto" w:fill="D6E3BC"/>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color w:val="0033CC"/>
                <w:sz w:val="20"/>
              </w:rPr>
              <w:t>All</w:t>
            </w:r>
          </w:p>
        </w:tc>
      </w:tr>
      <w:tr w:rsidR="001A67CE" w:rsidRPr="005F120D" w:rsidTr="00BE3740">
        <w:trPr>
          <w:trHeight w:hRule="exact" w:val="245"/>
        </w:trPr>
        <w:tc>
          <w:tcPr>
            <w:tcW w:w="1061" w:type="pct"/>
            <w:tcBorders>
              <w:top w:val="double" w:sz="4" w:space="0" w:color="76923C"/>
              <w:left w:val="double" w:sz="4" w:space="0" w:color="943634" w:themeColor="accent2" w:themeShade="BF"/>
              <w:bottom w:val="single" w:sz="6" w:space="0" w:color="76923C"/>
              <w:right w:val="double" w:sz="4"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2005</w:t>
            </w:r>
          </w:p>
        </w:tc>
        <w:tc>
          <w:tcPr>
            <w:tcW w:w="644" w:type="pct"/>
            <w:tcBorders>
              <w:top w:val="double" w:sz="4" w:space="0" w:color="76923C"/>
              <w:left w:val="double" w:sz="4" w:space="0" w:color="76923C"/>
              <w:bottom w:val="single" w:sz="6"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105.9</w:t>
            </w:r>
          </w:p>
        </w:tc>
        <w:tc>
          <w:tcPr>
            <w:tcW w:w="697" w:type="pct"/>
            <w:tcBorders>
              <w:top w:val="double" w:sz="4" w:space="0" w:color="76923C"/>
              <w:bottom w:val="single" w:sz="6"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111</w:t>
            </w:r>
          </w:p>
        </w:tc>
        <w:tc>
          <w:tcPr>
            <w:tcW w:w="698" w:type="pct"/>
            <w:tcBorders>
              <w:top w:val="double" w:sz="4" w:space="0" w:color="76923C"/>
              <w:bottom w:val="single" w:sz="6" w:space="0" w:color="76923C"/>
              <w:right w:val="double" w:sz="4"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108.4</w:t>
            </w:r>
          </w:p>
        </w:tc>
        <w:tc>
          <w:tcPr>
            <w:tcW w:w="600" w:type="pct"/>
            <w:tcBorders>
              <w:top w:val="double" w:sz="4" w:space="0" w:color="76923C"/>
              <w:left w:val="double" w:sz="4" w:space="0" w:color="76923C"/>
              <w:bottom w:val="single" w:sz="6"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color w:val="0033CC"/>
                <w:sz w:val="20"/>
              </w:rPr>
              <w:t>93.3</w:t>
            </w:r>
          </w:p>
        </w:tc>
        <w:tc>
          <w:tcPr>
            <w:tcW w:w="600" w:type="pct"/>
            <w:tcBorders>
              <w:top w:val="double" w:sz="4" w:space="0" w:color="76923C"/>
              <w:bottom w:val="single" w:sz="6"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color w:val="0033CC"/>
                <w:sz w:val="20"/>
              </w:rPr>
              <w:t>96.1</w:t>
            </w:r>
          </w:p>
        </w:tc>
        <w:tc>
          <w:tcPr>
            <w:tcW w:w="700" w:type="pct"/>
            <w:tcBorders>
              <w:top w:val="double" w:sz="4" w:space="0" w:color="76923C"/>
              <w:bottom w:val="single" w:sz="6" w:space="0" w:color="76923C"/>
              <w:right w:val="double" w:sz="4" w:space="0" w:color="943634" w:themeColor="accent2" w:themeShade="BF"/>
            </w:tcBorders>
            <w:shd w:val="clear" w:color="auto" w:fill="EAF1DD"/>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color w:val="0033CC"/>
                <w:sz w:val="20"/>
              </w:rPr>
              <w:t>94.7</w:t>
            </w:r>
          </w:p>
        </w:tc>
      </w:tr>
      <w:tr w:rsidR="001A67CE" w:rsidRPr="005F120D" w:rsidTr="00BE3740">
        <w:trPr>
          <w:trHeight w:hRule="exact" w:val="245"/>
        </w:trPr>
        <w:tc>
          <w:tcPr>
            <w:tcW w:w="1061" w:type="pct"/>
            <w:tcBorders>
              <w:top w:val="single" w:sz="6" w:space="0" w:color="76923C"/>
              <w:left w:val="double" w:sz="4" w:space="0" w:color="943634" w:themeColor="accent2" w:themeShade="BF"/>
              <w:righ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2006</w:t>
            </w:r>
          </w:p>
        </w:tc>
        <w:tc>
          <w:tcPr>
            <w:tcW w:w="644" w:type="pct"/>
            <w:tcBorders>
              <w:top w:val="single" w:sz="6" w:space="0" w:color="76923C"/>
              <w:lef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104.1</w:t>
            </w:r>
          </w:p>
        </w:tc>
        <w:tc>
          <w:tcPr>
            <w:tcW w:w="697" w:type="pct"/>
            <w:tcBorders>
              <w:top w:val="single" w:sz="6"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110.7</w:t>
            </w:r>
          </w:p>
        </w:tc>
        <w:tc>
          <w:tcPr>
            <w:tcW w:w="698" w:type="pct"/>
            <w:tcBorders>
              <w:top w:val="single" w:sz="6" w:space="0" w:color="76923C"/>
              <w:righ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107.3</w:t>
            </w:r>
          </w:p>
        </w:tc>
        <w:tc>
          <w:tcPr>
            <w:tcW w:w="600" w:type="pct"/>
            <w:tcBorders>
              <w:top w:val="single" w:sz="6" w:space="0" w:color="76923C"/>
              <w:left w:val="double" w:sz="4" w:space="0" w:color="76923C"/>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93.2</w:t>
            </w:r>
          </w:p>
        </w:tc>
        <w:tc>
          <w:tcPr>
            <w:tcW w:w="600" w:type="pct"/>
            <w:tcBorders>
              <w:top w:val="single" w:sz="6" w:space="0" w:color="76923C"/>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95.3</w:t>
            </w:r>
          </w:p>
        </w:tc>
        <w:tc>
          <w:tcPr>
            <w:tcW w:w="700" w:type="pct"/>
            <w:tcBorders>
              <w:top w:val="single" w:sz="6" w:space="0" w:color="76923C"/>
              <w:right w:val="double" w:sz="4" w:space="0" w:color="943634" w:themeColor="accent2" w:themeShade="BF"/>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94.2</w:t>
            </w:r>
          </w:p>
        </w:tc>
      </w:tr>
      <w:tr w:rsidR="001A67CE" w:rsidRPr="005F120D" w:rsidTr="00BE3740">
        <w:trPr>
          <w:trHeight w:hRule="exact" w:val="245"/>
        </w:trPr>
        <w:tc>
          <w:tcPr>
            <w:tcW w:w="1061" w:type="pct"/>
            <w:tcBorders>
              <w:left w:val="double" w:sz="4" w:space="0" w:color="943634" w:themeColor="accent2" w:themeShade="BF"/>
              <w:righ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2007</w:t>
            </w:r>
          </w:p>
        </w:tc>
        <w:tc>
          <w:tcPr>
            <w:tcW w:w="644" w:type="pct"/>
            <w:tcBorders>
              <w:lef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104</w:t>
            </w:r>
          </w:p>
        </w:tc>
        <w:tc>
          <w:tcPr>
            <w:tcW w:w="697" w:type="pct"/>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110.2</w:t>
            </w:r>
          </w:p>
        </w:tc>
        <w:tc>
          <w:tcPr>
            <w:tcW w:w="698" w:type="pct"/>
            <w:tcBorders>
              <w:righ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107</w:t>
            </w:r>
          </w:p>
        </w:tc>
        <w:tc>
          <w:tcPr>
            <w:tcW w:w="600" w:type="pct"/>
            <w:tcBorders>
              <w:left w:val="double" w:sz="4" w:space="0" w:color="76923C"/>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93.5</w:t>
            </w:r>
          </w:p>
        </w:tc>
        <w:tc>
          <w:tcPr>
            <w:tcW w:w="600" w:type="pct"/>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95.8</w:t>
            </w:r>
          </w:p>
        </w:tc>
        <w:tc>
          <w:tcPr>
            <w:tcW w:w="700" w:type="pct"/>
            <w:tcBorders>
              <w:right w:val="double" w:sz="4" w:space="0" w:color="943634" w:themeColor="accent2" w:themeShade="BF"/>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94.6</w:t>
            </w:r>
          </w:p>
        </w:tc>
      </w:tr>
      <w:tr w:rsidR="001A67CE" w:rsidRPr="005F120D" w:rsidTr="00BE3740">
        <w:trPr>
          <w:trHeight w:hRule="exact" w:val="245"/>
        </w:trPr>
        <w:tc>
          <w:tcPr>
            <w:tcW w:w="1061" w:type="pct"/>
            <w:tcBorders>
              <w:left w:val="double" w:sz="4" w:space="0" w:color="943634" w:themeColor="accent2" w:themeShade="BF"/>
              <w:righ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2008</w:t>
            </w:r>
          </w:p>
        </w:tc>
        <w:tc>
          <w:tcPr>
            <w:tcW w:w="644" w:type="pct"/>
            <w:tcBorders>
              <w:lef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105.8</w:t>
            </w:r>
          </w:p>
        </w:tc>
        <w:tc>
          <w:tcPr>
            <w:tcW w:w="697" w:type="pct"/>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112.1</w:t>
            </w:r>
          </w:p>
        </w:tc>
        <w:tc>
          <w:tcPr>
            <w:tcW w:w="698" w:type="pct"/>
            <w:tcBorders>
              <w:righ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108.8</w:t>
            </w:r>
          </w:p>
        </w:tc>
        <w:tc>
          <w:tcPr>
            <w:tcW w:w="600" w:type="pct"/>
            <w:tcBorders>
              <w:left w:val="double" w:sz="4" w:space="0" w:color="76923C"/>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93.9</w:t>
            </w:r>
          </w:p>
        </w:tc>
        <w:tc>
          <w:tcPr>
            <w:tcW w:w="600" w:type="pct"/>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96.8</w:t>
            </w:r>
          </w:p>
        </w:tc>
        <w:tc>
          <w:tcPr>
            <w:tcW w:w="700" w:type="pct"/>
            <w:tcBorders>
              <w:right w:val="double" w:sz="4" w:space="0" w:color="943634" w:themeColor="accent2" w:themeShade="BF"/>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95.3</w:t>
            </w:r>
          </w:p>
        </w:tc>
      </w:tr>
      <w:tr w:rsidR="001A67CE" w:rsidRPr="005F120D" w:rsidTr="00BE3740">
        <w:trPr>
          <w:trHeight w:hRule="exact" w:val="245"/>
        </w:trPr>
        <w:tc>
          <w:tcPr>
            <w:tcW w:w="1061" w:type="pct"/>
            <w:tcBorders>
              <w:left w:val="double" w:sz="4" w:space="0" w:color="943634" w:themeColor="accent2" w:themeShade="BF"/>
              <w:bottom w:val="double" w:sz="4" w:space="0" w:color="943634" w:themeColor="accent2" w:themeShade="BF"/>
              <w:righ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2009</w:t>
            </w:r>
          </w:p>
        </w:tc>
        <w:tc>
          <w:tcPr>
            <w:tcW w:w="644" w:type="pct"/>
            <w:tcBorders>
              <w:left w:val="double" w:sz="4" w:space="0" w:color="76923C"/>
              <w:bottom w:val="double" w:sz="4" w:space="0" w:color="943634" w:themeColor="accent2" w:themeShade="BF"/>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113.6</w:t>
            </w:r>
          </w:p>
        </w:tc>
        <w:tc>
          <w:tcPr>
            <w:tcW w:w="697" w:type="pct"/>
            <w:tcBorders>
              <w:bottom w:val="double" w:sz="4" w:space="0" w:color="943634" w:themeColor="accent2" w:themeShade="BF"/>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116.3</w:t>
            </w:r>
          </w:p>
        </w:tc>
        <w:tc>
          <w:tcPr>
            <w:tcW w:w="698" w:type="pct"/>
            <w:tcBorders>
              <w:bottom w:val="double" w:sz="4" w:space="0" w:color="943634" w:themeColor="accent2" w:themeShade="BF"/>
              <w:righ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115.1</w:t>
            </w:r>
          </w:p>
        </w:tc>
        <w:tc>
          <w:tcPr>
            <w:tcW w:w="600" w:type="pct"/>
            <w:tcBorders>
              <w:left w:val="double" w:sz="4" w:space="0" w:color="76923C"/>
              <w:bottom w:val="double" w:sz="4" w:space="0" w:color="943634" w:themeColor="accent2" w:themeShade="BF"/>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98.6</w:t>
            </w:r>
          </w:p>
        </w:tc>
        <w:tc>
          <w:tcPr>
            <w:tcW w:w="600" w:type="pct"/>
            <w:tcBorders>
              <w:bottom w:val="double" w:sz="4" w:space="0" w:color="943634" w:themeColor="accent2" w:themeShade="BF"/>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99.3</w:t>
            </w:r>
          </w:p>
        </w:tc>
        <w:tc>
          <w:tcPr>
            <w:tcW w:w="700" w:type="pct"/>
            <w:tcBorders>
              <w:bottom w:val="double" w:sz="4" w:space="0" w:color="943634" w:themeColor="accent2" w:themeShade="BF"/>
              <w:right w:val="double" w:sz="4" w:space="0" w:color="943634" w:themeColor="accent2" w:themeShade="BF"/>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98.9</w:t>
            </w:r>
          </w:p>
        </w:tc>
      </w:tr>
      <w:tr w:rsidR="001A67CE" w:rsidRPr="005F120D" w:rsidTr="00BE3740">
        <w:trPr>
          <w:trHeight w:hRule="exact" w:val="245"/>
        </w:trPr>
        <w:tc>
          <w:tcPr>
            <w:tcW w:w="1061" w:type="pct"/>
            <w:tcBorders>
              <w:top w:val="double" w:sz="4" w:space="0" w:color="943634" w:themeColor="accent2" w:themeShade="BF"/>
              <w:bottom w:val="single" w:sz="6" w:space="0" w:color="76923C"/>
              <w:right w:val="double" w:sz="4"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2010</w:t>
            </w:r>
          </w:p>
        </w:tc>
        <w:tc>
          <w:tcPr>
            <w:tcW w:w="644" w:type="pct"/>
            <w:tcBorders>
              <w:top w:val="double" w:sz="4" w:space="0" w:color="943634" w:themeColor="accent2" w:themeShade="BF"/>
              <w:left w:val="double" w:sz="4" w:space="0" w:color="76923C"/>
              <w:bottom w:val="single" w:sz="6"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115.4</w:t>
            </w:r>
          </w:p>
        </w:tc>
        <w:tc>
          <w:tcPr>
            <w:tcW w:w="697" w:type="pct"/>
            <w:tcBorders>
              <w:top w:val="double" w:sz="4" w:space="0" w:color="943634" w:themeColor="accent2" w:themeShade="BF"/>
              <w:bottom w:val="single" w:sz="6"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118.5</w:t>
            </w:r>
          </w:p>
        </w:tc>
        <w:tc>
          <w:tcPr>
            <w:tcW w:w="698" w:type="pct"/>
            <w:tcBorders>
              <w:top w:val="double" w:sz="4" w:space="0" w:color="943634" w:themeColor="accent2" w:themeShade="BF"/>
              <w:bottom w:val="single" w:sz="6" w:space="0" w:color="76923C"/>
              <w:right w:val="double" w:sz="4"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116.9</w:t>
            </w:r>
          </w:p>
        </w:tc>
        <w:tc>
          <w:tcPr>
            <w:tcW w:w="600" w:type="pct"/>
            <w:tcBorders>
              <w:top w:val="double" w:sz="4" w:space="0" w:color="943634" w:themeColor="accent2" w:themeShade="BF"/>
              <w:left w:val="double" w:sz="4" w:space="0" w:color="76923C"/>
              <w:bottom w:val="single" w:sz="6"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color w:val="0033CC"/>
                <w:sz w:val="20"/>
              </w:rPr>
              <w:t>98.8</w:t>
            </w:r>
          </w:p>
        </w:tc>
        <w:tc>
          <w:tcPr>
            <w:tcW w:w="600" w:type="pct"/>
            <w:tcBorders>
              <w:top w:val="double" w:sz="4" w:space="0" w:color="943634" w:themeColor="accent2" w:themeShade="BF"/>
              <w:bottom w:val="single" w:sz="6"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color w:val="0033CC"/>
                <w:sz w:val="20"/>
              </w:rPr>
              <w:t>99.5</w:t>
            </w:r>
          </w:p>
        </w:tc>
        <w:tc>
          <w:tcPr>
            <w:tcW w:w="700" w:type="pct"/>
            <w:tcBorders>
              <w:top w:val="double" w:sz="4" w:space="0" w:color="943634" w:themeColor="accent2" w:themeShade="BF"/>
              <w:bottom w:val="single" w:sz="6"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color w:val="0033CC"/>
                <w:sz w:val="20"/>
              </w:rPr>
              <w:t>99.1</w:t>
            </w:r>
          </w:p>
        </w:tc>
      </w:tr>
      <w:tr w:rsidR="001A67CE" w:rsidRPr="005F120D" w:rsidTr="00BE3740">
        <w:trPr>
          <w:trHeight w:hRule="exact" w:val="245"/>
        </w:trPr>
        <w:tc>
          <w:tcPr>
            <w:tcW w:w="1061" w:type="pct"/>
            <w:tcBorders>
              <w:top w:val="single" w:sz="6" w:space="0" w:color="76923C"/>
              <w:righ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2011</w:t>
            </w:r>
          </w:p>
        </w:tc>
        <w:tc>
          <w:tcPr>
            <w:tcW w:w="644" w:type="pct"/>
            <w:tcBorders>
              <w:top w:val="single" w:sz="6" w:space="0" w:color="76923C"/>
              <w:lef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125.6</w:t>
            </w:r>
          </w:p>
        </w:tc>
        <w:tc>
          <w:tcPr>
            <w:tcW w:w="697" w:type="pct"/>
            <w:tcBorders>
              <w:top w:val="single" w:sz="6"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126.2</w:t>
            </w:r>
          </w:p>
        </w:tc>
        <w:tc>
          <w:tcPr>
            <w:tcW w:w="698" w:type="pct"/>
            <w:tcBorders>
              <w:top w:val="single" w:sz="6" w:space="0" w:color="76923C"/>
              <w:right w:val="double" w:sz="4" w:space="0" w:color="76923C"/>
            </w:tcBorders>
          </w:tcPr>
          <w:p w:rsidR="001A67CE" w:rsidRPr="005F120D" w:rsidRDefault="001A67CE"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125.9</w:t>
            </w:r>
          </w:p>
        </w:tc>
        <w:tc>
          <w:tcPr>
            <w:tcW w:w="600" w:type="pct"/>
            <w:tcBorders>
              <w:top w:val="single" w:sz="6" w:space="0" w:color="76923C"/>
              <w:left w:val="double" w:sz="4" w:space="0" w:color="76923C"/>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99.9</w:t>
            </w:r>
          </w:p>
        </w:tc>
        <w:tc>
          <w:tcPr>
            <w:tcW w:w="600" w:type="pct"/>
            <w:tcBorders>
              <w:top w:val="single" w:sz="6" w:space="0" w:color="76923C"/>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99.8</w:t>
            </w:r>
          </w:p>
        </w:tc>
        <w:tc>
          <w:tcPr>
            <w:tcW w:w="700" w:type="pct"/>
            <w:tcBorders>
              <w:top w:val="single" w:sz="6" w:space="0" w:color="76923C"/>
            </w:tcBorders>
          </w:tcPr>
          <w:p w:rsidR="001A67CE" w:rsidRPr="005F120D" w:rsidRDefault="001A67CE" w:rsidP="00C437AA">
            <w:pPr>
              <w:spacing w:after="0" w:line="276" w:lineRule="auto"/>
              <w:jc w:val="center"/>
              <w:rPr>
                <w:rFonts w:asciiTheme="minorHAnsi" w:hAnsiTheme="minorHAnsi" w:cstheme="minorHAnsi"/>
                <w:color w:val="0033CC"/>
                <w:sz w:val="20"/>
              </w:rPr>
            </w:pPr>
            <w:r w:rsidRPr="005F120D">
              <w:rPr>
                <w:rFonts w:asciiTheme="minorHAnsi" w:hAnsiTheme="minorHAnsi" w:cstheme="minorHAnsi"/>
                <w:color w:val="0033CC"/>
                <w:sz w:val="20"/>
              </w:rPr>
              <w:t>99.9</w:t>
            </w:r>
          </w:p>
        </w:tc>
      </w:tr>
      <w:tr w:rsidR="001A67CE" w:rsidRPr="005F120D" w:rsidTr="00BE3740">
        <w:trPr>
          <w:trHeight w:hRule="exact" w:val="245"/>
        </w:trPr>
        <w:tc>
          <w:tcPr>
            <w:tcW w:w="1061" w:type="pct"/>
            <w:tcBorders>
              <w:right w:val="double" w:sz="4" w:space="0" w:color="76923C"/>
            </w:tcBorders>
          </w:tcPr>
          <w:p w:rsidR="001A67CE" w:rsidRPr="005F120D" w:rsidRDefault="001A67CE"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2012</w:t>
            </w:r>
          </w:p>
        </w:tc>
        <w:tc>
          <w:tcPr>
            <w:tcW w:w="644" w:type="pct"/>
            <w:tcBorders>
              <w:left w:val="double" w:sz="4" w:space="0" w:color="76923C"/>
            </w:tcBorders>
          </w:tcPr>
          <w:p w:rsidR="001A67CE" w:rsidRPr="005F120D" w:rsidRDefault="00915B6F"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105</w:t>
            </w:r>
          </w:p>
        </w:tc>
        <w:tc>
          <w:tcPr>
            <w:tcW w:w="697" w:type="pct"/>
          </w:tcPr>
          <w:p w:rsidR="001A67CE" w:rsidRPr="005F120D" w:rsidRDefault="001A67CE"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106.7</w:t>
            </w:r>
          </w:p>
        </w:tc>
        <w:tc>
          <w:tcPr>
            <w:tcW w:w="698" w:type="pct"/>
            <w:tcBorders>
              <w:right w:val="double" w:sz="4" w:space="0" w:color="76923C"/>
            </w:tcBorders>
          </w:tcPr>
          <w:p w:rsidR="001A67CE" w:rsidRPr="005F120D" w:rsidRDefault="001A67CE"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105.8</w:t>
            </w:r>
          </w:p>
        </w:tc>
        <w:tc>
          <w:tcPr>
            <w:tcW w:w="600" w:type="pct"/>
            <w:tcBorders>
              <w:left w:val="double" w:sz="4" w:space="0" w:color="76923C"/>
            </w:tcBorders>
          </w:tcPr>
          <w:p w:rsidR="001A67CE" w:rsidRPr="005F120D" w:rsidRDefault="001A67CE" w:rsidP="00C437AA">
            <w:pPr>
              <w:spacing w:after="0" w:line="276" w:lineRule="auto"/>
              <w:jc w:val="center"/>
              <w:rPr>
                <w:rFonts w:asciiTheme="minorHAnsi" w:hAnsiTheme="minorHAnsi" w:cstheme="minorHAnsi"/>
                <w:bCs/>
                <w:color w:val="0033CC"/>
                <w:sz w:val="20"/>
              </w:rPr>
            </w:pPr>
            <w:r w:rsidRPr="005F120D">
              <w:rPr>
                <w:rFonts w:asciiTheme="minorHAnsi" w:hAnsiTheme="minorHAnsi" w:cstheme="minorHAnsi"/>
                <w:bCs/>
                <w:color w:val="0033CC"/>
                <w:sz w:val="20"/>
              </w:rPr>
              <w:t>97.0</w:t>
            </w:r>
          </w:p>
        </w:tc>
        <w:tc>
          <w:tcPr>
            <w:tcW w:w="600" w:type="pct"/>
          </w:tcPr>
          <w:p w:rsidR="001A67CE" w:rsidRPr="005F120D" w:rsidRDefault="001A67CE" w:rsidP="00C437AA">
            <w:pPr>
              <w:spacing w:after="0" w:line="276" w:lineRule="auto"/>
              <w:jc w:val="center"/>
              <w:rPr>
                <w:rFonts w:asciiTheme="minorHAnsi" w:hAnsiTheme="minorHAnsi" w:cstheme="minorHAnsi"/>
                <w:bCs/>
                <w:color w:val="0033CC"/>
                <w:sz w:val="20"/>
              </w:rPr>
            </w:pPr>
            <w:r w:rsidRPr="005F120D">
              <w:rPr>
                <w:rFonts w:asciiTheme="minorHAnsi" w:hAnsiTheme="minorHAnsi" w:cstheme="minorHAnsi"/>
                <w:bCs/>
                <w:color w:val="0033CC"/>
                <w:sz w:val="20"/>
              </w:rPr>
              <w:t>97.9</w:t>
            </w:r>
          </w:p>
        </w:tc>
        <w:tc>
          <w:tcPr>
            <w:tcW w:w="700" w:type="pct"/>
          </w:tcPr>
          <w:p w:rsidR="001A67CE" w:rsidRPr="005F120D" w:rsidRDefault="001A67CE" w:rsidP="00C437AA">
            <w:pPr>
              <w:spacing w:after="0" w:line="276" w:lineRule="auto"/>
              <w:jc w:val="center"/>
              <w:rPr>
                <w:rFonts w:asciiTheme="minorHAnsi" w:hAnsiTheme="minorHAnsi" w:cstheme="minorHAnsi"/>
                <w:bCs/>
                <w:color w:val="0033CC"/>
                <w:sz w:val="20"/>
              </w:rPr>
            </w:pPr>
            <w:r w:rsidRPr="005F120D">
              <w:rPr>
                <w:rFonts w:asciiTheme="minorHAnsi" w:hAnsiTheme="minorHAnsi" w:cstheme="minorHAnsi"/>
                <w:bCs/>
                <w:color w:val="0033CC"/>
                <w:sz w:val="20"/>
              </w:rPr>
              <w:t>97.4</w:t>
            </w:r>
          </w:p>
        </w:tc>
      </w:tr>
      <w:tr w:rsidR="001A67CE" w:rsidRPr="005F120D" w:rsidTr="00BE3740">
        <w:trPr>
          <w:trHeight w:hRule="exact" w:val="245"/>
        </w:trPr>
        <w:tc>
          <w:tcPr>
            <w:tcW w:w="1061" w:type="pct"/>
            <w:tcBorders>
              <w:right w:val="double" w:sz="4" w:space="0" w:color="76923C"/>
            </w:tcBorders>
          </w:tcPr>
          <w:p w:rsidR="001A67CE" w:rsidRPr="005F120D" w:rsidRDefault="001A67CE"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2013</w:t>
            </w:r>
          </w:p>
        </w:tc>
        <w:tc>
          <w:tcPr>
            <w:tcW w:w="644" w:type="pct"/>
            <w:tcBorders>
              <w:left w:val="double" w:sz="4" w:space="0" w:color="76923C"/>
            </w:tcBorders>
          </w:tcPr>
          <w:p w:rsidR="001A67CE" w:rsidRPr="005F120D" w:rsidRDefault="001A67CE"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111.5</w:t>
            </w:r>
          </w:p>
        </w:tc>
        <w:tc>
          <w:tcPr>
            <w:tcW w:w="697" w:type="pct"/>
          </w:tcPr>
          <w:p w:rsidR="001A67CE" w:rsidRPr="005F120D" w:rsidRDefault="001A67CE"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112.6</w:t>
            </w:r>
          </w:p>
        </w:tc>
        <w:tc>
          <w:tcPr>
            <w:tcW w:w="698" w:type="pct"/>
            <w:tcBorders>
              <w:right w:val="double" w:sz="4" w:space="0" w:color="76923C"/>
            </w:tcBorders>
          </w:tcPr>
          <w:p w:rsidR="001A67CE" w:rsidRPr="005F120D" w:rsidRDefault="00915B6F"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112</w:t>
            </w:r>
          </w:p>
        </w:tc>
        <w:tc>
          <w:tcPr>
            <w:tcW w:w="600" w:type="pct"/>
            <w:tcBorders>
              <w:left w:val="double" w:sz="4" w:space="0" w:color="76923C"/>
            </w:tcBorders>
          </w:tcPr>
          <w:p w:rsidR="001A67CE" w:rsidRPr="005F120D" w:rsidRDefault="001A67CE" w:rsidP="00C437AA">
            <w:pPr>
              <w:spacing w:after="0" w:line="276" w:lineRule="auto"/>
              <w:jc w:val="center"/>
              <w:rPr>
                <w:rFonts w:asciiTheme="minorHAnsi" w:hAnsiTheme="minorHAnsi" w:cstheme="minorHAnsi"/>
                <w:bCs/>
                <w:color w:val="0033CC"/>
                <w:sz w:val="20"/>
              </w:rPr>
            </w:pPr>
            <w:r w:rsidRPr="005F120D">
              <w:rPr>
                <w:rFonts w:asciiTheme="minorHAnsi" w:hAnsiTheme="minorHAnsi" w:cstheme="minorHAnsi"/>
                <w:bCs/>
                <w:color w:val="0033CC"/>
                <w:sz w:val="20"/>
              </w:rPr>
              <w:t>97.5</w:t>
            </w:r>
          </w:p>
        </w:tc>
        <w:tc>
          <w:tcPr>
            <w:tcW w:w="600" w:type="pct"/>
          </w:tcPr>
          <w:p w:rsidR="001A67CE" w:rsidRPr="005F120D" w:rsidRDefault="001A67CE" w:rsidP="00C437AA">
            <w:pPr>
              <w:spacing w:after="0" w:line="276" w:lineRule="auto"/>
              <w:jc w:val="center"/>
              <w:rPr>
                <w:rFonts w:asciiTheme="minorHAnsi" w:hAnsiTheme="minorHAnsi" w:cstheme="minorHAnsi"/>
                <w:bCs/>
                <w:color w:val="0033CC"/>
                <w:sz w:val="20"/>
              </w:rPr>
            </w:pPr>
            <w:r w:rsidRPr="005F120D">
              <w:rPr>
                <w:rFonts w:asciiTheme="minorHAnsi" w:hAnsiTheme="minorHAnsi" w:cstheme="minorHAnsi"/>
                <w:bCs/>
                <w:color w:val="0033CC"/>
                <w:sz w:val="20"/>
              </w:rPr>
              <w:t>98.2</w:t>
            </w:r>
          </w:p>
        </w:tc>
        <w:tc>
          <w:tcPr>
            <w:tcW w:w="700" w:type="pct"/>
          </w:tcPr>
          <w:p w:rsidR="001A67CE" w:rsidRPr="005F120D" w:rsidRDefault="001A67CE" w:rsidP="00C437AA">
            <w:pPr>
              <w:spacing w:after="0" w:line="276" w:lineRule="auto"/>
              <w:jc w:val="center"/>
              <w:rPr>
                <w:rFonts w:asciiTheme="minorHAnsi" w:hAnsiTheme="minorHAnsi" w:cstheme="minorHAnsi"/>
                <w:bCs/>
                <w:color w:val="0033CC"/>
                <w:sz w:val="20"/>
              </w:rPr>
            </w:pPr>
            <w:r w:rsidRPr="005F120D">
              <w:rPr>
                <w:rFonts w:asciiTheme="minorHAnsi" w:hAnsiTheme="minorHAnsi" w:cstheme="minorHAnsi"/>
                <w:bCs/>
                <w:color w:val="0033CC"/>
                <w:sz w:val="20"/>
              </w:rPr>
              <w:t>97.8</w:t>
            </w:r>
          </w:p>
        </w:tc>
      </w:tr>
      <w:tr w:rsidR="001A67CE" w:rsidRPr="005F120D" w:rsidTr="00BE3740">
        <w:trPr>
          <w:trHeight w:hRule="exact" w:val="245"/>
        </w:trPr>
        <w:tc>
          <w:tcPr>
            <w:tcW w:w="1061" w:type="pct"/>
            <w:tcBorders>
              <w:bottom w:val="double" w:sz="4" w:space="0" w:color="76923C"/>
              <w:right w:val="double" w:sz="4" w:space="0" w:color="76923C"/>
            </w:tcBorders>
          </w:tcPr>
          <w:p w:rsidR="001A67CE" w:rsidRPr="005F120D" w:rsidRDefault="001A67CE"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2014</w:t>
            </w:r>
          </w:p>
        </w:tc>
        <w:tc>
          <w:tcPr>
            <w:tcW w:w="644" w:type="pct"/>
            <w:tcBorders>
              <w:left w:val="double" w:sz="4" w:space="0" w:color="76923C"/>
              <w:bottom w:val="double" w:sz="4" w:space="0" w:color="76923C"/>
            </w:tcBorders>
          </w:tcPr>
          <w:p w:rsidR="001A67CE" w:rsidRPr="005F120D" w:rsidRDefault="001A67CE"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109.1</w:t>
            </w:r>
          </w:p>
        </w:tc>
        <w:tc>
          <w:tcPr>
            <w:tcW w:w="697" w:type="pct"/>
            <w:tcBorders>
              <w:bottom w:val="double" w:sz="4" w:space="0" w:color="76923C"/>
            </w:tcBorders>
          </w:tcPr>
          <w:p w:rsidR="001A67CE" w:rsidRPr="005F120D" w:rsidRDefault="001A67CE"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108.3</w:t>
            </w:r>
          </w:p>
        </w:tc>
        <w:tc>
          <w:tcPr>
            <w:tcW w:w="698" w:type="pct"/>
            <w:tcBorders>
              <w:bottom w:val="double" w:sz="4" w:space="0" w:color="76923C"/>
              <w:right w:val="double" w:sz="4" w:space="0" w:color="76923C"/>
            </w:tcBorders>
          </w:tcPr>
          <w:p w:rsidR="001A67CE" w:rsidRPr="005F120D" w:rsidRDefault="001A67CE" w:rsidP="00C437AA">
            <w:pPr>
              <w:spacing w:after="0" w:line="276" w:lineRule="auto"/>
              <w:jc w:val="center"/>
              <w:rPr>
                <w:rFonts w:asciiTheme="minorHAnsi" w:hAnsiTheme="minorHAnsi" w:cstheme="minorHAnsi"/>
                <w:bCs/>
                <w:sz w:val="20"/>
              </w:rPr>
            </w:pPr>
            <w:r w:rsidRPr="005F120D">
              <w:rPr>
                <w:rFonts w:asciiTheme="minorHAnsi" w:hAnsiTheme="minorHAnsi" w:cstheme="minorHAnsi"/>
                <w:bCs/>
                <w:sz w:val="20"/>
              </w:rPr>
              <w:t>108.7</w:t>
            </w:r>
          </w:p>
        </w:tc>
        <w:tc>
          <w:tcPr>
            <w:tcW w:w="600" w:type="pct"/>
            <w:tcBorders>
              <w:left w:val="double" w:sz="4" w:space="0" w:color="76923C"/>
              <w:bottom w:val="double" w:sz="4" w:space="0" w:color="76923C"/>
            </w:tcBorders>
          </w:tcPr>
          <w:p w:rsidR="001A67CE" w:rsidRPr="005F120D" w:rsidRDefault="001A67CE" w:rsidP="00C437AA">
            <w:pPr>
              <w:spacing w:after="0" w:line="276" w:lineRule="auto"/>
              <w:jc w:val="center"/>
              <w:rPr>
                <w:rFonts w:asciiTheme="minorHAnsi" w:hAnsiTheme="minorHAnsi" w:cstheme="minorHAnsi"/>
                <w:bCs/>
                <w:color w:val="0033CC"/>
                <w:sz w:val="20"/>
              </w:rPr>
            </w:pPr>
            <w:r w:rsidRPr="005F120D">
              <w:rPr>
                <w:rFonts w:asciiTheme="minorHAnsi" w:hAnsiTheme="minorHAnsi" w:cstheme="minorHAnsi"/>
                <w:bCs/>
                <w:color w:val="0033CC"/>
                <w:sz w:val="20"/>
              </w:rPr>
              <w:t>97.6</w:t>
            </w:r>
          </w:p>
        </w:tc>
        <w:tc>
          <w:tcPr>
            <w:tcW w:w="600" w:type="pct"/>
            <w:tcBorders>
              <w:bottom w:val="double" w:sz="4" w:space="0" w:color="76923C"/>
            </w:tcBorders>
          </w:tcPr>
          <w:p w:rsidR="001A67CE" w:rsidRPr="005F120D" w:rsidRDefault="001A67CE" w:rsidP="00C437AA">
            <w:pPr>
              <w:spacing w:after="0" w:line="276" w:lineRule="auto"/>
              <w:jc w:val="center"/>
              <w:rPr>
                <w:rFonts w:asciiTheme="minorHAnsi" w:hAnsiTheme="minorHAnsi" w:cstheme="minorHAnsi"/>
                <w:bCs/>
                <w:color w:val="0033CC"/>
                <w:sz w:val="20"/>
              </w:rPr>
            </w:pPr>
            <w:r w:rsidRPr="005F120D">
              <w:rPr>
                <w:rFonts w:asciiTheme="minorHAnsi" w:hAnsiTheme="minorHAnsi" w:cstheme="minorHAnsi"/>
                <w:bCs/>
                <w:color w:val="0033CC"/>
                <w:sz w:val="20"/>
              </w:rPr>
              <w:t>98.1</w:t>
            </w:r>
          </w:p>
        </w:tc>
        <w:tc>
          <w:tcPr>
            <w:tcW w:w="700" w:type="pct"/>
            <w:tcBorders>
              <w:bottom w:val="double" w:sz="4" w:space="0" w:color="76923C"/>
            </w:tcBorders>
          </w:tcPr>
          <w:p w:rsidR="001A67CE" w:rsidRPr="005F120D" w:rsidRDefault="001A67CE" w:rsidP="00C437AA">
            <w:pPr>
              <w:spacing w:after="0" w:line="276" w:lineRule="auto"/>
              <w:jc w:val="center"/>
              <w:rPr>
                <w:rFonts w:asciiTheme="minorHAnsi" w:hAnsiTheme="minorHAnsi" w:cstheme="minorHAnsi"/>
                <w:bCs/>
                <w:color w:val="0033CC"/>
                <w:sz w:val="20"/>
              </w:rPr>
            </w:pPr>
            <w:r w:rsidRPr="005F120D">
              <w:rPr>
                <w:rFonts w:asciiTheme="minorHAnsi" w:hAnsiTheme="minorHAnsi" w:cstheme="minorHAnsi"/>
                <w:bCs/>
                <w:color w:val="0033CC"/>
                <w:sz w:val="20"/>
              </w:rPr>
              <w:t>97.9</w:t>
            </w:r>
          </w:p>
        </w:tc>
      </w:tr>
      <w:tr w:rsidR="001A67CE" w:rsidRPr="005F120D" w:rsidTr="00BE3740">
        <w:trPr>
          <w:trHeight w:hRule="exact" w:val="245"/>
        </w:trPr>
        <w:tc>
          <w:tcPr>
            <w:tcW w:w="1061" w:type="pct"/>
            <w:tcBorders>
              <w:top w:val="double" w:sz="4" w:space="0" w:color="76923C"/>
              <w:bottom w:val="double" w:sz="4" w:space="0" w:color="76923C"/>
              <w:right w:val="double" w:sz="4"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bCs/>
                <w:sz w:val="20"/>
              </w:rPr>
            </w:pPr>
            <w:r w:rsidRPr="005F120D">
              <w:rPr>
                <w:rFonts w:asciiTheme="minorHAnsi" w:hAnsiTheme="minorHAnsi" w:cstheme="minorHAnsi"/>
                <w:b/>
                <w:bCs/>
                <w:sz w:val="20"/>
              </w:rPr>
              <w:t>2015</w:t>
            </w:r>
          </w:p>
        </w:tc>
        <w:tc>
          <w:tcPr>
            <w:tcW w:w="644" w:type="pct"/>
            <w:tcBorders>
              <w:top w:val="double" w:sz="4" w:space="0" w:color="76923C"/>
              <w:left w:val="double" w:sz="4" w:space="0" w:color="76923C"/>
              <w:bottom w:val="double" w:sz="4"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109.5</w:t>
            </w:r>
          </w:p>
        </w:tc>
        <w:tc>
          <w:tcPr>
            <w:tcW w:w="697" w:type="pct"/>
            <w:tcBorders>
              <w:top w:val="double" w:sz="4" w:space="0" w:color="76923C"/>
              <w:bottom w:val="double" w:sz="4" w:space="0" w:color="76923C"/>
            </w:tcBorders>
            <w:shd w:val="clear" w:color="auto" w:fill="EAF1DD"/>
          </w:tcPr>
          <w:p w:rsidR="001A67CE" w:rsidRPr="005F120D" w:rsidRDefault="00915B6F"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109</w:t>
            </w:r>
          </w:p>
        </w:tc>
        <w:tc>
          <w:tcPr>
            <w:tcW w:w="698" w:type="pct"/>
            <w:tcBorders>
              <w:top w:val="double" w:sz="4" w:space="0" w:color="76923C"/>
              <w:bottom w:val="double" w:sz="4" w:space="0" w:color="76923C"/>
              <w:right w:val="double" w:sz="4"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109.2</w:t>
            </w:r>
          </w:p>
        </w:tc>
        <w:tc>
          <w:tcPr>
            <w:tcW w:w="600" w:type="pct"/>
            <w:tcBorders>
              <w:top w:val="double" w:sz="4" w:space="0" w:color="76923C"/>
              <w:left w:val="double" w:sz="4" w:space="0" w:color="76923C"/>
              <w:bottom w:val="double" w:sz="4"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color w:val="0033CC"/>
                <w:sz w:val="20"/>
              </w:rPr>
              <w:t>97.63</w:t>
            </w:r>
          </w:p>
        </w:tc>
        <w:tc>
          <w:tcPr>
            <w:tcW w:w="600" w:type="pct"/>
            <w:tcBorders>
              <w:top w:val="double" w:sz="4" w:space="0" w:color="76923C"/>
              <w:bottom w:val="double" w:sz="4"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color w:val="0033CC"/>
                <w:sz w:val="20"/>
              </w:rPr>
              <w:t>98.07</w:t>
            </w:r>
          </w:p>
        </w:tc>
        <w:tc>
          <w:tcPr>
            <w:tcW w:w="700" w:type="pct"/>
            <w:tcBorders>
              <w:top w:val="double" w:sz="4" w:space="0" w:color="76923C"/>
              <w:bottom w:val="double" w:sz="4" w:space="0" w:color="76923C"/>
            </w:tcBorders>
            <w:shd w:val="clear" w:color="auto" w:fill="EAF1DD"/>
          </w:tcPr>
          <w:p w:rsidR="001A67CE" w:rsidRPr="005F120D" w:rsidRDefault="001A67CE" w:rsidP="00C437AA">
            <w:pPr>
              <w:spacing w:after="0" w:line="276" w:lineRule="auto"/>
              <w:jc w:val="center"/>
              <w:rPr>
                <w:rFonts w:asciiTheme="minorHAnsi" w:hAnsiTheme="minorHAnsi" w:cstheme="minorHAnsi"/>
                <w:b/>
                <w:color w:val="0033CC"/>
                <w:sz w:val="20"/>
              </w:rPr>
            </w:pPr>
            <w:r w:rsidRPr="005F120D">
              <w:rPr>
                <w:rFonts w:asciiTheme="minorHAnsi" w:hAnsiTheme="minorHAnsi" w:cstheme="minorHAnsi"/>
                <w:b/>
                <w:color w:val="0033CC"/>
                <w:sz w:val="20"/>
              </w:rPr>
              <w:t>97.91</w:t>
            </w:r>
          </w:p>
        </w:tc>
      </w:tr>
    </w:tbl>
    <w:p w:rsidR="001A67CE" w:rsidRPr="005F120D" w:rsidRDefault="001A67CE" w:rsidP="00C437AA">
      <w:pPr>
        <w:pStyle w:val="BodyText1"/>
        <w:rPr>
          <w:rFonts w:asciiTheme="minorHAnsi" w:hAnsiTheme="minorHAnsi" w:cstheme="minorHAnsi"/>
          <w:sz w:val="16"/>
          <w:szCs w:val="16"/>
        </w:rPr>
      </w:pPr>
      <w:r w:rsidRPr="005F120D">
        <w:rPr>
          <w:rFonts w:asciiTheme="minorHAnsi" w:hAnsiTheme="minorHAnsi" w:cstheme="minorHAnsi"/>
          <w:sz w:val="16"/>
          <w:szCs w:val="16"/>
        </w:rPr>
        <w:t>Source: APSC 2005 to 2015</w:t>
      </w:r>
    </w:p>
    <w:p w:rsidR="005B4486" w:rsidRPr="005F120D" w:rsidRDefault="00E17B75" w:rsidP="00C437AA">
      <w:pPr>
        <w:pStyle w:val="Heading4"/>
        <w:spacing w:line="276" w:lineRule="auto"/>
        <w:rPr>
          <w:rFonts w:asciiTheme="minorHAnsi" w:hAnsiTheme="minorHAnsi" w:cstheme="minorHAnsi"/>
          <w:b/>
          <w:color w:val="006600"/>
        </w:rPr>
      </w:pPr>
      <w:r w:rsidRPr="005F120D">
        <w:rPr>
          <w:rFonts w:asciiTheme="minorHAnsi" w:hAnsiTheme="minorHAnsi" w:cstheme="minorHAnsi"/>
          <w:b/>
          <w:color w:val="006600"/>
        </w:rPr>
        <w:t xml:space="preserve">Gross and Net </w:t>
      </w:r>
      <w:r w:rsidR="00770B93" w:rsidRPr="005F120D">
        <w:rPr>
          <w:rFonts w:asciiTheme="minorHAnsi" w:hAnsiTheme="minorHAnsi" w:cstheme="minorHAnsi"/>
          <w:b/>
          <w:color w:val="006600"/>
        </w:rPr>
        <w:t>Enrolment Rate</w:t>
      </w:r>
      <w:r w:rsidR="00836115" w:rsidRPr="005F120D">
        <w:rPr>
          <w:rFonts w:asciiTheme="minorHAnsi" w:hAnsiTheme="minorHAnsi" w:cstheme="minorHAnsi"/>
          <w:b/>
          <w:color w:val="006600"/>
        </w:rPr>
        <w:t xml:space="preserve"> </w:t>
      </w:r>
      <w:r w:rsidRPr="005F120D">
        <w:rPr>
          <w:rFonts w:asciiTheme="minorHAnsi" w:hAnsiTheme="minorHAnsi" w:cstheme="minorHAnsi"/>
          <w:b/>
          <w:color w:val="006600"/>
        </w:rPr>
        <w:t>(GER &amp; NER)</w:t>
      </w:r>
    </w:p>
    <w:p w:rsidR="00B550F3" w:rsidRPr="005F120D" w:rsidRDefault="00B550F3" w:rsidP="00C437AA">
      <w:pPr>
        <w:pStyle w:val="BodyText1"/>
        <w:rPr>
          <w:rFonts w:asciiTheme="minorHAnsi" w:hAnsiTheme="minorHAnsi" w:cstheme="minorHAnsi"/>
          <w:b w:val="0"/>
        </w:rPr>
      </w:pPr>
      <w:r w:rsidRPr="005F120D">
        <w:rPr>
          <w:rFonts w:asciiTheme="minorHAnsi" w:hAnsiTheme="minorHAnsi" w:cstheme="minorHAnsi"/>
          <w:b w:val="0"/>
        </w:rPr>
        <w:t>The two principal measures of participation (GER and NER) are KPI 5 an</w:t>
      </w:r>
      <w:r w:rsidR="00237BFB" w:rsidRPr="005F120D">
        <w:rPr>
          <w:rFonts w:asciiTheme="minorHAnsi" w:hAnsiTheme="minorHAnsi" w:cstheme="minorHAnsi"/>
          <w:b w:val="0"/>
        </w:rPr>
        <w:t>d KPI 6, presented in Table 3.10</w:t>
      </w:r>
      <w:r w:rsidRPr="005F120D">
        <w:rPr>
          <w:rFonts w:asciiTheme="minorHAnsi" w:hAnsiTheme="minorHAnsi" w:cstheme="minorHAnsi"/>
          <w:b w:val="0"/>
        </w:rPr>
        <w:t xml:space="preserve"> below:</w:t>
      </w:r>
    </w:p>
    <w:p w:rsidR="00B550F3" w:rsidRPr="005F120D" w:rsidRDefault="00B550F3" w:rsidP="00C437AA">
      <w:pPr>
        <w:numPr>
          <w:ilvl w:val="0"/>
          <w:numId w:val="29"/>
        </w:numPr>
        <w:spacing w:after="120" w:line="276" w:lineRule="auto"/>
        <w:contextualSpacing/>
        <w:jc w:val="both"/>
        <w:rPr>
          <w:rFonts w:asciiTheme="minorHAnsi" w:hAnsiTheme="minorHAnsi" w:cstheme="minorHAnsi"/>
          <w:lang w:val="en-GB"/>
        </w:rPr>
      </w:pPr>
      <w:r w:rsidRPr="005F120D">
        <w:rPr>
          <w:rFonts w:asciiTheme="minorHAnsi" w:hAnsiTheme="minorHAnsi" w:cstheme="minorHAnsi"/>
        </w:rPr>
        <w:t xml:space="preserve">The gross enrolment rate, in other words the </w:t>
      </w:r>
      <w:r w:rsidR="00F52CE6" w:rsidRPr="005F120D">
        <w:rPr>
          <w:rFonts w:asciiTheme="minorHAnsi" w:hAnsiTheme="minorHAnsi" w:cstheme="minorHAnsi"/>
        </w:rPr>
        <w:t xml:space="preserve">number of children enrolled in </w:t>
      </w:r>
      <w:r w:rsidR="00135AA4" w:rsidRPr="005F120D">
        <w:rPr>
          <w:rFonts w:asciiTheme="minorHAnsi" w:hAnsiTheme="minorHAnsi" w:cstheme="minorHAnsi"/>
        </w:rPr>
        <w:t>G</w:t>
      </w:r>
      <w:r w:rsidRPr="005F120D">
        <w:rPr>
          <w:rFonts w:asciiTheme="minorHAnsi" w:hAnsiTheme="minorHAnsi" w:cstheme="minorHAnsi"/>
        </w:rPr>
        <w:t xml:space="preserve">rades 1-5 relative to the total population of children aged 6-10 years (official primary school age of Bangladesh), was 109.2% </w:t>
      </w:r>
      <w:r w:rsidRPr="005F120D">
        <w:rPr>
          <w:rFonts w:asciiTheme="minorHAnsi" w:hAnsiTheme="minorHAnsi" w:cstheme="minorHAnsi"/>
          <w:lang w:val="en-GB"/>
        </w:rPr>
        <w:t xml:space="preserve">(boys 105% and girls 113.4%) </w:t>
      </w:r>
      <w:r w:rsidRPr="005F120D">
        <w:rPr>
          <w:rFonts w:asciiTheme="minorHAnsi" w:hAnsiTheme="minorHAnsi" w:cstheme="minorHAnsi"/>
        </w:rPr>
        <w:t>in 2015 (up from 93.7% in 2005, 107.7% in the PEDP3 baseline year 2010, and 108.4% in 2014).</w:t>
      </w:r>
    </w:p>
    <w:p w:rsidR="00E6238C" w:rsidRPr="005F120D" w:rsidRDefault="00B550F3" w:rsidP="00C437AA">
      <w:pPr>
        <w:pStyle w:val="Listbulletfinal"/>
        <w:numPr>
          <w:ilvl w:val="0"/>
          <w:numId w:val="29"/>
        </w:numPr>
        <w:spacing w:line="276" w:lineRule="auto"/>
        <w:jc w:val="both"/>
        <w:rPr>
          <w:rFonts w:asciiTheme="minorHAnsi" w:hAnsiTheme="minorHAnsi" w:cstheme="minorHAnsi"/>
        </w:rPr>
      </w:pPr>
      <w:r w:rsidRPr="005F120D">
        <w:rPr>
          <w:rFonts w:asciiTheme="minorHAnsi" w:hAnsiTheme="minorHAnsi" w:cstheme="minorHAnsi"/>
        </w:rPr>
        <w:t xml:space="preserve">The net enrolment rate, in other words the number of children at the official primary school age (6-10 years of Bangladesh), enrolled in Grades 1-5 relative to the total population of </w:t>
      </w:r>
      <w:r w:rsidRPr="005F120D">
        <w:rPr>
          <w:rFonts w:asciiTheme="minorHAnsi" w:hAnsiTheme="minorHAnsi" w:cstheme="minorHAnsi"/>
        </w:rPr>
        <w:lastRenderedPageBreak/>
        <w:t>children aged 6-10 years was 97.94% (boys 97.1% and girls 98.8%) in 2015 (up from 87.2% in 2005, in the PEDP3 baseline year 2010 and 97.7% in 2014)</w:t>
      </w:r>
      <w:r w:rsidR="00842FDE" w:rsidRPr="005F120D">
        <w:rPr>
          <w:rFonts w:asciiTheme="minorHAnsi" w:hAnsiTheme="minorHAnsi" w:cstheme="minorHAnsi"/>
        </w:rPr>
        <w:t xml:space="preserve">. </w:t>
      </w:r>
      <w:bookmarkStart w:id="293" w:name="_Ref388002632"/>
    </w:p>
    <w:p w:rsidR="00DB723E" w:rsidRPr="005F120D" w:rsidRDefault="00DB723E" w:rsidP="00C437AA">
      <w:pPr>
        <w:pStyle w:val="Caption"/>
        <w:spacing w:line="276" w:lineRule="auto"/>
        <w:rPr>
          <w:rFonts w:cstheme="minorHAnsi"/>
        </w:rPr>
      </w:pPr>
    </w:p>
    <w:p w:rsidR="005B4486" w:rsidRPr="005F120D" w:rsidRDefault="00F37455" w:rsidP="00C437AA">
      <w:pPr>
        <w:pStyle w:val="Caption"/>
        <w:spacing w:line="276" w:lineRule="auto"/>
        <w:rPr>
          <w:rFonts w:cstheme="minorHAnsi"/>
        </w:rPr>
      </w:pPr>
      <w:bookmarkStart w:id="294" w:name="_Toc462837419"/>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10</w:t>
      </w:r>
      <w:r w:rsidR="002E2ED5" w:rsidRPr="005F120D">
        <w:rPr>
          <w:rFonts w:cstheme="minorHAnsi"/>
        </w:rPr>
        <w:fldChar w:fldCharType="end"/>
      </w:r>
      <w:bookmarkEnd w:id="293"/>
      <w:r w:rsidR="0003439F" w:rsidRPr="005F120D">
        <w:rPr>
          <w:rFonts w:cstheme="minorHAnsi"/>
        </w:rPr>
        <w:t>:</w:t>
      </w:r>
      <w:r w:rsidR="00770B93">
        <w:rPr>
          <w:rFonts w:cstheme="minorHAnsi"/>
        </w:rPr>
        <w:t xml:space="preserve"> </w:t>
      </w:r>
      <w:r w:rsidR="007D4681" w:rsidRPr="005F120D">
        <w:rPr>
          <w:rFonts w:cstheme="minorHAnsi"/>
        </w:rPr>
        <w:t xml:space="preserve">Primary </w:t>
      </w:r>
      <w:r w:rsidR="00770B93" w:rsidRPr="005F120D">
        <w:rPr>
          <w:rFonts w:cstheme="minorHAnsi"/>
        </w:rPr>
        <w:t>Education: Gross</w:t>
      </w:r>
      <w:r w:rsidR="00842FDE" w:rsidRPr="005F120D">
        <w:rPr>
          <w:rFonts w:cstheme="minorHAnsi"/>
        </w:rPr>
        <w:t xml:space="preserve"> and Net </w:t>
      </w:r>
      <w:r w:rsidR="004B53A0" w:rsidRPr="005F120D">
        <w:rPr>
          <w:rFonts w:cstheme="minorHAnsi"/>
        </w:rPr>
        <w:t>Enrolment</w:t>
      </w:r>
      <w:r w:rsidR="00842FDE" w:rsidRPr="005F120D">
        <w:rPr>
          <w:rFonts w:cstheme="minorHAnsi"/>
        </w:rPr>
        <w:t xml:space="preserve"> Rate</w:t>
      </w:r>
      <w:r w:rsidR="005636D4" w:rsidRPr="005F120D">
        <w:rPr>
          <w:rFonts w:cstheme="minorHAnsi"/>
        </w:rPr>
        <w:t xml:space="preserve"> by Gender</w:t>
      </w:r>
      <w:r w:rsidR="0083667A" w:rsidRPr="005F120D">
        <w:rPr>
          <w:rFonts w:cstheme="minorHAnsi"/>
        </w:rPr>
        <w:t>20</w:t>
      </w:r>
      <w:r w:rsidR="00D8374F" w:rsidRPr="005F120D">
        <w:rPr>
          <w:rFonts w:cstheme="minorHAnsi"/>
        </w:rPr>
        <w:t>0</w:t>
      </w:r>
      <w:r w:rsidR="00842FDE" w:rsidRPr="005F120D">
        <w:rPr>
          <w:rFonts w:cstheme="minorHAnsi"/>
        </w:rPr>
        <w:t>5,</w:t>
      </w:r>
      <w:r w:rsidR="0083667A" w:rsidRPr="005F120D">
        <w:rPr>
          <w:rFonts w:cstheme="minorHAnsi"/>
        </w:rPr>
        <w:t xml:space="preserve"> 2010-</w:t>
      </w:r>
      <w:r w:rsidR="00842FDE" w:rsidRPr="005F120D">
        <w:rPr>
          <w:rFonts w:cstheme="minorHAnsi"/>
        </w:rPr>
        <w:t xml:space="preserve"> 20</w:t>
      </w:r>
      <w:r w:rsidR="0083667A" w:rsidRPr="005F120D">
        <w:rPr>
          <w:rFonts w:cstheme="minorHAnsi"/>
        </w:rPr>
        <w:t>1</w:t>
      </w:r>
      <w:r w:rsidR="00DB77AE" w:rsidRPr="005F120D">
        <w:rPr>
          <w:rFonts w:cstheme="minorHAnsi"/>
        </w:rPr>
        <w:t>5</w:t>
      </w:r>
      <w:bookmarkEnd w:id="294"/>
    </w:p>
    <w:p w:rsidR="00E95CE5" w:rsidRPr="005F120D" w:rsidRDefault="002E2ED5" w:rsidP="00C437AA">
      <w:pPr>
        <w:spacing w:after="0" w:line="276" w:lineRule="auto"/>
        <w:jc w:val="center"/>
        <w:rPr>
          <w:rFonts w:asciiTheme="minorHAnsi" w:hAnsiTheme="minorHAnsi" w:cstheme="minorHAnsi"/>
          <w:color w:val="FF0000"/>
        </w:rPr>
      </w:pPr>
      <w:bookmarkStart w:id="295" w:name="_Ref330827081"/>
      <w:bookmarkStart w:id="296" w:name="_Ref330830102"/>
      <w:bookmarkStart w:id="297" w:name="_Ref330991790"/>
      <w:bookmarkStart w:id="298" w:name="_Ref331002691"/>
      <w:bookmarkStart w:id="299" w:name="_Ref331063288"/>
      <w:bookmarkStart w:id="300" w:name="_Ref331063357"/>
      <w:bookmarkStart w:id="301" w:name="_Toc338839595"/>
      <w:r>
        <w:rPr>
          <w:rFonts w:asciiTheme="minorHAnsi" w:hAnsiTheme="minorHAnsi" w:cstheme="minorHAnsi"/>
          <w:noProof/>
          <w:color w:val="FF0000"/>
          <w:lang w:eastAsia="en-US"/>
        </w:rPr>
        <w:pict>
          <v:shape id="AutoShape 386" o:spid="_x0000_s1085" type="#_x0000_t32" style="position:absolute;left:0;text-align:left;margin-left:250pt;margin-top:67.75pt;width:211.2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" strokecolor="#c00000" strokeweight="2pt">
            <v:shadow opacity=".5" offset="6pt,6pt"/>
          </v:shape>
        </w:pict>
      </w:r>
      <w:r w:rsidR="009C3F3D" w:rsidRPr="005F120D">
        <w:rPr>
          <w:rFonts w:asciiTheme="minorHAnsi" w:hAnsiTheme="minorHAnsi" w:cstheme="minorHAnsi"/>
          <w:noProof/>
          <w:color w:val="FF0000"/>
          <w:lang w:eastAsia="en-US"/>
        </w:rPr>
        <w:drawing>
          <wp:inline distT="0" distB="0" distL="0" distR="0">
            <wp:extent cx="5943600" cy="2965450"/>
            <wp:effectExtent l="38100" t="19050" r="19050" b="6350"/>
            <wp:docPr id="11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137AF" w:rsidRPr="005F120D" w:rsidRDefault="0011096D" w:rsidP="00C437AA">
      <w:pPr>
        <w:spacing w:line="276" w:lineRule="auto"/>
        <w:jc w:val="both"/>
        <w:rPr>
          <w:rFonts w:asciiTheme="minorHAnsi" w:hAnsiTheme="minorHAnsi" w:cstheme="minorHAnsi"/>
          <w:b/>
          <w:i/>
          <w:sz w:val="16"/>
          <w:szCs w:val="16"/>
        </w:rPr>
      </w:pPr>
      <w:r w:rsidRPr="005F120D">
        <w:rPr>
          <w:rFonts w:asciiTheme="minorHAnsi" w:hAnsiTheme="minorHAnsi" w:cstheme="minorHAnsi"/>
          <w:b/>
          <w:i/>
          <w:sz w:val="16"/>
          <w:szCs w:val="16"/>
        </w:rPr>
        <w:t>Source:  APSC, 2005, 2010-2015</w:t>
      </w:r>
    </w:p>
    <w:p w:rsidR="00B550F3" w:rsidRPr="005F120D" w:rsidRDefault="00B550F3" w:rsidP="00C437AA">
      <w:pPr>
        <w:pStyle w:val="BodyText1"/>
        <w:jc w:val="both"/>
        <w:rPr>
          <w:rFonts w:asciiTheme="minorHAnsi" w:hAnsiTheme="minorHAnsi" w:cstheme="minorHAnsi"/>
          <w:b w:val="0"/>
        </w:rPr>
      </w:pPr>
      <w:r w:rsidRPr="005F120D">
        <w:rPr>
          <w:rFonts w:asciiTheme="minorHAnsi" w:hAnsiTheme="minorHAnsi" w:cstheme="minorHAnsi"/>
          <w:b w:val="0"/>
        </w:rPr>
        <w:t xml:space="preserve">The Cox’s Bazar district (78.7%), under the Chittagong division, had the lowest GER among all 64 districts, followed by Kishoregonj (94.4%), </w:t>
      </w:r>
      <w:r w:rsidR="008A207D" w:rsidRPr="005F120D">
        <w:rPr>
          <w:rFonts w:asciiTheme="minorHAnsi" w:hAnsiTheme="minorHAnsi" w:cstheme="minorHAnsi"/>
          <w:b w:val="0"/>
        </w:rPr>
        <w:t>Sunamgonj</w:t>
      </w:r>
      <w:r w:rsidRPr="005F120D">
        <w:rPr>
          <w:rFonts w:asciiTheme="minorHAnsi" w:hAnsiTheme="minorHAnsi" w:cstheme="minorHAnsi"/>
          <w:b w:val="0"/>
        </w:rPr>
        <w:t xml:space="preserve"> (97.6%), </w:t>
      </w:r>
      <w:r w:rsidR="004A2E61" w:rsidRPr="005F120D">
        <w:rPr>
          <w:rFonts w:asciiTheme="minorHAnsi" w:hAnsiTheme="minorHAnsi" w:cstheme="minorHAnsi"/>
          <w:b w:val="0"/>
        </w:rPr>
        <w:t>and Sylhet (99.7%)</w:t>
      </w:r>
      <w:r w:rsidRPr="005F120D">
        <w:rPr>
          <w:rFonts w:asciiTheme="minorHAnsi" w:hAnsiTheme="minorHAnsi" w:cstheme="minorHAnsi"/>
          <w:b w:val="0"/>
        </w:rPr>
        <w:t xml:space="preserve">.  </w:t>
      </w:r>
    </w:p>
    <w:p w:rsidR="00A7449A" w:rsidRPr="005F120D" w:rsidRDefault="00B550F3" w:rsidP="00C437AA">
      <w:pPr>
        <w:pStyle w:val="BodyText1"/>
        <w:jc w:val="both"/>
        <w:rPr>
          <w:rFonts w:asciiTheme="minorHAnsi" w:hAnsiTheme="minorHAnsi" w:cstheme="minorHAnsi"/>
          <w:b w:val="0"/>
        </w:rPr>
      </w:pPr>
      <w:r w:rsidRPr="005F120D">
        <w:rPr>
          <w:rFonts w:asciiTheme="minorHAnsi" w:hAnsiTheme="minorHAnsi" w:cstheme="minorHAnsi"/>
          <w:b w:val="0"/>
        </w:rPr>
        <w:t xml:space="preserve">The Cox’s Bazar district (71.8%) also had the lowest NER among all 64 districts, followed by </w:t>
      </w:r>
      <w:r w:rsidR="008A207D" w:rsidRPr="005F120D">
        <w:rPr>
          <w:rFonts w:asciiTheme="minorHAnsi" w:hAnsiTheme="minorHAnsi" w:cstheme="minorHAnsi"/>
          <w:b w:val="0"/>
        </w:rPr>
        <w:t>Sunamgonj</w:t>
      </w:r>
      <w:r w:rsidR="004A2E61" w:rsidRPr="005F120D">
        <w:rPr>
          <w:rFonts w:asciiTheme="minorHAnsi" w:hAnsiTheme="minorHAnsi" w:cstheme="minorHAnsi"/>
          <w:b w:val="0"/>
        </w:rPr>
        <w:t xml:space="preserve"> (90.8%), Noakhali (92.1%) and </w:t>
      </w:r>
      <w:r w:rsidRPr="005F120D">
        <w:rPr>
          <w:rFonts w:asciiTheme="minorHAnsi" w:hAnsiTheme="minorHAnsi" w:cstheme="minorHAnsi"/>
          <w:b w:val="0"/>
        </w:rPr>
        <w:t>Kishoregonj (93.1%)</w:t>
      </w:r>
      <w:r w:rsidR="00A7449A" w:rsidRPr="005F120D">
        <w:rPr>
          <w:rFonts w:asciiTheme="minorHAnsi" w:hAnsiTheme="minorHAnsi" w:cstheme="minorHAnsi"/>
          <w:b w:val="0"/>
        </w:rPr>
        <w:t xml:space="preserve">.  </w:t>
      </w:r>
    </w:p>
    <w:p w:rsidR="00B550F3" w:rsidRPr="005F120D" w:rsidRDefault="00A7449A" w:rsidP="00C437AA">
      <w:pPr>
        <w:pStyle w:val="BodyText1"/>
        <w:jc w:val="both"/>
        <w:rPr>
          <w:rFonts w:asciiTheme="minorHAnsi" w:hAnsiTheme="minorHAnsi" w:cstheme="minorHAnsi"/>
          <w:b w:val="0"/>
          <w:color w:val="000000" w:themeColor="text1"/>
        </w:rPr>
      </w:pPr>
      <w:r w:rsidRPr="005F120D">
        <w:rPr>
          <w:rFonts w:asciiTheme="minorHAnsi" w:hAnsiTheme="minorHAnsi" w:cstheme="minorHAnsi"/>
          <w:color w:val="008000"/>
        </w:rPr>
        <w:t>Estimates from other sources (EHS, HIES, CAMPE and MICS):</w:t>
      </w:r>
      <w:r w:rsidR="00770B93">
        <w:rPr>
          <w:rFonts w:asciiTheme="minorHAnsi" w:hAnsiTheme="minorHAnsi" w:cstheme="minorHAnsi"/>
          <w:color w:val="008000"/>
        </w:rPr>
        <w:t xml:space="preserve"> </w:t>
      </w:r>
      <w:r w:rsidR="00B550F3" w:rsidRPr="005F120D">
        <w:rPr>
          <w:rFonts w:asciiTheme="minorHAnsi" w:hAnsiTheme="minorHAnsi" w:cstheme="minorHAnsi"/>
          <w:b w:val="0"/>
          <w:color w:val="000000" w:themeColor="text1"/>
        </w:rPr>
        <w:t xml:space="preserve">An alternative source of information that addresses these two issues is the household surveys. Enumerators visit a random sample of homes and ask the parent or guardian whether the children had attended school on any day since the beginning of the school year. This approach has two advantages: </w:t>
      </w:r>
    </w:p>
    <w:p w:rsidR="00B550F3" w:rsidRPr="005F120D" w:rsidRDefault="00B550F3" w:rsidP="007C596D">
      <w:pPr>
        <w:pStyle w:val="ListBullet4"/>
        <w:spacing w:line="276" w:lineRule="auto"/>
        <w:rPr>
          <w:b w:val="0"/>
          <w:color w:val="000000" w:themeColor="text1"/>
        </w:rPr>
      </w:pPr>
      <w:r w:rsidRPr="005F120D">
        <w:rPr>
          <w:b w:val="0"/>
          <w:color w:val="000000" w:themeColor="text1"/>
        </w:rPr>
        <w:t>It is possible to capture enrolment in all types of primary level institutions, such as non-forma</w:t>
      </w:r>
      <w:r w:rsidR="00770B93">
        <w:rPr>
          <w:b w:val="0"/>
          <w:color w:val="000000" w:themeColor="text1"/>
        </w:rPr>
        <w:t>l schools, non-formal Madrasha</w:t>
      </w:r>
      <w:r w:rsidRPr="005F120D">
        <w:rPr>
          <w:b w:val="0"/>
          <w:color w:val="000000" w:themeColor="text1"/>
        </w:rPr>
        <w:t xml:space="preserve"> and English-medium kindergartens, which are not covered in th</w:t>
      </w:r>
      <w:r w:rsidR="00F52CE6" w:rsidRPr="005F120D">
        <w:rPr>
          <w:b w:val="0"/>
          <w:color w:val="000000" w:themeColor="text1"/>
        </w:rPr>
        <w:t>e APSC organised by DPE. T</w:t>
      </w:r>
      <w:r w:rsidRPr="005F120D">
        <w:rPr>
          <w:b w:val="0"/>
          <w:color w:val="000000" w:themeColor="text1"/>
        </w:rPr>
        <w:t>he methodology also allows the proportion of out-of-school children to be estimated.</w:t>
      </w:r>
      <w:r w:rsidR="00770B93">
        <w:rPr>
          <w:b w:val="0"/>
          <w:color w:val="000000" w:themeColor="text1"/>
        </w:rPr>
        <w:t xml:space="preserve"> </w:t>
      </w:r>
      <w:r w:rsidR="00F52CE6" w:rsidRPr="005F120D">
        <w:rPr>
          <w:b w:val="0"/>
          <w:color w:val="000000" w:themeColor="text1"/>
        </w:rPr>
        <w:t>I</w:t>
      </w:r>
      <w:r w:rsidRPr="005F120D">
        <w:rPr>
          <w:b w:val="0"/>
          <w:color w:val="000000" w:themeColor="text1"/>
        </w:rPr>
        <w:t>nformation on the age of students comes from parents and guardians and is expected to be of better quality than the information possessed by Head Teachers.</w:t>
      </w:r>
    </w:p>
    <w:p w:rsidR="00B550F3" w:rsidRPr="005F120D" w:rsidRDefault="00B550F3" w:rsidP="00C437AA">
      <w:pPr>
        <w:pStyle w:val="BodyText1"/>
        <w:jc w:val="both"/>
        <w:rPr>
          <w:rFonts w:asciiTheme="minorHAnsi" w:hAnsiTheme="minorHAnsi" w:cstheme="minorHAnsi"/>
          <w:b w:val="0"/>
          <w:color w:val="000000" w:themeColor="text1"/>
        </w:rPr>
      </w:pPr>
      <w:r w:rsidRPr="005F120D">
        <w:rPr>
          <w:rFonts w:asciiTheme="minorHAnsi" w:hAnsiTheme="minorHAnsi" w:cstheme="minorHAnsi"/>
          <w:b w:val="0"/>
          <w:color w:val="000000" w:themeColor="text1"/>
        </w:rPr>
        <w:t>Three surveys in recent years provide information on enrolment levels: the BBS/UNICEF Multiple Cluster Indicator Sur</w:t>
      </w:r>
      <w:r w:rsidR="00F52CE6" w:rsidRPr="005F120D">
        <w:rPr>
          <w:rFonts w:asciiTheme="minorHAnsi" w:hAnsiTheme="minorHAnsi" w:cstheme="minorHAnsi"/>
          <w:b w:val="0"/>
          <w:color w:val="000000" w:themeColor="text1"/>
        </w:rPr>
        <w:t>vey (MICS; 2006, 2009, 2012-13);</w:t>
      </w:r>
      <w:r w:rsidRPr="005F120D">
        <w:rPr>
          <w:rFonts w:asciiTheme="minorHAnsi" w:hAnsiTheme="minorHAnsi" w:cstheme="minorHAnsi"/>
          <w:b w:val="0"/>
          <w:color w:val="000000" w:themeColor="text1"/>
        </w:rPr>
        <w:t xml:space="preserve"> the Campaign for Popular Education survey (CAMPE; 1998, 2000, 2005, 2008, 2014 and 2015)</w:t>
      </w:r>
      <w:r w:rsidR="00F52CE6" w:rsidRPr="005F120D">
        <w:rPr>
          <w:rFonts w:asciiTheme="minorHAnsi" w:hAnsiTheme="minorHAnsi" w:cstheme="minorHAnsi"/>
          <w:b w:val="0"/>
          <w:color w:val="000000" w:themeColor="text1"/>
        </w:rPr>
        <w:t>;</w:t>
      </w:r>
      <w:r w:rsidRPr="005F120D">
        <w:rPr>
          <w:rFonts w:asciiTheme="minorHAnsi" w:hAnsiTheme="minorHAnsi" w:cstheme="minorHAnsi"/>
          <w:b w:val="0"/>
          <w:color w:val="000000" w:themeColor="text1"/>
        </w:rPr>
        <w:t xml:space="preserve"> and the BBS/DPE Education Household Survey.</w:t>
      </w:r>
    </w:p>
    <w:p w:rsidR="008E0F48" w:rsidRPr="005F120D" w:rsidRDefault="00B550F3" w:rsidP="007C596D">
      <w:pPr>
        <w:pStyle w:val="ListBullet4"/>
        <w:spacing w:line="276" w:lineRule="auto"/>
        <w:rPr>
          <w:b w:val="0"/>
          <w:color w:val="000000" w:themeColor="text1"/>
        </w:rPr>
      </w:pPr>
      <w:r w:rsidRPr="005F120D">
        <w:rPr>
          <w:b w:val="0"/>
          <w:color w:val="000000" w:themeColor="text1"/>
        </w:rPr>
        <w:lastRenderedPageBreak/>
        <w:t xml:space="preserve">Figure 3.11 presents the enrolment levels shown by five CAMPE surveys (1998, 2000, 2005, 2008 and 2013), two MICS (2006 and 2012-13) surveys, and one EHS survey (2014). The main message is that the number of children not attending school has fallen considerably since 1998 (from 23% to 5.7%), but it has remained constant since 2005. </w:t>
      </w:r>
    </w:p>
    <w:p w:rsidR="00B550F3" w:rsidRPr="005F120D" w:rsidRDefault="00B550F3" w:rsidP="007C596D">
      <w:pPr>
        <w:pStyle w:val="ListBullet4"/>
        <w:spacing w:line="276" w:lineRule="auto"/>
        <w:rPr>
          <w:b w:val="0"/>
          <w:color w:val="000000" w:themeColor="text1"/>
        </w:rPr>
      </w:pPr>
      <w:r w:rsidRPr="005F120D">
        <w:rPr>
          <w:b w:val="0"/>
          <w:color w:val="000000" w:themeColor="text1"/>
        </w:rPr>
        <w:t>It needs to be mentioned here that there are some variations between the information of EHS and APSC regarding GER and NER. The EHS Report 2014 shows that the GER and NER of primary school aged children were 117.75% and 84.33%.  At the same time the APSC 2014 found that the GER and NER of the same aged children were 108.4% and 97.7% respectively. The reason for this variation might be that DPE collected data comprehensively from 108,537 schools of 24 categories, which provide primary education; on the other hand, the data for EHS 2014 were collected from 6,120 households of 306 PSU.</w:t>
      </w:r>
    </w:p>
    <w:p w:rsidR="00053C31" w:rsidRPr="005F120D" w:rsidRDefault="00B550F3" w:rsidP="00C437AA">
      <w:pPr>
        <w:pStyle w:val="BodyText1"/>
        <w:jc w:val="both"/>
        <w:rPr>
          <w:rFonts w:asciiTheme="minorHAnsi" w:hAnsiTheme="minorHAnsi" w:cstheme="minorHAnsi"/>
          <w:b w:val="0"/>
          <w:color w:val="000000" w:themeColor="text1"/>
        </w:rPr>
      </w:pPr>
      <w:r w:rsidRPr="005F120D">
        <w:rPr>
          <w:rFonts w:asciiTheme="minorHAnsi" w:hAnsiTheme="minorHAnsi" w:cstheme="minorHAnsi"/>
          <w:b w:val="0"/>
          <w:color w:val="000000" w:themeColor="text1"/>
        </w:rPr>
        <w:t>Using the household survey data (HIES</w:t>
      </w:r>
      <w:r w:rsidR="00F52CE6" w:rsidRPr="005F120D">
        <w:rPr>
          <w:rFonts w:asciiTheme="minorHAnsi" w:hAnsiTheme="minorHAnsi" w:cstheme="minorHAnsi"/>
          <w:b w:val="0"/>
          <w:color w:val="000000" w:themeColor="text1"/>
        </w:rPr>
        <w:t>, 2010</w:t>
      </w:r>
      <w:r w:rsidRPr="005F120D">
        <w:rPr>
          <w:rFonts w:asciiTheme="minorHAnsi" w:hAnsiTheme="minorHAnsi" w:cstheme="minorHAnsi"/>
          <w:b w:val="0"/>
          <w:color w:val="000000" w:themeColor="text1"/>
        </w:rPr>
        <w:t>), the Gross Attendance Rate (GAR) in 2010 was estimated to be 101% compared to the APSC figure of 107.7% in the same year.  This difference can be explained by the lower aged 6-10 population figure used by APSC (see Table3.11 below).  The difference between NER of APSC and Net Attendance Rate (NAR) of HIES, however, is more pronounced.  The H</w:t>
      </w:r>
      <w:r w:rsidR="00F52CE6" w:rsidRPr="005F120D">
        <w:rPr>
          <w:rFonts w:asciiTheme="minorHAnsi" w:hAnsiTheme="minorHAnsi" w:cstheme="minorHAnsi"/>
          <w:b w:val="0"/>
          <w:color w:val="000000" w:themeColor="text1"/>
        </w:rPr>
        <w:t>IES’s estimate on NAR in 2010 was</w:t>
      </w:r>
      <w:r w:rsidRPr="005F120D">
        <w:rPr>
          <w:rFonts w:asciiTheme="minorHAnsi" w:hAnsiTheme="minorHAnsi" w:cstheme="minorHAnsi"/>
          <w:b w:val="0"/>
          <w:color w:val="000000" w:themeColor="text1"/>
        </w:rPr>
        <w:t xml:space="preserve"> 77% compared to the APSC/NER figure of 95%.  In addition, the BBS Population Census (2011) estimated that 23% of children aged 6–10 were not attending school (or pre-school), whi</w:t>
      </w:r>
      <w:r w:rsidR="00F52CE6" w:rsidRPr="005F120D">
        <w:rPr>
          <w:rFonts w:asciiTheme="minorHAnsi" w:hAnsiTheme="minorHAnsi" w:cstheme="minorHAnsi"/>
          <w:b w:val="0"/>
          <w:color w:val="000000" w:themeColor="text1"/>
        </w:rPr>
        <w:t>ch means that the primary NAR was</w:t>
      </w:r>
      <w:r w:rsidRPr="005F120D">
        <w:rPr>
          <w:rFonts w:asciiTheme="minorHAnsi" w:hAnsiTheme="minorHAnsi" w:cstheme="minorHAnsi"/>
          <w:b w:val="0"/>
          <w:color w:val="000000" w:themeColor="text1"/>
        </w:rPr>
        <w:t xml:space="preserve"> also, at best, 77%</w:t>
      </w:r>
      <w:r w:rsidR="00053C31" w:rsidRPr="005F120D">
        <w:rPr>
          <w:rFonts w:asciiTheme="minorHAnsi" w:hAnsiTheme="minorHAnsi" w:cstheme="minorHAnsi"/>
          <w:b w:val="0"/>
          <w:color w:val="000000" w:themeColor="text1"/>
        </w:rPr>
        <w:t>.</w:t>
      </w:r>
    </w:p>
    <w:p w:rsidR="00184E67" w:rsidRPr="005F120D" w:rsidRDefault="00184E67" w:rsidP="00C437AA">
      <w:pPr>
        <w:pStyle w:val="Caption"/>
        <w:spacing w:line="276" w:lineRule="auto"/>
        <w:rPr>
          <w:rFonts w:cstheme="minorHAnsi"/>
        </w:rPr>
      </w:pPr>
      <w:bookmarkStart w:id="302" w:name="_Toc462837420"/>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11</w:t>
      </w:r>
      <w:r w:rsidR="002E2ED5" w:rsidRPr="005F120D">
        <w:rPr>
          <w:rFonts w:cstheme="minorHAnsi"/>
        </w:rPr>
        <w:fldChar w:fldCharType="end"/>
      </w:r>
      <w:r w:rsidR="00F52CE6" w:rsidRPr="005F120D">
        <w:rPr>
          <w:rFonts w:cstheme="minorHAnsi"/>
        </w:rPr>
        <w:t>: Children aged 6-10 Years by Education Status, H</w:t>
      </w:r>
      <w:r w:rsidRPr="005F120D">
        <w:rPr>
          <w:rFonts w:cstheme="minorHAnsi"/>
        </w:rPr>
        <w:t xml:space="preserve">ousehold </w:t>
      </w:r>
      <w:r w:rsidR="00F52CE6" w:rsidRPr="005F120D">
        <w:rPr>
          <w:rFonts w:cstheme="minorHAnsi"/>
        </w:rPr>
        <w:t>S</w:t>
      </w:r>
      <w:r w:rsidRPr="005F120D">
        <w:rPr>
          <w:rFonts w:cstheme="minorHAnsi"/>
        </w:rPr>
        <w:t>urveys</w:t>
      </w:r>
      <w:r w:rsidR="00F52CE6" w:rsidRPr="005F120D">
        <w:rPr>
          <w:rFonts w:cstheme="minorHAnsi"/>
        </w:rPr>
        <w:t xml:space="preserve"> in Different Y</w:t>
      </w:r>
      <w:r w:rsidR="007E4791" w:rsidRPr="005F120D">
        <w:rPr>
          <w:rFonts w:cstheme="minorHAnsi"/>
        </w:rPr>
        <w:t>ears</w:t>
      </w:r>
      <w:bookmarkEnd w:id="302"/>
    </w:p>
    <w:p w:rsidR="00DE2483" w:rsidRPr="005F120D" w:rsidRDefault="00F26771" w:rsidP="00C437AA">
      <w:pPr>
        <w:spacing w:after="40" w:line="276" w:lineRule="auto"/>
        <w:jc w:val="center"/>
        <w:rPr>
          <w:rFonts w:asciiTheme="minorHAnsi" w:hAnsiTheme="minorHAnsi" w:cstheme="minorHAnsi"/>
          <w:b/>
          <w:sz w:val="16"/>
          <w:szCs w:val="16"/>
        </w:rPr>
      </w:pPr>
      <w:r w:rsidRPr="005F120D">
        <w:rPr>
          <w:rFonts w:asciiTheme="minorHAnsi" w:hAnsiTheme="minorHAnsi" w:cstheme="minorHAnsi"/>
          <w:noProof/>
          <w:lang w:eastAsia="en-US"/>
        </w:rPr>
        <w:drawing>
          <wp:inline distT="0" distB="0" distL="0" distR="0">
            <wp:extent cx="5659408" cy="2985219"/>
            <wp:effectExtent l="38100" t="19050" r="17492" b="5631"/>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224C0" w:rsidRPr="005F120D" w:rsidRDefault="004224C0" w:rsidP="00C437AA">
      <w:pPr>
        <w:spacing w:after="40" w:line="276" w:lineRule="auto"/>
        <w:rPr>
          <w:rFonts w:asciiTheme="minorHAnsi" w:hAnsiTheme="minorHAnsi" w:cstheme="minorHAnsi"/>
          <w:b/>
          <w:sz w:val="16"/>
          <w:szCs w:val="16"/>
        </w:rPr>
      </w:pPr>
      <w:r w:rsidRPr="005F120D">
        <w:rPr>
          <w:rFonts w:asciiTheme="minorHAnsi" w:hAnsiTheme="minorHAnsi" w:cstheme="minorHAnsi"/>
          <w:b/>
          <w:sz w:val="16"/>
          <w:szCs w:val="16"/>
        </w:rPr>
        <w:t>Source: Different years MICS, CAMPE and HIES surveys</w:t>
      </w:r>
    </w:p>
    <w:p w:rsidR="009C3F3D" w:rsidRPr="005F120D" w:rsidRDefault="009C3F3D" w:rsidP="00C437AA">
      <w:pPr>
        <w:pStyle w:val="Caption"/>
        <w:spacing w:line="276" w:lineRule="auto"/>
        <w:rPr>
          <w:rFonts w:cstheme="minorHAnsi"/>
          <w:color w:val="FF0000"/>
        </w:rPr>
        <w:sectPr w:rsidR="009C3F3D" w:rsidRPr="005F120D" w:rsidSect="00EA356A">
          <w:type w:val="nextColumn"/>
          <w:pgSz w:w="11909" w:h="16834" w:code="9"/>
          <w:pgMar w:top="1440" w:right="1440" w:bottom="1440" w:left="1440" w:header="720" w:footer="720" w:gutter="0"/>
          <w:cols w:space="720"/>
          <w:docGrid w:linePitch="360"/>
        </w:sectPr>
      </w:pPr>
      <w:bookmarkStart w:id="303" w:name="_Ref385250937"/>
      <w:bookmarkStart w:id="304" w:name="_Ref385250894"/>
      <w:bookmarkStart w:id="305" w:name="_Ref385250908"/>
      <w:bookmarkStart w:id="306" w:name="_Ref386552584"/>
    </w:p>
    <w:p w:rsidR="00301CAF" w:rsidRPr="005F120D" w:rsidRDefault="00E45F77" w:rsidP="00C437AA">
      <w:pPr>
        <w:pStyle w:val="Caption"/>
        <w:spacing w:line="276" w:lineRule="auto"/>
        <w:rPr>
          <w:rFonts w:cstheme="minorHAnsi"/>
        </w:rPr>
      </w:pPr>
      <w:bookmarkStart w:id="307" w:name="_Toc462837267"/>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10</w:t>
      </w:r>
      <w:r w:rsidR="002E2ED5" w:rsidRPr="005F120D">
        <w:rPr>
          <w:rFonts w:cstheme="minorHAnsi"/>
        </w:rPr>
        <w:fldChar w:fldCharType="end"/>
      </w:r>
      <w:bookmarkEnd w:id="303"/>
      <w:r w:rsidR="0003439F" w:rsidRPr="005F120D">
        <w:rPr>
          <w:rFonts w:cstheme="minorHAnsi"/>
        </w:rPr>
        <w:t>:</w:t>
      </w:r>
      <w:r w:rsidR="00770B93">
        <w:rPr>
          <w:rFonts w:cstheme="minorHAnsi"/>
        </w:rPr>
        <w:t xml:space="preserve"> </w:t>
      </w:r>
      <w:r w:rsidR="00920E7E" w:rsidRPr="005F120D">
        <w:rPr>
          <w:rFonts w:cstheme="minorHAnsi"/>
        </w:rPr>
        <w:t>Gross and N</w:t>
      </w:r>
      <w:r w:rsidR="00D748C3" w:rsidRPr="005F120D">
        <w:rPr>
          <w:rFonts w:cstheme="minorHAnsi"/>
        </w:rPr>
        <w:t>et</w:t>
      </w:r>
      <w:r w:rsidR="00770B93">
        <w:rPr>
          <w:rFonts w:cstheme="minorHAnsi"/>
        </w:rPr>
        <w:t xml:space="preserve"> </w:t>
      </w:r>
      <w:r w:rsidR="004B53A0" w:rsidRPr="005F120D">
        <w:rPr>
          <w:rFonts w:cstheme="minorHAnsi"/>
        </w:rPr>
        <w:t>Enrolment</w:t>
      </w:r>
      <w:r w:rsidR="00920E7E" w:rsidRPr="005F120D">
        <w:rPr>
          <w:rFonts w:cstheme="minorHAnsi"/>
        </w:rPr>
        <w:t xml:space="preserve"> R</w:t>
      </w:r>
      <w:r w:rsidR="007D4681" w:rsidRPr="005F120D">
        <w:rPr>
          <w:rFonts w:cstheme="minorHAnsi"/>
        </w:rPr>
        <w:t>ate (GERs and NERs)</w:t>
      </w:r>
      <w:r w:rsidR="004D5890" w:rsidRPr="005F120D">
        <w:rPr>
          <w:rFonts w:cstheme="minorHAnsi"/>
        </w:rPr>
        <w:t xml:space="preserve"> 2005 </w:t>
      </w:r>
      <w:r w:rsidR="00301CAF" w:rsidRPr="005F120D">
        <w:rPr>
          <w:rFonts w:cstheme="minorHAnsi"/>
        </w:rPr>
        <w:t>–</w:t>
      </w:r>
      <w:r w:rsidR="00D748C3" w:rsidRPr="005F120D">
        <w:rPr>
          <w:rFonts w:cstheme="minorHAnsi"/>
        </w:rPr>
        <w:t xml:space="preserve"> 201</w:t>
      </w:r>
      <w:bookmarkEnd w:id="295"/>
      <w:bookmarkEnd w:id="296"/>
      <w:bookmarkEnd w:id="297"/>
      <w:bookmarkEnd w:id="298"/>
      <w:bookmarkEnd w:id="299"/>
      <w:bookmarkEnd w:id="300"/>
      <w:bookmarkEnd w:id="301"/>
      <w:bookmarkEnd w:id="304"/>
      <w:bookmarkEnd w:id="305"/>
      <w:bookmarkEnd w:id="306"/>
      <w:r w:rsidR="009C3F3D" w:rsidRPr="005F120D">
        <w:rPr>
          <w:rFonts w:cstheme="minorHAnsi"/>
        </w:rPr>
        <w:t>5</w:t>
      </w:r>
      <w:bookmarkEnd w:id="307"/>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6"/>
        <w:gridCol w:w="1120"/>
        <w:gridCol w:w="1120"/>
        <w:gridCol w:w="1120"/>
        <w:gridCol w:w="1120"/>
        <w:gridCol w:w="1120"/>
        <w:gridCol w:w="1120"/>
        <w:gridCol w:w="1120"/>
        <w:gridCol w:w="1120"/>
        <w:gridCol w:w="1120"/>
        <w:gridCol w:w="1115"/>
        <w:gridCol w:w="1114"/>
      </w:tblGrid>
      <w:tr w:rsidR="009C3F3D" w:rsidRPr="005F120D" w:rsidTr="009C3F3D">
        <w:trPr>
          <w:trHeight w:val="313"/>
          <w:jc w:val="center"/>
        </w:trPr>
        <w:tc>
          <w:tcPr>
            <w:tcW w:w="733" w:type="pct"/>
            <w:tcBorders>
              <w:left w:val="single" w:sz="4" w:space="0" w:color="auto"/>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right"/>
              <w:rPr>
                <w:rFonts w:asciiTheme="minorHAnsi" w:hAnsiTheme="minorHAnsi" w:cstheme="minorHAnsi"/>
                <w:b/>
                <w:sz w:val="18"/>
                <w:szCs w:val="18"/>
              </w:rPr>
            </w:pPr>
          </w:p>
        </w:tc>
        <w:tc>
          <w:tcPr>
            <w:tcW w:w="388"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rPr>
            </w:pPr>
            <w:r w:rsidRPr="005F120D">
              <w:rPr>
                <w:rFonts w:asciiTheme="minorHAnsi" w:hAnsiTheme="minorHAnsi" w:cstheme="minorHAnsi"/>
                <w:b/>
                <w:color w:val="FFFFFF" w:themeColor="background1"/>
                <w:sz w:val="18"/>
                <w:szCs w:val="18"/>
              </w:rPr>
              <w:t>2005</w:t>
            </w:r>
          </w:p>
        </w:tc>
        <w:tc>
          <w:tcPr>
            <w:tcW w:w="388"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rPr>
            </w:pPr>
            <w:r w:rsidRPr="005F120D">
              <w:rPr>
                <w:rFonts w:asciiTheme="minorHAnsi" w:hAnsiTheme="minorHAnsi" w:cstheme="minorHAnsi"/>
                <w:b/>
                <w:color w:val="FFFFFF" w:themeColor="background1"/>
                <w:sz w:val="18"/>
                <w:szCs w:val="18"/>
              </w:rPr>
              <w:t>2006</w:t>
            </w:r>
          </w:p>
        </w:tc>
        <w:tc>
          <w:tcPr>
            <w:tcW w:w="388"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rPr>
            </w:pPr>
            <w:r w:rsidRPr="005F120D">
              <w:rPr>
                <w:rFonts w:asciiTheme="minorHAnsi" w:hAnsiTheme="minorHAnsi" w:cstheme="minorHAnsi"/>
                <w:b/>
                <w:color w:val="FFFFFF" w:themeColor="background1"/>
                <w:sz w:val="18"/>
                <w:szCs w:val="18"/>
              </w:rPr>
              <w:t>2007</w:t>
            </w:r>
          </w:p>
        </w:tc>
        <w:tc>
          <w:tcPr>
            <w:tcW w:w="388"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rPr>
            </w:pPr>
            <w:r w:rsidRPr="005F120D">
              <w:rPr>
                <w:rFonts w:asciiTheme="minorHAnsi" w:hAnsiTheme="minorHAnsi" w:cstheme="minorHAnsi"/>
                <w:b/>
                <w:color w:val="FFFFFF" w:themeColor="background1"/>
                <w:sz w:val="18"/>
                <w:szCs w:val="18"/>
              </w:rPr>
              <w:t>2008</w:t>
            </w:r>
          </w:p>
        </w:tc>
        <w:tc>
          <w:tcPr>
            <w:tcW w:w="388"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rPr>
            </w:pPr>
            <w:r w:rsidRPr="005F120D">
              <w:rPr>
                <w:rFonts w:asciiTheme="minorHAnsi" w:hAnsiTheme="minorHAnsi" w:cstheme="minorHAnsi"/>
                <w:b/>
                <w:color w:val="FFFFFF" w:themeColor="background1"/>
                <w:sz w:val="18"/>
                <w:szCs w:val="18"/>
              </w:rPr>
              <w:t>2009</w:t>
            </w:r>
          </w:p>
        </w:tc>
        <w:tc>
          <w:tcPr>
            <w:tcW w:w="388"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rPr>
            </w:pPr>
            <w:r w:rsidRPr="005F120D">
              <w:rPr>
                <w:rFonts w:asciiTheme="minorHAnsi" w:hAnsiTheme="minorHAnsi" w:cstheme="minorHAnsi"/>
                <w:b/>
                <w:color w:val="FFFFFF" w:themeColor="background1"/>
                <w:sz w:val="18"/>
                <w:szCs w:val="18"/>
              </w:rPr>
              <w:t>2010</w:t>
            </w:r>
          </w:p>
        </w:tc>
        <w:tc>
          <w:tcPr>
            <w:tcW w:w="388"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highlight w:val="yellow"/>
              </w:rPr>
            </w:pPr>
            <w:r w:rsidRPr="005F120D">
              <w:rPr>
                <w:rFonts w:asciiTheme="minorHAnsi" w:hAnsiTheme="minorHAnsi" w:cstheme="minorHAnsi"/>
                <w:b/>
                <w:color w:val="FFFFFF" w:themeColor="background1"/>
                <w:sz w:val="18"/>
                <w:szCs w:val="18"/>
              </w:rPr>
              <w:t>2011</w:t>
            </w:r>
          </w:p>
        </w:tc>
        <w:tc>
          <w:tcPr>
            <w:tcW w:w="388"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rPr>
            </w:pPr>
            <w:r w:rsidRPr="005F120D">
              <w:rPr>
                <w:rFonts w:asciiTheme="minorHAnsi" w:hAnsiTheme="minorHAnsi" w:cstheme="minorHAnsi"/>
                <w:b/>
                <w:color w:val="FFFFFF" w:themeColor="background1"/>
                <w:sz w:val="18"/>
                <w:szCs w:val="18"/>
              </w:rPr>
              <w:t>2012</w:t>
            </w:r>
          </w:p>
        </w:tc>
        <w:tc>
          <w:tcPr>
            <w:tcW w:w="388"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rPr>
            </w:pPr>
            <w:r w:rsidRPr="005F120D">
              <w:rPr>
                <w:rFonts w:asciiTheme="minorHAnsi" w:hAnsiTheme="minorHAnsi" w:cstheme="minorHAnsi"/>
                <w:b/>
                <w:color w:val="FFFFFF" w:themeColor="background1"/>
                <w:sz w:val="18"/>
                <w:szCs w:val="18"/>
              </w:rPr>
              <w:t>2013</w:t>
            </w:r>
          </w:p>
        </w:tc>
        <w:tc>
          <w:tcPr>
            <w:tcW w:w="386"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rPr>
            </w:pPr>
            <w:r w:rsidRPr="005F120D">
              <w:rPr>
                <w:rFonts w:asciiTheme="minorHAnsi" w:hAnsiTheme="minorHAnsi" w:cstheme="minorHAnsi"/>
                <w:b/>
                <w:color w:val="FFFFFF" w:themeColor="background1"/>
                <w:sz w:val="18"/>
                <w:szCs w:val="18"/>
              </w:rPr>
              <w:t>2014</w:t>
            </w:r>
          </w:p>
        </w:tc>
        <w:tc>
          <w:tcPr>
            <w:tcW w:w="386" w:type="pct"/>
            <w:tcBorders>
              <w:bottom w:val="single" w:sz="4" w:space="0" w:color="auto"/>
            </w:tcBorders>
            <w:shd w:val="clear" w:color="auto" w:fill="76923C" w:themeFill="accent3" w:themeFillShade="BF"/>
          </w:tcPr>
          <w:p w:rsidR="009C3F3D" w:rsidRPr="005F120D" w:rsidRDefault="009C3F3D" w:rsidP="00C437AA">
            <w:pPr>
              <w:pStyle w:val="Tabletext"/>
              <w:keepNext/>
              <w:spacing w:line="276" w:lineRule="auto"/>
              <w:jc w:val="center"/>
              <w:rPr>
                <w:rFonts w:asciiTheme="minorHAnsi" w:hAnsiTheme="minorHAnsi" w:cstheme="minorHAnsi"/>
                <w:b/>
                <w:color w:val="FFFFFF" w:themeColor="background1"/>
                <w:sz w:val="18"/>
                <w:szCs w:val="18"/>
              </w:rPr>
            </w:pPr>
            <w:r w:rsidRPr="005F120D">
              <w:rPr>
                <w:rFonts w:asciiTheme="minorHAnsi" w:hAnsiTheme="minorHAnsi" w:cstheme="minorHAnsi"/>
                <w:b/>
                <w:color w:val="FFFFFF" w:themeColor="background1"/>
                <w:sz w:val="18"/>
                <w:szCs w:val="18"/>
              </w:rPr>
              <w:t>2015</w:t>
            </w:r>
          </w:p>
        </w:tc>
      </w:tr>
      <w:tr w:rsidR="009C3F3D" w:rsidRPr="005F120D" w:rsidTr="009C3F3D">
        <w:trPr>
          <w:trHeight w:val="313"/>
          <w:jc w:val="center"/>
        </w:trPr>
        <w:tc>
          <w:tcPr>
            <w:tcW w:w="733" w:type="pct"/>
            <w:tcBorders>
              <w:left w:val="single" w:sz="4" w:space="0" w:color="auto"/>
              <w:bottom w:val="nil"/>
            </w:tcBorders>
          </w:tcPr>
          <w:p w:rsidR="009C3F3D" w:rsidRPr="005F120D" w:rsidRDefault="009176B6" w:rsidP="00C437AA">
            <w:pPr>
              <w:pStyle w:val="Tabletext"/>
              <w:spacing w:line="276" w:lineRule="auto"/>
              <w:rPr>
                <w:rFonts w:asciiTheme="minorHAnsi" w:hAnsiTheme="minorHAnsi" w:cstheme="minorHAnsi"/>
                <w:sz w:val="18"/>
                <w:szCs w:val="18"/>
              </w:rPr>
            </w:pPr>
            <w:r w:rsidRPr="005F120D">
              <w:rPr>
                <w:rFonts w:asciiTheme="minorHAnsi" w:hAnsiTheme="minorHAnsi" w:cstheme="minorHAnsi"/>
                <w:sz w:val="18"/>
                <w:szCs w:val="18"/>
              </w:rPr>
              <w:t>Students in G</w:t>
            </w:r>
            <w:r w:rsidR="009C3F3D" w:rsidRPr="005F120D">
              <w:rPr>
                <w:rFonts w:asciiTheme="minorHAnsi" w:hAnsiTheme="minorHAnsi" w:cstheme="minorHAnsi"/>
                <w:sz w:val="18"/>
                <w:szCs w:val="18"/>
              </w:rPr>
              <w:t>rades 1–5, GPS and NNPS only</w:t>
            </w:r>
          </w:p>
        </w:tc>
        <w:tc>
          <w:tcPr>
            <w:tcW w:w="388" w:type="pct"/>
            <w:tcBorders>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13,056,577</w:t>
            </w:r>
          </w:p>
        </w:tc>
        <w:tc>
          <w:tcPr>
            <w:tcW w:w="388" w:type="pct"/>
            <w:tcBorders>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12,939,129</w:t>
            </w:r>
          </w:p>
        </w:tc>
        <w:tc>
          <w:tcPr>
            <w:tcW w:w="388" w:type="pct"/>
            <w:tcBorders>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12,916,522</w:t>
            </w:r>
          </w:p>
        </w:tc>
        <w:tc>
          <w:tcPr>
            <w:tcW w:w="388" w:type="pct"/>
            <w:tcBorders>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13,010,370</w:t>
            </w:r>
          </w:p>
        </w:tc>
        <w:tc>
          <w:tcPr>
            <w:tcW w:w="388" w:type="pct"/>
            <w:tcBorders>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13,281,194</w:t>
            </w:r>
          </w:p>
        </w:tc>
        <w:tc>
          <w:tcPr>
            <w:tcW w:w="388" w:type="pct"/>
            <w:tcBorders>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highlight w:val="red"/>
              </w:rPr>
            </w:pPr>
            <w:r w:rsidRPr="005F120D">
              <w:rPr>
                <w:rFonts w:asciiTheme="minorHAnsi" w:hAnsiTheme="minorHAnsi" w:cstheme="minorHAnsi"/>
                <w:sz w:val="18"/>
                <w:szCs w:val="18"/>
              </w:rPr>
              <w:t>13,554,878</w:t>
            </w:r>
          </w:p>
        </w:tc>
        <w:tc>
          <w:tcPr>
            <w:tcW w:w="388" w:type="pct"/>
            <w:tcBorders>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14,526,281</w:t>
            </w:r>
          </w:p>
        </w:tc>
        <w:tc>
          <w:tcPr>
            <w:tcW w:w="388" w:type="pct"/>
            <w:tcBorders>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14,860,746</w:t>
            </w:r>
          </w:p>
        </w:tc>
        <w:tc>
          <w:tcPr>
            <w:tcW w:w="388" w:type="pct"/>
            <w:tcBorders>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14,890,225</w:t>
            </w:r>
          </w:p>
        </w:tc>
        <w:tc>
          <w:tcPr>
            <w:tcW w:w="386" w:type="pct"/>
            <w:tcBorders>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 xml:space="preserve">14,671,914 </w:t>
            </w:r>
          </w:p>
        </w:tc>
        <w:tc>
          <w:tcPr>
            <w:tcW w:w="386" w:type="pct"/>
            <w:tcBorders>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13,793,653</w:t>
            </w:r>
          </w:p>
        </w:tc>
      </w:tr>
      <w:tr w:rsidR="009C3F3D" w:rsidRPr="005F120D" w:rsidTr="009C3F3D">
        <w:trPr>
          <w:trHeight w:val="387"/>
          <w:jc w:val="center"/>
        </w:trPr>
        <w:tc>
          <w:tcPr>
            <w:tcW w:w="733" w:type="pct"/>
            <w:tcBorders>
              <w:top w:val="nil"/>
              <w:left w:val="single" w:sz="4" w:space="0" w:color="auto"/>
              <w:bottom w:val="nil"/>
            </w:tcBorders>
            <w:shd w:val="clear" w:color="auto" w:fill="D6E3BC" w:themeFill="accent3" w:themeFillTint="66"/>
          </w:tcPr>
          <w:p w:rsidR="009C3F3D" w:rsidRPr="005F120D" w:rsidRDefault="009176B6" w:rsidP="00C437AA">
            <w:pPr>
              <w:pStyle w:val="Tabletext"/>
              <w:spacing w:line="276" w:lineRule="auto"/>
              <w:rPr>
                <w:rFonts w:asciiTheme="minorHAnsi" w:hAnsiTheme="minorHAnsi" w:cstheme="minorHAnsi"/>
                <w:sz w:val="18"/>
                <w:szCs w:val="18"/>
              </w:rPr>
            </w:pPr>
            <w:r w:rsidRPr="005F120D">
              <w:rPr>
                <w:rFonts w:asciiTheme="minorHAnsi" w:hAnsiTheme="minorHAnsi" w:cstheme="minorHAnsi"/>
                <w:sz w:val="18"/>
                <w:szCs w:val="18"/>
              </w:rPr>
              <w:t>Total Students in G</w:t>
            </w:r>
            <w:r w:rsidR="009C3F3D" w:rsidRPr="005F120D">
              <w:rPr>
                <w:rFonts w:asciiTheme="minorHAnsi" w:hAnsiTheme="minorHAnsi" w:cstheme="minorHAnsi"/>
                <w:sz w:val="18"/>
                <w:szCs w:val="18"/>
              </w:rPr>
              <w:t>rades1–5 all schools</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16,225,658</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16,385,847</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16,312,907</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16,001,605</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16,539,363</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highlight w:val="red"/>
              </w:rPr>
            </w:pPr>
            <w:r w:rsidRPr="005F120D">
              <w:rPr>
                <w:rFonts w:asciiTheme="minorHAnsi" w:hAnsiTheme="minorHAnsi" w:cstheme="minorHAnsi"/>
                <w:sz w:val="18"/>
                <w:szCs w:val="18"/>
              </w:rPr>
              <w:t>16,957,894</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18,432,499</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19,003,210</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19,584,972</w:t>
            </w:r>
          </w:p>
        </w:tc>
        <w:tc>
          <w:tcPr>
            <w:tcW w:w="386"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lang w:val="en-GB"/>
              </w:rPr>
              <w:t xml:space="preserve">19,552,979 </w:t>
            </w:r>
          </w:p>
        </w:tc>
        <w:tc>
          <w:tcPr>
            <w:tcW w:w="386"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19,067,761</w:t>
            </w:r>
          </w:p>
        </w:tc>
      </w:tr>
      <w:tr w:rsidR="009C3F3D" w:rsidRPr="005F120D" w:rsidTr="009C3F3D">
        <w:trPr>
          <w:trHeight w:val="313"/>
          <w:jc w:val="center"/>
        </w:trPr>
        <w:tc>
          <w:tcPr>
            <w:tcW w:w="733" w:type="pct"/>
            <w:tcBorders>
              <w:top w:val="nil"/>
              <w:left w:val="single" w:sz="4" w:space="0" w:color="auto"/>
              <w:bottom w:val="nil"/>
            </w:tcBorders>
          </w:tcPr>
          <w:p w:rsidR="009C3F3D" w:rsidRPr="005F120D" w:rsidRDefault="009C3F3D" w:rsidP="00C437AA">
            <w:pPr>
              <w:pStyle w:val="Tabletext"/>
              <w:spacing w:line="276" w:lineRule="auto"/>
              <w:rPr>
                <w:rFonts w:asciiTheme="minorHAnsi" w:hAnsiTheme="minorHAnsi" w:cstheme="minorHAnsi"/>
                <w:sz w:val="18"/>
                <w:szCs w:val="18"/>
              </w:rPr>
            </w:pPr>
            <w:r w:rsidRPr="005F120D">
              <w:rPr>
                <w:rFonts w:asciiTheme="minorHAnsi" w:hAnsiTheme="minorHAnsi" w:cstheme="minorHAnsi"/>
                <w:sz w:val="18"/>
                <w:szCs w:val="18"/>
              </w:rPr>
              <w:t xml:space="preserve">Students </w:t>
            </w:r>
            <w:r w:rsidR="009176B6" w:rsidRPr="005F120D">
              <w:rPr>
                <w:rFonts w:asciiTheme="minorHAnsi" w:hAnsiTheme="minorHAnsi" w:cstheme="minorHAnsi"/>
                <w:sz w:val="18"/>
                <w:szCs w:val="18"/>
              </w:rPr>
              <w:t>in G</w:t>
            </w:r>
            <w:r w:rsidRPr="005F120D">
              <w:rPr>
                <w:rFonts w:asciiTheme="minorHAnsi" w:hAnsiTheme="minorHAnsi" w:cstheme="minorHAnsi"/>
                <w:sz w:val="18"/>
                <w:szCs w:val="18"/>
              </w:rPr>
              <w:t>rades 1–5 aged 6–10, All schools</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15,114,102</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15,244,630</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15,041,743</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14,880,249</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14,947,002</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14,937,517</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b/>
                <w:sz w:val="18"/>
                <w:szCs w:val="18"/>
              </w:rPr>
            </w:pPr>
            <w:r w:rsidRPr="005F120D">
              <w:rPr>
                <w:rFonts w:asciiTheme="minorHAnsi" w:hAnsiTheme="minorHAnsi" w:cstheme="minorHAnsi"/>
                <w:sz w:val="18"/>
                <w:szCs w:val="18"/>
              </w:rPr>
              <w:t>17,239,810</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17,609,096</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17,551,060</w:t>
            </w:r>
          </w:p>
        </w:tc>
        <w:tc>
          <w:tcPr>
            <w:tcW w:w="386"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lang w:val="en-GB"/>
              </w:rPr>
              <w:t xml:space="preserve">17,622,293 </w:t>
            </w:r>
          </w:p>
        </w:tc>
        <w:tc>
          <w:tcPr>
            <w:tcW w:w="386"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17,111,114</w:t>
            </w:r>
          </w:p>
        </w:tc>
      </w:tr>
      <w:tr w:rsidR="009C3F3D" w:rsidRPr="005F120D" w:rsidTr="009C3F3D">
        <w:trPr>
          <w:trHeight w:val="313"/>
          <w:jc w:val="center"/>
        </w:trPr>
        <w:tc>
          <w:tcPr>
            <w:tcW w:w="733" w:type="pct"/>
            <w:tcBorders>
              <w:top w:val="nil"/>
              <w:left w:val="single" w:sz="4" w:space="0" w:color="auto"/>
              <w:bottom w:val="nil"/>
            </w:tcBorders>
            <w:shd w:val="clear" w:color="auto" w:fill="D6E3BC" w:themeFill="accent3" w:themeFillTint="66"/>
          </w:tcPr>
          <w:p w:rsidR="009C3F3D" w:rsidRPr="005F120D" w:rsidRDefault="00601550" w:rsidP="00C437AA">
            <w:pPr>
              <w:pStyle w:val="Tabletext"/>
              <w:spacing w:line="276" w:lineRule="auto"/>
              <w:rPr>
                <w:rFonts w:asciiTheme="minorHAnsi" w:hAnsiTheme="minorHAnsi" w:cstheme="minorHAnsi"/>
                <w:sz w:val="18"/>
                <w:szCs w:val="18"/>
              </w:rPr>
            </w:pPr>
            <w:r w:rsidRPr="005F120D">
              <w:rPr>
                <w:rFonts w:asciiTheme="minorHAnsi" w:hAnsiTheme="minorHAnsi" w:cstheme="minorHAnsi"/>
                <w:sz w:val="18"/>
                <w:szCs w:val="18"/>
              </w:rPr>
              <w:t>Population of C</w:t>
            </w:r>
            <w:r w:rsidR="009C3F3D" w:rsidRPr="005F120D">
              <w:rPr>
                <w:rFonts w:asciiTheme="minorHAnsi" w:hAnsiTheme="minorHAnsi" w:cstheme="minorHAnsi"/>
                <w:sz w:val="18"/>
                <w:szCs w:val="18"/>
              </w:rPr>
              <w:t>hildren aged 6–10</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17,315,296</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16,771,776</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16,514,419</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16,390,221</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15,982,744</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15,751,788</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18,168,788</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18,209,967</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18,033,491</w:t>
            </w:r>
          </w:p>
        </w:tc>
        <w:tc>
          <w:tcPr>
            <w:tcW w:w="386"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lang w:val="en-GB"/>
              </w:rPr>
              <w:t xml:space="preserve">18,039,661 </w:t>
            </w:r>
          </w:p>
        </w:tc>
        <w:tc>
          <w:tcPr>
            <w:tcW w:w="386"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17,473,903</w:t>
            </w:r>
          </w:p>
        </w:tc>
      </w:tr>
      <w:tr w:rsidR="009C3F3D" w:rsidRPr="005F120D" w:rsidTr="009C3F3D">
        <w:trPr>
          <w:trHeight w:val="313"/>
          <w:jc w:val="center"/>
        </w:trPr>
        <w:tc>
          <w:tcPr>
            <w:tcW w:w="733" w:type="pct"/>
            <w:tcBorders>
              <w:top w:val="nil"/>
              <w:left w:val="single" w:sz="4" w:space="0" w:color="auto"/>
              <w:bottom w:val="nil"/>
            </w:tcBorders>
          </w:tcPr>
          <w:p w:rsidR="009C3F3D" w:rsidRPr="005F120D" w:rsidRDefault="009C3F3D" w:rsidP="00C437AA">
            <w:pPr>
              <w:pStyle w:val="Tabletext"/>
              <w:spacing w:line="276" w:lineRule="auto"/>
              <w:rPr>
                <w:rFonts w:asciiTheme="minorHAnsi" w:hAnsiTheme="minorHAnsi" w:cstheme="minorHAnsi"/>
                <w:sz w:val="18"/>
                <w:szCs w:val="18"/>
              </w:rPr>
            </w:pPr>
            <w:r w:rsidRPr="005F120D">
              <w:rPr>
                <w:rFonts w:asciiTheme="minorHAnsi" w:hAnsiTheme="minorHAnsi" w:cstheme="minorHAnsi"/>
                <w:sz w:val="18"/>
                <w:szCs w:val="18"/>
              </w:rPr>
              <w:t>GER (%)                      All</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93.7</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97.7</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98.8</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97.6</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103.5</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107.7</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101.5</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104.4</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108.6</w:t>
            </w:r>
          </w:p>
        </w:tc>
        <w:tc>
          <w:tcPr>
            <w:tcW w:w="386"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108.4</w:t>
            </w:r>
          </w:p>
        </w:tc>
        <w:tc>
          <w:tcPr>
            <w:tcW w:w="386"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109.2</w:t>
            </w:r>
          </w:p>
        </w:tc>
      </w:tr>
      <w:tr w:rsidR="009C3F3D" w:rsidRPr="005F120D" w:rsidTr="009C3F3D">
        <w:trPr>
          <w:trHeight w:val="313"/>
          <w:jc w:val="center"/>
        </w:trPr>
        <w:tc>
          <w:tcPr>
            <w:tcW w:w="733" w:type="pct"/>
            <w:tcBorders>
              <w:top w:val="nil"/>
              <w:left w:val="single" w:sz="4" w:space="0" w:color="auto"/>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Boy</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91.2</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92.9</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93.4</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92.8</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100.1</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103.2</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97.5</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101.3</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106.8</w:t>
            </w:r>
          </w:p>
        </w:tc>
        <w:tc>
          <w:tcPr>
            <w:tcW w:w="386"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104.6</w:t>
            </w:r>
          </w:p>
        </w:tc>
        <w:tc>
          <w:tcPr>
            <w:tcW w:w="386"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105</w:t>
            </w:r>
          </w:p>
        </w:tc>
      </w:tr>
      <w:tr w:rsidR="009C3F3D" w:rsidRPr="005F120D" w:rsidTr="009C3F3D">
        <w:trPr>
          <w:trHeight w:val="313"/>
          <w:jc w:val="center"/>
        </w:trPr>
        <w:tc>
          <w:tcPr>
            <w:tcW w:w="733" w:type="pct"/>
            <w:tcBorders>
              <w:top w:val="nil"/>
              <w:left w:val="single" w:sz="4" w:space="0" w:color="auto"/>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Girl</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96.2</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103.0</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104.6</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102.9</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107.1</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112.4</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105.6</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107.6</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110.5</w:t>
            </w:r>
          </w:p>
        </w:tc>
        <w:tc>
          <w:tcPr>
            <w:tcW w:w="386"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112.3</w:t>
            </w:r>
          </w:p>
        </w:tc>
        <w:tc>
          <w:tcPr>
            <w:tcW w:w="386"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113.4</w:t>
            </w:r>
          </w:p>
        </w:tc>
      </w:tr>
      <w:tr w:rsidR="009C3F3D" w:rsidRPr="005F120D" w:rsidTr="009C3F3D">
        <w:trPr>
          <w:trHeight w:val="313"/>
          <w:jc w:val="center"/>
        </w:trPr>
        <w:tc>
          <w:tcPr>
            <w:tcW w:w="733" w:type="pct"/>
            <w:tcBorders>
              <w:top w:val="nil"/>
              <w:left w:val="single" w:sz="4" w:space="0" w:color="auto"/>
              <w:bottom w:val="nil"/>
            </w:tcBorders>
            <w:shd w:val="clear" w:color="auto" w:fill="D6E3BC" w:themeFill="accent3" w:themeFillTint="66"/>
          </w:tcPr>
          <w:p w:rsidR="009C3F3D" w:rsidRPr="005F120D" w:rsidRDefault="009C3F3D" w:rsidP="00C437AA">
            <w:pPr>
              <w:pStyle w:val="Tabletext"/>
              <w:spacing w:line="276" w:lineRule="auto"/>
              <w:rPr>
                <w:rFonts w:asciiTheme="minorHAnsi" w:hAnsiTheme="minorHAnsi" w:cstheme="minorHAnsi"/>
                <w:sz w:val="18"/>
                <w:szCs w:val="18"/>
              </w:rPr>
            </w:pPr>
            <w:bookmarkStart w:id="308" w:name="_Hlk262098294"/>
            <w:r w:rsidRPr="005F120D">
              <w:rPr>
                <w:rFonts w:asciiTheme="minorHAnsi" w:hAnsiTheme="minorHAnsi" w:cstheme="minorHAnsi"/>
                <w:sz w:val="18"/>
                <w:szCs w:val="18"/>
              </w:rPr>
              <w:t>Gender parity index</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1.05</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1.11</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1.12</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1.11</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1.07</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1.09</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1.08</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1.06</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1.03</w:t>
            </w:r>
          </w:p>
        </w:tc>
        <w:tc>
          <w:tcPr>
            <w:tcW w:w="386"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1.03</w:t>
            </w:r>
          </w:p>
        </w:tc>
        <w:tc>
          <w:tcPr>
            <w:tcW w:w="386"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1.08</w:t>
            </w:r>
          </w:p>
        </w:tc>
      </w:tr>
      <w:bookmarkEnd w:id="308"/>
      <w:tr w:rsidR="009C3F3D" w:rsidRPr="005F120D" w:rsidTr="009C3F3D">
        <w:trPr>
          <w:trHeight w:val="313"/>
          <w:jc w:val="center"/>
        </w:trPr>
        <w:tc>
          <w:tcPr>
            <w:tcW w:w="733" w:type="pct"/>
            <w:tcBorders>
              <w:top w:val="nil"/>
              <w:left w:val="single" w:sz="4" w:space="0" w:color="auto"/>
              <w:bottom w:val="nil"/>
            </w:tcBorders>
          </w:tcPr>
          <w:p w:rsidR="009C3F3D" w:rsidRPr="005F120D" w:rsidRDefault="009C3F3D" w:rsidP="00C437AA">
            <w:pPr>
              <w:pStyle w:val="Tabletext"/>
              <w:spacing w:line="276" w:lineRule="auto"/>
              <w:rPr>
                <w:rFonts w:asciiTheme="minorHAnsi" w:hAnsiTheme="minorHAnsi" w:cstheme="minorHAnsi"/>
                <w:sz w:val="18"/>
                <w:szCs w:val="18"/>
              </w:rPr>
            </w:pPr>
            <w:r w:rsidRPr="005F120D">
              <w:rPr>
                <w:rFonts w:asciiTheme="minorHAnsi" w:hAnsiTheme="minorHAnsi" w:cstheme="minorHAnsi"/>
                <w:sz w:val="18"/>
                <w:szCs w:val="18"/>
              </w:rPr>
              <w:t>NER (%)                     All</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87.2</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90.9</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91.1</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90.8</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93.9</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94.8</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94.9</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96.7</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97.3</w:t>
            </w:r>
          </w:p>
        </w:tc>
        <w:tc>
          <w:tcPr>
            <w:tcW w:w="386"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97.7</w:t>
            </w:r>
          </w:p>
        </w:tc>
        <w:tc>
          <w:tcPr>
            <w:tcW w:w="386"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97.94</w:t>
            </w:r>
          </w:p>
        </w:tc>
      </w:tr>
      <w:tr w:rsidR="009C3F3D" w:rsidRPr="005F120D" w:rsidTr="009C3F3D">
        <w:trPr>
          <w:trHeight w:val="324"/>
          <w:jc w:val="center"/>
        </w:trPr>
        <w:tc>
          <w:tcPr>
            <w:tcW w:w="733" w:type="pct"/>
            <w:tcBorders>
              <w:top w:val="nil"/>
              <w:left w:val="single" w:sz="4" w:space="0" w:color="auto"/>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bookmarkStart w:id="309" w:name="_Hlk269069983"/>
            <w:r w:rsidRPr="005F120D">
              <w:rPr>
                <w:rFonts w:asciiTheme="minorHAnsi" w:hAnsiTheme="minorHAnsi" w:cstheme="minorHAnsi"/>
                <w:sz w:val="18"/>
                <w:szCs w:val="18"/>
              </w:rPr>
              <w:t>Boy</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84.6</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87.6</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87.8</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87.9</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89.1</w:t>
            </w:r>
          </w:p>
        </w:tc>
        <w:tc>
          <w:tcPr>
            <w:tcW w:w="388" w:type="pct"/>
            <w:tcBorders>
              <w:top w:val="nil"/>
              <w:bottom w:val="nil"/>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92.2</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92.7</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95.4</w:t>
            </w:r>
          </w:p>
        </w:tc>
        <w:tc>
          <w:tcPr>
            <w:tcW w:w="388"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96.2</w:t>
            </w:r>
          </w:p>
        </w:tc>
        <w:tc>
          <w:tcPr>
            <w:tcW w:w="386"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96.6</w:t>
            </w:r>
          </w:p>
        </w:tc>
        <w:tc>
          <w:tcPr>
            <w:tcW w:w="386" w:type="pct"/>
            <w:tcBorders>
              <w:top w:val="nil"/>
              <w:bottom w:val="nil"/>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97.09</w:t>
            </w:r>
          </w:p>
        </w:tc>
      </w:tr>
      <w:tr w:rsidR="009C3F3D" w:rsidRPr="005F120D" w:rsidTr="009C3F3D">
        <w:trPr>
          <w:trHeight w:val="313"/>
          <w:jc w:val="center"/>
        </w:trPr>
        <w:tc>
          <w:tcPr>
            <w:tcW w:w="733" w:type="pct"/>
            <w:tcBorders>
              <w:top w:val="nil"/>
              <w:left w:val="single" w:sz="4" w:space="0" w:color="auto"/>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Girl</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90.1</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94.5</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94.7</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94.0</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99.1</w:t>
            </w:r>
          </w:p>
        </w:tc>
        <w:tc>
          <w:tcPr>
            <w:tcW w:w="388" w:type="pct"/>
            <w:tcBorders>
              <w:top w:val="nil"/>
              <w:bottom w:val="nil"/>
            </w:tcBorders>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97.6</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97.3</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98.1</w:t>
            </w:r>
          </w:p>
        </w:tc>
        <w:tc>
          <w:tcPr>
            <w:tcW w:w="388"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98.4</w:t>
            </w:r>
          </w:p>
        </w:tc>
        <w:tc>
          <w:tcPr>
            <w:tcW w:w="386"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98.8</w:t>
            </w:r>
          </w:p>
        </w:tc>
        <w:tc>
          <w:tcPr>
            <w:tcW w:w="386" w:type="pct"/>
            <w:tcBorders>
              <w:top w:val="nil"/>
              <w:bottom w:val="nil"/>
            </w:tcBorders>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98.79</w:t>
            </w:r>
          </w:p>
        </w:tc>
      </w:tr>
      <w:bookmarkEnd w:id="309"/>
      <w:tr w:rsidR="009C3F3D" w:rsidRPr="005F120D" w:rsidTr="009C3F3D">
        <w:trPr>
          <w:trHeight w:val="351"/>
          <w:jc w:val="center"/>
        </w:trPr>
        <w:tc>
          <w:tcPr>
            <w:tcW w:w="733" w:type="pct"/>
            <w:tcBorders>
              <w:top w:val="nil"/>
              <w:left w:val="single" w:sz="4" w:space="0" w:color="auto"/>
              <w:bottom w:val="single" w:sz="4" w:space="0" w:color="auto"/>
            </w:tcBorders>
            <w:shd w:val="clear" w:color="auto" w:fill="D6E3BC" w:themeFill="accent3" w:themeFillTint="66"/>
          </w:tcPr>
          <w:p w:rsidR="009C3F3D" w:rsidRPr="005F120D" w:rsidRDefault="009C3F3D" w:rsidP="00C437AA">
            <w:pPr>
              <w:pStyle w:val="Tabletext"/>
              <w:spacing w:line="276" w:lineRule="auto"/>
              <w:rPr>
                <w:rFonts w:asciiTheme="minorHAnsi" w:hAnsiTheme="minorHAnsi" w:cstheme="minorHAnsi"/>
                <w:sz w:val="18"/>
                <w:szCs w:val="18"/>
              </w:rPr>
            </w:pPr>
            <w:r w:rsidRPr="005F120D">
              <w:rPr>
                <w:rFonts w:asciiTheme="minorHAnsi" w:hAnsiTheme="minorHAnsi" w:cstheme="minorHAnsi"/>
                <w:sz w:val="18"/>
                <w:szCs w:val="18"/>
              </w:rPr>
              <w:t>Gender parity index (GPI)</w:t>
            </w:r>
          </w:p>
        </w:tc>
        <w:tc>
          <w:tcPr>
            <w:tcW w:w="388" w:type="pct"/>
            <w:tcBorders>
              <w:top w:val="nil"/>
              <w:bottom w:val="single" w:sz="4" w:space="0" w:color="auto"/>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1.07</w:t>
            </w:r>
          </w:p>
        </w:tc>
        <w:tc>
          <w:tcPr>
            <w:tcW w:w="388" w:type="pct"/>
            <w:tcBorders>
              <w:top w:val="nil"/>
              <w:bottom w:val="single" w:sz="4" w:space="0" w:color="auto"/>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1.08</w:t>
            </w:r>
          </w:p>
        </w:tc>
        <w:tc>
          <w:tcPr>
            <w:tcW w:w="388" w:type="pct"/>
            <w:tcBorders>
              <w:top w:val="nil"/>
              <w:bottom w:val="single" w:sz="4" w:space="0" w:color="auto"/>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1.08</w:t>
            </w:r>
          </w:p>
        </w:tc>
        <w:tc>
          <w:tcPr>
            <w:tcW w:w="388" w:type="pct"/>
            <w:tcBorders>
              <w:top w:val="nil"/>
              <w:bottom w:val="single" w:sz="4" w:space="0" w:color="auto"/>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1.07</w:t>
            </w:r>
          </w:p>
        </w:tc>
        <w:tc>
          <w:tcPr>
            <w:tcW w:w="388" w:type="pct"/>
            <w:tcBorders>
              <w:top w:val="nil"/>
              <w:bottom w:val="single" w:sz="4" w:space="0" w:color="auto"/>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1.11</w:t>
            </w:r>
          </w:p>
        </w:tc>
        <w:tc>
          <w:tcPr>
            <w:tcW w:w="388" w:type="pct"/>
            <w:tcBorders>
              <w:top w:val="nil"/>
              <w:bottom w:val="single" w:sz="4" w:space="0" w:color="auto"/>
            </w:tcBorders>
            <w:shd w:val="clear" w:color="auto" w:fill="D6E3BC" w:themeFill="accent3" w:themeFillTint="66"/>
          </w:tcPr>
          <w:p w:rsidR="009C3F3D" w:rsidRPr="005F120D" w:rsidRDefault="009C3F3D" w:rsidP="00C437AA">
            <w:pPr>
              <w:pStyle w:val="Tabletext"/>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1.06</w:t>
            </w:r>
          </w:p>
        </w:tc>
        <w:tc>
          <w:tcPr>
            <w:tcW w:w="388" w:type="pct"/>
            <w:tcBorders>
              <w:top w:val="nil"/>
              <w:bottom w:val="single" w:sz="4" w:space="0" w:color="auto"/>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1.06</w:t>
            </w:r>
          </w:p>
        </w:tc>
        <w:tc>
          <w:tcPr>
            <w:tcW w:w="388" w:type="pct"/>
            <w:tcBorders>
              <w:top w:val="nil"/>
              <w:bottom w:val="single" w:sz="4" w:space="0" w:color="auto"/>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1.04</w:t>
            </w:r>
          </w:p>
        </w:tc>
        <w:tc>
          <w:tcPr>
            <w:tcW w:w="388" w:type="pct"/>
            <w:tcBorders>
              <w:top w:val="nil"/>
              <w:bottom w:val="single" w:sz="4" w:space="0" w:color="auto"/>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1.02</w:t>
            </w:r>
          </w:p>
        </w:tc>
        <w:tc>
          <w:tcPr>
            <w:tcW w:w="386" w:type="pct"/>
            <w:tcBorders>
              <w:top w:val="nil"/>
              <w:bottom w:val="single" w:sz="4" w:space="0" w:color="auto"/>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1.02</w:t>
            </w:r>
          </w:p>
        </w:tc>
        <w:tc>
          <w:tcPr>
            <w:tcW w:w="386" w:type="pct"/>
            <w:tcBorders>
              <w:top w:val="nil"/>
              <w:bottom w:val="single" w:sz="4" w:space="0" w:color="auto"/>
            </w:tcBorders>
            <w:shd w:val="clear" w:color="auto" w:fill="D6E3BC" w:themeFill="accent3" w:themeFillTint="66"/>
          </w:tcPr>
          <w:p w:rsidR="009C3F3D" w:rsidRPr="005F120D" w:rsidRDefault="009C3F3D" w:rsidP="00C437AA">
            <w:pPr>
              <w:spacing w:line="276" w:lineRule="auto"/>
              <w:jc w:val="right"/>
              <w:rPr>
                <w:rFonts w:asciiTheme="minorHAnsi" w:hAnsiTheme="minorHAnsi" w:cstheme="minorHAnsi"/>
                <w:sz w:val="18"/>
                <w:szCs w:val="18"/>
              </w:rPr>
            </w:pPr>
            <w:r w:rsidRPr="005F120D">
              <w:rPr>
                <w:rFonts w:asciiTheme="minorHAnsi" w:hAnsiTheme="minorHAnsi" w:cstheme="minorHAnsi"/>
                <w:sz w:val="18"/>
                <w:szCs w:val="18"/>
              </w:rPr>
              <w:t>1.02</w:t>
            </w:r>
          </w:p>
        </w:tc>
      </w:tr>
    </w:tbl>
    <w:p w:rsidR="00D747F1" w:rsidRPr="005F120D" w:rsidRDefault="00A7449A" w:rsidP="000A5B80">
      <w:pPr>
        <w:pStyle w:val="Tablenotes"/>
      </w:pPr>
      <w:r w:rsidRPr="005F120D">
        <w:t xml:space="preserve">Sources: Enrolment data: </w:t>
      </w:r>
      <w:r w:rsidR="007E4791" w:rsidRPr="005F120D">
        <w:t xml:space="preserve">APSC 2005 to 2015, BANBEIS 2005 to 2010; Population data: BBS estimates for 2005–2010 </w:t>
      </w:r>
      <w:r w:rsidR="00601550" w:rsidRPr="005F120D">
        <w:t>based on 2001 population census;</w:t>
      </w:r>
      <w:r w:rsidR="007E4791" w:rsidRPr="005F120D">
        <w:t xml:space="preserve"> DPE estimate for 2011 to 2015 based on BBS 2011 population census (Table C 04). Note: (1). The 2011 to 2015 enrolment rate estimates are comparable, but not strictly comparable, to the previous years because the estimates of the population aged 6–10 for the denominators are taken from different sources. It appears that the projections of the population aged 6–10 based on the 2001 population census were not very accurate, particularly for the later years (there is a difference of 2.4 million children between the 2010 and 2011 estimates, and only 41,179 between 2011 and 2012. The 2015 estimate is identical with 2014)</w:t>
      </w:r>
      <w:r w:rsidR="001338E4" w:rsidRPr="005F120D">
        <w:t>.</w:t>
      </w:r>
    </w:p>
    <w:p w:rsidR="009C3F3D" w:rsidRPr="005F120D" w:rsidRDefault="009C3F3D" w:rsidP="00C437AA">
      <w:pPr>
        <w:pStyle w:val="BodyText1"/>
        <w:rPr>
          <w:rFonts w:asciiTheme="minorHAnsi" w:hAnsiTheme="minorHAnsi" w:cstheme="minorHAnsi"/>
          <w:lang w:val="en-US"/>
        </w:rPr>
        <w:sectPr w:rsidR="009C3F3D" w:rsidRPr="005F120D" w:rsidSect="00EA356A">
          <w:type w:val="nextColumn"/>
          <w:pgSz w:w="16834" w:h="11909" w:orient="landscape" w:code="9"/>
          <w:pgMar w:top="1440" w:right="1440" w:bottom="1440" w:left="1440" w:header="720" w:footer="720" w:gutter="0"/>
          <w:cols w:space="720"/>
          <w:docGrid w:linePitch="360"/>
        </w:sectPr>
      </w:pPr>
    </w:p>
    <w:p w:rsidR="00C20450" w:rsidRPr="005F120D" w:rsidRDefault="00E17B75" w:rsidP="00C437AA">
      <w:pPr>
        <w:pStyle w:val="Heading4"/>
        <w:spacing w:line="276" w:lineRule="auto"/>
        <w:rPr>
          <w:rFonts w:asciiTheme="minorHAnsi" w:hAnsiTheme="minorHAnsi" w:cstheme="minorHAnsi"/>
          <w:b/>
          <w:color w:val="008000"/>
        </w:rPr>
      </w:pPr>
      <w:bookmarkStart w:id="310" w:name="_Toc338839501"/>
      <w:bookmarkStart w:id="311" w:name="_Toc338856150"/>
      <w:bookmarkStart w:id="312" w:name="_Ref269157622"/>
      <w:bookmarkStart w:id="313" w:name="_Toc338856153"/>
      <w:r w:rsidRPr="005F120D">
        <w:rPr>
          <w:rFonts w:asciiTheme="minorHAnsi" w:hAnsiTheme="minorHAnsi" w:cstheme="minorHAnsi"/>
          <w:b/>
          <w:color w:val="008000"/>
        </w:rPr>
        <w:lastRenderedPageBreak/>
        <w:t>Out of school children</w:t>
      </w:r>
      <w:bookmarkEnd w:id="310"/>
      <w:bookmarkEnd w:id="311"/>
    </w:p>
    <w:p w:rsidR="00B12C99" w:rsidRPr="005F120D" w:rsidRDefault="00B12C99" w:rsidP="00C437AA">
      <w:pPr>
        <w:pStyle w:val="ListBullet1"/>
        <w:spacing w:after="0" w:line="276" w:lineRule="auto"/>
        <w:jc w:val="both"/>
        <w:rPr>
          <w:rFonts w:asciiTheme="minorHAnsi" w:hAnsiTheme="minorHAnsi" w:cstheme="minorHAnsi"/>
        </w:rPr>
      </w:pPr>
      <w:r w:rsidRPr="005F120D">
        <w:rPr>
          <w:rFonts w:asciiTheme="minorHAnsi" w:hAnsiTheme="minorHAnsi" w:cstheme="minorHAnsi"/>
          <w:b/>
          <w:u w:val="single"/>
        </w:rPr>
        <w:t>KPI 4</w:t>
      </w:r>
      <w:r w:rsidRPr="005F120D">
        <w:rPr>
          <w:rFonts w:asciiTheme="minorHAnsi" w:hAnsiTheme="minorHAnsi" w:cstheme="minorHAnsi"/>
        </w:rPr>
        <w:t>is intended to monitor the out-of-school children using BBS HIES and EHS survey findings. This KPI measures both the children who never enrolled in any formal or non-formal schools and those who dropped out of any grade in any school year. The 2010 HIES provides a baseline for this KPI.  The previous section 3.2.1.2 summarised the evidence from six household surveys conducted between 1998 and 2014 on the school attendance rates (GAR/NAR) of children aged 6–10 years. The recen</w:t>
      </w:r>
      <w:r w:rsidR="00601550" w:rsidRPr="005F120D">
        <w:rPr>
          <w:rFonts w:asciiTheme="minorHAnsi" w:hAnsiTheme="minorHAnsi" w:cstheme="minorHAnsi"/>
        </w:rPr>
        <w:t>t data on the same indicator were</w:t>
      </w:r>
      <w:r w:rsidRPr="005F120D">
        <w:rPr>
          <w:rFonts w:asciiTheme="minorHAnsi" w:hAnsiTheme="minorHAnsi" w:cstheme="minorHAnsi"/>
        </w:rPr>
        <w:t xml:space="preserve"> from the EHS 2014, CAPME 2015 and the BBS Population Census 2011. HIES and EHS data are comparable because the same methodology was used for conducting both surveys (see Figure 3.12).</w:t>
      </w:r>
    </w:p>
    <w:p w:rsidR="005564DB" w:rsidRPr="005F120D" w:rsidRDefault="00B12C99" w:rsidP="00C437AA">
      <w:pPr>
        <w:pStyle w:val="ListBullet1"/>
        <w:spacing w:before="240" w:after="240" w:line="276" w:lineRule="auto"/>
        <w:jc w:val="both"/>
        <w:rPr>
          <w:rFonts w:asciiTheme="minorHAnsi" w:hAnsiTheme="minorHAnsi" w:cstheme="minorHAnsi"/>
        </w:rPr>
      </w:pPr>
      <w:r w:rsidRPr="005F120D">
        <w:rPr>
          <w:rFonts w:asciiTheme="minorHAnsi" w:hAnsiTheme="minorHAnsi" w:cstheme="minorHAnsi"/>
        </w:rPr>
        <w:t>According to EHS report 2014, around 17.9% of 6-10 years children (boys 18.8% and girls 17.5%) and 14.4% of 11-14 year children (boys 19.4% and girls 9%) were out of school in comparison with 15% and 22% respectively in the 2010 PEDP3 baseline (HIES 2010).About 9.4% of the 6-10 years children never enrolled in school, and 8.5% enrolled but dropped out before completing Grade 5. The dropout rate in APSC 2014 was 20.9%, which is higher than that of EHS. The reason might be that BBS collects data through sample surveys whereas APSC 2014 collected data from each individual school through the regular census. Another reason might be that APSC calculates dropout numbers on the basis of a 5-year cycle completion: on the other hand, EHS calculates on a single year completion</w:t>
      </w:r>
      <w:r w:rsidR="00601550" w:rsidRPr="005F120D">
        <w:rPr>
          <w:rFonts w:asciiTheme="minorHAnsi" w:hAnsiTheme="minorHAnsi" w:cstheme="minorHAnsi"/>
        </w:rPr>
        <w:t xml:space="preserve"> and also considers</w:t>
      </w:r>
      <w:r w:rsidR="00A62182" w:rsidRPr="005F120D">
        <w:rPr>
          <w:rFonts w:asciiTheme="minorHAnsi" w:hAnsiTheme="minorHAnsi" w:cstheme="minorHAnsi"/>
        </w:rPr>
        <w:t xml:space="preserve"> the internal migration factor</w:t>
      </w:r>
      <w:r w:rsidR="00FC67F4" w:rsidRPr="005F120D">
        <w:rPr>
          <w:rFonts w:asciiTheme="minorHAnsi" w:hAnsiTheme="minorHAnsi" w:cstheme="minorHAnsi"/>
        </w:rPr>
        <w:t>.</w:t>
      </w:r>
      <w:bookmarkEnd w:id="312"/>
    </w:p>
    <w:p w:rsidR="00141C94" w:rsidRPr="005F120D" w:rsidRDefault="008260E9" w:rsidP="00C437AA">
      <w:pPr>
        <w:pStyle w:val="Caption"/>
        <w:spacing w:line="276" w:lineRule="auto"/>
        <w:rPr>
          <w:rFonts w:cstheme="minorHAnsi"/>
        </w:rPr>
      </w:pPr>
      <w:bookmarkStart w:id="314" w:name="_Toc462837421"/>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12</w:t>
      </w:r>
      <w:r w:rsidR="002E2ED5" w:rsidRPr="005F120D">
        <w:rPr>
          <w:rFonts w:cstheme="minorHAnsi"/>
        </w:rPr>
        <w:fldChar w:fldCharType="end"/>
      </w:r>
      <w:r w:rsidRPr="005F120D">
        <w:rPr>
          <w:rFonts w:cstheme="minorHAnsi"/>
        </w:rPr>
        <w:t xml:space="preserve">: </w:t>
      </w:r>
      <w:r w:rsidR="002C4331" w:rsidRPr="005F120D">
        <w:rPr>
          <w:rFonts w:cstheme="minorHAnsi"/>
        </w:rPr>
        <w:t xml:space="preserve">Estimation of </w:t>
      </w:r>
      <w:r w:rsidR="00290F14" w:rsidRPr="005F120D">
        <w:rPr>
          <w:rFonts w:cstheme="minorHAnsi"/>
        </w:rPr>
        <w:t>O</w:t>
      </w:r>
      <w:r w:rsidR="002C4331" w:rsidRPr="005F120D">
        <w:rPr>
          <w:rFonts w:cstheme="minorHAnsi"/>
        </w:rPr>
        <w:t xml:space="preserve">ut of </w:t>
      </w:r>
      <w:r w:rsidR="00290F14" w:rsidRPr="005F120D">
        <w:rPr>
          <w:rFonts w:cstheme="minorHAnsi"/>
        </w:rPr>
        <w:t>S</w:t>
      </w:r>
      <w:r w:rsidR="002C4331" w:rsidRPr="005F120D">
        <w:rPr>
          <w:rFonts w:cstheme="minorHAnsi"/>
        </w:rPr>
        <w:t xml:space="preserve">chool </w:t>
      </w:r>
      <w:r w:rsidR="00290F14" w:rsidRPr="005F120D">
        <w:rPr>
          <w:rFonts w:cstheme="minorHAnsi"/>
        </w:rPr>
        <w:t>C</w:t>
      </w:r>
      <w:r w:rsidR="002C4331" w:rsidRPr="005F120D">
        <w:rPr>
          <w:rFonts w:cstheme="minorHAnsi"/>
        </w:rPr>
        <w:t xml:space="preserve">hildren </w:t>
      </w:r>
      <w:r w:rsidR="00290F14" w:rsidRPr="005F120D">
        <w:rPr>
          <w:rFonts w:cstheme="minorHAnsi"/>
        </w:rPr>
        <w:t>A</w:t>
      </w:r>
      <w:r w:rsidR="002C4331" w:rsidRPr="005F120D">
        <w:rPr>
          <w:rFonts w:cstheme="minorHAnsi"/>
        </w:rPr>
        <w:t xml:space="preserve">ged 6-10 </w:t>
      </w:r>
      <w:r w:rsidR="00290F14" w:rsidRPr="005F120D">
        <w:rPr>
          <w:rFonts w:cstheme="minorHAnsi"/>
        </w:rPr>
        <w:t>Y</w:t>
      </w:r>
      <w:r w:rsidR="002C4331" w:rsidRPr="005F120D">
        <w:rPr>
          <w:rFonts w:cstheme="minorHAnsi"/>
        </w:rPr>
        <w:t xml:space="preserve">ears </w:t>
      </w:r>
      <w:r w:rsidR="00290F14" w:rsidRPr="005F120D">
        <w:rPr>
          <w:rFonts w:cstheme="minorHAnsi"/>
        </w:rPr>
        <w:t>1998-201</w:t>
      </w:r>
      <w:r w:rsidR="00862FD5" w:rsidRPr="005F120D">
        <w:rPr>
          <w:rFonts w:cstheme="minorHAnsi"/>
        </w:rPr>
        <w:t>5</w:t>
      </w:r>
      <w:bookmarkEnd w:id="314"/>
    </w:p>
    <w:p w:rsidR="00141C94" w:rsidRPr="005F120D" w:rsidRDefault="00187947" w:rsidP="00C437AA">
      <w:pPr>
        <w:pStyle w:val="BodyText1"/>
        <w:spacing w:after="0"/>
        <w:jc w:val="center"/>
        <w:rPr>
          <w:rFonts w:asciiTheme="minorHAnsi" w:hAnsiTheme="minorHAnsi" w:cstheme="minorHAnsi"/>
          <w:color w:val="FF0000"/>
        </w:rPr>
      </w:pPr>
      <w:r w:rsidRPr="005F120D">
        <w:rPr>
          <w:rFonts w:asciiTheme="minorHAnsi" w:hAnsiTheme="minorHAnsi" w:cstheme="minorHAnsi"/>
          <w:noProof/>
          <w:color w:val="FF0000"/>
          <w:lang w:val="en-US" w:eastAsia="en-US"/>
        </w:rPr>
        <w:drawing>
          <wp:inline distT="0" distB="0" distL="0" distR="0">
            <wp:extent cx="5480050" cy="3302000"/>
            <wp:effectExtent l="38100" t="19050" r="2540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E5080" w:rsidRPr="005F120D" w:rsidRDefault="00141C94" w:rsidP="000A5B80">
      <w:pPr>
        <w:pStyle w:val="Tablenotes"/>
      </w:pPr>
      <w:r w:rsidRPr="005F120D">
        <w:t>Source: HIES 2010</w:t>
      </w:r>
      <w:r w:rsidR="00FB64D0" w:rsidRPr="005F120D">
        <w:t>, EHS 2014</w:t>
      </w:r>
      <w:r w:rsidR="00BB3114" w:rsidRPr="005F120D">
        <w:t>. Note: never enrolled and dropped out children refers to out-of-school children.</w:t>
      </w:r>
    </w:p>
    <w:p w:rsidR="00775F33" w:rsidRPr="005F120D" w:rsidRDefault="00775F33" w:rsidP="00C437AA">
      <w:pPr>
        <w:pStyle w:val="ListBullet1"/>
        <w:spacing w:after="0" w:line="276" w:lineRule="auto"/>
        <w:jc w:val="both"/>
        <w:rPr>
          <w:rFonts w:asciiTheme="minorHAnsi" w:hAnsiTheme="minorHAnsi" w:cstheme="minorHAnsi"/>
        </w:rPr>
      </w:pPr>
      <w:bookmarkStart w:id="315" w:name="_Toc338856152"/>
      <w:bookmarkStart w:id="316" w:name="_Toc385242085"/>
      <w:bookmarkStart w:id="317" w:name="_Toc385245711"/>
      <w:r w:rsidRPr="005F120D">
        <w:rPr>
          <w:rFonts w:asciiTheme="minorHAnsi" w:hAnsiTheme="minorHAnsi" w:cstheme="minorHAnsi"/>
        </w:rPr>
        <w:t xml:space="preserve">The proportion of children who were out-of-school </w:t>
      </w:r>
      <w:r w:rsidR="00A62182" w:rsidRPr="005F120D">
        <w:rPr>
          <w:rFonts w:asciiTheme="minorHAnsi" w:hAnsiTheme="minorHAnsi" w:cstheme="minorHAnsi"/>
        </w:rPr>
        <w:t xml:space="preserve">fluctuated </w:t>
      </w:r>
      <w:r w:rsidRPr="005F120D">
        <w:rPr>
          <w:rFonts w:asciiTheme="minorHAnsi" w:hAnsiTheme="minorHAnsi" w:cstheme="minorHAnsi"/>
        </w:rPr>
        <w:t xml:space="preserve">between 15% and 25% over the past decade. The reason might be that there were differences in the way the school attendance status was measured by different types of surveys.  The information from the last BBS Population Census </w:t>
      </w:r>
      <w:r w:rsidRPr="005F120D">
        <w:rPr>
          <w:rFonts w:asciiTheme="minorHAnsi" w:hAnsiTheme="minorHAnsi" w:cstheme="minorHAnsi"/>
        </w:rPr>
        <w:lastRenderedPageBreak/>
        <w:t>(2011) estimated that 23% of children aged 6–10 years were not going to school, which is the highest estimate since CAMPE conducted its survey in 2014 (Education Watch report 2015).  Due to these inconsistencies, DPE used HIES and EHS for monitoring this KPI in order to ensure consistency in methodology between the baseline and subsequent updates.</w:t>
      </w:r>
      <w:r w:rsidRPr="005F120D">
        <w:rPr>
          <w:rStyle w:val="FootnoteReference"/>
          <w:rFonts w:asciiTheme="minorHAnsi" w:hAnsiTheme="minorHAnsi" w:cstheme="minorHAnsi"/>
        </w:rPr>
        <w:footnoteReference w:id="11"/>
      </w:r>
    </w:p>
    <w:p w:rsidR="00775F33" w:rsidRPr="005F120D" w:rsidRDefault="00775F33" w:rsidP="00C437AA">
      <w:pPr>
        <w:pStyle w:val="ListBullet1"/>
        <w:spacing w:before="240" w:after="240" w:line="276" w:lineRule="auto"/>
        <w:jc w:val="both"/>
        <w:rPr>
          <w:rFonts w:asciiTheme="minorHAnsi" w:hAnsiTheme="minorHAnsi" w:cstheme="minorHAnsi"/>
        </w:rPr>
      </w:pPr>
      <w:r w:rsidRPr="005F120D">
        <w:rPr>
          <w:rFonts w:asciiTheme="minorHAnsi" w:hAnsiTheme="minorHAnsi" w:cstheme="minorHAnsi"/>
          <w:szCs w:val="22"/>
          <w:lang w:val="en-US"/>
        </w:rPr>
        <w:t xml:space="preserve">Within the group of out-of-school children of primary age, there are two distinct categories: (i) children who were never enrolled in school; and (ii) children who dropped out. It is useful to distinguish between these two groups in order to feed into the design of interventions to reduce school exclusion. </w:t>
      </w:r>
      <w:r w:rsidRPr="005F120D">
        <w:rPr>
          <w:rFonts w:asciiTheme="minorHAnsi" w:hAnsiTheme="minorHAnsi" w:cstheme="minorHAnsi"/>
          <w:szCs w:val="22"/>
        </w:rPr>
        <w:t xml:space="preserve">According to the 2006 and 2009 MICS, children who had never been to school were the larger of the two groups. As many as 30% of children aged 6 were not in school due to late entry.  The percentage of children who had never attended school fell rapidly between the ages of 6 and 8 years. However, about 7-9% of children aged 9-10 </w:t>
      </w:r>
      <w:r w:rsidR="00601550" w:rsidRPr="005F120D">
        <w:rPr>
          <w:rFonts w:asciiTheme="minorHAnsi" w:hAnsiTheme="minorHAnsi" w:cstheme="minorHAnsi"/>
          <w:szCs w:val="22"/>
        </w:rPr>
        <w:t>had still never been to school.</w:t>
      </w:r>
      <w:r w:rsidRPr="005F120D">
        <w:rPr>
          <w:rFonts w:asciiTheme="minorHAnsi" w:hAnsiTheme="minorHAnsi" w:cstheme="minorHAnsi"/>
        </w:rPr>
        <w:t xml:space="preserve"> Parents reported about 6% of children aged 10 as having dropped out of school.</w:t>
      </w:r>
    </w:p>
    <w:p w:rsidR="00775F33" w:rsidRPr="005F120D" w:rsidRDefault="00775F33" w:rsidP="00C437AA">
      <w:pPr>
        <w:spacing w:line="276" w:lineRule="auto"/>
        <w:jc w:val="both"/>
        <w:rPr>
          <w:rFonts w:asciiTheme="minorHAnsi" w:hAnsiTheme="minorHAnsi" w:cstheme="minorHAnsi"/>
          <w:bCs/>
          <w:szCs w:val="22"/>
        </w:rPr>
      </w:pPr>
      <w:r w:rsidRPr="005F120D">
        <w:rPr>
          <w:rFonts w:asciiTheme="minorHAnsi" w:hAnsiTheme="minorHAnsi" w:cstheme="minorHAnsi"/>
          <w:bCs/>
          <w:szCs w:val="22"/>
        </w:rPr>
        <w:t xml:space="preserve">Based on the 2010 HIES data, the 2014 education sector report estimated that the total number of out-of-school children aged 6 to 14 was around 5.5 million. </w:t>
      </w:r>
      <w:r w:rsidRPr="005F120D">
        <w:rPr>
          <w:rFonts w:asciiTheme="minorHAnsi" w:hAnsiTheme="minorHAnsi" w:cstheme="minorHAnsi"/>
          <w:szCs w:val="22"/>
        </w:rPr>
        <w:t>These 5.5 million children represented 16 pe</w:t>
      </w:r>
      <w:r w:rsidR="00601550" w:rsidRPr="005F120D">
        <w:rPr>
          <w:rFonts w:asciiTheme="minorHAnsi" w:hAnsiTheme="minorHAnsi" w:cstheme="minorHAnsi"/>
          <w:szCs w:val="22"/>
        </w:rPr>
        <w:t>rcent of the total population of</w:t>
      </w:r>
      <w:r w:rsidRPr="005F120D">
        <w:rPr>
          <w:rFonts w:asciiTheme="minorHAnsi" w:hAnsiTheme="minorHAnsi" w:cstheme="minorHAnsi"/>
          <w:szCs w:val="22"/>
        </w:rPr>
        <w:t xml:space="preserve"> that same age group, and the poor represented 54 percent of the out-of-school children.  T</w:t>
      </w:r>
      <w:r w:rsidRPr="005F120D">
        <w:rPr>
          <w:rFonts w:asciiTheme="minorHAnsi" w:hAnsiTheme="minorHAnsi" w:cstheme="minorHAnsi"/>
          <w:bCs/>
          <w:szCs w:val="22"/>
        </w:rPr>
        <w:t xml:space="preserve">he majority of out-of-school children aged 6 to 14 had either never enrolled in school or </w:t>
      </w:r>
      <w:r w:rsidR="006160DB" w:rsidRPr="005F120D">
        <w:rPr>
          <w:rFonts w:asciiTheme="minorHAnsi" w:hAnsiTheme="minorHAnsi" w:cstheme="minorHAnsi"/>
          <w:bCs/>
          <w:szCs w:val="22"/>
        </w:rPr>
        <w:t>had not completed Grade 5</w:t>
      </w:r>
      <w:r w:rsidRPr="005F120D">
        <w:rPr>
          <w:rFonts w:asciiTheme="minorHAnsi" w:hAnsiTheme="minorHAnsi" w:cstheme="minorHAnsi"/>
          <w:bCs/>
          <w:szCs w:val="22"/>
        </w:rPr>
        <w:t xml:space="preserve">. </w:t>
      </w:r>
      <w:r w:rsidRPr="005F120D">
        <w:rPr>
          <w:rFonts w:asciiTheme="minorHAnsi" w:hAnsiTheme="minorHAnsi" w:cstheme="minorHAnsi"/>
          <w:szCs w:val="22"/>
        </w:rPr>
        <w:t xml:space="preserve">The parents’ education and household income are the two most </w:t>
      </w:r>
      <w:r w:rsidRPr="005F120D">
        <w:rPr>
          <w:rFonts w:asciiTheme="minorHAnsi" w:hAnsiTheme="minorHAnsi" w:cstheme="minorHAnsi"/>
          <w:bCs/>
          <w:szCs w:val="22"/>
        </w:rPr>
        <w:t xml:space="preserve">significant risk factors for children being out of school. </w:t>
      </w:r>
    </w:p>
    <w:p w:rsidR="00775F33" w:rsidRPr="005F120D" w:rsidRDefault="00775F33" w:rsidP="00C437AA">
      <w:pPr>
        <w:pStyle w:val="ListBullet1"/>
        <w:spacing w:after="0" w:line="276" w:lineRule="auto"/>
        <w:jc w:val="both"/>
        <w:rPr>
          <w:rFonts w:asciiTheme="minorHAnsi" w:hAnsiTheme="minorHAnsi" w:cstheme="minorHAnsi"/>
          <w:bCs/>
          <w:szCs w:val="22"/>
          <w:lang w:val="en-US"/>
        </w:rPr>
      </w:pPr>
      <w:r w:rsidRPr="005F120D">
        <w:rPr>
          <w:rFonts w:asciiTheme="minorHAnsi" w:hAnsiTheme="minorHAnsi" w:cstheme="minorHAnsi"/>
          <w:bCs/>
          <w:szCs w:val="22"/>
          <w:lang w:val="en-US"/>
        </w:rPr>
        <w:t xml:space="preserve">The 2011 population census data revealed the substantial geographical variation in rates of school exclusion for primary school-aged children. Across the seven divisions, the proportion of out-of-school children varied from 19.7% in Khulna to 26.6% in Sylhet. The disparity at the lower </w:t>
      </w:r>
      <w:r w:rsidR="00601550" w:rsidRPr="005F120D">
        <w:rPr>
          <w:rFonts w:asciiTheme="minorHAnsi" w:hAnsiTheme="minorHAnsi" w:cstheme="minorHAnsi"/>
          <w:bCs/>
          <w:szCs w:val="22"/>
          <w:lang w:val="en-US"/>
        </w:rPr>
        <w:t>end of the geographical areas was</w:t>
      </w:r>
      <w:r w:rsidRPr="005F120D">
        <w:rPr>
          <w:rFonts w:asciiTheme="minorHAnsi" w:hAnsiTheme="minorHAnsi" w:cstheme="minorHAnsi"/>
          <w:bCs/>
          <w:szCs w:val="22"/>
          <w:lang w:val="en-US"/>
        </w:rPr>
        <w:t xml:space="preserve"> even more marked: the average rate of school exclusion for the 10 l</w:t>
      </w:r>
      <w:r w:rsidR="00601550" w:rsidRPr="005F120D">
        <w:rPr>
          <w:rFonts w:asciiTheme="minorHAnsi" w:hAnsiTheme="minorHAnsi" w:cstheme="minorHAnsi"/>
          <w:bCs/>
          <w:szCs w:val="22"/>
          <w:lang w:val="en-US"/>
        </w:rPr>
        <w:t>owest participation districts was</w:t>
      </w:r>
      <w:r w:rsidRPr="005F120D">
        <w:rPr>
          <w:rFonts w:asciiTheme="minorHAnsi" w:hAnsiTheme="minorHAnsi" w:cstheme="minorHAnsi"/>
          <w:bCs/>
          <w:szCs w:val="22"/>
          <w:lang w:val="en-US"/>
        </w:rPr>
        <w:t xml:space="preserve"> 28.2% compared to 17.5% for the 10 highest participation districts. A slightly higher proportio</w:t>
      </w:r>
      <w:r w:rsidR="00601550" w:rsidRPr="005F120D">
        <w:rPr>
          <w:rFonts w:asciiTheme="minorHAnsi" w:hAnsiTheme="minorHAnsi" w:cstheme="minorHAnsi"/>
          <w:bCs/>
          <w:szCs w:val="22"/>
          <w:lang w:val="en-US"/>
        </w:rPr>
        <w:t>n of primary-aged boys (24%) were</w:t>
      </w:r>
      <w:r w:rsidRPr="005F120D">
        <w:rPr>
          <w:rFonts w:asciiTheme="minorHAnsi" w:hAnsiTheme="minorHAnsi" w:cstheme="minorHAnsi"/>
          <w:bCs/>
          <w:szCs w:val="22"/>
          <w:lang w:val="en-US"/>
        </w:rPr>
        <w:t xml:space="preserve"> excluded from school compared with that of girls (22%).</w:t>
      </w:r>
    </w:p>
    <w:p w:rsidR="00775F33" w:rsidRPr="005F120D" w:rsidRDefault="00775F33" w:rsidP="00C437AA">
      <w:pPr>
        <w:spacing w:before="240" w:line="276" w:lineRule="auto"/>
        <w:jc w:val="both"/>
        <w:rPr>
          <w:rFonts w:asciiTheme="minorHAnsi" w:hAnsiTheme="minorHAnsi" w:cstheme="minorHAnsi"/>
          <w:bCs/>
          <w:szCs w:val="22"/>
        </w:rPr>
      </w:pPr>
      <w:r w:rsidRPr="005F120D">
        <w:rPr>
          <w:rFonts w:asciiTheme="minorHAnsi" w:hAnsiTheme="minorHAnsi" w:cstheme="minorHAnsi"/>
          <w:b/>
          <w:bCs/>
          <w:i/>
          <w:color w:val="3333FF"/>
          <w:szCs w:val="22"/>
          <w:lang w:val="en-GB"/>
        </w:rPr>
        <w:t>Urban Slum:</w:t>
      </w:r>
      <w:r w:rsidRPr="005F120D">
        <w:rPr>
          <w:rFonts w:asciiTheme="minorHAnsi" w:hAnsiTheme="minorHAnsi" w:cstheme="minorHAnsi"/>
          <w:bCs/>
          <w:szCs w:val="22"/>
        </w:rPr>
        <w:t xml:space="preserve">A key factor for children being out of school is urban migration.  Children whose households migrated in recent times to the urban slums are at high risk of being out-of-school. </w:t>
      </w:r>
      <w:r w:rsidRPr="005F120D">
        <w:rPr>
          <w:rFonts w:asciiTheme="minorHAnsi" w:hAnsiTheme="minorHAnsi" w:cstheme="minorHAnsi"/>
          <w:szCs w:val="22"/>
        </w:rPr>
        <w:t xml:space="preserve">The World Bank estimates that the urban population in Bangladesh will double in twenty years from 52.5 million people in 2010 to 98.6 million people by 2030 (or 44.3 percent of the total population). </w:t>
      </w:r>
      <w:r w:rsidRPr="005F120D">
        <w:rPr>
          <w:rFonts w:asciiTheme="minorHAnsi" w:hAnsiTheme="minorHAnsi" w:cstheme="minorHAnsi"/>
          <w:bCs/>
          <w:szCs w:val="22"/>
        </w:rPr>
        <w:t xml:space="preserve">Rapid urbanization has been accompanied by a high increase in the slum population, who mostly </w:t>
      </w:r>
      <w:r w:rsidR="008A207D" w:rsidRPr="005F120D">
        <w:rPr>
          <w:rFonts w:asciiTheme="minorHAnsi" w:hAnsiTheme="minorHAnsi" w:cstheme="minorHAnsi"/>
          <w:bCs/>
          <w:szCs w:val="22"/>
        </w:rPr>
        <w:t>lack</w:t>
      </w:r>
      <w:r w:rsidRPr="005F120D">
        <w:rPr>
          <w:rFonts w:asciiTheme="minorHAnsi" w:hAnsiTheme="minorHAnsi" w:cstheme="minorHAnsi"/>
          <w:bCs/>
          <w:szCs w:val="22"/>
        </w:rPr>
        <w:t xml:space="preserve"> basic social services such as education, health, water, and sanitation facilities. </w:t>
      </w:r>
    </w:p>
    <w:p w:rsidR="00A7449A" w:rsidRPr="005F120D" w:rsidRDefault="00775F33" w:rsidP="00C437AA">
      <w:pPr>
        <w:spacing w:line="276" w:lineRule="auto"/>
        <w:jc w:val="both"/>
        <w:rPr>
          <w:rFonts w:asciiTheme="minorHAnsi" w:hAnsiTheme="minorHAnsi" w:cstheme="minorHAnsi"/>
        </w:rPr>
      </w:pPr>
      <w:r w:rsidRPr="005F120D">
        <w:rPr>
          <w:rFonts w:asciiTheme="minorHAnsi" w:hAnsiTheme="minorHAnsi" w:cstheme="minorHAnsi"/>
          <w:bCs/>
          <w:szCs w:val="22"/>
        </w:rPr>
        <w:t xml:space="preserve">Due to a </w:t>
      </w:r>
      <w:r w:rsidR="008A207D" w:rsidRPr="005F120D">
        <w:rPr>
          <w:rFonts w:asciiTheme="minorHAnsi" w:hAnsiTheme="minorHAnsi" w:cstheme="minorHAnsi"/>
          <w:bCs/>
          <w:szCs w:val="22"/>
        </w:rPr>
        <w:t>lack</w:t>
      </w:r>
      <w:r w:rsidRPr="005F120D">
        <w:rPr>
          <w:rFonts w:asciiTheme="minorHAnsi" w:hAnsiTheme="minorHAnsi" w:cstheme="minorHAnsi"/>
          <w:bCs/>
          <w:szCs w:val="22"/>
        </w:rPr>
        <w:t xml:space="preserve"> of educational services, the education participation in urban slums is low</w:t>
      </w:r>
      <w:r w:rsidRPr="005F120D">
        <w:rPr>
          <w:rFonts w:asciiTheme="minorHAnsi" w:hAnsiTheme="minorHAnsi" w:cstheme="minorHAnsi"/>
          <w:szCs w:val="22"/>
        </w:rPr>
        <w:t>.  The primary gross and net attendance rates (GAR/NAR), based on HEIS data, is estimated to be 62%, which means that more than one-third of children aged 6-10 living in urban slum are out of schools (see Table 3.</w:t>
      </w:r>
      <w:r w:rsidR="00237BFB" w:rsidRPr="005F120D">
        <w:rPr>
          <w:rFonts w:asciiTheme="minorHAnsi" w:hAnsiTheme="minorHAnsi" w:cstheme="minorHAnsi"/>
        </w:rPr>
        <w:t>11</w:t>
      </w:r>
      <w:r w:rsidRPr="005F120D">
        <w:rPr>
          <w:rFonts w:asciiTheme="minorHAnsi" w:hAnsiTheme="minorHAnsi" w:cstheme="minorHAnsi"/>
          <w:szCs w:val="22"/>
        </w:rPr>
        <w:t xml:space="preserve"> below).  As a result, around 55 percent of adult slum inhabitants over the age of 17 have </w:t>
      </w:r>
      <w:r w:rsidRPr="005F120D">
        <w:rPr>
          <w:rFonts w:asciiTheme="minorHAnsi" w:hAnsiTheme="minorHAnsi" w:cstheme="minorHAnsi"/>
          <w:szCs w:val="22"/>
        </w:rPr>
        <w:lastRenderedPageBreak/>
        <w:t xml:space="preserve">never been to school, and only about 58 percent of slum inhabitants over the age of 12 are literate compared to the national and urban literacy rates of 60 and 72 percent, respectively. </w:t>
      </w:r>
      <w:r w:rsidRPr="005F120D">
        <w:rPr>
          <w:rFonts w:asciiTheme="minorHAnsi" w:hAnsiTheme="minorHAnsi" w:cstheme="minorHAnsi"/>
        </w:rPr>
        <w:t>[WB, ESR 2014]</w:t>
      </w:r>
    </w:p>
    <w:p w:rsidR="00A7449A" w:rsidRPr="005F120D" w:rsidRDefault="00A7449A" w:rsidP="00C437AA">
      <w:pPr>
        <w:pStyle w:val="Caption"/>
        <w:spacing w:line="276" w:lineRule="auto"/>
        <w:rPr>
          <w:rFonts w:cstheme="minorHAnsi"/>
        </w:rPr>
      </w:pPr>
      <w:bookmarkStart w:id="318" w:name="_Toc462837268"/>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11</w:t>
      </w:r>
      <w:r w:rsidR="002E2ED5" w:rsidRPr="005F120D">
        <w:rPr>
          <w:rFonts w:cstheme="minorHAnsi"/>
        </w:rPr>
        <w:fldChar w:fldCharType="end"/>
      </w:r>
      <w:r w:rsidRPr="005F120D">
        <w:rPr>
          <w:rFonts w:cstheme="minorHAnsi"/>
        </w:rPr>
        <w:t>: Primary Gross &amp; Net Attendance Rate: Slum Children Comparison</w:t>
      </w:r>
      <w:bookmarkEnd w:id="318"/>
    </w:p>
    <w:tbl>
      <w:tblPr>
        <w:tblStyle w:val="OPMtable"/>
        <w:tblW w:w="0" w:type="auto"/>
        <w:jc w:val="center"/>
        <w:tblLayout w:type="fixed"/>
        <w:tblLook w:val="0000"/>
      </w:tblPr>
      <w:tblGrid>
        <w:gridCol w:w="2586"/>
        <w:gridCol w:w="2586"/>
        <w:gridCol w:w="2586"/>
      </w:tblGrid>
      <w:tr w:rsidR="00A7449A" w:rsidRPr="005F120D" w:rsidTr="00497427">
        <w:trPr>
          <w:trHeight w:val="99"/>
          <w:jc w:val="center"/>
        </w:trPr>
        <w:tc>
          <w:tcPr>
            <w:tcW w:w="2586" w:type="dxa"/>
          </w:tcPr>
          <w:p w:rsidR="00A7449A" w:rsidRPr="005F120D" w:rsidRDefault="00A7449A" w:rsidP="00C437AA">
            <w:pPr>
              <w:spacing w:after="0" w:line="276" w:lineRule="auto"/>
              <w:rPr>
                <w:rFonts w:asciiTheme="minorHAnsi" w:hAnsiTheme="minorHAnsi" w:cstheme="minorHAnsi"/>
                <w:bCs/>
                <w:szCs w:val="22"/>
              </w:rPr>
            </w:pP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Gross Attendance Rate</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Net Attendance Rate</w:t>
            </w:r>
          </w:p>
        </w:tc>
      </w:tr>
      <w:tr w:rsidR="00A7449A" w:rsidRPr="005F120D" w:rsidTr="00497427">
        <w:trPr>
          <w:trHeight w:val="99"/>
          <w:jc w:val="center"/>
        </w:trPr>
        <w:tc>
          <w:tcPr>
            <w:tcW w:w="2586" w:type="dxa"/>
          </w:tcPr>
          <w:p w:rsidR="00A7449A" w:rsidRPr="005F120D" w:rsidRDefault="00A7449A" w:rsidP="00C437AA">
            <w:pPr>
              <w:spacing w:after="0" w:line="276" w:lineRule="auto"/>
              <w:rPr>
                <w:rFonts w:asciiTheme="minorHAnsi" w:hAnsiTheme="minorHAnsi" w:cstheme="minorHAnsi"/>
                <w:bCs/>
                <w:szCs w:val="22"/>
              </w:rPr>
            </w:pPr>
            <w:r w:rsidRPr="005F120D">
              <w:rPr>
                <w:rFonts w:asciiTheme="minorHAnsi" w:hAnsiTheme="minorHAnsi" w:cstheme="minorHAnsi"/>
                <w:bCs/>
                <w:szCs w:val="22"/>
              </w:rPr>
              <w:t xml:space="preserve">Slum </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91</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62</w:t>
            </w:r>
          </w:p>
        </w:tc>
      </w:tr>
      <w:tr w:rsidR="00A7449A" w:rsidRPr="005F120D" w:rsidTr="00497427">
        <w:trPr>
          <w:trHeight w:val="99"/>
          <w:jc w:val="center"/>
        </w:trPr>
        <w:tc>
          <w:tcPr>
            <w:tcW w:w="2586" w:type="dxa"/>
          </w:tcPr>
          <w:p w:rsidR="00A7449A" w:rsidRPr="005F120D" w:rsidRDefault="00A7449A" w:rsidP="00C437AA">
            <w:pPr>
              <w:spacing w:after="0" w:line="276" w:lineRule="auto"/>
              <w:rPr>
                <w:rFonts w:asciiTheme="minorHAnsi" w:hAnsiTheme="minorHAnsi" w:cstheme="minorHAnsi"/>
                <w:bCs/>
                <w:szCs w:val="22"/>
              </w:rPr>
            </w:pPr>
            <w:r w:rsidRPr="005F120D">
              <w:rPr>
                <w:rFonts w:asciiTheme="minorHAnsi" w:hAnsiTheme="minorHAnsi" w:cstheme="minorHAnsi"/>
                <w:bCs/>
                <w:szCs w:val="22"/>
              </w:rPr>
              <w:t xml:space="preserve">Slum, boys </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86</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59</w:t>
            </w:r>
          </w:p>
        </w:tc>
      </w:tr>
      <w:tr w:rsidR="00A7449A" w:rsidRPr="005F120D" w:rsidTr="00497427">
        <w:trPr>
          <w:trHeight w:val="99"/>
          <w:jc w:val="center"/>
        </w:trPr>
        <w:tc>
          <w:tcPr>
            <w:tcW w:w="2586" w:type="dxa"/>
          </w:tcPr>
          <w:p w:rsidR="00A7449A" w:rsidRPr="005F120D" w:rsidRDefault="00A7449A" w:rsidP="00C437AA">
            <w:pPr>
              <w:spacing w:after="0" w:line="276" w:lineRule="auto"/>
              <w:rPr>
                <w:rFonts w:asciiTheme="minorHAnsi" w:hAnsiTheme="minorHAnsi" w:cstheme="minorHAnsi"/>
                <w:bCs/>
                <w:szCs w:val="22"/>
              </w:rPr>
            </w:pPr>
            <w:r w:rsidRPr="005F120D">
              <w:rPr>
                <w:rFonts w:asciiTheme="minorHAnsi" w:hAnsiTheme="minorHAnsi" w:cstheme="minorHAnsi"/>
                <w:bCs/>
                <w:szCs w:val="22"/>
              </w:rPr>
              <w:t xml:space="preserve">Slum, girls </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96</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66</w:t>
            </w:r>
          </w:p>
        </w:tc>
      </w:tr>
      <w:tr w:rsidR="00A7449A" w:rsidRPr="005F120D" w:rsidTr="00497427">
        <w:trPr>
          <w:trHeight w:val="99"/>
          <w:jc w:val="center"/>
        </w:trPr>
        <w:tc>
          <w:tcPr>
            <w:tcW w:w="2586" w:type="dxa"/>
          </w:tcPr>
          <w:p w:rsidR="00A7449A" w:rsidRPr="005F120D" w:rsidRDefault="00A7449A" w:rsidP="00C437AA">
            <w:pPr>
              <w:spacing w:after="0" w:line="276" w:lineRule="auto"/>
              <w:rPr>
                <w:rFonts w:asciiTheme="minorHAnsi" w:hAnsiTheme="minorHAnsi" w:cstheme="minorHAnsi"/>
                <w:bCs/>
                <w:szCs w:val="22"/>
              </w:rPr>
            </w:pPr>
            <w:r w:rsidRPr="005F120D">
              <w:rPr>
                <w:rFonts w:asciiTheme="minorHAnsi" w:hAnsiTheme="minorHAnsi" w:cstheme="minorHAnsi"/>
                <w:bCs/>
                <w:szCs w:val="22"/>
              </w:rPr>
              <w:t xml:space="preserve">Urban average </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102</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77</w:t>
            </w:r>
          </w:p>
        </w:tc>
      </w:tr>
      <w:tr w:rsidR="00A7449A" w:rsidRPr="005F120D" w:rsidTr="00497427">
        <w:trPr>
          <w:trHeight w:val="99"/>
          <w:jc w:val="center"/>
        </w:trPr>
        <w:tc>
          <w:tcPr>
            <w:tcW w:w="2586" w:type="dxa"/>
          </w:tcPr>
          <w:p w:rsidR="00A7449A" w:rsidRPr="005F120D" w:rsidRDefault="00A7449A" w:rsidP="00C437AA">
            <w:pPr>
              <w:spacing w:after="0" w:line="276" w:lineRule="auto"/>
              <w:rPr>
                <w:rFonts w:asciiTheme="minorHAnsi" w:hAnsiTheme="minorHAnsi" w:cstheme="minorHAnsi"/>
                <w:bCs/>
                <w:szCs w:val="22"/>
              </w:rPr>
            </w:pPr>
            <w:r w:rsidRPr="005F120D">
              <w:rPr>
                <w:rFonts w:asciiTheme="minorHAnsi" w:hAnsiTheme="minorHAnsi" w:cstheme="minorHAnsi"/>
                <w:bCs/>
                <w:szCs w:val="22"/>
              </w:rPr>
              <w:t xml:space="preserve">Rural average </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100</w:t>
            </w:r>
          </w:p>
        </w:tc>
        <w:tc>
          <w:tcPr>
            <w:tcW w:w="2586" w:type="dxa"/>
          </w:tcPr>
          <w:p w:rsidR="00A7449A" w:rsidRPr="005F120D" w:rsidRDefault="00A7449A" w:rsidP="00C437AA">
            <w:pPr>
              <w:spacing w:after="0" w:line="276" w:lineRule="auto"/>
              <w:jc w:val="center"/>
              <w:rPr>
                <w:rFonts w:asciiTheme="minorHAnsi" w:hAnsiTheme="minorHAnsi" w:cstheme="minorHAnsi"/>
                <w:bCs/>
                <w:szCs w:val="22"/>
              </w:rPr>
            </w:pPr>
            <w:r w:rsidRPr="005F120D">
              <w:rPr>
                <w:rFonts w:asciiTheme="minorHAnsi" w:hAnsiTheme="minorHAnsi" w:cstheme="minorHAnsi"/>
                <w:bCs/>
                <w:szCs w:val="22"/>
              </w:rPr>
              <w:t>77</w:t>
            </w:r>
          </w:p>
        </w:tc>
      </w:tr>
    </w:tbl>
    <w:p w:rsidR="00C17D35" w:rsidRPr="005F120D" w:rsidRDefault="00A7449A" w:rsidP="00C437AA">
      <w:pPr>
        <w:spacing w:line="276" w:lineRule="auto"/>
        <w:ind w:left="720"/>
        <w:rPr>
          <w:rFonts w:asciiTheme="minorHAnsi" w:hAnsiTheme="minorHAnsi" w:cstheme="minorHAnsi"/>
          <w:b/>
          <w:bCs/>
          <w:i/>
          <w:sz w:val="16"/>
          <w:szCs w:val="16"/>
        </w:rPr>
      </w:pPr>
      <w:r w:rsidRPr="005F120D">
        <w:rPr>
          <w:rFonts w:asciiTheme="minorHAnsi" w:hAnsiTheme="minorHAnsi" w:cstheme="minorHAnsi"/>
          <w:b/>
          <w:bCs/>
          <w:i/>
          <w:sz w:val="16"/>
          <w:szCs w:val="16"/>
        </w:rPr>
        <w:t>Source: Urban Slum Survey in 2011 and HIES 2010, WB ESR 2014</w:t>
      </w:r>
    </w:p>
    <w:p w:rsidR="00E339CE" w:rsidRPr="005F120D" w:rsidRDefault="00775F33" w:rsidP="00E339CE">
      <w:pPr>
        <w:spacing w:line="276" w:lineRule="auto"/>
        <w:jc w:val="both"/>
        <w:rPr>
          <w:rFonts w:asciiTheme="minorHAnsi" w:hAnsiTheme="minorHAnsi" w:cstheme="minorHAnsi"/>
          <w:szCs w:val="22"/>
        </w:rPr>
      </w:pPr>
      <w:r w:rsidRPr="005F120D">
        <w:rPr>
          <w:rFonts w:asciiTheme="minorHAnsi" w:hAnsiTheme="minorHAnsi" w:cstheme="minorHAnsi"/>
          <w:szCs w:val="22"/>
        </w:rPr>
        <w:t>Accor</w:t>
      </w:r>
      <w:r w:rsidR="00250DE9" w:rsidRPr="005F120D">
        <w:rPr>
          <w:rFonts w:asciiTheme="minorHAnsi" w:hAnsiTheme="minorHAnsi" w:cstheme="minorHAnsi"/>
          <w:szCs w:val="22"/>
        </w:rPr>
        <w:t>ding to the 2015 APSC, there were</w:t>
      </w:r>
      <w:r w:rsidRPr="005F120D">
        <w:rPr>
          <w:rFonts w:asciiTheme="minorHAnsi" w:hAnsiTheme="minorHAnsi" w:cstheme="minorHAnsi"/>
          <w:szCs w:val="22"/>
        </w:rPr>
        <w:t xml:space="preserve"> 958 schools located in slums, which represe</w:t>
      </w:r>
      <w:r w:rsidR="00252A3A" w:rsidRPr="005F120D">
        <w:rPr>
          <w:rFonts w:asciiTheme="minorHAnsi" w:hAnsiTheme="minorHAnsi" w:cstheme="minorHAnsi"/>
          <w:szCs w:val="22"/>
        </w:rPr>
        <w:t>nts 0.9%</w:t>
      </w:r>
      <w:r w:rsidR="00250DE9" w:rsidRPr="005F120D">
        <w:rPr>
          <w:rFonts w:asciiTheme="minorHAnsi" w:hAnsiTheme="minorHAnsi" w:cstheme="minorHAnsi"/>
          <w:szCs w:val="22"/>
        </w:rPr>
        <w:t xml:space="preserve"> of all schools. Of the total slum</w:t>
      </w:r>
      <w:r w:rsidR="00252A3A" w:rsidRPr="005F120D">
        <w:rPr>
          <w:rFonts w:asciiTheme="minorHAnsi" w:hAnsiTheme="minorHAnsi" w:cstheme="minorHAnsi"/>
          <w:szCs w:val="22"/>
        </w:rPr>
        <w:t xml:space="preserve"> schools in the c</w:t>
      </w:r>
      <w:r w:rsidR="00250DE9" w:rsidRPr="005F120D">
        <w:rPr>
          <w:rFonts w:asciiTheme="minorHAnsi" w:hAnsiTheme="minorHAnsi" w:cstheme="minorHAnsi"/>
          <w:szCs w:val="22"/>
        </w:rPr>
        <w:t>ountry, almost 50%</w:t>
      </w:r>
      <w:r w:rsidR="00252A3A" w:rsidRPr="005F120D">
        <w:rPr>
          <w:rFonts w:asciiTheme="minorHAnsi" w:hAnsiTheme="minorHAnsi" w:cstheme="minorHAnsi"/>
          <w:szCs w:val="22"/>
        </w:rPr>
        <w:t xml:space="preserve"> are located in Dhaka. </w:t>
      </w:r>
      <w:r w:rsidRPr="005F120D">
        <w:rPr>
          <w:rFonts w:asciiTheme="minorHAnsi" w:hAnsiTheme="minorHAnsi" w:cstheme="minorHAnsi"/>
          <w:szCs w:val="22"/>
        </w:rPr>
        <w:t>Total enrol</w:t>
      </w:r>
      <w:r w:rsidR="00250DE9" w:rsidRPr="005F120D">
        <w:rPr>
          <w:rFonts w:asciiTheme="minorHAnsi" w:hAnsiTheme="minorHAnsi" w:cstheme="minorHAnsi"/>
          <w:szCs w:val="22"/>
        </w:rPr>
        <w:t>ment in the slum area schools was</w:t>
      </w:r>
      <w:r w:rsidRPr="005F120D">
        <w:rPr>
          <w:rFonts w:asciiTheme="minorHAnsi" w:hAnsiTheme="minorHAnsi" w:cstheme="minorHAnsi"/>
          <w:szCs w:val="22"/>
        </w:rPr>
        <w:t xml:space="preserve"> around 236,863 (51.4% </w:t>
      </w:r>
      <w:r w:rsidR="00250DE9" w:rsidRPr="005F120D">
        <w:rPr>
          <w:rFonts w:asciiTheme="minorHAnsi" w:hAnsiTheme="minorHAnsi" w:cstheme="minorHAnsi"/>
          <w:szCs w:val="22"/>
        </w:rPr>
        <w:t>girls). DPE managed schools had</w:t>
      </w:r>
      <w:r w:rsidRPr="005F120D">
        <w:rPr>
          <w:rFonts w:asciiTheme="minorHAnsi" w:hAnsiTheme="minorHAnsi" w:cstheme="minorHAnsi"/>
          <w:szCs w:val="22"/>
        </w:rPr>
        <w:t xml:space="preserve"> the highest share of primary students, 48% in the slum areas. On an</w:t>
      </w:r>
      <w:r w:rsidR="00250DE9" w:rsidRPr="005F120D">
        <w:rPr>
          <w:rFonts w:asciiTheme="minorHAnsi" w:hAnsiTheme="minorHAnsi" w:cstheme="minorHAnsi"/>
          <w:szCs w:val="22"/>
        </w:rPr>
        <w:t xml:space="preserve"> average around 429 students were</w:t>
      </w:r>
      <w:r w:rsidRPr="005F120D">
        <w:rPr>
          <w:rFonts w:asciiTheme="minorHAnsi" w:hAnsiTheme="minorHAnsi" w:cstheme="minorHAnsi"/>
          <w:szCs w:val="22"/>
        </w:rPr>
        <w:t xml:space="preserve"> enro</w:t>
      </w:r>
      <w:r w:rsidR="00250DE9" w:rsidRPr="005F120D">
        <w:rPr>
          <w:rFonts w:asciiTheme="minorHAnsi" w:hAnsiTheme="minorHAnsi" w:cstheme="minorHAnsi"/>
          <w:szCs w:val="22"/>
        </w:rPr>
        <w:t>lled</w:t>
      </w:r>
      <w:r w:rsidR="00770B93">
        <w:rPr>
          <w:rFonts w:asciiTheme="minorHAnsi" w:hAnsiTheme="minorHAnsi" w:cstheme="minorHAnsi"/>
          <w:szCs w:val="22"/>
        </w:rPr>
        <w:t xml:space="preserve"> </w:t>
      </w:r>
      <w:r w:rsidR="00250DE9" w:rsidRPr="005F120D">
        <w:rPr>
          <w:rFonts w:asciiTheme="minorHAnsi" w:hAnsiTheme="minorHAnsi" w:cstheme="minorHAnsi"/>
          <w:szCs w:val="22"/>
        </w:rPr>
        <w:t>per school</w:t>
      </w:r>
      <w:r w:rsidRPr="005F120D">
        <w:rPr>
          <w:rFonts w:asciiTheme="minorHAnsi" w:hAnsiTheme="minorHAnsi" w:cstheme="minorHAnsi"/>
          <w:szCs w:val="22"/>
        </w:rPr>
        <w:t xml:space="preserve"> in DPE managed </w:t>
      </w:r>
      <w:r w:rsidR="00250DE9" w:rsidRPr="005F120D">
        <w:rPr>
          <w:rFonts w:asciiTheme="minorHAnsi" w:hAnsiTheme="minorHAnsi" w:cstheme="minorHAnsi"/>
          <w:szCs w:val="22"/>
        </w:rPr>
        <w:t>slum are</w:t>
      </w:r>
      <w:r w:rsidR="00E339CE" w:rsidRPr="005F120D">
        <w:rPr>
          <w:rFonts w:asciiTheme="minorHAnsi" w:hAnsiTheme="minorHAnsi" w:cstheme="minorHAnsi"/>
          <w:szCs w:val="22"/>
        </w:rPr>
        <w:t>a schools.  This is significantly higher than GPS’ national average of250 pupils per school, which is a possible indication of over-crowding in slum schools.  A summary of primary schools in slum areas is shown below in Table 3.12</w:t>
      </w:r>
    </w:p>
    <w:p w:rsidR="007D30DF" w:rsidRPr="005F120D" w:rsidRDefault="00754A38" w:rsidP="00C437AA">
      <w:pPr>
        <w:pStyle w:val="Caption"/>
        <w:spacing w:line="276" w:lineRule="auto"/>
        <w:rPr>
          <w:rFonts w:cstheme="minorHAnsi"/>
        </w:rPr>
      </w:pPr>
      <w:bookmarkStart w:id="319" w:name="_Toc462837269"/>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12</w:t>
      </w:r>
      <w:r w:rsidR="002E2ED5" w:rsidRPr="005F120D">
        <w:rPr>
          <w:rFonts w:cstheme="minorHAnsi"/>
        </w:rPr>
        <w:fldChar w:fldCharType="end"/>
      </w:r>
      <w:r w:rsidR="006A7739" w:rsidRPr="005F120D">
        <w:rPr>
          <w:rFonts w:cstheme="minorHAnsi"/>
        </w:rPr>
        <w:t>:</w:t>
      </w:r>
      <w:r w:rsidR="00770B93">
        <w:rPr>
          <w:rFonts w:cstheme="minorHAnsi"/>
        </w:rPr>
        <w:t xml:space="preserve"> </w:t>
      </w:r>
      <w:r w:rsidR="007D4681" w:rsidRPr="005F120D">
        <w:rPr>
          <w:rFonts w:cstheme="minorHAnsi"/>
        </w:rPr>
        <w:t>Primary Schools in Slum Areas</w:t>
      </w:r>
      <w:r w:rsidR="007D30DF" w:rsidRPr="005F120D">
        <w:rPr>
          <w:rFonts w:cstheme="minorHAnsi"/>
        </w:rPr>
        <w:t xml:space="preserve"> by School Types 201</w:t>
      </w:r>
      <w:r w:rsidR="000F245A" w:rsidRPr="005F120D">
        <w:rPr>
          <w:rFonts w:cstheme="minorHAnsi"/>
        </w:rPr>
        <w:t>5</w:t>
      </w:r>
      <w:bookmarkEnd w:id="319"/>
    </w:p>
    <w:tbl>
      <w:tblPr>
        <w:tblStyle w:val="LightList-Accent3"/>
        <w:tblW w:w="5000" w:type="pct"/>
        <w:jc w:val="center"/>
        <w:tblLook w:val="04A0"/>
      </w:tblPr>
      <w:tblGrid>
        <w:gridCol w:w="4611"/>
        <w:gridCol w:w="1544"/>
        <w:gridCol w:w="1546"/>
        <w:gridCol w:w="1544"/>
      </w:tblGrid>
      <w:tr w:rsidR="00EC7EDE" w:rsidRPr="005F120D" w:rsidTr="000F245A">
        <w:trPr>
          <w:cnfStyle w:val="100000000000"/>
          <w:trHeight w:hRule="exact" w:val="374"/>
          <w:jc w:val="center"/>
        </w:trPr>
        <w:tc>
          <w:tcPr>
            <w:cnfStyle w:val="001000000000"/>
            <w:tcW w:w="2494" w:type="pct"/>
            <w:noWrap/>
            <w:vAlign w:val="center"/>
            <w:hideMark/>
          </w:tcPr>
          <w:p w:rsidR="00EC7EDE" w:rsidRPr="005F120D" w:rsidRDefault="00F96814" w:rsidP="00A03624">
            <w:pPr>
              <w:spacing w:after="0"/>
              <w:jc w:val="center"/>
              <w:rPr>
                <w:rFonts w:asciiTheme="minorHAnsi" w:hAnsiTheme="minorHAnsi" w:cstheme="minorHAnsi"/>
                <w:b w:val="0"/>
                <w:color w:val="auto"/>
                <w:sz w:val="20"/>
                <w:lang w:eastAsia="ja-JP"/>
              </w:rPr>
            </w:pPr>
            <w:r w:rsidRPr="005F120D">
              <w:rPr>
                <w:rFonts w:asciiTheme="minorHAnsi" w:hAnsiTheme="minorHAnsi" w:cstheme="minorHAnsi"/>
                <w:b w:val="0"/>
                <w:color w:val="auto"/>
                <w:sz w:val="20"/>
                <w:lang w:eastAsia="ja-JP"/>
              </w:rPr>
              <w:t>School Types</w:t>
            </w:r>
          </w:p>
        </w:tc>
        <w:tc>
          <w:tcPr>
            <w:tcW w:w="835" w:type="pct"/>
            <w:noWrap/>
            <w:vAlign w:val="center"/>
            <w:hideMark/>
          </w:tcPr>
          <w:p w:rsidR="00EC7EDE" w:rsidRPr="005F120D" w:rsidRDefault="00EC7EDE" w:rsidP="00A03624">
            <w:pPr>
              <w:spacing w:after="0"/>
              <w:jc w:val="center"/>
              <w:cnfStyle w:val="100000000000"/>
              <w:rPr>
                <w:rFonts w:asciiTheme="minorHAnsi" w:hAnsiTheme="minorHAnsi" w:cstheme="minorHAnsi"/>
                <w:b w:val="0"/>
                <w:color w:val="auto"/>
                <w:sz w:val="20"/>
                <w:lang w:eastAsia="ja-JP"/>
              </w:rPr>
            </w:pPr>
            <w:r w:rsidRPr="005F120D">
              <w:rPr>
                <w:rFonts w:asciiTheme="minorHAnsi" w:hAnsiTheme="minorHAnsi" w:cstheme="minorHAnsi"/>
                <w:b w:val="0"/>
                <w:color w:val="auto"/>
                <w:sz w:val="20"/>
                <w:lang w:eastAsia="ja-JP"/>
              </w:rPr>
              <w:t>Schools</w:t>
            </w:r>
          </w:p>
        </w:tc>
        <w:tc>
          <w:tcPr>
            <w:tcW w:w="836" w:type="pct"/>
            <w:noWrap/>
            <w:vAlign w:val="center"/>
            <w:hideMark/>
          </w:tcPr>
          <w:p w:rsidR="00EC7EDE" w:rsidRPr="005F120D" w:rsidRDefault="004B53A0" w:rsidP="00A03624">
            <w:pPr>
              <w:spacing w:after="0"/>
              <w:jc w:val="center"/>
              <w:cnfStyle w:val="100000000000"/>
              <w:rPr>
                <w:rFonts w:asciiTheme="minorHAnsi" w:hAnsiTheme="minorHAnsi" w:cstheme="minorHAnsi"/>
                <w:b w:val="0"/>
                <w:color w:val="auto"/>
                <w:sz w:val="20"/>
                <w:lang w:eastAsia="ja-JP"/>
              </w:rPr>
            </w:pPr>
            <w:r w:rsidRPr="005F120D">
              <w:rPr>
                <w:rFonts w:asciiTheme="minorHAnsi" w:hAnsiTheme="minorHAnsi" w:cstheme="minorHAnsi"/>
                <w:b w:val="0"/>
                <w:color w:val="auto"/>
                <w:sz w:val="20"/>
                <w:lang w:eastAsia="ja-JP"/>
              </w:rPr>
              <w:t>Enrolment</w:t>
            </w:r>
          </w:p>
        </w:tc>
        <w:tc>
          <w:tcPr>
            <w:tcW w:w="835" w:type="pct"/>
            <w:noWrap/>
            <w:vAlign w:val="center"/>
            <w:hideMark/>
          </w:tcPr>
          <w:p w:rsidR="00EC7EDE" w:rsidRPr="005F120D" w:rsidRDefault="00EC7EDE" w:rsidP="00A03624">
            <w:pPr>
              <w:spacing w:after="0"/>
              <w:jc w:val="center"/>
              <w:cnfStyle w:val="100000000000"/>
              <w:rPr>
                <w:rFonts w:asciiTheme="minorHAnsi" w:hAnsiTheme="minorHAnsi" w:cstheme="minorHAnsi"/>
                <w:b w:val="0"/>
                <w:color w:val="auto"/>
                <w:sz w:val="20"/>
                <w:lang w:eastAsia="ja-JP"/>
              </w:rPr>
            </w:pPr>
            <w:r w:rsidRPr="005F120D">
              <w:rPr>
                <w:rFonts w:asciiTheme="minorHAnsi" w:hAnsiTheme="minorHAnsi" w:cstheme="minorHAnsi"/>
                <w:b w:val="0"/>
                <w:color w:val="auto"/>
                <w:sz w:val="20"/>
                <w:lang w:eastAsia="ja-JP"/>
              </w:rPr>
              <w:t>Teachers</w:t>
            </w:r>
          </w:p>
        </w:tc>
      </w:tr>
      <w:tr w:rsidR="000F245A" w:rsidRPr="005F120D" w:rsidTr="00FC2184">
        <w:trPr>
          <w:cnfStyle w:val="000000100000"/>
          <w:trHeight w:hRule="exact" w:val="308"/>
          <w:jc w:val="center"/>
        </w:trPr>
        <w:tc>
          <w:tcPr>
            <w:cnfStyle w:val="001000000000"/>
            <w:tcW w:w="2494" w:type="pct"/>
            <w:vAlign w:val="center"/>
            <w:hideMark/>
          </w:tcPr>
          <w:p w:rsidR="000F245A" w:rsidRPr="005F120D" w:rsidRDefault="000F245A" w:rsidP="00A03624">
            <w:pPr>
              <w:spacing w:after="0"/>
              <w:rPr>
                <w:rFonts w:asciiTheme="minorHAnsi" w:hAnsiTheme="minorHAnsi" w:cstheme="minorHAnsi"/>
                <w:b w:val="0"/>
                <w:sz w:val="20"/>
                <w:lang w:eastAsia="ja-JP"/>
              </w:rPr>
            </w:pPr>
            <w:r w:rsidRPr="005F120D">
              <w:rPr>
                <w:rFonts w:asciiTheme="minorHAnsi" w:hAnsiTheme="minorHAnsi" w:cstheme="minorHAnsi"/>
                <w:b w:val="0"/>
                <w:sz w:val="20"/>
                <w:lang w:eastAsia="ja-JP"/>
              </w:rPr>
              <w:t>GPS/NNPS</w:t>
            </w:r>
          </w:p>
        </w:tc>
        <w:tc>
          <w:tcPr>
            <w:tcW w:w="835" w:type="pct"/>
            <w:vAlign w:val="center"/>
            <w:hideMark/>
          </w:tcPr>
          <w:p w:rsidR="000F245A" w:rsidRPr="005F120D" w:rsidRDefault="000F245A" w:rsidP="00A03624">
            <w:pPr>
              <w:spacing w:after="0"/>
              <w:jc w:val="center"/>
              <w:cnfStyle w:val="000000100000"/>
              <w:rPr>
                <w:rFonts w:asciiTheme="minorHAnsi" w:hAnsiTheme="minorHAnsi" w:cstheme="minorHAnsi"/>
                <w:sz w:val="20"/>
                <w:lang w:eastAsia="ja-JP"/>
              </w:rPr>
            </w:pPr>
            <w:r w:rsidRPr="005F120D">
              <w:rPr>
                <w:rFonts w:asciiTheme="minorHAnsi" w:hAnsiTheme="minorHAnsi" w:cstheme="minorHAnsi"/>
                <w:sz w:val="20"/>
                <w:lang w:eastAsia="ja-JP"/>
              </w:rPr>
              <w:t>219</w:t>
            </w:r>
          </w:p>
        </w:tc>
        <w:tc>
          <w:tcPr>
            <w:tcW w:w="836" w:type="pct"/>
            <w:vAlign w:val="center"/>
            <w:hideMark/>
          </w:tcPr>
          <w:p w:rsidR="000F245A" w:rsidRPr="005F120D" w:rsidRDefault="000F245A" w:rsidP="00A03624">
            <w:pPr>
              <w:spacing w:after="0"/>
              <w:jc w:val="center"/>
              <w:cnfStyle w:val="000000100000"/>
              <w:rPr>
                <w:rFonts w:asciiTheme="minorHAnsi" w:hAnsiTheme="minorHAnsi" w:cstheme="minorHAnsi"/>
                <w:sz w:val="20"/>
              </w:rPr>
            </w:pPr>
            <w:r w:rsidRPr="005F120D">
              <w:rPr>
                <w:rFonts w:asciiTheme="minorHAnsi" w:hAnsiTheme="minorHAnsi" w:cstheme="minorHAnsi"/>
                <w:sz w:val="20"/>
              </w:rPr>
              <w:t>93,623</w:t>
            </w:r>
          </w:p>
        </w:tc>
        <w:tc>
          <w:tcPr>
            <w:tcW w:w="835" w:type="pct"/>
            <w:vAlign w:val="center"/>
            <w:hideMark/>
          </w:tcPr>
          <w:p w:rsidR="000F245A" w:rsidRPr="005F120D" w:rsidRDefault="000F245A" w:rsidP="00A03624">
            <w:pPr>
              <w:spacing w:after="0"/>
              <w:jc w:val="center"/>
              <w:cnfStyle w:val="000000100000"/>
              <w:rPr>
                <w:rFonts w:asciiTheme="minorHAnsi" w:hAnsiTheme="minorHAnsi" w:cstheme="minorHAnsi"/>
                <w:sz w:val="20"/>
              </w:rPr>
            </w:pPr>
            <w:r w:rsidRPr="005F120D">
              <w:rPr>
                <w:rFonts w:asciiTheme="minorHAnsi" w:hAnsiTheme="minorHAnsi" w:cstheme="minorHAnsi"/>
                <w:sz w:val="20"/>
              </w:rPr>
              <w:t>1,837</w:t>
            </w:r>
          </w:p>
        </w:tc>
      </w:tr>
      <w:tr w:rsidR="000F245A" w:rsidRPr="005F120D" w:rsidTr="00FC2184">
        <w:trPr>
          <w:trHeight w:hRule="exact" w:val="272"/>
          <w:jc w:val="center"/>
        </w:trPr>
        <w:tc>
          <w:tcPr>
            <w:cnfStyle w:val="001000000000"/>
            <w:tcW w:w="2494" w:type="pct"/>
            <w:vAlign w:val="center"/>
            <w:hideMark/>
          </w:tcPr>
          <w:p w:rsidR="000F245A" w:rsidRPr="005F120D" w:rsidRDefault="000F245A" w:rsidP="00A03624">
            <w:pPr>
              <w:spacing w:after="0"/>
              <w:rPr>
                <w:rFonts w:asciiTheme="minorHAnsi" w:hAnsiTheme="minorHAnsi" w:cstheme="minorHAnsi"/>
                <w:b w:val="0"/>
                <w:sz w:val="20"/>
                <w:lang w:eastAsia="ja-JP"/>
              </w:rPr>
            </w:pPr>
            <w:r w:rsidRPr="005F120D">
              <w:rPr>
                <w:rFonts w:asciiTheme="minorHAnsi" w:hAnsiTheme="minorHAnsi" w:cstheme="minorHAnsi"/>
                <w:b w:val="0"/>
                <w:sz w:val="20"/>
                <w:lang w:eastAsia="ja-JP"/>
              </w:rPr>
              <w:t>Kindergarten</w:t>
            </w:r>
          </w:p>
        </w:tc>
        <w:tc>
          <w:tcPr>
            <w:tcW w:w="835" w:type="pct"/>
            <w:vAlign w:val="center"/>
            <w:hideMark/>
          </w:tcPr>
          <w:p w:rsidR="000F245A" w:rsidRPr="005F120D" w:rsidRDefault="000F245A" w:rsidP="00A03624">
            <w:pPr>
              <w:spacing w:after="0"/>
              <w:jc w:val="center"/>
              <w:cnfStyle w:val="000000000000"/>
              <w:rPr>
                <w:rFonts w:asciiTheme="minorHAnsi" w:hAnsiTheme="minorHAnsi" w:cstheme="minorHAnsi"/>
                <w:sz w:val="20"/>
                <w:lang w:eastAsia="ja-JP"/>
              </w:rPr>
            </w:pPr>
            <w:r w:rsidRPr="005F120D">
              <w:rPr>
                <w:rFonts w:asciiTheme="minorHAnsi" w:hAnsiTheme="minorHAnsi" w:cstheme="minorHAnsi"/>
                <w:sz w:val="20"/>
                <w:lang w:eastAsia="ja-JP"/>
              </w:rPr>
              <w:t>349</w:t>
            </w:r>
          </w:p>
        </w:tc>
        <w:tc>
          <w:tcPr>
            <w:tcW w:w="836" w:type="pct"/>
            <w:vAlign w:val="center"/>
            <w:hideMark/>
          </w:tcPr>
          <w:p w:rsidR="000F245A" w:rsidRPr="005F120D" w:rsidRDefault="000F245A" w:rsidP="00A03624">
            <w:pPr>
              <w:spacing w:after="0"/>
              <w:jc w:val="center"/>
              <w:cnfStyle w:val="000000000000"/>
              <w:rPr>
                <w:rFonts w:asciiTheme="minorHAnsi" w:hAnsiTheme="minorHAnsi" w:cstheme="minorHAnsi"/>
                <w:sz w:val="20"/>
              </w:rPr>
            </w:pPr>
            <w:r w:rsidRPr="005F120D">
              <w:rPr>
                <w:rFonts w:asciiTheme="minorHAnsi" w:hAnsiTheme="minorHAnsi" w:cstheme="minorHAnsi"/>
                <w:sz w:val="20"/>
              </w:rPr>
              <w:t>74,288</w:t>
            </w:r>
          </w:p>
        </w:tc>
        <w:tc>
          <w:tcPr>
            <w:tcW w:w="835" w:type="pct"/>
            <w:vAlign w:val="center"/>
            <w:hideMark/>
          </w:tcPr>
          <w:p w:rsidR="000F245A" w:rsidRPr="005F120D" w:rsidRDefault="000F245A" w:rsidP="00A03624">
            <w:pPr>
              <w:spacing w:after="0"/>
              <w:jc w:val="center"/>
              <w:cnfStyle w:val="000000000000"/>
              <w:rPr>
                <w:rFonts w:asciiTheme="minorHAnsi" w:hAnsiTheme="minorHAnsi" w:cstheme="minorHAnsi"/>
                <w:sz w:val="20"/>
              </w:rPr>
            </w:pPr>
            <w:r w:rsidRPr="005F120D">
              <w:rPr>
                <w:rFonts w:asciiTheme="minorHAnsi" w:hAnsiTheme="minorHAnsi" w:cstheme="minorHAnsi"/>
                <w:sz w:val="20"/>
              </w:rPr>
              <w:t>2,867</w:t>
            </w:r>
          </w:p>
        </w:tc>
      </w:tr>
      <w:tr w:rsidR="000F245A" w:rsidRPr="005F120D" w:rsidTr="00FC2184">
        <w:trPr>
          <w:cnfStyle w:val="000000100000"/>
          <w:trHeight w:hRule="exact" w:val="272"/>
          <w:jc w:val="center"/>
        </w:trPr>
        <w:tc>
          <w:tcPr>
            <w:cnfStyle w:val="001000000000"/>
            <w:tcW w:w="2494" w:type="pct"/>
            <w:vAlign w:val="center"/>
            <w:hideMark/>
          </w:tcPr>
          <w:p w:rsidR="000F245A" w:rsidRPr="005F120D" w:rsidRDefault="000F245A" w:rsidP="00A03624">
            <w:pPr>
              <w:spacing w:after="0"/>
              <w:rPr>
                <w:rFonts w:asciiTheme="minorHAnsi" w:hAnsiTheme="minorHAnsi" w:cstheme="minorHAnsi"/>
                <w:b w:val="0"/>
                <w:sz w:val="20"/>
                <w:lang w:eastAsia="ja-JP"/>
              </w:rPr>
            </w:pPr>
            <w:r w:rsidRPr="005F120D">
              <w:rPr>
                <w:rFonts w:asciiTheme="minorHAnsi" w:hAnsiTheme="minorHAnsi" w:cstheme="minorHAnsi"/>
                <w:b w:val="0"/>
                <w:sz w:val="20"/>
                <w:lang w:eastAsia="ja-JP"/>
              </w:rPr>
              <w:t>BRAC</w:t>
            </w:r>
          </w:p>
        </w:tc>
        <w:tc>
          <w:tcPr>
            <w:tcW w:w="835" w:type="pct"/>
            <w:vAlign w:val="center"/>
            <w:hideMark/>
          </w:tcPr>
          <w:p w:rsidR="000F245A" w:rsidRPr="005F120D" w:rsidRDefault="000F245A" w:rsidP="00A03624">
            <w:pPr>
              <w:spacing w:after="0"/>
              <w:jc w:val="center"/>
              <w:cnfStyle w:val="000000100000"/>
              <w:rPr>
                <w:rFonts w:asciiTheme="minorHAnsi" w:hAnsiTheme="minorHAnsi" w:cstheme="minorHAnsi"/>
                <w:sz w:val="20"/>
                <w:lang w:eastAsia="ja-JP"/>
              </w:rPr>
            </w:pPr>
            <w:r w:rsidRPr="005F120D">
              <w:rPr>
                <w:rFonts w:asciiTheme="minorHAnsi" w:hAnsiTheme="minorHAnsi" w:cstheme="minorHAnsi"/>
                <w:sz w:val="20"/>
                <w:lang w:eastAsia="ja-JP"/>
              </w:rPr>
              <w:t>169</w:t>
            </w:r>
          </w:p>
        </w:tc>
        <w:tc>
          <w:tcPr>
            <w:tcW w:w="836" w:type="pct"/>
            <w:vAlign w:val="center"/>
            <w:hideMark/>
          </w:tcPr>
          <w:p w:rsidR="000F245A" w:rsidRPr="005F120D" w:rsidRDefault="000F245A" w:rsidP="00A03624">
            <w:pPr>
              <w:spacing w:after="0"/>
              <w:jc w:val="center"/>
              <w:cnfStyle w:val="000000100000"/>
              <w:rPr>
                <w:rFonts w:asciiTheme="minorHAnsi" w:hAnsiTheme="minorHAnsi" w:cstheme="minorHAnsi"/>
                <w:sz w:val="20"/>
              </w:rPr>
            </w:pPr>
            <w:r w:rsidRPr="005F120D">
              <w:rPr>
                <w:rFonts w:asciiTheme="minorHAnsi" w:hAnsiTheme="minorHAnsi" w:cstheme="minorHAnsi"/>
                <w:sz w:val="20"/>
              </w:rPr>
              <w:t>10,471</w:t>
            </w:r>
          </w:p>
        </w:tc>
        <w:tc>
          <w:tcPr>
            <w:tcW w:w="835" w:type="pct"/>
            <w:vAlign w:val="center"/>
            <w:hideMark/>
          </w:tcPr>
          <w:p w:rsidR="000F245A" w:rsidRPr="005F120D" w:rsidRDefault="000F245A" w:rsidP="00A03624">
            <w:pPr>
              <w:spacing w:after="0"/>
              <w:jc w:val="center"/>
              <w:cnfStyle w:val="000000100000"/>
              <w:rPr>
                <w:rFonts w:asciiTheme="minorHAnsi" w:hAnsiTheme="minorHAnsi" w:cstheme="minorHAnsi"/>
                <w:sz w:val="20"/>
              </w:rPr>
            </w:pPr>
            <w:r w:rsidRPr="005F120D">
              <w:rPr>
                <w:rFonts w:asciiTheme="minorHAnsi" w:hAnsiTheme="minorHAnsi" w:cstheme="minorHAnsi"/>
                <w:sz w:val="20"/>
              </w:rPr>
              <w:t>296</w:t>
            </w:r>
          </w:p>
        </w:tc>
      </w:tr>
      <w:tr w:rsidR="000F245A" w:rsidRPr="005F120D" w:rsidTr="00FC2184">
        <w:trPr>
          <w:trHeight w:hRule="exact" w:val="272"/>
          <w:jc w:val="center"/>
        </w:trPr>
        <w:tc>
          <w:tcPr>
            <w:cnfStyle w:val="001000000000"/>
            <w:tcW w:w="2494" w:type="pct"/>
            <w:vAlign w:val="center"/>
            <w:hideMark/>
          </w:tcPr>
          <w:p w:rsidR="000F245A" w:rsidRPr="005F120D" w:rsidRDefault="000F245A" w:rsidP="00A03624">
            <w:pPr>
              <w:spacing w:after="0"/>
              <w:rPr>
                <w:rFonts w:asciiTheme="minorHAnsi" w:hAnsiTheme="minorHAnsi" w:cstheme="minorHAnsi"/>
                <w:b w:val="0"/>
                <w:sz w:val="20"/>
                <w:lang w:eastAsia="ja-JP"/>
              </w:rPr>
            </w:pPr>
            <w:r w:rsidRPr="005F120D">
              <w:rPr>
                <w:rFonts w:asciiTheme="minorHAnsi" w:hAnsiTheme="minorHAnsi" w:cstheme="minorHAnsi"/>
                <w:b w:val="0"/>
                <w:sz w:val="20"/>
                <w:lang w:eastAsia="ja-JP"/>
              </w:rPr>
              <w:t>Primary section of high schools</w:t>
            </w:r>
          </w:p>
        </w:tc>
        <w:tc>
          <w:tcPr>
            <w:tcW w:w="835" w:type="pct"/>
            <w:vAlign w:val="center"/>
            <w:hideMark/>
          </w:tcPr>
          <w:p w:rsidR="000F245A" w:rsidRPr="005F120D" w:rsidRDefault="000F245A" w:rsidP="00A03624">
            <w:pPr>
              <w:spacing w:after="0"/>
              <w:jc w:val="center"/>
              <w:cnfStyle w:val="000000000000"/>
              <w:rPr>
                <w:rFonts w:asciiTheme="minorHAnsi" w:hAnsiTheme="minorHAnsi" w:cstheme="minorHAnsi"/>
                <w:sz w:val="20"/>
                <w:lang w:eastAsia="ja-JP"/>
              </w:rPr>
            </w:pPr>
            <w:r w:rsidRPr="005F120D">
              <w:rPr>
                <w:rFonts w:asciiTheme="minorHAnsi" w:hAnsiTheme="minorHAnsi" w:cstheme="minorHAnsi"/>
                <w:sz w:val="20"/>
                <w:lang w:eastAsia="ja-JP"/>
              </w:rPr>
              <w:t>50</w:t>
            </w:r>
          </w:p>
        </w:tc>
        <w:tc>
          <w:tcPr>
            <w:tcW w:w="836" w:type="pct"/>
            <w:vAlign w:val="center"/>
            <w:hideMark/>
          </w:tcPr>
          <w:p w:rsidR="000F245A" w:rsidRPr="005F120D" w:rsidRDefault="000F245A" w:rsidP="00A03624">
            <w:pPr>
              <w:spacing w:after="0"/>
              <w:jc w:val="center"/>
              <w:cnfStyle w:val="000000000000"/>
              <w:rPr>
                <w:rFonts w:asciiTheme="minorHAnsi" w:hAnsiTheme="minorHAnsi" w:cstheme="minorHAnsi"/>
                <w:sz w:val="20"/>
              </w:rPr>
            </w:pPr>
            <w:r w:rsidRPr="005F120D">
              <w:rPr>
                <w:rFonts w:asciiTheme="minorHAnsi" w:hAnsiTheme="minorHAnsi" w:cstheme="minorHAnsi"/>
                <w:sz w:val="20"/>
              </w:rPr>
              <w:t>19,508</w:t>
            </w:r>
          </w:p>
        </w:tc>
        <w:tc>
          <w:tcPr>
            <w:tcW w:w="835" w:type="pct"/>
            <w:vAlign w:val="center"/>
            <w:hideMark/>
          </w:tcPr>
          <w:p w:rsidR="000F245A" w:rsidRPr="005F120D" w:rsidRDefault="000F245A" w:rsidP="00A03624">
            <w:pPr>
              <w:spacing w:after="0"/>
              <w:jc w:val="center"/>
              <w:cnfStyle w:val="000000000000"/>
              <w:rPr>
                <w:rFonts w:asciiTheme="minorHAnsi" w:hAnsiTheme="minorHAnsi" w:cstheme="minorHAnsi"/>
                <w:sz w:val="20"/>
              </w:rPr>
            </w:pPr>
            <w:r w:rsidRPr="005F120D">
              <w:rPr>
                <w:rFonts w:asciiTheme="minorHAnsi" w:hAnsiTheme="minorHAnsi" w:cstheme="minorHAnsi"/>
                <w:sz w:val="20"/>
              </w:rPr>
              <w:t>405</w:t>
            </w:r>
          </w:p>
        </w:tc>
      </w:tr>
      <w:tr w:rsidR="000F245A" w:rsidRPr="005F120D" w:rsidTr="00FC2184">
        <w:trPr>
          <w:cnfStyle w:val="000000100000"/>
          <w:trHeight w:hRule="exact" w:val="272"/>
          <w:jc w:val="center"/>
        </w:trPr>
        <w:tc>
          <w:tcPr>
            <w:cnfStyle w:val="001000000000"/>
            <w:tcW w:w="2494" w:type="pct"/>
            <w:vAlign w:val="center"/>
            <w:hideMark/>
          </w:tcPr>
          <w:p w:rsidR="000F245A" w:rsidRPr="005F120D" w:rsidRDefault="000F245A" w:rsidP="00A03624">
            <w:pPr>
              <w:spacing w:after="0"/>
              <w:rPr>
                <w:rFonts w:asciiTheme="minorHAnsi" w:hAnsiTheme="minorHAnsi" w:cstheme="minorHAnsi"/>
                <w:b w:val="0"/>
                <w:sz w:val="20"/>
                <w:lang w:eastAsia="ja-JP"/>
              </w:rPr>
            </w:pPr>
            <w:r w:rsidRPr="005F120D">
              <w:rPr>
                <w:rFonts w:asciiTheme="minorHAnsi" w:hAnsiTheme="minorHAnsi" w:cstheme="minorHAnsi"/>
                <w:b w:val="0"/>
                <w:sz w:val="20"/>
                <w:lang w:eastAsia="ja-JP"/>
              </w:rPr>
              <w:t>NGO Schools</w:t>
            </w:r>
          </w:p>
        </w:tc>
        <w:tc>
          <w:tcPr>
            <w:tcW w:w="835" w:type="pct"/>
            <w:vAlign w:val="center"/>
            <w:hideMark/>
          </w:tcPr>
          <w:p w:rsidR="000F245A" w:rsidRPr="005F120D" w:rsidRDefault="000F245A" w:rsidP="00A03624">
            <w:pPr>
              <w:spacing w:after="0"/>
              <w:jc w:val="center"/>
              <w:cnfStyle w:val="000000100000"/>
              <w:rPr>
                <w:rFonts w:asciiTheme="minorHAnsi" w:hAnsiTheme="minorHAnsi" w:cstheme="minorHAnsi"/>
                <w:sz w:val="20"/>
                <w:lang w:eastAsia="ja-JP"/>
              </w:rPr>
            </w:pPr>
            <w:r w:rsidRPr="005F120D">
              <w:rPr>
                <w:rFonts w:asciiTheme="minorHAnsi" w:hAnsiTheme="minorHAnsi" w:cstheme="minorHAnsi"/>
                <w:sz w:val="20"/>
                <w:lang w:eastAsia="ja-JP"/>
              </w:rPr>
              <w:t>51</w:t>
            </w:r>
          </w:p>
        </w:tc>
        <w:tc>
          <w:tcPr>
            <w:tcW w:w="836" w:type="pct"/>
            <w:vAlign w:val="center"/>
            <w:hideMark/>
          </w:tcPr>
          <w:p w:rsidR="000F245A" w:rsidRPr="005F120D" w:rsidRDefault="000F245A" w:rsidP="00A03624">
            <w:pPr>
              <w:spacing w:after="0"/>
              <w:jc w:val="center"/>
              <w:cnfStyle w:val="000000100000"/>
              <w:rPr>
                <w:rFonts w:asciiTheme="minorHAnsi" w:hAnsiTheme="minorHAnsi" w:cstheme="minorHAnsi"/>
                <w:sz w:val="20"/>
              </w:rPr>
            </w:pPr>
            <w:r w:rsidRPr="005F120D">
              <w:rPr>
                <w:rFonts w:asciiTheme="minorHAnsi" w:hAnsiTheme="minorHAnsi" w:cstheme="minorHAnsi"/>
                <w:sz w:val="20"/>
              </w:rPr>
              <w:t>23,599</w:t>
            </w:r>
          </w:p>
        </w:tc>
        <w:tc>
          <w:tcPr>
            <w:tcW w:w="835" w:type="pct"/>
            <w:vAlign w:val="center"/>
            <w:hideMark/>
          </w:tcPr>
          <w:p w:rsidR="000F245A" w:rsidRPr="005F120D" w:rsidRDefault="000F245A" w:rsidP="00A03624">
            <w:pPr>
              <w:spacing w:after="0"/>
              <w:jc w:val="center"/>
              <w:cnfStyle w:val="000000100000"/>
              <w:rPr>
                <w:rFonts w:asciiTheme="minorHAnsi" w:hAnsiTheme="minorHAnsi" w:cstheme="minorHAnsi"/>
                <w:sz w:val="20"/>
              </w:rPr>
            </w:pPr>
            <w:r w:rsidRPr="005F120D">
              <w:rPr>
                <w:rFonts w:asciiTheme="minorHAnsi" w:hAnsiTheme="minorHAnsi" w:cstheme="minorHAnsi"/>
                <w:sz w:val="20"/>
              </w:rPr>
              <w:t>289</w:t>
            </w:r>
          </w:p>
        </w:tc>
      </w:tr>
      <w:tr w:rsidR="000F245A" w:rsidRPr="005F120D" w:rsidTr="00FC2184">
        <w:trPr>
          <w:trHeight w:hRule="exact" w:val="263"/>
          <w:jc w:val="center"/>
        </w:trPr>
        <w:tc>
          <w:tcPr>
            <w:cnfStyle w:val="001000000000"/>
            <w:tcW w:w="2494" w:type="pct"/>
            <w:vAlign w:val="center"/>
            <w:hideMark/>
          </w:tcPr>
          <w:p w:rsidR="000F245A" w:rsidRPr="005F120D" w:rsidRDefault="000F245A" w:rsidP="00A03624">
            <w:pPr>
              <w:spacing w:after="0"/>
              <w:rPr>
                <w:rFonts w:asciiTheme="minorHAnsi" w:hAnsiTheme="minorHAnsi" w:cstheme="minorHAnsi"/>
                <w:b w:val="0"/>
                <w:sz w:val="20"/>
                <w:lang w:eastAsia="ja-JP"/>
              </w:rPr>
            </w:pPr>
            <w:r w:rsidRPr="005F120D">
              <w:rPr>
                <w:rFonts w:asciiTheme="minorHAnsi" w:hAnsiTheme="minorHAnsi" w:cstheme="minorHAnsi"/>
                <w:b w:val="0"/>
                <w:sz w:val="20"/>
              </w:rPr>
              <w:t>Other primary education schools/centers</w:t>
            </w:r>
          </w:p>
        </w:tc>
        <w:tc>
          <w:tcPr>
            <w:tcW w:w="835" w:type="pct"/>
            <w:vAlign w:val="center"/>
            <w:hideMark/>
          </w:tcPr>
          <w:p w:rsidR="000F245A" w:rsidRPr="005F120D" w:rsidRDefault="000F245A" w:rsidP="00A03624">
            <w:pPr>
              <w:spacing w:after="0"/>
              <w:jc w:val="center"/>
              <w:cnfStyle w:val="000000000000"/>
              <w:rPr>
                <w:rFonts w:asciiTheme="minorHAnsi" w:hAnsiTheme="minorHAnsi" w:cstheme="minorHAnsi"/>
                <w:sz w:val="20"/>
                <w:lang w:eastAsia="ja-JP"/>
              </w:rPr>
            </w:pPr>
            <w:r w:rsidRPr="005F120D">
              <w:rPr>
                <w:rFonts w:asciiTheme="minorHAnsi" w:hAnsiTheme="minorHAnsi" w:cstheme="minorHAnsi"/>
                <w:sz w:val="20"/>
                <w:lang w:eastAsia="ja-JP"/>
              </w:rPr>
              <w:t>116</w:t>
            </w:r>
          </w:p>
        </w:tc>
        <w:tc>
          <w:tcPr>
            <w:tcW w:w="836" w:type="pct"/>
            <w:vAlign w:val="center"/>
            <w:hideMark/>
          </w:tcPr>
          <w:p w:rsidR="000F245A" w:rsidRPr="005F120D" w:rsidRDefault="000F245A" w:rsidP="00A03624">
            <w:pPr>
              <w:spacing w:after="0"/>
              <w:jc w:val="center"/>
              <w:cnfStyle w:val="000000000000"/>
              <w:rPr>
                <w:rFonts w:asciiTheme="minorHAnsi" w:hAnsiTheme="minorHAnsi" w:cstheme="minorHAnsi"/>
                <w:sz w:val="20"/>
              </w:rPr>
            </w:pPr>
            <w:r w:rsidRPr="005F120D">
              <w:rPr>
                <w:rFonts w:asciiTheme="minorHAnsi" w:hAnsiTheme="minorHAnsi" w:cstheme="minorHAnsi"/>
                <w:sz w:val="20"/>
              </w:rPr>
              <w:t>15,374</w:t>
            </w:r>
          </w:p>
        </w:tc>
        <w:tc>
          <w:tcPr>
            <w:tcW w:w="835" w:type="pct"/>
            <w:vAlign w:val="center"/>
            <w:hideMark/>
          </w:tcPr>
          <w:p w:rsidR="000F245A" w:rsidRPr="005F120D" w:rsidRDefault="000F245A" w:rsidP="00A03624">
            <w:pPr>
              <w:spacing w:after="0"/>
              <w:jc w:val="center"/>
              <w:cnfStyle w:val="000000000000"/>
              <w:rPr>
                <w:rFonts w:asciiTheme="minorHAnsi" w:hAnsiTheme="minorHAnsi" w:cstheme="minorHAnsi"/>
                <w:sz w:val="20"/>
              </w:rPr>
            </w:pPr>
            <w:r w:rsidRPr="005F120D">
              <w:rPr>
                <w:rFonts w:asciiTheme="minorHAnsi" w:hAnsiTheme="minorHAnsi" w:cstheme="minorHAnsi"/>
                <w:sz w:val="20"/>
              </w:rPr>
              <w:t>509</w:t>
            </w:r>
          </w:p>
        </w:tc>
      </w:tr>
      <w:tr w:rsidR="000F245A" w:rsidRPr="005F120D" w:rsidTr="00FC2184">
        <w:trPr>
          <w:cnfStyle w:val="000000100000"/>
          <w:trHeight w:hRule="exact" w:val="272"/>
          <w:jc w:val="center"/>
        </w:trPr>
        <w:tc>
          <w:tcPr>
            <w:cnfStyle w:val="001000000000"/>
            <w:tcW w:w="2494" w:type="pct"/>
            <w:vAlign w:val="center"/>
            <w:hideMark/>
          </w:tcPr>
          <w:p w:rsidR="000F245A" w:rsidRPr="005F120D" w:rsidRDefault="000F245A" w:rsidP="00A03624">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ALL</w:t>
            </w:r>
          </w:p>
        </w:tc>
        <w:tc>
          <w:tcPr>
            <w:tcW w:w="835" w:type="pct"/>
            <w:vAlign w:val="center"/>
            <w:hideMark/>
          </w:tcPr>
          <w:p w:rsidR="000F245A" w:rsidRPr="005F120D" w:rsidRDefault="000F245A" w:rsidP="00A03624">
            <w:pPr>
              <w:spacing w:after="0"/>
              <w:jc w:val="center"/>
              <w:cnfStyle w:val="000000100000"/>
              <w:rPr>
                <w:rFonts w:asciiTheme="minorHAnsi" w:hAnsiTheme="minorHAnsi" w:cstheme="minorHAnsi"/>
                <w:sz w:val="20"/>
                <w:lang w:eastAsia="ja-JP"/>
              </w:rPr>
            </w:pPr>
            <w:r w:rsidRPr="005F120D">
              <w:rPr>
                <w:rFonts w:asciiTheme="minorHAnsi" w:hAnsiTheme="minorHAnsi" w:cstheme="minorHAnsi"/>
                <w:sz w:val="20"/>
                <w:lang w:eastAsia="ja-JP"/>
              </w:rPr>
              <w:t>9</w:t>
            </w:r>
            <w:r w:rsidR="00DE3AAC" w:rsidRPr="005F120D">
              <w:rPr>
                <w:rFonts w:asciiTheme="minorHAnsi" w:hAnsiTheme="minorHAnsi" w:cstheme="minorHAnsi"/>
                <w:sz w:val="20"/>
                <w:lang w:eastAsia="ja-JP"/>
              </w:rPr>
              <w:t>54</w:t>
            </w:r>
          </w:p>
        </w:tc>
        <w:tc>
          <w:tcPr>
            <w:tcW w:w="836" w:type="pct"/>
            <w:vAlign w:val="center"/>
            <w:hideMark/>
          </w:tcPr>
          <w:p w:rsidR="000F245A" w:rsidRPr="005F120D" w:rsidRDefault="000F245A" w:rsidP="00A03624">
            <w:pPr>
              <w:spacing w:after="0"/>
              <w:jc w:val="center"/>
              <w:cnfStyle w:val="000000100000"/>
              <w:rPr>
                <w:rFonts w:asciiTheme="minorHAnsi" w:hAnsiTheme="minorHAnsi" w:cstheme="minorHAnsi"/>
                <w:sz w:val="20"/>
              </w:rPr>
            </w:pPr>
            <w:r w:rsidRPr="005F120D">
              <w:rPr>
                <w:rFonts w:asciiTheme="minorHAnsi" w:hAnsiTheme="minorHAnsi" w:cstheme="minorHAnsi"/>
                <w:sz w:val="20"/>
              </w:rPr>
              <w:t>236,863</w:t>
            </w:r>
          </w:p>
        </w:tc>
        <w:tc>
          <w:tcPr>
            <w:tcW w:w="835" w:type="pct"/>
            <w:vAlign w:val="center"/>
            <w:hideMark/>
          </w:tcPr>
          <w:p w:rsidR="000F245A" w:rsidRPr="005F120D" w:rsidRDefault="000F245A" w:rsidP="00A03624">
            <w:pPr>
              <w:spacing w:after="0"/>
              <w:jc w:val="center"/>
              <w:cnfStyle w:val="000000100000"/>
              <w:rPr>
                <w:rFonts w:asciiTheme="minorHAnsi" w:hAnsiTheme="minorHAnsi" w:cstheme="minorHAnsi"/>
                <w:sz w:val="20"/>
              </w:rPr>
            </w:pPr>
            <w:r w:rsidRPr="005F120D">
              <w:rPr>
                <w:rFonts w:asciiTheme="minorHAnsi" w:hAnsiTheme="minorHAnsi" w:cstheme="minorHAnsi"/>
                <w:sz w:val="20"/>
              </w:rPr>
              <w:t>6,203</w:t>
            </w:r>
          </w:p>
        </w:tc>
      </w:tr>
    </w:tbl>
    <w:p w:rsidR="00B743D9" w:rsidRPr="005F120D" w:rsidRDefault="004B53A0" w:rsidP="00C437AA">
      <w:pPr>
        <w:spacing w:after="120" w:line="276" w:lineRule="auto"/>
        <w:rPr>
          <w:rFonts w:asciiTheme="minorHAnsi" w:hAnsiTheme="minorHAnsi" w:cstheme="minorHAnsi"/>
          <w:b/>
          <w:i/>
          <w:sz w:val="16"/>
          <w:szCs w:val="16"/>
        </w:rPr>
      </w:pPr>
      <w:r w:rsidRPr="005F120D">
        <w:rPr>
          <w:rFonts w:asciiTheme="minorHAnsi" w:hAnsiTheme="minorHAnsi" w:cstheme="minorHAnsi"/>
          <w:b/>
          <w:i/>
          <w:sz w:val="16"/>
          <w:szCs w:val="16"/>
        </w:rPr>
        <w:t>Source:  APSC 2015</w:t>
      </w:r>
    </w:p>
    <w:p w:rsidR="00C72BA6" w:rsidRPr="005F120D" w:rsidRDefault="00775F33" w:rsidP="00C437AA">
      <w:pPr>
        <w:spacing w:line="276" w:lineRule="auto"/>
        <w:jc w:val="both"/>
        <w:rPr>
          <w:rFonts w:asciiTheme="minorHAnsi" w:hAnsiTheme="minorHAnsi" w:cstheme="minorHAnsi"/>
          <w:szCs w:val="22"/>
        </w:rPr>
      </w:pPr>
      <w:r w:rsidRPr="005F120D">
        <w:rPr>
          <w:rFonts w:asciiTheme="minorHAnsi" w:hAnsiTheme="minorHAnsi" w:cstheme="minorHAnsi"/>
          <w:szCs w:val="22"/>
        </w:rPr>
        <w:t>Addressing the educational needs of children in urban slums is a focus of PEDP3.  At the JARM in 2012, it was agreed that one of the areas of priority for FY 2013/14 was to be the expansion of education in urban slums</w:t>
      </w:r>
      <w:r w:rsidR="00F57260" w:rsidRPr="005F120D">
        <w:rPr>
          <w:rFonts w:asciiTheme="minorHAnsi" w:hAnsiTheme="minorHAnsi" w:cstheme="minorHAnsi"/>
          <w:szCs w:val="22"/>
        </w:rPr>
        <w:t>.</w:t>
      </w:r>
    </w:p>
    <w:p w:rsidR="003610D9" w:rsidRPr="005F120D" w:rsidRDefault="003610D9" w:rsidP="00C437AA">
      <w:pPr>
        <w:spacing w:line="276" w:lineRule="auto"/>
        <w:jc w:val="both"/>
        <w:rPr>
          <w:rFonts w:asciiTheme="minorHAnsi" w:hAnsiTheme="minorHAnsi" w:cstheme="minorHAnsi"/>
          <w:szCs w:val="22"/>
        </w:rPr>
      </w:pPr>
    </w:p>
    <w:p w:rsidR="003610D9" w:rsidRPr="005F120D" w:rsidRDefault="003610D9" w:rsidP="00C437AA">
      <w:pPr>
        <w:spacing w:line="276" w:lineRule="auto"/>
        <w:jc w:val="both"/>
        <w:rPr>
          <w:rFonts w:asciiTheme="minorHAnsi" w:hAnsiTheme="minorHAnsi" w:cstheme="minorHAnsi"/>
          <w:szCs w:val="22"/>
        </w:rPr>
      </w:pPr>
    </w:p>
    <w:p w:rsidR="003610D9" w:rsidRPr="005F120D" w:rsidRDefault="003610D9" w:rsidP="00C437AA">
      <w:pPr>
        <w:spacing w:line="276" w:lineRule="auto"/>
        <w:jc w:val="both"/>
        <w:rPr>
          <w:rFonts w:asciiTheme="minorHAnsi" w:hAnsiTheme="minorHAnsi" w:cstheme="minorHAnsi"/>
          <w:szCs w:val="22"/>
        </w:rPr>
      </w:pPr>
    </w:p>
    <w:p w:rsidR="003610D9" w:rsidRPr="005F120D" w:rsidRDefault="003610D9" w:rsidP="00C437AA">
      <w:pPr>
        <w:spacing w:line="276" w:lineRule="auto"/>
        <w:jc w:val="both"/>
        <w:rPr>
          <w:rFonts w:asciiTheme="minorHAnsi" w:hAnsiTheme="minorHAnsi" w:cstheme="minorHAnsi"/>
          <w:szCs w:val="22"/>
        </w:rPr>
      </w:pPr>
    </w:p>
    <w:p w:rsidR="00752AB3" w:rsidRPr="005F120D" w:rsidRDefault="00752AB3" w:rsidP="00C437AA">
      <w:pPr>
        <w:pStyle w:val="Heading4"/>
        <w:spacing w:line="276" w:lineRule="auto"/>
        <w:jc w:val="both"/>
        <w:rPr>
          <w:rFonts w:asciiTheme="minorHAnsi" w:hAnsiTheme="minorHAnsi" w:cstheme="minorHAnsi"/>
          <w:b/>
          <w:color w:val="008000"/>
        </w:rPr>
      </w:pPr>
      <w:r w:rsidRPr="005F120D">
        <w:rPr>
          <w:rFonts w:asciiTheme="minorHAnsi" w:hAnsiTheme="minorHAnsi" w:cstheme="minorHAnsi"/>
          <w:b/>
          <w:color w:val="008000"/>
        </w:rPr>
        <w:lastRenderedPageBreak/>
        <w:t>Pre</w:t>
      </w:r>
      <w:r w:rsidR="008E744A" w:rsidRPr="005F120D">
        <w:rPr>
          <w:rFonts w:asciiTheme="minorHAnsi" w:hAnsiTheme="minorHAnsi" w:cstheme="minorHAnsi"/>
          <w:b/>
          <w:color w:val="008000"/>
        </w:rPr>
        <w:t>-</w:t>
      </w:r>
      <w:r w:rsidRPr="005F120D">
        <w:rPr>
          <w:rFonts w:asciiTheme="minorHAnsi" w:hAnsiTheme="minorHAnsi" w:cstheme="minorHAnsi"/>
          <w:b/>
          <w:color w:val="008000"/>
        </w:rPr>
        <w:t>primary Education (PPE)</w:t>
      </w:r>
    </w:p>
    <w:bookmarkEnd w:id="315"/>
    <w:bookmarkEnd w:id="316"/>
    <w:bookmarkEnd w:id="317"/>
    <w:p w:rsidR="002613FB" w:rsidRPr="005F120D" w:rsidRDefault="00775F33" w:rsidP="00C437AA">
      <w:pPr>
        <w:autoSpaceDE w:val="0"/>
        <w:autoSpaceDN w:val="0"/>
        <w:adjustRightInd w:val="0"/>
        <w:spacing w:line="276" w:lineRule="auto"/>
        <w:jc w:val="both"/>
        <w:rPr>
          <w:rFonts w:asciiTheme="minorHAnsi" w:hAnsiTheme="minorHAnsi" w:cstheme="minorHAnsi"/>
        </w:rPr>
      </w:pPr>
      <w:r w:rsidRPr="005F120D">
        <w:rPr>
          <w:rFonts w:asciiTheme="minorHAnsi" w:hAnsiTheme="minorHAnsi" w:cstheme="minorHAnsi"/>
        </w:rPr>
        <w:t xml:space="preserve">The mapping of the pre-primary education was completed in 2011 by UNICEF. Based on the mapping, the PPE expansion plan was prepared. GO-NGO implementation guidelines were also developed and approved by MoPME. </w:t>
      </w:r>
      <w:r w:rsidRPr="005F120D">
        <w:rPr>
          <w:rFonts w:asciiTheme="minorHAnsi" w:hAnsiTheme="minorHAnsi" w:cstheme="minorHAnsi"/>
          <w:spacing w:val="2"/>
        </w:rPr>
        <w:t xml:space="preserve">A minimum standard for pre-primary education was defined </w:t>
      </w:r>
      <w:r w:rsidRPr="005F120D">
        <w:rPr>
          <w:rFonts w:asciiTheme="minorHAnsi" w:hAnsiTheme="minorHAnsi" w:cstheme="minorHAnsi"/>
        </w:rPr>
        <w:t xml:space="preserve">and activities implemented according to the guidelines. </w:t>
      </w:r>
      <w:r w:rsidR="001A7D86" w:rsidRPr="005F120D">
        <w:rPr>
          <w:rFonts w:asciiTheme="minorHAnsi" w:hAnsiTheme="minorHAnsi" w:cstheme="minorHAnsi"/>
        </w:rPr>
        <w:t>The APSC 2015 collected reliable</w:t>
      </w:r>
      <w:r w:rsidRPr="005F120D">
        <w:rPr>
          <w:rFonts w:asciiTheme="minorHAnsi" w:hAnsiTheme="minorHAnsi" w:cstheme="minorHAnsi"/>
        </w:rPr>
        <w:t xml:space="preserve"> information on the number of institutions providing PPE. The Government has been providing PPE in only GPS, NNPS, and community schools. Other pre-primary schools have been provided by various </w:t>
      </w:r>
      <w:r w:rsidR="003610D9" w:rsidRPr="005F120D">
        <w:rPr>
          <w:rFonts w:asciiTheme="minorHAnsi" w:hAnsiTheme="minorHAnsi" w:cstheme="minorHAnsi"/>
        </w:rPr>
        <w:t>qualified NGOs. Table 3.13</w:t>
      </w:r>
      <w:r w:rsidRPr="005F120D">
        <w:rPr>
          <w:rFonts w:asciiTheme="minorHAnsi" w:hAnsiTheme="minorHAnsi" w:cstheme="minorHAnsi"/>
        </w:rPr>
        <w:t xml:space="preserve"> presents the Number of Institutes Providing Pre-primary Education by administrative Divisions and Types of Schools in 2015</w:t>
      </w:r>
      <w:r w:rsidR="003B3BB8" w:rsidRPr="005F120D">
        <w:rPr>
          <w:rFonts w:asciiTheme="minorHAnsi" w:hAnsiTheme="minorHAnsi" w:cstheme="minorHAnsi"/>
        </w:rPr>
        <w:t>.</w:t>
      </w:r>
    </w:p>
    <w:p w:rsidR="00380FDB" w:rsidRPr="005F120D" w:rsidRDefault="00380FDB" w:rsidP="00C437AA">
      <w:pPr>
        <w:pStyle w:val="Caption"/>
        <w:spacing w:line="276" w:lineRule="auto"/>
        <w:rPr>
          <w:rFonts w:cstheme="minorHAnsi"/>
        </w:rPr>
      </w:pPr>
      <w:bookmarkStart w:id="320" w:name="_Toc462837270"/>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13</w:t>
      </w:r>
      <w:r w:rsidR="002E2ED5" w:rsidRPr="005F120D">
        <w:rPr>
          <w:rFonts w:cstheme="minorHAnsi"/>
        </w:rPr>
        <w:fldChar w:fldCharType="end"/>
      </w:r>
      <w:r w:rsidRPr="005F120D">
        <w:rPr>
          <w:rFonts w:cstheme="minorHAnsi"/>
        </w:rPr>
        <w:t>: Number of Institutes Providing Pre-primary Education by Type of Schools 2015</w:t>
      </w:r>
      <w:bookmarkEnd w:id="320"/>
    </w:p>
    <w:tbl>
      <w:tblPr>
        <w:tblW w:w="5005" w:type="pct"/>
        <w:tblBorders>
          <w:top w:val="double" w:sz="4" w:space="0" w:color="31849B"/>
          <w:left w:val="double" w:sz="4" w:space="0" w:color="31849B"/>
          <w:bottom w:val="double" w:sz="4" w:space="0" w:color="31849B"/>
          <w:right w:val="double" w:sz="4" w:space="0" w:color="31849B"/>
          <w:insideH w:val="double" w:sz="4" w:space="0" w:color="31849B"/>
          <w:insideV w:val="double" w:sz="4" w:space="0" w:color="31849B"/>
        </w:tblBorders>
        <w:tblCellMar>
          <w:left w:w="0" w:type="dxa"/>
          <w:right w:w="0" w:type="dxa"/>
        </w:tblCellMar>
        <w:tblLook w:val="04A0"/>
      </w:tblPr>
      <w:tblGrid>
        <w:gridCol w:w="1086"/>
        <w:gridCol w:w="813"/>
        <w:gridCol w:w="813"/>
        <w:gridCol w:w="779"/>
        <w:gridCol w:w="975"/>
        <w:gridCol w:w="742"/>
        <w:gridCol w:w="1114"/>
        <w:gridCol w:w="1153"/>
        <w:gridCol w:w="813"/>
        <w:gridCol w:w="966"/>
      </w:tblGrid>
      <w:tr w:rsidR="00380FDB" w:rsidRPr="005F120D" w:rsidTr="000746CC">
        <w:trPr>
          <w:trHeight w:val="464"/>
        </w:trPr>
        <w:tc>
          <w:tcPr>
            <w:tcW w:w="587" w:type="pct"/>
            <w:shd w:val="clear" w:color="auto" w:fill="93CDDD"/>
            <w:tcMar>
              <w:top w:w="10" w:type="dxa"/>
              <w:left w:w="108" w:type="dxa"/>
              <w:bottom w:w="0" w:type="dxa"/>
              <w:right w:w="108" w:type="dxa"/>
            </w:tcMar>
            <w:vAlign w:val="center"/>
            <w:hideMark/>
          </w:tcPr>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Division</w:t>
            </w:r>
          </w:p>
        </w:tc>
        <w:tc>
          <w:tcPr>
            <w:tcW w:w="439" w:type="pct"/>
            <w:shd w:val="clear" w:color="auto" w:fill="93CDDD"/>
            <w:tcMar>
              <w:top w:w="10" w:type="dxa"/>
              <w:left w:w="108" w:type="dxa"/>
              <w:bottom w:w="0" w:type="dxa"/>
              <w:right w:w="108" w:type="dxa"/>
            </w:tcMar>
            <w:vAlign w:val="center"/>
            <w:hideMark/>
          </w:tcPr>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GPS</w:t>
            </w:r>
          </w:p>
        </w:tc>
        <w:tc>
          <w:tcPr>
            <w:tcW w:w="439" w:type="pct"/>
            <w:shd w:val="clear" w:color="auto" w:fill="93CDDD"/>
            <w:tcMar>
              <w:top w:w="10" w:type="dxa"/>
              <w:left w:w="108" w:type="dxa"/>
              <w:bottom w:w="0" w:type="dxa"/>
              <w:right w:w="108" w:type="dxa"/>
            </w:tcMar>
            <w:vAlign w:val="center"/>
            <w:hideMark/>
          </w:tcPr>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NNPS</w:t>
            </w:r>
          </w:p>
        </w:tc>
        <w:tc>
          <w:tcPr>
            <w:tcW w:w="421" w:type="pct"/>
            <w:shd w:val="clear" w:color="auto" w:fill="93CDDD"/>
            <w:tcMar>
              <w:top w:w="10" w:type="dxa"/>
              <w:left w:w="108" w:type="dxa"/>
              <w:bottom w:w="0" w:type="dxa"/>
              <w:right w:w="108" w:type="dxa"/>
            </w:tcMar>
            <w:vAlign w:val="center"/>
            <w:hideMark/>
          </w:tcPr>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RNGPS</w:t>
            </w:r>
          </w:p>
        </w:tc>
        <w:tc>
          <w:tcPr>
            <w:tcW w:w="527" w:type="pct"/>
            <w:shd w:val="clear" w:color="auto" w:fill="93CDDD"/>
            <w:tcMar>
              <w:top w:w="10" w:type="dxa"/>
              <w:left w:w="108" w:type="dxa"/>
              <w:bottom w:w="0" w:type="dxa"/>
              <w:right w:w="108" w:type="dxa"/>
            </w:tcMar>
            <w:vAlign w:val="center"/>
            <w:hideMark/>
          </w:tcPr>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NRNGPS</w:t>
            </w:r>
          </w:p>
        </w:tc>
        <w:tc>
          <w:tcPr>
            <w:tcW w:w="401" w:type="pct"/>
            <w:shd w:val="clear" w:color="auto" w:fill="93CDDD"/>
            <w:tcMar>
              <w:top w:w="10" w:type="dxa"/>
              <w:left w:w="108" w:type="dxa"/>
              <w:bottom w:w="0" w:type="dxa"/>
              <w:right w:w="108" w:type="dxa"/>
            </w:tcMar>
            <w:vAlign w:val="center"/>
            <w:hideMark/>
          </w:tcPr>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Expt.</w:t>
            </w:r>
          </w:p>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School</w:t>
            </w:r>
          </w:p>
        </w:tc>
        <w:tc>
          <w:tcPr>
            <w:tcW w:w="602" w:type="pct"/>
            <w:shd w:val="clear" w:color="auto" w:fill="93CDDD"/>
            <w:tcMar>
              <w:top w:w="10" w:type="dxa"/>
              <w:left w:w="108" w:type="dxa"/>
              <w:bottom w:w="0" w:type="dxa"/>
              <w:right w:w="108" w:type="dxa"/>
            </w:tcMar>
            <w:vAlign w:val="center"/>
            <w:hideMark/>
          </w:tcPr>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Ebtedayee</w:t>
            </w:r>
          </w:p>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Madrasha</w:t>
            </w:r>
          </w:p>
        </w:tc>
        <w:tc>
          <w:tcPr>
            <w:tcW w:w="623" w:type="pct"/>
            <w:shd w:val="clear" w:color="auto" w:fill="93CDDD"/>
            <w:tcMar>
              <w:top w:w="10" w:type="dxa"/>
              <w:left w:w="108" w:type="dxa"/>
              <w:bottom w:w="0" w:type="dxa"/>
              <w:right w:w="108" w:type="dxa"/>
            </w:tcMar>
            <w:vAlign w:val="center"/>
            <w:hideMark/>
          </w:tcPr>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Community</w:t>
            </w:r>
          </w:p>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School</w:t>
            </w:r>
          </w:p>
        </w:tc>
        <w:tc>
          <w:tcPr>
            <w:tcW w:w="439" w:type="pct"/>
            <w:shd w:val="clear" w:color="auto" w:fill="93CDDD"/>
            <w:tcMar>
              <w:top w:w="10" w:type="dxa"/>
              <w:left w:w="108" w:type="dxa"/>
              <w:bottom w:w="0" w:type="dxa"/>
              <w:right w:w="108" w:type="dxa"/>
            </w:tcMar>
            <w:vAlign w:val="center"/>
            <w:hideMark/>
          </w:tcPr>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Other</w:t>
            </w:r>
          </w:p>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School</w:t>
            </w:r>
          </w:p>
        </w:tc>
        <w:tc>
          <w:tcPr>
            <w:tcW w:w="522" w:type="pct"/>
            <w:shd w:val="clear" w:color="auto" w:fill="93CDDD"/>
            <w:tcMar>
              <w:top w:w="10" w:type="dxa"/>
              <w:left w:w="108" w:type="dxa"/>
              <w:bottom w:w="0" w:type="dxa"/>
              <w:right w:w="108" w:type="dxa"/>
            </w:tcMar>
            <w:vAlign w:val="center"/>
            <w:hideMark/>
          </w:tcPr>
          <w:p w:rsidR="00380FDB" w:rsidRPr="005F120D" w:rsidRDefault="00380FDB" w:rsidP="00A03624">
            <w:pPr>
              <w:pStyle w:val="BodyText"/>
              <w:spacing w:after="0"/>
              <w:jc w:val="center"/>
              <w:rPr>
                <w:rFonts w:asciiTheme="minorHAnsi" w:hAnsiTheme="minorHAnsi" w:cstheme="minorHAnsi"/>
                <w:sz w:val="18"/>
                <w:szCs w:val="18"/>
                <w:lang w:val="en-US"/>
              </w:rPr>
            </w:pPr>
            <w:r w:rsidRPr="005F120D">
              <w:rPr>
                <w:rFonts w:asciiTheme="minorHAnsi" w:hAnsiTheme="minorHAnsi" w:cstheme="minorHAnsi"/>
                <w:sz w:val="18"/>
                <w:szCs w:val="18"/>
                <w:lang w:val="en-US"/>
              </w:rPr>
              <w:t>Total</w:t>
            </w:r>
          </w:p>
        </w:tc>
      </w:tr>
      <w:tr w:rsidR="00380FDB" w:rsidRPr="005F120D" w:rsidTr="000746CC">
        <w:trPr>
          <w:trHeight w:hRule="exact" w:val="319"/>
        </w:trPr>
        <w:tc>
          <w:tcPr>
            <w:tcW w:w="587" w:type="pct"/>
            <w:shd w:val="clear" w:color="auto" w:fill="auto"/>
            <w:tcMar>
              <w:top w:w="10" w:type="dxa"/>
              <w:left w:w="108" w:type="dxa"/>
              <w:bottom w:w="0" w:type="dxa"/>
              <w:right w:w="108" w:type="dxa"/>
            </w:tcMar>
            <w:vAlign w:val="center"/>
            <w:hideMark/>
          </w:tcPr>
          <w:p w:rsidR="00380FDB" w:rsidRPr="005F120D" w:rsidRDefault="00380FDB" w:rsidP="00A03624">
            <w:pPr>
              <w:pStyle w:val="BodyText"/>
              <w:spacing w:after="0"/>
              <w:jc w:val="both"/>
              <w:rPr>
                <w:rFonts w:asciiTheme="minorHAnsi" w:hAnsiTheme="minorHAnsi" w:cstheme="minorHAnsi"/>
                <w:sz w:val="18"/>
                <w:szCs w:val="18"/>
                <w:lang w:val="en-US"/>
              </w:rPr>
            </w:pPr>
            <w:r w:rsidRPr="005F120D">
              <w:rPr>
                <w:rFonts w:asciiTheme="minorHAnsi" w:hAnsiTheme="minorHAnsi" w:cstheme="minorHAnsi"/>
                <w:sz w:val="18"/>
                <w:szCs w:val="18"/>
                <w:lang w:val="en-US"/>
              </w:rPr>
              <w:t>Barisal</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3,339</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2,591</w:t>
            </w:r>
          </w:p>
        </w:tc>
        <w:tc>
          <w:tcPr>
            <w:tcW w:w="42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10</w:t>
            </w:r>
          </w:p>
        </w:tc>
        <w:tc>
          <w:tcPr>
            <w:tcW w:w="527"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166</w:t>
            </w:r>
          </w:p>
        </w:tc>
        <w:tc>
          <w:tcPr>
            <w:tcW w:w="40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w:t>
            </w:r>
          </w:p>
        </w:tc>
        <w:tc>
          <w:tcPr>
            <w:tcW w:w="602"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177</w:t>
            </w:r>
          </w:p>
        </w:tc>
        <w:tc>
          <w:tcPr>
            <w:tcW w:w="623"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18</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591</w:t>
            </w:r>
          </w:p>
        </w:tc>
        <w:tc>
          <w:tcPr>
            <w:tcW w:w="522" w:type="pct"/>
            <w:shd w:val="clear" w:color="auto" w:fill="DAEEF3"/>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6,897</w:t>
            </w:r>
          </w:p>
        </w:tc>
      </w:tr>
      <w:tr w:rsidR="00380FDB" w:rsidRPr="005F120D" w:rsidTr="000746CC">
        <w:trPr>
          <w:trHeight w:hRule="exact" w:val="319"/>
        </w:trPr>
        <w:tc>
          <w:tcPr>
            <w:tcW w:w="587" w:type="pct"/>
            <w:shd w:val="clear" w:color="auto" w:fill="auto"/>
            <w:tcMar>
              <w:top w:w="10" w:type="dxa"/>
              <w:left w:w="108" w:type="dxa"/>
              <w:bottom w:w="0" w:type="dxa"/>
              <w:right w:w="108" w:type="dxa"/>
            </w:tcMar>
            <w:vAlign w:val="center"/>
            <w:hideMark/>
          </w:tcPr>
          <w:p w:rsidR="00380FDB" w:rsidRPr="005F120D" w:rsidRDefault="00380FDB" w:rsidP="00A03624">
            <w:pPr>
              <w:pStyle w:val="BodyText"/>
              <w:spacing w:after="0"/>
              <w:jc w:val="both"/>
              <w:rPr>
                <w:rFonts w:asciiTheme="minorHAnsi" w:hAnsiTheme="minorHAnsi" w:cstheme="minorHAnsi"/>
                <w:sz w:val="18"/>
                <w:szCs w:val="18"/>
                <w:lang w:val="en-US"/>
              </w:rPr>
            </w:pPr>
            <w:r w:rsidRPr="005F120D">
              <w:rPr>
                <w:rFonts w:asciiTheme="minorHAnsi" w:hAnsiTheme="minorHAnsi" w:cstheme="minorHAnsi"/>
                <w:sz w:val="18"/>
                <w:szCs w:val="18"/>
                <w:lang w:val="en-US"/>
              </w:rPr>
              <w:t>Chittagong</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7,542</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3,347</w:t>
            </w:r>
          </w:p>
        </w:tc>
        <w:tc>
          <w:tcPr>
            <w:tcW w:w="42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12</w:t>
            </w:r>
          </w:p>
        </w:tc>
        <w:tc>
          <w:tcPr>
            <w:tcW w:w="527"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213</w:t>
            </w:r>
          </w:p>
        </w:tc>
        <w:tc>
          <w:tcPr>
            <w:tcW w:w="40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w:t>
            </w:r>
          </w:p>
        </w:tc>
        <w:tc>
          <w:tcPr>
            <w:tcW w:w="602"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306</w:t>
            </w:r>
          </w:p>
        </w:tc>
        <w:tc>
          <w:tcPr>
            <w:tcW w:w="623"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8</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6,325</w:t>
            </w:r>
          </w:p>
        </w:tc>
        <w:tc>
          <w:tcPr>
            <w:tcW w:w="522" w:type="pct"/>
            <w:shd w:val="clear" w:color="auto" w:fill="DAEEF3"/>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17,754</w:t>
            </w:r>
          </w:p>
        </w:tc>
      </w:tr>
      <w:tr w:rsidR="00380FDB" w:rsidRPr="005F120D" w:rsidTr="000746CC">
        <w:trPr>
          <w:trHeight w:hRule="exact" w:val="319"/>
        </w:trPr>
        <w:tc>
          <w:tcPr>
            <w:tcW w:w="587" w:type="pct"/>
            <w:shd w:val="clear" w:color="auto" w:fill="auto"/>
            <w:tcMar>
              <w:top w:w="10" w:type="dxa"/>
              <w:left w:w="108" w:type="dxa"/>
              <w:bottom w:w="0" w:type="dxa"/>
              <w:right w:w="108" w:type="dxa"/>
            </w:tcMar>
            <w:vAlign w:val="center"/>
            <w:hideMark/>
          </w:tcPr>
          <w:p w:rsidR="00380FDB" w:rsidRPr="005F120D" w:rsidRDefault="00380FDB" w:rsidP="00A03624">
            <w:pPr>
              <w:pStyle w:val="BodyText"/>
              <w:spacing w:after="0"/>
              <w:jc w:val="both"/>
              <w:rPr>
                <w:rFonts w:asciiTheme="minorHAnsi" w:hAnsiTheme="minorHAnsi" w:cstheme="minorHAnsi"/>
                <w:sz w:val="18"/>
                <w:szCs w:val="18"/>
                <w:lang w:val="en-US"/>
              </w:rPr>
            </w:pPr>
            <w:r w:rsidRPr="005F120D">
              <w:rPr>
                <w:rFonts w:asciiTheme="minorHAnsi" w:hAnsiTheme="minorHAnsi" w:cstheme="minorHAnsi"/>
                <w:sz w:val="18"/>
                <w:szCs w:val="18"/>
                <w:lang w:val="en-US"/>
              </w:rPr>
              <w:t>Dhaka</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10,126</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5,212</w:t>
            </w:r>
          </w:p>
        </w:tc>
        <w:tc>
          <w:tcPr>
            <w:tcW w:w="42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29</w:t>
            </w:r>
          </w:p>
        </w:tc>
        <w:tc>
          <w:tcPr>
            <w:tcW w:w="527"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301</w:t>
            </w:r>
          </w:p>
        </w:tc>
        <w:tc>
          <w:tcPr>
            <w:tcW w:w="40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w:t>
            </w:r>
          </w:p>
        </w:tc>
        <w:tc>
          <w:tcPr>
            <w:tcW w:w="602"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245</w:t>
            </w:r>
          </w:p>
        </w:tc>
        <w:tc>
          <w:tcPr>
            <w:tcW w:w="623"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28</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11,268</w:t>
            </w:r>
          </w:p>
        </w:tc>
        <w:tc>
          <w:tcPr>
            <w:tcW w:w="522" w:type="pct"/>
            <w:shd w:val="clear" w:color="auto" w:fill="DAEEF3"/>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27,210</w:t>
            </w:r>
          </w:p>
        </w:tc>
      </w:tr>
      <w:tr w:rsidR="00380FDB" w:rsidRPr="005F120D" w:rsidTr="000746CC">
        <w:trPr>
          <w:trHeight w:hRule="exact" w:val="319"/>
        </w:trPr>
        <w:tc>
          <w:tcPr>
            <w:tcW w:w="587" w:type="pct"/>
            <w:shd w:val="clear" w:color="auto" w:fill="auto"/>
            <w:tcMar>
              <w:top w:w="10" w:type="dxa"/>
              <w:left w:w="108" w:type="dxa"/>
              <w:bottom w:w="0" w:type="dxa"/>
              <w:right w:w="108" w:type="dxa"/>
            </w:tcMar>
            <w:vAlign w:val="center"/>
            <w:hideMark/>
          </w:tcPr>
          <w:p w:rsidR="00380FDB" w:rsidRPr="005F120D" w:rsidRDefault="00380FDB" w:rsidP="00A03624">
            <w:pPr>
              <w:pStyle w:val="BodyText"/>
              <w:spacing w:after="0"/>
              <w:jc w:val="both"/>
              <w:rPr>
                <w:rFonts w:asciiTheme="minorHAnsi" w:hAnsiTheme="minorHAnsi" w:cstheme="minorHAnsi"/>
                <w:sz w:val="18"/>
                <w:szCs w:val="18"/>
                <w:lang w:val="en-US"/>
              </w:rPr>
            </w:pPr>
            <w:r w:rsidRPr="005F120D">
              <w:rPr>
                <w:rFonts w:asciiTheme="minorHAnsi" w:hAnsiTheme="minorHAnsi" w:cstheme="minorHAnsi"/>
                <w:sz w:val="18"/>
                <w:szCs w:val="18"/>
                <w:lang w:val="en-US"/>
              </w:rPr>
              <w:t>Khulna</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4,345</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3,532</w:t>
            </w:r>
          </w:p>
        </w:tc>
        <w:tc>
          <w:tcPr>
            <w:tcW w:w="42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7</w:t>
            </w:r>
          </w:p>
        </w:tc>
        <w:tc>
          <w:tcPr>
            <w:tcW w:w="527"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94</w:t>
            </w:r>
          </w:p>
        </w:tc>
        <w:tc>
          <w:tcPr>
            <w:tcW w:w="40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w:t>
            </w:r>
          </w:p>
        </w:tc>
        <w:tc>
          <w:tcPr>
            <w:tcW w:w="602"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160</w:t>
            </w:r>
          </w:p>
        </w:tc>
        <w:tc>
          <w:tcPr>
            <w:tcW w:w="623"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6</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2,772</w:t>
            </w:r>
          </w:p>
        </w:tc>
        <w:tc>
          <w:tcPr>
            <w:tcW w:w="522" w:type="pct"/>
            <w:shd w:val="clear" w:color="auto" w:fill="DAEEF3"/>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10,919</w:t>
            </w:r>
          </w:p>
        </w:tc>
      </w:tr>
      <w:tr w:rsidR="00380FDB" w:rsidRPr="005F120D" w:rsidTr="000746CC">
        <w:trPr>
          <w:trHeight w:hRule="exact" w:val="319"/>
        </w:trPr>
        <w:tc>
          <w:tcPr>
            <w:tcW w:w="587" w:type="pct"/>
            <w:shd w:val="clear" w:color="auto" w:fill="auto"/>
            <w:tcMar>
              <w:top w:w="10" w:type="dxa"/>
              <w:left w:w="108" w:type="dxa"/>
              <w:bottom w:w="0" w:type="dxa"/>
              <w:right w:w="108" w:type="dxa"/>
            </w:tcMar>
            <w:vAlign w:val="center"/>
            <w:hideMark/>
          </w:tcPr>
          <w:p w:rsidR="00380FDB" w:rsidRPr="005F120D" w:rsidRDefault="00380FDB" w:rsidP="00A03624">
            <w:pPr>
              <w:pStyle w:val="BodyText"/>
              <w:spacing w:after="0"/>
              <w:jc w:val="both"/>
              <w:rPr>
                <w:rFonts w:asciiTheme="minorHAnsi" w:hAnsiTheme="minorHAnsi" w:cstheme="minorHAnsi"/>
                <w:sz w:val="18"/>
                <w:szCs w:val="18"/>
                <w:lang w:val="en-US"/>
              </w:rPr>
            </w:pPr>
            <w:r w:rsidRPr="005F120D">
              <w:rPr>
                <w:rFonts w:asciiTheme="minorHAnsi" w:hAnsiTheme="minorHAnsi" w:cstheme="minorHAnsi"/>
                <w:sz w:val="18"/>
                <w:szCs w:val="18"/>
                <w:lang w:val="en-US"/>
              </w:rPr>
              <w:t>Rajshahi</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4,897</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3,426</w:t>
            </w:r>
          </w:p>
        </w:tc>
        <w:tc>
          <w:tcPr>
            <w:tcW w:w="42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w:t>
            </w:r>
          </w:p>
        </w:tc>
        <w:tc>
          <w:tcPr>
            <w:tcW w:w="527"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144</w:t>
            </w:r>
          </w:p>
        </w:tc>
        <w:tc>
          <w:tcPr>
            <w:tcW w:w="40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w:t>
            </w:r>
          </w:p>
        </w:tc>
        <w:tc>
          <w:tcPr>
            <w:tcW w:w="602"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182</w:t>
            </w:r>
          </w:p>
        </w:tc>
        <w:tc>
          <w:tcPr>
            <w:tcW w:w="623"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3,859</w:t>
            </w:r>
          </w:p>
        </w:tc>
        <w:tc>
          <w:tcPr>
            <w:tcW w:w="522" w:type="pct"/>
            <w:shd w:val="clear" w:color="auto" w:fill="DAEEF3"/>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12,517</w:t>
            </w:r>
          </w:p>
        </w:tc>
      </w:tr>
      <w:tr w:rsidR="00380FDB" w:rsidRPr="005F120D" w:rsidTr="000746CC">
        <w:trPr>
          <w:trHeight w:hRule="exact" w:val="319"/>
        </w:trPr>
        <w:tc>
          <w:tcPr>
            <w:tcW w:w="587" w:type="pct"/>
            <w:shd w:val="clear" w:color="auto" w:fill="auto"/>
            <w:tcMar>
              <w:top w:w="10" w:type="dxa"/>
              <w:left w:w="108" w:type="dxa"/>
              <w:bottom w:w="0" w:type="dxa"/>
              <w:right w:w="108" w:type="dxa"/>
            </w:tcMar>
            <w:vAlign w:val="center"/>
            <w:hideMark/>
          </w:tcPr>
          <w:p w:rsidR="00380FDB" w:rsidRPr="005F120D" w:rsidRDefault="00380FDB" w:rsidP="00A03624">
            <w:pPr>
              <w:pStyle w:val="BodyText"/>
              <w:spacing w:after="0"/>
              <w:jc w:val="both"/>
              <w:rPr>
                <w:rFonts w:asciiTheme="minorHAnsi" w:hAnsiTheme="minorHAnsi" w:cstheme="minorHAnsi"/>
                <w:sz w:val="18"/>
                <w:szCs w:val="18"/>
                <w:lang w:val="en-US"/>
              </w:rPr>
            </w:pPr>
            <w:r w:rsidRPr="005F120D">
              <w:rPr>
                <w:rFonts w:asciiTheme="minorHAnsi" w:hAnsiTheme="minorHAnsi" w:cstheme="minorHAnsi"/>
                <w:sz w:val="18"/>
                <w:szCs w:val="18"/>
                <w:lang w:val="en-US"/>
              </w:rPr>
              <w:t>Rangpur</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4,378</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4,468</w:t>
            </w:r>
          </w:p>
        </w:tc>
        <w:tc>
          <w:tcPr>
            <w:tcW w:w="42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9</w:t>
            </w:r>
          </w:p>
        </w:tc>
        <w:tc>
          <w:tcPr>
            <w:tcW w:w="527"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278</w:t>
            </w:r>
          </w:p>
        </w:tc>
        <w:tc>
          <w:tcPr>
            <w:tcW w:w="40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w:t>
            </w:r>
          </w:p>
        </w:tc>
        <w:tc>
          <w:tcPr>
            <w:tcW w:w="602"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64</w:t>
            </w:r>
          </w:p>
        </w:tc>
        <w:tc>
          <w:tcPr>
            <w:tcW w:w="623"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7</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1,962</w:t>
            </w:r>
          </w:p>
        </w:tc>
        <w:tc>
          <w:tcPr>
            <w:tcW w:w="522" w:type="pct"/>
            <w:shd w:val="clear" w:color="auto" w:fill="DAEEF3"/>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11,167</w:t>
            </w:r>
          </w:p>
        </w:tc>
      </w:tr>
      <w:tr w:rsidR="00380FDB" w:rsidRPr="005F120D" w:rsidTr="000746CC">
        <w:trPr>
          <w:trHeight w:hRule="exact" w:val="319"/>
        </w:trPr>
        <w:tc>
          <w:tcPr>
            <w:tcW w:w="587" w:type="pct"/>
            <w:shd w:val="clear" w:color="auto" w:fill="auto"/>
            <w:tcMar>
              <w:top w:w="10" w:type="dxa"/>
              <w:left w:w="108" w:type="dxa"/>
              <w:bottom w:w="0" w:type="dxa"/>
              <w:right w:w="108" w:type="dxa"/>
            </w:tcMar>
            <w:vAlign w:val="center"/>
            <w:hideMark/>
          </w:tcPr>
          <w:p w:rsidR="00380FDB" w:rsidRPr="005F120D" w:rsidRDefault="00380FDB" w:rsidP="00A03624">
            <w:pPr>
              <w:pStyle w:val="BodyText"/>
              <w:spacing w:after="0"/>
              <w:jc w:val="both"/>
              <w:rPr>
                <w:rFonts w:asciiTheme="minorHAnsi" w:hAnsiTheme="minorHAnsi" w:cstheme="minorHAnsi"/>
                <w:sz w:val="18"/>
                <w:szCs w:val="18"/>
                <w:lang w:val="en-US"/>
              </w:rPr>
            </w:pPr>
            <w:r w:rsidRPr="005F120D">
              <w:rPr>
                <w:rFonts w:asciiTheme="minorHAnsi" w:hAnsiTheme="minorHAnsi" w:cstheme="minorHAnsi"/>
                <w:sz w:val="18"/>
                <w:szCs w:val="18"/>
                <w:lang w:val="en-US"/>
              </w:rPr>
              <w:t>Sylhet</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3,358</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1,373</w:t>
            </w:r>
          </w:p>
        </w:tc>
        <w:tc>
          <w:tcPr>
            <w:tcW w:w="42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21</w:t>
            </w:r>
          </w:p>
        </w:tc>
        <w:tc>
          <w:tcPr>
            <w:tcW w:w="527"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82</w:t>
            </w:r>
          </w:p>
        </w:tc>
        <w:tc>
          <w:tcPr>
            <w:tcW w:w="401"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p>
        </w:tc>
        <w:tc>
          <w:tcPr>
            <w:tcW w:w="602"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57</w:t>
            </w:r>
          </w:p>
        </w:tc>
        <w:tc>
          <w:tcPr>
            <w:tcW w:w="623"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12</w:t>
            </w:r>
          </w:p>
        </w:tc>
        <w:tc>
          <w:tcPr>
            <w:tcW w:w="439" w:type="pct"/>
            <w:shd w:val="clear" w:color="auto" w:fill="auto"/>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1,880</w:t>
            </w:r>
          </w:p>
        </w:tc>
        <w:tc>
          <w:tcPr>
            <w:tcW w:w="522" w:type="pct"/>
            <w:shd w:val="clear" w:color="auto" w:fill="DAEEF3"/>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color w:val="000000"/>
                <w:sz w:val="16"/>
                <w:szCs w:val="16"/>
              </w:rPr>
            </w:pPr>
            <w:r w:rsidRPr="005F120D">
              <w:rPr>
                <w:rFonts w:asciiTheme="minorHAnsi" w:hAnsiTheme="minorHAnsi" w:cstheme="minorHAnsi"/>
                <w:color w:val="000000"/>
                <w:sz w:val="16"/>
                <w:szCs w:val="16"/>
              </w:rPr>
              <w:t>6,783</w:t>
            </w:r>
          </w:p>
        </w:tc>
      </w:tr>
      <w:tr w:rsidR="00380FDB" w:rsidRPr="005F120D" w:rsidTr="000746CC">
        <w:trPr>
          <w:trHeight w:hRule="exact" w:val="319"/>
        </w:trPr>
        <w:tc>
          <w:tcPr>
            <w:tcW w:w="587" w:type="pct"/>
            <w:shd w:val="clear" w:color="auto" w:fill="DBEEF4"/>
            <w:tcMar>
              <w:top w:w="10" w:type="dxa"/>
              <w:left w:w="108" w:type="dxa"/>
              <w:bottom w:w="0" w:type="dxa"/>
              <w:right w:w="108" w:type="dxa"/>
            </w:tcMar>
            <w:vAlign w:val="center"/>
            <w:hideMark/>
          </w:tcPr>
          <w:p w:rsidR="00380FDB" w:rsidRPr="005F120D" w:rsidRDefault="00380FDB" w:rsidP="00A03624">
            <w:pPr>
              <w:pStyle w:val="BodyText"/>
              <w:spacing w:after="0"/>
              <w:jc w:val="both"/>
              <w:rPr>
                <w:rFonts w:asciiTheme="minorHAnsi" w:hAnsiTheme="minorHAnsi" w:cstheme="minorHAnsi"/>
                <w:b/>
                <w:sz w:val="18"/>
                <w:szCs w:val="18"/>
                <w:lang w:val="en-US"/>
              </w:rPr>
            </w:pPr>
            <w:r w:rsidRPr="005F120D">
              <w:rPr>
                <w:rFonts w:asciiTheme="minorHAnsi" w:hAnsiTheme="minorHAnsi" w:cstheme="minorHAnsi"/>
                <w:bCs/>
                <w:sz w:val="18"/>
                <w:szCs w:val="18"/>
                <w:lang w:val="en-US"/>
              </w:rPr>
              <w:t>Total</w:t>
            </w:r>
          </w:p>
        </w:tc>
        <w:tc>
          <w:tcPr>
            <w:tcW w:w="439" w:type="pct"/>
            <w:shd w:val="clear" w:color="auto" w:fill="DBEEF4"/>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b/>
                <w:color w:val="000000"/>
                <w:sz w:val="16"/>
                <w:szCs w:val="16"/>
              </w:rPr>
            </w:pPr>
            <w:r w:rsidRPr="005F120D">
              <w:rPr>
                <w:rFonts w:asciiTheme="minorHAnsi" w:hAnsiTheme="minorHAnsi" w:cstheme="minorHAnsi"/>
                <w:b/>
                <w:color w:val="000000"/>
                <w:sz w:val="16"/>
                <w:szCs w:val="16"/>
              </w:rPr>
              <w:t>37,985</w:t>
            </w:r>
          </w:p>
        </w:tc>
        <w:tc>
          <w:tcPr>
            <w:tcW w:w="439" w:type="pct"/>
            <w:shd w:val="clear" w:color="auto" w:fill="DBEEF4"/>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b/>
                <w:color w:val="000000"/>
                <w:sz w:val="16"/>
                <w:szCs w:val="16"/>
              </w:rPr>
            </w:pPr>
            <w:r w:rsidRPr="005F120D">
              <w:rPr>
                <w:rFonts w:asciiTheme="minorHAnsi" w:hAnsiTheme="minorHAnsi" w:cstheme="minorHAnsi"/>
                <w:b/>
                <w:color w:val="000000"/>
                <w:sz w:val="16"/>
                <w:szCs w:val="16"/>
              </w:rPr>
              <w:t>23,949</w:t>
            </w:r>
          </w:p>
        </w:tc>
        <w:tc>
          <w:tcPr>
            <w:tcW w:w="421" w:type="pct"/>
            <w:shd w:val="clear" w:color="auto" w:fill="DBEEF4"/>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b/>
                <w:color w:val="000000"/>
                <w:sz w:val="16"/>
                <w:szCs w:val="16"/>
              </w:rPr>
            </w:pPr>
            <w:r w:rsidRPr="005F120D">
              <w:rPr>
                <w:rFonts w:asciiTheme="minorHAnsi" w:hAnsiTheme="minorHAnsi" w:cstheme="minorHAnsi"/>
                <w:b/>
                <w:color w:val="000000"/>
                <w:sz w:val="16"/>
                <w:szCs w:val="16"/>
              </w:rPr>
              <w:t>92</w:t>
            </w:r>
          </w:p>
        </w:tc>
        <w:tc>
          <w:tcPr>
            <w:tcW w:w="527" w:type="pct"/>
            <w:shd w:val="clear" w:color="auto" w:fill="DBEEF4"/>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b/>
                <w:color w:val="000000"/>
                <w:sz w:val="16"/>
                <w:szCs w:val="16"/>
              </w:rPr>
            </w:pPr>
            <w:r w:rsidRPr="005F120D">
              <w:rPr>
                <w:rFonts w:asciiTheme="minorHAnsi" w:hAnsiTheme="minorHAnsi" w:cstheme="minorHAnsi"/>
                <w:b/>
                <w:color w:val="000000"/>
                <w:sz w:val="16"/>
                <w:szCs w:val="16"/>
              </w:rPr>
              <w:t>1,278</w:t>
            </w:r>
          </w:p>
        </w:tc>
        <w:tc>
          <w:tcPr>
            <w:tcW w:w="401" w:type="pct"/>
            <w:shd w:val="clear" w:color="auto" w:fill="DBEEF4"/>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b/>
                <w:color w:val="000000"/>
                <w:sz w:val="16"/>
                <w:szCs w:val="16"/>
              </w:rPr>
            </w:pPr>
            <w:r w:rsidRPr="005F120D">
              <w:rPr>
                <w:rFonts w:asciiTheme="minorHAnsi" w:hAnsiTheme="minorHAnsi" w:cstheme="minorHAnsi"/>
                <w:b/>
                <w:color w:val="000000"/>
                <w:sz w:val="16"/>
                <w:szCs w:val="16"/>
              </w:rPr>
              <w:t>13</w:t>
            </w:r>
          </w:p>
        </w:tc>
        <w:tc>
          <w:tcPr>
            <w:tcW w:w="602" w:type="pct"/>
            <w:shd w:val="clear" w:color="auto" w:fill="DBEEF4"/>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b/>
                <w:color w:val="000000"/>
                <w:sz w:val="16"/>
                <w:szCs w:val="16"/>
              </w:rPr>
            </w:pPr>
            <w:r w:rsidRPr="005F120D">
              <w:rPr>
                <w:rFonts w:asciiTheme="minorHAnsi" w:hAnsiTheme="minorHAnsi" w:cstheme="minorHAnsi"/>
                <w:b/>
                <w:color w:val="000000"/>
                <w:sz w:val="16"/>
                <w:szCs w:val="16"/>
              </w:rPr>
              <w:t>1,191</w:t>
            </w:r>
          </w:p>
        </w:tc>
        <w:tc>
          <w:tcPr>
            <w:tcW w:w="623" w:type="pct"/>
            <w:shd w:val="clear" w:color="auto" w:fill="DBEEF4"/>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b/>
                <w:color w:val="000000"/>
                <w:sz w:val="16"/>
                <w:szCs w:val="16"/>
              </w:rPr>
            </w:pPr>
            <w:r w:rsidRPr="005F120D">
              <w:rPr>
                <w:rFonts w:asciiTheme="minorHAnsi" w:hAnsiTheme="minorHAnsi" w:cstheme="minorHAnsi"/>
                <w:b/>
                <w:color w:val="000000"/>
                <w:sz w:val="16"/>
                <w:szCs w:val="16"/>
              </w:rPr>
              <w:t>82</w:t>
            </w:r>
          </w:p>
        </w:tc>
        <w:tc>
          <w:tcPr>
            <w:tcW w:w="439" w:type="pct"/>
            <w:shd w:val="clear" w:color="auto" w:fill="DBEEF4"/>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b/>
                <w:color w:val="000000"/>
                <w:sz w:val="16"/>
                <w:szCs w:val="16"/>
              </w:rPr>
            </w:pPr>
            <w:r w:rsidRPr="005F120D">
              <w:rPr>
                <w:rFonts w:asciiTheme="minorHAnsi" w:hAnsiTheme="minorHAnsi" w:cstheme="minorHAnsi"/>
                <w:b/>
                <w:color w:val="000000"/>
                <w:sz w:val="16"/>
                <w:szCs w:val="16"/>
              </w:rPr>
              <w:t>28,657</w:t>
            </w:r>
          </w:p>
        </w:tc>
        <w:tc>
          <w:tcPr>
            <w:tcW w:w="522" w:type="pct"/>
            <w:shd w:val="clear" w:color="auto" w:fill="DAEEF3"/>
            <w:tcMar>
              <w:top w:w="10" w:type="dxa"/>
              <w:left w:w="108" w:type="dxa"/>
              <w:bottom w:w="0" w:type="dxa"/>
              <w:right w:w="108" w:type="dxa"/>
            </w:tcMar>
            <w:vAlign w:val="center"/>
            <w:hideMark/>
          </w:tcPr>
          <w:p w:rsidR="00380FDB" w:rsidRPr="005F120D" w:rsidRDefault="00380FDB" w:rsidP="00A03624">
            <w:pPr>
              <w:spacing w:after="0"/>
              <w:jc w:val="right"/>
              <w:rPr>
                <w:rFonts w:asciiTheme="minorHAnsi" w:hAnsiTheme="minorHAnsi" w:cstheme="minorHAnsi"/>
                <w:b/>
                <w:color w:val="000000"/>
                <w:sz w:val="16"/>
                <w:szCs w:val="16"/>
              </w:rPr>
            </w:pPr>
            <w:r w:rsidRPr="005F120D">
              <w:rPr>
                <w:rFonts w:asciiTheme="minorHAnsi" w:hAnsiTheme="minorHAnsi" w:cstheme="minorHAnsi"/>
                <w:b/>
                <w:color w:val="000000"/>
                <w:sz w:val="16"/>
                <w:szCs w:val="16"/>
              </w:rPr>
              <w:t>93,247</w:t>
            </w:r>
          </w:p>
        </w:tc>
      </w:tr>
    </w:tbl>
    <w:p w:rsidR="00380FDB" w:rsidRPr="005F120D" w:rsidRDefault="00087310" w:rsidP="00C437AA">
      <w:pPr>
        <w:spacing w:line="276" w:lineRule="auto"/>
        <w:rPr>
          <w:rFonts w:asciiTheme="minorHAnsi" w:hAnsiTheme="minorHAnsi" w:cstheme="minorHAnsi"/>
          <w:b/>
          <w:sz w:val="16"/>
          <w:szCs w:val="16"/>
        </w:rPr>
      </w:pPr>
      <w:r w:rsidRPr="005F120D">
        <w:rPr>
          <w:rFonts w:asciiTheme="minorHAnsi" w:hAnsiTheme="minorHAnsi" w:cstheme="minorHAnsi"/>
          <w:b/>
          <w:sz w:val="16"/>
          <w:szCs w:val="16"/>
        </w:rPr>
        <w:t>Source: APSC 2015</w:t>
      </w:r>
    </w:p>
    <w:p w:rsidR="008109D6" w:rsidRPr="005F120D" w:rsidRDefault="00775F33" w:rsidP="000746CC">
      <w:pPr>
        <w:autoSpaceDE w:val="0"/>
        <w:autoSpaceDN w:val="0"/>
        <w:adjustRightInd w:val="0"/>
        <w:spacing w:line="276" w:lineRule="auto"/>
        <w:jc w:val="both"/>
        <w:rPr>
          <w:rFonts w:asciiTheme="minorHAnsi" w:hAnsiTheme="minorHAnsi" w:cstheme="minorHAnsi"/>
        </w:rPr>
      </w:pPr>
      <w:r w:rsidRPr="005F120D">
        <w:rPr>
          <w:rFonts w:asciiTheme="minorHAnsi" w:hAnsiTheme="minorHAnsi" w:cstheme="minorHAnsi"/>
          <w:spacing w:val="2"/>
        </w:rPr>
        <w:t xml:space="preserve">The NCTB is responsible for developed teaching/learning materials (textbook and exercise book for each child) based on the MoPME approved PPE curriculum. </w:t>
      </w:r>
      <w:r w:rsidRPr="005F120D">
        <w:rPr>
          <w:rFonts w:asciiTheme="minorHAnsi" w:hAnsiTheme="minorHAnsi" w:cstheme="minorHAnsi"/>
        </w:rPr>
        <w:t xml:space="preserve">Accordingly, NAPE has finalized the PPE Teachers’ Training Manual in collaboration with NCTB and resource persons from NGOs. Every GPS has received </w:t>
      </w:r>
      <w:r w:rsidRPr="005F120D">
        <w:rPr>
          <w:rFonts w:asciiTheme="minorHAnsi" w:hAnsiTheme="minorHAnsi" w:cstheme="minorHAnsi"/>
          <w:spacing w:val="2"/>
        </w:rPr>
        <w:t>Tk. 5,000 for procurement and prepar</w:t>
      </w:r>
      <w:r w:rsidR="001A7D86" w:rsidRPr="005F120D">
        <w:rPr>
          <w:rFonts w:asciiTheme="minorHAnsi" w:hAnsiTheme="minorHAnsi" w:cstheme="minorHAnsi"/>
          <w:spacing w:val="2"/>
        </w:rPr>
        <w:t>ation of supplementary teaching/</w:t>
      </w:r>
      <w:r w:rsidRPr="005F120D">
        <w:rPr>
          <w:rFonts w:asciiTheme="minorHAnsi" w:hAnsiTheme="minorHAnsi" w:cstheme="minorHAnsi"/>
          <w:spacing w:val="2"/>
        </w:rPr>
        <w:t>learning materials from the PPE operational allocation. The Government has created 37,672 additional posts of assistant teachers (one for each GPS) for PPE classes: the recruitment of assistant teachers (22,000 in 2014) and (13,974 in 2015) has almost been completed. In addition, DPE is planning to create and recruit a further 25,800 pre-primary teacher posts for NNPS. The DPE has provided a one-day PPE orientation training for all field level officials, including Head Teachers of all GPS, NNPS and Community Schools. At least 22,000 newly recruited PPE teachers have been given a two weeks course, and 105 Master or Core Trainers have been developed and trained with technical support from UNICEF</w:t>
      </w:r>
      <w:r w:rsidR="002613FB" w:rsidRPr="005F120D">
        <w:rPr>
          <w:rFonts w:asciiTheme="minorHAnsi" w:hAnsiTheme="minorHAnsi" w:cstheme="minorHAnsi"/>
        </w:rPr>
        <w:t>.</w:t>
      </w:r>
    </w:p>
    <w:p w:rsidR="003610D9" w:rsidRPr="005F120D" w:rsidRDefault="003610D9" w:rsidP="000746CC">
      <w:pPr>
        <w:autoSpaceDE w:val="0"/>
        <w:autoSpaceDN w:val="0"/>
        <w:adjustRightInd w:val="0"/>
        <w:spacing w:line="276" w:lineRule="auto"/>
        <w:jc w:val="both"/>
        <w:rPr>
          <w:rFonts w:asciiTheme="minorHAnsi" w:hAnsiTheme="minorHAnsi" w:cstheme="minorHAnsi"/>
        </w:rPr>
      </w:pPr>
      <w:r w:rsidRPr="005F120D">
        <w:rPr>
          <w:rFonts w:asciiTheme="minorHAnsi" w:hAnsiTheme="minorHAnsi" w:cstheme="minorHAnsi"/>
        </w:rPr>
        <w:t>Table 3.14</w:t>
      </w:r>
      <w:r w:rsidR="001B47FC" w:rsidRPr="005F120D">
        <w:rPr>
          <w:rFonts w:asciiTheme="minorHAnsi" w:hAnsiTheme="minorHAnsi" w:cstheme="minorHAnsi"/>
        </w:rPr>
        <w:t xml:space="preserve"> shows the pre-primary enrolment in the pre-primary class in GPS and NNPS. The total enrolment increased by 73% from 2010 </w:t>
      </w:r>
      <w:r w:rsidR="000746CC" w:rsidRPr="005F120D">
        <w:rPr>
          <w:rFonts w:asciiTheme="minorHAnsi" w:hAnsiTheme="minorHAnsi" w:cstheme="minorHAnsi"/>
        </w:rPr>
        <w:t>to 2011.  In 2015, there were 1,</w:t>
      </w:r>
      <w:r w:rsidR="001B47FC" w:rsidRPr="005F120D">
        <w:rPr>
          <w:rFonts w:asciiTheme="minorHAnsi" w:hAnsiTheme="minorHAnsi" w:cstheme="minorHAnsi"/>
        </w:rPr>
        <w:t>62</w:t>
      </w:r>
      <w:r w:rsidR="000746CC" w:rsidRPr="005F120D">
        <w:rPr>
          <w:rFonts w:asciiTheme="minorHAnsi" w:hAnsiTheme="minorHAnsi" w:cstheme="minorHAnsi"/>
        </w:rPr>
        <w:t>1,247 (GPS 1,108,310 and NNPS 512,937)</w:t>
      </w:r>
      <w:r w:rsidR="001B47FC" w:rsidRPr="005F120D">
        <w:rPr>
          <w:rFonts w:asciiTheme="minorHAnsi" w:hAnsiTheme="minorHAnsi" w:cstheme="minorHAnsi"/>
        </w:rPr>
        <w:t xml:space="preserve"> pre-primary ch</w:t>
      </w:r>
      <w:r w:rsidRPr="005F120D">
        <w:rPr>
          <w:rFonts w:asciiTheme="minorHAnsi" w:hAnsiTheme="minorHAnsi" w:cstheme="minorHAnsi"/>
        </w:rPr>
        <w:t>ildren in GPS/NNPS (all types 2,</w:t>
      </w:r>
      <w:r w:rsidR="001B47FC" w:rsidRPr="005F120D">
        <w:rPr>
          <w:rFonts w:asciiTheme="minorHAnsi" w:hAnsiTheme="minorHAnsi" w:cstheme="minorHAnsi"/>
        </w:rPr>
        <w:t>86</w:t>
      </w:r>
      <w:r w:rsidRPr="005F120D">
        <w:rPr>
          <w:rFonts w:asciiTheme="minorHAnsi" w:hAnsiTheme="minorHAnsi" w:cstheme="minorHAnsi"/>
        </w:rPr>
        <w:t>4,877</w:t>
      </w:r>
      <w:r w:rsidR="001A7D86" w:rsidRPr="005F120D">
        <w:rPr>
          <w:rFonts w:asciiTheme="minorHAnsi" w:hAnsiTheme="minorHAnsi" w:cstheme="minorHAnsi"/>
        </w:rPr>
        <w:t xml:space="preserve">) </w:t>
      </w:r>
      <w:r w:rsidR="001B47FC" w:rsidRPr="005F120D">
        <w:rPr>
          <w:rFonts w:asciiTheme="minorHAnsi" w:hAnsiTheme="minorHAnsi" w:cstheme="minorHAnsi"/>
        </w:rPr>
        <w:t xml:space="preserve">- nearly double the enrolment of the PEDP3 baseline year 2010. Almost 100% of the GPS and 91% of NNPS are now offering pre-primary classes. About </w:t>
      </w:r>
      <w:r w:rsidR="000746CC" w:rsidRPr="005F120D">
        <w:rPr>
          <w:rFonts w:asciiTheme="minorHAnsi" w:hAnsiTheme="minorHAnsi" w:cstheme="minorHAnsi"/>
        </w:rPr>
        <w:t>1,243,630</w:t>
      </w:r>
      <w:r w:rsidR="001B47FC" w:rsidRPr="005F120D">
        <w:rPr>
          <w:rFonts w:asciiTheme="minorHAnsi" w:hAnsiTheme="minorHAnsi" w:cstheme="minorHAnsi"/>
        </w:rPr>
        <w:t xml:space="preserve"> children are receiving pre-primary education from other types of schools including NGOs and Kindergartens</w:t>
      </w:r>
      <w:r w:rsidR="000746CC" w:rsidRPr="005F120D">
        <w:rPr>
          <w:rFonts w:asciiTheme="minorHAnsi" w:hAnsiTheme="minorHAnsi" w:cstheme="minorHAnsi"/>
        </w:rPr>
        <w:t xml:space="preserve"> as stated in the APSC 2015 report</w:t>
      </w:r>
      <w:r w:rsidRPr="005F120D">
        <w:rPr>
          <w:rFonts w:asciiTheme="minorHAnsi" w:hAnsiTheme="minorHAnsi" w:cstheme="minorHAnsi"/>
        </w:rPr>
        <w:t>.</w:t>
      </w:r>
    </w:p>
    <w:p w:rsidR="003610D9" w:rsidRPr="005F120D" w:rsidRDefault="003610D9" w:rsidP="00A03624">
      <w:pPr>
        <w:autoSpaceDE w:val="0"/>
        <w:autoSpaceDN w:val="0"/>
        <w:adjustRightInd w:val="0"/>
        <w:jc w:val="both"/>
        <w:rPr>
          <w:rFonts w:asciiTheme="minorHAnsi" w:hAnsiTheme="minorHAnsi" w:cstheme="minorHAnsi"/>
        </w:rPr>
      </w:pPr>
    </w:p>
    <w:p w:rsidR="00FC2FCD" w:rsidRPr="005F120D" w:rsidRDefault="00754A38" w:rsidP="00C437AA">
      <w:pPr>
        <w:pStyle w:val="Caption"/>
        <w:spacing w:line="276" w:lineRule="auto"/>
        <w:rPr>
          <w:rFonts w:cstheme="minorHAnsi"/>
        </w:rPr>
      </w:pPr>
      <w:bookmarkStart w:id="321" w:name="_Ref386807461"/>
      <w:bookmarkStart w:id="322" w:name="_Ref331064239"/>
      <w:bookmarkStart w:id="323" w:name="_Toc338839600"/>
      <w:bookmarkStart w:id="324" w:name="_Toc462837271"/>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14</w:t>
      </w:r>
      <w:r w:rsidR="002E2ED5" w:rsidRPr="005F120D">
        <w:rPr>
          <w:rFonts w:cstheme="minorHAnsi"/>
        </w:rPr>
        <w:fldChar w:fldCharType="end"/>
      </w:r>
      <w:bookmarkEnd w:id="321"/>
      <w:r w:rsidR="006A7739" w:rsidRPr="005F120D">
        <w:rPr>
          <w:rFonts w:cstheme="minorHAnsi"/>
        </w:rPr>
        <w:t>:</w:t>
      </w:r>
      <w:r w:rsidR="005912AD">
        <w:rPr>
          <w:rFonts w:cstheme="minorHAnsi"/>
        </w:rPr>
        <w:t xml:space="preserve"> </w:t>
      </w:r>
      <w:r w:rsidR="004B53A0" w:rsidRPr="005F120D">
        <w:rPr>
          <w:rFonts w:cstheme="minorHAnsi"/>
        </w:rPr>
        <w:t>Enrolment</w:t>
      </w:r>
      <w:r w:rsidR="00920E7E" w:rsidRPr="005F120D">
        <w:rPr>
          <w:rFonts w:cstheme="minorHAnsi"/>
        </w:rPr>
        <w:t xml:space="preserve"> in Pre-primary E</w:t>
      </w:r>
      <w:r w:rsidR="008109D6" w:rsidRPr="005F120D">
        <w:rPr>
          <w:rFonts w:cstheme="minorHAnsi"/>
        </w:rPr>
        <w:t xml:space="preserve">ducation (GPS and </w:t>
      </w:r>
      <w:r w:rsidR="003C42F2" w:rsidRPr="005F120D">
        <w:rPr>
          <w:rFonts w:cstheme="minorHAnsi"/>
        </w:rPr>
        <w:t>NNPS</w:t>
      </w:r>
      <w:r w:rsidR="002613FB" w:rsidRPr="005F120D">
        <w:rPr>
          <w:rFonts w:cstheme="minorHAnsi"/>
        </w:rPr>
        <w:t xml:space="preserve"> only</w:t>
      </w:r>
      <w:r w:rsidR="007D4681" w:rsidRPr="005F120D">
        <w:rPr>
          <w:rFonts w:cstheme="minorHAnsi"/>
        </w:rPr>
        <w:t>)</w:t>
      </w:r>
      <w:r w:rsidR="008109D6" w:rsidRPr="005F120D">
        <w:rPr>
          <w:rFonts w:cstheme="minorHAnsi"/>
        </w:rPr>
        <w:t xml:space="preserve"> 2010- 201</w:t>
      </w:r>
      <w:bookmarkEnd w:id="322"/>
      <w:bookmarkEnd w:id="323"/>
      <w:r w:rsidR="003B3BB8" w:rsidRPr="005F120D">
        <w:rPr>
          <w:rFonts w:cstheme="minorHAnsi"/>
        </w:rPr>
        <w:t>5</w:t>
      </w:r>
      <w:bookmarkEnd w:id="324"/>
    </w:p>
    <w:tbl>
      <w:tblPr>
        <w:tblW w:w="5000"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640"/>
        <w:gridCol w:w="1037"/>
        <w:gridCol w:w="891"/>
        <w:gridCol w:w="891"/>
        <w:gridCol w:w="891"/>
        <w:gridCol w:w="891"/>
        <w:gridCol w:w="891"/>
        <w:gridCol w:w="1071"/>
        <w:gridCol w:w="1021"/>
        <w:gridCol w:w="1021"/>
      </w:tblGrid>
      <w:tr w:rsidR="00EA3172" w:rsidRPr="005F120D" w:rsidTr="008F38B4">
        <w:trPr>
          <w:trHeight w:hRule="exact" w:val="302"/>
        </w:trPr>
        <w:tc>
          <w:tcPr>
            <w:tcW w:w="346" w:type="pct"/>
            <w:vMerge w:val="restart"/>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p>
        </w:tc>
        <w:tc>
          <w:tcPr>
            <w:tcW w:w="1525" w:type="pct"/>
            <w:gridSpan w:val="3"/>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GPS</w:t>
            </w:r>
          </w:p>
        </w:tc>
        <w:tc>
          <w:tcPr>
            <w:tcW w:w="1446" w:type="pct"/>
            <w:gridSpan w:val="3"/>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NNPS</w:t>
            </w:r>
          </w:p>
        </w:tc>
        <w:tc>
          <w:tcPr>
            <w:tcW w:w="1684" w:type="pct"/>
            <w:gridSpan w:val="3"/>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Total</w:t>
            </w:r>
            <w:r w:rsidR="00464FE4">
              <w:rPr>
                <w:rFonts w:asciiTheme="minorHAnsi" w:hAnsiTheme="minorHAnsi" w:cstheme="minorHAnsi"/>
                <w:sz w:val="18"/>
                <w:szCs w:val="18"/>
                <w:lang w:eastAsia="en-US"/>
              </w:rPr>
              <w:t xml:space="preserve"> </w:t>
            </w:r>
            <w:r w:rsidR="000426D8" w:rsidRPr="005F120D">
              <w:rPr>
                <w:rFonts w:asciiTheme="minorHAnsi" w:hAnsiTheme="minorHAnsi" w:cstheme="minorHAnsi"/>
                <w:sz w:val="18"/>
                <w:szCs w:val="18"/>
                <w:lang w:eastAsia="en-US"/>
              </w:rPr>
              <w:t>GPS and NNPS</w:t>
            </w:r>
          </w:p>
        </w:tc>
      </w:tr>
      <w:tr w:rsidR="00814CEC" w:rsidRPr="005F120D" w:rsidTr="008F38B4">
        <w:trPr>
          <w:trHeight w:hRule="exact" w:val="302"/>
        </w:trPr>
        <w:tc>
          <w:tcPr>
            <w:tcW w:w="346" w:type="pct"/>
            <w:vMerge/>
            <w:shd w:val="clear" w:color="auto" w:fill="B6DDE8" w:themeFill="accent5" w:themeFillTint="66"/>
            <w:hideMark/>
          </w:tcPr>
          <w:p w:rsidR="00FC2FCD" w:rsidRPr="005F120D" w:rsidRDefault="00FC2FCD" w:rsidP="00A03624">
            <w:pPr>
              <w:spacing w:after="0"/>
              <w:jc w:val="center"/>
              <w:rPr>
                <w:rFonts w:asciiTheme="minorHAnsi" w:hAnsiTheme="minorHAnsi" w:cstheme="minorHAnsi"/>
                <w:sz w:val="18"/>
                <w:szCs w:val="18"/>
                <w:lang w:eastAsia="en-US"/>
              </w:rPr>
            </w:pPr>
          </w:p>
        </w:tc>
        <w:tc>
          <w:tcPr>
            <w:tcW w:w="561" w:type="pct"/>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Total</w:t>
            </w:r>
          </w:p>
        </w:tc>
        <w:tc>
          <w:tcPr>
            <w:tcW w:w="482" w:type="pct"/>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Boys</w:t>
            </w:r>
          </w:p>
        </w:tc>
        <w:tc>
          <w:tcPr>
            <w:tcW w:w="482" w:type="pct"/>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Girls</w:t>
            </w:r>
          </w:p>
        </w:tc>
        <w:tc>
          <w:tcPr>
            <w:tcW w:w="482" w:type="pct"/>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Total</w:t>
            </w:r>
          </w:p>
        </w:tc>
        <w:tc>
          <w:tcPr>
            <w:tcW w:w="482" w:type="pct"/>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Boys</w:t>
            </w:r>
          </w:p>
        </w:tc>
        <w:tc>
          <w:tcPr>
            <w:tcW w:w="482" w:type="pct"/>
            <w:shd w:val="clear" w:color="auto" w:fill="B6DDE8" w:themeFill="accent5" w:themeFillTint="66"/>
            <w:noWrap/>
            <w:hideMark/>
          </w:tcPr>
          <w:p w:rsidR="00FC2FCD" w:rsidRPr="005F120D" w:rsidRDefault="00814CEC"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Girls</w:t>
            </w:r>
          </w:p>
        </w:tc>
        <w:tc>
          <w:tcPr>
            <w:tcW w:w="579" w:type="pct"/>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Total</w:t>
            </w:r>
          </w:p>
        </w:tc>
        <w:tc>
          <w:tcPr>
            <w:tcW w:w="552" w:type="pct"/>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Boys</w:t>
            </w:r>
          </w:p>
        </w:tc>
        <w:tc>
          <w:tcPr>
            <w:tcW w:w="553" w:type="pct"/>
            <w:shd w:val="clear" w:color="auto" w:fill="B6DDE8" w:themeFill="accent5" w:themeFillTint="66"/>
            <w:noWrap/>
            <w:hideMark/>
          </w:tcPr>
          <w:p w:rsidR="00FC2FCD" w:rsidRPr="005F120D" w:rsidRDefault="00FC2FCD"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Gir</w:t>
            </w:r>
            <w:r w:rsidR="00814CEC" w:rsidRPr="005F120D">
              <w:rPr>
                <w:rFonts w:asciiTheme="minorHAnsi" w:hAnsiTheme="minorHAnsi" w:cstheme="minorHAnsi"/>
                <w:sz w:val="18"/>
                <w:szCs w:val="18"/>
                <w:lang w:eastAsia="en-US"/>
              </w:rPr>
              <w:t>l</w:t>
            </w:r>
            <w:r w:rsidRPr="005F120D">
              <w:rPr>
                <w:rFonts w:asciiTheme="minorHAnsi" w:hAnsiTheme="minorHAnsi" w:cstheme="minorHAnsi"/>
                <w:sz w:val="18"/>
                <w:szCs w:val="18"/>
                <w:lang w:eastAsia="en-US"/>
              </w:rPr>
              <w:t>s</w:t>
            </w:r>
          </w:p>
        </w:tc>
      </w:tr>
      <w:tr w:rsidR="000426D8" w:rsidRPr="005F120D" w:rsidTr="0019272F">
        <w:trPr>
          <w:trHeight w:hRule="exact" w:val="249"/>
        </w:trPr>
        <w:tc>
          <w:tcPr>
            <w:tcW w:w="346"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val="en-GB" w:eastAsia="en-US"/>
              </w:rPr>
              <w:t>2010</w:t>
            </w:r>
          </w:p>
        </w:tc>
        <w:tc>
          <w:tcPr>
            <w:tcW w:w="561"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634,933</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320,707</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314,226</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260,591</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130,936</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129,655</w:t>
            </w:r>
          </w:p>
        </w:tc>
        <w:tc>
          <w:tcPr>
            <w:tcW w:w="579"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895,524</w:t>
            </w:r>
          </w:p>
        </w:tc>
        <w:tc>
          <w:tcPr>
            <w:tcW w:w="552"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451,643</w:t>
            </w:r>
          </w:p>
        </w:tc>
        <w:tc>
          <w:tcPr>
            <w:tcW w:w="553"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443,881</w:t>
            </w:r>
          </w:p>
        </w:tc>
      </w:tr>
      <w:tr w:rsidR="000426D8" w:rsidRPr="005F120D" w:rsidTr="0019272F">
        <w:trPr>
          <w:trHeight w:hRule="exact" w:val="267"/>
        </w:trPr>
        <w:tc>
          <w:tcPr>
            <w:tcW w:w="346"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2011</w:t>
            </w:r>
          </w:p>
        </w:tc>
        <w:tc>
          <w:tcPr>
            <w:tcW w:w="561"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1,209,288</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614,828</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594,460</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336,540</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168,669</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167,871</w:t>
            </w:r>
          </w:p>
        </w:tc>
        <w:tc>
          <w:tcPr>
            <w:tcW w:w="579"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1,545,828</w:t>
            </w:r>
          </w:p>
        </w:tc>
        <w:tc>
          <w:tcPr>
            <w:tcW w:w="552"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783,497</w:t>
            </w:r>
          </w:p>
        </w:tc>
        <w:tc>
          <w:tcPr>
            <w:tcW w:w="553"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762,331</w:t>
            </w:r>
          </w:p>
        </w:tc>
      </w:tr>
      <w:tr w:rsidR="000426D8" w:rsidRPr="005F120D" w:rsidTr="0019272F">
        <w:trPr>
          <w:trHeight w:hRule="exact" w:val="267"/>
        </w:trPr>
        <w:tc>
          <w:tcPr>
            <w:tcW w:w="346"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2012</w:t>
            </w:r>
          </w:p>
        </w:tc>
        <w:tc>
          <w:tcPr>
            <w:tcW w:w="561"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1,178,311</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592,435</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585,876</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501,793</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249,457</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252,336</w:t>
            </w:r>
          </w:p>
        </w:tc>
        <w:tc>
          <w:tcPr>
            <w:tcW w:w="579"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1,680,104</w:t>
            </w:r>
          </w:p>
        </w:tc>
        <w:tc>
          <w:tcPr>
            <w:tcW w:w="552"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841,892</w:t>
            </w:r>
          </w:p>
        </w:tc>
        <w:tc>
          <w:tcPr>
            <w:tcW w:w="553"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838,212</w:t>
            </w:r>
          </w:p>
        </w:tc>
      </w:tr>
      <w:tr w:rsidR="000426D8" w:rsidRPr="005F120D" w:rsidTr="0019272F">
        <w:trPr>
          <w:trHeight w:hRule="exact" w:val="267"/>
        </w:trPr>
        <w:tc>
          <w:tcPr>
            <w:tcW w:w="346"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2013</w:t>
            </w:r>
          </w:p>
        </w:tc>
        <w:tc>
          <w:tcPr>
            <w:tcW w:w="561"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1,257,872</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632,940</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624,932</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570,078</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284,268</w:t>
            </w:r>
          </w:p>
        </w:tc>
        <w:tc>
          <w:tcPr>
            <w:tcW w:w="482" w:type="pct"/>
            <w:shd w:val="clear" w:color="auto" w:fill="auto"/>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285,810</w:t>
            </w:r>
          </w:p>
        </w:tc>
        <w:tc>
          <w:tcPr>
            <w:tcW w:w="579"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1,827,950</w:t>
            </w:r>
          </w:p>
        </w:tc>
        <w:tc>
          <w:tcPr>
            <w:tcW w:w="552"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917,208</w:t>
            </w:r>
          </w:p>
        </w:tc>
        <w:tc>
          <w:tcPr>
            <w:tcW w:w="553"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910,742</w:t>
            </w:r>
          </w:p>
        </w:tc>
      </w:tr>
      <w:tr w:rsidR="000426D8" w:rsidRPr="005F120D" w:rsidTr="0019272F">
        <w:trPr>
          <w:trHeight w:hRule="exact" w:val="231"/>
        </w:trPr>
        <w:tc>
          <w:tcPr>
            <w:tcW w:w="346"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2014</w:t>
            </w:r>
          </w:p>
        </w:tc>
        <w:tc>
          <w:tcPr>
            <w:tcW w:w="561"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1,326,403</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667,892</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658,511</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623,963</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312,109</w:t>
            </w:r>
          </w:p>
        </w:tc>
        <w:tc>
          <w:tcPr>
            <w:tcW w:w="482" w:type="pct"/>
            <w:shd w:val="clear" w:color="auto" w:fill="auto"/>
            <w:noWrap/>
            <w:hideMark/>
          </w:tcPr>
          <w:p w:rsidR="000426D8" w:rsidRPr="005F120D" w:rsidRDefault="000426D8" w:rsidP="00A03624">
            <w:pPr>
              <w:spacing w:after="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311854</w:t>
            </w:r>
          </w:p>
        </w:tc>
        <w:tc>
          <w:tcPr>
            <w:tcW w:w="579"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1,950,366</w:t>
            </w:r>
          </w:p>
        </w:tc>
        <w:tc>
          <w:tcPr>
            <w:tcW w:w="552"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980,001</w:t>
            </w:r>
          </w:p>
        </w:tc>
        <w:tc>
          <w:tcPr>
            <w:tcW w:w="553" w:type="pct"/>
            <w:shd w:val="clear" w:color="auto" w:fill="auto"/>
            <w:noWrap/>
            <w:vAlign w:val="bottom"/>
            <w:hideMark/>
          </w:tcPr>
          <w:p w:rsidR="000426D8" w:rsidRPr="005F120D" w:rsidRDefault="000426D8" w:rsidP="00A03624">
            <w:pPr>
              <w:jc w:val="right"/>
              <w:rPr>
                <w:rFonts w:asciiTheme="minorHAnsi" w:hAnsiTheme="minorHAnsi" w:cstheme="minorHAnsi"/>
                <w:sz w:val="18"/>
                <w:szCs w:val="18"/>
              </w:rPr>
            </w:pPr>
            <w:r w:rsidRPr="005F120D">
              <w:rPr>
                <w:rFonts w:asciiTheme="minorHAnsi" w:hAnsiTheme="minorHAnsi" w:cstheme="minorHAnsi"/>
                <w:sz w:val="18"/>
                <w:szCs w:val="18"/>
              </w:rPr>
              <w:t>970,365</w:t>
            </w:r>
          </w:p>
        </w:tc>
      </w:tr>
      <w:tr w:rsidR="00DC2E2F" w:rsidRPr="005F120D" w:rsidTr="008F38B4">
        <w:trPr>
          <w:trHeight w:hRule="exact" w:val="302"/>
        </w:trPr>
        <w:tc>
          <w:tcPr>
            <w:tcW w:w="346" w:type="pct"/>
            <w:shd w:val="clear" w:color="auto" w:fill="auto"/>
            <w:noWrap/>
            <w:hideMark/>
          </w:tcPr>
          <w:p w:rsidR="00DC2E2F" w:rsidRPr="005F120D" w:rsidRDefault="00DC2E2F" w:rsidP="00A03624">
            <w:pPr>
              <w:spacing w:before="20" w:after="20"/>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2015</w:t>
            </w:r>
          </w:p>
        </w:tc>
        <w:tc>
          <w:tcPr>
            <w:tcW w:w="561" w:type="pct"/>
            <w:shd w:val="clear" w:color="auto" w:fill="auto"/>
            <w:noWrap/>
            <w:vAlign w:val="bottom"/>
            <w:hideMark/>
          </w:tcPr>
          <w:p w:rsidR="00DC2E2F" w:rsidRPr="005F120D" w:rsidRDefault="00DC2E2F" w:rsidP="00A03624">
            <w:pPr>
              <w:spacing w:before="20" w:after="20"/>
              <w:jc w:val="both"/>
              <w:rPr>
                <w:rFonts w:asciiTheme="minorHAnsi" w:hAnsiTheme="minorHAnsi" w:cstheme="minorHAnsi"/>
                <w:b/>
                <w:bCs/>
                <w:sz w:val="18"/>
                <w:szCs w:val="18"/>
              </w:rPr>
            </w:pPr>
            <w:r w:rsidRPr="005F120D">
              <w:rPr>
                <w:rFonts w:asciiTheme="minorHAnsi" w:hAnsiTheme="minorHAnsi" w:cstheme="minorHAnsi"/>
                <w:b/>
                <w:bCs/>
                <w:sz w:val="18"/>
                <w:szCs w:val="18"/>
              </w:rPr>
              <w:t>1,108,310</w:t>
            </w:r>
          </w:p>
        </w:tc>
        <w:tc>
          <w:tcPr>
            <w:tcW w:w="482" w:type="pct"/>
            <w:shd w:val="clear" w:color="auto" w:fill="auto"/>
            <w:noWrap/>
            <w:vAlign w:val="bottom"/>
            <w:hideMark/>
          </w:tcPr>
          <w:p w:rsidR="00DC2E2F" w:rsidRPr="005F120D" w:rsidRDefault="00DC2E2F" w:rsidP="00A03624">
            <w:pPr>
              <w:spacing w:before="20" w:after="20"/>
              <w:jc w:val="both"/>
              <w:rPr>
                <w:rFonts w:asciiTheme="minorHAnsi" w:hAnsiTheme="minorHAnsi" w:cstheme="minorHAnsi"/>
                <w:b/>
                <w:bCs/>
                <w:sz w:val="18"/>
                <w:szCs w:val="18"/>
              </w:rPr>
            </w:pPr>
            <w:r w:rsidRPr="005F120D">
              <w:rPr>
                <w:rFonts w:asciiTheme="minorHAnsi" w:hAnsiTheme="minorHAnsi" w:cstheme="minorHAnsi"/>
                <w:b/>
                <w:bCs/>
                <w:sz w:val="18"/>
                <w:szCs w:val="18"/>
              </w:rPr>
              <w:t>555,174</w:t>
            </w:r>
          </w:p>
        </w:tc>
        <w:tc>
          <w:tcPr>
            <w:tcW w:w="482" w:type="pct"/>
            <w:shd w:val="clear" w:color="auto" w:fill="auto"/>
            <w:noWrap/>
            <w:vAlign w:val="bottom"/>
            <w:hideMark/>
          </w:tcPr>
          <w:p w:rsidR="00DC2E2F" w:rsidRPr="005F120D" w:rsidRDefault="00DC2E2F" w:rsidP="00A03624">
            <w:pPr>
              <w:spacing w:before="20" w:after="20"/>
              <w:jc w:val="both"/>
              <w:rPr>
                <w:rFonts w:asciiTheme="minorHAnsi" w:hAnsiTheme="minorHAnsi" w:cstheme="minorHAnsi"/>
                <w:b/>
                <w:bCs/>
                <w:sz w:val="18"/>
                <w:szCs w:val="18"/>
              </w:rPr>
            </w:pPr>
            <w:r w:rsidRPr="005F120D">
              <w:rPr>
                <w:rFonts w:asciiTheme="minorHAnsi" w:hAnsiTheme="minorHAnsi" w:cstheme="minorHAnsi"/>
                <w:b/>
                <w:bCs/>
                <w:sz w:val="18"/>
                <w:szCs w:val="18"/>
              </w:rPr>
              <w:t>553,136</w:t>
            </w:r>
          </w:p>
        </w:tc>
        <w:tc>
          <w:tcPr>
            <w:tcW w:w="482" w:type="pct"/>
            <w:shd w:val="clear" w:color="auto" w:fill="auto"/>
            <w:noWrap/>
            <w:vAlign w:val="bottom"/>
            <w:hideMark/>
          </w:tcPr>
          <w:p w:rsidR="00DC2E2F" w:rsidRPr="005F120D" w:rsidRDefault="00DC2E2F" w:rsidP="00A03624">
            <w:pPr>
              <w:spacing w:before="20" w:after="20"/>
              <w:jc w:val="both"/>
              <w:rPr>
                <w:rFonts w:asciiTheme="minorHAnsi" w:hAnsiTheme="minorHAnsi" w:cstheme="minorHAnsi"/>
                <w:b/>
                <w:bCs/>
                <w:sz w:val="18"/>
                <w:szCs w:val="18"/>
              </w:rPr>
            </w:pPr>
            <w:r w:rsidRPr="005F120D">
              <w:rPr>
                <w:rFonts w:asciiTheme="minorHAnsi" w:hAnsiTheme="minorHAnsi" w:cstheme="minorHAnsi"/>
                <w:b/>
                <w:bCs/>
                <w:sz w:val="18"/>
                <w:szCs w:val="18"/>
              </w:rPr>
              <w:t>512,937</w:t>
            </w:r>
          </w:p>
        </w:tc>
        <w:tc>
          <w:tcPr>
            <w:tcW w:w="482" w:type="pct"/>
            <w:shd w:val="clear" w:color="auto" w:fill="auto"/>
            <w:noWrap/>
            <w:vAlign w:val="bottom"/>
            <w:hideMark/>
          </w:tcPr>
          <w:p w:rsidR="00DC2E2F" w:rsidRPr="005F120D" w:rsidRDefault="00DC2E2F" w:rsidP="00A03624">
            <w:pPr>
              <w:spacing w:before="20" w:after="20"/>
              <w:jc w:val="both"/>
              <w:rPr>
                <w:rFonts w:asciiTheme="minorHAnsi" w:hAnsiTheme="minorHAnsi" w:cstheme="minorHAnsi"/>
                <w:b/>
                <w:bCs/>
                <w:sz w:val="18"/>
                <w:szCs w:val="18"/>
              </w:rPr>
            </w:pPr>
            <w:r w:rsidRPr="005F120D">
              <w:rPr>
                <w:rFonts w:asciiTheme="minorHAnsi" w:hAnsiTheme="minorHAnsi" w:cstheme="minorHAnsi"/>
                <w:b/>
                <w:bCs/>
                <w:sz w:val="18"/>
                <w:szCs w:val="18"/>
              </w:rPr>
              <w:t>253,831</w:t>
            </w:r>
          </w:p>
        </w:tc>
        <w:tc>
          <w:tcPr>
            <w:tcW w:w="482" w:type="pct"/>
            <w:shd w:val="clear" w:color="auto" w:fill="auto"/>
            <w:noWrap/>
            <w:vAlign w:val="bottom"/>
            <w:hideMark/>
          </w:tcPr>
          <w:p w:rsidR="00DC2E2F" w:rsidRPr="005F120D" w:rsidRDefault="00DC2E2F" w:rsidP="00A03624">
            <w:pPr>
              <w:spacing w:before="20" w:after="20"/>
              <w:jc w:val="both"/>
              <w:rPr>
                <w:rFonts w:asciiTheme="minorHAnsi" w:hAnsiTheme="minorHAnsi" w:cstheme="minorHAnsi"/>
                <w:b/>
                <w:bCs/>
                <w:sz w:val="18"/>
                <w:szCs w:val="18"/>
              </w:rPr>
            </w:pPr>
            <w:r w:rsidRPr="005F120D">
              <w:rPr>
                <w:rFonts w:asciiTheme="minorHAnsi" w:hAnsiTheme="minorHAnsi" w:cstheme="minorHAnsi"/>
                <w:b/>
                <w:bCs/>
                <w:sz w:val="18"/>
                <w:szCs w:val="18"/>
              </w:rPr>
              <w:t>259,106</w:t>
            </w:r>
          </w:p>
        </w:tc>
        <w:tc>
          <w:tcPr>
            <w:tcW w:w="579" w:type="pct"/>
            <w:shd w:val="clear" w:color="auto" w:fill="auto"/>
            <w:noWrap/>
            <w:vAlign w:val="bottom"/>
            <w:hideMark/>
          </w:tcPr>
          <w:p w:rsidR="00DC2E2F" w:rsidRPr="005F120D" w:rsidRDefault="00DC2E2F" w:rsidP="00A03624">
            <w:pPr>
              <w:spacing w:before="20" w:after="20"/>
              <w:jc w:val="right"/>
              <w:rPr>
                <w:rFonts w:asciiTheme="minorHAnsi" w:hAnsiTheme="minorHAnsi" w:cstheme="minorHAnsi"/>
                <w:b/>
                <w:sz w:val="18"/>
                <w:szCs w:val="18"/>
              </w:rPr>
            </w:pPr>
            <w:r w:rsidRPr="005F120D">
              <w:rPr>
                <w:rFonts w:asciiTheme="minorHAnsi" w:hAnsiTheme="minorHAnsi" w:cstheme="minorHAnsi"/>
                <w:b/>
                <w:sz w:val="18"/>
                <w:szCs w:val="18"/>
              </w:rPr>
              <w:t>1,621,247</w:t>
            </w:r>
          </w:p>
        </w:tc>
        <w:tc>
          <w:tcPr>
            <w:tcW w:w="552" w:type="pct"/>
            <w:shd w:val="clear" w:color="auto" w:fill="auto"/>
            <w:noWrap/>
            <w:vAlign w:val="bottom"/>
            <w:hideMark/>
          </w:tcPr>
          <w:p w:rsidR="00DC2E2F" w:rsidRPr="005F120D" w:rsidRDefault="00DC2E2F" w:rsidP="00A03624">
            <w:pPr>
              <w:spacing w:before="20" w:after="20"/>
              <w:jc w:val="right"/>
              <w:rPr>
                <w:rFonts w:asciiTheme="minorHAnsi" w:hAnsiTheme="minorHAnsi" w:cstheme="minorHAnsi"/>
                <w:b/>
                <w:sz w:val="18"/>
                <w:szCs w:val="18"/>
              </w:rPr>
            </w:pPr>
            <w:r w:rsidRPr="005F120D">
              <w:rPr>
                <w:rFonts w:asciiTheme="minorHAnsi" w:hAnsiTheme="minorHAnsi" w:cstheme="minorHAnsi"/>
                <w:b/>
                <w:sz w:val="18"/>
                <w:szCs w:val="18"/>
              </w:rPr>
              <w:t>809,005</w:t>
            </w:r>
          </w:p>
        </w:tc>
        <w:tc>
          <w:tcPr>
            <w:tcW w:w="553" w:type="pct"/>
            <w:shd w:val="clear" w:color="auto" w:fill="auto"/>
            <w:noWrap/>
            <w:vAlign w:val="bottom"/>
            <w:hideMark/>
          </w:tcPr>
          <w:p w:rsidR="00DC2E2F" w:rsidRPr="005F120D" w:rsidRDefault="00DC2E2F" w:rsidP="00A03624">
            <w:pPr>
              <w:spacing w:before="20" w:after="20"/>
              <w:jc w:val="right"/>
              <w:rPr>
                <w:rFonts w:asciiTheme="minorHAnsi" w:hAnsiTheme="minorHAnsi" w:cstheme="minorHAnsi"/>
                <w:b/>
                <w:sz w:val="18"/>
                <w:szCs w:val="18"/>
              </w:rPr>
            </w:pPr>
            <w:r w:rsidRPr="005F120D">
              <w:rPr>
                <w:rFonts w:asciiTheme="minorHAnsi" w:hAnsiTheme="minorHAnsi" w:cstheme="minorHAnsi"/>
                <w:b/>
                <w:sz w:val="18"/>
                <w:szCs w:val="18"/>
              </w:rPr>
              <w:t>812,242</w:t>
            </w:r>
          </w:p>
        </w:tc>
      </w:tr>
    </w:tbl>
    <w:p w:rsidR="00E66402" w:rsidRPr="005F120D" w:rsidRDefault="00187947" w:rsidP="000A5B80">
      <w:pPr>
        <w:pStyle w:val="Tablenotes"/>
      </w:pPr>
      <w:r w:rsidRPr="005F120D">
        <w:t>Source: APSC 2010-2015</w:t>
      </w:r>
    </w:p>
    <w:p w:rsidR="008F38B4" w:rsidRPr="005F120D" w:rsidRDefault="001B47FC" w:rsidP="00A03624">
      <w:pPr>
        <w:pStyle w:val="BodyText1"/>
        <w:spacing w:before="240"/>
        <w:jc w:val="both"/>
        <w:rPr>
          <w:rFonts w:asciiTheme="minorHAnsi" w:hAnsiTheme="minorHAnsi" w:cstheme="minorHAnsi"/>
          <w:b w:val="0"/>
          <w:lang w:val="en-US"/>
        </w:rPr>
      </w:pPr>
      <w:r w:rsidRPr="005F120D">
        <w:rPr>
          <w:rFonts w:asciiTheme="minorHAnsi" w:hAnsiTheme="minorHAnsi" w:cstheme="minorHAnsi"/>
          <w:b w:val="0"/>
          <w:lang w:val="en-US"/>
        </w:rPr>
        <w:t>The enrolment of special needs children in the main stream education is also one of the core elements of PEDP3. A</w:t>
      </w:r>
      <w:r w:rsidR="00B25BBA" w:rsidRPr="005F120D">
        <w:rPr>
          <w:rFonts w:asciiTheme="minorHAnsi" w:hAnsiTheme="minorHAnsi" w:cstheme="minorHAnsi"/>
          <w:b w:val="0"/>
          <w:lang w:val="en-US"/>
        </w:rPr>
        <w:t xml:space="preserve"> total of</w:t>
      </w:r>
      <w:r w:rsidRPr="005F120D">
        <w:rPr>
          <w:rFonts w:asciiTheme="minorHAnsi" w:hAnsiTheme="minorHAnsi" w:cstheme="minorHAnsi"/>
          <w:b w:val="0"/>
          <w:lang w:val="en-US"/>
        </w:rPr>
        <w:t xml:space="preserve"> 11,272 </w:t>
      </w:r>
      <w:r w:rsidR="00B25BBA" w:rsidRPr="005F120D">
        <w:rPr>
          <w:rFonts w:asciiTheme="minorHAnsi" w:hAnsiTheme="minorHAnsi" w:cstheme="minorHAnsi"/>
          <w:b w:val="0"/>
          <w:lang w:val="en-US"/>
        </w:rPr>
        <w:t xml:space="preserve">special needs children </w:t>
      </w:r>
      <w:r w:rsidRPr="005F120D">
        <w:rPr>
          <w:rFonts w:asciiTheme="minorHAnsi" w:hAnsiTheme="minorHAnsi" w:cstheme="minorHAnsi"/>
          <w:b w:val="0"/>
          <w:lang w:val="en-US"/>
        </w:rPr>
        <w:t>(</w:t>
      </w:r>
      <w:r w:rsidR="00B25BBA" w:rsidRPr="005F120D">
        <w:rPr>
          <w:rFonts w:asciiTheme="minorHAnsi" w:hAnsiTheme="minorHAnsi" w:cstheme="minorHAnsi"/>
          <w:b w:val="0"/>
          <w:lang w:val="en-US"/>
        </w:rPr>
        <w:t xml:space="preserve">boys </w:t>
      </w:r>
      <w:r w:rsidRPr="005F120D">
        <w:rPr>
          <w:rFonts w:asciiTheme="minorHAnsi" w:hAnsiTheme="minorHAnsi" w:cstheme="minorHAnsi"/>
          <w:b w:val="0"/>
          <w:lang w:val="en-US"/>
        </w:rPr>
        <w:t xml:space="preserve">6,334 and </w:t>
      </w:r>
      <w:r w:rsidR="00B25BBA" w:rsidRPr="005F120D">
        <w:rPr>
          <w:rFonts w:asciiTheme="minorHAnsi" w:hAnsiTheme="minorHAnsi" w:cstheme="minorHAnsi"/>
          <w:b w:val="0"/>
          <w:lang w:val="en-US"/>
        </w:rPr>
        <w:t xml:space="preserve">girls </w:t>
      </w:r>
      <w:r w:rsidRPr="005F120D">
        <w:rPr>
          <w:rFonts w:asciiTheme="minorHAnsi" w:hAnsiTheme="minorHAnsi" w:cstheme="minorHAnsi"/>
          <w:b w:val="0"/>
          <w:lang w:val="en-US"/>
        </w:rPr>
        <w:t>4,938) were enrolled in the DPE managed pre-primary classes in 2015 (see Figure 3.13).</w:t>
      </w:r>
    </w:p>
    <w:p w:rsidR="00FD3B41" w:rsidRPr="005F120D" w:rsidRDefault="00FD3B41" w:rsidP="00C437AA">
      <w:pPr>
        <w:pStyle w:val="Caption"/>
        <w:spacing w:before="120" w:line="276" w:lineRule="auto"/>
        <w:rPr>
          <w:rFonts w:cstheme="minorHAnsi"/>
          <w:b w:val="0"/>
        </w:rPr>
      </w:pPr>
      <w:bookmarkStart w:id="325" w:name="_Toc462837422"/>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13</w:t>
      </w:r>
      <w:r w:rsidR="002E2ED5" w:rsidRPr="005F120D">
        <w:rPr>
          <w:rFonts w:cstheme="minorHAnsi"/>
        </w:rPr>
        <w:fldChar w:fldCharType="end"/>
      </w:r>
      <w:r w:rsidRPr="005F120D">
        <w:rPr>
          <w:rFonts w:cstheme="minorHAnsi"/>
        </w:rPr>
        <w:t xml:space="preserve">: </w:t>
      </w:r>
      <w:r w:rsidR="00F62465" w:rsidRPr="005F120D">
        <w:rPr>
          <w:rFonts w:cstheme="minorHAnsi"/>
        </w:rPr>
        <w:t>Enrollment of Special Need Children in Pre-primary Education 2015</w:t>
      </w:r>
      <w:bookmarkEnd w:id="325"/>
    </w:p>
    <w:p w:rsidR="008F38B4" w:rsidRPr="005F120D" w:rsidRDefault="00087310" w:rsidP="00C437AA">
      <w:pPr>
        <w:pStyle w:val="BodyText1"/>
        <w:spacing w:before="120"/>
        <w:jc w:val="center"/>
        <w:rPr>
          <w:rFonts w:asciiTheme="minorHAnsi" w:hAnsiTheme="minorHAnsi" w:cstheme="minorHAnsi"/>
          <w:lang w:val="en-US"/>
        </w:rPr>
      </w:pPr>
      <w:r w:rsidRPr="005F120D">
        <w:rPr>
          <w:rFonts w:asciiTheme="minorHAnsi" w:hAnsiTheme="minorHAnsi" w:cstheme="minorHAnsi"/>
          <w:noProof/>
          <w:lang w:val="en-US" w:eastAsia="en-US"/>
        </w:rPr>
        <w:drawing>
          <wp:inline distT="0" distB="0" distL="0" distR="0">
            <wp:extent cx="5247707" cy="2676382"/>
            <wp:effectExtent l="38100" t="19050" r="10093"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5F88" w:rsidRPr="005F120D" w:rsidRDefault="00F44E69" w:rsidP="00C437AA">
      <w:pPr>
        <w:pStyle w:val="Heading4"/>
        <w:spacing w:after="0" w:line="276" w:lineRule="auto"/>
        <w:rPr>
          <w:rFonts w:asciiTheme="minorHAnsi" w:hAnsiTheme="minorHAnsi" w:cstheme="minorHAnsi"/>
          <w:b/>
          <w:i w:val="0"/>
          <w:color w:val="008000"/>
        </w:rPr>
      </w:pPr>
      <w:r w:rsidRPr="005F120D">
        <w:rPr>
          <w:rFonts w:asciiTheme="minorHAnsi" w:hAnsiTheme="minorHAnsi" w:cstheme="minorHAnsi"/>
          <w:b/>
          <w:i w:val="0"/>
          <w:color w:val="008000"/>
        </w:rPr>
        <w:t>Grade</w:t>
      </w:r>
      <w:r w:rsidR="000F2344" w:rsidRPr="005F120D">
        <w:rPr>
          <w:rFonts w:asciiTheme="minorHAnsi" w:hAnsiTheme="minorHAnsi" w:cstheme="minorHAnsi"/>
          <w:b/>
          <w:i w:val="0"/>
          <w:color w:val="008000"/>
        </w:rPr>
        <w:t>-</w:t>
      </w:r>
      <w:r w:rsidRPr="005F120D">
        <w:rPr>
          <w:rFonts w:asciiTheme="minorHAnsi" w:hAnsiTheme="minorHAnsi" w:cstheme="minorHAnsi"/>
          <w:b/>
          <w:i w:val="0"/>
          <w:color w:val="008000"/>
        </w:rPr>
        <w:t>1 Student</w:t>
      </w:r>
      <w:r w:rsidR="0016351A" w:rsidRPr="005F120D">
        <w:rPr>
          <w:rFonts w:asciiTheme="minorHAnsi" w:hAnsiTheme="minorHAnsi" w:cstheme="minorHAnsi"/>
          <w:b/>
          <w:i w:val="0"/>
          <w:color w:val="008000"/>
        </w:rPr>
        <w:t>s</w:t>
      </w:r>
      <w:r w:rsidRPr="005F120D">
        <w:rPr>
          <w:rFonts w:asciiTheme="minorHAnsi" w:hAnsiTheme="minorHAnsi" w:cstheme="minorHAnsi"/>
          <w:b/>
          <w:i w:val="0"/>
          <w:color w:val="008000"/>
        </w:rPr>
        <w:t xml:space="preserve"> who A</w:t>
      </w:r>
      <w:r w:rsidR="00CE0629" w:rsidRPr="005F120D">
        <w:rPr>
          <w:rFonts w:asciiTheme="minorHAnsi" w:hAnsiTheme="minorHAnsi" w:cstheme="minorHAnsi"/>
          <w:b/>
          <w:i w:val="0"/>
          <w:color w:val="008000"/>
        </w:rPr>
        <w:t>ttend</w:t>
      </w:r>
      <w:r w:rsidR="001A7D86" w:rsidRPr="005F120D">
        <w:rPr>
          <w:rFonts w:asciiTheme="minorHAnsi" w:hAnsiTheme="minorHAnsi" w:cstheme="minorHAnsi"/>
          <w:b/>
          <w:i w:val="0"/>
          <w:color w:val="008000"/>
        </w:rPr>
        <w:t>ed</w:t>
      </w:r>
      <w:r w:rsidR="00CE0629" w:rsidRPr="005F120D">
        <w:rPr>
          <w:rFonts w:asciiTheme="minorHAnsi" w:hAnsiTheme="minorHAnsi" w:cstheme="minorHAnsi"/>
          <w:b/>
          <w:i w:val="0"/>
          <w:color w:val="008000"/>
        </w:rPr>
        <w:t xml:space="preserve"> P</w:t>
      </w:r>
      <w:r w:rsidR="0016351A" w:rsidRPr="005F120D">
        <w:rPr>
          <w:rFonts w:asciiTheme="minorHAnsi" w:hAnsiTheme="minorHAnsi" w:cstheme="minorHAnsi"/>
          <w:b/>
          <w:i w:val="0"/>
          <w:color w:val="008000"/>
        </w:rPr>
        <w:t>re-</w:t>
      </w:r>
      <w:r w:rsidR="00CE0629" w:rsidRPr="005F120D">
        <w:rPr>
          <w:rFonts w:asciiTheme="minorHAnsi" w:hAnsiTheme="minorHAnsi" w:cstheme="minorHAnsi"/>
          <w:b/>
          <w:i w:val="0"/>
          <w:color w:val="008000"/>
        </w:rPr>
        <w:t>P</w:t>
      </w:r>
      <w:r w:rsidR="0016351A" w:rsidRPr="005F120D">
        <w:rPr>
          <w:rFonts w:asciiTheme="minorHAnsi" w:hAnsiTheme="minorHAnsi" w:cstheme="minorHAnsi"/>
          <w:b/>
          <w:i w:val="0"/>
          <w:color w:val="008000"/>
        </w:rPr>
        <w:t xml:space="preserve">rimary </w:t>
      </w:r>
      <w:r w:rsidR="00CE0629" w:rsidRPr="005F120D">
        <w:rPr>
          <w:rFonts w:asciiTheme="minorHAnsi" w:hAnsiTheme="minorHAnsi" w:cstheme="minorHAnsi"/>
          <w:b/>
          <w:i w:val="0"/>
          <w:color w:val="008000"/>
        </w:rPr>
        <w:t>E</w:t>
      </w:r>
      <w:r w:rsidR="0016351A" w:rsidRPr="005F120D">
        <w:rPr>
          <w:rFonts w:asciiTheme="minorHAnsi" w:hAnsiTheme="minorHAnsi" w:cstheme="minorHAnsi"/>
          <w:b/>
          <w:i w:val="0"/>
          <w:color w:val="008000"/>
        </w:rPr>
        <w:t>ducation</w:t>
      </w:r>
    </w:p>
    <w:p w:rsidR="00E345EB" w:rsidRPr="005F120D" w:rsidRDefault="00B25BBA" w:rsidP="00A03624">
      <w:pPr>
        <w:spacing w:before="120" w:after="120" w:line="276" w:lineRule="auto"/>
        <w:jc w:val="both"/>
        <w:rPr>
          <w:rFonts w:asciiTheme="minorHAnsi" w:hAnsiTheme="minorHAnsi" w:cstheme="minorHAnsi"/>
        </w:rPr>
      </w:pPr>
      <w:r w:rsidRPr="005F120D">
        <w:rPr>
          <w:rFonts w:asciiTheme="minorHAnsi" w:hAnsiTheme="minorHAnsi" w:cstheme="minorHAnsi"/>
          <w:b/>
          <w:u w:val="single"/>
        </w:rPr>
        <w:t>Non-KPI 3</w:t>
      </w:r>
      <w:r w:rsidR="00362E85" w:rsidRPr="00362E85">
        <w:rPr>
          <w:rFonts w:asciiTheme="minorHAnsi" w:hAnsiTheme="minorHAnsi" w:cstheme="minorHAnsi"/>
          <w:b/>
        </w:rPr>
        <w:t xml:space="preserve"> </w:t>
      </w:r>
      <w:r w:rsidRPr="005F120D">
        <w:rPr>
          <w:rFonts w:asciiTheme="minorHAnsi" w:hAnsiTheme="minorHAnsi" w:cstheme="minorHAnsi"/>
        </w:rPr>
        <w:t xml:space="preserve">tracks student movement from PPE; it gives the   </w:t>
      </w:r>
      <w:r w:rsidRPr="005F120D">
        <w:rPr>
          <w:rFonts w:asciiTheme="minorHAnsi" w:hAnsiTheme="minorHAnsi" w:cstheme="minorHAnsi"/>
          <w:i/>
        </w:rPr>
        <w:t xml:space="preserve">‘percentage of Grade1 students in primary schools who have attended pre-primary education’. </w:t>
      </w:r>
      <w:r w:rsidR="00E77325" w:rsidRPr="005F120D">
        <w:rPr>
          <w:rFonts w:asciiTheme="minorHAnsi" w:hAnsiTheme="minorHAnsi" w:cstheme="minorHAnsi"/>
        </w:rPr>
        <w:t>Table 3.15</w:t>
      </w:r>
      <w:r w:rsidR="00464FE4">
        <w:rPr>
          <w:rFonts w:asciiTheme="minorHAnsi" w:hAnsiTheme="minorHAnsi" w:cstheme="minorHAnsi"/>
        </w:rPr>
        <w:t xml:space="preserve"> shows an impressive</w:t>
      </w:r>
      <w:r w:rsidR="00E77325" w:rsidRPr="005F120D">
        <w:rPr>
          <w:rFonts w:asciiTheme="minorHAnsi" w:hAnsiTheme="minorHAnsi" w:cstheme="minorHAnsi"/>
        </w:rPr>
        <w:t xml:space="preserve"> improvement at 96% in 2015 (boys 95% </w:t>
      </w:r>
      <w:r w:rsidR="00EF2196" w:rsidRPr="005F120D">
        <w:rPr>
          <w:rFonts w:asciiTheme="minorHAnsi" w:hAnsiTheme="minorHAnsi" w:cstheme="minorHAnsi"/>
        </w:rPr>
        <w:t>and</w:t>
      </w:r>
      <w:r w:rsidR="00E77325" w:rsidRPr="005F120D">
        <w:rPr>
          <w:rFonts w:asciiTheme="minorHAnsi" w:hAnsiTheme="minorHAnsi" w:cstheme="minorHAnsi"/>
        </w:rPr>
        <w:t xml:space="preserve"> girls 97%) up from </w:t>
      </w:r>
      <w:r w:rsidRPr="005F120D">
        <w:rPr>
          <w:rFonts w:asciiTheme="minorHAnsi" w:hAnsiTheme="minorHAnsi" w:cstheme="minorHAnsi"/>
        </w:rPr>
        <w:t xml:space="preserve">42.25% in 2010 </w:t>
      </w:r>
    </w:p>
    <w:p w:rsidR="00B06314" w:rsidRPr="005F120D" w:rsidRDefault="00754A38" w:rsidP="00C437AA">
      <w:pPr>
        <w:pStyle w:val="Caption"/>
        <w:spacing w:line="276" w:lineRule="auto"/>
        <w:rPr>
          <w:rFonts w:cstheme="minorHAnsi"/>
        </w:rPr>
      </w:pPr>
      <w:bookmarkStart w:id="326" w:name="_Ref385253625"/>
      <w:bookmarkStart w:id="327" w:name="_Toc462837272"/>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15</w:t>
      </w:r>
      <w:r w:rsidR="002E2ED5" w:rsidRPr="005F120D">
        <w:rPr>
          <w:rFonts w:cstheme="minorHAnsi"/>
        </w:rPr>
        <w:fldChar w:fldCharType="end"/>
      </w:r>
      <w:bookmarkEnd w:id="326"/>
      <w:r w:rsidR="006A7739" w:rsidRPr="005F120D">
        <w:rPr>
          <w:rFonts w:cstheme="minorHAnsi"/>
        </w:rPr>
        <w:t>:</w:t>
      </w:r>
      <w:r w:rsidR="005912AD">
        <w:rPr>
          <w:rFonts w:cstheme="minorHAnsi"/>
        </w:rPr>
        <w:t xml:space="preserve"> </w:t>
      </w:r>
      <w:r w:rsidR="00B06314" w:rsidRPr="005F120D">
        <w:rPr>
          <w:rFonts w:cstheme="minorHAnsi"/>
        </w:rPr>
        <w:t>Grade1 Students with Pre-Primary Education (GPS &amp;NNPS) 2010-201</w:t>
      </w:r>
      <w:r w:rsidR="004849FC" w:rsidRPr="005F120D">
        <w:rPr>
          <w:rFonts w:cstheme="minorHAnsi"/>
        </w:rPr>
        <w:t>5</w:t>
      </w:r>
      <w:bookmarkEnd w:id="327"/>
    </w:p>
    <w:tbl>
      <w:tblPr>
        <w:tblW w:w="5028" w:type="pct"/>
        <w:tblBorders>
          <w:top w:val="double" w:sz="4" w:space="0" w:color="C4BC96" w:themeColor="background2" w:themeShade="BF"/>
          <w:left w:val="double" w:sz="4" w:space="0" w:color="C4BC96" w:themeColor="background2" w:themeShade="BF"/>
          <w:bottom w:val="double" w:sz="4" w:space="0" w:color="C4BC96" w:themeColor="background2" w:themeShade="BF"/>
          <w:right w:val="double" w:sz="4" w:space="0" w:color="C4BC96" w:themeColor="background2" w:themeShade="BF"/>
          <w:insideH w:val="double" w:sz="4" w:space="0" w:color="C4BC96" w:themeColor="background2" w:themeShade="BF"/>
          <w:insideV w:val="double" w:sz="4" w:space="0" w:color="C4BC96" w:themeColor="background2" w:themeShade="BF"/>
        </w:tblBorders>
        <w:tblLook w:val="04A0"/>
      </w:tblPr>
      <w:tblGrid>
        <w:gridCol w:w="1558"/>
        <w:gridCol w:w="1285"/>
        <w:gridCol w:w="1285"/>
        <w:gridCol w:w="1283"/>
        <w:gridCol w:w="1350"/>
        <w:gridCol w:w="1283"/>
        <w:gridCol w:w="1253"/>
      </w:tblGrid>
      <w:tr w:rsidR="00E77325" w:rsidRPr="005F120D" w:rsidTr="00E77325">
        <w:trPr>
          <w:trHeight w:hRule="exact" w:val="341"/>
        </w:trPr>
        <w:tc>
          <w:tcPr>
            <w:tcW w:w="838" w:type="pct"/>
            <w:shd w:val="clear" w:color="auto" w:fill="DDD9C3" w:themeFill="background2" w:themeFillShade="E6"/>
            <w:noWrap/>
            <w:vAlign w:val="bottom"/>
            <w:hideMark/>
          </w:tcPr>
          <w:p w:rsidR="00E77325" w:rsidRPr="005F120D" w:rsidRDefault="00E77325" w:rsidP="00A03624">
            <w:pPr>
              <w:spacing w:after="0"/>
              <w:rPr>
                <w:rFonts w:asciiTheme="minorHAnsi" w:hAnsiTheme="minorHAnsi" w:cstheme="minorHAnsi"/>
                <w:sz w:val="20"/>
                <w:lang w:eastAsia="en-US"/>
              </w:rPr>
            </w:pPr>
            <w:r w:rsidRPr="005F120D">
              <w:rPr>
                <w:rFonts w:asciiTheme="minorHAnsi" w:hAnsiTheme="minorHAnsi" w:cstheme="minorHAnsi"/>
                <w:sz w:val="20"/>
                <w:lang w:eastAsia="en-US"/>
              </w:rPr>
              <w:t> </w:t>
            </w:r>
          </w:p>
        </w:tc>
        <w:tc>
          <w:tcPr>
            <w:tcW w:w="691" w:type="pct"/>
            <w:shd w:val="clear" w:color="auto" w:fill="DDD9C3" w:themeFill="background2" w:themeFillShade="E6"/>
            <w:noWrap/>
            <w:vAlign w:val="bottom"/>
            <w:hideMark/>
          </w:tcPr>
          <w:p w:rsidR="00E77325" w:rsidRPr="005F120D" w:rsidRDefault="00E77325" w:rsidP="00A03624">
            <w:pPr>
              <w:spacing w:after="0"/>
              <w:jc w:val="center"/>
              <w:rPr>
                <w:rFonts w:asciiTheme="minorHAnsi" w:hAnsiTheme="minorHAnsi" w:cstheme="minorHAnsi"/>
                <w:b/>
                <w:sz w:val="20"/>
                <w:lang w:eastAsia="en-US"/>
              </w:rPr>
            </w:pPr>
            <w:r w:rsidRPr="005F120D">
              <w:rPr>
                <w:rFonts w:asciiTheme="minorHAnsi" w:hAnsiTheme="minorHAnsi" w:cstheme="minorHAnsi"/>
                <w:b/>
                <w:sz w:val="20"/>
                <w:lang w:eastAsia="en-US"/>
              </w:rPr>
              <w:t>2010</w:t>
            </w:r>
          </w:p>
        </w:tc>
        <w:tc>
          <w:tcPr>
            <w:tcW w:w="691" w:type="pct"/>
            <w:shd w:val="clear" w:color="auto" w:fill="DDD9C3" w:themeFill="background2" w:themeFillShade="E6"/>
            <w:noWrap/>
            <w:vAlign w:val="bottom"/>
            <w:hideMark/>
          </w:tcPr>
          <w:p w:rsidR="00E77325" w:rsidRPr="005F120D" w:rsidRDefault="00E77325" w:rsidP="00A03624">
            <w:pPr>
              <w:spacing w:after="0"/>
              <w:jc w:val="center"/>
              <w:rPr>
                <w:rFonts w:asciiTheme="minorHAnsi" w:hAnsiTheme="minorHAnsi" w:cstheme="minorHAnsi"/>
                <w:b/>
                <w:sz w:val="20"/>
                <w:lang w:eastAsia="en-US"/>
              </w:rPr>
            </w:pPr>
            <w:r w:rsidRPr="005F120D">
              <w:rPr>
                <w:rFonts w:asciiTheme="minorHAnsi" w:hAnsiTheme="minorHAnsi" w:cstheme="minorHAnsi"/>
                <w:b/>
                <w:sz w:val="20"/>
                <w:lang w:eastAsia="en-US"/>
              </w:rPr>
              <w:t>2011</w:t>
            </w:r>
          </w:p>
        </w:tc>
        <w:tc>
          <w:tcPr>
            <w:tcW w:w="690" w:type="pct"/>
            <w:shd w:val="clear" w:color="auto" w:fill="DDD9C3" w:themeFill="background2" w:themeFillShade="E6"/>
            <w:noWrap/>
            <w:vAlign w:val="bottom"/>
            <w:hideMark/>
          </w:tcPr>
          <w:p w:rsidR="00E77325" w:rsidRPr="005F120D" w:rsidRDefault="00E77325" w:rsidP="00A03624">
            <w:pPr>
              <w:spacing w:after="0"/>
              <w:jc w:val="center"/>
              <w:rPr>
                <w:rFonts w:asciiTheme="minorHAnsi" w:hAnsiTheme="minorHAnsi" w:cstheme="minorHAnsi"/>
                <w:b/>
                <w:sz w:val="20"/>
                <w:lang w:eastAsia="en-US"/>
              </w:rPr>
            </w:pPr>
            <w:r w:rsidRPr="005F120D">
              <w:rPr>
                <w:rFonts w:asciiTheme="minorHAnsi" w:hAnsiTheme="minorHAnsi" w:cstheme="minorHAnsi"/>
                <w:b/>
                <w:sz w:val="20"/>
                <w:lang w:eastAsia="en-US"/>
              </w:rPr>
              <w:t>2012</w:t>
            </w:r>
          </w:p>
        </w:tc>
        <w:tc>
          <w:tcPr>
            <w:tcW w:w="726" w:type="pct"/>
            <w:shd w:val="clear" w:color="auto" w:fill="DDD9C3" w:themeFill="background2" w:themeFillShade="E6"/>
            <w:noWrap/>
            <w:vAlign w:val="bottom"/>
            <w:hideMark/>
          </w:tcPr>
          <w:p w:rsidR="00E77325" w:rsidRPr="005F120D" w:rsidRDefault="00E77325" w:rsidP="00A03624">
            <w:pPr>
              <w:spacing w:after="0"/>
              <w:jc w:val="center"/>
              <w:rPr>
                <w:rFonts w:asciiTheme="minorHAnsi" w:hAnsiTheme="minorHAnsi" w:cstheme="minorHAnsi"/>
                <w:b/>
                <w:sz w:val="20"/>
                <w:lang w:eastAsia="en-US"/>
              </w:rPr>
            </w:pPr>
            <w:r w:rsidRPr="005F120D">
              <w:rPr>
                <w:rFonts w:asciiTheme="minorHAnsi" w:hAnsiTheme="minorHAnsi" w:cstheme="minorHAnsi"/>
                <w:b/>
                <w:sz w:val="20"/>
                <w:lang w:eastAsia="en-US"/>
              </w:rPr>
              <w:t>2013</w:t>
            </w:r>
          </w:p>
        </w:tc>
        <w:tc>
          <w:tcPr>
            <w:tcW w:w="690" w:type="pct"/>
            <w:shd w:val="clear" w:color="auto" w:fill="DDD9C3" w:themeFill="background2" w:themeFillShade="E6"/>
            <w:noWrap/>
            <w:vAlign w:val="bottom"/>
            <w:hideMark/>
          </w:tcPr>
          <w:p w:rsidR="00E77325" w:rsidRPr="005F120D" w:rsidRDefault="00E77325" w:rsidP="00A03624">
            <w:pPr>
              <w:spacing w:after="0"/>
              <w:jc w:val="center"/>
              <w:rPr>
                <w:rFonts w:asciiTheme="minorHAnsi" w:hAnsiTheme="minorHAnsi" w:cstheme="minorHAnsi"/>
                <w:b/>
                <w:sz w:val="20"/>
                <w:lang w:eastAsia="en-US"/>
              </w:rPr>
            </w:pPr>
            <w:r w:rsidRPr="005F120D">
              <w:rPr>
                <w:rFonts w:asciiTheme="minorHAnsi" w:hAnsiTheme="minorHAnsi" w:cstheme="minorHAnsi"/>
                <w:b/>
                <w:sz w:val="20"/>
                <w:lang w:eastAsia="en-US"/>
              </w:rPr>
              <w:t>2014</w:t>
            </w:r>
          </w:p>
        </w:tc>
        <w:tc>
          <w:tcPr>
            <w:tcW w:w="674" w:type="pct"/>
            <w:shd w:val="clear" w:color="auto" w:fill="DDD9C3" w:themeFill="background2" w:themeFillShade="E6"/>
          </w:tcPr>
          <w:p w:rsidR="00E77325" w:rsidRPr="005F120D" w:rsidRDefault="00E77325" w:rsidP="00A03624">
            <w:pPr>
              <w:spacing w:after="0"/>
              <w:rPr>
                <w:rFonts w:asciiTheme="minorHAnsi" w:hAnsiTheme="minorHAnsi" w:cstheme="minorHAnsi"/>
                <w:b/>
                <w:sz w:val="20"/>
                <w:lang w:eastAsia="en-US"/>
              </w:rPr>
            </w:pPr>
            <w:r w:rsidRPr="005F120D">
              <w:rPr>
                <w:rFonts w:asciiTheme="minorHAnsi" w:hAnsiTheme="minorHAnsi" w:cstheme="minorHAnsi"/>
                <w:b/>
                <w:sz w:val="20"/>
                <w:lang w:eastAsia="en-US"/>
              </w:rPr>
              <w:t>2015</w:t>
            </w:r>
          </w:p>
        </w:tc>
      </w:tr>
      <w:tr w:rsidR="00E77325" w:rsidRPr="005F120D" w:rsidTr="00E77325">
        <w:trPr>
          <w:trHeight w:hRule="exact" w:val="341"/>
        </w:trPr>
        <w:tc>
          <w:tcPr>
            <w:tcW w:w="838" w:type="pct"/>
            <w:shd w:val="clear" w:color="auto" w:fill="auto"/>
            <w:noWrap/>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hAnsiTheme="minorHAnsi" w:cstheme="minorHAnsi"/>
                <w:sz w:val="20"/>
                <w:lang w:eastAsia="en-US"/>
              </w:rPr>
              <w:t>All</w:t>
            </w:r>
          </w:p>
        </w:tc>
        <w:tc>
          <w:tcPr>
            <w:tcW w:w="691"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42.25%</w:t>
            </w:r>
          </w:p>
        </w:tc>
        <w:tc>
          <w:tcPr>
            <w:tcW w:w="691"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39.02%</w:t>
            </w:r>
          </w:p>
        </w:tc>
        <w:tc>
          <w:tcPr>
            <w:tcW w:w="690"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50.03%</w:t>
            </w:r>
          </w:p>
        </w:tc>
        <w:tc>
          <w:tcPr>
            <w:tcW w:w="726"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47. 28%</w:t>
            </w:r>
          </w:p>
        </w:tc>
        <w:tc>
          <w:tcPr>
            <w:tcW w:w="690"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51.07%</w:t>
            </w:r>
          </w:p>
        </w:tc>
        <w:tc>
          <w:tcPr>
            <w:tcW w:w="674" w:type="pct"/>
            <w:vAlign w:val="center"/>
          </w:tcPr>
          <w:p w:rsidR="00E77325" w:rsidRPr="005F120D" w:rsidRDefault="00E77325" w:rsidP="00A03624">
            <w:pPr>
              <w:spacing w:after="0"/>
              <w:jc w:val="center"/>
              <w:rPr>
                <w:rFonts w:asciiTheme="minorHAnsi" w:hAnsiTheme="minorHAnsi" w:cstheme="minorHAnsi"/>
                <w:b/>
                <w:sz w:val="20"/>
                <w:lang w:eastAsia="en-US"/>
              </w:rPr>
            </w:pPr>
            <w:r w:rsidRPr="005F120D">
              <w:rPr>
                <w:rFonts w:asciiTheme="minorHAnsi" w:hAnsiTheme="minorHAnsi" w:cstheme="minorHAnsi"/>
                <w:b/>
                <w:sz w:val="20"/>
                <w:lang w:eastAsia="en-US"/>
              </w:rPr>
              <w:t>96.1%</w:t>
            </w:r>
          </w:p>
        </w:tc>
      </w:tr>
      <w:tr w:rsidR="00E77325" w:rsidRPr="005F120D" w:rsidTr="00E77325">
        <w:trPr>
          <w:trHeight w:hRule="exact" w:val="341"/>
        </w:trPr>
        <w:tc>
          <w:tcPr>
            <w:tcW w:w="838" w:type="pct"/>
            <w:shd w:val="clear" w:color="auto" w:fill="auto"/>
            <w:noWrap/>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hAnsiTheme="minorHAnsi" w:cstheme="minorHAnsi"/>
                <w:sz w:val="20"/>
                <w:lang w:eastAsia="en-US"/>
              </w:rPr>
              <w:t>Boys</w:t>
            </w:r>
          </w:p>
        </w:tc>
        <w:tc>
          <w:tcPr>
            <w:tcW w:w="691"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hAnsiTheme="minorHAnsi" w:cstheme="minorHAnsi"/>
                <w:sz w:val="20"/>
                <w:lang w:eastAsia="en-US"/>
              </w:rPr>
              <w:t>40.58%</w:t>
            </w:r>
          </w:p>
        </w:tc>
        <w:tc>
          <w:tcPr>
            <w:tcW w:w="691"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37.73%</w:t>
            </w:r>
          </w:p>
        </w:tc>
        <w:tc>
          <w:tcPr>
            <w:tcW w:w="690"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50.01%</w:t>
            </w:r>
          </w:p>
        </w:tc>
        <w:tc>
          <w:tcPr>
            <w:tcW w:w="726"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46.50%</w:t>
            </w:r>
          </w:p>
        </w:tc>
        <w:tc>
          <w:tcPr>
            <w:tcW w:w="690"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50.55%</w:t>
            </w:r>
          </w:p>
        </w:tc>
        <w:tc>
          <w:tcPr>
            <w:tcW w:w="674" w:type="pct"/>
            <w:vAlign w:val="center"/>
          </w:tcPr>
          <w:p w:rsidR="00E77325" w:rsidRPr="005F120D" w:rsidRDefault="00E77325" w:rsidP="00A03624">
            <w:pPr>
              <w:spacing w:after="0"/>
              <w:jc w:val="center"/>
              <w:rPr>
                <w:rFonts w:asciiTheme="minorHAnsi" w:hAnsiTheme="minorHAnsi" w:cstheme="minorHAnsi"/>
                <w:b/>
                <w:sz w:val="20"/>
                <w:lang w:eastAsia="en-US"/>
              </w:rPr>
            </w:pPr>
            <w:r w:rsidRPr="005F120D">
              <w:rPr>
                <w:rFonts w:asciiTheme="minorHAnsi" w:hAnsiTheme="minorHAnsi" w:cstheme="minorHAnsi"/>
                <w:b/>
                <w:sz w:val="20"/>
                <w:lang w:eastAsia="en-US"/>
              </w:rPr>
              <w:t>95.1%</w:t>
            </w:r>
          </w:p>
        </w:tc>
      </w:tr>
      <w:tr w:rsidR="00E77325" w:rsidRPr="005F120D" w:rsidTr="00E77325">
        <w:trPr>
          <w:trHeight w:hRule="exact" w:val="435"/>
        </w:trPr>
        <w:tc>
          <w:tcPr>
            <w:tcW w:w="838" w:type="pct"/>
            <w:shd w:val="clear" w:color="auto" w:fill="auto"/>
            <w:noWrap/>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hAnsiTheme="minorHAnsi" w:cstheme="minorHAnsi"/>
                <w:sz w:val="20"/>
                <w:lang w:eastAsia="en-US"/>
              </w:rPr>
              <w:t>Girls</w:t>
            </w:r>
          </w:p>
        </w:tc>
        <w:tc>
          <w:tcPr>
            <w:tcW w:w="691"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hAnsiTheme="minorHAnsi" w:cstheme="minorHAnsi"/>
                <w:sz w:val="20"/>
                <w:lang w:eastAsia="en-US"/>
              </w:rPr>
              <w:t>43.94%</w:t>
            </w:r>
          </w:p>
        </w:tc>
        <w:tc>
          <w:tcPr>
            <w:tcW w:w="691"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40.37%</w:t>
            </w:r>
          </w:p>
        </w:tc>
        <w:tc>
          <w:tcPr>
            <w:tcW w:w="690"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51.83%</w:t>
            </w:r>
          </w:p>
        </w:tc>
        <w:tc>
          <w:tcPr>
            <w:tcW w:w="726"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48.09%</w:t>
            </w:r>
          </w:p>
        </w:tc>
        <w:tc>
          <w:tcPr>
            <w:tcW w:w="690" w:type="pct"/>
            <w:shd w:val="clear" w:color="auto" w:fill="auto"/>
            <w:vAlign w:val="center"/>
            <w:hideMark/>
          </w:tcPr>
          <w:p w:rsidR="00E77325" w:rsidRPr="005F120D" w:rsidRDefault="00E77325" w:rsidP="00A03624">
            <w:pPr>
              <w:spacing w:after="0"/>
              <w:jc w:val="center"/>
              <w:rPr>
                <w:rFonts w:asciiTheme="minorHAnsi" w:hAnsiTheme="minorHAnsi" w:cstheme="minorHAnsi"/>
                <w:sz w:val="20"/>
                <w:lang w:eastAsia="en-US"/>
              </w:rPr>
            </w:pPr>
            <w:r w:rsidRPr="005F120D">
              <w:rPr>
                <w:rFonts w:asciiTheme="minorHAnsi" w:eastAsia="Calibri" w:hAnsiTheme="minorHAnsi" w:cstheme="minorHAnsi"/>
                <w:sz w:val="20"/>
                <w:lang w:eastAsia="en-US"/>
              </w:rPr>
              <w:t>51.63%</w:t>
            </w:r>
          </w:p>
        </w:tc>
        <w:tc>
          <w:tcPr>
            <w:tcW w:w="674" w:type="pct"/>
            <w:vAlign w:val="center"/>
          </w:tcPr>
          <w:p w:rsidR="00E77325" w:rsidRPr="005F120D" w:rsidRDefault="00E77325" w:rsidP="00A03624">
            <w:pPr>
              <w:spacing w:after="0"/>
              <w:jc w:val="center"/>
              <w:rPr>
                <w:rFonts w:asciiTheme="minorHAnsi" w:hAnsiTheme="minorHAnsi" w:cstheme="minorHAnsi"/>
                <w:b/>
                <w:sz w:val="20"/>
                <w:lang w:eastAsia="en-US"/>
              </w:rPr>
            </w:pPr>
            <w:r w:rsidRPr="005F120D">
              <w:rPr>
                <w:rFonts w:asciiTheme="minorHAnsi" w:hAnsiTheme="minorHAnsi" w:cstheme="minorHAnsi"/>
                <w:b/>
                <w:sz w:val="20"/>
                <w:lang w:eastAsia="en-US"/>
              </w:rPr>
              <w:t>97.2%</w:t>
            </w:r>
          </w:p>
        </w:tc>
      </w:tr>
    </w:tbl>
    <w:p w:rsidR="00495C86" w:rsidRPr="005F120D" w:rsidRDefault="00D650C6" w:rsidP="00C437AA">
      <w:pPr>
        <w:pStyle w:val="Tabletext"/>
        <w:spacing w:before="20" w:after="240" w:line="276" w:lineRule="auto"/>
        <w:rPr>
          <w:rFonts w:asciiTheme="minorHAnsi" w:hAnsiTheme="minorHAnsi" w:cstheme="minorHAnsi"/>
          <w:b/>
          <w:i/>
          <w:sz w:val="16"/>
          <w:szCs w:val="16"/>
        </w:rPr>
      </w:pPr>
      <w:r w:rsidRPr="005F120D">
        <w:rPr>
          <w:rFonts w:asciiTheme="minorHAnsi" w:hAnsiTheme="minorHAnsi" w:cstheme="minorHAnsi"/>
          <w:b/>
          <w:i/>
          <w:sz w:val="16"/>
          <w:szCs w:val="16"/>
        </w:rPr>
        <w:t>Source: APSC 2010-15</w:t>
      </w:r>
      <w:r w:rsidR="00B06314" w:rsidRPr="005F120D">
        <w:rPr>
          <w:rFonts w:asciiTheme="minorHAnsi" w:hAnsiTheme="minorHAnsi" w:cstheme="minorHAnsi"/>
          <w:b/>
          <w:i/>
          <w:sz w:val="16"/>
          <w:szCs w:val="16"/>
        </w:rPr>
        <w:t xml:space="preserve"> report</w:t>
      </w:r>
      <w:bookmarkStart w:id="328" w:name="_Ref291524278"/>
      <w:bookmarkStart w:id="329" w:name="_Ref331065987"/>
      <w:bookmarkStart w:id="330" w:name="_Toc338839601"/>
      <w:r w:rsidRPr="005F120D">
        <w:rPr>
          <w:rFonts w:asciiTheme="minorHAnsi" w:hAnsiTheme="minorHAnsi" w:cstheme="minorHAnsi"/>
          <w:b/>
          <w:i/>
          <w:sz w:val="16"/>
          <w:szCs w:val="16"/>
        </w:rPr>
        <w:t>s</w:t>
      </w:r>
    </w:p>
    <w:p w:rsidR="0099721F" w:rsidRPr="005F120D" w:rsidRDefault="00754A38" w:rsidP="00C437AA">
      <w:pPr>
        <w:pStyle w:val="Caption"/>
        <w:spacing w:line="276" w:lineRule="auto"/>
        <w:rPr>
          <w:rFonts w:cstheme="minorHAnsi"/>
        </w:rPr>
      </w:pPr>
      <w:bookmarkStart w:id="331" w:name="_Toc462837423"/>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14</w:t>
      </w:r>
      <w:r w:rsidR="002E2ED5" w:rsidRPr="005F120D">
        <w:rPr>
          <w:rFonts w:cstheme="minorHAnsi"/>
        </w:rPr>
        <w:fldChar w:fldCharType="end"/>
      </w:r>
      <w:r w:rsidR="006A7739" w:rsidRPr="005F120D">
        <w:rPr>
          <w:rFonts w:cstheme="minorHAnsi"/>
        </w:rPr>
        <w:t>:</w:t>
      </w:r>
      <w:r w:rsidR="005912AD">
        <w:rPr>
          <w:rFonts w:cstheme="minorHAnsi"/>
        </w:rPr>
        <w:t xml:space="preserve"> </w:t>
      </w:r>
      <w:r w:rsidR="0099721F" w:rsidRPr="005F120D">
        <w:rPr>
          <w:rFonts w:cstheme="minorHAnsi"/>
        </w:rPr>
        <w:t>Grade1 Students with Pre-Primary Education (GPS &amp;NNPS) 2010-201</w:t>
      </w:r>
      <w:r w:rsidR="00D650C6" w:rsidRPr="005F120D">
        <w:rPr>
          <w:rFonts w:cstheme="minorHAnsi"/>
        </w:rPr>
        <w:t>5</w:t>
      </w:r>
      <w:bookmarkEnd w:id="331"/>
    </w:p>
    <w:bookmarkEnd w:id="328"/>
    <w:bookmarkEnd w:id="329"/>
    <w:bookmarkEnd w:id="330"/>
    <w:p w:rsidR="00B06314" w:rsidRPr="005F120D" w:rsidRDefault="00C3244A" w:rsidP="00C437AA">
      <w:pPr>
        <w:pStyle w:val="Tabletext"/>
        <w:spacing w:line="276" w:lineRule="auto"/>
        <w:jc w:val="center"/>
        <w:rPr>
          <w:rFonts w:asciiTheme="minorHAnsi" w:hAnsiTheme="minorHAnsi" w:cstheme="minorHAnsi"/>
          <w:i/>
          <w:color w:val="FF0000"/>
          <w:sz w:val="18"/>
          <w:szCs w:val="16"/>
        </w:rPr>
      </w:pPr>
      <w:r w:rsidRPr="0098232E">
        <w:rPr>
          <w:rFonts w:asciiTheme="minorHAnsi" w:hAnsiTheme="minorHAnsi" w:cstheme="minorHAnsi"/>
          <w:i/>
          <w:noProof/>
          <w:color w:val="00CC00"/>
          <w:sz w:val="18"/>
          <w:szCs w:val="16"/>
          <w:lang w:val="en-US" w:eastAsia="en-US"/>
        </w:rPr>
        <w:drawing>
          <wp:inline distT="0" distB="0" distL="0" distR="0">
            <wp:extent cx="5816010" cy="2211572"/>
            <wp:effectExtent l="19050" t="19050" r="0" b="0"/>
            <wp:docPr id="114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3244A" w:rsidRPr="005F120D" w:rsidRDefault="00B06314" w:rsidP="00C437AA">
      <w:pPr>
        <w:pStyle w:val="Tabletext"/>
        <w:spacing w:before="0" w:after="240" w:line="276" w:lineRule="auto"/>
        <w:rPr>
          <w:rFonts w:asciiTheme="minorHAnsi" w:hAnsiTheme="minorHAnsi" w:cstheme="minorHAnsi"/>
          <w:b/>
          <w:i/>
          <w:sz w:val="16"/>
          <w:szCs w:val="16"/>
        </w:rPr>
      </w:pPr>
      <w:r w:rsidRPr="005F120D">
        <w:rPr>
          <w:rFonts w:asciiTheme="minorHAnsi" w:hAnsiTheme="minorHAnsi" w:cstheme="minorHAnsi"/>
          <w:i/>
          <w:color w:val="FF0000"/>
          <w:sz w:val="16"/>
          <w:szCs w:val="16"/>
        </w:rPr>
        <w:tab/>
      </w:r>
      <w:r w:rsidR="00D650C6" w:rsidRPr="005F120D">
        <w:rPr>
          <w:rFonts w:asciiTheme="minorHAnsi" w:hAnsiTheme="minorHAnsi" w:cstheme="minorHAnsi"/>
          <w:b/>
          <w:i/>
          <w:sz w:val="16"/>
          <w:szCs w:val="16"/>
        </w:rPr>
        <w:t xml:space="preserve">         Source: APSC 2010-2015 reports</w:t>
      </w:r>
    </w:p>
    <w:p w:rsidR="00C3244A" w:rsidRPr="005F120D" w:rsidRDefault="00B25BBA" w:rsidP="00C437AA">
      <w:pPr>
        <w:pStyle w:val="Tabletext"/>
        <w:spacing w:line="276" w:lineRule="auto"/>
        <w:jc w:val="both"/>
        <w:rPr>
          <w:rFonts w:asciiTheme="minorHAnsi" w:hAnsiTheme="minorHAnsi" w:cstheme="minorHAnsi"/>
          <w:sz w:val="22"/>
          <w:szCs w:val="22"/>
        </w:rPr>
      </w:pPr>
      <w:r w:rsidRPr="005F120D">
        <w:rPr>
          <w:rFonts w:asciiTheme="minorHAnsi" w:hAnsiTheme="minorHAnsi" w:cstheme="minorHAnsi"/>
          <w:sz w:val="22"/>
          <w:szCs w:val="22"/>
        </w:rPr>
        <w:t xml:space="preserve">The incidence of </w:t>
      </w:r>
      <w:r w:rsidRPr="005F120D">
        <w:rPr>
          <w:rFonts w:asciiTheme="minorHAnsi" w:hAnsiTheme="minorHAnsi" w:cstheme="minorHAnsi"/>
          <w:i/>
          <w:sz w:val="22"/>
          <w:szCs w:val="22"/>
        </w:rPr>
        <w:t xml:space="preserve">Grade1 students in GPS and NNPS who have received pre-primary education </w:t>
      </w:r>
      <w:r w:rsidRPr="005F120D">
        <w:rPr>
          <w:rFonts w:asciiTheme="minorHAnsi" w:hAnsiTheme="minorHAnsi" w:cstheme="minorHAnsi"/>
          <w:sz w:val="22"/>
          <w:szCs w:val="22"/>
        </w:rPr>
        <w:t>appears to be a new phenomenon si</w:t>
      </w:r>
      <w:r w:rsidR="001A7D86" w:rsidRPr="005F120D">
        <w:rPr>
          <w:rFonts w:asciiTheme="minorHAnsi" w:hAnsiTheme="minorHAnsi" w:cstheme="minorHAnsi"/>
          <w:sz w:val="22"/>
          <w:szCs w:val="22"/>
        </w:rPr>
        <w:t>nce the Government instructed</w:t>
      </w:r>
      <w:r w:rsidRPr="005F120D">
        <w:rPr>
          <w:rFonts w:asciiTheme="minorHAnsi" w:hAnsiTheme="minorHAnsi" w:cstheme="minorHAnsi"/>
          <w:sz w:val="22"/>
          <w:szCs w:val="22"/>
        </w:rPr>
        <w:t xml:space="preserve"> all the primary schools to open pre-primary classes. In 2010, when pre-primary education was </w:t>
      </w:r>
      <w:r w:rsidR="001A00CD" w:rsidRPr="005F120D">
        <w:rPr>
          <w:rFonts w:asciiTheme="minorHAnsi" w:hAnsiTheme="minorHAnsi" w:cstheme="minorHAnsi"/>
          <w:sz w:val="22"/>
          <w:szCs w:val="22"/>
        </w:rPr>
        <w:t>operationalize</w:t>
      </w:r>
      <w:r w:rsidR="001A7D86" w:rsidRPr="005F120D">
        <w:rPr>
          <w:rFonts w:asciiTheme="minorHAnsi" w:hAnsiTheme="minorHAnsi" w:cstheme="minorHAnsi"/>
          <w:sz w:val="22"/>
          <w:szCs w:val="22"/>
        </w:rPr>
        <w:t>d</w:t>
      </w:r>
      <w:r w:rsidRPr="005F120D">
        <w:rPr>
          <w:rFonts w:asciiTheme="minorHAnsi" w:hAnsiTheme="minorHAnsi" w:cstheme="minorHAnsi"/>
          <w:sz w:val="22"/>
          <w:szCs w:val="22"/>
        </w:rPr>
        <w:t xml:space="preserve">, only 42% </w:t>
      </w:r>
      <w:r w:rsidR="001A7D86" w:rsidRPr="005F120D">
        <w:rPr>
          <w:rFonts w:asciiTheme="minorHAnsi" w:hAnsiTheme="minorHAnsi" w:cstheme="minorHAnsi"/>
          <w:sz w:val="22"/>
          <w:szCs w:val="22"/>
        </w:rPr>
        <w:t xml:space="preserve">of </w:t>
      </w:r>
      <w:r w:rsidRPr="005F120D">
        <w:rPr>
          <w:rFonts w:asciiTheme="minorHAnsi" w:hAnsiTheme="minorHAnsi" w:cstheme="minorHAnsi"/>
          <w:sz w:val="22"/>
          <w:szCs w:val="22"/>
        </w:rPr>
        <w:t>children who enrolled in</w:t>
      </w:r>
      <w:r w:rsidR="001A7D86" w:rsidRPr="005F120D">
        <w:rPr>
          <w:rFonts w:asciiTheme="minorHAnsi" w:hAnsiTheme="minorHAnsi" w:cstheme="minorHAnsi"/>
          <w:sz w:val="22"/>
          <w:szCs w:val="22"/>
        </w:rPr>
        <w:t xml:space="preserve"> Grade 1 had PPE experience;</w:t>
      </w:r>
      <w:r w:rsidRPr="005F120D">
        <w:rPr>
          <w:rFonts w:asciiTheme="minorHAnsi" w:hAnsiTheme="minorHAnsi" w:cstheme="minorHAnsi"/>
          <w:sz w:val="22"/>
          <w:szCs w:val="22"/>
        </w:rPr>
        <w:t xml:space="preserve"> this reached 96% in 2015 at DPE managed schools. It is evident that this indicator has </w:t>
      </w:r>
      <w:r w:rsidR="001A7D86" w:rsidRPr="005F120D">
        <w:rPr>
          <w:rFonts w:asciiTheme="minorHAnsi" w:hAnsiTheme="minorHAnsi" w:cstheme="minorHAnsi"/>
          <w:sz w:val="22"/>
          <w:szCs w:val="22"/>
        </w:rPr>
        <w:t>grown tremendously.  The</w:t>
      </w:r>
      <w:r w:rsidRPr="005F120D">
        <w:rPr>
          <w:rFonts w:asciiTheme="minorHAnsi" w:hAnsiTheme="minorHAnsi" w:cstheme="minorHAnsi"/>
          <w:sz w:val="22"/>
          <w:szCs w:val="22"/>
        </w:rPr>
        <w:t xml:space="preserve"> i</w:t>
      </w:r>
      <w:r w:rsidR="001A7D86" w:rsidRPr="005F120D">
        <w:rPr>
          <w:rFonts w:asciiTheme="minorHAnsi" w:hAnsiTheme="minorHAnsi" w:cstheme="minorHAnsi"/>
          <w:sz w:val="22"/>
          <w:szCs w:val="22"/>
        </w:rPr>
        <w:t>ndicator has also been measured in global perspective by UN</w:t>
      </w:r>
      <w:r w:rsidRPr="005F120D">
        <w:rPr>
          <w:rFonts w:asciiTheme="minorHAnsi" w:hAnsiTheme="minorHAnsi" w:cstheme="minorHAnsi"/>
          <w:sz w:val="22"/>
          <w:szCs w:val="22"/>
        </w:rPr>
        <w:t>ESCO</w:t>
      </w:r>
      <w:r w:rsidR="001A7D86" w:rsidRPr="005F120D">
        <w:rPr>
          <w:rFonts w:asciiTheme="minorHAnsi" w:hAnsiTheme="minorHAnsi" w:cstheme="minorHAnsi"/>
          <w:sz w:val="22"/>
          <w:szCs w:val="22"/>
        </w:rPr>
        <w:t>,</w:t>
      </w:r>
      <w:r w:rsidRPr="005F120D">
        <w:rPr>
          <w:rFonts w:asciiTheme="minorHAnsi" w:hAnsiTheme="minorHAnsi" w:cstheme="minorHAnsi"/>
          <w:sz w:val="22"/>
          <w:szCs w:val="22"/>
        </w:rPr>
        <w:t xml:space="preserve"> and </w:t>
      </w:r>
      <w:r w:rsidR="001A7D86" w:rsidRPr="005F120D">
        <w:rPr>
          <w:rFonts w:asciiTheme="minorHAnsi" w:hAnsiTheme="minorHAnsi" w:cstheme="minorHAnsi"/>
          <w:sz w:val="22"/>
          <w:szCs w:val="22"/>
        </w:rPr>
        <w:t>the PPE achievement is included in</w:t>
      </w:r>
      <w:r w:rsidRPr="005F120D">
        <w:rPr>
          <w:rFonts w:asciiTheme="minorHAnsi" w:hAnsiTheme="minorHAnsi" w:cstheme="minorHAnsi"/>
          <w:sz w:val="22"/>
          <w:szCs w:val="22"/>
        </w:rPr>
        <w:t xml:space="preserve"> the Global Monitoring Report (GMR)</w:t>
      </w:r>
      <w:r w:rsidR="0027206D" w:rsidRPr="005F120D">
        <w:rPr>
          <w:rFonts w:asciiTheme="minorHAnsi" w:hAnsiTheme="minorHAnsi" w:cstheme="minorHAnsi"/>
          <w:sz w:val="22"/>
          <w:szCs w:val="22"/>
        </w:rPr>
        <w:t>.</w:t>
      </w:r>
    </w:p>
    <w:p w:rsidR="00C3244A" w:rsidRPr="005F120D" w:rsidRDefault="00C3244A" w:rsidP="00C437AA">
      <w:pPr>
        <w:pStyle w:val="Tabletext"/>
        <w:spacing w:line="276" w:lineRule="auto"/>
        <w:rPr>
          <w:rFonts w:asciiTheme="minorHAnsi" w:hAnsiTheme="minorHAnsi" w:cstheme="minorHAnsi"/>
          <w:i/>
          <w:color w:val="FF0000"/>
          <w:sz w:val="18"/>
          <w:szCs w:val="16"/>
        </w:rPr>
      </w:pPr>
    </w:p>
    <w:p w:rsidR="00752AB3" w:rsidRPr="005F120D" w:rsidRDefault="00752AB3" w:rsidP="00C437AA">
      <w:pPr>
        <w:pStyle w:val="Heading4"/>
        <w:spacing w:line="276" w:lineRule="auto"/>
        <w:rPr>
          <w:rFonts w:asciiTheme="minorHAnsi" w:hAnsiTheme="minorHAnsi" w:cstheme="minorHAnsi"/>
          <w:b/>
          <w:color w:val="008000"/>
        </w:rPr>
      </w:pPr>
      <w:r w:rsidRPr="005F120D">
        <w:rPr>
          <w:rFonts w:asciiTheme="minorHAnsi" w:hAnsiTheme="minorHAnsi" w:cstheme="minorHAnsi"/>
          <w:b/>
          <w:color w:val="008000"/>
        </w:rPr>
        <w:t>Student Repetition Rate</w:t>
      </w:r>
    </w:p>
    <w:p w:rsidR="002B06D9" w:rsidRPr="005F120D" w:rsidRDefault="0081672D" w:rsidP="00C437AA">
      <w:pPr>
        <w:spacing w:after="120" w:line="276" w:lineRule="auto"/>
        <w:jc w:val="both"/>
        <w:rPr>
          <w:rFonts w:asciiTheme="minorHAnsi" w:hAnsiTheme="minorHAnsi" w:cstheme="minorHAnsi"/>
        </w:rPr>
      </w:pPr>
      <w:r w:rsidRPr="005F120D">
        <w:rPr>
          <w:rFonts w:asciiTheme="minorHAnsi" w:hAnsiTheme="minorHAnsi" w:cstheme="minorHAnsi"/>
        </w:rPr>
        <w:t xml:space="preserve">The </w:t>
      </w:r>
      <w:r w:rsidR="00770B93">
        <w:rPr>
          <w:rFonts w:asciiTheme="minorHAnsi" w:hAnsiTheme="minorHAnsi" w:cstheme="minorHAnsi"/>
          <w:b/>
          <w:u w:val="single"/>
        </w:rPr>
        <w:t xml:space="preserve">Non-KP </w:t>
      </w:r>
      <w:r w:rsidRPr="005F120D">
        <w:rPr>
          <w:rFonts w:asciiTheme="minorHAnsi" w:hAnsiTheme="minorHAnsi" w:cstheme="minorHAnsi"/>
          <w:b/>
          <w:u w:val="single"/>
        </w:rPr>
        <w:t>I2</w:t>
      </w:r>
      <w:r w:rsidR="00362E85" w:rsidRPr="00362E85">
        <w:rPr>
          <w:rFonts w:asciiTheme="minorHAnsi" w:hAnsiTheme="minorHAnsi" w:cstheme="minorHAnsi"/>
          <w:b/>
        </w:rPr>
        <w:t xml:space="preserve"> </w:t>
      </w:r>
      <w:r w:rsidRPr="005F120D">
        <w:rPr>
          <w:rFonts w:asciiTheme="minorHAnsi" w:hAnsiTheme="minorHAnsi" w:cstheme="minorHAnsi"/>
          <w:b/>
          <w:i/>
        </w:rPr>
        <w:t>‘Student repetition rate’</w:t>
      </w:r>
      <w:r w:rsidRPr="005F120D">
        <w:rPr>
          <w:rFonts w:asciiTheme="minorHAnsi" w:hAnsiTheme="minorHAnsi" w:cstheme="minorHAnsi"/>
        </w:rPr>
        <w:t xml:space="preserve"> is intended to measure one of the most important determinants of learning</w:t>
      </w:r>
      <w:r w:rsidR="0086040E" w:rsidRPr="005F120D">
        <w:rPr>
          <w:rFonts w:asciiTheme="minorHAnsi" w:hAnsiTheme="minorHAnsi" w:cstheme="minorHAnsi"/>
        </w:rPr>
        <w:t xml:space="preserve"> outcomes.  T</w:t>
      </w:r>
      <w:r w:rsidRPr="005F120D">
        <w:rPr>
          <w:rFonts w:asciiTheme="minorHAnsi" w:hAnsiTheme="minorHAnsi" w:cstheme="minorHAnsi"/>
        </w:rPr>
        <w:t>he student repetition rate has been following a declining trend over the past six years among b</w:t>
      </w:r>
      <w:r w:rsidR="001A7D86" w:rsidRPr="005F120D">
        <w:rPr>
          <w:rFonts w:asciiTheme="minorHAnsi" w:hAnsiTheme="minorHAnsi" w:cstheme="minorHAnsi"/>
        </w:rPr>
        <w:t>oth boys and girls; this was</w:t>
      </w:r>
      <w:r w:rsidRPr="005F120D">
        <w:rPr>
          <w:rFonts w:asciiTheme="minorHAnsi" w:hAnsiTheme="minorHAnsi" w:cstheme="minorHAnsi"/>
        </w:rPr>
        <w:t xml:space="preserve"> 6.2 % in 2015 (Boys 6.4% and Girls 6%), down from 6.4% (Boys 6.9% and Girls 6%) in 2014 (see Figure 3.15).  Education Watch 2015 stated that the repetition rate was 6.8% in 2014, which is very close to the APSC 2014 figures (6.4%)</w:t>
      </w:r>
      <w:r w:rsidR="00764C3D" w:rsidRPr="005F120D">
        <w:rPr>
          <w:rFonts w:asciiTheme="minorHAnsi" w:hAnsiTheme="minorHAnsi" w:cstheme="minorHAnsi"/>
        </w:rPr>
        <w:t xml:space="preserve">. </w:t>
      </w:r>
    </w:p>
    <w:p w:rsidR="00E345EB" w:rsidRPr="005F120D" w:rsidRDefault="00754A38" w:rsidP="00C437AA">
      <w:pPr>
        <w:pStyle w:val="Caption"/>
        <w:spacing w:line="276" w:lineRule="auto"/>
        <w:rPr>
          <w:rFonts w:cstheme="minorHAnsi"/>
        </w:rPr>
      </w:pPr>
      <w:bookmarkStart w:id="332" w:name="_Toc462837273"/>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16</w:t>
      </w:r>
      <w:r w:rsidR="002E2ED5" w:rsidRPr="005F120D">
        <w:rPr>
          <w:rFonts w:cstheme="minorHAnsi"/>
        </w:rPr>
        <w:fldChar w:fldCharType="end"/>
      </w:r>
      <w:r w:rsidR="006A7739" w:rsidRPr="005F120D">
        <w:rPr>
          <w:rFonts w:cstheme="minorHAnsi"/>
        </w:rPr>
        <w:t>:</w:t>
      </w:r>
      <w:r w:rsidR="00770B93">
        <w:rPr>
          <w:rFonts w:cstheme="minorHAnsi"/>
        </w:rPr>
        <w:t xml:space="preserve"> </w:t>
      </w:r>
      <w:r w:rsidR="00E345EB" w:rsidRPr="005F120D">
        <w:rPr>
          <w:rFonts w:cstheme="minorHAnsi"/>
          <w:szCs w:val="24"/>
        </w:rPr>
        <w:t>Repetition Rate by Grade and Gender</w:t>
      </w:r>
      <w:r w:rsidR="0099721F" w:rsidRPr="005F120D">
        <w:rPr>
          <w:rFonts w:cstheme="minorHAnsi"/>
          <w:szCs w:val="24"/>
        </w:rPr>
        <w:t xml:space="preserve"> 2010-201</w:t>
      </w:r>
      <w:r w:rsidR="00084247" w:rsidRPr="005F120D">
        <w:rPr>
          <w:rFonts w:cstheme="minorHAnsi"/>
          <w:szCs w:val="24"/>
        </w:rPr>
        <w:t>5</w:t>
      </w:r>
      <w:bookmarkEnd w:id="332"/>
    </w:p>
    <w:tbl>
      <w:tblPr>
        <w:tblpPr w:leftFromText="180" w:rightFromText="180" w:vertAnchor="text" w:tblpXSpec="center" w:tblpY="1"/>
        <w:tblOverlap w:val="never"/>
        <w:tblW w:w="5000" w:type="pct"/>
        <w:jc w:val="center"/>
        <w:tblBorders>
          <w:top w:val="double" w:sz="4" w:space="0" w:color="C4BC96" w:themeColor="background2" w:themeShade="BF"/>
          <w:left w:val="double" w:sz="4" w:space="0" w:color="C4BC96" w:themeColor="background2" w:themeShade="BF"/>
          <w:bottom w:val="double" w:sz="4" w:space="0" w:color="C4BC96" w:themeColor="background2" w:themeShade="BF"/>
          <w:right w:val="double" w:sz="4" w:space="0" w:color="C4BC96" w:themeColor="background2" w:themeShade="BF"/>
          <w:insideH w:val="single" w:sz="6" w:space="0" w:color="C4BC96" w:themeColor="background2" w:themeShade="BF"/>
          <w:insideV w:val="single" w:sz="6" w:space="0" w:color="C4BC96" w:themeColor="background2" w:themeShade="BF"/>
        </w:tblBorders>
        <w:tblLook w:val="01E0"/>
      </w:tblPr>
      <w:tblGrid>
        <w:gridCol w:w="2540"/>
        <w:gridCol w:w="723"/>
        <w:gridCol w:w="856"/>
        <w:gridCol w:w="856"/>
        <w:gridCol w:w="854"/>
        <w:gridCol w:w="856"/>
        <w:gridCol w:w="854"/>
        <w:gridCol w:w="854"/>
        <w:gridCol w:w="852"/>
      </w:tblGrid>
      <w:tr w:rsidR="007A1618" w:rsidRPr="005F120D" w:rsidTr="007A1618">
        <w:trPr>
          <w:jc w:val="center"/>
        </w:trPr>
        <w:tc>
          <w:tcPr>
            <w:tcW w:w="1373" w:type="pct"/>
            <w:vMerge w:val="restart"/>
            <w:shd w:val="clear" w:color="auto" w:fill="DDD9C3" w:themeFill="background2" w:themeFillShade="E6"/>
            <w:vAlign w:val="center"/>
          </w:tcPr>
          <w:p w:rsidR="007A1618" w:rsidRPr="005F120D" w:rsidRDefault="007A1618" w:rsidP="00A03624">
            <w:pPr>
              <w:pStyle w:val="Tabletext"/>
              <w:jc w:val="center"/>
              <w:rPr>
                <w:rFonts w:asciiTheme="minorHAnsi" w:hAnsiTheme="minorHAnsi" w:cstheme="minorHAnsi"/>
              </w:rPr>
            </w:pPr>
            <w:r w:rsidRPr="005F120D">
              <w:rPr>
                <w:rFonts w:asciiTheme="minorHAnsi" w:hAnsiTheme="minorHAnsi" w:cstheme="minorHAnsi"/>
              </w:rPr>
              <w:t>Repetition rate (%)</w:t>
            </w:r>
          </w:p>
        </w:tc>
        <w:tc>
          <w:tcPr>
            <w:tcW w:w="2242" w:type="pct"/>
            <w:gridSpan w:val="5"/>
            <w:shd w:val="clear" w:color="auto" w:fill="DDD9C3" w:themeFill="background2" w:themeFillShade="E6"/>
            <w:vAlign w:val="center"/>
          </w:tcPr>
          <w:p w:rsidR="007A1618" w:rsidRPr="005F120D" w:rsidRDefault="007A1618" w:rsidP="00A03624">
            <w:pPr>
              <w:pStyle w:val="Tabletext"/>
              <w:spacing w:before="0" w:after="0"/>
              <w:jc w:val="center"/>
              <w:rPr>
                <w:rFonts w:asciiTheme="minorHAnsi" w:hAnsiTheme="minorHAnsi" w:cstheme="minorHAnsi"/>
              </w:rPr>
            </w:pPr>
            <w:r w:rsidRPr="005F120D">
              <w:rPr>
                <w:rFonts w:asciiTheme="minorHAnsi" w:hAnsiTheme="minorHAnsi" w:cstheme="minorHAnsi"/>
              </w:rPr>
              <w:t>By Grade</w:t>
            </w:r>
          </w:p>
        </w:tc>
        <w:tc>
          <w:tcPr>
            <w:tcW w:w="1385" w:type="pct"/>
            <w:gridSpan w:val="3"/>
            <w:shd w:val="clear" w:color="auto" w:fill="DDD9C3" w:themeFill="background2" w:themeFillShade="E6"/>
            <w:vAlign w:val="center"/>
          </w:tcPr>
          <w:p w:rsidR="007A1618" w:rsidRPr="005F120D" w:rsidRDefault="007A1618" w:rsidP="00A03624">
            <w:pPr>
              <w:pStyle w:val="Tabletext"/>
              <w:spacing w:before="0" w:after="0"/>
              <w:jc w:val="center"/>
              <w:rPr>
                <w:rFonts w:asciiTheme="minorHAnsi" w:hAnsiTheme="minorHAnsi" w:cstheme="minorHAnsi"/>
              </w:rPr>
            </w:pPr>
            <w:r w:rsidRPr="005F120D">
              <w:rPr>
                <w:rFonts w:asciiTheme="minorHAnsi" w:hAnsiTheme="minorHAnsi" w:cstheme="minorHAnsi"/>
              </w:rPr>
              <w:t>By Gender</w:t>
            </w:r>
          </w:p>
        </w:tc>
      </w:tr>
      <w:tr w:rsidR="00C811A5" w:rsidRPr="005F120D" w:rsidTr="007A1618">
        <w:trPr>
          <w:jc w:val="center"/>
        </w:trPr>
        <w:tc>
          <w:tcPr>
            <w:tcW w:w="1373" w:type="pct"/>
            <w:vMerge/>
            <w:shd w:val="clear" w:color="auto" w:fill="DDD9C3" w:themeFill="background2" w:themeFillShade="E6"/>
            <w:vAlign w:val="center"/>
          </w:tcPr>
          <w:p w:rsidR="00C811A5" w:rsidRPr="005F120D" w:rsidRDefault="00C811A5" w:rsidP="00A03624">
            <w:pPr>
              <w:pStyle w:val="Tabletext"/>
              <w:spacing w:before="0" w:after="0"/>
              <w:jc w:val="center"/>
              <w:rPr>
                <w:rFonts w:asciiTheme="minorHAnsi" w:hAnsiTheme="minorHAnsi" w:cstheme="minorHAnsi"/>
              </w:rPr>
            </w:pPr>
          </w:p>
        </w:tc>
        <w:tc>
          <w:tcPr>
            <w:tcW w:w="391" w:type="pct"/>
            <w:shd w:val="clear" w:color="auto" w:fill="DDD9C3" w:themeFill="background2" w:themeFillShade="E6"/>
            <w:vAlign w:val="center"/>
          </w:tcPr>
          <w:p w:rsidR="00C811A5" w:rsidRPr="005F120D" w:rsidRDefault="007A1618" w:rsidP="00A03624">
            <w:pPr>
              <w:pStyle w:val="Tabletext"/>
              <w:spacing w:before="0" w:after="0"/>
              <w:jc w:val="center"/>
              <w:rPr>
                <w:rFonts w:asciiTheme="minorHAnsi" w:hAnsiTheme="minorHAnsi" w:cstheme="minorHAnsi"/>
              </w:rPr>
            </w:pPr>
            <w:r w:rsidRPr="005F120D">
              <w:rPr>
                <w:rFonts w:asciiTheme="minorHAnsi" w:hAnsiTheme="minorHAnsi" w:cstheme="minorHAnsi"/>
              </w:rPr>
              <w:t>Gr-</w:t>
            </w:r>
            <w:r w:rsidR="00C811A5" w:rsidRPr="005F120D">
              <w:rPr>
                <w:rFonts w:asciiTheme="minorHAnsi" w:hAnsiTheme="minorHAnsi" w:cstheme="minorHAnsi"/>
              </w:rPr>
              <w:t>1</w:t>
            </w:r>
          </w:p>
        </w:tc>
        <w:tc>
          <w:tcPr>
            <w:tcW w:w="463" w:type="pct"/>
            <w:shd w:val="clear" w:color="auto" w:fill="DDD9C3" w:themeFill="background2" w:themeFillShade="E6"/>
            <w:vAlign w:val="center"/>
          </w:tcPr>
          <w:p w:rsidR="00C811A5" w:rsidRPr="005F120D" w:rsidRDefault="007A1618" w:rsidP="00A03624">
            <w:pPr>
              <w:pStyle w:val="Tabletext"/>
              <w:spacing w:before="0" w:after="0"/>
              <w:jc w:val="center"/>
              <w:rPr>
                <w:rFonts w:asciiTheme="minorHAnsi" w:hAnsiTheme="minorHAnsi" w:cstheme="minorHAnsi"/>
              </w:rPr>
            </w:pPr>
            <w:r w:rsidRPr="005F120D">
              <w:rPr>
                <w:rFonts w:asciiTheme="minorHAnsi" w:hAnsiTheme="minorHAnsi" w:cstheme="minorHAnsi"/>
              </w:rPr>
              <w:t>Gr-</w:t>
            </w:r>
            <w:r w:rsidR="00C811A5" w:rsidRPr="005F120D">
              <w:rPr>
                <w:rFonts w:asciiTheme="minorHAnsi" w:hAnsiTheme="minorHAnsi" w:cstheme="minorHAnsi"/>
              </w:rPr>
              <w:t>2</w:t>
            </w:r>
          </w:p>
        </w:tc>
        <w:tc>
          <w:tcPr>
            <w:tcW w:w="463" w:type="pct"/>
            <w:shd w:val="clear" w:color="auto" w:fill="DDD9C3" w:themeFill="background2" w:themeFillShade="E6"/>
            <w:vAlign w:val="center"/>
          </w:tcPr>
          <w:p w:rsidR="00C811A5" w:rsidRPr="005F120D" w:rsidRDefault="007A1618" w:rsidP="00A03624">
            <w:pPr>
              <w:pStyle w:val="Tabletext"/>
              <w:spacing w:before="0" w:after="0"/>
              <w:jc w:val="center"/>
              <w:rPr>
                <w:rFonts w:asciiTheme="minorHAnsi" w:hAnsiTheme="minorHAnsi" w:cstheme="minorHAnsi"/>
              </w:rPr>
            </w:pPr>
            <w:r w:rsidRPr="005F120D">
              <w:rPr>
                <w:rFonts w:asciiTheme="minorHAnsi" w:hAnsiTheme="minorHAnsi" w:cstheme="minorHAnsi"/>
              </w:rPr>
              <w:t>Gr-</w:t>
            </w:r>
            <w:r w:rsidR="00C811A5" w:rsidRPr="005F120D">
              <w:rPr>
                <w:rFonts w:asciiTheme="minorHAnsi" w:hAnsiTheme="minorHAnsi" w:cstheme="minorHAnsi"/>
              </w:rPr>
              <w:t>3</w:t>
            </w:r>
          </w:p>
        </w:tc>
        <w:tc>
          <w:tcPr>
            <w:tcW w:w="462" w:type="pct"/>
            <w:shd w:val="clear" w:color="auto" w:fill="DDD9C3" w:themeFill="background2" w:themeFillShade="E6"/>
            <w:vAlign w:val="center"/>
          </w:tcPr>
          <w:p w:rsidR="00C811A5" w:rsidRPr="005F120D" w:rsidRDefault="007A1618" w:rsidP="00A03624">
            <w:pPr>
              <w:pStyle w:val="Tabletext"/>
              <w:spacing w:before="0" w:after="0"/>
              <w:jc w:val="center"/>
              <w:rPr>
                <w:rFonts w:asciiTheme="minorHAnsi" w:hAnsiTheme="minorHAnsi" w:cstheme="minorHAnsi"/>
              </w:rPr>
            </w:pPr>
            <w:r w:rsidRPr="005F120D">
              <w:rPr>
                <w:rFonts w:asciiTheme="minorHAnsi" w:hAnsiTheme="minorHAnsi" w:cstheme="minorHAnsi"/>
              </w:rPr>
              <w:t>Gr-</w:t>
            </w:r>
            <w:r w:rsidR="00C811A5" w:rsidRPr="005F120D">
              <w:rPr>
                <w:rFonts w:asciiTheme="minorHAnsi" w:hAnsiTheme="minorHAnsi" w:cstheme="minorHAnsi"/>
              </w:rPr>
              <w:t>4</w:t>
            </w:r>
          </w:p>
        </w:tc>
        <w:tc>
          <w:tcPr>
            <w:tcW w:w="463" w:type="pct"/>
            <w:shd w:val="clear" w:color="auto" w:fill="DDD9C3" w:themeFill="background2" w:themeFillShade="E6"/>
            <w:vAlign w:val="center"/>
          </w:tcPr>
          <w:p w:rsidR="00C811A5" w:rsidRPr="005F120D" w:rsidRDefault="007A1618" w:rsidP="00A03624">
            <w:pPr>
              <w:pStyle w:val="Tabletext"/>
              <w:spacing w:before="0" w:after="0"/>
              <w:jc w:val="center"/>
              <w:rPr>
                <w:rFonts w:asciiTheme="minorHAnsi" w:hAnsiTheme="minorHAnsi" w:cstheme="minorHAnsi"/>
              </w:rPr>
            </w:pPr>
            <w:r w:rsidRPr="005F120D">
              <w:rPr>
                <w:rFonts w:asciiTheme="minorHAnsi" w:hAnsiTheme="minorHAnsi" w:cstheme="minorHAnsi"/>
              </w:rPr>
              <w:t>Gr-</w:t>
            </w:r>
            <w:r w:rsidR="00C811A5" w:rsidRPr="005F120D">
              <w:rPr>
                <w:rFonts w:asciiTheme="minorHAnsi" w:hAnsiTheme="minorHAnsi" w:cstheme="minorHAnsi"/>
              </w:rPr>
              <w:t>5</w:t>
            </w:r>
          </w:p>
        </w:tc>
        <w:tc>
          <w:tcPr>
            <w:tcW w:w="462" w:type="pct"/>
            <w:shd w:val="clear" w:color="auto" w:fill="DDD9C3" w:themeFill="background2" w:themeFillShade="E6"/>
            <w:vAlign w:val="center"/>
          </w:tcPr>
          <w:p w:rsidR="00C811A5"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Boy</w:t>
            </w:r>
          </w:p>
        </w:tc>
        <w:tc>
          <w:tcPr>
            <w:tcW w:w="462" w:type="pct"/>
            <w:shd w:val="clear" w:color="auto" w:fill="DDD9C3" w:themeFill="background2" w:themeFillShade="E6"/>
            <w:vAlign w:val="center"/>
          </w:tcPr>
          <w:p w:rsidR="00C811A5"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Girl</w:t>
            </w:r>
          </w:p>
        </w:tc>
        <w:tc>
          <w:tcPr>
            <w:tcW w:w="461" w:type="pct"/>
            <w:shd w:val="clear" w:color="auto" w:fill="DDD9C3" w:themeFill="background2" w:themeFillShade="E6"/>
            <w:vAlign w:val="center"/>
          </w:tcPr>
          <w:p w:rsidR="00C811A5"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Total</w:t>
            </w:r>
          </w:p>
        </w:tc>
      </w:tr>
      <w:tr w:rsidR="00E345EB" w:rsidRPr="005F120D" w:rsidTr="007A1618">
        <w:trPr>
          <w:jc w:val="center"/>
        </w:trPr>
        <w:tc>
          <w:tcPr>
            <w:tcW w:w="137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2010 (PEDP3 Baseline)</w:t>
            </w:r>
          </w:p>
        </w:tc>
        <w:tc>
          <w:tcPr>
            <w:tcW w:w="391"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11.4</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12.1</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14.1</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16.5</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7.1</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12.8</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12.4</w:t>
            </w:r>
          </w:p>
        </w:tc>
        <w:tc>
          <w:tcPr>
            <w:tcW w:w="461"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12.6</w:t>
            </w:r>
          </w:p>
        </w:tc>
      </w:tr>
      <w:tr w:rsidR="00E345EB" w:rsidRPr="005F120D" w:rsidTr="007A1618">
        <w:trPr>
          <w:jc w:val="center"/>
        </w:trPr>
        <w:tc>
          <w:tcPr>
            <w:tcW w:w="137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2011</w:t>
            </w:r>
          </w:p>
        </w:tc>
        <w:tc>
          <w:tcPr>
            <w:tcW w:w="391"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10.7</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10.3</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14.2</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13.5</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3.5</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11.6</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10.6</w:t>
            </w:r>
          </w:p>
        </w:tc>
        <w:tc>
          <w:tcPr>
            <w:tcW w:w="461"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11.1</w:t>
            </w:r>
          </w:p>
        </w:tc>
      </w:tr>
      <w:tr w:rsidR="00E345EB" w:rsidRPr="005F120D" w:rsidTr="007A1618">
        <w:trPr>
          <w:jc w:val="center"/>
        </w:trPr>
        <w:tc>
          <w:tcPr>
            <w:tcW w:w="137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2012</w:t>
            </w:r>
          </w:p>
        </w:tc>
        <w:tc>
          <w:tcPr>
            <w:tcW w:w="391"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7.6</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7.3</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9.4</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8.4</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2.1</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7.3</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6.7</w:t>
            </w:r>
          </w:p>
        </w:tc>
        <w:tc>
          <w:tcPr>
            <w:tcW w:w="461"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7.3</w:t>
            </w:r>
          </w:p>
        </w:tc>
      </w:tr>
      <w:tr w:rsidR="00E345EB" w:rsidRPr="005F120D" w:rsidTr="007A1618">
        <w:trPr>
          <w:jc w:val="center"/>
        </w:trPr>
        <w:tc>
          <w:tcPr>
            <w:tcW w:w="137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2013</w:t>
            </w:r>
          </w:p>
        </w:tc>
        <w:tc>
          <w:tcPr>
            <w:tcW w:w="391"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7.9</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6.9</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8.8</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7.4</w:t>
            </w:r>
          </w:p>
        </w:tc>
        <w:tc>
          <w:tcPr>
            <w:tcW w:w="46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1.7</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7.3</w:t>
            </w:r>
          </w:p>
        </w:tc>
        <w:tc>
          <w:tcPr>
            <w:tcW w:w="462"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6.5</w:t>
            </w:r>
          </w:p>
        </w:tc>
        <w:tc>
          <w:tcPr>
            <w:tcW w:w="461"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6.9</w:t>
            </w:r>
          </w:p>
        </w:tc>
      </w:tr>
      <w:tr w:rsidR="00E345EB" w:rsidRPr="005F120D" w:rsidTr="007A1618">
        <w:trPr>
          <w:jc w:val="center"/>
        </w:trPr>
        <w:tc>
          <w:tcPr>
            <w:tcW w:w="1373" w:type="pct"/>
            <w:shd w:val="clear" w:color="auto" w:fill="auto"/>
            <w:vAlign w:val="center"/>
          </w:tcPr>
          <w:p w:rsidR="00E345EB" w:rsidRPr="005F120D" w:rsidRDefault="00E345EB" w:rsidP="00A03624">
            <w:pPr>
              <w:pStyle w:val="Tabletext"/>
              <w:spacing w:before="0" w:after="0"/>
              <w:jc w:val="center"/>
              <w:rPr>
                <w:rFonts w:asciiTheme="minorHAnsi" w:hAnsiTheme="minorHAnsi" w:cstheme="minorHAnsi"/>
              </w:rPr>
            </w:pPr>
            <w:r w:rsidRPr="005F120D">
              <w:rPr>
                <w:rFonts w:asciiTheme="minorHAnsi" w:hAnsiTheme="minorHAnsi" w:cstheme="minorHAnsi"/>
              </w:rPr>
              <w:t>2014</w:t>
            </w:r>
          </w:p>
        </w:tc>
        <w:tc>
          <w:tcPr>
            <w:tcW w:w="391" w:type="pct"/>
            <w:shd w:val="clear" w:color="auto" w:fill="auto"/>
            <w:vAlign w:val="center"/>
          </w:tcPr>
          <w:p w:rsidR="00E345EB"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6.9</w:t>
            </w:r>
          </w:p>
        </w:tc>
        <w:tc>
          <w:tcPr>
            <w:tcW w:w="463" w:type="pct"/>
            <w:shd w:val="clear" w:color="auto" w:fill="auto"/>
            <w:vAlign w:val="center"/>
          </w:tcPr>
          <w:p w:rsidR="00E345EB"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4.4</w:t>
            </w:r>
          </w:p>
        </w:tc>
        <w:tc>
          <w:tcPr>
            <w:tcW w:w="463" w:type="pct"/>
            <w:shd w:val="clear" w:color="auto" w:fill="auto"/>
            <w:vAlign w:val="center"/>
          </w:tcPr>
          <w:p w:rsidR="00E345EB"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6.9</w:t>
            </w:r>
          </w:p>
        </w:tc>
        <w:tc>
          <w:tcPr>
            <w:tcW w:w="462" w:type="pct"/>
            <w:shd w:val="clear" w:color="auto" w:fill="auto"/>
            <w:vAlign w:val="center"/>
          </w:tcPr>
          <w:p w:rsidR="00E345EB"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10.2</w:t>
            </w:r>
          </w:p>
        </w:tc>
        <w:tc>
          <w:tcPr>
            <w:tcW w:w="463" w:type="pct"/>
            <w:shd w:val="clear" w:color="auto" w:fill="auto"/>
            <w:vAlign w:val="center"/>
          </w:tcPr>
          <w:p w:rsidR="00E345EB"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2.8</w:t>
            </w:r>
          </w:p>
        </w:tc>
        <w:tc>
          <w:tcPr>
            <w:tcW w:w="462" w:type="pct"/>
            <w:shd w:val="clear" w:color="auto" w:fill="auto"/>
            <w:vAlign w:val="center"/>
          </w:tcPr>
          <w:p w:rsidR="00E345EB"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6.9</w:t>
            </w:r>
          </w:p>
        </w:tc>
        <w:tc>
          <w:tcPr>
            <w:tcW w:w="462" w:type="pct"/>
            <w:shd w:val="clear" w:color="auto" w:fill="auto"/>
            <w:vAlign w:val="center"/>
          </w:tcPr>
          <w:p w:rsidR="00E345EB"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6</w:t>
            </w:r>
          </w:p>
        </w:tc>
        <w:tc>
          <w:tcPr>
            <w:tcW w:w="461" w:type="pct"/>
            <w:shd w:val="clear" w:color="auto" w:fill="auto"/>
            <w:vAlign w:val="center"/>
          </w:tcPr>
          <w:p w:rsidR="00E345EB" w:rsidRPr="005F120D" w:rsidRDefault="00C811A5" w:rsidP="00A03624">
            <w:pPr>
              <w:pStyle w:val="Tabletext"/>
              <w:spacing w:before="0" w:after="0"/>
              <w:jc w:val="center"/>
              <w:rPr>
                <w:rFonts w:asciiTheme="minorHAnsi" w:hAnsiTheme="minorHAnsi" w:cstheme="minorHAnsi"/>
              </w:rPr>
            </w:pPr>
            <w:r w:rsidRPr="005F120D">
              <w:rPr>
                <w:rFonts w:asciiTheme="minorHAnsi" w:hAnsiTheme="minorHAnsi" w:cstheme="minorHAnsi"/>
              </w:rPr>
              <w:t>6.4</w:t>
            </w:r>
          </w:p>
        </w:tc>
      </w:tr>
      <w:tr w:rsidR="00AF1235" w:rsidRPr="005F120D" w:rsidTr="007A1618">
        <w:trPr>
          <w:jc w:val="center"/>
        </w:trPr>
        <w:tc>
          <w:tcPr>
            <w:tcW w:w="1373" w:type="pct"/>
            <w:shd w:val="clear" w:color="auto" w:fill="auto"/>
            <w:vAlign w:val="center"/>
          </w:tcPr>
          <w:p w:rsidR="00AF1235" w:rsidRPr="005F120D" w:rsidRDefault="00AF1235" w:rsidP="00A03624">
            <w:pPr>
              <w:pStyle w:val="Tabletext"/>
              <w:spacing w:before="0" w:after="0"/>
              <w:jc w:val="center"/>
              <w:rPr>
                <w:rFonts w:asciiTheme="minorHAnsi" w:hAnsiTheme="minorHAnsi" w:cstheme="minorHAnsi"/>
              </w:rPr>
            </w:pPr>
            <w:r w:rsidRPr="005F120D">
              <w:rPr>
                <w:rFonts w:asciiTheme="minorHAnsi" w:hAnsiTheme="minorHAnsi" w:cstheme="minorHAnsi"/>
              </w:rPr>
              <w:t>2015</w:t>
            </w:r>
          </w:p>
        </w:tc>
        <w:tc>
          <w:tcPr>
            <w:tcW w:w="391" w:type="pct"/>
            <w:shd w:val="clear" w:color="auto" w:fill="auto"/>
            <w:vAlign w:val="center"/>
          </w:tcPr>
          <w:p w:rsidR="00AF1235" w:rsidRPr="005F120D" w:rsidRDefault="00084247" w:rsidP="00A03624">
            <w:pPr>
              <w:pStyle w:val="Tabletext"/>
              <w:spacing w:before="0" w:after="0"/>
              <w:jc w:val="center"/>
              <w:rPr>
                <w:rFonts w:asciiTheme="minorHAnsi" w:hAnsiTheme="minorHAnsi" w:cstheme="minorHAnsi"/>
              </w:rPr>
            </w:pPr>
            <w:r w:rsidRPr="005F120D">
              <w:rPr>
                <w:rFonts w:asciiTheme="minorHAnsi" w:hAnsiTheme="minorHAnsi" w:cstheme="minorHAnsi"/>
              </w:rPr>
              <w:t>1.6</w:t>
            </w:r>
          </w:p>
        </w:tc>
        <w:tc>
          <w:tcPr>
            <w:tcW w:w="463" w:type="pct"/>
            <w:shd w:val="clear" w:color="auto" w:fill="auto"/>
            <w:vAlign w:val="center"/>
          </w:tcPr>
          <w:p w:rsidR="00AF1235" w:rsidRPr="005F120D" w:rsidRDefault="00084247" w:rsidP="00A03624">
            <w:pPr>
              <w:pStyle w:val="Tabletext"/>
              <w:spacing w:before="0" w:after="0"/>
              <w:jc w:val="center"/>
              <w:rPr>
                <w:rFonts w:asciiTheme="minorHAnsi" w:hAnsiTheme="minorHAnsi" w:cstheme="minorHAnsi"/>
              </w:rPr>
            </w:pPr>
            <w:r w:rsidRPr="005F120D">
              <w:rPr>
                <w:rFonts w:asciiTheme="minorHAnsi" w:hAnsiTheme="minorHAnsi" w:cstheme="minorHAnsi"/>
              </w:rPr>
              <w:t>3.2</w:t>
            </w:r>
          </w:p>
        </w:tc>
        <w:tc>
          <w:tcPr>
            <w:tcW w:w="463" w:type="pct"/>
            <w:shd w:val="clear" w:color="auto" w:fill="auto"/>
            <w:vAlign w:val="center"/>
          </w:tcPr>
          <w:p w:rsidR="00AF1235" w:rsidRPr="005F120D" w:rsidRDefault="00084247" w:rsidP="00A03624">
            <w:pPr>
              <w:pStyle w:val="Tabletext"/>
              <w:spacing w:before="0" w:after="0"/>
              <w:jc w:val="center"/>
              <w:rPr>
                <w:rFonts w:asciiTheme="minorHAnsi" w:hAnsiTheme="minorHAnsi" w:cstheme="minorHAnsi"/>
              </w:rPr>
            </w:pPr>
            <w:r w:rsidRPr="005F120D">
              <w:rPr>
                <w:rFonts w:asciiTheme="minorHAnsi" w:hAnsiTheme="minorHAnsi" w:cstheme="minorHAnsi"/>
              </w:rPr>
              <w:t>3.4</w:t>
            </w:r>
          </w:p>
        </w:tc>
        <w:tc>
          <w:tcPr>
            <w:tcW w:w="462" w:type="pct"/>
            <w:shd w:val="clear" w:color="auto" w:fill="auto"/>
            <w:vAlign w:val="center"/>
          </w:tcPr>
          <w:p w:rsidR="00AF1235" w:rsidRPr="005F120D" w:rsidRDefault="00084247" w:rsidP="00A03624">
            <w:pPr>
              <w:pStyle w:val="Tabletext"/>
              <w:spacing w:before="0" w:after="0"/>
              <w:jc w:val="center"/>
              <w:rPr>
                <w:rFonts w:asciiTheme="minorHAnsi" w:hAnsiTheme="minorHAnsi" w:cstheme="minorHAnsi"/>
              </w:rPr>
            </w:pPr>
            <w:r w:rsidRPr="005F120D">
              <w:rPr>
                <w:rFonts w:asciiTheme="minorHAnsi" w:hAnsiTheme="minorHAnsi" w:cstheme="minorHAnsi"/>
              </w:rPr>
              <w:t>10.1</w:t>
            </w:r>
          </w:p>
        </w:tc>
        <w:tc>
          <w:tcPr>
            <w:tcW w:w="463" w:type="pct"/>
            <w:shd w:val="clear" w:color="auto" w:fill="auto"/>
            <w:vAlign w:val="center"/>
          </w:tcPr>
          <w:p w:rsidR="00AF1235" w:rsidRPr="005F120D" w:rsidRDefault="00084247" w:rsidP="00A03624">
            <w:pPr>
              <w:pStyle w:val="Tabletext"/>
              <w:spacing w:before="0" w:after="0"/>
              <w:jc w:val="center"/>
              <w:rPr>
                <w:rFonts w:asciiTheme="minorHAnsi" w:hAnsiTheme="minorHAnsi" w:cstheme="minorHAnsi"/>
              </w:rPr>
            </w:pPr>
            <w:r w:rsidRPr="005F120D">
              <w:rPr>
                <w:rFonts w:asciiTheme="minorHAnsi" w:hAnsiTheme="minorHAnsi" w:cstheme="minorHAnsi"/>
              </w:rPr>
              <w:t>2.1</w:t>
            </w:r>
          </w:p>
        </w:tc>
        <w:tc>
          <w:tcPr>
            <w:tcW w:w="462" w:type="pct"/>
            <w:shd w:val="clear" w:color="auto" w:fill="auto"/>
            <w:vAlign w:val="center"/>
          </w:tcPr>
          <w:p w:rsidR="00AF1235" w:rsidRPr="005F120D" w:rsidRDefault="00084247" w:rsidP="00A03624">
            <w:pPr>
              <w:pStyle w:val="Tabletext"/>
              <w:spacing w:before="0" w:after="0"/>
              <w:jc w:val="center"/>
              <w:rPr>
                <w:rFonts w:asciiTheme="minorHAnsi" w:hAnsiTheme="minorHAnsi" w:cstheme="minorHAnsi"/>
              </w:rPr>
            </w:pPr>
            <w:r w:rsidRPr="005F120D">
              <w:rPr>
                <w:rFonts w:asciiTheme="minorHAnsi" w:hAnsiTheme="minorHAnsi" w:cstheme="minorHAnsi"/>
              </w:rPr>
              <w:t>6.4</w:t>
            </w:r>
          </w:p>
        </w:tc>
        <w:tc>
          <w:tcPr>
            <w:tcW w:w="462" w:type="pct"/>
            <w:shd w:val="clear" w:color="auto" w:fill="auto"/>
            <w:vAlign w:val="center"/>
          </w:tcPr>
          <w:p w:rsidR="00AF1235" w:rsidRPr="005F120D" w:rsidRDefault="00084247" w:rsidP="00A03624">
            <w:pPr>
              <w:pStyle w:val="Tabletext"/>
              <w:spacing w:before="0" w:after="0"/>
              <w:jc w:val="center"/>
              <w:rPr>
                <w:rFonts w:asciiTheme="minorHAnsi" w:hAnsiTheme="minorHAnsi" w:cstheme="minorHAnsi"/>
              </w:rPr>
            </w:pPr>
            <w:r w:rsidRPr="005F120D">
              <w:rPr>
                <w:rFonts w:asciiTheme="minorHAnsi" w:hAnsiTheme="minorHAnsi" w:cstheme="minorHAnsi"/>
              </w:rPr>
              <w:t>6</w:t>
            </w:r>
          </w:p>
        </w:tc>
        <w:tc>
          <w:tcPr>
            <w:tcW w:w="461" w:type="pct"/>
            <w:shd w:val="clear" w:color="auto" w:fill="auto"/>
            <w:vAlign w:val="center"/>
          </w:tcPr>
          <w:p w:rsidR="00AF1235" w:rsidRPr="005F120D" w:rsidRDefault="00084247" w:rsidP="00A03624">
            <w:pPr>
              <w:pStyle w:val="Tabletext"/>
              <w:spacing w:before="0" w:after="0"/>
              <w:jc w:val="center"/>
              <w:rPr>
                <w:rFonts w:asciiTheme="minorHAnsi" w:hAnsiTheme="minorHAnsi" w:cstheme="minorHAnsi"/>
              </w:rPr>
            </w:pPr>
            <w:r w:rsidRPr="005F120D">
              <w:rPr>
                <w:rFonts w:asciiTheme="minorHAnsi" w:hAnsiTheme="minorHAnsi" w:cstheme="minorHAnsi"/>
              </w:rPr>
              <w:t>6.2</w:t>
            </w:r>
          </w:p>
        </w:tc>
      </w:tr>
    </w:tbl>
    <w:p w:rsidR="00E345EB" w:rsidRPr="005F120D" w:rsidRDefault="00E345EB" w:rsidP="00C437AA">
      <w:pPr>
        <w:spacing w:after="0" w:line="276" w:lineRule="auto"/>
        <w:rPr>
          <w:rFonts w:asciiTheme="minorHAnsi" w:hAnsiTheme="minorHAnsi" w:cstheme="minorHAnsi"/>
          <w:b/>
        </w:rPr>
      </w:pPr>
    </w:p>
    <w:p w:rsidR="005347A2" w:rsidRPr="005F120D" w:rsidRDefault="0081672D" w:rsidP="0086040E">
      <w:pPr>
        <w:pStyle w:val="Caption"/>
        <w:jc w:val="both"/>
        <w:rPr>
          <w:rFonts w:cstheme="minorHAnsi"/>
          <w:b w:val="0"/>
        </w:rPr>
      </w:pPr>
      <w:r w:rsidRPr="005F120D">
        <w:rPr>
          <w:rFonts w:cstheme="minorHAnsi"/>
          <w:b w:val="0"/>
        </w:rPr>
        <w:t>The repetition rat</w:t>
      </w:r>
      <w:r w:rsidR="001A7D86" w:rsidRPr="005F120D">
        <w:rPr>
          <w:rFonts w:cstheme="minorHAnsi"/>
          <w:b w:val="0"/>
        </w:rPr>
        <w:t xml:space="preserve">e is </w:t>
      </w:r>
      <w:r w:rsidR="0030356B" w:rsidRPr="005F120D">
        <w:rPr>
          <w:rFonts w:cstheme="minorHAnsi"/>
          <w:b w:val="0"/>
        </w:rPr>
        <w:t xml:space="preserve">constantly and </w:t>
      </w:r>
      <w:r w:rsidR="001A7D86" w:rsidRPr="005F120D">
        <w:rPr>
          <w:rFonts w:cstheme="minorHAnsi"/>
          <w:b w:val="0"/>
        </w:rPr>
        <w:t>remarkably high in Grade 4</w:t>
      </w:r>
      <w:r w:rsidRPr="005F120D">
        <w:rPr>
          <w:rFonts w:cstheme="minorHAnsi"/>
          <w:b w:val="0"/>
        </w:rPr>
        <w:t xml:space="preserve">, and low </w:t>
      </w:r>
      <w:r w:rsidR="001A7D86" w:rsidRPr="005F120D">
        <w:rPr>
          <w:rFonts w:cstheme="minorHAnsi"/>
          <w:b w:val="0"/>
        </w:rPr>
        <w:t>in Grade 5</w:t>
      </w:r>
      <w:r w:rsidR="003610D9" w:rsidRPr="005F120D">
        <w:rPr>
          <w:rFonts w:cstheme="minorHAnsi"/>
          <w:b w:val="0"/>
        </w:rPr>
        <w:t xml:space="preserve"> (see above Table 3.16</w:t>
      </w:r>
      <w:r w:rsidRPr="005F120D">
        <w:rPr>
          <w:rFonts w:cstheme="minorHAnsi"/>
          <w:b w:val="0"/>
        </w:rPr>
        <w:t>).  It is assumed that each school filters the students, who a</w:t>
      </w:r>
      <w:r w:rsidR="001A7D86" w:rsidRPr="005F120D">
        <w:rPr>
          <w:rFonts w:cstheme="minorHAnsi"/>
          <w:b w:val="0"/>
        </w:rPr>
        <w:t>re allowed to pass from Grade 4</w:t>
      </w:r>
      <w:r w:rsidRPr="005F120D">
        <w:rPr>
          <w:rFonts w:cstheme="minorHAnsi"/>
          <w:b w:val="0"/>
        </w:rPr>
        <w:t xml:space="preserve"> to </w:t>
      </w:r>
      <w:r w:rsidR="001A7D86" w:rsidRPr="005F120D">
        <w:rPr>
          <w:rFonts w:cstheme="minorHAnsi"/>
          <w:b w:val="0"/>
        </w:rPr>
        <w:t>Grade 5</w:t>
      </w:r>
      <w:r w:rsidRPr="005F120D">
        <w:rPr>
          <w:rFonts w:cstheme="minorHAnsi"/>
          <w:b w:val="0"/>
        </w:rPr>
        <w:t xml:space="preserve">, based on their </w:t>
      </w:r>
      <w:r w:rsidR="001A7D86" w:rsidRPr="005F120D">
        <w:rPr>
          <w:rFonts w:cstheme="minorHAnsi"/>
          <w:b w:val="0"/>
        </w:rPr>
        <w:t>prospect of passing the fort</w:t>
      </w:r>
      <w:r w:rsidR="0030356B" w:rsidRPr="005F120D">
        <w:rPr>
          <w:rFonts w:cstheme="minorHAnsi"/>
          <w:b w:val="0"/>
        </w:rPr>
        <w:t>h</w:t>
      </w:r>
      <w:r w:rsidR="001A7D86" w:rsidRPr="005F120D">
        <w:rPr>
          <w:rFonts w:cstheme="minorHAnsi"/>
          <w:b w:val="0"/>
        </w:rPr>
        <w:t>com</w:t>
      </w:r>
      <w:r w:rsidR="0030356B" w:rsidRPr="005F120D">
        <w:rPr>
          <w:rFonts w:cstheme="minorHAnsi"/>
          <w:b w:val="0"/>
        </w:rPr>
        <w:t>ing</w:t>
      </w:r>
      <w:r w:rsidRPr="005F120D">
        <w:rPr>
          <w:rFonts w:cstheme="minorHAnsi"/>
          <w:b w:val="0"/>
        </w:rPr>
        <w:t xml:space="preserve"> PECE. This raises some issues that will require furth</w:t>
      </w:r>
      <w:r w:rsidR="0030356B" w:rsidRPr="005F120D">
        <w:rPr>
          <w:rFonts w:cstheme="minorHAnsi"/>
          <w:b w:val="0"/>
        </w:rPr>
        <w:t>er investigation and analysis of</w:t>
      </w:r>
      <w:r w:rsidRPr="005F120D">
        <w:rPr>
          <w:rFonts w:cstheme="minorHAnsi"/>
          <w:b w:val="0"/>
        </w:rPr>
        <w:t xml:space="preserve"> the ongoing cause or causes. </w:t>
      </w:r>
    </w:p>
    <w:p w:rsidR="00886A15" w:rsidRPr="005F120D" w:rsidRDefault="00754A38" w:rsidP="00C437AA">
      <w:pPr>
        <w:pStyle w:val="Caption"/>
        <w:spacing w:line="276" w:lineRule="auto"/>
        <w:rPr>
          <w:rFonts w:cstheme="minorHAnsi"/>
        </w:rPr>
      </w:pPr>
      <w:bookmarkStart w:id="333" w:name="_Toc462837424"/>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15</w:t>
      </w:r>
      <w:r w:rsidR="002E2ED5" w:rsidRPr="005F120D">
        <w:rPr>
          <w:rFonts w:cstheme="minorHAnsi"/>
        </w:rPr>
        <w:fldChar w:fldCharType="end"/>
      </w:r>
      <w:r w:rsidR="006A7739" w:rsidRPr="005F120D">
        <w:rPr>
          <w:rFonts w:cstheme="minorHAnsi"/>
        </w:rPr>
        <w:t>:</w:t>
      </w:r>
      <w:r w:rsidR="00770B93">
        <w:rPr>
          <w:rFonts w:cstheme="minorHAnsi"/>
        </w:rPr>
        <w:t xml:space="preserve"> </w:t>
      </w:r>
      <w:r w:rsidR="004279B6" w:rsidRPr="005F120D">
        <w:rPr>
          <w:rFonts w:cstheme="minorHAnsi"/>
        </w:rPr>
        <w:t>Repetition Rate (GPS and NNPS)</w:t>
      </w:r>
      <w:r w:rsidR="00FA5698" w:rsidRPr="005F120D">
        <w:rPr>
          <w:rFonts w:cstheme="minorHAnsi"/>
        </w:rPr>
        <w:t xml:space="preserve"> by Year and G</w:t>
      </w:r>
      <w:r w:rsidR="0099721F" w:rsidRPr="005F120D">
        <w:rPr>
          <w:rFonts w:cstheme="minorHAnsi"/>
        </w:rPr>
        <w:t>ender</w:t>
      </w:r>
      <w:r w:rsidR="004279B6" w:rsidRPr="005F120D">
        <w:rPr>
          <w:rFonts w:cstheme="minorHAnsi"/>
        </w:rPr>
        <w:t xml:space="preserve"> 2005, 2010</w:t>
      </w:r>
      <w:r w:rsidR="00886A15" w:rsidRPr="005F120D">
        <w:rPr>
          <w:rFonts w:cstheme="minorHAnsi"/>
        </w:rPr>
        <w:t>–201</w:t>
      </w:r>
      <w:r w:rsidR="004E4382" w:rsidRPr="005F120D">
        <w:rPr>
          <w:rFonts w:cstheme="minorHAnsi"/>
        </w:rPr>
        <w:t>5</w:t>
      </w:r>
      <w:bookmarkEnd w:id="333"/>
    </w:p>
    <w:p w:rsidR="00333BDE" w:rsidRPr="005F120D" w:rsidRDefault="00D5119F" w:rsidP="00C437AA">
      <w:pPr>
        <w:spacing w:after="0" w:line="276" w:lineRule="auto"/>
        <w:jc w:val="center"/>
        <w:rPr>
          <w:rFonts w:asciiTheme="minorHAnsi" w:hAnsiTheme="minorHAnsi" w:cstheme="minorHAnsi"/>
          <w:b/>
          <w:color w:val="FF0000"/>
          <w:sz w:val="18"/>
          <w:szCs w:val="18"/>
        </w:rPr>
      </w:pPr>
      <w:r w:rsidRPr="005F120D">
        <w:rPr>
          <w:rFonts w:asciiTheme="minorHAnsi" w:hAnsiTheme="minorHAnsi" w:cstheme="minorHAnsi"/>
          <w:b/>
          <w:noProof/>
          <w:color w:val="FF0000"/>
          <w:sz w:val="18"/>
          <w:szCs w:val="18"/>
          <w:lang w:eastAsia="en-US"/>
        </w:rPr>
        <w:drawing>
          <wp:inline distT="0" distB="0" distL="0" distR="0">
            <wp:extent cx="5772984" cy="2662735"/>
            <wp:effectExtent l="38100" t="19050" r="18216" b="4265"/>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D46C5" w:rsidRPr="005F120D" w:rsidRDefault="004E4382" w:rsidP="00C437AA">
      <w:pPr>
        <w:pStyle w:val="Heading4"/>
        <w:numPr>
          <w:ilvl w:val="0"/>
          <w:numId w:val="0"/>
        </w:numPr>
        <w:spacing w:after="120" w:line="276" w:lineRule="auto"/>
        <w:ind w:left="864" w:hanging="864"/>
        <w:rPr>
          <w:rFonts w:asciiTheme="minorHAnsi" w:hAnsiTheme="minorHAnsi" w:cstheme="minorHAnsi"/>
          <w:b/>
          <w:i w:val="0"/>
          <w:sz w:val="16"/>
          <w:szCs w:val="16"/>
        </w:rPr>
      </w:pPr>
      <w:bookmarkStart w:id="334" w:name="_Toc338839519"/>
      <w:bookmarkStart w:id="335" w:name="_Toc338856169"/>
      <w:bookmarkStart w:id="336" w:name="_Toc385242099"/>
      <w:bookmarkStart w:id="337" w:name="_Toc385245725"/>
      <w:r w:rsidRPr="005F120D">
        <w:rPr>
          <w:rFonts w:asciiTheme="minorHAnsi" w:hAnsiTheme="minorHAnsi" w:cstheme="minorHAnsi"/>
          <w:b/>
          <w:i w:val="0"/>
          <w:sz w:val="16"/>
          <w:szCs w:val="16"/>
        </w:rPr>
        <w:t>Source APSC 2015</w:t>
      </w:r>
    </w:p>
    <w:p w:rsidR="006A7739" w:rsidRPr="005F120D" w:rsidRDefault="00752AB3" w:rsidP="00A03624">
      <w:pPr>
        <w:pStyle w:val="Heading4"/>
        <w:spacing w:before="120" w:after="120" w:line="276" w:lineRule="auto"/>
        <w:rPr>
          <w:rFonts w:asciiTheme="minorHAnsi" w:hAnsiTheme="minorHAnsi" w:cstheme="minorHAnsi"/>
          <w:b/>
          <w:i w:val="0"/>
          <w:color w:val="008000"/>
        </w:rPr>
      </w:pPr>
      <w:r w:rsidRPr="005F120D">
        <w:rPr>
          <w:rFonts w:asciiTheme="minorHAnsi" w:hAnsiTheme="minorHAnsi" w:cstheme="minorHAnsi"/>
          <w:b/>
          <w:i w:val="0"/>
          <w:color w:val="008000"/>
        </w:rPr>
        <w:t>Student Attendance Rate</w:t>
      </w:r>
      <w:bookmarkEnd w:id="334"/>
      <w:bookmarkEnd w:id="335"/>
      <w:bookmarkEnd w:id="336"/>
      <w:bookmarkEnd w:id="337"/>
    </w:p>
    <w:p w:rsidR="00886A15" w:rsidRPr="005F120D" w:rsidRDefault="001A4153" w:rsidP="00C437AA">
      <w:pPr>
        <w:spacing w:before="120" w:after="120" w:line="276" w:lineRule="auto"/>
        <w:jc w:val="both"/>
        <w:rPr>
          <w:rFonts w:asciiTheme="minorHAnsi" w:hAnsiTheme="minorHAnsi" w:cstheme="minorHAnsi"/>
        </w:rPr>
      </w:pPr>
      <w:r w:rsidRPr="005F120D">
        <w:rPr>
          <w:rFonts w:asciiTheme="minorHAnsi" w:hAnsiTheme="minorHAnsi" w:cstheme="minorHAnsi"/>
        </w:rPr>
        <w:t xml:space="preserve">The </w:t>
      </w:r>
      <w:r w:rsidRPr="005F120D">
        <w:rPr>
          <w:rFonts w:asciiTheme="minorHAnsi" w:hAnsiTheme="minorHAnsi" w:cstheme="minorHAnsi"/>
          <w:b/>
          <w:u w:val="single"/>
        </w:rPr>
        <w:t>Non-KPI 4</w:t>
      </w:r>
      <w:r w:rsidRPr="00362E85">
        <w:rPr>
          <w:rFonts w:asciiTheme="minorHAnsi" w:hAnsiTheme="minorHAnsi" w:cstheme="minorHAnsi"/>
          <w:b/>
        </w:rPr>
        <w:t xml:space="preserve"> </w:t>
      </w:r>
      <w:r w:rsidRPr="005F120D">
        <w:rPr>
          <w:rFonts w:asciiTheme="minorHAnsi" w:hAnsiTheme="minorHAnsi" w:cstheme="minorHAnsi"/>
          <w:b/>
          <w:i/>
        </w:rPr>
        <w:t>‘Student attendance rate’</w:t>
      </w:r>
      <w:r w:rsidRPr="005F120D">
        <w:rPr>
          <w:rFonts w:asciiTheme="minorHAnsi" w:hAnsiTheme="minorHAnsi" w:cstheme="minorHAnsi"/>
        </w:rPr>
        <w:t xml:space="preserve"> is another important determinant of learning outcomes.  Based on the APSC, the student at</w:t>
      </w:r>
      <w:r w:rsidR="0030356B" w:rsidRPr="005F120D">
        <w:rPr>
          <w:rFonts w:asciiTheme="minorHAnsi" w:hAnsiTheme="minorHAnsi" w:cstheme="minorHAnsi"/>
        </w:rPr>
        <w:t>tendance rate has shown</w:t>
      </w:r>
      <w:r w:rsidRPr="005F120D">
        <w:rPr>
          <w:rFonts w:asciiTheme="minorHAnsi" w:hAnsiTheme="minorHAnsi" w:cstheme="minorHAnsi"/>
        </w:rPr>
        <w:t xml:space="preserve"> an increasing trend over the past decade among both boys and girls, reaching 86.9% in 2014 and 2015 (Boys 86.9% and Girls 87%). These figures are notably up from 79% in 2010 (see Figure 3.16)</w:t>
      </w:r>
      <w:r w:rsidR="0016351A" w:rsidRPr="005F120D">
        <w:rPr>
          <w:rFonts w:asciiTheme="minorHAnsi" w:hAnsiTheme="minorHAnsi" w:cstheme="minorHAnsi"/>
        </w:rPr>
        <w:t>.</w:t>
      </w:r>
    </w:p>
    <w:p w:rsidR="00C0534D" w:rsidRPr="005F120D" w:rsidRDefault="00136141" w:rsidP="00C437AA">
      <w:pPr>
        <w:pStyle w:val="Caption"/>
        <w:spacing w:line="276" w:lineRule="auto"/>
        <w:rPr>
          <w:rFonts w:cstheme="minorHAnsi"/>
        </w:rPr>
      </w:pPr>
      <w:bookmarkStart w:id="338" w:name="_Toc462837425"/>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16</w:t>
      </w:r>
      <w:r w:rsidR="002E2ED5" w:rsidRPr="005F120D">
        <w:rPr>
          <w:rFonts w:cstheme="minorHAnsi"/>
        </w:rPr>
        <w:fldChar w:fldCharType="end"/>
      </w:r>
      <w:r w:rsidR="006A7739" w:rsidRPr="005F120D">
        <w:rPr>
          <w:rFonts w:cstheme="minorHAnsi"/>
        </w:rPr>
        <w:t>:</w:t>
      </w:r>
      <w:r w:rsidR="00770B93">
        <w:rPr>
          <w:rFonts w:cstheme="minorHAnsi"/>
        </w:rPr>
        <w:t xml:space="preserve"> </w:t>
      </w:r>
      <w:r w:rsidR="00C0534D" w:rsidRPr="005F120D">
        <w:rPr>
          <w:rFonts w:cstheme="minorHAnsi"/>
        </w:rPr>
        <w:t>Student Attendance Rate (GPS and NNPS) 2000</w:t>
      </w:r>
      <w:r w:rsidR="00FA5698" w:rsidRPr="005F120D">
        <w:rPr>
          <w:rFonts w:cstheme="minorHAnsi"/>
        </w:rPr>
        <w:t>, 2005, 2008, 2010</w:t>
      </w:r>
      <w:r w:rsidR="00C0534D" w:rsidRPr="005F120D">
        <w:rPr>
          <w:rFonts w:cstheme="minorHAnsi"/>
        </w:rPr>
        <w:t>–201</w:t>
      </w:r>
      <w:r w:rsidR="00232DD5" w:rsidRPr="005F120D">
        <w:rPr>
          <w:rFonts w:cstheme="minorHAnsi"/>
        </w:rPr>
        <w:t>5</w:t>
      </w:r>
      <w:bookmarkEnd w:id="338"/>
    </w:p>
    <w:p w:rsidR="007B59DC" w:rsidRPr="005F120D" w:rsidRDefault="0096571A" w:rsidP="00C437AA">
      <w:pPr>
        <w:spacing w:after="40" w:line="276" w:lineRule="auto"/>
        <w:jc w:val="center"/>
        <w:rPr>
          <w:rFonts w:asciiTheme="minorHAnsi" w:hAnsiTheme="minorHAnsi" w:cstheme="minorHAnsi"/>
          <w:color w:val="FF0000"/>
        </w:rPr>
      </w:pPr>
      <w:r w:rsidRPr="005F120D">
        <w:rPr>
          <w:rFonts w:asciiTheme="minorHAnsi" w:hAnsiTheme="minorHAnsi" w:cstheme="minorHAnsi"/>
          <w:noProof/>
          <w:color w:val="0033CC"/>
          <w:lang w:eastAsia="en-US"/>
        </w:rPr>
        <w:drawing>
          <wp:inline distT="0" distB="0" distL="0" distR="0">
            <wp:extent cx="5666655" cy="2730974"/>
            <wp:effectExtent l="38100" t="19050" r="10245"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03624" w:rsidRPr="005F120D" w:rsidRDefault="00C0534D" w:rsidP="00A03624">
      <w:pPr>
        <w:pStyle w:val="Tablenotes"/>
        <w:spacing w:after="40" w:line="240" w:lineRule="auto"/>
      </w:pPr>
      <w:r w:rsidRPr="005F120D">
        <w:t>Source: APSC (various yea</w:t>
      </w:r>
      <w:r w:rsidR="00FF59C1" w:rsidRPr="005F120D">
        <w:t>rs for register-based estimates;</w:t>
      </w:r>
      <w:r w:rsidRPr="005F120D">
        <w:t>, CAMPE</w:t>
      </w:r>
      <w:r w:rsidR="002D1510" w:rsidRPr="005F120D">
        <w:t xml:space="preserve"> 2000, 2008 and 2014</w:t>
      </w:r>
      <w:r w:rsidR="00FF59C1" w:rsidRPr="005F120D">
        <w:t xml:space="preserve">; </w:t>
      </w:r>
      <w:r w:rsidRPr="005F120D">
        <w:t xml:space="preserve"> FMRP 2006 (SSPS)</w:t>
      </w:r>
      <w:r w:rsidR="002D1510" w:rsidRPr="005F120D">
        <w:t xml:space="preserve"> and MICS 2012-1</w:t>
      </w:r>
      <w:r w:rsidR="00FF59C1" w:rsidRPr="005F120D">
        <w:t>.</w:t>
      </w:r>
    </w:p>
    <w:p w:rsidR="00287F17" w:rsidRPr="005F120D" w:rsidRDefault="00C0534D" w:rsidP="00A03624">
      <w:pPr>
        <w:pStyle w:val="Tablenotes"/>
        <w:spacing w:after="40" w:line="240" w:lineRule="auto"/>
      </w:pPr>
      <w:r w:rsidRPr="005F120D">
        <w:t xml:space="preserve">Note: in </w:t>
      </w:r>
      <w:r w:rsidR="005636D4" w:rsidRPr="005F120D">
        <w:t>Table 3.17</w:t>
      </w:r>
      <w:r w:rsidRPr="005F120D">
        <w:t>E</w:t>
      </w:r>
      <w:r w:rsidR="00894F1C" w:rsidRPr="005F120D">
        <w:t xml:space="preserve">SR </w:t>
      </w:r>
      <w:r w:rsidR="00B2130A" w:rsidRPr="005F120D">
        <w:t>compares</w:t>
      </w:r>
      <w:r w:rsidR="00894F1C" w:rsidRPr="005F120D">
        <w:t xml:space="preserve"> only </w:t>
      </w:r>
      <w:r w:rsidR="00B2130A" w:rsidRPr="005F120D">
        <w:t xml:space="preserve">students’ attendance rate </w:t>
      </w:r>
      <w:r w:rsidR="00770B93" w:rsidRPr="005F120D">
        <w:t>between stipend</w:t>
      </w:r>
      <w:r w:rsidR="00894F1C" w:rsidRPr="005F120D">
        <w:t xml:space="preserve"> </w:t>
      </w:r>
      <w:r w:rsidR="00B2130A" w:rsidRPr="005F120D">
        <w:t>and non-stipend areas schools.</w:t>
      </w:r>
    </w:p>
    <w:p w:rsidR="007A0EFA" w:rsidRPr="005F120D" w:rsidRDefault="007A0EFA" w:rsidP="00C437AA">
      <w:pPr>
        <w:spacing w:before="240" w:line="276" w:lineRule="auto"/>
        <w:jc w:val="both"/>
        <w:rPr>
          <w:rFonts w:asciiTheme="minorHAnsi" w:hAnsiTheme="minorHAnsi" w:cstheme="minorHAnsi"/>
        </w:rPr>
      </w:pPr>
      <w:r w:rsidRPr="005F120D">
        <w:rPr>
          <w:rFonts w:asciiTheme="minorHAnsi" w:hAnsiTheme="minorHAnsi" w:cstheme="minorHAnsi"/>
        </w:rPr>
        <w:t xml:space="preserve"> In recent years, a number of survey evaluators have visited random samples of schools and counted the students present in class (e.g., SSPS, MICS, and CAMPE). The</w:t>
      </w:r>
      <w:r w:rsidR="00FF59C1" w:rsidRPr="005F120D">
        <w:rPr>
          <w:rFonts w:asciiTheme="minorHAnsi" w:hAnsiTheme="minorHAnsi" w:cstheme="minorHAnsi"/>
        </w:rPr>
        <w:t xml:space="preserve"> headcount-based student numbers</w:t>
      </w:r>
      <w:r w:rsidRPr="005F120D">
        <w:rPr>
          <w:rFonts w:asciiTheme="minorHAnsi" w:hAnsiTheme="minorHAnsi" w:cstheme="minorHAnsi"/>
        </w:rPr>
        <w:t xml:space="preserve"> were generally lower than the register</w:t>
      </w:r>
      <w:r w:rsidR="00FF59C1" w:rsidRPr="005F120D">
        <w:rPr>
          <w:rFonts w:asciiTheme="minorHAnsi" w:hAnsiTheme="minorHAnsi" w:cstheme="minorHAnsi"/>
        </w:rPr>
        <w:t>ed</w:t>
      </w:r>
      <w:r w:rsidRPr="005F120D">
        <w:rPr>
          <w:rFonts w:asciiTheme="minorHAnsi" w:hAnsiTheme="minorHAnsi" w:cstheme="minorHAnsi"/>
        </w:rPr>
        <w:t xml:space="preserve">-based numbers. Nevertheless, the APSC data on </w:t>
      </w:r>
      <w:r w:rsidRPr="005F120D">
        <w:rPr>
          <w:rFonts w:asciiTheme="minorHAnsi" w:hAnsiTheme="minorHAnsi" w:cstheme="minorHAnsi"/>
        </w:rPr>
        <w:lastRenderedPageBreak/>
        <w:t xml:space="preserve">headcount-based student attendance also indicated that the student attendance rate has improved considerably in the recent years. </w:t>
      </w:r>
    </w:p>
    <w:p w:rsidR="00FA4673" w:rsidRPr="005F120D" w:rsidRDefault="007A0EFA" w:rsidP="00C437AA">
      <w:pPr>
        <w:spacing w:line="276" w:lineRule="auto"/>
        <w:jc w:val="both"/>
        <w:rPr>
          <w:rFonts w:asciiTheme="minorHAnsi" w:hAnsiTheme="minorHAnsi" w:cstheme="minorHAnsi"/>
        </w:rPr>
      </w:pPr>
      <w:r w:rsidRPr="005F120D">
        <w:rPr>
          <w:rFonts w:asciiTheme="minorHAnsi" w:hAnsiTheme="minorHAnsi" w:cstheme="minorHAnsi"/>
        </w:rPr>
        <w:t>Key factors that improve the student a</w:t>
      </w:r>
      <w:r w:rsidR="00D9344C" w:rsidRPr="005F120D">
        <w:rPr>
          <w:rFonts w:asciiTheme="minorHAnsi" w:hAnsiTheme="minorHAnsi" w:cstheme="minorHAnsi"/>
        </w:rPr>
        <w:t>ttendance rate may be attributable to the School Feeding and Stipend P</w:t>
      </w:r>
      <w:r w:rsidRPr="005F120D">
        <w:rPr>
          <w:rFonts w:asciiTheme="minorHAnsi" w:hAnsiTheme="minorHAnsi" w:cstheme="minorHAnsi"/>
        </w:rPr>
        <w:t xml:space="preserve">rograms. The 2010 Primary Education Stipend Program (PESP) found that, when checked, the attendance rate of children on an inspection day was 65% </w:t>
      </w:r>
      <w:r w:rsidR="00D9344C" w:rsidRPr="005F120D">
        <w:rPr>
          <w:rFonts w:asciiTheme="minorHAnsi" w:hAnsiTheme="minorHAnsi" w:cstheme="minorHAnsi"/>
        </w:rPr>
        <w:t>among boys and 69% among girls:  these students were not recipients of</w:t>
      </w:r>
      <w:r w:rsidRPr="005F120D">
        <w:rPr>
          <w:rFonts w:asciiTheme="minorHAnsi" w:hAnsiTheme="minorHAnsi" w:cstheme="minorHAnsi"/>
        </w:rPr>
        <w:t xml:space="preserve"> any stipends (see Table</w:t>
      </w:r>
      <w:r w:rsidR="00D9344C" w:rsidRPr="005F120D">
        <w:rPr>
          <w:rFonts w:asciiTheme="minorHAnsi" w:hAnsiTheme="minorHAnsi" w:cstheme="minorHAnsi"/>
        </w:rPr>
        <w:t xml:space="preserve"> 3.18). The attendance rates were </w:t>
      </w:r>
      <w:r w:rsidRPr="005F120D">
        <w:rPr>
          <w:rFonts w:asciiTheme="minorHAnsi" w:hAnsiTheme="minorHAnsi" w:cstheme="minorHAnsi"/>
        </w:rPr>
        <w:t>particularly lower in the areas where poverty is prevalent. On the other hand, the data showed that the attendance rate of stipend recipients, who must be present at school to receive the stipends, recorded a high attendance rate (89% among boys and 91% among girls). [WB, ESR 2014]</w:t>
      </w:r>
    </w:p>
    <w:p w:rsidR="00D633A6" w:rsidRPr="005F120D" w:rsidRDefault="00D8480C" w:rsidP="00C437AA">
      <w:pPr>
        <w:pStyle w:val="Caption"/>
        <w:spacing w:line="276" w:lineRule="auto"/>
        <w:rPr>
          <w:rFonts w:cstheme="minorHAnsi"/>
        </w:rPr>
      </w:pPr>
      <w:bookmarkStart w:id="339" w:name="_Toc462837274"/>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17</w:t>
      </w:r>
      <w:r w:rsidR="002E2ED5" w:rsidRPr="005F120D">
        <w:rPr>
          <w:rFonts w:cstheme="minorHAnsi"/>
        </w:rPr>
        <w:fldChar w:fldCharType="end"/>
      </w:r>
      <w:r w:rsidR="006A7739" w:rsidRPr="005F120D">
        <w:rPr>
          <w:rFonts w:cstheme="minorHAnsi"/>
        </w:rPr>
        <w:t>:</w:t>
      </w:r>
      <w:r w:rsidR="00770B93">
        <w:rPr>
          <w:rFonts w:cstheme="minorHAnsi"/>
        </w:rPr>
        <w:t xml:space="preserve"> </w:t>
      </w:r>
      <w:r w:rsidR="00D633A6" w:rsidRPr="005F120D">
        <w:rPr>
          <w:rFonts w:cstheme="minorHAnsi"/>
        </w:rPr>
        <w:t xml:space="preserve">Student Attendance Rate, Stipend and Non-Stipend </w:t>
      </w:r>
      <w:r w:rsidR="008469FC" w:rsidRPr="005F120D">
        <w:rPr>
          <w:rFonts w:cstheme="minorHAnsi"/>
        </w:rPr>
        <w:t>Students</w:t>
      </w:r>
      <w:r w:rsidR="00D633A6" w:rsidRPr="005F120D">
        <w:rPr>
          <w:rFonts w:cstheme="minorHAnsi"/>
        </w:rPr>
        <w:t xml:space="preserve"> PESP 2010</w:t>
      </w:r>
      <w:bookmarkEnd w:id="339"/>
    </w:p>
    <w:tbl>
      <w:tblPr>
        <w:tblStyle w:val="TableGrid"/>
        <w:tblW w:w="5000"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2016"/>
        <w:gridCol w:w="1211"/>
        <w:gridCol w:w="1024"/>
        <w:gridCol w:w="1302"/>
        <w:gridCol w:w="891"/>
        <w:gridCol w:w="1396"/>
        <w:gridCol w:w="1405"/>
      </w:tblGrid>
      <w:tr w:rsidR="00697DF6" w:rsidRPr="005F120D" w:rsidTr="00D264CA">
        <w:trPr>
          <w:trHeight w:val="300"/>
        </w:trPr>
        <w:tc>
          <w:tcPr>
            <w:tcW w:w="1090" w:type="pct"/>
            <w:vMerge w:val="restart"/>
            <w:shd w:val="clear" w:color="auto" w:fill="DDD9C3" w:themeFill="background2" w:themeFillShade="E6"/>
            <w:noWrap/>
          </w:tcPr>
          <w:p w:rsidR="00697DF6" w:rsidRPr="005F120D" w:rsidRDefault="00697DF6" w:rsidP="00A03624">
            <w:pPr>
              <w:spacing w:after="0"/>
              <w:rPr>
                <w:rFonts w:asciiTheme="minorHAnsi" w:hAnsiTheme="minorHAnsi" w:cstheme="minorHAnsi"/>
                <w:sz w:val="20"/>
                <w:lang w:eastAsia="ja-JP"/>
              </w:rPr>
            </w:pPr>
          </w:p>
        </w:tc>
        <w:tc>
          <w:tcPr>
            <w:tcW w:w="1913" w:type="pct"/>
            <w:gridSpan w:val="3"/>
            <w:shd w:val="clear" w:color="auto" w:fill="DDD9C3" w:themeFill="background2" w:themeFillShade="E6"/>
            <w:noWrap/>
          </w:tcPr>
          <w:p w:rsidR="00697DF6" w:rsidRPr="005F120D" w:rsidRDefault="00697DF6" w:rsidP="00A03624">
            <w:pPr>
              <w:spacing w:after="0"/>
              <w:jc w:val="center"/>
              <w:rPr>
                <w:rFonts w:asciiTheme="minorHAnsi" w:hAnsiTheme="minorHAnsi" w:cstheme="minorHAnsi"/>
                <w:b/>
                <w:sz w:val="20"/>
                <w:lang w:eastAsia="ja-JP"/>
              </w:rPr>
            </w:pPr>
            <w:r w:rsidRPr="005F120D">
              <w:rPr>
                <w:rFonts w:asciiTheme="minorHAnsi" w:hAnsiTheme="minorHAnsi" w:cstheme="minorHAnsi"/>
                <w:b/>
                <w:sz w:val="20"/>
                <w:lang w:eastAsia="ja-JP"/>
              </w:rPr>
              <w:t>Boys</w:t>
            </w:r>
          </w:p>
        </w:tc>
        <w:tc>
          <w:tcPr>
            <w:tcW w:w="1997" w:type="pct"/>
            <w:gridSpan w:val="3"/>
            <w:shd w:val="clear" w:color="auto" w:fill="DDD9C3" w:themeFill="background2" w:themeFillShade="E6"/>
            <w:noWrap/>
          </w:tcPr>
          <w:p w:rsidR="00697DF6" w:rsidRPr="005F120D" w:rsidRDefault="00697DF6" w:rsidP="00A03624">
            <w:pPr>
              <w:spacing w:after="0"/>
              <w:jc w:val="center"/>
              <w:rPr>
                <w:rFonts w:asciiTheme="minorHAnsi" w:hAnsiTheme="minorHAnsi" w:cstheme="minorHAnsi"/>
                <w:b/>
                <w:sz w:val="20"/>
                <w:lang w:eastAsia="ja-JP"/>
              </w:rPr>
            </w:pPr>
            <w:r w:rsidRPr="005F120D">
              <w:rPr>
                <w:rFonts w:asciiTheme="minorHAnsi" w:hAnsiTheme="minorHAnsi" w:cstheme="minorHAnsi"/>
                <w:b/>
                <w:sz w:val="20"/>
                <w:lang w:eastAsia="ja-JP"/>
              </w:rPr>
              <w:t>Girls</w:t>
            </w:r>
          </w:p>
        </w:tc>
      </w:tr>
      <w:tr w:rsidR="00697DF6" w:rsidRPr="005F120D" w:rsidTr="00D264CA">
        <w:trPr>
          <w:trHeight w:val="300"/>
        </w:trPr>
        <w:tc>
          <w:tcPr>
            <w:tcW w:w="1090" w:type="pct"/>
            <w:vMerge/>
            <w:shd w:val="clear" w:color="auto" w:fill="DDD9C3" w:themeFill="background2" w:themeFillShade="E6"/>
            <w:noWrap/>
          </w:tcPr>
          <w:p w:rsidR="00697DF6" w:rsidRPr="005F120D" w:rsidRDefault="00697DF6" w:rsidP="00A03624">
            <w:pPr>
              <w:spacing w:after="0"/>
              <w:rPr>
                <w:rFonts w:asciiTheme="minorHAnsi" w:hAnsiTheme="minorHAnsi" w:cstheme="minorHAnsi"/>
                <w:sz w:val="20"/>
                <w:lang w:eastAsia="ja-JP"/>
              </w:rPr>
            </w:pPr>
          </w:p>
        </w:tc>
        <w:tc>
          <w:tcPr>
            <w:tcW w:w="655" w:type="pct"/>
            <w:shd w:val="clear" w:color="auto" w:fill="DDD9C3" w:themeFill="background2" w:themeFillShade="E6"/>
            <w:noWrap/>
          </w:tcPr>
          <w:p w:rsidR="00697DF6" w:rsidRPr="005F120D" w:rsidRDefault="00697DF6" w:rsidP="00A03624">
            <w:pPr>
              <w:spacing w:after="0"/>
              <w:jc w:val="center"/>
              <w:rPr>
                <w:rFonts w:asciiTheme="minorHAnsi" w:hAnsiTheme="minorHAnsi" w:cstheme="minorHAnsi"/>
                <w:b/>
                <w:sz w:val="18"/>
                <w:lang w:eastAsia="ja-JP"/>
              </w:rPr>
            </w:pPr>
            <w:r w:rsidRPr="005F120D">
              <w:rPr>
                <w:rFonts w:asciiTheme="minorHAnsi" w:hAnsiTheme="minorHAnsi" w:cstheme="minorHAnsi"/>
                <w:b/>
                <w:sz w:val="18"/>
                <w:lang w:eastAsia="ja-JP"/>
              </w:rPr>
              <w:t>Total</w:t>
            </w:r>
          </w:p>
        </w:tc>
        <w:tc>
          <w:tcPr>
            <w:tcW w:w="554" w:type="pct"/>
            <w:shd w:val="clear" w:color="auto" w:fill="DDD9C3" w:themeFill="background2" w:themeFillShade="E6"/>
            <w:noWrap/>
          </w:tcPr>
          <w:p w:rsidR="00697DF6" w:rsidRPr="005F120D" w:rsidRDefault="00697DF6" w:rsidP="00A03624">
            <w:pPr>
              <w:spacing w:after="0"/>
              <w:jc w:val="center"/>
              <w:rPr>
                <w:rFonts w:asciiTheme="minorHAnsi" w:hAnsiTheme="minorHAnsi" w:cstheme="minorHAnsi"/>
                <w:b/>
                <w:sz w:val="18"/>
                <w:lang w:eastAsia="ja-JP"/>
              </w:rPr>
            </w:pPr>
            <w:r w:rsidRPr="005F120D">
              <w:rPr>
                <w:rFonts w:asciiTheme="minorHAnsi" w:hAnsiTheme="minorHAnsi" w:cstheme="minorHAnsi"/>
                <w:b/>
                <w:sz w:val="18"/>
                <w:lang w:eastAsia="ja-JP"/>
              </w:rPr>
              <w:t>Stipend</w:t>
            </w:r>
          </w:p>
        </w:tc>
        <w:tc>
          <w:tcPr>
            <w:tcW w:w="704" w:type="pct"/>
            <w:shd w:val="clear" w:color="auto" w:fill="DDD9C3" w:themeFill="background2" w:themeFillShade="E6"/>
            <w:noWrap/>
          </w:tcPr>
          <w:p w:rsidR="00697DF6" w:rsidRPr="005F120D" w:rsidRDefault="00697DF6" w:rsidP="00A03624">
            <w:pPr>
              <w:spacing w:after="0"/>
              <w:jc w:val="center"/>
              <w:rPr>
                <w:rFonts w:asciiTheme="minorHAnsi" w:hAnsiTheme="minorHAnsi" w:cstheme="minorHAnsi"/>
                <w:b/>
                <w:sz w:val="18"/>
                <w:lang w:eastAsia="ja-JP"/>
              </w:rPr>
            </w:pPr>
            <w:r w:rsidRPr="005F120D">
              <w:rPr>
                <w:rFonts w:asciiTheme="minorHAnsi" w:hAnsiTheme="minorHAnsi" w:cstheme="minorHAnsi"/>
                <w:b/>
                <w:sz w:val="18"/>
                <w:lang w:eastAsia="ja-JP"/>
              </w:rPr>
              <w:t>Non-Stipend</w:t>
            </w:r>
          </w:p>
        </w:tc>
        <w:tc>
          <w:tcPr>
            <w:tcW w:w="482" w:type="pct"/>
            <w:shd w:val="clear" w:color="auto" w:fill="DDD9C3" w:themeFill="background2" w:themeFillShade="E6"/>
            <w:noWrap/>
          </w:tcPr>
          <w:p w:rsidR="00697DF6" w:rsidRPr="005F120D" w:rsidRDefault="00697DF6" w:rsidP="00A03624">
            <w:pPr>
              <w:spacing w:after="0"/>
              <w:jc w:val="center"/>
              <w:rPr>
                <w:rFonts w:asciiTheme="minorHAnsi" w:hAnsiTheme="minorHAnsi" w:cstheme="minorHAnsi"/>
                <w:b/>
                <w:sz w:val="18"/>
                <w:lang w:eastAsia="ja-JP"/>
              </w:rPr>
            </w:pPr>
            <w:r w:rsidRPr="005F120D">
              <w:rPr>
                <w:rFonts w:asciiTheme="minorHAnsi" w:hAnsiTheme="minorHAnsi" w:cstheme="minorHAnsi"/>
                <w:b/>
                <w:sz w:val="18"/>
                <w:lang w:eastAsia="ja-JP"/>
              </w:rPr>
              <w:t>Total</w:t>
            </w:r>
          </w:p>
        </w:tc>
        <w:tc>
          <w:tcPr>
            <w:tcW w:w="755" w:type="pct"/>
            <w:shd w:val="clear" w:color="auto" w:fill="DDD9C3" w:themeFill="background2" w:themeFillShade="E6"/>
            <w:noWrap/>
          </w:tcPr>
          <w:p w:rsidR="00697DF6" w:rsidRPr="005F120D" w:rsidRDefault="00697DF6" w:rsidP="00A03624">
            <w:pPr>
              <w:spacing w:after="0"/>
              <w:jc w:val="center"/>
              <w:rPr>
                <w:rFonts w:asciiTheme="minorHAnsi" w:hAnsiTheme="minorHAnsi" w:cstheme="minorHAnsi"/>
                <w:b/>
                <w:sz w:val="18"/>
                <w:lang w:eastAsia="ja-JP"/>
              </w:rPr>
            </w:pPr>
            <w:r w:rsidRPr="005F120D">
              <w:rPr>
                <w:rFonts w:asciiTheme="minorHAnsi" w:hAnsiTheme="minorHAnsi" w:cstheme="minorHAnsi"/>
                <w:b/>
                <w:sz w:val="18"/>
                <w:lang w:eastAsia="ja-JP"/>
              </w:rPr>
              <w:t>Stipend</w:t>
            </w:r>
          </w:p>
        </w:tc>
        <w:tc>
          <w:tcPr>
            <w:tcW w:w="760" w:type="pct"/>
            <w:shd w:val="clear" w:color="auto" w:fill="DDD9C3" w:themeFill="background2" w:themeFillShade="E6"/>
            <w:noWrap/>
          </w:tcPr>
          <w:p w:rsidR="00697DF6" w:rsidRPr="005F120D" w:rsidRDefault="00697DF6" w:rsidP="00A03624">
            <w:pPr>
              <w:spacing w:after="0"/>
              <w:jc w:val="center"/>
              <w:rPr>
                <w:rFonts w:asciiTheme="minorHAnsi" w:hAnsiTheme="minorHAnsi" w:cstheme="minorHAnsi"/>
                <w:b/>
                <w:sz w:val="18"/>
                <w:lang w:eastAsia="ja-JP"/>
              </w:rPr>
            </w:pPr>
            <w:r w:rsidRPr="005F120D">
              <w:rPr>
                <w:rFonts w:asciiTheme="minorHAnsi" w:hAnsiTheme="minorHAnsi" w:cstheme="minorHAnsi"/>
                <w:b/>
                <w:sz w:val="18"/>
                <w:lang w:eastAsia="ja-JP"/>
              </w:rPr>
              <w:t>Non-Stipend</w:t>
            </w:r>
          </w:p>
        </w:tc>
      </w:tr>
      <w:tr w:rsidR="00D633A6" w:rsidRPr="005F120D" w:rsidTr="00D264CA">
        <w:trPr>
          <w:trHeight w:val="300"/>
        </w:trPr>
        <w:tc>
          <w:tcPr>
            <w:tcW w:w="1090" w:type="pct"/>
            <w:noWrap/>
            <w:hideMark/>
          </w:tcPr>
          <w:p w:rsidR="00D633A6" w:rsidRPr="005F120D" w:rsidRDefault="00D633A6" w:rsidP="00A03624">
            <w:pPr>
              <w:spacing w:after="0"/>
              <w:rPr>
                <w:rFonts w:asciiTheme="minorHAnsi" w:hAnsiTheme="minorHAnsi" w:cstheme="minorHAnsi"/>
                <w:sz w:val="20"/>
                <w:lang w:eastAsia="ja-JP"/>
              </w:rPr>
            </w:pPr>
            <w:r w:rsidRPr="005F120D">
              <w:rPr>
                <w:rFonts w:asciiTheme="minorHAnsi" w:hAnsiTheme="minorHAnsi" w:cstheme="minorHAnsi"/>
                <w:sz w:val="20"/>
                <w:lang w:eastAsia="ja-JP"/>
              </w:rPr>
              <w:t>Attendance Rate</w:t>
            </w:r>
          </w:p>
        </w:tc>
        <w:tc>
          <w:tcPr>
            <w:tcW w:w="655" w:type="pct"/>
            <w:noWrap/>
            <w:hideMark/>
          </w:tcPr>
          <w:p w:rsidR="00D633A6" w:rsidRPr="005F120D" w:rsidRDefault="00D633A6"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79%</w:t>
            </w:r>
          </w:p>
        </w:tc>
        <w:tc>
          <w:tcPr>
            <w:tcW w:w="554" w:type="pct"/>
            <w:noWrap/>
            <w:hideMark/>
          </w:tcPr>
          <w:p w:rsidR="00D633A6" w:rsidRPr="005F120D" w:rsidRDefault="00D633A6"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89%</w:t>
            </w:r>
          </w:p>
        </w:tc>
        <w:tc>
          <w:tcPr>
            <w:tcW w:w="704" w:type="pct"/>
            <w:noWrap/>
            <w:hideMark/>
          </w:tcPr>
          <w:p w:rsidR="00D633A6" w:rsidRPr="005F120D" w:rsidRDefault="00D633A6"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65%</w:t>
            </w:r>
          </w:p>
        </w:tc>
        <w:tc>
          <w:tcPr>
            <w:tcW w:w="482" w:type="pct"/>
            <w:noWrap/>
            <w:hideMark/>
          </w:tcPr>
          <w:p w:rsidR="00D633A6" w:rsidRPr="005F120D" w:rsidRDefault="00D633A6"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82%</w:t>
            </w:r>
          </w:p>
        </w:tc>
        <w:tc>
          <w:tcPr>
            <w:tcW w:w="755" w:type="pct"/>
            <w:noWrap/>
            <w:hideMark/>
          </w:tcPr>
          <w:p w:rsidR="00D633A6" w:rsidRPr="005F120D" w:rsidRDefault="00D633A6"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91%</w:t>
            </w:r>
          </w:p>
        </w:tc>
        <w:tc>
          <w:tcPr>
            <w:tcW w:w="760" w:type="pct"/>
            <w:noWrap/>
            <w:hideMark/>
          </w:tcPr>
          <w:p w:rsidR="00D633A6" w:rsidRPr="005F120D" w:rsidRDefault="00D633A6"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69%</w:t>
            </w:r>
          </w:p>
        </w:tc>
      </w:tr>
    </w:tbl>
    <w:p w:rsidR="00FA4673" w:rsidRPr="005F120D" w:rsidRDefault="001338E4" w:rsidP="00C437AA">
      <w:pPr>
        <w:pStyle w:val="BodyText1"/>
        <w:rPr>
          <w:rFonts w:asciiTheme="minorHAnsi" w:hAnsiTheme="minorHAnsi" w:cstheme="minorHAnsi"/>
          <w:i/>
          <w:sz w:val="16"/>
          <w:szCs w:val="16"/>
        </w:rPr>
      </w:pPr>
      <w:r w:rsidRPr="005F120D">
        <w:rPr>
          <w:rFonts w:asciiTheme="minorHAnsi" w:hAnsiTheme="minorHAnsi" w:cstheme="minorHAnsi"/>
          <w:i/>
          <w:sz w:val="16"/>
          <w:szCs w:val="16"/>
        </w:rPr>
        <w:t>Source:  World Bank, Education Sector Review Report, 2014</w:t>
      </w:r>
    </w:p>
    <w:p w:rsidR="00D9344C" w:rsidRPr="005F120D" w:rsidRDefault="00D9344C" w:rsidP="00C437AA">
      <w:pPr>
        <w:pStyle w:val="BodyText1"/>
        <w:rPr>
          <w:rFonts w:asciiTheme="minorHAnsi" w:hAnsiTheme="minorHAnsi" w:cstheme="minorHAnsi"/>
          <w:i/>
          <w:sz w:val="16"/>
          <w:szCs w:val="16"/>
        </w:rPr>
      </w:pPr>
    </w:p>
    <w:p w:rsidR="004E5D56" w:rsidRPr="005F120D" w:rsidRDefault="00D9344C" w:rsidP="004E77B3">
      <w:pPr>
        <w:pStyle w:val="Heading3"/>
      </w:pPr>
      <w:r w:rsidRPr="005F120D">
        <w:t xml:space="preserve">disparities in </w:t>
      </w:r>
      <w:r w:rsidR="004E5D56" w:rsidRPr="005F120D">
        <w:t>Primary Education</w:t>
      </w:r>
    </w:p>
    <w:p w:rsidR="00097945" w:rsidRPr="005F120D" w:rsidRDefault="00097945" w:rsidP="00C437AA">
      <w:pPr>
        <w:autoSpaceDE w:val="0"/>
        <w:autoSpaceDN w:val="0"/>
        <w:adjustRightInd w:val="0"/>
        <w:spacing w:after="120" w:line="276" w:lineRule="auto"/>
        <w:jc w:val="both"/>
        <w:rPr>
          <w:rFonts w:asciiTheme="minorHAnsi" w:hAnsiTheme="minorHAnsi" w:cstheme="minorHAnsi"/>
          <w:szCs w:val="22"/>
          <w:lang w:eastAsia="ja-JP"/>
        </w:rPr>
      </w:pPr>
      <w:r w:rsidRPr="005F120D">
        <w:rPr>
          <w:rFonts w:asciiTheme="minorHAnsi" w:hAnsiTheme="minorHAnsi" w:cstheme="minorHAnsi"/>
        </w:rPr>
        <w:t xml:space="preserve">The PEDP3 </w:t>
      </w:r>
      <w:r w:rsidRPr="005F120D">
        <w:rPr>
          <w:rFonts w:asciiTheme="minorHAnsi" w:hAnsiTheme="minorHAnsi" w:cstheme="minorHAnsi"/>
          <w:b/>
        </w:rPr>
        <w:t>Results Area 2.2 on ‘reducing Disparities’</w:t>
      </w:r>
      <w:r w:rsidRPr="005F120D">
        <w:rPr>
          <w:rFonts w:asciiTheme="minorHAnsi" w:hAnsiTheme="minorHAnsi" w:cstheme="minorHAnsi"/>
        </w:rPr>
        <w:t xml:space="preserve"> aims to address r</w:t>
      </w:r>
      <w:r w:rsidRPr="005F120D">
        <w:rPr>
          <w:rFonts w:asciiTheme="minorHAnsi" w:hAnsiTheme="minorHAnsi" w:cstheme="minorHAnsi"/>
          <w:szCs w:val="22"/>
          <w:lang w:eastAsia="ja-JP"/>
        </w:rPr>
        <w:t>egional and other disparities in terms of participation, completion and learning outcomes. Bangladesh has been successful in steadily improving access to education at all levels while narrowing gender and social disparities in enrolment. However, an education divide persists in terms of primary cycle completion rates and learning outcomes between regions (urban, urban slum, rural, and remote areas) as well as between children from well-off and less well-off families. In addition to improving the quality of education for all, PEDP3 addresses the needs of disadvantaged groups through targeted stipends, school feeding and school health programs. Regional disparities are</w:t>
      </w:r>
      <w:r w:rsidR="00770B93">
        <w:rPr>
          <w:rFonts w:asciiTheme="minorHAnsi" w:hAnsiTheme="minorHAnsi" w:cstheme="minorHAnsi"/>
          <w:szCs w:val="22"/>
          <w:lang w:eastAsia="ja-JP"/>
        </w:rPr>
        <w:t xml:space="preserve"> </w:t>
      </w:r>
      <w:r w:rsidRPr="005F120D">
        <w:rPr>
          <w:rFonts w:asciiTheme="minorHAnsi" w:hAnsiTheme="minorHAnsi" w:cstheme="minorHAnsi"/>
          <w:szCs w:val="22"/>
          <w:lang w:eastAsia="ja-JP"/>
        </w:rPr>
        <w:t>addressed through a progressive, needs based initiative to improve the school environment and infrastructure. This result area consists of the following 3 KPIs and 2 non-KPIs.</w:t>
      </w:r>
    </w:p>
    <w:p w:rsidR="00097945" w:rsidRPr="005F120D" w:rsidRDefault="00097945" w:rsidP="00C437AA">
      <w:pPr>
        <w:pStyle w:val="NoSpacing"/>
        <w:spacing w:line="276" w:lineRule="auto"/>
        <w:ind w:firstLine="720"/>
        <w:rPr>
          <w:rFonts w:asciiTheme="minorHAnsi" w:hAnsiTheme="minorHAnsi" w:cstheme="minorHAnsi"/>
          <w:b/>
          <w:i/>
          <w:sz w:val="20"/>
        </w:rPr>
      </w:pPr>
      <w:r w:rsidRPr="005F120D">
        <w:rPr>
          <w:rFonts w:asciiTheme="minorHAnsi" w:hAnsiTheme="minorHAnsi" w:cstheme="minorHAnsi"/>
          <w:b/>
          <w:i/>
          <w:sz w:val="20"/>
        </w:rPr>
        <w:t>KPI 7:</w:t>
      </w:r>
      <w:r w:rsidRPr="005F120D">
        <w:rPr>
          <w:rFonts w:asciiTheme="minorHAnsi" w:hAnsiTheme="minorHAnsi" w:cstheme="minorHAnsi"/>
          <w:b/>
          <w:i/>
          <w:sz w:val="20"/>
        </w:rPr>
        <w:tab/>
      </w:r>
      <w:r w:rsidRPr="005F120D">
        <w:rPr>
          <w:rFonts w:asciiTheme="minorHAnsi" w:hAnsiTheme="minorHAnsi" w:cstheme="minorHAnsi"/>
          <w:b/>
          <w:i/>
          <w:sz w:val="20"/>
        </w:rPr>
        <w:tab/>
        <w:t>Gender parity index (GPI) of GER;</w:t>
      </w:r>
    </w:p>
    <w:p w:rsidR="00097945" w:rsidRPr="005F120D" w:rsidRDefault="00097945" w:rsidP="00C437AA">
      <w:pPr>
        <w:pStyle w:val="BodyText1"/>
        <w:spacing w:after="0"/>
        <w:rPr>
          <w:rFonts w:asciiTheme="minorHAnsi" w:hAnsiTheme="minorHAnsi" w:cstheme="minorHAnsi"/>
          <w:i/>
          <w:sz w:val="20"/>
          <w:szCs w:val="20"/>
        </w:rPr>
      </w:pPr>
      <w:r w:rsidRPr="005F120D">
        <w:rPr>
          <w:rFonts w:asciiTheme="minorHAnsi" w:hAnsiTheme="minorHAnsi" w:cstheme="minorHAnsi"/>
          <w:i/>
          <w:sz w:val="20"/>
          <w:szCs w:val="20"/>
        </w:rPr>
        <w:tab/>
        <w:t>KPI 8:</w:t>
      </w:r>
      <w:r w:rsidRPr="005F120D">
        <w:rPr>
          <w:rFonts w:asciiTheme="minorHAnsi" w:hAnsiTheme="minorHAnsi" w:cstheme="minorHAnsi"/>
          <w:i/>
          <w:sz w:val="20"/>
          <w:szCs w:val="20"/>
        </w:rPr>
        <w:tab/>
      </w:r>
      <w:r w:rsidRPr="005F120D">
        <w:rPr>
          <w:rFonts w:asciiTheme="minorHAnsi" w:hAnsiTheme="minorHAnsi" w:cstheme="minorHAnsi"/>
          <w:i/>
          <w:sz w:val="20"/>
          <w:szCs w:val="20"/>
        </w:rPr>
        <w:tab/>
        <w:t>Range between top and bottom 20% of households by consumption quintile; and</w:t>
      </w:r>
    </w:p>
    <w:p w:rsidR="00097945" w:rsidRPr="005F120D" w:rsidRDefault="00097945" w:rsidP="00C437AA">
      <w:pPr>
        <w:pStyle w:val="BodyText1"/>
        <w:spacing w:after="0"/>
        <w:rPr>
          <w:rFonts w:asciiTheme="minorHAnsi" w:hAnsiTheme="minorHAnsi" w:cstheme="minorHAnsi"/>
          <w:i/>
          <w:sz w:val="20"/>
          <w:szCs w:val="20"/>
        </w:rPr>
      </w:pPr>
      <w:r w:rsidRPr="005F120D">
        <w:rPr>
          <w:rFonts w:asciiTheme="minorHAnsi" w:hAnsiTheme="minorHAnsi" w:cstheme="minorHAnsi"/>
          <w:i/>
          <w:sz w:val="20"/>
          <w:szCs w:val="20"/>
        </w:rPr>
        <w:tab/>
        <w:t>KPI 9:</w:t>
      </w:r>
      <w:r w:rsidRPr="005F120D">
        <w:rPr>
          <w:rFonts w:asciiTheme="minorHAnsi" w:hAnsiTheme="minorHAnsi" w:cstheme="minorHAnsi"/>
          <w:i/>
          <w:sz w:val="20"/>
          <w:szCs w:val="20"/>
        </w:rPr>
        <w:tab/>
      </w:r>
      <w:r w:rsidRPr="005F120D">
        <w:rPr>
          <w:rFonts w:asciiTheme="minorHAnsi" w:hAnsiTheme="minorHAnsi" w:cstheme="minorHAnsi"/>
          <w:i/>
          <w:sz w:val="20"/>
          <w:szCs w:val="20"/>
        </w:rPr>
        <w:tab/>
        <w:t>Upazila composite performance indicator.</w:t>
      </w:r>
    </w:p>
    <w:p w:rsidR="00097945" w:rsidRPr="005F120D" w:rsidRDefault="00097945" w:rsidP="00C437AA">
      <w:pPr>
        <w:pStyle w:val="NoSpacing"/>
        <w:spacing w:line="276" w:lineRule="auto"/>
        <w:ind w:firstLine="720"/>
        <w:rPr>
          <w:rFonts w:asciiTheme="minorHAnsi" w:hAnsiTheme="minorHAnsi" w:cstheme="minorHAnsi"/>
          <w:b/>
          <w:i/>
          <w:sz w:val="20"/>
        </w:rPr>
      </w:pPr>
      <w:r w:rsidRPr="005F120D">
        <w:rPr>
          <w:rFonts w:asciiTheme="minorHAnsi" w:hAnsiTheme="minorHAnsi" w:cstheme="minorHAnsi"/>
          <w:b/>
          <w:i/>
          <w:sz w:val="20"/>
        </w:rPr>
        <w:t>Non-KPI 6:</w:t>
      </w:r>
      <w:r w:rsidRPr="005F120D">
        <w:rPr>
          <w:rFonts w:asciiTheme="minorHAnsi" w:hAnsiTheme="minorHAnsi" w:cstheme="minorHAnsi"/>
          <w:b/>
          <w:i/>
          <w:sz w:val="20"/>
        </w:rPr>
        <w:tab/>
        <w:t>Survival Rate (EFA-13); and</w:t>
      </w:r>
    </w:p>
    <w:p w:rsidR="00EC23C6" w:rsidRPr="005F120D" w:rsidRDefault="00097945" w:rsidP="00C437AA">
      <w:pPr>
        <w:pStyle w:val="BodyText1"/>
        <w:rPr>
          <w:rFonts w:asciiTheme="minorHAnsi" w:hAnsiTheme="minorHAnsi" w:cstheme="minorHAnsi"/>
          <w:i/>
          <w:sz w:val="20"/>
          <w:szCs w:val="20"/>
        </w:rPr>
      </w:pPr>
      <w:r w:rsidRPr="005F120D">
        <w:rPr>
          <w:rFonts w:asciiTheme="minorHAnsi" w:hAnsiTheme="minorHAnsi" w:cstheme="minorHAnsi"/>
          <w:i/>
          <w:sz w:val="20"/>
          <w:szCs w:val="20"/>
        </w:rPr>
        <w:tab/>
        <w:t>Non-KPI 7:</w:t>
      </w:r>
      <w:r w:rsidRPr="005F120D">
        <w:rPr>
          <w:rFonts w:asciiTheme="minorHAnsi" w:hAnsiTheme="minorHAnsi" w:cstheme="minorHAnsi"/>
          <w:i/>
          <w:sz w:val="20"/>
          <w:szCs w:val="20"/>
        </w:rPr>
        <w:tab/>
        <w:t>Number of single shift school</w:t>
      </w:r>
      <w:r w:rsidR="00D9344C" w:rsidRPr="005F120D">
        <w:rPr>
          <w:rFonts w:asciiTheme="minorHAnsi" w:hAnsiTheme="minorHAnsi" w:cstheme="minorHAnsi"/>
          <w:i/>
          <w:sz w:val="20"/>
          <w:szCs w:val="20"/>
        </w:rPr>
        <w:t>s</w:t>
      </w:r>
    </w:p>
    <w:p w:rsidR="00F7646E" w:rsidRPr="005F120D" w:rsidRDefault="00226E01" w:rsidP="00C437AA">
      <w:pPr>
        <w:pStyle w:val="Heading4"/>
        <w:spacing w:line="276" w:lineRule="auto"/>
        <w:rPr>
          <w:rFonts w:asciiTheme="minorHAnsi" w:hAnsiTheme="minorHAnsi" w:cstheme="minorHAnsi"/>
          <w:b/>
          <w:i w:val="0"/>
          <w:color w:val="008000"/>
        </w:rPr>
      </w:pPr>
      <w:r w:rsidRPr="005F120D">
        <w:rPr>
          <w:rFonts w:asciiTheme="minorHAnsi" w:hAnsiTheme="minorHAnsi" w:cstheme="minorHAnsi"/>
          <w:b/>
          <w:i w:val="0"/>
          <w:color w:val="008000"/>
        </w:rPr>
        <w:t>Gender Parity Index (GPI) of GER</w:t>
      </w:r>
      <w:r w:rsidR="008E4208" w:rsidRPr="005F120D">
        <w:rPr>
          <w:rFonts w:asciiTheme="minorHAnsi" w:hAnsiTheme="minorHAnsi" w:cstheme="minorHAnsi"/>
          <w:b/>
          <w:i w:val="0"/>
          <w:color w:val="008000"/>
        </w:rPr>
        <w:t xml:space="preserve"> (all</w:t>
      </w:r>
      <w:r w:rsidR="00D9344C" w:rsidRPr="005F120D">
        <w:rPr>
          <w:rFonts w:asciiTheme="minorHAnsi" w:hAnsiTheme="minorHAnsi" w:cstheme="minorHAnsi"/>
          <w:b/>
          <w:i w:val="0"/>
          <w:color w:val="008000"/>
        </w:rPr>
        <w:t xml:space="preserve"> school</w:t>
      </w:r>
      <w:r w:rsidR="008E4208" w:rsidRPr="005F120D">
        <w:rPr>
          <w:rFonts w:asciiTheme="minorHAnsi" w:hAnsiTheme="minorHAnsi" w:cstheme="minorHAnsi"/>
          <w:b/>
          <w:i w:val="0"/>
          <w:color w:val="008000"/>
        </w:rPr>
        <w:t xml:space="preserve"> type</w:t>
      </w:r>
      <w:r w:rsidR="00D9344C" w:rsidRPr="005F120D">
        <w:rPr>
          <w:rFonts w:asciiTheme="minorHAnsi" w:hAnsiTheme="minorHAnsi" w:cstheme="minorHAnsi"/>
          <w:b/>
          <w:i w:val="0"/>
          <w:color w:val="008000"/>
        </w:rPr>
        <w:t>s</w:t>
      </w:r>
      <w:r w:rsidR="008E4208" w:rsidRPr="005F120D">
        <w:rPr>
          <w:rFonts w:asciiTheme="minorHAnsi" w:hAnsiTheme="minorHAnsi" w:cstheme="minorHAnsi"/>
          <w:b/>
          <w:i w:val="0"/>
          <w:color w:val="008000"/>
        </w:rPr>
        <w:t>)</w:t>
      </w:r>
    </w:p>
    <w:p w:rsidR="00034A5B" w:rsidRPr="005F120D" w:rsidRDefault="00034A5B" w:rsidP="00C437AA">
      <w:pPr>
        <w:spacing w:line="276" w:lineRule="auto"/>
        <w:jc w:val="both"/>
        <w:rPr>
          <w:rFonts w:asciiTheme="minorHAnsi" w:hAnsiTheme="minorHAnsi" w:cstheme="minorHAnsi"/>
        </w:rPr>
      </w:pPr>
      <w:r w:rsidRPr="005F120D">
        <w:rPr>
          <w:rFonts w:asciiTheme="minorHAnsi" w:hAnsiTheme="minorHAnsi" w:cstheme="minorHAnsi"/>
          <w:szCs w:val="22"/>
        </w:rPr>
        <w:t xml:space="preserve">The Gender Parity Index (GPI) is the standard measure of assessing gender inequality in enrolment. </w:t>
      </w:r>
      <w:r w:rsidRPr="005F120D">
        <w:rPr>
          <w:rFonts w:asciiTheme="minorHAnsi" w:hAnsiTheme="minorHAnsi" w:cstheme="minorHAnsi"/>
        </w:rPr>
        <w:t xml:space="preserve">Gender parity is measured by </w:t>
      </w:r>
      <w:r w:rsidR="00E339CE" w:rsidRPr="005F120D">
        <w:rPr>
          <w:rFonts w:asciiTheme="minorHAnsi" w:hAnsiTheme="minorHAnsi" w:cstheme="minorHAnsi"/>
          <w:u w:val="single"/>
        </w:rPr>
        <w:t>KPI</w:t>
      </w:r>
      <w:r w:rsidRPr="005F120D">
        <w:rPr>
          <w:rFonts w:asciiTheme="minorHAnsi" w:hAnsiTheme="minorHAnsi" w:cstheme="minorHAnsi"/>
          <w:u w:val="single"/>
        </w:rPr>
        <w:t>7</w:t>
      </w:r>
      <w:r w:rsidRPr="005F120D">
        <w:rPr>
          <w:rFonts w:asciiTheme="minorHAnsi" w:hAnsiTheme="minorHAnsi" w:cstheme="minorHAnsi"/>
        </w:rPr>
        <w:t xml:space="preserve"> and Table 3.9 shows that enrolment disparities continue between boys and girls, which, in other words, </w:t>
      </w:r>
      <w:r w:rsidR="001A00CD" w:rsidRPr="005F120D">
        <w:rPr>
          <w:rFonts w:asciiTheme="minorHAnsi" w:hAnsiTheme="minorHAnsi" w:cstheme="minorHAnsi"/>
        </w:rPr>
        <w:t>determine</w:t>
      </w:r>
      <w:r w:rsidR="00552748" w:rsidRPr="005F120D">
        <w:rPr>
          <w:rFonts w:asciiTheme="minorHAnsi" w:hAnsiTheme="minorHAnsi" w:cstheme="minorHAnsi"/>
        </w:rPr>
        <w:t xml:space="preserve"> the ratio between</w:t>
      </w:r>
      <w:r w:rsidRPr="005F120D">
        <w:rPr>
          <w:rFonts w:asciiTheme="minorHAnsi" w:hAnsiTheme="minorHAnsi" w:cstheme="minorHAnsi"/>
        </w:rPr>
        <w:t xml:space="preserve"> female and male enrolment rates. When the Index falls below 1, there is d</w:t>
      </w:r>
      <w:r w:rsidR="00552748" w:rsidRPr="005F120D">
        <w:rPr>
          <w:rFonts w:asciiTheme="minorHAnsi" w:hAnsiTheme="minorHAnsi" w:cstheme="minorHAnsi"/>
        </w:rPr>
        <w:t>isparity in favor of boys;</w:t>
      </w:r>
      <w:r w:rsidRPr="005F120D">
        <w:rPr>
          <w:rFonts w:asciiTheme="minorHAnsi" w:hAnsiTheme="minorHAnsi" w:cstheme="minorHAnsi"/>
        </w:rPr>
        <w:t xml:space="preserve"> when it exceeds 1, there is disparity in favor of girls. Gender parity is generally considered</w:t>
      </w:r>
      <w:r w:rsidR="00552748" w:rsidRPr="005F120D">
        <w:rPr>
          <w:rFonts w:asciiTheme="minorHAnsi" w:hAnsiTheme="minorHAnsi" w:cstheme="minorHAnsi"/>
        </w:rPr>
        <w:t xml:space="preserve"> to be</w:t>
      </w:r>
      <w:r w:rsidRPr="005F120D">
        <w:rPr>
          <w:rFonts w:asciiTheme="minorHAnsi" w:hAnsiTheme="minorHAnsi" w:cstheme="minorHAnsi"/>
        </w:rPr>
        <w:t xml:space="preserve"> achieved when the GPI value ranges from 0.97 to 1.03 (source: UNIESCO). </w:t>
      </w:r>
    </w:p>
    <w:p w:rsidR="00034A5B" w:rsidRPr="005F120D" w:rsidRDefault="00034A5B" w:rsidP="00C437AA">
      <w:pPr>
        <w:spacing w:line="276" w:lineRule="auto"/>
        <w:jc w:val="both"/>
        <w:rPr>
          <w:rFonts w:asciiTheme="minorHAnsi" w:hAnsiTheme="minorHAnsi" w:cstheme="minorHAnsi"/>
        </w:rPr>
      </w:pPr>
      <w:r w:rsidRPr="005F120D">
        <w:rPr>
          <w:rFonts w:asciiTheme="minorHAnsi" w:hAnsiTheme="minorHAnsi" w:cstheme="minorHAnsi"/>
        </w:rPr>
        <w:lastRenderedPageBreak/>
        <w:t xml:space="preserve">In Bangladesh, primary school-age girls are more likely to be enrolled than boys. In 2015, the gender parity index was 1.08 for the GER and 1.02 for the NER, which means that Bangladesh is approaching gender parity in primary education net enrolment. See Figure 3.17 for the Gender Parity Index for both GER and NER. </w:t>
      </w:r>
    </w:p>
    <w:p w:rsidR="00034A5B" w:rsidRPr="005F120D" w:rsidRDefault="00034A5B" w:rsidP="00C437AA">
      <w:pPr>
        <w:spacing w:line="276" w:lineRule="auto"/>
        <w:jc w:val="both"/>
        <w:rPr>
          <w:rFonts w:asciiTheme="minorHAnsi" w:hAnsiTheme="minorHAnsi" w:cstheme="minorHAnsi"/>
          <w:color w:val="FF0000"/>
        </w:rPr>
      </w:pPr>
      <w:r w:rsidRPr="005F120D">
        <w:rPr>
          <w:rFonts w:asciiTheme="minorHAnsi" w:hAnsiTheme="minorHAnsi" w:cstheme="minorHAnsi"/>
        </w:rPr>
        <w:t xml:space="preserve">The lowest proportion of enrolled boys is observed </w:t>
      </w:r>
      <w:r w:rsidR="000E4013" w:rsidRPr="005F120D">
        <w:rPr>
          <w:rFonts w:asciiTheme="minorHAnsi" w:hAnsiTheme="minorHAnsi" w:cstheme="minorHAnsi"/>
        </w:rPr>
        <w:t xml:space="preserve">mainly </w:t>
      </w:r>
      <w:r w:rsidR="002A1276" w:rsidRPr="005F120D">
        <w:rPr>
          <w:rFonts w:asciiTheme="minorHAnsi" w:hAnsiTheme="minorHAnsi" w:cstheme="minorHAnsi"/>
        </w:rPr>
        <w:t xml:space="preserve">in the </w:t>
      </w:r>
      <w:r w:rsidR="000E4013" w:rsidRPr="005F120D">
        <w:rPr>
          <w:rFonts w:asciiTheme="minorHAnsi" w:hAnsiTheme="minorHAnsi" w:cstheme="minorHAnsi"/>
        </w:rPr>
        <w:t>eastern part of the country</w:t>
      </w:r>
      <w:r w:rsidR="007E5301" w:rsidRPr="005F120D">
        <w:rPr>
          <w:rFonts w:asciiTheme="minorHAnsi" w:hAnsiTheme="minorHAnsi" w:cstheme="minorHAnsi"/>
        </w:rPr>
        <w:t>,</w:t>
      </w:r>
      <w:r w:rsidR="000E4013" w:rsidRPr="005F120D">
        <w:rPr>
          <w:rFonts w:asciiTheme="minorHAnsi" w:hAnsiTheme="minorHAnsi" w:cstheme="minorHAnsi"/>
        </w:rPr>
        <w:t xml:space="preserve"> particularly </w:t>
      </w:r>
      <w:r w:rsidRPr="005F120D">
        <w:rPr>
          <w:rFonts w:asciiTheme="minorHAnsi" w:hAnsiTheme="minorHAnsi" w:cstheme="minorHAnsi"/>
        </w:rPr>
        <w:t xml:space="preserve">in Bhola, Cox’s Bazar, </w:t>
      </w:r>
      <w:r w:rsidR="008E4208" w:rsidRPr="005F120D">
        <w:rPr>
          <w:rFonts w:asciiTheme="minorHAnsi" w:hAnsiTheme="minorHAnsi" w:cstheme="minorHAnsi"/>
        </w:rPr>
        <w:t xml:space="preserve">Kishoregonj and all </w:t>
      </w:r>
      <w:r w:rsidRPr="005F120D">
        <w:rPr>
          <w:rFonts w:asciiTheme="minorHAnsi" w:hAnsiTheme="minorHAnsi" w:cstheme="minorHAnsi"/>
        </w:rPr>
        <w:t>districts</w:t>
      </w:r>
      <w:r w:rsidR="008E4208" w:rsidRPr="005F120D">
        <w:rPr>
          <w:rFonts w:asciiTheme="minorHAnsi" w:hAnsiTheme="minorHAnsi" w:cstheme="minorHAnsi"/>
        </w:rPr>
        <w:t xml:space="preserve"> under Sylhet division</w:t>
      </w:r>
      <w:r w:rsidRPr="005F120D">
        <w:rPr>
          <w:rFonts w:asciiTheme="minorHAnsi" w:hAnsiTheme="minorHAnsi" w:cstheme="minorHAnsi"/>
        </w:rPr>
        <w:t xml:space="preserve">. The fact that there are fewer enrolled boys than girls in most </w:t>
      </w:r>
      <w:r w:rsidR="005912AD" w:rsidRPr="005F120D">
        <w:rPr>
          <w:rFonts w:asciiTheme="minorHAnsi" w:hAnsiTheme="minorHAnsi" w:cstheme="minorHAnsi"/>
        </w:rPr>
        <w:t>Upazilas</w:t>
      </w:r>
      <w:r w:rsidRPr="005F120D">
        <w:rPr>
          <w:rFonts w:asciiTheme="minorHAnsi" w:hAnsiTheme="minorHAnsi" w:cstheme="minorHAnsi"/>
        </w:rPr>
        <w:t xml:space="preserve"> and districts is consistent with the gender parity index, which indicates gender disparity in </w:t>
      </w:r>
      <w:r w:rsidR="005912AD" w:rsidRPr="005F120D">
        <w:rPr>
          <w:rFonts w:asciiTheme="minorHAnsi" w:hAnsiTheme="minorHAnsi" w:cstheme="minorHAnsi"/>
        </w:rPr>
        <w:t>favor</w:t>
      </w:r>
      <w:r w:rsidRPr="005F120D">
        <w:rPr>
          <w:rFonts w:asciiTheme="minorHAnsi" w:hAnsiTheme="minorHAnsi" w:cstheme="minorHAnsi"/>
        </w:rPr>
        <w:t xml:space="preserve"> of boys.  This is because the proportion of boys in the population aged 6-10 years is 5</w:t>
      </w:r>
      <w:r w:rsidR="008E4208" w:rsidRPr="005F120D">
        <w:rPr>
          <w:rFonts w:asciiTheme="minorHAnsi" w:hAnsiTheme="minorHAnsi" w:cstheme="minorHAnsi"/>
        </w:rPr>
        <w:t>1% (based on DPE estimates of 6-</w:t>
      </w:r>
      <w:r w:rsidRPr="005F120D">
        <w:rPr>
          <w:rFonts w:asciiTheme="minorHAnsi" w:hAnsiTheme="minorHAnsi" w:cstheme="minorHAnsi"/>
        </w:rPr>
        <w:t xml:space="preserve">10 years population for 2015) i.e. there are more boys than girls but there are fewer boys enrolled in school. </w:t>
      </w:r>
    </w:p>
    <w:p w:rsidR="00797E20" w:rsidRPr="005F120D" w:rsidRDefault="00034A5B" w:rsidP="00C437AA">
      <w:pPr>
        <w:spacing w:line="276" w:lineRule="auto"/>
        <w:jc w:val="both"/>
        <w:rPr>
          <w:rFonts w:asciiTheme="minorHAnsi" w:hAnsiTheme="minorHAnsi" w:cstheme="minorHAnsi"/>
        </w:rPr>
      </w:pPr>
      <w:r w:rsidRPr="005F120D">
        <w:rPr>
          <w:rFonts w:asciiTheme="minorHAnsi" w:hAnsiTheme="minorHAnsi" w:cstheme="minorHAnsi"/>
        </w:rPr>
        <w:t xml:space="preserve">The lower school participation of boys in the economically prosperous belt of Bangladesh suggests that there may be demand-side related issues (e.g. greater industrial demand for child workers). This situation may be contributing to fewer boys attending primary school.    Another possible factor is that the APSC does not capture boys and girls who </w:t>
      </w:r>
      <w:r w:rsidR="00770B93">
        <w:rPr>
          <w:rFonts w:asciiTheme="minorHAnsi" w:hAnsiTheme="minorHAnsi" w:cstheme="minorHAnsi"/>
        </w:rPr>
        <w:t>are enrolled in Quami Madrasha</w:t>
      </w:r>
      <w:r w:rsidRPr="005F120D">
        <w:rPr>
          <w:rFonts w:asciiTheme="minorHAnsi" w:hAnsiTheme="minorHAnsi" w:cstheme="minorHAnsi"/>
        </w:rPr>
        <w:t xml:space="preserve"> and KG of English medium schools. Both types of institutes are not spread evenly througho</w:t>
      </w:r>
      <w:r w:rsidR="00770B93">
        <w:rPr>
          <w:rFonts w:asciiTheme="minorHAnsi" w:hAnsiTheme="minorHAnsi" w:cstheme="minorHAnsi"/>
        </w:rPr>
        <w:t>ut the country, Quami Madrasha</w:t>
      </w:r>
      <w:r w:rsidRPr="005F120D">
        <w:rPr>
          <w:rFonts w:asciiTheme="minorHAnsi" w:hAnsiTheme="minorHAnsi" w:cstheme="minorHAnsi"/>
        </w:rPr>
        <w:t xml:space="preserve"> being more prevalent in Sylhet, Kishoreganj and Chittagong than elsewhere, and KG of English medium schools only in the urban areas</w:t>
      </w:r>
      <w:r w:rsidR="00797E20" w:rsidRPr="005F120D">
        <w:rPr>
          <w:rFonts w:asciiTheme="minorHAnsi" w:hAnsiTheme="minorHAnsi" w:cstheme="minorHAnsi"/>
        </w:rPr>
        <w:t>.</w:t>
      </w:r>
    </w:p>
    <w:p w:rsidR="00F7646E" w:rsidRPr="005F120D" w:rsidRDefault="00BB1863" w:rsidP="00C437AA">
      <w:pPr>
        <w:pStyle w:val="Caption"/>
        <w:spacing w:line="276" w:lineRule="auto"/>
        <w:rPr>
          <w:rFonts w:cstheme="minorHAnsi"/>
        </w:rPr>
      </w:pPr>
      <w:bookmarkStart w:id="340" w:name="OLE_LINK3"/>
      <w:bookmarkStart w:id="341" w:name="OLE_LINK2"/>
      <w:bookmarkStart w:id="342" w:name="_Toc462837426"/>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17</w:t>
      </w:r>
      <w:r w:rsidR="002E2ED5" w:rsidRPr="005F120D">
        <w:rPr>
          <w:rFonts w:cstheme="minorHAnsi"/>
        </w:rPr>
        <w:fldChar w:fldCharType="end"/>
      </w:r>
      <w:r w:rsidR="006A7739" w:rsidRPr="005F120D">
        <w:rPr>
          <w:rFonts w:cstheme="minorHAnsi"/>
        </w:rPr>
        <w:t xml:space="preserve">: </w:t>
      </w:r>
      <w:r w:rsidR="00F7646E" w:rsidRPr="005F120D">
        <w:rPr>
          <w:rFonts w:cstheme="minorHAnsi"/>
        </w:rPr>
        <w:t>Gender Parity Index: GER &amp; NER 2005-201</w:t>
      </w:r>
      <w:r w:rsidR="00DB723E" w:rsidRPr="005F120D">
        <w:rPr>
          <w:rFonts w:cstheme="minorHAnsi"/>
        </w:rPr>
        <w:t>5</w:t>
      </w:r>
      <w:bookmarkEnd w:id="342"/>
    </w:p>
    <w:bookmarkEnd w:id="340"/>
    <w:p w:rsidR="00D85AFA" w:rsidRPr="005F120D" w:rsidRDefault="002E2ED5" w:rsidP="00C437AA">
      <w:pPr>
        <w:spacing w:after="40" w:line="276" w:lineRule="auto"/>
        <w:jc w:val="center"/>
        <w:rPr>
          <w:rFonts w:asciiTheme="minorHAnsi" w:hAnsiTheme="minorHAnsi" w:cstheme="minorHAnsi"/>
          <w:color w:val="FF0000"/>
        </w:rPr>
      </w:pPr>
      <w:r>
        <w:rPr>
          <w:rFonts w:asciiTheme="minorHAnsi" w:hAnsiTheme="minorHAnsi" w:cstheme="minorHAnsi"/>
          <w:noProof/>
          <w:color w:val="FF0000"/>
          <w:lang w:eastAsia="en-US"/>
        </w:rPr>
        <w:pict>
          <v:shape id="AutoShape 403" o:spid="_x0000_s1084" type="#_x0000_t32" style="position:absolute;left:0;text-align:left;margin-left:127.5pt;margin-top:80.6pt;width:267.5pt;height: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" strokecolor="#c00000" strokeweight="2pt">
            <v:shadow opacity=".5" offset="6pt,6pt"/>
          </v:shape>
        </w:pict>
      </w:r>
      <w:r w:rsidR="00E27949" w:rsidRPr="005F120D">
        <w:rPr>
          <w:rFonts w:asciiTheme="minorHAnsi" w:hAnsiTheme="minorHAnsi" w:cstheme="minorHAnsi"/>
          <w:noProof/>
          <w:color w:val="FF0000"/>
          <w:lang w:eastAsia="en-US"/>
        </w:rPr>
        <w:drawing>
          <wp:inline distT="0" distB="0" distL="0" distR="0">
            <wp:extent cx="4552950" cy="2419350"/>
            <wp:effectExtent l="38100" t="19050" r="19050" b="0"/>
            <wp:docPr id="11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7646E" w:rsidRPr="005F120D" w:rsidRDefault="00362E85" w:rsidP="00EC23C6">
      <w:pPr>
        <w:spacing w:line="276" w:lineRule="auto"/>
        <w:rPr>
          <w:rFonts w:asciiTheme="minorHAnsi" w:hAnsiTheme="minorHAnsi" w:cstheme="minorHAnsi"/>
          <w:b/>
          <w:sz w:val="16"/>
          <w:szCs w:val="16"/>
        </w:rPr>
      </w:pPr>
      <w:r>
        <w:rPr>
          <w:rFonts w:asciiTheme="minorHAnsi" w:hAnsiTheme="minorHAnsi" w:cstheme="minorHAnsi"/>
          <w:b/>
          <w:sz w:val="16"/>
          <w:szCs w:val="16"/>
        </w:rPr>
        <w:t xml:space="preserve">                         </w:t>
      </w:r>
      <w:r w:rsidR="00F7646E" w:rsidRPr="005F120D">
        <w:rPr>
          <w:rFonts w:asciiTheme="minorHAnsi" w:hAnsiTheme="minorHAnsi" w:cstheme="minorHAnsi"/>
          <w:b/>
          <w:sz w:val="16"/>
          <w:szCs w:val="16"/>
        </w:rPr>
        <w:t>Source: APSC 2005-201</w:t>
      </w:r>
      <w:r w:rsidR="00DB723E" w:rsidRPr="005F120D">
        <w:rPr>
          <w:rFonts w:asciiTheme="minorHAnsi" w:hAnsiTheme="minorHAnsi" w:cstheme="minorHAnsi"/>
          <w:b/>
          <w:sz w:val="16"/>
          <w:szCs w:val="16"/>
        </w:rPr>
        <w:t>5</w:t>
      </w:r>
    </w:p>
    <w:bookmarkEnd w:id="341"/>
    <w:p w:rsidR="00F7646E" w:rsidRPr="005F120D" w:rsidRDefault="00034A5B" w:rsidP="00C437AA">
      <w:pPr>
        <w:spacing w:line="276" w:lineRule="auto"/>
        <w:jc w:val="both"/>
        <w:rPr>
          <w:rFonts w:asciiTheme="minorHAnsi" w:hAnsiTheme="minorHAnsi" w:cstheme="minorHAnsi"/>
        </w:rPr>
      </w:pPr>
      <w:r w:rsidRPr="005F120D">
        <w:rPr>
          <w:rFonts w:asciiTheme="minorHAnsi" w:hAnsiTheme="minorHAnsi" w:cstheme="minorHAnsi"/>
        </w:rPr>
        <w:t>Figure 3.18 shows the comparison of enrolment by grade betwe</w:t>
      </w:r>
      <w:r w:rsidR="007E5301" w:rsidRPr="005F120D">
        <w:rPr>
          <w:rFonts w:asciiTheme="minorHAnsi" w:hAnsiTheme="minorHAnsi" w:cstheme="minorHAnsi"/>
        </w:rPr>
        <w:t>en boys and girls in 2015.  In G</w:t>
      </w:r>
      <w:r w:rsidRPr="005F120D">
        <w:rPr>
          <w:rFonts w:asciiTheme="minorHAnsi" w:hAnsiTheme="minorHAnsi" w:cstheme="minorHAnsi"/>
        </w:rPr>
        <w:t xml:space="preserve">rade 1, there were more boys </w:t>
      </w:r>
      <w:r w:rsidR="00273648" w:rsidRPr="005F120D">
        <w:rPr>
          <w:rFonts w:asciiTheme="minorHAnsi" w:hAnsiTheme="minorHAnsi" w:cstheme="minorHAnsi"/>
        </w:rPr>
        <w:t>than girls. F</w:t>
      </w:r>
      <w:r w:rsidRPr="005F120D">
        <w:rPr>
          <w:rFonts w:asciiTheme="minorHAnsi" w:hAnsiTheme="minorHAnsi" w:cstheme="minorHAnsi"/>
        </w:rPr>
        <w:t>rom Grade</w:t>
      </w:r>
      <w:r w:rsidR="00273648" w:rsidRPr="005F120D">
        <w:rPr>
          <w:rFonts w:asciiTheme="minorHAnsi" w:hAnsiTheme="minorHAnsi" w:cstheme="minorHAnsi"/>
        </w:rPr>
        <w:t>s</w:t>
      </w:r>
      <w:r w:rsidRPr="005F120D">
        <w:rPr>
          <w:rFonts w:asciiTheme="minorHAnsi" w:hAnsiTheme="minorHAnsi" w:cstheme="minorHAnsi"/>
        </w:rPr>
        <w:t xml:space="preserve"> 2 to 5</w:t>
      </w:r>
      <w:r w:rsidR="00273648" w:rsidRPr="005F120D">
        <w:rPr>
          <w:rFonts w:asciiTheme="minorHAnsi" w:hAnsiTheme="minorHAnsi" w:cstheme="minorHAnsi"/>
        </w:rPr>
        <w:t>,</w:t>
      </w:r>
      <w:r w:rsidRPr="005F120D">
        <w:rPr>
          <w:rFonts w:asciiTheme="minorHAnsi" w:hAnsiTheme="minorHAnsi" w:cstheme="minorHAnsi"/>
        </w:rPr>
        <w:t xml:space="preserve"> however, the proportion of boys began to decline due to their higher dropout rate. The total enrolment dropped by about 485,218 between 2014 and 2015. There was a declining trend in all most all grades except Grade 5. Specifically</w:t>
      </w:r>
      <w:r w:rsidR="00273648" w:rsidRPr="005F120D">
        <w:rPr>
          <w:rFonts w:asciiTheme="minorHAnsi" w:hAnsiTheme="minorHAnsi" w:cstheme="minorHAnsi"/>
        </w:rPr>
        <w:t>,</w:t>
      </w:r>
      <w:r w:rsidRPr="005F120D">
        <w:rPr>
          <w:rFonts w:asciiTheme="minorHAnsi" w:hAnsiTheme="minorHAnsi" w:cstheme="minorHAnsi"/>
        </w:rPr>
        <w:t xml:space="preserve"> Grade 1 numbers dropped by 391,710; by 25,961 in Grade 2; by 23,879 in Grade 3; and </w:t>
      </w:r>
      <w:r w:rsidR="00273648" w:rsidRPr="005F120D">
        <w:rPr>
          <w:rFonts w:asciiTheme="minorHAnsi" w:hAnsiTheme="minorHAnsi" w:cstheme="minorHAnsi"/>
        </w:rPr>
        <w:t xml:space="preserve">by </w:t>
      </w:r>
      <w:r w:rsidRPr="005F120D">
        <w:rPr>
          <w:rFonts w:asciiTheme="minorHAnsi" w:hAnsiTheme="minorHAnsi" w:cstheme="minorHAnsi"/>
        </w:rPr>
        <w:t>13</w:t>
      </w:r>
      <w:r w:rsidR="00273648" w:rsidRPr="005F120D">
        <w:rPr>
          <w:rFonts w:asciiTheme="minorHAnsi" w:hAnsiTheme="minorHAnsi" w:cstheme="minorHAnsi"/>
        </w:rPr>
        <w:t>0,506 in Grade 4 respectively.</w:t>
      </w:r>
      <w:r w:rsidR="00770B93">
        <w:rPr>
          <w:rFonts w:asciiTheme="minorHAnsi" w:hAnsiTheme="minorHAnsi" w:cstheme="minorHAnsi"/>
        </w:rPr>
        <w:t xml:space="preserve"> </w:t>
      </w:r>
      <w:r w:rsidR="00273648" w:rsidRPr="005F120D">
        <w:rPr>
          <w:rFonts w:asciiTheme="minorHAnsi" w:hAnsiTheme="minorHAnsi" w:cstheme="minorHAnsi"/>
        </w:rPr>
        <w:t>B</w:t>
      </w:r>
      <w:r w:rsidRPr="005F120D">
        <w:rPr>
          <w:rFonts w:asciiTheme="minorHAnsi" w:hAnsiTheme="minorHAnsi" w:cstheme="minorHAnsi"/>
        </w:rPr>
        <w:t>ut</w:t>
      </w:r>
      <w:r w:rsidR="00273648" w:rsidRPr="005F120D">
        <w:rPr>
          <w:rFonts w:asciiTheme="minorHAnsi" w:hAnsiTheme="minorHAnsi" w:cstheme="minorHAnsi"/>
        </w:rPr>
        <w:t xml:space="preserve"> they</w:t>
      </w:r>
      <w:r w:rsidRPr="005F120D">
        <w:rPr>
          <w:rFonts w:asciiTheme="minorHAnsi" w:hAnsiTheme="minorHAnsi" w:cstheme="minorHAnsi"/>
        </w:rPr>
        <w:t xml:space="preserve"> increased </w:t>
      </w:r>
      <w:r w:rsidR="00273648" w:rsidRPr="005F120D">
        <w:rPr>
          <w:rFonts w:asciiTheme="minorHAnsi" w:hAnsiTheme="minorHAnsi" w:cstheme="minorHAnsi"/>
        </w:rPr>
        <w:t xml:space="preserve">by </w:t>
      </w:r>
      <w:r w:rsidRPr="005F120D">
        <w:rPr>
          <w:rFonts w:asciiTheme="minorHAnsi" w:hAnsiTheme="minorHAnsi" w:cstheme="minorHAnsi"/>
        </w:rPr>
        <w:t>86,838 in Grade 5</w:t>
      </w:r>
      <w:r w:rsidR="005D59CE" w:rsidRPr="005F120D">
        <w:rPr>
          <w:rFonts w:asciiTheme="minorHAnsi" w:hAnsiTheme="minorHAnsi" w:cstheme="minorHAnsi"/>
        </w:rPr>
        <w:t>.</w:t>
      </w:r>
    </w:p>
    <w:p w:rsidR="005912AD" w:rsidRDefault="005912AD" w:rsidP="00C437AA">
      <w:pPr>
        <w:pStyle w:val="Caption"/>
        <w:spacing w:line="276" w:lineRule="auto"/>
        <w:rPr>
          <w:rFonts w:cstheme="minorHAnsi"/>
        </w:rPr>
      </w:pPr>
    </w:p>
    <w:p w:rsidR="00F7646E" w:rsidRPr="005F120D" w:rsidRDefault="00191AFB" w:rsidP="00C437AA">
      <w:pPr>
        <w:pStyle w:val="Caption"/>
        <w:spacing w:line="276" w:lineRule="auto"/>
        <w:rPr>
          <w:rFonts w:cstheme="minorHAnsi"/>
        </w:rPr>
      </w:pPr>
      <w:bookmarkStart w:id="343" w:name="_Toc462837427"/>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18</w:t>
      </w:r>
      <w:r w:rsidR="002E2ED5" w:rsidRPr="005F120D">
        <w:rPr>
          <w:rFonts w:cstheme="minorHAnsi"/>
        </w:rPr>
        <w:fldChar w:fldCharType="end"/>
      </w:r>
      <w:r w:rsidR="006A7739" w:rsidRPr="005F120D">
        <w:rPr>
          <w:rFonts w:cstheme="minorHAnsi"/>
        </w:rPr>
        <w:t>:</w:t>
      </w:r>
      <w:r w:rsidR="00770B93">
        <w:rPr>
          <w:rFonts w:cstheme="minorHAnsi"/>
        </w:rPr>
        <w:t xml:space="preserve"> </w:t>
      </w:r>
      <w:r w:rsidR="00F7646E" w:rsidRPr="005F120D">
        <w:rPr>
          <w:rFonts w:cstheme="minorHAnsi"/>
        </w:rPr>
        <w:t>Primary Ed</w:t>
      </w:r>
      <w:r w:rsidR="00797E20" w:rsidRPr="005F120D">
        <w:rPr>
          <w:rFonts w:cstheme="minorHAnsi"/>
        </w:rPr>
        <w:t xml:space="preserve">ucation </w:t>
      </w:r>
      <w:r w:rsidR="004B53A0" w:rsidRPr="005F120D">
        <w:rPr>
          <w:rFonts w:cstheme="minorHAnsi"/>
        </w:rPr>
        <w:t>Enrolment</w:t>
      </w:r>
      <w:r w:rsidR="00797E20" w:rsidRPr="005F120D">
        <w:rPr>
          <w:rFonts w:cstheme="minorHAnsi"/>
        </w:rPr>
        <w:t xml:space="preserve"> by Gender 201</w:t>
      </w:r>
      <w:r w:rsidR="00DB723E" w:rsidRPr="005F120D">
        <w:rPr>
          <w:rFonts w:cstheme="minorHAnsi"/>
        </w:rPr>
        <w:t>5</w:t>
      </w:r>
      <w:bookmarkEnd w:id="343"/>
    </w:p>
    <w:p w:rsidR="00F7646E" w:rsidRPr="005F120D" w:rsidRDefault="00F92911" w:rsidP="00C437AA">
      <w:pPr>
        <w:spacing w:line="276" w:lineRule="auto"/>
        <w:rPr>
          <w:rFonts w:asciiTheme="minorHAnsi" w:hAnsiTheme="minorHAnsi" w:cstheme="minorHAnsi"/>
          <w:color w:val="FF0000"/>
        </w:rPr>
      </w:pPr>
      <w:r w:rsidRPr="005F120D">
        <w:rPr>
          <w:rFonts w:asciiTheme="minorHAnsi" w:hAnsiTheme="minorHAnsi" w:cstheme="minorHAnsi"/>
          <w:noProof/>
          <w:color w:val="FF0000"/>
          <w:lang w:eastAsia="en-US"/>
        </w:rPr>
        <w:drawing>
          <wp:inline distT="0" distB="0" distL="0" distR="0">
            <wp:extent cx="5769227" cy="2931183"/>
            <wp:effectExtent l="38100" t="19050" r="21973" b="2517"/>
            <wp:docPr id="115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37993" w:rsidRPr="005F120D" w:rsidRDefault="000E4013" w:rsidP="00C437AA">
      <w:pPr>
        <w:spacing w:before="240" w:line="276" w:lineRule="auto"/>
        <w:jc w:val="both"/>
        <w:rPr>
          <w:rFonts w:asciiTheme="minorHAnsi" w:hAnsiTheme="minorHAnsi" w:cstheme="minorHAnsi"/>
        </w:rPr>
      </w:pPr>
      <w:r w:rsidRPr="005F120D">
        <w:rPr>
          <w:rFonts w:asciiTheme="minorHAnsi" w:hAnsiTheme="minorHAnsi" w:cstheme="minorHAnsi"/>
        </w:rPr>
        <w:t>In 2015, 49.1%</w:t>
      </w:r>
      <w:r w:rsidR="00273648" w:rsidRPr="005F120D">
        <w:rPr>
          <w:rFonts w:asciiTheme="minorHAnsi" w:hAnsiTheme="minorHAnsi" w:cstheme="minorHAnsi"/>
        </w:rPr>
        <w:t xml:space="preserve"> of </w:t>
      </w:r>
      <w:r w:rsidRPr="005F120D">
        <w:rPr>
          <w:rFonts w:asciiTheme="minorHAnsi" w:hAnsiTheme="minorHAnsi" w:cstheme="minorHAnsi"/>
        </w:rPr>
        <w:t>boy</w:t>
      </w:r>
      <w:r w:rsidR="00034A5B" w:rsidRPr="005F120D">
        <w:rPr>
          <w:rFonts w:asciiTheme="minorHAnsi" w:hAnsiTheme="minorHAnsi" w:cstheme="minorHAnsi"/>
        </w:rPr>
        <w:t xml:space="preserve">s and 50.9% </w:t>
      </w:r>
      <w:r w:rsidR="00273648" w:rsidRPr="005F120D">
        <w:rPr>
          <w:rFonts w:asciiTheme="minorHAnsi" w:hAnsiTheme="minorHAnsi" w:cstheme="minorHAnsi"/>
        </w:rPr>
        <w:t xml:space="preserve">of </w:t>
      </w:r>
      <w:r w:rsidRPr="005F120D">
        <w:rPr>
          <w:rFonts w:asciiTheme="minorHAnsi" w:hAnsiTheme="minorHAnsi" w:cstheme="minorHAnsi"/>
        </w:rPr>
        <w:t>girl</w:t>
      </w:r>
      <w:r w:rsidR="00273648" w:rsidRPr="005F120D">
        <w:rPr>
          <w:rFonts w:asciiTheme="minorHAnsi" w:hAnsiTheme="minorHAnsi" w:cstheme="minorHAnsi"/>
        </w:rPr>
        <w:t>s enrolled in primary level institutes; this</w:t>
      </w:r>
      <w:r w:rsidR="00034A5B" w:rsidRPr="005F120D">
        <w:rPr>
          <w:rFonts w:asciiTheme="minorHAnsi" w:hAnsiTheme="minorHAnsi" w:cstheme="minorHAnsi"/>
        </w:rPr>
        <w:t xml:space="preserve"> indicate</w:t>
      </w:r>
      <w:r w:rsidR="00273648" w:rsidRPr="005F120D">
        <w:rPr>
          <w:rFonts w:asciiTheme="minorHAnsi" w:hAnsiTheme="minorHAnsi" w:cstheme="minorHAnsi"/>
        </w:rPr>
        <w:t>s</w:t>
      </w:r>
      <w:r w:rsidR="00034A5B" w:rsidRPr="005F120D">
        <w:rPr>
          <w:rFonts w:asciiTheme="minorHAnsi" w:hAnsiTheme="minorHAnsi" w:cstheme="minorHAnsi"/>
        </w:rPr>
        <w:t xml:space="preserve"> that the gender disparity is diminishing gradually. Figure 3.19 shows the proportion of </w:t>
      </w:r>
      <w:r w:rsidRPr="005F120D">
        <w:rPr>
          <w:rFonts w:asciiTheme="minorHAnsi" w:hAnsiTheme="minorHAnsi" w:cstheme="minorHAnsi"/>
        </w:rPr>
        <w:t>girl</w:t>
      </w:r>
      <w:r w:rsidR="00034A5B" w:rsidRPr="005F120D">
        <w:rPr>
          <w:rFonts w:asciiTheme="minorHAnsi" w:hAnsiTheme="minorHAnsi" w:cstheme="minorHAnsi"/>
        </w:rPr>
        <w:t xml:space="preserve">s in total enrolment in GPS and NNPS by </w:t>
      </w:r>
      <w:r w:rsidR="00034A5B" w:rsidRPr="005F120D">
        <w:rPr>
          <w:rFonts w:asciiTheme="minorHAnsi" w:hAnsiTheme="minorHAnsi" w:cstheme="minorHAnsi"/>
          <w:i/>
        </w:rPr>
        <w:t>Upazila</w:t>
      </w:r>
      <w:r w:rsidR="00034A5B" w:rsidRPr="005F120D">
        <w:rPr>
          <w:rFonts w:asciiTheme="minorHAnsi" w:hAnsiTheme="minorHAnsi" w:cstheme="minorHAnsi"/>
        </w:rPr>
        <w:t xml:space="preserve"> in 201</w:t>
      </w:r>
      <w:r w:rsidR="00273648" w:rsidRPr="005F120D">
        <w:rPr>
          <w:rFonts w:asciiTheme="minorHAnsi" w:hAnsiTheme="minorHAnsi" w:cstheme="minorHAnsi"/>
        </w:rPr>
        <w:t>5. There are</w:t>
      </w:r>
      <w:r w:rsidR="00034A5B" w:rsidRPr="005F120D">
        <w:rPr>
          <w:rFonts w:asciiTheme="minorHAnsi" w:hAnsiTheme="minorHAnsi" w:cstheme="minorHAnsi"/>
        </w:rPr>
        <w:t xml:space="preserve"> no major reasons for this proportion of boys to girls to vary across different parts of the country</w:t>
      </w:r>
      <w:r w:rsidR="009B3E49" w:rsidRPr="005F120D">
        <w:rPr>
          <w:rFonts w:asciiTheme="minorHAnsi" w:hAnsiTheme="minorHAnsi" w:cstheme="minorHAnsi"/>
        </w:rPr>
        <w:t xml:space="preserve"> while</w:t>
      </w:r>
      <w:r w:rsidR="00273648" w:rsidRPr="005F120D">
        <w:rPr>
          <w:rFonts w:asciiTheme="minorHAnsi" w:hAnsiTheme="minorHAnsi" w:cstheme="minorHAnsi"/>
        </w:rPr>
        <w:t>, overall,</w:t>
      </w:r>
      <w:r w:rsidR="009B3E49" w:rsidRPr="005F120D">
        <w:rPr>
          <w:rFonts w:asciiTheme="minorHAnsi" w:hAnsiTheme="minorHAnsi" w:cstheme="minorHAnsi"/>
        </w:rPr>
        <w:t xml:space="preserve"> the proportion of boys and girls </w:t>
      </w:r>
      <w:r w:rsidR="009B3E49" w:rsidRPr="005F120D">
        <w:rPr>
          <w:rFonts w:asciiTheme="minorHAnsi" w:hAnsiTheme="minorHAnsi" w:cstheme="minorHAnsi"/>
          <w:iCs/>
        </w:rPr>
        <w:t>in the DPE projected population</w:t>
      </w:r>
      <w:r w:rsidR="00273648" w:rsidRPr="005F120D">
        <w:rPr>
          <w:rFonts w:asciiTheme="minorHAnsi" w:hAnsiTheme="minorHAnsi" w:cstheme="minorHAnsi"/>
        </w:rPr>
        <w:t xml:space="preserve"> aged 6 –10 years were</w:t>
      </w:r>
      <w:r w:rsidR="009B3E49" w:rsidRPr="005F120D">
        <w:rPr>
          <w:rFonts w:asciiTheme="minorHAnsi" w:hAnsiTheme="minorHAnsi" w:cstheme="minorHAnsi"/>
        </w:rPr>
        <w:t xml:space="preserve"> 51% and 49% girls in 2015.  </w:t>
      </w:r>
    </w:p>
    <w:p w:rsidR="00D42A30" w:rsidRPr="005F120D" w:rsidRDefault="00D42A30" w:rsidP="00C437AA">
      <w:pPr>
        <w:pStyle w:val="Caption"/>
        <w:spacing w:line="276" w:lineRule="auto"/>
        <w:rPr>
          <w:rFonts w:cstheme="minorHAnsi"/>
        </w:rPr>
      </w:pPr>
    </w:p>
    <w:p w:rsidR="00D42A30" w:rsidRPr="005F120D" w:rsidRDefault="00D42A30" w:rsidP="00C437AA">
      <w:pPr>
        <w:pStyle w:val="Caption"/>
        <w:spacing w:line="276" w:lineRule="auto"/>
        <w:rPr>
          <w:rFonts w:cstheme="minorHAnsi"/>
        </w:rPr>
      </w:pPr>
    </w:p>
    <w:p w:rsidR="00D42A30" w:rsidRPr="005F120D" w:rsidRDefault="00D42A30" w:rsidP="00C437AA">
      <w:pPr>
        <w:pStyle w:val="Caption"/>
        <w:spacing w:line="276" w:lineRule="auto"/>
        <w:rPr>
          <w:rFonts w:cstheme="minorHAnsi"/>
        </w:rPr>
      </w:pPr>
    </w:p>
    <w:p w:rsidR="00D42A30" w:rsidRPr="005F120D" w:rsidRDefault="00D42A30" w:rsidP="00C437AA">
      <w:pPr>
        <w:pStyle w:val="Caption"/>
        <w:spacing w:line="276" w:lineRule="auto"/>
        <w:rPr>
          <w:rFonts w:cstheme="minorHAnsi"/>
        </w:rPr>
      </w:pPr>
    </w:p>
    <w:p w:rsidR="00D42A30" w:rsidRPr="005F120D" w:rsidRDefault="00D42A30" w:rsidP="00C437AA">
      <w:pPr>
        <w:pStyle w:val="Caption"/>
        <w:spacing w:line="276" w:lineRule="auto"/>
        <w:rPr>
          <w:rFonts w:cstheme="minorHAnsi"/>
        </w:rPr>
      </w:pPr>
    </w:p>
    <w:p w:rsidR="00D42A30" w:rsidRPr="005F120D" w:rsidRDefault="00D42A30" w:rsidP="00C437AA">
      <w:pPr>
        <w:pStyle w:val="Caption"/>
        <w:spacing w:line="276" w:lineRule="auto"/>
        <w:rPr>
          <w:rFonts w:cstheme="minorHAnsi"/>
        </w:rPr>
      </w:pPr>
    </w:p>
    <w:p w:rsidR="00D42A30" w:rsidRDefault="00D42A30" w:rsidP="00C437AA">
      <w:pPr>
        <w:pStyle w:val="Caption"/>
        <w:spacing w:line="276" w:lineRule="auto"/>
        <w:rPr>
          <w:rFonts w:cstheme="minorHAnsi"/>
        </w:rPr>
      </w:pPr>
    </w:p>
    <w:p w:rsidR="00770B93" w:rsidRDefault="00770B93" w:rsidP="00770B93"/>
    <w:p w:rsidR="00770B93" w:rsidRDefault="00770B93" w:rsidP="00770B93"/>
    <w:p w:rsidR="00770B93" w:rsidRDefault="00770B93" w:rsidP="00770B93"/>
    <w:p w:rsidR="00770B93" w:rsidRPr="00770B93" w:rsidRDefault="00770B93" w:rsidP="00770B93"/>
    <w:p w:rsidR="007C48D1" w:rsidRPr="005F120D" w:rsidRDefault="007C48D1" w:rsidP="00C437AA">
      <w:pPr>
        <w:pStyle w:val="Caption"/>
        <w:spacing w:line="276" w:lineRule="auto"/>
        <w:rPr>
          <w:rFonts w:cstheme="minorHAnsi"/>
        </w:rPr>
      </w:pPr>
    </w:p>
    <w:p w:rsidR="00797E20" w:rsidRPr="005F120D" w:rsidRDefault="00E27949" w:rsidP="00C437AA">
      <w:pPr>
        <w:pStyle w:val="Caption"/>
        <w:spacing w:line="276" w:lineRule="auto"/>
        <w:rPr>
          <w:rFonts w:cstheme="minorHAnsi"/>
        </w:rPr>
      </w:pPr>
      <w:bookmarkStart w:id="344" w:name="_Toc462837428"/>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19</w:t>
      </w:r>
      <w:r w:rsidR="002E2ED5" w:rsidRPr="005F120D">
        <w:rPr>
          <w:rFonts w:cstheme="minorHAnsi"/>
        </w:rPr>
        <w:fldChar w:fldCharType="end"/>
      </w:r>
      <w:r w:rsidR="009A6F33" w:rsidRPr="005F120D">
        <w:rPr>
          <w:rFonts w:cstheme="minorHAnsi"/>
        </w:rPr>
        <w:t>: Proportion</w:t>
      </w:r>
      <w:r w:rsidR="00797E20" w:rsidRPr="005F120D">
        <w:rPr>
          <w:rFonts w:cstheme="minorHAnsi"/>
        </w:rPr>
        <w:t xml:space="preserve"> of </w:t>
      </w:r>
      <w:r w:rsidR="000E4013" w:rsidRPr="005F120D">
        <w:rPr>
          <w:rFonts w:cstheme="minorHAnsi"/>
        </w:rPr>
        <w:t>M</w:t>
      </w:r>
      <w:r w:rsidR="00EC7CE4" w:rsidRPr="005F120D">
        <w:rPr>
          <w:rFonts w:cstheme="minorHAnsi"/>
        </w:rPr>
        <w:t>ale</w:t>
      </w:r>
      <w:r w:rsidR="00797E20" w:rsidRPr="005F120D">
        <w:rPr>
          <w:rFonts w:cstheme="minorHAnsi"/>
        </w:rPr>
        <w:t xml:space="preserve"> Students </w:t>
      </w:r>
      <w:r w:rsidR="00DB723E" w:rsidRPr="005F120D">
        <w:rPr>
          <w:rFonts w:cstheme="minorHAnsi"/>
        </w:rPr>
        <w:t>in GPS and NNPS by Upazila</w:t>
      </w:r>
      <w:r w:rsidR="00191AFB" w:rsidRPr="005F120D">
        <w:rPr>
          <w:rFonts w:cstheme="minorHAnsi"/>
        </w:rPr>
        <w:t xml:space="preserve"> 201</w:t>
      </w:r>
      <w:r w:rsidR="00DB723E" w:rsidRPr="005F120D">
        <w:rPr>
          <w:rFonts w:cstheme="minorHAnsi"/>
        </w:rPr>
        <w:t>5</w:t>
      </w:r>
      <w:bookmarkEnd w:id="344"/>
    </w:p>
    <w:p w:rsidR="00601771" w:rsidRPr="005F120D" w:rsidRDefault="0045573B" w:rsidP="00C437AA">
      <w:pPr>
        <w:spacing w:before="40" w:after="20" w:line="276" w:lineRule="auto"/>
        <w:jc w:val="center"/>
        <w:rPr>
          <w:rFonts w:asciiTheme="minorHAnsi" w:hAnsiTheme="minorHAnsi" w:cstheme="minorHAnsi"/>
          <w:b/>
          <w:i/>
          <w:color w:val="FF0000"/>
          <w:sz w:val="16"/>
          <w:szCs w:val="16"/>
        </w:rPr>
      </w:pPr>
      <w:r w:rsidRPr="005F120D">
        <w:rPr>
          <w:rFonts w:asciiTheme="minorHAnsi" w:hAnsiTheme="minorHAnsi" w:cstheme="minorHAnsi"/>
          <w:noProof/>
          <w:lang w:eastAsia="en-US"/>
        </w:rPr>
        <w:drawing>
          <wp:inline distT="0" distB="0" distL="0" distR="0">
            <wp:extent cx="5467350" cy="7302500"/>
            <wp:effectExtent l="38100" t="19050" r="19050" b="12700"/>
            <wp:docPr id="18" name="Picture 1" descr="C:\Users\user\Downloads\1RatioofBoyStudents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RatioofBoyStudents_2015.png"/>
                    <pic:cNvPicPr>
                      <a:picLocks noChangeAspect="1" noChangeArrowheads="1"/>
                    </pic:cNvPicPr>
                  </pic:nvPicPr>
                  <pic:blipFill>
                    <a:blip r:embed="rId39"/>
                    <a:srcRect/>
                    <a:stretch>
                      <a:fillRect/>
                    </a:stretch>
                  </pic:blipFill>
                  <pic:spPr bwMode="auto">
                    <a:xfrm>
                      <a:off x="0" y="0"/>
                      <a:ext cx="5466958" cy="7301976"/>
                    </a:xfrm>
                    <a:prstGeom prst="rect">
                      <a:avLst/>
                    </a:prstGeom>
                    <a:noFill/>
                    <a:ln w="22225" cmpd="dbl">
                      <a:solidFill>
                        <a:schemeClr val="accent2">
                          <a:lumMod val="50000"/>
                        </a:schemeClr>
                      </a:solidFill>
                      <a:miter lim="800000"/>
                      <a:headEnd/>
                      <a:tailEnd/>
                    </a:ln>
                  </pic:spPr>
                </pic:pic>
              </a:graphicData>
            </a:graphic>
          </wp:inline>
        </w:drawing>
      </w:r>
    </w:p>
    <w:p w:rsidR="00797E20" w:rsidRPr="005F120D" w:rsidRDefault="005912AD" w:rsidP="00C437AA">
      <w:pPr>
        <w:spacing w:before="40" w:after="40" w:line="276" w:lineRule="auto"/>
        <w:rPr>
          <w:rFonts w:asciiTheme="minorHAnsi" w:hAnsiTheme="minorHAnsi" w:cstheme="minorHAnsi"/>
          <w:b/>
          <w:i/>
          <w:sz w:val="16"/>
          <w:szCs w:val="16"/>
        </w:rPr>
      </w:pPr>
      <w:r>
        <w:rPr>
          <w:rFonts w:asciiTheme="minorHAnsi" w:hAnsiTheme="minorHAnsi" w:cstheme="minorHAnsi"/>
          <w:b/>
          <w:i/>
          <w:sz w:val="16"/>
          <w:szCs w:val="16"/>
        </w:rPr>
        <w:t xml:space="preserve">    </w:t>
      </w:r>
      <w:r w:rsidR="0045573B" w:rsidRPr="005F120D">
        <w:rPr>
          <w:rFonts w:asciiTheme="minorHAnsi" w:hAnsiTheme="minorHAnsi" w:cstheme="minorHAnsi"/>
          <w:b/>
          <w:i/>
          <w:sz w:val="16"/>
          <w:szCs w:val="16"/>
        </w:rPr>
        <w:t>Source</w:t>
      </w:r>
      <w:r w:rsidR="00770B93">
        <w:rPr>
          <w:rFonts w:asciiTheme="minorHAnsi" w:hAnsiTheme="minorHAnsi" w:cstheme="minorHAnsi"/>
          <w:b/>
          <w:i/>
          <w:sz w:val="16"/>
          <w:szCs w:val="16"/>
        </w:rPr>
        <w:t xml:space="preserve"> </w:t>
      </w:r>
      <w:r w:rsidR="00922368" w:rsidRPr="005F120D">
        <w:rPr>
          <w:rFonts w:asciiTheme="minorHAnsi" w:hAnsiTheme="minorHAnsi" w:cstheme="minorHAnsi"/>
          <w:b/>
          <w:i/>
          <w:sz w:val="16"/>
          <w:szCs w:val="16"/>
        </w:rPr>
        <w:t>APSC 2015</w:t>
      </w:r>
    </w:p>
    <w:p w:rsidR="00D42A30" w:rsidRPr="005F120D" w:rsidRDefault="00D42A30" w:rsidP="00C437AA">
      <w:pPr>
        <w:spacing w:before="40" w:after="40" w:line="276" w:lineRule="auto"/>
        <w:rPr>
          <w:rFonts w:asciiTheme="minorHAnsi" w:hAnsiTheme="minorHAnsi" w:cstheme="minorHAnsi"/>
          <w:b/>
          <w:i/>
          <w:sz w:val="16"/>
          <w:szCs w:val="16"/>
        </w:rPr>
      </w:pPr>
    </w:p>
    <w:p w:rsidR="00D42A30" w:rsidRPr="005F120D" w:rsidRDefault="00D42A30" w:rsidP="00C437AA">
      <w:pPr>
        <w:spacing w:before="40" w:after="40" w:line="276" w:lineRule="auto"/>
        <w:rPr>
          <w:rFonts w:asciiTheme="minorHAnsi" w:hAnsiTheme="minorHAnsi" w:cstheme="minorHAnsi"/>
          <w:b/>
          <w:i/>
          <w:sz w:val="16"/>
          <w:szCs w:val="16"/>
        </w:rPr>
      </w:pPr>
    </w:p>
    <w:p w:rsidR="00D42A30" w:rsidRPr="005F120D" w:rsidRDefault="00D42A30" w:rsidP="00C437AA">
      <w:pPr>
        <w:spacing w:before="40" w:after="40" w:line="276" w:lineRule="auto"/>
        <w:rPr>
          <w:rFonts w:asciiTheme="minorHAnsi" w:hAnsiTheme="minorHAnsi" w:cstheme="minorHAnsi"/>
          <w:b/>
          <w:i/>
          <w:sz w:val="16"/>
          <w:szCs w:val="16"/>
        </w:rPr>
      </w:pPr>
    </w:p>
    <w:p w:rsidR="00E27949" w:rsidRPr="005F120D" w:rsidRDefault="00922368" w:rsidP="00C437AA">
      <w:pPr>
        <w:pStyle w:val="Heading4"/>
        <w:spacing w:line="276" w:lineRule="auto"/>
        <w:rPr>
          <w:rFonts w:asciiTheme="minorHAnsi" w:hAnsiTheme="minorHAnsi" w:cstheme="minorHAnsi"/>
          <w:b/>
          <w:i w:val="0"/>
          <w:color w:val="008000"/>
        </w:rPr>
      </w:pPr>
      <w:bookmarkStart w:id="345" w:name="_Toc338839532"/>
      <w:bookmarkStart w:id="346" w:name="_Toc338856182"/>
      <w:bookmarkStart w:id="347" w:name="_Toc302835170"/>
      <w:bookmarkStart w:id="348" w:name="_Toc385242119"/>
      <w:bookmarkStart w:id="349" w:name="_Toc385245738"/>
      <w:r w:rsidRPr="005F120D">
        <w:rPr>
          <w:rFonts w:asciiTheme="minorHAnsi" w:hAnsiTheme="minorHAnsi" w:cstheme="minorHAnsi"/>
          <w:b/>
          <w:i w:val="0"/>
          <w:color w:val="008000"/>
        </w:rPr>
        <w:lastRenderedPageBreak/>
        <w:t>G</w:t>
      </w:r>
      <w:r w:rsidR="00E27949" w:rsidRPr="005F120D">
        <w:rPr>
          <w:rFonts w:asciiTheme="minorHAnsi" w:hAnsiTheme="minorHAnsi" w:cstheme="minorHAnsi"/>
          <w:b/>
          <w:i w:val="0"/>
          <w:color w:val="008000"/>
        </w:rPr>
        <w:t xml:space="preserve">ender Balance in Teacher </w:t>
      </w:r>
      <w:r w:rsidR="00273648" w:rsidRPr="005F120D">
        <w:rPr>
          <w:rFonts w:asciiTheme="minorHAnsi" w:hAnsiTheme="minorHAnsi" w:cstheme="minorHAnsi"/>
          <w:b/>
          <w:i w:val="0"/>
          <w:color w:val="008000"/>
        </w:rPr>
        <w:t>Deployment</w:t>
      </w:r>
    </w:p>
    <w:bookmarkEnd w:id="345"/>
    <w:bookmarkEnd w:id="346"/>
    <w:bookmarkEnd w:id="347"/>
    <w:bookmarkEnd w:id="348"/>
    <w:bookmarkEnd w:id="349"/>
    <w:p w:rsidR="000C04AA" w:rsidRPr="005F120D" w:rsidRDefault="009B3E49" w:rsidP="00C437AA">
      <w:pPr>
        <w:spacing w:line="276" w:lineRule="auto"/>
        <w:jc w:val="both"/>
        <w:rPr>
          <w:rFonts w:asciiTheme="minorHAnsi" w:hAnsiTheme="minorHAnsi" w:cstheme="minorHAnsi"/>
          <w:color w:val="C00000"/>
        </w:rPr>
      </w:pPr>
      <w:r w:rsidRPr="005F120D">
        <w:rPr>
          <w:rFonts w:asciiTheme="minorHAnsi" w:hAnsiTheme="minorHAnsi" w:cstheme="minorHAnsi"/>
        </w:rPr>
        <w:t>The number of teachers has increased</w:t>
      </w:r>
      <w:r w:rsidR="000C04AA" w:rsidRPr="005F120D">
        <w:rPr>
          <w:rFonts w:asciiTheme="minorHAnsi" w:hAnsiTheme="minorHAnsi" w:cstheme="minorHAnsi"/>
        </w:rPr>
        <w:t xml:space="preserve"> over time especially from the end of PEDPII. As well as an increase in the number of primary teachers overall, there has been an intensive effort to shift the gender balance towards female teachers in the last decade. The Bangladesh Government’s policy is to reserve 60% of teacher posts for females in GPS. </w:t>
      </w:r>
      <w:r w:rsidRPr="005F120D">
        <w:rPr>
          <w:rFonts w:asciiTheme="minorHAnsi" w:hAnsiTheme="minorHAnsi" w:cstheme="minorHAnsi"/>
        </w:rPr>
        <w:t>During the</w:t>
      </w:r>
      <w:r w:rsidR="000C04AA" w:rsidRPr="005F120D">
        <w:rPr>
          <w:rFonts w:asciiTheme="minorHAnsi" w:hAnsiTheme="minorHAnsi" w:cstheme="minorHAnsi"/>
        </w:rPr>
        <w:t xml:space="preserve"> PEDPII, there was a focus on recruiting fem</w:t>
      </w:r>
      <w:r w:rsidR="002A3CB3" w:rsidRPr="005F120D">
        <w:rPr>
          <w:rFonts w:asciiTheme="minorHAnsi" w:hAnsiTheme="minorHAnsi" w:cstheme="minorHAnsi"/>
        </w:rPr>
        <w:t>ale teachers by creating 45,000</w:t>
      </w:r>
      <w:r w:rsidR="000C04AA" w:rsidRPr="005F120D">
        <w:rPr>
          <w:rFonts w:asciiTheme="minorHAnsi" w:hAnsiTheme="minorHAnsi" w:cstheme="minorHAnsi"/>
        </w:rPr>
        <w:t xml:space="preserve"> new posts</w:t>
      </w:r>
      <w:r w:rsidR="008B0D5C" w:rsidRPr="005F120D">
        <w:rPr>
          <w:rFonts w:asciiTheme="minorHAnsi" w:hAnsiTheme="minorHAnsi" w:cstheme="minorHAnsi"/>
        </w:rPr>
        <w:t xml:space="preserve"> as follows: 30,000 new posts to fill the vacancies resulting from</w:t>
      </w:r>
      <w:r w:rsidR="002A3CB3" w:rsidRPr="005F120D">
        <w:rPr>
          <w:rFonts w:asciiTheme="minorHAnsi" w:hAnsiTheme="minorHAnsi" w:cstheme="minorHAnsi"/>
        </w:rPr>
        <w:t xml:space="preserve"> the construct</w:t>
      </w:r>
      <w:r w:rsidR="008B0D5C" w:rsidRPr="005F120D">
        <w:rPr>
          <w:rFonts w:asciiTheme="minorHAnsi" w:hAnsiTheme="minorHAnsi" w:cstheme="minorHAnsi"/>
        </w:rPr>
        <w:t>ion of needs-based additional classrooms;</w:t>
      </w:r>
      <w:r w:rsidR="002A3CB3" w:rsidRPr="005F120D">
        <w:rPr>
          <w:rFonts w:asciiTheme="minorHAnsi" w:hAnsiTheme="minorHAnsi" w:cstheme="minorHAnsi"/>
        </w:rPr>
        <w:t xml:space="preserve"> 10,000 ne</w:t>
      </w:r>
      <w:r w:rsidR="008B0D5C" w:rsidRPr="005F120D">
        <w:rPr>
          <w:rFonts w:asciiTheme="minorHAnsi" w:hAnsiTheme="minorHAnsi" w:cstheme="minorHAnsi"/>
        </w:rPr>
        <w:t xml:space="preserve">w posts created to minimize </w:t>
      </w:r>
      <w:r w:rsidR="002A3CB3" w:rsidRPr="005F120D">
        <w:rPr>
          <w:rFonts w:asciiTheme="minorHAnsi" w:hAnsiTheme="minorHAnsi" w:cstheme="minorHAnsi"/>
        </w:rPr>
        <w:t>overcrowded classrooms</w:t>
      </w:r>
      <w:r w:rsidR="008B0D5C" w:rsidRPr="005F120D">
        <w:rPr>
          <w:rFonts w:asciiTheme="minorHAnsi" w:hAnsiTheme="minorHAnsi" w:cstheme="minorHAnsi"/>
        </w:rPr>
        <w:t>; and 5,000 new posts for</w:t>
      </w:r>
      <w:r w:rsidR="002D13EB" w:rsidRPr="005F120D">
        <w:rPr>
          <w:rFonts w:asciiTheme="minorHAnsi" w:hAnsiTheme="minorHAnsi" w:cstheme="minorHAnsi"/>
        </w:rPr>
        <w:t xml:space="preserve"> the</w:t>
      </w:r>
      <w:r w:rsidR="008B0D5C" w:rsidRPr="005F120D">
        <w:rPr>
          <w:rFonts w:asciiTheme="minorHAnsi" w:hAnsiTheme="minorHAnsi" w:cstheme="minorHAnsi"/>
        </w:rPr>
        <w:t xml:space="preserve"> upgrading of 3/4 teachers post schools to 5-teacher post schools</w:t>
      </w:r>
      <w:r w:rsidR="002D13EB" w:rsidRPr="005F120D">
        <w:rPr>
          <w:rFonts w:asciiTheme="minorHAnsi" w:hAnsiTheme="minorHAnsi" w:cstheme="minorHAnsi"/>
        </w:rPr>
        <w:t>. At the beginning</w:t>
      </w:r>
      <w:r w:rsidR="008B0D5C" w:rsidRPr="005F120D">
        <w:rPr>
          <w:rFonts w:asciiTheme="minorHAnsi" w:hAnsiTheme="minorHAnsi" w:cstheme="minorHAnsi"/>
        </w:rPr>
        <w:t xml:space="preserve"> of</w:t>
      </w:r>
      <w:r w:rsidR="002A3CB3" w:rsidRPr="005F120D">
        <w:rPr>
          <w:rFonts w:asciiTheme="minorHAnsi" w:hAnsiTheme="minorHAnsi" w:cstheme="minorHAnsi"/>
        </w:rPr>
        <w:t xml:space="preserve"> PEDP3, there were</w:t>
      </w:r>
      <w:r w:rsidR="002D13EB" w:rsidRPr="005F120D">
        <w:rPr>
          <w:rFonts w:asciiTheme="minorHAnsi" w:hAnsiTheme="minorHAnsi" w:cstheme="minorHAnsi"/>
        </w:rPr>
        <w:t>37,000 PPE teacher</w:t>
      </w:r>
      <w:r w:rsidR="000C04AA" w:rsidRPr="005F120D">
        <w:rPr>
          <w:rFonts w:asciiTheme="minorHAnsi" w:hAnsiTheme="minorHAnsi" w:cstheme="minorHAnsi"/>
        </w:rPr>
        <w:t xml:space="preserve"> posts </w:t>
      </w:r>
      <w:r w:rsidR="002A3CB3" w:rsidRPr="005F120D">
        <w:rPr>
          <w:rFonts w:asciiTheme="minorHAnsi" w:hAnsiTheme="minorHAnsi" w:cstheme="minorHAnsi"/>
        </w:rPr>
        <w:t xml:space="preserve">created </w:t>
      </w:r>
      <w:r w:rsidR="000C04AA" w:rsidRPr="005F120D">
        <w:rPr>
          <w:rFonts w:asciiTheme="minorHAnsi" w:hAnsiTheme="minorHAnsi" w:cstheme="minorHAnsi"/>
        </w:rPr>
        <w:t xml:space="preserve">and </w:t>
      </w:r>
      <w:r w:rsidR="008B0D5C" w:rsidRPr="005F120D">
        <w:rPr>
          <w:rFonts w:asciiTheme="minorHAnsi" w:hAnsiTheme="minorHAnsi" w:cstheme="minorHAnsi"/>
        </w:rPr>
        <w:t>filled phase-</w:t>
      </w:r>
      <w:r w:rsidR="002A3CB3" w:rsidRPr="005F120D">
        <w:rPr>
          <w:rFonts w:asciiTheme="minorHAnsi" w:hAnsiTheme="minorHAnsi" w:cstheme="minorHAnsi"/>
        </w:rPr>
        <w:t>wise and</w:t>
      </w:r>
      <w:r w:rsidR="000C04AA" w:rsidRPr="005F120D">
        <w:rPr>
          <w:rFonts w:asciiTheme="minorHAnsi" w:hAnsiTheme="minorHAnsi" w:cstheme="minorHAnsi"/>
        </w:rPr>
        <w:t xml:space="preserve"> 60% of these posts </w:t>
      </w:r>
      <w:r w:rsidR="002D13EB" w:rsidRPr="005F120D">
        <w:rPr>
          <w:rFonts w:asciiTheme="minorHAnsi" w:hAnsiTheme="minorHAnsi" w:cstheme="minorHAnsi"/>
        </w:rPr>
        <w:t xml:space="preserve">were </w:t>
      </w:r>
      <w:r w:rsidR="002A3CB3" w:rsidRPr="005F120D">
        <w:rPr>
          <w:rFonts w:asciiTheme="minorHAnsi" w:hAnsiTheme="minorHAnsi" w:cstheme="minorHAnsi"/>
        </w:rPr>
        <w:t xml:space="preserve">also filled </w:t>
      </w:r>
      <w:r w:rsidR="000C04AA" w:rsidRPr="005F120D">
        <w:rPr>
          <w:rFonts w:asciiTheme="minorHAnsi" w:hAnsiTheme="minorHAnsi" w:cstheme="minorHAnsi"/>
        </w:rPr>
        <w:t>by women.</w:t>
      </w:r>
    </w:p>
    <w:p w:rsidR="000C04AA" w:rsidRPr="005F120D" w:rsidRDefault="000C04AA" w:rsidP="00C437AA">
      <w:pPr>
        <w:spacing w:line="276" w:lineRule="auto"/>
        <w:jc w:val="both"/>
        <w:rPr>
          <w:rFonts w:asciiTheme="minorHAnsi" w:hAnsiTheme="minorHAnsi" w:cstheme="minorHAnsi"/>
        </w:rPr>
      </w:pPr>
      <w:r w:rsidRPr="005F120D">
        <w:rPr>
          <w:rFonts w:asciiTheme="minorHAnsi" w:hAnsiTheme="minorHAnsi" w:cstheme="minorHAnsi"/>
        </w:rPr>
        <w:t>It is clear that the recruitment strategy in GPS has worked smoothly.</w:t>
      </w:r>
      <w:r w:rsidR="00770B93">
        <w:rPr>
          <w:rFonts w:asciiTheme="minorHAnsi" w:hAnsiTheme="minorHAnsi" w:cstheme="minorHAnsi"/>
        </w:rPr>
        <w:t xml:space="preserve"> </w:t>
      </w:r>
      <w:r w:rsidRPr="005F120D">
        <w:rPr>
          <w:rFonts w:asciiTheme="minorHAnsi" w:hAnsiTheme="minorHAnsi" w:cstheme="minorHAnsi"/>
        </w:rPr>
        <w:t>There has been a sharp increase in female representation between 2010 and 2015. In 2015, 66% of Head and Assistant teachers in GPS were female: in 2005, their number was 36%, 58% in 2010 and 64.9% in 2014. Head and Assistant teachers in NNPS were female</w:t>
      </w:r>
      <w:r w:rsidR="002D13EB" w:rsidRPr="005F120D">
        <w:rPr>
          <w:rFonts w:asciiTheme="minorHAnsi" w:hAnsiTheme="minorHAnsi" w:cstheme="minorHAnsi"/>
        </w:rPr>
        <w:t>,</w:t>
      </w:r>
      <w:r w:rsidRPr="005F120D">
        <w:rPr>
          <w:rFonts w:asciiTheme="minorHAnsi" w:hAnsiTheme="minorHAnsi" w:cstheme="minorHAnsi"/>
        </w:rPr>
        <w:t xml:space="preserve"> up from 23% in 2005, 49% in 2014, and by 35% % in 2010.</w:t>
      </w:r>
    </w:p>
    <w:p w:rsidR="00A04528" w:rsidRPr="005F120D" w:rsidRDefault="00E95FCA" w:rsidP="00C437AA">
      <w:pPr>
        <w:spacing w:line="276" w:lineRule="auto"/>
        <w:jc w:val="both"/>
        <w:rPr>
          <w:rFonts w:asciiTheme="minorHAnsi" w:hAnsiTheme="minorHAnsi" w:cstheme="minorHAnsi"/>
        </w:rPr>
      </w:pPr>
      <w:r w:rsidRPr="005F120D">
        <w:rPr>
          <w:rFonts w:asciiTheme="minorHAnsi" w:hAnsiTheme="minorHAnsi" w:cstheme="minorHAnsi"/>
        </w:rPr>
        <w:t>Figure 3.20 gives the</w:t>
      </w:r>
      <w:r w:rsidR="000C04AA" w:rsidRPr="005F120D">
        <w:rPr>
          <w:rFonts w:asciiTheme="minorHAnsi" w:hAnsiTheme="minorHAnsi" w:cstheme="minorHAnsi"/>
        </w:rPr>
        <w:t xml:space="preserve"> data from the different APSC reports on the proportion of female teachers in schools. There were positive trends in female representation in both GPS and NNPS Head and particularly Assistant teachers in 2015. But the improvements were not very impressive for Head Teachers especially in NNPS (only 23%) and in GPS (only 45%).  </w:t>
      </w:r>
    </w:p>
    <w:p w:rsidR="00E27949" w:rsidRPr="005F120D" w:rsidRDefault="00E27949" w:rsidP="00C437AA">
      <w:pPr>
        <w:pStyle w:val="Caption"/>
        <w:spacing w:line="276" w:lineRule="auto"/>
        <w:rPr>
          <w:rFonts w:cstheme="minorHAnsi"/>
        </w:rPr>
      </w:pPr>
      <w:bookmarkStart w:id="350" w:name="_Ref388012277"/>
      <w:bookmarkStart w:id="351" w:name="_Ref387832372"/>
      <w:bookmarkStart w:id="352" w:name="_Toc462837429"/>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20</w:t>
      </w:r>
      <w:r w:rsidR="002E2ED5" w:rsidRPr="005F120D">
        <w:rPr>
          <w:rFonts w:cstheme="minorHAnsi"/>
        </w:rPr>
        <w:fldChar w:fldCharType="end"/>
      </w:r>
      <w:bookmarkEnd w:id="350"/>
      <w:r w:rsidRPr="005F120D">
        <w:rPr>
          <w:rFonts w:cstheme="minorHAnsi"/>
        </w:rPr>
        <w:t>: Proportion of Female Te</w:t>
      </w:r>
      <w:r w:rsidR="00714761" w:rsidRPr="005F120D">
        <w:rPr>
          <w:rFonts w:cstheme="minorHAnsi"/>
        </w:rPr>
        <w:t>achers in GPS and NNPS 2005–2015</w:t>
      </w:r>
      <w:r w:rsidRPr="005F120D">
        <w:rPr>
          <w:rFonts w:cstheme="minorHAnsi"/>
        </w:rPr>
        <w:t xml:space="preserve"> (%)</w:t>
      </w:r>
      <w:bookmarkEnd w:id="351"/>
      <w:bookmarkEnd w:id="352"/>
    </w:p>
    <w:p w:rsidR="00E27949" w:rsidRPr="005F120D" w:rsidRDefault="005D33CD" w:rsidP="00C437AA">
      <w:pPr>
        <w:pStyle w:val="BodyText1"/>
        <w:spacing w:after="40"/>
        <w:jc w:val="center"/>
        <w:rPr>
          <w:rFonts w:asciiTheme="minorHAnsi" w:hAnsiTheme="minorHAnsi" w:cstheme="minorHAnsi"/>
          <w:color w:val="FF0000"/>
          <w:sz w:val="18"/>
          <w:szCs w:val="18"/>
        </w:rPr>
      </w:pPr>
      <w:r w:rsidRPr="005F120D">
        <w:rPr>
          <w:rFonts w:asciiTheme="minorHAnsi" w:hAnsiTheme="minorHAnsi" w:cstheme="minorHAnsi"/>
          <w:noProof/>
          <w:color w:val="FF0000"/>
          <w:sz w:val="18"/>
          <w:szCs w:val="18"/>
          <w:lang w:val="en-US" w:eastAsia="en-US"/>
        </w:rPr>
        <w:drawing>
          <wp:inline distT="0" distB="0" distL="0" distR="0">
            <wp:extent cx="4972050" cy="2755900"/>
            <wp:effectExtent l="38100" t="19050" r="19050" b="635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27949" w:rsidRPr="005F120D" w:rsidRDefault="002C3130" w:rsidP="00C437AA">
      <w:pPr>
        <w:pStyle w:val="BodyText1"/>
        <w:spacing w:after="40"/>
        <w:rPr>
          <w:rFonts w:asciiTheme="minorHAnsi" w:hAnsiTheme="minorHAnsi" w:cstheme="minorHAnsi"/>
          <w:sz w:val="16"/>
          <w:szCs w:val="16"/>
        </w:rPr>
      </w:pPr>
      <w:r w:rsidRPr="005F120D">
        <w:rPr>
          <w:rFonts w:asciiTheme="minorHAnsi" w:hAnsiTheme="minorHAnsi" w:cstheme="minorHAnsi"/>
          <w:color w:val="FF0000"/>
          <w:sz w:val="16"/>
          <w:szCs w:val="16"/>
        </w:rPr>
        <w:tab/>
      </w:r>
      <w:r w:rsidR="00E27949" w:rsidRPr="005F120D">
        <w:rPr>
          <w:rFonts w:asciiTheme="minorHAnsi" w:hAnsiTheme="minorHAnsi" w:cstheme="minorHAnsi"/>
          <w:sz w:val="16"/>
          <w:szCs w:val="16"/>
        </w:rPr>
        <w:t xml:space="preserve">Source: </w:t>
      </w:r>
      <w:r w:rsidR="00714761" w:rsidRPr="005F120D">
        <w:rPr>
          <w:rFonts w:asciiTheme="minorHAnsi" w:hAnsiTheme="minorHAnsi" w:cstheme="minorHAnsi"/>
          <w:sz w:val="16"/>
          <w:szCs w:val="16"/>
        </w:rPr>
        <w:t>V</w:t>
      </w:r>
      <w:r w:rsidR="00E27949" w:rsidRPr="005F120D">
        <w:rPr>
          <w:rFonts w:asciiTheme="minorHAnsi" w:hAnsiTheme="minorHAnsi" w:cstheme="minorHAnsi"/>
          <w:sz w:val="16"/>
          <w:szCs w:val="16"/>
        </w:rPr>
        <w:t>arious years</w:t>
      </w:r>
      <w:r w:rsidR="00714761" w:rsidRPr="005F120D">
        <w:rPr>
          <w:rFonts w:asciiTheme="minorHAnsi" w:hAnsiTheme="minorHAnsi" w:cstheme="minorHAnsi"/>
          <w:sz w:val="16"/>
          <w:szCs w:val="16"/>
        </w:rPr>
        <w:t xml:space="preserve"> APSC reports</w:t>
      </w:r>
    </w:p>
    <w:p w:rsidR="00E27949" w:rsidRPr="005F120D" w:rsidRDefault="00E27949" w:rsidP="00C437AA">
      <w:pPr>
        <w:spacing w:after="0" w:line="276" w:lineRule="auto"/>
        <w:rPr>
          <w:rFonts w:asciiTheme="minorHAnsi" w:hAnsiTheme="minorHAnsi" w:cstheme="minorHAnsi"/>
          <w:b/>
          <w:i/>
          <w:color w:val="FF0000"/>
          <w:sz w:val="16"/>
          <w:szCs w:val="16"/>
        </w:rPr>
      </w:pPr>
    </w:p>
    <w:p w:rsidR="009A6F33" w:rsidRPr="005F120D" w:rsidRDefault="009A6F33" w:rsidP="00C437AA">
      <w:pPr>
        <w:spacing w:after="0" w:line="276" w:lineRule="auto"/>
        <w:rPr>
          <w:rFonts w:asciiTheme="minorHAnsi" w:hAnsiTheme="minorHAnsi" w:cstheme="minorHAnsi"/>
          <w:b/>
          <w:i/>
          <w:color w:val="FF0000"/>
          <w:sz w:val="16"/>
          <w:szCs w:val="16"/>
        </w:rPr>
      </w:pPr>
    </w:p>
    <w:p w:rsidR="009A6F33" w:rsidRPr="005F120D" w:rsidRDefault="009A6F33" w:rsidP="00C437AA">
      <w:pPr>
        <w:spacing w:after="0" w:line="276" w:lineRule="auto"/>
        <w:rPr>
          <w:rFonts w:asciiTheme="minorHAnsi" w:hAnsiTheme="minorHAnsi" w:cstheme="minorHAnsi"/>
          <w:b/>
          <w:i/>
          <w:color w:val="FF0000"/>
          <w:sz w:val="16"/>
          <w:szCs w:val="16"/>
        </w:rPr>
      </w:pPr>
    </w:p>
    <w:p w:rsidR="00D42A30" w:rsidRPr="005F120D" w:rsidRDefault="00D42A30" w:rsidP="00C437AA">
      <w:pPr>
        <w:spacing w:after="0" w:line="276" w:lineRule="auto"/>
        <w:rPr>
          <w:rFonts w:asciiTheme="minorHAnsi" w:hAnsiTheme="minorHAnsi" w:cstheme="minorHAnsi"/>
          <w:b/>
          <w:i/>
          <w:color w:val="FF0000"/>
          <w:sz w:val="16"/>
          <w:szCs w:val="16"/>
        </w:rPr>
      </w:pPr>
    </w:p>
    <w:p w:rsidR="003C1B12" w:rsidRPr="005F120D" w:rsidRDefault="003C1B12" w:rsidP="00C437AA">
      <w:pPr>
        <w:spacing w:after="0" w:line="276" w:lineRule="auto"/>
        <w:rPr>
          <w:rFonts w:asciiTheme="minorHAnsi" w:hAnsiTheme="minorHAnsi" w:cstheme="minorHAnsi"/>
          <w:b/>
          <w:i/>
          <w:color w:val="FF0000"/>
          <w:sz w:val="16"/>
          <w:szCs w:val="16"/>
        </w:rPr>
      </w:pPr>
    </w:p>
    <w:p w:rsidR="001E4B2C" w:rsidRPr="005F120D" w:rsidRDefault="001E4B2C" w:rsidP="00C437AA">
      <w:pPr>
        <w:pStyle w:val="Heading4"/>
        <w:spacing w:line="276" w:lineRule="auto"/>
        <w:jc w:val="both"/>
        <w:rPr>
          <w:rFonts w:asciiTheme="minorHAnsi" w:hAnsiTheme="minorHAnsi" w:cstheme="minorHAnsi"/>
          <w:b/>
          <w:i w:val="0"/>
          <w:color w:val="008000"/>
        </w:rPr>
      </w:pPr>
      <w:r w:rsidRPr="005F120D">
        <w:rPr>
          <w:rFonts w:asciiTheme="minorHAnsi" w:hAnsiTheme="minorHAnsi" w:cstheme="minorHAnsi"/>
          <w:b/>
          <w:i w:val="0"/>
          <w:color w:val="008000"/>
        </w:rPr>
        <w:lastRenderedPageBreak/>
        <w:t>NER - Range between top and bottom 20% of households by consumption quintile</w:t>
      </w:r>
    </w:p>
    <w:p w:rsidR="000C04AA" w:rsidRPr="005F120D" w:rsidRDefault="000C04AA" w:rsidP="00C437AA">
      <w:pPr>
        <w:spacing w:line="276" w:lineRule="auto"/>
        <w:jc w:val="both"/>
        <w:rPr>
          <w:rFonts w:asciiTheme="minorHAnsi" w:hAnsiTheme="minorHAnsi" w:cstheme="minorHAnsi"/>
          <w:color w:val="000000"/>
        </w:rPr>
      </w:pPr>
      <w:r w:rsidRPr="005F120D">
        <w:rPr>
          <w:rFonts w:asciiTheme="minorHAnsi" w:hAnsiTheme="minorHAnsi" w:cstheme="minorHAnsi"/>
        </w:rPr>
        <w:t xml:space="preserve">The </w:t>
      </w:r>
      <w:r w:rsidR="008A207D" w:rsidRPr="005F120D">
        <w:rPr>
          <w:rFonts w:asciiTheme="minorHAnsi" w:hAnsiTheme="minorHAnsi" w:cstheme="minorHAnsi"/>
          <w:b/>
          <w:u w:val="single"/>
        </w:rPr>
        <w:t>KPI-</w:t>
      </w:r>
      <w:r w:rsidRPr="005F120D">
        <w:rPr>
          <w:rFonts w:asciiTheme="minorHAnsi" w:hAnsiTheme="minorHAnsi" w:cstheme="minorHAnsi"/>
          <w:b/>
          <w:u w:val="single"/>
        </w:rPr>
        <w:t>8</w:t>
      </w:r>
      <w:r w:rsidRPr="005F120D">
        <w:rPr>
          <w:rFonts w:asciiTheme="minorHAnsi" w:hAnsiTheme="minorHAnsi" w:cstheme="minorHAnsi"/>
        </w:rPr>
        <w:t xml:space="preserve"> measures socio-economic parity based on HIES and EHS data.</w:t>
      </w:r>
      <w:r w:rsidR="00770B93">
        <w:rPr>
          <w:rFonts w:asciiTheme="minorHAnsi" w:hAnsiTheme="minorHAnsi" w:cstheme="minorHAnsi"/>
        </w:rPr>
        <w:t xml:space="preserve"> </w:t>
      </w:r>
      <w:r w:rsidRPr="005F120D">
        <w:rPr>
          <w:rFonts w:asciiTheme="minorHAnsi" w:hAnsiTheme="minorHAnsi" w:cstheme="minorHAnsi"/>
          <w:color w:val="000000"/>
        </w:rPr>
        <w:t xml:space="preserve">Participation rates in primary school vary by poverty status. The KPI 8 is designed to capture this by measuring the range between the primary NAR for the richest 20% and the poorest 20% of households (based on households’ consumption data). The latest source of data for this calculation is the 2010 HIES and the EHS 2014. Based on these surveys, the primary NAR was 83% (HIES 2010) and </w:t>
      </w:r>
      <w:r w:rsidR="00AA7113" w:rsidRPr="005F120D">
        <w:rPr>
          <w:rFonts w:asciiTheme="minorHAnsi" w:hAnsiTheme="minorHAnsi" w:cstheme="minorHAnsi"/>
          <w:color w:val="000000"/>
        </w:rPr>
        <w:t>84.73</w:t>
      </w:r>
      <w:r w:rsidRPr="005F120D">
        <w:rPr>
          <w:rFonts w:asciiTheme="minorHAnsi" w:hAnsiTheme="minorHAnsi" w:cstheme="minorHAnsi"/>
          <w:color w:val="000000"/>
        </w:rPr>
        <w:t xml:space="preserve">% (EHS 2014), but for the poorest 20% of </w:t>
      </w:r>
      <w:r w:rsidRPr="005F120D">
        <w:rPr>
          <w:rFonts w:asciiTheme="minorHAnsi" w:hAnsiTheme="minorHAnsi" w:cstheme="minorHAnsi"/>
        </w:rPr>
        <w:t>households, the NAR fell to 77% compared to 88% for the richest 20% of households (HIES 2010)</w:t>
      </w:r>
      <w:r w:rsidRPr="005F120D">
        <w:rPr>
          <w:rFonts w:asciiTheme="minorHAnsi" w:hAnsiTheme="minorHAnsi" w:cstheme="minorHAnsi"/>
          <w:b/>
        </w:rPr>
        <w:t xml:space="preserve">. </w:t>
      </w:r>
      <w:r w:rsidRPr="005F120D">
        <w:rPr>
          <w:rFonts w:asciiTheme="minorHAnsi" w:hAnsiTheme="minorHAnsi" w:cstheme="minorHAnsi"/>
        </w:rPr>
        <w:t xml:space="preserve">The EHS (2014) showed that for the poorest 20% of households, the NAR fell to 80% compared to 88% for the richest 20% of households. </w:t>
      </w:r>
      <w:r w:rsidR="001B58A3" w:rsidRPr="005F120D">
        <w:rPr>
          <w:rFonts w:asciiTheme="minorHAnsi" w:hAnsiTheme="minorHAnsi" w:cstheme="minorHAnsi"/>
        </w:rPr>
        <w:t>C</w:t>
      </w:r>
      <w:r w:rsidRPr="005F120D">
        <w:rPr>
          <w:rFonts w:asciiTheme="minorHAnsi" w:hAnsiTheme="minorHAnsi" w:cstheme="minorHAnsi"/>
        </w:rPr>
        <w:t xml:space="preserve">hildren aged 6–10 </w:t>
      </w:r>
      <w:r w:rsidR="001B58A3" w:rsidRPr="005F120D">
        <w:rPr>
          <w:rFonts w:asciiTheme="minorHAnsi" w:hAnsiTheme="minorHAnsi" w:cstheme="minorHAnsi"/>
        </w:rPr>
        <w:t xml:space="preserve">years </w:t>
      </w:r>
      <w:r w:rsidRPr="005F120D">
        <w:rPr>
          <w:rFonts w:asciiTheme="minorHAnsi" w:hAnsiTheme="minorHAnsi" w:cstheme="minorHAnsi"/>
        </w:rPr>
        <w:t>from the poorest hous</w:t>
      </w:r>
      <w:r w:rsidR="001B58A3" w:rsidRPr="005F120D">
        <w:rPr>
          <w:rFonts w:asciiTheme="minorHAnsi" w:hAnsiTheme="minorHAnsi" w:cstheme="minorHAnsi"/>
        </w:rPr>
        <w:t>eholds are</w:t>
      </w:r>
      <w:r w:rsidRPr="005F120D">
        <w:rPr>
          <w:rFonts w:asciiTheme="minorHAnsi" w:hAnsiTheme="minorHAnsi" w:cstheme="minorHAnsi"/>
        </w:rPr>
        <w:t xml:space="preserve"> less likely to attend primary school than children from the richest households. This gap in NAR between the poorest and richest households was much larger</w:t>
      </w:r>
      <w:r w:rsidRPr="005F120D">
        <w:rPr>
          <w:rFonts w:asciiTheme="minorHAnsi" w:hAnsiTheme="minorHAnsi" w:cstheme="minorHAnsi"/>
          <w:color w:val="000000"/>
        </w:rPr>
        <w:t xml:space="preserve"> for boys (73% to 88%) than for girls (82% to 87%) in 2010; and for boys (77% to 88%) than for girls (85% to 88%) in 2014. This suggests that </w:t>
      </w:r>
      <w:r w:rsidR="001B58A3" w:rsidRPr="005F120D">
        <w:rPr>
          <w:rFonts w:asciiTheme="minorHAnsi" w:hAnsiTheme="minorHAnsi" w:cstheme="minorHAnsi"/>
          <w:color w:val="000000"/>
        </w:rPr>
        <w:t>demand side</w:t>
      </w:r>
      <w:r w:rsidRPr="005F120D">
        <w:rPr>
          <w:rFonts w:asciiTheme="minorHAnsi" w:hAnsiTheme="minorHAnsi" w:cstheme="minorHAnsi"/>
          <w:color w:val="000000"/>
        </w:rPr>
        <w:t xml:space="preserve"> barriers to schooling may be more of a constraint for boys than for girls. </w:t>
      </w:r>
    </w:p>
    <w:p w:rsidR="00037419" w:rsidRPr="005F120D" w:rsidRDefault="001B58A3" w:rsidP="00C437AA">
      <w:pPr>
        <w:spacing w:line="276" w:lineRule="auto"/>
        <w:jc w:val="both"/>
        <w:rPr>
          <w:rFonts w:asciiTheme="minorHAnsi" w:hAnsiTheme="minorHAnsi" w:cstheme="minorHAnsi"/>
        </w:rPr>
      </w:pPr>
      <w:r w:rsidRPr="005F120D">
        <w:rPr>
          <w:rFonts w:asciiTheme="minorHAnsi" w:hAnsiTheme="minorHAnsi" w:cstheme="minorHAnsi"/>
        </w:rPr>
        <w:t>Table 3.18</w:t>
      </w:r>
      <w:r w:rsidR="000C04AA" w:rsidRPr="005F120D">
        <w:rPr>
          <w:rFonts w:asciiTheme="minorHAnsi" w:hAnsiTheme="minorHAnsi" w:cstheme="minorHAnsi"/>
          <w:szCs w:val="22"/>
        </w:rPr>
        <w:t>presents the baseline, achievement and targets for this KPI from the PE</w:t>
      </w:r>
      <w:r w:rsidR="00E95FCA" w:rsidRPr="005F120D">
        <w:rPr>
          <w:rFonts w:asciiTheme="minorHAnsi" w:hAnsiTheme="minorHAnsi" w:cstheme="minorHAnsi"/>
          <w:szCs w:val="22"/>
        </w:rPr>
        <w:t>DP3 program document and survey</w:t>
      </w:r>
      <w:r w:rsidR="000C04AA" w:rsidRPr="005F120D">
        <w:rPr>
          <w:rFonts w:asciiTheme="minorHAnsi" w:hAnsiTheme="minorHAnsi" w:cstheme="minorHAnsi"/>
          <w:szCs w:val="22"/>
        </w:rPr>
        <w:t xml:space="preserve"> data.  In the baseline year, the range/gap in Net Attendance Rate (NAR) between the richest and poorest quintile was </w:t>
      </w:r>
      <w:r w:rsidR="00E95FCA" w:rsidRPr="005F120D">
        <w:rPr>
          <w:rFonts w:asciiTheme="minorHAnsi" w:hAnsiTheme="minorHAnsi" w:cstheme="minorHAnsi"/>
          <w:szCs w:val="22"/>
        </w:rPr>
        <w:t>11 percentage points in 2010,</w:t>
      </w:r>
      <w:r w:rsidR="005912AD">
        <w:rPr>
          <w:rFonts w:asciiTheme="minorHAnsi" w:hAnsiTheme="minorHAnsi" w:cstheme="minorHAnsi"/>
          <w:szCs w:val="22"/>
        </w:rPr>
        <w:t xml:space="preserve"> 8 percentage points in 2014</w:t>
      </w:r>
      <w:r w:rsidR="000C04AA" w:rsidRPr="005F120D">
        <w:rPr>
          <w:rFonts w:asciiTheme="minorHAnsi" w:hAnsiTheme="minorHAnsi" w:cstheme="minorHAnsi"/>
          <w:szCs w:val="22"/>
        </w:rPr>
        <w:t xml:space="preserve"> and significantly wider for boys than for girls.  PEDP3’s target is to reduce this gap to 8 percentage points by 2017.  In EHS (2014), the range/gap in NAR between the richest and poorest quintile was 8 percentage points; this means </w:t>
      </w:r>
      <w:r w:rsidR="00E95FCA" w:rsidRPr="005F120D">
        <w:rPr>
          <w:rFonts w:asciiTheme="minorHAnsi" w:hAnsiTheme="minorHAnsi" w:cstheme="minorHAnsi"/>
          <w:szCs w:val="22"/>
        </w:rPr>
        <w:t xml:space="preserve">that only </w:t>
      </w:r>
      <w:r w:rsidR="000C04AA" w:rsidRPr="005F120D">
        <w:rPr>
          <w:rFonts w:asciiTheme="minorHAnsi" w:hAnsiTheme="minorHAnsi" w:cstheme="minorHAnsi"/>
          <w:szCs w:val="22"/>
        </w:rPr>
        <w:t xml:space="preserve">the </w:t>
      </w:r>
      <w:r w:rsidRPr="005F120D">
        <w:rPr>
          <w:rFonts w:asciiTheme="minorHAnsi" w:hAnsiTheme="minorHAnsi" w:cstheme="minorHAnsi"/>
          <w:szCs w:val="22"/>
        </w:rPr>
        <w:t xml:space="preserve">range </w:t>
      </w:r>
      <w:r w:rsidR="000C04AA" w:rsidRPr="005F120D">
        <w:rPr>
          <w:rFonts w:asciiTheme="minorHAnsi" w:hAnsiTheme="minorHAnsi" w:cstheme="minorHAnsi"/>
          <w:szCs w:val="22"/>
        </w:rPr>
        <w:t xml:space="preserve">target </w:t>
      </w:r>
      <w:r w:rsidR="00E95FCA" w:rsidRPr="005F120D">
        <w:rPr>
          <w:rFonts w:asciiTheme="minorHAnsi" w:hAnsiTheme="minorHAnsi" w:cstheme="minorHAnsi"/>
          <w:szCs w:val="22"/>
        </w:rPr>
        <w:t>was</w:t>
      </w:r>
      <w:r w:rsidR="00770B93">
        <w:rPr>
          <w:rFonts w:asciiTheme="minorHAnsi" w:hAnsiTheme="minorHAnsi" w:cstheme="minorHAnsi"/>
          <w:szCs w:val="22"/>
        </w:rPr>
        <w:t xml:space="preserve"> </w:t>
      </w:r>
      <w:r w:rsidR="000C04AA" w:rsidRPr="005F120D">
        <w:rPr>
          <w:rFonts w:asciiTheme="minorHAnsi" w:hAnsiTheme="minorHAnsi" w:cstheme="minorHAnsi"/>
          <w:szCs w:val="22"/>
        </w:rPr>
        <w:t>achieved</w:t>
      </w:r>
      <w:r w:rsidRPr="005F120D">
        <w:rPr>
          <w:rFonts w:asciiTheme="minorHAnsi" w:hAnsiTheme="minorHAnsi" w:cstheme="minorHAnsi"/>
          <w:szCs w:val="22"/>
        </w:rPr>
        <w:t xml:space="preserve"> but not the indicator targets</w:t>
      </w:r>
      <w:r w:rsidR="004C0AD7" w:rsidRPr="005F120D">
        <w:rPr>
          <w:rFonts w:asciiTheme="minorHAnsi" w:hAnsiTheme="minorHAnsi" w:cstheme="minorHAnsi"/>
          <w:szCs w:val="22"/>
        </w:rPr>
        <w:t>.</w:t>
      </w:r>
    </w:p>
    <w:p w:rsidR="00AE7B36" w:rsidRPr="005F120D" w:rsidRDefault="00191AFB" w:rsidP="00C437AA">
      <w:pPr>
        <w:pStyle w:val="Caption"/>
        <w:spacing w:line="276" w:lineRule="auto"/>
        <w:rPr>
          <w:rFonts w:cstheme="minorHAnsi"/>
          <w:szCs w:val="22"/>
        </w:rPr>
      </w:pPr>
      <w:bookmarkStart w:id="353" w:name="_Toc462837275"/>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18</w:t>
      </w:r>
      <w:r w:rsidR="002E2ED5" w:rsidRPr="005F120D">
        <w:rPr>
          <w:rFonts w:cstheme="minorHAnsi"/>
        </w:rPr>
        <w:fldChar w:fldCharType="end"/>
      </w:r>
      <w:r w:rsidR="006A7739" w:rsidRPr="005F120D">
        <w:rPr>
          <w:rFonts w:cstheme="minorHAnsi"/>
        </w:rPr>
        <w:t>:</w:t>
      </w:r>
      <w:r w:rsidR="00037419" w:rsidRPr="005F120D">
        <w:rPr>
          <w:rFonts w:cstheme="minorHAnsi"/>
          <w:szCs w:val="22"/>
        </w:rPr>
        <w:t>NAR Range between Top and Bottom 20% Households by Consumption Quintiles</w:t>
      </w:r>
      <w:bookmarkEnd w:id="353"/>
    </w:p>
    <w:tbl>
      <w:tblPr>
        <w:tblStyle w:val="TableGrid"/>
        <w:tblW w:w="0" w:type="auto"/>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2093"/>
        <w:gridCol w:w="1017"/>
        <w:gridCol w:w="968"/>
        <w:gridCol w:w="995"/>
        <w:gridCol w:w="968"/>
        <w:gridCol w:w="966"/>
        <w:gridCol w:w="971"/>
        <w:gridCol w:w="1267"/>
      </w:tblGrid>
      <w:tr w:rsidR="0003616A" w:rsidRPr="005F120D" w:rsidTr="008622E9">
        <w:trPr>
          <w:trHeight w:hRule="exact" w:val="288"/>
        </w:trPr>
        <w:tc>
          <w:tcPr>
            <w:tcW w:w="2179" w:type="dxa"/>
            <w:vMerge w:val="restart"/>
            <w:tcBorders>
              <w:top w:val="double" w:sz="4" w:space="0" w:color="4F6228" w:themeColor="accent3" w:themeShade="80"/>
              <w:left w:val="double" w:sz="4" w:space="0" w:color="4F6228" w:themeColor="accent3" w:themeShade="80"/>
              <w:right w:val="double" w:sz="4" w:space="0" w:color="4F6228" w:themeColor="accent3" w:themeShade="80"/>
            </w:tcBorders>
            <w:shd w:val="clear" w:color="auto" w:fill="76923C" w:themeFill="accent3" w:themeFillShade="BF"/>
          </w:tcPr>
          <w:p w:rsidR="0003616A" w:rsidRPr="005F120D" w:rsidRDefault="0003616A" w:rsidP="00C437AA">
            <w:pPr>
              <w:spacing w:line="276" w:lineRule="auto"/>
              <w:rPr>
                <w:rFonts w:asciiTheme="minorHAnsi" w:hAnsiTheme="minorHAnsi" w:cstheme="minorHAnsi"/>
                <w:b/>
              </w:rPr>
            </w:pPr>
          </w:p>
        </w:tc>
        <w:tc>
          <w:tcPr>
            <w:tcW w:w="3083" w:type="dxa"/>
            <w:gridSpan w:val="3"/>
            <w:tc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cBorders>
            <w:shd w:val="clear" w:color="auto" w:fill="76923C" w:themeFill="accent3" w:themeFillShade="BF"/>
          </w:tcPr>
          <w:p w:rsidR="0003616A" w:rsidRPr="005F120D" w:rsidRDefault="0003616A" w:rsidP="00C437AA">
            <w:pPr>
              <w:spacing w:line="276" w:lineRule="auto"/>
              <w:jc w:val="center"/>
              <w:rPr>
                <w:rFonts w:asciiTheme="minorHAnsi" w:hAnsiTheme="minorHAnsi" w:cstheme="minorHAnsi"/>
                <w:b/>
                <w:color w:val="FFFFFF" w:themeColor="background1"/>
              </w:rPr>
            </w:pPr>
            <w:r w:rsidRPr="005F120D">
              <w:rPr>
                <w:rFonts w:asciiTheme="minorHAnsi" w:hAnsiTheme="minorHAnsi" w:cstheme="minorHAnsi"/>
                <w:b/>
                <w:color w:val="FFFFFF" w:themeColor="background1"/>
              </w:rPr>
              <w:t>HIES 2010 (Baseline)</w:t>
            </w:r>
          </w:p>
        </w:tc>
        <w:tc>
          <w:tcPr>
            <w:tcW w:w="3000" w:type="dxa"/>
            <w:gridSpan w:val="3"/>
            <w:tc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cBorders>
            <w:shd w:val="clear" w:color="auto" w:fill="76923C" w:themeFill="accent3" w:themeFillShade="BF"/>
          </w:tcPr>
          <w:p w:rsidR="0003616A" w:rsidRPr="005F120D" w:rsidRDefault="0003616A" w:rsidP="00C437AA">
            <w:pPr>
              <w:spacing w:line="276" w:lineRule="auto"/>
              <w:jc w:val="center"/>
              <w:rPr>
                <w:rFonts w:asciiTheme="minorHAnsi" w:hAnsiTheme="minorHAnsi" w:cstheme="minorHAnsi"/>
                <w:b/>
                <w:color w:val="FFFFFF" w:themeColor="background1"/>
              </w:rPr>
            </w:pPr>
            <w:r w:rsidRPr="005F120D">
              <w:rPr>
                <w:rFonts w:asciiTheme="minorHAnsi" w:hAnsiTheme="minorHAnsi" w:cstheme="minorHAnsi"/>
                <w:b/>
                <w:color w:val="FFFFFF" w:themeColor="background1"/>
              </w:rPr>
              <w:t>EHS 2014</w:t>
            </w:r>
          </w:p>
        </w:tc>
        <w:tc>
          <w:tcPr>
            <w:tcW w:w="1314" w:type="dxa"/>
            <w:tcBorders>
              <w:top w:val="double" w:sz="4" w:space="0" w:color="4F6228" w:themeColor="accent3" w:themeShade="80"/>
              <w:left w:val="double" w:sz="4" w:space="0" w:color="4F6228" w:themeColor="accent3" w:themeShade="80"/>
              <w:right w:val="double" w:sz="4" w:space="0" w:color="4F6228" w:themeColor="accent3" w:themeShade="80"/>
            </w:tcBorders>
            <w:shd w:val="clear" w:color="auto" w:fill="76923C" w:themeFill="accent3" w:themeFillShade="BF"/>
          </w:tcPr>
          <w:p w:rsidR="0003616A" w:rsidRPr="005F120D" w:rsidRDefault="0003616A" w:rsidP="00C437AA">
            <w:pPr>
              <w:spacing w:line="276" w:lineRule="auto"/>
              <w:jc w:val="center"/>
              <w:rPr>
                <w:rFonts w:asciiTheme="minorHAnsi" w:hAnsiTheme="minorHAnsi" w:cstheme="minorHAnsi"/>
                <w:b/>
                <w:color w:val="FFFFFF" w:themeColor="background1"/>
              </w:rPr>
            </w:pPr>
            <w:r w:rsidRPr="005F120D">
              <w:rPr>
                <w:rFonts w:asciiTheme="minorHAnsi" w:hAnsiTheme="minorHAnsi" w:cstheme="minorHAnsi"/>
                <w:b/>
                <w:color w:val="FFFFFF" w:themeColor="background1"/>
              </w:rPr>
              <w:t>Target 2017</w:t>
            </w:r>
          </w:p>
        </w:tc>
      </w:tr>
      <w:tr w:rsidR="0003616A" w:rsidRPr="005F120D" w:rsidTr="003C1B12">
        <w:trPr>
          <w:trHeight w:hRule="exact" w:val="288"/>
        </w:trPr>
        <w:tc>
          <w:tcPr>
            <w:tcW w:w="2179" w:type="dxa"/>
            <w:vMerge/>
            <w:tcBorders>
              <w:left w:val="double" w:sz="4" w:space="0" w:color="4F6228" w:themeColor="accent3" w:themeShade="80"/>
              <w:bottom w:val="double" w:sz="4" w:space="0" w:color="4F6228" w:themeColor="accent3" w:themeShade="80"/>
              <w:right w:val="double" w:sz="4" w:space="0" w:color="4F6228" w:themeColor="accent3" w:themeShade="80"/>
            </w:tcBorders>
            <w:shd w:val="clear" w:color="auto" w:fill="76923C" w:themeFill="accent3" w:themeFillShade="BF"/>
          </w:tcPr>
          <w:p w:rsidR="0003616A" w:rsidRPr="005F120D" w:rsidRDefault="0003616A" w:rsidP="00C437AA">
            <w:pPr>
              <w:spacing w:line="276" w:lineRule="auto"/>
              <w:rPr>
                <w:rFonts w:asciiTheme="minorHAnsi" w:hAnsiTheme="minorHAnsi" w:cstheme="minorHAnsi"/>
                <w:b/>
              </w:rPr>
            </w:pPr>
          </w:p>
        </w:tc>
        <w:tc>
          <w:tcPr>
            <w:tcW w:w="1054" w:type="dxa"/>
            <w:tcBorders>
              <w:top w:val="double" w:sz="4" w:space="0" w:color="4F6228" w:themeColor="accent3" w:themeShade="80"/>
              <w:left w:val="double" w:sz="4" w:space="0" w:color="4F6228" w:themeColor="accent3" w:themeShade="80"/>
              <w:bottom w:val="double" w:sz="4" w:space="0" w:color="4F6228" w:themeColor="accent3" w:themeShade="80"/>
            </w:tcBorders>
            <w:shd w:val="clear" w:color="auto" w:fill="76923C" w:themeFill="accent3" w:themeFillShade="BF"/>
          </w:tcPr>
          <w:p w:rsidR="0003616A" w:rsidRPr="005F120D" w:rsidRDefault="0003616A" w:rsidP="00C437AA">
            <w:pPr>
              <w:spacing w:line="276" w:lineRule="auto"/>
              <w:jc w:val="center"/>
              <w:rPr>
                <w:rFonts w:asciiTheme="minorHAnsi" w:hAnsiTheme="minorHAnsi" w:cstheme="minorHAnsi"/>
                <w:b/>
                <w:color w:val="FFFFFF" w:themeColor="background1"/>
              </w:rPr>
            </w:pPr>
            <w:r w:rsidRPr="005F120D">
              <w:rPr>
                <w:rFonts w:asciiTheme="minorHAnsi" w:hAnsiTheme="minorHAnsi" w:cstheme="minorHAnsi"/>
                <w:b/>
                <w:color w:val="FFFFFF" w:themeColor="background1"/>
              </w:rPr>
              <w:t>Boys</w:t>
            </w:r>
          </w:p>
        </w:tc>
        <w:tc>
          <w:tcPr>
            <w:tcW w:w="1002" w:type="dxa"/>
            <w:tcBorders>
              <w:top w:val="double" w:sz="4" w:space="0" w:color="4F6228" w:themeColor="accent3" w:themeShade="80"/>
              <w:bottom w:val="double" w:sz="4" w:space="0" w:color="4F6228" w:themeColor="accent3" w:themeShade="80"/>
            </w:tcBorders>
            <w:shd w:val="clear" w:color="auto" w:fill="76923C" w:themeFill="accent3" w:themeFillShade="BF"/>
          </w:tcPr>
          <w:p w:rsidR="0003616A" w:rsidRPr="005F120D" w:rsidRDefault="0003616A" w:rsidP="00C437AA">
            <w:pPr>
              <w:spacing w:line="276" w:lineRule="auto"/>
              <w:jc w:val="center"/>
              <w:rPr>
                <w:rFonts w:asciiTheme="minorHAnsi" w:hAnsiTheme="minorHAnsi" w:cstheme="minorHAnsi"/>
                <w:b/>
                <w:color w:val="FFFFFF" w:themeColor="background1"/>
              </w:rPr>
            </w:pPr>
            <w:r w:rsidRPr="005F120D">
              <w:rPr>
                <w:rFonts w:asciiTheme="minorHAnsi" w:hAnsiTheme="minorHAnsi" w:cstheme="minorHAnsi"/>
                <w:b/>
                <w:color w:val="FFFFFF" w:themeColor="background1"/>
              </w:rPr>
              <w:t>Girls</w:t>
            </w:r>
          </w:p>
        </w:tc>
        <w:tc>
          <w:tcPr>
            <w:tcW w:w="1027" w:type="dxa"/>
            <w:tcBorders>
              <w:top w:val="double" w:sz="4" w:space="0" w:color="4F6228" w:themeColor="accent3" w:themeShade="80"/>
              <w:bottom w:val="double" w:sz="4" w:space="0" w:color="4F6228" w:themeColor="accent3" w:themeShade="80"/>
              <w:right w:val="double" w:sz="4" w:space="0" w:color="4F6228" w:themeColor="accent3" w:themeShade="80"/>
            </w:tcBorders>
            <w:shd w:val="clear" w:color="auto" w:fill="76923C" w:themeFill="accent3" w:themeFillShade="BF"/>
          </w:tcPr>
          <w:p w:rsidR="0003616A" w:rsidRPr="005F120D" w:rsidRDefault="0003616A" w:rsidP="00C437AA">
            <w:pPr>
              <w:spacing w:line="276" w:lineRule="auto"/>
              <w:jc w:val="center"/>
              <w:rPr>
                <w:rFonts w:asciiTheme="minorHAnsi" w:hAnsiTheme="minorHAnsi" w:cstheme="minorHAnsi"/>
                <w:b/>
                <w:color w:val="FFFFFF" w:themeColor="background1"/>
              </w:rPr>
            </w:pPr>
            <w:r w:rsidRPr="005F120D">
              <w:rPr>
                <w:rFonts w:asciiTheme="minorHAnsi" w:hAnsiTheme="minorHAnsi" w:cstheme="minorHAnsi"/>
                <w:b/>
                <w:color w:val="FFFFFF" w:themeColor="background1"/>
              </w:rPr>
              <w:t>Total</w:t>
            </w:r>
          </w:p>
        </w:tc>
        <w:tc>
          <w:tcPr>
            <w:tcW w:w="1000" w:type="dxa"/>
            <w:tcBorders>
              <w:top w:val="double" w:sz="4" w:space="0" w:color="4F6228" w:themeColor="accent3" w:themeShade="80"/>
              <w:left w:val="double" w:sz="4" w:space="0" w:color="4F6228" w:themeColor="accent3" w:themeShade="80"/>
              <w:bottom w:val="double" w:sz="4" w:space="0" w:color="4F6228" w:themeColor="accent3" w:themeShade="80"/>
            </w:tcBorders>
            <w:shd w:val="clear" w:color="auto" w:fill="76923C" w:themeFill="accent3" w:themeFillShade="BF"/>
          </w:tcPr>
          <w:p w:rsidR="0003616A" w:rsidRPr="005F120D" w:rsidRDefault="0003616A" w:rsidP="00C437AA">
            <w:pPr>
              <w:spacing w:line="276" w:lineRule="auto"/>
              <w:jc w:val="center"/>
              <w:rPr>
                <w:rFonts w:asciiTheme="minorHAnsi" w:hAnsiTheme="minorHAnsi" w:cstheme="minorHAnsi"/>
                <w:b/>
                <w:color w:val="FFFFFF" w:themeColor="background1"/>
              </w:rPr>
            </w:pPr>
            <w:r w:rsidRPr="005F120D">
              <w:rPr>
                <w:rFonts w:asciiTheme="minorHAnsi" w:hAnsiTheme="minorHAnsi" w:cstheme="minorHAnsi"/>
                <w:b/>
                <w:color w:val="FFFFFF" w:themeColor="background1"/>
              </w:rPr>
              <w:t>Boys</w:t>
            </w:r>
          </w:p>
        </w:tc>
        <w:tc>
          <w:tcPr>
            <w:tcW w:w="1000" w:type="dxa"/>
            <w:tcBorders>
              <w:top w:val="double" w:sz="4" w:space="0" w:color="4F6228" w:themeColor="accent3" w:themeShade="80"/>
              <w:bottom w:val="double" w:sz="4" w:space="0" w:color="4F6228" w:themeColor="accent3" w:themeShade="80"/>
            </w:tcBorders>
            <w:shd w:val="clear" w:color="auto" w:fill="76923C" w:themeFill="accent3" w:themeFillShade="BF"/>
          </w:tcPr>
          <w:p w:rsidR="0003616A" w:rsidRPr="005F120D" w:rsidRDefault="0003616A" w:rsidP="00C437AA">
            <w:pPr>
              <w:spacing w:line="276" w:lineRule="auto"/>
              <w:jc w:val="center"/>
              <w:rPr>
                <w:rFonts w:asciiTheme="minorHAnsi" w:hAnsiTheme="minorHAnsi" w:cstheme="minorHAnsi"/>
                <w:b/>
                <w:color w:val="FFFFFF" w:themeColor="background1"/>
              </w:rPr>
            </w:pPr>
            <w:r w:rsidRPr="005F120D">
              <w:rPr>
                <w:rFonts w:asciiTheme="minorHAnsi" w:hAnsiTheme="minorHAnsi" w:cstheme="minorHAnsi"/>
                <w:b/>
                <w:color w:val="FFFFFF" w:themeColor="background1"/>
              </w:rPr>
              <w:t>Girls</w:t>
            </w:r>
          </w:p>
        </w:tc>
        <w:tc>
          <w:tcPr>
            <w:tcW w:w="1000" w:type="dxa"/>
            <w:tcBorders>
              <w:top w:val="double" w:sz="4" w:space="0" w:color="4F6228" w:themeColor="accent3" w:themeShade="80"/>
              <w:bottom w:val="double" w:sz="4" w:space="0" w:color="4F6228" w:themeColor="accent3" w:themeShade="80"/>
              <w:right w:val="double" w:sz="4" w:space="0" w:color="4F6228" w:themeColor="accent3" w:themeShade="80"/>
            </w:tcBorders>
            <w:shd w:val="clear" w:color="auto" w:fill="76923C" w:themeFill="accent3" w:themeFillShade="BF"/>
          </w:tcPr>
          <w:p w:rsidR="0003616A" w:rsidRPr="005F120D" w:rsidRDefault="0003616A" w:rsidP="00C437AA">
            <w:pPr>
              <w:spacing w:line="276" w:lineRule="auto"/>
              <w:jc w:val="center"/>
              <w:rPr>
                <w:rFonts w:asciiTheme="minorHAnsi" w:hAnsiTheme="minorHAnsi" w:cstheme="minorHAnsi"/>
                <w:b/>
                <w:color w:val="FFFFFF" w:themeColor="background1"/>
              </w:rPr>
            </w:pPr>
            <w:r w:rsidRPr="005F120D">
              <w:rPr>
                <w:rFonts w:asciiTheme="minorHAnsi" w:hAnsiTheme="minorHAnsi" w:cstheme="minorHAnsi"/>
                <w:b/>
                <w:color w:val="FFFFFF" w:themeColor="background1"/>
              </w:rPr>
              <w:t>Total</w:t>
            </w:r>
          </w:p>
        </w:tc>
        <w:tc>
          <w:tcPr>
            <w:tcW w:w="1314" w:type="dxa"/>
            <w:tcBorders>
              <w:left w:val="double" w:sz="4" w:space="0" w:color="4F6228" w:themeColor="accent3" w:themeShade="80"/>
              <w:bottom w:val="double" w:sz="4" w:space="0" w:color="4F6228" w:themeColor="accent3" w:themeShade="80"/>
              <w:right w:val="double" w:sz="4" w:space="0" w:color="4F6228" w:themeColor="accent3" w:themeShade="80"/>
            </w:tcBorders>
            <w:shd w:val="clear" w:color="auto" w:fill="76923C" w:themeFill="accent3" w:themeFillShade="BF"/>
          </w:tcPr>
          <w:p w:rsidR="0003616A" w:rsidRPr="005F120D" w:rsidRDefault="0003616A" w:rsidP="00C437AA">
            <w:pPr>
              <w:spacing w:line="276" w:lineRule="auto"/>
              <w:jc w:val="center"/>
              <w:rPr>
                <w:rFonts w:asciiTheme="minorHAnsi" w:hAnsiTheme="minorHAnsi" w:cstheme="minorHAnsi"/>
                <w:b/>
                <w:color w:val="FFFFFF" w:themeColor="background1"/>
              </w:rPr>
            </w:pPr>
          </w:p>
        </w:tc>
      </w:tr>
      <w:tr w:rsidR="001063F7" w:rsidRPr="005F120D" w:rsidTr="003C1B12">
        <w:trPr>
          <w:trHeight w:hRule="exact" w:val="288"/>
        </w:trPr>
        <w:tc>
          <w:tcPr>
            <w:tcW w:w="2179" w:type="dxa"/>
            <w:tcBorders>
              <w:top w:val="double" w:sz="4"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tcPr>
          <w:p w:rsidR="001063F7" w:rsidRPr="005F120D" w:rsidRDefault="001063F7" w:rsidP="00C437AA">
            <w:pPr>
              <w:spacing w:line="276" w:lineRule="auto"/>
              <w:rPr>
                <w:rFonts w:asciiTheme="minorHAnsi" w:hAnsiTheme="minorHAnsi" w:cstheme="minorHAnsi"/>
              </w:rPr>
            </w:pPr>
            <w:r w:rsidRPr="005F120D">
              <w:rPr>
                <w:rFonts w:asciiTheme="minorHAnsi" w:hAnsiTheme="minorHAnsi" w:cstheme="minorHAnsi"/>
              </w:rPr>
              <w:t>Top 20% Households</w:t>
            </w:r>
          </w:p>
        </w:tc>
        <w:tc>
          <w:tcPr>
            <w:tcW w:w="1054" w:type="dxa"/>
            <w:tcBorders>
              <w:top w:val="double" w:sz="4" w:space="0" w:color="4F6228" w:themeColor="accent3" w:themeShade="80"/>
              <w:left w:val="double" w:sz="4" w:space="0" w:color="4F6228" w:themeColor="accent3" w:themeShade="80"/>
              <w:bottom w:val="single" w:sz="6"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88%</w:t>
            </w:r>
          </w:p>
        </w:tc>
        <w:tc>
          <w:tcPr>
            <w:tcW w:w="1002" w:type="dxa"/>
            <w:tcBorders>
              <w:top w:val="double" w:sz="4" w:space="0" w:color="4F6228" w:themeColor="accent3" w:themeShade="80"/>
              <w:bottom w:val="single" w:sz="6"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87%</w:t>
            </w:r>
          </w:p>
        </w:tc>
        <w:tc>
          <w:tcPr>
            <w:tcW w:w="1027" w:type="dxa"/>
            <w:tcBorders>
              <w:top w:val="double" w:sz="4" w:space="0" w:color="4F6228" w:themeColor="accent3" w:themeShade="80"/>
              <w:bottom w:val="single" w:sz="6" w:space="0" w:color="4F6228" w:themeColor="accent3" w:themeShade="80"/>
              <w:right w:val="double" w:sz="4"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88%</w:t>
            </w:r>
          </w:p>
        </w:tc>
        <w:tc>
          <w:tcPr>
            <w:tcW w:w="1000" w:type="dxa"/>
            <w:tcBorders>
              <w:top w:val="double" w:sz="4" w:space="0" w:color="4F6228" w:themeColor="accent3" w:themeShade="80"/>
              <w:left w:val="double" w:sz="4" w:space="0" w:color="4F6228" w:themeColor="accent3" w:themeShade="80"/>
              <w:bottom w:val="single" w:sz="6"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88%</w:t>
            </w:r>
          </w:p>
        </w:tc>
        <w:tc>
          <w:tcPr>
            <w:tcW w:w="1000" w:type="dxa"/>
            <w:tcBorders>
              <w:top w:val="double" w:sz="4" w:space="0" w:color="4F6228" w:themeColor="accent3" w:themeShade="80"/>
              <w:bottom w:val="single" w:sz="6" w:space="0" w:color="4F6228" w:themeColor="accent3" w:themeShade="80"/>
            </w:tcBorders>
          </w:tcPr>
          <w:p w:rsidR="001063F7" w:rsidRPr="005F120D" w:rsidRDefault="004C0AD7" w:rsidP="00C437AA">
            <w:pPr>
              <w:spacing w:line="276" w:lineRule="auto"/>
              <w:jc w:val="center"/>
              <w:rPr>
                <w:rFonts w:asciiTheme="minorHAnsi" w:hAnsiTheme="minorHAnsi" w:cstheme="minorHAnsi"/>
              </w:rPr>
            </w:pPr>
            <w:r w:rsidRPr="005F120D">
              <w:rPr>
                <w:rFonts w:asciiTheme="minorHAnsi" w:hAnsiTheme="minorHAnsi" w:cstheme="minorHAnsi"/>
              </w:rPr>
              <w:t>88</w:t>
            </w:r>
            <w:r w:rsidR="001063F7" w:rsidRPr="005F120D">
              <w:rPr>
                <w:rFonts w:asciiTheme="minorHAnsi" w:hAnsiTheme="minorHAnsi" w:cstheme="minorHAnsi"/>
              </w:rPr>
              <w:t>%</w:t>
            </w:r>
          </w:p>
        </w:tc>
        <w:tc>
          <w:tcPr>
            <w:tcW w:w="1000" w:type="dxa"/>
            <w:tcBorders>
              <w:top w:val="double" w:sz="4" w:space="0" w:color="4F6228" w:themeColor="accent3" w:themeShade="80"/>
              <w:bottom w:val="single" w:sz="6" w:space="0" w:color="4F6228" w:themeColor="accent3" w:themeShade="80"/>
              <w:right w:val="double" w:sz="4" w:space="0" w:color="4F6228" w:themeColor="accent3" w:themeShade="80"/>
            </w:tcBorders>
          </w:tcPr>
          <w:p w:rsidR="001063F7" w:rsidRPr="005F120D" w:rsidRDefault="003B4C1F" w:rsidP="00C437AA">
            <w:pPr>
              <w:spacing w:line="276" w:lineRule="auto"/>
              <w:jc w:val="center"/>
              <w:rPr>
                <w:rFonts w:asciiTheme="minorHAnsi" w:hAnsiTheme="minorHAnsi" w:cstheme="minorHAnsi"/>
              </w:rPr>
            </w:pPr>
            <w:r w:rsidRPr="005F120D">
              <w:rPr>
                <w:rFonts w:asciiTheme="minorHAnsi" w:hAnsiTheme="minorHAnsi" w:cstheme="minorHAnsi"/>
              </w:rPr>
              <w:t>88</w:t>
            </w:r>
            <w:r w:rsidR="001063F7" w:rsidRPr="005F120D">
              <w:rPr>
                <w:rFonts w:asciiTheme="minorHAnsi" w:hAnsiTheme="minorHAnsi" w:cstheme="minorHAnsi"/>
              </w:rPr>
              <w:t>%</w:t>
            </w:r>
          </w:p>
        </w:tc>
        <w:tc>
          <w:tcPr>
            <w:tcW w:w="1314" w:type="dxa"/>
            <w:tcBorders>
              <w:top w:val="double" w:sz="4"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90%</w:t>
            </w:r>
          </w:p>
        </w:tc>
      </w:tr>
      <w:tr w:rsidR="001063F7" w:rsidRPr="005F120D" w:rsidTr="003C1B12">
        <w:trPr>
          <w:trHeight w:hRule="exact" w:val="288"/>
        </w:trPr>
        <w:tc>
          <w:tcPr>
            <w:tcW w:w="2179" w:type="dxa"/>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tcPr>
          <w:p w:rsidR="001063F7" w:rsidRPr="005F120D" w:rsidRDefault="001063F7" w:rsidP="00C437AA">
            <w:pPr>
              <w:spacing w:line="276" w:lineRule="auto"/>
              <w:rPr>
                <w:rFonts w:asciiTheme="minorHAnsi" w:hAnsiTheme="minorHAnsi" w:cstheme="minorHAnsi"/>
              </w:rPr>
            </w:pPr>
            <w:r w:rsidRPr="005F120D">
              <w:rPr>
                <w:rFonts w:asciiTheme="minorHAnsi" w:hAnsiTheme="minorHAnsi" w:cstheme="minorHAnsi"/>
              </w:rPr>
              <w:t>Bottom 20% Households</w:t>
            </w:r>
          </w:p>
        </w:tc>
        <w:tc>
          <w:tcPr>
            <w:tcW w:w="1054" w:type="dxa"/>
            <w:tcBorders>
              <w:top w:val="single" w:sz="6" w:space="0" w:color="4F6228" w:themeColor="accent3" w:themeShade="80"/>
              <w:left w:val="double" w:sz="4" w:space="0" w:color="4F6228" w:themeColor="accent3" w:themeShade="80"/>
              <w:bottom w:val="single" w:sz="6"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73%</w:t>
            </w:r>
          </w:p>
        </w:tc>
        <w:tc>
          <w:tcPr>
            <w:tcW w:w="1002" w:type="dxa"/>
            <w:tcBorders>
              <w:top w:val="single" w:sz="6" w:space="0" w:color="4F6228" w:themeColor="accent3" w:themeShade="80"/>
              <w:bottom w:val="single" w:sz="6"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82%</w:t>
            </w:r>
          </w:p>
        </w:tc>
        <w:tc>
          <w:tcPr>
            <w:tcW w:w="1027" w:type="dxa"/>
            <w:tcBorders>
              <w:top w:val="single" w:sz="6" w:space="0" w:color="4F6228" w:themeColor="accent3" w:themeShade="80"/>
              <w:bottom w:val="single" w:sz="6" w:space="0" w:color="4F6228" w:themeColor="accent3" w:themeShade="80"/>
              <w:right w:val="double" w:sz="4"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77%</w:t>
            </w:r>
          </w:p>
        </w:tc>
        <w:tc>
          <w:tcPr>
            <w:tcW w:w="1000" w:type="dxa"/>
            <w:tcBorders>
              <w:top w:val="single" w:sz="6" w:space="0" w:color="4F6228" w:themeColor="accent3" w:themeShade="80"/>
              <w:left w:val="double" w:sz="4" w:space="0" w:color="4F6228" w:themeColor="accent3" w:themeShade="80"/>
              <w:bottom w:val="single" w:sz="6" w:space="0" w:color="4F6228" w:themeColor="accent3" w:themeShade="80"/>
            </w:tcBorders>
          </w:tcPr>
          <w:p w:rsidR="001063F7" w:rsidRPr="005F120D" w:rsidRDefault="004C0AD7" w:rsidP="00C437AA">
            <w:pPr>
              <w:spacing w:line="276" w:lineRule="auto"/>
              <w:jc w:val="center"/>
              <w:rPr>
                <w:rFonts w:asciiTheme="minorHAnsi" w:hAnsiTheme="minorHAnsi" w:cstheme="minorHAnsi"/>
              </w:rPr>
            </w:pPr>
            <w:r w:rsidRPr="005F120D">
              <w:rPr>
                <w:rFonts w:asciiTheme="minorHAnsi" w:hAnsiTheme="minorHAnsi" w:cstheme="minorHAnsi"/>
              </w:rPr>
              <w:t>77</w:t>
            </w:r>
            <w:r w:rsidR="001063F7" w:rsidRPr="005F120D">
              <w:rPr>
                <w:rFonts w:asciiTheme="minorHAnsi" w:hAnsiTheme="minorHAnsi" w:cstheme="minorHAnsi"/>
              </w:rPr>
              <w:t>%</w:t>
            </w:r>
          </w:p>
        </w:tc>
        <w:tc>
          <w:tcPr>
            <w:tcW w:w="1000" w:type="dxa"/>
            <w:tcBorders>
              <w:top w:val="single" w:sz="6" w:space="0" w:color="4F6228" w:themeColor="accent3" w:themeShade="80"/>
              <w:bottom w:val="single" w:sz="6" w:space="0" w:color="4F6228" w:themeColor="accent3" w:themeShade="80"/>
            </w:tcBorders>
          </w:tcPr>
          <w:p w:rsidR="001063F7" w:rsidRPr="005F120D" w:rsidRDefault="003B4C1F" w:rsidP="00C437AA">
            <w:pPr>
              <w:spacing w:line="276" w:lineRule="auto"/>
              <w:jc w:val="center"/>
              <w:rPr>
                <w:rFonts w:asciiTheme="minorHAnsi" w:hAnsiTheme="minorHAnsi" w:cstheme="minorHAnsi"/>
              </w:rPr>
            </w:pPr>
            <w:r w:rsidRPr="005F120D">
              <w:rPr>
                <w:rFonts w:asciiTheme="minorHAnsi" w:hAnsiTheme="minorHAnsi" w:cstheme="minorHAnsi"/>
              </w:rPr>
              <w:t>8</w:t>
            </w:r>
            <w:r w:rsidR="004C0AD7" w:rsidRPr="005F120D">
              <w:rPr>
                <w:rFonts w:asciiTheme="minorHAnsi" w:hAnsiTheme="minorHAnsi" w:cstheme="minorHAnsi"/>
              </w:rPr>
              <w:t>5</w:t>
            </w:r>
            <w:r w:rsidR="001063F7" w:rsidRPr="005F120D">
              <w:rPr>
                <w:rFonts w:asciiTheme="minorHAnsi" w:hAnsiTheme="minorHAnsi" w:cstheme="minorHAnsi"/>
              </w:rPr>
              <w:t>%</w:t>
            </w:r>
          </w:p>
        </w:tc>
        <w:tc>
          <w:tcPr>
            <w:tcW w:w="1000" w:type="dxa"/>
            <w:tcBorders>
              <w:top w:val="single" w:sz="6" w:space="0" w:color="4F6228" w:themeColor="accent3" w:themeShade="80"/>
              <w:bottom w:val="single" w:sz="6" w:space="0" w:color="4F6228" w:themeColor="accent3" w:themeShade="80"/>
              <w:right w:val="double" w:sz="4" w:space="0" w:color="4F6228" w:themeColor="accent3" w:themeShade="80"/>
            </w:tcBorders>
          </w:tcPr>
          <w:p w:rsidR="001063F7" w:rsidRPr="005F120D" w:rsidRDefault="003B4C1F" w:rsidP="00C437AA">
            <w:pPr>
              <w:spacing w:line="276" w:lineRule="auto"/>
              <w:jc w:val="center"/>
              <w:rPr>
                <w:rFonts w:asciiTheme="minorHAnsi" w:hAnsiTheme="minorHAnsi" w:cstheme="minorHAnsi"/>
              </w:rPr>
            </w:pPr>
            <w:r w:rsidRPr="005F120D">
              <w:rPr>
                <w:rFonts w:asciiTheme="minorHAnsi" w:hAnsiTheme="minorHAnsi" w:cstheme="minorHAnsi"/>
              </w:rPr>
              <w:t>80</w:t>
            </w:r>
            <w:r w:rsidR="001063F7" w:rsidRPr="005F120D">
              <w:rPr>
                <w:rFonts w:asciiTheme="minorHAnsi" w:hAnsiTheme="minorHAnsi" w:cstheme="minorHAnsi"/>
              </w:rPr>
              <w:t>%</w:t>
            </w:r>
          </w:p>
        </w:tc>
        <w:tc>
          <w:tcPr>
            <w:tcW w:w="1314" w:type="dxa"/>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82%</w:t>
            </w:r>
          </w:p>
        </w:tc>
      </w:tr>
      <w:tr w:rsidR="001063F7" w:rsidRPr="005F120D" w:rsidTr="003C1B12">
        <w:trPr>
          <w:trHeight w:hRule="exact" w:val="288"/>
        </w:trPr>
        <w:tc>
          <w:tcPr>
            <w:tcW w:w="2179" w:type="dxa"/>
            <w:tcBorders>
              <w:top w:val="single" w:sz="6"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cBorders>
          </w:tcPr>
          <w:p w:rsidR="001063F7" w:rsidRPr="005F120D" w:rsidRDefault="001063F7" w:rsidP="00C437AA">
            <w:pPr>
              <w:spacing w:line="276" w:lineRule="auto"/>
              <w:rPr>
                <w:rFonts w:asciiTheme="minorHAnsi" w:hAnsiTheme="minorHAnsi" w:cstheme="minorHAnsi"/>
              </w:rPr>
            </w:pPr>
            <w:r w:rsidRPr="005F120D">
              <w:rPr>
                <w:rFonts w:asciiTheme="minorHAnsi" w:hAnsiTheme="minorHAnsi" w:cstheme="minorHAnsi"/>
              </w:rPr>
              <w:t>Range</w:t>
            </w:r>
          </w:p>
        </w:tc>
        <w:tc>
          <w:tcPr>
            <w:tcW w:w="1054" w:type="dxa"/>
            <w:tcBorders>
              <w:top w:val="single" w:sz="6" w:space="0" w:color="4F6228" w:themeColor="accent3" w:themeShade="80"/>
              <w:left w:val="double" w:sz="4" w:space="0" w:color="4F6228" w:themeColor="accent3" w:themeShade="80"/>
              <w:bottom w:val="double" w:sz="4"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15%</w:t>
            </w:r>
          </w:p>
        </w:tc>
        <w:tc>
          <w:tcPr>
            <w:tcW w:w="1002" w:type="dxa"/>
            <w:tcBorders>
              <w:top w:val="single" w:sz="6" w:space="0" w:color="4F6228" w:themeColor="accent3" w:themeShade="80"/>
              <w:bottom w:val="double" w:sz="4"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5%</w:t>
            </w:r>
          </w:p>
        </w:tc>
        <w:tc>
          <w:tcPr>
            <w:tcW w:w="1027" w:type="dxa"/>
            <w:tcBorders>
              <w:top w:val="single" w:sz="6" w:space="0" w:color="4F6228" w:themeColor="accent3" w:themeShade="80"/>
              <w:bottom w:val="double" w:sz="4" w:space="0" w:color="4F6228" w:themeColor="accent3" w:themeShade="80"/>
              <w:right w:val="double" w:sz="4"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11%</w:t>
            </w:r>
          </w:p>
        </w:tc>
        <w:tc>
          <w:tcPr>
            <w:tcW w:w="1000" w:type="dxa"/>
            <w:tcBorders>
              <w:top w:val="single" w:sz="6" w:space="0" w:color="4F6228" w:themeColor="accent3" w:themeShade="80"/>
              <w:left w:val="double" w:sz="4" w:space="0" w:color="4F6228" w:themeColor="accent3" w:themeShade="80"/>
              <w:bottom w:val="double" w:sz="4" w:space="0" w:color="4F6228" w:themeColor="accent3" w:themeShade="80"/>
            </w:tcBorders>
          </w:tcPr>
          <w:p w:rsidR="001063F7" w:rsidRPr="005F120D" w:rsidRDefault="003B4C1F" w:rsidP="00C437AA">
            <w:pPr>
              <w:spacing w:line="276" w:lineRule="auto"/>
              <w:jc w:val="center"/>
              <w:rPr>
                <w:rFonts w:asciiTheme="minorHAnsi" w:hAnsiTheme="minorHAnsi" w:cstheme="minorHAnsi"/>
              </w:rPr>
            </w:pPr>
            <w:r w:rsidRPr="005F120D">
              <w:rPr>
                <w:rFonts w:asciiTheme="minorHAnsi" w:hAnsiTheme="minorHAnsi" w:cstheme="minorHAnsi"/>
              </w:rPr>
              <w:t>12</w:t>
            </w:r>
            <w:r w:rsidR="001063F7" w:rsidRPr="005F120D">
              <w:rPr>
                <w:rFonts w:asciiTheme="minorHAnsi" w:hAnsiTheme="minorHAnsi" w:cstheme="minorHAnsi"/>
              </w:rPr>
              <w:t>%</w:t>
            </w:r>
          </w:p>
        </w:tc>
        <w:tc>
          <w:tcPr>
            <w:tcW w:w="1000" w:type="dxa"/>
            <w:tcBorders>
              <w:top w:val="single" w:sz="6" w:space="0" w:color="4F6228" w:themeColor="accent3" w:themeShade="80"/>
              <w:bottom w:val="double" w:sz="4" w:space="0" w:color="4F6228" w:themeColor="accent3" w:themeShade="80"/>
            </w:tcBorders>
          </w:tcPr>
          <w:p w:rsidR="001063F7" w:rsidRPr="005F120D" w:rsidRDefault="003B4C1F" w:rsidP="00C437AA">
            <w:pPr>
              <w:spacing w:line="276" w:lineRule="auto"/>
              <w:jc w:val="center"/>
              <w:rPr>
                <w:rFonts w:asciiTheme="minorHAnsi" w:hAnsiTheme="minorHAnsi" w:cstheme="minorHAnsi"/>
              </w:rPr>
            </w:pPr>
            <w:r w:rsidRPr="005F120D">
              <w:rPr>
                <w:rFonts w:asciiTheme="minorHAnsi" w:hAnsiTheme="minorHAnsi" w:cstheme="minorHAnsi"/>
              </w:rPr>
              <w:t>3</w:t>
            </w:r>
            <w:r w:rsidR="001063F7" w:rsidRPr="005F120D">
              <w:rPr>
                <w:rFonts w:asciiTheme="minorHAnsi" w:hAnsiTheme="minorHAnsi" w:cstheme="minorHAnsi"/>
              </w:rPr>
              <w:t>%</w:t>
            </w:r>
          </w:p>
        </w:tc>
        <w:tc>
          <w:tcPr>
            <w:tcW w:w="1000" w:type="dxa"/>
            <w:tcBorders>
              <w:top w:val="single" w:sz="6" w:space="0" w:color="4F6228" w:themeColor="accent3" w:themeShade="80"/>
              <w:bottom w:val="double" w:sz="4" w:space="0" w:color="4F6228" w:themeColor="accent3" w:themeShade="80"/>
              <w:right w:val="double" w:sz="4" w:space="0" w:color="4F6228" w:themeColor="accent3" w:themeShade="80"/>
            </w:tcBorders>
          </w:tcPr>
          <w:p w:rsidR="001063F7" w:rsidRPr="005F120D" w:rsidRDefault="003B4C1F" w:rsidP="00C437AA">
            <w:pPr>
              <w:spacing w:line="276" w:lineRule="auto"/>
              <w:jc w:val="center"/>
              <w:rPr>
                <w:rFonts w:asciiTheme="minorHAnsi" w:hAnsiTheme="minorHAnsi" w:cstheme="minorHAnsi"/>
              </w:rPr>
            </w:pPr>
            <w:r w:rsidRPr="005F120D">
              <w:rPr>
                <w:rFonts w:asciiTheme="minorHAnsi" w:hAnsiTheme="minorHAnsi" w:cstheme="minorHAnsi"/>
              </w:rPr>
              <w:t>8</w:t>
            </w:r>
            <w:r w:rsidR="001063F7" w:rsidRPr="005F120D">
              <w:rPr>
                <w:rFonts w:asciiTheme="minorHAnsi" w:hAnsiTheme="minorHAnsi" w:cstheme="minorHAnsi"/>
              </w:rPr>
              <w:t>%</w:t>
            </w:r>
          </w:p>
        </w:tc>
        <w:tc>
          <w:tcPr>
            <w:tcW w:w="1314" w:type="dxa"/>
            <w:tcBorders>
              <w:top w:val="single" w:sz="6"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cBorders>
          </w:tcPr>
          <w:p w:rsidR="001063F7" w:rsidRPr="005F120D" w:rsidRDefault="001063F7" w:rsidP="00C437AA">
            <w:pPr>
              <w:spacing w:line="276" w:lineRule="auto"/>
              <w:jc w:val="center"/>
              <w:rPr>
                <w:rFonts w:asciiTheme="minorHAnsi" w:hAnsiTheme="minorHAnsi" w:cstheme="minorHAnsi"/>
              </w:rPr>
            </w:pPr>
            <w:r w:rsidRPr="005F120D">
              <w:rPr>
                <w:rFonts w:asciiTheme="minorHAnsi" w:hAnsiTheme="minorHAnsi" w:cstheme="minorHAnsi"/>
              </w:rPr>
              <w:t>8%</w:t>
            </w:r>
          </w:p>
        </w:tc>
      </w:tr>
    </w:tbl>
    <w:p w:rsidR="00037419" w:rsidRPr="005F120D" w:rsidRDefault="00037419" w:rsidP="00C437AA">
      <w:pPr>
        <w:spacing w:after="360" w:line="276" w:lineRule="auto"/>
        <w:rPr>
          <w:rFonts w:asciiTheme="minorHAnsi" w:hAnsiTheme="minorHAnsi" w:cstheme="minorHAnsi"/>
          <w:b/>
          <w:sz w:val="16"/>
          <w:szCs w:val="16"/>
        </w:rPr>
      </w:pPr>
      <w:r w:rsidRPr="005F120D">
        <w:rPr>
          <w:rFonts w:asciiTheme="minorHAnsi" w:hAnsiTheme="minorHAnsi" w:cstheme="minorHAnsi"/>
          <w:b/>
          <w:sz w:val="16"/>
          <w:szCs w:val="16"/>
        </w:rPr>
        <w:t xml:space="preserve">Source: PEDP3 </w:t>
      </w:r>
      <w:r w:rsidR="00802B33" w:rsidRPr="005F120D">
        <w:rPr>
          <w:rFonts w:asciiTheme="minorHAnsi" w:hAnsiTheme="minorHAnsi" w:cstheme="minorHAnsi"/>
          <w:b/>
          <w:sz w:val="16"/>
          <w:szCs w:val="16"/>
        </w:rPr>
        <w:t>Program</w:t>
      </w:r>
      <w:r w:rsidRPr="005F120D">
        <w:rPr>
          <w:rFonts w:asciiTheme="minorHAnsi" w:hAnsiTheme="minorHAnsi" w:cstheme="minorHAnsi"/>
          <w:b/>
          <w:sz w:val="16"/>
          <w:szCs w:val="16"/>
        </w:rPr>
        <w:t xml:space="preserve"> Document</w:t>
      </w:r>
      <w:r w:rsidR="008622E9" w:rsidRPr="005F120D">
        <w:rPr>
          <w:rFonts w:asciiTheme="minorHAnsi" w:hAnsiTheme="minorHAnsi" w:cstheme="minorHAnsi"/>
          <w:b/>
          <w:sz w:val="16"/>
          <w:szCs w:val="16"/>
        </w:rPr>
        <w:t>, HIES</w:t>
      </w:r>
      <w:r w:rsidR="00E67351" w:rsidRPr="005F120D">
        <w:rPr>
          <w:rFonts w:asciiTheme="minorHAnsi" w:hAnsiTheme="minorHAnsi" w:cstheme="minorHAnsi"/>
          <w:b/>
          <w:sz w:val="16"/>
          <w:szCs w:val="16"/>
        </w:rPr>
        <w:t xml:space="preserve"> 2010</w:t>
      </w:r>
      <w:r w:rsidR="008622E9" w:rsidRPr="005F120D">
        <w:rPr>
          <w:rFonts w:asciiTheme="minorHAnsi" w:hAnsiTheme="minorHAnsi" w:cstheme="minorHAnsi"/>
          <w:b/>
          <w:sz w:val="16"/>
          <w:szCs w:val="16"/>
        </w:rPr>
        <w:t xml:space="preserve"> and EHS 2014</w:t>
      </w:r>
    </w:p>
    <w:p w:rsidR="0010645A" w:rsidRPr="005F120D" w:rsidRDefault="00512ADA" w:rsidP="00C437AA">
      <w:pPr>
        <w:pStyle w:val="Heading4"/>
        <w:spacing w:after="120" w:line="276" w:lineRule="auto"/>
        <w:rPr>
          <w:rFonts w:asciiTheme="minorHAnsi" w:hAnsiTheme="minorHAnsi" w:cstheme="minorHAnsi"/>
          <w:b/>
          <w:color w:val="008000"/>
          <w:sz w:val="24"/>
          <w:szCs w:val="24"/>
        </w:rPr>
      </w:pPr>
      <w:r w:rsidRPr="005F120D">
        <w:rPr>
          <w:rFonts w:asciiTheme="minorHAnsi" w:hAnsiTheme="minorHAnsi" w:cstheme="minorHAnsi"/>
          <w:b/>
          <w:color w:val="008000"/>
          <w:sz w:val="24"/>
          <w:szCs w:val="24"/>
        </w:rPr>
        <w:t>Upazila Composite P</w:t>
      </w:r>
      <w:r w:rsidR="008403E4" w:rsidRPr="005F120D">
        <w:rPr>
          <w:rFonts w:asciiTheme="minorHAnsi" w:hAnsiTheme="minorHAnsi" w:cstheme="minorHAnsi"/>
          <w:b/>
          <w:color w:val="008000"/>
          <w:sz w:val="24"/>
          <w:szCs w:val="24"/>
        </w:rPr>
        <w:t>erformance Indicator</w:t>
      </w:r>
    </w:p>
    <w:p w:rsidR="000C04AA" w:rsidRPr="005F120D" w:rsidRDefault="000C04AA" w:rsidP="00C437AA">
      <w:pPr>
        <w:spacing w:after="120" w:line="276" w:lineRule="auto"/>
        <w:jc w:val="both"/>
        <w:rPr>
          <w:rFonts w:asciiTheme="minorHAnsi" w:hAnsiTheme="minorHAnsi" w:cstheme="minorHAnsi"/>
        </w:rPr>
      </w:pPr>
      <w:r w:rsidRPr="005F120D">
        <w:rPr>
          <w:rFonts w:asciiTheme="minorHAnsi" w:hAnsiTheme="minorHAnsi" w:cstheme="minorHAnsi"/>
        </w:rPr>
        <w:t xml:space="preserve">One of PEDP3’s key objectives is to minimize disparities in participation, completion and learning outcomes. In order to monitor the progress in narrowing geographical disparities, an </w:t>
      </w:r>
      <w:r w:rsidRPr="005F120D">
        <w:rPr>
          <w:rFonts w:asciiTheme="minorHAnsi" w:hAnsiTheme="minorHAnsi" w:cstheme="minorHAnsi"/>
          <w:i/>
        </w:rPr>
        <w:t>Upazila</w:t>
      </w:r>
      <w:r w:rsidRPr="005F120D">
        <w:rPr>
          <w:rFonts w:asciiTheme="minorHAnsi" w:hAnsiTheme="minorHAnsi" w:cstheme="minorHAnsi"/>
        </w:rPr>
        <w:t xml:space="preserve"> comp</w:t>
      </w:r>
      <w:r w:rsidR="00512ADA" w:rsidRPr="005F120D">
        <w:rPr>
          <w:rFonts w:asciiTheme="minorHAnsi" w:hAnsiTheme="minorHAnsi" w:cstheme="minorHAnsi"/>
        </w:rPr>
        <w:t>osite performance index was</w:t>
      </w:r>
      <w:r w:rsidRPr="005F120D">
        <w:rPr>
          <w:rFonts w:asciiTheme="minorHAnsi" w:hAnsiTheme="minorHAnsi" w:cstheme="minorHAnsi"/>
        </w:rPr>
        <w:t xml:space="preserve"> constructed based on three performance indicators and KPI 9 designed for measuring the performance of composite indicators.  </w:t>
      </w:r>
    </w:p>
    <w:p w:rsidR="000C04AA" w:rsidRPr="005F120D" w:rsidRDefault="000C04AA" w:rsidP="00C437AA">
      <w:pPr>
        <w:numPr>
          <w:ilvl w:val="0"/>
          <w:numId w:val="30"/>
        </w:numPr>
        <w:spacing w:after="200" w:line="276" w:lineRule="auto"/>
        <w:contextualSpacing/>
        <w:jc w:val="both"/>
        <w:rPr>
          <w:rFonts w:asciiTheme="minorHAnsi" w:hAnsiTheme="minorHAnsi" w:cstheme="minorHAnsi"/>
        </w:rPr>
      </w:pPr>
      <w:r w:rsidRPr="005F120D">
        <w:rPr>
          <w:rFonts w:asciiTheme="minorHAnsi" w:hAnsiTheme="minorHAnsi" w:cstheme="minorHAnsi"/>
          <w:b/>
          <w:i/>
        </w:rPr>
        <w:t>Gender participation indicator:</w:t>
      </w:r>
      <w:r w:rsidRPr="005F120D">
        <w:rPr>
          <w:rFonts w:asciiTheme="minorHAnsi" w:hAnsiTheme="minorHAnsi" w:cstheme="minorHAnsi"/>
        </w:rPr>
        <w:t xml:space="preserve"> Absolute difference between (i) the ratio of girls in the total number of children enrolled in the </w:t>
      </w:r>
      <w:r w:rsidRPr="005F120D">
        <w:rPr>
          <w:rFonts w:asciiTheme="minorHAnsi" w:hAnsiTheme="minorHAnsi" w:cstheme="minorHAnsi"/>
          <w:i/>
        </w:rPr>
        <w:t>Upazila</w:t>
      </w:r>
      <w:r w:rsidRPr="005F120D">
        <w:rPr>
          <w:rFonts w:asciiTheme="minorHAnsi" w:hAnsiTheme="minorHAnsi" w:cstheme="minorHAnsi"/>
        </w:rPr>
        <w:t xml:space="preserve"> and (ii) the average ratio of girls in the population. </w:t>
      </w:r>
    </w:p>
    <w:p w:rsidR="000C04AA" w:rsidRPr="005F120D" w:rsidRDefault="000C04AA" w:rsidP="00C437AA">
      <w:pPr>
        <w:numPr>
          <w:ilvl w:val="0"/>
          <w:numId w:val="30"/>
        </w:numPr>
        <w:spacing w:after="120" w:line="276" w:lineRule="auto"/>
        <w:contextualSpacing/>
        <w:jc w:val="both"/>
        <w:rPr>
          <w:rFonts w:asciiTheme="minorHAnsi" w:hAnsiTheme="minorHAnsi" w:cstheme="minorHAnsi"/>
        </w:rPr>
      </w:pPr>
      <w:r w:rsidRPr="005F120D">
        <w:rPr>
          <w:rFonts w:asciiTheme="minorHAnsi" w:hAnsiTheme="minorHAnsi" w:cstheme="minorHAnsi"/>
          <w:b/>
          <w:i/>
        </w:rPr>
        <w:t>Effectiveness/Efficiency indicator:</w:t>
      </w:r>
      <w:r w:rsidRPr="005F120D">
        <w:rPr>
          <w:rFonts w:asciiTheme="minorHAnsi" w:hAnsiTheme="minorHAnsi" w:cstheme="minorHAnsi"/>
        </w:rPr>
        <w:t xml:space="preserve"> Survival rate to Grade 5. </w:t>
      </w:r>
    </w:p>
    <w:p w:rsidR="00F469DB" w:rsidRPr="005F120D" w:rsidRDefault="000C04AA" w:rsidP="00C437AA">
      <w:pPr>
        <w:numPr>
          <w:ilvl w:val="0"/>
          <w:numId w:val="30"/>
        </w:numPr>
        <w:spacing w:before="240" w:line="276" w:lineRule="auto"/>
        <w:contextualSpacing/>
        <w:jc w:val="both"/>
        <w:rPr>
          <w:rFonts w:asciiTheme="minorHAnsi" w:hAnsiTheme="minorHAnsi" w:cstheme="minorHAnsi"/>
        </w:rPr>
      </w:pPr>
      <w:r w:rsidRPr="005F120D">
        <w:rPr>
          <w:rFonts w:asciiTheme="minorHAnsi" w:hAnsiTheme="minorHAnsi" w:cstheme="minorHAnsi"/>
          <w:b/>
          <w:i/>
        </w:rPr>
        <w:t>Learning outcomes indicator</w:t>
      </w:r>
      <w:r w:rsidRPr="005F120D">
        <w:rPr>
          <w:rFonts w:asciiTheme="minorHAnsi" w:hAnsiTheme="minorHAnsi" w:cstheme="minorHAnsi"/>
          <w:b/>
        </w:rPr>
        <w:t>:</w:t>
      </w:r>
      <w:r w:rsidRPr="005F120D">
        <w:rPr>
          <w:rFonts w:asciiTheme="minorHAnsi" w:hAnsiTheme="minorHAnsi" w:cstheme="minorHAnsi"/>
        </w:rPr>
        <w:t xml:space="preserve"> The percentage of children who passed the Grade 5 Primary Education Completion Examination (PECE) as a percentage of those who were eligible to sit </w:t>
      </w:r>
      <w:r w:rsidRPr="005F120D">
        <w:rPr>
          <w:rFonts w:asciiTheme="minorHAnsi" w:hAnsiTheme="minorHAnsi" w:cstheme="minorHAnsi"/>
        </w:rPr>
        <w:lastRenderedPageBreak/>
        <w:t>for the examination</w:t>
      </w:r>
      <w:r w:rsidR="00F469DB" w:rsidRPr="005F120D">
        <w:rPr>
          <w:rFonts w:asciiTheme="minorHAnsi" w:hAnsiTheme="minorHAnsi" w:cstheme="minorHAnsi"/>
        </w:rPr>
        <w:t xml:space="preserve"> (based on DR)</w:t>
      </w:r>
      <w:r w:rsidRPr="005F120D">
        <w:rPr>
          <w:rFonts w:asciiTheme="minorHAnsi" w:hAnsiTheme="minorHAnsi" w:cstheme="minorHAnsi"/>
        </w:rPr>
        <w:t xml:space="preserve">. In other words, this combines the participation and the pass rate. </w:t>
      </w:r>
    </w:p>
    <w:p w:rsidR="00F469DB" w:rsidRPr="005F120D" w:rsidRDefault="00F469DB" w:rsidP="00C437AA">
      <w:pPr>
        <w:spacing w:before="240" w:line="276" w:lineRule="auto"/>
        <w:jc w:val="both"/>
        <w:rPr>
          <w:rFonts w:asciiTheme="minorHAnsi" w:hAnsiTheme="minorHAnsi" w:cstheme="minorHAnsi"/>
          <w:color w:val="FF0000"/>
          <w:sz w:val="2"/>
          <w:szCs w:val="22"/>
        </w:rPr>
      </w:pPr>
    </w:p>
    <w:p w:rsidR="000C04AA" w:rsidRPr="005F120D" w:rsidRDefault="000C04AA" w:rsidP="00C437AA">
      <w:pPr>
        <w:spacing w:before="240" w:line="276" w:lineRule="auto"/>
        <w:jc w:val="both"/>
        <w:rPr>
          <w:rFonts w:asciiTheme="minorHAnsi" w:hAnsiTheme="minorHAnsi" w:cstheme="minorHAnsi"/>
          <w:szCs w:val="22"/>
        </w:rPr>
      </w:pPr>
      <w:r w:rsidRPr="005F120D">
        <w:rPr>
          <w:rFonts w:asciiTheme="minorHAnsi" w:hAnsiTheme="minorHAnsi" w:cstheme="minorHAnsi"/>
          <w:szCs w:val="22"/>
        </w:rPr>
        <w:t>To deve</w:t>
      </w:r>
      <w:r w:rsidR="00F035F8" w:rsidRPr="005F120D">
        <w:rPr>
          <w:rFonts w:asciiTheme="minorHAnsi" w:hAnsiTheme="minorHAnsi" w:cstheme="minorHAnsi"/>
          <w:szCs w:val="22"/>
        </w:rPr>
        <w:t xml:space="preserve">lop the composite indicator, </w:t>
      </w:r>
      <w:r w:rsidR="002034E3" w:rsidRPr="005F120D">
        <w:rPr>
          <w:rFonts w:asciiTheme="minorHAnsi" w:hAnsiTheme="minorHAnsi" w:cstheme="minorHAnsi"/>
          <w:szCs w:val="22"/>
        </w:rPr>
        <w:t>different</w:t>
      </w:r>
      <w:r w:rsidR="00F035F8" w:rsidRPr="005F120D">
        <w:rPr>
          <w:rFonts w:asciiTheme="minorHAnsi" w:hAnsiTheme="minorHAnsi" w:cstheme="minorHAnsi"/>
          <w:szCs w:val="22"/>
        </w:rPr>
        <w:t xml:space="preserve"> steps were</w:t>
      </w:r>
      <w:r w:rsidR="00512ADA" w:rsidRPr="005F120D">
        <w:rPr>
          <w:rFonts w:asciiTheme="minorHAnsi" w:hAnsiTheme="minorHAnsi" w:cstheme="minorHAnsi"/>
          <w:szCs w:val="22"/>
        </w:rPr>
        <w:t xml:space="preserve"> taken,</w:t>
      </w:r>
      <w:r w:rsidRPr="005F120D">
        <w:rPr>
          <w:rFonts w:asciiTheme="minorHAnsi" w:hAnsiTheme="minorHAnsi" w:cstheme="minorHAnsi"/>
          <w:szCs w:val="22"/>
        </w:rPr>
        <w:t xml:space="preserve"> in line with the method used for the calculation of the United Nations Human Develo</w:t>
      </w:r>
      <w:r w:rsidR="00F035F8" w:rsidRPr="005F120D">
        <w:rPr>
          <w:rFonts w:asciiTheme="minorHAnsi" w:hAnsiTheme="minorHAnsi" w:cstheme="minorHAnsi"/>
          <w:szCs w:val="22"/>
        </w:rPr>
        <w:t>pment Index.  D</w:t>
      </w:r>
      <w:r w:rsidRPr="005F120D">
        <w:rPr>
          <w:rFonts w:asciiTheme="minorHAnsi" w:hAnsiTheme="minorHAnsi" w:cstheme="minorHAnsi"/>
          <w:szCs w:val="22"/>
        </w:rPr>
        <w:t xml:space="preserve">etails on the methodology </w:t>
      </w:r>
      <w:r w:rsidR="00F035F8" w:rsidRPr="005F120D">
        <w:rPr>
          <w:rFonts w:asciiTheme="minorHAnsi" w:hAnsiTheme="minorHAnsi" w:cstheme="minorHAnsi"/>
          <w:szCs w:val="22"/>
        </w:rPr>
        <w:t>and the components</w:t>
      </w:r>
      <w:r w:rsidR="00770B93">
        <w:rPr>
          <w:rFonts w:asciiTheme="minorHAnsi" w:hAnsiTheme="minorHAnsi" w:cstheme="minorHAnsi"/>
          <w:szCs w:val="22"/>
        </w:rPr>
        <w:t xml:space="preserve"> </w:t>
      </w:r>
      <w:r w:rsidRPr="005F120D">
        <w:rPr>
          <w:rFonts w:asciiTheme="minorHAnsi" w:hAnsiTheme="minorHAnsi" w:cstheme="minorHAnsi"/>
          <w:szCs w:val="22"/>
        </w:rPr>
        <w:t>of this composite indicator are given in Annex B.</w:t>
      </w:r>
    </w:p>
    <w:p w:rsidR="000C04AA" w:rsidRPr="005F120D" w:rsidRDefault="000C04AA" w:rsidP="00C437AA">
      <w:pPr>
        <w:spacing w:after="0" w:line="276" w:lineRule="auto"/>
        <w:jc w:val="both"/>
        <w:rPr>
          <w:rFonts w:asciiTheme="minorHAnsi" w:hAnsiTheme="minorHAnsi" w:cstheme="minorHAnsi"/>
          <w:szCs w:val="22"/>
        </w:rPr>
      </w:pPr>
      <w:r w:rsidRPr="005F120D">
        <w:rPr>
          <w:rFonts w:asciiTheme="minorHAnsi" w:hAnsiTheme="minorHAnsi" w:cstheme="minorHAnsi"/>
          <w:szCs w:val="22"/>
        </w:rPr>
        <w:t xml:space="preserve">KPI 9 uses this composite index to compare </w:t>
      </w:r>
      <w:r w:rsidR="00770B93" w:rsidRPr="005F120D">
        <w:rPr>
          <w:rFonts w:asciiTheme="minorHAnsi" w:hAnsiTheme="minorHAnsi" w:cstheme="minorHAnsi"/>
          <w:szCs w:val="22"/>
        </w:rPr>
        <w:t>Upazila</w:t>
      </w:r>
      <w:r w:rsidRPr="005F120D">
        <w:rPr>
          <w:rFonts w:asciiTheme="minorHAnsi" w:hAnsiTheme="minorHAnsi" w:cstheme="minorHAnsi"/>
          <w:szCs w:val="22"/>
        </w:rPr>
        <w:t xml:space="preserve"> performance in two ways:</w:t>
      </w:r>
    </w:p>
    <w:p w:rsidR="000C04AA" w:rsidRPr="005F120D" w:rsidRDefault="000C04AA" w:rsidP="00C437AA">
      <w:pPr>
        <w:numPr>
          <w:ilvl w:val="0"/>
          <w:numId w:val="31"/>
        </w:numPr>
        <w:spacing w:after="200" w:line="276" w:lineRule="auto"/>
        <w:contextualSpacing/>
        <w:jc w:val="both"/>
        <w:rPr>
          <w:rFonts w:asciiTheme="minorHAnsi" w:hAnsiTheme="minorHAnsi" w:cstheme="minorHAnsi"/>
        </w:rPr>
      </w:pPr>
      <w:r w:rsidRPr="005F120D">
        <w:rPr>
          <w:rFonts w:asciiTheme="minorHAnsi" w:hAnsiTheme="minorHAnsi" w:cstheme="minorHAnsi"/>
        </w:rPr>
        <w:t xml:space="preserve">Range between </w:t>
      </w:r>
      <w:r w:rsidR="00512ADA" w:rsidRPr="005F120D">
        <w:rPr>
          <w:rFonts w:asciiTheme="minorHAnsi" w:hAnsiTheme="minorHAnsi" w:cstheme="minorHAnsi"/>
        </w:rPr>
        <w:t xml:space="preserve">the </w:t>
      </w:r>
      <w:r w:rsidRPr="005F120D">
        <w:rPr>
          <w:rFonts w:asciiTheme="minorHAnsi" w:hAnsiTheme="minorHAnsi" w:cstheme="minorHAnsi"/>
        </w:rPr>
        <w:t xml:space="preserve">average value of index for top 10% and bottom 10% of </w:t>
      </w:r>
      <w:r w:rsidR="00770B93" w:rsidRPr="005F120D">
        <w:rPr>
          <w:rFonts w:asciiTheme="minorHAnsi" w:hAnsiTheme="minorHAnsi" w:cstheme="minorHAnsi"/>
        </w:rPr>
        <w:t>Upazilas</w:t>
      </w:r>
    </w:p>
    <w:p w:rsidR="00F469DB" w:rsidRPr="005F120D" w:rsidRDefault="000C04AA" w:rsidP="00C437AA">
      <w:pPr>
        <w:numPr>
          <w:ilvl w:val="0"/>
          <w:numId w:val="31"/>
        </w:numPr>
        <w:spacing w:after="200" w:line="276" w:lineRule="auto"/>
        <w:contextualSpacing/>
        <w:jc w:val="both"/>
        <w:rPr>
          <w:rFonts w:asciiTheme="minorHAnsi" w:hAnsiTheme="minorHAnsi" w:cstheme="minorHAnsi"/>
        </w:rPr>
      </w:pPr>
      <w:r w:rsidRPr="005F120D">
        <w:rPr>
          <w:rFonts w:asciiTheme="minorHAnsi" w:hAnsiTheme="minorHAnsi" w:cstheme="minorHAnsi"/>
        </w:rPr>
        <w:t>Average value of index for bottom 20% of Upazilas</w:t>
      </w:r>
    </w:p>
    <w:p w:rsidR="0053414D" w:rsidRPr="005F120D" w:rsidRDefault="002034E3" w:rsidP="00C437AA">
      <w:pPr>
        <w:spacing w:before="360" w:line="276" w:lineRule="auto"/>
        <w:jc w:val="both"/>
        <w:rPr>
          <w:rFonts w:asciiTheme="minorHAnsi" w:hAnsiTheme="minorHAnsi" w:cstheme="minorHAnsi"/>
          <w:szCs w:val="22"/>
        </w:rPr>
      </w:pPr>
      <w:r w:rsidRPr="005F120D">
        <w:rPr>
          <w:rFonts w:asciiTheme="minorHAnsi" w:hAnsiTheme="minorHAnsi" w:cstheme="minorHAnsi"/>
          <w:szCs w:val="22"/>
        </w:rPr>
        <w:t>In 2015 the average value of the index for the top 10% of Upazilas declined to 2.00 from 2.04 in 2014, while the average value for the bo</w:t>
      </w:r>
      <w:r w:rsidR="00512ADA" w:rsidRPr="005F120D">
        <w:rPr>
          <w:rFonts w:asciiTheme="minorHAnsi" w:hAnsiTheme="minorHAnsi" w:cstheme="minorHAnsi"/>
          <w:szCs w:val="22"/>
        </w:rPr>
        <w:t>ttom 10% of Upazilas was 1.04; the</w:t>
      </w:r>
      <w:r w:rsidRPr="005F120D">
        <w:rPr>
          <w:rFonts w:asciiTheme="minorHAnsi" w:hAnsiTheme="minorHAnsi" w:cstheme="minorHAnsi"/>
          <w:szCs w:val="22"/>
        </w:rPr>
        <w:t xml:space="preserve"> range between the top and bottom group was</w:t>
      </w:r>
      <w:r w:rsidR="000C04AA" w:rsidRPr="005F120D">
        <w:rPr>
          <w:rFonts w:asciiTheme="minorHAnsi" w:hAnsiTheme="minorHAnsi" w:cstheme="minorHAnsi"/>
          <w:szCs w:val="22"/>
        </w:rPr>
        <w:t xml:space="preserve"> 0.9</w:t>
      </w:r>
      <w:r w:rsidR="00F469DB" w:rsidRPr="005F120D">
        <w:rPr>
          <w:rFonts w:asciiTheme="minorHAnsi" w:hAnsiTheme="minorHAnsi" w:cstheme="minorHAnsi"/>
          <w:szCs w:val="22"/>
        </w:rPr>
        <w:t>6</w:t>
      </w:r>
      <w:r w:rsidR="000C04AA" w:rsidRPr="005F120D">
        <w:rPr>
          <w:rFonts w:asciiTheme="minorHAnsi" w:hAnsiTheme="minorHAnsi" w:cstheme="minorHAnsi"/>
          <w:szCs w:val="22"/>
        </w:rPr>
        <w:t xml:space="preserve">. </w:t>
      </w:r>
      <w:r w:rsidR="00512ADA" w:rsidRPr="005F120D">
        <w:rPr>
          <w:rFonts w:asciiTheme="minorHAnsi" w:hAnsiTheme="minorHAnsi" w:cstheme="minorHAnsi"/>
          <w:szCs w:val="22"/>
        </w:rPr>
        <w:t xml:space="preserve">The range gap is declining; this means </w:t>
      </w:r>
      <w:r w:rsidR="0030325C" w:rsidRPr="005F120D">
        <w:rPr>
          <w:rFonts w:asciiTheme="minorHAnsi" w:hAnsiTheme="minorHAnsi" w:cstheme="minorHAnsi"/>
          <w:szCs w:val="22"/>
        </w:rPr>
        <w:t>a reduction in</w:t>
      </w:r>
      <w:r w:rsidRPr="005F120D">
        <w:rPr>
          <w:rFonts w:asciiTheme="minorHAnsi" w:hAnsiTheme="minorHAnsi" w:cstheme="minorHAnsi"/>
          <w:szCs w:val="22"/>
        </w:rPr>
        <w:t xml:space="preserve"> the </w:t>
      </w:r>
      <w:r w:rsidR="000B3F99" w:rsidRPr="005F120D">
        <w:rPr>
          <w:rFonts w:asciiTheme="minorHAnsi" w:hAnsiTheme="minorHAnsi" w:cstheme="minorHAnsi"/>
          <w:szCs w:val="22"/>
        </w:rPr>
        <w:t xml:space="preserve">performance </w:t>
      </w:r>
      <w:r w:rsidRPr="005F120D">
        <w:rPr>
          <w:rFonts w:asciiTheme="minorHAnsi" w:hAnsiTheme="minorHAnsi" w:cstheme="minorHAnsi"/>
          <w:szCs w:val="22"/>
        </w:rPr>
        <w:t>gap between top and bottom</w:t>
      </w:r>
      <w:r w:rsidR="000B3F99" w:rsidRPr="005F120D">
        <w:rPr>
          <w:rFonts w:asciiTheme="minorHAnsi" w:hAnsiTheme="minorHAnsi" w:cstheme="minorHAnsi"/>
          <w:szCs w:val="22"/>
        </w:rPr>
        <w:t xml:space="preserve"> </w:t>
      </w:r>
      <w:r w:rsidR="00770B93" w:rsidRPr="005F120D">
        <w:rPr>
          <w:rFonts w:asciiTheme="minorHAnsi" w:hAnsiTheme="minorHAnsi" w:cstheme="minorHAnsi"/>
          <w:szCs w:val="22"/>
        </w:rPr>
        <w:t>Upazilas</w:t>
      </w:r>
      <w:r w:rsidRPr="005F120D">
        <w:rPr>
          <w:rFonts w:asciiTheme="minorHAnsi" w:hAnsiTheme="minorHAnsi" w:cstheme="minorHAnsi"/>
          <w:szCs w:val="22"/>
        </w:rPr>
        <w:t>.</w:t>
      </w:r>
      <w:r w:rsidR="000C04AA" w:rsidRPr="005F120D">
        <w:rPr>
          <w:rFonts w:asciiTheme="minorHAnsi" w:hAnsiTheme="minorHAnsi" w:cstheme="minorHAnsi"/>
          <w:szCs w:val="22"/>
        </w:rPr>
        <w:t xml:space="preserve"> The average value for the</w:t>
      </w:r>
      <w:r w:rsidR="009B422F" w:rsidRPr="005F120D">
        <w:rPr>
          <w:rFonts w:asciiTheme="minorHAnsi" w:hAnsiTheme="minorHAnsi" w:cstheme="minorHAnsi"/>
          <w:szCs w:val="22"/>
        </w:rPr>
        <w:t xml:space="preserve"> bottom 20% of Upazilas was 1.17</w:t>
      </w:r>
      <w:r w:rsidRPr="005F120D">
        <w:rPr>
          <w:rFonts w:asciiTheme="minorHAnsi" w:hAnsiTheme="minorHAnsi" w:cstheme="minorHAnsi"/>
          <w:szCs w:val="22"/>
        </w:rPr>
        <w:t xml:space="preserve"> (see Table 3.19</w:t>
      </w:r>
      <w:r w:rsidR="000C04AA" w:rsidRPr="005F120D">
        <w:rPr>
          <w:rFonts w:asciiTheme="minorHAnsi" w:hAnsiTheme="minorHAnsi" w:cstheme="minorHAnsi"/>
          <w:szCs w:val="22"/>
        </w:rPr>
        <w:t xml:space="preserve">).   Annex C contains a list of the 10% of Upazilas with the lowest </w:t>
      </w:r>
      <w:r w:rsidR="00D960CB" w:rsidRPr="005F120D">
        <w:rPr>
          <w:rFonts w:asciiTheme="minorHAnsi" w:hAnsiTheme="minorHAnsi" w:cstheme="minorHAnsi"/>
          <w:szCs w:val="22"/>
        </w:rPr>
        <w:t xml:space="preserve">and highest </w:t>
      </w:r>
      <w:r w:rsidR="000C04AA" w:rsidRPr="005F120D">
        <w:rPr>
          <w:rFonts w:asciiTheme="minorHAnsi" w:hAnsiTheme="minorHAnsi" w:cstheme="minorHAnsi"/>
          <w:szCs w:val="22"/>
        </w:rPr>
        <w:t>score on the Upazila composite indicator in 201</w:t>
      </w:r>
      <w:r w:rsidR="009B422F" w:rsidRPr="005F120D">
        <w:rPr>
          <w:rFonts w:asciiTheme="minorHAnsi" w:hAnsiTheme="minorHAnsi" w:cstheme="minorHAnsi"/>
          <w:szCs w:val="22"/>
        </w:rPr>
        <w:t>5</w:t>
      </w:r>
      <w:r w:rsidR="0053414D" w:rsidRPr="005F120D">
        <w:rPr>
          <w:rFonts w:asciiTheme="minorHAnsi" w:hAnsiTheme="minorHAnsi" w:cstheme="minorHAnsi"/>
          <w:szCs w:val="22"/>
        </w:rPr>
        <w:t>.</w:t>
      </w:r>
    </w:p>
    <w:p w:rsidR="0053414D" w:rsidRPr="005F120D" w:rsidRDefault="00191AFB" w:rsidP="00C437AA">
      <w:pPr>
        <w:pStyle w:val="Caption"/>
        <w:spacing w:line="276" w:lineRule="auto"/>
        <w:rPr>
          <w:rFonts w:cstheme="minorHAnsi"/>
          <w:szCs w:val="22"/>
        </w:rPr>
      </w:pPr>
      <w:bookmarkStart w:id="354" w:name="_Toc462837276"/>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19</w:t>
      </w:r>
      <w:r w:rsidR="002E2ED5" w:rsidRPr="005F120D">
        <w:rPr>
          <w:rFonts w:cstheme="minorHAnsi"/>
        </w:rPr>
        <w:fldChar w:fldCharType="end"/>
      </w:r>
      <w:r w:rsidR="006A7739" w:rsidRPr="005F120D">
        <w:rPr>
          <w:rFonts w:cstheme="minorHAnsi"/>
        </w:rPr>
        <w:t>:</w:t>
      </w:r>
      <w:r w:rsidR="00770B93">
        <w:rPr>
          <w:rFonts w:cstheme="minorHAnsi"/>
        </w:rPr>
        <w:t xml:space="preserve"> </w:t>
      </w:r>
      <w:r w:rsidR="0053414D" w:rsidRPr="005F120D">
        <w:rPr>
          <w:rFonts w:cstheme="minorHAnsi"/>
          <w:szCs w:val="22"/>
        </w:rPr>
        <w:t>Upazila</w:t>
      </w:r>
      <w:r w:rsidR="00B044BA" w:rsidRPr="005F120D">
        <w:rPr>
          <w:rFonts w:cstheme="minorHAnsi"/>
          <w:szCs w:val="22"/>
        </w:rPr>
        <w:t xml:space="preserve"> Composite Index Value 2010-201</w:t>
      </w:r>
      <w:r w:rsidR="00335321" w:rsidRPr="005F120D">
        <w:rPr>
          <w:rFonts w:cstheme="minorHAnsi"/>
          <w:szCs w:val="22"/>
        </w:rPr>
        <w:t>5</w:t>
      </w:r>
      <w:bookmarkEnd w:id="354"/>
    </w:p>
    <w:tbl>
      <w:tblPr>
        <w:tblStyle w:val="TableGrid"/>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1767"/>
        <w:gridCol w:w="1314"/>
        <w:gridCol w:w="901"/>
        <w:gridCol w:w="901"/>
        <w:gridCol w:w="900"/>
        <w:gridCol w:w="900"/>
        <w:gridCol w:w="900"/>
        <w:gridCol w:w="1662"/>
      </w:tblGrid>
      <w:tr w:rsidR="00335321" w:rsidRPr="005F120D" w:rsidTr="000561CC">
        <w:trPr>
          <w:trHeight w:hRule="exact" w:val="302"/>
        </w:trPr>
        <w:tc>
          <w:tcPr>
            <w:tcW w:w="955" w:type="pct"/>
            <w:shd w:val="clear" w:color="auto" w:fill="D6E3BC" w:themeFill="accent3" w:themeFillTint="66"/>
            <w:noWrap/>
            <w:hideMark/>
          </w:tcPr>
          <w:p w:rsidR="00335321" w:rsidRPr="005F120D" w:rsidRDefault="00335321" w:rsidP="00C437AA">
            <w:pPr>
              <w:spacing w:after="0" w:line="276" w:lineRule="auto"/>
              <w:rPr>
                <w:rFonts w:asciiTheme="minorHAnsi" w:hAnsiTheme="minorHAnsi" w:cstheme="minorHAnsi"/>
                <w:b/>
                <w:i/>
                <w:lang w:eastAsia="ja-JP"/>
              </w:rPr>
            </w:pPr>
            <w:r w:rsidRPr="005F120D">
              <w:rPr>
                <w:rFonts w:asciiTheme="minorHAnsi" w:hAnsiTheme="minorHAnsi" w:cstheme="minorHAnsi"/>
                <w:b/>
                <w:i/>
                <w:lang w:eastAsia="ja-JP"/>
              </w:rPr>
              <w:t>Upazila</w:t>
            </w:r>
          </w:p>
        </w:tc>
        <w:tc>
          <w:tcPr>
            <w:tcW w:w="710" w:type="pct"/>
            <w:shd w:val="clear" w:color="auto" w:fill="D6E3BC" w:themeFill="accent3" w:themeFillTint="66"/>
            <w:noWrap/>
          </w:tcPr>
          <w:p w:rsidR="00335321" w:rsidRPr="005F120D" w:rsidRDefault="00335321" w:rsidP="00C437AA">
            <w:pPr>
              <w:spacing w:after="0" w:line="276" w:lineRule="auto"/>
              <w:jc w:val="center"/>
              <w:rPr>
                <w:rFonts w:asciiTheme="minorHAnsi" w:hAnsiTheme="minorHAnsi" w:cstheme="minorHAnsi"/>
                <w:b/>
                <w:i/>
                <w:lang w:eastAsia="ja-JP"/>
              </w:rPr>
            </w:pPr>
            <w:r w:rsidRPr="005F120D">
              <w:rPr>
                <w:rFonts w:asciiTheme="minorHAnsi" w:hAnsiTheme="minorHAnsi" w:cstheme="minorHAnsi"/>
                <w:b/>
                <w:i/>
                <w:lang w:eastAsia="ja-JP"/>
              </w:rPr>
              <w:t>2010</w:t>
            </w:r>
          </w:p>
        </w:tc>
        <w:tc>
          <w:tcPr>
            <w:tcW w:w="487" w:type="pct"/>
            <w:shd w:val="clear" w:color="auto" w:fill="D6E3BC" w:themeFill="accent3" w:themeFillTint="66"/>
            <w:noWrap/>
          </w:tcPr>
          <w:p w:rsidR="00335321" w:rsidRPr="005F120D" w:rsidRDefault="00335321" w:rsidP="00C437AA">
            <w:pPr>
              <w:spacing w:after="0" w:line="276" w:lineRule="auto"/>
              <w:jc w:val="center"/>
              <w:rPr>
                <w:rFonts w:asciiTheme="minorHAnsi" w:hAnsiTheme="minorHAnsi" w:cstheme="minorHAnsi"/>
                <w:b/>
                <w:i/>
                <w:lang w:eastAsia="ja-JP"/>
              </w:rPr>
            </w:pPr>
            <w:r w:rsidRPr="005F120D">
              <w:rPr>
                <w:rFonts w:asciiTheme="minorHAnsi" w:hAnsiTheme="minorHAnsi" w:cstheme="minorHAnsi"/>
                <w:b/>
                <w:i/>
                <w:lang w:eastAsia="ja-JP"/>
              </w:rPr>
              <w:t>2011</w:t>
            </w:r>
          </w:p>
        </w:tc>
        <w:tc>
          <w:tcPr>
            <w:tcW w:w="487" w:type="pct"/>
            <w:shd w:val="clear" w:color="auto" w:fill="D6E3BC" w:themeFill="accent3" w:themeFillTint="66"/>
            <w:noWrap/>
          </w:tcPr>
          <w:p w:rsidR="00335321" w:rsidRPr="005F120D" w:rsidRDefault="00335321" w:rsidP="00C437AA">
            <w:pPr>
              <w:spacing w:after="0" w:line="276" w:lineRule="auto"/>
              <w:jc w:val="center"/>
              <w:rPr>
                <w:rFonts w:asciiTheme="minorHAnsi" w:hAnsiTheme="minorHAnsi" w:cstheme="minorHAnsi"/>
                <w:b/>
                <w:i/>
                <w:lang w:eastAsia="ja-JP"/>
              </w:rPr>
            </w:pPr>
            <w:r w:rsidRPr="005F120D">
              <w:rPr>
                <w:rFonts w:asciiTheme="minorHAnsi" w:hAnsiTheme="minorHAnsi" w:cstheme="minorHAnsi"/>
                <w:b/>
                <w:i/>
                <w:lang w:eastAsia="ja-JP"/>
              </w:rPr>
              <w:t>2012</w:t>
            </w:r>
          </w:p>
        </w:tc>
        <w:tc>
          <w:tcPr>
            <w:tcW w:w="487" w:type="pct"/>
            <w:shd w:val="clear" w:color="auto" w:fill="D6E3BC" w:themeFill="accent3" w:themeFillTint="66"/>
            <w:noWrap/>
            <w:hideMark/>
          </w:tcPr>
          <w:p w:rsidR="00335321" w:rsidRPr="005F120D" w:rsidRDefault="00335321" w:rsidP="00C437AA">
            <w:pPr>
              <w:spacing w:after="0" w:line="276" w:lineRule="auto"/>
              <w:jc w:val="center"/>
              <w:rPr>
                <w:rFonts w:asciiTheme="minorHAnsi" w:hAnsiTheme="minorHAnsi" w:cstheme="minorHAnsi"/>
                <w:b/>
                <w:i/>
                <w:lang w:eastAsia="ja-JP"/>
              </w:rPr>
            </w:pPr>
            <w:r w:rsidRPr="005F120D">
              <w:rPr>
                <w:rFonts w:asciiTheme="minorHAnsi" w:hAnsiTheme="minorHAnsi" w:cstheme="minorHAnsi"/>
                <w:b/>
                <w:i/>
                <w:lang w:eastAsia="ja-JP"/>
              </w:rPr>
              <w:t>2013</w:t>
            </w:r>
          </w:p>
        </w:tc>
        <w:tc>
          <w:tcPr>
            <w:tcW w:w="487" w:type="pct"/>
            <w:shd w:val="clear" w:color="auto" w:fill="D6E3BC" w:themeFill="accent3" w:themeFillTint="66"/>
          </w:tcPr>
          <w:p w:rsidR="00335321" w:rsidRPr="005F120D" w:rsidRDefault="00335321" w:rsidP="00C437AA">
            <w:pPr>
              <w:spacing w:after="0" w:line="276" w:lineRule="auto"/>
              <w:jc w:val="center"/>
              <w:rPr>
                <w:rFonts w:asciiTheme="minorHAnsi" w:hAnsiTheme="minorHAnsi" w:cstheme="minorHAnsi"/>
                <w:b/>
                <w:i/>
                <w:lang w:eastAsia="ja-JP"/>
              </w:rPr>
            </w:pPr>
            <w:r w:rsidRPr="005F120D">
              <w:rPr>
                <w:rFonts w:asciiTheme="minorHAnsi" w:hAnsiTheme="minorHAnsi" w:cstheme="minorHAnsi"/>
                <w:b/>
                <w:i/>
                <w:lang w:eastAsia="ja-JP"/>
              </w:rPr>
              <w:t>2014</w:t>
            </w:r>
          </w:p>
        </w:tc>
        <w:tc>
          <w:tcPr>
            <w:tcW w:w="487" w:type="pct"/>
            <w:shd w:val="clear" w:color="auto" w:fill="D6E3BC" w:themeFill="accent3" w:themeFillTint="66"/>
          </w:tcPr>
          <w:p w:rsidR="00335321" w:rsidRPr="005F120D" w:rsidRDefault="00335321" w:rsidP="00C437AA">
            <w:pPr>
              <w:spacing w:after="0" w:line="276" w:lineRule="auto"/>
              <w:jc w:val="center"/>
              <w:rPr>
                <w:rFonts w:asciiTheme="minorHAnsi" w:hAnsiTheme="minorHAnsi" w:cstheme="minorHAnsi"/>
                <w:b/>
                <w:i/>
                <w:lang w:eastAsia="ja-JP"/>
              </w:rPr>
            </w:pPr>
            <w:r w:rsidRPr="005F120D">
              <w:rPr>
                <w:rFonts w:asciiTheme="minorHAnsi" w:hAnsiTheme="minorHAnsi" w:cstheme="minorHAnsi"/>
                <w:b/>
                <w:i/>
                <w:lang w:eastAsia="ja-JP"/>
              </w:rPr>
              <w:t>2015</w:t>
            </w:r>
          </w:p>
        </w:tc>
        <w:tc>
          <w:tcPr>
            <w:tcW w:w="899" w:type="pct"/>
            <w:shd w:val="clear" w:color="auto" w:fill="D6E3BC" w:themeFill="accent3" w:themeFillTint="66"/>
          </w:tcPr>
          <w:p w:rsidR="00335321" w:rsidRPr="005F120D" w:rsidRDefault="00335321" w:rsidP="00C437AA">
            <w:pPr>
              <w:spacing w:after="0" w:line="276" w:lineRule="auto"/>
              <w:jc w:val="center"/>
              <w:rPr>
                <w:rFonts w:asciiTheme="minorHAnsi" w:hAnsiTheme="minorHAnsi" w:cstheme="minorHAnsi"/>
                <w:b/>
                <w:i/>
                <w:lang w:eastAsia="ja-JP"/>
              </w:rPr>
            </w:pPr>
            <w:r w:rsidRPr="005F120D">
              <w:rPr>
                <w:rFonts w:asciiTheme="minorHAnsi" w:hAnsiTheme="minorHAnsi" w:cstheme="minorHAnsi"/>
                <w:b/>
                <w:i/>
                <w:lang w:eastAsia="ja-JP"/>
              </w:rPr>
              <w:t>Target 2017</w:t>
            </w:r>
          </w:p>
        </w:tc>
      </w:tr>
      <w:tr w:rsidR="00335321" w:rsidRPr="005F120D" w:rsidTr="000561CC">
        <w:trPr>
          <w:trHeight w:hRule="exact" w:val="302"/>
        </w:trPr>
        <w:tc>
          <w:tcPr>
            <w:tcW w:w="955" w:type="pct"/>
            <w:noWrap/>
            <w:hideMark/>
          </w:tcPr>
          <w:p w:rsidR="00335321" w:rsidRPr="005F120D" w:rsidRDefault="00335321" w:rsidP="00C437AA">
            <w:pPr>
              <w:spacing w:after="0" w:line="276" w:lineRule="auto"/>
              <w:rPr>
                <w:rFonts w:asciiTheme="minorHAnsi" w:hAnsiTheme="minorHAnsi" w:cstheme="minorHAnsi"/>
                <w:lang w:eastAsia="ja-JP"/>
              </w:rPr>
            </w:pPr>
            <w:r w:rsidRPr="005F120D">
              <w:rPr>
                <w:rFonts w:asciiTheme="minorHAnsi" w:hAnsiTheme="minorHAnsi" w:cstheme="minorHAnsi"/>
                <w:lang w:eastAsia="ja-JP"/>
              </w:rPr>
              <w:t>Top 10%</w:t>
            </w:r>
          </w:p>
        </w:tc>
        <w:tc>
          <w:tcPr>
            <w:tcW w:w="710" w:type="pct"/>
            <w:noWrap/>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2.36</w:t>
            </w:r>
          </w:p>
        </w:tc>
        <w:tc>
          <w:tcPr>
            <w:tcW w:w="487" w:type="pct"/>
            <w:noWrap/>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2.23</w:t>
            </w:r>
          </w:p>
        </w:tc>
        <w:tc>
          <w:tcPr>
            <w:tcW w:w="487" w:type="pct"/>
            <w:noWrap/>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2.27</w:t>
            </w:r>
          </w:p>
        </w:tc>
        <w:tc>
          <w:tcPr>
            <w:tcW w:w="487" w:type="pct"/>
            <w:noWrap/>
            <w:hideMark/>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2.38</w:t>
            </w:r>
          </w:p>
        </w:tc>
        <w:tc>
          <w:tcPr>
            <w:tcW w:w="487" w:type="pct"/>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2.34</w:t>
            </w:r>
          </w:p>
        </w:tc>
        <w:tc>
          <w:tcPr>
            <w:tcW w:w="487" w:type="pct"/>
          </w:tcPr>
          <w:p w:rsidR="00335321" w:rsidRPr="005F120D" w:rsidRDefault="009B422F"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2.00</w:t>
            </w:r>
          </w:p>
        </w:tc>
        <w:tc>
          <w:tcPr>
            <w:tcW w:w="899" w:type="pct"/>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2.50</w:t>
            </w:r>
          </w:p>
        </w:tc>
      </w:tr>
      <w:tr w:rsidR="00335321" w:rsidRPr="005F120D" w:rsidTr="000561CC">
        <w:trPr>
          <w:trHeight w:hRule="exact" w:val="302"/>
        </w:trPr>
        <w:tc>
          <w:tcPr>
            <w:tcW w:w="955" w:type="pct"/>
            <w:tcBorders>
              <w:bottom w:val="double" w:sz="4" w:space="0" w:color="4F6228" w:themeColor="accent3" w:themeShade="80"/>
            </w:tcBorders>
            <w:noWrap/>
            <w:hideMark/>
          </w:tcPr>
          <w:p w:rsidR="00335321" w:rsidRPr="005F120D" w:rsidRDefault="00335321" w:rsidP="00C437AA">
            <w:pPr>
              <w:spacing w:after="0" w:line="276" w:lineRule="auto"/>
              <w:rPr>
                <w:rFonts w:asciiTheme="minorHAnsi" w:hAnsiTheme="minorHAnsi" w:cstheme="minorHAnsi"/>
                <w:lang w:eastAsia="ja-JP"/>
              </w:rPr>
            </w:pPr>
            <w:r w:rsidRPr="005F120D">
              <w:rPr>
                <w:rFonts w:asciiTheme="minorHAnsi" w:hAnsiTheme="minorHAnsi" w:cstheme="minorHAnsi"/>
                <w:lang w:eastAsia="ja-JP"/>
              </w:rPr>
              <w:t>Bottom 10%</w:t>
            </w:r>
          </w:p>
        </w:tc>
        <w:tc>
          <w:tcPr>
            <w:tcW w:w="710" w:type="pct"/>
            <w:tcBorders>
              <w:bottom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1.04</w:t>
            </w:r>
          </w:p>
        </w:tc>
        <w:tc>
          <w:tcPr>
            <w:tcW w:w="487" w:type="pct"/>
            <w:tcBorders>
              <w:bottom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1.15</w:t>
            </w:r>
          </w:p>
        </w:tc>
        <w:tc>
          <w:tcPr>
            <w:tcW w:w="487" w:type="pct"/>
            <w:tcBorders>
              <w:bottom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1.17</w:t>
            </w:r>
          </w:p>
        </w:tc>
        <w:tc>
          <w:tcPr>
            <w:tcW w:w="487" w:type="pct"/>
            <w:tcBorders>
              <w:bottom w:val="double" w:sz="4" w:space="0" w:color="4F6228" w:themeColor="accent3" w:themeShade="80"/>
            </w:tcBorders>
            <w:noWrap/>
            <w:hideMark/>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1.24</w:t>
            </w:r>
          </w:p>
        </w:tc>
        <w:tc>
          <w:tcPr>
            <w:tcW w:w="487" w:type="pct"/>
            <w:tcBorders>
              <w:bottom w:val="double" w:sz="4" w:space="0" w:color="4F6228" w:themeColor="accent3" w:themeShade="80"/>
            </w:tcBorders>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1.44</w:t>
            </w:r>
          </w:p>
        </w:tc>
        <w:tc>
          <w:tcPr>
            <w:tcW w:w="487" w:type="pct"/>
            <w:tcBorders>
              <w:bottom w:val="double" w:sz="4" w:space="0" w:color="4F6228" w:themeColor="accent3" w:themeShade="80"/>
            </w:tcBorders>
          </w:tcPr>
          <w:p w:rsidR="00335321" w:rsidRPr="005F120D" w:rsidRDefault="009B422F"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1.04</w:t>
            </w:r>
          </w:p>
        </w:tc>
        <w:tc>
          <w:tcPr>
            <w:tcW w:w="899" w:type="pct"/>
            <w:tcBorders>
              <w:bottom w:val="double" w:sz="4" w:space="0" w:color="4F6228" w:themeColor="accent3" w:themeShade="80"/>
            </w:tcBorders>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1.50</w:t>
            </w:r>
          </w:p>
        </w:tc>
      </w:tr>
      <w:tr w:rsidR="00335321" w:rsidRPr="005F120D" w:rsidTr="000561CC">
        <w:trPr>
          <w:trHeight w:hRule="exact" w:val="302"/>
        </w:trPr>
        <w:tc>
          <w:tcPr>
            <w:tcW w:w="955" w:type="pct"/>
            <w:tcBorders>
              <w:top w:val="double" w:sz="4" w:space="0" w:color="4F6228" w:themeColor="accent3" w:themeShade="80"/>
              <w:bottom w:val="double" w:sz="4" w:space="0" w:color="4F6228" w:themeColor="accent3" w:themeShade="80"/>
            </w:tcBorders>
            <w:noWrap/>
            <w:hideMark/>
          </w:tcPr>
          <w:p w:rsidR="00335321" w:rsidRPr="005F120D" w:rsidRDefault="00335321" w:rsidP="00C437AA">
            <w:pPr>
              <w:spacing w:after="0" w:line="276" w:lineRule="auto"/>
              <w:rPr>
                <w:rFonts w:asciiTheme="minorHAnsi" w:hAnsiTheme="minorHAnsi" w:cstheme="minorHAnsi"/>
                <w:i/>
                <w:lang w:eastAsia="ja-JP"/>
              </w:rPr>
            </w:pPr>
            <w:r w:rsidRPr="005F120D">
              <w:rPr>
                <w:rFonts w:asciiTheme="minorHAnsi" w:hAnsiTheme="minorHAnsi" w:cstheme="minorHAnsi"/>
                <w:i/>
                <w:lang w:eastAsia="ja-JP"/>
              </w:rPr>
              <w:t>Range</w:t>
            </w:r>
          </w:p>
        </w:tc>
        <w:tc>
          <w:tcPr>
            <w:tcW w:w="710" w:type="pct"/>
            <w:tcBorders>
              <w:top w:val="double" w:sz="4" w:space="0" w:color="4F6228" w:themeColor="accent3" w:themeShade="80"/>
              <w:bottom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bCs/>
                <w:i/>
                <w:lang w:eastAsia="ja-JP"/>
              </w:rPr>
            </w:pPr>
            <w:r w:rsidRPr="005F120D">
              <w:rPr>
                <w:rFonts w:asciiTheme="minorHAnsi" w:hAnsiTheme="minorHAnsi" w:cstheme="minorHAnsi"/>
                <w:bCs/>
                <w:i/>
                <w:lang w:eastAsia="ja-JP"/>
              </w:rPr>
              <w:t>0.99</w:t>
            </w:r>
          </w:p>
        </w:tc>
        <w:tc>
          <w:tcPr>
            <w:tcW w:w="487" w:type="pct"/>
            <w:tcBorders>
              <w:top w:val="double" w:sz="4" w:space="0" w:color="4F6228" w:themeColor="accent3" w:themeShade="80"/>
              <w:bottom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bCs/>
                <w:i/>
                <w:lang w:eastAsia="ja-JP"/>
              </w:rPr>
            </w:pPr>
            <w:r w:rsidRPr="005F120D">
              <w:rPr>
                <w:rFonts w:asciiTheme="minorHAnsi" w:hAnsiTheme="minorHAnsi" w:cstheme="minorHAnsi"/>
                <w:bCs/>
                <w:i/>
                <w:lang w:eastAsia="ja-JP"/>
              </w:rPr>
              <w:t>1.10</w:t>
            </w:r>
          </w:p>
        </w:tc>
        <w:tc>
          <w:tcPr>
            <w:tcW w:w="487" w:type="pct"/>
            <w:tcBorders>
              <w:top w:val="double" w:sz="4" w:space="0" w:color="4F6228" w:themeColor="accent3" w:themeShade="80"/>
              <w:bottom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bCs/>
                <w:i/>
                <w:lang w:eastAsia="ja-JP"/>
              </w:rPr>
            </w:pPr>
            <w:r w:rsidRPr="005F120D">
              <w:rPr>
                <w:rFonts w:asciiTheme="minorHAnsi" w:hAnsiTheme="minorHAnsi" w:cstheme="minorHAnsi"/>
                <w:bCs/>
                <w:i/>
                <w:lang w:eastAsia="ja-JP"/>
              </w:rPr>
              <w:t>1.10</w:t>
            </w:r>
          </w:p>
        </w:tc>
        <w:tc>
          <w:tcPr>
            <w:tcW w:w="487" w:type="pct"/>
            <w:tcBorders>
              <w:top w:val="double" w:sz="4" w:space="0" w:color="4F6228" w:themeColor="accent3" w:themeShade="80"/>
              <w:bottom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i/>
                <w:lang w:eastAsia="ja-JP"/>
              </w:rPr>
            </w:pPr>
            <w:r w:rsidRPr="005F120D">
              <w:rPr>
                <w:rFonts w:asciiTheme="minorHAnsi" w:hAnsiTheme="minorHAnsi" w:cstheme="minorHAnsi"/>
                <w:i/>
                <w:lang w:eastAsia="ja-JP"/>
              </w:rPr>
              <w:t>1.14</w:t>
            </w:r>
          </w:p>
        </w:tc>
        <w:tc>
          <w:tcPr>
            <w:tcW w:w="487" w:type="pct"/>
            <w:tcBorders>
              <w:top w:val="double" w:sz="4" w:space="0" w:color="4F6228" w:themeColor="accent3" w:themeShade="80"/>
              <w:bottom w:val="double" w:sz="4" w:space="0" w:color="4F6228" w:themeColor="accent3" w:themeShade="80"/>
            </w:tcBorders>
          </w:tcPr>
          <w:p w:rsidR="00335321" w:rsidRPr="005F120D" w:rsidRDefault="00335321" w:rsidP="00C437AA">
            <w:pPr>
              <w:spacing w:after="0" w:line="276" w:lineRule="auto"/>
              <w:jc w:val="center"/>
              <w:rPr>
                <w:rFonts w:asciiTheme="minorHAnsi" w:hAnsiTheme="minorHAnsi" w:cstheme="minorHAnsi"/>
                <w:i/>
                <w:lang w:eastAsia="ja-JP"/>
              </w:rPr>
            </w:pPr>
            <w:r w:rsidRPr="005F120D">
              <w:rPr>
                <w:rFonts w:asciiTheme="minorHAnsi" w:hAnsiTheme="minorHAnsi" w:cstheme="minorHAnsi"/>
                <w:i/>
                <w:lang w:eastAsia="ja-JP"/>
              </w:rPr>
              <w:t>0.90</w:t>
            </w:r>
          </w:p>
        </w:tc>
        <w:tc>
          <w:tcPr>
            <w:tcW w:w="487" w:type="pct"/>
            <w:tcBorders>
              <w:top w:val="double" w:sz="4" w:space="0" w:color="4F6228" w:themeColor="accent3" w:themeShade="80"/>
              <w:bottom w:val="double" w:sz="4" w:space="0" w:color="4F6228" w:themeColor="accent3" w:themeShade="80"/>
            </w:tcBorders>
          </w:tcPr>
          <w:p w:rsidR="00335321" w:rsidRPr="005F120D" w:rsidRDefault="009B422F" w:rsidP="00C437AA">
            <w:pPr>
              <w:spacing w:after="0" w:line="276" w:lineRule="auto"/>
              <w:jc w:val="center"/>
              <w:rPr>
                <w:rFonts w:asciiTheme="minorHAnsi" w:hAnsiTheme="minorHAnsi" w:cstheme="minorHAnsi"/>
                <w:i/>
                <w:lang w:eastAsia="ja-JP"/>
              </w:rPr>
            </w:pPr>
            <w:r w:rsidRPr="005F120D">
              <w:rPr>
                <w:rFonts w:asciiTheme="minorHAnsi" w:hAnsiTheme="minorHAnsi" w:cstheme="minorHAnsi"/>
                <w:i/>
                <w:lang w:eastAsia="ja-JP"/>
              </w:rPr>
              <w:t>0.96</w:t>
            </w:r>
          </w:p>
        </w:tc>
        <w:tc>
          <w:tcPr>
            <w:tcW w:w="899" w:type="pct"/>
            <w:tcBorders>
              <w:top w:val="double" w:sz="4" w:space="0" w:color="4F6228" w:themeColor="accent3" w:themeShade="80"/>
              <w:bottom w:val="double" w:sz="4" w:space="0" w:color="4F6228" w:themeColor="accent3" w:themeShade="80"/>
            </w:tcBorders>
          </w:tcPr>
          <w:p w:rsidR="00335321" w:rsidRPr="005F120D" w:rsidRDefault="00335321" w:rsidP="00C437AA">
            <w:pPr>
              <w:spacing w:after="0" w:line="276" w:lineRule="auto"/>
              <w:jc w:val="center"/>
              <w:rPr>
                <w:rFonts w:asciiTheme="minorHAnsi" w:hAnsiTheme="minorHAnsi" w:cstheme="minorHAnsi"/>
                <w:i/>
                <w:lang w:eastAsia="ja-JP"/>
              </w:rPr>
            </w:pPr>
            <w:r w:rsidRPr="005F120D">
              <w:rPr>
                <w:rFonts w:asciiTheme="minorHAnsi" w:hAnsiTheme="minorHAnsi" w:cstheme="minorHAnsi"/>
                <w:i/>
                <w:lang w:eastAsia="ja-JP"/>
              </w:rPr>
              <w:t>1.0</w:t>
            </w:r>
          </w:p>
        </w:tc>
      </w:tr>
      <w:tr w:rsidR="00335321" w:rsidRPr="005F120D" w:rsidTr="000561CC">
        <w:trPr>
          <w:trHeight w:hRule="exact" w:val="302"/>
        </w:trPr>
        <w:tc>
          <w:tcPr>
            <w:tcW w:w="955" w:type="pct"/>
            <w:tcBorders>
              <w:top w:val="double" w:sz="4" w:space="0" w:color="4F6228" w:themeColor="accent3" w:themeShade="80"/>
            </w:tcBorders>
            <w:noWrap/>
          </w:tcPr>
          <w:p w:rsidR="00335321" w:rsidRPr="005F120D" w:rsidRDefault="00335321" w:rsidP="00C437AA">
            <w:pPr>
              <w:spacing w:after="0" w:line="276" w:lineRule="auto"/>
              <w:rPr>
                <w:rFonts w:asciiTheme="minorHAnsi" w:hAnsiTheme="minorHAnsi" w:cstheme="minorHAnsi"/>
                <w:lang w:eastAsia="ja-JP"/>
              </w:rPr>
            </w:pPr>
            <w:r w:rsidRPr="005F120D">
              <w:rPr>
                <w:rFonts w:asciiTheme="minorHAnsi" w:hAnsiTheme="minorHAnsi" w:cstheme="minorHAnsi"/>
                <w:lang w:eastAsia="ja-JP"/>
              </w:rPr>
              <w:t>Bottom 20%</w:t>
            </w:r>
          </w:p>
        </w:tc>
        <w:tc>
          <w:tcPr>
            <w:tcW w:w="710" w:type="pct"/>
            <w:tcBorders>
              <w:top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1.33/1.26</w:t>
            </w:r>
          </w:p>
        </w:tc>
        <w:tc>
          <w:tcPr>
            <w:tcW w:w="487" w:type="pct"/>
            <w:tcBorders>
              <w:top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1.31</w:t>
            </w:r>
          </w:p>
        </w:tc>
        <w:tc>
          <w:tcPr>
            <w:tcW w:w="487" w:type="pct"/>
            <w:tcBorders>
              <w:top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1.30</w:t>
            </w:r>
          </w:p>
        </w:tc>
        <w:tc>
          <w:tcPr>
            <w:tcW w:w="487" w:type="pct"/>
            <w:tcBorders>
              <w:top w:val="double" w:sz="4" w:space="0" w:color="4F6228" w:themeColor="accent3" w:themeShade="80"/>
            </w:tcBorders>
            <w:noWrap/>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1.38</w:t>
            </w:r>
          </w:p>
        </w:tc>
        <w:tc>
          <w:tcPr>
            <w:tcW w:w="487" w:type="pct"/>
            <w:tcBorders>
              <w:top w:val="double" w:sz="4" w:space="0" w:color="4F6228" w:themeColor="accent3" w:themeShade="80"/>
            </w:tcBorders>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1.54</w:t>
            </w:r>
          </w:p>
        </w:tc>
        <w:tc>
          <w:tcPr>
            <w:tcW w:w="487" w:type="pct"/>
            <w:tcBorders>
              <w:top w:val="double" w:sz="4" w:space="0" w:color="4F6228" w:themeColor="accent3" w:themeShade="80"/>
            </w:tcBorders>
          </w:tcPr>
          <w:p w:rsidR="00335321" w:rsidRPr="005F120D" w:rsidRDefault="009B422F"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1.17</w:t>
            </w:r>
          </w:p>
        </w:tc>
        <w:tc>
          <w:tcPr>
            <w:tcW w:w="899" w:type="pct"/>
            <w:tcBorders>
              <w:top w:val="double" w:sz="4" w:space="0" w:color="4F6228" w:themeColor="accent3" w:themeShade="80"/>
            </w:tcBorders>
          </w:tcPr>
          <w:p w:rsidR="00335321" w:rsidRPr="005F120D" w:rsidRDefault="00335321" w:rsidP="00C437AA">
            <w:pPr>
              <w:spacing w:after="0" w:line="276" w:lineRule="auto"/>
              <w:jc w:val="center"/>
              <w:rPr>
                <w:rFonts w:asciiTheme="minorHAnsi" w:hAnsiTheme="minorHAnsi" w:cstheme="minorHAnsi"/>
                <w:bCs/>
                <w:lang w:eastAsia="ja-JP"/>
              </w:rPr>
            </w:pPr>
            <w:r w:rsidRPr="005F120D">
              <w:rPr>
                <w:rFonts w:asciiTheme="minorHAnsi" w:hAnsiTheme="minorHAnsi" w:cstheme="minorHAnsi"/>
                <w:bCs/>
                <w:lang w:eastAsia="ja-JP"/>
              </w:rPr>
              <w:t>1.70</w:t>
            </w:r>
          </w:p>
        </w:tc>
      </w:tr>
    </w:tbl>
    <w:p w:rsidR="0053414D" w:rsidRPr="005F120D" w:rsidRDefault="00335321" w:rsidP="00C437AA">
      <w:pPr>
        <w:spacing w:line="276" w:lineRule="auto"/>
        <w:rPr>
          <w:rFonts w:asciiTheme="minorHAnsi" w:hAnsiTheme="minorHAnsi" w:cstheme="minorHAnsi"/>
          <w:b/>
          <w:sz w:val="16"/>
          <w:szCs w:val="16"/>
        </w:rPr>
      </w:pPr>
      <w:r w:rsidRPr="005F120D">
        <w:rPr>
          <w:rFonts w:asciiTheme="minorHAnsi" w:hAnsiTheme="minorHAnsi" w:cstheme="minorHAnsi"/>
          <w:b/>
          <w:sz w:val="16"/>
          <w:szCs w:val="16"/>
        </w:rPr>
        <w:t>Source: APSC 2010-15</w:t>
      </w:r>
    </w:p>
    <w:p w:rsidR="00191AFB" w:rsidRPr="00D56978" w:rsidRDefault="00D56978" w:rsidP="00C437AA">
      <w:pPr>
        <w:spacing w:line="276" w:lineRule="auto"/>
        <w:jc w:val="both"/>
        <w:rPr>
          <w:rFonts w:asciiTheme="minorHAnsi" w:hAnsiTheme="minorHAnsi" w:cstheme="minorHAnsi"/>
          <w:szCs w:val="22"/>
        </w:rPr>
      </w:pPr>
      <w:r w:rsidRPr="00D56978">
        <w:rPr>
          <w:rFonts w:asciiTheme="minorHAnsi" w:hAnsiTheme="minorHAnsi" w:cstheme="minorHAnsi"/>
          <w:szCs w:val="22"/>
        </w:rPr>
        <w:t xml:space="preserve">Table </w:t>
      </w:r>
      <w:r w:rsidRPr="00D56978">
        <w:rPr>
          <w:rFonts w:asciiTheme="minorHAnsi" w:hAnsiTheme="minorHAnsi" w:cstheme="minorHAnsi"/>
        </w:rPr>
        <w:t>3.19</w:t>
      </w:r>
      <w:r w:rsidRPr="00D56978">
        <w:rPr>
          <w:rFonts w:asciiTheme="minorHAnsi" w:hAnsiTheme="minorHAnsi" w:cstheme="minorHAnsi"/>
          <w:szCs w:val="22"/>
        </w:rPr>
        <w:t xml:space="preserve"> shows the composite index value of different years and calculation methodology attached as annexure; this index has shown itself to be somewhat changeable in ranking the performance of Upazilas.  When comparing the 2014 and 2015 Upazila indices, 51% of the Upazilas appeared in the bottom 10% list in both years; it is worth noting that all the Upazilas, appearing in the bottom 10% list are poor performing Upazilas. Currently, only 3 indicators consider for calculating the composite indicators. An alternative approach could be considered to track progress, such as the newly published Education Development Index (EDI), which is a more comprehensive league table ranking system for Post PEDP3</w:t>
      </w:r>
      <w:r w:rsidR="006929F1" w:rsidRPr="00D56978">
        <w:rPr>
          <w:rFonts w:asciiTheme="minorHAnsi" w:hAnsiTheme="minorHAnsi" w:cstheme="minorHAnsi"/>
          <w:szCs w:val="22"/>
        </w:rPr>
        <w:t>.</w:t>
      </w:r>
    </w:p>
    <w:p w:rsidR="003521E3" w:rsidRPr="005F120D" w:rsidRDefault="003521E3" w:rsidP="00C437AA">
      <w:pPr>
        <w:pStyle w:val="Heading4"/>
        <w:spacing w:before="240" w:after="120" w:line="276" w:lineRule="auto"/>
        <w:rPr>
          <w:rFonts w:asciiTheme="minorHAnsi" w:hAnsiTheme="minorHAnsi" w:cstheme="minorHAnsi"/>
          <w:b/>
          <w:color w:val="008000"/>
        </w:rPr>
      </w:pPr>
      <w:r w:rsidRPr="005F120D">
        <w:rPr>
          <w:rFonts w:asciiTheme="minorHAnsi" w:hAnsiTheme="minorHAnsi" w:cstheme="minorHAnsi"/>
          <w:b/>
          <w:color w:val="008000"/>
        </w:rPr>
        <w:t xml:space="preserve">Survival </w:t>
      </w:r>
      <w:r w:rsidR="006929F1" w:rsidRPr="005F120D">
        <w:rPr>
          <w:rFonts w:asciiTheme="minorHAnsi" w:hAnsiTheme="minorHAnsi" w:cstheme="minorHAnsi"/>
          <w:b/>
          <w:color w:val="008000"/>
        </w:rPr>
        <w:t>to G</w:t>
      </w:r>
      <w:r w:rsidR="00230DFC" w:rsidRPr="005F120D">
        <w:rPr>
          <w:rFonts w:asciiTheme="minorHAnsi" w:hAnsiTheme="minorHAnsi" w:cstheme="minorHAnsi"/>
          <w:b/>
          <w:color w:val="008000"/>
        </w:rPr>
        <w:t>rade 5</w:t>
      </w:r>
    </w:p>
    <w:p w:rsidR="007B3CA0" w:rsidRPr="005F120D" w:rsidRDefault="00A60BB5" w:rsidP="00C437AA">
      <w:pPr>
        <w:spacing w:before="240" w:line="276" w:lineRule="auto"/>
        <w:jc w:val="both"/>
        <w:rPr>
          <w:rFonts w:asciiTheme="minorHAnsi" w:hAnsiTheme="minorHAnsi" w:cstheme="minorHAnsi"/>
        </w:rPr>
      </w:pPr>
      <w:r w:rsidRPr="005F120D">
        <w:rPr>
          <w:rFonts w:asciiTheme="minorHAnsi" w:hAnsiTheme="minorHAnsi" w:cstheme="minorHAnsi"/>
        </w:rPr>
        <w:t xml:space="preserve">The </w:t>
      </w:r>
      <w:r w:rsidRPr="005F120D">
        <w:rPr>
          <w:rFonts w:asciiTheme="minorHAnsi" w:hAnsiTheme="minorHAnsi" w:cstheme="minorHAnsi"/>
          <w:b/>
          <w:u w:val="single"/>
        </w:rPr>
        <w:t>Non-KPI 6</w:t>
      </w:r>
      <w:r w:rsidRPr="005F120D">
        <w:rPr>
          <w:rFonts w:asciiTheme="minorHAnsi" w:hAnsiTheme="minorHAnsi" w:cstheme="minorHAnsi"/>
        </w:rPr>
        <w:t xml:space="preserve"> of PEDP3 is intended to monitor the survival rate to Grade 5, which is calculated using UNESCOs’ reconstructed cohort model. The survival rate is the percentage of a cohort of students enrolled in Grade 1</w:t>
      </w:r>
      <w:r w:rsidR="00541AAA" w:rsidRPr="005F120D">
        <w:rPr>
          <w:rFonts w:asciiTheme="minorHAnsi" w:hAnsiTheme="minorHAnsi" w:cstheme="minorHAnsi"/>
        </w:rPr>
        <w:t>,</w:t>
      </w:r>
      <w:r w:rsidRPr="005F120D">
        <w:rPr>
          <w:rFonts w:asciiTheme="minorHAnsi" w:hAnsiTheme="minorHAnsi" w:cstheme="minorHAnsi"/>
        </w:rPr>
        <w:t xml:space="preserve"> who </w:t>
      </w:r>
      <w:r w:rsidRPr="005F120D">
        <w:rPr>
          <w:rFonts w:asciiTheme="minorHAnsi" w:hAnsiTheme="minorHAnsi" w:cstheme="minorHAnsi"/>
          <w:iCs/>
        </w:rPr>
        <w:t>reach</w:t>
      </w:r>
      <w:r w:rsidRPr="005F120D">
        <w:rPr>
          <w:rFonts w:asciiTheme="minorHAnsi" w:hAnsiTheme="minorHAnsi" w:cstheme="minorHAnsi"/>
        </w:rPr>
        <w:t xml:space="preserve"> Grade 5 regardless of repetition.  Based on the APSC reports, the survival rate has increased markedly from 67.2% in 2010 to 81.3% (77.9% boys and 84.7% girl) in 2015 – an increase of 14 percentage points.  Figure 3.21 presents the survival rate between 2005 and 2015 based on the yearly APSC reports. In the 2015 APSC, other sources of information were also available and are presented below</w:t>
      </w:r>
      <w:r w:rsidR="00D00F06" w:rsidRPr="005F120D">
        <w:rPr>
          <w:rFonts w:asciiTheme="minorHAnsi" w:hAnsiTheme="minorHAnsi" w:cstheme="minorHAnsi"/>
        </w:rPr>
        <w:t>.</w:t>
      </w:r>
    </w:p>
    <w:p w:rsidR="0003739B" w:rsidRPr="005F120D" w:rsidRDefault="0003739B" w:rsidP="00C437AA">
      <w:pPr>
        <w:pStyle w:val="Caption"/>
        <w:spacing w:line="276" w:lineRule="auto"/>
        <w:rPr>
          <w:rFonts w:cstheme="minorHAnsi"/>
        </w:rPr>
      </w:pPr>
    </w:p>
    <w:p w:rsidR="006D1BEC" w:rsidRPr="005F120D" w:rsidRDefault="006D1BEC" w:rsidP="00C437AA">
      <w:pPr>
        <w:pStyle w:val="Caption"/>
        <w:spacing w:line="276" w:lineRule="auto"/>
        <w:rPr>
          <w:rFonts w:cstheme="minorHAnsi"/>
        </w:rPr>
      </w:pPr>
      <w:bookmarkStart w:id="355" w:name="_Toc462837430"/>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21</w:t>
      </w:r>
      <w:r w:rsidR="002E2ED5" w:rsidRPr="005F120D">
        <w:rPr>
          <w:rFonts w:cstheme="minorHAnsi"/>
        </w:rPr>
        <w:fldChar w:fldCharType="end"/>
      </w:r>
      <w:r w:rsidRPr="005F120D">
        <w:rPr>
          <w:rFonts w:cstheme="minorHAnsi"/>
        </w:rPr>
        <w:t xml:space="preserve">: </w:t>
      </w:r>
      <w:r w:rsidR="002D43E8" w:rsidRPr="005F120D">
        <w:rPr>
          <w:rFonts w:cstheme="minorHAnsi"/>
        </w:rPr>
        <w:t>Trends in Survival Rate to Grade 5 by Gender 2005-</w:t>
      </w:r>
      <w:r w:rsidRPr="005F120D">
        <w:rPr>
          <w:rFonts w:cstheme="minorHAnsi"/>
        </w:rPr>
        <w:t>2015</w:t>
      </w:r>
      <w:bookmarkEnd w:id="355"/>
    </w:p>
    <w:p w:rsidR="009C6758" w:rsidRPr="005F120D" w:rsidRDefault="002E2ED5" w:rsidP="00C437AA">
      <w:pPr>
        <w:spacing w:line="276" w:lineRule="auto"/>
        <w:jc w:val="center"/>
        <w:rPr>
          <w:rFonts w:asciiTheme="minorHAnsi" w:hAnsiTheme="minorHAnsi" w:cstheme="minorHAnsi"/>
        </w:rPr>
      </w:pPr>
      <w:r>
        <w:rPr>
          <w:rFonts w:asciiTheme="minorHAnsi" w:hAnsiTheme="minorHAnsi" w:cstheme="minorHAnsi"/>
          <w:noProof/>
          <w:lang w:eastAsia="en-US"/>
        </w:rPr>
        <w:pict>
          <v:shape id="AutoShape 384" o:spid="_x0000_s1083" type="#_x0000_t32" style="position:absolute;left:0;text-align:left;margin-left:58.5pt;margin-top:32.3pt;width:398.25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" strokecolor="#c00000" strokeweight="2pt">
            <v:shadow opacity=".5" offset="6pt,6pt"/>
          </v:shape>
        </w:pict>
      </w:r>
      <w:r w:rsidR="009D193D" w:rsidRPr="005F120D">
        <w:rPr>
          <w:rFonts w:asciiTheme="minorHAnsi" w:hAnsiTheme="minorHAnsi" w:cstheme="minorHAnsi"/>
          <w:noProof/>
          <w:lang w:eastAsia="en-US"/>
        </w:rPr>
        <w:drawing>
          <wp:inline distT="0" distB="0" distL="0" distR="0">
            <wp:extent cx="5911850" cy="2749550"/>
            <wp:effectExtent l="38100" t="19050" r="12700" b="0"/>
            <wp:docPr id="115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60BB5" w:rsidRPr="005F120D" w:rsidRDefault="00A60BB5" w:rsidP="0003739B">
      <w:pPr>
        <w:pStyle w:val="Caption"/>
        <w:spacing w:before="240" w:line="276" w:lineRule="auto"/>
        <w:jc w:val="both"/>
        <w:rPr>
          <w:rFonts w:cstheme="minorHAnsi"/>
          <w:b w:val="0"/>
        </w:rPr>
      </w:pPr>
      <w:r w:rsidRPr="005F120D">
        <w:rPr>
          <w:rFonts w:cstheme="minorHAnsi"/>
          <w:b w:val="0"/>
        </w:rPr>
        <w:t>The 2012-13 MICS (published in 2015) shows that the survival rate to Grade 5 was 96.4%</w:t>
      </w:r>
      <w:r w:rsidR="00541AAA" w:rsidRPr="005F120D">
        <w:rPr>
          <w:rFonts w:cstheme="minorHAnsi"/>
          <w:b w:val="0"/>
        </w:rPr>
        <w:t xml:space="preserve"> (boys 96% and girls 97%); this</w:t>
      </w:r>
      <w:r w:rsidRPr="005F120D">
        <w:rPr>
          <w:rFonts w:cstheme="minorHAnsi"/>
          <w:b w:val="0"/>
        </w:rPr>
        <w:t xml:space="preserve"> indicates a remarkable growth in student survival rates. Rajshahi division had the highest survival rate (96.9%) and Sylhet division had the lowest (93.4%). </w:t>
      </w:r>
    </w:p>
    <w:p w:rsidR="00A60BB5" w:rsidRPr="005F120D" w:rsidRDefault="00A60BB5" w:rsidP="0003739B">
      <w:pPr>
        <w:spacing w:line="276" w:lineRule="auto"/>
        <w:jc w:val="both"/>
        <w:rPr>
          <w:rFonts w:asciiTheme="minorHAnsi" w:hAnsiTheme="minorHAnsi" w:cstheme="minorHAnsi"/>
        </w:rPr>
      </w:pPr>
      <w:r w:rsidRPr="005F120D">
        <w:rPr>
          <w:rFonts w:asciiTheme="minorHAnsi" w:hAnsiTheme="minorHAnsi" w:cstheme="minorHAnsi"/>
        </w:rPr>
        <w:t>Another source of information on the survival rate is the Education Watch Survey 1998, 2000, 2008 and 2014 (2014 report published in 2015). Based on those reports, the survival rate to Grade 5 increased from 1998 (76%) to 2014 (all: 86.8%; boys: 81.3%; and girls: 90.5%). It is clear that the survival rate has improved during the PEDP3 period. The survival rate for the 2 main categories of schools was 88.4% for GPS and 70.3% for NNPS</w:t>
      </w:r>
      <w:r w:rsidR="00541AAA" w:rsidRPr="005F120D">
        <w:rPr>
          <w:rFonts w:asciiTheme="minorHAnsi" w:hAnsiTheme="minorHAnsi" w:cstheme="minorHAnsi"/>
        </w:rPr>
        <w:t xml:space="preserve"> respectively</w:t>
      </w:r>
      <w:r w:rsidRPr="005F120D">
        <w:rPr>
          <w:rFonts w:asciiTheme="minorHAnsi" w:hAnsiTheme="minorHAnsi" w:cstheme="minorHAnsi"/>
        </w:rPr>
        <w:t>.</w:t>
      </w:r>
    </w:p>
    <w:p w:rsidR="00A60BB5" w:rsidRPr="005F120D" w:rsidRDefault="00A60BB5" w:rsidP="0003739B">
      <w:pPr>
        <w:spacing w:line="276" w:lineRule="auto"/>
        <w:jc w:val="both"/>
        <w:rPr>
          <w:rFonts w:asciiTheme="minorHAnsi" w:hAnsiTheme="minorHAnsi" w:cstheme="minorHAnsi"/>
        </w:rPr>
      </w:pPr>
      <w:r w:rsidRPr="005F120D">
        <w:rPr>
          <w:rFonts w:asciiTheme="minorHAnsi" w:hAnsiTheme="minorHAnsi" w:cstheme="minorHAnsi"/>
        </w:rPr>
        <w:t xml:space="preserve">Chittagong district had the highest (93.6%) and </w:t>
      </w:r>
      <w:r w:rsidRPr="005F120D">
        <w:rPr>
          <w:rFonts w:asciiTheme="minorHAnsi" w:hAnsiTheme="minorHAnsi" w:cstheme="minorHAnsi"/>
          <w:color w:val="000000"/>
          <w:szCs w:val="22"/>
          <w:lang w:eastAsia="en-US"/>
        </w:rPr>
        <w:t>Gaibandha district had the lowest (57.6%) survival rate</w:t>
      </w:r>
      <w:r w:rsidR="0003739B" w:rsidRPr="005F120D">
        <w:rPr>
          <w:rFonts w:asciiTheme="minorHAnsi" w:hAnsiTheme="minorHAnsi" w:cstheme="minorHAnsi"/>
          <w:color w:val="000000"/>
          <w:szCs w:val="22"/>
          <w:lang w:eastAsia="en-US"/>
        </w:rPr>
        <w:t xml:space="preserve"> in 2015</w:t>
      </w:r>
      <w:r w:rsidRPr="005F120D">
        <w:rPr>
          <w:rFonts w:asciiTheme="minorHAnsi" w:hAnsiTheme="minorHAnsi" w:cstheme="minorHAnsi"/>
          <w:color w:val="000000"/>
          <w:szCs w:val="22"/>
          <w:lang w:eastAsia="en-US"/>
        </w:rPr>
        <w:t xml:space="preserve">. Other districts with low survival rates were Bhola (59.9%), Cox's Bazar (67%), Laxmipur (67.8%), Kishoregonj (69.6%), Sherpur (69.7%), Brahmonbaria (73.2%), Kurigram (75%) and </w:t>
      </w:r>
      <w:r w:rsidR="0003739B" w:rsidRPr="005F120D">
        <w:rPr>
          <w:rFonts w:asciiTheme="minorHAnsi" w:hAnsiTheme="minorHAnsi" w:cstheme="minorHAnsi"/>
          <w:color w:val="000000"/>
          <w:szCs w:val="22"/>
          <w:lang w:eastAsia="en-US"/>
        </w:rPr>
        <w:t xml:space="preserve">all </w:t>
      </w:r>
      <w:r w:rsidRPr="005F120D">
        <w:rPr>
          <w:rFonts w:asciiTheme="minorHAnsi" w:hAnsiTheme="minorHAnsi" w:cstheme="minorHAnsi"/>
          <w:color w:val="000000"/>
          <w:szCs w:val="22"/>
          <w:lang w:eastAsia="en-US"/>
        </w:rPr>
        <w:t>the districts of Sylhet division.</w:t>
      </w:r>
      <w:r w:rsidRPr="005F120D">
        <w:rPr>
          <w:rFonts w:asciiTheme="minorHAnsi" w:hAnsiTheme="minorHAnsi" w:cstheme="minorHAnsi"/>
        </w:rPr>
        <w:t xml:space="preserve"> The survival rate is also related to the primary cycle completion rate as well as to the primary cycle dropout rate. When the survival rate improves, the dropout rate diminishes and the primary completion rate improves.</w:t>
      </w:r>
    </w:p>
    <w:p w:rsidR="008C5676" w:rsidRPr="005F120D" w:rsidRDefault="00A60BB5" w:rsidP="0003739B">
      <w:pPr>
        <w:pStyle w:val="BodyText1"/>
        <w:spacing w:before="240"/>
        <w:jc w:val="both"/>
        <w:rPr>
          <w:rFonts w:asciiTheme="minorHAnsi" w:hAnsiTheme="minorHAnsi" w:cstheme="minorHAnsi"/>
          <w:b w:val="0"/>
        </w:rPr>
      </w:pPr>
      <w:r w:rsidRPr="005F120D">
        <w:rPr>
          <w:rFonts w:asciiTheme="minorHAnsi" w:hAnsiTheme="minorHAnsi" w:cstheme="minorHAnsi"/>
          <w:b w:val="0"/>
        </w:rPr>
        <w:t xml:space="preserve">The following Figure 3.22 shows the survival rate in 2015 for six special areas and compares them to the national average. Children in Char, Coast and </w:t>
      </w:r>
      <w:r w:rsidR="00D56978" w:rsidRPr="005F120D">
        <w:rPr>
          <w:rFonts w:asciiTheme="minorHAnsi" w:hAnsiTheme="minorHAnsi" w:cstheme="minorHAnsi"/>
          <w:b w:val="0"/>
        </w:rPr>
        <w:t>hoar</w:t>
      </w:r>
      <w:r w:rsidRPr="005F120D">
        <w:rPr>
          <w:rFonts w:asciiTheme="minorHAnsi" w:hAnsiTheme="minorHAnsi" w:cstheme="minorHAnsi"/>
          <w:b w:val="0"/>
        </w:rPr>
        <w:t xml:space="preserve"> areas face greater challenges to complete primary education: the survival rate in these areas is ten percentage points below the national average. About 5% of schools are located in </w:t>
      </w:r>
      <w:r w:rsidR="00D56978" w:rsidRPr="005F120D">
        <w:rPr>
          <w:rFonts w:asciiTheme="minorHAnsi" w:hAnsiTheme="minorHAnsi" w:cstheme="minorHAnsi"/>
          <w:b w:val="0"/>
        </w:rPr>
        <w:t>hoar</w:t>
      </w:r>
      <w:r w:rsidRPr="005F120D">
        <w:rPr>
          <w:rFonts w:asciiTheme="minorHAnsi" w:hAnsiTheme="minorHAnsi" w:cstheme="minorHAnsi"/>
          <w:b w:val="0"/>
        </w:rPr>
        <w:t xml:space="preserve"> areas and 6% in char areas. By contrast, the proportion of students who make it to Grade 5 was above the average in slum area</w:t>
      </w:r>
      <w:r w:rsidR="00AE7B36" w:rsidRPr="005F120D">
        <w:rPr>
          <w:rFonts w:asciiTheme="minorHAnsi" w:hAnsiTheme="minorHAnsi" w:cstheme="minorHAnsi"/>
          <w:b w:val="0"/>
        </w:rPr>
        <w:t>.</w:t>
      </w:r>
      <w:bookmarkStart w:id="356" w:name="_Ref259332351"/>
    </w:p>
    <w:p w:rsidR="0003739B" w:rsidRDefault="0003739B" w:rsidP="00D56978">
      <w:pPr>
        <w:pStyle w:val="Caption"/>
        <w:spacing w:line="276" w:lineRule="auto"/>
        <w:jc w:val="left"/>
        <w:rPr>
          <w:rFonts w:cstheme="minorHAnsi"/>
        </w:rPr>
      </w:pPr>
    </w:p>
    <w:p w:rsidR="00D56978" w:rsidRPr="00D56978" w:rsidRDefault="00D56978" w:rsidP="00D56978"/>
    <w:p w:rsidR="006D1BEC" w:rsidRPr="005F120D" w:rsidRDefault="009C6758" w:rsidP="00C437AA">
      <w:pPr>
        <w:pStyle w:val="Caption"/>
        <w:spacing w:line="276" w:lineRule="auto"/>
        <w:rPr>
          <w:rFonts w:cstheme="minorHAnsi"/>
        </w:rPr>
      </w:pPr>
      <w:bookmarkStart w:id="357" w:name="_Toc462837431"/>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22</w:t>
      </w:r>
      <w:r w:rsidR="002E2ED5" w:rsidRPr="005F120D">
        <w:rPr>
          <w:rFonts w:cstheme="minorHAnsi"/>
        </w:rPr>
        <w:fldChar w:fldCharType="end"/>
      </w:r>
      <w:r w:rsidR="006A7739" w:rsidRPr="005F120D">
        <w:rPr>
          <w:rFonts w:cstheme="minorHAnsi"/>
        </w:rPr>
        <w:t>:</w:t>
      </w:r>
      <w:r w:rsidR="00FA5698" w:rsidRPr="005F120D">
        <w:rPr>
          <w:rFonts w:cstheme="minorHAnsi"/>
        </w:rPr>
        <w:t xml:space="preserve"> Survival Rate to Grade 5, Selected A</w:t>
      </w:r>
      <w:r w:rsidR="00CC56E2" w:rsidRPr="005F120D">
        <w:rPr>
          <w:rFonts w:cstheme="minorHAnsi"/>
        </w:rPr>
        <w:t>reas</w:t>
      </w:r>
      <w:bookmarkEnd w:id="356"/>
      <w:r w:rsidR="003316BA" w:rsidRPr="005F120D">
        <w:rPr>
          <w:rFonts w:cstheme="minorHAnsi"/>
        </w:rPr>
        <w:t>, 201</w:t>
      </w:r>
      <w:r w:rsidR="00C510E6" w:rsidRPr="005F120D">
        <w:rPr>
          <w:rFonts w:cstheme="minorHAnsi"/>
        </w:rPr>
        <w:t>5</w:t>
      </w:r>
      <w:bookmarkEnd w:id="357"/>
    </w:p>
    <w:p w:rsidR="00E640A2" w:rsidRPr="005F120D" w:rsidRDefault="00A14D01" w:rsidP="00C437AA">
      <w:pPr>
        <w:pStyle w:val="BodyText1"/>
        <w:spacing w:after="0"/>
        <w:jc w:val="center"/>
        <w:rPr>
          <w:rFonts w:asciiTheme="minorHAnsi" w:hAnsiTheme="minorHAnsi" w:cstheme="minorHAnsi"/>
          <w:color w:val="FF0000"/>
        </w:rPr>
      </w:pPr>
      <w:r w:rsidRPr="005F120D">
        <w:rPr>
          <w:rFonts w:asciiTheme="minorHAnsi" w:hAnsiTheme="minorHAnsi" w:cstheme="minorHAnsi"/>
          <w:noProof/>
          <w:color w:val="FF0000"/>
          <w:lang w:val="en-US" w:eastAsia="en-US"/>
        </w:rPr>
        <w:drawing>
          <wp:inline distT="0" distB="0" distL="0" distR="0">
            <wp:extent cx="5306204" cy="2612006"/>
            <wp:effectExtent l="38100" t="19050" r="27796"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358" w:name="_Ref207461298"/>
      <w:bookmarkStart w:id="359" w:name="_Ref259182551"/>
    </w:p>
    <w:p w:rsidR="00E640A2" w:rsidRPr="005F120D" w:rsidRDefault="00E640A2" w:rsidP="00C437AA">
      <w:pPr>
        <w:pStyle w:val="BodyText1"/>
        <w:spacing w:after="360"/>
        <w:rPr>
          <w:rFonts w:asciiTheme="minorHAnsi" w:hAnsiTheme="minorHAnsi" w:cstheme="minorHAnsi"/>
          <w:sz w:val="16"/>
          <w:szCs w:val="16"/>
        </w:rPr>
      </w:pPr>
      <w:r w:rsidRPr="005F120D">
        <w:rPr>
          <w:rFonts w:asciiTheme="minorHAnsi" w:hAnsiTheme="minorHAnsi" w:cstheme="minorHAnsi"/>
          <w:sz w:val="16"/>
          <w:szCs w:val="16"/>
        </w:rPr>
        <w:tab/>
        <w:t>Source: APSC 2015</w:t>
      </w:r>
    </w:p>
    <w:p w:rsidR="001E4B2C" w:rsidRPr="005F120D" w:rsidRDefault="00A60BB5" w:rsidP="00C437AA">
      <w:pPr>
        <w:pStyle w:val="BodyText1"/>
        <w:spacing w:after="0"/>
        <w:jc w:val="both"/>
        <w:rPr>
          <w:rFonts w:asciiTheme="minorHAnsi" w:hAnsiTheme="minorHAnsi" w:cstheme="minorHAnsi"/>
          <w:b w:val="0"/>
        </w:rPr>
      </w:pPr>
      <w:r w:rsidRPr="005F120D">
        <w:rPr>
          <w:rFonts w:asciiTheme="minorHAnsi" w:hAnsiTheme="minorHAnsi" w:cstheme="minorHAnsi"/>
          <w:b w:val="0"/>
        </w:rPr>
        <w:t xml:space="preserve">The following Figure 3.23 shows the survival rate to Grade 5 (GPS &amp; NNPS) in 2015 by </w:t>
      </w:r>
      <w:r w:rsidR="00D56978" w:rsidRPr="005F120D">
        <w:rPr>
          <w:rFonts w:asciiTheme="minorHAnsi" w:hAnsiTheme="minorHAnsi" w:cstheme="minorHAnsi"/>
          <w:b w:val="0"/>
        </w:rPr>
        <w:t>Upazila</w:t>
      </w:r>
      <w:r w:rsidRPr="005F120D">
        <w:rPr>
          <w:rFonts w:asciiTheme="minorHAnsi" w:hAnsiTheme="minorHAnsi" w:cstheme="minorHAnsi"/>
          <w:b w:val="0"/>
        </w:rPr>
        <w:t xml:space="preserve">. There was a significant geographic variation in the proportion of students who made it to Grade 5, with the best performing </w:t>
      </w:r>
      <w:r w:rsidR="00D56978" w:rsidRPr="005F120D">
        <w:rPr>
          <w:rFonts w:asciiTheme="minorHAnsi" w:hAnsiTheme="minorHAnsi" w:cstheme="minorHAnsi"/>
          <w:b w:val="0"/>
        </w:rPr>
        <w:t>Upazilas</w:t>
      </w:r>
      <w:r w:rsidRPr="005F120D">
        <w:rPr>
          <w:rFonts w:asciiTheme="minorHAnsi" w:hAnsiTheme="minorHAnsi" w:cstheme="minorHAnsi"/>
          <w:b w:val="0"/>
        </w:rPr>
        <w:t xml:space="preserve"> in the centre and southeast and the poorest performing ones in the northern part of the country</w:t>
      </w:r>
      <w:r w:rsidR="00FC2184" w:rsidRPr="005F120D">
        <w:rPr>
          <w:rFonts w:asciiTheme="minorHAnsi" w:hAnsiTheme="minorHAnsi" w:cstheme="minorHAnsi"/>
          <w:b w:val="0"/>
        </w:rPr>
        <w:t xml:space="preserve"> (Sundarganj)</w:t>
      </w:r>
      <w:r w:rsidRPr="005F120D">
        <w:rPr>
          <w:rFonts w:asciiTheme="minorHAnsi" w:hAnsiTheme="minorHAnsi" w:cstheme="minorHAnsi"/>
          <w:b w:val="0"/>
        </w:rPr>
        <w:t>. The best performing district was Chittagong and the poorest performing district was Gaibandha. All 4 districts of Sylhet division had lower survival rate</w:t>
      </w:r>
      <w:r w:rsidR="00721598" w:rsidRPr="005F120D">
        <w:rPr>
          <w:rFonts w:asciiTheme="minorHAnsi" w:hAnsiTheme="minorHAnsi" w:cstheme="minorHAnsi"/>
          <w:b w:val="0"/>
        </w:rPr>
        <w:t>s</w:t>
      </w:r>
      <w:r w:rsidRPr="005F120D">
        <w:rPr>
          <w:rFonts w:asciiTheme="minorHAnsi" w:hAnsiTheme="minorHAnsi" w:cstheme="minorHAnsi"/>
          <w:b w:val="0"/>
        </w:rPr>
        <w:t xml:space="preserve"> compared to the national average</w:t>
      </w:r>
      <w:r w:rsidR="00E640A2" w:rsidRPr="005F120D">
        <w:rPr>
          <w:rFonts w:asciiTheme="minorHAnsi" w:hAnsiTheme="minorHAnsi" w:cstheme="minorHAnsi"/>
          <w:b w:val="0"/>
        </w:rPr>
        <w:t xml:space="preserve">.  </w:t>
      </w:r>
    </w:p>
    <w:p w:rsidR="009C6758" w:rsidRPr="005F120D" w:rsidRDefault="009C6758" w:rsidP="00C437AA">
      <w:pPr>
        <w:pStyle w:val="Caption"/>
        <w:spacing w:line="276" w:lineRule="auto"/>
        <w:rPr>
          <w:rFonts w:cstheme="minorHAnsi"/>
          <w:color w:val="FF0000"/>
        </w:rPr>
      </w:pPr>
    </w:p>
    <w:p w:rsidR="009C6758" w:rsidRPr="005F120D" w:rsidRDefault="009C6758" w:rsidP="00C437AA">
      <w:pPr>
        <w:pStyle w:val="Caption"/>
        <w:spacing w:line="276" w:lineRule="auto"/>
        <w:rPr>
          <w:rFonts w:cstheme="minorHAnsi"/>
          <w:color w:val="FF0000"/>
        </w:rPr>
      </w:pPr>
    </w:p>
    <w:p w:rsidR="00D42A30" w:rsidRPr="005F120D" w:rsidRDefault="00D42A30" w:rsidP="00C437AA">
      <w:pPr>
        <w:spacing w:line="276" w:lineRule="auto"/>
        <w:rPr>
          <w:rFonts w:asciiTheme="minorHAnsi" w:hAnsiTheme="minorHAnsi" w:cstheme="minorHAnsi"/>
        </w:rPr>
      </w:pPr>
    </w:p>
    <w:p w:rsidR="00D42A30" w:rsidRPr="005F120D" w:rsidRDefault="00D42A30" w:rsidP="00C437AA">
      <w:pPr>
        <w:spacing w:line="276" w:lineRule="auto"/>
        <w:rPr>
          <w:rFonts w:asciiTheme="minorHAnsi" w:hAnsiTheme="minorHAnsi" w:cstheme="minorHAnsi"/>
        </w:rPr>
      </w:pPr>
    </w:p>
    <w:p w:rsidR="0003739B" w:rsidRPr="005F120D" w:rsidRDefault="0003739B" w:rsidP="00C437AA">
      <w:pPr>
        <w:pStyle w:val="Caption"/>
        <w:spacing w:line="276" w:lineRule="auto"/>
        <w:rPr>
          <w:rFonts w:cstheme="minorHAnsi"/>
        </w:rPr>
      </w:pPr>
    </w:p>
    <w:p w:rsidR="0003739B" w:rsidRPr="005F120D" w:rsidRDefault="0003739B" w:rsidP="00C437AA">
      <w:pPr>
        <w:pStyle w:val="Caption"/>
        <w:spacing w:line="276" w:lineRule="auto"/>
        <w:rPr>
          <w:rFonts w:cstheme="minorHAnsi"/>
        </w:rPr>
      </w:pPr>
    </w:p>
    <w:p w:rsidR="0003739B" w:rsidRPr="005F120D" w:rsidRDefault="0003739B" w:rsidP="00C437AA">
      <w:pPr>
        <w:pStyle w:val="Caption"/>
        <w:spacing w:line="276" w:lineRule="auto"/>
        <w:rPr>
          <w:rFonts w:cstheme="minorHAnsi"/>
        </w:rPr>
      </w:pPr>
    </w:p>
    <w:p w:rsidR="0003739B" w:rsidRPr="005F120D" w:rsidRDefault="0003739B" w:rsidP="00C437AA">
      <w:pPr>
        <w:pStyle w:val="Caption"/>
        <w:spacing w:line="276" w:lineRule="auto"/>
        <w:rPr>
          <w:rFonts w:cstheme="minorHAnsi"/>
        </w:rPr>
      </w:pPr>
    </w:p>
    <w:p w:rsidR="0003739B" w:rsidRPr="005F120D" w:rsidRDefault="0003739B" w:rsidP="00C437AA">
      <w:pPr>
        <w:pStyle w:val="Caption"/>
        <w:spacing w:line="276" w:lineRule="auto"/>
        <w:rPr>
          <w:rFonts w:cstheme="minorHAnsi"/>
        </w:rPr>
      </w:pPr>
    </w:p>
    <w:p w:rsidR="0003739B" w:rsidRPr="005F120D" w:rsidRDefault="0003739B" w:rsidP="00C437AA">
      <w:pPr>
        <w:pStyle w:val="Caption"/>
        <w:spacing w:line="276" w:lineRule="auto"/>
        <w:rPr>
          <w:rFonts w:cstheme="minorHAnsi"/>
        </w:rPr>
      </w:pPr>
    </w:p>
    <w:p w:rsidR="007C48D1" w:rsidRPr="005F120D" w:rsidRDefault="007C48D1" w:rsidP="007C48D1">
      <w:pPr>
        <w:rPr>
          <w:rFonts w:asciiTheme="minorHAnsi" w:hAnsiTheme="minorHAnsi" w:cstheme="minorHAnsi"/>
        </w:rPr>
      </w:pPr>
    </w:p>
    <w:p w:rsidR="0003739B" w:rsidRPr="005F120D" w:rsidRDefault="0003739B" w:rsidP="00C437AA">
      <w:pPr>
        <w:pStyle w:val="Caption"/>
        <w:spacing w:line="276" w:lineRule="auto"/>
        <w:rPr>
          <w:rFonts w:cstheme="minorHAnsi"/>
        </w:rPr>
      </w:pPr>
    </w:p>
    <w:p w:rsidR="003B2AB6" w:rsidRPr="005F120D" w:rsidRDefault="00875978" w:rsidP="00C437AA">
      <w:pPr>
        <w:pStyle w:val="Caption"/>
        <w:spacing w:line="276" w:lineRule="auto"/>
        <w:rPr>
          <w:rFonts w:cstheme="minorHAnsi"/>
        </w:rPr>
      </w:pPr>
      <w:bookmarkStart w:id="360" w:name="_Toc462837432"/>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23</w:t>
      </w:r>
      <w:r w:rsidR="002E2ED5" w:rsidRPr="005F120D">
        <w:rPr>
          <w:rFonts w:cstheme="minorHAnsi"/>
        </w:rPr>
        <w:fldChar w:fldCharType="end"/>
      </w:r>
      <w:r w:rsidR="006A7739" w:rsidRPr="005F120D">
        <w:rPr>
          <w:rFonts w:cstheme="minorHAnsi"/>
        </w:rPr>
        <w:t>:</w:t>
      </w:r>
      <w:r w:rsidR="00D56978">
        <w:rPr>
          <w:rFonts w:cstheme="minorHAnsi"/>
        </w:rPr>
        <w:t xml:space="preserve"> </w:t>
      </w:r>
      <w:r w:rsidR="00D874CD" w:rsidRPr="005F120D">
        <w:rPr>
          <w:rFonts w:cstheme="minorHAnsi"/>
        </w:rPr>
        <w:t>Survival R</w:t>
      </w:r>
      <w:r w:rsidR="00E517CD" w:rsidRPr="005F120D">
        <w:rPr>
          <w:rFonts w:cstheme="minorHAnsi"/>
        </w:rPr>
        <w:t xml:space="preserve">ate </w:t>
      </w:r>
      <w:r w:rsidR="00D874CD" w:rsidRPr="005F120D">
        <w:rPr>
          <w:rFonts w:cstheme="minorHAnsi"/>
        </w:rPr>
        <w:t>to Grade 5 in GPS and NNPS, by U</w:t>
      </w:r>
      <w:r w:rsidR="00E517CD" w:rsidRPr="005F120D">
        <w:rPr>
          <w:rFonts w:cstheme="minorHAnsi"/>
        </w:rPr>
        <w:t>pazila</w:t>
      </w:r>
      <w:bookmarkEnd w:id="358"/>
      <w:bookmarkEnd w:id="359"/>
      <w:r w:rsidR="00E517CD" w:rsidRPr="005F120D">
        <w:rPr>
          <w:rFonts w:cstheme="minorHAnsi"/>
        </w:rPr>
        <w:t>, 201</w:t>
      </w:r>
      <w:r w:rsidR="00756EE7" w:rsidRPr="005F120D">
        <w:rPr>
          <w:rFonts w:cstheme="minorHAnsi"/>
        </w:rPr>
        <w:t>5</w:t>
      </w:r>
      <w:bookmarkEnd w:id="360"/>
    </w:p>
    <w:p w:rsidR="00B044BA" w:rsidRPr="005F120D" w:rsidRDefault="003B2AB6" w:rsidP="00C437AA">
      <w:pPr>
        <w:spacing w:before="40" w:after="40" w:line="276" w:lineRule="auto"/>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5540807" cy="7405861"/>
            <wp:effectExtent l="19050" t="19050" r="21793" b="23639"/>
            <wp:docPr id="1151" name="Picture 3" descr="C:\Users\user\Downloads\3Survival  Rat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Survival  Rate2015.png"/>
                    <pic:cNvPicPr>
                      <a:picLocks noChangeAspect="1" noChangeArrowheads="1"/>
                    </pic:cNvPicPr>
                  </pic:nvPicPr>
                  <pic:blipFill>
                    <a:blip r:embed="rId43"/>
                    <a:srcRect/>
                    <a:stretch>
                      <a:fillRect/>
                    </a:stretch>
                  </pic:blipFill>
                  <pic:spPr bwMode="auto">
                    <a:xfrm>
                      <a:off x="0" y="0"/>
                      <a:ext cx="5539795" cy="7404508"/>
                    </a:xfrm>
                    <a:prstGeom prst="rect">
                      <a:avLst/>
                    </a:prstGeom>
                    <a:solidFill>
                      <a:srgbClr val="0033CC"/>
                    </a:solidFill>
                    <a:ln w="25400" cmpd="dbl">
                      <a:solidFill>
                        <a:srgbClr val="FF9900"/>
                      </a:solidFill>
                      <a:miter lim="800000"/>
                      <a:headEnd/>
                      <a:tailEnd/>
                    </a:ln>
                  </pic:spPr>
                </pic:pic>
              </a:graphicData>
            </a:graphic>
          </wp:inline>
        </w:drawing>
      </w:r>
    </w:p>
    <w:p w:rsidR="00B3625B" w:rsidRPr="005F120D" w:rsidRDefault="00F83E43" w:rsidP="00C437AA">
      <w:pPr>
        <w:pStyle w:val="BodyText1"/>
        <w:spacing w:before="40" w:after="40"/>
        <w:rPr>
          <w:rFonts w:asciiTheme="minorHAnsi" w:hAnsiTheme="minorHAnsi" w:cstheme="minorHAnsi"/>
          <w:sz w:val="16"/>
          <w:szCs w:val="16"/>
        </w:rPr>
      </w:pPr>
      <w:r>
        <w:rPr>
          <w:rFonts w:asciiTheme="minorHAnsi" w:hAnsiTheme="minorHAnsi" w:cstheme="minorHAnsi"/>
          <w:sz w:val="16"/>
          <w:szCs w:val="16"/>
        </w:rPr>
        <w:t xml:space="preserve">   </w:t>
      </w:r>
      <w:r w:rsidR="00B3625B" w:rsidRPr="005F120D">
        <w:rPr>
          <w:rFonts w:asciiTheme="minorHAnsi" w:hAnsiTheme="minorHAnsi" w:cstheme="minorHAnsi"/>
          <w:sz w:val="16"/>
          <w:szCs w:val="16"/>
        </w:rPr>
        <w:t>Source: APSC 2015</w:t>
      </w:r>
    </w:p>
    <w:p w:rsidR="00D42A30" w:rsidRPr="005F120D" w:rsidRDefault="00D42A30" w:rsidP="00C437AA">
      <w:pPr>
        <w:pStyle w:val="BodyText1"/>
        <w:spacing w:before="40" w:after="40"/>
        <w:rPr>
          <w:rFonts w:asciiTheme="minorHAnsi" w:hAnsiTheme="minorHAnsi" w:cstheme="minorHAnsi"/>
          <w:color w:val="FF0000"/>
        </w:rPr>
      </w:pPr>
    </w:p>
    <w:p w:rsidR="00233388" w:rsidRPr="005F120D" w:rsidRDefault="00574D9B" w:rsidP="00C437AA">
      <w:pPr>
        <w:pStyle w:val="Heading4"/>
        <w:spacing w:line="276" w:lineRule="auto"/>
        <w:rPr>
          <w:rFonts w:asciiTheme="minorHAnsi" w:hAnsiTheme="minorHAnsi" w:cstheme="minorHAnsi"/>
          <w:b/>
          <w:color w:val="008000"/>
        </w:rPr>
      </w:pPr>
      <w:r w:rsidRPr="005F120D">
        <w:rPr>
          <w:rFonts w:asciiTheme="minorHAnsi" w:hAnsiTheme="minorHAnsi" w:cstheme="minorHAnsi"/>
          <w:b/>
          <w:color w:val="008000"/>
        </w:rPr>
        <w:lastRenderedPageBreak/>
        <w:t>Contact Hours /</w:t>
      </w:r>
      <w:r w:rsidR="004B4FEE" w:rsidRPr="005F120D">
        <w:rPr>
          <w:rFonts w:asciiTheme="minorHAnsi" w:hAnsiTheme="minorHAnsi" w:cstheme="minorHAnsi"/>
          <w:b/>
          <w:color w:val="008000"/>
        </w:rPr>
        <w:t>Single Shift Schools</w:t>
      </w:r>
    </w:p>
    <w:p w:rsidR="00A60BB5" w:rsidRPr="005F120D" w:rsidRDefault="00A60BB5" w:rsidP="00C437AA">
      <w:pPr>
        <w:spacing w:line="276" w:lineRule="auto"/>
        <w:jc w:val="both"/>
        <w:rPr>
          <w:rFonts w:asciiTheme="minorHAnsi" w:hAnsiTheme="minorHAnsi" w:cstheme="minorHAnsi"/>
        </w:rPr>
      </w:pPr>
      <w:r w:rsidRPr="005F120D">
        <w:rPr>
          <w:rFonts w:asciiTheme="minorHAnsi" w:hAnsiTheme="minorHAnsi" w:cstheme="minorHAnsi"/>
        </w:rPr>
        <w:t>Increasing the school contact hours by moving to single shift schools was a high priority during PEDPII. The PEDP3 MTR again emphasized the need to increase contact hours</w:t>
      </w:r>
      <w:r w:rsidR="00721598" w:rsidRPr="005F120D">
        <w:rPr>
          <w:rFonts w:asciiTheme="minorHAnsi" w:hAnsiTheme="minorHAnsi" w:cstheme="minorHAnsi"/>
        </w:rPr>
        <w:t>,</w:t>
      </w:r>
      <w:r w:rsidRPr="005F120D">
        <w:rPr>
          <w:rFonts w:asciiTheme="minorHAnsi" w:hAnsiTheme="minorHAnsi" w:cstheme="minorHAnsi"/>
        </w:rPr>
        <w:t xml:space="preserve"> and set non-KPIs for measuring performance. However, there is no systematic approach to collecting information on contact hours through the APSC. It is possible, however, to distinguish four factors, which affect the number of contact hours that students receive: (i). Patterns of double-shifting; (ii). Number of days that schools are open; (iii) Teacher absenteeism; and (iv) Teacher lateness.  These are considered in turn below.</w:t>
      </w:r>
    </w:p>
    <w:p w:rsidR="0094001D" w:rsidRPr="005F120D" w:rsidRDefault="0003739B" w:rsidP="00721598">
      <w:pPr>
        <w:pStyle w:val="ListParagraph"/>
        <w:numPr>
          <w:ilvl w:val="0"/>
          <w:numId w:val="97"/>
        </w:numPr>
        <w:spacing w:line="276" w:lineRule="auto"/>
        <w:jc w:val="both"/>
        <w:rPr>
          <w:rFonts w:asciiTheme="minorHAnsi" w:hAnsiTheme="minorHAnsi" w:cstheme="minorHAnsi"/>
        </w:rPr>
      </w:pPr>
      <w:r w:rsidRPr="005F120D">
        <w:rPr>
          <w:rFonts w:asciiTheme="minorHAnsi" w:hAnsiTheme="minorHAnsi" w:cstheme="minorHAnsi"/>
          <w:b/>
          <w:color w:val="008000"/>
        </w:rPr>
        <w:t>Patterns of double-shifting</w:t>
      </w:r>
      <w:r w:rsidR="00A60BB5" w:rsidRPr="005F120D">
        <w:rPr>
          <w:rFonts w:asciiTheme="minorHAnsi" w:hAnsiTheme="minorHAnsi" w:cstheme="minorHAnsi"/>
          <w:b/>
          <w:i/>
          <w:color w:val="008000"/>
        </w:rPr>
        <w:t>:</w:t>
      </w:r>
      <w:r w:rsidR="00D56978">
        <w:rPr>
          <w:rFonts w:asciiTheme="minorHAnsi" w:hAnsiTheme="minorHAnsi" w:cstheme="minorHAnsi"/>
          <w:b/>
          <w:i/>
          <w:color w:val="008000"/>
        </w:rPr>
        <w:t xml:space="preserve"> </w:t>
      </w:r>
      <w:r w:rsidR="00A60BB5" w:rsidRPr="005F120D">
        <w:rPr>
          <w:rFonts w:asciiTheme="minorHAnsi" w:hAnsiTheme="minorHAnsi" w:cstheme="minorHAnsi"/>
        </w:rPr>
        <w:t>Non-KPI7 measures the ‘percentage/number of single shift school’</w:t>
      </w:r>
      <w:r w:rsidR="00D4427F" w:rsidRPr="005F120D">
        <w:rPr>
          <w:rFonts w:asciiTheme="minorHAnsi" w:hAnsiTheme="minorHAnsi" w:cstheme="minorHAnsi"/>
        </w:rPr>
        <w:t>. In</w:t>
      </w:r>
      <w:r w:rsidR="00721598" w:rsidRPr="005F120D">
        <w:rPr>
          <w:rFonts w:asciiTheme="minorHAnsi" w:hAnsiTheme="minorHAnsi" w:cstheme="minorHAnsi"/>
        </w:rPr>
        <w:t xml:space="preserve"> Bangladesh contact hours mostly depend on school shifting. When</w:t>
      </w:r>
      <w:r w:rsidR="00D4427F" w:rsidRPr="005F120D">
        <w:rPr>
          <w:rFonts w:asciiTheme="minorHAnsi" w:hAnsiTheme="minorHAnsi" w:cstheme="minorHAnsi"/>
        </w:rPr>
        <w:t xml:space="preserve"> the school is single s</w:t>
      </w:r>
      <w:r w:rsidR="00721598" w:rsidRPr="005F120D">
        <w:rPr>
          <w:rFonts w:asciiTheme="minorHAnsi" w:hAnsiTheme="minorHAnsi" w:cstheme="minorHAnsi"/>
        </w:rPr>
        <w:t>hift, children get more teaching/</w:t>
      </w:r>
      <w:r w:rsidR="00D4427F" w:rsidRPr="005F120D">
        <w:rPr>
          <w:rFonts w:asciiTheme="minorHAnsi" w:hAnsiTheme="minorHAnsi" w:cstheme="minorHAnsi"/>
        </w:rPr>
        <w:t>learning interaction time and less in the double shift schools</w:t>
      </w:r>
      <w:r w:rsidR="00A60BB5" w:rsidRPr="005F120D">
        <w:rPr>
          <w:rFonts w:asciiTheme="minorHAnsi" w:hAnsiTheme="minorHAnsi" w:cstheme="minorHAnsi"/>
        </w:rPr>
        <w:t>. The PEDP3 MTR accords high importance to this indicator as it helps to monitor the teacher/student interaction time in schools. The main factor expected to lead to an increase in contact hours is the move from double-shift to single-shift schools. The percentage of single</w:t>
      </w:r>
      <w:r w:rsidRPr="005F120D">
        <w:rPr>
          <w:rFonts w:asciiTheme="minorHAnsi" w:hAnsiTheme="minorHAnsi" w:cstheme="minorHAnsi"/>
        </w:rPr>
        <w:t xml:space="preserve">-shift schools was targeted </w:t>
      </w:r>
      <w:r w:rsidR="00721598" w:rsidRPr="005F120D">
        <w:rPr>
          <w:rFonts w:asciiTheme="minorHAnsi" w:hAnsiTheme="minorHAnsi" w:cstheme="minorHAnsi"/>
        </w:rPr>
        <w:t xml:space="preserve">to </w:t>
      </w:r>
      <w:r w:rsidRPr="005F120D">
        <w:rPr>
          <w:rFonts w:asciiTheme="minorHAnsi" w:hAnsiTheme="minorHAnsi" w:cstheme="minorHAnsi"/>
        </w:rPr>
        <w:t>rise to 28%</w:t>
      </w:r>
      <w:r w:rsidR="00721598" w:rsidRPr="005F120D">
        <w:rPr>
          <w:rFonts w:asciiTheme="minorHAnsi" w:hAnsiTheme="minorHAnsi" w:cstheme="minorHAnsi"/>
        </w:rPr>
        <w:t>. There has been</w:t>
      </w:r>
      <w:r w:rsidR="00D56978">
        <w:rPr>
          <w:rFonts w:asciiTheme="minorHAnsi" w:hAnsiTheme="minorHAnsi" w:cstheme="minorHAnsi"/>
        </w:rPr>
        <w:t xml:space="preserve"> </w:t>
      </w:r>
      <w:r w:rsidRPr="005F120D">
        <w:rPr>
          <w:rFonts w:asciiTheme="minorHAnsi" w:hAnsiTheme="minorHAnsi" w:cstheme="minorHAnsi"/>
        </w:rPr>
        <w:t>no</w:t>
      </w:r>
      <w:r w:rsidR="00A60BB5" w:rsidRPr="005F120D">
        <w:rPr>
          <w:rFonts w:asciiTheme="minorHAnsi" w:hAnsiTheme="minorHAnsi" w:cstheme="minorHAnsi"/>
        </w:rPr>
        <w:t xml:space="preserve"> progress towards the target</w:t>
      </w:r>
      <w:r w:rsidRPr="005F120D">
        <w:rPr>
          <w:rFonts w:asciiTheme="minorHAnsi" w:hAnsiTheme="minorHAnsi" w:cstheme="minorHAnsi"/>
        </w:rPr>
        <w:t xml:space="preserve"> in the PEDP3</w:t>
      </w:r>
      <w:r w:rsidR="00A60BB5" w:rsidRPr="005F120D">
        <w:rPr>
          <w:rFonts w:asciiTheme="minorHAnsi" w:hAnsiTheme="minorHAnsi" w:cstheme="minorHAnsi"/>
        </w:rPr>
        <w:t xml:space="preserve">. </w:t>
      </w:r>
      <w:r w:rsidRPr="005F120D">
        <w:rPr>
          <w:rFonts w:asciiTheme="minorHAnsi" w:hAnsiTheme="minorHAnsi" w:cstheme="minorHAnsi"/>
        </w:rPr>
        <w:t>T</w:t>
      </w:r>
      <w:r w:rsidR="00A60BB5" w:rsidRPr="005F120D">
        <w:rPr>
          <w:rFonts w:asciiTheme="minorHAnsi" w:hAnsiTheme="minorHAnsi" w:cstheme="minorHAnsi"/>
        </w:rPr>
        <w:t xml:space="preserve">he majority of children in GPS will continue to be educated in a double-shift system for the foreseeable future. The situation in NNPS is worse, as the percentage of single-shift schools declined </w:t>
      </w:r>
      <w:r w:rsidR="00D4427F" w:rsidRPr="005F120D">
        <w:rPr>
          <w:rFonts w:asciiTheme="minorHAnsi" w:hAnsiTheme="minorHAnsi" w:cstheme="minorHAnsi"/>
        </w:rPr>
        <w:t xml:space="preserve">at </w:t>
      </w:r>
      <w:r w:rsidR="00910998" w:rsidRPr="005F120D">
        <w:rPr>
          <w:rFonts w:asciiTheme="minorHAnsi" w:hAnsiTheme="minorHAnsi" w:cstheme="minorHAnsi"/>
        </w:rPr>
        <w:t>2</w:t>
      </w:r>
      <w:r w:rsidR="00D4427F" w:rsidRPr="005F120D">
        <w:rPr>
          <w:rFonts w:asciiTheme="minorHAnsi" w:hAnsiTheme="minorHAnsi" w:cstheme="minorHAnsi"/>
        </w:rPr>
        <w:t>.2</w:t>
      </w:r>
      <w:r w:rsidR="00A60BB5" w:rsidRPr="005F120D">
        <w:rPr>
          <w:rFonts w:asciiTheme="minorHAnsi" w:hAnsiTheme="minorHAnsi" w:cstheme="minorHAnsi"/>
        </w:rPr>
        <w:t xml:space="preserve">% in </w:t>
      </w:r>
      <w:r w:rsidR="00D4427F" w:rsidRPr="005F120D">
        <w:rPr>
          <w:rFonts w:asciiTheme="minorHAnsi" w:hAnsiTheme="minorHAnsi" w:cstheme="minorHAnsi"/>
        </w:rPr>
        <w:t>2015</w:t>
      </w:r>
      <w:r w:rsidR="00A60BB5" w:rsidRPr="005F120D">
        <w:rPr>
          <w:rFonts w:asciiTheme="minorHAnsi" w:hAnsiTheme="minorHAnsi" w:cstheme="minorHAnsi"/>
        </w:rPr>
        <w:t>. Considering the data identified on the two types of scho</w:t>
      </w:r>
      <w:r w:rsidR="00721598" w:rsidRPr="005F120D">
        <w:rPr>
          <w:rFonts w:asciiTheme="minorHAnsi" w:hAnsiTheme="minorHAnsi" w:cstheme="minorHAnsi"/>
        </w:rPr>
        <w:t>ols together, it seems that there</w:t>
      </w:r>
      <w:r w:rsidR="00A60BB5" w:rsidRPr="005F120D">
        <w:rPr>
          <w:rFonts w:asciiTheme="minorHAnsi" w:hAnsiTheme="minorHAnsi" w:cstheme="minorHAnsi"/>
        </w:rPr>
        <w:t xml:space="preserve"> will continue to be a serious challenge in reaching a situation where pupils in primary schools have sufficient contact hours to really benefit from their learning experience</w:t>
      </w:r>
      <w:r w:rsidR="0094001D" w:rsidRPr="005F120D">
        <w:rPr>
          <w:rFonts w:asciiTheme="minorHAnsi" w:hAnsiTheme="minorHAnsi" w:cstheme="minorHAnsi"/>
        </w:rPr>
        <w:t>.</w:t>
      </w:r>
      <w:bookmarkStart w:id="361" w:name="_Toc338839642"/>
    </w:p>
    <w:p w:rsidR="0094001D" w:rsidRPr="005F120D" w:rsidRDefault="0094001D" w:rsidP="00C437AA">
      <w:pPr>
        <w:pStyle w:val="Caption"/>
        <w:spacing w:line="276" w:lineRule="auto"/>
        <w:rPr>
          <w:rFonts w:cstheme="minorHAnsi"/>
          <w:color w:val="000000" w:themeColor="text1"/>
        </w:rPr>
      </w:pPr>
      <w:bookmarkStart w:id="362" w:name="_Toc394398820"/>
      <w:bookmarkStart w:id="363" w:name="_Toc462837433"/>
      <w:bookmarkEnd w:id="361"/>
      <w:r w:rsidRPr="005F120D">
        <w:rPr>
          <w:rFonts w:cstheme="minorHAnsi"/>
          <w:color w:val="000000" w:themeColor="text1"/>
        </w:rPr>
        <w:t xml:space="preserve">Figure </w:t>
      </w:r>
      <w:r w:rsidR="002E2ED5" w:rsidRPr="005F120D">
        <w:rPr>
          <w:rFonts w:cstheme="minorHAnsi"/>
          <w:color w:val="000000" w:themeColor="text1"/>
        </w:rPr>
        <w:fldChar w:fldCharType="begin"/>
      </w:r>
      <w:r w:rsidR="000B4AB3" w:rsidRPr="005F120D">
        <w:rPr>
          <w:rFonts w:cstheme="minorHAnsi"/>
          <w:color w:val="000000" w:themeColor="text1"/>
        </w:rPr>
        <w:instrText xml:space="preserve"> STYLEREF 1 \s </w:instrText>
      </w:r>
      <w:r w:rsidR="002E2ED5" w:rsidRPr="005F120D">
        <w:rPr>
          <w:rFonts w:cstheme="minorHAnsi"/>
          <w:color w:val="000000" w:themeColor="text1"/>
        </w:rPr>
        <w:fldChar w:fldCharType="separate"/>
      </w:r>
      <w:r w:rsidR="00810DA2">
        <w:rPr>
          <w:rFonts w:cstheme="minorHAnsi"/>
          <w:noProof/>
          <w:color w:val="000000" w:themeColor="text1"/>
        </w:rPr>
        <w:t>3</w:t>
      </w:r>
      <w:r w:rsidR="002E2ED5" w:rsidRPr="005F120D">
        <w:rPr>
          <w:rFonts w:cstheme="minorHAnsi"/>
          <w:color w:val="000000" w:themeColor="text1"/>
        </w:rPr>
        <w:fldChar w:fldCharType="end"/>
      </w:r>
      <w:r w:rsidR="000B4AB3" w:rsidRPr="005F120D">
        <w:rPr>
          <w:rFonts w:cstheme="minorHAnsi"/>
          <w:color w:val="000000" w:themeColor="text1"/>
        </w:rPr>
        <w:t>.</w:t>
      </w:r>
      <w:r w:rsidR="002E2ED5" w:rsidRPr="005F120D">
        <w:rPr>
          <w:rFonts w:cstheme="minorHAnsi"/>
          <w:color w:val="000000" w:themeColor="text1"/>
        </w:rPr>
        <w:fldChar w:fldCharType="begin"/>
      </w:r>
      <w:r w:rsidR="000B4AB3" w:rsidRPr="005F120D">
        <w:rPr>
          <w:rFonts w:cstheme="minorHAnsi"/>
          <w:color w:val="000000" w:themeColor="text1"/>
        </w:rPr>
        <w:instrText xml:space="preserve"> SEQ Figure \* ARABIC \s 1 </w:instrText>
      </w:r>
      <w:r w:rsidR="002E2ED5" w:rsidRPr="005F120D">
        <w:rPr>
          <w:rFonts w:cstheme="minorHAnsi"/>
          <w:color w:val="000000" w:themeColor="text1"/>
        </w:rPr>
        <w:fldChar w:fldCharType="separate"/>
      </w:r>
      <w:r w:rsidR="00810DA2">
        <w:rPr>
          <w:rFonts w:cstheme="minorHAnsi"/>
          <w:noProof/>
          <w:color w:val="000000" w:themeColor="text1"/>
        </w:rPr>
        <w:t>24</w:t>
      </w:r>
      <w:r w:rsidR="002E2ED5" w:rsidRPr="005F120D">
        <w:rPr>
          <w:rFonts w:cstheme="minorHAnsi"/>
          <w:color w:val="000000" w:themeColor="text1"/>
        </w:rPr>
        <w:fldChar w:fldCharType="end"/>
      </w:r>
      <w:r w:rsidR="00721598" w:rsidRPr="005F120D">
        <w:rPr>
          <w:rFonts w:cstheme="minorHAnsi"/>
          <w:color w:val="000000" w:themeColor="text1"/>
        </w:rPr>
        <w:t>: Single-shift S</w:t>
      </w:r>
      <w:r w:rsidRPr="005F120D">
        <w:rPr>
          <w:rFonts w:cstheme="minorHAnsi"/>
          <w:color w:val="000000" w:themeColor="text1"/>
        </w:rPr>
        <w:t>chools (%) 2005, 2010–201</w:t>
      </w:r>
      <w:bookmarkEnd w:id="362"/>
      <w:r w:rsidR="001B2C7B" w:rsidRPr="005F120D">
        <w:rPr>
          <w:rFonts w:cstheme="minorHAnsi"/>
          <w:color w:val="000000" w:themeColor="text1"/>
        </w:rPr>
        <w:t>5</w:t>
      </w:r>
      <w:bookmarkEnd w:id="363"/>
    </w:p>
    <w:p w:rsidR="0094001D" w:rsidRPr="005F120D" w:rsidRDefault="001B2C7B" w:rsidP="00C437AA">
      <w:pPr>
        <w:spacing w:after="40" w:line="276" w:lineRule="auto"/>
        <w:jc w:val="center"/>
        <w:rPr>
          <w:rStyle w:val="TablenotesChar"/>
          <w:rFonts w:eastAsia="MS Mincho"/>
          <w:color w:val="FF0000"/>
        </w:rPr>
      </w:pPr>
      <w:r w:rsidRPr="005F120D">
        <w:rPr>
          <w:rStyle w:val="TablenotesChar"/>
          <w:rFonts w:eastAsia="MS Mincho"/>
          <w:noProof/>
          <w:color w:val="0000FF"/>
          <w:lang w:eastAsia="en-US"/>
        </w:rPr>
        <w:drawing>
          <wp:inline distT="0" distB="0" distL="0" distR="0">
            <wp:extent cx="5599022" cy="2542996"/>
            <wp:effectExtent l="38100" t="19050" r="20728" b="0"/>
            <wp:docPr id="11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C40C9" w:rsidRPr="00D56978" w:rsidRDefault="0094001D" w:rsidP="00C437AA">
      <w:pPr>
        <w:spacing w:before="20" w:line="276" w:lineRule="auto"/>
        <w:rPr>
          <w:rFonts w:asciiTheme="minorHAnsi" w:eastAsia="MS Mincho" w:hAnsiTheme="minorHAnsi" w:cstheme="minorHAnsi"/>
          <w:b/>
          <w:color w:val="000000" w:themeColor="text1"/>
          <w:sz w:val="16"/>
          <w:szCs w:val="16"/>
        </w:rPr>
      </w:pPr>
      <w:r w:rsidRPr="005F120D">
        <w:rPr>
          <w:rStyle w:val="TablenotesChar"/>
          <w:rFonts w:eastAsia="MS Mincho"/>
          <w:color w:val="000000" w:themeColor="text1"/>
        </w:rPr>
        <w:t>Source: APSC 2005, 2010-201</w:t>
      </w:r>
      <w:r w:rsidR="001B2C7B" w:rsidRPr="005F120D">
        <w:rPr>
          <w:rStyle w:val="TablenotesChar"/>
          <w:rFonts w:eastAsia="MS Mincho"/>
          <w:color w:val="000000" w:themeColor="text1"/>
        </w:rPr>
        <w:t>5</w:t>
      </w:r>
    </w:p>
    <w:p w:rsidR="00F90FC0" w:rsidRPr="005F120D" w:rsidRDefault="00F90FC0" w:rsidP="00C437AA">
      <w:pPr>
        <w:numPr>
          <w:ilvl w:val="0"/>
          <w:numId w:val="97"/>
        </w:numPr>
        <w:spacing w:after="200" w:line="276" w:lineRule="auto"/>
        <w:contextualSpacing/>
        <w:jc w:val="both"/>
        <w:rPr>
          <w:rFonts w:asciiTheme="minorHAnsi" w:hAnsiTheme="minorHAnsi" w:cstheme="minorHAnsi"/>
        </w:rPr>
      </w:pPr>
      <w:r w:rsidRPr="005F120D">
        <w:rPr>
          <w:rFonts w:asciiTheme="minorHAnsi" w:hAnsiTheme="minorHAnsi" w:cstheme="minorHAnsi"/>
          <w:b/>
          <w:i/>
          <w:color w:val="008000"/>
        </w:rPr>
        <w:t>Number of Days that the School is Open:</w:t>
      </w:r>
      <w:r w:rsidR="00D56978">
        <w:rPr>
          <w:rFonts w:asciiTheme="minorHAnsi" w:hAnsiTheme="minorHAnsi" w:cstheme="minorHAnsi"/>
          <w:b/>
          <w:i/>
          <w:color w:val="008000"/>
        </w:rPr>
        <w:t xml:space="preserve"> </w:t>
      </w:r>
      <w:r w:rsidRPr="005F120D">
        <w:rPr>
          <w:rFonts w:asciiTheme="minorHAnsi" w:hAnsiTheme="minorHAnsi" w:cstheme="minorHAnsi"/>
        </w:rPr>
        <w:t xml:space="preserve">The school Census does not collect relevant information on this. Only the </w:t>
      </w:r>
      <w:r w:rsidR="00910998" w:rsidRPr="005F120D">
        <w:rPr>
          <w:rFonts w:asciiTheme="minorHAnsi" w:hAnsiTheme="minorHAnsi" w:cstheme="minorHAnsi"/>
        </w:rPr>
        <w:t xml:space="preserve">Social </w:t>
      </w:r>
      <w:r w:rsidRPr="005F120D">
        <w:rPr>
          <w:rFonts w:asciiTheme="minorHAnsi" w:hAnsiTheme="minorHAnsi" w:cstheme="minorHAnsi"/>
        </w:rPr>
        <w:t>Sector Performance</w:t>
      </w:r>
      <w:r w:rsidR="00910998" w:rsidRPr="005F120D">
        <w:rPr>
          <w:rFonts w:asciiTheme="minorHAnsi" w:hAnsiTheme="minorHAnsi" w:cstheme="minorHAnsi"/>
        </w:rPr>
        <w:t xml:space="preserve"> Survey (SSPS), conducted in 200</w:t>
      </w:r>
      <w:r w:rsidRPr="005F120D">
        <w:rPr>
          <w:rFonts w:asciiTheme="minorHAnsi" w:hAnsiTheme="minorHAnsi" w:cstheme="minorHAnsi"/>
        </w:rPr>
        <w:t xml:space="preserve">5 and </w:t>
      </w:r>
      <w:r w:rsidR="00721598" w:rsidRPr="005F120D">
        <w:rPr>
          <w:rFonts w:asciiTheme="minorHAnsi" w:hAnsiTheme="minorHAnsi" w:cstheme="minorHAnsi"/>
        </w:rPr>
        <w:t xml:space="preserve">the </w:t>
      </w:r>
      <w:r w:rsidRPr="005F120D">
        <w:rPr>
          <w:rFonts w:asciiTheme="minorHAnsi" w:hAnsiTheme="minorHAnsi" w:cstheme="minorHAnsi"/>
        </w:rPr>
        <w:t>report published in 2006, stated that:</w:t>
      </w:r>
    </w:p>
    <w:p w:rsidR="00F90FC0" w:rsidRPr="005F120D" w:rsidRDefault="00F90FC0" w:rsidP="00C437AA">
      <w:pPr>
        <w:pStyle w:val="ListBullet1"/>
        <w:numPr>
          <w:ilvl w:val="0"/>
          <w:numId w:val="41"/>
        </w:numPr>
        <w:spacing w:line="276" w:lineRule="auto"/>
        <w:jc w:val="both"/>
        <w:rPr>
          <w:rFonts w:asciiTheme="minorHAnsi" w:hAnsiTheme="minorHAnsi" w:cstheme="minorHAnsi"/>
        </w:rPr>
      </w:pPr>
      <w:r w:rsidRPr="005F120D">
        <w:rPr>
          <w:rFonts w:asciiTheme="minorHAnsi" w:hAnsiTheme="minorHAnsi" w:cstheme="minorHAnsi"/>
        </w:rPr>
        <w:t>On average, primary schools were open for 228 days compared to the officially sanctioned 242 days; and</w:t>
      </w:r>
    </w:p>
    <w:p w:rsidR="00F90FC0" w:rsidRPr="005F120D" w:rsidRDefault="00F90FC0" w:rsidP="00C437AA">
      <w:pPr>
        <w:pStyle w:val="Listbulletfinal"/>
        <w:numPr>
          <w:ilvl w:val="0"/>
          <w:numId w:val="41"/>
        </w:numPr>
        <w:spacing w:line="276" w:lineRule="auto"/>
        <w:jc w:val="both"/>
        <w:rPr>
          <w:rFonts w:asciiTheme="minorHAnsi" w:hAnsiTheme="minorHAnsi" w:cstheme="minorHAnsi"/>
        </w:rPr>
      </w:pPr>
      <w:r w:rsidRPr="005F120D">
        <w:rPr>
          <w:rFonts w:asciiTheme="minorHAnsi" w:hAnsiTheme="minorHAnsi" w:cstheme="minorHAnsi"/>
        </w:rPr>
        <w:lastRenderedPageBreak/>
        <w:t>While the average timetable in double-shift schools is three hours, in practice Grades 1–2 only receive two hours of lessons, while Grades 3–5 receive 3.5 hours of lessons.</w:t>
      </w:r>
    </w:p>
    <w:p w:rsidR="00F90FC0" w:rsidRPr="005F120D" w:rsidRDefault="00F90FC0" w:rsidP="00C437AA">
      <w:pPr>
        <w:spacing w:line="276" w:lineRule="auto"/>
        <w:jc w:val="both"/>
        <w:rPr>
          <w:rFonts w:asciiTheme="minorHAnsi" w:hAnsiTheme="minorHAnsi" w:cstheme="minorHAnsi"/>
        </w:rPr>
      </w:pPr>
      <w:r w:rsidRPr="005F120D">
        <w:rPr>
          <w:rFonts w:asciiTheme="minorHAnsi" w:hAnsiTheme="minorHAnsi" w:cstheme="minorHAnsi"/>
        </w:rPr>
        <w:t xml:space="preserve">These factors contribute to reducing the actual number of contact hours to nearly half that of </w:t>
      </w:r>
      <w:r w:rsidR="00721598" w:rsidRPr="005F120D">
        <w:rPr>
          <w:rFonts w:asciiTheme="minorHAnsi" w:hAnsiTheme="minorHAnsi" w:cstheme="minorHAnsi"/>
        </w:rPr>
        <w:t xml:space="preserve">the </w:t>
      </w:r>
      <w:r w:rsidRPr="005F120D">
        <w:rPr>
          <w:rFonts w:asciiTheme="minorHAnsi" w:hAnsiTheme="minorHAnsi" w:cstheme="minorHAnsi"/>
        </w:rPr>
        <w:t xml:space="preserve">international standard of 900 to 1,000 hours per year: children in Grades 1–2 in double-shift schools only attend 520 hours per year on an average. However, it should be underlined that the evidence given here is out of date. </w:t>
      </w:r>
    </w:p>
    <w:p w:rsidR="00F90FC0" w:rsidRPr="005F120D" w:rsidRDefault="00704634" w:rsidP="00C437AA">
      <w:pPr>
        <w:spacing w:line="276" w:lineRule="auto"/>
        <w:jc w:val="both"/>
        <w:rPr>
          <w:rFonts w:asciiTheme="minorHAnsi" w:hAnsiTheme="minorHAnsi" w:cstheme="minorHAnsi"/>
        </w:rPr>
      </w:pPr>
      <w:r w:rsidRPr="005F120D">
        <w:rPr>
          <w:rFonts w:asciiTheme="minorHAnsi" w:hAnsiTheme="minorHAnsi" w:cstheme="minorHAnsi"/>
        </w:rPr>
        <w:t xml:space="preserve">The </w:t>
      </w:r>
      <w:r w:rsidR="00F90FC0" w:rsidRPr="005F120D">
        <w:rPr>
          <w:rFonts w:asciiTheme="minorHAnsi" w:hAnsiTheme="minorHAnsi" w:cstheme="minorHAnsi"/>
        </w:rPr>
        <w:t xml:space="preserve">PEDP3 has taken the initiative to conduct a study </w:t>
      </w:r>
      <w:r w:rsidRPr="005F120D">
        <w:rPr>
          <w:rFonts w:asciiTheme="minorHAnsi" w:hAnsiTheme="minorHAnsi" w:cstheme="minorHAnsi"/>
        </w:rPr>
        <w:t>to determine the contact hours</w:t>
      </w:r>
      <w:r w:rsidR="007C6BCA" w:rsidRPr="005F120D">
        <w:rPr>
          <w:rFonts w:asciiTheme="minorHAnsi" w:hAnsiTheme="minorHAnsi" w:cstheme="minorHAnsi"/>
        </w:rPr>
        <w:t xml:space="preserve"> of</w:t>
      </w:r>
      <w:r w:rsidR="00D56978">
        <w:rPr>
          <w:rFonts w:asciiTheme="minorHAnsi" w:hAnsiTheme="minorHAnsi" w:cstheme="minorHAnsi"/>
        </w:rPr>
        <w:t xml:space="preserve"> </w:t>
      </w:r>
      <w:r w:rsidR="007C6BCA" w:rsidRPr="005F120D">
        <w:rPr>
          <w:rFonts w:asciiTheme="minorHAnsi" w:hAnsiTheme="minorHAnsi" w:cstheme="minorHAnsi"/>
        </w:rPr>
        <w:t>this year - 2016. The</w:t>
      </w:r>
      <w:r w:rsidR="00F90FC0" w:rsidRPr="005F120D">
        <w:rPr>
          <w:rFonts w:asciiTheme="minorHAnsi" w:hAnsiTheme="minorHAnsi" w:cstheme="minorHAnsi"/>
        </w:rPr>
        <w:t xml:space="preserve"> study will examine all the issues related to this indicator. The new study will provide information on school opening days and hours; actual timetabling practices in double-shift and single-shift schools, combined with a focus on how the curriculum is delivered in both. The study will be conducted before the end of PEDP3.</w:t>
      </w:r>
    </w:p>
    <w:p w:rsidR="000E057F" w:rsidRPr="005F120D" w:rsidRDefault="00F90FC0" w:rsidP="00C437AA">
      <w:pPr>
        <w:pStyle w:val="BodyText1"/>
        <w:jc w:val="both"/>
        <w:rPr>
          <w:rFonts w:asciiTheme="minorHAnsi" w:hAnsiTheme="minorHAnsi" w:cstheme="minorHAnsi"/>
          <w:b w:val="0"/>
        </w:rPr>
      </w:pPr>
      <w:r w:rsidRPr="005F120D">
        <w:rPr>
          <w:rFonts w:asciiTheme="minorHAnsi" w:hAnsiTheme="minorHAnsi" w:cstheme="minorHAnsi"/>
          <w:color w:val="008000"/>
        </w:rPr>
        <w:t>Contact Hour based on DPE Academic Calendar:</w:t>
      </w:r>
      <w:r w:rsidR="00D56978">
        <w:rPr>
          <w:rFonts w:asciiTheme="minorHAnsi" w:hAnsiTheme="minorHAnsi" w:cstheme="minorHAnsi"/>
          <w:color w:val="008000"/>
        </w:rPr>
        <w:t xml:space="preserve"> </w:t>
      </w:r>
      <w:r w:rsidRPr="005F120D">
        <w:rPr>
          <w:rFonts w:asciiTheme="minorHAnsi" w:hAnsiTheme="minorHAnsi" w:cstheme="minorHAnsi"/>
          <w:b w:val="0"/>
        </w:rPr>
        <w:t xml:space="preserve">The DPE school academic calendar is another source of information for calculating this indicator. According to the </w:t>
      </w:r>
      <w:r w:rsidR="00704634" w:rsidRPr="005F120D">
        <w:rPr>
          <w:rFonts w:asciiTheme="minorHAnsi" w:hAnsiTheme="minorHAnsi" w:cstheme="minorHAnsi"/>
          <w:b w:val="0"/>
        </w:rPr>
        <w:t xml:space="preserve">2015 academic school calendar, </w:t>
      </w:r>
      <w:r w:rsidRPr="005F120D">
        <w:rPr>
          <w:rFonts w:asciiTheme="minorHAnsi" w:hAnsiTheme="minorHAnsi" w:cstheme="minorHAnsi"/>
          <w:b w:val="0"/>
        </w:rPr>
        <w:t xml:space="preserve">the </w:t>
      </w:r>
      <w:r w:rsidR="007C6BCA" w:rsidRPr="005F120D">
        <w:rPr>
          <w:rFonts w:asciiTheme="minorHAnsi" w:hAnsiTheme="minorHAnsi" w:cstheme="minorHAnsi"/>
          <w:b w:val="0"/>
        </w:rPr>
        <w:t>number of school opening days was</w:t>
      </w:r>
      <w:r w:rsidRPr="005F120D">
        <w:rPr>
          <w:rFonts w:asciiTheme="minorHAnsi" w:hAnsiTheme="minorHAnsi" w:cstheme="minorHAnsi"/>
          <w:b w:val="0"/>
        </w:rPr>
        <w:t xml:space="preserve"> as follows</w:t>
      </w:r>
      <w:r w:rsidR="000E057F" w:rsidRPr="005F120D">
        <w:rPr>
          <w:rFonts w:asciiTheme="minorHAnsi" w:hAnsiTheme="minorHAnsi" w:cstheme="minorHAnsi"/>
          <w:b w:val="0"/>
        </w:rPr>
        <w:t>:</w:t>
      </w:r>
    </w:p>
    <w:p w:rsidR="000E057F" w:rsidRPr="005F120D" w:rsidRDefault="000E057F" w:rsidP="00C437AA">
      <w:pPr>
        <w:pStyle w:val="Caption"/>
        <w:spacing w:line="276" w:lineRule="auto"/>
        <w:rPr>
          <w:rFonts w:cstheme="minorHAnsi"/>
        </w:rPr>
      </w:pPr>
      <w:bookmarkStart w:id="364" w:name="_Toc462837277"/>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20</w:t>
      </w:r>
      <w:r w:rsidR="002E2ED5" w:rsidRPr="005F120D">
        <w:rPr>
          <w:rFonts w:cstheme="minorHAnsi"/>
        </w:rPr>
        <w:fldChar w:fldCharType="end"/>
      </w:r>
      <w:r w:rsidRPr="005F120D">
        <w:rPr>
          <w:rFonts w:cstheme="minorHAnsi"/>
        </w:rPr>
        <w:t>: Number of Days School is Open 2015</w:t>
      </w:r>
      <w:bookmarkEnd w:id="364"/>
    </w:p>
    <w:tbl>
      <w:tblPr>
        <w:tblStyle w:val="MediumShading1-Accent5"/>
        <w:tblW w:w="5018" w:type="pct"/>
        <w:tblLook w:val="04A0"/>
      </w:tblPr>
      <w:tblGrid>
        <w:gridCol w:w="1738"/>
        <w:gridCol w:w="1544"/>
        <w:gridCol w:w="1577"/>
        <w:gridCol w:w="1546"/>
        <w:gridCol w:w="1381"/>
        <w:gridCol w:w="1492"/>
      </w:tblGrid>
      <w:tr w:rsidR="000E057F" w:rsidRPr="005F120D" w:rsidTr="00F21113">
        <w:trPr>
          <w:cnfStyle w:val="100000000000"/>
          <w:trHeight w:hRule="exact" w:val="552"/>
        </w:trPr>
        <w:tc>
          <w:tcPr>
            <w:cnfStyle w:val="001000000000"/>
            <w:tcW w:w="937" w:type="pct"/>
          </w:tcPr>
          <w:p w:rsidR="000E057F" w:rsidRPr="005F120D" w:rsidRDefault="000E057F"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Month</w:t>
            </w:r>
          </w:p>
        </w:tc>
        <w:tc>
          <w:tcPr>
            <w:tcW w:w="832" w:type="pct"/>
          </w:tcPr>
          <w:p w:rsidR="000E057F" w:rsidRPr="005F120D" w:rsidRDefault="000E057F" w:rsidP="00C437AA">
            <w:pPr>
              <w:spacing w:after="0" w:line="276" w:lineRule="auto"/>
              <w:jc w:val="center"/>
              <w:cnfStyle w:val="100000000000"/>
              <w:rPr>
                <w:rFonts w:asciiTheme="minorHAnsi" w:hAnsiTheme="minorHAnsi" w:cstheme="minorHAnsi"/>
                <w:sz w:val="20"/>
              </w:rPr>
            </w:pPr>
            <w:r w:rsidRPr="005F120D">
              <w:rPr>
                <w:rFonts w:asciiTheme="minorHAnsi" w:hAnsiTheme="minorHAnsi" w:cstheme="minorHAnsi"/>
                <w:sz w:val="20"/>
              </w:rPr>
              <w:t>Working Days</w:t>
            </w:r>
          </w:p>
        </w:tc>
        <w:tc>
          <w:tcPr>
            <w:tcW w:w="850" w:type="pct"/>
          </w:tcPr>
          <w:p w:rsidR="000E057F" w:rsidRPr="005F120D" w:rsidRDefault="000E057F" w:rsidP="00C437AA">
            <w:pPr>
              <w:spacing w:after="0" w:line="276" w:lineRule="auto"/>
              <w:jc w:val="center"/>
              <w:cnfStyle w:val="100000000000"/>
              <w:rPr>
                <w:rFonts w:asciiTheme="minorHAnsi" w:hAnsiTheme="minorHAnsi" w:cstheme="minorHAnsi"/>
                <w:sz w:val="20"/>
              </w:rPr>
            </w:pPr>
            <w:r w:rsidRPr="005F120D">
              <w:rPr>
                <w:rFonts w:asciiTheme="minorHAnsi" w:hAnsiTheme="minorHAnsi" w:cstheme="minorHAnsi"/>
                <w:sz w:val="20"/>
              </w:rPr>
              <w:t>Weekend</w:t>
            </w:r>
          </w:p>
        </w:tc>
        <w:tc>
          <w:tcPr>
            <w:tcW w:w="833" w:type="pct"/>
          </w:tcPr>
          <w:p w:rsidR="000E057F" w:rsidRPr="005F120D" w:rsidRDefault="000E057F" w:rsidP="00C437AA">
            <w:pPr>
              <w:spacing w:after="0" w:line="276" w:lineRule="auto"/>
              <w:jc w:val="center"/>
              <w:cnfStyle w:val="100000000000"/>
              <w:rPr>
                <w:rFonts w:asciiTheme="minorHAnsi" w:hAnsiTheme="minorHAnsi" w:cstheme="minorHAnsi"/>
                <w:sz w:val="20"/>
              </w:rPr>
            </w:pPr>
            <w:r w:rsidRPr="005F120D">
              <w:rPr>
                <w:rFonts w:asciiTheme="minorHAnsi" w:hAnsiTheme="minorHAnsi" w:cstheme="minorHAnsi"/>
                <w:sz w:val="20"/>
              </w:rPr>
              <w:t>Holidays</w:t>
            </w:r>
          </w:p>
        </w:tc>
        <w:tc>
          <w:tcPr>
            <w:tcW w:w="744" w:type="pct"/>
          </w:tcPr>
          <w:p w:rsidR="000E057F" w:rsidRPr="005F120D" w:rsidRDefault="000E057F" w:rsidP="00C437AA">
            <w:pPr>
              <w:spacing w:after="0" w:line="276" w:lineRule="auto"/>
              <w:jc w:val="center"/>
              <w:cnfStyle w:val="100000000000"/>
              <w:rPr>
                <w:rFonts w:asciiTheme="minorHAnsi" w:hAnsiTheme="minorHAnsi" w:cstheme="minorHAnsi"/>
                <w:sz w:val="20"/>
              </w:rPr>
            </w:pPr>
            <w:r w:rsidRPr="005F120D">
              <w:rPr>
                <w:rFonts w:asciiTheme="minorHAnsi" w:hAnsiTheme="minorHAnsi" w:cstheme="minorHAnsi"/>
                <w:sz w:val="20"/>
              </w:rPr>
              <w:t>No of Thursday</w:t>
            </w:r>
          </w:p>
        </w:tc>
        <w:tc>
          <w:tcPr>
            <w:tcW w:w="804" w:type="pct"/>
          </w:tcPr>
          <w:p w:rsidR="000E057F" w:rsidRPr="005F120D" w:rsidRDefault="000E057F" w:rsidP="00C437AA">
            <w:pPr>
              <w:spacing w:after="0" w:line="276" w:lineRule="auto"/>
              <w:jc w:val="center"/>
              <w:cnfStyle w:val="100000000000"/>
              <w:rPr>
                <w:rFonts w:asciiTheme="minorHAnsi" w:hAnsiTheme="minorHAnsi" w:cstheme="minorHAnsi"/>
                <w:sz w:val="20"/>
              </w:rPr>
            </w:pPr>
            <w:r w:rsidRPr="005F120D">
              <w:rPr>
                <w:rFonts w:asciiTheme="minorHAnsi" w:hAnsiTheme="minorHAnsi" w:cstheme="minorHAnsi"/>
                <w:sz w:val="20"/>
              </w:rPr>
              <w:t>Remarks</w:t>
            </w:r>
          </w:p>
        </w:tc>
      </w:tr>
      <w:tr w:rsidR="00704634" w:rsidRPr="005F120D" w:rsidTr="00F21113">
        <w:trPr>
          <w:cnfStyle w:val="000000100000"/>
          <w:trHeight w:hRule="exact" w:val="288"/>
        </w:trPr>
        <w:tc>
          <w:tcPr>
            <w:cnfStyle w:val="001000000000"/>
            <w:tcW w:w="937" w:type="pct"/>
          </w:tcPr>
          <w:p w:rsidR="00704634" w:rsidRPr="005F120D" w:rsidRDefault="00704634" w:rsidP="00704634">
            <w:pPr>
              <w:pStyle w:val="ListParagraph"/>
              <w:numPr>
                <w:ilvl w:val="0"/>
                <w:numId w:val="0"/>
              </w:numPr>
              <w:spacing w:after="0" w:line="276" w:lineRule="auto"/>
              <w:ind w:left="360"/>
              <w:jc w:val="center"/>
              <w:rPr>
                <w:rFonts w:asciiTheme="minorHAnsi" w:hAnsiTheme="minorHAnsi" w:cstheme="minorHAnsi"/>
                <w:b w:val="0"/>
                <w:sz w:val="16"/>
                <w:szCs w:val="16"/>
              </w:rPr>
            </w:pPr>
            <w:r w:rsidRPr="005F120D">
              <w:rPr>
                <w:rFonts w:asciiTheme="minorHAnsi" w:hAnsiTheme="minorHAnsi" w:cstheme="minorHAnsi"/>
                <w:b w:val="0"/>
                <w:sz w:val="16"/>
                <w:szCs w:val="16"/>
              </w:rPr>
              <w:t>1</w:t>
            </w:r>
          </w:p>
        </w:tc>
        <w:tc>
          <w:tcPr>
            <w:tcW w:w="832" w:type="pct"/>
          </w:tcPr>
          <w:p w:rsidR="00704634" w:rsidRPr="005F120D" w:rsidRDefault="00704634" w:rsidP="00704634">
            <w:pPr>
              <w:spacing w:after="0" w:line="276" w:lineRule="auto"/>
              <w:jc w:val="center"/>
              <w:cnfStyle w:val="000000100000"/>
              <w:rPr>
                <w:rFonts w:asciiTheme="minorHAnsi" w:hAnsiTheme="minorHAnsi" w:cstheme="minorHAnsi"/>
                <w:sz w:val="16"/>
                <w:szCs w:val="16"/>
              </w:rPr>
            </w:pPr>
            <w:r w:rsidRPr="005F120D">
              <w:rPr>
                <w:rFonts w:asciiTheme="minorHAnsi" w:hAnsiTheme="minorHAnsi" w:cstheme="minorHAnsi"/>
                <w:sz w:val="16"/>
                <w:szCs w:val="16"/>
              </w:rPr>
              <w:t>2</w:t>
            </w:r>
          </w:p>
        </w:tc>
        <w:tc>
          <w:tcPr>
            <w:tcW w:w="850" w:type="pct"/>
          </w:tcPr>
          <w:p w:rsidR="00704634" w:rsidRPr="005F120D" w:rsidRDefault="00704634" w:rsidP="00704634">
            <w:pPr>
              <w:spacing w:after="0" w:line="276" w:lineRule="auto"/>
              <w:jc w:val="center"/>
              <w:cnfStyle w:val="000000100000"/>
              <w:rPr>
                <w:rFonts w:asciiTheme="minorHAnsi" w:hAnsiTheme="minorHAnsi" w:cstheme="minorHAnsi"/>
                <w:color w:val="3333FF"/>
                <w:sz w:val="16"/>
                <w:szCs w:val="16"/>
              </w:rPr>
            </w:pPr>
            <w:r w:rsidRPr="005F120D">
              <w:rPr>
                <w:rFonts w:asciiTheme="minorHAnsi" w:hAnsiTheme="minorHAnsi" w:cstheme="minorHAnsi"/>
                <w:color w:val="3333FF"/>
                <w:sz w:val="16"/>
                <w:szCs w:val="16"/>
              </w:rPr>
              <w:t>3</w:t>
            </w:r>
          </w:p>
        </w:tc>
        <w:tc>
          <w:tcPr>
            <w:tcW w:w="833" w:type="pct"/>
          </w:tcPr>
          <w:p w:rsidR="00704634" w:rsidRPr="005F120D" w:rsidRDefault="00704634" w:rsidP="00704634">
            <w:pPr>
              <w:spacing w:after="0" w:line="276" w:lineRule="auto"/>
              <w:jc w:val="center"/>
              <w:cnfStyle w:val="000000100000"/>
              <w:rPr>
                <w:rFonts w:asciiTheme="minorHAnsi" w:hAnsiTheme="minorHAnsi" w:cstheme="minorHAnsi"/>
                <w:color w:val="3333FF"/>
                <w:sz w:val="16"/>
                <w:szCs w:val="16"/>
              </w:rPr>
            </w:pPr>
            <w:r w:rsidRPr="005F120D">
              <w:rPr>
                <w:rFonts w:asciiTheme="minorHAnsi" w:hAnsiTheme="minorHAnsi" w:cstheme="minorHAnsi"/>
                <w:color w:val="3333FF"/>
                <w:sz w:val="16"/>
                <w:szCs w:val="16"/>
              </w:rPr>
              <w:t>4</w:t>
            </w:r>
          </w:p>
        </w:tc>
        <w:tc>
          <w:tcPr>
            <w:tcW w:w="744" w:type="pct"/>
          </w:tcPr>
          <w:p w:rsidR="00704634" w:rsidRPr="005F120D" w:rsidRDefault="00704634" w:rsidP="00704634">
            <w:pPr>
              <w:spacing w:after="0" w:line="276" w:lineRule="auto"/>
              <w:jc w:val="center"/>
              <w:cnfStyle w:val="000000100000"/>
              <w:rPr>
                <w:rFonts w:asciiTheme="minorHAnsi" w:hAnsiTheme="minorHAnsi" w:cstheme="minorHAnsi"/>
                <w:sz w:val="16"/>
                <w:szCs w:val="16"/>
              </w:rPr>
            </w:pPr>
            <w:r w:rsidRPr="005F120D">
              <w:rPr>
                <w:rFonts w:asciiTheme="minorHAnsi" w:hAnsiTheme="minorHAnsi" w:cstheme="minorHAnsi"/>
                <w:sz w:val="16"/>
                <w:szCs w:val="16"/>
              </w:rPr>
              <w:t>5</w:t>
            </w:r>
          </w:p>
        </w:tc>
        <w:tc>
          <w:tcPr>
            <w:tcW w:w="804" w:type="pct"/>
          </w:tcPr>
          <w:p w:rsidR="00704634" w:rsidRPr="005F120D" w:rsidRDefault="00704634" w:rsidP="00704634">
            <w:pPr>
              <w:spacing w:after="0" w:line="276" w:lineRule="auto"/>
              <w:jc w:val="center"/>
              <w:cnfStyle w:val="000000100000"/>
              <w:rPr>
                <w:rFonts w:asciiTheme="minorHAnsi" w:hAnsiTheme="minorHAnsi" w:cstheme="minorHAnsi"/>
                <w:sz w:val="16"/>
                <w:szCs w:val="16"/>
              </w:rPr>
            </w:pPr>
            <w:r w:rsidRPr="005F120D">
              <w:rPr>
                <w:rFonts w:asciiTheme="minorHAnsi" w:hAnsiTheme="minorHAnsi" w:cstheme="minorHAnsi"/>
                <w:sz w:val="16"/>
                <w:szCs w:val="16"/>
              </w:rPr>
              <w:t>6</w:t>
            </w:r>
          </w:p>
        </w:tc>
      </w:tr>
      <w:tr w:rsidR="000E057F" w:rsidRPr="005F120D" w:rsidTr="00F21113">
        <w:trPr>
          <w:cnfStyle w:val="00000001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 xml:space="preserve">January </w:t>
            </w:r>
          </w:p>
        </w:tc>
        <w:tc>
          <w:tcPr>
            <w:tcW w:w="832"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24</w:t>
            </w:r>
          </w:p>
        </w:tc>
        <w:tc>
          <w:tcPr>
            <w:tcW w:w="850"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5</w:t>
            </w:r>
          </w:p>
        </w:tc>
        <w:tc>
          <w:tcPr>
            <w:tcW w:w="833"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2</w:t>
            </w:r>
          </w:p>
        </w:tc>
        <w:tc>
          <w:tcPr>
            <w:tcW w:w="744"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4</w:t>
            </w:r>
          </w:p>
        </w:tc>
        <w:tc>
          <w:tcPr>
            <w:tcW w:w="804" w:type="pct"/>
            <w:vMerge w:val="restart"/>
          </w:tcPr>
          <w:p w:rsidR="000E057F" w:rsidRPr="005F120D" w:rsidRDefault="00F90FC0" w:rsidP="007C6BCA">
            <w:pPr>
              <w:spacing w:after="0" w:line="276" w:lineRule="auto"/>
              <w:cnfStyle w:val="000000010000"/>
              <w:rPr>
                <w:rFonts w:asciiTheme="minorHAnsi" w:hAnsiTheme="minorHAnsi" w:cstheme="minorHAnsi"/>
                <w:sz w:val="20"/>
              </w:rPr>
            </w:pPr>
            <w:r w:rsidRPr="005F120D">
              <w:rPr>
                <w:rFonts w:asciiTheme="minorHAnsi" w:hAnsiTheme="minorHAnsi" w:cstheme="minorHAnsi"/>
                <w:sz w:val="20"/>
              </w:rPr>
              <w:t xml:space="preserve">A total of 30 (24 days for exam, 4 days for Sub-cluster and 2 days reserved leave by HTs) days </w:t>
            </w:r>
            <w:r w:rsidR="007C6BCA" w:rsidRPr="005F120D">
              <w:rPr>
                <w:rFonts w:asciiTheme="minorHAnsi" w:hAnsiTheme="minorHAnsi" w:cstheme="minorHAnsi"/>
                <w:sz w:val="20"/>
              </w:rPr>
              <w:t xml:space="preserve">when  </w:t>
            </w:r>
            <w:r w:rsidRPr="005F120D">
              <w:rPr>
                <w:rFonts w:asciiTheme="minorHAnsi" w:hAnsiTheme="minorHAnsi" w:cstheme="minorHAnsi"/>
                <w:sz w:val="20"/>
              </w:rPr>
              <w:t>classroom teaching</w:t>
            </w:r>
            <w:r w:rsidR="007C6BCA" w:rsidRPr="005F120D">
              <w:rPr>
                <w:rFonts w:asciiTheme="minorHAnsi" w:hAnsiTheme="minorHAnsi" w:cstheme="minorHAnsi"/>
                <w:sz w:val="20"/>
              </w:rPr>
              <w:t xml:space="preserve"> is not conducted</w:t>
            </w:r>
            <w:r w:rsidRPr="005F120D">
              <w:rPr>
                <w:rFonts w:asciiTheme="minorHAnsi" w:hAnsiTheme="minorHAnsi" w:cstheme="minorHAnsi"/>
                <w:sz w:val="20"/>
              </w:rPr>
              <w:t>. Only 210 days for classroom teaching</w:t>
            </w:r>
          </w:p>
        </w:tc>
      </w:tr>
      <w:tr w:rsidR="000E057F" w:rsidRPr="005F120D" w:rsidTr="00F21113">
        <w:trPr>
          <w:cnfStyle w:val="00000010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February</w:t>
            </w:r>
          </w:p>
        </w:tc>
        <w:tc>
          <w:tcPr>
            <w:tcW w:w="832"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20</w:t>
            </w:r>
          </w:p>
        </w:tc>
        <w:tc>
          <w:tcPr>
            <w:tcW w:w="850"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4</w:t>
            </w:r>
          </w:p>
        </w:tc>
        <w:tc>
          <w:tcPr>
            <w:tcW w:w="833"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4</w:t>
            </w:r>
          </w:p>
        </w:tc>
        <w:tc>
          <w:tcPr>
            <w:tcW w:w="744"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4</w:t>
            </w:r>
          </w:p>
        </w:tc>
        <w:tc>
          <w:tcPr>
            <w:tcW w:w="804" w:type="pct"/>
            <w:vMerge/>
          </w:tcPr>
          <w:p w:rsidR="000E057F" w:rsidRPr="005F120D" w:rsidRDefault="000E057F" w:rsidP="00C437AA">
            <w:pPr>
              <w:spacing w:after="0" w:line="276" w:lineRule="auto"/>
              <w:jc w:val="center"/>
              <w:cnfStyle w:val="000000100000"/>
              <w:rPr>
                <w:rFonts w:asciiTheme="minorHAnsi" w:hAnsiTheme="minorHAnsi" w:cstheme="minorHAnsi"/>
                <w:sz w:val="20"/>
              </w:rPr>
            </w:pPr>
          </w:p>
        </w:tc>
      </w:tr>
      <w:tr w:rsidR="000E057F" w:rsidRPr="005F120D" w:rsidTr="00F21113">
        <w:trPr>
          <w:cnfStyle w:val="00000001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March</w:t>
            </w:r>
          </w:p>
        </w:tc>
        <w:tc>
          <w:tcPr>
            <w:tcW w:w="832"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24</w:t>
            </w:r>
          </w:p>
        </w:tc>
        <w:tc>
          <w:tcPr>
            <w:tcW w:w="850"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4</w:t>
            </w:r>
          </w:p>
        </w:tc>
        <w:tc>
          <w:tcPr>
            <w:tcW w:w="833"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3</w:t>
            </w:r>
          </w:p>
        </w:tc>
        <w:tc>
          <w:tcPr>
            <w:tcW w:w="744"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2 (H2)</w:t>
            </w:r>
          </w:p>
        </w:tc>
        <w:tc>
          <w:tcPr>
            <w:tcW w:w="804" w:type="pct"/>
            <w:vMerge/>
          </w:tcPr>
          <w:p w:rsidR="000E057F" w:rsidRPr="005F120D" w:rsidRDefault="000E057F" w:rsidP="00C437AA">
            <w:pPr>
              <w:spacing w:after="0" w:line="276" w:lineRule="auto"/>
              <w:jc w:val="center"/>
              <w:cnfStyle w:val="000000010000"/>
              <w:rPr>
                <w:rFonts w:asciiTheme="minorHAnsi" w:hAnsiTheme="minorHAnsi" w:cstheme="minorHAnsi"/>
                <w:sz w:val="20"/>
              </w:rPr>
            </w:pPr>
          </w:p>
        </w:tc>
      </w:tr>
      <w:tr w:rsidR="000E057F" w:rsidRPr="005F120D" w:rsidTr="00F21113">
        <w:trPr>
          <w:cnfStyle w:val="00000010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April</w:t>
            </w:r>
          </w:p>
        </w:tc>
        <w:tc>
          <w:tcPr>
            <w:tcW w:w="832"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23</w:t>
            </w:r>
          </w:p>
        </w:tc>
        <w:tc>
          <w:tcPr>
            <w:tcW w:w="850"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4</w:t>
            </w:r>
          </w:p>
        </w:tc>
        <w:tc>
          <w:tcPr>
            <w:tcW w:w="833"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3</w:t>
            </w:r>
          </w:p>
        </w:tc>
        <w:tc>
          <w:tcPr>
            <w:tcW w:w="744"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5 (Exam2)</w:t>
            </w:r>
          </w:p>
        </w:tc>
        <w:tc>
          <w:tcPr>
            <w:tcW w:w="804" w:type="pct"/>
            <w:vMerge/>
          </w:tcPr>
          <w:p w:rsidR="000E057F" w:rsidRPr="005F120D" w:rsidRDefault="000E057F" w:rsidP="00C437AA">
            <w:pPr>
              <w:spacing w:after="0" w:line="276" w:lineRule="auto"/>
              <w:jc w:val="center"/>
              <w:cnfStyle w:val="000000100000"/>
              <w:rPr>
                <w:rFonts w:asciiTheme="minorHAnsi" w:hAnsiTheme="minorHAnsi" w:cstheme="minorHAnsi"/>
                <w:sz w:val="20"/>
              </w:rPr>
            </w:pPr>
          </w:p>
        </w:tc>
      </w:tr>
      <w:tr w:rsidR="000E057F" w:rsidRPr="005F120D" w:rsidTr="00F21113">
        <w:trPr>
          <w:cnfStyle w:val="00000001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May</w:t>
            </w:r>
          </w:p>
        </w:tc>
        <w:tc>
          <w:tcPr>
            <w:tcW w:w="832"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19</w:t>
            </w:r>
          </w:p>
        </w:tc>
        <w:tc>
          <w:tcPr>
            <w:tcW w:w="850"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5</w:t>
            </w:r>
          </w:p>
        </w:tc>
        <w:tc>
          <w:tcPr>
            <w:tcW w:w="833"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7</w:t>
            </w:r>
          </w:p>
        </w:tc>
        <w:tc>
          <w:tcPr>
            <w:tcW w:w="744"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4</w:t>
            </w:r>
          </w:p>
        </w:tc>
        <w:tc>
          <w:tcPr>
            <w:tcW w:w="804" w:type="pct"/>
            <w:vMerge/>
          </w:tcPr>
          <w:p w:rsidR="000E057F" w:rsidRPr="005F120D" w:rsidRDefault="000E057F" w:rsidP="00C437AA">
            <w:pPr>
              <w:spacing w:after="0" w:line="276" w:lineRule="auto"/>
              <w:jc w:val="center"/>
              <w:cnfStyle w:val="000000010000"/>
              <w:rPr>
                <w:rFonts w:asciiTheme="minorHAnsi" w:hAnsiTheme="minorHAnsi" w:cstheme="minorHAnsi"/>
                <w:sz w:val="20"/>
              </w:rPr>
            </w:pPr>
          </w:p>
        </w:tc>
      </w:tr>
      <w:tr w:rsidR="000E057F" w:rsidRPr="005F120D" w:rsidTr="00F21113">
        <w:trPr>
          <w:cnfStyle w:val="00000010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June</w:t>
            </w:r>
          </w:p>
        </w:tc>
        <w:tc>
          <w:tcPr>
            <w:tcW w:w="832"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15</w:t>
            </w:r>
          </w:p>
        </w:tc>
        <w:tc>
          <w:tcPr>
            <w:tcW w:w="850"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4</w:t>
            </w:r>
          </w:p>
        </w:tc>
        <w:tc>
          <w:tcPr>
            <w:tcW w:w="833"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11</w:t>
            </w:r>
          </w:p>
        </w:tc>
        <w:tc>
          <w:tcPr>
            <w:tcW w:w="744"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3(H1)</w:t>
            </w:r>
          </w:p>
        </w:tc>
        <w:tc>
          <w:tcPr>
            <w:tcW w:w="804" w:type="pct"/>
            <w:vMerge/>
          </w:tcPr>
          <w:p w:rsidR="000E057F" w:rsidRPr="005F120D" w:rsidRDefault="000E057F" w:rsidP="00C437AA">
            <w:pPr>
              <w:spacing w:after="0" w:line="276" w:lineRule="auto"/>
              <w:jc w:val="center"/>
              <w:cnfStyle w:val="000000100000"/>
              <w:rPr>
                <w:rFonts w:asciiTheme="minorHAnsi" w:hAnsiTheme="minorHAnsi" w:cstheme="minorHAnsi"/>
                <w:sz w:val="20"/>
              </w:rPr>
            </w:pPr>
          </w:p>
        </w:tc>
      </w:tr>
      <w:tr w:rsidR="000E057F" w:rsidRPr="005F120D" w:rsidTr="00F21113">
        <w:trPr>
          <w:cnfStyle w:val="00000001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July</w:t>
            </w:r>
          </w:p>
        </w:tc>
        <w:tc>
          <w:tcPr>
            <w:tcW w:w="832"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6</w:t>
            </w:r>
          </w:p>
        </w:tc>
        <w:tc>
          <w:tcPr>
            <w:tcW w:w="850"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5</w:t>
            </w:r>
          </w:p>
        </w:tc>
        <w:tc>
          <w:tcPr>
            <w:tcW w:w="833"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20</w:t>
            </w:r>
          </w:p>
        </w:tc>
        <w:tc>
          <w:tcPr>
            <w:tcW w:w="744"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1 (4H)</w:t>
            </w:r>
          </w:p>
        </w:tc>
        <w:tc>
          <w:tcPr>
            <w:tcW w:w="804" w:type="pct"/>
            <w:vMerge/>
          </w:tcPr>
          <w:p w:rsidR="000E057F" w:rsidRPr="005F120D" w:rsidRDefault="000E057F" w:rsidP="00C437AA">
            <w:pPr>
              <w:spacing w:after="0" w:line="276" w:lineRule="auto"/>
              <w:jc w:val="center"/>
              <w:cnfStyle w:val="000000010000"/>
              <w:rPr>
                <w:rFonts w:asciiTheme="minorHAnsi" w:hAnsiTheme="minorHAnsi" w:cstheme="minorHAnsi"/>
                <w:sz w:val="20"/>
              </w:rPr>
            </w:pPr>
          </w:p>
        </w:tc>
      </w:tr>
      <w:tr w:rsidR="000E057F" w:rsidRPr="005F120D" w:rsidTr="00F21113">
        <w:trPr>
          <w:cnfStyle w:val="00000010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August</w:t>
            </w:r>
          </w:p>
        </w:tc>
        <w:tc>
          <w:tcPr>
            <w:tcW w:w="832"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26</w:t>
            </w:r>
          </w:p>
        </w:tc>
        <w:tc>
          <w:tcPr>
            <w:tcW w:w="850"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4</w:t>
            </w:r>
          </w:p>
        </w:tc>
        <w:tc>
          <w:tcPr>
            <w:tcW w:w="833"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1</w:t>
            </w:r>
          </w:p>
        </w:tc>
        <w:tc>
          <w:tcPr>
            <w:tcW w:w="744"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4 (1 Exam)</w:t>
            </w:r>
          </w:p>
        </w:tc>
        <w:tc>
          <w:tcPr>
            <w:tcW w:w="804" w:type="pct"/>
            <w:vMerge/>
          </w:tcPr>
          <w:p w:rsidR="000E057F" w:rsidRPr="005F120D" w:rsidRDefault="000E057F" w:rsidP="00C437AA">
            <w:pPr>
              <w:spacing w:after="0" w:line="276" w:lineRule="auto"/>
              <w:jc w:val="center"/>
              <w:cnfStyle w:val="000000100000"/>
              <w:rPr>
                <w:rFonts w:asciiTheme="minorHAnsi" w:hAnsiTheme="minorHAnsi" w:cstheme="minorHAnsi"/>
                <w:sz w:val="20"/>
              </w:rPr>
            </w:pPr>
          </w:p>
        </w:tc>
      </w:tr>
      <w:tr w:rsidR="000E057F" w:rsidRPr="005F120D" w:rsidTr="00F21113">
        <w:trPr>
          <w:cnfStyle w:val="00000001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September</w:t>
            </w:r>
          </w:p>
        </w:tc>
        <w:tc>
          <w:tcPr>
            <w:tcW w:w="832"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20</w:t>
            </w:r>
          </w:p>
        </w:tc>
        <w:tc>
          <w:tcPr>
            <w:tcW w:w="850"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4</w:t>
            </w:r>
          </w:p>
        </w:tc>
        <w:tc>
          <w:tcPr>
            <w:tcW w:w="833"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6</w:t>
            </w:r>
          </w:p>
        </w:tc>
        <w:tc>
          <w:tcPr>
            <w:tcW w:w="744"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3 (1H)</w:t>
            </w:r>
          </w:p>
        </w:tc>
        <w:tc>
          <w:tcPr>
            <w:tcW w:w="804" w:type="pct"/>
            <w:vMerge/>
          </w:tcPr>
          <w:p w:rsidR="000E057F" w:rsidRPr="005F120D" w:rsidRDefault="000E057F" w:rsidP="00C437AA">
            <w:pPr>
              <w:spacing w:after="0" w:line="276" w:lineRule="auto"/>
              <w:jc w:val="center"/>
              <w:cnfStyle w:val="000000010000"/>
              <w:rPr>
                <w:rFonts w:asciiTheme="minorHAnsi" w:hAnsiTheme="minorHAnsi" w:cstheme="minorHAnsi"/>
                <w:sz w:val="20"/>
              </w:rPr>
            </w:pPr>
          </w:p>
        </w:tc>
      </w:tr>
      <w:tr w:rsidR="000E057F" w:rsidRPr="005F120D" w:rsidTr="00F21113">
        <w:trPr>
          <w:cnfStyle w:val="00000010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October</w:t>
            </w:r>
          </w:p>
        </w:tc>
        <w:tc>
          <w:tcPr>
            <w:tcW w:w="832"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17</w:t>
            </w:r>
          </w:p>
        </w:tc>
        <w:tc>
          <w:tcPr>
            <w:tcW w:w="850"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5</w:t>
            </w:r>
          </w:p>
        </w:tc>
        <w:tc>
          <w:tcPr>
            <w:tcW w:w="833"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9</w:t>
            </w:r>
          </w:p>
        </w:tc>
        <w:tc>
          <w:tcPr>
            <w:tcW w:w="744"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3 (2H)</w:t>
            </w:r>
          </w:p>
        </w:tc>
        <w:tc>
          <w:tcPr>
            <w:tcW w:w="804" w:type="pct"/>
            <w:vMerge/>
          </w:tcPr>
          <w:p w:rsidR="000E057F" w:rsidRPr="005F120D" w:rsidRDefault="000E057F" w:rsidP="00C437AA">
            <w:pPr>
              <w:spacing w:after="0" w:line="276" w:lineRule="auto"/>
              <w:jc w:val="center"/>
              <w:cnfStyle w:val="000000100000"/>
              <w:rPr>
                <w:rFonts w:asciiTheme="minorHAnsi" w:hAnsiTheme="minorHAnsi" w:cstheme="minorHAnsi"/>
                <w:sz w:val="20"/>
              </w:rPr>
            </w:pPr>
          </w:p>
        </w:tc>
      </w:tr>
      <w:tr w:rsidR="000E057F" w:rsidRPr="005F120D" w:rsidTr="00F21113">
        <w:trPr>
          <w:cnfStyle w:val="00000001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November</w:t>
            </w:r>
          </w:p>
        </w:tc>
        <w:tc>
          <w:tcPr>
            <w:tcW w:w="832"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25</w:t>
            </w:r>
          </w:p>
        </w:tc>
        <w:tc>
          <w:tcPr>
            <w:tcW w:w="850"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4</w:t>
            </w:r>
          </w:p>
        </w:tc>
        <w:tc>
          <w:tcPr>
            <w:tcW w:w="833" w:type="pct"/>
          </w:tcPr>
          <w:p w:rsidR="000E057F" w:rsidRPr="005F120D" w:rsidRDefault="000E057F" w:rsidP="00C437AA">
            <w:pPr>
              <w:spacing w:after="0" w:line="276" w:lineRule="auto"/>
              <w:jc w:val="center"/>
              <w:cnfStyle w:val="000000010000"/>
              <w:rPr>
                <w:rFonts w:asciiTheme="minorHAnsi" w:hAnsiTheme="minorHAnsi" w:cstheme="minorHAnsi"/>
                <w:color w:val="3333FF"/>
                <w:sz w:val="20"/>
              </w:rPr>
            </w:pPr>
            <w:r w:rsidRPr="005F120D">
              <w:rPr>
                <w:rFonts w:asciiTheme="minorHAnsi" w:hAnsiTheme="minorHAnsi" w:cstheme="minorHAnsi"/>
                <w:color w:val="3333FF"/>
                <w:sz w:val="20"/>
              </w:rPr>
              <w:t>1</w:t>
            </w:r>
          </w:p>
        </w:tc>
        <w:tc>
          <w:tcPr>
            <w:tcW w:w="744" w:type="pct"/>
          </w:tcPr>
          <w:p w:rsidR="000E057F" w:rsidRPr="005F120D" w:rsidRDefault="000E057F" w:rsidP="00C437AA">
            <w:pPr>
              <w:spacing w:after="0" w:line="276" w:lineRule="auto"/>
              <w:jc w:val="center"/>
              <w:cnfStyle w:val="000000010000"/>
              <w:rPr>
                <w:rFonts w:asciiTheme="minorHAnsi" w:hAnsiTheme="minorHAnsi" w:cstheme="minorHAnsi"/>
                <w:sz w:val="20"/>
              </w:rPr>
            </w:pPr>
            <w:r w:rsidRPr="005F120D">
              <w:rPr>
                <w:rFonts w:asciiTheme="minorHAnsi" w:hAnsiTheme="minorHAnsi" w:cstheme="minorHAnsi"/>
                <w:sz w:val="20"/>
              </w:rPr>
              <w:t>4 (1 Exam)</w:t>
            </w:r>
          </w:p>
        </w:tc>
        <w:tc>
          <w:tcPr>
            <w:tcW w:w="804" w:type="pct"/>
            <w:vMerge/>
          </w:tcPr>
          <w:p w:rsidR="000E057F" w:rsidRPr="005F120D" w:rsidRDefault="000E057F" w:rsidP="00C437AA">
            <w:pPr>
              <w:spacing w:after="0" w:line="276" w:lineRule="auto"/>
              <w:jc w:val="center"/>
              <w:cnfStyle w:val="000000010000"/>
              <w:rPr>
                <w:rFonts w:asciiTheme="minorHAnsi" w:hAnsiTheme="minorHAnsi" w:cstheme="minorHAnsi"/>
                <w:sz w:val="20"/>
              </w:rPr>
            </w:pPr>
          </w:p>
        </w:tc>
      </w:tr>
      <w:tr w:rsidR="000E057F" w:rsidRPr="005F120D" w:rsidTr="00F21113">
        <w:trPr>
          <w:cnfStyle w:val="000000100000"/>
          <w:trHeight w:hRule="exact" w:val="288"/>
        </w:trPr>
        <w:tc>
          <w:tcPr>
            <w:cnfStyle w:val="001000000000"/>
            <w:tcW w:w="937" w:type="pct"/>
          </w:tcPr>
          <w:p w:rsidR="000E057F" w:rsidRPr="005F120D" w:rsidRDefault="000E057F" w:rsidP="00C437AA">
            <w:pPr>
              <w:pStyle w:val="ListParagraph"/>
              <w:numPr>
                <w:ilvl w:val="0"/>
                <w:numId w:val="78"/>
              </w:numPr>
              <w:spacing w:after="0" w:line="276" w:lineRule="auto"/>
              <w:jc w:val="both"/>
              <w:rPr>
                <w:rFonts w:asciiTheme="minorHAnsi" w:hAnsiTheme="minorHAnsi" w:cstheme="minorHAnsi"/>
                <w:sz w:val="20"/>
                <w:szCs w:val="20"/>
              </w:rPr>
            </w:pPr>
            <w:r w:rsidRPr="005F120D">
              <w:rPr>
                <w:rFonts w:asciiTheme="minorHAnsi" w:hAnsiTheme="minorHAnsi" w:cstheme="minorHAnsi"/>
                <w:sz w:val="20"/>
                <w:szCs w:val="20"/>
              </w:rPr>
              <w:t>December</w:t>
            </w:r>
          </w:p>
        </w:tc>
        <w:tc>
          <w:tcPr>
            <w:tcW w:w="832"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21</w:t>
            </w:r>
          </w:p>
        </w:tc>
        <w:tc>
          <w:tcPr>
            <w:tcW w:w="850"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4</w:t>
            </w:r>
          </w:p>
        </w:tc>
        <w:tc>
          <w:tcPr>
            <w:tcW w:w="833" w:type="pct"/>
          </w:tcPr>
          <w:p w:rsidR="000E057F" w:rsidRPr="005F120D" w:rsidRDefault="000E057F" w:rsidP="00C437AA">
            <w:pPr>
              <w:spacing w:after="0" w:line="276" w:lineRule="auto"/>
              <w:jc w:val="center"/>
              <w:cnfStyle w:val="000000100000"/>
              <w:rPr>
                <w:rFonts w:asciiTheme="minorHAnsi" w:hAnsiTheme="minorHAnsi" w:cstheme="minorHAnsi"/>
                <w:color w:val="3333FF"/>
                <w:sz w:val="20"/>
              </w:rPr>
            </w:pPr>
            <w:r w:rsidRPr="005F120D">
              <w:rPr>
                <w:rFonts w:asciiTheme="minorHAnsi" w:hAnsiTheme="minorHAnsi" w:cstheme="minorHAnsi"/>
                <w:color w:val="3333FF"/>
                <w:sz w:val="20"/>
              </w:rPr>
              <w:t>6</w:t>
            </w:r>
          </w:p>
        </w:tc>
        <w:tc>
          <w:tcPr>
            <w:tcW w:w="744" w:type="pct"/>
          </w:tcPr>
          <w:p w:rsidR="000E057F" w:rsidRPr="005F120D" w:rsidRDefault="000E057F" w:rsidP="00C437AA">
            <w:pPr>
              <w:spacing w:after="0" w:line="276" w:lineRule="auto"/>
              <w:jc w:val="center"/>
              <w:cnfStyle w:val="000000100000"/>
              <w:rPr>
                <w:rFonts w:asciiTheme="minorHAnsi" w:hAnsiTheme="minorHAnsi" w:cstheme="minorHAnsi"/>
                <w:sz w:val="20"/>
              </w:rPr>
            </w:pPr>
            <w:r w:rsidRPr="005F120D">
              <w:rPr>
                <w:rFonts w:asciiTheme="minorHAnsi" w:hAnsiTheme="minorHAnsi" w:cstheme="minorHAnsi"/>
                <w:sz w:val="20"/>
              </w:rPr>
              <w:t>4(1H, Exam2)</w:t>
            </w:r>
          </w:p>
        </w:tc>
        <w:tc>
          <w:tcPr>
            <w:tcW w:w="804" w:type="pct"/>
            <w:vMerge/>
          </w:tcPr>
          <w:p w:rsidR="000E057F" w:rsidRPr="005F120D" w:rsidRDefault="000E057F" w:rsidP="00C437AA">
            <w:pPr>
              <w:spacing w:after="0" w:line="276" w:lineRule="auto"/>
              <w:jc w:val="center"/>
              <w:cnfStyle w:val="000000100000"/>
              <w:rPr>
                <w:rFonts w:asciiTheme="minorHAnsi" w:hAnsiTheme="minorHAnsi" w:cstheme="minorHAnsi"/>
                <w:sz w:val="20"/>
              </w:rPr>
            </w:pPr>
          </w:p>
        </w:tc>
      </w:tr>
      <w:tr w:rsidR="000E057F" w:rsidRPr="005F120D" w:rsidTr="00F21113">
        <w:trPr>
          <w:cnfStyle w:val="000000010000"/>
          <w:trHeight w:hRule="exact" w:val="471"/>
        </w:trPr>
        <w:tc>
          <w:tcPr>
            <w:cnfStyle w:val="001000000000"/>
            <w:tcW w:w="937" w:type="pct"/>
          </w:tcPr>
          <w:p w:rsidR="000E057F" w:rsidRPr="005F120D" w:rsidRDefault="000E057F" w:rsidP="00C437AA">
            <w:pPr>
              <w:spacing w:after="0" w:line="276" w:lineRule="auto"/>
              <w:jc w:val="center"/>
              <w:rPr>
                <w:rFonts w:asciiTheme="minorHAnsi" w:hAnsiTheme="minorHAnsi" w:cstheme="minorHAnsi"/>
                <w:b w:val="0"/>
                <w:sz w:val="20"/>
              </w:rPr>
            </w:pPr>
            <w:r w:rsidRPr="005F120D">
              <w:rPr>
                <w:rFonts w:asciiTheme="minorHAnsi" w:hAnsiTheme="minorHAnsi" w:cstheme="minorHAnsi"/>
                <w:b w:val="0"/>
                <w:sz w:val="20"/>
              </w:rPr>
              <w:t>Total:</w:t>
            </w:r>
          </w:p>
        </w:tc>
        <w:tc>
          <w:tcPr>
            <w:tcW w:w="832" w:type="pct"/>
          </w:tcPr>
          <w:p w:rsidR="000E057F" w:rsidRPr="005F120D" w:rsidRDefault="000E057F" w:rsidP="00C437AA">
            <w:pPr>
              <w:spacing w:after="0" w:line="276" w:lineRule="auto"/>
              <w:jc w:val="center"/>
              <w:cnfStyle w:val="000000010000"/>
              <w:rPr>
                <w:rFonts w:asciiTheme="minorHAnsi" w:hAnsiTheme="minorHAnsi" w:cstheme="minorHAnsi"/>
                <w:b/>
                <w:sz w:val="20"/>
              </w:rPr>
            </w:pPr>
            <w:r w:rsidRPr="005F120D">
              <w:rPr>
                <w:rFonts w:asciiTheme="minorHAnsi" w:hAnsiTheme="minorHAnsi" w:cstheme="minorHAnsi"/>
                <w:b/>
                <w:sz w:val="20"/>
              </w:rPr>
              <w:t>240</w:t>
            </w:r>
          </w:p>
        </w:tc>
        <w:tc>
          <w:tcPr>
            <w:tcW w:w="850" w:type="pct"/>
          </w:tcPr>
          <w:p w:rsidR="000E057F" w:rsidRPr="005F120D" w:rsidRDefault="000E057F" w:rsidP="00C437AA">
            <w:pPr>
              <w:spacing w:after="0" w:line="276" w:lineRule="auto"/>
              <w:jc w:val="center"/>
              <w:cnfStyle w:val="000000010000"/>
              <w:rPr>
                <w:rFonts w:asciiTheme="minorHAnsi" w:hAnsiTheme="minorHAnsi" w:cstheme="minorHAnsi"/>
                <w:b/>
                <w:color w:val="3333FF"/>
                <w:sz w:val="20"/>
              </w:rPr>
            </w:pPr>
            <w:r w:rsidRPr="005F120D">
              <w:rPr>
                <w:rFonts w:asciiTheme="minorHAnsi" w:hAnsiTheme="minorHAnsi" w:cstheme="minorHAnsi"/>
                <w:b/>
                <w:color w:val="3333FF"/>
                <w:sz w:val="20"/>
              </w:rPr>
              <w:t>52</w:t>
            </w:r>
          </w:p>
        </w:tc>
        <w:tc>
          <w:tcPr>
            <w:tcW w:w="833" w:type="pct"/>
          </w:tcPr>
          <w:p w:rsidR="000E057F" w:rsidRPr="005F120D" w:rsidRDefault="000E057F" w:rsidP="00C437AA">
            <w:pPr>
              <w:spacing w:after="0" w:line="276" w:lineRule="auto"/>
              <w:jc w:val="center"/>
              <w:cnfStyle w:val="000000010000"/>
              <w:rPr>
                <w:rFonts w:asciiTheme="minorHAnsi" w:hAnsiTheme="minorHAnsi" w:cstheme="minorHAnsi"/>
                <w:b/>
                <w:color w:val="3333FF"/>
                <w:sz w:val="20"/>
              </w:rPr>
            </w:pPr>
            <w:r w:rsidRPr="005F120D">
              <w:rPr>
                <w:rFonts w:asciiTheme="minorHAnsi" w:hAnsiTheme="minorHAnsi" w:cstheme="minorHAnsi"/>
                <w:b/>
                <w:color w:val="3333FF"/>
                <w:sz w:val="20"/>
              </w:rPr>
              <w:t>73</w:t>
            </w:r>
          </w:p>
        </w:tc>
        <w:tc>
          <w:tcPr>
            <w:tcW w:w="744" w:type="pct"/>
          </w:tcPr>
          <w:p w:rsidR="000E057F" w:rsidRPr="005F120D" w:rsidRDefault="000E057F" w:rsidP="00C437AA">
            <w:pPr>
              <w:spacing w:after="0" w:line="276" w:lineRule="auto"/>
              <w:jc w:val="center"/>
              <w:cnfStyle w:val="000000010000"/>
              <w:rPr>
                <w:rFonts w:asciiTheme="minorHAnsi" w:hAnsiTheme="minorHAnsi" w:cstheme="minorHAnsi"/>
                <w:b/>
                <w:sz w:val="20"/>
              </w:rPr>
            </w:pPr>
            <w:r w:rsidRPr="005F120D">
              <w:rPr>
                <w:rFonts w:asciiTheme="minorHAnsi" w:hAnsiTheme="minorHAnsi" w:cstheme="minorHAnsi"/>
                <w:b/>
                <w:sz w:val="20"/>
              </w:rPr>
              <w:t>41 (H 11)</w:t>
            </w:r>
          </w:p>
        </w:tc>
        <w:tc>
          <w:tcPr>
            <w:tcW w:w="804" w:type="pct"/>
            <w:vMerge/>
          </w:tcPr>
          <w:p w:rsidR="000E057F" w:rsidRPr="005F120D" w:rsidRDefault="000E057F" w:rsidP="00C437AA">
            <w:pPr>
              <w:spacing w:after="0" w:line="276" w:lineRule="auto"/>
              <w:jc w:val="center"/>
              <w:cnfStyle w:val="000000010000"/>
              <w:rPr>
                <w:rFonts w:asciiTheme="minorHAnsi" w:hAnsiTheme="minorHAnsi" w:cstheme="minorHAnsi"/>
                <w:sz w:val="20"/>
              </w:rPr>
            </w:pPr>
          </w:p>
        </w:tc>
      </w:tr>
    </w:tbl>
    <w:p w:rsidR="00B3625B" w:rsidRPr="005F120D" w:rsidRDefault="00B3625B" w:rsidP="00C437AA">
      <w:pPr>
        <w:spacing w:before="40" w:after="40" w:line="276" w:lineRule="auto"/>
        <w:jc w:val="both"/>
        <w:rPr>
          <w:rFonts w:asciiTheme="minorHAnsi" w:hAnsiTheme="minorHAnsi" w:cstheme="minorHAnsi"/>
          <w:b/>
          <w:sz w:val="16"/>
          <w:szCs w:val="16"/>
        </w:rPr>
      </w:pPr>
      <w:r w:rsidRPr="005F120D">
        <w:rPr>
          <w:rFonts w:asciiTheme="minorHAnsi" w:hAnsiTheme="minorHAnsi" w:cstheme="minorHAnsi"/>
          <w:b/>
          <w:sz w:val="16"/>
          <w:szCs w:val="16"/>
        </w:rPr>
        <w:t>Source: DPE Academic Calendar 2015</w:t>
      </w:r>
    </w:p>
    <w:p w:rsidR="00704634" w:rsidRPr="005F120D" w:rsidRDefault="00704634" w:rsidP="00C437AA">
      <w:pPr>
        <w:spacing w:before="40" w:after="40" w:line="276" w:lineRule="auto"/>
        <w:jc w:val="both"/>
        <w:rPr>
          <w:rFonts w:asciiTheme="minorHAnsi" w:hAnsiTheme="minorHAnsi" w:cstheme="minorHAnsi"/>
          <w:b/>
          <w:sz w:val="16"/>
          <w:szCs w:val="16"/>
        </w:rPr>
      </w:pPr>
      <w:r w:rsidRPr="005F120D">
        <w:rPr>
          <w:rFonts w:asciiTheme="minorHAnsi" w:hAnsiTheme="minorHAnsi" w:cstheme="minorHAnsi"/>
          <w:b/>
          <w:sz w:val="16"/>
          <w:szCs w:val="16"/>
        </w:rPr>
        <w:t>Note: Friday is w</w:t>
      </w:r>
      <w:r w:rsidR="007C6BCA" w:rsidRPr="005F120D">
        <w:rPr>
          <w:rFonts w:asciiTheme="minorHAnsi" w:hAnsiTheme="minorHAnsi" w:cstheme="minorHAnsi"/>
          <w:b/>
          <w:sz w:val="16"/>
          <w:szCs w:val="16"/>
        </w:rPr>
        <w:t>eekend; Thursday is half-day,</w:t>
      </w:r>
      <w:r w:rsidRPr="005F120D">
        <w:rPr>
          <w:rFonts w:asciiTheme="minorHAnsi" w:hAnsiTheme="minorHAnsi" w:cstheme="minorHAnsi"/>
          <w:b/>
          <w:sz w:val="16"/>
          <w:szCs w:val="16"/>
        </w:rPr>
        <w:t xml:space="preserve"> continuing up to 2:30 PM</w:t>
      </w:r>
      <w:r w:rsidR="007C6BCA" w:rsidRPr="005F120D">
        <w:rPr>
          <w:rFonts w:asciiTheme="minorHAnsi" w:hAnsiTheme="minorHAnsi" w:cstheme="minorHAnsi"/>
          <w:b/>
          <w:sz w:val="16"/>
          <w:szCs w:val="16"/>
        </w:rPr>
        <w:t xml:space="preserve"> instead 4:15 PM.  C</w:t>
      </w:r>
      <w:r w:rsidRPr="005F120D">
        <w:rPr>
          <w:rFonts w:asciiTheme="minorHAnsi" w:hAnsiTheme="minorHAnsi" w:cstheme="minorHAnsi"/>
          <w:b/>
          <w:sz w:val="16"/>
          <w:szCs w:val="16"/>
        </w:rPr>
        <w:t>o</w:t>
      </w:r>
      <w:r w:rsidR="007C6BCA" w:rsidRPr="005F120D">
        <w:rPr>
          <w:rFonts w:asciiTheme="minorHAnsi" w:hAnsiTheme="minorHAnsi" w:cstheme="minorHAnsi"/>
          <w:b/>
          <w:sz w:val="16"/>
          <w:szCs w:val="16"/>
        </w:rPr>
        <w:t>lumn 5 gives the</w:t>
      </w:r>
      <w:r w:rsidRPr="005F120D">
        <w:rPr>
          <w:rFonts w:asciiTheme="minorHAnsi" w:hAnsiTheme="minorHAnsi" w:cstheme="minorHAnsi"/>
          <w:b/>
          <w:sz w:val="16"/>
          <w:szCs w:val="16"/>
        </w:rPr>
        <w:t xml:space="preserve"> number of Thursday</w:t>
      </w:r>
      <w:r w:rsidR="007C6BCA" w:rsidRPr="005F120D">
        <w:rPr>
          <w:rFonts w:asciiTheme="minorHAnsi" w:hAnsiTheme="minorHAnsi" w:cstheme="minorHAnsi"/>
          <w:b/>
          <w:sz w:val="16"/>
          <w:szCs w:val="16"/>
        </w:rPr>
        <w:t>s</w:t>
      </w:r>
      <w:r w:rsidRPr="005F120D">
        <w:rPr>
          <w:rFonts w:asciiTheme="minorHAnsi" w:hAnsiTheme="minorHAnsi" w:cstheme="minorHAnsi"/>
          <w:b/>
          <w:sz w:val="16"/>
          <w:szCs w:val="16"/>
        </w:rPr>
        <w:t xml:space="preserve"> and within bracket</w:t>
      </w:r>
      <w:r w:rsidR="007C6BCA" w:rsidRPr="005F120D">
        <w:rPr>
          <w:rFonts w:asciiTheme="minorHAnsi" w:hAnsiTheme="minorHAnsi" w:cstheme="minorHAnsi"/>
          <w:b/>
          <w:sz w:val="16"/>
          <w:szCs w:val="16"/>
        </w:rPr>
        <w:t>s are mentioned non-teaching days,</w:t>
      </w:r>
      <w:r w:rsidRPr="005F120D">
        <w:rPr>
          <w:rFonts w:asciiTheme="minorHAnsi" w:hAnsiTheme="minorHAnsi" w:cstheme="minorHAnsi"/>
          <w:b/>
          <w:sz w:val="16"/>
          <w:szCs w:val="16"/>
        </w:rPr>
        <w:t xml:space="preserve"> i.e. (H2) means 2 Thursday</w:t>
      </w:r>
      <w:r w:rsidR="007C6BCA" w:rsidRPr="005F120D">
        <w:rPr>
          <w:rFonts w:asciiTheme="minorHAnsi" w:hAnsiTheme="minorHAnsi" w:cstheme="minorHAnsi"/>
          <w:b/>
          <w:sz w:val="16"/>
          <w:szCs w:val="16"/>
        </w:rPr>
        <w:t>s</w:t>
      </w:r>
      <w:r w:rsidRPr="005F120D">
        <w:rPr>
          <w:rFonts w:asciiTheme="minorHAnsi" w:hAnsiTheme="minorHAnsi" w:cstheme="minorHAnsi"/>
          <w:b/>
          <w:sz w:val="16"/>
          <w:szCs w:val="16"/>
        </w:rPr>
        <w:t xml:space="preserve"> are holidays and (Exam2) means </w:t>
      </w:r>
      <w:r w:rsidR="007C6BCA" w:rsidRPr="005F120D">
        <w:rPr>
          <w:rFonts w:asciiTheme="minorHAnsi" w:hAnsiTheme="minorHAnsi" w:cstheme="minorHAnsi"/>
          <w:b/>
          <w:sz w:val="16"/>
          <w:szCs w:val="16"/>
        </w:rPr>
        <w:t>exams are held on 2 Thursdays, so</w:t>
      </w:r>
      <w:r w:rsidRPr="005F120D">
        <w:rPr>
          <w:rFonts w:asciiTheme="minorHAnsi" w:hAnsiTheme="minorHAnsi" w:cstheme="minorHAnsi"/>
          <w:b/>
          <w:sz w:val="16"/>
          <w:szCs w:val="16"/>
        </w:rPr>
        <w:t xml:space="preserve"> no class teaching</w:t>
      </w:r>
      <w:r w:rsidR="00B33C10" w:rsidRPr="005F120D">
        <w:rPr>
          <w:rFonts w:asciiTheme="minorHAnsi" w:hAnsiTheme="minorHAnsi" w:cstheme="minorHAnsi"/>
          <w:b/>
          <w:sz w:val="16"/>
          <w:szCs w:val="16"/>
        </w:rPr>
        <w:t>.</w:t>
      </w:r>
    </w:p>
    <w:p w:rsidR="00A03624" w:rsidRPr="005F120D" w:rsidRDefault="00A03624" w:rsidP="00C437AA">
      <w:pPr>
        <w:spacing w:before="240" w:line="276" w:lineRule="auto"/>
        <w:jc w:val="both"/>
        <w:rPr>
          <w:rFonts w:asciiTheme="minorHAnsi" w:hAnsiTheme="minorHAnsi" w:cstheme="minorHAnsi"/>
          <w:b/>
          <w:color w:val="008000"/>
          <w:szCs w:val="22"/>
        </w:rPr>
      </w:pPr>
    </w:p>
    <w:p w:rsidR="00A03624" w:rsidRPr="005F120D" w:rsidRDefault="00A03624" w:rsidP="00C437AA">
      <w:pPr>
        <w:spacing w:before="240" w:line="276" w:lineRule="auto"/>
        <w:jc w:val="both"/>
        <w:rPr>
          <w:rFonts w:asciiTheme="minorHAnsi" w:hAnsiTheme="minorHAnsi" w:cstheme="minorHAnsi"/>
          <w:b/>
          <w:color w:val="008000"/>
          <w:szCs w:val="22"/>
        </w:rPr>
      </w:pPr>
    </w:p>
    <w:p w:rsidR="00F83E43" w:rsidRDefault="00F83E43" w:rsidP="00C437AA">
      <w:pPr>
        <w:spacing w:before="240" w:line="276" w:lineRule="auto"/>
        <w:jc w:val="both"/>
        <w:rPr>
          <w:rFonts w:asciiTheme="minorHAnsi" w:hAnsiTheme="minorHAnsi" w:cstheme="minorHAnsi"/>
          <w:b/>
          <w:color w:val="008000"/>
          <w:szCs w:val="22"/>
        </w:rPr>
      </w:pPr>
    </w:p>
    <w:p w:rsidR="00F90FC0" w:rsidRPr="005F120D" w:rsidRDefault="00F90FC0" w:rsidP="00C437AA">
      <w:pPr>
        <w:spacing w:before="240" w:line="276" w:lineRule="auto"/>
        <w:jc w:val="both"/>
        <w:rPr>
          <w:rFonts w:asciiTheme="minorHAnsi" w:hAnsiTheme="minorHAnsi" w:cstheme="minorHAnsi"/>
          <w:b/>
          <w:color w:val="008000"/>
          <w:szCs w:val="22"/>
        </w:rPr>
      </w:pPr>
      <w:r w:rsidRPr="005F120D">
        <w:rPr>
          <w:rFonts w:asciiTheme="minorHAnsi" w:hAnsiTheme="minorHAnsi" w:cstheme="minorHAnsi"/>
          <w:b/>
          <w:color w:val="008000"/>
          <w:szCs w:val="22"/>
        </w:rPr>
        <w:lastRenderedPageBreak/>
        <w:t>School Timing</w:t>
      </w:r>
    </w:p>
    <w:p w:rsidR="00F90FC0" w:rsidRPr="005F120D" w:rsidRDefault="00F90FC0" w:rsidP="00C437AA">
      <w:pPr>
        <w:numPr>
          <w:ilvl w:val="0"/>
          <w:numId w:val="96"/>
        </w:numPr>
        <w:spacing w:before="120" w:after="0" w:line="276" w:lineRule="auto"/>
        <w:contextualSpacing/>
        <w:jc w:val="both"/>
        <w:rPr>
          <w:rFonts w:asciiTheme="minorHAnsi" w:hAnsiTheme="minorHAnsi" w:cstheme="minorHAnsi"/>
          <w:b/>
          <w:color w:val="008000"/>
        </w:rPr>
      </w:pPr>
      <w:r w:rsidRPr="005F120D">
        <w:rPr>
          <w:rFonts w:asciiTheme="minorHAnsi" w:hAnsiTheme="minorHAnsi" w:cstheme="minorHAnsi"/>
          <w:b/>
          <w:color w:val="008000"/>
        </w:rPr>
        <w:t>School hours for double-shift schools are:</w:t>
      </w:r>
    </w:p>
    <w:p w:rsidR="00F90FC0" w:rsidRPr="005F120D" w:rsidRDefault="002153B0" w:rsidP="00C437AA">
      <w:pPr>
        <w:numPr>
          <w:ilvl w:val="0"/>
          <w:numId w:val="95"/>
        </w:numPr>
        <w:spacing w:after="0" w:line="276" w:lineRule="auto"/>
        <w:contextualSpacing/>
        <w:jc w:val="both"/>
        <w:rPr>
          <w:rFonts w:asciiTheme="minorHAnsi" w:hAnsiTheme="minorHAnsi" w:cstheme="minorHAnsi"/>
        </w:rPr>
      </w:pPr>
      <w:r w:rsidRPr="005F120D">
        <w:rPr>
          <w:rFonts w:asciiTheme="minorHAnsi" w:hAnsiTheme="minorHAnsi" w:cstheme="minorHAnsi"/>
        </w:rPr>
        <w:t>Grades 1 and 2</w:t>
      </w:r>
      <w:r w:rsidR="00F90FC0" w:rsidRPr="005F120D">
        <w:rPr>
          <w:rFonts w:asciiTheme="minorHAnsi" w:hAnsiTheme="minorHAnsi" w:cstheme="minorHAnsi"/>
        </w:rPr>
        <w:t xml:space="preserve">:  9.30 - 12.00 p.m. </w:t>
      </w:r>
      <w:r w:rsidR="00F90FC0" w:rsidRPr="005F120D">
        <w:rPr>
          <w:rFonts w:asciiTheme="minorHAnsi" w:hAnsiTheme="minorHAnsi" w:cstheme="minorHAnsi"/>
          <w:color w:val="0000FF"/>
        </w:rPr>
        <w:t>(150 minutes daily)</w:t>
      </w:r>
      <w:r w:rsidR="00F90FC0" w:rsidRPr="005F120D">
        <w:rPr>
          <w:rFonts w:asciiTheme="minorHAnsi" w:hAnsiTheme="minorHAnsi" w:cstheme="minorHAnsi"/>
        </w:rPr>
        <w:t xml:space="preserve">; </w:t>
      </w:r>
    </w:p>
    <w:p w:rsidR="00F90FC0" w:rsidRPr="005F120D" w:rsidRDefault="002153B0" w:rsidP="00C437AA">
      <w:pPr>
        <w:numPr>
          <w:ilvl w:val="0"/>
          <w:numId w:val="95"/>
        </w:numPr>
        <w:spacing w:after="0" w:line="276" w:lineRule="auto"/>
        <w:contextualSpacing/>
        <w:jc w:val="both"/>
        <w:rPr>
          <w:rFonts w:asciiTheme="minorHAnsi" w:hAnsiTheme="minorHAnsi" w:cstheme="minorHAnsi"/>
        </w:rPr>
      </w:pPr>
      <w:r w:rsidRPr="005F120D">
        <w:rPr>
          <w:rFonts w:asciiTheme="minorHAnsi" w:hAnsiTheme="minorHAnsi" w:cstheme="minorHAnsi"/>
        </w:rPr>
        <w:t>Grades 3 to 5</w:t>
      </w:r>
      <w:r w:rsidR="00F90FC0" w:rsidRPr="005F120D">
        <w:rPr>
          <w:rFonts w:asciiTheme="minorHAnsi" w:hAnsiTheme="minorHAnsi" w:cstheme="minorHAnsi"/>
        </w:rPr>
        <w:t xml:space="preserve">:  12.15 - 4.15 including 30 minutes interval for lunch </w:t>
      </w:r>
      <w:r w:rsidR="00F90FC0" w:rsidRPr="005F120D">
        <w:rPr>
          <w:rFonts w:asciiTheme="minorHAnsi" w:hAnsiTheme="minorHAnsi" w:cstheme="minorHAnsi"/>
          <w:color w:val="0000FF"/>
        </w:rPr>
        <w:t xml:space="preserve">(210 minutes daily) </w:t>
      </w:r>
      <w:r w:rsidR="00F90FC0" w:rsidRPr="005F120D">
        <w:rPr>
          <w:rFonts w:asciiTheme="minorHAnsi" w:hAnsiTheme="minorHAnsi" w:cstheme="minorHAnsi"/>
        </w:rPr>
        <w:t xml:space="preserve">and; </w:t>
      </w:r>
    </w:p>
    <w:p w:rsidR="00F90FC0" w:rsidRPr="005F120D" w:rsidRDefault="00F90FC0" w:rsidP="00C437AA">
      <w:pPr>
        <w:numPr>
          <w:ilvl w:val="0"/>
          <w:numId w:val="95"/>
        </w:numPr>
        <w:spacing w:after="0" w:line="276" w:lineRule="auto"/>
        <w:contextualSpacing/>
        <w:jc w:val="both"/>
        <w:rPr>
          <w:rFonts w:asciiTheme="minorHAnsi" w:hAnsiTheme="minorHAnsi" w:cstheme="minorHAnsi"/>
        </w:rPr>
      </w:pPr>
      <w:r w:rsidRPr="005F120D">
        <w:rPr>
          <w:rFonts w:asciiTheme="minorHAnsi" w:hAnsiTheme="minorHAnsi" w:cstheme="minorHAnsi"/>
        </w:rPr>
        <w:t>School hours for Thursday</w:t>
      </w:r>
      <w:r w:rsidR="002153B0" w:rsidRPr="005F120D">
        <w:rPr>
          <w:rFonts w:asciiTheme="minorHAnsi" w:hAnsiTheme="minorHAnsi" w:cstheme="minorHAnsi"/>
        </w:rPr>
        <w:t xml:space="preserve"> for Grade 3 to 5</w:t>
      </w:r>
      <w:r w:rsidRPr="005F120D">
        <w:rPr>
          <w:rFonts w:asciiTheme="minorHAnsi" w:hAnsiTheme="minorHAnsi" w:cstheme="minorHAnsi"/>
        </w:rPr>
        <w:t xml:space="preserve">:  12.15-2.30 p.m. </w:t>
      </w:r>
      <w:r w:rsidRPr="005F120D">
        <w:rPr>
          <w:rFonts w:asciiTheme="minorHAnsi" w:hAnsiTheme="minorHAnsi" w:cstheme="minorHAnsi"/>
          <w:color w:val="0000FF"/>
        </w:rPr>
        <w:t>(135 minutes daily)</w:t>
      </w:r>
      <w:r w:rsidRPr="005F120D">
        <w:rPr>
          <w:rFonts w:asciiTheme="minorHAnsi" w:hAnsiTheme="minorHAnsi" w:cstheme="minorHAnsi"/>
        </w:rPr>
        <w:t xml:space="preserve">. </w:t>
      </w:r>
    </w:p>
    <w:p w:rsidR="00F90FC0" w:rsidRPr="005F120D" w:rsidRDefault="00F90FC0" w:rsidP="00C437AA">
      <w:pPr>
        <w:numPr>
          <w:ilvl w:val="0"/>
          <w:numId w:val="96"/>
        </w:numPr>
        <w:spacing w:after="0" w:line="276" w:lineRule="auto"/>
        <w:contextualSpacing/>
        <w:jc w:val="both"/>
        <w:rPr>
          <w:rFonts w:asciiTheme="minorHAnsi" w:hAnsiTheme="minorHAnsi" w:cstheme="minorHAnsi"/>
          <w:b/>
          <w:color w:val="008000"/>
        </w:rPr>
      </w:pPr>
      <w:r w:rsidRPr="005F120D">
        <w:rPr>
          <w:rFonts w:asciiTheme="minorHAnsi" w:hAnsiTheme="minorHAnsi" w:cstheme="minorHAnsi"/>
          <w:b/>
          <w:color w:val="008000"/>
        </w:rPr>
        <w:t>School hours for single shift schools are:</w:t>
      </w:r>
    </w:p>
    <w:p w:rsidR="00F90FC0" w:rsidRPr="005F120D" w:rsidRDefault="002153B0" w:rsidP="00C437AA">
      <w:pPr>
        <w:numPr>
          <w:ilvl w:val="0"/>
          <w:numId w:val="95"/>
        </w:numPr>
        <w:spacing w:after="0" w:line="276" w:lineRule="auto"/>
        <w:contextualSpacing/>
        <w:jc w:val="both"/>
        <w:rPr>
          <w:rFonts w:asciiTheme="minorHAnsi" w:hAnsiTheme="minorHAnsi" w:cstheme="minorHAnsi"/>
        </w:rPr>
      </w:pPr>
      <w:r w:rsidRPr="005F120D">
        <w:rPr>
          <w:rFonts w:asciiTheme="minorHAnsi" w:hAnsiTheme="minorHAnsi" w:cstheme="minorHAnsi"/>
        </w:rPr>
        <w:t>Grades 1 and 2</w:t>
      </w:r>
      <w:r w:rsidR="00F90FC0" w:rsidRPr="005F120D">
        <w:rPr>
          <w:rFonts w:asciiTheme="minorHAnsi" w:hAnsiTheme="minorHAnsi" w:cstheme="minorHAnsi"/>
        </w:rPr>
        <w:t xml:space="preserve">:  9.30-1.30 p.m. </w:t>
      </w:r>
      <w:r w:rsidR="00F90FC0" w:rsidRPr="005F120D">
        <w:rPr>
          <w:rFonts w:asciiTheme="minorHAnsi" w:hAnsiTheme="minorHAnsi" w:cstheme="minorHAnsi"/>
          <w:color w:val="0000FF"/>
        </w:rPr>
        <w:t>(240 minutes daily)</w:t>
      </w:r>
      <w:r w:rsidR="00F90FC0" w:rsidRPr="005F120D">
        <w:rPr>
          <w:rFonts w:asciiTheme="minorHAnsi" w:hAnsiTheme="minorHAnsi" w:cstheme="minorHAnsi"/>
        </w:rPr>
        <w:t>;</w:t>
      </w:r>
    </w:p>
    <w:p w:rsidR="00F90FC0" w:rsidRPr="005F120D" w:rsidRDefault="00F90FC0" w:rsidP="00C437AA">
      <w:pPr>
        <w:numPr>
          <w:ilvl w:val="0"/>
          <w:numId w:val="95"/>
        </w:numPr>
        <w:spacing w:after="0" w:line="276" w:lineRule="auto"/>
        <w:contextualSpacing/>
        <w:jc w:val="both"/>
        <w:rPr>
          <w:rFonts w:asciiTheme="minorHAnsi" w:hAnsiTheme="minorHAnsi" w:cstheme="minorHAnsi"/>
        </w:rPr>
      </w:pPr>
      <w:r w:rsidRPr="005F120D">
        <w:rPr>
          <w:rFonts w:asciiTheme="minorHAnsi" w:hAnsiTheme="minorHAnsi" w:cstheme="minorHAnsi"/>
        </w:rPr>
        <w:t>School hours for Thursday</w:t>
      </w:r>
      <w:r w:rsidR="00A04A22" w:rsidRPr="005F120D">
        <w:rPr>
          <w:rFonts w:asciiTheme="minorHAnsi" w:hAnsiTheme="minorHAnsi" w:cstheme="minorHAnsi"/>
        </w:rPr>
        <w:t xml:space="preserve"> in Grades 1-2</w:t>
      </w:r>
      <w:r w:rsidRPr="005F120D">
        <w:rPr>
          <w:rFonts w:asciiTheme="minorHAnsi" w:hAnsiTheme="minorHAnsi" w:cstheme="minorHAnsi"/>
        </w:rPr>
        <w:t xml:space="preserve">:  9.30-12.30 p.m. </w:t>
      </w:r>
      <w:r w:rsidRPr="005F120D">
        <w:rPr>
          <w:rFonts w:asciiTheme="minorHAnsi" w:hAnsiTheme="minorHAnsi" w:cstheme="minorHAnsi"/>
          <w:color w:val="0000FF"/>
        </w:rPr>
        <w:t>(180 minutes daily)</w:t>
      </w:r>
      <w:r w:rsidRPr="005F120D">
        <w:rPr>
          <w:rFonts w:asciiTheme="minorHAnsi" w:hAnsiTheme="minorHAnsi" w:cstheme="minorHAnsi"/>
        </w:rPr>
        <w:t>;</w:t>
      </w:r>
    </w:p>
    <w:p w:rsidR="00F90FC0" w:rsidRPr="005F120D" w:rsidRDefault="002153B0" w:rsidP="00C437AA">
      <w:pPr>
        <w:numPr>
          <w:ilvl w:val="0"/>
          <w:numId w:val="95"/>
        </w:numPr>
        <w:spacing w:after="0" w:line="276" w:lineRule="auto"/>
        <w:contextualSpacing/>
        <w:jc w:val="both"/>
        <w:rPr>
          <w:rFonts w:asciiTheme="minorHAnsi" w:hAnsiTheme="minorHAnsi" w:cstheme="minorHAnsi"/>
        </w:rPr>
      </w:pPr>
      <w:r w:rsidRPr="005F120D">
        <w:rPr>
          <w:rFonts w:asciiTheme="minorHAnsi" w:hAnsiTheme="minorHAnsi" w:cstheme="minorHAnsi"/>
        </w:rPr>
        <w:t>Grade 3, 4 and 5</w:t>
      </w:r>
      <w:r w:rsidR="00F90FC0" w:rsidRPr="005F120D">
        <w:rPr>
          <w:rFonts w:asciiTheme="minorHAnsi" w:hAnsiTheme="minorHAnsi" w:cstheme="minorHAnsi"/>
        </w:rPr>
        <w:t xml:space="preserve">:  9.30 - 4.15 p.m. including 30 minutes interval for lunch </w:t>
      </w:r>
      <w:r w:rsidR="00F90FC0" w:rsidRPr="005F120D">
        <w:rPr>
          <w:rFonts w:asciiTheme="minorHAnsi" w:hAnsiTheme="minorHAnsi" w:cstheme="minorHAnsi"/>
          <w:color w:val="0000FF"/>
        </w:rPr>
        <w:t xml:space="preserve">(315 minutes daily) </w:t>
      </w:r>
      <w:r w:rsidR="00F90FC0" w:rsidRPr="005F120D">
        <w:rPr>
          <w:rFonts w:asciiTheme="minorHAnsi" w:hAnsiTheme="minorHAnsi" w:cstheme="minorHAnsi"/>
        </w:rPr>
        <w:t>and;</w:t>
      </w:r>
    </w:p>
    <w:p w:rsidR="00F90FC0" w:rsidRPr="005F120D" w:rsidRDefault="00F90FC0" w:rsidP="00C437AA">
      <w:pPr>
        <w:numPr>
          <w:ilvl w:val="0"/>
          <w:numId w:val="95"/>
        </w:numPr>
        <w:spacing w:after="0" w:line="276" w:lineRule="auto"/>
        <w:contextualSpacing/>
        <w:jc w:val="both"/>
        <w:rPr>
          <w:rFonts w:asciiTheme="minorHAnsi" w:hAnsiTheme="minorHAnsi" w:cstheme="minorHAnsi"/>
        </w:rPr>
      </w:pPr>
      <w:r w:rsidRPr="005F120D">
        <w:rPr>
          <w:rFonts w:asciiTheme="minorHAnsi" w:hAnsiTheme="minorHAnsi" w:cstheme="minorHAnsi"/>
        </w:rPr>
        <w:t>School hours for Thursday</w:t>
      </w:r>
      <w:r w:rsidR="002153B0" w:rsidRPr="005F120D">
        <w:rPr>
          <w:rFonts w:asciiTheme="minorHAnsi" w:hAnsiTheme="minorHAnsi" w:cstheme="minorHAnsi"/>
        </w:rPr>
        <w:t xml:space="preserve"> in Grade</w:t>
      </w:r>
      <w:r w:rsidR="00A04A22" w:rsidRPr="005F120D">
        <w:rPr>
          <w:rFonts w:asciiTheme="minorHAnsi" w:hAnsiTheme="minorHAnsi" w:cstheme="minorHAnsi"/>
        </w:rPr>
        <w:t>s</w:t>
      </w:r>
      <w:r w:rsidR="002153B0" w:rsidRPr="005F120D">
        <w:rPr>
          <w:rFonts w:asciiTheme="minorHAnsi" w:hAnsiTheme="minorHAnsi" w:cstheme="minorHAnsi"/>
        </w:rPr>
        <w:t xml:space="preserve"> 3 to 5</w:t>
      </w:r>
      <w:r w:rsidRPr="005F120D">
        <w:rPr>
          <w:rFonts w:asciiTheme="minorHAnsi" w:hAnsiTheme="minorHAnsi" w:cstheme="minorHAnsi"/>
        </w:rPr>
        <w:t xml:space="preserve">: 9.30-2.30 p.m. including 30 minutes interval for lunch </w:t>
      </w:r>
      <w:r w:rsidRPr="005F120D">
        <w:rPr>
          <w:rFonts w:asciiTheme="minorHAnsi" w:hAnsiTheme="minorHAnsi" w:cstheme="minorHAnsi"/>
          <w:color w:val="0000FF"/>
        </w:rPr>
        <w:t>(270 minutes daily)</w:t>
      </w:r>
    </w:p>
    <w:p w:rsidR="00DA611F" w:rsidRPr="005F120D" w:rsidRDefault="00F90FC0" w:rsidP="00C437AA">
      <w:pPr>
        <w:spacing w:before="240" w:line="276" w:lineRule="auto"/>
        <w:jc w:val="both"/>
        <w:rPr>
          <w:rFonts w:asciiTheme="minorHAnsi" w:hAnsiTheme="minorHAnsi" w:cstheme="minorHAnsi"/>
          <w:szCs w:val="22"/>
        </w:rPr>
      </w:pPr>
      <w:r w:rsidRPr="005F120D">
        <w:rPr>
          <w:rFonts w:asciiTheme="minorHAnsi" w:hAnsiTheme="minorHAnsi" w:cstheme="minorHAnsi"/>
          <w:szCs w:val="22"/>
        </w:rPr>
        <w:t>Bas</w:t>
      </w:r>
      <w:r w:rsidR="00A04A22" w:rsidRPr="005F120D">
        <w:rPr>
          <w:rFonts w:asciiTheme="minorHAnsi" w:hAnsiTheme="minorHAnsi" w:cstheme="minorHAnsi"/>
          <w:szCs w:val="22"/>
        </w:rPr>
        <w:t>ed on the above information,</w:t>
      </w:r>
      <w:r w:rsidRPr="005F120D">
        <w:rPr>
          <w:rFonts w:asciiTheme="minorHAnsi" w:hAnsiTheme="minorHAnsi" w:cstheme="minorHAnsi"/>
          <w:szCs w:val="22"/>
        </w:rPr>
        <w:t xml:space="preserve"> contact </w:t>
      </w:r>
      <w:r w:rsidRPr="00D56978">
        <w:rPr>
          <w:rFonts w:asciiTheme="minorHAnsi" w:hAnsiTheme="minorHAnsi" w:cstheme="minorHAnsi"/>
          <w:szCs w:val="22"/>
        </w:rPr>
        <w:t>hours</w:t>
      </w:r>
      <w:r w:rsidR="00D56978" w:rsidRPr="00D56978">
        <w:rPr>
          <w:rFonts w:asciiTheme="minorHAnsi" w:hAnsiTheme="minorHAnsi" w:cstheme="minorHAnsi"/>
          <w:szCs w:val="22"/>
        </w:rPr>
        <w:t xml:space="preserve"> </w:t>
      </w:r>
      <w:r w:rsidRPr="00D56978">
        <w:rPr>
          <w:rFonts w:asciiTheme="minorHAnsi" w:hAnsiTheme="minorHAnsi" w:cstheme="minorHAnsi"/>
          <w:szCs w:val="22"/>
        </w:rPr>
        <w:t>have been</w:t>
      </w:r>
      <w:r w:rsidRPr="005F120D">
        <w:rPr>
          <w:rFonts w:asciiTheme="minorHAnsi" w:hAnsiTheme="minorHAnsi" w:cstheme="minorHAnsi"/>
          <w:szCs w:val="22"/>
        </w:rPr>
        <w:t xml:space="preserve"> estimated as follows</w:t>
      </w:r>
      <w:r w:rsidR="00DA611F" w:rsidRPr="005F120D">
        <w:rPr>
          <w:rFonts w:asciiTheme="minorHAnsi" w:hAnsiTheme="minorHAnsi" w:cstheme="minorHAnsi"/>
          <w:szCs w:val="22"/>
        </w:rPr>
        <w:t xml:space="preserve">: </w:t>
      </w:r>
    </w:p>
    <w:p w:rsidR="00DA611F" w:rsidRPr="005F120D" w:rsidRDefault="00DA611F" w:rsidP="00C437AA">
      <w:pPr>
        <w:pStyle w:val="Caption"/>
        <w:spacing w:line="276" w:lineRule="auto"/>
        <w:rPr>
          <w:rFonts w:cstheme="minorHAnsi"/>
          <w:b w:val="0"/>
          <w:szCs w:val="22"/>
        </w:rPr>
      </w:pPr>
      <w:bookmarkStart w:id="365" w:name="_Toc439426455"/>
      <w:bookmarkStart w:id="366" w:name="_Toc462837278"/>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21</w:t>
      </w:r>
      <w:r w:rsidR="002E2ED5" w:rsidRPr="005F120D">
        <w:rPr>
          <w:rFonts w:cstheme="minorHAnsi"/>
        </w:rPr>
        <w:fldChar w:fldCharType="end"/>
      </w:r>
      <w:r w:rsidRPr="005F120D">
        <w:rPr>
          <w:rFonts w:cstheme="minorHAnsi"/>
          <w:szCs w:val="22"/>
        </w:rPr>
        <w:t>: Contact Hours 2015</w:t>
      </w:r>
      <w:bookmarkEnd w:id="365"/>
      <w:bookmarkEnd w:id="366"/>
    </w:p>
    <w:tbl>
      <w:tblPr>
        <w:tblW w:w="5037"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1386"/>
        <w:gridCol w:w="2142"/>
        <w:gridCol w:w="1380"/>
        <w:gridCol w:w="2203"/>
        <w:gridCol w:w="2202"/>
      </w:tblGrid>
      <w:tr w:rsidR="00DA611F" w:rsidRPr="005F120D" w:rsidTr="00F21113">
        <w:tc>
          <w:tcPr>
            <w:tcW w:w="744" w:type="pct"/>
            <w:vMerge w:val="restart"/>
            <w:shd w:val="clear" w:color="auto" w:fill="B6DDE8" w:themeFill="accent5" w:themeFillTint="66"/>
          </w:tcPr>
          <w:p w:rsidR="00DA611F" w:rsidRPr="005F120D" w:rsidRDefault="00DA611F" w:rsidP="00C437AA">
            <w:pPr>
              <w:spacing w:after="0" w:line="276" w:lineRule="auto"/>
              <w:jc w:val="both"/>
              <w:rPr>
                <w:rFonts w:asciiTheme="minorHAnsi" w:hAnsiTheme="minorHAnsi" w:cstheme="minorHAnsi"/>
                <w:b/>
                <w:sz w:val="20"/>
              </w:rPr>
            </w:pPr>
            <w:r w:rsidRPr="005F120D">
              <w:rPr>
                <w:rFonts w:asciiTheme="minorHAnsi" w:hAnsiTheme="minorHAnsi" w:cstheme="minorHAnsi"/>
                <w:b/>
                <w:sz w:val="20"/>
              </w:rPr>
              <w:t>Grade</w:t>
            </w:r>
          </w:p>
        </w:tc>
        <w:tc>
          <w:tcPr>
            <w:tcW w:w="4256" w:type="pct"/>
            <w:gridSpan w:val="4"/>
            <w:shd w:val="clear" w:color="auto" w:fill="B6DDE8" w:themeFill="accent5" w:themeFillTint="66"/>
          </w:tcPr>
          <w:p w:rsidR="00DA611F" w:rsidRPr="005F120D" w:rsidRDefault="00DA611F"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Contact Hours for Classroom Teaching</w:t>
            </w:r>
          </w:p>
        </w:tc>
      </w:tr>
      <w:tr w:rsidR="00DA611F" w:rsidRPr="005F120D" w:rsidTr="00F21113">
        <w:trPr>
          <w:trHeight w:val="314"/>
        </w:trPr>
        <w:tc>
          <w:tcPr>
            <w:tcW w:w="744" w:type="pct"/>
            <w:vMerge/>
            <w:shd w:val="clear" w:color="auto" w:fill="B6DDE8" w:themeFill="accent5" w:themeFillTint="66"/>
          </w:tcPr>
          <w:p w:rsidR="00DA611F" w:rsidRPr="005F120D" w:rsidRDefault="00DA611F" w:rsidP="00C437AA">
            <w:pPr>
              <w:spacing w:after="0" w:line="276" w:lineRule="auto"/>
              <w:jc w:val="both"/>
              <w:rPr>
                <w:rFonts w:asciiTheme="minorHAnsi" w:hAnsiTheme="minorHAnsi" w:cstheme="minorHAnsi"/>
                <w:b/>
                <w:sz w:val="20"/>
              </w:rPr>
            </w:pPr>
          </w:p>
        </w:tc>
        <w:tc>
          <w:tcPr>
            <w:tcW w:w="1891" w:type="pct"/>
            <w:gridSpan w:val="2"/>
            <w:shd w:val="clear" w:color="auto" w:fill="B6DDE8" w:themeFill="accent5" w:themeFillTint="66"/>
          </w:tcPr>
          <w:p w:rsidR="00DA611F" w:rsidRPr="005F120D" w:rsidRDefault="00DA611F"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Double Shift School</w:t>
            </w:r>
          </w:p>
        </w:tc>
        <w:tc>
          <w:tcPr>
            <w:tcW w:w="2365" w:type="pct"/>
            <w:gridSpan w:val="2"/>
            <w:shd w:val="clear" w:color="auto" w:fill="B6DDE8" w:themeFill="accent5" w:themeFillTint="66"/>
          </w:tcPr>
          <w:p w:rsidR="00DA611F" w:rsidRPr="005F120D" w:rsidRDefault="00DA611F" w:rsidP="00C437AA">
            <w:pPr>
              <w:spacing w:after="0" w:line="276" w:lineRule="auto"/>
              <w:jc w:val="center"/>
              <w:rPr>
                <w:rFonts w:asciiTheme="minorHAnsi" w:hAnsiTheme="minorHAnsi" w:cstheme="minorHAnsi"/>
                <w:b/>
                <w:sz w:val="20"/>
              </w:rPr>
            </w:pPr>
            <w:r w:rsidRPr="005F120D">
              <w:rPr>
                <w:rFonts w:asciiTheme="minorHAnsi" w:hAnsiTheme="minorHAnsi" w:cstheme="minorHAnsi"/>
                <w:b/>
                <w:sz w:val="20"/>
              </w:rPr>
              <w:t>Single shift school</w:t>
            </w:r>
          </w:p>
        </w:tc>
      </w:tr>
      <w:tr w:rsidR="00DA611F" w:rsidRPr="005F120D" w:rsidTr="00F21113">
        <w:trPr>
          <w:trHeight w:val="512"/>
        </w:trPr>
        <w:tc>
          <w:tcPr>
            <w:tcW w:w="744" w:type="pct"/>
          </w:tcPr>
          <w:p w:rsidR="00DA611F" w:rsidRPr="005F120D" w:rsidRDefault="00DA611F" w:rsidP="00C437AA">
            <w:pPr>
              <w:spacing w:after="0" w:line="276" w:lineRule="auto"/>
              <w:jc w:val="both"/>
              <w:rPr>
                <w:rFonts w:asciiTheme="minorHAnsi" w:hAnsiTheme="minorHAnsi" w:cstheme="minorHAnsi"/>
                <w:sz w:val="20"/>
              </w:rPr>
            </w:pPr>
            <w:r w:rsidRPr="005F120D">
              <w:rPr>
                <w:rFonts w:asciiTheme="minorHAnsi" w:hAnsiTheme="minorHAnsi" w:cstheme="minorHAnsi"/>
                <w:sz w:val="20"/>
              </w:rPr>
              <w:t>I and II</w:t>
            </w:r>
          </w:p>
        </w:tc>
        <w:tc>
          <w:tcPr>
            <w:tcW w:w="1150" w:type="pct"/>
          </w:tcPr>
          <w:p w:rsidR="00DA611F" w:rsidRPr="005F120D" w:rsidRDefault="00DA611F"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150m X 240 days</w:t>
            </w:r>
          </w:p>
        </w:tc>
        <w:tc>
          <w:tcPr>
            <w:tcW w:w="741" w:type="pct"/>
          </w:tcPr>
          <w:p w:rsidR="00DA611F" w:rsidRPr="005F120D" w:rsidRDefault="00DA611F" w:rsidP="00C437AA">
            <w:pPr>
              <w:spacing w:after="0" w:line="276" w:lineRule="auto"/>
              <w:jc w:val="center"/>
              <w:rPr>
                <w:rFonts w:asciiTheme="minorHAnsi" w:hAnsiTheme="minorHAnsi" w:cstheme="minorHAnsi"/>
                <w:b/>
                <w:color w:val="3333FF"/>
                <w:sz w:val="20"/>
              </w:rPr>
            </w:pPr>
            <w:r w:rsidRPr="005F120D">
              <w:rPr>
                <w:rFonts w:asciiTheme="minorHAnsi" w:hAnsiTheme="minorHAnsi" w:cstheme="minorHAnsi"/>
                <w:b/>
                <w:color w:val="3333FF"/>
                <w:sz w:val="20"/>
              </w:rPr>
              <w:t>600 hours</w:t>
            </w:r>
          </w:p>
        </w:tc>
        <w:tc>
          <w:tcPr>
            <w:tcW w:w="1183" w:type="pct"/>
          </w:tcPr>
          <w:p w:rsidR="00DA611F" w:rsidRPr="005F120D" w:rsidRDefault="00DA611F"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240m X 199 days</w:t>
            </w:r>
          </w:p>
          <w:p w:rsidR="00DA611F" w:rsidRPr="005F120D" w:rsidRDefault="00DA611F"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180mX41 days</w:t>
            </w:r>
          </w:p>
        </w:tc>
        <w:tc>
          <w:tcPr>
            <w:tcW w:w="1182" w:type="pct"/>
          </w:tcPr>
          <w:p w:rsidR="00DA611F" w:rsidRPr="005F120D" w:rsidRDefault="00DA611F" w:rsidP="00C437AA">
            <w:pPr>
              <w:spacing w:after="0" w:line="276" w:lineRule="auto"/>
              <w:jc w:val="center"/>
              <w:rPr>
                <w:rFonts w:asciiTheme="minorHAnsi" w:hAnsiTheme="minorHAnsi" w:cstheme="minorHAnsi"/>
                <w:b/>
                <w:color w:val="3333FF"/>
                <w:sz w:val="20"/>
              </w:rPr>
            </w:pPr>
            <w:r w:rsidRPr="005F120D">
              <w:rPr>
                <w:rFonts w:asciiTheme="minorHAnsi" w:hAnsiTheme="minorHAnsi" w:cstheme="minorHAnsi"/>
                <w:b/>
                <w:color w:val="3333FF"/>
                <w:sz w:val="20"/>
              </w:rPr>
              <w:t>920 Hours</w:t>
            </w:r>
          </w:p>
        </w:tc>
      </w:tr>
      <w:tr w:rsidR="00DA611F" w:rsidRPr="005F120D" w:rsidTr="00F21113">
        <w:trPr>
          <w:trHeight w:val="296"/>
        </w:trPr>
        <w:tc>
          <w:tcPr>
            <w:tcW w:w="744" w:type="pct"/>
          </w:tcPr>
          <w:p w:rsidR="00DA611F" w:rsidRPr="005F120D" w:rsidRDefault="00DA611F" w:rsidP="00C437AA">
            <w:pPr>
              <w:spacing w:after="0" w:line="276" w:lineRule="auto"/>
              <w:jc w:val="both"/>
              <w:rPr>
                <w:rFonts w:asciiTheme="minorHAnsi" w:hAnsiTheme="minorHAnsi" w:cstheme="minorHAnsi"/>
                <w:sz w:val="20"/>
              </w:rPr>
            </w:pPr>
            <w:r w:rsidRPr="005F120D">
              <w:rPr>
                <w:rFonts w:asciiTheme="minorHAnsi" w:hAnsiTheme="minorHAnsi" w:cstheme="minorHAnsi"/>
                <w:sz w:val="20"/>
              </w:rPr>
              <w:t>III, IV and V</w:t>
            </w:r>
          </w:p>
        </w:tc>
        <w:tc>
          <w:tcPr>
            <w:tcW w:w="1150" w:type="pct"/>
          </w:tcPr>
          <w:p w:rsidR="00DA611F" w:rsidRPr="005F120D" w:rsidRDefault="00DA611F"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210X199 days</w:t>
            </w:r>
          </w:p>
          <w:p w:rsidR="00DA611F" w:rsidRPr="005F120D" w:rsidRDefault="00DA611F"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135mX41 days</w:t>
            </w:r>
          </w:p>
        </w:tc>
        <w:tc>
          <w:tcPr>
            <w:tcW w:w="741" w:type="pct"/>
          </w:tcPr>
          <w:p w:rsidR="00DA611F" w:rsidRPr="005F120D" w:rsidRDefault="00DA611F" w:rsidP="00C437AA">
            <w:pPr>
              <w:spacing w:after="0" w:line="276" w:lineRule="auto"/>
              <w:jc w:val="center"/>
              <w:rPr>
                <w:rFonts w:asciiTheme="minorHAnsi" w:hAnsiTheme="minorHAnsi" w:cstheme="minorHAnsi"/>
                <w:b/>
                <w:color w:val="3333FF"/>
                <w:sz w:val="20"/>
              </w:rPr>
            </w:pPr>
            <w:r w:rsidRPr="005F120D">
              <w:rPr>
                <w:rFonts w:asciiTheme="minorHAnsi" w:hAnsiTheme="minorHAnsi" w:cstheme="minorHAnsi"/>
                <w:b/>
                <w:color w:val="3333FF"/>
                <w:sz w:val="20"/>
              </w:rPr>
              <w:t>810 Hours</w:t>
            </w:r>
          </w:p>
        </w:tc>
        <w:tc>
          <w:tcPr>
            <w:tcW w:w="1183" w:type="pct"/>
          </w:tcPr>
          <w:p w:rsidR="00DA611F" w:rsidRPr="005F120D" w:rsidRDefault="00DA611F"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315X199 days</w:t>
            </w:r>
          </w:p>
          <w:p w:rsidR="00DA611F" w:rsidRPr="005F120D" w:rsidRDefault="00DA611F" w:rsidP="00C437AA">
            <w:pPr>
              <w:spacing w:after="0" w:line="276" w:lineRule="auto"/>
              <w:jc w:val="center"/>
              <w:rPr>
                <w:rFonts w:asciiTheme="minorHAnsi" w:hAnsiTheme="minorHAnsi" w:cstheme="minorHAnsi"/>
                <w:sz w:val="20"/>
              </w:rPr>
            </w:pPr>
            <w:r w:rsidRPr="005F120D">
              <w:rPr>
                <w:rFonts w:asciiTheme="minorHAnsi" w:hAnsiTheme="minorHAnsi" w:cstheme="minorHAnsi"/>
                <w:sz w:val="20"/>
              </w:rPr>
              <w:t>270mX41 days</w:t>
            </w:r>
          </w:p>
        </w:tc>
        <w:tc>
          <w:tcPr>
            <w:tcW w:w="1182" w:type="pct"/>
          </w:tcPr>
          <w:p w:rsidR="00DA611F" w:rsidRPr="005F120D" w:rsidRDefault="00DA611F" w:rsidP="00C437AA">
            <w:pPr>
              <w:spacing w:after="0" w:line="276" w:lineRule="auto"/>
              <w:jc w:val="center"/>
              <w:rPr>
                <w:rFonts w:asciiTheme="minorHAnsi" w:hAnsiTheme="minorHAnsi" w:cstheme="minorHAnsi"/>
                <w:b/>
                <w:color w:val="3333FF"/>
                <w:sz w:val="20"/>
              </w:rPr>
            </w:pPr>
            <w:r w:rsidRPr="005F120D">
              <w:rPr>
                <w:rFonts w:asciiTheme="minorHAnsi" w:hAnsiTheme="minorHAnsi" w:cstheme="minorHAnsi"/>
                <w:b/>
                <w:color w:val="3333FF"/>
                <w:sz w:val="20"/>
              </w:rPr>
              <w:t>1230 Hours</w:t>
            </w:r>
          </w:p>
        </w:tc>
      </w:tr>
    </w:tbl>
    <w:p w:rsidR="00DA611F" w:rsidRPr="005F120D" w:rsidRDefault="00DA611F" w:rsidP="00C437AA">
      <w:pPr>
        <w:spacing w:line="276" w:lineRule="auto"/>
        <w:jc w:val="both"/>
        <w:rPr>
          <w:rFonts w:asciiTheme="minorHAnsi" w:hAnsiTheme="minorHAnsi" w:cstheme="minorHAnsi"/>
          <w:b/>
          <w:sz w:val="16"/>
          <w:szCs w:val="16"/>
        </w:rPr>
      </w:pPr>
      <w:r w:rsidRPr="005F120D">
        <w:rPr>
          <w:rFonts w:asciiTheme="minorHAnsi" w:hAnsiTheme="minorHAnsi" w:cstheme="minorHAnsi"/>
          <w:b/>
          <w:sz w:val="16"/>
          <w:szCs w:val="16"/>
        </w:rPr>
        <w:t xml:space="preserve">Note: </w:t>
      </w:r>
      <w:r w:rsidR="00F90FC0" w:rsidRPr="005F120D">
        <w:rPr>
          <w:rFonts w:asciiTheme="minorHAnsi" w:hAnsiTheme="minorHAnsi" w:cstheme="minorHAnsi"/>
          <w:b/>
          <w:sz w:val="16"/>
          <w:szCs w:val="16"/>
        </w:rPr>
        <w:t xml:space="preserve">Contact hours of single shift schools for </w:t>
      </w:r>
      <w:r w:rsidR="00F90FC0" w:rsidRPr="005F120D">
        <w:rPr>
          <w:rFonts w:asciiTheme="minorHAnsi" w:hAnsiTheme="minorHAnsi" w:cstheme="minorHAnsi"/>
          <w:sz w:val="16"/>
          <w:szCs w:val="16"/>
        </w:rPr>
        <w:t>G</w:t>
      </w:r>
      <w:r w:rsidR="00F90FC0" w:rsidRPr="005F120D">
        <w:rPr>
          <w:rFonts w:asciiTheme="minorHAnsi" w:hAnsiTheme="minorHAnsi" w:cstheme="minorHAnsi"/>
          <w:b/>
          <w:sz w:val="16"/>
          <w:szCs w:val="16"/>
        </w:rPr>
        <w:t>rades 1 and 2 are 50% and Grades 3 to 5 are 88% - more than double the shift schools. DPE is keen to increase the number of single shift schools. The above calculation does not consider controlled leave and examination schedule dates</w:t>
      </w:r>
      <w:r w:rsidRPr="005F120D">
        <w:rPr>
          <w:rFonts w:asciiTheme="minorHAnsi" w:hAnsiTheme="minorHAnsi" w:cstheme="minorHAnsi"/>
          <w:b/>
          <w:sz w:val="16"/>
          <w:szCs w:val="16"/>
        </w:rPr>
        <w:t>.</w:t>
      </w:r>
    </w:p>
    <w:p w:rsidR="00E640A2" w:rsidRPr="005F120D" w:rsidRDefault="00F90FC0" w:rsidP="00C437AA">
      <w:pPr>
        <w:pStyle w:val="ListParagraph"/>
        <w:numPr>
          <w:ilvl w:val="0"/>
          <w:numId w:val="97"/>
        </w:numPr>
        <w:spacing w:line="276" w:lineRule="auto"/>
        <w:jc w:val="both"/>
        <w:rPr>
          <w:rFonts w:asciiTheme="minorHAnsi" w:hAnsiTheme="minorHAnsi" w:cstheme="minorHAnsi"/>
        </w:rPr>
      </w:pPr>
      <w:r w:rsidRPr="005F120D">
        <w:rPr>
          <w:rFonts w:asciiTheme="minorHAnsi" w:hAnsiTheme="minorHAnsi" w:cstheme="minorHAnsi"/>
          <w:b/>
          <w:i/>
          <w:color w:val="008000"/>
        </w:rPr>
        <w:t>Teacher A</w:t>
      </w:r>
      <w:r w:rsidR="00E640A2" w:rsidRPr="005F120D">
        <w:rPr>
          <w:rFonts w:asciiTheme="minorHAnsi" w:hAnsiTheme="minorHAnsi" w:cstheme="minorHAnsi"/>
          <w:b/>
          <w:i/>
          <w:color w:val="008000"/>
        </w:rPr>
        <w:t>bsenteeism:</w:t>
      </w:r>
      <w:r w:rsidR="00E640A2" w:rsidRPr="005F120D">
        <w:rPr>
          <w:rFonts w:asciiTheme="minorHAnsi" w:hAnsiTheme="minorHAnsi" w:cstheme="minorHAnsi"/>
        </w:rPr>
        <w:t xml:space="preserve"> There is information from two surveys on this issue, both of which used a methodology of unannounced visits, and tell a similar story:</w:t>
      </w:r>
    </w:p>
    <w:p w:rsidR="00E640A2" w:rsidRPr="005F120D" w:rsidRDefault="00E640A2" w:rsidP="00C437AA">
      <w:pPr>
        <w:pStyle w:val="ListParagraph"/>
        <w:numPr>
          <w:ilvl w:val="0"/>
          <w:numId w:val="14"/>
        </w:numPr>
        <w:spacing w:line="276" w:lineRule="auto"/>
        <w:jc w:val="both"/>
        <w:rPr>
          <w:rFonts w:asciiTheme="minorHAnsi" w:hAnsiTheme="minorHAnsi" w:cstheme="minorHAnsi"/>
        </w:rPr>
      </w:pPr>
      <w:r w:rsidRPr="005F120D">
        <w:rPr>
          <w:rFonts w:asciiTheme="minorHAnsi" w:hAnsiTheme="minorHAnsi" w:cstheme="minorHAnsi"/>
        </w:rPr>
        <w:t>SSPS (2006) states that 16% of GPS (11% of NNPS) teachers were absent on any given day in 2005. Of these:</w:t>
      </w:r>
    </w:p>
    <w:p w:rsidR="00E640A2" w:rsidRPr="005F120D" w:rsidRDefault="00E640A2" w:rsidP="00C437AA">
      <w:pPr>
        <w:pStyle w:val="ListParagraph"/>
        <w:numPr>
          <w:ilvl w:val="1"/>
          <w:numId w:val="14"/>
        </w:numPr>
        <w:spacing w:line="276" w:lineRule="auto"/>
        <w:jc w:val="both"/>
        <w:rPr>
          <w:rFonts w:asciiTheme="minorHAnsi" w:hAnsiTheme="minorHAnsi" w:cstheme="minorHAnsi"/>
        </w:rPr>
      </w:pPr>
      <w:r w:rsidRPr="005F120D">
        <w:rPr>
          <w:rFonts w:asciiTheme="minorHAnsi" w:hAnsiTheme="minorHAnsi" w:cstheme="minorHAnsi"/>
        </w:rPr>
        <w:t>7% of GPS (5% of NNPS) teachers were authorized for long-term absence (for example, on C-in-Ed or B.Ed. courses, in-service training, maternity or sick leave);</w:t>
      </w:r>
    </w:p>
    <w:p w:rsidR="00E640A2" w:rsidRPr="005F120D" w:rsidRDefault="00E640A2" w:rsidP="00C437AA">
      <w:pPr>
        <w:pStyle w:val="ListParagraph"/>
        <w:numPr>
          <w:ilvl w:val="1"/>
          <w:numId w:val="14"/>
        </w:numPr>
        <w:spacing w:line="276" w:lineRule="auto"/>
        <w:jc w:val="both"/>
        <w:rPr>
          <w:rFonts w:asciiTheme="minorHAnsi" w:hAnsiTheme="minorHAnsi" w:cstheme="minorHAnsi"/>
        </w:rPr>
      </w:pPr>
      <w:r w:rsidRPr="005F120D">
        <w:rPr>
          <w:rFonts w:asciiTheme="minorHAnsi" w:hAnsiTheme="minorHAnsi" w:cstheme="minorHAnsi"/>
        </w:rPr>
        <w:t xml:space="preserve">7% of GPS (4% of NNPS) teachers were authorized for short-term absence (such as casual leave, official duties or in-service training); </w:t>
      </w:r>
    </w:p>
    <w:p w:rsidR="00E640A2" w:rsidRPr="005F120D" w:rsidRDefault="00E640A2" w:rsidP="00C437AA">
      <w:pPr>
        <w:pStyle w:val="ListParagraph"/>
        <w:numPr>
          <w:ilvl w:val="1"/>
          <w:numId w:val="14"/>
        </w:numPr>
        <w:spacing w:line="276" w:lineRule="auto"/>
        <w:jc w:val="both"/>
        <w:rPr>
          <w:rFonts w:asciiTheme="minorHAnsi" w:hAnsiTheme="minorHAnsi" w:cstheme="minorHAnsi"/>
        </w:rPr>
      </w:pPr>
      <w:r w:rsidRPr="005F120D">
        <w:rPr>
          <w:rFonts w:asciiTheme="minorHAnsi" w:hAnsiTheme="minorHAnsi" w:cstheme="minorHAnsi"/>
        </w:rPr>
        <w:t>2% of GPS and NNPS teachers were not authorized to be absent; and</w:t>
      </w:r>
    </w:p>
    <w:p w:rsidR="00E640A2" w:rsidRPr="005F120D" w:rsidRDefault="00EA2728" w:rsidP="00EA2728">
      <w:pPr>
        <w:spacing w:line="276" w:lineRule="auto"/>
        <w:ind w:left="90"/>
        <w:jc w:val="both"/>
        <w:rPr>
          <w:rFonts w:asciiTheme="minorHAnsi" w:hAnsiTheme="minorHAnsi" w:cstheme="minorHAnsi"/>
        </w:rPr>
      </w:pPr>
      <w:r w:rsidRPr="005F120D">
        <w:rPr>
          <w:rFonts w:asciiTheme="minorHAnsi" w:hAnsiTheme="minorHAnsi" w:cstheme="minorHAnsi"/>
        </w:rPr>
        <w:t>The 2015</w:t>
      </w:r>
      <w:r w:rsidR="00E640A2" w:rsidRPr="005F120D">
        <w:rPr>
          <w:rFonts w:asciiTheme="minorHAnsi" w:hAnsiTheme="minorHAnsi" w:cstheme="minorHAnsi"/>
        </w:rPr>
        <w:t xml:space="preserve"> CAMPE survey </w:t>
      </w:r>
      <w:r w:rsidRPr="005F120D">
        <w:rPr>
          <w:rFonts w:asciiTheme="minorHAnsi" w:hAnsiTheme="minorHAnsi" w:cstheme="minorHAnsi"/>
        </w:rPr>
        <w:t xml:space="preserve">report </w:t>
      </w:r>
      <w:r w:rsidR="00E640A2" w:rsidRPr="005F120D">
        <w:rPr>
          <w:rFonts w:asciiTheme="minorHAnsi" w:hAnsiTheme="minorHAnsi" w:cstheme="minorHAnsi"/>
        </w:rPr>
        <w:t xml:space="preserve">found that 12.7% of GPS and 11.3% of NNPS teachers were absent </w:t>
      </w:r>
      <w:r w:rsidRPr="005F120D">
        <w:rPr>
          <w:rFonts w:asciiTheme="minorHAnsi" w:hAnsiTheme="minorHAnsi" w:cstheme="minorHAnsi"/>
        </w:rPr>
        <w:t xml:space="preserve">on the day of the </w:t>
      </w:r>
      <w:r w:rsidR="00A04A22" w:rsidRPr="005F120D">
        <w:rPr>
          <w:rFonts w:asciiTheme="minorHAnsi" w:hAnsiTheme="minorHAnsi" w:cstheme="minorHAnsi"/>
        </w:rPr>
        <w:t xml:space="preserve">school </w:t>
      </w:r>
      <w:r w:rsidRPr="005F120D">
        <w:rPr>
          <w:rFonts w:asciiTheme="minorHAnsi" w:hAnsiTheme="minorHAnsi" w:cstheme="minorHAnsi"/>
        </w:rPr>
        <w:t>visit in 2014</w:t>
      </w:r>
      <w:r w:rsidR="00E640A2" w:rsidRPr="005F120D">
        <w:rPr>
          <w:rFonts w:asciiTheme="minorHAnsi" w:hAnsiTheme="minorHAnsi" w:cstheme="minorHAnsi"/>
        </w:rPr>
        <w:t xml:space="preserve">. </w:t>
      </w:r>
    </w:p>
    <w:p w:rsidR="00E640A2" w:rsidRPr="005F120D" w:rsidRDefault="00E640A2" w:rsidP="00C437AA">
      <w:pPr>
        <w:pStyle w:val="ListParagraph"/>
        <w:numPr>
          <w:ilvl w:val="1"/>
          <w:numId w:val="14"/>
        </w:numPr>
        <w:spacing w:line="276" w:lineRule="auto"/>
        <w:jc w:val="both"/>
        <w:rPr>
          <w:rFonts w:asciiTheme="minorHAnsi" w:hAnsiTheme="minorHAnsi" w:cstheme="minorHAnsi"/>
        </w:rPr>
      </w:pPr>
      <w:r w:rsidRPr="005F120D">
        <w:rPr>
          <w:rFonts w:asciiTheme="minorHAnsi" w:hAnsiTheme="minorHAnsi" w:cstheme="minorHAnsi"/>
        </w:rPr>
        <w:t>7.3% of GPS and 3.3% of NNPS teachers were authorized for long-term absence (for example, on C-in-Ed or B.Ed. courses, in-service training, maternity or sick leave);</w:t>
      </w:r>
    </w:p>
    <w:p w:rsidR="00E640A2" w:rsidRPr="005F120D" w:rsidRDefault="00E640A2" w:rsidP="00C437AA">
      <w:pPr>
        <w:pStyle w:val="ListParagraph"/>
        <w:numPr>
          <w:ilvl w:val="1"/>
          <w:numId w:val="14"/>
        </w:numPr>
        <w:spacing w:line="276" w:lineRule="auto"/>
        <w:jc w:val="both"/>
        <w:rPr>
          <w:rFonts w:asciiTheme="minorHAnsi" w:hAnsiTheme="minorHAnsi" w:cstheme="minorHAnsi"/>
        </w:rPr>
      </w:pPr>
      <w:r w:rsidRPr="005F120D">
        <w:rPr>
          <w:rFonts w:asciiTheme="minorHAnsi" w:hAnsiTheme="minorHAnsi" w:cstheme="minorHAnsi"/>
        </w:rPr>
        <w:t xml:space="preserve">2.1% of GPS and 1.4% of NNPS teachers were authorized for short-term absence (such as casual leave, official duties or in-service training); </w:t>
      </w:r>
    </w:p>
    <w:p w:rsidR="00E640A2" w:rsidRPr="005F120D" w:rsidRDefault="00E640A2" w:rsidP="00C437AA">
      <w:pPr>
        <w:pStyle w:val="ListParagraph"/>
        <w:numPr>
          <w:ilvl w:val="1"/>
          <w:numId w:val="14"/>
        </w:numPr>
        <w:spacing w:line="276" w:lineRule="auto"/>
        <w:jc w:val="both"/>
        <w:rPr>
          <w:rFonts w:asciiTheme="minorHAnsi" w:hAnsiTheme="minorHAnsi" w:cstheme="minorHAnsi"/>
        </w:rPr>
      </w:pPr>
      <w:r w:rsidRPr="005F120D">
        <w:rPr>
          <w:rFonts w:asciiTheme="minorHAnsi" w:hAnsiTheme="minorHAnsi" w:cstheme="minorHAnsi"/>
        </w:rPr>
        <w:t xml:space="preserve">3.3% of GPS and 4.6% NNPS teachers were </w:t>
      </w:r>
      <w:r w:rsidR="00A04A22" w:rsidRPr="005F120D">
        <w:rPr>
          <w:rFonts w:asciiTheme="minorHAnsi" w:hAnsiTheme="minorHAnsi" w:cstheme="minorHAnsi"/>
        </w:rPr>
        <w:t>not authorized to be absent.</w:t>
      </w:r>
    </w:p>
    <w:p w:rsidR="00E640A2" w:rsidRPr="005F120D" w:rsidRDefault="00E640A2" w:rsidP="00C437AA">
      <w:pPr>
        <w:spacing w:line="276" w:lineRule="auto"/>
        <w:jc w:val="both"/>
        <w:rPr>
          <w:rFonts w:asciiTheme="minorHAnsi" w:hAnsiTheme="minorHAnsi" w:cstheme="minorHAnsi"/>
        </w:rPr>
      </w:pPr>
      <w:r w:rsidRPr="005F120D">
        <w:rPr>
          <w:rFonts w:asciiTheme="minorHAnsi" w:hAnsiTheme="minorHAnsi" w:cstheme="minorHAnsi"/>
        </w:rPr>
        <w:lastRenderedPageBreak/>
        <w:t>The surveys agree</w:t>
      </w:r>
      <w:r w:rsidR="00A04A22" w:rsidRPr="005F120D">
        <w:rPr>
          <w:rFonts w:asciiTheme="minorHAnsi" w:hAnsiTheme="minorHAnsi" w:cstheme="minorHAnsi"/>
        </w:rPr>
        <w:t>d</w:t>
      </w:r>
      <w:r w:rsidRPr="005F120D">
        <w:rPr>
          <w:rFonts w:asciiTheme="minorHAnsi" w:hAnsiTheme="minorHAnsi" w:cstheme="minorHAnsi"/>
        </w:rPr>
        <w:t xml:space="preserve"> that unauthorized teacher absenteeism is not a significant pr</w:t>
      </w:r>
      <w:r w:rsidR="00A04A22" w:rsidRPr="005F120D">
        <w:rPr>
          <w:rFonts w:asciiTheme="minorHAnsi" w:hAnsiTheme="minorHAnsi" w:cstheme="minorHAnsi"/>
        </w:rPr>
        <w:t>oblem; only 2–3% of teachers were</w:t>
      </w:r>
      <w:r w:rsidRPr="005F120D">
        <w:rPr>
          <w:rFonts w:asciiTheme="minorHAnsi" w:hAnsiTheme="minorHAnsi" w:cstheme="minorHAnsi"/>
        </w:rPr>
        <w:t xml:space="preserve"> absent without permission. However, the </w:t>
      </w:r>
      <w:r w:rsidR="00A04A22" w:rsidRPr="005F120D">
        <w:rPr>
          <w:rFonts w:asciiTheme="minorHAnsi" w:hAnsiTheme="minorHAnsi" w:cstheme="minorHAnsi"/>
        </w:rPr>
        <w:t>level of official absenteeism was</w:t>
      </w:r>
      <w:r w:rsidRPr="005F120D">
        <w:rPr>
          <w:rFonts w:asciiTheme="minorHAnsi" w:hAnsiTheme="minorHAnsi" w:cstheme="minorHAnsi"/>
        </w:rPr>
        <w:t xml:space="preserve"> fairly high and seems bound to affect lesson delivery (either via larger classes or fewer contact hours), since there is no system of providing temporary teacher cover.</w:t>
      </w:r>
    </w:p>
    <w:p w:rsidR="00E640A2" w:rsidRPr="005F120D" w:rsidRDefault="00F90FC0" w:rsidP="00C437AA">
      <w:pPr>
        <w:pStyle w:val="ListParagraph"/>
        <w:numPr>
          <w:ilvl w:val="0"/>
          <w:numId w:val="97"/>
        </w:numPr>
        <w:spacing w:line="276" w:lineRule="auto"/>
        <w:jc w:val="both"/>
        <w:rPr>
          <w:rFonts w:asciiTheme="minorHAnsi" w:hAnsiTheme="minorHAnsi" w:cstheme="minorHAnsi"/>
        </w:rPr>
      </w:pPr>
      <w:r w:rsidRPr="005F120D">
        <w:rPr>
          <w:rFonts w:asciiTheme="minorHAnsi" w:hAnsiTheme="minorHAnsi" w:cstheme="minorHAnsi"/>
          <w:b/>
          <w:i/>
          <w:color w:val="008000"/>
        </w:rPr>
        <w:t>Teacher L</w:t>
      </w:r>
      <w:r w:rsidR="00E640A2" w:rsidRPr="005F120D">
        <w:rPr>
          <w:rFonts w:asciiTheme="minorHAnsi" w:hAnsiTheme="minorHAnsi" w:cstheme="minorHAnsi"/>
          <w:b/>
          <w:i/>
          <w:color w:val="008000"/>
        </w:rPr>
        <w:t>ateness:</w:t>
      </w:r>
      <w:r w:rsidR="00D56978">
        <w:rPr>
          <w:rFonts w:asciiTheme="minorHAnsi" w:hAnsiTheme="minorHAnsi" w:cstheme="minorHAnsi"/>
          <w:b/>
          <w:i/>
          <w:color w:val="008000"/>
        </w:rPr>
        <w:t xml:space="preserve"> </w:t>
      </w:r>
      <w:r w:rsidR="00E640A2" w:rsidRPr="005F120D">
        <w:rPr>
          <w:rFonts w:asciiTheme="minorHAnsi" w:hAnsiTheme="minorHAnsi" w:cstheme="minorHAnsi"/>
        </w:rPr>
        <w:t xml:space="preserve">The surveys, mentioned above, also collected information on the timeliness of teachers, which is more of a reason for concern. </w:t>
      </w:r>
    </w:p>
    <w:p w:rsidR="00E640A2" w:rsidRPr="005F120D" w:rsidRDefault="00A04A22" w:rsidP="00C437AA">
      <w:pPr>
        <w:pStyle w:val="ListBullet1"/>
        <w:numPr>
          <w:ilvl w:val="0"/>
          <w:numId w:val="15"/>
        </w:numPr>
        <w:spacing w:line="276" w:lineRule="auto"/>
        <w:jc w:val="both"/>
        <w:rPr>
          <w:rFonts w:asciiTheme="minorHAnsi" w:hAnsiTheme="minorHAnsi" w:cstheme="minorHAnsi"/>
        </w:rPr>
      </w:pPr>
      <w:r w:rsidRPr="005F120D">
        <w:rPr>
          <w:rFonts w:asciiTheme="minorHAnsi" w:hAnsiTheme="minorHAnsi" w:cstheme="minorHAnsi"/>
        </w:rPr>
        <w:t>The MTR governance</w:t>
      </w:r>
      <w:r w:rsidR="00E640A2" w:rsidRPr="005F120D">
        <w:rPr>
          <w:rFonts w:asciiTheme="minorHAnsi" w:hAnsiTheme="minorHAnsi" w:cstheme="minorHAnsi"/>
        </w:rPr>
        <w:t xml:space="preserve"> study in 2014 found that 40% of high performing and 80% of low performing school teachers arrived </w:t>
      </w:r>
      <w:r w:rsidR="00513FD1" w:rsidRPr="005F120D">
        <w:rPr>
          <w:rFonts w:asciiTheme="minorHAnsi" w:hAnsiTheme="minorHAnsi" w:cstheme="minorHAnsi"/>
        </w:rPr>
        <w:t>late</w:t>
      </w:r>
      <w:r w:rsidR="00E640A2" w:rsidRPr="005F120D">
        <w:rPr>
          <w:rFonts w:asciiTheme="minorHAnsi" w:hAnsiTheme="minorHAnsi" w:cstheme="minorHAnsi"/>
        </w:rPr>
        <w:t xml:space="preserve"> and the average delay of those teachers was 30-60 minutes in high performing schools and 60-120 minutes in low performing school respectively (Governance Study Report 2014).</w:t>
      </w:r>
    </w:p>
    <w:p w:rsidR="00E640A2" w:rsidRPr="005F120D" w:rsidRDefault="00E640A2" w:rsidP="00C437AA">
      <w:pPr>
        <w:pStyle w:val="ListBullet1"/>
        <w:numPr>
          <w:ilvl w:val="0"/>
          <w:numId w:val="15"/>
        </w:numPr>
        <w:spacing w:line="276" w:lineRule="auto"/>
        <w:jc w:val="both"/>
        <w:rPr>
          <w:rFonts w:asciiTheme="minorHAnsi" w:hAnsiTheme="minorHAnsi" w:cstheme="minorHAnsi"/>
        </w:rPr>
      </w:pPr>
      <w:r w:rsidRPr="005F120D">
        <w:rPr>
          <w:rFonts w:asciiTheme="minorHAnsi" w:hAnsiTheme="minorHAnsi" w:cstheme="minorHAnsi"/>
        </w:rPr>
        <w:t>SSPS (2006) found that 15% of teachers were late by at least 30 minutes, particularly if they lived relatively far from their school; and</w:t>
      </w:r>
    </w:p>
    <w:p w:rsidR="00E640A2" w:rsidRPr="005F120D" w:rsidRDefault="00E640A2" w:rsidP="00C437AA">
      <w:pPr>
        <w:pStyle w:val="Listbulletfinal"/>
        <w:numPr>
          <w:ilvl w:val="0"/>
          <w:numId w:val="15"/>
        </w:numPr>
        <w:spacing w:line="276" w:lineRule="auto"/>
        <w:jc w:val="both"/>
        <w:rPr>
          <w:rFonts w:asciiTheme="minorHAnsi" w:hAnsiTheme="minorHAnsi" w:cstheme="minorHAnsi"/>
        </w:rPr>
      </w:pPr>
      <w:r w:rsidRPr="005F120D">
        <w:rPr>
          <w:rFonts w:asciiTheme="minorHAnsi" w:hAnsiTheme="minorHAnsi" w:cstheme="minorHAnsi"/>
        </w:rPr>
        <w:t>The 2012</w:t>
      </w:r>
      <w:r w:rsidR="00C8519C" w:rsidRPr="005F120D">
        <w:rPr>
          <w:rFonts w:asciiTheme="minorHAnsi" w:hAnsiTheme="minorHAnsi" w:cstheme="minorHAnsi"/>
        </w:rPr>
        <w:t>/13</w:t>
      </w:r>
      <w:r w:rsidRPr="005F120D">
        <w:rPr>
          <w:rFonts w:asciiTheme="minorHAnsi" w:hAnsiTheme="minorHAnsi" w:cstheme="minorHAnsi"/>
        </w:rPr>
        <w:t xml:space="preserve"> CAMPE survey found that 43.4% of GPS and 44% of NNPS teachers arrived late, and the average delay of these teachers was 30 and 50 minutes respectively.</w:t>
      </w:r>
    </w:p>
    <w:p w:rsidR="00E640A2" w:rsidRPr="005F120D" w:rsidRDefault="00E640A2" w:rsidP="00C437AA">
      <w:pPr>
        <w:spacing w:line="276" w:lineRule="auto"/>
        <w:jc w:val="both"/>
        <w:rPr>
          <w:rFonts w:asciiTheme="minorHAnsi" w:hAnsiTheme="minorHAnsi" w:cstheme="minorHAnsi"/>
        </w:rPr>
      </w:pPr>
      <w:r w:rsidRPr="005F120D">
        <w:rPr>
          <w:rFonts w:asciiTheme="minorHAnsi" w:hAnsiTheme="minorHAnsi" w:cstheme="minorHAnsi"/>
        </w:rPr>
        <w:t>The combination of these four factors into a measure of</w:t>
      </w:r>
      <w:r w:rsidR="00D56978">
        <w:rPr>
          <w:rFonts w:asciiTheme="minorHAnsi" w:hAnsiTheme="minorHAnsi" w:cstheme="minorHAnsi"/>
        </w:rPr>
        <w:t xml:space="preserve"> </w:t>
      </w:r>
      <w:r w:rsidRPr="005F120D">
        <w:rPr>
          <w:rFonts w:asciiTheme="minorHAnsi" w:hAnsiTheme="minorHAnsi" w:cstheme="minorHAnsi"/>
          <w:b/>
          <w:color w:val="3333FF"/>
          <w:u w:val="single"/>
        </w:rPr>
        <w:t>contact hours</w:t>
      </w:r>
      <w:r w:rsidRPr="005F120D">
        <w:rPr>
          <w:rFonts w:asciiTheme="minorHAnsi" w:hAnsiTheme="minorHAnsi" w:cstheme="minorHAnsi"/>
        </w:rPr>
        <w:t xml:space="preserve"> shows the complexity of the challenge in reaching the contact hour </w:t>
      </w:r>
      <w:r w:rsidR="00C8519C" w:rsidRPr="005F120D">
        <w:rPr>
          <w:rFonts w:asciiTheme="minorHAnsi" w:hAnsiTheme="minorHAnsi" w:cstheme="minorHAnsi"/>
        </w:rPr>
        <w:t>calculation</w:t>
      </w:r>
      <w:r w:rsidRPr="005F120D">
        <w:rPr>
          <w:rFonts w:asciiTheme="minorHAnsi" w:hAnsiTheme="minorHAnsi" w:cstheme="minorHAnsi"/>
        </w:rPr>
        <w:t>. While these are obvious factors influencing school contact hours, the quantitative data go</w:t>
      </w:r>
      <w:r w:rsidR="00C8519C" w:rsidRPr="005F120D">
        <w:rPr>
          <w:rFonts w:asciiTheme="minorHAnsi" w:hAnsiTheme="minorHAnsi" w:cstheme="minorHAnsi"/>
        </w:rPr>
        <w:t>es</w:t>
      </w:r>
      <w:r w:rsidRPr="005F120D">
        <w:rPr>
          <w:rFonts w:asciiTheme="minorHAnsi" w:hAnsiTheme="minorHAnsi" w:cstheme="minorHAnsi"/>
        </w:rPr>
        <w:t xml:space="preserve"> only so far in clarifying the real situation in classrooms. Qualitative studies therefore are essential, such as teachers’ time management.  </w:t>
      </w:r>
    </w:p>
    <w:p w:rsidR="00A03624" w:rsidRPr="005F120D" w:rsidRDefault="00E640A2" w:rsidP="00C437AA">
      <w:pPr>
        <w:pStyle w:val="BodyText1"/>
        <w:jc w:val="both"/>
        <w:rPr>
          <w:rFonts w:asciiTheme="minorHAnsi" w:hAnsiTheme="minorHAnsi" w:cstheme="minorHAnsi"/>
          <w:b w:val="0"/>
        </w:rPr>
      </w:pPr>
      <w:r w:rsidRPr="005F120D">
        <w:rPr>
          <w:rFonts w:asciiTheme="minorHAnsi" w:hAnsiTheme="minorHAnsi" w:cstheme="minorHAnsi"/>
          <w:b w:val="0"/>
        </w:rPr>
        <w:t xml:space="preserve">The APSC does not collect information that can provide further insight into this issue.  Hopefully, the PEDP3 study on contact hours will examine all the issues (4 factors) related to contact hours in 2016 and the </w:t>
      </w:r>
      <w:r w:rsidR="00536730">
        <w:rPr>
          <w:rFonts w:asciiTheme="minorHAnsi" w:hAnsiTheme="minorHAnsi" w:cstheme="minorHAnsi"/>
          <w:b w:val="0"/>
        </w:rPr>
        <w:t xml:space="preserve">agreed recommendations may be included </w:t>
      </w:r>
      <w:r w:rsidRPr="005F120D">
        <w:rPr>
          <w:rFonts w:asciiTheme="minorHAnsi" w:hAnsiTheme="minorHAnsi" w:cstheme="minorHAnsi"/>
          <w:b w:val="0"/>
        </w:rPr>
        <w:t xml:space="preserve">in the </w:t>
      </w:r>
      <w:r w:rsidR="00536730">
        <w:rPr>
          <w:rFonts w:asciiTheme="minorHAnsi" w:hAnsiTheme="minorHAnsi" w:cstheme="minorHAnsi"/>
          <w:b w:val="0"/>
        </w:rPr>
        <w:t>forthcoming A</w:t>
      </w:r>
      <w:r w:rsidRPr="005F120D">
        <w:rPr>
          <w:rFonts w:asciiTheme="minorHAnsi" w:hAnsiTheme="minorHAnsi" w:cstheme="minorHAnsi"/>
          <w:b w:val="0"/>
        </w:rPr>
        <w:t>SPR</w:t>
      </w:r>
      <w:r w:rsidR="00436144" w:rsidRPr="005F120D">
        <w:rPr>
          <w:rFonts w:asciiTheme="minorHAnsi" w:hAnsiTheme="minorHAnsi" w:cstheme="minorHAnsi"/>
          <w:b w:val="0"/>
        </w:rPr>
        <w:t>.</w:t>
      </w:r>
    </w:p>
    <w:p w:rsidR="007D14D1" w:rsidRPr="005F120D" w:rsidRDefault="004279B6" w:rsidP="00C437AA">
      <w:pPr>
        <w:pStyle w:val="Heading2"/>
        <w:spacing w:after="0" w:line="276" w:lineRule="auto"/>
        <w:rPr>
          <w:rFonts w:cstheme="minorHAnsi"/>
        </w:rPr>
      </w:pPr>
      <w:bookmarkStart w:id="367" w:name="_Toc462837182"/>
      <w:r w:rsidRPr="005F120D">
        <w:rPr>
          <w:rFonts w:cstheme="minorHAnsi"/>
        </w:rPr>
        <w:t xml:space="preserve">Component 3: Decentralization and </w:t>
      </w:r>
      <w:r w:rsidR="007D14D1" w:rsidRPr="005F120D">
        <w:rPr>
          <w:rFonts w:cstheme="minorHAnsi"/>
        </w:rPr>
        <w:t>Effectiveness</w:t>
      </w:r>
      <w:bookmarkEnd w:id="367"/>
    </w:p>
    <w:p w:rsidR="00341882" w:rsidRPr="005F120D" w:rsidRDefault="00341882" w:rsidP="00C437AA">
      <w:pPr>
        <w:autoSpaceDE w:val="0"/>
        <w:autoSpaceDN w:val="0"/>
        <w:adjustRightInd w:val="0"/>
        <w:spacing w:after="0" w:line="276" w:lineRule="auto"/>
        <w:rPr>
          <w:rFonts w:asciiTheme="minorHAnsi" w:hAnsiTheme="minorHAnsi" w:cstheme="minorHAnsi"/>
          <w:color w:val="FF0000"/>
          <w:szCs w:val="22"/>
          <w:lang w:eastAsia="ja-JP"/>
        </w:rPr>
      </w:pPr>
    </w:p>
    <w:p w:rsidR="00341882" w:rsidRPr="005F120D" w:rsidRDefault="000A5305" w:rsidP="00C437AA">
      <w:pPr>
        <w:autoSpaceDE w:val="0"/>
        <w:autoSpaceDN w:val="0"/>
        <w:adjustRightInd w:val="0"/>
        <w:spacing w:after="0" w:line="276" w:lineRule="auto"/>
        <w:jc w:val="both"/>
        <w:rPr>
          <w:rFonts w:asciiTheme="minorHAnsi" w:hAnsiTheme="minorHAnsi" w:cstheme="minorHAnsi"/>
          <w:szCs w:val="22"/>
          <w:lang w:eastAsia="ja-JP"/>
        </w:rPr>
      </w:pPr>
      <w:r w:rsidRPr="005F120D">
        <w:rPr>
          <w:rFonts w:asciiTheme="minorHAnsi" w:hAnsiTheme="minorHAnsi" w:cstheme="minorHAnsi"/>
          <w:szCs w:val="22"/>
          <w:lang w:eastAsia="ja-JP"/>
        </w:rPr>
        <w:t xml:space="preserve">Component 3 of the PEDP3 focuses on the expansion of decentralized planning, management and monitoring at district, </w:t>
      </w:r>
      <w:r w:rsidR="00D56978" w:rsidRPr="005F120D">
        <w:rPr>
          <w:rFonts w:asciiTheme="minorHAnsi" w:hAnsiTheme="minorHAnsi" w:cstheme="minorHAnsi"/>
          <w:szCs w:val="22"/>
          <w:lang w:eastAsia="ja-JP"/>
        </w:rPr>
        <w:t>Upazila</w:t>
      </w:r>
      <w:r w:rsidRPr="005F120D">
        <w:rPr>
          <w:rFonts w:asciiTheme="minorHAnsi" w:hAnsiTheme="minorHAnsi" w:cstheme="minorHAnsi"/>
          <w:szCs w:val="22"/>
          <w:lang w:eastAsia="ja-JP"/>
        </w:rPr>
        <w:t xml:space="preserve"> and school levels. The preparation and implementation of the School Level Improvement Plans (SLIP) and Upazila Prim</w:t>
      </w:r>
      <w:r w:rsidR="00D12464" w:rsidRPr="005F120D">
        <w:rPr>
          <w:rFonts w:asciiTheme="minorHAnsi" w:hAnsiTheme="minorHAnsi" w:cstheme="minorHAnsi"/>
          <w:szCs w:val="22"/>
          <w:lang w:eastAsia="ja-JP"/>
        </w:rPr>
        <w:t>ary Education Plans (UPEP) play</w:t>
      </w:r>
      <w:r w:rsidRPr="005F120D">
        <w:rPr>
          <w:rFonts w:asciiTheme="minorHAnsi" w:hAnsiTheme="minorHAnsi" w:cstheme="minorHAnsi"/>
          <w:szCs w:val="22"/>
          <w:lang w:eastAsia="ja-JP"/>
        </w:rPr>
        <w:t xml:space="preserve"> a role in reducing disparities and increasing participation within schools and </w:t>
      </w:r>
      <w:r w:rsidR="00D56978" w:rsidRPr="005F120D">
        <w:rPr>
          <w:rFonts w:asciiTheme="minorHAnsi" w:hAnsiTheme="minorHAnsi" w:cstheme="minorHAnsi"/>
          <w:szCs w:val="22"/>
          <w:lang w:eastAsia="ja-JP"/>
        </w:rPr>
        <w:t>Upazilas</w:t>
      </w:r>
      <w:r w:rsidRPr="005F120D">
        <w:rPr>
          <w:rFonts w:asciiTheme="minorHAnsi" w:hAnsiTheme="minorHAnsi" w:cstheme="minorHAnsi"/>
          <w:szCs w:val="22"/>
          <w:lang w:eastAsia="ja-JP"/>
        </w:rPr>
        <w:t xml:space="preserve">. Another dimension of decentralization is the delegation of administrative powers and functions of DPE in a more comprehensive and systematic manner, including the strengthening of field level offices through filling vacancies at PTIs, UEOs and URCs. This will involve capacity building programs to strengthen planning and monitoring functions of field level offices and providing personnel with leadership development. </w:t>
      </w:r>
      <w:r w:rsidRPr="005F120D">
        <w:rPr>
          <w:rFonts w:asciiTheme="minorHAnsi" w:hAnsiTheme="minorHAnsi" w:cstheme="minorHAnsi"/>
        </w:rPr>
        <w:t>There are six KP</w:t>
      </w:r>
      <w:r w:rsidR="00D12464" w:rsidRPr="005F120D">
        <w:rPr>
          <w:rFonts w:asciiTheme="minorHAnsi" w:hAnsiTheme="minorHAnsi" w:cstheme="minorHAnsi"/>
        </w:rPr>
        <w:t>Is and five non-KPIs dedicated to</w:t>
      </w:r>
      <w:r w:rsidRPr="005F120D">
        <w:rPr>
          <w:rFonts w:asciiTheme="minorHAnsi" w:hAnsiTheme="minorHAnsi" w:cstheme="minorHAnsi"/>
        </w:rPr>
        <w:t xml:space="preserve"> measuring the performance of these result areas under PEDP3</w:t>
      </w:r>
      <w:r w:rsidR="00CB08F8" w:rsidRPr="005F120D">
        <w:rPr>
          <w:rFonts w:asciiTheme="minorHAnsi" w:hAnsiTheme="minorHAnsi" w:cstheme="minorHAnsi"/>
        </w:rPr>
        <w:t>.</w:t>
      </w:r>
    </w:p>
    <w:p w:rsidR="00341882" w:rsidRPr="005F120D" w:rsidRDefault="00BD75D9" w:rsidP="004E77B3">
      <w:pPr>
        <w:pStyle w:val="Heading3"/>
      </w:pPr>
      <w:r w:rsidRPr="005F120D">
        <w:t>Decentralization</w:t>
      </w:r>
    </w:p>
    <w:p w:rsidR="00F90FC0" w:rsidRPr="005F120D" w:rsidRDefault="000A5305" w:rsidP="00C437AA">
      <w:pPr>
        <w:spacing w:line="276" w:lineRule="auto"/>
        <w:jc w:val="both"/>
        <w:rPr>
          <w:rFonts w:asciiTheme="minorHAnsi" w:hAnsiTheme="minorHAnsi" w:cstheme="minorHAnsi"/>
        </w:rPr>
      </w:pPr>
      <w:r w:rsidRPr="005F120D">
        <w:rPr>
          <w:rFonts w:asciiTheme="minorHAnsi" w:hAnsiTheme="minorHAnsi" w:cstheme="minorHAnsi"/>
        </w:rPr>
        <w:t xml:space="preserve">The PEDP3 Results Area 3.1 on decentralization recognizes that, to ensure equity of access to education at all levels, there is a need to reduce disparities in school participation. In spite of recent achievements, an education divide persists between regions and between children from well-off and less well-off families.  PEDP3 is addressing the needs of the more disadvantaged groups through </w:t>
      </w:r>
      <w:r w:rsidRPr="005F120D">
        <w:rPr>
          <w:rFonts w:asciiTheme="minorHAnsi" w:hAnsiTheme="minorHAnsi" w:cstheme="minorHAnsi"/>
        </w:rPr>
        <w:lastRenderedPageBreak/>
        <w:t>targeted stipends and school feeding programs. Regional disparities are addressed in part through a p</w:t>
      </w:r>
      <w:r w:rsidR="00D12464" w:rsidRPr="005F120D">
        <w:rPr>
          <w:rFonts w:asciiTheme="minorHAnsi" w:hAnsiTheme="minorHAnsi" w:cstheme="minorHAnsi"/>
        </w:rPr>
        <w:t>rogressive, needs-</w:t>
      </w:r>
      <w:r w:rsidRPr="005F120D">
        <w:rPr>
          <w:rFonts w:asciiTheme="minorHAnsi" w:hAnsiTheme="minorHAnsi" w:cstheme="minorHAnsi"/>
        </w:rPr>
        <w:t>based initiative to</w:t>
      </w:r>
      <w:r w:rsidR="00D12464" w:rsidRPr="005F120D">
        <w:rPr>
          <w:rFonts w:asciiTheme="minorHAnsi" w:hAnsiTheme="minorHAnsi" w:cstheme="minorHAnsi"/>
        </w:rPr>
        <w:t xml:space="preserve"> improve the school environment</w:t>
      </w:r>
      <w:r w:rsidRPr="005F120D">
        <w:rPr>
          <w:rFonts w:asciiTheme="minorHAnsi" w:hAnsiTheme="minorHAnsi" w:cstheme="minorHAnsi"/>
        </w:rPr>
        <w:t xml:space="preserve"> and infrastructure. This component also addresses </w:t>
      </w:r>
      <w:r w:rsidRPr="005F120D">
        <w:rPr>
          <w:rFonts w:asciiTheme="minorHAnsi" w:hAnsiTheme="minorHAnsi" w:cstheme="minorHAnsi"/>
          <w:szCs w:val="22"/>
          <w:lang w:eastAsia="ja-JP"/>
        </w:rPr>
        <w:t>decentralized planning</w:t>
      </w:r>
      <w:r w:rsidR="00D12464" w:rsidRPr="005F120D">
        <w:rPr>
          <w:rFonts w:asciiTheme="minorHAnsi" w:hAnsiTheme="minorHAnsi" w:cstheme="minorHAnsi"/>
          <w:szCs w:val="22"/>
          <w:lang w:eastAsia="ja-JP"/>
        </w:rPr>
        <w:t>,</w:t>
      </w:r>
      <w:r w:rsidRPr="005F120D">
        <w:rPr>
          <w:rFonts w:asciiTheme="minorHAnsi" w:hAnsiTheme="minorHAnsi" w:cstheme="minorHAnsi"/>
          <w:szCs w:val="22"/>
          <w:lang w:eastAsia="ja-JP"/>
        </w:rPr>
        <w:t xml:space="preserve"> management and monitoring at district, </w:t>
      </w:r>
      <w:r w:rsidR="00D56978" w:rsidRPr="005F120D">
        <w:rPr>
          <w:rFonts w:asciiTheme="minorHAnsi" w:hAnsiTheme="minorHAnsi" w:cstheme="minorHAnsi"/>
          <w:szCs w:val="22"/>
          <w:lang w:eastAsia="ja-JP"/>
        </w:rPr>
        <w:t>Upazila</w:t>
      </w:r>
      <w:r w:rsidRPr="005F120D">
        <w:rPr>
          <w:rFonts w:asciiTheme="minorHAnsi" w:hAnsiTheme="minorHAnsi" w:cstheme="minorHAnsi"/>
          <w:szCs w:val="22"/>
          <w:lang w:eastAsia="ja-JP"/>
        </w:rPr>
        <w:t xml:space="preserve"> and school levels</w:t>
      </w:r>
      <w:r w:rsidR="00F90FC0" w:rsidRPr="005F120D">
        <w:rPr>
          <w:rFonts w:asciiTheme="minorHAnsi" w:hAnsiTheme="minorHAnsi" w:cstheme="minorHAnsi"/>
          <w:szCs w:val="22"/>
          <w:lang w:eastAsia="ja-JP"/>
        </w:rPr>
        <w:t xml:space="preserve">. </w:t>
      </w:r>
      <w:r w:rsidRPr="005F120D">
        <w:rPr>
          <w:rFonts w:asciiTheme="minorHAnsi" w:hAnsiTheme="minorHAnsi" w:cstheme="minorHAnsi"/>
          <w:szCs w:val="22"/>
          <w:lang w:eastAsia="ja-JP"/>
        </w:rPr>
        <w:t xml:space="preserve">In this result area, </w:t>
      </w:r>
      <w:r w:rsidR="00F90FC0" w:rsidRPr="005F120D">
        <w:rPr>
          <w:rFonts w:asciiTheme="minorHAnsi" w:hAnsiTheme="minorHAnsi" w:cstheme="minorHAnsi"/>
          <w:szCs w:val="22"/>
          <w:lang w:eastAsia="ja-JP"/>
        </w:rPr>
        <w:t xml:space="preserve">greater emphasis is required in the second half of the </w:t>
      </w:r>
      <w:r w:rsidRPr="005F120D">
        <w:rPr>
          <w:rFonts w:asciiTheme="minorHAnsi" w:hAnsiTheme="minorHAnsi" w:cstheme="minorHAnsi"/>
          <w:szCs w:val="22"/>
          <w:lang w:eastAsia="ja-JP"/>
        </w:rPr>
        <w:t>PEDP3 for reaching the goal</w:t>
      </w:r>
      <w:r w:rsidR="00F90FC0" w:rsidRPr="005F120D">
        <w:rPr>
          <w:rFonts w:asciiTheme="minorHAnsi" w:hAnsiTheme="minorHAnsi" w:cstheme="minorHAnsi"/>
          <w:szCs w:val="22"/>
          <w:lang w:eastAsia="ja-JP"/>
        </w:rPr>
        <w:t>. The following 2 KPIs an</w:t>
      </w:r>
      <w:r w:rsidR="00D12464" w:rsidRPr="005F120D">
        <w:rPr>
          <w:rFonts w:asciiTheme="minorHAnsi" w:hAnsiTheme="minorHAnsi" w:cstheme="minorHAnsi"/>
          <w:szCs w:val="22"/>
          <w:lang w:eastAsia="ja-JP"/>
        </w:rPr>
        <w:t>d 1 non-KPI measure achievement</w:t>
      </w:r>
      <w:r w:rsidR="00F90FC0" w:rsidRPr="005F120D">
        <w:rPr>
          <w:rFonts w:asciiTheme="minorHAnsi" w:hAnsiTheme="minorHAnsi" w:cstheme="minorHAnsi"/>
          <w:szCs w:val="22"/>
          <w:lang w:eastAsia="ja-JP"/>
        </w:rPr>
        <w:t xml:space="preserve"> in this area:</w:t>
      </w:r>
    </w:p>
    <w:p w:rsidR="00F90FC0" w:rsidRPr="005F120D" w:rsidRDefault="00F90FC0" w:rsidP="00C437AA">
      <w:pPr>
        <w:pStyle w:val="NoSpacing"/>
        <w:numPr>
          <w:ilvl w:val="0"/>
          <w:numId w:val="51"/>
        </w:numPr>
        <w:spacing w:after="120" w:line="276" w:lineRule="auto"/>
        <w:ind w:left="446"/>
        <w:jc w:val="both"/>
        <w:rPr>
          <w:rFonts w:asciiTheme="minorHAnsi" w:hAnsiTheme="minorHAnsi" w:cstheme="minorHAnsi"/>
          <w:b/>
          <w:i/>
          <w:sz w:val="20"/>
        </w:rPr>
      </w:pPr>
      <w:r w:rsidRPr="005F120D">
        <w:rPr>
          <w:rFonts w:asciiTheme="minorHAnsi" w:hAnsiTheme="minorHAnsi" w:cstheme="minorHAnsi"/>
          <w:b/>
          <w:i/>
          <w:sz w:val="20"/>
        </w:rPr>
        <w:t xml:space="preserve">KPI 10: </w:t>
      </w:r>
      <w:r w:rsidRPr="005F120D">
        <w:rPr>
          <w:rFonts w:asciiTheme="minorHAnsi" w:eastAsia="Calibri" w:hAnsiTheme="minorHAnsi" w:cstheme="minorHAnsi"/>
          <w:b/>
          <w:bCs/>
          <w:i/>
          <w:sz w:val="20"/>
        </w:rPr>
        <w:t>Percentage of AOP budget allocation for unconditional block grants (SLIPs and UPE</w:t>
      </w:r>
      <w:r w:rsidR="009B3F0C" w:rsidRPr="005F120D">
        <w:rPr>
          <w:rFonts w:asciiTheme="minorHAnsi" w:eastAsia="Calibri" w:hAnsiTheme="minorHAnsi" w:cstheme="minorHAnsi"/>
          <w:b/>
          <w:bCs/>
          <w:i/>
          <w:sz w:val="20"/>
        </w:rPr>
        <w:t>Ps for schools and Upazilas</w:t>
      </w:r>
      <w:r w:rsidR="00D12464" w:rsidRPr="005F120D">
        <w:rPr>
          <w:rFonts w:asciiTheme="minorHAnsi" w:eastAsia="Calibri" w:hAnsiTheme="minorHAnsi" w:cstheme="minorHAnsi"/>
          <w:b/>
          <w:bCs/>
          <w:i/>
          <w:sz w:val="20"/>
        </w:rPr>
        <w:t>)</w:t>
      </w:r>
      <w:r w:rsidR="009B3F0C" w:rsidRPr="005F120D">
        <w:rPr>
          <w:rFonts w:asciiTheme="minorHAnsi" w:eastAsia="Calibri" w:hAnsiTheme="minorHAnsi" w:cstheme="minorHAnsi"/>
          <w:b/>
          <w:bCs/>
          <w:i/>
          <w:sz w:val="20"/>
        </w:rPr>
        <w:t>;</w:t>
      </w:r>
    </w:p>
    <w:p w:rsidR="00F90FC0" w:rsidRPr="005F120D" w:rsidRDefault="00F90FC0" w:rsidP="00C437AA">
      <w:pPr>
        <w:pStyle w:val="NoSpacing"/>
        <w:numPr>
          <w:ilvl w:val="0"/>
          <w:numId w:val="51"/>
        </w:numPr>
        <w:spacing w:after="120" w:line="276" w:lineRule="auto"/>
        <w:ind w:left="446"/>
        <w:jc w:val="both"/>
        <w:rPr>
          <w:rFonts w:asciiTheme="minorHAnsi" w:hAnsiTheme="minorHAnsi" w:cstheme="minorHAnsi"/>
          <w:b/>
          <w:i/>
          <w:sz w:val="20"/>
        </w:rPr>
      </w:pPr>
      <w:r w:rsidRPr="005F120D">
        <w:rPr>
          <w:rFonts w:asciiTheme="minorHAnsi" w:hAnsiTheme="minorHAnsi" w:cstheme="minorHAnsi"/>
          <w:b/>
          <w:i/>
          <w:sz w:val="20"/>
        </w:rPr>
        <w:t>KPI 11: Expenditure of block grants (conditional and unconditional) for Upazilas and schools</w:t>
      </w:r>
      <w:r w:rsidR="009B3F0C" w:rsidRPr="005F120D">
        <w:rPr>
          <w:rFonts w:asciiTheme="minorHAnsi" w:hAnsiTheme="minorHAnsi" w:cstheme="minorHAnsi"/>
          <w:b/>
          <w:i/>
          <w:sz w:val="20"/>
        </w:rPr>
        <w:t>; and</w:t>
      </w:r>
    </w:p>
    <w:p w:rsidR="00D978CB" w:rsidRPr="005F120D" w:rsidRDefault="00F90FC0" w:rsidP="00C437AA">
      <w:pPr>
        <w:pStyle w:val="NoSpacing"/>
        <w:numPr>
          <w:ilvl w:val="0"/>
          <w:numId w:val="51"/>
        </w:numPr>
        <w:spacing w:line="276" w:lineRule="auto"/>
        <w:jc w:val="both"/>
        <w:rPr>
          <w:rFonts w:asciiTheme="minorHAnsi" w:hAnsiTheme="minorHAnsi" w:cstheme="minorHAnsi"/>
          <w:b/>
          <w:i/>
          <w:sz w:val="20"/>
        </w:rPr>
      </w:pPr>
      <w:r w:rsidRPr="005F120D">
        <w:rPr>
          <w:rFonts w:asciiTheme="minorHAnsi" w:hAnsiTheme="minorHAnsi" w:cstheme="minorHAnsi"/>
          <w:b/>
          <w:i/>
          <w:sz w:val="20"/>
        </w:rPr>
        <w:t>Non-KPI 8: Percentage of sanctioned posts filled in district</w:t>
      </w:r>
      <w:r w:rsidR="00D12464" w:rsidRPr="005F120D">
        <w:rPr>
          <w:rFonts w:asciiTheme="minorHAnsi" w:hAnsiTheme="minorHAnsi" w:cstheme="minorHAnsi"/>
          <w:b/>
          <w:i/>
          <w:sz w:val="20"/>
        </w:rPr>
        <w:t>s</w:t>
      </w:r>
      <w:r w:rsidRPr="005F120D">
        <w:rPr>
          <w:rFonts w:asciiTheme="minorHAnsi" w:hAnsiTheme="minorHAnsi" w:cstheme="minorHAnsi"/>
          <w:b/>
          <w:i/>
          <w:sz w:val="20"/>
        </w:rPr>
        <w:t xml:space="preserve"> and </w:t>
      </w:r>
      <w:r w:rsidR="00D56978" w:rsidRPr="005F120D">
        <w:rPr>
          <w:rFonts w:asciiTheme="minorHAnsi" w:hAnsiTheme="minorHAnsi" w:cstheme="minorHAnsi"/>
          <w:b/>
          <w:i/>
          <w:sz w:val="20"/>
        </w:rPr>
        <w:t>Upazilas</w:t>
      </w:r>
      <w:r w:rsidRPr="005F120D">
        <w:rPr>
          <w:rFonts w:asciiTheme="minorHAnsi" w:hAnsiTheme="minorHAnsi" w:cstheme="minorHAnsi"/>
          <w:b/>
          <w:i/>
          <w:sz w:val="20"/>
        </w:rPr>
        <w:t>.</w:t>
      </w:r>
    </w:p>
    <w:p w:rsidR="00D978CB" w:rsidRPr="005F120D" w:rsidRDefault="00D978CB" w:rsidP="00C437AA">
      <w:pPr>
        <w:pStyle w:val="NoSpacing"/>
        <w:spacing w:line="276" w:lineRule="auto"/>
        <w:jc w:val="both"/>
        <w:rPr>
          <w:rFonts w:asciiTheme="minorHAnsi" w:hAnsiTheme="minorHAnsi" w:cstheme="minorHAnsi"/>
          <w:b/>
          <w:i/>
          <w:color w:val="FF0000"/>
          <w:sz w:val="20"/>
        </w:rPr>
      </w:pPr>
    </w:p>
    <w:p w:rsidR="00D978CB" w:rsidRPr="005F120D" w:rsidRDefault="00357AA9" w:rsidP="00C437AA">
      <w:pPr>
        <w:pStyle w:val="Heading4"/>
        <w:spacing w:line="276" w:lineRule="auto"/>
        <w:jc w:val="both"/>
        <w:rPr>
          <w:rFonts w:asciiTheme="minorHAnsi" w:hAnsiTheme="minorHAnsi" w:cstheme="minorHAnsi"/>
          <w:b/>
          <w:color w:val="008000"/>
        </w:rPr>
      </w:pPr>
      <w:r w:rsidRPr="005F120D">
        <w:rPr>
          <w:rFonts w:asciiTheme="minorHAnsi" w:hAnsiTheme="minorHAnsi" w:cstheme="minorHAnsi"/>
          <w:b/>
          <w:color w:val="008000"/>
        </w:rPr>
        <w:t>Function</w:t>
      </w:r>
      <w:r w:rsidR="00422D52" w:rsidRPr="005F120D">
        <w:rPr>
          <w:rFonts w:asciiTheme="minorHAnsi" w:hAnsiTheme="minorHAnsi" w:cstheme="minorHAnsi"/>
          <w:b/>
          <w:color w:val="008000"/>
        </w:rPr>
        <w:t xml:space="preserve"> Decentralization</w:t>
      </w:r>
    </w:p>
    <w:p w:rsidR="00F90FC0" w:rsidRPr="005F120D" w:rsidRDefault="00C22EC1" w:rsidP="00C437AA">
      <w:pPr>
        <w:spacing w:line="276" w:lineRule="auto"/>
        <w:jc w:val="both"/>
        <w:rPr>
          <w:rFonts w:asciiTheme="minorHAnsi" w:hAnsiTheme="minorHAnsi" w:cstheme="minorHAnsi"/>
        </w:rPr>
      </w:pPr>
      <w:r w:rsidRPr="005F120D">
        <w:rPr>
          <w:rFonts w:asciiTheme="minorHAnsi" w:hAnsiTheme="minorHAnsi" w:cstheme="minorHAnsi"/>
        </w:rPr>
        <w:t>The ty</w:t>
      </w:r>
      <w:r w:rsidR="00D12464" w:rsidRPr="005F120D">
        <w:rPr>
          <w:rFonts w:asciiTheme="minorHAnsi" w:hAnsiTheme="minorHAnsi" w:cstheme="minorHAnsi"/>
        </w:rPr>
        <w:t>pe of functions performed by Division, District,</w:t>
      </w:r>
      <w:r w:rsidRPr="005F120D">
        <w:rPr>
          <w:rFonts w:asciiTheme="minorHAnsi" w:hAnsiTheme="minorHAnsi" w:cstheme="minorHAnsi"/>
        </w:rPr>
        <w:t xml:space="preserve"> Up</w:t>
      </w:r>
      <w:r w:rsidR="00D12464" w:rsidRPr="005F120D">
        <w:rPr>
          <w:rFonts w:asciiTheme="minorHAnsi" w:hAnsiTheme="minorHAnsi" w:cstheme="minorHAnsi"/>
        </w:rPr>
        <w:t>azila Education office, and by school</w:t>
      </w:r>
      <w:r w:rsidRPr="005F120D">
        <w:rPr>
          <w:rFonts w:asciiTheme="minorHAnsi" w:hAnsiTheme="minorHAnsi" w:cstheme="minorHAnsi"/>
        </w:rPr>
        <w:t xml:space="preserve"> can be categorized into two types: 1) Administration and 2) Financial Management.  These functions are delegated to the local education authority as per the Government Orders (GOs) issued by MoPME, which are updated from time to time in accordance with changes in central government policies, and gradually expanded under PEDP3</w:t>
      </w:r>
      <w:r w:rsidR="00F90FC0" w:rsidRPr="005F120D">
        <w:rPr>
          <w:rFonts w:asciiTheme="minorHAnsi" w:hAnsiTheme="minorHAnsi" w:cstheme="minorHAnsi"/>
        </w:rPr>
        <w:t xml:space="preserve">. </w:t>
      </w:r>
    </w:p>
    <w:p w:rsidR="00F90FC0" w:rsidRPr="005F120D" w:rsidRDefault="00F90FC0" w:rsidP="00C437AA">
      <w:pPr>
        <w:spacing w:line="276" w:lineRule="auto"/>
        <w:jc w:val="both"/>
        <w:rPr>
          <w:rFonts w:asciiTheme="minorHAnsi" w:hAnsiTheme="minorHAnsi" w:cstheme="minorHAnsi"/>
        </w:rPr>
      </w:pPr>
      <w:r w:rsidRPr="005F120D">
        <w:rPr>
          <w:rFonts w:asciiTheme="minorHAnsi" w:hAnsiTheme="minorHAnsi" w:cstheme="minorHAnsi"/>
        </w:rPr>
        <w:t xml:space="preserve">Altogether, there have been four Government Orders (GOs) issued by MoPME between 2006 and 2012 relating to functional assignment at </w:t>
      </w:r>
      <w:r w:rsidR="00D12464" w:rsidRPr="005F120D">
        <w:rPr>
          <w:rFonts w:asciiTheme="minorHAnsi" w:hAnsiTheme="minorHAnsi" w:cstheme="minorHAnsi"/>
        </w:rPr>
        <w:t>different levels of the G</w:t>
      </w:r>
      <w:r w:rsidRPr="005F120D">
        <w:rPr>
          <w:rFonts w:asciiTheme="minorHAnsi" w:hAnsiTheme="minorHAnsi" w:cstheme="minorHAnsi"/>
        </w:rPr>
        <w:t>overnment.  The most comprehensive GO is the MoPME’s guidelines on “</w:t>
      </w:r>
      <w:r w:rsidRPr="005F120D">
        <w:rPr>
          <w:rFonts w:asciiTheme="minorHAnsi" w:hAnsiTheme="minorHAnsi" w:cstheme="minorHAnsi"/>
          <w:i/>
        </w:rPr>
        <w:t xml:space="preserve">Delegation of Financial Power to DG DPE and Sub-ordinate Official Heads </w:t>
      </w:r>
      <w:r w:rsidRPr="005F120D">
        <w:rPr>
          <w:rFonts w:asciiTheme="minorHAnsi" w:hAnsiTheme="minorHAnsi" w:cstheme="minorHAnsi"/>
        </w:rPr>
        <w:t>(MoPME/ADMIN-2/2A-6/98, dated 14 May 2006).  This guideline is based on the 2005 Ministry of Finance’s circular that sets out the sub-delegation model to provide greater authority to</w:t>
      </w:r>
      <w:r w:rsidR="00D12464" w:rsidRPr="005F120D">
        <w:rPr>
          <w:rFonts w:asciiTheme="minorHAnsi" w:hAnsiTheme="minorHAnsi" w:cstheme="minorHAnsi"/>
        </w:rPr>
        <w:t xml:space="preserve"> designated departments and sub</w:t>
      </w:r>
      <w:r w:rsidRPr="005F120D">
        <w:rPr>
          <w:rFonts w:asciiTheme="minorHAnsi" w:hAnsiTheme="minorHAnsi" w:cstheme="minorHAnsi"/>
        </w:rPr>
        <w:t>ordinate offices.</w:t>
      </w:r>
      <w:r w:rsidRPr="005F120D">
        <w:rPr>
          <w:rStyle w:val="FootnoteReference"/>
          <w:rFonts w:asciiTheme="minorHAnsi" w:hAnsiTheme="minorHAnsi" w:cstheme="minorHAnsi"/>
        </w:rPr>
        <w:footnoteReference w:id="12"/>
      </w:r>
    </w:p>
    <w:p w:rsidR="00D978CB" w:rsidRPr="005F120D" w:rsidRDefault="00F90FC0" w:rsidP="00C437AA">
      <w:pPr>
        <w:spacing w:after="120" w:line="276" w:lineRule="auto"/>
        <w:jc w:val="both"/>
        <w:rPr>
          <w:rFonts w:asciiTheme="minorHAnsi" w:hAnsiTheme="minorHAnsi" w:cstheme="minorHAnsi"/>
        </w:rPr>
      </w:pPr>
      <w:r w:rsidRPr="005F120D">
        <w:rPr>
          <w:rFonts w:asciiTheme="minorHAnsi" w:hAnsiTheme="minorHAnsi" w:cstheme="minorHAnsi"/>
        </w:rPr>
        <w:t xml:space="preserve">Based on a review of these 4 GOs, a total of 50 functions were identified, including 25 administrative and 25 financial functions.  Delegation of the function at the sub-national level </w:t>
      </w:r>
      <w:r w:rsidR="00C22EC1" w:rsidRPr="005F120D">
        <w:rPr>
          <w:rFonts w:asciiTheme="minorHAnsi" w:hAnsiTheme="minorHAnsi" w:cstheme="minorHAnsi"/>
        </w:rPr>
        <w:t xml:space="preserve">(district and downwards only 34) </w:t>
      </w:r>
      <w:r w:rsidRPr="005F120D">
        <w:rPr>
          <w:rFonts w:asciiTheme="minorHAnsi" w:hAnsiTheme="minorHAnsi" w:cstheme="minorHAnsi"/>
        </w:rPr>
        <w:t>is as follows</w:t>
      </w:r>
      <w:r w:rsidR="00D978CB" w:rsidRPr="005F120D">
        <w:rPr>
          <w:rFonts w:asciiTheme="minorHAnsi" w:hAnsiTheme="minorHAnsi" w:cstheme="minorHAnsi"/>
        </w:rPr>
        <w:t>:</w:t>
      </w:r>
    </w:p>
    <w:p w:rsidR="00D978CB" w:rsidRPr="005F120D" w:rsidRDefault="00BB3CF8" w:rsidP="00C437AA">
      <w:pPr>
        <w:pStyle w:val="Caption"/>
        <w:spacing w:line="276" w:lineRule="auto"/>
        <w:rPr>
          <w:rFonts w:cstheme="minorHAnsi"/>
        </w:rPr>
      </w:pPr>
      <w:bookmarkStart w:id="368" w:name="_Toc462837279"/>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22</w:t>
      </w:r>
      <w:r w:rsidR="002E2ED5" w:rsidRPr="005F120D">
        <w:rPr>
          <w:rFonts w:cstheme="minorHAnsi"/>
        </w:rPr>
        <w:fldChar w:fldCharType="end"/>
      </w:r>
      <w:r w:rsidR="006A7739" w:rsidRPr="005F120D">
        <w:rPr>
          <w:rFonts w:cstheme="minorHAnsi"/>
        </w:rPr>
        <w:t>:</w:t>
      </w:r>
      <w:r w:rsidR="00D56978">
        <w:rPr>
          <w:rFonts w:cstheme="minorHAnsi"/>
        </w:rPr>
        <w:t xml:space="preserve"> </w:t>
      </w:r>
      <w:r w:rsidR="00D978CB" w:rsidRPr="005F120D">
        <w:rPr>
          <w:rFonts w:cstheme="minorHAnsi"/>
        </w:rPr>
        <w:t>Type and Number of Decentralized Functions</w:t>
      </w:r>
      <w:bookmarkEnd w:id="368"/>
    </w:p>
    <w:tbl>
      <w:tblPr>
        <w:tblW w:w="5000"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4A0"/>
      </w:tblPr>
      <w:tblGrid>
        <w:gridCol w:w="2054"/>
        <w:gridCol w:w="1982"/>
        <w:gridCol w:w="1916"/>
        <w:gridCol w:w="1451"/>
        <w:gridCol w:w="1842"/>
      </w:tblGrid>
      <w:tr w:rsidR="00D978CB" w:rsidRPr="005F120D" w:rsidTr="0082206C">
        <w:tc>
          <w:tcPr>
            <w:tcW w:w="1111" w:type="pct"/>
            <w:shd w:val="clear" w:color="auto" w:fill="DDD9C3" w:themeFill="background2" w:themeFillShade="E6"/>
            <w:vAlign w:val="center"/>
          </w:tcPr>
          <w:p w:rsidR="00D978CB" w:rsidRPr="005F120D" w:rsidRDefault="00D978CB" w:rsidP="00A03624">
            <w:pPr>
              <w:pStyle w:val="NoSpacing"/>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Administrative Level</w:t>
            </w:r>
          </w:p>
        </w:tc>
        <w:tc>
          <w:tcPr>
            <w:tcW w:w="1072" w:type="pct"/>
            <w:shd w:val="clear" w:color="auto" w:fill="DDD9C3" w:themeFill="background2" w:themeFillShade="E6"/>
            <w:vAlign w:val="center"/>
          </w:tcPr>
          <w:p w:rsidR="00D978CB" w:rsidRPr="005F120D" w:rsidRDefault="00D978CB" w:rsidP="00A03624">
            <w:pPr>
              <w:pStyle w:val="NoSpacing"/>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Administrative</w:t>
            </w:r>
          </w:p>
          <w:p w:rsidR="00D978CB" w:rsidRPr="005F120D" w:rsidRDefault="00D978CB" w:rsidP="00A03624">
            <w:pPr>
              <w:pStyle w:val="NoSpacing"/>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Functions</w:t>
            </w:r>
          </w:p>
        </w:tc>
        <w:tc>
          <w:tcPr>
            <w:tcW w:w="1036" w:type="pct"/>
            <w:shd w:val="clear" w:color="auto" w:fill="DDD9C3" w:themeFill="background2" w:themeFillShade="E6"/>
            <w:vAlign w:val="center"/>
          </w:tcPr>
          <w:p w:rsidR="00D978CB" w:rsidRPr="005F120D" w:rsidRDefault="00D978CB" w:rsidP="00A03624">
            <w:pPr>
              <w:pStyle w:val="NoSpacing"/>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Financial Management Functions</w:t>
            </w:r>
          </w:p>
        </w:tc>
        <w:tc>
          <w:tcPr>
            <w:tcW w:w="785" w:type="pct"/>
            <w:shd w:val="clear" w:color="auto" w:fill="DDD9C3" w:themeFill="background2" w:themeFillShade="E6"/>
            <w:vAlign w:val="center"/>
          </w:tcPr>
          <w:p w:rsidR="00D978CB" w:rsidRPr="005F120D" w:rsidRDefault="00D978CB" w:rsidP="00A03624">
            <w:pPr>
              <w:pStyle w:val="NoSpacing"/>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TOTAL</w:t>
            </w:r>
          </w:p>
          <w:p w:rsidR="00D978CB" w:rsidRPr="005F120D" w:rsidRDefault="00D978CB" w:rsidP="00A03624">
            <w:pPr>
              <w:pStyle w:val="NoSpacing"/>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Functions</w:t>
            </w:r>
          </w:p>
        </w:tc>
        <w:tc>
          <w:tcPr>
            <w:tcW w:w="996" w:type="pct"/>
            <w:shd w:val="clear" w:color="auto" w:fill="DDD9C3" w:themeFill="background2" w:themeFillShade="E6"/>
            <w:vAlign w:val="center"/>
          </w:tcPr>
          <w:p w:rsidR="00D978CB" w:rsidRPr="005F120D" w:rsidRDefault="00D978CB" w:rsidP="00A03624">
            <w:pPr>
              <w:pStyle w:val="NoSpacing"/>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No. of</w:t>
            </w:r>
          </w:p>
          <w:p w:rsidR="00D978CB" w:rsidRPr="005F120D" w:rsidRDefault="00D978CB" w:rsidP="00A03624">
            <w:pPr>
              <w:pStyle w:val="NoSpacing"/>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Government Orders</w:t>
            </w:r>
          </w:p>
        </w:tc>
      </w:tr>
      <w:tr w:rsidR="00D978CB" w:rsidRPr="005F120D" w:rsidTr="0082206C">
        <w:tc>
          <w:tcPr>
            <w:tcW w:w="1111" w:type="pct"/>
            <w:shd w:val="clear" w:color="auto" w:fill="auto"/>
            <w:vAlign w:val="center"/>
          </w:tcPr>
          <w:p w:rsidR="00D978CB" w:rsidRPr="005F120D" w:rsidRDefault="00D978CB" w:rsidP="00A03624">
            <w:pPr>
              <w:pStyle w:val="NoSpacing"/>
              <w:jc w:val="both"/>
              <w:rPr>
                <w:rFonts w:asciiTheme="minorHAnsi" w:eastAsia="Calibri" w:hAnsiTheme="minorHAnsi" w:cstheme="minorHAnsi"/>
              </w:rPr>
            </w:pPr>
            <w:r w:rsidRPr="005F120D">
              <w:rPr>
                <w:rFonts w:asciiTheme="minorHAnsi" w:eastAsia="Calibri" w:hAnsiTheme="minorHAnsi" w:cstheme="minorHAnsi"/>
              </w:rPr>
              <w:t>District levels</w:t>
            </w:r>
          </w:p>
        </w:tc>
        <w:tc>
          <w:tcPr>
            <w:tcW w:w="1072"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8</w:t>
            </w:r>
          </w:p>
        </w:tc>
        <w:tc>
          <w:tcPr>
            <w:tcW w:w="1036"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13</w:t>
            </w:r>
          </w:p>
        </w:tc>
        <w:tc>
          <w:tcPr>
            <w:tcW w:w="785"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21</w:t>
            </w:r>
          </w:p>
        </w:tc>
        <w:tc>
          <w:tcPr>
            <w:tcW w:w="996"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4 GOs</w:t>
            </w:r>
          </w:p>
        </w:tc>
      </w:tr>
      <w:tr w:rsidR="00D978CB" w:rsidRPr="005F120D" w:rsidTr="0082206C">
        <w:tc>
          <w:tcPr>
            <w:tcW w:w="1111" w:type="pct"/>
            <w:shd w:val="clear" w:color="auto" w:fill="auto"/>
            <w:vAlign w:val="center"/>
          </w:tcPr>
          <w:p w:rsidR="00D978CB" w:rsidRPr="005F120D" w:rsidRDefault="00D978CB" w:rsidP="00A03624">
            <w:pPr>
              <w:pStyle w:val="NoSpacing"/>
              <w:jc w:val="both"/>
              <w:rPr>
                <w:rFonts w:asciiTheme="minorHAnsi" w:eastAsia="Calibri" w:hAnsiTheme="minorHAnsi" w:cstheme="minorHAnsi"/>
              </w:rPr>
            </w:pPr>
            <w:r w:rsidRPr="005F120D">
              <w:rPr>
                <w:rFonts w:asciiTheme="minorHAnsi" w:eastAsia="Calibri" w:hAnsiTheme="minorHAnsi" w:cstheme="minorHAnsi"/>
              </w:rPr>
              <w:t>Upazila levels</w:t>
            </w:r>
          </w:p>
        </w:tc>
        <w:tc>
          <w:tcPr>
            <w:tcW w:w="1072"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5</w:t>
            </w:r>
          </w:p>
        </w:tc>
        <w:tc>
          <w:tcPr>
            <w:tcW w:w="1036"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7</w:t>
            </w:r>
          </w:p>
        </w:tc>
        <w:tc>
          <w:tcPr>
            <w:tcW w:w="785"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12</w:t>
            </w:r>
          </w:p>
        </w:tc>
        <w:tc>
          <w:tcPr>
            <w:tcW w:w="996"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4 GOs</w:t>
            </w:r>
          </w:p>
        </w:tc>
      </w:tr>
      <w:tr w:rsidR="00D978CB" w:rsidRPr="005F120D" w:rsidTr="0082206C">
        <w:tc>
          <w:tcPr>
            <w:tcW w:w="1111" w:type="pct"/>
            <w:shd w:val="clear" w:color="auto" w:fill="auto"/>
            <w:vAlign w:val="center"/>
          </w:tcPr>
          <w:p w:rsidR="00D978CB" w:rsidRPr="005F120D" w:rsidRDefault="00D978CB" w:rsidP="00A03624">
            <w:pPr>
              <w:pStyle w:val="NoSpacing"/>
              <w:jc w:val="both"/>
              <w:rPr>
                <w:rFonts w:asciiTheme="minorHAnsi" w:eastAsia="Calibri" w:hAnsiTheme="minorHAnsi" w:cstheme="minorHAnsi"/>
              </w:rPr>
            </w:pPr>
            <w:r w:rsidRPr="005F120D">
              <w:rPr>
                <w:rFonts w:asciiTheme="minorHAnsi" w:eastAsia="Calibri" w:hAnsiTheme="minorHAnsi" w:cstheme="minorHAnsi"/>
              </w:rPr>
              <w:t>School levels</w:t>
            </w:r>
          </w:p>
        </w:tc>
        <w:tc>
          <w:tcPr>
            <w:tcW w:w="1072"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1</w:t>
            </w:r>
          </w:p>
        </w:tc>
        <w:tc>
          <w:tcPr>
            <w:tcW w:w="1036"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0</w:t>
            </w:r>
          </w:p>
        </w:tc>
        <w:tc>
          <w:tcPr>
            <w:tcW w:w="785"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1</w:t>
            </w:r>
          </w:p>
        </w:tc>
        <w:tc>
          <w:tcPr>
            <w:tcW w:w="996" w:type="pct"/>
            <w:shd w:val="clear" w:color="auto" w:fill="auto"/>
            <w:vAlign w:val="center"/>
          </w:tcPr>
          <w:p w:rsidR="00D978CB" w:rsidRPr="005F120D" w:rsidRDefault="00D978CB" w:rsidP="00A03624">
            <w:pPr>
              <w:pStyle w:val="NoSpacing"/>
              <w:jc w:val="center"/>
              <w:rPr>
                <w:rFonts w:asciiTheme="minorHAnsi" w:eastAsia="Calibri" w:hAnsiTheme="minorHAnsi" w:cstheme="minorHAnsi"/>
              </w:rPr>
            </w:pPr>
            <w:r w:rsidRPr="005F120D">
              <w:rPr>
                <w:rFonts w:asciiTheme="minorHAnsi" w:eastAsia="Calibri" w:hAnsiTheme="minorHAnsi" w:cstheme="minorHAnsi"/>
              </w:rPr>
              <w:t>1 GO</w:t>
            </w:r>
          </w:p>
        </w:tc>
      </w:tr>
    </w:tbl>
    <w:p w:rsidR="00D42A30" w:rsidRPr="005F120D" w:rsidRDefault="00D978CB" w:rsidP="00C437AA">
      <w:pPr>
        <w:spacing w:line="276" w:lineRule="auto"/>
        <w:jc w:val="both"/>
        <w:rPr>
          <w:rFonts w:asciiTheme="minorHAnsi" w:hAnsiTheme="minorHAnsi" w:cstheme="minorHAnsi"/>
          <w:b/>
          <w:i/>
          <w:sz w:val="16"/>
          <w:szCs w:val="16"/>
        </w:rPr>
      </w:pPr>
      <w:r w:rsidRPr="005F120D">
        <w:rPr>
          <w:rFonts w:asciiTheme="minorHAnsi" w:hAnsiTheme="minorHAnsi" w:cstheme="minorHAnsi"/>
          <w:b/>
          <w:i/>
          <w:sz w:val="16"/>
          <w:szCs w:val="16"/>
        </w:rPr>
        <w:t>Source: Administrative Division, DPE/MoPME</w:t>
      </w:r>
    </w:p>
    <w:p w:rsidR="00D978CB" w:rsidRPr="005F120D" w:rsidRDefault="00D978CB" w:rsidP="00C437AA">
      <w:pPr>
        <w:spacing w:line="276" w:lineRule="auto"/>
        <w:jc w:val="both"/>
        <w:rPr>
          <w:rFonts w:asciiTheme="minorHAnsi" w:hAnsiTheme="minorHAnsi" w:cstheme="minorHAnsi"/>
          <w:b/>
          <w:color w:val="008000"/>
        </w:rPr>
      </w:pPr>
      <w:r w:rsidRPr="005F120D">
        <w:rPr>
          <w:rFonts w:asciiTheme="minorHAnsi" w:hAnsiTheme="minorHAnsi" w:cstheme="minorHAnsi"/>
          <w:b/>
          <w:color w:val="008000"/>
        </w:rPr>
        <w:t>Delegated administrative functions at the Upazila level include:</w:t>
      </w:r>
    </w:p>
    <w:p w:rsidR="00F5262A" w:rsidRPr="005F120D" w:rsidRDefault="00D12464"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t>Settlement of</w:t>
      </w:r>
      <w:r w:rsidR="00F5262A" w:rsidRPr="005F120D">
        <w:rPr>
          <w:rFonts w:asciiTheme="minorHAnsi" w:hAnsiTheme="minorHAnsi" w:cstheme="minorHAnsi"/>
        </w:rPr>
        <w:t xml:space="preserve"> cases related to fraud, negligence etc. (ceiling taka 2,500)</w:t>
      </w:r>
      <w:r w:rsidRPr="005F120D">
        <w:rPr>
          <w:rFonts w:asciiTheme="minorHAnsi" w:hAnsiTheme="minorHAnsi" w:cstheme="minorHAnsi"/>
        </w:rPr>
        <w:t>;</w:t>
      </w:r>
    </w:p>
    <w:p w:rsidR="00F5262A" w:rsidRPr="005F120D" w:rsidRDefault="00F5262A"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t>Settlement of the Provident Fund of deceased government officials</w:t>
      </w:r>
      <w:r w:rsidR="00D12464" w:rsidRPr="005F120D">
        <w:rPr>
          <w:rFonts w:asciiTheme="minorHAnsi" w:hAnsiTheme="minorHAnsi" w:cstheme="minorHAnsi"/>
        </w:rPr>
        <w:t>;</w:t>
      </w:r>
    </w:p>
    <w:p w:rsidR="00F5262A" w:rsidRPr="005F120D" w:rsidRDefault="00F5262A"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t>Approval of travel allowances for suspended employees</w:t>
      </w:r>
      <w:r w:rsidR="00D12464" w:rsidRPr="005F120D">
        <w:rPr>
          <w:rFonts w:asciiTheme="minorHAnsi" w:hAnsiTheme="minorHAnsi" w:cstheme="minorHAnsi"/>
        </w:rPr>
        <w:t>;</w:t>
      </w:r>
    </w:p>
    <w:p w:rsidR="00F5262A" w:rsidRPr="005F120D" w:rsidRDefault="00F5262A"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lastRenderedPageBreak/>
        <w:t>Fitness certificate</w:t>
      </w:r>
      <w:r w:rsidR="00D12464" w:rsidRPr="005F120D">
        <w:rPr>
          <w:rFonts w:asciiTheme="minorHAnsi" w:hAnsiTheme="minorHAnsi" w:cstheme="minorHAnsi"/>
        </w:rPr>
        <w:t>;</w:t>
      </w:r>
    </w:p>
    <w:p w:rsidR="00F5262A" w:rsidRPr="005F120D" w:rsidRDefault="00F5262A"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t>Appointment of serv</w:t>
      </w:r>
      <w:r w:rsidR="00D12464" w:rsidRPr="005F120D">
        <w:rPr>
          <w:rFonts w:asciiTheme="minorHAnsi" w:hAnsiTheme="minorHAnsi" w:cstheme="minorHAnsi"/>
        </w:rPr>
        <w:t>ice staff and night guides.</w:t>
      </w:r>
    </w:p>
    <w:p w:rsidR="00F5262A" w:rsidRPr="005F120D" w:rsidRDefault="00F5262A" w:rsidP="00C437AA">
      <w:pPr>
        <w:spacing w:after="0" w:line="276" w:lineRule="auto"/>
        <w:jc w:val="both"/>
        <w:rPr>
          <w:rFonts w:asciiTheme="minorHAnsi" w:hAnsiTheme="minorHAnsi" w:cstheme="minorHAnsi"/>
          <w:color w:val="FF0000"/>
          <w:sz w:val="12"/>
        </w:rPr>
      </w:pPr>
    </w:p>
    <w:p w:rsidR="00F5262A" w:rsidRPr="005F120D" w:rsidRDefault="00F5262A" w:rsidP="00C437AA">
      <w:pPr>
        <w:spacing w:line="276" w:lineRule="auto"/>
        <w:jc w:val="both"/>
        <w:rPr>
          <w:rFonts w:asciiTheme="minorHAnsi" w:hAnsiTheme="minorHAnsi" w:cstheme="minorHAnsi"/>
          <w:b/>
          <w:color w:val="008000"/>
        </w:rPr>
      </w:pPr>
      <w:r w:rsidRPr="005F120D">
        <w:rPr>
          <w:rFonts w:asciiTheme="minorHAnsi" w:hAnsiTheme="minorHAnsi" w:cstheme="minorHAnsi"/>
          <w:b/>
          <w:color w:val="008000"/>
        </w:rPr>
        <w:t>Delegate</w:t>
      </w:r>
      <w:r w:rsidR="00D12464" w:rsidRPr="005F120D">
        <w:rPr>
          <w:rFonts w:asciiTheme="minorHAnsi" w:hAnsiTheme="minorHAnsi" w:cstheme="minorHAnsi"/>
          <w:b/>
          <w:color w:val="008000"/>
        </w:rPr>
        <w:t>d</w:t>
      </w:r>
      <w:r w:rsidRPr="005F120D">
        <w:rPr>
          <w:rFonts w:asciiTheme="minorHAnsi" w:hAnsiTheme="minorHAnsi" w:cstheme="minorHAnsi"/>
          <w:b/>
          <w:color w:val="008000"/>
        </w:rPr>
        <w:t xml:space="preserve"> financial management functions at the Upazila level include:</w:t>
      </w:r>
    </w:p>
    <w:p w:rsidR="00F5262A" w:rsidRPr="005F120D" w:rsidRDefault="00F5262A"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t xml:space="preserve">Approval of civil works in Non-Development Budget (ceiling taka 3 </w:t>
      </w:r>
      <w:r w:rsidR="00F738CE" w:rsidRPr="005F120D">
        <w:rPr>
          <w:rFonts w:asciiTheme="minorHAnsi" w:hAnsiTheme="minorHAnsi" w:cstheme="minorHAnsi"/>
        </w:rPr>
        <w:t>Lac</w:t>
      </w:r>
      <w:r w:rsidRPr="005F120D">
        <w:rPr>
          <w:rFonts w:asciiTheme="minorHAnsi" w:hAnsiTheme="minorHAnsi" w:cstheme="minorHAnsi"/>
        </w:rPr>
        <w:t>)</w:t>
      </w:r>
      <w:r w:rsidR="00D12464" w:rsidRPr="005F120D">
        <w:rPr>
          <w:rFonts w:asciiTheme="minorHAnsi" w:hAnsiTheme="minorHAnsi" w:cstheme="minorHAnsi"/>
        </w:rPr>
        <w:t>;</w:t>
      </w:r>
    </w:p>
    <w:p w:rsidR="00F5262A" w:rsidRPr="005F120D" w:rsidRDefault="00F5262A"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t>Sale of unused materials (ceiling taka 25,000)</w:t>
      </w:r>
      <w:r w:rsidR="00D12464" w:rsidRPr="005F120D">
        <w:rPr>
          <w:rFonts w:asciiTheme="minorHAnsi" w:hAnsiTheme="minorHAnsi" w:cstheme="minorHAnsi"/>
        </w:rPr>
        <w:t>;</w:t>
      </w:r>
    </w:p>
    <w:p w:rsidR="00F5262A" w:rsidRPr="005F120D" w:rsidRDefault="00F5262A"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t>Purchase of office materials and equipment (ceiling taka 100,000)</w:t>
      </w:r>
      <w:r w:rsidR="00D12464" w:rsidRPr="005F120D">
        <w:rPr>
          <w:rFonts w:asciiTheme="minorHAnsi" w:hAnsiTheme="minorHAnsi" w:cstheme="minorHAnsi"/>
        </w:rPr>
        <w:t>;</w:t>
      </w:r>
    </w:p>
    <w:p w:rsidR="00F5262A" w:rsidRPr="005F120D" w:rsidRDefault="00F5262A"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t>Repair, maintenance and rehabilitation of government transport (ceiling taka 10,000)</w:t>
      </w:r>
      <w:r w:rsidR="00D12464" w:rsidRPr="005F120D">
        <w:rPr>
          <w:rFonts w:asciiTheme="minorHAnsi" w:hAnsiTheme="minorHAnsi" w:cstheme="minorHAnsi"/>
        </w:rPr>
        <w:t>;</w:t>
      </w:r>
    </w:p>
    <w:p w:rsidR="00F5262A" w:rsidRPr="005F120D" w:rsidRDefault="00F5262A"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t>Repair of office equipment (ceiling taka 1,500)</w:t>
      </w:r>
      <w:r w:rsidR="007755AE" w:rsidRPr="005F120D">
        <w:rPr>
          <w:rFonts w:asciiTheme="minorHAnsi" w:hAnsiTheme="minorHAnsi" w:cstheme="minorHAnsi"/>
        </w:rPr>
        <w:t>;</w:t>
      </w:r>
    </w:p>
    <w:p w:rsidR="00F5262A" w:rsidRPr="005F120D" w:rsidRDefault="00F5262A" w:rsidP="00C437AA">
      <w:pPr>
        <w:pStyle w:val="ListParagraph"/>
        <w:numPr>
          <w:ilvl w:val="0"/>
          <w:numId w:val="23"/>
        </w:numPr>
        <w:spacing w:after="0" w:line="276" w:lineRule="auto"/>
        <w:jc w:val="both"/>
        <w:rPr>
          <w:rFonts w:asciiTheme="minorHAnsi" w:hAnsiTheme="minorHAnsi" w:cstheme="minorHAnsi"/>
        </w:rPr>
      </w:pPr>
      <w:r w:rsidRPr="005F120D">
        <w:rPr>
          <w:rFonts w:asciiTheme="minorHAnsi" w:hAnsiTheme="minorHAnsi" w:cstheme="minorHAnsi"/>
        </w:rPr>
        <w:t>Lease of government land (ceiling  one year, taka 20,000)</w:t>
      </w:r>
      <w:r w:rsidR="007755AE" w:rsidRPr="005F120D">
        <w:rPr>
          <w:rFonts w:asciiTheme="minorHAnsi" w:hAnsiTheme="minorHAnsi" w:cstheme="minorHAnsi"/>
        </w:rPr>
        <w:t>;</w:t>
      </w:r>
    </w:p>
    <w:p w:rsidR="00F5262A" w:rsidRPr="005F120D" w:rsidRDefault="0010721A" w:rsidP="00C437AA">
      <w:pPr>
        <w:pStyle w:val="ListParagraph"/>
        <w:numPr>
          <w:ilvl w:val="0"/>
          <w:numId w:val="23"/>
        </w:numPr>
        <w:spacing w:line="276" w:lineRule="auto"/>
        <w:jc w:val="both"/>
        <w:rPr>
          <w:rFonts w:asciiTheme="minorHAnsi" w:hAnsiTheme="minorHAnsi" w:cstheme="minorHAnsi"/>
        </w:rPr>
      </w:pPr>
      <w:r w:rsidRPr="005F120D">
        <w:rPr>
          <w:rFonts w:asciiTheme="minorHAnsi" w:hAnsiTheme="minorHAnsi" w:cstheme="minorHAnsi"/>
        </w:rPr>
        <w:t xml:space="preserve">Lease of canteen (ceiling one </w:t>
      </w:r>
      <w:r w:rsidR="00F5262A" w:rsidRPr="005F120D">
        <w:rPr>
          <w:rFonts w:asciiTheme="minorHAnsi" w:hAnsiTheme="minorHAnsi" w:cstheme="minorHAnsi"/>
        </w:rPr>
        <w:t>year, taka 10,000)</w:t>
      </w:r>
      <w:r w:rsidR="007755AE" w:rsidRPr="005F120D">
        <w:rPr>
          <w:rFonts w:asciiTheme="minorHAnsi" w:hAnsiTheme="minorHAnsi" w:cstheme="minorHAnsi"/>
        </w:rPr>
        <w:t>.</w:t>
      </w:r>
    </w:p>
    <w:p w:rsidR="004B4FEE" w:rsidRPr="005F120D" w:rsidRDefault="006F2F1E" w:rsidP="00C437AA">
      <w:pPr>
        <w:spacing w:line="276" w:lineRule="auto"/>
        <w:jc w:val="both"/>
        <w:rPr>
          <w:rFonts w:asciiTheme="minorHAnsi" w:hAnsiTheme="minorHAnsi" w:cstheme="minorHAnsi"/>
        </w:rPr>
      </w:pPr>
      <w:r w:rsidRPr="005F120D">
        <w:rPr>
          <w:rFonts w:asciiTheme="minorHAnsi" w:hAnsiTheme="minorHAnsi" w:cstheme="minorHAnsi"/>
        </w:rPr>
        <w:t>In early 2014, DPE submitted a proposal to MOPME for authority to be given to the Divisional Level to appoint th</w:t>
      </w:r>
      <w:r w:rsidR="00FC4E0B" w:rsidRPr="005F120D">
        <w:rPr>
          <w:rFonts w:asciiTheme="minorHAnsi" w:hAnsiTheme="minorHAnsi" w:cstheme="minorHAnsi"/>
        </w:rPr>
        <w:t>ird class employees (including A</w:t>
      </w:r>
      <w:r w:rsidRPr="005F120D">
        <w:rPr>
          <w:rFonts w:asciiTheme="minorHAnsi" w:hAnsiTheme="minorHAnsi" w:cstheme="minorHAnsi"/>
        </w:rPr>
        <w:t>ssistant teachers), and to the District level for fourth class employees</w:t>
      </w:r>
      <w:r w:rsidR="00FC4E0B" w:rsidRPr="005F120D">
        <w:rPr>
          <w:rFonts w:asciiTheme="minorHAnsi" w:hAnsiTheme="minorHAnsi" w:cstheme="minorHAnsi"/>
        </w:rPr>
        <w:t>,</w:t>
      </w:r>
      <w:r w:rsidR="00D56978">
        <w:rPr>
          <w:rFonts w:asciiTheme="minorHAnsi" w:hAnsiTheme="minorHAnsi" w:cstheme="minorHAnsi"/>
        </w:rPr>
        <w:t xml:space="preserve"> </w:t>
      </w:r>
      <w:r w:rsidR="00A85468" w:rsidRPr="005F120D">
        <w:rPr>
          <w:rFonts w:asciiTheme="minorHAnsi" w:hAnsiTheme="minorHAnsi" w:cstheme="minorHAnsi"/>
        </w:rPr>
        <w:t>Member</w:t>
      </w:r>
      <w:r w:rsidR="00FC4E0B" w:rsidRPr="005F120D">
        <w:rPr>
          <w:rFonts w:asciiTheme="minorHAnsi" w:hAnsiTheme="minorHAnsi" w:cstheme="minorHAnsi"/>
        </w:rPr>
        <w:t>s</w:t>
      </w:r>
      <w:r w:rsidR="00A85468" w:rsidRPr="005F120D">
        <w:rPr>
          <w:rFonts w:asciiTheme="minorHAnsi" w:hAnsiTheme="minorHAnsi" w:cstheme="minorHAnsi"/>
        </w:rPr>
        <w:t xml:space="preserve"> of Lower Subordinate Services </w:t>
      </w:r>
      <w:r w:rsidRPr="005F120D">
        <w:rPr>
          <w:rFonts w:asciiTheme="minorHAnsi" w:hAnsiTheme="minorHAnsi" w:cstheme="minorHAnsi"/>
        </w:rPr>
        <w:t>(MLSS). These responsibilities relate to the utilization of the non-development budget.  For the development budget, functional decentralization is determined on a project by project basis, and lasts only for the length of the project.  It is therefore very difficult to systematically track all the delegated functions in the development budgets, due to wide range of activities and implementation modalities</w:t>
      </w:r>
      <w:r w:rsidR="00D978CB" w:rsidRPr="005F120D">
        <w:rPr>
          <w:rFonts w:asciiTheme="minorHAnsi" w:hAnsiTheme="minorHAnsi" w:cstheme="minorHAnsi"/>
        </w:rPr>
        <w:t>.</w:t>
      </w:r>
    </w:p>
    <w:p w:rsidR="004B4FEE" w:rsidRPr="005F120D" w:rsidRDefault="004B4FEE" w:rsidP="00C437AA">
      <w:pPr>
        <w:pStyle w:val="Heading4"/>
        <w:spacing w:after="120" w:line="276" w:lineRule="auto"/>
        <w:rPr>
          <w:rFonts w:asciiTheme="minorHAnsi" w:hAnsiTheme="minorHAnsi" w:cstheme="minorHAnsi"/>
          <w:b/>
          <w:color w:val="008000"/>
        </w:rPr>
      </w:pPr>
      <w:r w:rsidRPr="005F120D">
        <w:rPr>
          <w:rFonts w:asciiTheme="minorHAnsi" w:hAnsiTheme="minorHAnsi" w:cstheme="minorHAnsi"/>
          <w:b/>
          <w:color w:val="008000"/>
        </w:rPr>
        <w:t>AOP Budget Allocation</w:t>
      </w:r>
    </w:p>
    <w:p w:rsidR="00715E68" w:rsidRPr="005F120D" w:rsidRDefault="00715E68" w:rsidP="00C437AA">
      <w:pPr>
        <w:pStyle w:val="BodyText1"/>
        <w:jc w:val="both"/>
        <w:rPr>
          <w:rFonts w:asciiTheme="minorHAnsi" w:hAnsiTheme="minorHAnsi" w:cstheme="minorHAnsi"/>
          <w:b w:val="0"/>
        </w:rPr>
      </w:pPr>
      <w:r w:rsidRPr="005F120D">
        <w:rPr>
          <w:rFonts w:asciiTheme="minorHAnsi" w:hAnsiTheme="minorHAnsi" w:cstheme="minorHAnsi"/>
          <w:b w:val="0"/>
        </w:rPr>
        <w:t>In the context of the overall primary education budget, the allocation to PEDP3 components in 2015/16 was relatively small.  In the medium term, it is expected that this program will domina</w:t>
      </w:r>
      <w:r w:rsidR="00FC4E0B" w:rsidRPr="005F120D">
        <w:rPr>
          <w:rFonts w:asciiTheme="minorHAnsi" w:hAnsiTheme="minorHAnsi" w:cstheme="minorHAnsi"/>
          <w:b w:val="0"/>
        </w:rPr>
        <w:t>te the development budget; therefore</w:t>
      </w:r>
      <w:r w:rsidRPr="005F120D">
        <w:rPr>
          <w:rFonts w:asciiTheme="minorHAnsi" w:hAnsiTheme="minorHAnsi" w:cstheme="minorHAnsi"/>
          <w:b w:val="0"/>
        </w:rPr>
        <w:t xml:space="preserve"> it merits a more detailed analysis. Table 3.25 presents the total planned costs of PEDP3 (DPP and RDPP) and a comparison of the intended costs in the fifth year 2015/16 (original). The estimated DPP cost of the five-year program was BDT 22,196 crore (yearly around TK. 4,439</w:t>
      </w:r>
      <w:r w:rsidR="00B317D4" w:rsidRPr="005F120D">
        <w:rPr>
          <w:rFonts w:asciiTheme="minorHAnsi" w:hAnsiTheme="minorHAnsi" w:cstheme="minorHAnsi"/>
          <w:b w:val="0"/>
        </w:rPr>
        <w:t xml:space="preserve"> crore</w:t>
      </w:r>
      <w:r w:rsidRPr="005F120D">
        <w:rPr>
          <w:rFonts w:asciiTheme="minorHAnsi" w:hAnsiTheme="minorHAnsi" w:cstheme="minorHAnsi"/>
          <w:b w:val="0"/>
        </w:rPr>
        <w:t>). The revised RDPP cost of the six-year program is BDT 18,316 crore or an average of BDT 3,05</w:t>
      </w:r>
      <w:r w:rsidR="002E1B85" w:rsidRPr="005F120D">
        <w:rPr>
          <w:rFonts w:asciiTheme="minorHAnsi" w:hAnsiTheme="minorHAnsi" w:cstheme="minorHAnsi"/>
          <w:b w:val="0"/>
        </w:rPr>
        <w:t>3 crore per annum</w:t>
      </w:r>
      <w:r w:rsidRPr="005F120D">
        <w:rPr>
          <w:rFonts w:asciiTheme="minorHAnsi" w:hAnsiTheme="minorHAnsi" w:cstheme="minorHAnsi"/>
          <w:b w:val="0"/>
        </w:rPr>
        <w:t>.</w:t>
      </w:r>
    </w:p>
    <w:p w:rsidR="00715E68" w:rsidRPr="005F120D" w:rsidRDefault="00715E68" w:rsidP="00C437AA">
      <w:pPr>
        <w:pStyle w:val="BodyText1"/>
        <w:jc w:val="both"/>
        <w:rPr>
          <w:rFonts w:asciiTheme="minorHAnsi" w:hAnsiTheme="minorHAnsi" w:cstheme="minorHAnsi"/>
          <w:b w:val="0"/>
        </w:rPr>
      </w:pPr>
      <w:r w:rsidRPr="005F120D">
        <w:rPr>
          <w:rFonts w:asciiTheme="minorHAnsi" w:hAnsiTheme="minorHAnsi" w:cstheme="minorHAnsi"/>
          <w:b w:val="0"/>
        </w:rPr>
        <w:t>In the revised DPP,</w:t>
      </w:r>
      <w:r w:rsidR="00FC4E0B" w:rsidRPr="005F120D">
        <w:rPr>
          <w:rFonts w:asciiTheme="minorHAnsi" w:hAnsiTheme="minorHAnsi" w:cstheme="minorHAnsi"/>
          <w:b w:val="0"/>
        </w:rPr>
        <w:t xml:space="preserve"> the first two results areas – Learning and Teaching, and Participation and D</w:t>
      </w:r>
      <w:r w:rsidRPr="005F120D">
        <w:rPr>
          <w:rFonts w:asciiTheme="minorHAnsi" w:hAnsiTheme="minorHAnsi" w:cstheme="minorHAnsi"/>
          <w:b w:val="0"/>
        </w:rPr>
        <w:t xml:space="preserve">isparities – together account for 85% of the total planned costs. Participation and Disparities attract the largest share, at </w:t>
      </w:r>
      <w:r w:rsidR="00FC4E0B" w:rsidRPr="005F120D">
        <w:rPr>
          <w:rFonts w:asciiTheme="minorHAnsi" w:hAnsiTheme="minorHAnsi" w:cstheme="minorHAnsi"/>
          <w:b w:val="0"/>
        </w:rPr>
        <w:t>almost 71%, partly because Result 2</w:t>
      </w:r>
      <w:r w:rsidRPr="005F120D">
        <w:rPr>
          <w:rFonts w:asciiTheme="minorHAnsi" w:hAnsiTheme="minorHAnsi" w:cstheme="minorHAnsi"/>
          <w:b w:val="0"/>
        </w:rPr>
        <w:t xml:space="preserve"> contains a large needs-based civil works and school environment program. The Learning and Teaching component attracts 14.1% and Decentralisation &amp; Effectiveness attracts 11.8%. The lowest share is the Planning and Management components at only 1.8%.</w:t>
      </w:r>
    </w:p>
    <w:p w:rsidR="00422D52" w:rsidRPr="005F120D" w:rsidRDefault="00715E68" w:rsidP="00C437AA">
      <w:pPr>
        <w:pStyle w:val="BodyText1"/>
        <w:jc w:val="both"/>
        <w:rPr>
          <w:rFonts w:asciiTheme="minorHAnsi" w:hAnsiTheme="minorHAnsi" w:cstheme="minorHAnsi"/>
          <w:b w:val="0"/>
        </w:rPr>
      </w:pPr>
      <w:r w:rsidRPr="005F120D">
        <w:rPr>
          <w:rFonts w:asciiTheme="minorHAnsi" w:hAnsiTheme="minorHAnsi" w:cstheme="minorHAnsi"/>
          <w:b w:val="0"/>
        </w:rPr>
        <w:t xml:space="preserve">The PEDP3 RDPP allocation for civil works has increased by about TK. 2,402 crore compared to the DPP allocation of 6,136 crore. The overall increase in </w:t>
      </w:r>
      <w:r w:rsidR="00FC4E0B" w:rsidRPr="005F120D">
        <w:rPr>
          <w:rFonts w:asciiTheme="minorHAnsi" w:hAnsiTheme="minorHAnsi" w:cstheme="minorHAnsi"/>
          <w:b w:val="0"/>
        </w:rPr>
        <w:t>the allocation of civil works was</w:t>
      </w:r>
      <w:r w:rsidRPr="005F120D">
        <w:rPr>
          <w:rFonts w:asciiTheme="minorHAnsi" w:hAnsiTheme="minorHAnsi" w:cstheme="minorHAnsi"/>
          <w:b w:val="0"/>
        </w:rPr>
        <w:t xml:space="preserve"> 39.2%. In the original AOP of 2015-16, there was also an allocation increase of 31.4% comp</w:t>
      </w:r>
      <w:r w:rsidR="00FC4E0B" w:rsidRPr="005F120D">
        <w:rPr>
          <w:rFonts w:asciiTheme="minorHAnsi" w:hAnsiTheme="minorHAnsi" w:cstheme="minorHAnsi"/>
          <w:b w:val="0"/>
        </w:rPr>
        <w:t>ared to the revised AOP 2014-15.</w:t>
      </w:r>
      <w:r w:rsidRPr="005F120D">
        <w:rPr>
          <w:rFonts w:asciiTheme="minorHAnsi" w:hAnsiTheme="minorHAnsi" w:cstheme="minorHAnsi"/>
          <w:b w:val="0"/>
        </w:rPr>
        <w:t xml:space="preserve"> The original AOP2015/16</w:t>
      </w:r>
      <w:r w:rsidR="00C30703" w:rsidRPr="005F120D">
        <w:rPr>
          <w:rFonts w:asciiTheme="minorHAnsi" w:hAnsiTheme="minorHAnsi" w:cstheme="minorHAnsi"/>
          <w:b w:val="0"/>
        </w:rPr>
        <w:t xml:space="preserve"> is presented in the following T</w:t>
      </w:r>
      <w:r w:rsidRPr="005F120D">
        <w:rPr>
          <w:rFonts w:asciiTheme="minorHAnsi" w:hAnsiTheme="minorHAnsi" w:cstheme="minorHAnsi"/>
          <w:b w:val="0"/>
        </w:rPr>
        <w:t>able</w:t>
      </w:r>
      <w:r w:rsidR="005F5578" w:rsidRPr="005F120D">
        <w:rPr>
          <w:rFonts w:asciiTheme="minorHAnsi" w:hAnsiTheme="minorHAnsi" w:cstheme="minorHAnsi"/>
          <w:b w:val="0"/>
        </w:rPr>
        <w:t xml:space="preserve"> 3.23</w:t>
      </w:r>
      <w:r w:rsidR="005A28E1" w:rsidRPr="005F120D">
        <w:rPr>
          <w:rFonts w:asciiTheme="minorHAnsi" w:hAnsiTheme="minorHAnsi" w:cstheme="minorHAnsi"/>
          <w:b w:val="0"/>
        </w:rPr>
        <w:t xml:space="preserve">. </w:t>
      </w:r>
    </w:p>
    <w:p w:rsidR="005F5578" w:rsidRPr="005F120D" w:rsidRDefault="005F5578" w:rsidP="00C437AA">
      <w:pPr>
        <w:pStyle w:val="BodyText1"/>
        <w:jc w:val="both"/>
        <w:rPr>
          <w:rFonts w:asciiTheme="minorHAnsi" w:hAnsiTheme="minorHAnsi" w:cstheme="minorHAnsi"/>
          <w:b w:val="0"/>
        </w:rPr>
      </w:pPr>
    </w:p>
    <w:p w:rsidR="005F5578" w:rsidRPr="005F120D" w:rsidRDefault="005F5578" w:rsidP="00C437AA">
      <w:pPr>
        <w:pStyle w:val="BodyText1"/>
        <w:jc w:val="both"/>
        <w:rPr>
          <w:rFonts w:asciiTheme="minorHAnsi" w:hAnsiTheme="minorHAnsi" w:cstheme="minorHAnsi"/>
          <w:b w:val="0"/>
        </w:rPr>
      </w:pPr>
    </w:p>
    <w:p w:rsidR="00D200E0" w:rsidRPr="005F120D" w:rsidRDefault="007E288E" w:rsidP="00C437AA">
      <w:pPr>
        <w:pStyle w:val="Caption"/>
        <w:spacing w:line="276" w:lineRule="auto"/>
        <w:rPr>
          <w:rFonts w:cstheme="minorHAnsi"/>
        </w:rPr>
      </w:pPr>
      <w:bookmarkStart w:id="369" w:name="_Toc338839619"/>
      <w:bookmarkStart w:id="370" w:name="_Toc462837280"/>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23</w:t>
      </w:r>
      <w:r w:rsidR="002E2ED5" w:rsidRPr="005F120D">
        <w:rPr>
          <w:rFonts w:cstheme="minorHAnsi"/>
        </w:rPr>
        <w:fldChar w:fldCharType="end"/>
      </w:r>
      <w:r w:rsidR="006A7739" w:rsidRPr="005F120D">
        <w:rPr>
          <w:rFonts w:cstheme="minorHAnsi"/>
        </w:rPr>
        <w:t>:</w:t>
      </w:r>
      <w:r w:rsidR="00362E85">
        <w:rPr>
          <w:rFonts w:cstheme="minorHAnsi"/>
        </w:rPr>
        <w:t xml:space="preserve"> </w:t>
      </w:r>
      <w:r w:rsidR="00FC4E0B" w:rsidRPr="005F120D">
        <w:rPr>
          <w:rFonts w:cstheme="minorHAnsi"/>
          <w:szCs w:val="22"/>
        </w:rPr>
        <w:t>PEDP3 Component E</w:t>
      </w:r>
      <w:r w:rsidR="00D200E0" w:rsidRPr="005F120D">
        <w:rPr>
          <w:rFonts w:cstheme="minorHAnsi"/>
          <w:szCs w:val="22"/>
        </w:rPr>
        <w:t>stimat</w:t>
      </w:r>
      <w:r w:rsidR="00D47897" w:rsidRPr="005F120D">
        <w:rPr>
          <w:rFonts w:cstheme="minorHAnsi"/>
          <w:szCs w:val="22"/>
        </w:rPr>
        <w:t xml:space="preserve">ed </w:t>
      </w:r>
      <w:r w:rsidR="00FC4E0B" w:rsidRPr="005F120D">
        <w:rPr>
          <w:rFonts w:cstheme="minorHAnsi"/>
          <w:szCs w:val="22"/>
        </w:rPr>
        <w:t>C</w:t>
      </w:r>
      <w:r w:rsidR="00D47897" w:rsidRPr="005F120D">
        <w:rPr>
          <w:rFonts w:cstheme="minorHAnsi"/>
          <w:szCs w:val="22"/>
        </w:rPr>
        <w:t xml:space="preserve">osts and </w:t>
      </w:r>
      <w:r w:rsidR="00FC4E0B" w:rsidRPr="005F120D">
        <w:rPr>
          <w:rFonts w:cstheme="minorHAnsi"/>
          <w:szCs w:val="22"/>
        </w:rPr>
        <w:t>O</w:t>
      </w:r>
      <w:r w:rsidR="001E1BD6" w:rsidRPr="005F120D">
        <w:rPr>
          <w:rFonts w:cstheme="minorHAnsi"/>
          <w:szCs w:val="22"/>
        </w:rPr>
        <w:t>riginal</w:t>
      </w:r>
      <w:r w:rsidR="00FC4E0B" w:rsidRPr="005F120D">
        <w:rPr>
          <w:rFonts w:cstheme="minorHAnsi"/>
          <w:szCs w:val="22"/>
        </w:rPr>
        <w:t xml:space="preserve"> B</w:t>
      </w:r>
      <w:r w:rsidR="00971A27" w:rsidRPr="005F120D">
        <w:rPr>
          <w:rFonts w:cstheme="minorHAnsi"/>
          <w:szCs w:val="22"/>
        </w:rPr>
        <w:t>udget 2015/16</w:t>
      </w:r>
      <w:r w:rsidR="00D200E0" w:rsidRPr="005F120D">
        <w:rPr>
          <w:rFonts w:cstheme="minorHAnsi"/>
          <w:szCs w:val="22"/>
        </w:rPr>
        <w:t xml:space="preserve"> in </w:t>
      </w:r>
      <w:r w:rsidR="00F738CE" w:rsidRPr="005F120D">
        <w:rPr>
          <w:rFonts w:cstheme="minorHAnsi"/>
          <w:szCs w:val="22"/>
        </w:rPr>
        <w:t>Lac</w:t>
      </w:r>
      <w:r w:rsidR="00D200E0" w:rsidRPr="005F120D">
        <w:rPr>
          <w:rFonts w:cstheme="minorHAnsi"/>
          <w:szCs w:val="22"/>
        </w:rPr>
        <w:t xml:space="preserve"> Taka</w:t>
      </w:r>
      <w:bookmarkEnd w:id="369"/>
      <w:bookmarkEnd w:id="370"/>
    </w:p>
    <w:tbl>
      <w:tblPr>
        <w:tblStyle w:val="OPMtable"/>
        <w:tblW w:w="5128" w:type="pct"/>
        <w:tblLayout w:type="fixed"/>
        <w:tblLook w:val="04A0"/>
      </w:tblPr>
      <w:tblGrid>
        <w:gridCol w:w="346"/>
        <w:gridCol w:w="12"/>
        <w:gridCol w:w="2452"/>
        <w:gridCol w:w="1350"/>
        <w:gridCol w:w="429"/>
        <w:gridCol w:w="1066"/>
        <w:gridCol w:w="853"/>
        <w:gridCol w:w="252"/>
        <w:gridCol w:w="1009"/>
        <w:gridCol w:w="865"/>
        <w:gridCol w:w="237"/>
        <w:gridCol w:w="611"/>
      </w:tblGrid>
      <w:tr w:rsidR="00EA356A" w:rsidRPr="005F120D" w:rsidTr="00EA356A">
        <w:trPr>
          <w:cnfStyle w:val="100000000000"/>
          <w:trHeight w:val="780"/>
        </w:trPr>
        <w:tc>
          <w:tcPr>
            <w:cnfStyle w:val="001000000000"/>
            <w:tcW w:w="1481" w:type="pct"/>
            <w:gridSpan w:val="3"/>
            <w:tcBorders>
              <w:top w:val="double" w:sz="4" w:space="0" w:color="948A54" w:themeColor="background2" w:themeShade="80"/>
              <w:bottom w:val="double" w:sz="4" w:space="0" w:color="948A54" w:themeColor="background2" w:themeShade="80"/>
            </w:tcBorders>
            <w:noWrap/>
            <w:hideMark/>
          </w:tcPr>
          <w:p w:rsidR="00666507" w:rsidRPr="005F120D" w:rsidRDefault="00666507" w:rsidP="00C437AA">
            <w:pPr>
              <w:pStyle w:val="Tabletext"/>
              <w:spacing w:line="276" w:lineRule="auto"/>
              <w:rPr>
                <w:rFonts w:asciiTheme="minorHAnsi" w:hAnsiTheme="minorHAnsi" w:cstheme="minorHAnsi"/>
                <w:sz w:val="18"/>
                <w:szCs w:val="18"/>
              </w:rPr>
            </w:pPr>
            <w:r w:rsidRPr="005F120D">
              <w:rPr>
                <w:rFonts w:asciiTheme="minorHAnsi" w:hAnsiTheme="minorHAnsi" w:cstheme="minorHAnsi"/>
                <w:sz w:val="18"/>
                <w:szCs w:val="18"/>
              </w:rPr>
              <w:t>PEDP3 results area</w:t>
            </w:r>
            <w:r w:rsidR="007C4F4A" w:rsidRPr="005F120D">
              <w:rPr>
                <w:rFonts w:asciiTheme="minorHAnsi" w:hAnsiTheme="minorHAnsi" w:cstheme="minorHAnsi"/>
                <w:sz w:val="18"/>
                <w:szCs w:val="18"/>
              </w:rPr>
              <w:t>s</w:t>
            </w:r>
          </w:p>
        </w:tc>
        <w:tc>
          <w:tcPr>
            <w:tcW w:w="712" w:type="pct"/>
            <w:tcBorders>
              <w:top w:val="double" w:sz="4" w:space="0" w:color="948A54" w:themeColor="background2" w:themeShade="80"/>
              <w:bottom w:val="double" w:sz="4" w:space="0" w:color="948A54" w:themeColor="background2" w:themeShade="80"/>
            </w:tcBorders>
            <w:hideMark/>
          </w:tcPr>
          <w:p w:rsidR="00666507" w:rsidRPr="005F120D" w:rsidRDefault="00666507" w:rsidP="00C437AA">
            <w:pPr>
              <w:pStyle w:val="Tabletext"/>
              <w:spacing w:line="276" w:lineRule="auto"/>
              <w:jc w:val="center"/>
              <w:cnfStyle w:val="100000000000"/>
              <w:rPr>
                <w:rFonts w:asciiTheme="minorHAnsi" w:hAnsiTheme="minorHAnsi" w:cstheme="minorHAnsi"/>
                <w:sz w:val="16"/>
                <w:szCs w:val="16"/>
              </w:rPr>
            </w:pPr>
            <w:r w:rsidRPr="005F120D">
              <w:rPr>
                <w:rFonts w:asciiTheme="minorHAnsi" w:hAnsiTheme="minorHAnsi" w:cstheme="minorHAnsi"/>
                <w:sz w:val="16"/>
                <w:szCs w:val="16"/>
              </w:rPr>
              <w:t>Estimated cost: DPP</w:t>
            </w:r>
          </w:p>
          <w:p w:rsidR="00666507" w:rsidRPr="005F120D" w:rsidRDefault="00666507" w:rsidP="00C437AA">
            <w:pPr>
              <w:pStyle w:val="Tabletext"/>
              <w:spacing w:line="276" w:lineRule="auto"/>
              <w:jc w:val="center"/>
              <w:cnfStyle w:val="100000000000"/>
              <w:rPr>
                <w:rFonts w:asciiTheme="minorHAnsi" w:hAnsiTheme="minorHAnsi" w:cstheme="minorHAnsi"/>
                <w:sz w:val="16"/>
                <w:szCs w:val="16"/>
              </w:rPr>
            </w:pPr>
            <w:r w:rsidRPr="005F120D">
              <w:rPr>
                <w:rFonts w:asciiTheme="minorHAnsi" w:hAnsiTheme="minorHAnsi" w:cstheme="minorHAnsi"/>
                <w:sz w:val="16"/>
                <w:szCs w:val="16"/>
              </w:rPr>
              <w:t>(2011-16)</w:t>
            </w:r>
          </w:p>
        </w:tc>
        <w:tc>
          <w:tcPr>
            <w:tcW w:w="788" w:type="pct"/>
            <w:gridSpan w:val="2"/>
            <w:tcBorders>
              <w:top w:val="double" w:sz="4" w:space="0" w:color="948A54" w:themeColor="background2" w:themeShade="80"/>
              <w:bottom w:val="double" w:sz="4" w:space="0" w:color="948A54" w:themeColor="background2" w:themeShade="80"/>
            </w:tcBorders>
          </w:tcPr>
          <w:p w:rsidR="00666507" w:rsidRPr="005F120D" w:rsidRDefault="00666507" w:rsidP="00C437AA">
            <w:pPr>
              <w:pStyle w:val="Tabletext"/>
              <w:spacing w:line="276" w:lineRule="auto"/>
              <w:jc w:val="center"/>
              <w:cnfStyle w:val="100000000000"/>
              <w:rPr>
                <w:rFonts w:asciiTheme="minorHAnsi" w:hAnsiTheme="minorHAnsi" w:cstheme="minorHAnsi"/>
                <w:sz w:val="16"/>
                <w:szCs w:val="16"/>
              </w:rPr>
            </w:pPr>
            <w:r w:rsidRPr="005F120D">
              <w:rPr>
                <w:rFonts w:asciiTheme="minorHAnsi" w:hAnsiTheme="minorHAnsi" w:cstheme="minorHAnsi"/>
                <w:sz w:val="16"/>
                <w:szCs w:val="16"/>
              </w:rPr>
              <w:t>Estimated cost: RDPP</w:t>
            </w:r>
          </w:p>
          <w:p w:rsidR="00666507" w:rsidRPr="005F120D" w:rsidRDefault="00666507" w:rsidP="00C437AA">
            <w:pPr>
              <w:pStyle w:val="Tabletext"/>
              <w:spacing w:line="276" w:lineRule="auto"/>
              <w:jc w:val="center"/>
              <w:cnfStyle w:val="100000000000"/>
              <w:rPr>
                <w:rFonts w:asciiTheme="minorHAnsi" w:hAnsiTheme="minorHAnsi" w:cstheme="minorHAnsi"/>
                <w:sz w:val="16"/>
                <w:szCs w:val="16"/>
              </w:rPr>
            </w:pPr>
            <w:r w:rsidRPr="005F120D">
              <w:rPr>
                <w:rFonts w:asciiTheme="minorHAnsi" w:hAnsiTheme="minorHAnsi" w:cstheme="minorHAnsi"/>
                <w:sz w:val="16"/>
                <w:szCs w:val="16"/>
              </w:rPr>
              <w:t>(2011-17)</w:t>
            </w:r>
          </w:p>
        </w:tc>
        <w:tc>
          <w:tcPr>
            <w:tcW w:w="450" w:type="pct"/>
            <w:tcBorders>
              <w:top w:val="double" w:sz="4" w:space="0" w:color="948A54" w:themeColor="background2" w:themeShade="80"/>
              <w:bottom w:val="double" w:sz="4" w:space="0" w:color="948A54" w:themeColor="background2" w:themeShade="80"/>
            </w:tcBorders>
            <w:hideMark/>
          </w:tcPr>
          <w:p w:rsidR="00666507" w:rsidRPr="005F120D" w:rsidRDefault="00666507" w:rsidP="00C437AA">
            <w:pPr>
              <w:pStyle w:val="Tabletext"/>
              <w:spacing w:line="276" w:lineRule="auto"/>
              <w:jc w:val="center"/>
              <w:cnfStyle w:val="100000000000"/>
              <w:rPr>
                <w:rFonts w:asciiTheme="minorHAnsi" w:hAnsiTheme="minorHAnsi" w:cstheme="minorHAnsi"/>
                <w:sz w:val="16"/>
                <w:szCs w:val="16"/>
              </w:rPr>
            </w:pPr>
            <w:r w:rsidRPr="005F120D">
              <w:rPr>
                <w:rFonts w:asciiTheme="minorHAnsi" w:hAnsiTheme="minorHAnsi" w:cstheme="minorHAnsi"/>
                <w:sz w:val="16"/>
                <w:szCs w:val="16"/>
              </w:rPr>
              <w:t>Share</w:t>
            </w:r>
          </w:p>
          <w:p w:rsidR="00666507" w:rsidRPr="005F120D" w:rsidRDefault="00666507" w:rsidP="00C437AA">
            <w:pPr>
              <w:pStyle w:val="Tabletext"/>
              <w:spacing w:line="276" w:lineRule="auto"/>
              <w:jc w:val="center"/>
              <w:cnfStyle w:val="100000000000"/>
              <w:rPr>
                <w:rFonts w:asciiTheme="minorHAnsi" w:hAnsiTheme="minorHAnsi" w:cstheme="minorHAnsi"/>
                <w:sz w:val="16"/>
                <w:szCs w:val="16"/>
              </w:rPr>
            </w:pPr>
            <w:r w:rsidRPr="005F120D">
              <w:rPr>
                <w:rFonts w:asciiTheme="minorHAnsi" w:hAnsiTheme="minorHAnsi" w:cstheme="minorHAnsi"/>
                <w:sz w:val="16"/>
                <w:szCs w:val="16"/>
              </w:rPr>
              <w:t>RDPP (%)</w:t>
            </w:r>
          </w:p>
        </w:tc>
        <w:tc>
          <w:tcPr>
            <w:tcW w:w="133" w:type="pct"/>
            <w:tcBorders>
              <w:top w:val="double" w:sz="4" w:space="0" w:color="948A54" w:themeColor="background2" w:themeShade="80"/>
              <w:bottom w:val="double" w:sz="4" w:space="0" w:color="948A54" w:themeColor="background2" w:themeShade="80"/>
              <w:right w:val="single" w:sz="4" w:space="0" w:color="auto"/>
            </w:tcBorders>
            <w:noWrap/>
            <w:hideMark/>
          </w:tcPr>
          <w:p w:rsidR="00666507" w:rsidRPr="005F120D" w:rsidRDefault="00666507" w:rsidP="00C437AA">
            <w:pPr>
              <w:pStyle w:val="Tabletext"/>
              <w:spacing w:line="276" w:lineRule="auto"/>
              <w:jc w:val="left"/>
              <w:cnfStyle w:val="100000000000"/>
              <w:rPr>
                <w:rFonts w:asciiTheme="minorHAnsi" w:hAnsiTheme="minorHAnsi" w:cstheme="minorHAnsi"/>
                <w:color w:val="FF0000"/>
                <w:sz w:val="16"/>
                <w:szCs w:val="16"/>
              </w:rPr>
            </w:pPr>
          </w:p>
        </w:tc>
        <w:tc>
          <w:tcPr>
            <w:tcW w:w="532" w:type="pct"/>
            <w:tcBorders>
              <w:top w:val="double" w:sz="4" w:space="0" w:color="948A54" w:themeColor="background2" w:themeShade="80"/>
              <w:left w:val="single" w:sz="4" w:space="0" w:color="auto"/>
              <w:bottom w:val="double" w:sz="4" w:space="0" w:color="948A54" w:themeColor="background2" w:themeShade="80"/>
            </w:tcBorders>
            <w:hideMark/>
          </w:tcPr>
          <w:p w:rsidR="00666507" w:rsidRPr="005F120D" w:rsidRDefault="00E117BE" w:rsidP="00C437AA">
            <w:pPr>
              <w:pStyle w:val="Tabletext"/>
              <w:spacing w:line="276" w:lineRule="auto"/>
              <w:jc w:val="center"/>
              <w:cnfStyle w:val="100000000000"/>
              <w:rPr>
                <w:rFonts w:asciiTheme="minorHAnsi" w:hAnsiTheme="minorHAnsi" w:cstheme="minorHAnsi"/>
                <w:sz w:val="16"/>
                <w:szCs w:val="16"/>
              </w:rPr>
            </w:pPr>
            <w:r w:rsidRPr="005F120D">
              <w:rPr>
                <w:rFonts w:asciiTheme="minorHAnsi" w:hAnsiTheme="minorHAnsi" w:cstheme="minorHAnsi"/>
                <w:sz w:val="16"/>
                <w:szCs w:val="16"/>
              </w:rPr>
              <w:t>AOP/(O) Allocation 2015-16</w:t>
            </w:r>
          </w:p>
        </w:tc>
        <w:tc>
          <w:tcPr>
            <w:tcW w:w="456" w:type="pct"/>
            <w:tcBorders>
              <w:top w:val="double" w:sz="4" w:space="0" w:color="948A54" w:themeColor="background2" w:themeShade="80"/>
              <w:bottom w:val="double" w:sz="4" w:space="0" w:color="948A54" w:themeColor="background2" w:themeShade="80"/>
            </w:tcBorders>
          </w:tcPr>
          <w:p w:rsidR="00666507" w:rsidRPr="005F120D" w:rsidRDefault="00E117BE" w:rsidP="00C437AA">
            <w:pPr>
              <w:pStyle w:val="Tabletext"/>
              <w:spacing w:line="276" w:lineRule="auto"/>
              <w:jc w:val="center"/>
              <w:cnfStyle w:val="100000000000"/>
              <w:rPr>
                <w:rFonts w:asciiTheme="minorHAnsi" w:hAnsiTheme="minorHAnsi" w:cstheme="minorHAnsi"/>
                <w:sz w:val="16"/>
                <w:szCs w:val="16"/>
              </w:rPr>
            </w:pPr>
            <w:r w:rsidRPr="005F120D">
              <w:rPr>
                <w:rFonts w:asciiTheme="minorHAnsi" w:hAnsiTheme="minorHAnsi" w:cstheme="minorHAnsi"/>
                <w:sz w:val="16"/>
                <w:szCs w:val="16"/>
              </w:rPr>
              <w:t>AOP/(R) Allocation 2015-16</w:t>
            </w:r>
          </w:p>
        </w:tc>
        <w:tc>
          <w:tcPr>
            <w:tcW w:w="125" w:type="pct"/>
            <w:tcBorders>
              <w:top w:val="double" w:sz="4" w:space="0" w:color="948A54" w:themeColor="background2" w:themeShade="80"/>
              <w:bottom w:val="double" w:sz="4" w:space="0" w:color="948A54" w:themeColor="background2" w:themeShade="80"/>
            </w:tcBorders>
          </w:tcPr>
          <w:p w:rsidR="00666507" w:rsidRPr="005F120D" w:rsidRDefault="00666507" w:rsidP="00C437AA">
            <w:pPr>
              <w:pStyle w:val="Tabletext"/>
              <w:spacing w:line="276" w:lineRule="auto"/>
              <w:jc w:val="center"/>
              <w:cnfStyle w:val="100000000000"/>
              <w:rPr>
                <w:rFonts w:asciiTheme="minorHAnsi" w:hAnsiTheme="minorHAnsi" w:cstheme="minorHAnsi"/>
                <w:sz w:val="16"/>
                <w:szCs w:val="16"/>
              </w:rPr>
            </w:pPr>
          </w:p>
        </w:tc>
        <w:tc>
          <w:tcPr>
            <w:tcW w:w="322" w:type="pct"/>
            <w:tcBorders>
              <w:top w:val="double" w:sz="4" w:space="0" w:color="948A54" w:themeColor="background2" w:themeShade="80"/>
              <w:bottom w:val="double" w:sz="4" w:space="0" w:color="948A54" w:themeColor="background2" w:themeShade="80"/>
            </w:tcBorders>
            <w:hideMark/>
          </w:tcPr>
          <w:p w:rsidR="00666507" w:rsidRPr="005F120D" w:rsidRDefault="009D193D" w:rsidP="00C437AA">
            <w:pPr>
              <w:pStyle w:val="Tabletext"/>
              <w:spacing w:line="276" w:lineRule="auto"/>
              <w:jc w:val="center"/>
              <w:cnfStyle w:val="100000000000"/>
              <w:rPr>
                <w:rFonts w:asciiTheme="minorHAnsi" w:hAnsiTheme="minorHAnsi" w:cstheme="minorHAnsi"/>
                <w:sz w:val="16"/>
                <w:szCs w:val="16"/>
              </w:rPr>
            </w:pPr>
            <w:r w:rsidRPr="005F120D">
              <w:rPr>
                <w:rFonts w:asciiTheme="minorHAnsi" w:hAnsiTheme="minorHAnsi" w:cstheme="minorHAnsi"/>
                <w:sz w:val="16"/>
                <w:szCs w:val="16"/>
              </w:rPr>
              <w:t>Share (</w:t>
            </w:r>
            <w:r w:rsidR="002D23AB" w:rsidRPr="005F120D">
              <w:rPr>
                <w:rFonts w:asciiTheme="minorHAnsi" w:hAnsiTheme="minorHAnsi" w:cstheme="minorHAnsi"/>
                <w:sz w:val="16"/>
                <w:szCs w:val="16"/>
              </w:rPr>
              <w:t>RDPP</w:t>
            </w:r>
            <w:r w:rsidR="00100AB5" w:rsidRPr="005F120D">
              <w:rPr>
                <w:rFonts w:asciiTheme="minorHAnsi" w:hAnsiTheme="minorHAnsi" w:cstheme="minorHAnsi"/>
                <w:sz w:val="16"/>
                <w:szCs w:val="16"/>
              </w:rPr>
              <w:t xml:space="preserve"> cost) </w:t>
            </w:r>
            <w:r w:rsidR="00666507" w:rsidRPr="005F120D">
              <w:rPr>
                <w:rFonts w:asciiTheme="minorHAnsi" w:hAnsiTheme="minorHAnsi" w:cstheme="minorHAnsi"/>
                <w:sz w:val="16"/>
                <w:szCs w:val="16"/>
              </w:rPr>
              <w:t>(%)</w:t>
            </w:r>
          </w:p>
        </w:tc>
      </w:tr>
      <w:tr w:rsidR="00EA356A" w:rsidRPr="005F120D" w:rsidTr="00EA356A">
        <w:trPr>
          <w:trHeight w:val="374"/>
        </w:trPr>
        <w:tc>
          <w:tcPr>
            <w:cnfStyle w:val="001000000000"/>
            <w:tcW w:w="182" w:type="pct"/>
            <w:tcBorders>
              <w:top w:val="double" w:sz="4" w:space="0" w:color="948A54" w:themeColor="background2" w:themeShade="80"/>
              <w:bottom w:val="nil"/>
            </w:tcBorders>
            <w:noWrap/>
            <w:hideMark/>
          </w:tcPr>
          <w:p w:rsidR="00666507" w:rsidRPr="005F120D" w:rsidRDefault="00666507" w:rsidP="00C437AA">
            <w:pPr>
              <w:pStyle w:val="Tabletext"/>
              <w:spacing w:line="276" w:lineRule="auto"/>
              <w:jc w:val="both"/>
              <w:rPr>
                <w:rFonts w:asciiTheme="minorHAnsi" w:hAnsiTheme="minorHAnsi" w:cstheme="minorHAnsi"/>
                <w:sz w:val="18"/>
                <w:szCs w:val="18"/>
              </w:rPr>
            </w:pPr>
            <w:r w:rsidRPr="005F120D">
              <w:rPr>
                <w:rFonts w:asciiTheme="minorHAnsi" w:hAnsiTheme="minorHAnsi" w:cstheme="minorHAnsi"/>
                <w:sz w:val="18"/>
                <w:szCs w:val="18"/>
              </w:rPr>
              <w:t>1</w:t>
            </w:r>
          </w:p>
        </w:tc>
        <w:tc>
          <w:tcPr>
            <w:tcW w:w="1299" w:type="pct"/>
            <w:gridSpan w:val="2"/>
            <w:tcBorders>
              <w:top w:val="double" w:sz="4" w:space="0" w:color="948A54" w:themeColor="background2" w:themeShade="80"/>
              <w:bottom w:val="nil"/>
            </w:tcBorders>
            <w:noWrap/>
            <w:hideMark/>
          </w:tcPr>
          <w:p w:rsidR="00666507" w:rsidRPr="005F120D" w:rsidRDefault="007C4F4A" w:rsidP="00C437AA">
            <w:pPr>
              <w:pStyle w:val="Tabletext"/>
              <w:spacing w:line="276" w:lineRule="auto"/>
              <w:jc w:val="left"/>
              <w:cnfStyle w:val="000000000000"/>
              <w:rPr>
                <w:rFonts w:asciiTheme="minorHAnsi" w:hAnsiTheme="minorHAnsi" w:cstheme="minorHAnsi"/>
                <w:sz w:val="18"/>
                <w:szCs w:val="18"/>
              </w:rPr>
            </w:pPr>
            <w:r w:rsidRPr="005F120D">
              <w:rPr>
                <w:rFonts w:asciiTheme="minorHAnsi" w:hAnsiTheme="minorHAnsi" w:cstheme="minorHAnsi"/>
                <w:sz w:val="18"/>
                <w:szCs w:val="18"/>
              </w:rPr>
              <w:t>Learning and T</w:t>
            </w:r>
            <w:r w:rsidR="00666507" w:rsidRPr="005F120D">
              <w:rPr>
                <w:rFonts w:asciiTheme="minorHAnsi" w:hAnsiTheme="minorHAnsi" w:cstheme="minorHAnsi"/>
                <w:sz w:val="18"/>
                <w:szCs w:val="18"/>
              </w:rPr>
              <w:t>eaching</w:t>
            </w:r>
          </w:p>
        </w:tc>
        <w:tc>
          <w:tcPr>
            <w:tcW w:w="712" w:type="pct"/>
            <w:tcBorders>
              <w:top w:val="double" w:sz="4" w:space="0" w:color="948A54" w:themeColor="background2" w:themeShade="80"/>
              <w:bottom w:val="nil"/>
            </w:tcBorders>
            <w:noWrap/>
            <w:hideMark/>
          </w:tcPr>
          <w:p w:rsidR="00666507" w:rsidRPr="005F120D" w:rsidRDefault="007F17C2"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303,575.85</w:t>
            </w:r>
          </w:p>
        </w:tc>
        <w:tc>
          <w:tcPr>
            <w:tcW w:w="788" w:type="pct"/>
            <w:gridSpan w:val="2"/>
            <w:tcBorders>
              <w:top w:val="double" w:sz="4" w:space="0" w:color="948A54" w:themeColor="background2" w:themeShade="80"/>
              <w:bottom w:val="nil"/>
            </w:tcBorders>
          </w:tcPr>
          <w:p w:rsidR="00666507" w:rsidRPr="005F120D" w:rsidRDefault="00666507"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256,740.9</w:t>
            </w:r>
            <w:r w:rsidR="007F17C2" w:rsidRPr="005F120D">
              <w:rPr>
                <w:rFonts w:asciiTheme="minorHAnsi" w:hAnsiTheme="minorHAnsi" w:cstheme="minorHAnsi"/>
                <w:sz w:val="18"/>
                <w:szCs w:val="18"/>
              </w:rPr>
              <w:t>1</w:t>
            </w:r>
          </w:p>
        </w:tc>
        <w:tc>
          <w:tcPr>
            <w:tcW w:w="450" w:type="pct"/>
            <w:tcBorders>
              <w:top w:val="double" w:sz="4" w:space="0" w:color="948A54" w:themeColor="background2" w:themeShade="80"/>
              <w:bottom w:val="nil"/>
            </w:tcBorders>
            <w:noWrap/>
            <w:hideMark/>
          </w:tcPr>
          <w:p w:rsidR="00666507" w:rsidRPr="005F120D" w:rsidRDefault="00666507"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14</w:t>
            </w:r>
            <w:r w:rsidR="007F17C2" w:rsidRPr="005F120D">
              <w:rPr>
                <w:rFonts w:asciiTheme="minorHAnsi" w:hAnsiTheme="minorHAnsi" w:cstheme="minorHAnsi"/>
                <w:sz w:val="18"/>
                <w:szCs w:val="18"/>
              </w:rPr>
              <w:t>.14</w:t>
            </w:r>
          </w:p>
        </w:tc>
        <w:tc>
          <w:tcPr>
            <w:tcW w:w="133" w:type="pct"/>
            <w:tcBorders>
              <w:top w:val="double" w:sz="4" w:space="0" w:color="948A54" w:themeColor="background2" w:themeShade="80"/>
              <w:bottom w:val="nil"/>
              <w:right w:val="single" w:sz="4" w:space="0" w:color="auto"/>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c>
          <w:tcPr>
            <w:tcW w:w="532" w:type="pct"/>
            <w:tcBorders>
              <w:top w:val="double" w:sz="4" w:space="0" w:color="948A54" w:themeColor="background2" w:themeShade="80"/>
              <w:left w:val="single" w:sz="4" w:space="0" w:color="auto"/>
              <w:bottom w:val="nil"/>
            </w:tcBorders>
            <w:noWrap/>
            <w:hideMark/>
          </w:tcPr>
          <w:p w:rsidR="00666507" w:rsidRPr="005F120D" w:rsidRDefault="00500DB6"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48,332.56</w:t>
            </w:r>
          </w:p>
        </w:tc>
        <w:tc>
          <w:tcPr>
            <w:tcW w:w="456" w:type="pct"/>
            <w:tcBorders>
              <w:top w:val="double" w:sz="4" w:space="0" w:color="948A54" w:themeColor="background2" w:themeShade="80"/>
              <w:bottom w:val="nil"/>
            </w:tcBorders>
          </w:tcPr>
          <w:p w:rsidR="00666507" w:rsidRPr="005F120D" w:rsidRDefault="009D193D"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n/a</w:t>
            </w:r>
          </w:p>
        </w:tc>
        <w:tc>
          <w:tcPr>
            <w:tcW w:w="125" w:type="pct"/>
            <w:tcBorders>
              <w:top w:val="double" w:sz="4" w:space="0" w:color="948A54" w:themeColor="background2" w:themeShade="80"/>
              <w:bottom w:val="nil"/>
            </w:tcBorders>
          </w:tcPr>
          <w:p w:rsidR="00666507" w:rsidRPr="005F120D" w:rsidRDefault="00666507" w:rsidP="00C437AA">
            <w:pPr>
              <w:pStyle w:val="Tabletext"/>
              <w:spacing w:line="276" w:lineRule="auto"/>
              <w:jc w:val="center"/>
              <w:cnfStyle w:val="000000000000"/>
              <w:rPr>
                <w:rFonts w:asciiTheme="minorHAnsi" w:hAnsiTheme="minorHAnsi" w:cstheme="minorHAnsi"/>
                <w:sz w:val="18"/>
                <w:szCs w:val="18"/>
              </w:rPr>
            </w:pPr>
          </w:p>
        </w:tc>
        <w:tc>
          <w:tcPr>
            <w:tcW w:w="322" w:type="pct"/>
            <w:tcBorders>
              <w:top w:val="double" w:sz="4" w:space="0" w:color="948A54" w:themeColor="background2" w:themeShade="80"/>
              <w:bottom w:val="nil"/>
            </w:tcBorders>
            <w:noWrap/>
            <w:hideMark/>
          </w:tcPr>
          <w:p w:rsidR="00666507" w:rsidRPr="005F120D" w:rsidRDefault="002D23AB"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18.8</w:t>
            </w:r>
          </w:p>
        </w:tc>
      </w:tr>
      <w:tr w:rsidR="00EA356A" w:rsidRPr="005F120D" w:rsidTr="00EA356A">
        <w:trPr>
          <w:trHeight w:val="374"/>
        </w:trPr>
        <w:tc>
          <w:tcPr>
            <w:cnfStyle w:val="001000000000"/>
            <w:tcW w:w="182" w:type="pct"/>
            <w:tcBorders>
              <w:top w:val="nil"/>
            </w:tcBorders>
            <w:noWrap/>
            <w:hideMark/>
          </w:tcPr>
          <w:p w:rsidR="00666507" w:rsidRPr="005F120D" w:rsidRDefault="00666507" w:rsidP="00C437AA">
            <w:pPr>
              <w:pStyle w:val="Tabletext"/>
              <w:spacing w:line="276" w:lineRule="auto"/>
              <w:jc w:val="both"/>
              <w:rPr>
                <w:rFonts w:asciiTheme="minorHAnsi" w:hAnsiTheme="minorHAnsi" w:cstheme="minorHAnsi"/>
                <w:sz w:val="18"/>
                <w:szCs w:val="18"/>
              </w:rPr>
            </w:pPr>
            <w:r w:rsidRPr="005F120D">
              <w:rPr>
                <w:rFonts w:asciiTheme="minorHAnsi" w:hAnsiTheme="minorHAnsi" w:cstheme="minorHAnsi"/>
                <w:sz w:val="18"/>
                <w:szCs w:val="18"/>
              </w:rPr>
              <w:t>2.</w:t>
            </w:r>
          </w:p>
        </w:tc>
        <w:tc>
          <w:tcPr>
            <w:tcW w:w="1299" w:type="pct"/>
            <w:gridSpan w:val="2"/>
            <w:tcBorders>
              <w:top w:val="nil"/>
            </w:tcBorders>
            <w:noWrap/>
            <w:hideMark/>
          </w:tcPr>
          <w:p w:rsidR="00666507" w:rsidRPr="005F120D" w:rsidRDefault="00666507" w:rsidP="00C437AA">
            <w:pPr>
              <w:pStyle w:val="Tabletext"/>
              <w:spacing w:line="276" w:lineRule="auto"/>
              <w:jc w:val="left"/>
              <w:cnfStyle w:val="000000000000"/>
              <w:rPr>
                <w:rFonts w:asciiTheme="minorHAnsi" w:hAnsiTheme="minorHAnsi" w:cstheme="minorHAnsi"/>
                <w:sz w:val="18"/>
                <w:szCs w:val="18"/>
              </w:rPr>
            </w:pPr>
            <w:r w:rsidRPr="005F120D">
              <w:rPr>
                <w:rFonts w:asciiTheme="minorHAnsi" w:hAnsiTheme="minorHAnsi" w:cstheme="minorHAnsi"/>
                <w:sz w:val="18"/>
                <w:szCs w:val="18"/>
              </w:rPr>
              <w:t>Participation &amp; Disparities</w:t>
            </w:r>
          </w:p>
        </w:tc>
        <w:tc>
          <w:tcPr>
            <w:tcW w:w="712" w:type="pct"/>
            <w:tcBorders>
              <w:top w:val="nil"/>
            </w:tcBorders>
            <w:noWrap/>
            <w:hideMark/>
          </w:tcPr>
          <w:p w:rsidR="00666507" w:rsidRPr="005F120D" w:rsidRDefault="007F17C2"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1,579,976.36</w:t>
            </w:r>
          </w:p>
        </w:tc>
        <w:tc>
          <w:tcPr>
            <w:tcW w:w="788" w:type="pct"/>
            <w:gridSpan w:val="2"/>
            <w:tcBorders>
              <w:top w:val="nil"/>
            </w:tcBorders>
          </w:tcPr>
          <w:p w:rsidR="00666507" w:rsidRPr="005F120D" w:rsidRDefault="00666507"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127,7542.3</w:t>
            </w:r>
            <w:r w:rsidR="007F17C2" w:rsidRPr="005F120D">
              <w:rPr>
                <w:rFonts w:asciiTheme="minorHAnsi" w:hAnsiTheme="minorHAnsi" w:cstheme="minorHAnsi"/>
                <w:sz w:val="18"/>
                <w:szCs w:val="18"/>
              </w:rPr>
              <w:t>4</w:t>
            </w:r>
          </w:p>
        </w:tc>
        <w:tc>
          <w:tcPr>
            <w:tcW w:w="450" w:type="pct"/>
            <w:tcBorders>
              <w:top w:val="nil"/>
            </w:tcBorders>
            <w:noWrap/>
            <w:hideMark/>
          </w:tcPr>
          <w:p w:rsidR="00666507" w:rsidRPr="005F120D" w:rsidRDefault="00666507"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70</w:t>
            </w:r>
            <w:r w:rsidR="007F17C2" w:rsidRPr="005F120D">
              <w:rPr>
                <w:rFonts w:asciiTheme="minorHAnsi" w:hAnsiTheme="minorHAnsi" w:cstheme="minorHAnsi"/>
                <w:sz w:val="18"/>
                <w:szCs w:val="18"/>
              </w:rPr>
              <w:t>.37</w:t>
            </w:r>
          </w:p>
        </w:tc>
        <w:tc>
          <w:tcPr>
            <w:tcW w:w="133" w:type="pct"/>
            <w:tcBorders>
              <w:top w:val="nil"/>
              <w:right w:val="single" w:sz="4" w:space="0" w:color="auto"/>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c>
          <w:tcPr>
            <w:tcW w:w="532" w:type="pct"/>
            <w:tcBorders>
              <w:top w:val="nil"/>
              <w:left w:val="single" w:sz="4" w:space="0" w:color="auto"/>
            </w:tcBorders>
            <w:noWrap/>
            <w:hideMark/>
          </w:tcPr>
          <w:p w:rsidR="00666507" w:rsidRPr="005F120D" w:rsidRDefault="00500DB6"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266,906.38</w:t>
            </w:r>
          </w:p>
        </w:tc>
        <w:tc>
          <w:tcPr>
            <w:tcW w:w="456" w:type="pct"/>
            <w:tcBorders>
              <w:top w:val="nil"/>
            </w:tcBorders>
          </w:tcPr>
          <w:p w:rsidR="00666507" w:rsidRPr="005F120D" w:rsidRDefault="009D193D"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n/a</w:t>
            </w:r>
          </w:p>
        </w:tc>
        <w:tc>
          <w:tcPr>
            <w:tcW w:w="125" w:type="pct"/>
            <w:tcBorders>
              <w:top w:val="nil"/>
            </w:tcBorders>
          </w:tcPr>
          <w:p w:rsidR="00666507" w:rsidRPr="005F120D" w:rsidRDefault="00666507" w:rsidP="00C437AA">
            <w:pPr>
              <w:pStyle w:val="Tabletext"/>
              <w:spacing w:line="276" w:lineRule="auto"/>
              <w:jc w:val="center"/>
              <w:cnfStyle w:val="000000000000"/>
              <w:rPr>
                <w:rFonts w:asciiTheme="minorHAnsi" w:hAnsiTheme="minorHAnsi" w:cstheme="minorHAnsi"/>
                <w:sz w:val="18"/>
                <w:szCs w:val="18"/>
              </w:rPr>
            </w:pPr>
          </w:p>
        </w:tc>
        <w:tc>
          <w:tcPr>
            <w:tcW w:w="322" w:type="pct"/>
            <w:tcBorders>
              <w:top w:val="nil"/>
            </w:tcBorders>
            <w:noWrap/>
            <w:hideMark/>
          </w:tcPr>
          <w:p w:rsidR="00666507" w:rsidRPr="005F120D" w:rsidRDefault="002D23AB"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20.9</w:t>
            </w:r>
          </w:p>
        </w:tc>
      </w:tr>
      <w:tr w:rsidR="00EA356A" w:rsidRPr="005F120D" w:rsidTr="00EA356A">
        <w:trPr>
          <w:trHeight w:val="374"/>
        </w:trPr>
        <w:tc>
          <w:tcPr>
            <w:cnfStyle w:val="001000000000"/>
            <w:tcW w:w="182" w:type="pct"/>
            <w:noWrap/>
            <w:hideMark/>
          </w:tcPr>
          <w:p w:rsidR="00666507" w:rsidRPr="005F120D" w:rsidRDefault="00666507" w:rsidP="00C437AA">
            <w:pPr>
              <w:pStyle w:val="Tabletext"/>
              <w:spacing w:line="276" w:lineRule="auto"/>
              <w:jc w:val="both"/>
              <w:rPr>
                <w:rFonts w:asciiTheme="minorHAnsi" w:hAnsiTheme="minorHAnsi" w:cstheme="minorHAnsi"/>
                <w:sz w:val="18"/>
                <w:szCs w:val="18"/>
              </w:rPr>
            </w:pPr>
            <w:r w:rsidRPr="005F120D">
              <w:rPr>
                <w:rFonts w:asciiTheme="minorHAnsi" w:hAnsiTheme="minorHAnsi" w:cstheme="minorHAnsi"/>
                <w:sz w:val="18"/>
                <w:szCs w:val="18"/>
              </w:rPr>
              <w:t>3.</w:t>
            </w:r>
          </w:p>
        </w:tc>
        <w:tc>
          <w:tcPr>
            <w:tcW w:w="1299" w:type="pct"/>
            <w:gridSpan w:val="2"/>
            <w:noWrap/>
            <w:hideMark/>
          </w:tcPr>
          <w:p w:rsidR="00666507" w:rsidRPr="005F120D" w:rsidRDefault="00666507" w:rsidP="00C437AA">
            <w:pPr>
              <w:pStyle w:val="Tabletext"/>
              <w:spacing w:line="276" w:lineRule="auto"/>
              <w:jc w:val="left"/>
              <w:cnfStyle w:val="000000000000"/>
              <w:rPr>
                <w:rFonts w:asciiTheme="minorHAnsi" w:hAnsiTheme="minorHAnsi" w:cstheme="minorHAnsi"/>
                <w:sz w:val="18"/>
                <w:szCs w:val="18"/>
              </w:rPr>
            </w:pPr>
            <w:r w:rsidRPr="005F120D">
              <w:rPr>
                <w:rFonts w:asciiTheme="minorHAnsi" w:hAnsiTheme="minorHAnsi" w:cstheme="minorHAnsi"/>
                <w:sz w:val="18"/>
                <w:szCs w:val="18"/>
              </w:rPr>
              <w:t>Decentralisation &amp; Effectiveness</w:t>
            </w:r>
          </w:p>
        </w:tc>
        <w:tc>
          <w:tcPr>
            <w:tcW w:w="712" w:type="pct"/>
            <w:noWrap/>
            <w:hideMark/>
          </w:tcPr>
          <w:p w:rsidR="00666507" w:rsidRPr="005F120D" w:rsidRDefault="00666507"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235,796</w:t>
            </w:r>
            <w:r w:rsidR="007F17C2" w:rsidRPr="005F120D">
              <w:rPr>
                <w:rFonts w:asciiTheme="minorHAnsi" w:hAnsiTheme="minorHAnsi" w:cstheme="minorHAnsi"/>
                <w:sz w:val="18"/>
                <w:szCs w:val="18"/>
              </w:rPr>
              <w:t>.06</w:t>
            </w:r>
          </w:p>
        </w:tc>
        <w:tc>
          <w:tcPr>
            <w:tcW w:w="788" w:type="pct"/>
            <w:gridSpan w:val="2"/>
          </w:tcPr>
          <w:p w:rsidR="00666507" w:rsidRPr="005F120D" w:rsidRDefault="007F17C2"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214,923.28</w:t>
            </w:r>
          </w:p>
        </w:tc>
        <w:tc>
          <w:tcPr>
            <w:tcW w:w="450" w:type="pct"/>
            <w:noWrap/>
            <w:hideMark/>
          </w:tcPr>
          <w:p w:rsidR="00666507" w:rsidRPr="005F120D" w:rsidRDefault="007F17C2"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11.84</w:t>
            </w:r>
          </w:p>
        </w:tc>
        <w:tc>
          <w:tcPr>
            <w:tcW w:w="133" w:type="pct"/>
            <w:tcBorders>
              <w:right w:val="single" w:sz="4" w:space="0" w:color="auto"/>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c>
          <w:tcPr>
            <w:tcW w:w="532" w:type="pct"/>
            <w:tcBorders>
              <w:left w:val="single" w:sz="4" w:space="0" w:color="auto"/>
            </w:tcBorders>
            <w:noWrap/>
            <w:hideMark/>
          </w:tcPr>
          <w:p w:rsidR="00666507" w:rsidRPr="005F120D" w:rsidRDefault="00500DB6"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46430.77</w:t>
            </w:r>
          </w:p>
        </w:tc>
        <w:tc>
          <w:tcPr>
            <w:tcW w:w="456" w:type="pct"/>
          </w:tcPr>
          <w:p w:rsidR="00666507" w:rsidRPr="005F120D" w:rsidRDefault="009D193D"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n/a</w:t>
            </w:r>
          </w:p>
        </w:tc>
        <w:tc>
          <w:tcPr>
            <w:tcW w:w="125" w:type="pct"/>
          </w:tcPr>
          <w:p w:rsidR="00666507" w:rsidRPr="005F120D" w:rsidRDefault="00666507" w:rsidP="00C437AA">
            <w:pPr>
              <w:pStyle w:val="Tabletext"/>
              <w:spacing w:line="276" w:lineRule="auto"/>
              <w:jc w:val="center"/>
              <w:cnfStyle w:val="000000000000"/>
              <w:rPr>
                <w:rFonts w:asciiTheme="minorHAnsi" w:hAnsiTheme="minorHAnsi" w:cstheme="minorHAnsi"/>
                <w:sz w:val="18"/>
                <w:szCs w:val="18"/>
              </w:rPr>
            </w:pPr>
          </w:p>
        </w:tc>
        <w:tc>
          <w:tcPr>
            <w:tcW w:w="322" w:type="pct"/>
            <w:noWrap/>
            <w:hideMark/>
          </w:tcPr>
          <w:p w:rsidR="00666507" w:rsidRPr="005F120D" w:rsidRDefault="002D23AB"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21.6</w:t>
            </w:r>
          </w:p>
        </w:tc>
      </w:tr>
      <w:tr w:rsidR="00EA356A" w:rsidRPr="005F120D" w:rsidTr="00EA356A">
        <w:trPr>
          <w:trHeight w:val="374"/>
        </w:trPr>
        <w:tc>
          <w:tcPr>
            <w:cnfStyle w:val="001000000000"/>
            <w:tcW w:w="182" w:type="pct"/>
            <w:noWrap/>
            <w:hideMark/>
          </w:tcPr>
          <w:p w:rsidR="00666507" w:rsidRPr="005F120D" w:rsidRDefault="00666507" w:rsidP="00C437AA">
            <w:pPr>
              <w:pStyle w:val="Tabletext"/>
              <w:spacing w:line="276" w:lineRule="auto"/>
              <w:jc w:val="both"/>
              <w:rPr>
                <w:rFonts w:asciiTheme="minorHAnsi" w:hAnsiTheme="minorHAnsi" w:cstheme="minorHAnsi"/>
                <w:sz w:val="18"/>
                <w:szCs w:val="18"/>
              </w:rPr>
            </w:pPr>
            <w:r w:rsidRPr="005F120D">
              <w:rPr>
                <w:rFonts w:asciiTheme="minorHAnsi" w:hAnsiTheme="minorHAnsi" w:cstheme="minorHAnsi"/>
                <w:sz w:val="18"/>
                <w:szCs w:val="18"/>
              </w:rPr>
              <w:t>4</w:t>
            </w:r>
          </w:p>
        </w:tc>
        <w:tc>
          <w:tcPr>
            <w:tcW w:w="1299" w:type="pct"/>
            <w:gridSpan w:val="2"/>
            <w:noWrap/>
            <w:hideMark/>
          </w:tcPr>
          <w:p w:rsidR="00666507" w:rsidRPr="005F120D" w:rsidRDefault="007C4F4A" w:rsidP="00C437AA">
            <w:pPr>
              <w:pStyle w:val="Tabletext"/>
              <w:spacing w:line="276" w:lineRule="auto"/>
              <w:jc w:val="left"/>
              <w:cnfStyle w:val="000000000000"/>
              <w:rPr>
                <w:rFonts w:asciiTheme="minorHAnsi" w:hAnsiTheme="minorHAnsi" w:cstheme="minorHAnsi"/>
                <w:sz w:val="18"/>
                <w:szCs w:val="18"/>
              </w:rPr>
            </w:pPr>
            <w:r w:rsidRPr="005F120D">
              <w:rPr>
                <w:rFonts w:asciiTheme="minorHAnsi" w:hAnsiTheme="minorHAnsi" w:cstheme="minorHAnsi"/>
                <w:sz w:val="18"/>
                <w:szCs w:val="18"/>
              </w:rPr>
              <w:t>Planning and M</w:t>
            </w:r>
            <w:r w:rsidR="00666507" w:rsidRPr="005F120D">
              <w:rPr>
                <w:rFonts w:asciiTheme="minorHAnsi" w:hAnsiTheme="minorHAnsi" w:cstheme="minorHAnsi"/>
                <w:sz w:val="18"/>
                <w:szCs w:val="18"/>
              </w:rPr>
              <w:t>anagement</w:t>
            </w:r>
          </w:p>
        </w:tc>
        <w:tc>
          <w:tcPr>
            <w:tcW w:w="712" w:type="pct"/>
            <w:noWrap/>
            <w:hideMark/>
          </w:tcPr>
          <w:p w:rsidR="00666507" w:rsidRPr="005F120D" w:rsidRDefault="00666507"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57,825</w:t>
            </w:r>
            <w:r w:rsidR="007F17C2" w:rsidRPr="005F120D">
              <w:rPr>
                <w:rFonts w:asciiTheme="minorHAnsi" w:hAnsiTheme="minorHAnsi" w:cstheme="minorHAnsi"/>
                <w:sz w:val="18"/>
                <w:szCs w:val="18"/>
              </w:rPr>
              <w:t>.04</w:t>
            </w:r>
          </w:p>
        </w:tc>
        <w:tc>
          <w:tcPr>
            <w:tcW w:w="788" w:type="pct"/>
            <w:gridSpan w:val="2"/>
          </w:tcPr>
          <w:p w:rsidR="00666507" w:rsidRPr="005F120D" w:rsidRDefault="007F17C2"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33,309.86</w:t>
            </w:r>
          </w:p>
        </w:tc>
        <w:tc>
          <w:tcPr>
            <w:tcW w:w="450" w:type="pct"/>
            <w:noWrap/>
            <w:hideMark/>
          </w:tcPr>
          <w:p w:rsidR="00666507" w:rsidRPr="005F120D" w:rsidRDefault="007F17C2"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1.83</w:t>
            </w:r>
          </w:p>
        </w:tc>
        <w:tc>
          <w:tcPr>
            <w:tcW w:w="133" w:type="pct"/>
            <w:tcBorders>
              <w:right w:val="single" w:sz="4" w:space="0" w:color="auto"/>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c>
          <w:tcPr>
            <w:tcW w:w="532" w:type="pct"/>
            <w:tcBorders>
              <w:left w:val="single" w:sz="4" w:space="0" w:color="auto"/>
            </w:tcBorders>
            <w:noWrap/>
            <w:hideMark/>
          </w:tcPr>
          <w:p w:rsidR="00666507" w:rsidRPr="005F120D" w:rsidRDefault="00500DB6"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9,330.29</w:t>
            </w:r>
          </w:p>
        </w:tc>
        <w:tc>
          <w:tcPr>
            <w:tcW w:w="456" w:type="pct"/>
          </w:tcPr>
          <w:p w:rsidR="00666507" w:rsidRPr="005F120D" w:rsidRDefault="009D193D"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n/a</w:t>
            </w:r>
          </w:p>
        </w:tc>
        <w:tc>
          <w:tcPr>
            <w:tcW w:w="125" w:type="pct"/>
          </w:tcPr>
          <w:p w:rsidR="00666507" w:rsidRPr="005F120D" w:rsidRDefault="00666507" w:rsidP="00C437AA">
            <w:pPr>
              <w:pStyle w:val="Tabletext"/>
              <w:spacing w:line="276" w:lineRule="auto"/>
              <w:jc w:val="center"/>
              <w:cnfStyle w:val="000000000000"/>
              <w:rPr>
                <w:rFonts w:asciiTheme="minorHAnsi" w:hAnsiTheme="minorHAnsi" w:cstheme="minorHAnsi"/>
                <w:sz w:val="18"/>
                <w:szCs w:val="18"/>
              </w:rPr>
            </w:pPr>
          </w:p>
        </w:tc>
        <w:tc>
          <w:tcPr>
            <w:tcW w:w="322" w:type="pct"/>
            <w:noWrap/>
            <w:hideMark/>
          </w:tcPr>
          <w:p w:rsidR="00666507" w:rsidRPr="005F120D" w:rsidRDefault="002D23AB"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28</w:t>
            </w:r>
          </w:p>
        </w:tc>
      </w:tr>
      <w:tr w:rsidR="00EA356A" w:rsidRPr="005F120D" w:rsidTr="00EA356A">
        <w:trPr>
          <w:trHeight w:val="374"/>
        </w:trPr>
        <w:tc>
          <w:tcPr>
            <w:cnfStyle w:val="001000000000"/>
            <w:tcW w:w="182" w:type="pct"/>
            <w:tcBorders>
              <w:bottom w:val="double" w:sz="4" w:space="0" w:color="948A54" w:themeColor="background2" w:themeShade="80"/>
            </w:tcBorders>
            <w:noWrap/>
            <w:hideMark/>
          </w:tcPr>
          <w:p w:rsidR="00666507" w:rsidRPr="005F120D" w:rsidRDefault="00666507" w:rsidP="00C437AA">
            <w:pPr>
              <w:pStyle w:val="Tabletext"/>
              <w:spacing w:line="276" w:lineRule="auto"/>
              <w:jc w:val="both"/>
              <w:rPr>
                <w:rFonts w:asciiTheme="minorHAnsi" w:hAnsiTheme="minorHAnsi" w:cstheme="minorHAnsi"/>
                <w:color w:val="FF0000"/>
                <w:sz w:val="18"/>
                <w:szCs w:val="18"/>
              </w:rPr>
            </w:pPr>
            <w:r w:rsidRPr="005F120D">
              <w:rPr>
                <w:rFonts w:asciiTheme="minorHAnsi" w:hAnsiTheme="minorHAnsi" w:cstheme="minorHAnsi"/>
                <w:color w:val="FF0000"/>
                <w:sz w:val="18"/>
                <w:szCs w:val="18"/>
              </w:rPr>
              <w:t> </w:t>
            </w:r>
          </w:p>
        </w:tc>
        <w:tc>
          <w:tcPr>
            <w:tcW w:w="1299" w:type="pct"/>
            <w:gridSpan w:val="2"/>
            <w:tcBorders>
              <w:bottom w:val="double" w:sz="4" w:space="0" w:color="948A54" w:themeColor="background2" w:themeShade="80"/>
            </w:tcBorders>
            <w:noWrap/>
            <w:hideMark/>
          </w:tcPr>
          <w:p w:rsidR="00666507" w:rsidRPr="005F120D" w:rsidRDefault="00666507" w:rsidP="00C437AA">
            <w:pPr>
              <w:pStyle w:val="Tabletext"/>
              <w:spacing w:line="276" w:lineRule="auto"/>
              <w:jc w:val="left"/>
              <w:cnfStyle w:val="000000000000"/>
              <w:rPr>
                <w:rFonts w:asciiTheme="minorHAnsi" w:hAnsiTheme="minorHAnsi" w:cstheme="minorHAnsi"/>
                <w:i/>
                <w:iCs/>
                <w:sz w:val="18"/>
                <w:szCs w:val="18"/>
              </w:rPr>
            </w:pPr>
            <w:r w:rsidRPr="005F120D">
              <w:rPr>
                <w:rFonts w:asciiTheme="minorHAnsi" w:hAnsiTheme="minorHAnsi" w:cstheme="minorHAnsi"/>
                <w:i/>
                <w:iCs/>
                <w:sz w:val="18"/>
                <w:szCs w:val="18"/>
              </w:rPr>
              <w:t>Contingency/CDVAT</w:t>
            </w:r>
          </w:p>
        </w:tc>
        <w:tc>
          <w:tcPr>
            <w:tcW w:w="712" w:type="pct"/>
            <w:tcBorders>
              <w:bottom w:val="double" w:sz="4" w:space="0" w:color="948A54" w:themeColor="background2" w:themeShade="80"/>
            </w:tcBorders>
            <w:noWrap/>
            <w:hideMark/>
          </w:tcPr>
          <w:p w:rsidR="00666507" w:rsidRPr="005F120D" w:rsidRDefault="00666507" w:rsidP="00C437AA">
            <w:pPr>
              <w:pStyle w:val="Tabletext"/>
              <w:spacing w:line="276" w:lineRule="auto"/>
              <w:cnfStyle w:val="000000000000"/>
              <w:rPr>
                <w:rFonts w:asciiTheme="minorHAnsi" w:hAnsiTheme="minorHAnsi" w:cstheme="minorHAnsi"/>
                <w:iCs/>
                <w:sz w:val="18"/>
                <w:szCs w:val="18"/>
              </w:rPr>
            </w:pPr>
            <w:r w:rsidRPr="005F120D">
              <w:rPr>
                <w:rFonts w:asciiTheme="minorHAnsi" w:hAnsiTheme="minorHAnsi" w:cstheme="minorHAnsi"/>
                <w:iCs/>
                <w:sz w:val="18"/>
                <w:szCs w:val="18"/>
              </w:rPr>
              <w:t>42,491</w:t>
            </w:r>
            <w:r w:rsidR="007F17C2" w:rsidRPr="005F120D">
              <w:rPr>
                <w:rFonts w:asciiTheme="minorHAnsi" w:hAnsiTheme="minorHAnsi" w:cstheme="minorHAnsi"/>
                <w:iCs/>
                <w:sz w:val="18"/>
                <w:szCs w:val="18"/>
              </w:rPr>
              <w:t>.00</w:t>
            </w:r>
          </w:p>
        </w:tc>
        <w:tc>
          <w:tcPr>
            <w:tcW w:w="788" w:type="pct"/>
            <w:gridSpan w:val="2"/>
            <w:tcBorders>
              <w:bottom w:val="double" w:sz="4" w:space="0" w:color="948A54" w:themeColor="background2" w:themeShade="80"/>
            </w:tcBorders>
          </w:tcPr>
          <w:p w:rsidR="00666507" w:rsidRPr="005F120D" w:rsidRDefault="00666507"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32,872</w:t>
            </w:r>
            <w:r w:rsidR="007F17C2" w:rsidRPr="005F120D">
              <w:rPr>
                <w:rFonts w:asciiTheme="minorHAnsi" w:hAnsiTheme="minorHAnsi" w:cstheme="minorHAnsi"/>
                <w:sz w:val="18"/>
                <w:szCs w:val="18"/>
              </w:rPr>
              <w:t>.00</w:t>
            </w:r>
          </w:p>
        </w:tc>
        <w:tc>
          <w:tcPr>
            <w:tcW w:w="450" w:type="pct"/>
            <w:tcBorders>
              <w:bottom w:val="double" w:sz="4" w:space="0" w:color="948A54" w:themeColor="background2" w:themeShade="80"/>
            </w:tcBorders>
            <w:noWrap/>
            <w:hideMark/>
          </w:tcPr>
          <w:p w:rsidR="00666507" w:rsidRPr="005F120D" w:rsidRDefault="007F17C2"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1.81</w:t>
            </w:r>
          </w:p>
        </w:tc>
        <w:tc>
          <w:tcPr>
            <w:tcW w:w="133" w:type="pct"/>
            <w:tcBorders>
              <w:bottom w:val="double" w:sz="4" w:space="0" w:color="948A54" w:themeColor="background2" w:themeShade="80"/>
              <w:right w:val="single" w:sz="4" w:space="0" w:color="auto"/>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c>
          <w:tcPr>
            <w:tcW w:w="532" w:type="pct"/>
            <w:tcBorders>
              <w:left w:val="single" w:sz="4" w:space="0" w:color="auto"/>
              <w:bottom w:val="double" w:sz="4" w:space="0" w:color="948A54" w:themeColor="background2" w:themeShade="80"/>
            </w:tcBorders>
            <w:noWrap/>
            <w:hideMark/>
          </w:tcPr>
          <w:p w:rsidR="00666507" w:rsidRPr="005F120D" w:rsidRDefault="00500DB6" w:rsidP="00C437AA">
            <w:pPr>
              <w:pStyle w:val="Tabletext"/>
              <w:spacing w:line="276" w:lineRule="auto"/>
              <w:cnfStyle w:val="000000000000"/>
              <w:rPr>
                <w:rFonts w:asciiTheme="minorHAnsi" w:hAnsiTheme="minorHAnsi" w:cstheme="minorHAnsi"/>
                <w:sz w:val="18"/>
                <w:szCs w:val="18"/>
              </w:rPr>
            </w:pPr>
            <w:r w:rsidRPr="005F120D">
              <w:rPr>
                <w:rFonts w:asciiTheme="minorHAnsi" w:hAnsiTheme="minorHAnsi" w:cstheme="minorHAnsi"/>
                <w:sz w:val="18"/>
                <w:szCs w:val="18"/>
              </w:rPr>
              <w:t>3</w:t>
            </w:r>
            <w:r w:rsidR="00666507" w:rsidRPr="005F120D">
              <w:rPr>
                <w:rFonts w:asciiTheme="minorHAnsi" w:hAnsiTheme="minorHAnsi" w:cstheme="minorHAnsi"/>
                <w:sz w:val="18"/>
                <w:szCs w:val="18"/>
              </w:rPr>
              <w:t>,000</w:t>
            </w:r>
          </w:p>
        </w:tc>
        <w:tc>
          <w:tcPr>
            <w:tcW w:w="456" w:type="pct"/>
            <w:tcBorders>
              <w:bottom w:val="double" w:sz="4" w:space="0" w:color="948A54" w:themeColor="background2" w:themeShade="80"/>
            </w:tcBorders>
          </w:tcPr>
          <w:p w:rsidR="00666507" w:rsidRPr="005F120D" w:rsidRDefault="009D193D"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n/a</w:t>
            </w:r>
          </w:p>
        </w:tc>
        <w:tc>
          <w:tcPr>
            <w:tcW w:w="125" w:type="pct"/>
            <w:tcBorders>
              <w:bottom w:val="double" w:sz="4" w:space="0" w:color="948A54" w:themeColor="background2" w:themeShade="80"/>
            </w:tcBorders>
          </w:tcPr>
          <w:p w:rsidR="00666507" w:rsidRPr="005F120D" w:rsidRDefault="00666507" w:rsidP="00C437AA">
            <w:pPr>
              <w:pStyle w:val="Tabletext"/>
              <w:spacing w:line="276" w:lineRule="auto"/>
              <w:jc w:val="center"/>
              <w:cnfStyle w:val="000000000000"/>
              <w:rPr>
                <w:rFonts w:asciiTheme="minorHAnsi" w:hAnsiTheme="minorHAnsi" w:cstheme="minorHAnsi"/>
                <w:sz w:val="18"/>
                <w:szCs w:val="18"/>
              </w:rPr>
            </w:pPr>
          </w:p>
        </w:tc>
        <w:tc>
          <w:tcPr>
            <w:tcW w:w="322" w:type="pct"/>
            <w:tcBorders>
              <w:bottom w:val="double" w:sz="4" w:space="0" w:color="948A54" w:themeColor="background2" w:themeShade="80"/>
            </w:tcBorders>
            <w:noWrap/>
            <w:hideMark/>
          </w:tcPr>
          <w:p w:rsidR="00666507" w:rsidRPr="005F120D" w:rsidRDefault="002D23AB" w:rsidP="00C437AA">
            <w:pPr>
              <w:pStyle w:val="Tabletext"/>
              <w:spacing w:line="276" w:lineRule="auto"/>
              <w:jc w:val="center"/>
              <w:cnfStyle w:val="000000000000"/>
              <w:rPr>
                <w:rFonts w:asciiTheme="minorHAnsi" w:hAnsiTheme="minorHAnsi" w:cstheme="minorHAnsi"/>
                <w:sz w:val="18"/>
                <w:szCs w:val="18"/>
              </w:rPr>
            </w:pPr>
            <w:r w:rsidRPr="005F120D">
              <w:rPr>
                <w:rFonts w:asciiTheme="minorHAnsi" w:hAnsiTheme="minorHAnsi" w:cstheme="minorHAnsi"/>
                <w:sz w:val="18"/>
                <w:szCs w:val="18"/>
              </w:rPr>
              <w:t>9.1</w:t>
            </w:r>
          </w:p>
        </w:tc>
      </w:tr>
      <w:tr w:rsidR="00EA356A" w:rsidRPr="005F120D" w:rsidTr="00EA356A">
        <w:trPr>
          <w:trHeight w:val="270"/>
        </w:trPr>
        <w:tc>
          <w:tcPr>
            <w:cnfStyle w:val="001000000000"/>
            <w:tcW w:w="1481" w:type="pct"/>
            <w:gridSpan w:val="3"/>
            <w:tcBorders>
              <w:top w:val="double" w:sz="4" w:space="0" w:color="948A54" w:themeColor="background2" w:themeShade="80"/>
              <w:bottom w:val="double" w:sz="4" w:space="0" w:color="948A54" w:themeColor="background2" w:themeShade="80"/>
            </w:tcBorders>
            <w:noWrap/>
            <w:hideMark/>
          </w:tcPr>
          <w:p w:rsidR="00666507" w:rsidRPr="005F120D" w:rsidRDefault="00666507" w:rsidP="00C437AA">
            <w:pPr>
              <w:pStyle w:val="Tabletext"/>
              <w:spacing w:line="276" w:lineRule="auto"/>
              <w:rPr>
                <w:rFonts w:asciiTheme="minorHAnsi" w:hAnsiTheme="minorHAnsi" w:cstheme="minorHAnsi"/>
                <w:b/>
                <w:sz w:val="18"/>
                <w:szCs w:val="18"/>
              </w:rPr>
            </w:pPr>
            <w:r w:rsidRPr="005F120D">
              <w:rPr>
                <w:rFonts w:asciiTheme="minorHAnsi" w:hAnsiTheme="minorHAnsi" w:cstheme="minorHAnsi"/>
                <w:b/>
                <w:sz w:val="18"/>
                <w:szCs w:val="18"/>
              </w:rPr>
              <w:t>Total</w:t>
            </w:r>
          </w:p>
        </w:tc>
        <w:tc>
          <w:tcPr>
            <w:tcW w:w="712" w:type="pct"/>
            <w:tcBorders>
              <w:top w:val="double" w:sz="4" w:space="0" w:color="948A54" w:themeColor="background2" w:themeShade="80"/>
              <w:bottom w:val="double" w:sz="4" w:space="0" w:color="948A54" w:themeColor="background2" w:themeShade="80"/>
            </w:tcBorders>
            <w:noWrap/>
            <w:hideMark/>
          </w:tcPr>
          <w:p w:rsidR="00666507" w:rsidRPr="005F120D" w:rsidRDefault="007F17C2" w:rsidP="00C437AA">
            <w:pPr>
              <w:pStyle w:val="Tabletext"/>
              <w:spacing w:line="276" w:lineRule="auto"/>
              <w:cnfStyle w:val="000000000000"/>
              <w:rPr>
                <w:rFonts w:asciiTheme="minorHAnsi" w:hAnsiTheme="minorHAnsi" w:cstheme="minorHAnsi"/>
                <w:b/>
                <w:sz w:val="18"/>
                <w:szCs w:val="18"/>
              </w:rPr>
            </w:pPr>
            <w:r w:rsidRPr="005F120D">
              <w:rPr>
                <w:rFonts w:asciiTheme="minorHAnsi" w:hAnsiTheme="minorHAnsi" w:cstheme="minorHAnsi"/>
                <w:b/>
                <w:sz w:val="18"/>
                <w:szCs w:val="18"/>
              </w:rPr>
              <w:t>2,219,664.75</w:t>
            </w:r>
          </w:p>
        </w:tc>
        <w:tc>
          <w:tcPr>
            <w:tcW w:w="788" w:type="pct"/>
            <w:gridSpan w:val="2"/>
            <w:tcBorders>
              <w:top w:val="double" w:sz="4" w:space="0" w:color="948A54" w:themeColor="background2" w:themeShade="80"/>
              <w:bottom w:val="double" w:sz="4" w:space="0" w:color="948A54" w:themeColor="background2" w:themeShade="80"/>
            </w:tcBorders>
          </w:tcPr>
          <w:p w:rsidR="00666507" w:rsidRPr="005F120D" w:rsidRDefault="00666507" w:rsidP="00C437AA">
            <w:pPr>
              <w:pStyle w:val="Tabletext"/>
              <w:spacing w:line="276" w:lineRule="auto"/>
              <w:cnfStyle w:val="000000000000"/>
              <w:rPr>
                <w:rFonts w:asciiTheme="minorHAnsi" w:hAnsiTheme="minorHAnsi" w:cstheme="minorHAnsi"/>
                <w:b/>
                <w:sz w:val="18"/>
                <w:szCs w:val="18"/>
              </w:rPr>
            </w:pPr>
            <w:r w:rsidRPr="005F120D">
              <w:rPr>
                <w:rFonts w:asciiTheme="minorHAnsi" w:hAnsiTheme="minorHAnsi" w:cstheme="minorHAnsi"/>
                <w:b/>
                <w:sz w:val="18"/>
                <w:szCs w:val="18"/>
              </w:rPr>
              <w:t>1,815,388</w:t>
            </w:r>
            <w:r w:rsidR="007F17C2" w:rsidRPr="005F120D">
              <w:rPr>
                <w:rFonts w:asciiTheme="minorHAnsi" w:hAnsiTheme="minorHAnsi" w:cstheme="minorHAnsi"/>
                <w:b/>
                <w:sz w:val="18"/>
                <w:szCs w:val="18"/>
              </w:rPr>
              <w:t>.36</w:t>
            </w:r>
          </w:p>
        </w:tc>
        <w:tc>
          <w:tcPr>
            <w:tcW w:w="450" w:type="pct"/>
            <w:tcBorders>
              <w:top w:val="double" w:sz="4" w:space="0" w:color="948A54" w:themeColor="background2" w:themeShade="80"/>
              <w:bottom w:val="double" w:sz="4" w:space="0" w:color="948A54" w:themeColor="background2" w:themeShade="80"/>
            </w:tcBorders>
            <w:noWrap/>
            <w:hideMark/>
          </w:tcPr>
          <w:p w:rsidR="00666507" w:rsidRPr="005F120D" w:rsidRDefault="00666507" w:rsidP="00C437AA">
            <w:pPr>
              <w:pStyle w:val="Tabletext"/>
              <w:spacing w:line="276" w:lineRule="auto"/>
              <w:jc w:val="center"/>
              <w:cnfStyle w:val="000000000000"/>
              <w:rPr>
                <w:rFonts w:asciiTheme="minorHAnsi" w:hAnsiTheme="minorHAnsi" w:cstheme="minorHAnsi"/>
                <w:b/>
                <w:sz w:val="18"/>
                <w:szCs w:val="18"/>
              </w:rPr>
            </w:pPr>
            <w:r w:rsidRPr="005F120D">
              <w:rPr>
                <w:rFonts w:asciiTheme="minorHAnsi" w:hAnsiTheme="minorHAnsi" w:cstheme="minorHAnsi"/>
                <w:b/>
                <w:sz w:val="18"/>
                <w:szCs w:val="18"/>
              </w:rPr>
              <w:t>100</w:t>
            </w:r>
          </w:p>
        </w:tc>
        <w:tc>
          <w:tcPr>
            <w:tcW w:w="133" w:type="pct"/>
            <w:tcBorders>
              <w:top w:val="double" w:sz="4" w:space="0" w:color="948A54" w:themeColor="background2" w:themeShade="80"/>
              <w:bottom w:val="double" w:sz="4" w:space="0" w:color="948A54" w:themeColor="background2" w:themeShade="80"/>
              <w:right w:val="single" w:sz="4" w:space="0" w:color="auto"/>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b/>
                <w:color w:val="FF0000"/>
                <w:sz w:val="18"/>
                <w:szCs w:val="18"/>
              </w:rPr>
            </w:pPr>
            <w:r w:rsidRPr="005F120D">
              <w:rPr>
                <w:rFonts w:asciiTheme="minorHAnsi" w:hAnsiTheme="minorHAnsi" w:cstheme="minorHAnsi"/>
                <w:b/>
                <w:color w:val="FF0000"/>
                <w:sz w:val="18"/>
                <w:szCs w:val="18"/>
              </w:rPr>
              <w:t> </w:t>
            </w:r>
          </w:p>
        </w:tc>
        <w:tc>
          <w:tcPr>
            <w:tcW w:w="532" w:type="pct"/>
            <w:tcBorders>
              <w:top w:val="double" w:sz="4" w:space="0" w:color="948A54" w:themeColor="background2" w:themeShade="80"/>
              <w:left w:val="single" w:sz="4" w:space="0" w:color="auto"/>
              <w:bottom w:val="double" w:sz="4" w:space="0" w:color="948A54" w:themeColor="background2" w:themeShade="80"/>
            </w:tcBorders>
            <w:noWrap/>
            <w:hideMark/>
          </w:tcPr>
          <w:p w:rsidR="00666507" w:rsidRPr="005F120D" w:rsidRDefault="00666507" w:rsidP="00C437AA">
            <w:pPr>
              <w:pStyle w:val="Tabletext"/>
              <w:spacing w:line="276" w:lineRule="auto"/>
              <w:cnfStyle w:val="000000000000"/>
              <w:rPr>
                <w:rFonts w:asciiTheme="minorHAnsi" w:hAnsiTheme="minorHAnsi" w:cstheme="minorHAnsi"/>
                <w:b/>
                <w:sz w:val="18"/>
                <w:szCs w:val="18"/>
              </w:rPr>
            </w:pPr>
            <w:r w:rsidRPr="005F120D">
              <w:rPr>
                <w:rFonts w:asciiTheme="minorHAnsi" w:hAnsiTheme="minorHAnsi" w:cstheme="minorHAnsi"/>
                <w:b/>
                <w:sz w:val="18"/>
                <w:szCs w:val="18"/>
              </w:rPr>
              <w:t>3</w:t>
            </w:r>
            <w:r w:rsidR="00500DB6" w:rsidRPr="005F120D">
              <w:rPr>
                <w:rFonts w:asciiTheme="minorHAnsi" w:hAnsiTheme="minorHAnsi" w:cstheme="minorHAnsi"/>
                <w:b/>
                <w:sz w:val="18"/>
                <w:szCs w:val="18"/>
              </w:rPr>
              <w:t>74</w:t>
            </w:r>
            <w:r w:rsidRPr="005F120D">
              <w:rPr>
                <w:rFonts w:asciiTheme="minorHAnsi" w:hAnsiTheme="minorHAnsi" w:cstheme="minorHAnsi"/>
                <w:b/>
                <w:sz w:val="18"/>
                <w:szCs w:val="18"/>
              </w:rPr>
              <w:t>,000</w:t>
            </w:r>
          </w:p>
        </w:tc>
        <w:tc>
          <w:tcPr>
            <w:tcW w:w="456" w:type="pct"/>
            <w:tcBorders>
              <w:top w:val="double" w:sz="4" w:space="0" w:color="948A54" w:themeColor="background2" w:themeShade="80"/>
              <w:bottom w:val="double" w:sz="4" w:space="0" w:color="948A54" w:themeColor="background2" w:themeShade="80"/>
            </w:tcBorders>
          </w:tcPr>
          <w:p w:rsidR="00666507" w:rsidRPr="005F120D" w:rsidRDefault="009D193D" w:rsidP="00C437AA">
            <w:pPr>
              <w:pStyle w:val="Tabletext"/>
              <w:spacing w:line="276" w:lineRule="auto"/>
              <w:jc w:val="center"/>
              <w:cnfStyle w:val="000000000000"/>
              <w:rPr>
                <w:rFonts w:asciiTheme="minorHAnsi" w:hAnsiTheme="minorHAnsi" w:cstheme="minorHAnsi"/>
                <w:b/>
                <w:sz w:val="18"/>
                <w:szCs w:val="18"/>
              </w:rPr>
            </w:pPr>
            <w:r w:rsidRPr="005F120D">
              <w:rPr>
                <w:rFonts w:asciiTheme="minorHAnsi" w:hAnsiTheme="minorHAnsi" w:cstheme="minorHAnsi"/>
                <w:b/>
                <w:sz w:val="18"/>
                <w:szCs w:val="18"/>
              </w:rPr>
              <w:t>n/a</w:t>
            </w:r>
          </w:p>
        </w:tc>
        <w:tc>
          <w:tcPr>
            <w:tcW w:w="125" w:type="pct"/>
            <w:tcBorders>
              <w:top w:val="double" w:sz="4" w:space="0" w:color="948A54" w:themeColor="background2" w:themeShade="80"/>
              <w:bottom w:val="double" w:sz="4" w:space="0" w:color="948A54" w:themeColor="background2" w:themeShade="80"/>
            </w:tcBorders>
          </w:tcPr>
          <w:p w:rsidR="00666507" w:rsidRPr="005F120D" w:rsidRDefault="00666507" w:rsidP="00C437AA">
            <w:pPr>
              <w:pStyle w:val="Tabletext"/>
              <w:spacing w:line="276" w:lineRule="auto"/>
              <w:jc w:val="center"/>
              <w:cnfStyle w:val="000000000000"/>
              <w:rPr>
                <w:rFonts w:asciiTheme="minorHAnsi" w:hAnsiTheme="minorHAnsi" w:cstheme="minorHAnsi"/>
                <w:b/>
                <w:sz w:val="18"/>
                <w:szCs w:val="18"/>
              </w:rPr>
            </w:pPr>
          </w:p>
        </w:tc>
        <w:tc>
          <w:tcPr>
            <w:tcW w:w="322" w:type="pct"/>
            <w:tcBorders>
              <w:top w:val="double" w:sz="4" w:space="0" w:color="948A54" w:themeColor="background2" w:themeShade="80"/>
              <w:bottom w:val="double" w:sz="4" w:space="0" w:color="948A54" w:themeColor="background2" w:themeShade="80"/>
            </w:tcBorders>
            <w:noWrap/>
            <w:hideMark/>
          </w:tcPr>
          <w:p w:rsidR="00666507" w:rsidRPr="005F120D" w:rsidRDefault="00666507" w:rsidP="00C437AA">
            <w:pPr>
              <w:pStyle w:val="Tabletext"/>
              <w:spacing w:line="276" w:lineRule="auto"/>
              <w:jc w:val="center"/>
              <w:cnfStyle w:val="000000000000"/>
              <w:rPr>
                <w:rFonts w:asciiTheme="minorHAnsi" w:hAnsiTheme="minorHAnsi" w:cstheme="minorHAnsi"/>
                <w:b/>
                <w:sz w:val="18"/>
                <w:szCs w:val="18"/>
              </w:rPr>
            </w:pPr>
            <w:r w:rsidRPr="005F120D">
              <w:rPr>
                <w:rFonts w:asciiTheme="minorHAnsi" w:hAnsiTheme="minorHAnsi" w:cstheme="minorHAnsi"/>
                <w:b/>
                <w:sz w:val="18"/>
                <w:szCs w:val="18"/>
              </w:rPr>
              <w:t>100</w:t>
            </w:r>
          </w:p>
        </w:tc>
      </w:tr>
      <w:tr w:rsidR="00100AB5" w:rsidRPr="005F120D" w:rsidTr="00EA356A">
        <w:trPr>
          <w:trHeight w:val="255"/>
        </w:trPr>
        <w:tc>
          <w:tcPr>
            <w:cnfStyle w:val="001000000000"/>
            <w:tcW w:w="1481" w:type="pct"/>
            <w:gridSpan w:val="3"/>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666507" w:rsidP="00C437AA">
            <w:pPr>
              <w:pStyle w:val="Tabletext"/>
              <w:spacing w:line="276" w:lineRule="auto"/>
              <w:rPr>
                <w:rFonts w:asciiTheme="minorHAnsi" w:hAnsiTheme="minorHAnsi" w:cstheme="minorHAnsi"/>
                <w:i/>
                <w:iCs/>
                <w:sz w:val="18"/>
                <w:szCs w:val="18"/>
                <w:u w:val="single"/>
              </w:rPr>
            </w:pPr>
            <w:r w:rsidRPr="005F120D">
              <w:rPr>
                <w:rFonts w:asciiTheme="minorHAnsi" w:hAnsiTheme="minorHAnsi" w:cstheme="minorHAnsi"/>
                <w:i/>
                <w:iCs/>
                <w:sz w:val="18"/>
                <w:szCs w:val="18"/>
                <w:u w:val="single"/>
              </w:rPr>
              <w:t>Memo item</w:t>
            </w:r>
          </w:p>
        </w:tc>
        <w:tc>
          <w:tcPr>
            <w:tcW w:w="938" w:type="pct"/>
            <w:gridSpan w:val="2"/>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sz w:val="18"/>
                <w:szCs w:val="18"/>
              </w:rPr>
            </w:pPr>
          </w:p>
        </w:tc>
        <w:tc>
          <w:tcPr>
            <w:tcW w:w="562" w:type="pct"/>
            <w:tcBorders>
              <w:top w:val="double" w:sz="4" w:space="0" w:color="948A54" w:themeColor="background2" w:themeShade="80"/>
              <w:left w:val="nil"/>
              <w:bottom w:val="double" w:sz="4" w:space="0" w:color="948A54" w:themeColor="background2" w:themeShade="80"/>
              <w:right w:val="nil"/>
            </w:tcBorders>
          </w:tcPr>
          <w:p w:rsidR="00666507" w:rsidRPr="005F120D" w:rsidRDefault="00666507" w:rsidP="00C437AA">
            <w:pPr>
              <w:pStyle w:val="Tabletext"/>
              <w:spacing w:line="276" w:lineRule="auto"/>
              <w:jc w:val="both"/>
              <w:cnfStyle w:val="000000000000"/>
              <w:rPr>
                <w:rFonts w:asciiTheme="minorHAnsi" w:hAnsiTheme="minorHAnsi" w:cstheme="minorHAnsi"/>
                <w:sz w:val="18"/>
                <w:szCs w:val="18"/>
              </w:rPr>
            </w:pPr>
          </w:p>
        </w:tc>
        <w:tc>
          <w:tcPr>
            <w:tcW w:w="450" w:type="pct"/>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c>
          <w:tcPr>
            <w:tcW w:w="133" w:type="pct"/>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c>
          <w:tcPr>
            <w:tcW w:w="532" w:type="pct"/>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c>
          <w:tcPr>
            <w:tcW w:w="456" w:type="pct"/>
            <w:tcBorders>
              <w:top w:val="double" w:sz="4" w:space="0" w:color="948A54" w:themeColor="background2" w:themeShade="80"/>
              <w:left w:val="nil"/>
              <w:bottom w:val="double" w:sz="4" w:space="0" w:color="948A54" w:themeColor="background2" w:themeShade="80"/>
              <w:right w:val="nil"/>
            </w:tcBorders>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c>
          <w:tcPr>
            <w:tcW w:w="125" w:type="pct"/>
            <w:tcBorders>
              <w:top w:val="double" w:sz="4" w:space="0" w:color="948A54" w:themeColor="background2" w:themeShade="80"/>
              <w:left w:val="nil"/>
              <w:bottom w:val="double" w:sz="4" w:space="0" w:color="948A54" w:themeColor="background2" w:themeShade="80"/>
              <w:right w:val="nil"/>
            </w:tcBorders>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c>
          <w:tcPr>
            <w:tcW w:w="322" w:type="pct"/>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666507" w:rsidP="00C437AA">
            <w:pPr>
              <w:pStyle w:val="Tabletext"/>
              <w:spacing w:line="276" w:lineRule="auto"/>
              <w:jc w:val="both"/>
              <w:cnfStyle w:val="000000000000"/>
              <w:rPr>
                <w:rFonts w:asciiTheme="minorHAnsi" w:hAnsiTheme="minorHAnsi" w:cstheme="minorHAnsi"/>
                <w:color w:val="FF0000"/>
                <w:sz w:val="18"/>
                <w:szCs w:val="18"/>
              </w:rPr>
            </w:pPr>
          </w:p>
        </w:tc>
      </w:tr>
      <w:tr w:rsidR="00EA356A" w:rsidRPr="005F120D" w:rsidTr="00EA356A">
        <w:trPr>
          <w:trHeight w:val="255"/>
        </w:trPr>
        <w:tc>
          <w:tcPr>
            <w:cnfStyle w:val="001000000000"/>
            <w:tcW w:w="188" w:type="pct"/>
            <w:gridSpan w:val="2"/>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666507" w:rsidP="00C437AA">
            <w:pPr>
              <w:pStyle w:val="Tabletext"/>
              <w:spacing w:line="276" w:lineRule="auto"/>
              <w:rPr>
                <w:rFonts w:asciiTheme="minorHAnsi" w:hAnsiTheme="minorHAnsi" w:cstheme="minorHAnsi"/>
                <w:sz w:val="18"/>
                <w:szCs w:val="18"/>
              </w:rPr>
            </w:pPr>
          </w:p>
        </w:tc>
        <w:tc>
          <w:tcPr>
            <w:tcW w:w="1293" w:type="pct"/>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666507" w:rsidP="00C437AA">
            <w:pPr>
              <w:pStyle w:val="Tabletext"/>
              <w:spacing w:line="276" w:lineRule="auto"/>
              <w:jc w:val="left"/>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Civil works</w:t>
            </w:r>
          </w:p>
        </w:tc>
        <w:tc>
          <w:tcPr>
            <w:tcW w:w="938" w:type="pct"/>
            <w:gridSpan w:val="2"/>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666507" w:rsidP="00C437AA">
            <w:pPr>
              <w:pStyle w:val="Tabletext"/>
              <w:spacing w:line="276" w:lineRule="auto"/>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613,556</w:t>
            </w:r>
          </w:p>
        </w:tc>
        <w:tc>
          <w:tcPr>
            <w:tcW w:w="562" w:type="pct"/>
            <w:tcBorders>
              <w:top w:val="double" w:sz="4" w:space="0" w:color="948A54" w:themeColor="background2" w:themeShade="80"/>
              <w:left w:val="nil"/>
              <w:bottom w:val="double" w:sz="4" w:space="0" w:color="948A54" w:themeColor="background2" w:themeShade="80"/>
              <w:right w:val="nil"/>
            </w:tcBorders>
          </w:tcPr>
          <w:p w:rsidR="00666507" w:rsidRPr="005F120D" w:rsidRDefault="009C56B9" w:rsidP="00C437AA">
            <w:pPr>
              <w:pStyle w:val="Tabletext"/>
              <w:spacing w:line="276" w:lineRule="auto"/>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853</w:t>
            </w:r>
            <w:r w:rsidR="00D70A2D" w:rsidRPr="005F120D">
              <w:rPr>
                <w:rFonts w:asciiTheme="minorHAnsi" w:hAnsiTheme="minorHAnsi" w:cstheme="minorHAnsi"/>
                <w:b/>
                <w:i/>
                <w:iCs/>
                <w:sz w:val="18"/>
                <w:szCs w:val="18"/>
              </w:rPr>
              <w:t>,</w:t>
            </w:r>
            <w:r w:rsidRPr="005F120D">
              <w:rPr>
                <w:rFonts w:asciiTheme="minorHAnsi" w:hAnsiTheme="minorHAnsi" w:cstheme="minorHAnsi"/>
                <w:b/>
                <w:i/>
                <w:iCs/>
                <w:sz w:val="18"/>
                <w:szCs w:val="18"/>
              </w:rPr>
              <w:t>8</w:t>
            </w:r>
            <w:r w:rsidR="00CA623B" w:rsidRPr="005F120D">
              <w:rPr>
                <w:rFonts w:asciiTheme="minorHAnsi" w:hAnsiTheme="minorHAnsi" w:cstheme="minorHAnsi"/>
                <w:b/>
                <w:i/>
                <w:iCs/>
                <w:sz w:val="18"/>
                <w:szCs w:val="18"/>
              </w:rPr>
              <w:t>1</w:t>
            </w:r>
            <w:r w:rsidRPr="005F120D">
              <w:rPr>
                <w:rFonts w:asciiTheme="minorHAnsi" w:hAnsiTheme="minorHAnsi" w:cstheme="minorHAnsi"/>
                <w:b/>
                <w:i/>
                <w:iCs/>
                <w:sz w:val="18"/>
                <w:szCs w:val="18"/>
              </w:rPr>
              <w:t>0</w:t>
            </w:r>
          </w:p>
        </w:tc>
        <w:tc>
          <w:tcPr>
            <w:tcW w:w="450" w:type="pct"/>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D70A2D" w:rsidP="00C437AA">
            <w:pPr>
              <w:pStyle w:val="Tabletext"/>
              <w:spacing w:line="276" w:lineRule="auto"/>
              <w:jc w:val="center"/>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47</w:t>
            </w:r>
          </w:p>
        </w:tc>
        <w:tc>
          <w:tcPr>
            <w:tcW w:w="133" w:type="pct"/>
            <w:tcBorders>
              <w:top w:val="double" w:sz="4" w:space="0" w:color="948A54" w:themeColor="background2" w:themeShade="80"/>
              <w:left w:val="nil"/>
              <w:bottom w:val="double" w:sz="4" w:space="0" w:color="948A54" w:themeColor="background2" w:themeShade="80"/>
              <w:right w:val="single" w:sz="4" w:space="0" w:color="auto"/>
            </w:tcBorders>
            <w:noWrap/>
            <w:hideMark/>
          </w:tcPr>
          <w:p w:rsidR="00666507" w:rsidRPr="005F120D" w:rsidRDefault="00666507" w:rsidP="00C437AA">
            <w:pPr>
              <w:pStyle w:val="Tabletext"/>
              <w:spacing w:line="276" w:lineRule="auto"/>
              <w:cnfStyle w:val="000000000000"/>
              <w:rPr>
                <w:rFonts w:asciiTheme="minorHAnsi" w:hAnsiTheme="minorHAnsi" w:cstheme="minorHAnsi"/>
                <w:b/>
                <w:i/>
                <w:iCs/>
                <w:sz w:val="18"/>
                <w:szCs w:val="18"/>
              </w:rPr>
            </w:pPr>
          </w:p>
        </w:tc>
        <w:tc>
          <w:tcPr>
            <w:tcW w:w="532" w:type="pct"/>
            <w:tcBorders>
              <w:top w:val="double" w:sz="4" w:space="0" w:color="948A54" w:themeColor="background2" w:themeShade="80"/>
              <w:left w:val="single" w:sz="4" w:space="0" w:color="auto"/>
              <w:bottom w:val="double" w:sz="4" w:space="0" w:color="948A54" w:themeColor="background2" w:themeShade="80"/>
              <w:right w:val="nil"/>
            </w:tcBorders>
            <w:noWrap/>
            <w:hideMark/>
          </w:tcPr>
          <w:p w:rsidR="00666507" w:rsidRPr="005F120D" w:rsidRDefault="00D70A2D" w:rsidP="00C437AA">
            <w:pPr>
              <w:pStyle w:val="Tabletext"/>
              <w:spacing w:line="276" w:lineRule="auto"/>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160</w:t>
            </w:r>
            <w:r w:rsidR="00666507" w:rsidRPr="005F120D">
              <w:rPr>
                <w:rFonts w:asciiTheme="minorHAnsi" w:hAnsiTheme="minorHAnsi" w:cstheme="minorHAnsi"/>
                <w:b/>
                <w:i/>
                <w:iCs/>
                <w:sz w:val="18"/>
                <w:szCs w:val="18"/>
              </w:rPr>
              <w:t>,</w:t>
            </w:r>
            <w:r w:rsidRPr="005F120D">
              <w:rPr>
                <w:rFonts w:asciiTheme="minorHAnsi" w:hAnsiTheme="minorHAnsi" w:cstheme="minorHAnsi"/>
                <w:b/>
                <w:i/>
                <w:iCs/>
                <w:sz w:val="18"/>
                <w:szCs w:val="18"/>
              </w:rPr>
              <w:t>729</w:t>
            </w:r>
          </w:p>
        </w:tc>
        <w:tc>
          <w:tcPr>
            <w:tcW w:w="456" w:type="pct"/>
            <w:tcBorders>
              <w:top w:val="double" w:sz="4" w:space="0" w:color="948A54" w:themeColor="background2" w:themeShade="80"/>
              <w:left w:val="nil"/>
              <w:bottom w:val="double" w:sz="4" w:space="0" w:color="948A54" w:themeColor="background2" w:themeShade="80"/>
              <w:right w:val="nil"/>
            </w:tcBorders>
          </w:tcPr>
          <w:p w:rsidR="00666507" w:rsidRPr="005F120D" w:rsidRDefault="00D70A2D" w:rsidP="00C437AA">
            <w:pPr>
              <w:pStyle w:val="Tabletext"/>
              <w:spacing w:line="276" w:lineRule="auto"/>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148,040</w:t>
            </w:r>
          </w:p>
        </w:tc>
        <w:tc>
          <w:tcPr>
            <w:tcW w:w="125" w:type="pct"/>
            <w:tcBorders>
              <w:top w:val="double" w:sz="4" w:space="0" w:color="948A54" w:themeColor="background2" w:themeShade="80"/>
              <w:left w:val="nil"/>
              <w:bottom w:val="double" w:sz="4" w:space="0" w:color="948A54" w:themeColor="background2" w:themeShade="80"/>
              <w:right w:val="nil"/>
            </w:tcBorders>
          </w:tcPr>
          <w:p w:rsidR="00666507" w:rsidRPr="005F120D" w:rsidRDefault="00666507" w:rsidP="00C437AA">
            <w:pPr>
              <w:pStyle w:val="Tabletext"/>
              <w:spacing w:line="276" w:lineRule="auto"/>
              <w:jc w:val="center"/>
              <w:cnfStyle w:val="000000000000"/>
              <w:rPr>
                <w:rFonts w:asciiTheme="minorHAnsi" w:hAnsiTheme="minorHAnsi" w:cstheme="minorHAnsi"/>
                <w:b/>
                <w:i/>
                <w:iCs/>
                <w:sz w:val="18"/>
                <w:szCs w:val="18"/>
              </w:rPr>
            </w:pPr>
          </w:p>
        </w:tc>
        <w:tc>
          <w:tcPr>
            <w:tcW w:w="322" w:type="pct"/>
            <w:tcBorders>
              <w:top w:val="double" w:sz="4" w:space="0" w:color="948A54" w:themeColor="background2" w:themeShade="80"/>
              <w:left w:val="nil"/>
              <w:bottom w:val="double" w:sz="4" w:space="0" w:color="948A54" w:themeColor="background2" w:themeShade="80"/>
              <w:right w:val="nil"/>
            </w:tcBorders>
            <w:noWrap/>
            <w:hideMark/>
          </w:tcPr>
          <w:p w:rsidR="00666507" w:rsidRPr="005F120D" w:rsidRDefault="00D70A2D" w:rsidP="00C437AA">
            <w:pPr>
              <w:pStyle w:val="Tabletext"/>
              <w:spacing w:line="276" w:lineRule="auto"/>
              <w:jc w:val="center"/>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52</w:t>
            </w:r>
          </w:p>
        </w:tc>
      </w:tr>
      <w:tr w:rsidR="00EA356A" w:rsidRPr="005F120D" w:rsidTr="00EA356A">
        <w:trPr>
          <w:trHeight w:val="255"/>
        </w:trPr>
        <w:tc>
          <w:tcPr>
            <w:cnfStyle w:val="001000000000"/>
            <w:tcW w:w="188" w:type="pct"/>
            <w:gridSpan w:val="2"/>
            <w:tcBorders>
              <w:top w:val="double" w:sz="4" w:space="0" w:color="948A54" w:themeColor="background2" w:themeShade="80"/>
              <w:left w:val="nil"/>
              <w:bottom w:val="double" w:sz="4" w:space="0" w:color="948A54" w:themeColor="background2" w:themeShade="80"/>
              <w:right w:val="nil"/>
            </w:tcBorders>
            <w:noWrap/>
          </w:tcPr>
          <w:p w:rsidR="009C56B9" w:rsidRPr="005F120D" w:rsidRDefault="009C56B9" w:rsidP="00C437AA">
            <w:pPr>
              <w:pStyle w:val="Tabletext"/>
              <w:spacing w:line="276" w:lineRule="auto"/>
              <w:rPr>
                <w:rFonts w:asciiTheme="minorHAnsi" w:hAnsiTheme="minorHAnsi" w:cstheme="minorHAnsi"/>
                <w:sz w:val="18"/>
                <w:szCs w:val="18"/>
              </w:rPr>
            </w:pPr>
          </w:p>
        </w:tc>
        <w:tc>
          <w:tcPr>
            <w:tcW w:w="1293" w:type="pct"/>
            <w:tcBorders>
              <w:top w:val="double" w:sz="4" w:space="0" w:color="948A54" w:themeColor="background2" w:themeShade="80"/>
              <w:left w:val="nil"/>
              <w:bottom w:val="double" w:sz="4" w:space="0" w:color="948A54" w:themeColor="background2" w:themeShade="80"/>
              <w:right w:val="nil"/>
            </w:tcBorders>
            <w:noWrap/>
          </w:tcPr>
          <w:p w:rsidR="009C56B9" w:rsidRPr="005F120D" w:rsidRDefault="009C56B9" w:rsidP="00C437AA">
            <w:pPr>
              <w:pStyle w:val="Tabletext"/>
              <w:spacing w:line="276" w:lineRule="auto"/>
              <w:jc w:val="left"/>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Need base Infrastructure Development</w:t>
            </w:r>
          </w:p>
        </w:tc>
        <w:tc>
          <w:tcPr>
            <w:tcW w:w="938" w:type="pct"/>
            <w:gridSpan w:val="2"/>
            <w:tcBorders>
              <w:top w:val="double" w:sz="4" w:space="0" w:color="948A54" w:themeColor="background2" w:themeShade="80"/>
              <w:left w:val="nil"/>
              <w:bottom w:val="double" w:sz="4" w:space="0" w:color="948A54" w:themeColor="background2" w:themeShade="80"/>
              <w:right w:val="nil"/>
            </w:tcBorders>
            <w:noWrap/>
          </w:tcPr>
          <w:p w:rsidR="009C56B9" w:rsidRPr="005F120D" w:rsidRDefault="009C56B9" w:rsidP="00C437AA">
            <w:pPr>
              <w:pStyle w:val="Tabletext"/>
              <w:spacing w:line="276" w:lineRule="auto"/>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7,885,551</w:t>
            </w:r>
          </w:p>
        </w:tc>
        <w:tc>
          <w:tcPr>
            <w:tcW w:w="562" w:type="pct"/>
            <w:tcBorders>
              <w:top w:val="double" w:sz="4" w:space="0" w:color="948A54" w:themeColor="background2" w:themeShade="80"/>
              <w:left w:val="nil"/>
              <w:bottom w:val="double" w:sz="4" w:space="0" w:color="948A54" w:themeColor="background2" w:themeShade="80"/>
              <w:right w:val="nil"/>
            </w:tcBorders>
          </w:tcPr>
          <w:p w:rsidR="009C56B9" w:rsidRPr="005F120D" w:rsidRDefault="009C56B9" w:rsidP="00C437AA">
            <w:pPr>
              <w:pStyle w:val="Tabletext"/>
              <w:spacing w:line="276" w:lineRule="auto"/>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8,983,678</w:t>
            </w:r>
          </w:p>
        </w:tc>
        <w:tc>
          <w:tcPr>
            <w:tcW w:w="450" w:type="pct"/>
            <w:tcBorders>
              <w:top w:val="double" w:sz="4" w:space="0" w:color="948A54" w:themeColor="background2" w:themeShade="80"/>
              <w:left w:val="nil"/>
              <w:bottom w:val="double" w:sz="4" w:space="0" w:color="948A54" w:themeColor="background2" w:themeShade="80"/>
              <w:right w:val="nil"/>
            </w:tcBorders>
            <w:noWrap/>
          </w:tcPr>
          <w:p w:rsidR="009C56B9" w:rsidRPr="005F120D" w:rsidRDefault="009C56B9" w:rsidP="00C437AA">
            <w:pPr>
              <w:pStyle w:val="Tabletext"/>
              <w:spacing w:line="276" w:lineRule="auto"/>
              <w:jc w:val="center"/>
              <w:cnfStyle w:val="000000000000"/>
              <w:rPr>
                <w:rFonts w:asciiTheme="minorHAnsi" w:hAnsiTheme="minorHAnsi" w:cstheme="minorHAnsi"/>
                <w:b/>
                <w:i/>
                <w:iCs/>
                <w:sz w:val="18"/>
                <w:szCs w:val="18"/>
              </w:rPr>
            </w:pPr>
            <w:r w:rsidRPr="005F120D">
              <w:rPr>
                <w:rFonts w:asciiTheme="minorHAnsi" w:hAnsiTheme="minorHAnsi" w:cstheme="minorHAnsi"/>
                <w:b/>
                <w:i/>
                <w:iCs/>
                <w:sz w:val="18"/>
                <w:szCs w:val="18"/>
              </w:rPr>
              <w:t>13.9</w:t>
            </w:r>
          </w:p>
        </w:tc>
        <w:tc>
          <w:tcPr>
            <w:tcW w:w="133" w:type="pct"/>
            <w:tcBorders>
              <w:top w:val="double" w:sz="4" w:space="0" w:color="948A54" w:themeColor="background2" w:themeShade="80"/>
              <w:left w:val="nil"/>
              <w:bottom w:val="double" w:sz="4" w:space="0" w:color="948A54" w:themeColor="background2" w:themeShade="80"/>
              <w:right w:val="single" w:sz="4" w:space="0" w:color="auto"/>
            </w:tcBorders>
            <w:noWrap/>
          </w:tcPr>
          <w:p w:rsidR="009C56B9" w:rsidRPr="005F120D" w:rsidRDefault="009C56B9" w:rsidP="00C437AA">
            <w:pPr>
              <w:pStyle w:val="Tabletext"/>
              <w:spacing w:line="276" w:lineRule="auto"/>
              <w:cnfStyle w:val="000000000000"/>
              <w:rPr>
                <w:rFonts w:asciiTheme="minorHAnsi" w:hAnsiTheme="minorHAnsi" w:cstheme="minorHAnsi"/>
                <w:b/>
                <w:i/>
                <w:iCs/>
                <w:sz w:val="18"/>
                <w:szCs w:val="18"/>
              </w:rPr>
            </w:pPr>
          </w:p>
        </w:tc>
        <w:tc>
          <w:tcPr>
            <w:tcW w:w="532" w:type="pct"/>
            <w:tcBorders>
              <w:top w:val="double" w:sz="4" w:space="0" w:color="948A54" w:themeColor="background2" w:themeShade="80"/>
              <w:left w:val="single" w:sz="4" w:space="0" w:color="auto"/>
              <w:bottom w:val="double" w:sz="4" w:space="0" w:color="948A54" w:themeColor="background2" w:themeShade="80"/>
              <w:right w:val="nil"/>
            </w:tcBorders>
            <w:noWrap/>
          </w:tcPr>
          <w:p w:rsidR="009C56B9" w:rsidRPr="005F120D" w:rsidRDefault="009C56B9" w:rsidP="00C437AA">
            <w:pPr>
              <w:pStyle w:val="Tabletext"/>
              <w:spacing w:line="276" w:lineRule="auto"/>
              <w:cnfStyle w:val="000000000000"/>
              <w:rPr>
                <w:rFonts w:asciiTheme="minorHAnsi" w:hAnsiTheme="minorHAnsi" w:cstheme="minorHAnsi"/>
                <w:b/>
                <w:i/>
                <w:iCs/>
                <w:sz w:val="18"/>
                <w:szCs w:val="18"/>
              </w:rPr>
            </w:pPr>
          </w:p>
        </w:tc>
        <w:tc>
          <w:tcPr>
            <w:tcW w:w="456" w:type="pct"/>
            <w:tcBorders>
              <w:top w:val="double" w:sz="4" w:space="0" w:color="948A54" w:themeColor="background2" w:themeShade="80"/>
              <w:left w:val="nil"/>
              <w:bottom w:val="double" w:sz="4" w:space="0" w:color="948A54" w:themeColor="background2" w:themeShade="80"/>
              <w:right w:val="nil"/>
            </w:tcBorders>
          </w:tcPr>
          <w:p w:rsidR="009C56B9" w:rsidRPr="005F120D" w:rsidRDefault="009C56B9" w:rsidP="00C437AA">
            <w:pPr>
              <w:pStyle w:val="Tabletext"/>
              <w:spacing w:line="276" w:lineRule="auto"/>
              <w:cnfStyle w:val="000000000000"/>
              <w:rPr>
                <w:rFonts w:asciiTheme="minorHAnsi" w:hAnsiTheme="minorHAnsi" w:cstheme="minorHAnsi"/>
                <w:b/>
                <w:i/>
                <w:iCs/>
                <w:sz w:val="18"/>
                <w:szCs w:val="18"/>
              </w:rPr>
            </w:pPr>
          </w:p>
        </w:tc>
        <w:tc>
          <w:tcPr>
            <w:tcW w:w="125" w:type="pct"/>
            <w:tcBorders>
              <w:top w:val="double" w:sz="4" w:space="0" w:color="948A54" w:themeColor="background2" w:themeShade="80"/>
              <w:left w:val="nil"/>
              <w:bottom w:val="double" w:sz="4" w:space="0" w:color="948A54" w:themeColor="background2" w:themeShade="80"/>
              <w:right w:val="nil"/>
            </w:tcBorders>
          </w:tcPr>
          <w:p w:rsidR="009C56B9" w:rsidRPr="005F120D" w:rsidRDefault="009C56B9" w:rsidP="00C437AA">
            <w:pPr>
              <w:pStyle w:val="Tabletext"/>
              <w:spacing w:line="276" w:lineRule="auto"/>
              <w:jc w:val="center"/>
              <w:cnfStyle w:val="000000000000"/>
              <w:rPr>
                <w:rFonts w:asciiTheme="minorHAnsi" w:hAnsiTheme="minorHAnsi" w:cstheme="minorHAnsi"/>
                <w:b/>
                <w:i/>
                <w:iCs/>
                <w:sz w:val="18"/>
                <w:szCs w:val="18"/>
              </w:rPr>
            </w:pPr>
          </w:p>
        </w:tc>
        <w:tc>
          <w:tcPr>
            <w:tcW w:w="322" w:type="pct"/>
            <w:tcBorders>
              <w:top w:val="double" w:sz="4" w:space="0" w:color="948A54" w:themeColor="background2" w:themeShade="80"/>
              <w:left w:val="nil"/>
              <w:bottom w:val="double" w:sz="4" w:space="0" w:color="948A54" w:themeColor="background2" w:themeShade="80"/>
              <w:right w:val="nil"/>
            </w:tcBorders>
            <w:noWrap/>
          </w:tcPr>
          <w:p w:rsidR="009C56B9" w:rsidRPr="005F120D" w:rsidRDefault="009C56B9" w:rsidP="00C437AA">
            <w:pPr>
              <w:pStyle w:val="Tabletext"/>
              <w:spacing w:line="276" w:lineRule="auto"/>
              <w:jc w:val="center"/>
              <w:cnfStyle w:val="000000000000"/>
              <w:rPr>
                <w:rFonts w:asciiTheme="minorHAnsi" w:hAnsiTheme="minorHAnsi" w:cstheme="minorHAnsi"/>
                <w:b/>
                <w:i/>
                <w:iCs/>
                <w:sz w:val="18"/>
                <w:szCs w:val="18"/>
              </w:rPr>
            </w:pPr>
          </w:p>
        </w:tc>
      </w:tr>
    </w:tbl>
    <w:p w:rsidR="00D200E0" w:rsidRPr="005F120D" w:rsidRDefault="00DC046F" w:rsidP="000A5B80">
      <w:pPr>
        <w:pStyle w:val="Tablenotes"/>
      </w:pPr>
      <w:r w:rsidRPr="005F120D">
        <w:t>Sources: PEDP3 program</w:t>
      </w:r>
      <w:r w:rsidR="00D200E0" w:rsidRPr="005F120D">
        <w:t xml:space="preserve"> documents; </w:t>
      </w:r>
      <w:r w:rsidR="00450B3F" w:rsidRPr="005F120D">
        <w:t>Original/</w:t>
      </w:r>
      <w:r w:rsidR="00D200E0" w:rsidRPr="005F120D">
        <w:t>Revised AOP</w:t>
      </w:r>
      <w:r w:rsidR="00450B3F" w:rsidRPr="005F120D">
        <w:t>20</w:t>
      </w:r>
      <w:r w:rsidR="000561CC" w:rsidRPr="005F120D">
        <w:t>14/15 PEDP3 (revised budget 2015/16</w:t>
      </w:r>
      <w:r w:rsidR="00D200E0" w:rsidRPr="005F120D">
        <w:t>).</w:t>
      </w:r>
    </w:p>
    <w:p w:rsidR="00D52F4F" w:rsidRPr="005F120D" w:rsidRDefault="00357175" w:rsidP="00C437AA">
      <w:pPr>
        <w:pStyle w:val="Heading4"/>
        <w:spacing w:after="120" w:line="276" w:lineRule="auto"/>
        <w:rPr>
          <w:rFonts w:asciiTheme="minorHAnsi" w:hAnsiTheme="minorHAnsi" w:cstheme="minorHAnsi"/>
          <w:b/>
          <w:color w:val="008000"/>
        </w:rPr>
      </w:pPr>
      <w:r w:rsidRPr="005F120D">
        <w:rPr>
          <w:rFonts w:asciiTheme="minorHAnsi" w:hAnsiTheme="minorHAnsi" w:cstheme="minorHAnsi"/>
          <w:b/>
          <w:color w:val="008000"/>
        </w:rPr>
        <w:t xml:space="preserve">Percentage of </w:t>
      </w:r>
      <w:r w:rsidR="00D52F4F" w:rsidRPr="005F120D">
        <w:rPr>
          <w:rFonts w:asciiTheme="minorHAnsi" w:hAnsiTheme="minorHAnsi" w:cstheme="minorHAnsi"/>
          <w:b/>
          <w:color w:val="008000"/>
        </w:rPr>
        <w:t>AOP Budget Allocation</w:t>
      </w:r>
      <w:r w:rsidR="007C4F4A" w:rsidRPr="005F120D">
        <w:rPr>
          <w:rFonts w:asciiTheme="minorHAnsi" w:hAnsiTheme="minorHAnsi" w:cstheme="minorHAnsi"/>
          <w:b/>
          <w:color w:val="008000"/>
        </w:rPr>
        <w:t>:</w:t>
      </w:r>
      <w:r w:rsidR="003377AF" w:rsidRPr="005F120D">
        <w:rPr>
          <w:rFonts w:asciiTheme="minorHAnsi" w:eastAsia="Calibri" w:hAnsiTheme="minorHAnsi" w:cstheme="minorHAnsi"/>
          <w:b/>
          <w:color w:val="008000"/>
        </w:rPr>
        <w:t xml:space="preserve"> Unconditional Block G</w:t>
      </w:r>
      <w:r w:rsidRPr="005F120D">
        <w:rPr>
          <w:rFonts w:asciiTheme="minorHAnsi" w:eastAsia="Calibri" w:hAnsiTheme="minorHAnsi" w:cstheme="minorHAnsi"/>
          <w:b/>
          <w:color w:val="008000"/>
        </w:rPr>
        <w:t xml:space="preserve">rants (SLIPs and UPEPs for </w:t>
      </w:r>
      <w:r w:rsidR="003377AF" w:rsidRPr="005F120D">
        <w:rPr>
          <w:rFonts w:asciiTheme="minorHAnsi" w:eastAsia="Calibri" w:hAnsiTheme="minorHAnsi" w:cstheme="minorHAnsi"/>
          <w:b/>
          <w:color w:val="008000"/>
        </w:rPr>
        <w:t>S</w:t>
      </w:r>
      <w:r w:rsidRPr="005F120D">
        <w:rPr>
          <w:rFonts w:asciiTheme="minorHAnsi" w:eastAsia="Calibri" w:hAnsiTheme="minorHAnsi" w:cstheme="minorHAnsi"/>
          <w:b/>
          <w:color w:val="008000"/>
        </w:rPr>
        <w:t>chools and Upazilas</w:t>
      </w:r>
      <w:r w:rsidR="007C4F4A" w:rsidRPr="005F120D">
        <w:rPr>
          <w:rFonts w:asciiTheme="minorHAnsi" w:eastAsia="Calibri" w:hAnsiTheme="minorHAnsi" w:cstheme="minorHAnsi"/>
          <w:b/>
          <w:color w:val="008000"/>
        </w:rPr>
        <w:t>)</w:t>
      </w:r>
    </w:p>
    <w:p w:rsidR="00706FAD" w:rsidRPr="005F120D" w:rsidRDefault="00706FAD" w:rsidP="00C437AA">
      <w:pPr>
        <w:spacing w:line="276" w:lineRule="auto"/>
        <w:jc w:val="both"/>
        <w:rPr>
          <w:rFonts w:asciiTheme="minorHAnsi" w:hAnsiTheme="minorHAnsi" w:cstheme="minorHAnsi"/>
        </w:rPr>
      </w:pPr>
      <w:r w:rsidRPr="005F120D">
        <w:rPr>
          <w:rFonts w:asciiTheme="minorHAnsi" w:hAnsiTheme="minorHAnsi" w:cstheme="minorHAnsi"/>
        </w:rPr>
        <w:t>The block grant is a fund channeling mechanism to transfer money from one organization to another, in most cases from national to local government. A block grant can be further classified into two types: conditional or unconditional.   When a block grant is conditional, the recipient organization can only spend the grant on a specific purpose. Unconditional block grants can be used for any purpose the recipient deems appropriate.</w:t>
      </w:r>
    </w:p>
    <w:p w:rsidR="00706FAD" w:rsidRPr="005F120D" w:rsidRDefault="00706FAD" w:rsidP="00C437AA">
      <w:pPr>
        <w:spacing w:line="276" w:lineRule="auto"/>
        <w:jc w:val="both"/>
        <w:rPr>
          <w:rFonts w:asciiTheme="minorHAnsi" w:hAnsiTheme="minorHAnsi" w:cstheme="minorHAnsi"/>
        </w:rPr>
      </w:pPr>
      <w:r w:rsidRPr="005F120D">
        <w:rPr>
          <w:rFonts w:asciiTheme="minorHAnsi" w:hAnsiTheme="minorHAnsi" w:cstheme="minorHAnsi"/>
        </w:rPr>
        <w:t>One of the key sub-components of Decentralization is decentralized school manage</w:t>
      </w:r>
      <w:r w:rsidR="007C4F4A" w:rsidRPr="005F120D">
        <w:rPr>
          <w:rFonts w:asciiTheme="minorHAnsi" w:hAnsiTheme="minorHAnsi" w:cstheme="minorHAnsi"/>
        </w:rPr>
        <w:t>ment and governance, through</w:t>
      </w:r>
      <w:r w:rsidRPr="005F120D">
        <w:rPr>
          <w:rFonts w:asciiTheme="minorHAnsi" w:hAnsiTheme="minorHAnsi" w:cstheme="minorHAnsi"/>
        </w:rPr>
        <w:t xml:space="preserve"> decentralized planning, management and monitoring of school performance.  Upazila Primary Education Plans (UPEPs) and School level Improvement Plans (SLIPs) are the main activities in introducing the participatory, demand driven</w:t>
      </w:r>
      <w:r w:rsidR="007C4F4A" w:rsidRPr="005F120D">
        <w:rPr>
          <w:rFonts w:asciiTheme="minorHAnsi" w:hAnsiTheme="minorHAnsi" w:cstheme="minorHAnsi"/>
        </w:rPr>
        <w:t>,</w:t>
      </w:r>
      <w:r w:rsidR="00D56978">
        <w:rPr>
          <w:rFonts w:asciiTheme="minorHAnsi" w:hAnsiTheme="minorHAnsi" w:cstheme="minorHAnsi"/>
        </w:rPr>
        <w:t xml:space="preserve"> </w:t>
      </w:r>
      <w:r w:rsidR="00D56978" w:rsidRPr="005F120D">
        <w:rPr>
          <w:rFonts w:asciiTheme="minorHAnsi" w:hAnsiTheme="minorHAnsi" w:cstheme="minorHAnsi"/>
        </w:rPr>
        <w:t>and bottom</w:t>
      </w:r>
      <w:r w:rsidRPr="005F120D">
        <w:rPr>
          <w:rFonts w:asciiTheme="minorHAnsi" w:hAnsiTheme="minorHAnsi" w:cstheme="minorHAnsi"/>
        </w:rPr>
        <w:t>-up planning process to im</w:t>
      </w:r>
      <w:r w:rsidR="007C4F4A" w:rsidRPr="005F120D">
        <w:rPr>
          <w:rFonts w:asciiTheme="minorHAnsi" w:hAnsiTheme="minorHAnsi" w:cstheme="minorHAnsi"/>
        </w:rPr>
        <w:t>prove the present situation of Primary E</w:t>
      </w:r>
      <w:r w:rsidRPr="005F120D">
        <w:rPr>
          <w:rFonts w:asciiTheme="minorHAnsi" w:hAnsiTheme="minorHAnsi" w:cstheme="minorHAnsi"/>
        </w:rPr>
        <w:t xml:space="preserve">ducation.  The Upazilas and schools are allocated block grants to implement their plans. </w:t>
      </w:r>
    </w:p>
    <w:p w:rsidR="00706FAD" w:rsidRPr="005F120D" w:rsidRDefault="00706FAD" w:rsidP="00C437AA">
      <w:pPr>
        <w:spacing w:line="276" w:lineRule="auto"/>
        <w:jc w:val="both"/>
        <w:rPr>
          <w:rFonts w:asciiTheme="minorHAnsi" w:hAnsiTheme="minorHAnsi" w:cstheme="minorHAnsi"/>
        </w:rPr>
      </w:pPr>
      <w:r w:rsidRPr="005F120D">
        <w:rPr>
          <w:rFonts w:asciiTheme="minorHAnsi" w:hAnsiTheme="minorHAnsi" w:cstheme="minorHAnsi"/>
        </w:rPr>
        <w:t>There is a budget provision in the Annual Operation Plan (AOP) to implement SLIPs and prepare UPEPs. There are approved guidelines for the heads of expenditure where the block allocations may be spent at the school levels as well as Upazila levels.  DPE HQ releases block</w:t>
      </w:r>
      <w:r w:rsidR="007C4F4A" w:rsidRPr="005F120D">
        <w:rPr>
          <w:rFonts w:asciiTheme="minorHAnsi" w:hAnsiTheme="minorHAnsi" w:cstheme="minorHAnsi"/>
        </w:rPr>
        <w:t xml:space="preserve"> funds to the Upazilas, which are</w:t>
      </w:r>
      <w:r w:rsidRPr="005F120D">
        <w:rPr>
          <w:rFonts w:asciiTheme="minorHAnsi" w:hAnsiTheme="minorHAnsi" w:cstheme="minorHAnsi"/>
        </w:rPr>
        <w:t xml:space="preserve"> then forwarded to the schools to implement their SLIP </w:t>
      </w:r>
      <w:r w:rsidR="00F83E43">
        <w:rPr>
          <w:rFonts w:asciiTheme="minorHAnsi" w:hAnsiTheme="minorHAnsi" w:cstheme="minorHAnsi"/>
        </w:rPr>
        <w:t xml:space="preserve">planned activities and also to </w:t>
      </w:r>
      <w:r w:rsidRPr="005F120D">
        <w:rPr>
          <w:rFonts w:asciiTheme="minorHAnsi" w:hAnsiTheme="minorHAnsi" w:cstheme="minorHAnsi"/>
        </w:rPr>
        <w:t xml:space="preserve">selected </w:t>
      </w:r>
      <w:r w:rsidR="00D56978" w:rsidRPr="005F120D">
        <w:rPr>
          <w:rFonts w:asciiTheme="minorHAnsi" w:hAnsiTheme="minorHAnsi" w:cstheme="minorHAnsi"/>
        </w:rPr>
        <w:t>Upazilas</w:t>
      </w:r>
      <w:r w:rsidRPr="005F120D">
        <w:rPr>
          <w:rFonts w:asciiTheme="minorHAnsi" w:hAnsiTheme="minorHAnsi" w:cstheme="minorHAnsi"/>
        </w:rPr>
        <w:t xml:space="preserve"> only for the preparation of UPEP.  At present, the Upazilas and the schools receive grant allocations at flat rates. It is expected that, in the future, the fund will be allocated according to the requirement</w:t>
      </w:r>
      <w:r w:rsidR="007C4F4A" w:rsidRPr="005F120D">
        <w:rPr>
          <w:rFonts w:asciiTheme="minorHAnsi" w:hAnsiTheme="minorHAnsi" w:cstheme="minorHAnsi"/>
        </w:rPr>
        <w:t>s</w:t>
      </w:r>
      <w:r w:rsidRPr="005F120D">
        <w:rPr>
          <w:rFonts w:asciiTheme="minorHAnsi" w:hAnsiTheme="minorHAnsi" w:cstheme="minorHAnsi"/>
        </w:rPr>
        <w:t xml:space="preserve"> of implementing the approved UPEPs and SLIPs.</w:t>
      </w:r>
    </w:p>
    <w:p w:rsidR="00706FAD" w:rsidRPr="005F120D" w:rsidRDefault="00706FAD" w:rsidP="001451A6">
      <w:pPr>
        <w:jc w:val="both"/>
        <w:rPr>
          <w:rFonts w:asciiTheme="minorHAnsi" w:hAnsiTheme="minorHAnsi" w:cstheme="minorHAnsi"/>
        </w:rPr>
      </w:pPr>
      <w:r w:rsidRPr="005F120D">
        <w:rPr>
          <w:rFonts w:asciiTheme="minorHAnsi" w:hAnsiTheme="minorHAnsi" w:cstheme="minorHAnsi"/>
          <w:szCs w:val="22"/>
        </w:rPr>
        <w:lastRenderedPageBreak/>
        <w:t xml:space="preserve">KPI 10 is intended to </w:t>
      </w:r>
      <w:r w:rsidRPr="005F120D">
        <w:rPr>
          <w:rFonts w:asciiTheme="minorHAnsi" w:eastAsia="Calibri" w:hAnsiTheme="minorHAnsi" w:cstheme="minorHAnsi"/>
          <w:bCs/>
          <w:szCs w:val="22"/>
        </w:rPr>
        <w:t>show the AOP budget allocation for unconditional block grants (SLIPs and UPEPs</w:t>
      </w:r>
      <w:r w:rsidR="007C4F4A" w:rsidRPr="005F120D">
        <w:rPr>
          <w:rFonts w:asciiTheme="minorHAnsi" w:eastAsia="Calibri" w:hAnsiTheme="minorHAnsi" w:cstheme="minorHAnsi"/>
          <w:bCs/>
          <w:szCs w:val="22"/>
        </w:rPr>
        <w:t>)</w:t>
      </w:r>
      <w:r w:rsidRPr="005F120D">
        <w:rPr>
          <w:rFonts w:asciiTheme="minorHAnsi" w:eastAsia="Calibri" w:hAnsiTheme="minorHAnsi" w:cstheme="minorHAnsi"/>
          <w:bCs/>
          <w:szCs w:val="22"/>
        </w:rPr>
        <w:t xml:space="preserve"> for schools and </w:t>
      </w:r>
      <w:r w:rsidRPr="005F120D">
        <w:rPr>
          <w:rFonts w:asciiTheme="minorHAnsi" w:eastAsia="Calibri" w:hAnsiTheme="minorHAnsi" w:cstheme="minorHAnsi"/>
          <w:bCs/>
          <w:i/>
          <w:szCs w:val="22"/>
        </w:rPr>
        <w:t>Upazilas; KPI 11 shows expenditure.</w:t>
      </w:r>
    </w:p>
    <w:p w:rsidR="00706FAD" w:rsidRPr="005F120D" w:rsidRDefault="00706FAD" w:rsidP="001451A6">
      <w:pPr>
        <w:spacing w:after="120"/>
        <w:jc w:val="both"/>
        <w:rPr>
          <w:rFonts w:asciiTheme="minorHAnsi" w:hAnsiTheme="minorHAnsi" w:cstheme="minorHAnsi"/>
          <w:b/>
        </w:rPr>
      </w:pPr>
      <w:r w:rsidRPr="005F120D">
        <w:rPr>
          <w:rFonts w:asciiTheme="minorHAnsi" w:hAnsiTheme="minorHAnsi" w:cstheme="minorHAnsi"/>
          <w:b/>
        </w:rPr>
        <w:t xml:space="preserve">In Original AOP 2015/16, there are 5 types of allocated block grants; no funds </w:t>
      </w:r>
      <w:r w:rsidR="007C4F4A" w:rsidRPr="005F120D">
        <w:rPr>
          <w:rFonts w:asciiTheme="minorHAnsi" w:hAnsiTheme="minorHAnsi" w:cstheme="minorHAnsi"/>
          <w:b/>
        </w:rPr>
        <w:t xml:space="preserve">are </w:t>
      </w:r>
      <w:r w:rsidRPr="005F120D">
        <w:rPr>
          <w:rFonts w:asciiTheme="minorHAnsi" w:hAnsiTheme="minorHAnsi" w:cstheme="minorHAnsi"/>
          <w:b/>
        </w:rPr>
        <w:t xml:space="preserve">allocated against </w:t>
      </w:r>
      <w:r w:rsidR="00F33D2C" w:rsidRPr="005F120D">
        <w:rPr>
          <w:rFonts w:asciiTheme="minorHAnsi" w:hAnsiTheme="minorHAnsi" w:cstheme="minorHAnsi"/>
          <w:b/>
        </w:rPr>
        <w:t>two</w:t>
      </w:r>
      <w:r w:rsidRPr="005F120D">
        <w:rPr>
          <w:rFonts w:asciiTheme="minorHAnsi" w:hAnsiTheme="minorHAnsi" w:cstheme="minorHAnsi"/>
          <w:b/>
        </w:rPr>
        <w:t xml:space="preserve"> activities:</w:t>
      </w:r>
    </w:p>
    <w:p w:rsidR="00706FAD" w:rsidRPr="005F120D" w:rsidRDefault="00706FAD" w:rsidP="001451A6">
      <w:pPr>
        <w:spacing w:after="120"/>
        <w:rPr>
          <w:rFonts w:asciiTheme="minorHAnsi" w:hAnsiTheme="minorHAnsi" w:cstheme="minorHAnsi"/>
          <w:b/>
          <w:i/>
          <w:color w:val="008000"/>
        </w:rPr>
      </w:pPr>
      <w:r w:rsidRPr="005F120D">
        <w:rPr>
          <w:rFonts w:asciiTheme="minorHAnsi" w:hAnsiTheme="minorHAnsi" w:cstheme="minorHAnsi"/>
          <w:b/>
          <w:i/>
          <w:color w:val="008000"/>
        </w:rPr>
        <w:t>Unconditional Grant:</w:t>
      </w:r>
    </w:p>
    <w:p w:rsidR="00706FAD" w:rsidRPr="005F120D" w:rsidRDefault="00706FAD" w:rsidP="001451A6">
      <w:pPr>
        <w:numPr>
          <w:ilvl w:val="0"/>
          <w:numId w:val="21"/>
        </w:numPr>
        <w:contextualSpacing/>
        <w:rPr>
          <w:rFonts w:asciiTheme="minorHAnsi" w:hAnsiTheme="minorHAnsi" w:cstheme="minorHAnsi"/>
        </w:rPr>
      </w:pPr>
      <w:r w:rsidRPr="005F120D">
        <w:rPr>
          <w:rFonts w:asciiTheme="minorHAnsi" w:hAnsiTheme="minorHAnsi" w:cstheme="minorHAnsi"/>
        </w:rPr>
        <w:t>SLIP (fund allocated in 2015-16 AOP)</w:t>
      </w:r>
      <w:r w:rsidR="007C4F4A" w:rsidRPr="005F120D">
        <w:rPr>
          <w:rFonts w:asciiTheme="minorHAnsi" w:hAnsiTheme="minorHAnsi" w:cstheme="minorHAnsi"/>
        </w:rPr>
        <w:t>; and</w:t>
      </w:r>
    </w:p>
    <w:p w:rsidR="00706FAD" w:rsidRPr="005F120D" w:rsidRDefault="00706FAD" w:rsidP="001451A6">
      <w:pPr>
        <w:numPr>
          <w:ilvl w:val="0"/>
          <w:numId w:val="21"/>
        </w:numPr>
        <w:contextualSpacing/>
        <w:rPr>
          <w:rFonts w:asciiTheme="minorHAnsi" w:hAnsiTheme="minorHAnsi" w:cstheme="minorHAnsi"/>
        </w:rPr>
      </w:pPr>
      <w:r w:rsidRPr="005F120D">
        <w:rPr>
          <w:rFonts w:asciiTheme="minorHAnsi" w:hAnsiTheme="minorHAnsi" w:cstheme="minorHAnsi"/>
        </w:rPr>
        <w:t>UPEP (fund allocated in 2015-16 AOP)</w:t>
      </w:r>
      <w:r w:rsidR="007C4F4A" w:rsidRPr="005F120D">
        <w:rPr>
          <w:rFonts w:asciiTheme="minorHAnsi" w:hAnsiTheme="minorHAnsi" w:cstheme="minorHAnsi"/>
        </w:rPr>
        <w:t>.</w:t>
      </w:r>
    </w:p>
    <w:p w:rsidR="00706FAD" w:rsidRPr="005F120D" w:rsidRDefault="00706FAD" w:rsidP="001451A6">
      <w:pPr>
        <w:pStyle w:val="NoSpacing"/>
        <w:rPr>
          <w:rFonts w:asciiTheme="minorHAnsi" w:hAnsiTheme="minorHAnsi" w:cstheme="minorHAnsi"/>
          <w:b/>
          <w:i/>
          <w:color w:val="008000"/>
        </w:rPr>
      </w:pPr>
      <w:r w:rsidRPr="005F120D">
        <w:rPr>
          <w:rFonts w:asciiTheme="minorHAnsi" w:hAnsiTheme="minorHAnsi" w:cstheme="minorHAnsi"/>
          <w:b/>
          <w:i/>
          <w:color w:val="008000"/>
        </w:rPr>
        <w:t>Conditional Grant:</w:t>
      </w:r>
    </w:p>
    <w:p w:rsidR="00706FAD" w:rsidRPr="005F120D" w:rsidRDefault="00706FAD" w:rsidP="001451A6">
      <w:pPr>
        <w:numPr>
          <w:ilvl w:val="0"/>
          <w:numId w:val="21"/>
        </w:numPr>
        <w:contextualSpacing/>
        <w:rPr>
          <w:rFonts w:asciiTheme="minorHAnsi" w:hAnsiTheme="minorHAnsi" w:cstheme="minorHAnsi"/>
        </w:rPr>
      </w:pPr>
      <w:r w:rsidRPr="005F120D">
        <w:rPr>
          <w:rFonts w:asciiTheme="minorHAnsi" w:hAnsiTheme="minorHAnsi" w:cstheme="minorHAnsi"/>
        </w:rPr>
        <w:t>Inclusive Education (fund allocated in 2015-16 AOP)</w:t>
      </w:r>
      <w:r w:rsidR="007C4F4A" w:rsidRPr="005F120D">
        <w:rPr>
          <w:rFonts w:asciiTheme="minorHAnsi" w:hAnsiTheme="minorHAnsi" w:cstheme="minorHAnsi"/>
        </w:rPr>
        <w:t>;</w:t>
      </w:r>
    </w:p>
    <w:p w:rsidR="00706FAD" w:rsidRPr="005F120D" w:rsidRDefault="00706FAD" w:rsidP="001451A6">
      <w:pPr>
        <w:numPr>
          <w:ilvl w:val="0"/>
          <w:numId w:val="21"/>
        </w:numPr>
        <w:contextualSpacing/>
        <w:rPr>
          <w:rFonts w:asciiTheme="minorHAnsi" w:hAnsiTheme="minorHAnsi" w:cstheme="minorHAnsi"/>
        </w:rPr>
      </w:pPr>
      <w:r w:rsidRPr="005F120D">
        <w:rPr>
          <w:rFonts w:asciiTheme="minorHAnsi" w:hAnsiTheme="minorHAnsi" w:cstheme="minorHAnsi"/>
        </w:rPr>
        <w:t>Pre-primary Operational Cost</w:t>
      </w:r>
      <w:r w:rsidR="007C4F4A" w:rsidRPr="005F120D">
        <w:rPr>
          <w:rFonts w:asciiTheme="minorHAnsi" w:hAnsiTheme="minorHAnsi" w:cstheme="minorHAnsi"/>
        </w:rPr>
        <w:t>s</w:t>
      </w:r>
      <w:r w:rsidRPr="005F120D">
        <w:rPr>
          <w:rFonts w:asciiTheme="minorHAnsi" w:hAnsiTheme="minorHAnsi" w:cstheme="minorHAnsi"/>
        </w:rPr>
        <w:t xml:space="preserve"> (fund allocated in 2015-16 AOP)</w:t>
      </w:r>
      <w:r w:rsidR="007C4F4A" w:rsidRPr="005F120D">
        <w:rPr>
          <w:rFonts w:asciiTheme="minorHAnsi" w:hAnsiTheme="minorHAnsi" w:cstheme="minorHAnsi"/>
        </w:rPr>
        <w:t>;</w:t>
      </w:r>
    </w:p>
    <w:p w:rsidR="00706FAD" w:rsidRPr="005F120D" w:rsidRDefault="007C4F4A" w:rsidP="001451A6">
      <w:pPr>
        <w:numPr>
          <w:ilvl w:val="0"/>
          <w:numId w:val="21"/>
        </w:numPr>
        <w:contextualSpacing/>
        <w:rPr>
          <w:rFonts w:asciiTheme="minorHAnsi" w:hAnsiTheme="minorHAnsi" w:cstheme="minorHAnsi"/>
        </w:rPr>
      </w:pPr>
      <w:r w:rsidRPr="005F120D">
        <w:rPr>
          <w:rFonts w:asciiTheme="minorHAnsi" w:hAnsiTheme="minorHAnsi" w:cstheme="minorHAnsi"/>
        </w:rPr>
        <w:t>Education in Emergencies</w:t>
      </w:r>
      <w:r w:rsidR="00706FAD" w:rsidRPr="005F120D">
        <w:rPr>
          <w:rFonts w:asciiTheme="minorHAnsi" w:hAnsiTheme="minorHAnsi" w:cstheme="minorHAnsi"/>
        </w:rPr>
        <w:t xml:space="preserve"> (fund allocated in 2015-16 AOP)</w:t>
      </w:r>
      <w:r w:rsidRPr="005F120D">
        <w:rPr>
          <w:rFonts w:asciiTheme="minorHAnsi" w:hAnsiTheme="minorHAnsi" w:cstheme="minorHAnsi"/>
        </w:rPr>
        <w:t>;</w:t>
      </w:r>
    </w:p>
    <w:p w:rsidR="00706FAD" w:rsidRPr="005F120D" w:rsidRDefault="00706FAD" w:rsidP="001451A6">
      <w:pPr>
        <w:numPr>
          <w:ilvl w:val="0"/>
          <w:numId w:val="21"/>
        </w:numPr>
        <w:contextualSpacing/>
        <w:rPr>
          <w:rFonts w:asciiTheme="minorHAnsi" w:hAnsiTheme="minorHAnsi" w:cstheme="minorHAnsi"/>
          <w:color w:val="3333FF"/>
        </w:rPr>
      </w:pPr>
      <w:r w:rsidRPr="005F120D">
        <w:rPr>
          <w:rFonts w:asciiTheme="minorHAnsi" w:hAnsiTheme="minorHAnsi" w:cstheme="minorHAnsi"/>
        </w:rPr>
        <w:t xml:space="preserve">School Health/Medical Team </w:t>
      </w:r>
      <w:r w:rsidRPr="005F120D">
        <w:rPr>
          <w:rFonts w:asciiTheme="minorHAnsi" w:hAnsiTheme="minorHAnsi" w:cstheme="minorHAnsi"/>
          <w:color w:val="3333FF"/>
        </w:rPr>
        <w:t>(no fund allocated in 2015-16 AOP)</w:t>
      </w:r>
      <w:r w:rsidR="007C4F4A" w:rsidRPr="005F120D">
        <w:rPr>
          <w:rFonts w:asciiTheme="minorHAnsi" w:hAnsiTheme="minorHAnsi" w:cstheme="minorHAnsi"/>
          <w:color w:val="3333FF"/>
        </w:rPr>
        <w:t>;</w:t>
      </w:r>
    </w:p>
    <w:p w:rsidR="00706FAD" w:rsidRPr="005F120D" w:rsidRDefault="00706FAD" w:rsidP="001451A6">
      <w:pPr>
        <w:numPr>
          <w:ilvl w:val="0"/>
          <w:numId w:val="21"/>
        </w:numPr>
        <w:spacing w:after="0"/>
        <w:contextualSpacing/>
        <w:rPr>
          <w:rFonts w:asciiTheme="minorHAnsi" w:hAnsiTheme="minorHAnsi" w:cstheme="minorHAnsi"/>
          <w:color w:val="3333FF"/>
        </w:rPr>
      </w:pPr>
      <w:r w:rsidRPr="005F120D">
        <w:rPr>
          <w:rFonts w:asciiTheme="minorHAnsi" w:hAnsiTheme="minorHAnsi" w:cstheme="minorHAnsi"/>
        </w:rPr>
        <w:t xml:space="preserve">Para Teachers </w:t>
      </w:r>
      <w:r w:rsidRPr="005F120D">
        <w:rPr>
          <w:rFonts w:asciiTheme="minorHAnsi" w:hAnsiTheme="minorHAnsi" w:cstheme="minorHAnsi"/>
          <w:color w:val="3333FF"/>
        </w:rPr>
        <w:t>(no fund allocated in 2015-16 AOP)</w:t>
      </w:r>
      <w:r w:rsidR="007C4F4A" w:rsidRPr="005F120D">
        <w:rPr>
          <w:rFonts w:asciiTheme="minorHAnsi" w:hAnsiTheme="minorHAnsi" w:cstheme="minorHAnsi"/>
          <w:color w:val="3333FF"/>
        </w:rPr>
        <w:t>.</w:t>
      </w:r>
    </w:p>
    <w:p w:rsidR="00706FAD" w:rsidRPr="005F120D" w:rsidRDefault="00706FAD" w:rsidP="001451A6">
      <w:pPr>
        <w:ind w:left="720"/>
        <w:contextualSpacing/>
        <w:rPr>
          <w:rFonts w:asciiTheme="minorHAnsi" w:hAnsiTheme="minorHAnsi" w:cstheme="minorHAnsi"/>
        </w:rPr>
      </w:pPr>
    </w:p>
    <w:p w:rsidR="00A03624" w:rsidRPr="005F120D" w:rsidRDefault="00706FAD" w:rsidP="001451A6">
      <w:pPr>
        <w:rPr>
          <w:rFonts w:asciiTheme="minorHAnsi" w:hAnsiTheme="minorHAnsi" w:cstheme="minorHAnsi"/>
        </w:rPr>
      </w:pPr>
      <w:r w:rsidRPr="005F120D">
        <w:rPr>
          <w:rFonts w:asciiTheme="minorHAnsi" w:hAnsiTheme="minorHAnsi" w:cstheme="minorHAnsi"/>
        </w:rPr>
        <w:t>Detailed block grant budgets in AOP 2015-16 are shown in Table</w:t>
      </w:r>
      <w:r w:rsidR="007B77FC" w:rsidRPr="005F120D">
        <w:rPr>
          <w:rFonts w:asciiTheme="minorHAnsi" w:hAnsiTheme="minorHAnsi" w:cstheme="minorHAnsi"/>
        </w:rPr>
        <w:t xml:space="preserve"> 3.24</w:t>
      </w:r>
      <w:r w:rsidRPr="005F120D">
        <w:rPr>
          <w:rFonts w:asciiTheme="minorHAnsi" w:hAnsiTheme="minorHAnsi" w:cstheme="minorHAnsi"/>
        </w:rPr>
        <w:t xml:space="preserve"> below</w:t>
      </w:r>
    </w:p>
    <w:p w:rsidR="00CF13DC" w:rsidRPr="005F120D" w:rsidRDefault="00CF13DC" w:rsidP="00C437AA">
      <w:pPr>
        <w:pStyle w:val="Caption"/>
        <w:spacing w:line="276" w:lineRule="auto"/>
        <w:rPr>
          <w:rFonts w:cstheme="minorHAnsi"/>
        </w:rPr>
      </w:pPr>
      <w:bookmarkStart w:id="371" w:name="_Toc462837281"/>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24</w:t>
      </w:r>
      <w:r w:rsidR="002E2ED5" w:rsidRPr="005F120D">
        <w:rPr>
          <w:rFonts w:cstheme="minorHAnsi"/>
        </w:rPr>
        <w:fldChar w:fldCharType="end"/>
      </w:r>
      <w:r w:rsidR="006A7739" w:rsidRPr="005F120D">
        <w:rPr>
          <w:rFonts w:cstheme="minorHAnsi"/>
        </w:rPr>
        <w:t>:</w:t>
      </w:r>
      <w:r w:rsidR="00175D07" w:rsidRPr="005F120D">
        <w:rPr>
          <w:rFonts w:cstheme="minorHAnsi"/>
        </w:rPr>
        <w:t xml:space="preserve"> Block Grant Budget FY 2015</w:t>
      </w:r>
      <w:r w:rsidRPr="005F120D">
        <w:rPr>
          <w:rFonts w:cstheme="minorHAnsi"/>
        </w:rPr>
        <w:t>-1</w:t>
      </w:r>
      <w:r w:rsidR="00175D07" w:rsidRPr="005F120D">
        <w:rPr>
          <w:rFonts w:cstheme="minorHAnsi"/>
        </w:rPr>
        <w:t>6</w:t>
      </w:r>
      <w:bookmarkEnd w:id="371"/>
    </w:p>
    <w:tbl>
      <w:tblPr>
        <w:tblW w:w="5000"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4A0"/>
      </w:tblPr>
      <w:tblGrid>
        <w:gridCol w:w="827"/>
        <w:gridCol w:w="4120"/>
        <w:gridCol w:w="1031"/>
        <w:gridCol w:w="1032"/>
        <w:gridCol w:w="1032"/>
        <w:gridCol w:w="1203"/>
      </w:tblGrid>
      <w:tr w:rsidR="00966E3C" w:rsidRPr="005F120D" w:rsidTr="00A03624">
        <w:trPr>
          <w:trHeight w:hRule="exact" w:val="288"/>
        </w:trPr>
        <w:tc>
          <w:tcPr>
            <w:tcW w:w="448" w:type="pct"/>
            <w:vMerge w:val="restart"/>
            <w:tcBorders>
              <w:top w:val="double" w:sz="4" w:space="0" w:color="948A54" w:themeColor="background2" w:themeShade="80"/>
              <w:bottom w:val="single" w:sz="6" w:space="0" w:color="948A54" w:themeColor="background2" w:themeShade="80"/>
            </w:tcBorders>
            <w:shd w:val="clear" w:color="auto" w:fill="C2D69B" w:themeFill="accent3" w:themeFillTint="99"/>
            <w:vAlign w:val="center"/>
          </w:tcPr>
          <w:p w:rsidR="00966E3C" w:rsidRPr="005F120D" w:rsidRDefault="00966E3C" w:rsidP="00A03624">
            <w:pPr>
              <w:pStyle w:val="NoSpacing"/>
              <w:jc w:val="center"/>
              <w:rPr>
                <w:rFonts w:asciiTheme="minorHAnsi" w:hAnsiTheme="minorHAnsi" w:cstheme="minorHAnsi"/>
                <w:sz w:val="20"/>
              </w:rPr>
            </w:pPr>
            <w:r w:rsidRPr="005F120D">
              <w:rPr>
                <w:rFonts w:asciiTheme="minorHAnsi" w:hAnsiTheme="minorHAnsi" w:cstheme="minorHAnsi"/>
                <w:sz w:val="20"/>
              </w:rPr>
              <w:t>AOP SL. No.</w:t>
            </w:r>
          </w:p>
        </w:tc>
        <w:tc>
          <w:tcPr>
            <w:tcW w:w="2229" w:type="pct"/>
            <w:vMerge w:val="restart"/>
            <w:tcBorders>
              <w:top w:val="double" w:sz="4" w:space="0" w:color="948A54" w:themeColor="background2" w:themeShade="80"/>
              <w:bottom w:val="single" w:sz="6" w:space="0" w:color="948A54" w:themeColor="background2" w:themeShade="80"/>
            </w:tcBorders>
            <w:shd w:val="clear" w:color="auto" w:fill="C2D69B" w:themeFill="accent3" w:themeFillTint="99"/>
            <w:vAlign w:val="center"/>
          </w:tcPr>
          <w:p w:rsidR="00966E3C" w:rsidRPr="005F120D" w:rsidRDefault="00966E3C" w:rsidP="00A03624">
            <w:pPr>
              <w:pStyle w:val="NoSpacing"/>
              <w:jc w:val="center"/>
              <w:rPr>
                <w:rFonts w:asciiTheme="minorHAnsi" w:hAnsiTheme="minorHAnsi" w:cstheme="minorHAnsi"/>
                <w:sz w:val="20"/>
              </w:rPr>
            </w:pPr>
            <w:r w:rsidRPr="005F120D">
              <w:rPr>
                <w:rFonts w:asciiTheme="minorHAnsi" w:hAnsiTheme="minorHAnsi" w:cstheme="minorHAnsi"/>
                <w:sz w:val="20"/>
              </w:rPr>
              <w:t>PEDP3 Sub-components</w:t>
            </w:r>
          </w:p>
          <w:p w:rsidR="00966E3C" w:rsidRPr="005F120D" w:rsidRDefault="00966E3C" w:rsidP="00A03624">
            <w:pPr>
              <w:pStyle w:val="NoSpacing"/>
              <w:jc w:val="center"/>
              <w:rPr>
                <w:rFonts w:asciiTheme="minorHAnsi" w:hAnsiTheme="minorHAnsi" w:cstheme="minorHAnsi"/>
                <w:sz w:val="20"/>
              </w:rPr>
            </w:pPr>
            <w:r w:rsidRPr="005F120D">
              <w:rPr>
                <w:rFonts w:asciiTheme="minorHAnsi" w:hAnsiTheme="minorHAnsi" w:cstheme="minorHAnsi"/>
                <w:i/>
                <w:sz w:val="20"/>
              </w:rPr>
              <w:t xml:space="preserve">(Taka </w:t>
            </w:r>
            <w:r w:rsidR="00F738CE" w:rsidRPr="005F120D">
              <w:rPr>
                <w:rFonts w:asciiTheme="minorHAnsi" w:hAnsiTheme="minorHAnsi" w:cstheme="minorHAnsi"/>
                <w:i/>
                <w:sz w:val="20"/>
              </w:rPr>
              <w:t>Lac</w:t>
            </w:r>
            <w:r w:rsidRPr="005F120D">
              <w:rPr>
                <w:rFonts w:asciiTheme="minorHAnsi" w:hAnsiTheme="minorHAnsi" w:cstheme="minorHAnsi"/>
                <w:i/>
                <w:sz w:val="20"/>
              </w:rPr>
              <w:t>)</w:t>
            </w:r>
          </w:p>
        </w:tc>
        <w:tc>
          <w:tcPr>
            <w:tcW w:w="1115" w:type="pct"/>
            <w:gridSpan w:val="2"/>
            <w:tcBorders>
              <w:top w:val="double" w:sz="4" w:space="0" w:color="948A54" w:themeColor="background2" w:themeShade="80"/>
              <w:bottom w:val="single" w:sz="6" w:space="0" w:color="948A54" w:themeColor="background2" w:themeShade="80"/>
            </w:tcBorders>
            <w:shd w:val="clear" w:color="auto" w:fill="C2D69B" w:themeFill="accent3" w:themeFillTint="99"/>
            <w:vAlign w:val="center"/>
          </w:tcPr>
          <w:p w:rsidR="00966E3C" w:rsidRPr="005F120D" w:rsidRDefault="00966E3C" w:rsidP="00A03624">
            <w:pPr>
              <w:pStyle w:val="NoSpacing"/>
              <w:jc w:val="center"/>
              <w:rPr>
                <w:rFonts w:asciiTheme="minorHAnsi" w:hAnsiTheme="minorHAnsi" w:cstheme="minorHAnsi"/>
                <w:sz w:val="20"/>
              </w:rPr>
            </w:pPr>
            <w:r w:rsidRPr="005F120D">
              <w:rPr>
                <w:rFonts w:asciiTheme="minorHAnsi" w:hAnsiTheme="minorHAnsi" w:cstheme="minorHAnsi"/>
                <w:sz w:val="20"/>
              </w:rPr>
              <w:t>AOP 2014-15</w:t>
            </w:r>
          </w:p>
        </w:tc>
        <w:tc>
          <w:tcPr>
            <w:tcW w:w="1208" w:type="pct"/>
            <w:gridSpan w:val="2"/>
            <w:tcBorders>
              <w:top w:val="double" w:sz="4" w:space="0" w:color="948A54" w:themeColor="background2" w:themeShade="80"/>
              <w:bottom w:val="single" w:sz="6" w:space="0" w:color="948A54" w:themeColor="background2" w:themeShade="80"/>
            </w:tcBorders>
            <w:shd w:val="clear" w:color="auto" w:fill="C2D69B" w:themeFill="accent3" w:themeFillTint="99"/>
            <w:vAlign w:val="center"/>
          </w:tcPr>
          <w:p w:rsidR="00966E3C" w:rsidRPr="005F120D" w:rsidRDefault="00966E3C" w:rsidP="00A03624">
            <w:pPr>
              <w:pStyle w:val="NoSpacing"/>
              <w:jc w:val="center"/>
              <w:rPr>
                <w:rFonts w:asciiTheme="minorHAnsi" w:hAnsiTheme="minorHAnsi" w:cstheme="minorHAnsi"/>
                <w:sz w:val="20"/>
              </w:rPr>
            </w:pPr>
            <w:r w:rsidRPr="005F120D">
              <w:rPr>
                <w:rFonts w:asciiTheme="minorHAnsi" w:hAnsiTheme="minorHAnsi" w:cstheme="minorHAnsi"/>
                <w:sz w:val="20"/>
              </w:rPr>
              <w:t>AOP 2015-16</w:t>
            </w:r>
          </w:p>
        </w:tc>
      </w:tr>
      <w:tr w:rsidR="00966E3C" w:rsidRPr="005F120D" w:rsidTr="00A03624">
        <w:trPr>
          <w:trHeight w:hRule="exact" w:val="288"/>
        </w:trPr>
        <w:tc>
          <w:tcPr>
            <w:tcW w:w="448" w:type="pct"/>
            <w:vMerge/>
            <w:tcBorders>
              <w:top w:val="single" w:sz="6" w:space="0" w:color="948A54" w:themeColor="background2" w:themeShade="80"/>
              <w:bottom w:val="double" w:sz="4" w:space="0" w:color="948A54" w:themeColor="background2" w:themeShade="80"/>
            </w:tcBorders>
            <w:shd w:val="clear" w:color="auto" w:fill="C2D69B" w:themeFill="accent3" w:themeFillTint="99"/>
            <w:vAlign w:val="center"/>
          </w:tcPr>
          <w:p w:rsidR="00966E3C" w:rsidRPr="005F120D" w:rsidRDefault="00966E3C" w:rsidP="00A03624">
            <w:pPr>
              <w:pStyle w:val="NoSpacing"/>
              <w:jc w:val="center"/>
              <w:rPr>
                <w:rFonts w:asciiTheme="minorHAnsi" w:hAnsiTheme="minorHAnsi" w:cstheme="minorHAnsi"/>
                <w:sz w:val="20"/>
              </w:rPr>
            </w:pPr>
          </w:p>
        </w:tc>
        <w:tc>
          <w:tcPr>
            <w:tcW w:w="2229" w:type="pct"/>
            <w:vMerge/>
            <w:tcBorders>
              <w:top w:val="single" w:sz="6" w:space="0" w:color="948A54" w:themeColor="background2" w:themeShade="80"/>
              <w:bottom w:val="double" w:sz="4" w:space="0" w:color="948A54" w:themeColor="background2" w:themeShade="80"/>
            </w:tcBorders>
            <w:shd w:val="clear" w:color="auto" w:fill="C2D69B" w:themeFill="accent3" w:themeFillTint="99"/>
            <w:vAlign w:val="center"/>
          </w:tcPr>
          <w:p w:rsidR="00966E3C" w:rsidRPr="005F120D" w:rsidRDefault="00966E3C" w:rsidP="00A03624">
            <w:pPr>
              <w:pStyle w:val="NoSpacing"/>
              <w:jc w:val="center"/>
              <w:rPr>
                <w:rFonts w:asciiTheme="minorHAnsi" w:hAnsiTheme="minorHAnsi" w:cstheme="minorHAnsi"/>
                <w:sz w:val="20"/>
              </w:rPr>
            </w:pPr>
          </w:p>
        </w:tc>
        <w:tc>
          <w:tcPr>
            <w:tcW w:w="558" w:type="pct"/>
            <w:tcBorders>
              <w:top w:val="single" w:sz="6" w:space="0" w:color="948A54" w:themeColor="background2" w:themeShade="80"/>
              <w:bottom w:val="double" w:sz="4" w:space="0" w:color="948A54" w:themeColor="background2" w:themeShade="80"/>
            </w:tcBorders>
            <w:shd w:val="clear" w:color="auto" w:fill="C2D69B" w:themeFill="accent3" w:themeFillTint="99"/>
            <w:vAlign w:val="center"/>
          </w:tcPr>
          <w:p w:rsidR="00966E3C" w:rsidRPr="005F120D" w:rsidRDefault="00966E3C" w:rsidP="00A03624">
            <w:pPr>
              <w:pStyle w:val="NoSpacing"/>
              <w:jc w:val="center"/>
              <w:rPr>
                <w:rFonts w:asciiTheme="minorHAnsi" w:hAnsiTheme="minorHAnsi" w:cstheme="minorHAnsi"/>
                <w:sz w:val="20"/>
              </w:rPr>
            </w:pPr>
            <w:r w:rsidRPr="005F120D">
              <w:rPr>
                <w:rFonts w:asciiTheme="minorHAnsi" w:hAnsiTheme="minorHAnsi" w:cstheme="minorHAnsi"/>
                <w:sz w:val="20"/>
              </w:rPr>
              <w:t>Original</w:t>
            </w:r>
          </w:p>
          <w:p w:rsidR="00966E3C" w:rsidRPr="005F120D" w:rsidRDefault="00966E3C" w:rsidP="00A03624">
            <w:pPr>
              <w:pStyle w:val="NoSpacing"/>
              <w:jc w:val="center"/>
              <w:rPr>
                <w:rFonts w:asciiTheme="minorHAnsi" w:hAnsiTheme="minorHAnsi" w:cstheme="minorHAnsi"/>
                <w:sz w:val="20"/>
              </w:rPr>
            </w:pPr>
          </w:p>
        </w:tc>
        <w:tc>
          <w:tcPr>
            <w:tcW w:w="558" w:type="pct"/>
            <w:tcBorders>
              <w:top w:val="single" w:sz="6" w:space="0" w:color="948A54" w:themeColor="background2" w:themeShade="80"/>
              <w:bottom w:val="double" w:sz="4" w:space="0" w:color="948A54" w:themeColor="background2" w:themeShade="80"/>
            </w:tcBorders>
            <w:shd w:val="clear" w:color="auto" w:fill="C2D69B" w:themeFill="accent3" w:themeFillTint="99"/>
            <w:vAlign w:val="center"/>
          </w:tcPr>
          <w:p w:rsidR="00966E3C" w:rsidRPr="005F120D" w:rsidRDefault="00966E3C" w:rsidP="00A03624">
            <w:pPr>
              <w:pStyle w:val="NoSpacing"/>
              <w:jc w:val="center"/>
              <w:rPr>
                <w:rFonts w:asciiTheme="minorHAnsi" w:hAnsiTheme="minorHAnsi" w:cstheme="minorHAnsi"/>
                <w:sz w:val="20"/>
              </w:rPr>
            </w:pPr>
            <w:r w:rsidRPr="005F120D">
              <w:rPr>
                <w:rFonts w:asciiTheme="minorHAnsi" w:hAnsiTheme="minorHAnsi" w:cstheme="minorHAnsi"/>
                <w:sz w:val="20"/>
              </w:rPr>
              <w:t>Revised</w:t>
            </w:r>
          </w:p>
          <w:p w:rsidR="00966E3C" w:rsidRPr="005F120D" w:rsidRDefault="00966E3C" w:rsidP="00A03624">
            <w:pPr>
              <w:pStyle w:val="NoSpacing"/>
              <w:jc w:val="center"/>
              <w:rPr>
                <w:rFonts w:asciiTheme="minorHAnsi" w:hAnsiTheme="minorHAnsi" w:cstheme="minorHAnsi"/>
                <w:sz w:val="20"/>
              </w:rPr>
            </w:pPr>
          </w:p>
        </w:tc>
        <w:tc>
          <w:tcPr>
            <w:tcW w:w="558" w:type="pct"/>
            <w:tcBorders>
              <w:top w:val="single" w:sz="6" w:space="0" w:color="948A54" w:themeColor="background2" w:themeShade="80"/>
              <w:bottom w:val="double" w:sz="4" w:space="0" w:color="948A54" w:themeColor="background2" w:themeShade="80"/>
            </w:tcBorders>
            <w:shd w:val="clear" w:color="auto" w:fill="C2D69B" w:themeFill="accent3" w:themeFillTint="99"/>
            <w:vAlign w:val="center"/>
          </w:tcPr>
          <w:p w:rsidR="00966E3C" w:rsidRPr="005F120D" w:rsidRDefault="00966E3C" w:rsidP="00A03624">
            <w:pPr>
              <w:pStyle w:val="NoSpacing"/>
              <w:jc w:val="center"/>
              <w:rPr>
                <w:rFonts w:asciiTheme="minorHAnsi" w:hAnsiTheme="minorHAnsi" w:cstheme="minorHAnsi"/>
                <w:sz w:val="20"/>
              </w:rPr>
            </w:pPr>
            <w:r w:rsidRPr="005F120D">
              <w:rPr>
                <w:rFonts w:asciiTheme="minorHAnsi" w:hAnsiTheme="minorHAnsi" w:cstheme="minorHAnsi"/>
                <w:sz w:val="20"/>
              </w:rPr>
              <w:t>Original</w:t>
            </w:r>
          </w:p>
          <w:p w:rsidR="00966E3C" w:rsidRPr="005F120D" w:rsidRDefault="00966E3C" w:rsidP="00A03624">
            <w:pPr>
              <w:pStyle w:val="NoSpacing"/>
              <w:jc w:val="center"/>
              <w:rPr>
                <w:rFonts w:asciiTheme="minorHAnsi" w:hAnsiTheme="minorHAnsi" w:cstheme="minorHAnsi"/>
                <w:sz w:val="20"/>
              </w:rPr>
            </w:pPr>
          </w:p>
        </w:tc>
        <w:tc>
          <w:tcPr>
            <w:tcW w:w="651" w:type="pct"/>
            <w:tcBorders>
              <w:top w:val="single" w:sz="6" w:space="0" w:color="948A54" w:themeColor="background2" w:themeShade="80"/>
              <w:bottom w:val="double" w:sz="4" w:space="0" w:color="948A54" w:themeColor="background2" w:themeShade="80"/>
            </w:tcBorders>
            <w:shd w:val="clear" w:color="auto" w:fill="C2D69B" w:themeFill="accent3" w:themeFillTint="99"/>
            <w:vAlign w:val="center"/>
          </w:tcPr>
          <w:p w:rsidR="00966E3C" w:rsidRPr="005F120D" w:rsidRDefault="00641449" w:rsidP="00A03624">
            <w:pPr>
              <w:pStyle w:val="NoSpacing"/>
              <w:jc w:val="center"/>
              <w:rPr>
                <w:rFonts w:asciiTheme="minorHAnsi" w:hAnsiTheme="minorHAnsi" w:cstheme="minorHAnsi"/>
                <w:sz w:val="20"/>
              </w:rPr>
            </w:pPr>
            <w:r w:rsidRPr="005F120D">
              <w:rPr>
                <w:rFonts w:asciiTheme="minorHAnsi" w:hAnsiTheme="minorHAnsi" w:cstheme="minorHAnsi"/>
                <w:sz w:val="20"/>
              </w:rPr>
              <w:t>Expenditure as of March</w:t>
            </w:r>
          </w:p>
          <w:p w:rsidR="00966E3C" w:rsidRPr="005F120D" w:rsidRDefault="00966E3C" w:rsidP="00A03624">
            <w:pPr>
              <w:pStyle w:val="NoSpacing"/>
              <w:jc w:val="center"/>
              <w:rPr>
                <w:rFonts w:asciiTheme="minorHAnsi" w:hAnsiTheme="minorHAnsi" w:cstheme="minorHAnsi"/>
                <w:sz w:val="20"/>
              </w:rPr>
            </w:pPr>
          </w:p>
        </w:tc>
      </w:tr>
      <w:tr w:rsidR="00966E3C" w:rsidRPr="005F120D" w:rsidTr="00A03624">
        <w:trPr>
          <w:trHeight w:hRule="exact" w:val="288"/>
        </w:trPr>
        <w:tc>
          <w:tcPr>
            <w:tcW w:w="448" w:type="pct"/>
            <w:tcBorders>
              <w:top w:val="double" w:sz="4" w:space="0" w:color="948A54" w:themeColor="background2" w:themeShade="80"/>
              <w:bottom w:val="single" w:sz="6" w:space="0" w:color="948A54" w:themeColor="background2" w:themeShade="80"/>
            </w:tcBorders>
            <w:shd w:val="clear" w:color="auto" w:fill="DDD9C3" w:themeFill="background2" w:themeFillShade="E6"/>
            <w:vAlign w:val="center"/>
          </w:tcPr>
          <w:p w:rsidR="00966E3C" w:rsidRPr="005F120D" w:rsidRDefault="00966E3C" w:rsidP="00A03624">
            <w:pPr>
              <w:pStyle w:val="NoSpacing"/>
              <w:jc w:val="center"/>
              <w:rPr>
                <w:rFonts w:asciiTheme="minorHAnsi" w:hAnsiTheme="minorHAnsi" w:cstheme="minorHAnsi"/>
                <w:b/>
                <w:sz w:val="20"/>
              </w:rPr>
            </w:pPr>
          </w:p>
        </w:tc>
        <w:tc>
          <w:tcPr>
            <w:tcW w:w="2229" w:type="pct"/>
            <w:tcBorders>
              <w:top w:val="double" w:sz="4" w:space="0" w:color="948A54" w:themeColor="background2" w:themeShade="80"/>
              <w:bottom w:val="single" w:sz="6" w:space="0" w:color="948A54" w:themeColor="background2" w:themeShade="80"/>
            </w:tcBorders>
            <w:shd w:val="clear" w:color="auto" w:fill="DDD9C3" w:themeFill="background2" w:themeFillShade="E6"/>
            <w:vAlign w:val="center"/>
            <w:hideMark/>
          </w:tcPr>
          <w:p w:rsidR="00966E3C" w:rsidRPr="005F120D" w:rsidRDefault="00966E3C" w:rsidP="00A03624">
            <w:pPr>
              <w:pStyle w:val="NoSpacing"/>
              <w:jc w:val="center"/>
              <w:rPr>
                <w:rFonts w:asciiTheme="minorHAnsi" w:hAnsiTheme="minorHAnsi" w:cstheme="minorHAnsi"/>
                <w:b/>
                <w:sz w:val="20"/>
              </w:rPr>
            </w:pPr>
            <w:r w:rsidRPr="005F120D">
              <w:rPr>
                <w:rFonts w:asciiTheme="minorHAnsi" w:hAnsiTheme="minorHAnsi" w:cstheme="minorHAnsi"/>
                <w:b/>
                <w:sz w:val="20"/>
              </w:rPr>
              <w:t>Unconditional</w:t>
            </w:r>
          </w:p>
        </w:tc>
        <w:tc>
          <w:tcPr>
            <w:tcW w:w="558" w:type="pct"/>
            <w:tcBorders>
              <w:top w:val="double" w:sz="4" w:space="0" w:color="948A54" w:themeColor="background2" w:themeShade="80"/>
              <w:bottom w:val="single" w:sz="6" w:space="0" w:color="948A54" w:themeColor="background2" w:themeShade="80"/>
            </w:tcBorders>
            <w:shd w:val="clear" w:color="auto" w:fill="DDD9C3" w:themeFill="background2" w:themeFillShade="E6"/>
            <w:vAlign w:val="center"/>
          </w:tcPr>
          <w:p w:rsidR="00966E3C" w:rsidRPr="005F120D" w:rsidRDefault="00966E3C" w:rsidP="00A03624">
            <w:pPr>
              <w:spacing w:after="0"/>
              <w:jc w:val="center"/>
              <w:rPr>
                <w:rFonts w:asciiTheme="minorHAnsi" w:hAnsiTheme="minorHAnsi" w:cstheme="minorHAnsi"/>
                <w:sz w:val="20"/>
                <w:lang w:eastAsia="ja-JP"/>
              </w:rPr>
            </w:pPr>
          </w:p>
        </w:tc>
        <w:tc>
          <w:tcPr>
            <w:tcW w:w="558" w:type="pct"/>
            <w:tcBorders>
              <w:top w:val="double" w:sz="4" w:space="0" w:color="948A54" w:themeColor="background2" w:themeShade="80"/>
              <w:bottom w:val="single" w:sz="6" w:space="0" w:color="948A54" w:themeColor="background2" w:themeShade="80"/>
            </w:tcBorders>
            <w:shd w:val="clear" w:color="auto" w:fill="DDD9C3" w:themeFill="background2" w:themeFillShade="E6"/>
            <w:vAlign w:val="center"/>
          </w:tcPr>
          <w:p w:rsidR="00966E3C" w:rsidRPr="005F120D" w:rsidRDefault="00966E3C" w:rsidP="00A03624">
            <w:pPr>
              <w:spacing w:after="0"/>
              <w:jc w:val="center"/>
              <w:rPr>
                <w:rFonts w:asciiTheme="minorHAnsi" w:hAnsiTheme="minorHAnsi" w:cstheme="minorHAnsi"/>
                <w:sz w:val="20"/>
                <w:lang w:eastAsia="ja-JP"/>
              </w:rPr>
            </w:pPr>
          </w:p>
        </w:tc>
        <w:tc>
          <w:tcPr>
            <w:tcW w:w="558" w:type="pct"/>
            <w:tcBorders>
              <w:top w:val="double" w:sz="4" w:space="0" w:color="948A54" w:themeColor="background2" w:themeShade="80"/>
              <w:bottom w:val="single" w:sz="6" w:space="0" w:color="948A54" w:themeColor="background2" w:themeShade="80"/>
            </w:tcBorders>
            <w:shd w:val="clear" w:color="auto" w:fill="DDD9C3" w:themeFill="background2" w:themeFillShade="E6"/>
            <w:vAlign w:val="center"/>
            <w:hideMark/>
          </w:tcPr>
          <w:p w:rsidR="00966E3C" w:rsidRPr="005F120D" w:rsidRDefault="00966E3C" w:rsidP="00A03624">
            <w:pPr>
              <w:spacing w:after="0"/>
              <w:jc w:val="center"/>
              <w:rPr>
                <w:rFonts w:asciiTheme="minorHAnsi" w:hAnsiTheme="minorHAnsi" w:cstheme="minorHAnsi"/>
                <w:sz w:val="20"/>
                <w:lang w:eastAsia="ja-JP"/>
              </w:rPr>
            </w:pPr>
          </w:p>
        </w:tc>
        <w:tc>
          <w:tcPr>
            <w:tcW w:w="651" w:type="pct"/>
            <w:tcBorders>
              <w:top w:val="double" w:sz="4" w:space="0" w:color="948A54" w:themeColor="background2" w:themeShade="80"/>
              <w:bottom w:val="single" w:sz="6" w:space="0" w:color="948A54" w:themeColor="background2" w:themeShade="80"/>
            </w:tcBorders>
            <w:shd w:val="clear" w:color="auto" w:fill="DDD9C3" w:themeFill="background2" w:themeFillShade="E6"/>
            <w:vAlign w:val="center"/>
          </w:tcPr>
          <w:p w:rsidR="00966E3C" w:rsidRPr="005F120D" w:rsidRDefault="00966E3C" w:rsidP="00A03624">
            <w:pPr>
              <w:spacing w:after="0"/>
              <w:jc w:val="center"/>
              <w:rPr>
                <w:rFonts w:asciiTheme="minorHAnsi" w:hAnsiTheme="minorHAnsi" w:cstheme="minorHAnsi"/>
                <w:sz w:val="20"/>
                <w:lang w:eastAsia="ja-JP"/>
              </w:rPr>
            </w:pPr>
          </w:p>
        </w:tc>
      </w:tr>
      <w:tr w:rsidR="00802B33" w:rsidRPr="005F120D" w:rsidTr="00A03624">
        <w:trPr>
          <w:trHeight w:hRule="exact" w:val="288"/>
        </w:trPr>
        <w:tc>
          <w:tcPr>
            <w:tcW w:w="448" w:type="pct"/>
            <w:tcBorders>
              <w:top w:val="single" w:sz="6" w:space="0" w:color="948A54" w:themeColor="background2" w:themeShade="80"/>
              <w:bottom w:val="single" w:sz="6" w:space="0" w:color="948A54" w:themeColor="background2" w:themeShade="80"/>
            </w:tcBorders>
            <w:shd w:val="clear" w:color="auto" w:fill="EEECE1" w:themeFill="background2"/>
            <w:vAlign w:val="center"/>
          </w:tcPr>
          <w:p w:rsidR="00802B33" w:rsidRPr="005F120D" w:rsidRDefault="00802B33" w:rsidP="00A03624">
            <w:pPr>
              <w:pStyle w:val="NoSpacing"/>
              <w:jc w:val="center"/>
              <w:rPr>
                <w:rFonts w:asciiTheme="minorHAnsi" w:hAnsiTheme="minorHAnsi" w:cstheme="minorHAnsi"/>
                <w:sz w:val="20"/>
              </w:rPr>
            </w:pPr>
            <w:r w:rsidRPr="005F120D">
              <w:rPr>
                <w:rFonts w:asciiTheme="minorHAnsi" w:hAnsiTheme="minorHAnsi" w:cstheme="minorHAnsi"/>
                <w:sz w:val="20"/>
              </w:rPr>
              <w:t>0127</w:t>
            </w:r>
          </w:p>
        </w:tc>
        <w:tc>
          <w:tcPr>
            <w:tcW w:w="2229" w:type="pct"/>
            <w:tcBorders>
              <w:top w:val="single" w:sz="6" w:space="0" w:color="948A54" w:themeColor="background2" w:themeShade="80"/>
              <w:bottom w:val="single" w:sz="6" w:space="0" w:color="948A54" w:themeColor="background2" w:themeShade="80"/>
            </w:tcBorders>
            <w:shd w:val="clear" w:color="auto" w:fill="EEECE1" w:themeFill="background2"/>
            <w:vAlign w:val="center"/>
            <w:hideMark/>
          </w:tcPr>
          <w:p w:rsidR="00802B33" w:rsidRPr="005F120D" w:rsidRDefault="00802B33" w:rsidP="00A03624">
            <w:pPr>
              <w:pStyle w:val="NoSpacing"/>
              <w:rPr>
                <w:rFonts w:asciiTheme="minorHAnsi" w:hAnsiTheme="minorHAnsi" w:cstheme="minorHAnsi"/>
                <w:sz w:val="20"/>
              </w:rPr>
            </w:pPr>
            <w:r w:rsidRPr="005F120D">
              <w:rPr>
                <w:rFonts w:asciiTheme="minorHAnsi" w:hAnsiTheme="minorHAnsi" w:cstheme="minorHAnsi"/>
                <w:sz w:val="20"/>
              </w:rPr>
              <w:t>3.1.2) SLIP school funding</w:t>
            </w:r>
          </w:p>
        </w:tc>
        <w:tc>
          <w:tcPr>
            <w:tcW w:w="558" w:type="pct"/>
            <w:tcBorders>
              <w:top w:val="single" w:sz="6" w:space="0" w:color="948A54" w:themeColor="background2" w:themeShade="80"/>
              <w:bottom w:val="single" w:sz="6" w:space="0" w:color="948A54" w:themeColor="background2" w:themeShade="80"/>
            </w:tcBorders>
            <w:shd w:val="clear" w:color="auto" w:fill="EEECE1" w:themeFill="background2"/>
            <w:vAlign w:val="center"/>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14,400</w:t>
            </w:r>
          </w:p>
        </w:tc>
        <w:tc>
          <w:tcPr>
            <w:tcW w:w="558" w:type="pct"/>
            <w:tcBorders>
              <w:top w:val="single" w:sz="6" w:space="0" w:color="948A54" w:themeColor="background2" w:themeShade="80"/>
              <w:bottom w:val="single" w:sz="6" w:space="0" w:color="948A54" w:themeColor="background2" w:themeShade="80"/>
            </w:tcBorders>
            <w:shd w:val="clear" w:color="auto" w:fill="EEECE1" w:themeFill="background2"/>
            <w:vAlign w:val="center"/>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14,400</w:t>
            </w:r>
          </w:p>
        </w:tc>
        <w:tc>
          <w:tcPr>
            <w:tcW w:w="558" w:type="pct"/>
            <w:tcBorders>
              <w:top w:val="single" w:sz="6" w:space="0" w:color="948A54" w:themeColor="background2" w:themeShade="80"/>
              <w:bottom w:val="single" w:sz="6" w:space="0" w:color="948A54" w:themeColor="background2" w:themeShade="80"/>
            </w:tcBorders>
            <w:shd w:val="clear" w:color="auto" w:fill="EEECE1" w:themeFill="background2"/>
            <w:vAlign w:val="center"/>
            <w:hideMark/>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25,600</w:t>
            </w:r>
          </w:p>
        </w:tc>
        <w:tc>
          <w:tcPr>
            <w:tcW w:w="651" w:type="pct"/>
            <w:tcBorders>
              <w:top w:val="single" w:sz="6" w:space="0" w:color="948A54" w:themeColor="background2" w:themeShade="80"/>
              <w:bottom w:val="single" w:sz="6" w:space="0" w:color="948A54" w:themeColor="background2" w:themeShade="80"/>
            </w:tcBorders>
            <w:shd w:val="clear" w:color="auto" w:fill="EEECE1" w:themeFill="background2"/>
            <w:vAlign w:val="center"/>
          </w:tcPr>
          <w:p w:rsidR="00802B33" w:rsidRPr="005F120D" w:rsidRDefault="00CE1D34"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14,526</w:t>
            </w:r>
          </w:p>
        </w:tc>
      </w:tr>
      <w:tr w:rsidR="00802B33" w:rsidRPr="005F120D" w:rsidTr="00A03624">
        <w:trPr>
          <w:trHeight w:hRule="exact" w:val="288"/>
        </w:trPr>
        <w:tc>
          <w:tcPr>
            <w:tcW w:w="448" w:type="pct"/>
            <w:tcBorders>
              <w:top w:val="single" w:sz="6" w:space="0" w:color="948A54" w:themeColor="background2" w:themeShade="80"/>
              <w:bottom w:val="double" w:sz="4" w:space="0" w:color="948A54" w:themeColor="background2" w:themeShade="80"/>
            </w:tcBorders>
            <w:shd w:val="clear" w:color="auto" w:fill="EEECE1" w:themeFill="background2"/>
            <w:vAlign w:val="center"/>
          </w:tcPr>
          <w:p w:rsidR="00802B33" w:rsidRPr="005F120D" w:rsidRDefault="00802B33" w:rsidP="00A03624">
            <w:pPr>
              <w:pStyle w:val="NoSpacing"/>
              <w:jc w:val="center"/>
              <w:rPr>
                <w:rFonts w:asciiTheme="minorHAnsi" w:hAnsiTheme="minorHAnsi" w:cstheme="minorHAnsi"/>
                <w:sz w:val="20"/>
              </w:rPr>
            </w:pPr>
            <w:r w:rsidRPr="005F120D">
              <w:rPr>
                <w:rFonts w:asciiTheme="minorHAnsi" w:hAnsiTheme="minorHAnsi" w:cstheme="minorHAnsi"/>
                <w:sz w:val="20"/>
              </w:rPr>
              <w:t>0130</w:t>
            </w:r>
          </w:p>
        </w:tc>
        <w:tc>
          <w:tcPr>
            <w:tcW w:w="2229" w:type="pct"/>
            <w:tcBorders>
              <w:top w:val="single" w:sz="6" w:space="0" w:color="948A54" w:themeColor="background2" w:themeShade="80"/>
              <w:bottom w:val="double" w:sz="4" w:space="0" w:color="948A54" w:themeColor="background2" w:themeShade="80"/>
            </w:tcBorders>
            <w:shd w:val="clear" w:color="auto" w:fill="EEECE1" w:themeFill="background2"/>
            <w:vAlign w:val="center"/>
            <w:hideMark/>
          </w:tcPr>
          <w:p w:rsidR="00802B33" w:rsidRPr="005F120D" w:rsidRDefault="00802B33" w:rsidP="00A03624">
            <w:pPr>
              <w:pStyle w:val="NoSpacing"/>
              <w:rPr>
                <w:rFonts w:asciiTheme="minorHAnsi" w:hAnsiTheme="minorHAnsi" w:cstheme="minorHAnsi"/>
                <w:sz w:val="20"/>
              </w:rPr>
            </w:pPr>
            <w:r w:rsidRPr="005F120D">
              <w:rPr>
                <w:rFonts w:asciiTheme="minorHAnsi" w:hAnsiTheme="minorHAnsi" w:cstheme="minorHAnsi"/>
                <w:sz w:val="20"/>
              </w:rPr>
              <w:t>3.1.2) UPEP (planning only)</w:t>
            </w:r>
            <w:r w:rsidRPr="005F120D">
              <w:rPr>
                <w:rStyle w:val="FootnoteReference"/>
                <w:rFonts w:asciiTheme="minorHAnsi" w:hAnsiTheme="minorHAnsi" w:cstheme="minorHAnsi"/>
                <w:sz w:val="20"/>
              </w:rPr>
              <w:footnoteReference w:id="13"/>
            </w:r>
          </w:p>
        </w:tc>
        <w:tc>
          <w:tcPr>
            <w:tcW w:w="558" w:type="pct"/>
            <w:tcBorders>
              <w:top w:val="single" w:sz="6" w:space="0" w:color="948A54" w:themeColor="background2" w:themeShade="80"/>
              <w:bottom w:val="double" w:sz="4" w:space="0" w:color="948A54" w:themeColor="background2" w:themeShade="80"/>
            </w:tcBorders>
            <w:shd w:val="clear" w:color="auto" w:fill="EEECE1" w:themeFill="background2"/>
            <w:vAlign w:val="center"/>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23.5</w:t>
            </w:r>
          </w:p>
        </w:tc>
        <w:tc>
          <w:tcPr>
            <w:tcW w:w="558" w:type="pct"/>
            <w:tcBorders>
              <w:top w:val="single" w:sz="6" w:space="0" w:color="948A54" w:themeColor="background2" w:themeShade="80"/>
              <w:bottom w:val="double" w:sz="4" w:space="0" w:color="948A54" w:themeColor="background2" w:themeShade="80"/>
            </w:tcBorders>
            <w:shd w:val="clear" w:color="auto" w:fill="EEECE1" w:themeFill="background2"/>
            <w:vAlign w:val="center"/>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7.6</w:t>
            </w:r>
          </w:p>
        </w:tc>
        <w:tc>
          <w:tcPr>
            <w:tcW w:w="558" w:type="pct"/>
            <w:tcBorders>
              <w:top w:val="single" w:sz="6" w:space="0" w:color="948A54" w:themeColor="background2" w:themeShade="80"/>
              <w:bottom w:val="double" w:sz="4" w:space="0" w:color="948A54" w:themeColor="background2" w:themeShade="80"/>
            </w:tcBorders>
            <w:shd w:val="clear" w:color="auto" w:fill="EEECE1" w:themeFill="background2"/>
            <w:vAlign w:val="center"/>
            <w:hideMark/>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5.3</w:t>
            </w:r>
          </w:p>
        </w:tc>
        <w:tc>
          <w:tcPr>
            <w:tcW w:w="651" w:type="pct"/>
            <w:tcBorders>
              <w:top w:val="single" w:sz="6" w:space="0" w:color="948A54" w:themeColor="background2" w:themeShade="80"/>
              <w:bottom w:val="double" w:sz="4" w:space="0" w:color="948A54" w:themeColor="background2" w:themeShade="80"/>
            </w:tcBorders>
            <w:shd w:val="clear" w:color="auto" w:fill="EEECE1" w:themeFill="background2"/>
            <w:vAlign w:val="center"/>
          </w:tcPr>
          <w:p w:rsidR="00802B33" w:rsidRPr="005F120D" w:rsidRDefault="00CE1D34"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0.0</w:t>
            </w:r>
          </w:p>
        </w:tc>
      </w:tr>
      <w:tr w:rsidR="00802B33" w:rsidRPr="005F120D" w:rsidTr="00A03624">
        <w:trPr>
          <w:trHeight w:hRule="exact" w:val="288"/>
        </w:trPr>
        <w:tc>
          <w:tcPr>
            <w:tcW w:w="448" w:type="pct"/>
            <w:tcBorders>
              <w:top w:val="double" w:sz="4" w:space="0" w:color="948A54" w:themeColor="background2" w:themeShade="80"/>
            </w:tcBorders>
            <w:shd w:val="clear" w:color="auto" w:fill="DDD9C3" w:themeFill="background2" w:themeFillShade="E6"/>
            <w:vAlign w:val="center"/>
          </w:tcPr>
          <w:p w:rsidR="00802B33" w:rsidRPr="005F120D" w:rsidRDefault="00802B33" w:rsidP="00A03624">
            <w:pPr>
              <w:pStyle w:val="NoSpacing"/>
              <w:jc w:val="center"/>
              <w:rPr>
                <w:rFonts w:asciiTheme="minorHAnsi" w:hAnsiTheme="minorHAnsi" w:cstheme="minorHAnsi"/>
                <w:b/>
                <w:sz w:val="20"/>
              </w:rPr>
            </w:pPr>
          </w:p>
        </w:tc>
        <w:tc>
          <w:tcPr>
            <w:tcW w:w="2229" w:type="pct"/>
            <w:tcBorders>
              <w:top w:val="double" w:sz="4" w:space="0" w:color="948A54" w:themeColor="background2" w:themeShade="80"/>
            </w:tcBorders>
            <w:shd w:val="clear" w:color="auto" w:fill="DDD9C3" w:themeFill="background2" w:themeFillShade="E6"/>
            <w:vAlign w:val="center"/>
            <w:hideMark/>
          </w:tcPr>
          <w:p w:rsidR="00802B33" w:rsidRPr="005F120D" w:rsidRDefault="00802B33" w:rsidP="00A03624">
            <w:pPr>
              <w:pStyle w:val="NoSpacing"/>
              <w:rPr>
                <w:rFonts w:asciiTheme="minorHAnsi" w:hAnsiTheme="minorHAnsi" w:cstheme="minorHAnsi"/>
                <w:b/>
                <w:sz w:val="20"/>
              </w:rPr>
            </w:pPr>
            <w:r w:rsidRPr="005F120D">
              <w:rPr>
                <w:rFonts w:asciiTheme="minorHAnsi" w:hAnsiTheme="minorHAnsi" w:cstheme="minorHAnsi"/>
                <w:b/>
                <w:sz w:val="20"/>
              </w:rPr>
              <w:t>Unconditional Total:</w:t>
            </w:r>
          </w:p>
        </w:tc>
        <w:tc>
          <w:tcPr>
            <w:tcW w:w="558" w:type="pct"/>
            <w:tcBorders>
              <w:top w:val="double" w:sz="4" w:space="0" w:color="948A54" w:themeColor="background2" w:themeShade="80"/>
            </w:tcBorders>
            <w:shd w:val="clear" w:color="auto" w:fill="DDD9C3" w:themeFill="background2" w:themeFillShade="E6"/>
            <w:vAlign w:val="center"/>
          </w:tcPr>
          <w:p w:rsidR="00802B33" w:rsidRPr="005F120D" w:rsidRDefault="00802B33" w:rsidP="00A03624">
            <w:pPr>
              <w:spacing w:after="0"/>
              <w:jc w:val="center"/>
              <w:rPr>
                <w:rFonts w:asciiTheme="minorHAnsi" w:hAnsiTheme="minorHAnsi" w:cstheme="minorHAnsi"/>
                <w:b/>
                <w:bCs/>
                <w:color w:val="000000"/>
                <w:sz w:val="20"/>
              </w:rPr>
            </w:pPr>
            <w:r w:rsidRPr="005F120D">
              <w:rPr>
                <w:rFonts w:asciiTheme="minorHAnsi" w:hAnsiTheme="minorHAnsi" w:cstheme="minorHAnsi"/>
                <w:b/>
                <w:bCs/>
                <w:color w:val="000000"/>
                <w:sz w:val="20"/>
              </w:rPr>
              <w:t>14,424</w:t>
            </w:r>
          </w:p>
        </w:tc>
        <w:tc>
          <w:tcPr>
            <w:tcW w:w="558" w:type="pct"/>
            <w:tcBorders>
              <w:top w:val="double" w:sz="4" w:space="0" w:color="948A54" w:themeColor="background2" w:themeShade="80"/>
            </w:tcBorders>
            <w:shd w:val="clear" w:color="auto" w:fill="DDD9C3" w:themeFill="background2" w:themeFillShade="E6"/>
            <w:vAlign w:val="center"/>
          </w:tcPr>
          <w:p w:rsidR="00802B33" w:rsidRPr="005F120D" w:rsidRDefault="00802B33" w:rsidP="00A03624">
            <w:pPr>
              <w:spacing w:after="0"/>
              <w:jc w:val="center"/>
              <w:rPr>
                <w:rFonts w:asciiTheme="minorHAnsi" w:hAnsiTheme="minorHAnsi" w:cstheme="minorHAnsi"/>
                <w:b/>
                <w:bCs/>
                <w:color w:val="000000"/>
                <w:sz w:val="20"/>
              </w:rPr>
            </w:pPr>
            <w:r w:rsidRPr="005F120D">
              <w:rPr>
                <w:rFonts w:asciiTheme="minorHAnsi" w:hAnsiTheme="minorHAnsi" w:cstheme="minorHAnsi"/>
                <w:b/>
                <w:bCs/>
                <w:color w:val="000000"/>
                <w:sz w:val="20"/>
              </w:rPr>
              <w:t>14,407.60</w:t>
            </w:r>
          </w:p>
        </w:tc>
        <w:tc>
          <w:tcPr>
            <w:tcW w:w="558" w:type="pct"/>
            <w:tcBorders>
              <w:top w:val="double" w:sz="4" w:space="0" w:color="948A54" w:themeColor="background2" w:themeShade="80"/>
            </w:tcBorders>
            <w:shd w:val="clear" w:color="auto" w:fill="DDD9C3" w:themeFill="background2" w:themeFillShade="E6"/>
            <w:vAlign w:val="center"/>
            <w:hideMark/>
          </w:tcPr>
          <w:p w:rsidR="00802B33" w:rsidRPr="005F120D" w:rsidRDefault="00802B33" w:rsidP="00A03624">
            <w:pPr>
              <w:spacing w:after="0"/>
              <w:jc w:val="center"/>
              <w:rPr>
                <w:rFonts w:asciiTheme="minorHAnsi" w:hAnsiTheme="minorHAnsi" w:cstheme="minorHAnsi"/>
                <w:b/>
                <w:bCs/>
                <w:color w:val="000000"/>
                <w:sz w:val="20"/>
              </w:rPr>
            </w:pPr>
            <w:r w:rsidRPr="005F120D">
              <w:rPr>
                <w:rFonts w:asciiTheme="minorHAnsi" w:hAnsiTheme="minorHAnsi" w:cstheme="minorHAnsi"/>
                <w:b/>
                <w:bCs/>
                <w:color w:val="000000"/>
                <w:sz w:val="20"/>
              </w:rPr>
              <w:t>25,605.30</w:t>
            </w:r>
          </w:p>
        </w:tc>
        <w:tc>
          <w:tcPr>
            <w:tcW w:w="651" w:type="pct"/>
            <w:tcBorders>
              <w:top w:val="double" w:sz="4" w:space="0" w:color="948A54" w:themeColor="background2" w:themeShade="80"/>
            </w:tcBorders>
            <w:shd w:val="clear" w:color="auto" w:fill="DDD9C3" w:themeFill="background2" w:themeFillShade="E6"/>
            <w:vAlign w:val="center"/>
          </w:tcPr>
          <w:p w:rsidR="00802B33" w:rsidRPr="005F120D" w:rsidRDefault="00CE1D34" w:rsidP="00A03624">
            <w:pPr>
              <w:spacing w:after="0"/>
              <w:jc w:val="center"/>
              <w:rPr>
                <w:rFonts w:asciiTheme="minorHAnsi" w:hAnsiTheme="minorHAnsi" w:cstheme="minorHAnsi"/>
                <w:b/>
                <w:sz w:val="20"/>
                <w:lang w:eastAsia="ja-JP"/>
              </w:rPr>
            </w:pPr>
            <w:r w:rsidRPr="005F120D">
              <w:rPr>
                <w:rFonts w:asciiTheme="minorHAnsi" w:hAnsiTheme="minorHAnsi" w:cstheme="minorHAnsi"/>
                <w:b/>
                <w:sz w:val="20"/>
                <w:lang w:eastAsia="ja-JP"/>
              </w:rPr>
              <w:t>14,526</w:t>
            </w:r>
          </w:p>
        </w:tc>
      </w:tr>
      <w:tr w:rsidR="00802B33" w:rsidRPr="005F120D" w:rsidTr="00A03624">
        <w:trPr>
          <w:trHeight w:hRule="exact" w:val="288"/>
        </w:trPr>
        <w:tc>
          <w:tcPr>
            <w:tcW w:w="448" w:type="pct"/>
            <w:shd w:val="clear" w:color="auto" w:fill="E5DFEC" w:themeFill="accent4" w:themeFillTint="33"/>
            <w:vAlign w:val="center"/>
          </w:tcPr>
          <w:p w:rsidR="00802B33" w:rsidRPr="005F120D" w:rsidRDefault="00802B33" w:rsidP="00A03624">
            <w:pPr>
              <w:pStyle w:val="NoSpacing"/>
              <w:jc w:val="center"/>
              <w:rPr>
                <w:rFonts w:asciiTheme="minorHAnsi" w:hAnsiTheme="minorHAnsi" w:cstheme="minorHAnsi"/>
                <w:b/>
                <w:sz w:val="20"/>
              </w:rPr>
            </w:pPr>
          </w:p>
        </w:tc>
        <w:tc>
          <w:tcPr>
            <w:tcW w:w="2229" w:type="pct"/>
            <w:shd w:val="clear" w:color="auto" w:fill="E5DFEC" w:themeFill="accent4" w:themeFillTint="33"/>
            <w:vAlign w:val="center"/>
            <w:hideMark/>
          </w:tcPr>
          <w:p w:rsidR="00802B33" w:rsidRPr="005F120D" w:rsidRDefault="00802B33" w:rsidP="00A03624">
            <w:pPr>
              <w:pStyle w:val="NoSpacing"/>
              <w:jc w:val="center"/>
              <w:rPr>
                <w:rFonts w:asciiTheme="minorHAnsi" w:hAnsiTheme="minorHAnsi" w:cstheme="minorHAnsi"/>
                <w:sz w:val="20"/>
              </w:rPr>
            </w:pPr>
            <w:r w:rsidRPr="005F120D">
              <w:rPr>
                <w:rFonts w:asciiTheme="minorHAnsi" w:hAnsiTheme="minorHAnsi" w:cstheme="minorHAnsi"/>
                <w:b/>
                <w:sz w:val="20"/>
              </w:rPr>
              <w:t>Conditional</w:t>
            </w:r>
          </w:p>
        </w:tc>
        <w:tc>
          <w:tcPr>
            <w:tcW w:w="558" w:type="pct"/>
            <w:shd w:val="clear" w:color="auto" w:fill="E5DFEC" w:themeFill="accent4" w:themeFillTint="33"/>
            <w:vAlign w:val="center"/>
          </w:tcPr>
          <w:p w:rsidR="00802B33" w:rsidRPr="005F120D" w:rsidRDefault="00802B33" w:rsidP="00A03624">
            <w:pPr>
              <w:spacing w:after="0"/>
              <w:jc w:val="center"/>
              <w:rPr>
                <w:rFonts w:asciiTheme="minorHAnsi" w:hAnsiTheme="minorHAnsi" w:cstheme="minorHAnsi"/>
                <w:color w:val="000000"/>
                <w:sz w:val="20"/>
              </w:rPr>
            </w:pPr>
          </w:p>
        </w:tc>
        <w:tc>
          <w:tcPr>
            <w:tcW w:w="558" w:type="pct"/>
            <w:shd w:val="clear" w:color="auto" w:fill="E5DFEC" w:themeFill="accent4" w:themeFillTint="33"/>
            <w:vAlign w:val="center"/>
          </w:tcPr>
          <w:p w:rsidR="00802B33" w:rsidRPr="005F120D" w:rsidRDefault="00802B33" w:rsidP="00A03624">
            <w:pPr>
              <w:spacing w:after="0"/>
              <w:jc w:val="center"/>
              <w:rPr>
                <w:rFonts w:asciiTheme="minorHAnsi" w:hAnsiTheme="minorHAnsi" w:cstheme="minorHAnsi"/>
                <w:color w:val="000000"/>
                <w:sz w:val="20"/>
              </w:rPr>
            </w:pPr>
          </w:p>
        </w:tc>
        <w:tc>
          <w:tcPr>
            <w:tcW w:w="558" w:type="pct"/>
            <w:shd w:val="clear" w:color="auto" w:fill="E5DFEC" w:themeFill="accent4" w:themeFillTint="33"/>
            <w:vAlign w:val="center"/>
            <w:hideMark/>
          </w:tcPr>
          <w:p w:rsidR="00802B33" w:rsidRPr="005F120D" w:rsidRDefault="00802B33" w:rsidP="00A03624">
            <w:pPr>
              <w:spacing w:after="0"/>
              <w:jc w:val="center"/>
              <w:rPr>
                <w:rFonts w:asciiTheme="minorHAnsi" w:hAnsiTheme="minorHAnsi" w:cstheme="minorHAnsi"/>
                <w:color w:val="000000"/>
                <w:sz w:val="20"/>
              </w:rPr>
            </w:pPr>
          </w:p>
        </w:tc>
        <w:tc>
          <w:tcPr>
            <w:tcW w:w="651" w:type="pct"/>
            <w:shd w:val="clear" w:color="auto" w:fill="E5DFEC" w:themeFill="accent4" w:themeFillTint="33"/>
            <w:vAlign w:val="center"/>
          </w:tcPr>
          <w:p w:rsidR="00802B33" w:rsidRPr="005F120D" w:rsidRDefault="00802B33" w:rsidP="00A03624">
            <w:pPr>
              <w:spacing w:after="0"/>
              <w:jc w:val="center"/>
              <w:rPr>
                <w:rFonts w:asciiTheme="minorHAnsi" w:hAnsiTheme="minorHAnsi" w:cstheme="minorHAnsi"/>
                <w:sz w:val="20"/>
                <w:lang w:eastAsia="ja-JP"/>
              </w:rPr>
            </w:pPr>
          </w:p>
        </w:tc>
      </w:tr>
      <w:tr w:rsidR="00802B33" w:rsidRPr="005F120D" w:rsidTr="00A03624">
        <w:trPr>
          <w:trHeight w:hRule="exact" w:val="288"/>
        </w:trPr>
        <w:tc>
          <w:tcPr>
            <w:tcW w:w="448" w:type="pct"/>
            <w:vAlign w:val="center"/>
          </w:tcPr>
          <w:p w:rsidR="00802B33" w:rsidRPr="005F120D" w:rsidRDefault="00802B33" w:rsidP="00A03624">
            <w:pPr>
              <w:pStyle w:val="NoSpacing"/>
              <w:jc w:val="center"/>
              <w:rPr>
                <w:rFonts w:asciiTheme="minorHAnsi" w:hAnsiTheme="minorHAnsi" w:cstheme="minorHAnsi"/>
                <w:sz w:val="20"/>
              </w:rPr>
            </w:pPr>
            <w:r w:rsidRPr="005F120D">
              <w:rPr>
                <w:rFonts w:asciiTheme="minorHAnsi" w:hAnsiTheme="minorHAnsi" w:cstheme="minorHAnsi"/>
                <w:sz w:val="20"/>
              </w:rPr>
              <w:t>0066</w:t>
            </w:r>
          </w:p>
        </w:tc>
        <w:tc>
          <w:tcPr>
            <w:tcW w:w="2229" w:type="pct"/>
            <w:shd w:val="clear" w:color="auto" w:fill="auto"/>
            <w:vAlign w:val="center"/>
            <w:hideMark/>
          </w:tcPr>
          <w:p w:rsidR="00802B33" w:rsidRPr="005F120D" w:rsidRDefault="00802B33" w:rsidP="00A03624">
            <w:pPr>
              <w:pStyle w:val="NoSpacing"/>
              <w:rPr>
                <w:rFonts w:asciiTheme="minorHAnsi" w:hAnsiTheme="minorHAnsi" w:cstheme="minorHAnsi"/>
                <w:sz w:val="20"/>
              </w:rPr>
            </w:pPr>
            <w:r w:rsidRPr="005F120D">
              <w:rPr>
                <w:rFonts w:asciiTheme="minorHAnsi" w:hAnsiTheme="minorHAnsi" w:cstheme="minorHAnsi"/>
                <w:sz w:val="20"/>
              </w:rPr>
              <w:t>2.1.2)  Pre-Primary Education</w:t>
            </w:r>
          </w:p>
        </w:tc>
        <w:tc>
          <w:tcPr>
            <w:tcW w:w="558" w:type="pct"/>
            <w:vAlign w:val="center"/>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2,576.10</w:t>
            </w:r>
          </w:p>
        </w:tc>
        <w:tc>
          <w:tcPr>
            <w:tcW w:w="558" w:type="pct"/>
            <w:vAlign w:val="center"/>
          </w:tcPr>
          <w:p w:rsidR="00802B33" w:rsidRPr="005F120D" w:rsidRDefault="00466ED5"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3,179.3</w:t>
            </w:r>
          </w:p>
        </w:tc>
        <w:tc>
          <w:tcPr>
            <w:tcW w:w="558" w:type="pct"/>
            <w:shd w:val="clear" w:color="auto" w:fill="auto"/>
            <w:vAlign w:val="center"/>
            <w:hideMark/>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3,268.25</w:t>
            </w:r>
          </w:p>
        </w:tc>
        <w:tc>
          <w:tcPr>
            <w:tcW w:w="651" w:type="pct"/>
            <w:vAlign w:val="center"/>
          </w:tcPr>
          <w:p w:rsidR="00802B33" w:rsidRPr="005F120D" w:rsidRDefault="00CE1D34"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3,214.85</w:t>
            </w:r>
          </w:p>
        </w:tc>
      </w:tr>
      <w:tr w:rsidR="00802B33" w:rsidRPr="005F120D" w:rsidTr="00A03624">
        <w:trPr>
          <w:trHeight w:hRule="exact" w:val="288"/>
        </w:trPr>
        <w:tc>
          <w:tcPr>
            <w:tcW w:w="448" w:type="pct"/>
            <w:vAlign w:val="center"/>
          </w:tcPr>
          <w:p w:rsidR="00802B33" w:rsidRPr="005F120D" w:rsidRDefault="00802B33" w:rsidP="00A03624">
            <w:pPr>
              <w:pStyle w:val="NoSpacing"/>
              <w:jc w:val="center"/>
              <w:rPr>
                <w:rFonts w:asciiTheme="minorHAnsi" w:hAnsiTheme="minorHAnsi" w:cstheme="minorHAnsi"/>
                <w:sz w:val="20"/>
              </w:rPr>
            </w:pPr>
            <w:r w:rsidRPr="005F120D">
              <w:rPr>
                <w:rFonts w:asciiTheme="minorHAnsi" w:hAnsiTheme="minorHAnsi" w:cstheme="minorHAnsi"/>
                <w:sz w:val="20"/>
              </w:rPr>
              <w:t>0070</w:t>
            </w:r>
          </w:p>
        </w:tc>
        <w:tc>
          <w:tcPr>
            <w:tcW w:w="2229" w:type="pct"/>
            <w:shd w:val="clear" w:color="auto" w:fill="auto"/>
            <w:vAlign w:val="center"/>
            <w:hideMark/>
          </w:tcPr>
          <w:p w:rsidR="00802B33" w:rsidRPr="005F120D" w:rsidRDefault="00802B33" w:rsidP="00A03624">
            <w:pPr>
              <w:pStyle w:val="NoSpacing"/>
              <w:rPr>
                <w:rFonts w:asciiTheme="minorHAnsi" w:hAnsiTheme="minorHAnsi" w:cstheme="minorHAnsi"/>
                <w:sz w:val="20"/>
              </w:rPr>
            </w:pPr>
            <w:r w:rsidRPr="005F120D">
              <w:rPr>
                <w:rFonts w:asciiTheme="minorHAnsi" w:hAnsiTheme="minorHAnsi" w:cstheme="minorHAnsi"/>
                <w:sz w:val="20"/>
              </w:rPr>
              <w:t>2.1.3) Inclusive Education</w:t>
            </w:r>
          </w:p>
        </w:tc>
        <w:tc>
          <w:tcPr>
            <w:tcW w:w="558" w:type="pct"/>
            <w:vAlign w:val="center"/>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254</w:t>
            </w:r>
          </w:p>
        </w:tc>
        <w:tc>
          <w:tcPr>
            <w:tcW w:w="558" w:type="pct"/>
            <w:vAlign w:val="center"/>
          </w:tcPr>
          <w:p w:rsidR="00802B33" w:rsidRPr="005F120D" w:rsidRDefault="0035357B"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254</w:t>
            </w:r>
          </w:p>
        </w:tc>
        <w:tc>
          <w:tcPr>
            <w:tcW w:w="558" w:type="pct"/>
            <w:shd w:val="clear" w:color="auto" w:fill="auto"/>
            <w:vAlign w:val="center"/>
            <w:hideMark/>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218</w:t>
            </w:r>
          </w:p>
        </w:tc>
        <w:tc>
          <w:tcPr>
            <w:tcW w:w="651" w:type="pct"/>
            <w:vAlign w:val="center"/>
          </w:tcPr>
          <w:p w:rsidR="00802B33" w:rsidRPr="005F120D" w:rsidRDefault="00CE1D34"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.0</w:t>
            </w:r>
          </w:p>
        </w:tc>
      </w:tr>
      <w:tr w:rsidR="00802B33" w:rsidRPr="005F120D" w:rsidTr="00A03624">
        <w:trPr>
          <w:trHeight w:hRule="exact" w:val="288"/>
        </w:trPr>
        <w:tc>
          <w:tcPr>
            <w:tcW w:w="448" w:type="pct"/>
            <w:vAlign w:val="center"/>
          </w:tcPr>
          <w:p w:rsidR="00802B33" w:rsidRPr="005F120D" w:rsidRDefault="00802B33" w:rsidP="00A03624">
            <w:pPr>
              <w:pStyle w:val="NoSpacing"/>
              <w:jc w:val="center"/>
              <w:rPr>
                <w:rFonts w:asciiTheme="minorHAnsi" w:hAnsiTheme="minorHAnsi" w:cstheme="minorHAnsi"/>
                <w:sz w:val="20"/>
              </w:rPr>
            </w:pPr>
            <w:r w:rsidRPr="005F120D">
              <w:rPr>
                <w:rFonts w:asciiTheme="minorHAnsi" w:hAnsiTheme="minorHAnsi" w:cstheme="minorHAnsi"/>
                <w:sz w:val="20"/>
              </w:rPr>
              <w:t>0073</w:t>
            </w:r>
          </w:p>
        </w:tc>
        <w:tc>
          <w:tcPr>
            <w:tcW w:w="2229" w:type="pct"/>
            <w:shd w:val="clear" w:color="auto" w:fill="auto"/>
            <w:vAlign w:val="center"/>
            <w:hideMark/>
          </w:tcPr>
          <w:p w:rsidR="00802B33" w:rsidRPr="005F120D" w:rsidRDefault="00802B33" w:rsidP="00A03624">
            <w:pPr>
              <w:pStyle w:val="NoSpacing"/>
              <w:rPr>
                <w:rFonts w:asciiTheme="minorHAnsi" w:hAnsiTheme="minorHAnsi" w:cstheme="minorHAnsi"/>
                <w:sz w:val="20"/>
              </w:rPr>
            </w:pPr>
            <w:r w:rsidRPr="005F120D">
              <w:rPr>
                <w:rFonts w:asciiTheme="minorHAnsi" w:hAnsiTheme="minorHAnsi" w:cstheme="minorHAnsi"/>
                <w:sz w:val="20"/>
              </w:rPr>
              <w:t>2.1.4) Education in Emergency</w:t>
            </w:r>
          </w:p>
        </w:tc>
        <w:tc>
          <w:tcPr>
            <w:tcW w:w="558" w:type="pct"/>
            <w:vAlign w:val="center"/>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500</w:t>
            </w:r>
          </w:p>
        </w:tc>
        <w:tc>
          <w:tcPr>
            <w:tcW w:w="558" w:type="pct"/>
            <w:vAlign w:val="center"/>
          </w:tcPr>
          <w:p w:rsidR="00802B33" w:rsidRPr="005F120D" w:rsidRDefault="0035357B"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w:t>
            </w:r>
            <w:r w:rsidR="00802B33" w:rsidRPr="005F120D">
              <w:rPr>
                <w:rFonts w:asciiTheme="minorHAnsi" w:hAnsiTheme="minorHAnsi" w:cstheme="minorHAnsi"/>
                <w:color w:val="000000"/>
                <w:sz w:val="20"/>
              </w:rPr>
              <w:t>00</w:t>
            </w:r>
          </w:p>
        </w:tc>
        <w:tc>
          <w:tcPr>
            <w:tcW w:w="558" w:type="pct"/>
            <w:shd w:val="clear" w:color="auto" w:fill="auto"/>
            <w:vAlign w:val="center"/>
            <w:hideMark/>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800</w:t>
            </w:r>
          </w:p>
        </w:tc>
        <w:tc>
          <w:tcPr>
            <w:tcW w:w="651" w:type="pct"/>
            <w:vAlign w:val="center"/>
          </w:tcPr>
          <w:p w:rsidR="00802B33" w:rsidRPr="005F120D" w:rsidRDefault="00CE1D34"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6.0</w:t>
            </w:r>
          </w:p>
        </w:tc>
      </w:tr>
      <w:tr w:rsidR="00802B33" w:rsidRPr="005F120D" w:rsidTr="00A03624">
        <w:trPr>
          <w:trHeight w:hRule="exact" w:val="288"/>
        </w:trPr>
        <w:tc>
          <w:tcPr>
            <w:tcW w:w="448" w:type="pct"/>
            <w:vAlign w:val="center"/>
          </w:tcPr>
          <w:p w:rsidR="00802B33" w:rsidRPr="005F120D" w:rsidRDefault="00802B33" w:rsidP="00A03624">
            <w:pPr>
              <w:pStyle w:val="NoSpacing"/>
              <w:jc w:val="center"/>
              <w:rPr>
                <w:rFonts w:asciiTheme="minorHAnsi" w:hAnsiTheme="minorHAnsi" w:cstheme="minorHAnsi"/>
                <w:sz w:val="20"/>
              </w:rPr>
            </w:pPr>
            <w:r w:rsidRPr="005F120D">
              <w:rPr>
                <w:rFonts w:asciiTheme="minorHAnsi" w:hAnsiTheme="minorHAnsi" w:cstheme="minorHAnsi"/>
                <w:sz w:val="20"/>
              </w:rPr>
              <w:t>0089</w:t>
            </w:r>
          </w:p>
        </w:tc>
        <w:tc>
          <w:tcPr>
            <w:tcW w:w="2229" w:type="pct"/>
            <w:shd w:val="clear" w:color="auto" w:fill="auto"/>
            <w:vAlign w:val="center"/>
            <w:hideMark/>
          </w:tcPr>
          <w:p w:rsidR="00802B33" w:rsidRPr="005F120D" w:rsidRDefault="00802B33" w:rsidP="00A03624">
            <w:pPr>
              <w:pStyle w:val="NoSpacing"/>
              <w:rPr>
                <w:rFonts w:asciiTheme="minorHAnsi" w:hAnsiTheme="minorHAnsi" w:cstheme="minorHAnsi"/>
                <w:sz w:val="20"/>
              </w:rPr>
            </w:pPr>
            <w:r w:rsidRPr="005F120D">
              <w:rPr>
                <w:rFonts w:asciiTheme="minorHAnsi" w:hAnsiTheme="minorHAnsi" w:cstheme="minorHAnsi"/>
                <w:sz w:val="20"/>
              </w:rPr>
              <w:t>2.2.2) School Health ( for medical team)</w:t>
            </w:r>
          </w:p>
        </w:tc>
        <w:tc>
          <w:tcPr>
            <w:tcW w:w="558" w:type="pct"/>
            <w:vAlign w:val="center"/>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450</w:t>
            </w:r>
          </w:p>
        </w:tc>
        <w:tc>
          <w:tcPr>
            <w:tcW w:w="558" w:type="pct"/>
            <w:vAlign w:val="center"/>
          </w:tcPr>
          <w:p w:rsidR="00802B33" w:rsidRPr="005F120D" w:rsidRDefault="0035357B"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44</w:t>
            </w:r>
            <w:r w:rsidR="00802B33" w:rsidRPr="005F120D">
              <w:rPr>
                <w:rFonts w:asciiTheme="minorHAnsi" w:hAnsiTheme="minorHAnsi" w:cstheme="minorHAnsi"/>
                <w:color w:val="000000"/>
                <w:sz w:val="20"/>
              </w:rPr>
              <w:t>0</w:t>
            </w:r>
          </w:p>
        </w:tc>
        <w:tc>
          <w:tcPr>
            <w:tcW w:w="558" w:type="pct"/>
            <w:shd w:val="clear" w:color="auto" w:fill="auto"/>
            <w:vAlign w:val="center"/>
            <w:hideMark/>
          </w:tcPr>
          <w:p w:rsidR="00802B33" w:rsidRPr="005F120D" w:rsidRDefault="00CE1D34"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w:t>
            </w:r>
          </w:p>
        </w:tc>
        <w:tc>
          <w:tcPr>
            <w:tcW w:w="651" w:type="pct"/>
            <w:vAlign w:val="center"/>
          </w:tcPr>
          <w:p w:rsidR="00802B33" w:rsidRPr="005F120D" w:rsidRDefault="00CE1D34"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w:t>
            </w:r>
          </w:p>
        </w:tc>
      </w:tr>
      <w:tr w:rsidR="00802B33" w:rsidRPr="005F120D" w:rsidTr="00A03624">
        <w:trPr>
          <w:trHeight w:hRule="exact" w:val="288"/>
        </w:trPr>
        <w:tc>
          <w:tcPr>
            <w:tcW w:w="448" w:type="pct"/>
            <w:tcBorders>
              <w:bottom w:val="double" w:sz="4" w:space="0" w:color="948A54" w:themeColor="background2" w:themeShade="80"/>
            </w:tcBorders>
            <w:vAlign w:val="center"/>
          </w:tcPr>
          <w:p w:rsidR="00802B33" w:rsidRPr="005F120D" w:rsidRDefault="00802B33" w:rsidP="00A03624">
            <w:pPr>
              <w:pStyle w:val="NoSpacing"/>
              <w:jc w:val="center"/>
              <w:rPr>
                <w:rFonts w:asciiTheme="minorHAnsi" w:hAnsiTheme="minorHAnsi" w:cstheme="minorHAnsi"/>
                <w:sz w:val="20"/>
              </w:rPr>
            </w:pPr>
            <w:r w:rsidRPr="005F120D">
              <w:rPr>
                <w:rFonts w:asciiTheme="minorHAnsi" w:hAnsiTheme="minorHAnsi" w:cstheme="minorHAnsi"/>
                <w:sz w:val="20"/>
              </w:rPr>
              <w:t>0130a</w:t>
            </w:r>
          </w:p>
        </w:tc>
        <w:tc>
          <w:tcPr>
            <w:tcW w:w="2229" w:type="pct"/>
            <w:tcBorders>
              <w:bottom w:val="double" w:sz="4" w:space="0" w:color="948A54" w:themeColor="background2" w:themeShade="80"/>
            </w:tcBorders>
            <w:shd w:val="clear" w:color="auto" w:fill="auto"/>
            <w:vAlign w:val="center"/>
            <w:hideMark/>
          </w:tcPr>
          <w:p w:rsidR="00802B33" w:rsidRPr="005F120D" w:rsidRDefault="00802B33" w:rsidP="00A03624">
            <w:pPr>
              <w:pStyle w:val="NoSpacing"/>
              <w:rPr>
                <w:rFonts w:asciiTheme="minorHAnsi" w:hAnsiTheme="minorHAnsi" w:cstheme="minorHAnsi"/>
                <w:sz w:val="20"/>
              </w:rPr>
            </w:pPr>
            <w:r w:rsidRPr="005F120D">
              <w:rPr>
                <w:rFonts w:asciiTheme="minorHAnsi" w:hAnsiTheme="minorHAnsi" w:cstheme="minorHAnsi"/>
                <w:sz w:val="20"/>
              </w:rPr>
              <w:t>3.1.2) Para Teacher</w:t>
            </w:r>
          </w:p>
        </w:tc>
        <w:tc>
          <w:tcPr>
            <w:tcW w:w="558" w:type="pct"/>
            <w:tcBorders>
              <w:bottom w:val="double" w:sz="4" w:space="0" w:color="948A54" w:themeColor="background2" w:themeShade="80"/>
            </w:tcBorders>
            <w:vAlign w:val="center"/>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w:t>
            </w:r>
          </w:p>
        </w:tc>
        <w:tc>
          <w:tcPr>
            <w:tcW w:w="558" w:type="pct"/>
            <w:tcBorders>
              <w:bottom w:val="double" w:sz="4" w:space="0" w:color="948A54" w:themeColor="background2" w:themeShade="80"/>
            </w:tcBorders>
            <w:vAlign w:val="center"/>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w:t>
            </w:r>
          </w:p>
        </w:tc>
        <w:tc>
          <w:tcPr>
            <w:tcW w:w="558" w:type="pct"/>
            <w:tcBorders>
              <w:bottom w:val="double" w:sz="4" w:space="0" w:color="948A54" w:themeColor="background2" w:themeShade="80"/>
            </w:tcBorders>
            <w:shd w:val="clear" w:color="auto" w:fill="auto"/>
            <w:vAlign w:val="center"/>
            <w:hideMark/>
          </w:tcPr>
          <w:p w:rsidR="00802B33" w:rsidRPr="005F120D" w:rsidRDefault="00802B33" w:rsidP="00A03624">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w:t>
            </w:r>
          </w:p>
        </w:tc>
        <w:tc>
          <w:tcPr>
            <w:tcW w:w="651" w:type="pct"/>
            <w:tcBorders>
              <w:bottom w:val="double" w:sz="4" w:space="0" w:color="948A54" w:themeColor="background2" w:themeShade="80"/>
            </w:tcBorders>
            <w:vAlign w:val="center"/>
          </w:tcPr>
          <w:p w:rsidR="00802B33" w:rsidRPr="005F120D" w:rsidRDefault="00CE1D34"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w:t>
            </w:r>
          </w:p>
        </w:tc>
      </w:tr>
      <w:tr w:rsidR="00802B33" w:rsidRPr="005F120D" w:rsidTr="00A03624">
        <w:trPr>
          <w:trHeight w:hRule="exact" w:val="288"/>
        </w:trPr>
        <w:tc>
          <w:tcPr>
            <w:tcW w:w="448" w:type="pct"/>
            <w:tcBorders>
              <w:top w:val="double" w:sz="4" w:space="0" w:color="948A54" w:themeColor="background2" w:themeShade="80"/>
              <w:bottom w:val="double" w:sz="4" w:space="0" w:color="948A54" w:themeColor="background2" w:themeShade="80"/>
            </w:tcBorders>
            <w:vAlign w:val="center"/>
          </w:tcPr>
          <w:p w:rsidR="00802B33" w:rsidRPr="005F120D" w:rsidRDefault="00802B33" w:rsidP="00A03624">
            <w:pPr>
              <w:pStyle w:val="NoSpacing"/>
              <w:jc w:val="center"/>
              <w:rPr>
                <w:rFonts w:asciiTheme="minorHAnsi" w:hAnsiTheme="minorHAnsi" w:cstheme="minorHAnsi"/>
                <w:sz w:val="20"/>
              </w:rPr>
            </w:pPr>
          </w:p>
        </w:tc>
        <w:tc>
          <w:tcPr>
            <w:tcW w:w="2229" w:type="pct"/>
            <w:tcBorders>
              <w:top w:val="double" w:sz="4" w:space="0" w:color="948A54" w:themeColor="background2" w:themeShade="80"/>
              <w:bottom w:val="double" w:sz="4" w:space="0" w:color="948A54" w:themeColor="background2" w:themeShade="80"/>
            </w:tcBorders>
            <w:shd w:val="clear" w:color="auto" w:fill="auto"/>
            <w:noWrap/>
            <w:vAlign w:val="center"/>
            <w:hideMark/>
          </w:tcPr>
          <w:p w:rsidR="00802B33" w:rsidRPr="005F120D" w:rsidRDefault="00802B33" w:rsidP="00A03624">
            <w:pPr>
              <w:pStyle w:val="NoSpacing"/>
              <w:jc w:val="center"/>
              <w:rPr>
                <w:rFonts w:asciiTheme="minorHAnsi" w:hAnsiTheme="minorHAnsi" w:cstheme="minorHAnsi"/>
                <w:b/>
                <w:sz w:val="20"/>
              </w:rPr>
            </w:pPr>
            <w:r w:rsidRPr="005F120D">
              <w:rPr>
                <w:rFonts w:asciiTheme="minorHAnsi" w:hAnsiTheme="minorHAnsi" w:cstheme="minorHAnsi"/>
                <w:b/>
                <w:sz w:val="20"/>
              </w:rPr>
              <w:t>Conditional TOTAL</w:t>
            </w:r>
          </w:p>
        </w:tc>
        <w:tc>
          <w:tcPr>
            <w:tcW w:w="558" w:type="pct"/>
            <w:tcBorders>
              <w:top w:val="double" w:sz="4" w:space="0" w:color="948A54" w:themeColor="background2" w:themeShade="80"/>
              <w:bottom w:val="double" w:sz="4" w:space="0" w:color="948A54" w:themeColor="background2" w:themeShade="80"/>
            </w:tcBorders>
            <w:vAlign w:val="center"/>
          </w:tcPr>
          <w:p w:rsidR="00802B33" w:rsidRPr="005F120D" w:rsidRDefault="00802B33" w:rsidP="00A03624">
            <w:pPr>
              <w:spacing w:after="0"/>
              <w:jc w:val="center"/>
              <w:rPr>
                <w:rFonts w:asciiTheme="minorHAnsi" w:hAnsiTheme="minorHAnsi" w:cstheme="minorHAnsi"/>
                <w:b/>
                <w:bCs/>
                <w:color w:val="000000"/>
                <w:sz w:val="20"/>
              </w:rPr>
            </w:pPr>
            <w:r w:rsidRPr="005F120D">
              <w:rPr>
                <w:rFonts w:asciiTheme="minorHAnsi" w:hAnsiTheme="minorHAnsi" w:cstheme="minorHAnsi"/>
                <w:b/>
                <w:bCs/>
                <w:color w:val="000000"/>
                <w:sz w:val="20"/>
              </w:rPr>
              <w:t>3,780.10</w:t>
            </w:r>
          </w:p>
        </w:tc>
        <w:tc>
          <w:tcPr>
            <w:tcW w:w="558" w:type="pct"/>
            <w:tcBorders>
              <w:top w:val="double" w:sz="4" w:space="0" w:color="948A54" w:themeColor="background2" w:themeShade="80"/>
              <w:bottom w:val="double" w:sz="4" w:space="0" w:color="948A54" w:themeColor="background2" w:themeShade="80"/>
            </w:tcBorders>
            <w:vAlign w:val="center"/>
          </w:tcPr>
          <w:p w:rsidR="00802B33" w:rsidRPr="005F120D" w:rsidRDefault="00802B33" w:rsidP="00A03624">
            <w:pPr>
              <w:spacing w:after="0"/>
              <w:jc w:val="center"/>
              <w:rPr>
                <w:rFonts w:asciiTheme="minorHAnsi" w:hAnsiTheme="minorHAnsi" w:cstheme="minorHAnsi"/>
                <w:b/>
                <w:bCs/>
                <w:color w:val="000000"/>
                <w:sz w:val="20"/>
              </w:rPr>
            </w:pPr>
            <w:r w:rsidRPr="005F120D">
              <w:rPr>
                <w:rFonts w:asciiTheme="minorHAnsi" w:hAnsiTheme="minorHAnsi" w:cstheme="minorHAnsi"/>
                <w:b/>
                <w:bCs/>
                <w:color w:val="000000"/>
                <w:sz w:val="20"/>
              </w:rPr>
              <w:t>1,792.53</w:t>
            </w:r>
          </w:p>
        </w:tc>
        <w:tc>
          <w:tcPr>
            <w:tcW w:w="558" w:type="pct"/>
            <w:tcBorders>
              <w:top w:val="double" w:sz="4" w:space="0" w:color="948A54" w:themeColor="background2" w:themeShade="80"/>
              <w:bottom w:val="double" w:sz="4" w:space="0" w:color="948A54" w:themeColor="background2" w:themeShade="80"/>
            </w:tcBorders>
            <w:shd w:val="clear" w:color="auto" w:fill="auto"/>
            <w:noWrap/>
            <w:vAlign w:val="center"/>
            <w:hideMark/>
          </w:tcPr>
          <w:p w:rsidR="00802B33" w:rsidRPr="005F120D" w:rsidRDefault="00802B33" w:rsidP="00A03624">
            <w:pPr>
              <w:spacing w:after="0"/>
              <w:jc w:val="center"/>
              <w:rPr>
                <w:rFonts w:asciiTheme="minorHAnsi" w:hAnsiTheme="minorHAnsi" w:cstheme="minorHAnsi"/>
                <w:b/>
                <w:bCs/>
                <w:color w:val="000000"/>
                <w:sz w:val="20"/>
              </w:rPr>
            </w:pPr>
            <w:r w:rsidRPr="005F120D">
              <w:rPr>
                <w:rFonts w:asciiTheme="minorHAnsi" w:hAnsiTheme="minorHAnsi" w:cstheme="minorHAnsi"/>
                <w:b/>
                <w:bCs/>
                <w:color w:val="000000"/>
                <w:sz w:val="20"/>
              </w:rPr>
              <w:t>4,286.25</w:t>
            </w:r>
          </w:p>
        </w:tc>
        <w:tc>
          <w:tcPr>
            <w:tcW w:w="651" w:type="pct"/>
            <w:tcBorders>
              <w:top w:val="double" w:sz="4" w:space="0" w:color="948A54" w:themeColor="background2" w:themeShade="80"/>
              <w:bottom w:val="double" w:sz="4" w:space="0" w:color="948A54" w:themeColor="background2" w:themeShade="80"/>
            </w:tcBorders>
            <w:vAlign w:val="center"/>
          </w:tcPr>
          <w:p w:rsidR="00802B33" w:rsidRPr="005F120D" w:rsidRDefault="00CE1D34" w:rsidP="00A03624">
            <w:pPr>
              <w:spacing w:after="0"/>
              <w:jc w:val="center"/>
              <w:rPr>
                <w:rFonts w:asciiTheme="minorHAnsi" w:hAnsiTheme="minorHAnsi" w:cstheme="minorHAnsi"/>
                <w:b/>
                <w:sz w:val="20"/>
                <w:lang w:eastAsia="ja-JP"/>
              </w:rPr>
            </w:pPr>
            <w:r w:rsidRPr="005F120D">
              <w:rPr>
                <w:rFonts w:asciiTheme="minorHAnsi" w:hAnsiTheme="minorHAnsi" w:cstheme="minorHAnsi"/>
                <w:b/>
                <w:sz w:val="20"/>
                <w:lang w:eastAsia="ja-JP"/>
              </w:rPr>
              <w:t>3,220.85</w:t>
            </w:r>
          </w:p>
        </w:tc>
      </w:tr>
      <w:tr w:rsidR="00802B33" w:rsidRPr="005F120D" w:rsidTr="00A03624">
        <w:trPr>
          <w:trHeight w:hRule="exact" w:val="288"/>
        </w:trPr>
        <w:tc>
          <w:tcPr>
            <w:tcW w:w="448" w:type="pct"/>
            <w:tcBorders>
              <w:top w:val="double" w:sz="4" w:space="0" w:color="948A54" w:themeColor="background2" w:themeShade="80"/>
              <w:bottom w:val="double" w:sz="4" w:space="0" w:color="948A54" w:themeColor="background2" w:themeShade="80"/>
            </w:tcBorders>
            <w:vAlign w:val="center"/>
          </w:tcPr>
          <w:p w:rsidR="00802B33" w:rsidRPr="005F120D" w:rsidRDefault="00802B33" w:rsidP="00A03624">
            <w:pPr>
              <w:pStyle w:val="NoSpacing"/>
              <w:jc w:val="center"/>
              <w:rPr>
                <w:rFonts w:asciiTheme="minorHAnsi" w:hAnsiTheme="minorHAnsi" w:cstheme="minorHAnsi"/>
                <w:sz w:val="20"/>
              </w:rPr>
            </w:pPr>
          </w:p>
        </w:tc>
        <w:tc>
          <w:tcPr>
            <w:tcW w:w="2229" w:type="pct"/>
            <w:tcBorders>
              <w:top w:val="double" w:sz="4" w:space="0" w:color="948A54" w:themeColor="background2" w:themeShade="80"/>
              <w:bottom w:val="double" w:sz="4" w:space="0" w:color="948A54" w:themeColor="background2" w:themeShade="80"/>
            </w:tcBorders>
            <w:shd w:val="clear" w:color="auto" w:fill="auto"/>
            <w:noWrap/>
            <w:vAlign w:val="center"/>
          </w:tcPr>
          <w:p w:rsidR="00802B33" w:rsidRPr="005F120D" w:rsidRDefault="00802B33" w:rsidP="00A03624">
            <w:pPr>
              <w:pStyle w:val="NoSpacing"/>
              <w:jc w:val="center"/>
              <w:rPr>
                <w:rFonts w:asciiTheme="minorHAnsi" w:hAnsiTheme="minorHAnsi" w:cstheme="minorHAnsi"/>
                <w:b/>
                <w:sz w:val="20"/>
              </w:rPr>
            </w:pPr>
            <w:r w:rsidRPr="005F120D">
              <w:rPr>
                <w:rFonts w:asciiTheme="minorHAnsi" w:hAnsiTheme="minorHAnsi" w:cstheme="minorHAnsi"/>
                <w:b/>
                <w:sz w:val="20"/>
              </w:rPr>
              <w:t>Total Conditional and Un-conditional</w:t>
            </w:r>
          </w:p>
        </w:tc>
        <w:tc>
          <w:tcPr>
            <w:tcW w:w="558" w:type="pct"/>
            <w:tcBorders>
              <w:top w:val="double" w:sz="4" w:space="0" w:color="948A54" w:themeColor="background2" w:themeShade="80"/>
              <w:bottom w:val="double" w:sz="4" w:space="0" w:color="948A54" w:themeColor="background2" w:themeShade="80"/>
            </w:tcBorders>
            <w:vAlign w:val="center"/>
          </w:tcPr>
          <w:p w:rsidR="00802B33" w:rsidRPr="005F120D" w:rsidRDefault="00802B33" w:rsidP="00A03624">
            <w:pPr>
              <w:spacing w:after="0"/>
              <w:jc w:val="center"/>
              <w:rPr>
                <w:rFonts w:asciiTheme="minorHAnsi" w:hAnsiTheme="minorHAnsi" w:cstheme="minorHAnsi"/>
                <w:b/>
                <w:bCs/>
                <w:color w:val="000000"/>
                <w:sz w:val="20"/>
              </w:rPr>
            </w:pPr>
            <w:r w:rsidRPr="005F120D">
              <w:rPr>
                <w:rFonts w:asciiTheme="minorHAnsi" w:hAnsiTheme="minorHAnsi" w:cstheme="minorHAnsi"/>
                <w:b/>
                <w:bCs/>
                <w:color w:val="000000"/>
                <w:sz w:val="20"/>
              </w:rPr>
              <w:t>18,203.60</w:t>
            </w:r>
          </w:p>
        </w:tc>
        <w:tc>
          <w:tcPr>
            <w:tcW w:w="558" w:type="pct"/>
            <w:tcBorders>
              <w:top w:val="double" w:sz="4" w:space="0" w:color="948A54" w:themeColor="background2" w:themeShade="80"/>
              <w:bottom w:val="double" w:sz="4" w:space="0" w:color="948A54" w:themeColor="background2" w:themeShade="80"/>
            </w:tcBorders>
            <w:vAlign w:val="center"/>
          </w:tcPr>
          <w:p w:rsidR="00802B33" w:rsidRPr="005F120D" w:rsidRDefault="00802B33" w:rsidP="00A03624">
            <w:pPr>
              <w:spacing w:after="0"/>
              <w:jc w:val="center"/>
              <w:rPr>
                <w:rFonts w:asciiTheme="minorHAnsi" w:hAnsiTheme="minorHAnsi" w:cstheme="minorHAnsi"/>
                <w:b/>
                <w:bCs/>
                <w:color w:val="000000"/>
                <w:sz w:val="20"/>
              </w:rPr>
            </w:pPr>
            <w:r w:rsidRPr="005F120D">
              <w:rPr>
                <w:rFonts w:asciiTheme="minorHAnsi" w:hAnsiTheme="minorHAnsi" w:cstheme="minorHAnsi"/>
                <w:b/>
                <w:bCs/>
                <w:color w:val="000000"/>
                <w:sz w:val="20"/>
              </w:rPr>
              <w:t>16,200.13</w:t>
            </w:r>
          </w:p>
        </w:tc>
        <w:tc>
          <w:tcPr>
            <w:tcW w:w="558" w:type="pct"/>
            <w:tcBorders>
              <w:top w:val="double" w:sz="4" w:space="0" w:color="948A54" w:themeColor="background2" w:themeShade="80"/>
              <w:bottom w:val="double" w:sz="4" w:space="0" w:color="948A54" w:themeColor="background2" w:themeShade="80"/>
            </w:tcBorders>
            <w:shd w:val="clear" w:color="auto" w:fill="auto"/>
            <w:noWrap/>
            <w:vAlign w:val="center"/>
          </w:tcPr>
          <w:p w:rsidR="00802B33" w:rsidRPr="005F120D" w:rsidRDefault="00802B33" w:rsidP="00A03624">
            <w:pPr>
              <w:spacing w:after="0"/>
              <w:jc w:val="center"/>
              <w:rPr>
                <w:rFonts w:asciiTheme="minorHAnsi" w:hAnsiTheme="minorHAnsi" w:cstheme="minorHAnsi"/>
                <w:b/>
                <w:bCs/>
                <w:color w:val="000000"/>
                <w:sz w:val="20"/>
              </w:rPr>
            </w:pPr>
            <w:r w:rsidRPr="005F120D">
              <w:rPr>
                <w:rFonts w:asciiTheme="minorHAnsi" w:hAnsiTheme="minorHAnsi" w:cstheme="minorHAnsi"/>
                <w:b/>
                <w:bCs/>
                <w:color w:val="000000"/>
                <w:sz w:val="20"/>
              </w:rPr>
              <w:t>29,891.55</w:t>
            </w:r>
          </w:p>
        </w:tc>
        <w:tc>
          <w:tcPr>
            <w:tcW w:w="651" w:type="pct"/>
            <w:tcBorders>
              <w:top w:val="double" w:sz="4" w:space="0" w:color="948A54" w:themeColor="background2" w:themeShade="80"/>
              <w:bottom w:val="double" w:sz="4" w:space="0" w:color="948A54" w:themeColor="background2" w:themeShade="80"/>
            </w:tcBorders>
            <w:vAlign w:val="center"/>
          </w:tcPr>
          <w:p w:rsidR="00802B33" w:rsidRPr="005F120D" w:rsidRDefault="00802B33"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n/a</w:t>
            </w:r>
          </w:p>
        </w:tc>
      </w:tr>
    </w:tbl>
    <w:p w:rsidR="00CF13DC" w:rsidRPr="005F120D" w:rsidRDefault="00CF13DC" w:rsidP="00C437AA">
      <w:pPr>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 xml:space="preserve">Source: </w:t>
      </w:r>
      <w:r w:rsidR="00DE3AB6" w:rsidRPr="005F120D">
        <w:rPr>
          <w:rFonts w:asciiTheme="minorHAnsi" w:hAnsiTheme="minorHAnsi" w:cstheme="minorHAnsi"/>
          <w:b/>
          <w:i/>
          <w:sz w:val="16"/>
          <w:szCs w:val="16"/>
        </w:rPr>
        <w:t xml:space="preserve">Original and Revised </w:t>
      </w:r>
      <w:r w:rsidR="00C2568D" w:rsidRPr="005F120D">
        <w:rPr>
          <w:rFonts w:asciiTheme="minorHAnsi" w:hAnsiTheme="minorHAnsi" w:cstheme="minorHAnsi"/>
          <w:b/>
          <w:i/>
          <w:sz w:val="16"/>
          <w:szCs w:val="16"/>
        </w:rPr>
        <w:t>AOP 2015-16</w:t>
      </w:r>
    </w:p>
    <w:p w:rsidR="00706FAD" w:rsidRPr="005F120D" w:rsidRDefault="00706FAD" w:rsidP="00A03624">
      <w:pPr>
        <w:ind w:left="90"/>
        <w:jc w:val="both"/>
        <w:rPr>
          <w:rFonts w:asciiTheme="minorHAnsi" w:hAnsiTheme="minorHAnsi" w:cstheme="minorHAnsi"/>
        </w:rPr>
      </w:pPr>
      <w:r w:rsidRPr="005F120D">
        <w:rPr>
          <w:rFonts w:asciiTheme="minorHAnsi" w:hAnsiTheme="minorHAnsi" w:cstheme="minorHAnsi"/>
        </w:rPr>
        <w:t xml:space="preserve">All block grants were assigned under the economic code 5900 Grants in Aid in the DPE budget. In the 2015-16 AOP, it was the third time that funds were allocated to these block grants (SLIP and UPEP).  In the original AOP 2015-16, the total allocation for the five block grants was TK. 29,891.55 </w:t>
      </w:r>
      <w:r w:rsidR="00F738CE" w:rsidRPr="005F120D">
        <w:rPr>
          <w:rFonts w:asciiTheme="minorHAnsi" w:hAnsiTheme="minorHAnsi" w:cstheme="minorHAnsi"/>
        </w:rPr>
        <w:t>Lac</w:t>
      </w:r>
      <w:r w:rsidRPr="005F120D">
        <w:rPr>
          <w:rFonts w:asciiTheme="minorHAnsi" w:hAnsiTheme="minorHAnsi" w:cstheme="minorHAnsi"/>
        </w:rPr>
        <w:t xml:space="preserve"> up by 84.1% (revised AOP 2014-15) and by 64.2% from AOP 2014-15.</w:t>
      </w:r>
    </w:p>
    <w:p w:rsidR="0018224E" w:rsidRPr="005F120D" w:rsidRDefault="00706FAD" w:rsidP="00A03624">
      <w:pPr>
        <w:ind w:left="90"/>
        <w:jc w:val="both"/>
        <w:rPr>
          <w:rFonts w:asciiTheme="minorHAnsi" w:hAnsiTheme="minorHAnsi" w:cstheme="minorHAnsi"/>
        </w:rPr>
      </w:pPr>
      <w:r w:rsidRPr="005F120D">
        <w:rPr>
          <w:rFonts w:asciiTheme="minorHAnsi" w:hAnsiTheme="minorHAnsi" w:cstheme="minorHAnsi"/>
        </w:rPr>
        <w:t>As a percentage of the overall AOP budget however, the share of the total block grants was 7% in 2012/13, 5.7% in 2013/14, 5.4% in 2014/15 and 8% in 2015/16.  Budget disbursement in the first three- quarters of the fiscal year (up to March 2014) was 59.4%, mainly for SLIP funding and for the cost of pre-primary operations</w:t>
      </w:r>
      <w:r w:rsidR="00A534D4" w:rsidRPr="005F120D">
        <w:rPr>
          <w:rFonts w:asciiTheme="minorHAnsi" w:hAnsiTheme="minorHAnsi" w:cstheme="minorHAnsi"/>
        </w:rPr>
        <w:t>.</w:t>
      </w:r>
    </w:p>
    <w:p w:rsidR="00294E49" w:rsidRPr="005F120D" w:rsidRDefault="007C4F4A" w:rsidP="00C437AA">
      <w:pPr>
        <w:pStyle w:val="Heading4"/>
        <w:spacing w:line="276" w:lineRule="auto"/>
        <w:rPr>
          <w:rFonts w:asciiTheme="minorHAnsi" w:hAnsiTheme="minorHAnsi" w:cstheme="minorHAnsi"/>
          <w:b/>
          <w:color w:val="008000"/>
        </w:rPr>
      </w:pPr>
      <w:r w:rsidRPr="005F120D">
        <w:rPr>
          <w:rFonts w:asciiTheme="minorHAnsi" w:hAnsiTheme="minorHAnsi" w:cstheme="minorHAnsi"/>
          <w:b/>
          <w:color w:val="008000"/>
        </w:rPr>
        <w:lastRenderedPageBreak/>
        <w:t>Expenditure of Block G</w:t>
      </w:r>
      <w:r w:rsidR="004B4FEE" w:rsidRPr="005F120D">
        <w:rPr>
          <w:rFonts w:asciiTheme="minorHAnsi" w:hAnsiTheme="minorHAnsi" w:cstheme="minorHAnsi"/>
          <w:b/>
          <w:color w:val="008000"/>
        </w:rPr>
        <w:t>rants</w:t>
      </w:r>
    </w:p>
    <w:p w:rsidR="009F3AFA" w:rsidRPr="005F120D" w:rsidRDefault="00D978CB" w:rsidP="00C437AA">
      <w:pPr>
        <w:spacing w:line="276" w:lineRule="auto"/>
        <w:rPr>
          <w:rFonts w:asciiTheme="minorHAnsi" w:hAnsiTheme="minorHAnsi" w:cstheme="minorHAnsi"/>
        </w:rPr>
      </w:pPr>
      <w:r w:rsidRPr="005F120D">
        <w:rPr>
          <w:rFonts w:asciiTheme="minorHAnsi" w:hAnsiTheme="minorHAnsi" w:cstheme="minorHAnsi"/>
        </w:rPr>
        <w:t>Detailed</w:t>
      </w:r>
      <w:r w:rsidR="00A534D4" w:rsidRPr="005F120D">
        <w:rPr>
          <w:rFonts w:asciiTheme="minorHAnsi" w:hAnsiTheme="minorHAnsi" w:cstheme="minorHAnsi"/>
        </w:rPr>
        <w:t xml:space="preserve"> expenditure against</w:t>
      </w:r>
      <w:r w:rsidR="006C63DF" w:rsidRPr="005F120D">
        <w:rPr>
          <w:rFonts w:asciiTheme="minorHAnsi" w:hAnsiTheme="minorHAnsi" w:cstheme="minorHAnsi"/>
        </w:rPr>
        <w:t xml:space="preserve"> block grant budgets in AOP 2015</w:t>
      </w:r>
      <w:r w:rsidRPr="005F120D">
        <w:rPr>
          <w:rFonts w:asciiTheme="minorHAnsi" w:hAnsiTheme="minorHAnsi" w:cstheme="minorHAnsi"/>
        </w:rPr>
        <w:t>-1</w:t>
      </w:r>
      <w:r w:rsidR="006C63DF" w:rsidRPr="005F120D">
        <w:rPr>
          <w:rFonts w:asciiTheme="minorHAnsi" w:hAnsiTheme="minorHAnsi" w:cstheme="minorHAnsi"/>
        </w:rPr>
        <w:t>6</w:t>
      </w:r>
      <w:r w:rsidR="00F035A1" w:rsidRPr="005F120D">
        <w:rPr>
          <w:rFonts w:asciiTheme="minorHAnsi" w:hAnsiTheme="minorHAnsi" w:cstheme="minorHAnsi"/>
        </w:rPr>
        <w:t xml:space="preserve"> is</w:t>
      </w:r>
      <w:r w:rsidR="007B77FC" w:rsidRPr="005F120D">
        <w:rPr>
          <w:rFonts w:asciiTheme="minorHAnsi" w:hAnsiTheme="minorHAnsi" w:cstheme="minorHAnsi"/>
        </w:rPr>
        <w:t xml:space="preserve"> shown in Table 3.25</w:t>
      </w:r>
      <w:r w:rsidR="008628F4" w:rsidRPr="005F120D">
        <w:rPr>
          <w:rFonts w:asciiTheme="minorHAnsi" w:hAnsiTheme="minorHAnsi" w:cstheme="minorHAnsi"/>
        </w:rPr>
        <w:t xml:space="preserve"> below</w:t>
      </w:r>
    </w:p>
    <w:p w:rsidR="00D978CB" w:rsidRPr="005F120D" w:rsidRDefault="00D978CB" w:rsidP="00C437AA">
      <w:pPr>
        <w:pStyle w:val="Caption"/>
        <w:spacing w:line="276" w:lineRule="auto"/>
        <w:rPr>
          <w:rFonts w:cstheme="minorHAnsi"/>
        </w:rPr>
      </w:pPr>
      <w:bookmarkStart w:id="372" w:name="_Toc462837282"/>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25</w:t>
      </w:r>
      <w:r w:rsidR="002E2ED5" w:rsidRPr="005F120D">
        <w:rPr>
          <w:rFonts w:cstheme="minorHAnsi"/>
        </w:rPr>
        <w:fldChar w:fldCharType="end"/>
      </w:r>
      <w:r w:rsidRPr="005F120D">
        <w:rPr>
          <w:rFonts w:cstheme="minorHAnsi"/>
        </w:rPr>
        <w:t>: Block Grant</w:t>
      </w:r>
      <w:r w:rsidR="006C63DF" w:rsidRPr="005F120D">
        <w:rPr>
          <w:rFonts w:cstheme="minorHAnsi"/>
        </w:rPr>
        <w:t xml:space="preserve"> Budget and Expenditures FY 2015</w:t>
      </w:r>
      <w:r w:rsidR="000C42FD" w:rsidRPr="005F120D">
        <w:rPr>
          <w:rFonts w:cstheme="minorHAnsi"/>
        </w:rPr>
        <w:t>-1</w:t>
      </w:r>
      <w:r w:rsidR="006C63DF" w:rsidRPr="005F120D">
        <w:rPr>
          <w:rFonts w:cstheme="minorHAnsi"/>
        </w:rPr>
        <w:t>6</w:t>
      </w:r>
      <w:bookmarkEnd w:id="372"/>
    </w:p>
    <w:tbl>
      <w:tblPr>
        <w:tblW w:w="5000"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4A0"/>
      </w:tblPr>
      <w:tblGrid>
        <w:gridCol w:w="3938"/>
        <w:gridCol w:w="1176"/>
        <w:gridCol w:w="1664"/>
        <w:gridCol w:w="1372"/>
        <w:gridCol w:w="1095"/>
      </w:tblGrid>
      <w:tr w:rsidR="00641449" w:rsidRPr="005F120D" w:rsidTr="00641449">
        <w:tc>
          <w:tcPr>
            <w:tcW w:w="2130" w:type="pct"/>
            <w:vMerge w:val="restart"/>
            <w:tcBorders>
              <w:top w:val="double" w:sz="4" w:space="0" w:color="948A54" w:themeColor="background2" w:themeShade="80"/>
              <w:bottom w:val="single" w:sz="6" w:space="0" w:color="948A54" w:themeColor="background2" w:themeShade="80"/>
            </w:tcBorders>
            <w:shd w:val="clear" w:color="auto" w:fill="C2D69B" w:themeFill="accent3" w:themeFillTint="99"/>
            <w:hideMark/>
          </w:tcPr>
          <w:p w:rsidR="00641449" w:rsidRPr="005F120D" w:rsidRDefault="00641449" w:rsidP="00A03624">
            <w:pPr>
              <w:pStyle w:val="NoSpacing"/>
              <w:jc w:val="center"/>
              <w:rPr>
                <w:rFonts w:asciiTheme="minorHAnsi" w:hAnsiTheme="minorHAnsi" w:cstheme="minorHAnsi"/>
                <w:b/>
                <w:sz w:val="20"/>
              </w:rPr>
            </w:pPr>
            <w:r w:rsidRPr="005F120D">
              <w:rPr>
                <w:rFonts w:asciiTheme="minorHAnsi" w:hAnsiTheme="minorHAnsi" w:cstheme="minorHAnsi"/>
                <w:b/>
                <w:sz w:val="20"/>
              </w:rPr>
              <w:t>PEDP3 Sub-components</w:t>
            </w:r>
          </w:p>
          <w:p w:rsidR="00641449" w:rsidRPr="005F120D" w:rsidRDefault="00641449" w:rsidP="00A03624">
            <w:pPr>
              <w:pStyle w:val="NoSpacing"/>
              <w:jc w:val="center"/>
              <w:rPr>
                <w:rFonts w:asciiTheme="minorHAnsi" w:hAnsiTheme="minorHAnsi" w:cstheme="minorHAnsi"/>
                <w:b/>
                <w:i/>
                <w:sz w:val="20"/>
              </w:rPr>
            </w:pPr>
            <w:r w:rsidRPr="005F120D">
              <w:rPr>
                <w:rFonts w:asciiTheme="minorHAnsi" w:hAnsiTheme="minorHAnsi" w:cstheme="minorHAnsi"/>
                <w:b/>
                <w:i/>
                <w:sz w:val="20"/>
              </w:rPr>
              <w:t xml:space="preserve">(Taka </w:t>
            </w:r>
            <w:r w:rsidR="00F738CE" w:rsidRPr="005F120D">
              <w:rPr>
                <w:rFonts w:asciiTheme="minorHAnsi" w:hAnsiTheme="minorHAnsi" w:cstheme="minorHAnsi"/>
                <w:b/>
                <w:i/>
                <w:sz w:val="20"/>
              </w:rPr>
              <w:t>Lac</w:t>
            </w:r>
            <w:r w:rsidRPr="005F120D">
              <w:rPr>
                <w:rFonts w:asciiTheme="minorHAnsi" w:hAnsiTheme="minorHAnsi" w:cstheme="minorHAnsi"/>
                <w:b/>
                <w:i/>
                <w:sz w:val="20"/>
              </w:rPr>
              <w:t>)</w:t>
            </w:r>
          </w:p>
        </w:tc>
        <w:tc>
          <w:tcPr>
            <w:tcW w:w="2870" w:type="pct"/>
            <w:gridSpan w:val="4"/>
            <w:tcBorders>
              <w:top w:val="double" w:sz="4" w:space="0" w:color="948A54" w:themeColor="background2" w:themeShade="80"/>
              <w:bottom w:val="single" w:sz="6" w:space="0" w:color="948A54" w:themeColor="background2" w:themeShade="80"/>
            </w:tcBorders>
            <w:shd w:val="clear" w:color="auto" w:fill="C2D69B" w:themeFill="accent3" w:themeFillTint="99"/>
          </w:tcPr>
          <w:p w:rsidR="00641449" w:rsidRPr="005F120D" w:rsidRDefault="00641449" w:rsidP="00A03624">
            <w:pPr>
              <w:pStyle w:val="NoSpacing"/>
              <w:jc w:val="center"/>
              <w:rPr>
                <w:rFonts w:asciiTheme="minorHAnsi" w:hAnsiTheme="minorHAnsi" w:cstheme="minorHAnsi"/>
                <w:b/>
                <w:sz w:val="20"/>
              </w:rPr>
            </w:pPr>
            <w:r w:rsidRPr="005F120D">
              <w:rPr>
                <w:rFonts w:asciiTheme="minorHAnsi" w:hAnsiTheme="minorHAnsi" w:cstheme="minorHAnsi"/>
                <w:b/>
                <w:sz w:val="20"/>
              </w:rPr>
              <w:t>AOP 2015-16</w:t>
            </w:r>
          </w:p>
        </w:tc>
      </w:tr>
      <w:tr w:rsidR="00641449" w:rsidRPr="005F120D" w:rsidTr="00641449">
        <w:tc>
          <w:tcPr>
            <w:tcW w:w="2130" w:type="pct"/>
            <w:vMerge/>
            <w:tcBorders>
              <w:top w:val="single" w:sz="6" w:space="0" w:color="948A54" w:themeColor="background2" w:themeShade="80"/>
              <w:bottom w:val="double" w:sz="4" w:space="0" w:color="948A54" w:themeColor="background2" w:themeShade="80"/>
            </w:tcBorders>
            <w:shd w:val="clear" w:color="auto" w:fill="C2D69B" w:themeFill="accent3" w:themeFillTint="99"/>
          </w:tcPr>
          <w:p w:rsidR="00641449" w:rsidRPr="005F120D" w:rsidRDefault="00641449" w:rsidP="00A03624">
            <w:pPr>
              <w:pStyle w:val="NoSpacing"/>
              <w:jc w:val="center"/>
              <w:rPr>
                <w:rFonts w:asciiTheme="minorHAnsi" w:hAnsiTheme="minorHAnsi" w:cstheme="minorHAnsi"/>
                <w:b/>
                <w:sz w:val="20"/>
              </w:rPr>
            </w:pPr>
          </w:p>
        </w:tc>
        <w:tc>
          <w:tcPr>
            <w:tcW w:w="636" w:type="pct"/>
            <w:tcBorders>
              <w:top w:val="single" w:sz="6" w:space="0" w:color="948A54" w:themeColor="background2" w:themeShade="80"/>
              <w:bottom w:val="double" w:sz="4" w:space="0" w:color="948A54" w:themeColor="background2" w:themeShade="80"/>
            </w:tcBorders>
            <w:shd w:val="clear" w:color="auto" w:fill="C2D69B" w:themeFill="accent3" w:themeFillTint="99"/>
          </w:tcPr>
          <w:p w:rsidR="00641449" w:rsidRPr="005F120D" w:rsidRDefault="00641449" w:rsidP="00A03624">
            <w:pPr>
              <w:pStyle w:val="NoSpacing"/>
              <w:jc w:val="center"/>
              <w:rPr>
                <w:rFonts w:asciiTheme="minorHAnsi" w:hAnsiTheme="minorHAnsi" w:cstheme="minorHAnsi"/>
                <w:b/>
                <w:sz w:val="20"/>
              </w:rPr>
            </w:pPr>
            <w:r w:rsidRPr="005F120D">
              <w:rPr>
                <w:rFonts w:asciiTheme="minorHAnsi" w:hAnsiTheme="minorHAnsi" w:cstheme="minorHAnsi"/>
                <w:b/>
                <w:sz w:val="20"/>
              </w:rPr>
              <w:t>Original</w:t>
            </w:r>
          </w:p>
          <w:p w:rsidR="00641449" w:rsidRPr="005F120D" w:rsidRDefault="00641449" w:rsidP="00A03624">
            <w:pPr>
              <w:pStyle w:val="NoSpacing"/>
              <w:jc w:val="center"/>
              <w:rPr>
                <w:rFonts w:asciiTheme="minorHAnsi" w:hAnsiTheme="minorHAnsi" w:cstheme="minorHAnsi"/>
                <w:b/>
                <w:sz w:val="20"/>
              </w:rPr>
            </w:pPr>
            <w:r w:rsidRPr="005F120D">
              <w:rPr>
                <w:rFonts w:asciiTheme="minorHAnsi" w:hAnsiTheme="minorHAnsi" w:cstheme="minorHAnsi"/>
                <w:b/>
                <w:sz w:val="20"/>
              </w:rPr>
              <w:t>Budget</w:t>
            </w:r>
          </w:p>
        </w:tc>
        <w:tc>
          <w:tcPr>
            <w:tcW w:w="900" w:type="pct"/>
            <w:tcBorders>
              <w:top w:val="single" w:sz="6" w:space="0" w:color="948A54" w:themeColor="background2" w:themeShade="80"/>
              <w:bottom w:val="double" w:sz="4" w:space="0" w:color="948A54" w:themeColor="background2" w:themeShade="80"/>
            </w:tcBorders>
            <w:shd w:val="clear" w:color="auto" w:fill="C2D69B" w:themeFill="accent3" w:themeFillTint="99"/>
          </w:tcPr>
          <w:p w:rsidR="00641449" w:rsidRPr="005F120D" w:rsidRDefault="00641449" w:rsidP="00A03624">
            <w:pPr>
              <w:pStyle w:val="NoSpacing"/>
              <w:jc w:val="center"/>
              <w:rPr>
                <w:rFonts w:asciiTheme="minorHAnsi" w:hAnsiTheme="minorHAnsi" w:cstheme="minorHAnsi"/>
                <w:b/>
                <w:sz w:val="20"/>
              </w:rPr>
            </w:pPr>
            <w:r w:rsidRPr="005F120D">
              <w:rPr>
                <w:rFonts w:asciiTheme="minorHAnsi" w:hAnsiTheme="minorHAnsi" w:cstheme="minorHAnsi"/>
                <w:b/>
                <w:sz w:val="20"/>
              </w:rPr>
              <w:t>Revised</w:t>
            </w:r>
          </w:p>
          <w:p w:rsidR="00641449" w:rsidRPr="005F120D" w:rsidRDefault="00641449" w:rsidP="00A03624">
            <w:pPr>
              <w:pStyle w:val="NoSpacing"/>
              <w:jc w:val="center"/>
              <w:rPr>
                <w:rFonts w:asciiTheme="minorHAnsi" w:hAnsiTheme="minorHAnsi" w:cstheme="minorHAnsi"/>
                <w:b/>
                <w:sz w:val="20"/>
              </w:rPr>
            </w:pPr>
            <w:r w:rsidRPr="005F120D">
              <w:rPr>
                <w:rFonts w:asciiTheme="minorHAnsi" w:hAnsiTheme="minorHAnsi" w:cstheme="minorHAnsi"/>
                <w:b/>
                <w:sz w:val="20"/>
              </w:rPr>
              <w:t>Budget</w:t>
            </w:r>
          </w:p>
        </w:tc>
        <w:tc>
          <w:tcPr>
            <w:tcW w:w="1334" w:type="pct"/>
            <w:gridSpan w:val="2"/>
            <w:tcBorders>
              <w:top w:val="single" w:sz="6" w:space="0" w:color="948A54" w:themeColor="background2" w:themeShade="80"/>
              <w:bottom w:val="double" w:sz="4" w:space="0" w:color="948A54" w:themeColor="background2" w:themeShade="80"/>
            </w:tcBorders>
            <w:shd w:val="clear" w:color="auto" w:fill="C2D69B" w:themeFill="accent3" w:themeFillTint="99"/>
          </w:tcPr>
          <w:p w:rsidR="00641449" w:rsidRPr="005F120D" w:rsidRDefault="00641449" w:rsidP="00A03624">
            <w:pPr>
              <w:pStyle w:val="NoSpacing"/>
              <w:jc w:val="center"/>
              <w:rPr>
                <w:rFonts w:asciiTheme="minorHAnsi" w:hAnsiTheme="minorHAnsi" w:cstheme="minorHAnsi"/>
                <w:b/>
                <w:sz w:val="20"/>
              </w:rPr>
            </w:pPr>
            <w:r w:rsidRPr="005F120D">
              <w:rPr>
                <w:rFonts w:asciiTheme="minorHAnsi" w:hAnsiTheme="minorHAnsi" w:cstheme="minorHAnsi"/>
                <w:b/>
                <w:sz w:val="20"/>
              </w:rPr>
              <w:t>Disbursement</w:t>
            </w:r>
          </w:p>
          <w:p w:rsidR="00641449" w:rsidRPr="005F120D" w:rsidRDefault="00641449" w:rsidP="00A03624">
            <w:pPr>
              <w:pStyle w:val="NoSpacing"/>
              <w:jc w:val="center"/>
              <w:rPr>
                <w:rFonts w:asciiTheme="minorHAnsi" w:hAnsiTheme="minorHAnsi" w:cstheme="minorHAnsi"/>
                <w:b/>
                <w:sz w:val="20"/>
              </w:rPr>
            </w:pPr>
            <w:r w:rsidRPr="005F120D">
              <w:rPr>
                <w:rFonts w:asciiTheme="minorHAnsi" w:hAnsiTheme="minorHAnsi" w:cstheme="minorHAnsi"/>
                <w:b/>
                <w:sz w:val="20"/>
              </w:rPr>
              <w:t>(up to March 2015)</w:t>
            </w:r>
          </w:p>
        </w:tc>
      </w:tr>
      <w:tr w:rsidR="00641449" w:rsidRPr="005F120D" w:rsidTr="006C63DF">
        <w:tc>
          <w:tcPr>
            <w:tcW w:w="2130" w:type="pct"/>
            <w:tcBorders>
              <w:top w:val="double" w:sz="4" w:space="0" w:color="948A54" w:themeColor="background2" w:themeShade="80"/>
            </w:tcBorders>
            <w:shd w:val="clear" w:color="auto" w:fill="auto"/>
            <w:vAlign w:val="center"/>
            <w:hideMark/>
          </w:tcPr>
          <w:p w:rsidR="00641449" w:rsidRPr="005F120D" w:rsidRDefault="00641449" w:rsidP="00A03624">
            <w:pPr>
              <w:pStyle w:val="NoSpacing"/>
              <w:rPr>
                <w:rFonts w:asciiTheme="minorHAnsi" w:hAnsiTheme="minorHAnsi" w:cstheme="minorHAnsi"/>
                <w:sz w:val="20"/>
              </w:rPr>
            </w:pPr>
            <w:r w:rsidRPr="005F120D">
              <w:rPr>
                <w:rFonts w:asciiTheme="minorHAnsi" w:hAnsiTheme="minorHAnsi" w:cstheme="minorHAnsi"/>
                <w:sz w:val="20"/>
              </w:rPr>
              <w:t>2.1.2)  Pre-Primary Education</w:t>
            </w:r>
          </w:p>
        </w:tc>
        <w:tc>
          <w:tcPr>
            <w:tcW w:w="636" w:type="pct"/>
            <w:tcBorders>
              <w:top w:val="double" w:sz="4" w:space="0" w:color="948A54" w:themeColor="background2" w:themeShade="80"/>
            </w:tcBorders>
            <w:vAlign w:val="center"/>
          </w:tcPr>
          <w:p w:rsidR="00641449" w:rsidRPr="005F120D" w:rsidRDefault="000152BA"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3,268.25</w:t>
            </w:r>
          </w:p>
        </w:tc>
        <w:tc>
          <w:tcPr>
            <w:tcW w:w="900" w:type="pct"/>
            <w:tcBorders>
              <w:top w:val="double" w:sz="4" w:space="0" w:color="948A54" w:themeColor="background2" w:themeShade="80"/>
            </w:tcBorders>
            <w:shd w:val="clear" w:color="auto" w:fill="auto"/>
            <w:vAlign w:val="center"/>
            <w:hideMark/>
          </w:tcPr>
          <w:p w:rsidR="00641449" w:rsidRPr="005F120D" w:rsidRDefault="00641449"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n/a</w:t>
            </w:r>
          </w:p>
        </w:tc>
        <w:tc>
          <w:tcPr>
            <w:tcW w:w="742" w:type="pct"/>
            <w:tcBorders>
              <w:top w:val="double" w:sz="4" w:space="0" w:color="948A54" w:themeColor="background2" w:themeShade="80"/>
            </w:tcBorders>
            <w:shd w:val="clear" w:color="auto" w:fill="auto"/>
            <w:vAlign w:val="center"/>
            <w:hideMark/>
          </w:tcPr>
          <w:p w:rsidR="00641449" w:rsidRPr="005F120D" w:rsidRDefault="000152BA"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3</w:t>
            </w:r>
            <w:r w:rsidR="00CE1D34" w:rsidRPr="005F120D">
              <w:rPr>
                <w:rFonts w:asciiTheme="minorHAnsi" w:hAnsiTheme="minorHAnsi" w:cstheme="minorHAnsi"/>
                <w:sz w:val="20"/>
                <w:lang w:eastAsia="ja-JP"/>
              </w:rPr>
              <w:t>,</w:t>
            </w:r>
            <w:r w:rsidRPr="005F120D">
              <w:rPr>
                <w:rFonts w:asciiTheme="minorHAnsi" w:hAnsiTheme="minorHAnsi" w:cstheme="minorHAnsi"/>
                <w:sz w:val="20"/>
                <w:lang w:eastAsia="ja-JP"/>
              </w:rPr>
              <w:t>214.85</w:t>
            </w:r>
          </w:p>
        </w:tc>
        <w:tc>
          <w:tcPr>
            <w:tcW w:w="592" w:type="pct"/>
            <w:tcBorders>
              <w:top w:val="double" w:sz="4" w:space="0" w:color="948A54" w:themeColor="background2" w:themeShade="80"/>
            </w:tcBorders>
            <w:vAlign w:val="center"/>
          </w:tcPr>
          <w:p w:rsidR="00641449" w:rsidRPr="005F120D" w:rsidRDefault="007B3AB6" w:rsidP="00A03624">
            <w:pPr>
              <w:spacing w:after="0"/>
              <w:jc w:val="right"/>
              <w:rPr>
                <w:rFonts w:asciiTheme="minorHAnsi" w:hAnsiTheme="minorHAnsi" w:cstheme="minorHAnsi"/>
                <w:sz w:val="20"/>
                <w:lang w:eastAsia="ja-JP"/>
              </w:rPr>
            </w:pPr>
            <w:r w:rsidRPr="005F120D">
              <w:rPr>
                <w:rFonts w:asciiTheme="minorHAnsi" w:hAnsiTheme="minorHAnsi" w:cstheme="minorHAnsi"/>
                <w:bCs/>
                <w:sz w:val="20"/>
                <w:lang w:eastAsia="ja-JP"/>
              </w:rPr>
              <w:t>98.4</w:t>
            </w:r>
            <w:r w:rsidR="00641449" w:rsidRPr="005F120D">
              <w:rPr>
                <w:rFonts w:asciiTheme="minorHAnsi" w:hAnsiTheme="minorHAnsi" w:cstheme="minorHAnsi"/>
                <w:bCs/>
                <w:sz w:val="20"/>
                <w:lang w:eastAsia="ja-JP"/>
              </w:rPr>
              <w:t>%</w:t>
            </w:r>
          </w:p>
        </w:tc>
      </w:tr>
      <w:tr w:rsidR="00641449" w:rsidRPr="005F120D" w:rsidTr="006C63DF">
        <w:tc>
          <w:tcPr>
            <w:tcW w:w="2130" w:type="pct"/>
            <w:shd w:val="clear" w:color="auto" w:fill="auto"/>
            <w:vAlign w:val="center"/>
            <w:hideMark/>
          </w:tcPr>
          <w:p w:rsidR="00641449" w:rsidRPr="005F120D" w:rsidRDefault="00641449" w:rsidP="00A03624">
            <w:pPr>
              <w:pStyle w:val="NoSpacing"/>
              <w:rPr>
                <w:rFonts w:asciiTheme="minorHAnsi" w:hAnsiTheme="minorHAnsi" w:cstheme="minorHAnsi"/>
                <w:sz w:val="20"/>
              </w:rPr>
            </w:pPr>
            <w:r w:rsidRPr="005F120D">
              <w:rPr>
                <w:rFonts w:asciiTheme="minorHAnsi" w:hAnsiTheme="minorHAnsi" w:cstheme="minorHAnsi"/>
                <w:sz w:val="20"/>
              </w:rPr>
              <w:t>2.1.3) Inclusive Education</w:t>
            </w:r>
          </w:p>
        </w:tc>
        <w:tc>
          <w:tcPr>
            <w:tcW w:w="636" w:type="pct"/>
            <w:vAlign w:val="center"/>
          </w:tcPr>
          <w:p w:rsidR="00641449" w:rsidRPr="005F120D" w:rsidRDefault="00CE1D34"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218</w:t>
            </w:r>
          </w:p>
        </w:tc>
        <w:tc>
          <w:tcPr>
            <w:tcW w:w="900" w:type="pct"/>
            <w:shd w:val="clear" w:color="auto" w:fill="auto"/>
            <w:vAlign w:val="center"/>
            <w:hideMark/>
          </w:tcPr>
          <w:p w:rsidR="00641449" w:rsidRPr="005F120D" w:rsidRDefault="00641449"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n/a</w:t>
            </w:r>
          </w:p>
        </w:tc>
        <w:tc>
          <w:tcPr>
            <w:tcW w:w="742" w:type="pct"/>
            <w:shd w:val="clear" w:color="auto" w:fill="auto"/>
            <w:vAlign w:val="center"/>
            <w:hideMark/>
          </w:tcPr>
          <w:p w:rsidR="00641449" w:rsidRPr="005F120D" w:rsidRDefault="00CE1D34"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0.0</w:t>
            </w:r>
          </w:p>
        </w:tc>
        <w:tc>
          <w:tcPr>
            <w:tcW w:w="592" w:type="pct"/>
            <w:vAlign w:val="center"/>
          </w:tcPr>
          <w:p w:rsidR="00641449" w:rsidRPr="005F120D" w:rsidRDefault="007B3AB6" w:rsidP="00A03624">
            <w:pPr>
              <w:spacing w:after="0"/>
              <w:jc w:val="right"/>
              <w:rPr>
                <w:rFonts w:asciiTheme="minorHAnsi" w:hAnsiTheme="minorHAnsi" w:cstheme="minorHAnsi"/>
                <w:bCs/>
                <w:sz w:val="20"/>
                <w:lang w:eastAsia="ja-JP"/>
              </w:rPr>
            </w:pPr>
            <w:r w:rsidRPr="005F120D">
              <w:rPr>
                <w:rFonts w:asciiTheme="minorHAnsi" w:hAnsiTheme="minorHAnsi" w:cstheme="minorHAnsi"/>
                <w:bCs/>
                <w:sz w:val="20"/>
                <w:lang w:eastAsia="ja-JP"/>
              </w:rPr>
              <w:t>0</w:t>
            </w:r>
            <w:r w:rsidR="00641449" w:rsidRPr="005F120D">
              <w:rPr>
                <w:rFonts w:asciiTheme="minorHAnsi" w:hAnsiTheme="minorHAnsi" w:cstheme="minorHAnsi"/>
                <w:bCs/>
                <w:sz w:val="20"/>
                <w:lang w:eastAsia="ja-JP"/>
              </w:rPr>
              <w:t>%</w:t>
            </w:r>
          </w:p>
        </w:tc>
      </w:tr>
      <w:tr w:rsidR="00641449" w:rsidRPr="005F120D" w:rsidTr="006C63DF">
        <w:tc>
          <w:tcPr>
            <w:tcW w:w="2130" w:type="pct"/>
            <w:shd w:val="clear" w:color="auto" w:fill="auto"/>
            <w:vAlign w:val="center"/>
            <w:hideMark/>
          </w:tcPr>
          <w:p w:rsidR="00641449" w:rsidRPr="005F120D" w:rsidRDefault="00641449" w:rsidP="00A03624">
            <w:pPr>
              <w:pStyle w:val="NoSpacing"/>
              <w:rPr>
                <w:rFonts w:asciiTheme="minorHAnsi" w:hAnsiTheme="minorHAnsi" w:cstheme="minorHAnsi"/>
                <w:sz w:val="20"/>
              </w:rPr>
            </w:pPr>
            <w:r w:rsidRPr="005F120D">
              <w:rPr>
                <w:rFonts w:asciiTheme="minorHAnsi" w:hAnsiTheme="minorHAnsi" w:cstheme="minorHAnsi"/>
                <w:sz w:val="20"/>
              </w:rPr>
              <w:t xml:space="preserve">2.1.4) Education in Emergency </w:t>
            </w:r>
          </w:p>
        </w:tc>
        <w:tc>
          <w:tcPr>
            <w:tcW w:w="636" w:type="pct"/>
            <w:vAlign w:val="center"/>
          </w:tcPr>
          <w:p w:rsidR="00641449" w:rsidRPr="005F120D" w:rsidRDefault="00CE1D34"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8</w:t>
            </w:r>
            <w:r w:rsidR="00641449" w:rsidRPr="005F120D">
              <w:rPr>
                <w:rFonts w:asciiTheme="minorHAnsi" w:hAnsiTheme="minorHAnsi" w:cstheme="minorHAnsi"/>
                <w:sz w:val="20"/>
                <w:lang w:eastAsia="ja-JP"/>
              </w:rPr>
              <w:t>00</w:t>
            </w:r>
          </w:p>
        </w:tc>
        <w:tc>
          <w:tcPr>
            <w:tcW w:w="900" w:type="pct"/>
            <w:shd w:val="clear" w:color="auto" w:fill="auto"/>
            <w:vAlign w:val="center"/>
            <w:hideMark/>
          </w:tcPr>
          <w:p w:rsidR="00641449" w:rsidRPr="005F120D" w:rsidRDefault="00641449"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n/a</w:t>
            </w:r>
          </w:p>
        </w:tc>
        <w:tc>
          <w:tcPr>
            <w:tcW w:w="742" w:type="pct"/>
            <w:shd w:val="clear" w:color="auto" w:fill="auto"/>
            <w:vAlign w:val="center"/>
            <w:hideMark/>
          </w:tcPr>
          <w:p w:rsidR="00641449" w:rsidRPr="005F120D" w:rsidRDefault="00CE1D34"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6.0</w:t>
            </w:r>
          </w:p>
        </w:tc>
        <w:tc>
          <w:tcPr>
            <w:tcW w:w="592" w:type="pct"/>
            <w:vAlign w:val="center"/>
          </w:tcPr>
          <w:p w:rsidR="00641449" w:rsidRPr="005F120D" w:rsidRDefault="007B3AB6" w:rsidP="00A03624">
            <w:pPr>
              <w:spacing w:after="0"/>
              <w:jc w:val="right"/>
              <w:rPr>
                <w:rFonts w:asciiTheme="minorHAnsi" w:hAnsiTheme="minorHAnsi" w:cstheme="minorHAnsi"/>
                <w:bCs/>
                <w:sz w:val="20"/>
                <w:lang w:eastAsia="ja-JP"/>
              </w:rPr>
            </w:pPr>
            <w:r w:rsidRPr="005F120D">
              <w:rPr>
                <w:rFonts w:asciiTheme="minorHAnsi" w:hAnsiTheme="minorHAnsi" w:cstheme="minorHAnsi"/>
                <w:bCs/>
                <w:sz w:val="20"/>
                <w:lang w:eastAsia="ja-JP"/>
              </w:rPr>
              <w:t>0.8</w:t>
            </w:r>
            <w:r w:rsidR="00641449" w:rsidRPr="005F120D">
              <w:rPr>
                <w:rFonts w:asciiTheme="minorHAnsi" w:hAnsiTheme="minorHAnsi" w:cstheme="minorHAnsi"/>
                <w:bCs/>
                <w:sz w:val="20"/>
                <w:lang w:eastAsia="ja-JP"/>
              </w:rPr>
              <w:t>%</w:t>
            </w:r>
          </w:p>
        </w:tc>
      </w:tr>
      <w:tr w:rsidR="00641449" w:rsidRPr="005F120D" w:rsidTr="006C63DF">
        <w:tc>
          <w:tcPr>
            <w:tcW w:w="2130" w:type="pct"/>
            <w:shd w:val="clear" w:color="auto" w:fill="auto"/>
            <w:vAlign w:val="center"/>
            <w:hideMark/>
          </w:tcPr>
          <w:p w:rsidR="00641449" w:rsidRPr="005F120D" w:rsidRDefault="00641449" w:rsidP="00A03624">
            <w:pPr>
              <w:pStyle w:val="NoSpacing"/>
              <w:rPr>
                <w:rFonts w:asciiTheme="minorHAnsi" w:hAnsiTheme="minorHAnsi" w:cstheme="minorHAnsi"/>
                <w:sz w:val="20"/>
              </w:rPr>
            </w:pPr>
            <w:r w:rsidRPr="005F120D">
              <w:rPr>
                <w:rFonts w:asciiTheme="minorHAnsi" w:hAnsiTheme="minorHAnsi" w:cstheme="minorHAnsi"/>
                <w:sz w:val="20"/>
              </w:rPr>
              <w:t>2.2.2) School Health ( for medical team)</w:t>
            </w:r>
          </w:p>
        </w:tc>
        <w:tc>
          <w:tcPr>
            <w:tcW w:w="636" w:type="pct"/>
            <w:vAlign w:val="center"/>
          </w:tcPr>
          <w:p w:rsidR="00641449" w:rsidRPr="005F120D" w:rsidRDefault="007B3AB6"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w:t>
            </w:r>
          </w:p>
        </w:tc>
        <w:tc>
          <w:tcPr>
            <w:tcW w:w="900" w:type="pct"/>
            <w:shd w:val="clear" w:color="auto" w:fill="auto"/>
            <w:vAlign w:val="center"/>
            <w:hideMark/>
          </w:tcPr>
          <w:p w:rsidR="00641449" w:rsidRPr="005F120D" w:rsidRDefault="00641449"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n/a</w:t>
            </w:r>
          </w:p>
        </w:tc>
        <w:tc>
          <w:tcPr>
            <w:tcW w:w="742" w:type="pct"/>
            <w:shd w:val="clear" w:color="auto" w:fill="auto"/>
            <w:vAlign w:val="center"/>
          </w:tcPr>
          <w:p w:rsidR="00641449" w:rsidRPr="005F120D" w:rsidRDefault="007B3AB6"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w:t>
            </w:r>
          </w:p>
        </w:tc>
        <w:tc>
          <w:tcPr>
            <w:tcW w:w="592" w:type="pct"/>
            <w:vAlign w:val="center"/>
          </w:tcPr>
          <w:p w:rsidR="00641449" w:rsidRPr="005F120D" w:rsidRDefault="007B3AB6" w:rsidP="00A03624">
            <w:pPr>
              <w:spacing w:after="0"/>
              <w:jc w:val="right"/>
              <w:rPr>
                <w:rFonts w:asciiTheme="minorHAnsi" w:hAnsiTheme="minorHAnsi" w:cstheme="minorHAnsi"/>
                <w:bCs/>
                <w:sz w:val="20"/>
                <w:lang w:eastAsia="ja-JP"/>
              </w:rPr>
            </w:pPr>
            <w:r w:rsidRPr="005F120D">
              <w:rPr>
                <w:rFonts w:asciiTheme="minorHAnsi" w:hAnsiTheme="minorHAnsi" w:cstheme="minorHAnsi"/>
                <w:bCs/>
                <w:sz w:val="20"/>
                <w:lang w:eastAsia="ja-JP"/>
              </w:rPr>
              <w:t>-</w:t>
            </w:r>
          </w:p>
        </w:tc>
      </w:tr>
      <w:tr w:rsidR="00641449" w:rsidRPr="005F120D" w:rsidTr="006C63DF">
        <w:tc>
          <w:tcPr>
            <w:tcW w:w="2130" w:type="pct"/>
            <w:shd w:val="clear" w:color="auto" w:fill="auto"/>
            <w:vAlign w:val="center"/>
            <w:hideMark/>
          </w:tcPr>
          <w:p w:rsidR="00641449" w:rsidRPr="005F120D" w:rsidRDefault="00641449" w:rsidP="00A03624">
            <w:pPr>
              <w:pStyle w:val="NoSpacing"/>
              <w:rPr>
                <w:rFonts w:asciiTheme="minorHAnsi" w:hAnsiTheme="minorHAnsi" w:cstheme="minorHAnsi"/>
                <w:sz w:val="20"/>
              </w:rPr>
            </w:pPr>
            <w:r w:rsidRPr="005F120D">
              <w:rPr>
                <w:rFonts w:asciiTheme="minorHAnsi" w:hAnsiTheme="minorHAnsi" w:cstheme="minorHAnsi"/>
                <w:sz w:val="20"/>
              </w:rPr>
              <w:t>3.1.2) SLIP school funding</w:t>
            </w:r>
          </w:p>
        </w:tc>
        <w:tc>
          <w:tcPr>
            <w:tcW w:w="636" w:type="pct"/>
            <w:vAlign w:val="center"/>
          </w:tcPr>
          <w:p w:rsidR="00641449" w:rsidRPr="005F120D" w:rsidRDefault="000152BA" w:rsidP="00A03624">
            <w:pPr>
              <w:spacing w:after="0"/>
              <w:jc w:val="right"/>
              <w:rPr>
                <w:rFonts w:asciiTheme="minorHAnsi" w:hAnsiTheme="minorHAnsi" w:cstheme="minorHAnsi"/>
                <w:sz w:val="20"/>
                <w:lang w:eastAsia="ja-JP"/>
              </w:rPr>
            </w:pPr>
            <w:r w:rsidRPr="005F120D">
              <w:rPr>
                <w:rFonts w:asciiTheme="minorHAnsi" w:hAnsiTheme="minorHAnsi" w:cstheme="minorHAnsi"/>
                <w:color w:val="000000"/>
                <w:sz w:val="20"/>
              </w:rPr>
              <w:t>25,600</w:t>
            </w:r>
          </w:p>
        </w:tc>
        <w:tc>
          <w:tcPr>
            <w:tcW w:w="900" w:type="pct"/>
            <w:shd w:val="clear" w:color="auto" w:fill="auto"/>
            <w:vAlign w:val="center"/>
            <w:hideMark/>
          </w:tcPr>
          <w:p w:rsidR="00641449" w:rsidRPr="005F120D" w:rsidRDefault="00641449"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n/a</w:t>
            </w:r>
          </w:p>
        </w:tc>
        <w:tc>
          <w:tcPr>
            <w:tcW w:w="742" w:type="pct"/>
            <w:shd w:val="clear" w:color="auto" w:fill="auto"/>
            <w:vAlign w:val="center"/>
          </w:tcPr>
          <w:p w:rsidR="00641449" w:rsidRPr="005F120D" w:rsidRDefault="000152BA"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14,526</w:t>
            </w:r>
          </w:p>
        </w:tc>
        <w:tc>
          <w:tcPr>
            <w:tcW w:w="592" w:type="pct"/>
            <w:vAlign w:val="center"/>
          </w:tcPr>
          <w:p w:rsidR="00641449" w:rsidRPr="005F120D" w:rsidRDefault="007B3AB6" w:rsidP="00A03624">
            <w:pPr>
              <w:spacing w:after="0"/>
              <w:jc w:val="right"/>
              <w:rPr>
                <w:rFonts w:asciiTheme="minorHAnsi" w:hAnsiTheme="minorHAnsi" w:cstheme="minorHAnsi"/>
                <w:bCs/>
                <w:sz w:val="20"/>
                <w:lang w:eastAsia="ja-JP"/>
              </w:rPr>
            </w:pPr>
            <w:r w:rsidRPr="005F120D">
              <w:rPr>
                <w:rFonts w:asciiTheme="minorHAnsi" w:hAnsiTheme="minorHAnsi" w:cstheme="minorHAnsi"/>
                <w:bCs/>
                <w:sz w:val="20"/>
                <w:lang w:eastAsia="ja-JP"/>
              </w:rPr>
              <w:t>56.7</w:t>
            </w:r>
            <w:r w:rsidR="00641449" w:rsidRPr="005F120D">
              <w:rPr>
                <w:rFonts w:asciiTheme="minorHAnsi" w:hAnsiTheme="minorHAnsi" w:cstheme="minorHAnsi"/>
                <w:bCs/>
                <w:sz w:val="20"/>
                <w:lang w:eastAsia="ja-JP"/>
              </w:rPr>
              <w:t>%</w:t>
            </w:r>
          </w:p>
        </w:tc>
      </w:tr>
      <w:tr w:rsidR="00641449" w:rsidRPr="005F120D" w:rsidTr="006C63DF">
        <w:tc>
          <w:tcPr>
            <w:tcW w:w="2130" w:type="pct"/>
            <w:shd w:val="clear" w:color="auto" w:fill="auto"/>
            <w:vAlign w:val="center"/>
            <w:hideMark/>
          </w:tcPr>
          <w:p w:rsidR="00641449" w:rsidRPr="005F120D" w:rsidRDefault="00641449" w:rsidP="00A03624">
            <w:pPr>
              <w:pStyle w:val="NoSpacing"/>
              <w:rPr>
                <w:rFonts w:asciiTheme="minorHAnsi" w:hAnsiTheme="minorHAnsi" w:cstheme="minorHAnsi"/>
                <w:sz w:val="20"/>
              </w:rPr>
            </w:pPr>
            <w:r w:rsidRPr="005F120D">
              <w:rPr>
                <w:rFonts w:asciiTheme="minorHAnsi" w:hAnsiTheme="minorHAnsi" w:cstheme="minorHAnsi"/>
                <w:sz w:val="20"/>
              </w:rPr>
              <w:t>3.1.2) UPEP (planning only)</w:t>
            </w:r>
            <w:r w:rsidRPr="005F120D">
              <w:rPr>
                <w:rStyle w:val="FootnoteReference"/>
                <w:rFonts w:asciiTheme="minorHAnsi" w:hAnsiTheme="minorHAnsi" w:cstheme="minorHAnsi"/>
                <w:sz w:val="20"/>
              </w:rPr>
              <w:footnoteReference w:id="14"/>
            </w:r>
          </w:p>
        </w:tc>
        <w:tc>
          <w:tcPr>
            <w:tcW w:w="636" w:type="pct"/>
            <w:vAlign w:val="center"/>
          </w:tcPr>
          <w:p w:rsidR="00641449" w:rsidRPr="005F120D" w:rsidRDefault="000152BA" w:rsidP="00A03624">
            <w:pPr>
              <w:spacing w:after="0"/>
              <w:jc w:val="right"/>
              <w:rPr>
                <w:rFonts w:asciiTheme="minorHAnsi" w:hAnsiTheme="minorHAnsi" w:cstheme="minorHAnsi"/>
                <w:sz w:val="20"/>
                <w:lang w:eastAsia="ja-JP"/>
              </w:rPr>
            </w:pPr>
            <w:r w:rsidRPr="005F120D">
              <w:rPr>
                <w:rFonts w:asciiTheme="minorHAnsi" w:hAnsiTheme="minorHAnsi" w:cstheme="minorHAnsi"/>
                <w:color w:val="000000"/>
                <w:sz w:val="20"/>
              </w:rPr>
              <w:t>5.3</w:t>
            </w:r>
          </w:p>
        </w:tc>
        <w:tc>
          <w:tcPr>
            <w:tcW w:w="900" w:type="pct"/>
            <w:shd w:val="clear" w:color="auto" w:fill="auto"/>
            <w:vAlign w:val="center"/>
            <w:hideMark/>
          </w:tcPr>
          <w:p w:rsidR="00641449" w:rsidRPr="005F120D" w:rsidRDefault="00641449"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n/a</w:t>
            </w:r>
          </w:p>
        </w:tc>
        <w:tc>
          <w:tcPr>
            <w:tcW w:w="742" w:type="pct"/>
            <w:shd w:val="clear" w:color="auto" w:fill="auto"/>
            <w:vAlign w:val="center"/>
          </w:tcPr>
          <w:p w:rsidR="00641449" w:rsidRPr="005F120D" w:rsidRDefault="00641449"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0.0</w:t>
            </w:r>
          </w:p>
        </w:tc>
        <w:tc>
          <w:tcPr>
            <w:tcW w:w="592" w:type="pct"/>
            <w:vAlign w:val="center"/>
          </w:tcPr>
          <w:p w:rsidR="00641449" w:rsidRPr="005F120D" w:rsidRDefault="00641449" w:rsidP="00A03624">
            <w:pPr>
              <w:spacing w:after="0"/>
              <w:jc w:val="right"/>
              <w:rPr>
                <w:rFonts w:asciiTheme="minorHAnsi" w:hAnsiTheme="minorHAnsi" w:cstheme="minorHAnsi"/>
                <w:bCs/>
                <w:sz w:val="20"/>
                <w:lang w:eastAsia="ja-JP"/>
              </w:rPr>
            </w:pPr>
            <w:r w:rsidRPr="005F120D">
              <w:rPr>
                <w:rFonts w:asciiTheme="minorHAnsi" w:hAnsiTheme="minorHAnsi" w:cstheme="minorHAnsi"/>
                <w:bCs/>
                <w:sz w:val="20"/>
                <w:lang w:eastAsia="ja-JP"/>
              </w:rPr>
              <w:t>0%</w:t>
            </w:r>
          </w:p>
        </w:tc>
      </w:tr>
      <w:tr w:rsidR="00641449" w:rsidRPr="005F120D" w:rsidTr="006C63DF">
        <w:tc>
          <w:tcPr>
            <w:tcW w:w="2130" w:type="pct"/>
            <w:tcBorders>
              <w:bottom w:val="double" w:sz="4" w:space="0" w:color="948A54" w:themeColor="background2" w:themeShade="80"/>
            </w:tcBorders>
            <w:shd w:val="clear" w:color="auto" w:fill="auto"/>
            <w:vAlign w:val="center"/>
            <w:hideMark/>
          </w:tcPr>
          <w:p w:rsidR="00641449" w:rsidRPr="005F120D" w:rsidRDefault="00641449" w:rsidP="00A03624">
            <w:pPr>
              <w:pStyle w:val="NoSpacing"/>
              <w:rPr>
                <w:rFonts w:asciiTheme="minorHAnsi" w:hAnsiTheme="minorHAnsi" w:cstheme="minorHAnsi"/>
                <w:sz w:val="20"/>
              </w:rPr>
            </w:pPr>
            <w:r w:rsidRPr="005F120D">
              <w:rPr>
                <w:rFonts w:asciiTheme="minorHAnsi" w:hAnsiTheme="minorHAnsi" w:cstheme="minorHAnsi"/>
                <w:sz w:val="20"/>
              </w:rPr>
              <w:t>3.1.2) Para Teacher</w:t>
            </w:r>
          </w:p>
        </w:tc>
        <w:tc>
          <w:tcPr>
            <w:tcW w:w="636" w:type="pct"/>
            <w:tcBorders>
              <w:bottom w:val="double" w:sz="4" w:space="0" w:color="948A54" w:themeColor="background2" w:themeShade="80"/>
            </w:tcBorders>
            <w:vAlign w:val="center"/>
          </w:tcPr>
          <w:p w:rsidR="00641449" w:rsidRPr="005F120D" w:rsidRDefault="00641449"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w:t>
            </w:r>
          </w:p>
        </w:tc>
        <w:tc>
          <w:tcPr>
            <w:tcW w:w="900" w:type="pct"/>
            <w:tcBorders>
              <w:bottom w:val="double" w:sz="4" w:space="0" w:color="948A54" w:themeColor="background2" w:themeShade="80"/>
            </w:tcBorders>
            <w:shd w:val="clear" w:color="auto" w:fill="auto"/>
            <w:vAlign w:val="center"/>
            <w:hideMark/>
          </w:tcPr>
          <w:p w:rsidR="00641449" w:rsidRPr="005F120D" w:rsidRDefault="00641449" w:rsidP="00A03624">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n/a</w:t>
            </w:r>
          </w:p>
        </w:tc>
        <w:tc>
          <w:tcPr>
            <w:tcW w:w="742" w:type="pct"/>
            <w:tcBorders>
              <w:bottom w:val="double" w:sz="4" w:space="0" w:color="948A54" w:themeColor="background2" w:themeShade="80"/>
            </w:tcBorders>
            <w:shd w:val="clear" w:color="auto" w:fill="auto"/>
            <w:vAlign w:val="center"/>
            <w:hideMark/>
          </w:tcPr>
          <w:p w:rsidR="00641449" w:rsidRPr="005F120D" w:rsidRDefault="00641449" w:rsidP="00A03624">
            <w:pPr>
              <w:spacing w:after="0"/>
              <w:jc w:val="right"/>
              <w:rPr>
                <w:rFonts w:asciiTheme="minorHAnsi" w:hAnsiTheme="minorHAnsi" w:cstheme="minorHAnsi"/>
                <w:sz w:val="20"/>
                <w:lang w:eastAsia="ja-JP"/>
              </w:rPr>
            </w:pPr>
            <w:r w:rsidRPr="005F120D">
              <w:rPr>
                <w:rFonts w:asciiTheme="minorHAnsi" w:hAnsiTheme="minorHAnsi" w:cstheme="minorHAnsi"/>
                <w:sz w:val="20"/>
                <w:lang w:eastAsia="ja-JP"/>
              </w:rPr>
              <w:t>-</w:t>
            </w:r>
          </w:p>
        </w:tc>
        <w:tc>
          <w:tcPr>
            <w:tcW w:w="592" w:type="pct"/>
            <w:tcBorders>
              <w:bottom w:val="double" w:sz="4" w:space="0" w:color="948A54" w:themeColor="background2" w:themeShade="80"/>
            </w:tcBorders>
            <w:vAlign w:val="center"/>
          </w:tcPr>
          <w:p w:rsidR="00641449" w:rsidRPr="005F120D" w:rsidRDefault="00641449" w:rsidP="00A03624">
            <w:pPr>
              <w:spacing w:after="0"/>
              <w:ind w:right="100"/>
              <w:jc w:val="right"/>
              <w:rPr>
                <w:rFonts w:asciiTheme="minorHAnsi" w:hAnsiTheme="minorHAnsi" w:cstheme="minorHAnsi"/>
                <w:bCs/>
                <w:sz w:val="20"/>
                <w:lang w:eastAsia="ja-JP"/>
              </w:rPr>
            </w:pPr>
            <w:r w:rsidRPr="005F120D">
              <w:rPr>
                <w:rFonts w:asciiTheme="minorHAnsi" w:hAnsiTheme="minorHAnsi" w:cstheme="minorHAnsi"/>
                <w:bCs/>
                <w:sz w:val="20"/>
                <w:lang w:eastAsia="ja-JP"/>
              </w:rPr>
              <w:t>-</w:t>
            </w:r>
          </w:p>
        </w:tc>
      </w:tr>
      <w:tr w:rsidR="00641449" w:rsidRPr="005F120D" w:rsidTr="006C63DF">
        <w:trPr>
          <w:trHeight w:val="314"/>
        </w:trPr>
        <w:tc>
          <w:tcPr>
            <w:tcW w:w="2130" w:type="pct"/>
            <w:tcBorders>
              <w:top w:val="double" w:sz="4" w:space="0" w:color="948A54" w:themeColor="background2" w:themeShade="80"/>
              <w:bottom w:val="double" w:sz="4" w:space="0" w:color="948A54" w:themeColor="background2" w:themeShade="80"/>
            </w:tcBorders>
            <w:shd w:val="clear" w:color="auto" w:fill="auto"/>
            <w:noWrap/>
            <w:vAlign w:val="center"/>
            <w:hideMark/>
          </w:tcPr>
          <w:p w:rsidR="00641449" w:rsidRPr="005F120D" w:rsidRDefault="00641449" w:rsidP="00A03624">
            <w:pPr>
              <w:pStyle w:val="NoSpacing"/>
              <w:jc w:val="center"/>
              <w:rPr>
                <w:rFonts w:asciiTheme="minorHAnsi" w:hAnsiTheme="minorHAnsi" w:cstheme="minorHAnsi"/>
                <w:b/>
                <w:sz w:val="20"/>
              </w:rPr>
            </w:pPr>
            <w:r w:rsidRPr="005F120D">
              <w:rPr>
                <w:rFonts w:asciiTheme="minorHAnsi" w:hAnsiTheme="minorHAnsi" w:cstheme="minorHAnsi"/>
                <w:b/>
                <w:sz w:val="20"/>
              </w:rPr>
              <w:t>T</w:t>
            </w:r>
            <w:r w:rsidR="009C7B83" w:rsidRPr="005F120D">
              <w:rPr>
                <w:rFonts w:asciiTheme="minorHAnsi" w:hAnsiTheme="minorHAnsi" w:cstheme="minorHAnsi"/>
                <w:b/>
                <w:sz w:val="20"/>
              </w:rPr>
              <w:t>otal</w:t>
            </w:r>
          </w:p>
        </w:tc>
        <w:tc>
          <w:tcPr>
            <w:tcW w:w="636" w:type="pct"/>
            <w:tcBorders>
              <w:top w:val="double" w:sz="4" w:space="0" w:color="948A54" w:themeColor="background2" w:themeShade="80"/>
              <w:bottom w:val="double" w:sz="4" w:space="0" w:color="948A54" w:themeColor="background2" w:themeShade="80"/>
            </w:tcBorders>
            <w:vAlign w:val="center"/>
          </w:tcPr>
          <w:p w:rsidR="00641449" w:rsidRPr="005F120D" w:rsidRDefault="007B3AB6" w:rsidP="00A03624">
            <w:pPr>
              <w:spacing w:after="0"/>
              <w:jc w:val="right"/>
              <w:rPr>
                <w:rFonts w:asciiTheme="minorHAnsi" w:hAnsiTheme="minorHAnsi" w:cstheme="minorHAnsi"/>
                <w:b/>
                <w:sz w:val="20"/>
                <w:lang w:eastAsia="ja-JP"/>
              </w:rPr>
            </w:pPr>
            <w:r w:rsidRPr="005F120D">
              <w:rPr>
                <w:rFonts w:asciiTheme="minorHAnsi" w:hAnsiTheme="minorHAnsi" w:cstheme="minorHAnsi"/>
                <w:b/>
                <w:sz w:val="20"/>
                <w:lang w:eastAsia="ja-JP"/>
              </w:rPr>
              <w:t>29,892</w:t>
            </w:r>
          </w:p>
        </w:tc>
        <w:tc>
          <w:tcPr>
            <w:tcW w:w="900" w:type="pct"/>
            <w:tcBorders>
              <w:top w:val="double" w:sz="4" w:space="0" w:color="948A54" w:themeColor="background2" w:themeShade="80"/>
              <w:bottom w:val="double" w:sz="4" w:space="0" w:color="948A54" w:themeColor="background2" w:themeShade="80"/>
            </w:tcBorders>
            <w:shd w:val="clear" w:color="auto" w:fill="auto"/>
            <w:noWrap/>
            <w:vAlign w:val="center"/>
            <w:hideMark/>
          </w:tcPr>
          <w:p w:rsidR="00641449" w:rsidRPr="005F120D" w:rsidRDefault="00641449" w:rsidP="00A03624">
            <w:pPr>
              <w:spacing w:after="0"/>
              <w:jc w:val="center"/>
              <w:rPr>
                <w:rFonts w:asciiTheme="minorHAnsi" w:hAnsiTheme="minorHAnsi" w:cstheme="minorHAnsi"/>
                <w:b/>
                <w:sz w:val="20"/>
                <w:lang w:eastAsia="ja-JP"/>
              </w:rPr>
            </w:pPr>
            <w:r w:rsidRPr="005F120D">
              <w:rPr>
                <w:rFonts w:asciiTheme="minorHAnsi" w:hAnsiTheme="minorHAnsi" w:cstheme="minorHAnsi"/>
                <w:b/>
                <w:sz w:val="20"/>
                <w:lang w:eastAsia="ja-JP"/>
              </w:rPr>
              <w:t>n/a</w:t>
            </w:r>
          </w:p>
        </w:tc>
        <w:tc>
          <w:tcPr>
            <w:tcW w:w="742" w:type="pct"/>
            <w:tcBorders>
              <w:top w:val="double" w:sz="4" w:space="0" w:color="948A54" w:themeColor="background2" w:themeShade="80"/>
              <w:bottom w:val="double" w:sz="4" w:space="0" w:color="948A54" w:themeColor="background2" w:themeShade="80"/>
            </w:tcBorders>
            <w:shd w:val="clear" w:color="auto" w:fill="auto"/>
            <w:noWrap/>
            <w:vAlign w:val="center"/>
            <w:hideMark/>
          </w:tcPr>
          <w:p w:rsidR="00641449" w:rsidRPr="005F120D" w:rsidRDefault="00641449" w:rsidP="00A03624">
            <w:pPr>
              <w:spacing w:after="0"/>
              <w:jc w:val="right"/>
              <w:rPr>
                <w:rFonts w:asciiTheme="minorHAnsi" w:hAnsiTheme="minorHAnsi" w:cstheme="minorHAnsi"/>
                <w:b/>
                <w:sz w:val="20"/>
                <w:lang w:eastAsia="ja-JP"/>
              </w:rPr>
            </w:pPr>
            <w:r w:rsidRPr="005F120D">
              <w:rPr>
                <w:rFonts w:asciiTheme="minorHAnsi" w:hAnsiTheme="minorHAnsi" w:cstheme="minorHAnsi"/>
                <w:b/>
                <w:sz w:val="20"/>
                <w:lang w:eastAsia="ja-JP"/>
              </w:rPr>
              <w:t xml:space="preserve">   6,229                           </w:t>
            </w:r>
          </w:p>
        </w:tc>
        <w:tc>
          <w:tcPr>
            <w:tcW w:w="592" w:type="pct"/>
            <w:tcBorders>
              <w:top w:val="double" w:sz="4" w:space="0" w:color="948A54" w:themeColor="background2" w:themeShade="80"/>
              <w:bottom w:val="double" w:sz="4" w:space="0" w:color="948A54" w:themeColor="background2" w:themeShade="80"/>
            </w:tcBorders>
            <w:vAlign w:val="center"/>
          </w:tcPr>
          <w:p w:rsidR="00641449" w:rsidRPr="005F120D" w:rsidRDefault="007B3AB6" w:rsidP="00A03624">
            <w:pPr>
              <w:spacing w:after="0"/>
              <w:jc w:val="right"/>
              <w:rPr>
                <w:rFonts w:asciiTheme="minorHAnsi" w:hAnsiTheme="minorHAnsi" w:cstheme="minorHAnsi"/>
                <w:b/>
                <w:bCs/>
                <w:sz w:val="20"/>
                <w:lang w:eastAsia="ja-JP"/>
              </w:rPr>
            </w:pPr>
            <w:r w:rsidRPr="005F120D">
              <w:rPr>
                <w:rFonts w:asciiTheme="minorHAnsi" w:hAnsiTheme="minorHAnsi" w:cstheme="minorHAnsi"/>
                <w:b/>
                <w:bCs/>
                <w:sz w:val="20"/>
                <w:lang w:eastAsia="ja-JP"/>
              </w:rPr>
              <w:t>59.4</w:t>
            </w:r>
            <w:r w:rsidR="00641449" w:rsidRPr="005F120D">
              <w:rPr>
                <w:rFonts w:asciiTheme="minorHAnsi" w:hAnsiTheme="minorHAnsi" w:cstheme="minorHAnsi"/>
                <w:b/>
                <w:bCs/>
                <w:sz w:val="20"/>
                <w:lang w:eastAsia="ja-JP"/>
              </w:rPr>
              <w:t>%</w:t>
            </w:r>
          </w:p>
        </w:tc>
      </w:tr>
    </w:tbl>
    <w:p w:rsidR="00D978CB" w:rsidRPr="005F120D" w:rsidRDefault="006C63DF" w:rsidP="00C437AA">
      <w:pPr>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Source: AOP 2014-15</w:t>
      </w:r>
      <w:r w:rsidR="00D978CB" w:rsidRPr="005F120D">
        <w:rPr>
          <w:rFonts w:asciiTheme="minorHAnsi" w:hAnsiTheme="minorHAnsi" w:cstheme="minorHAnsi"/>
          <w:b/>
          <w:i/>
          <w:sz w:val="16"/>
          <w:szCs w:val="16"/>
        </w:rPr>
        <w:t xml:space="preserve"> and 20</w:t>
      </w:r>
      <w:r w:rsidRPr="005F120D">
        <w:rPr>
          <w:rFonts w:asciiTheme="minorHAnsi" w:hAnsiTheme="minorHAnsi" w:cstheme="minorHAnsi"/>
          <w:b/>
          <w:i/>
          <w:sz w:val="16"/>
          <w:szCs w:val="16"/>
        </w:rPr>
        <w:t>15-16</w:t>
      </w:r>
    </w:p>
    <w:p w:rsidR="0045780A" w:rsidRPr="005F120D" w:rsidRDefault="00F51F24" w:rsidP="00936D9E">
      <w:pPr>
        <w:ind w:left="90"/>
        <w:jc w:val="both"/>
        <w:rPr>
          <w:rFonts w:asciiTheme="minorHAnsi" w:hAnsiTheme="minorHAnsi" w:cstheme="minorHAnsi"/>
        </w:rPr>
      </w:pPr>
      <w:r w:rsidRPr="005F120D">
        <w:rPr>
          <w:rFonts w:asciiTheme="minorHAnsi" w:hAnsiTheme="minorHAnsi" w:cstheme="minorHAnsi"/>
        </w:rPr>
        <w:t>As a percentage o</w:t>
      </w:r>
      <w:r w:rsidR="00F035A1" w:rsidRPr="005F120D">
        <w:rPr>
          <w:rFonts w:asciiTheme="minorHAnsi" w:hAnsiTheme="minorHAnsi" w:cstheme="minorHAnsi"/>
        </w:rPr>
        <w:t>f the overall AOP budget</w:t>
      </w:r>
      <w:r w:rsidRPr="005F120D">
        <w:rPr>
          <w:rFonts w:asciiTheme="minorHAnsi" w:hAnsiTheme="minorHAnsi" w:cstheme="minorHAnsi"/>
        </w:rPr>
        <w:t>, the share of the total block grants increased from 6.1% in 2013/14, to 6.5% in 2014/15 and 8% in 2015/16.  Budget disbursement in the first three-quarters of the fiscal year (up to March 2016) was only 59.4%, mainly for SLIP funding and PPE operational costs. So it is important to accelerate the spending in the last quarter to achieve the target; in addition, a greater allocation will be required in the final year 2016-17 of PEDP3</w:t>
      </w:r>
      <w:r w:rsidR="004060CB" w:rsidRPr="005F120D">
        <w:rPr>
          <w:rFonts w:asciiTheme="minorHAnsi" w:hAnsiTheme="minorHAnsi" w:cstheme="minorHAnsi"/>
        </w:rPr>
        <w:t>.</w:t>
      </w:r>
    </w:p>
    <w:p w:rsidR="00540E91" w:rsidRPr="005F120D" w:rsidRDefault="004B4FEE" w:rsidP="001451A6">
      <w:pPr>
        <w:pStyle w:val="Heading4"/>
        <w:spacing w:before="120" w:after="120"/>
        <w:jc w:val="both"/>
        <w:rPr>
          <w:rFonts w:asciiTheme="minorHAnsi" w:hAnsiTheme="minorHAnsi" w:cstheme="minorHAnsi"/>
          <w:b/>
          <w:color w:val="008000"/>
        </w:rPr>
      </w:pPr>
      <w:r w:rsidRPr="005F120D">
        <w:rPr>
          <w:rFonts w:asciiTheme="minorHAnsi" w:hAnsiTheme="minorHAnsi" w:cstheme="minorHAnsi"/>
          <w:b/>
          <w:color w:val="008000"/>
        </w:rPr>
        <w:t xml:space="preserve">Field Vacancies </w:t>
      </w:r>
      <w:r w:rsidR="00540E91" w:rsidRPr="005F120D">
        <w:rPr>
          <w:rFonts w:asciiTheme="minorHAnsi" w:hAnsiTheme="minorHAnsi" w:cstheme="minorHAnsi"/>
          <w:i w:val="0"/>
        </w:rPr>
        <w:tab/>
      </w:r>
    </w:p>
    <w:p w:rsidR="00540E91" w:rsidRPr="005F120D" w:rsidRDefault="006929F1" w:rsidP="00936D9E">
      <w:pPr>
        <w:pStyle w:val="Heading4"/>
        <w:numPr>
          <w:ilvl w:val="0"/>
          <w:numId w:val="0"/>
        </w:numPr>
        <w:spacing w:after="0"/>
        <w:jc w:val="both"/>
        <w:rPr>
          <w:rFonts w:asciiTheme="minorHAnsi" w:hAnsiTheme="minorHAnsi" w:cstheme="minorHAnsi"/>
          <w:i w:val="0"/>
        </w:rPr>
      </w:pPr>
      <w:r w:rsidRPr="005F120D">
        <w:rPr>
          <w:rFonts w:asciiTheme="minorHAnsi" w:hAnsiTheme="minorHAnsi" w:cstheme="minorHAnsi"/>
          <w:i w:val="0"/>
        </w:rPr>
        <w:t>The filling</w:t>
      </w:r>
      <w:r w:rsidR="00540E91" w:rsidRPr="005F120D">
        <w:rPr>
          <w:rFonts w:asciiTheme="minorHAnsi" w:hAnsiTheme="minorHAnsi" w:cstheme="minorHAnsi"/>
          <w:i w:val="0"/>
        </w:rPr>
        <w:t xml:space="preserve"> of teacher</w:t>
      </w:r>
      <w:r w:rsidRPr="005F120D">
        <w:rPr>
          <w:rFonts w:asciiTheme="minorHAnsi" w:hAnsiTheme="minorHAnsi" w:cstheme="minorHAnsi"/>
          <w:i w:val="0"/>
        </w:rPr>
        <w:t xml:space="preserve"> and staff vacancies at</w:t>
      </w:r>
      <w:r w:rsidR="00540E91" w:rsidRPr="005F120D">
        <w:rPr>
          <w:rFonts w:asciiTheme="minorHAnsi" w:hAnsiTheme="minorHAnsi" w:cstheme="minorHAnsi"/>
          <w:i w:val="0"/>
        </w:rPr>
        <w:t xml:space="preserve"> different levels is a recurrent challenge in the primary education sector. </w:t>
      </w:r>
      <w:r w:rsidRPr="005F120D">
        <w:rPr>
          <w:rFonts w:asciiTheme="minorHAnsi" w:hAnsiTheme="minorHAnsi" w:cstheme="minorHAnsi"/>
          <w:i w:val="0"/>
        </w:rPr>
        <w:t>There were</w:t>
      </w:r>
      <w:r w:rsidR="001451A6" w:rsidRPr="005F120D">
        <w:rPr>
          <w:rFonts w:asciiTheme="minorHAnsi" w:hAnsiTheme="minorHAnsi" w:cstheme="minorHAnsi"/>
          <w:i w:val="0"/>
        </w:rPr>
        <w:t xml:space="preserve"> 28.5% of 1</w:t>
      </w:r>
      <w:r w:rsidR="001451A6" w:rsidRPr="005F120D">
        <w:rPr>
          <w:rFonts w:asciiTheme="minorHAnsi" w:hAnsiTheme="minorHAnsi" w:cstheme="minorHAnsi"/>
          <w:i w:val="0"/>
          <w:vertAlign w:val="superscript"/>
        </w:rPr>
        <w:t>st</w:t>
      </w:r>
      <w:r w:rsidR="001451A6" w:rsidRPr="005F120D">
        <w:rPr>
          <w:rFonts w:asciiTheme="minorHAnsi" w:hAnsiTheme="minorHAnsi" w:cstheme="minorHAnsi"/>
          <w:i w:val="0"/>
        </w:rPr>
        <w:t xml:space="preserve"> class, 26.2% of 2</w:t>
      </w:r>
      <w:r w:rsidR="001451A6" w:rsidRPr="005F120D">
        <w:rPr>
          <w:rFonts w:asciiTheme="minorHAnsi" w:hAnsiTheme="minorHAnsi" w:cstheme="minorHAnsi"/>
          <w:i w:val="0"/>
          <w:vertAlign w:val="superscript"/>
        </w:rPr>
        <w:t>nd</w:t>
      </w:r>
      <w:r w:rsidR="001451A6" w:rsidRPr="005F120D">
        <w:rPr>
          <w:rFonts w:asciiTheme="minorHAnsi" w:hAnsiTheme="minorHAnsi" w:cstheme="minorHAnsi"/>
          <w:i w:val="0"/>
        </w:rPr>
        <w:t xml:space="preserve"> class</w:t>
      </w:r>
      <w:r w:rsidRPr="005F120D">
        <w:rPr>
          <w:rFonts w:asciiTheme="minorHAnsi" w:hAnsiTheme="minorHAnsi" w:cstheme="minorHAnsi"/>
          <w:i w:val="0"/>
        </w:rPr>
        <w:t xml:space="preserve"> and 10% of others positions </w:t>
      </w:r>
      <w:r w:rsidR="001451A6" w:rsidRPr="005F120D">
        <w:rPr>
          <w:rFonts w:asciiTheme="minorHAnsi" w:hAnsiTheme="minorHAnsi" w:cstheme="minorHAnsi"/>
          <w:i w:val="0"/>
        </w:rPr>
        <w:t xml:space="preserve">vacant as of March 2015. </w:t>
      </w:r>
      <w:r w:rsidR="00540E91" w:rsidRPr="005F120D">
        <w:rPr>
          <w:rFonts w:asciiTheme="minorHAnsi" w:hAnsiTheme="minorHAnsi" w:cstheme="minorHAnsi"/>
          <w:i w:val="0"/>
        </w:rPr>
        <w:t>On average, 10% of staff and teacher posts are vacant throughout the year. About 95% of teacher posts are filled once in a year. When a teacher’s post becomes vacant, there is no mechanism for filling the vacancy quickly: this creates a problem at school level (5</w:t>
      </w:r>
      <w:r w:rsidR="001451A6" w:rsidRPr="005F120D">
        <w:rPr>
          <w:rFonts w:asciiTheme="minorHAnsi" w:hAnsiTheme="minorHAnsi" w:cstheme="minorHAnsi"/>
          <w:i w:val="0"/>
        </w:rPr>
        <w:t>-8</w:t>
      </w:r>
      <w:r w:rsidR="00540E91" w:rsidRPr="005F120D">
        <w:rPr>
          <w:rFonts w:asciiTheme="minorHAnsi" w:hAnsiTheme="minorHAnsi" w:cstheme="minorHAnsi"/>
          <w:i w:val="0"/>
        </w:rPr>
        <w:t>%). Vacancies at the different levels are pres</w:t>
      </w:r>
      <w:r w:rsidRPr="005F120D">
        <w:rPr>
          <w:rFonts w:asciiTheme="minorHAnsi" w:hAnsiTheme="minorHAnsi" w:cstheme="minorHAnsi"/>
          <w:i w:val="0"/>
        </w:rPr>
        <w:t>ented below:</w:t>
      </w:r>
    </w:p>
    <w:p w:rsidR="00540E91" w:rsidRPr="005F120D" w:rsidRDefault="00540E91" w:rsidP="00936D9E">
      <w:pPr>
        <w:pStyle w:val="Heading4"/>
        <w:numPr>
          <w:ilvl w:val="0"/>
          <w:numId w:val="0"/>
        </w:numPr>
        <w:spacing w:before="120" w:after="120"/>
        <w:jc w:val="both"/>
        <w:rPr>
          <w:rFonts w:asciiTheme="minorHAnsi" w:hAnsiTheme="minorHAnsi" w:cstheme="minorHAnsi"/>
          <w:color w:val="0000FF"/>
        </w:rPr>
      </w:pPr>
      <w:r w:rsidRPr="005F120D">
        <w:rPr>
          <w:rFonts w:asciiTheme="minorHAnsi" w:hAnsiTheme="minorHAnsi" w:cstheme="minorHAnsi"/>
          <w:i w:val="0"/>
          <w:color w:val="0000FF"/>
        </w:rPr>
        <w:t>Vacancies at different levels:</w:t>
      </w:r>
    </w:p>
    <w:p w:rsidR="00540E91" w:rsidRPr="005F120D" w:rsidRDefault="00540E91" w:rsidP="00936D9E">
      <w:pPr>
        <w:spacing w:after="0"/>
        <w:jc w:val="both"/>
        <w:rPr>
          <w:rFonts w:asciiTheme="minorHAnsi" w:hAnsiTheme="minorHAnsi" w:cstheme="minorHAnsi"/>
        </w:rPr>
      </w:pPr>
      <w:r w:rsidRPr="005F120D">
        <w:rPr>
          <w:rFonts w:asciiTheme="minorHAnsi" w:hAnsiTheme="minorHAnsi" w:cstheme="minorHAnsi"/>
        </w:rPr>
        <w:t>DPEO: About 9%;</w:t>
      </w:r>
      <w:r w:rsidRPr="005F120D">
        <w:rPr>
          <w:rFonts w:asciiTheme="minorHAnsi" w:hAnsiTheme="minorHAnsi" w:cstheme="minorHAnsi"/>
        </w:rPr>
        <w:tab/>
      </w:r>
      <w:r w:rsidRPr="005F120D">
        <w:rPr>
          <w:rFonts w:asciiTheme="minorHAnsi" w:hAnsiTheme="minorHAnsi" w:cstheme="minorHAnsi"/>
        </w:rPr>
        <w:tab/>
      </w:r>
      <w:r w:rsidRPr="005F120D">
        <w:rPr>
          <w:rFonts w:asciiTheme="minorHAnsi" w:hAnsiTheme="minorHAnsi" w:cstheme="minorHAnsi"/>
        </w:rPr>
        <w:tab/>
      </w:r>
      <w:r w:rsidRPr="005F120D">
        <w:rPr>
          <w:rFonts w:asciiTheme="minorHAnsi" w:hAnsiTheme="minorHAnsi" w:cstheme="minorHAnsi"/>
        </w:rPr>
        <w:tab/>
        <w:t>ADPEO: About 9% of posts;</w:t>
      </w:r>
    </w:p>
    <w:p w:rsidR="00540E91" w:rsidRPr="005F120D" w:rsidRDefault="00540E91" w:rsidP="00936D9E">
      <w:pPr>
        <w:spacing w:after="0"/>
        <w:jc w:val="both"/>
        <w:rPr>
          <w:rFonts w:asciiTheme="minorHAnsi" w:hAnsiTheme="minorHAnsi" w:cstheme="minorHAnsi"/>
        </w:rPr>
      </w:pPr>
      <w:r w:rsidRPr="005F120D">
        <w:rPr>
          <w:rFonts w:asciiTheme="minorHAnsi" w:hAnsiTheme="minorHAnsi" w:cstheme="minorHAnsi"/>
        </w:rPr>
        <w:t>PTI Super: About 12%;</w:t>
      </w:r>
      <w:r w:rsidRPr="005F120D">
        <w:rPr>
          <w:rFonts w:asciiTheme="minorHAnsi" w:hAnsiTheme="minorHAnsi" w:cstheme="minorHAnsi"/>
        </w:rPr>
        <w:tab/>
      </w:r>
      <w:r w:rsidRPr="005F120D">
        <w:rPr>
          <w:rFonts w:asciiTheme="minorHAnsi" w:hAnsiTheme="minorHAnsi" w:cstheme="minorHAnsi"/>
        </w:rPr>
        <w:tab/>
      </w:r>
      <w:r w:rsidRPr="005F120D">
        <w:rPr>
          <w:rFonts w:asciiTheme="minorHAnsi" w:hAnsiTheme="minorHAnsi" w:cstheme="minorHAnsi"/>
        </w:rPr>
        <w:tab/>
      </w:r>
      <w:r w:rsidRPr="005F120D">
        <w:rPr>
          <w:rFonts w:asciiTheme="minorHAnsi" w:hAnsiTheme="minorHAnsi" w:cstheme="minorHAnsi"/>
        </w:rPr>
        <w:tab/>
        <w:t>PTI Asst. Super: About 5% of posts;</w:t>
      </w:r>
    </w:p>
    <w:p w:rsidR="00540E91" w:rsidRPr="005F120D" w:rsidRDefault="00540E91" w:rsidP="00936D9E">
      <w:pPr>
        <w:spacing w:after="0"/>
        <w:jc w:val="both"/>
        <w:rPr>
          <w:rFonts w:asciiTheme="minorHAnsi" w:hAnsiTheme="minorHAnsi" w:cstheme="minorHAnsi"/>
        </w:rPr>
      </w:pPr>
      <w:r w:rsidRPr="005F120D">
        <w:rPr>
          <w:rFonts w:asciiTheme="minorHAnsi" w:hAnsiTheme="minorHAnsi" w:cstheme="minorHAnsi"/>
        </w:rPr>
        <w:t>UEO: About 16% of posts;</w:t>
      </w:r>
      <w:r w:rsidRPr="005F120D">
        <w:rPr>
          <w:rFonts w:asciiTheme="minorHAnsi" w:hAnsiTheme="minorHAnsi" w:cstheme="minorHAnsi"/>
        </w:rPr>
        <w:tab/>
      </w:r>
      <w:r w:rsidRPr="005F120D">
        <w:rPr>
          <w:rFonts w:asciiTheme="minorHAnsi" w:hAnsiTheme="minorHAnsi" w:cstheme="minorHAnsi"/>
        </w:rPr>
        <w:tab/>
      </w:r>
      <w:r w:rsidRPr="005F120D">
        <w:rPr>
          <w:rFonts w:asciiTheme="minorHAnsi" w:hAnsiTheme="minorHAnsi" w:cstheme="minorHAnsi"/>
        </w:rPr>
        <w:tab/>
        <w:t>AUEO: About 19% of posts;</w:t>
      </w:r>
    </w:p>
    <w:p w:rsidR="00540E91" w:rsidRPr="005F120D" w:rsidRDefault="00540E91" w:rsidP="00936D9E">
      <w:pPr>
        <w:spacing w:after="0"/>
        <w:jc w:val="both"/>
        <w:rPr>
          <w:rFonts w:asciiTheme="minorHAnsi" w:hAnsiTheme="minorHAnsi" w:cstheme="minorHAnsi"/>
        </w:rPr>
      </w:pPr>
      <w:r w:rsidRPr="005F120D">
        <w:rPr>
          <w:rFonts w:asciiTheme="minorHAnsi" w:hAnsiTheme="minorHAnsi" w:cstheme="minorHAnsi"/>
        </w:rPr>
        <w:t>Assistant Monitoring Officer (AMO): 40.6%;</w:t>
      </w:r>
    </w:p>
    <w:p w:rsidR="00540E91" w:rsidRPr="005F120D" w:rsidRDefault="00540E91" w:rsidP="00936D9E">
      <w:pPr>
        <w:spacing w:after="0"/>
        <w:jc w:val="both"/>
        <w:rPr>
          <w:rFonts w:asciiTheme="minorHAnsi" w:hAnsiTheme="minorHAnsi" w:cstheme="minorHAnsi"/>
        </w:rPr>
      </w:pPr>
      <w:r w:rsidRPr="005F120D">
        <w:rPr>
          <w:rFonts w:asciiTheme="minorHAnsi" w:hAnsiTheme="minorHAnsi" w:cstheme="minorHAnsi"/>
        </w:rPr>
        <w:t>URC Instructor: Around 26%;</w:t>
      </w:r>
      <w:r w:rsidRPr="005F120D">
        <w:rPr>
          <w:rFonts w:asciiTheme="minorHAnsi" w:hAnsiTheme="minorHAnsi" w:cstheme="minorHAnsi"/>
        </w:rPr>
        <w:tab/>
      </w:r>
      <w:r w:rsidRPr="005F120D">
        <w:rPr>
          <w:rFonts w:asciiTheme="minorHAnsi" w:hAnsiTheme="minorHAnsi" w:cstheme="minorHAnsi"/>
        </w:rPr>
        <w:tab/>
      </w:r>
      <w:r w:rsidRPr="005F120D">
        <w:rPr>
          <w:rFonts w:asciiTheme="minorHAnsi" w:hAnsiTheme="minorHAnsi" w:cstheme="minorHAnsi"/>
        </w:rPr>
        <w:tab/>
        <w:t>URC Asst. Insts: Around 55% of posts;</w:t>
      </w:r>
    </w:p>
    <w:p w:rsidR="00540E91" w:rsidRPr="005F120D" w:rsidRDefault="00540E91" w:rsidP="00936D9E">
      <w:pPr>
        <w:spacing w:after="0"/>
        <w:jc w:val="both"/>
        <w:rPr>
          <w:rFonts w:asciiTheme="minorHAnsi" w:hAnsiTheme="minorHAnsi" w:cstheme="minorHAnsi"/>
        </w:rPr>
      </w:pPr>
      <w:r w:rsidRPr="005F120D">
        <w:rPr>
          <w:rFonts w:asciiTheme="minorHAnsi" w:hAnsiTheme="minorHAnsi" w:cstheme="minorHAnsi"/>
        </w:rPr>
        <w:t>HTs: About 27% of posts;</w:t>
      </w:r>
      <w:r w:rsidRPr="005F120D">
        <w:rPr>
          <w:rFonts w:asciiTheme="minorHAnsi" w:hAnsiTheme="minorHAnsi" w:cstheme="minorHAnsi"/>
        </w:rPr>
        <w:tab/>
      </w:r>
      <w:r w:rsidRPr="005F120D">
        <w:rPr>
          <w:rFonts w:asciiTheme="minorHAnsi" w:hAnsiTheme="minorHAnsi" w:cstheme="minorHAnsi"/>
        </w:rPr>
        <w:tab/>
      </w:r>
      <w:r w:rsidRPr="005F120D">
        <w:rPr>
          <w:rFonts w:asciiTheme="minorHAnsi" w:hAnsiTheme="minorHAnsi" w:cstheme="minorHAnsi"/>
        </w:rPr>
        <w:tab/>
        <w:t>ATs: About 9% of posts are vacant</w:t>
      </w:r>
    </w:p>
    <w:p w:rsidR="00540E91" w:rsidRPr="005F120D" w:rsidRDefault="00540E91" w:rsidP="00936D9E">
      <w:pPr>
        <w:spacing w:after="0"/>
        <w:jc w:val="both"/>
        <w:rPr>
          <w:rFonts w:asciiTheme="minorHAnsi" w:hAnsiTheme="minorHAnsi" w:cstheme="minorHAnsi"/>
        </w:rPr>
      </w:pPr>
      <w:r w:rsidRPr="005F120D">
        <w:rPr>
          <w:rFonts w:asciiTheme="minorHAnsi" w:hAnsiTheme="minorHAnsi" w:cstheme="minorHAnsi"/>
        </w:rPr>
        <w:t>Expt. School Teachers: 83% of posts;</w:t>
      </w:r>
    </w:p>
    <w:p w:rsidR="00540E91" w:rsidRPr="005F120D" w:rsidRDefault="00540E91" w:rsidP="00936D9E">
      <w:pPr>
        <w:spacing w:before="120" w:after="120"/>
        <w:jc w:val="both"/>
        <w:rPr>
          <w:rFonts w:asciiTheme="minorHAnsi" w:hAnsiTheme="minorHAnsi" w:cstheme="minorHAnsi"/>
        </w:rPr>
      </w:pPr>
      <w:r w:rsidRPr="005F120D">
        <w:rPr>
          <w:rFonts w:asciiTheme="minorHAnsi" w:hAnsiTheme="minorHAnsi" w:cstheme="minorHAnsi"/>
        </w:rPr>
        <w:t xml:space="preserve">Currently there is no vacancy at DD office. </w:t>
      </w:r>
    </w:p>
    <w:p w:rsidR="0018224E" w:rsidRPr="005F120D" w:rsidRDefault="001451A6" w:rsidP="00936D9E">
      <w:pPr>
        <w:spacing w:after="0"/>
        <w:rPr>
          <w:rFonts w:asciiTheme="minorHAnsi" w:hAnsiTheme="minorHAnsi" w:cstheme="minorHAnsi"/>
        </w:rPr>
      </w:pPr>
      <w:r w:rsidRPr="005F120D">
        <w:rPr>
          <w:rFonts w:asciiTheme="minorHAnsi" w:hAnsiTheme="minorHAnsi" w:cstheme="minorHAnsi"/>
        </w:rPr>
        <w:t>Table 3.26</w:t>
      </w:r>
      <w:r w:rsidR="00540E91" w:rsidRPr="005F120D">
        <w:rPr>
          <w:rFonts w:asciiTheme="minorHAnsi" w:hAnsiTheme="minorHAnsi" w:cstheme="minorHAnsi"/>
        </w:rPr>
        <w:t xml:space="preserve"> presents the sanctioned and vacant posts of DPE</w:t>
      </w:r>
      <w:r w:rsidR="0018224E" w:rsidRPr="005F120D">
        <w:rPr>
          <w:rFonts w:asciiTheme="minorHAnsi" w:hAnsiTheme="minorHAnsi" w:cstheme="minorHAnsi"/>
        </w:rPr>
        <w:t>.</w:t>
      </w:r>
    </w:p>
    <w:p w:rsidR="00F035A1" w:rsidRPr="005F120D" w:rsidRDefault="00F035A1" w:rsidP="00936D9E">
      <w:pPr>
        <w:spacing w:after="0"/>
        <w:rPr>
          <w:rFonts w:asciiTheme="minorHAnsi" w:hAnsiTheme="minorHAnsi" w:cstheme="minorHAnsi"/>
        </w:rPr>
      </w:pPr>
    </w:p>
    <w:p w:rsidR="00F035A1" w:rsidRPr="005F120D" w:rsidRDefault="00F035A1" w:rsidP="00936D9E">
      <w:pPr>
        <w:spacing w:after="0"/>
        <w:rPr>
          <w:rFonts w:asciiTheme="minorHAnsi" w:hAnsiTheme="minorHAnsi" w:cstheme="minorHAnsi"/>
        </w:rPr>
      </w:pPr>
    </w:p>
    <w:p w:rsidR="00F035A1" w:rsidRPr="005F120D" w:rsidRDefault="00F035A1" w:rsidP="00936D9E">
      <w:pPr>
        <w:spacing w:after="0"/>
        <w:rPr>
          <w:rFonts w:asciiTheme="minorHAnsi" w:hAnsiTheme="minorHAnsi" w:cstheme="minorHAnsi"/>
        </w:rPr>
      </w:pPr>
    </w:p>
    <w:p w:rsidR="00F035A1" w:rsidRPr="005F120D" w:rsidRDefault="00F035A1" w:rsidP="00936D9E">
      <w:pPr>
        <w:spacing w:after="0"/>
        <w:rPr>
          <w:rFonts w:asciiTheme="minorHAnsi" w:hAnsiTheme="minorHAnsi" w:cstheme="minorHAnsi"/>
        </w:rPr>
      </w:pPr>
    </w:p>
    <w:p w:rsidR="000043E7" w:rsidRPr="005F120D" w:rsidRDefault="000043E7" w:rsidP="00C437AA">
      <w:pPr>
        <w:pStyle w:val="Caption"/>
        <w:spacing w:line="276" w:lineRule="auto"/>
        <w:rPr>
          <w:rFonts w:cstheme="minorHAnsi"/>
        </w:rPr>
      </w:pPr>
      <w:bookmarkStart w:id="373" w:name="_Toc462837283"/>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26</w:t>
      </w:r>
      <w:r w:rsidR="002E2ED5" w:rsidRPr="005F120D">
        <w:rPr>
          <w:rFonts w:cstheme="minorHAnsi"/>
        </w:rPr>
        <w:fldChar w:fldCharType="end"/>
      </w:r>
      <w:r w:rsidR="004B29D4" w:rsidRPr="005F120D">
        <w:rPr>
          <w:rFonts w:cstheme="minorHAnsi"/>
        </w:rPr>
        <w:t>: Sanctioned and Vacant Post of DPE staff</w:t>
      </w:r>
      <w:r w:rsidR="00D56978">
        <w:rPr>
          <w:rFonts w:cstheme="minorHAnsi"/>
        </w:rPr>
        <w:t xml:space="preserve"> </w:t>
      </w:r>
      <w:r w:rsidR="00FF1FE1" w:rsidRPr="005F120D">
        <w:rPr>
          <w:rFonts w:cstheme="minorHAnsi"/>
        </w:rPr>
        <w:t xml:space="preserve">as of March </w:t>
      </w:r>
      <w:r w:rsidRPr="005F120D">
        <w:rPr>
          <w:rFonts w:cstheme="minorHAnsi"/>
        </w:rPr>
        <w:t>201</w:t>
      </w:r>
      <w:r w:rsidR="00FF1FE1" w:rsidRPr="005F120D">
        <w:rPr>
          <w:rFonts w:cstheme="minorHAnsi"/>
        </w:rPr>
        <w:t>6</w:t>
      </w:r>
      <w:bookmarkEnd w:id="373"/>
    </w:p>
    <w:tbl>
      <w:tblPr>
        <w:tblStyle w:val="TableGrid"/>
        <w:tblW w:w="5147"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405"/>
        <w:gridCol w:w="2596"/>
        <w:gridCol w:w="1131"/>
        <w:gridCol w:w="1093"/>
        <w:gridCol w:w="976"/>
        <w:gridCol w:w="822"/>
        <w:gridCol w:w="849"/>
        <w:gridCol w:w="674"/>
        <w:gridCol w:w="971"/>
      </w:tblGrid>
      <w:tr w:rsidR="002A36F0" w:rsidRPr="005F120D" w:rsidTr="00997048">
        <w:trPr>
          <w:trHeight w:val="682"/>
          <w:tblHeader/>
        </w:trPr>
        <w:tc>
          <w:tcPr>
            <w:tcW w:w="213" w:type="pct"/>
            <w:shd w:val="clear" w:color="auto" w:fill="92CDDC" w:themeFill="accent5" w:themeFillTint="99"/>
            <w:vAlign w:val="center"/>
          </w:tcPr>
          <w:p w:rsidR="009A0AB2" w:rsidRPr="005F120D" w:rsidRDefault="009A0AB2" w:rsidP="00A03624">
            <w:pPr>
              <w:spacing w:after="0"/>
              <w:jc w:val="center"/>
              <w:rPr>
                <w:rFonts w:asciiTheme="minorHAnsi" w:hAnsiTheme="minorHAnsi" w:cstheme="minorHAnsi"/>
                <w:sz w:val="16"/>
                <w:szCs w:val="16"/>
              </w:rPr>
            </w:pPr>
            <w:r w:rsidRPr="005F120D">
              <w:rPr>
                <w:rFonts w:asciiTheme="minorHAnsi" w:hAnsiTheme="minorHAnsi" w:cstheme="minorHAnsi"/>
                <w:sz w:val="16"/>
                <w:szCs w:val="16"/>
              </w:rPr>
              <w:t>SL.</w:t>
            </w:r>
          </w:p>
        </w:tc>
        <w:tc>
          <w:tcPr>
            <w:tcW w:w="1364" w:type="pct"/>
            <w:shd w:val="clear" w:color="auto" w:fill="92CDDC" w:themeFill="accent5" w:themeFillTint="99"/>
            <w:vAlign w:val="center"/>
          </w:tcPr>
          <w:p w:rsidR="009A0AB2" w:rsidRPr="005F120D" w:rsidRDefault="009A0AB2" w:rsidP="00A03624">
            <w:pPr>
              <w:spacing w:after="0"/>
              <w:jc w:val="center"/>
              <w:rPr>
                <w:rFonts w:asciiTheme="minorHAnsi" w:hAnsiTheme="minorHAnsi" w:cstheme="minorHAnsi"/>
                <w:sz w:val="16"/>
                <w:szCs w:val="16"/>
              </w:rPr>
            </w:pPr>
            <w:r w:rsidRPr="005F120D">
              <w:rPr>
                <w:rFonts w:asciiTheme="minorHAnsi" w:hAnsiTheme="minorHAnsi" w:cstheme="minorHAnsi"/>
                <w:sz w:val="16"/>
                <w:szCs w:val="16"/>
              </w:rPr>
              <w:t>Type</w:t>
            </w:r>
          </w:p>
        </w:tc>
        <w:tc>
          <w:tcPr>
            <w:tcW w:w="594" w:type="pct"/>
            <w:shd w:val="clear" w:color="auto" w:fill="92CDDC" w:themeFill="accent5" w:themeFillTint="99"/>
            <w:vAlign w:val="center"/>
          </w:tcPr>
          <w:p w:rsidR="009A0AB2" w:rsidRPr="005F120D" w:rsidRDefault="009A0AB2" w:rsidP="00A03624">
            <w:pPr>
              <w:spacing w:after="0"/>
              <w:jc w:val="center"/>
              <w:rPr>
                <w:rFonts w:asciiTheme="minorHAnsi" w:hAnsiTheme="minorHAnsi" w:cstheme="minorHAnsi"/>
                <w:sz w:val="16"/>
                <w:szCs w:val="16"/>
              </w:rPr>
            </w:pPr>
            <w:r w:rsidRPr="005F120D">
              <w:rPr>
                <w:rFonts w:asciiTheme="minorHAnsi" w:hAnsiTheme="minorHAnsi" w:cstheme="minorHAnsi"/>
                <w:sz w:val="16"/>
                <w:szCs w:val="16"/>
              </w:rPr>
              <w:t>Sanctioned Post by ENAM Committee</w:t>
            </w:r>
          </w:p>
        </w:tc>
        <w:tc>
          <w:tcPr>
            <w:tcW w:w="574" w:type="pct"/>
            <w:shd w:val="clear" w:color="auto" w:fill="92CDDC" w:themeFill="accent5" w:themeFillTint="99"/>
            <w:vAlign w:val="center"/>
          </w:tcPr>
          <w:p w:rsidR="009A0AB2" w:rsidRPr="005F120D" w:rsidRDefault="009A0AB2" w:rsidP="00A03624">
            <w:pPr>
              <w:spacing w:after="0"/>
              <w:jc w:val="center"/>
              <w:rPr>
                <w:rFonts w:asciiTheme="minorHAnsi" w:hAnsiTheme="minorHAnsi" w:cstheme="minorHAnsi"/>
                <w:sz w:val="16"/>
                <w:szCs w:val="16"/>
              </w:rPr>
            </w:pPr>
            <w:r w:rsidRPr="005F120D">
              <w:rPr>
                <w:rFonts w:asciiTheme="minorHAnsi" w:hAnsiTheme="minorHAnsi" w:cstheme="minorHAnsi"/>
                <w:sz w:val="16"/>
                <w:szCs w:val="16"/>
              </w:rPr>
              <w:t xml:space="preserve">Newly created Post </w:t>
            </w:r>
            <w:r w:rsidR="003E32F9" w:rsidRPr="005F120D">
              <w:rPr>
                <w:rFonts w:asciiTheme="minorHAnsi" w:hAnsiTheme="minorHAnsi" w:cstheme="minorHAnsi"/>
                <w:sz w:val="16"/>
                <w:szCs w:val="16"/>
              </w:rPr>
              <w:t>after</w:t>
            </w:r>
            <w:r w:rsidRPr="005F120D">
              <w:rPr>
                <w:rFonts w:asciiTheme="minorHAnsi" w:hAnsiTheme="minorHAnsi" w:cstheme="minorHAnsi"/>
                <w:sz w:val="16"/>
                <w:szCs w:val="16"/>
              </w:rPr>
              <w:t xml:space="preserve"> ENAM</w:t>
            </w:r>
            <w:r w:rsidR="003E32F9" w:rsidRPr="005F120D">
              <w:rPr>
                <w:rFonts w:asciiTheme="minorHAnsi" w:hAnsiTheme="minorHAnsi" w:cstheme="minorHAnsi"/>
                <w:sz w:val="16"/>
                <w:szCs w:val="16"/>
              </w:rPr>
              <w:t xml:space="preserve"> Committee</w:t>
            </w:r>
          </w:p>
        </w:tc>
        <w:tc>
          <w:tcPr>
            <w:tcW w:w="513" w:type="pct"/>
            <w:shd w:val="clear" w:color="auto" w:fill="92CDDC" w:themeFill="accent5" w:themeFillTint="99"/>
            <w:vAlign w:val="center"/>
          </w:tcPr>
          <w:p w:rsidR="009A0AB2" w:rsidRPr="005F120D" w:rsidRDefault="009A0AB2" w:rsidP="00A03624">
            <w:pPr>
              <w:spacing w:after="0"/>
              <w:jc w:val="center"/>
              <w:rPr>
                <w:rFonts w:asciiTheme="minorHAnsi" w:hAnsiTheme="minorHAnsi" w:cstheme="minorHAnsi"/>
                <w:sz w:val="16"/>
                <w:szCs w:val="16"/>
              </w:rPr>
            </w:pPr>
            <w:r w:rsidRPr="005F120D">
              <w:rPr>
                <w:rFonts w:asciiTheme="minorHAnsi" w:hAnsiTheme="minorHAnsi" w:cstheme="minorHAnsi"/>
                <w:sz w:val="16"/>
                <w:szCs w:val="16"/>
              </w:rPr>
              <w:t>Total Sanctioned Post</w:t>
            </w:r>
          </w:p>
        </w:tc>
        <w:tc>
          <w:tcPr>
            <w:tcW w:w="432" w:type="pct"/>
            <w:shd w:val="clear" w:color="auto" w:fill="92CDDC" w:themeFill="accent5" w:themeFillTint="99"/>
            <w:vAlign w:val="center"/>
          </w:tcPr>
          <w:p w:rsidR="009A0AB2" w:rsidRPr="005F120D" w:rsidRDefault="009A0AB2" w:rsidP="00A03624">
            <w:pPr>
              <w:spacing w:after="0"/>
              <w:jc w:val="center"/>
              <w:rPr>
                <w:rFonts w:asciiTheme="minorHAnsi" w:hAnsiTheme="minorHAnsi" w:cstheme="minorHAnsi"/>
                <w:sz w:val="16"/>
                <w:szCs w:val="16"/>
              </w:rPr>
            </w:pPr>
            <w:r w:rsidRPr="005F120D">
              <w:rPr>
                <w:rFonts w:asciiTheme="minorHAnsi" w:hAnsiTheme="minorHAnsi" w:cstheme="minorHAnsi"/>
                <w:sz w:val="16"/>
                <w:szCs w:val="16"/>
              </w:rPr>
              <w:t>Existing</w:t>
            </w:r>
          </w:p>
        </w:tc>
        <w:tc>
          <w:tcPr>
            <w:tcW w:w="446" w:type="pct"/>
            <w:shd w:val="clear" w:color="auto" w:fill="92CDDC" w:themeFill="accent5" w:themeFillTint="99"/>
            <w:vAlign w:val="center"/>
          </w:tcPr>
          <w:p w:rsidR="009A0AB2" w:rsidRPr="005F120D" w:rsidRDefault="009A0AB2" w:rsidP="00A03624">
            <w:pPr>
              <w:spacing w:after="0"/>
              <w:jc w:val="center"/>
              <w:rPr>
                <w:rFonts w:asciiTheme="minorHAnsi" w:hAnsiTheme="minorHAnsi" w:cstheme="minorHAnsi"/>
                <w:sz w:val="16"/>
                <w:szCs w:val="16"/>
              </w:rPr>
            </w:pPr>
            <w:r w:rsidRPr="005F120D">
              <w:rPr>
                <w:rFonts w:asciiTheme="minorHAnsi" w:hAnsiTheme="minorHAnsi" w:cstheme="minorHAnsi"/>
                <w:sz w:val="16"/>
                <w:szCs w:val="16"/>
              </w:rPr>
              <w:t>Vacant Post as of Jan’15</w:t>
            </w:r>
          </w:p>
        </w:tc>
        <w:tc>
          <w:tcPr>
            <w:tcW w:w="354" w:type="pct"/>
            <w:shd w:val="clear" w:color="auto" w:fill="92CDDC" w:themeFill="accent5" w:themeFillTint="99"/>
            <w:vAlign w:val="center"/>
          </w:tcPr>
          <w:p w:rsidR="009A0AB2" w:rsidRPr="005F120D" w:rsidRDefault="009A0AB2" w:rsidP="00A03624">
            <w:pPr>
              <w:spacing w:after="0"/>
              <w:jc w:val="center"/>
              <w:rPr>
                <w:rFonts w:asciiTheme="minorHAnsi" w:hAnsiTheme="minorHAnsi" w:cstheme="minorHAnsi"/>
                <w:sz w:val="16"/>
                <w:szCs w:val="16"/>
              </w:rPr>
            </w:pPr>
            <w:r w:rsidRPr="005F120D">
              <w:rPr>
                <w:rFonts w:asciiTheme="minorHAnsi" w:hAnsiTheme="minorHAnsi" w:cstheme="minorHAnsi"/>
                <w:sz w:val="16"/>
                <w:szCs w:val="16"/>
              </w:rPr>
              <w:t>% of vacant post</w:t>
            </w:r>
          </w:p>
        </w:tc>
        <w:tc>
          <w:tcPr>
            <w:tcW w:w="510" w:type="pct"/>
            <w:shd w:val="clear" w:color="auto" w:fill="92CDDC" w:themeFill="accent5" w:themeFillTint="99"/>
            <w:vAlign w:val="center"/>
          </w:tcPr>
          <w:p w:rsidR="009A0AB2" w:rsidRPr="005F120D" w:rsidRDefault="009A0AB2" w:rsidP="00A03624">
            <w:pPr>
              <w:spacing w:after="0"/>
              <w:jc w:val="center"/>
              <w:rPr>
                <w:rFonts w:asciiTheme="minorHAnsi" w:hAnsiTheme="minorHAnsi" w:cstheme="minorHAnsi"/>
                <w:sz w:val="16"/>
                <w:szCs w:val="16"/>
              </w:rPr>
            </w:pPr>
            <w:r w:rsidRPr="005F120D">
              <w:rPr>
                <w:rFonts w:asciiTheme="minorHAnsi" w:hAnsiTheme="minorHAnsi" w:cstheme="minorHAnsi"/>
                <w:sz w:val="16"/>
                <w:szCs w:val="16"/>
              </w:rPr>
              <w:t>Remarks</w:t>
            </w:r>
          </w:p>
        </w:tc>
      </w:tr>
      <w:tr w:rsidR="002A36F0" w:rsidRPr="005F120D" w:rsidTr="00997048">
        <w:trPr>
          <w:trHeight w:hRule="exact" w:val="254"/>
        </w:trPr>
        <w:tc>
          <w:tcPr>
            <w:tcW w:w="213" w:type="pct"/>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Director General</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32"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46" w:type="pct"/>
            <w:vAlign w:val="center"/>
          </w:tcPr>
          <w:p w:rsidR="009A0AB2" w:rsidRPr="005F120D" w:rsidRDefault="009A0AB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vAlign w:val="center"/>
          </w:tcPr>
          <w:p w:rsidR="009A0AB2" w:rsidRPr="005F120D" w:rsidRDefault="0060395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3E32F9"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1364" w:type="pct"/>
            <w:vAlign w:val="center"/>
          </w:tcPr>
          <w:p w:rsidR="003E32F9" w:rsidRPr="005F120D" w:rsidRDefault="003E32F9" w:rsidP="00A03624">
            <w:pPr>
              <w:spacing w:after="0"/>
              <w:rPr>
                <w:rFonts w:asciiTheme="minorHAnsi" w:hAnsiTheme="minorHAnsi" w:cstheme="minorHAnsi"/>
                <w:sz w:val="18"/>
                <w:szCs w:val="18"/>
              </w:rPr>
            </w:pPr>
            <w:r w:rsidRPr="005F120D">
              <w:rPr>
                <w:rFonts w:asciiTheme="minorHAnsi" w:hAnsiTheme="minorHAnsi" w:cstheme="minorHAnsi"/>
                <w:sz w:val="18"/>
                <w:szCs w:val="18"/>
              </w:rPr>
              <w:t>Additional Director General</w:t>
            </w:r>
          </w:p>
        </w:tc>
        <w:tc>
          <w:tcPr>
            <w:tcW w:w="594" w:type="pct"/>
            <w:vAlign w:val="center"/>
          </w:tcPr>
          <w:p w:rsidR="003E32F9" w:rsidRPr="005F120D" w:rsidRDefault="003E32F9"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w:t>
            </w:r>
          </w:p>
        </w:tc>
        <w:tc>
          <w:tcPr>
            <w:tcW w:w="574" w:type="pct"/>
            <w:vAlign w:val="center"/>
          </w:tcPr>
          <w:p w:rsidR="003E32F9" w:rsidRPr="005F120D" w:rsidRDefault="003E32F9"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w:t>
            </w:r>
          </w:p>
        </w:tc>
        <w:tc>
          <w:tcPr>
            <w:tcW w:w="513" w:type="pct"/>
            <w:vAlign w:val="center"/>
          </w:tcPr>
          <w:p w:rsidR="003E32F9" w:rsidRPr="005F120D" w:rsidRDefault="003E32F9"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32" w:type="pct"/>
            <w:vAlign w:val="center"/>
          </w:tcPr>
          <w:p w:rsidR="003E32F9" w:rsidRPr="005F120D" w:rsidRDefault="003E32F9"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46" w:type="pct"/>
            <w:vAlign w:val="center"/>
          </w:tcPr>
          <w:p w:rsidR="003E32F9" w:rsidRPr="005F120D" w:rsidRDefault="003E32F9"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vAlign w:val="center"/>
          </w:tcPr>
          <w:p w:rsidR="003E32F9" w:rsidRPr="005F120D" w:rsidRDefault="003E32F9" w:rsidP="00A03624">
            <w:pPr>
              <w:spacing w:after="0"/>
              <w:jc w:val="center"/>
              <w:rPr>
                <w:rFonts w:asciiTheme="minorHAnsi" w:hAnsiTheme="minorHAnsi" w:cstheme="minorHAnsi"/>
                <w:color w:val="3333FF"/>
                <w:sz w:val="18"/>
                <w:szCs w:val="18"/>
              </w:rPr>
            </w:pPr>
          </w:p>
        </w:tc>
        <w:tc>
          <w:tcPr>
            <w:tcW w:w="510" w:type="pct"/>
            <w:vAlign w:val="center"/>
          </w:tcPr>
          <w:p w:rsidR="003E32F9" w:rsidRPr="005F120D" w:rsidRDefault="003E32F9"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Director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432"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446" w:type="pct"/>
            <w:vAlign w:val="center"/>
          </w:tcPr>
          <w:p w:rsidR="009A0AB2" w:rsidRPr="005F120D" w:rsidRDefault="009A0AB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vAlign w:val="center"/>
          </w:tcPr>
          <w:p w:rsidR="009A0AB2" w:rsidRPr="005F120D" w:rsidRDefault="0060395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Deputy Director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574" w:type="pct"/>
            <w:vAlign w:val="center"/>
          </w:tcPr>
          <w:p w:rsidR="009A0AB2" w:rsidRPr="005F120D" w:rsidRDefault="003E32F9"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16</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r w:rsidR="003E32F9" w:rsidRPr="005F120D">
              <w:rPr>
                <w:rFonts w:asciiTheme="minorHAnsi" w:hAnsiTheme="minorHAnsi" w:cstheme="minorHAnsi"/>
                <w:sz w:val="18"/>
                <w:szCs w:val="18"/>
              </w:rPr>
              <w:t>9</w:t>
            </w:r>
          </w:p>
        </w:tc>
        <w:tc>
          <w:tcPr>
            <w:tcW w:w="432" w:type="pct"/>
            <w:vAlign w:val="center"/>
          </w:tcPr>
          <w:p w:rsidR="009A0AB2" w:rsidRPr="005F120D" w:rsidRDefault="003E32F9"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17</w:t>
            </w:r>
          </w:p>
        </w:tc>
        <w:tc>
          <w:tcPr>
            <w:tcW w:w="446" w:type="pct"/>
            <w:vAlign w:val="center"/>
          </w:tcPr>
          <w:p w:rsidR="009A0AB2" w:rsidRPr="005F120D" w:rsidRDefault="003E32F9"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w:t>
            </w:r>
          </w:p>
        </w:tc>
        <w:tc>
          <w:tcPr>
            <w:tcW w:w="354" w:type="pct"/>
            <w:vAlign w:val="center"/>
          </w:tcPr>
          <w:p w:rsidR="009A0AB2" w:rsidRPr="005F120D" w:rsidRDefault="003E32F9"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10.5%</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60395B"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w:t>
            </w:r>
          </w:p>
        </w:tc>
        <w:tc>
          <w:tcPr>
            <w:tcW w:w="1364" w:type="pct"/>
            <w:vAlign w:val="center"/>
          </w:tcPr>
          <w:p w:rsidR="0060395B" w:rsidRPr="005F120D" w:rsidRDefault="0060395B" w:rsidP="00A03624">
            <w:pPr>
              <w:spacing w:after="0"/>
              <w:rPr>
                <w:rFonts w:asciiTheme="minorHAnsi" w:hAnsiTheme="minorHAnsi" w:cstheme="minorHAnsi"/>
                <w:sz w:val="18"/>
                <w:szCs w:val="18"/>
              </w:rPr>
            </w:pPr>
            <w:r w:rsidRPr="005F120D">
              <w:rPr>
                <w:rFonts w:asciiTheme="minorHAnsi" w:hAnsiTheme="minorHAnsi" w:cstheme="minorHAnsi"/>
                <w:sz w:val="18"/>
                <w:szCs w:val="18"/>
              </w:rPr>
              <w:t>Senior System Analyst</w:t>
            </w:r>
          </w:p>
        </w:tc>
        <w:tc>
          <w:tcPr>
            <w:tcW w:w="594"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13"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32"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46" w:type="pct"/>
            <w:vAlign w:val="center"/>
          </w:tcPr>
          <w:p w:rsidR="0060395B" w:rsidRPr="005F120D" w:rsidRDefault="0060395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vAlign w:val="center"/>
          </w:tcPr>
          <w:p w:rsidR="0060395B" w:rsidRPr="005F120D" w:rsidRDefault="0060395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vAlign w:val="center"/>
          </w:tcPr>
          <w:p w:rsidR="0060395B" w:rsidRPr="005F120D" w:rsidRDefault="0060395B"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60395B"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1364" w:type="pct"/>
            <w:shd w:val="clear" w:color="auto" w:fill="auto"/>
            <w:vAlign w:val="center"/>
          </w:tcPr>
          <w:p w:rsidR="0060395B" w:rsidRPr="005F120D" w:rsidRDefault="0060395B" w:rsidP="00A03624">
            <w:pPr>
              <w:spacing w:after="0"/>
              <w:rPr>
                <w:rFonts w:asciiTheme="minorHAnsi" w:hAnsiTheme="minorHAnsi" w:cstheme="minorHAnsi"/>
                <w:sz w:val="18"/>
                <w:szCs w:val="18"/>
              </w:rPr>
            </w:pPr>
            <w:r w:rsidRPr="005F120D">
              <w:rPr>
                <w:rFonts w:asciiTheme="minorHAnsi" w:hAnsiTheme="minorHAnsi" w:cstheme="minorHAnsi"/>
                <w:sz w:val="18"/>
                <w:szCs w:val="18"/>
              </w:rPr>
              <w:t>System Analyst</w:t>
            </w:r>
          </w:p>
        </w:tc>
        <w:tc>
          <w:tcPr>
            <w:tcW w:w="594"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513" w:type="pct"/>
            <w:shd w:val="clear" w:color="auto" w:fill="auto"/>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32"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46" w:type="pct"/>
            <w:shd w:val="clear" w:color="auto" w:fill="auto"/>
            <w:vAlign w:val="center"/>
          </w:tcPr>
          <w:p w:rsidR="0060395B" w:rsidRPr="005F120D" w:rsidRDefault="0060395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shd w:val="clear" w:color="auto" w:fill="auto"/>
            <w:vAlign w:val="center"/>
          </w:tcPr>
          <w:p w:rsidR="0060395B" w:rsidRPr="005F120D" w:rsidRDefault="0060395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shd w:val="clear" w:color="auto" w:fill="auto"/>
            <w:vAlign w:val="center"/>
          </w:tcPr>
          <w:p w:rsidR="0060395B" w:rsidRPr="005F120D" w:rsidRDefault="0060395B"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7</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Assistant Director (HQ)</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34</w:t>
            </w:r>
          </w:p>
        </w:tc>
        <w:tc>
          <w:tcPr>
            <w:tcW w:w="432" w:type="pct"/>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31</w:t>
            </w:r>
          </w:p>
        </w:tc>
        <w:tc>
          <w:tcPr>
            <w:tcW w:w="446" w:type="pct"/>
            <w:shd w:val="clear" w:color="auto" w:fill="auto"/>
            <w:vAlign w:val="center"/>
          </w:tcPr>
          <w:p w:rsidR="009A0AB2" w:rsidRPr="005F120D" w:rsidRDefault="00A40B3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w:t>
            </w:r>
          </w:p>
        </w:tc>
        <w:tc>
          <w:tcPr>
            <w:tcW w:w="354" w:type="pct"/>
            <w:shd w:val="clear" w:color="auto" w:fill="auto"/>
            <w:vAlign w:val="center"/>
          </w:tcPr>
          <w:p w:rsidR="009A0AB2" w:rsidRPr="005F120D" w:rsidRDefault="00A40B3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8.8%</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60395B"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8</w:t>
            </w:r>
          </w:p>
        </w:tc>
        <w:tc>
          <w:tcPr>
            <w:tcW w:w="1364" w:type="pct"/>
            <w:shd w:val="clear" w:color="auto" w:fill="auto"/>
            <w:vAlign w:val="center"/>
          </w:tcPr>
          <w:p w:rsidR="0060395B" w:rsidRPr="005F120D" w:rsidRDefault="0060395B" w:rsidP="00A03624">
            <w:pPr>
              <w:spacing w:after="0"/>
              <w:rPr>
                <w:rFonts w:asciiTheme="minorHAnsi" w:hAnsiTheme="minorHAnsi" w:cstheme="minorHAnsi"/>
                <w:sz w:val="18"/>
                <w:szCs w:val="18"/>
              </w:rPr>
            </w:pPr>
            <w:r w:rsidRPr="005F120D">
              <w:rPr>
                <w:rFonts w:asciiTheme="minorHAnsi" w:hAnsiTheme="minorHAnsi" w:cstheme="minorHAnsi"/>
                <w:sz w:val="18"/>
                <w:szCs w:val="18"/>
              </w:rPr>
              <w:t>Maintenance Engineer</w:t>
            </w:r>
          </w:p>
        </w:tc>
        <w:tc>
          <w:tcPr>
            <w:tcW w:w="594"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13" w:type="pct"/>
            <w:shd w:val="clear" w:color="auto" w:fill="auto"/>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32"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46" w:type="pct"/>
            <w:shd w:val="clear" w:color="auto" w:fill="auto"/>
            <w:vAlign w:val="center"/>
          </w:tcPr>
          <w:p w:rsidR="0060395B" w:rsidRPr="005F120D" w:rsidRDefault="0060395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shd w:val="clear" w:color="auto" w:fill="auto"/>
            <w:vAlign w:val="center"/>
          </w:tcPr>
          <w:p w:rsidR="0060395B" w:rsidRPr="005F120D" w:rsidRDefault="0060395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shd w:val="clear" w:color="auto" w:fill="auto"/>
            <w:vAlign w:val="center"/>
          </w:tcPr>
          <w:p w:rsidR="0060395B" w:rsidRPr="005F120D" w:rsidRDefault="0060395B"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60395B"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1364" w:type="pct"/>
            <w:shd w:val="clear" w:color="auto" w:fill="auto"/>
            <w:vAlign w:val="center"/>
          </w:tcPr>
          <w:p w:rsidR="0060395B" w:rsidRPr="005F120D" w:rsidRDefault="0060395B" w:rsidP="00A03624">
            <w:pPr>
              <w:spacing w:after="0"/>
              <w:rPr>
                <w:rFonts w:asciiTheme="minorHAnsi" w:hAnsiTheme="minorHAnsi" w:cstheme="minorHAnsi"/>
                <w:sz w:val="18"/>
                <w:szCs w:val="18"/>
              </w:rPr>
            </w:pPr>
            <w:r w:rsidRPr="005F120D">
              <w:rPr>
                <w:rFonts w:asciiTheme="minorHAnsi" w:hAnsiTheme="minorHAnsi" w:cstheme="minorHAnsi"/>
                <w:sz w:val="18"/>
                <w:szCs w:val="18"/>
              </w:rPr>
              <w:t>Programmer</w:t>
            </w:r>
          </w:p>
        </w:tc>
        <w:tc>
          <w:tcPr>
            <w:tcW w:w="594"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513" w:type="pct"/>
            <w:shd w:val="clear" w:color="auto" w:fill="auto"/>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32" w:type="pct"/>
            <w:vAlign w:val="center"/>
          </w:tcPr>
          <w:p w:rsidR="0060395B" w:rsidRPr="005F120D" w:rsidRDefault="0060395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46" w:type="pct"/>
            <w:shd w:val="clear" w:color="auto" w:fill="auto"/>
            <w:vAlign w:val="center"/>
          </w:tcPr>
          <w:p w:rsidR="0060395B" w:rsidRPr="005F120D" w:rsidRDefault="0060395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shd w:val="clear" w:color="auto" w:fill="auto"/>
            <w:vAlign w:val="center"/>
          </w:tcPr>
          <w:p w:rsidR="0060395B" w:rsidRPr="005F120D" w:rsidRDefault="0060395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shd w:val="clear" w:color="auto" w:fill="auto"/>
            <w:vAlign w:val="center"/>
          </w:tcPr>
          <w:p w:rsidR="0060395B" w:rsidRPr="005F120D" w:rsidRDefault="0060395B"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10</w:t>
            </w:r>
          </w:p>
        </w:tc>
        <w:tc>
          <w:tcPr>
            <w:tcW w:w="1364" w:type="pct"/>
            <w:shd w:val="clear" w:color="auto" w:fill="auto"/>
            <w:vAlign w:val="center"/>
          </w:tcPr>
          <w:p w:rsidR="009A0AB2" w:rsidRPr="005F120D" w:rsidRDefault="00A40B3B" w:rsidP="00A03624">
            <w:pPr>
              <w:spacing w:after="0"/>
              <w:rPr>
                <w:rFonts w:asciiTheme="minorHAnsi" w:hAnsiTheme="minorHAnsi" w:cstheme="minorHAnsi"/>
                <w:sz w:val="18"/>
                <w:szCs w:val="18"/>
              </w:rPr>
            </w:pPr>
            <w:r w:rsidRPr="005F120D">
              <w:rPr>
                <w:rFonts w:asciiTheme="minorHAnsi" w:hAnsiTheme="minorHAnsi" w:cstheme="minorHAnsi"/>
                <w:sz w:val="18"/>
                <w:szCs w:val="18"/>
              </w:rPr>
              <w:t>Procurement &amp; Supply</w:t>
            </w:r>
            <w:r w:rsidR="009A0AB2" w:rsidRPr="005F120D">
              <w:rPr>
                <w:rFonts w:asciiTheme="minorHAnsi" w:hAnsiTheme="minorHAnsi" w:cstheme="minorHAnsi"/>
                <w:sz w:val="18"/>
                <w:szCs w:val="18"/>
              </w:rPr>
              <w:t xml:space="preserve">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10</w:t>
            </w:r>
          </w:p>
        </w:tc>
        <w:tc>
          <w:tcPr>
            <w:tcW w:w="432" w:type="pct"/>
            <w:vAlign w:val="center"/>
          </w:tcPr>
          <w:p w:rsidR="009A0AB2" w:rsidRPr="005F120D" w:rsidRDefault="009A0AB2" w:rsidP="00A03624">
            <w:pPr>
              <w:spacing w:after="0"/>
              <w:jc w:val="center"/>
              <w:rPr>
                <w:rFonts w:asciiTheme="minorHAnsi" w:hAnsiTheme="minorHAnsi" w:cstheme="minorHAnsi"/>
                <w:sz w:val="18"/>
                <w:szCs w:val="18"/>
              </w:rPr>
            </w:pPr>
          </w:p>
        </w:tc>
        <w:tc>
          <w:tcPr>
            <w:tcW w:w="446" w:type="pct"/>
            <w:shd w:val="clear" w:color="auto" w:fill="auto"/>
            <w:vAlign w:val="center"/>
          </w:tcPr>
          <w:p w:rsidR="009A0AB2" w:rsidRPr="005F120D" w:rsidRDefault="009A0AB2" w:rsidP="00A03624">
            <w:pPr>
              <w:spacing w:after="0"/>
              <w:jc w:val="center"/>
              <w:rPr>
                <w:rFonts w:asciiTheme="minorHAnsi" w:hAnsiTheme="minorHAnsi" w:cstheme="minorHAnsi"/>
                <w:color w:val="3333FF"/>
                <w:sz w:val="18"/>
                <w:szCs w:val="18"/>
              </w:rPr>
            </w:pPr>
          </w:p>
        </w:tc>
        <w:tc>
          <w:tcPr>
            <w:tcW w:w="354" w:type="pct"/>
            <w:shd w:val="clear" w:color="auto" w:fill="auto"/>
            <w:vAlign w:val="center"/>
          </w:tcPr>
          <w:p w:rsidR="009A0AB2" w:rsidRPr="005F120D" w:rsidRDefault="009A0AB2" w:rsidP="00A03624">
            <w:pPr>
              <w:spacing w:after="0"/>
              <w:jc w:val="center"/>
              <w:rPr>
                <w:rFonts w:asciiTheme="minorHAnsi" w:hAnsiTheme="minorHAnsi" w:cstheme="minorHAnsi"/>
                <w:color w:val="3333FF"/>
                <w:sz w:val="18"/>
                <w:szCs w:val="18"/>
              </w:rPr>
            </w:pP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11</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DPEO</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68</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68</w:t>
            </w:r>
          </w:p>
        </w:tc>
        <w:tc>
          <w:tcPr>
            <w:tcW w:w="432"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62</w:t>
            </w:r>
          </w:p>
        </w:tc>
        <w:tc>
          <w:tcPr>
            <w:tcW w:w="446" w:type="pct"/>
            <w:shd w:val="clear" w:color="auto" w:fill="auto"/>
            <w:vAlign w:val="center"/>
          </w:tcPr>
          <w:p w:rsidR="009A0AB2" w:rsidRPr="005F120D" w:rsidRDefault="009A0AB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6</w:t>
            </w:r>
          </w:p>
        </w:tc>
        <w:tc>
          <w:tcPr>
            <w:tcW w:w="354" w:type="pct"/>
            <w:shd w:val="clear" w:color="auto" w:fill="auto"/>
            <w:vAlign w:val="center"/>
          </w:tcPr>
          <w:p w:rsidR="009A0AB2" w:rsidRPr="005F120D" w:rsidRDefault="00FD138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8.8%</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12</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PTI Super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49</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17</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66</w:t>
            </w:r>
          </w:p>
        </w:tc>
        <w:tc>
          <w:tcPr>
            <w:tcW w:w="432"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47</w:t>
            </w:r>
          </w:p>
        </w:tc>
        <w:tc>
          <w:tcPr>
            <w:tcW w:w="446" w:type="pct"/>
            <w:shd w:val="clear" w:color="auto" w:fill="auto"/>
            <w:vAlign w:val="center"/>
          </w:tcPr>
          <w:p w:rsidR="009A0AB2" w:rsidRPr="005F120D" w:rsidRDefault="009A0AB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8+11</w:t>
            </w:r>
          </w:p>
        </w:tc>
        <w:tc>
          <w:tcPr>
            <w:tcW w:w="354" w:type="pct"/>
            <w:shd w:val="clear" w:color="auto" w:fill="auto"/>
            <w:vAlign w:val="center"/>
          </w:tcPr>
          <w:p w:rsidR="009A0AB2" w:rsidRPr="005F120D" w:rsidRDefault="00095097"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12.1</w:t>
            </w:r>
            <w:r w:rsidR="00FD138B" w:rsidRPr="005F120D">
              <w:rPr>
                <w:rFonts w:asciiTheme="minorHAnsi" w:hAnsiTheme="minorHAnsi" w:cstheme="minorHAnsi"/>
                <w:color w:val="3333FF"/>
                <w:sz w:val="18"/>
                <w:szCs w:val="18"/>
              </w:rPr>
              <w:t>%</w:t>
            </w:r>
          </w:p>
        </w:tc>
        <w:tc>
          <w:tcPr>
            <w:tcW w:w="510"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 xml:space="preserve">11 </w:t>
            </w:r>
            <w:r w:rsidR="00095097" w:rsidRPr="005F120D">
              <w:rPr>
                <w:rFonts w:asciiTheme="minorHAnsi" w:hAnsiTheme="minorHAnsi" w:cstheme="minorHAnsi"/>
                <w:sz w:val="18"/>
                <w:szCs w:val="18"/>
              </w:rPr>
              <w:t>new PTIs</w:t>
            </w: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13</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Education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19</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432" w:type="pct"/>
            <w:vAlign w:val="center"/>
          </w:tcPr>
          <w:p w:rsidR="009A0AB2"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446" w:type="pct"/>
            <w:shd w:val="clear" w:color="auto" w:fill="auto"/>
            <w:vAlign w:val="center"/>
          </w:tcPr>
          <w:p w:rsidR="009A0AB2" w:rsidRPr="005F120D" w:rsidRDefault="00095097"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shd w:val="clear" w:color="auto" w:fill="auto"/>
            <w:vAlign w:val="center"/>
          </w:tcPr>
          <w:p w:rsidR="009A0AB2" w:rsidRPr="005F120D" w:rsidRDefault="00095097"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14</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Research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432" w:type="pct"/>
            <w:vAlign w:val="center"/>
          </w:tcPr>
          <w:p w:rsidR="009A0AB2"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446" w:type="pct"/>
            <w:shd w:val="clear" w:color="auto" w:fill="auto"/>
            <w:vAlign w:val="center"/>
          </w:tcPr>
          <w:p w:rsidR="009A0AB2" w:rsidRPr="005F120D" w:rsidRDefault="00095097"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shd w:val="clear" w:color="auto" w:fill="auto"/>
            <w:vAlign w:val="center"/>
          </w:tcPr>
          <w:p w:rsidR="009A0AB2" w:rsidRPr="005F120D" w:rsidRDefault="00095097"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15</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Assistant PTI Super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49</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55</w:t>
            </w:r>
          </w:p>
        </w:tc>
        <w:tc>
          <w:tcPr>
            <w:tcW w:w="432"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52</w:t>
            </w:r>
          </w:p>
        </w:tc>
        <w:tc>
          <w:tcPr>
            <w:tcW w:w="446" w:type="pct"/>
            <w:shd w:val="clear" w:color="auto" w:fill="auto"/>
            <w:vAlign w:val="center"/>
          </w:tcPr>
          <w:p w:rsidR="009A0AB2" w:rsidRPr="005F120D" w:rsidRDefault="009A0AB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w:t>
            </w:r>
          </w:p>
        </w:tc>
        <w:tc>
          <w:tcPr>
            <w:tcW w:w="354" w:type="pct"/>
            <w:shd w:val="clear" w:color="auto" w:fill="auto"/>
            <w:vAlign w:val="center"/>
          </w:tcPr>
          <w:p w:rsidR="009A0AB2" w:rsidRPr="005F120D" w:rsidRDefault="00FD138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5.4%</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16</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TEO</w:t>
            </w:r>
            <w:r w:rsidR="00F42DF2" w:rsidRPr="005F120D">
              <w:rPr>
                <w:rFonts w:asciiTheme="minorHAnsi" w:hAnsiTheme="minorHAnsi" w:cstheme="minorHAnsi"/>
                <w:sz w:val="18"/>
                <w:szCs w:val="18"/>
              </w:rPr>
              <w:t>/UEO</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490</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20</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510</w:t>
            </w:r>
          </w:p>
        </w:tc>
        <w:tc>
          <w:tcPr>
            <w:tcW w:w="432" w:type="pct"/>
            <w:vAlign w:val="center"/>
          </w:tcPr>
          <w:p w:rsidR="009A0AB2"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430</w:t>
            </w:r>
          </w:p>
        </w:tc>
        <w:tc>
          <w:tcPr>
            <w:tcW w:w="446" w:type="pct"/>
            <w:shd w:val="clear" w:color="auto" w:fill="auto"/>
            <w:vAlign w:val="center"/>
          </w:tcPr>
          <w:p w:rsidR="009A0AB2" w:rsidRPr="005F120D" w:rsidRDefault="009A0AB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80</w:t>
            </w:r>
          </w:p>
        </w:tc>
        <w:tc>
          <w:tcPr>
            <w:tcW w:w="354" w:type="pct"/>
            <w:shd w:val="clear" w:color="auto" w:fill="auto"/>
            <w:vAlign w:val="center"/>
          </w:tcPr>
          <w:p w:rsidR="009A0AB2" w:rsidRPr="005F120D" w:rsidRDefault="00FD138B"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15.7%</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46 acting ADPEO</w:t>
            </w: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17</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ADPEO</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68</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60</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128</w:t>
            </w:r>
          </w:p>
        </w:tc>
        <w:tc>
          <w:tcPr>
            <w:tcW w:w="432" w:type="pct"/>
            <w:vAlign w:val="center"/>
          </w:tcPr>
          <w:p w:rsidR="009A0AB2"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117</w:t>
            </w:r>
          </w:p>
        </w:tc>
        <w:tc>
          <w:tcPr>
            <w:tcW w:w="446" w:type="pct"/>
            <w:shd w:val="clear" w:color="auto" w:fill="auto"/>
            <w:vAlign w:val="center"/>
          </w:tcPr>
          <w:p w:rsidR="009A0AB2" w:rsidRPr="005F120D" w:rsidRDefault="009A0AB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11</w:t>
            </w:r>
          </w:p>
        </w:tc>
        <w:tc>
          <w:tcPr>
            <w:tcW w:w="354" w:type="pct"/>
            <w:shd w:val="clear" w:color="auto" w:fill="auto"/>
            <w:vAlign w:val="center"/>
          </w:tcPr>
          <w:p w:rsidR="009A0AB2" w:rsidRPr="005F120D" w:rsidRDefault="002506F5"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8.6%</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18</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Instructor</w:t>
            </w:r>
            <w:r w:rsidR="00095097" w:rsidRPr="005F120D">
              <w:rPr>
                <w:rFonts w:asciiTheme="minorHAnsi" w:hAnsiTheme="minorHAnsi" w:cstheme="minorHAnsi"/>
                <w:sz w:val="18"/>
                <w:szCs w:val="18"/>
              </w:rPr>
              <w:t>, PTI</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588</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378</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966</w:t>
            </w:r>
          </w:p>
        </w:tc>
        <w:tc>
          <w:tcPr>
            <w:tcW w:w="432"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536</w:t>
            </w:r>
          </w:p>
        </w:tc>
        <w:tc>
          <w:tcPr>
            <w:tcW w:w="446" w:type="pct"/>
            <w:shd w:val="clear" w:color="auto" w:fill="auto"/>
            <w:vAlign w:val="center"/>
          </w:tcPr>
          <w:p w:rsidR="009A0AB2" w:rsidRPr="005F120D" w:rsidRDefault="00A23CD4"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430</w:t>
            </w:r>
          </w:p>
        </w:tc>
        <w:tc>
          <w:tcPr>
            <w:tcW w:w="354" w:type="pct"/>
            <w:shd w:val="clear" w:color="auto" w:fill="auto"/>
            <w:vAlign w:val="center"/>
          </w:tcPr>
          <w:p w:rsidR="009A0AB2" w:rsidRPr="005F120D" w:rsidRDefault="00A23CD4"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44.5</w:t>
            </w:r>
            <w:r w:rsidR="0065516F" w:rsidRPr="005F120D">
              <w:rPr>
                <w:rFonts w:asciiTheme="minorHAnsi" w:hAnsiTheme="minorHAnsi" w:cstheme="minorHAnsi"/>
                <w:color w:val="3333FF"/>
                <w:sz w:val="18"/>
                <w:szCs w:val="18"/>
              </w:rPr>
              <w:t>%</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095097"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19</w:t>
            </w:r>
          </w:p>
        </w:tc>
        <w:tc>
          <w:tcPr>
            <w:tcW w:w="1364" w:type="pct"/>
            <w:shd w:val="clear" w:color="auto" w:fill="auto"/>
            <w:vAlign w:val="center"/>
          </w:tcPr>
          <w:p w:rsidR="00095097" w:rsidRPr="005F120D" w:rsidRDefault="00095097" w:rsidP="00A03624">
            <w:pPr>
              <w:spacing w:after="0"/>
              <w:rPr>
                <w:rFonts w:asciiTheme="minorHAnsi" w:hAnsiTheme="minorHAnsi" w:cstheme="minorHAnsi"/>
                <w:sz w:val="18"/>
                <w:szCs w:val="18"/>
              </w:rPr>
            </w:pPr>
            <w:r w:rsidRPr="005F120D">
              <w:rPr>
                <w:rFonts w:asciiTheme="minorHAnsi" w:hAnsiTheme="minorHAnsi" w:cstheme="minorHAnsi"/>
                <w:sz w:val="18"/>
                <w:szCs w:val="18"/>
              </w:rPr>
              <w:t>Instructor URC</w:t>
            </w:r>
          </w:p>
        </w:tc>
        <w:tc>
          <w:tcPr>
            <w:tcW w:w="594" w:type="pct"/>
            <w:vAlign w:val="center"/>
          </w:tcPr>
          <w:p w:rsidR="00095097"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w:t>
            </w:r>
          </w:p>
        </w:tc>
        <w:tc>
          <w:tcPr>
            <w:tcW w:w="574" w:type="pct"/>
            <w:vAlign w:val="center"/>
          </w:tcPr>
          <w:p w:rsidR="00095097"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481</w:t>
            </w:r>
          </w:p>
        </w:tc>
        <w:tc>
          <w:tcPr>
            <w:tcW w:w="513" w:type="pct"/>
            <w:shd w:val="clear" w:color="auto" w:fill="auto"/>
            <w:vAlign w:val="center"/>
          </w:tcPr>
          <w:p w:rsidR="00095097"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481</w:t>
            </w:r>
            <w:r w:rsidR="007C5F46" w:rsidRPr="005F120D">
              <w:rPr>
                <w:rFonts w:asciiTheme="minorHAnsi" w:hAnsiTheme="minorHAnsi" w:cstheme="minorHAnsi"/>
                <w:sz w:val="18"/>
                <w:szCs w:val="18"/>
              </w:rPr>
              <w:t>+24</w:t>
            </w:r>
          </w:p>
        </w:tc>
        <w:tc>
          <w:tcPr>
            <w:tcW w:w="432" w:type="pct"/>
            <w:vAlign w:val="center"/>
          </w:tcPr>
          <w:p w:rsidR="00095097"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355</w:t>
            </w:r>
            <w:r w:rsidR="007C5F46" w:rsidRPr="005F120D">
              <w:rPr>
                <w:rFonts w:asciiTheme="minorHAnsi" w:hAnsiTheme="minorHAnsi" w:cstheme="minorHAnsi"/>
                <w:sz w:val="18"/>
                <w:szCs w:val="18"/>
              </w:rPr>
              <w:t>+17</w:t>
            </w:r>
          </w:p>
        </w:tc>
        <w:tc>
          <w:tcPr>
            <w:tcW w:w="446" w:type="pct"/>
            <w:shd w:val="clear" w:color="auto" w:fill="auto"/>
            <w:vAlign w:val="center"/>
          </w:tcPr>
          <w:p w:rsidR="00095097"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126</w:t>
            </w:r>
            <w:r w:rsidR="007C5F46" w:rsidRPr="005F120D">
              <w:rPr>
                <w:rFonts w:asciiTheme="minorHAnsi" w:hAnsiTheme="minorHAnsi" w:cstheme="minorHAnsi"/>
                <w:sz w:val="18"/>
                <w:szCs w:val="18"/>
              </w:rPr>
              <w:t>+7</w:t>
            </w:r>
          </w:p>
        </w:tc>
        <w:tc>
          <w:tcPr>
            <w:tcW w:w="354" w:type="pct"/>
            <w:shd w:val="clear" w:color="auto" w:fill="auto"/>
            <w:vAlign w:val="center"/>
          </w:tcPr>
          <w:p w:rsidR="00095097" w:rsidRPr="005F120D" w:rsidRDefault="00095097"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26.2%</w:t>
            </w:r>
          </w:p>
        </w:tc>
        <w:tc>
          <w:tcPr>
            <w:tcW w:w="510" w:type="pct"/>
            <w:shd w:val="clear" w:color="auto" w:fill="auto"/>
            <w:vAlign w:val="center"/>
          </w:tcPr>
          <w:p w:rsidR="00095097" w:rsidRPr="005F120D" w:rsidRDefault="007C5F46"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 PEDP3</w:t>
            </w: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20</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Asst. Programmer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432" w:type="pct"/>
            <w:vAlign w:val="center"/>
          </w:tcPr>
          <w:p w:rsidR="009A0AB2" w:rsidRPr="005F120D" w:rsidRDefault="0065516F"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446" w:type="pct"/>
            <w:shd w:val="clear" w:color="auto" w:fill="auto"/>
            <w:vAlign w:val="center"/>
          </w:tcPr>
          <w:p w:rsidR="009A0AB2" w:rsidRPr="005F120D" w:rsidRDefault="0065516F"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shd w:val="clear" w:color="auto" w:fill="auto"/>
            <w:vAlign w:val="center"/>
          </w:tcPr>
          <w:p w:rsidR="009A0AB2" w:rsidRPr="005F120D" w:rsidRDefault="0065516F"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21</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Asst. M. Engineer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432" w:type="pct"/>
            <w:vAlign w:val="center"/>
          </w:tcPr>
          <w:p w:rsidR="009A0AB2" w:rsidRPr="005F120D" w:rsidRDefault="0065516F"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446" w:type="pct"/>
            <w:shd w:val="clear" w:color="auto" w:fill="auto"/>
            <w:vAlign w:val="center"/>
          </w:tcPr>
          <w:p w:rsidR="009A0AB2" w:rsidRPr="005F120D" w:rsidRDefault="0065516F"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shd w:val="clear" w:color="auto" w:fill="auto"/>
            <w:vAlign w:val="center"/>
          </w:tcPr>
          <w:p w:rsidR="009A0AB2" w:rsidRPr="005F120D" w:rsidRDefault="000024A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22</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Statistical Officer</w:t>
            </w:r>
          </w:p>
        </w:tc>
        <w:tc>
          <w:tcPr>
            <w:tcW w:w="594" w:type="pct"/>
            <w:vAlign w:val="center"/>
          </w:tcPr>
          <w:p w:rsidR="009A0AB2"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w:t>
            </w:r>
          </w:p>
        </w:tc>
        <w:tc>
          <w:tcPr>
            <w:tcW w:w="574" w:type="pct"/>
            <w:vAlign w:val="center"/>
          </w:tcPr>
          <w:p w:rsidR="009A0AB2"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513" w:type="pct"/>
            <w:shd w:val="clear" w:color="auto" w:fill="auto"/>
            <w:vAlign w:val="center"/>
          </w:tcPr>
          <w:p w:rsidR="009A0AB2"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32" w:type="pct"/>
            <w:vAlign w:val="center"/>
          </w:tcPr>
          <w:p w:rsidR="009A0AB2" w:rsidRPr="005F120D" w:rsidRDefault="00095097"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46" w:type="pct"/>
            <w:shd w:val="clear" w:color="auto" w:fill="auto"/>
            <w:vAlign w:val="center"/>
          </w:tcPr>
          <w:p w:rsidR="009A0AB2" w:rsidRPr="005F120D" w:rsidRDefault="0065516F"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shd w:val="clear" w:color="auto" w:fill="auto"/>
            <w:vAlign w:val="center"/>
          </w:tcPr>
          <w:p w:rsidR="009A0AB2" w:rsidRPr="005F120D" w:rsidRDefault="00095097"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auto"/>
            <w:vAlign w:val="center"/>
          </w:tcPr>
          <w:p w:rsidR="009A0AB2" w:rsidRPr="005F120D" w:rsidRDefault="00A40B3B"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23</w:t>
            </w:r>
          </w:p>
        </w:tc>
        <w:tc>
          <w:tcPr>
            <w:tcW w:w="1364" w:type="pct"/>
            <w:shd w:val="clear" w:color="auto" w:fill="auto"/>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Store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13"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32" w:type="pct"/>
            <w:vAlign w:val="center"/>
          </w:tcPr>
          <w:p w:rsidR="009A0AB2" w:rsidRPr="005F120D" w:rsidRDefault="0065516F"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46" w:type="pct"/>
            <w:shd w:val="clear" w:color="auto" w:fill="auto"/>
            <w:vAlign w:val="center"/>
          </w:tcPr>
          <w:p w:rsidR="009A0AB2" w:rsidRPr="005F120D" w:rsidRDefault="0065516F"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shd w:val="clear" w:color="auto" w:fill="auto"/>
            <w:vAlign w:val="center"/>
          </w:tcPr>
          <w:p w:rsidR="009A0AB2" w:rsidRPr="005F120D" w:rsidRDefault="00095097"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shd w:val="clear" w:color="auto" w:fill="auto"/>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DAEEF3" w:themeFill="accent5" w:themeFillTint="33"/>
            <w:vAlign w:val="center"/>
          </w:tcPr>
          <w:p w:rsidR="009A0AB2" w:rsidRPr="005F120D" w:rsidRDefault="009A0AB2" w:rsidP="00A03624">
            <w:pPr>
              <w:spacing w:after="0"/>
              <w:jc w:val="center"/>
              <w:rPr>
                <w:rFonts w:asciiTheme="minorHAnsi" w:hAnsiTheme="minorHAnsi" w:cstheme="minorHAnsi"/>
                <w:sz w:val="18"/>
                <w:szCs w:val="18"/>
              </w:rPr>
            </w:pPr>
          </w:p>
        </w:tc>
        <w:tc>
          <w:tcPr>
            <w:tcW w:w="1364" w:type="pct"/>
            <w:shd w:val="clear" w:color="auto" w:fill="DAEEF3" w:themeFill="accent5" w:themeFillTint="33"/>
            <w:vAlign w:val="center"/>
          </w:tcPr>
          <w:p w:rsidR="009A0AB2" w:rsidRPr="005F120D" w:rsidRDefault="009A0AB2" w:rsidP="00A03624">
            <w:pPr>
              <w:spacing w:after="0"/>
              <w:rPr>
                <w:rFonts w:asciiTheme="minorHAnsi" w:hAnsiTheme="minorHAnsi" w:cstheme="minorHAnsi"/>
                <w:b/>
                <w:sz w:val="18"/>
                <w:szCs w:val="18"/>
              </w:rPr>
            </w:pPr>
            <w:r w:rsidRPr="005F120D">
              <w:rPr>
                <w:rFonts w:asciiTheme="minorHAnsi" w:hAnsiTheme="minorHAnsi" w:cstheme="minorHAnsi"/>
                <w:b/>
                <w:sz w:val="18"/>
                <w:szCs w:val="18"/>
              </w:rPr>
              <w:t>Sub Total of 1</w:t>
            </w:r>
            <w:r w:rsidRPr="005F120D">
              <w:rPr>
                <w:rFonts w:asciiTheme="minorHAnsi" w:hAnsiTheme="minorHAnsi" w:cstheme="minorHAnsi"/>
                <w:b/>
                <w:sz w:val="18"/>
                <w:szCs w:val="18"/>
                <w:vertAlign w:val="superscript"/>
              </w:rPr>
              <w:t>st</w:t>
            </w:r>
            <w:r w:rsidRPr="005F120D">
              <w:rPr>
                <w:rFonts w:asciiTheme="minorHAnsi" w:hAnsiTheme="minorHAnsi" w:cstheme="minorHAnsi"/>
                <w:b/>
                <w:sz w:val="18"/>
                <w:szCs w:val="18"/>
              </w:rPr>
              <w:t xml:space="preserve"> class</w:t>
            </w:r>
          </w:p>
        </w:tc>
        <w:tc>
          <w:tcPr>
            <w:tcW w:w="594" w:type="pct"/>
            <w:shd w:val="clear" w:color="auto" w:fill="DAEEF3" w:themeFill="accent5" w:themeFillTint="33"/>
            <w:vAlign w:val="center"/>
          </w:tcPr>
          <w:p w:rsidR="009A0AB2" w:rsidRPr="005F120D" w:rsidRDefault="009A0AB2" w:rsidP="00A03624">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1,337</w:t>
            </w:r>
          </w:p>
        </w:tc>
        <w:tc>
          <w:tcPr>
            <w:tcW w:w="574" w:type="pct"/>
            <w:shd w:val="clear" w:color="auto" w:fill="DAEEF3" w:themeFill="accent5" w:themeFillTint="33"/>
            <w:vAlign w:val="center"/>
          </w:tcPr>
          <w:p w:rsidR="009A0AB2" w:rsidRPr="005F120D" w:rsidRDefault="00951232" w:rsidP="00A03624">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1,04</w:t>
            </w:r>
            <w:r w:rsidR="00237244" w:rsidRPr="005F120D">
              <w:rPr>
                <w:rFonts w:asciiTheme="minorHAnsi" w:hAnsiTheme="minorHAnsi" w:cstheme="minorHAnsi"/>
                <w:b/>
                <w:sz w:val="18"/>
                <w:szCs w:val="18"/>
              </w:rPr>
              <w:t>8</w:t>
            </w:r>
          </w:p>
        </w:tc>
        <w:tc>
          <w:tcPr>
            <w:tcW w:w="513" w:type="pct"/>
            <w:shd w:val="clear" w:color="auto" w:fill="DAEEF3" w:themeFill="accent5" w:themeFillTint="33"/>
            <w:vAlign w:val="center"/>
          </w:tcPr>
          <w:p w:rsidR="009A0AB2" w:rsidRPr="005F120D" w:rsidRDefault="00BC277A" w:rsidP="00A03624">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2,</w:t>
            </w:r>
            <w:r w:rsidR="00237244" w:rsidRPr="005F120D">
              <w:rPr>
                <w:rFonts w:asciiTheme="minorHAnsi" w:hAnsiTheme="minorHAnsi" w:cstheme="minorHAnsi"/>
                <w:b/>
                <w:sz w:val="18"/>
                <w:szCs w:val="18"/>
              </w:rPr>
              <w:t>410</w:t>
            </w:r>
          </w:p>
        </w:tc>
        <w:tc>
          <w:tcPr>
            <w:tcW w:w="432" w:type="pct"/>
            <w:shd w:val="clear" w:color="auto" w:fill="DAEEF3" w:themeFill="accent5" w:themeFillTint="33"/>
            <w:vAlign w:val="center"/>
          </w:tcPr>
          <w:p w:rsidR="009A0AB2" w:rsidRPr="005F120D" w:rsidRDefault="00BC277A"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r w:rsidR="00237244" w:rsidRPr="005F120D">
              <w:rPr>
                <w:rFonts w:asciiTheme="minorHAnsi" w:hAnsiTheme="minorHAnsi" w:cstheme="minorHAnsi"/>
                <w:sz w:val="18"/>
                <w:szCs w:val="18"/>
              </w:rPr>
              <w:t>,713</w:t>
            </w:r>
          </w:p>
        </w:tc>
        <w:tc>
          <w:tcPr>
            <w:tcW w:w="446" w:type="pct"/>
            <w:shd w:val="clear" w:color="auto" w:fill="DAEEF3" w:themeFill="accent5" w:themeFillTint="33"/>
            <w:vAlign w:val="center"/>
          </w:tcPr>
          <w:p w:rsidR="009A0AB2" w:rsidRPr="005F120D" w:rsidRDefault="00237244"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6</w:t>
            </w:r>
            <w:r w:rsidR="00A23CD4" w:rsidRPr="005F120D">
              <w:rPr>
                <w:rFonts w:asciiTheme="minorHAnsi" w:hAnsiTheme="minorHAnsi" w:cstheme="minorHAnsi"/>
                <w:color w:val="3333FF"/>
                <w:sz w:val="18"/>
                <w:szCs w:val="18"/>
              </w:rPr>
              <w:t>8</w:t>
            </w:r>
            <w:r w:rsidRPr="005F120D">
              <w:rPr>
                <w:rFonts w:asciiTheme="minorHAnsi" w:hAnsiTheme="minorHAnsi" w:cstheme="minorHAnsi"/>
                <w:color w:val="3333FF"/>
                <w:sz w:val="18"/>
                <w:szCs w:val="18"/>
              </w:rPr>
              <w:t>7</w:t>
            </w:r>
          </w:p>
        </w:tc>
        <w:tc>
          <w:tcPr>
            <w:tcW w:w="354" w:type="pct"/>
            <w:shd w:val="clear" w:color="auto" w:fill="DAEEF3" w:themeFill="accent5" w:themeFillTint="33"/>
            <w:vAlign w:val="center"/>
          </w:tcPr>
          <w:p w:rsidR="009A0AB2" w:rsidRPr="005F120D" w:rsidRDefault="00BC277A"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w:t>
            </w:r>
            <w:r w:rsidR="00A23CD4" w:rsidRPr="005F120D">
              <w:rPr>
                <w:rFonts w:asciiTheme="minorHAnsi" w:hAnsiTheme="minorHAnsi" w:cstheme="minorHAnsi"/>
                <w:color w:val="3333FF"/>
                <w:sz w:val="18"/>
                <w:szCs w:val="18"/>
              </w:rPr>
              <w:t>8</w:t>
            </w:r>
            <w:r w:rsidRPr="005F120D">
              <w:rPr>
                <w:rFonts w:asciiTheme="minorHAnsi" w:hAnsiTheme="minorHAnsi" w:cstheme="minorHAnsi"/>
                <w:color w:val="3333FF"/>
                <w:sz w:val="18"/>
                <w:szCs w:val="18"/>
              </w:rPr>
              <w:t>.</w:t>
            </w:r>
            <w:r w:rsidR="00A23CD4" w:rsidRPr="005F120D">
              <w:rPr>
                <w:rFonts w:asciiTheme="minorHAnsi" w:hAnsiTheme="minorHAnsi" w:cstheme="minorHAnsi"/>
                <w:color w:val="3333FF"/>
                <w:sz w:val="18"/>
                <w:szCs w:val="18"/>
              </w:rPr>
              <w:t>5</w:t>
            </w:r>
            <w:r w:rsidRPr="005F120D">
              <w:rPr>
                <w:rFonts w:asciiTheme="minorHAnsi" w:hAnsiTheme="minorHAnsi" w:cstheme="minorHAnsi"/>
                <w:color w:val="3333FF"/>
                <w:sz w:val="18"/>
                <w:szCs w:val="18"/>
              </w:rPr>
              <w:t>%</w:t>
            </w:r>
          </w:p>
        </w:tc>
        <w:tc>
          <w:tcPr>
            <w:tcW w:w="510" w:type="pct"/>
            <w:shd w:val="clear" w:color="auto" w:fill="DAEEF3" w:themeFill="accent5" w:themeFillTint="33"/>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9A0AB2" w:rsidRPr="005F120D" w:rsidRDefault="007C5F46"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Administrative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32" w:type="pct"/>
            <w:vAlign w:val="center"/>
          </w:tcPr>
          <w:p w:rsidR="009A0AB2" w:rsidRPr="005F120D" w:rsidRDefault="000024A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46" w:type="pct"/>
            <w:vAlign w:val="center"/>
          </w:tcPr>
          <w:p w:rsidR="009A0AB2" w:rsidRPr="005F120D" w:rsidRDefault="000024A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w:t>
            </w:r>
          </w:p>
        </w:tc>
        <w:tc>
          <w:tcPr>
            <w:tcW w:w="354" w:type="pct"/>
            <w:vAlign w:val="center"/>
          </w:tcPr>
          <w:p w:rsidR="009A0AB2" w:rsidRPr="005F120D" w:rsidRDefault="000024A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50%</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9A0AB2" w:rsidRPr="005F120D" w:rsidRDefault="007C5F46"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Asst. Instructor URC</w:t>
            </w:r>
          </w:p>
        </w:tc>
        <w:tc>
          <w:tcPr>
            <w:tcW w:w="594" w:type="pct"/>
            <w:vAlign w:val="center"/>
          </w:tcPr>
          <w:p w:rsidR="009A0AB2" w:rsidRPr="005F120D" w:rsidRDefault="000024A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w:t>
            </w:r>
          </w:p>
        </w:tc>
        <w:tc>
          <w:tcPr>
            <w:tcW w:w="574" w:type="pct"/>
            <w:vAlign w:val="center"/>
          </w:tcPr>
          <w:p w:rsidR="009A0AB2" w:rsidRPr="005F120D" w:rsidRDefault="000024A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481</w:t>
            </w:r>
          </w:p>
        </w:tc>
        <w:tc>
          <w:tcPr>
            <w:tcW w:w="513" w:type="pct"/>
            <w:vAlign w:val="center"/>
          </w:tcPr>
          <w:p w:rsidR="009A0AB2" w:rsidRPr="005F120D" w:rsidRDefault="000024A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481</w:t>
            </w:r>
            <w:r w:rsidR="007C5F46" w:rsidRPr="005F120D">
              <w:rPr>
                <w:rFonts w:asciiTheme="minorHAnsi" w:hAnsiTheme="minorHAnsi" w:cstheme="minorHAnsi"/>
                <w:sz w:val="18"/>
                <w:szCs w:val="18"/>
              </w:rPr>
              <w:t>+24</w:t>
            </w:r>
          </w:p>
        </w:tc>
        <w:tc>
          <w:tcPr>
            <w:tcW w:w="432" w:type="pct"/>
            <w:vAlign w:val="center"/>
          </w:tcPr>
          <w:p w:rsidR="009A0AB2" w:rsidRPr="005F120D" w:rsidRDefault="000024A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219</w:t>
            </w:r>
            <w:r w:rsidR="007C5F46" w:rsidRPr="005F120D">
              <w:rPr>
                <w:rFonts w:asciiTheme="minorHAnsi" w:hAnsiTheme="minorHAnsi" w:cstheme="minorHAnsi"/>
                <w:sz w:val="18"/>
                <w:szCs w:val="18"/>
              </w:rPr>
              <w:t>+22</w:t>
            </w:r>
          </w:p>
        </w:tc>
        <w:tc>
          <w:tcPr>
            <w:tcW w:w="446" w:type="pct"/>
            <w:vAlign w:val="center"/>
          </w:tcPr>
          <w:p w:rsidR="009A0AB2" w:rsidRPr="005F120D" w:rsidRDefault="000024A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262</w:t>
            </w:r>
            <w:r w:rsidR="007C5F46" w:rsidRPr="005F120D">
              <w:rPr>
                <w:rFonts w:asciiTheme="minorHAnsi" w:hAnsiTheme="minorHAnsi" w:cstheme="minorHAnsi"/>
                <w:color w:val="3333FF"/>
                <w:sz w:val="18"/>
                <w:szCs w:val="18"/>
              </w:rPr>
              <w:t>+2</w:t>
            </w:r>
          </w:p>
        </w:tc>
        <w:tc>
          <w:tcPr>
            <w:tcW w:w="354" w:type="pct"/>
            <w:vAlign w:val="center"/>
          </w:tcPr>
          <w:p w:rsidR="009A0AB2" w:rsidRPr="005F120D" w:rsidRDefault="000024A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54.5%</w:t>
            </w:r>
          </w:p>
        </w:tc>
        <w:tc>
          <w:tcPr>
            <w:tcW w:w="510" w:type="pct"/>
            <w:vAlign w:val="center"/>
          </w:tcPr>
          <w:p w:rsidR="009A0AB2" w:rsidRPr="005F120D" w:rsidRDefault="007C5F46"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 PEDP3</w:t>
            </w:r>
          </w:p>
        </w:tc>
      </w:tr>
      <w:tr w:rsidR="002A36F0" w:rsidRPr="005F120D" w:rsidTr="00997048">
        <w:trPr>
          <w:trHeight w:hRule="exact" w:val="254"/>
        </w:trPr>
        <w:tc>
          <w:tcPr>
            <w:tcW w:w="213" w:type="pct"/>
            <w:vAlign w:val="center"/>
          </w:tcPr>
          <w:p w:rsidR="009A0AB2" w:rsidRPr="005F120D" w:rsidRDefault="007C5F46"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ATEO</w:t>
            </w:r>
            <w:r w:rsidR="00F42DF2" w:rsidRPr="005F120D">
              <w:rPr>
                <w:rFonts w:asciiTheme="minorHAnsi" w:hAnsiTheme="minorHAnsi" w:cstheme="minorHAnsi"/>
                <w:sz w:val="18"/>
                <w:szCs w:val="18"/>
              </w:rPr>
              <w:t>/AUEO</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1,834</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753</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2,587</w:t>
            </w:r>
          </w:p>
        </w:tc>
        <w:tc>
          <w:tcPr>
            <w:tcW w:w="432" w:type="pct"/>
            <w:vAlign w:val="center"/>
          </w:tcPr>
          <w:p w:rsidR="009A0AB2" w:rsidRPr="005F120D" w:rsidRDefault="00545A58"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2,097</w:t>
            </w:r>
          </w:p>
        </w:tc>
        <w:tc>
          <w:tcPr>
            <w:tcW w:w="446" w:type="pct"/>
            <w:vAlign w:val="center"/>
          </w:tcPr>
          <w:p w:rsidR="009A0AB2" w:rsidRPr="005F120D" w:rsidRDefault="009A0AB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490</w:t>
            </w:r>
          </w:p>
        </w:tc>
        <w:tc>
          <w:tcPr>
            <w:tcW w:w="354" w:type="pct"/>
            <w:vAlign w:val="center"/>
          </w:tcPr>
          <w:p w:rsidR="009A0AB2" w:rsidRPr="005F120D" w:rsidRDefault="0065516F"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19%</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9A0AB2" w:rsidRPr="005F120D" w:rsidRDefault="007C5F46"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Asst. Education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12</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12</w:t>
            </w:r>
          </w:p>
        </w:tc>
        <w:tc>
          <w:tcPr>
            <w:tcW w:w="432" w:type="pct"/>
            <w:vAlign w:val="center"/>
          </w:tcPr>
          <w:p w:rsidR="009A0AB2" w:rsidRPr="005F120D" w:rsidRDefault="00545A58"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12</w:t>
            </w:r>
          </w:p>
        </w:tc>
        <w:tc>
          <w:tcPr>
            <w:tcW w:w="446" w:type="pct"/>
            <w:vAlign w:val="center"/>
          </w:tcPr>
          <w:p w:rsidR="009A0AB2" w:rsidRPr="005F120D" w:rsidRDefault="00545A58"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vAlign w:val="center"/>
          </w:tcPr>
          <w:p w:rsidR="009A0AB2" w:rsidRPr="005F120D" w:rsidRDefault="00545A58"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9A0AB2" w:rsidRPr="005F120D" w:rsidRDefault="007C5F46"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Asst. Monitoring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64</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64</w:t>
            </w:r>
          </w:p>
        </w:tc>
        <w:tc>
          <w:tcPr>
            <w:tcW w:w="432" w:type="pct"/>
            <w:vAlign w:val="center"/>
          </w:tcPr>
          <w:p w:rsidR="009A0AB2" w:rsidRPr="005F120D" w:rsidRDefault="0065516F"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26</w:t>
            </w:r>
          </w:p>
        </w:tc>
        <w:tc>
          <w:tcPr>
            <w:tcW w:w="446" w:type="pct"/>
            <w:vAlign w:val="center"/>
          </w:tcPr>
          <w:p w:rsidR="009A0AB2" w:rsidRPr="005F120D" w:rsidRDefault="0065516F"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38</w:t>
            </w:r>
          </w:p>
        </w:tc>
        <w:tc>
          <w:tcPr>
            <w:tcW w:w="354" w:type="pct"/>
            <w:vAlign w:val="center"/>
          </w:tcPr>
          <w:p w:rsidR="009A0AB2" w:rsidRPr="005F120D" w:rsidRDefault="006D02D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59.4</w:t>
            </w:r>
            <w:r w:rsidR="0065516F" w:rsidRPr="005F120D">
              <w:rPr>
                <w:rFonts w:asciiTheme="minorHAnsi" w:hAnsiTheme="minorHAnsi" w:cstheme="minorHAnsi"/>
                <w:color w:val="3333FF"/>
                <w:sz w:val="18"/>
                <w:szCs w:val="18"/>
              </w:rPr>
              <w:t>%</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9A0AB2" w:rsidRPr="005F120D" w:rsidRDefault="007C5F46"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Asst. Research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432" w:type="pct"/>
            <w:vAlign w:val="center"/>
          </w:tcPr>
          <w:p w:rsidR="009A0AB2" w:rsidRPr="005F120D" w:rsidRDefault="00B3406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446" w:type="pct"/>
            <w:vAlign w:val="center"/>
          </w:tcPr>
          <w:p w:rsidR="009A0AB2" w:rsidRPr="005F120D" w:rsidRDefault="00B3406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vAlign w:val="center"/>
          </w:tcPr>
          <w:p w:rsidR="009A0AB2" w:rsidRPr="005F120D" w:rsidRDefault="00B3406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9A0AB2" w:rsidRPr="005F120D" w:rsidRDefault="00972F88"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7</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Account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32" w:type="pct"/>
            <w:vAlign w:val="center"/>
          </w:tcPr>
          <w:p w:rsidR="009A0AB2" w:rsidRPr="005F120D" w:rsidRDefault="00B3406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46" w:type="pct"/>
            <w:vAlign w:val="center"/>
          </w:tcPr>
          <w:p w:rsidR="009A0AB2" w:rsidRPr="005F120D" w:rsidRDefault="00B3406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w:t>
            </w:r>
          </w:p>
        </w:tc>
        <w:tc>
          <w:tcPr>
            <w:tcW w:w="354" w:type="pct"/>
            <w:vAlign w:val="center"/>
          </w:tcPr>
          <w:p w:rsidR="009A0AB2" w:rsidRPr="005F120D" w:rsidRDefault="00B3406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50%</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9A0AB2" w:rsidRPr="005F120D" w:rsidRDefault="00972F88"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8</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Asst. Account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432" w:type="pct"/>
            <w:vAlign w:val="center"/>
          </w:tcPr>
          <w:p w:rsidR="009A0AB2" w:rsidRPr="005F120D" w:rsidRDefault="00B3406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8</w:t>
            </w:r>
          </w:p>
        </w:tc>
        <w:tc>
          <w:tcPr>
            <w:tcW w:w="446" w:type="pct"/>
            <w:vAlign w:val="center"/>
          </w:tcPr>
          <w:p w:rsidR="009A0AB2" w:rsidRPr="005F120D" w:rsidRDefault="00B3406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w:t>
            </w:r>
          </w:p>
        </w:tc>
        <w:tc>
          <w:tcPr>
            <w:tcW w:w="354" w:type="pct"/>
            <w:vAlign w:val="center"/>
          </w:tcPr>
          <w:p w:rsidR="009A0AB2" w:rsidRPr="005F120D" w:rsidRDefault="00B3406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11.1%</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9A0AB2" w:rsidRPr="005F120D" w:rsidRDefault="00972F88"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1364" w:type="pct"/>
            <w:vAlign w:val="center"/>
          </w:tcPr>
          <w:p w:rsidR="009A0AB2" w:rsidRPr="005F120D" w:rsidRDefault="009A0AB2" w:rsidP="00A03624">
            <w:pPr>
              <w:spacing w:after="0"/>
              <w:rPr>
                <w:rFonts w:asciiTheme="minorHAnsi" w:hAnsiTheme="minorHAnsi" w:cstheme="minorHAnsi"/>
                <w:sz w:val="18"/>
                <w:szCs w:val="18"/>
              </w:rPr>
            </w:pPr>
            <w:r w:rsidRPr="005F120D">
              <w:rPr>
                <w:rFonts w:asciiTheme="minorHAnsi" w:hAnsiTheme="minorHAnsi" w:cstheme="minorHAnsi"/>
                <w:sz w:val="18"/>
                <w:szCs w:val="18"/>
              </w:rPr>
              <w:t>Documentation Officer</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32" w:type="pct"/>
            <w:vAlign w:val="center"/>
          </w:tcPr>
          <w:p w:rsidR="009A0AB2" w:rsidRPr="005F120D" w:rsidRDefault="00972F88"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446" w:type="pct"/>
            <w:vAlign w:val="center"/>
          </w:tcPr>
          <w:p w:rsidR="009A0AB2" w:rsidRPr="005F120D" w:rsidRDefault="00972F88"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w:t>
            </w:r>
          </w:p>
        </w:tc>
        <w:tc>
          <w:tcPr>
            <w:tcW w:w="354" w:type="pct"/>
            <w:vAlign w:val="center"/>
          </w:tcPr>
          <w:p w:rsidR="009A0AB2" w:rsidRPr="005F120D" w:rsidRDefault="00972F88"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100%</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464FE4">
        <w:trPr>
          <w:trHeight w:hRule="exact" w:val="312"/>
        </w:trPr>
        <w:tc>
          <w:tcPr>
            <w:tcW w:w="213" w:type="pct"/>
            <w:vAlign w:val="center"/>
          </w:tcPr>
          <w:p w:rsidR="009A0AB2" w:rsidRPr="005F120D" w:rsidRDefault="00972F88"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10</w:t>
            </w:r>
          </w:p>
        </w:tc>
        <w:tc>
          <w:tcPr>
            <w:tcW w:w="1364" w:type="pct"/>
            <w:vAlign w:val="center"/>
          </w:tcPr>
          <w:p w:rsidR="009A0AB2" w:rsidRPr="005F120D" w:rsidRDefault="00464FE4" w:rsidP="00A03624">
            <w:pPr>
              <w:spacing w:after="0"/>
              <w:rPr>
                <w:rFonts w:asciiTheme="minorHAnsi" w:hAnsiTheme="minorHAnsi" w:cstheme="minorHAnsi"/>
                <w:sz w:val="18"/>
                <w:szCs w:val="18"/>
              </w:rPr>
            </w:pPr>
            <w:r w:rsidRPr="005F120D">
              <w:rPr>
                <w:rFonts w:asciiTheme="minorHAnsi" w:hAnsiTheme="minorHAnsi" w:cstheme="minorHAnsi"/>
                <w:sz w:val="18"/>
                <w:szCs w:val="18"/>
              </w:rPr>
              <w:t>Head teachers</w:t>
            </w:r>
          </w:p>
        </w:tc>
        <w:tc>
          <w:tcPr>
            <w:tcW w:w="59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36,666</w:t>
            </w:r>
          </w:p>
        </w:tc>
        <w:tc>
          <w:tcPr>
            <w:tcW w:w="574"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24,579</w:t>
            </w:r>
          </w:p>
        </w:tc>
        <w:tc>
          <w:tcPr>
            <w:tcW w:w="513" w:type="pct"/>
            <w:vAlign w:val="center"/>
          </w:tcPr>
          <w:p w:rsidR="009A0AB2" w:rsidRPr="005F120D" w:rsidRDefault="009A0AB2"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61,245</w:t>
            </w:r>
          </w:p>
        </w:tc>
        <w:tc>
          <w:tcPr>
            <w:tcW w:w="432" w:type="pct"/>
            <w:vAlign w:val="center"/>
          </w:tcPr>
          <w:p w:rsidR="009A0AB2" w:rsidRPr="005F120D" w:rsidRDefault="00B0586F"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44,872</w:t>
            </w:r>
          </w:p>
        </w:tc>
        <w:tc>
          <w:tcPr>
            <w:tcW w:w="446" w:type="pct"/>
            <w:vAlign w:val="center"/>
          </w:tcPr>
          <w:p w:rsidR="009A0AB2" w:rsidRPr="005F120D" w:rsidRDefault="009A0AB2"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16,373</w:t>
            </w:r>
          </w:p>
        </w:tc>
        <w:tc>
          <w:tcPr>
            <w:tcW w:w="354" w:type="pct"/>
            <w:vAlign w:val="center"/>
          </w:tcPr>
          <w:p w:rsidR="009A0AB2" w:rsidRPr="005F120D" w:rsidRDefault="0065516F"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26.7%</w:t>
            </w:r>
          </w:p>
        </w:tc>
        <w:tc>
          <w:tcPr>
            <w:tcW w:w="510" w:type="pct"/>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334"/>
        </w:trPr>
        <w:tc>
          <w:tcPr>
            <w:tcW w:w="213" w:type="pct"/>
            <w:shd w:val="clear" w:color="auto" w:fill="DAEEF3" w:themeFill="accent5" w:themeFillTint="33"/>
            <w:vAlign w:val="center"/>
          </w:tcPr>
          <w:p w:rsidR="009A0AB2" w:rsidRPr="005F120D" w:rsidRDefault="009A0AB2" w:rsidP="00A03624">
            <w:pPr>
              <w:spacing w:after="0"/>
              <w:jc w:val="center"/>
              <w:rPr>
                <w:rFonts w:asciiTheme="minorHAnsi" w:hAnsiTheme="minorHAnsi" w:cstheme="minorHAnsi"/>
                <w:sz w:val="18"/>
                <w:szCs w:val="18"/>
              </w:rPr>
            </w:pPr>
          </w:p>
        </w:tc>
        <w:tc>
          <w:tcPr>
            <w:tcW w:w="1364" w:type="pct"/>
            <w:shd w:val="clear" w:color="auto" w:fill="DAEEF3" w:themeFill="accent5" w:themeFillTint="33"/>
            <w:vAlign w:val="center"/>
          </w:tcPr>
          <w:p w:rsidR="009A0AB2" w:rsidRPr="005F120D" w:rsidRDefault="009A0AB2" w:rsidP="00A03624">
            <w:pPr>
              <w:spacing w:after="0"/>
              <w:rPr>
                <w:rFonts w:asciiTheme="minorHAnsi" w:hAnsiTheme="minorHAnsi" w:cstheme="minorHAnsi"/>
                <w:b/>
                <w:sz w:val="18"/>
                <w:szCs w:val="18"/>
              </w:rPr>
            </w:pPr>
            <w:r w:rsidRPr="005F120D">
              <w:rPr>
                <w:rFonts w:asciiTheme="minorHAnsi" w:hAnsiTheme="minorHAnsi" w:cstheme="minorHAnsi"/>
                <w:b/>
                <w:sz w:val="18"/>
                <w:szCs w:val="18"/>
              </w:rPr>
              <w:t>Sub Total of 2</w:t>
            </w:r>
            <w:r w:rsidRPr="005F120D">
              <w:rPr>
                <w:rFonts w:asciiTheme="minorHAnsi" w:hAnsiTheme="minorHAnsi" w:cstheme="minorHAnsi"/>
                <w:b/>
                <w:sz w:val="18"/>
                <w:szCs w:val="18"/>
                <w:vertAlign w:val="superscript"/>
              </w:rPr>
              <w:t>nd</w:t>
            </w:r>
            <w:r w:rsidRPr="005F120D">
              <w:rPr>
                <w:rFonts w:asciiTheme="minorHAnsi" w:hAnsiTheme="minorHAnsi" w:cstheme="minorHAnsi"/>
                <w:b/>
                <w:sz w:val="18"/>
                <w:szCs w:val="18"/>
              </w:rPr>
              <w:t xml:space="preserve"> Class</w:t>
            </w:r>
          </w:p>
        </w:tc>
        <w:tc>
          <w:tcPr>
            <w:tcW w:w="594" w:type="pct"/>
            <w:shd w:val="clear" w:color="auto" w:fill="DAEEF3" w:themeFill="accent5" w:themeFillTint="33"/>
            <w:vAlign w:val="center"/>
          </w:tcPr>
          <w:p w:rsidR="009A0AB2" w:rsidRPr="005F120D" w:rsidRDefault="009A0AB2" w:rsidP="00A03624">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38,502</w:t>
            </w:r>
          </w:p>
        </w:tc>
        <w:tc>
          <w:tcPr>
            <w:tcW w:w="574" w:type="pct"/>
            <w:shd w:val="clear" w:color="auto" w:fill="DAEEF3" w:themeFill="accent5" w:themeFillTint="33"/>
            <w:vAlign w:val="center"/>
          </w:tcPr>
          <w:p w:rsidR="009A0AB2" w:rsidRPr="005F120D" w:rsidRDefault="009A0AB2" w:rsidP="00A03624">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25,</w:t>
            </w:r>
            <w:r w:rsidR="00972F88" w:rsidRPr="005F120D">
              <w:rPr>
                <w:rFonts w:asciiTheme="minorHAnsi" w:hAnsiTheme="minorHAnsi" w:cstheme="minorHAnsi"/>
                <w:b/>
                <w:sz w:val="18"/>
                <w:szCs w:val="18"/>
              </w:rPr>
              <w:t>905</w:t>
            </w:r>
          </w:p>
        </w:tc>
        <w:tc>
          <w:tcPr>
            <w:tcW w:w="513" w:type="pct"/>
            <w:shd w:val="clear" w:color="auto" w:fill="DAEEF3" w:themeFill="accent5" w:themeFillTint="33"/>
            <w:vAlign w:val="center"/>
          </w:tcPr>
          <w:p w:rsidR="009A0AB2" w:rsidRPr="005F120D" w:rsidRDefault="00972F88" w:rsidP="00A03624">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64</w:t>
            </w:r>
            <w:r w:rsidR="009A0AB2" w:rsidRPr="005F120D">
              <w:rPr>
                <w:rFonts w:asciiTheme="minorHAnsi" w:hAnsiTheme="minorHAnsi" w:cstheme="minorHAnsi"/>
                <w:b/>
                <w:sz w:val="18"/>
                <w:szCs w:val="18"/>
              </w:rPr>
              <w:t>,</w:t>
            </w:r>
            <w:r w:rsidRPr="005F120D">
              <w:rPr>
                <w:rFonts w:asciiTheme="minorHAnsi" w:hAnsiTheme="minorHAnsi" w:cstheme="minorHAnsi"/>
                <w:b/>
                <w:sz w:val="18"/>
                <w:szCs w:val="18"/>
              </w:rPr>
              <w:t>431</w:t>
            </w:r>
          </w:p>
        </w:tc>
        <w:tc>
          <w:tcPr>
            <w:tcW w:w="432" w:type="pct"/>
            <w:shd w:val="clear" w:color="auto" w:fill="DAEEF3" w:themeFill="accent5" w:themeFillTint="33"/>
            <w:vAlign w:val="center"/>
          </w:tcPr>
          <w:p w:rsidR="009A0AB2" w:rsidRPr="005F120D" w:rsidRDefault="00B0586F" w:rsidP="00A03624">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47,2</w:t>
            </w:r>
            <w:r w:rsidR="006D02D0" w:rsidRPr="005F120D">
              <w:rPr>
                <w:rFonts w:asciiTheme="minorHAnsi" w:hAnsiTheme="minorHAnsi" w:cstheme="minorHAnsi"/>
                <w:b/>
                <w:sz w:val="18"/>
                <w:szCs w:val="18"/>
              </w:rPr>
              <w:t>6</w:t>
            </w:r>
            <w:r w:rsidRPr="005F120D">
              <w:rPr>
                <w:rFonts w:asciiTheme="minorHAnsi" w:hAnsiTheme="minorHAnsi" w:cstheme="minorHAnsi"/>
                <w:b/>
                <w:sz w:val="18"/>
                <w:szCs w:val="18"/>
              </w:rPr>
              <w:t>2</w:t>
            </w:r>
          </w:p>
        </w:tc>
        <w:tc>
          <w:tcPr>
            <w:tcW w:w="446" w:type="pct"/>
            <w:shd w:val="clear" w:color="auto" w:fill="DAEEF3" w:themeFill="accent5" w:themeFillTint="33"/>
            <w:vAlign w:val="center"/>
          </w:tcPr>
          <w:p w:rsidR="009A0AB2" w:rsidRPr="005F120D" w:rsidRDefault="006D02D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17,169</w:t>
            </w:r>
          </w:p>
        </w:tc>
        <w:tc>
          <w:tcPr>
            <w:tcW w:w="354" w:type="pct"/>
            <w:shd w:val="clear" w:color="auto" w:fill="DAEEF3" w:themeFill="accent5" w:themeFillTint="33"/>
            <w:vAlign w:val="center"/>
          </w:tcPr>
          <w:p w:rsidR="009A0AB2" w:rsidRPr="005F120D" w:rsidRDefault="006D02D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26.6%</w:t>
            </w:r>
          </w:p>
        </w:tc>
        <w:tc>
          <w:tcPr>
            <w:tcW w:w="510" w:type="pct"/>
            <w:shd w:val="clear" w:color="auto" w:fill="DAEEF3" w:themeFill="accent5" w:themeFillTint="33"/>
            <w:vAlign w:val="center"/>
          </w:tcPr>
          <w:p w:rsidR="009A0AB2" w:rsidRPr="005F120D" w:rsidRDefault="009A0AB2" w:rsidP="00A03624">
            <w:pPr>
              <w:spacing w:after="0"/>
              <w:jc w:val="center"/>
              <w:rPr>
                <w:rFonts w:asciiTheme="minorHAnsi" w:hAnsiTheme="minorHAnsi" w:cstheme="minorHAnsi"/>
                <w:sz w:val="18"/>
                <w:szCs w:val="18"/>
              </w:rPr>
            </w:pPr>
          </w:p>
        </w:tc>
      </w:tr>
      <w:tr w:rsidR="002A36F0" w:rsidRPr="005F120D" w:rsidTr="00997048">
        <w:trPr>
          <w:trHeight w:hRule="exact" w:val="30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Expt. School Teacher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245</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63</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308</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20</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288</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93.5%</w:t>
            </w:r>
          </w:p>
        </w:tc>
        <w:tc>
          <w:tcPr>
            <w:tcW w:w="510" w:type="pct"/>
            <w:vAlign w:val="center"/>
          </w:tcPr>
          <w:p w:rsidR="002A36F0" w:rsidRPr="005F120D" w:rsidRDefault="002A36F0" w:rsidP="00A03624">
            <w:pPr>
              <w:spacing w:after="0"/>
              <w:jc w:val="center"/>
              <w:rPr>
                <w:rFonts w:asciiTheme="minorHAnsi" w:hAnsiTheme="minorHAnsi" w:cstheme="minorHAnsi"/>
                <w:sz w:val="14"/>
                <w:szCs w:val="14"/>
              </w:rPr>
            </w:pPr>
            <w:r w:rsidRPr="005F120D">
              <w:rPr>
                <w:rFonts w:asciiTheme="minorHAnsi" w:hAnsiTheme="minorHAnsi" w:cstheme="minorHAnsi"/>
                <w:sz w:val="14"/>
                <w:szCs w:val="14"/>
              </w:rPr>
              <w:t>275 deputed</w:t>
            </w: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Data Entry  Operator URC</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481</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481</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337</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144</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29.9%</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Head Assistant</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7</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2</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7</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77.8%</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PA cum Computer Operator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75.0%</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Computer Operator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80</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80</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71</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9</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11.3%</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Stenographer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15</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21</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19</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9.5%</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7</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UDA</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82</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7</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89</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83</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6</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6.7%</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8</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UDA cum Accountant</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539</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33</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572</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478</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94</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16.4%</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Accountant</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8</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7</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22.2%</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10</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Cashier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69</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72</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47</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25</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34.7%</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11</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Steno Typist</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10</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16</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13</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18.8%</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12</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Data Entry Operator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495</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495</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352</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143</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28.9%</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lastRenderedPageBreak/>
              <w:t>13</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Office Assistant cum Typist</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1,202</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35</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1,237</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889</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348</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28.1%</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14</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Storekeeper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17</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18</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14</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4</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22.2%</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15</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Account Assistant</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491</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493</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339</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154</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31.2%</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16</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Asst. Liberian cum cataloger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49</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54</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41</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13</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24.1%</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17</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Driver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72</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14</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86</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67</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19</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22.1%</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18</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Record keeper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7</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7</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100%</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19</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Cash Sarkar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2</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33.3%</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20</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Duplicating M Operator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26</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25</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3.8%</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21</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Office Facilitator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1,465</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92</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1,557</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643</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914</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58.7%</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22</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Despise Raider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100%</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23</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Night Guard</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504</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507</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427</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80</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15.8%</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24</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Swapper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50</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7</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57</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33</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24</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42.1%</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Gardener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49</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54</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16</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38</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70.4%</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26</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Electrician</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27</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Liftman</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2</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28</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Plumber</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25</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29</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Assistant Teachers</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120,366</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215,412</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335,778</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303,862</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31,916</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9.5%</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vAlign w:val="center"/>
          </w:tcPr>
          <w:p w:rsidR="002A36F0" w:rsidRPr="005F120D" w:rsidRDefault="00936D9E"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30</w:t>
            </w:r>
          </w:p>
        </w:tc>
        <w:tc>
          <w:tcPr>
            <w:tcW w:w="1364" w:type="pct"/>
            <w:vAlign w:val="center"/>
          </w:tcPr>
          <w:p w:rsidR="002A36F0" w:rsidRPr="005F120D" w:rsidRDefault="002A36F0" w:rsidP="00A03624">
            <w:pPr>
              <w:spacing w:after="0"/>
              <w:rPr>
                <w:rFonts w:asciiTheme="minorHAnsi" w:hAnsiTheme="minorHAnsi" w:cstheme="minorHAnsi"/>
                <w:sz w:val="18"/>
                <w:szCs w:val="18"/>
              </w:rPr>
            </w:pPr>
            <w:r w:rsidRPr="005F120D">
              <w:rPr>
                <w:rFonts w:asciiTheme="minorHAnsi" w:hAnsiTheme="minorHAnsi" w:cstheme="minorHAnsi"/>
                <w:sz w:val="18"/>
                <w:szCs w:val="18"/>
              </w:rPr>
              <w:t>Residential Hostel</w:t>
            </w:r>
          </w:p>
        </w:tc>
        <w:tc>
          <w:tcPr>
            <w:tcW w:w="59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574"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18</w:t>
            </w:r>
          </w:p>
        </w:tc>
        <w:tc>
          <w:tcPr>
            <w:tcW w:w="513" w:type="pct"/>
            <w:vAlign w:val="center"/>
          </w:tcPr>
          <w:p w:rsidR="002A36F0" w:rsidRPr="005F120D" w:rsidRDefault="002A36F0" w:rsidP="00A03624">
            <w:pPr>
              <w:spacing w:after="0"/>
              <w:jc w:val="center"/>
              <w:rPr>
                <w:rFonts w:asciiTheme="minorHAnsi" w:hAnsiTheme="minorHAnsi" w:cstheme="minorHAnsi"/>
                <w:sz w:val="18"/>
                <w:szCs w:val="18"/>
              </w:rPr>
            </w:pPr>
            <w:r w:rsidRPr="005F120D">
              <w:rPr>
                <w:rFonts w:asciiTheme="minorHAnsi" w:hAnsiTheme="minorHAnsi" w:cstheme="minorHAnsi"/>
                <w:sz w:val="18"/>
                <w:szCs w:val="18"/>
              </w:rPr>
              <w:t>18</w:t>
            </w:r>
          </w:p>
        </w:tc>
        <w:tc>
          <w:tcPr>
            <w:tcW w:w="432" w:type="pct"/>
          </w:tcPr>
          <w:p w:rsidR="002A36F0" w:rsidRPr="005F120D" w:rsidRDefault="002A36F0" w:rsidP="00A03624">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18</w:t>
            </w:r>
          </w:p>
        </w:tc>
        <w:tc>
          <w:tcPr>
            <w:tcW w:w="446"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0</w:t>
            </w:r>
          </w:p>
        </w:tc>
        <w:tc>
          <w:tcPr>
            <w:tcW w:w="354" w:type="pct"/>
            <w:vAlign w:val="center"/>
          </w:tcPr>
          <w:p w:rsidR="002A36F0" w:rsidRPr="005F120D" w:rsidRDefault="002A36F0" w:rsidP="00A03624">
            <w:pPr>
              <w:spacing w:after="0"/>
              <w:jc w:val="center"/>
              <w:rPr>
                <w:rFonts w:asciiTheme="minorHAnsi" w:hAnsiTheme="minorHAnsi" w:cstheme="minorHAnsi"/>
                <w:color w:val="3333FF"/>
                <w:sz w:val="18"/>
                <w:szCs w:val="18"/>
              </w:rPr>
            </w:pPr>
            <w:r w:rsidRPr="005F120D">
              <w:rPr>
                <w:rFonts w:asciiTheme="minorHAnsi" w:hAnsiTheme="minorHAnsi" w:cstheme="minorHAnsi"/>
                <w:color w:val="3333FF"/>
                <w:sz w:val="18"/>
                <w:szCs w:val="18"/>
              </w:rPr>
              <w:t>-</w:t>
            </w:r>
          </w:p>
        </w:tc>
        <w:tc>
          <w:tcPr>
            <w:tcW w:w="510" w:type="pct"/>
            <w:vAlign w:val="center"/>
          </w:tcPr>
          <w:p w:rsidR="002A36F0" w:rsidRPr="005F120D" w:rsidRDefault="002A36F0" w:rsidP="00A03624">
            <w:pPr>
              <w:spacing w:after="0"/>
              <w:jc w:val="center"/>
              <w:rPr>
                <w:rFonts w:asciiTheme="minorHAnsi" w:hAnsiTheme="minorHAnsi" w:cstheme="minorHAnsi"/>
                <w:sz w:val="18"/>
                <w:szCs w:val="18"/>
              </w:rPr>
            </w:pPr>
          </w:p>
        </w:tc>
      </w:tr>
      <w:tr w:rsidR="002A36F0" w:rsidRPr="005F120D" w:rsidTr="00997048">
        <w:trPr>
          <w:trHeight w:hRule="exact" w:val="254"/>
        </w:trPr>
        <w:tc>
          <w:tcPr>
            <w:tcW w:w="213" w:type="pct"/>
            <w:shd w:val="clear" w:color="auto" w:fill="DAEEF3" w:themeFill="accent5" w:themeFillTint="33"/>
            <w:vAlign w:val="center"/>
          </w:tcPr>
          <w:p w:rsidR="002A36F0" w:rsidRPr="005F120D" w:rsidRDefault="002A36F0" w:rsidP="00A03624">
            <w:pPr>
              <w:spacing w:after="0"/>
              <w:jc w:val="center"/>
              <w:rPr>
                <w:rFonts w:asciiTheme="minorHAnsi" w:hAnsiTheme="minorHAnsi" w:cstheme="minorHAnsi"/>
                <w:sz w:val="18"/>
                <w:szCs w:val="18"/>
              </w:rPr>
            </w:pPr>
          </w:p>
        </w:tc>
        <w:tc>
          <w:tcPr>
            <w:tcW w:w="1364" w:type="pct"/>
            <w:shd w:val="clear" w:color="auto" w:fill="DAEEF3" w:themeFill="accent5" w:themeFillTint="33"/>
            <w:vAlign w:val="center"/>
          </w:tcPr>
          <w:p w:rsidR="002A36F0" w:rsidRPr="005F120D" w:rsidRDefault="002A36F0" w:rsidP="00A03624">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Sub Total of Staff</w:t>
            </w:r>
          </w:p>
        </w:tc>
        <w:tc>
          <w:tcPr>
            <w:tcW w:w="594" w:type="pct"/>
            <w:shd w:val="clear" w:color="auto" w:fill="DAEEF3" w:themeFill="accent5" w:themeFillTint="33"/>
          </w:tcPr>
          <w:p w:rsidR="002A36F0" w:rsidRPr="005F120D" w:rsidRDefault="002A36F0" w:rsidP="00A03624">
            <w:pPr>
              <w:spacing w:after="0"/>
              <w:jc w:val="right"/>
              <w:rPr>
                <w:rFonts w:asciiTheme="minorHAnsi" w:hAnsiTheme="minorHAnsi" w:cstheme="minorHAnsi"/>
                <w:b/>
                <w:sz w:val="18"/>
                <w:szCs w:val="18"/>
              </w:rPr>
            </w:pPr>
            <w:r w:rsidRPr="005F120D">
              <w:rPr>
                <w:rFonts w:asciiTheme="minorHAnsi" w:hAnsiTheme="minorHAnsi" w:cstheme="minorHAnsi"/>
                <w:b/>
                <w:sz w:val="18"/>
                <w:szCs w:val="18"/>
              </w:rPr>
              <w:t>124,227</w:t>
            </w:r>
          </w:p>
        </w:tc>
        <w:tc>
          <w:tcPr>
            <w:tcW w:w="574" w:type="pct"/>
            <w:shd w:val="clear" w:color="auto" w:fill="DAEEF3" w:themeFill="accent5" w:themeFillTint="33"/>
          </w:tcPr>
          <w:p w:rsidR="002A36F0" w:rsidRPr="005F120D" w:rsidRDefault="00B45FAE" w:rsidP="00A03624">
            <w:pPr>
              <w:spacing w:after="0"/>
              <w:jc w:val="right"/>
              <w:rPr>
                <w:rFonts w:asciiTheme="minorHAnsi" w:hAnsiTheme="minorHAnsi" w:cstheme="minorHAnsi"/>
                <w:b/>
                <w:sz w:val="18"/>
                <w:szCs w:val="18"/>
              </w:rPr>
            </w:pPr>
            <w:r w:rsidRPr="005F120D">
              <w:rPr>
                <w:rFonts w:asciiTheme="minorHAnsi" w:hAnsiTheme="minorHAnsi" w:cstheme="minorHAnsi"/>
                <w:b/>
                <w:sz w:val="18"/>
                <w:szCs w:val="18"/>
              </w:rPr>
              <w:t>217,853</w:t>
            </w:r>
          </w:p>
        </w:tc>
        <w:tc>
          <w:tcPr>
            <w:tcW w:w="513" w:type="pct"/>
            <w:shd w:val="clear" w:color="auto" w:fill="DAEEF3" w:themeFill="accent5" w:themeFillTint="33"/>
          </w:tcPr>
          <w:p w:rsidR="002A36F0" w:rsidRPr="005F120D" w:rsidRDefault="00B45FAE" w:rsidP="00A03624">
            <w:pPr>
              <w:spacing w:after="0"/>
              <w:jc w:val="right"/>
              <w:rPr>
                <w:rFonts w:asciiTheme="minorHAnsi" w:hAnsiTheme="minorHAnsi" w:cstheme="minorHAnsi"/>
                <w:b/>
                <w:sz w:val="18"/>
                <w:szCs w:val="18"/>
              </w:rPr>
            </w:pPr>
            <w:r w:rsidRPr="005F120D">
              <w:rPr>
                <w:rFonts w:asciiTheme="minorHAnsi" w:hAnsiTheme="minorHAnsi" w:cstheme="minorHAnsi"/>
                <w:b/>
                <w:sz w:val="18"/>
                <w:szCs w:val="18"/>
              </w:rPr>
              <w:t>342,</w:t>
            </w:r>
            <w:r w:rsidR="002A36F0" w:rsidRPr="005F120D">
              <w:rPr>
                <w:rFonts w:asciiTheme="minorHAnsi" w:hAnsiTheme="minorHAnsi" w:cstheme="minorHAnsi"/>
                <w:b/>
                <w:sz w:val="18"/>
                <w:szCs w:val="18"/>
              </w:rPr>
              <w:t>0</w:t>
            </w:r>
            <w:r w:rsidRPr="005F120D">
              <w:rPr>
                <w:rFonts w:asciiTheme="minorHAnsi" w:hAnsiTheme="minorHAnsi" w:cstheme="minorHAnsi"/>
                <w:b/>
                <w:sz w:val="18"/>
                <w:szCs w:val="18"/>
              </w:rPr>
              <w:t>8</w:t>
            </w:r>
            <w:r w:rsidR="002A36F0" w:rsidRPr="005F120D">
              <w:rPr>
                <w:rFonts w:asciiTheme="minorHAnsi" w:hAnsiTheme="minorHAnsi" w:cstheme="minorHAnsi"/>
                <w:b/>
                <w:sz w:val="18"/>
                <w:szCs w:val="18"/>
              </w:rPr>
              <w:t>0</w:t>
            </w:r>
          </w:p>
        </w:tc>
        <w:tc>
          <w:tcPr>
            <w:tcW w:w="432" w:type="pct"/>
            <w:shd w:val="clear" w:color="auto" w:fill="DAEEF3" w:themeFill="accent5" w:themeFillTint="33"/>
          </w:tcPr>
          <w:p w:rsidR="002A36F0" w:rsidRPr="005F120D" w:rsidRDefault="002A36F0" w:rsidP="00A03624">
            <w:pPr>
              <w:spacing w:after="0"/>
              <w:jc w:val="right"/>
              <w:rPr>
                <w:rFonts w:asciiTheme="minorHAnsi" w:hAnsiTheme="minorHAnsi" w:cstheme="minorHAnsi"/>
                <w:b/>
                <w:sz w:val="18"/>
                <w:szCs w:val="18"/>
              </w:rPr>
            </w:pPr>
            <w:r w:rsidRPr="005F120D">
              <w:rPr>
                <w:rFonts w:asciiTheme="minorHAnsi" w:hAnsiTheme="minorHAnsi" w:cstheme="minorHAnsi"/>
                <w:b/>
                <w:sz w:val="18"/>
                <w:szCs w:val="18"/>
              </w:rPr>
              <w:t>307,834</w:t>
            </w:r>
          </w:p>
        </w:tc>
        <w:tc>
          <w:tcPr>
            <w:tcW w:w="446" w:type="pct"/>
            <w:shd w:val="clear" w:color="auto" w:fill="DAEEF3" w:themeFill="accent5" w:themeFillTint="33"/>
            <w:vAlign w:val="center"/>
          </w:tcPr>
          <w:p w:rsidR="002A36F0" w:rsidRPr="005F120D" w:rsidRDefault="00B45FAE" w:rsidP="00A03624">
            <w:pPr>
              <w:spacing w:after="0"/>
              <w:jc w:val="center"/>
              <w:rPr>
                <w:rFonts w:asciiTheme="minorHAnsi" w:hAnsiTheme="minorHAnsi" w:cstheme="minorHAnsi"/>
                <w:b/>
                <w:color w:val="3333FF"/>
                <w:sz w:val="18"/>
                <w:szCs w:val="18"/>
              </w:rPr>
            </w:pPr>
            <w:r w:rsidRPr="005F120D">
              <w:rPr>
                <w:rFonts w:asciiTheme="minorHAnsi" w:hAnsiTheme="minorHAnsi" w:cstheme="minorHAnsi"/>
                <w:b/>
                <w:color w:val="3333FF"/>
                <w:sz w:val="18"/>
                <w:szCs w:val="18"/>
              </w:rPr>
              <w:t>34,24</w:t>
            </w:r>
            <w:r w:rsidR="002A36F0" w:rsidRPr="005F120D">
              <w:rPr>
                <w:rFonts w:asciiTheme="minorHAnsi" w:hAnsiTheme="minorHAnsi" w:cstheme="minorHAnsi"/>
                <w:b/>
                <w:color w:val="3333FF"/>
                <w:sz w:val="18"/>
                <w:szCs w:val="18"/>
              </w:rPr>
              <w:t>6</w:t>
            </w:r>
          </w:p>
        </w:tc>
        <w:tc>
          <w:tcPr>
            <w:tcW w:w="354" w:type="pct"/>
            <w:shd w:val="clear" w:color="auto" w:fill="DAEEF3" w:themeFill="accent5" w:themeFillTint="33"/>
            <w:vAlign w:val="center"/>
          </w:tcPr>
          <w:p w:rsidR="002A36F0" w:rsidRPr="005F120D" w:rsidRDefault="002A36F0" w:rsidP="00A03624">
            <w:pPr>
              <w:spacing w:after="0"/>
              <w:jc w:val="center"/>
              <w:rPr>
                <w:rFonts w:asciiTheme="minorHAnsi" w:hAnsiTheme="minorHAnsi" w:cstheme="minorHAnsi"/>
                <w:b/>
                <w:color w:val="3333FF"/>
                <w:sz w:val="18"/>
                <w:szCs w:val="18"/>
              </w:rPr>
            </w:pPr>
            <w:r w:rsidRPr="005F120D">
              <w:rPr>
                <w:rFonts w:asciiTheme="minorHAnsi" w:hAnsiTheme="minorHAnsi" w:cstheme="minorHAnsi"/>
                <w:b/>
                <w:color w:val="3333FF"/>
                <w:sz w:val="18"/>
                <w:szCs w:val="18"/>
              </w:rPr>
              <w:t>10%</w:t>
            </w:r>
          </w:p>
        </w:tc>
        <w:tc>
          <w:tcPr>
            <w:tcW w:w="510" w:type="pct"/>
            <w:shd w:val="clear" w:color="auto" w:fill="DAEEF3" w:themeFill="accent5" w:themeFillTint="33"/>
            <w:vAlign w:val="center"/>
          </w:tcPr>
          <w:p w:rsidR="002A36F0" w:rsidRPr="005F120D" w:rsidRDefault="002A36F0" w:rsidP="00A03624">
            <w:pPr>
              <w:spacing w:after="0"/>
              <w:jc w:val="center"/>
              <w:rPr>
                <w:rFonts w:asciiTheme="minorHAnsi" w:hAnsiTheme="minorHAnsi" w:cstheme="minorHAnsi"/>
                <w:b/>
                <w:color w:val="3333FF"/>
                <w:sz w:val="18"/>
                <w:szCs w:val="18"/>
              </w:rPr>
            </w:pPr>
          </w:p>
        </w:tc>
      </w:tr>
      <w:tr w:rsidR="002A36F0" w:rsidRPr="005F120D" w:rsidTr="00997048">
        <w:trPr>
          <w:trHeight w:hRule="exact" w:val="254"/>
        </w:trPr>
        <w:tc>
          <w:tcPr>
            <w:tcW w:w="213" w:type="pct"/>
            <w:shd w:val="clear" w:color="auto" w:fill="B6DDE8" w:themeFill="accent5" w:themeFillTint="66"/>
            <w:vAlign w:val="center"/>
          </w:tcPr>
          <w:p w:rsidR="009A0AB2" w:rsidRPr="005F120D" w:rsidRDefault="009A0AB2" w:rsidP="00A03624">
            <w:pPr>
              <w:spacing w:after="0"/>
              <w:jc w:val="center"/>
              <w:rPr>
                <w:rFonts w:asciiTheme="minorHAnsi" w:hAnsiTheme="minorHAnsi" w:cstheme="minorHAnsi"/>
                <w:sz w:val="18"/>
                <w:szCs w:val="18"/>
              </w:rPr>
            </w:pPr>
          </w:p>
        </w:tc>
        <w:tc>
          <w:tcPr>
            <w:tcW w:w="1364" w:type="pct"/>
            <w:shd w:val="clear" w:color="auto" w:fill="B6DDE8" w:themeFill="accent5" w:themeFillTint="66"/>
            <w:vAlign w:val="center"/>
          </w:tcPr>
          <w:p w:rsidR="009A0AB2" w:rsidRPr="005F120D" w:rsidRDefault="009A0AB2" w:rsidP="00A03624">
            <w:pPr>
              <w:spacing w:after="0"/>
              <w:jc w:val="center"/>
              <w:rPr>
                <w:rFonts w:asciiTheme="minorHAnsi" w:hAnsiTheme="minorHAnsi" w:cstheme="minorHAnsi"/>
                <w:b/>
                <w:color w:val="3333FF"/>
                <w:sz w:val="18"/>
                <w:szCs w:val="18"/>
              </w:rPr>
            </w:pPr>
            <w:r w:rsidRPr="005F120D">
              <w:rPr>
                <w:rFonts w:asciiTheme="minorHAnsi" w:hAnsiTheme="minorHAnsi" w:cstheme="minorHAnsi"/>
                <w:b/>
                <w:color w:val="3333FF"/>
                <w:sz w:val="18"/>
                <w:szCs w:val="18"/>
              </w:rPr>
              <w:t>Grand Total</w:t>
            </w:r>
          </w:p>
        </w:tc>
        <w:tc>
          <w:tcPr>
            <w:tcW w:w="594" w:type="pct"/>
            <w:shd w:val="clear" w:color="auto" w:fill="B6DDE8" w:themeFill="accent5" w:themeFillTint="66"/>
            <w:vAlign w:val="center"/>
          </w:tcPr>
          <w:p w:rsidR="009A0AB2" w:rsidRPr="005F120D" w:rsidRDefault="009A0AB2" w:rsidP="00A03624">
            <w:pPr>
              <w:spacing w:after="0"/>
              <w:jc w:val="center"/>
              <w:rPr>
                <w:rFonts w:asciiTheme="minorHAnsi" w:hAnsiTheme="minorHAnsi" w:cstheme="minorHAnsi"/>
                <w:b/>
                <w:color w:val="3333FF"/>
                <w:sz w:val="18"/>
                <w:szCs w:val="18"/>
              </w:rPr>
            </w:pPr>
            <w:r w:rsidRPr="005F120D">
              <w:rPr>
                <w:rFonts w:asciiTheme="minorHAnsi" w:hAnsiTheme="minorHAnsi" w:cstheme="minorHAnsi"/>
                <w:b/>
                <w:color w:val="3333FF"/>
                <w:sz w:val="18"/>
                <w:szCs w:val="18"/>
              </w:rPr>
              <w:t>164,066</w:t>
            </w:r>
          </w:p>
        </w:tc>
        <w:tc>
          <w:tcPr>
            <w:tcW w:w="574" w:type="pct"/>
            <w:shd w:val="clear" w:color="auto" w:fill="B6DDE8" w:themeFill="accent5" w:themeFillTint="66"/>
            <w:vAlign w:val="center"/>
          </w:tcPr>
          <w:p w:rsidR="009A0AB2" w:rsidRPr="005F120D" w:rsidRDefault="00B45FAE" w:rsidP="00A03624">
            <w:pPr>
              <w:spacing w:after="0"/>
              <w:jc w:val="center"/>
              <w:rPr>
                <w:rFonts w:asciiTheme="minorHAnsi" w:hAnsiTheme="minorHAnsi" w:cstheme="minorHAnsi"/>
                <w:b/>
                <w:color w:val="3333FF"/>
                <w:sz w:val="18"/>
                <w:szCs w:val="18"/>
              </w:rPr>
            </w:pPr>
            <w:r w:rsidRPr="005F120D">
              <w:rPr>
                <w:rFonts w:asciiTheme="minorHAnsi" w:hAnsiTheme="minorHAnsi" w:cstheme="minorHAnsi"/>
                <w:b/>
                <w:color w:val="3333FF"/>
                <w:sz w:val="18"/>
                <w:szCs w:val="18"/>
              </w:rPr>
              <w:t>244,</w:t>
            </w:r>
            <w:r w:rsidR="009A0AB2" w:rsidRPr="005F120D">
              <w:rPr>
                <w:rFonts w:asciiTheme="minorHAnsi" w:hAnsiTheme="minorHAnsi" w:cstheme="minorHAnsi"/>
                <w:b/>
                <w:color w:val="3333FF"/>
                <w:sz w:val="18"/>
                <w:szCs w:val="18"/>
              </w:rPr>
              <w:t>8</w:t>
            </w:r>
            <w:r w:rsidRPr="005F120D">
              <w:rPr>
                <w:rFonts w:asciiTheme="minorHAnsi" w:hAnsiTheme="minorHAnsi" w:cstheme="minorHAnsi"/>
                <w:b/>
                <w:color w:val="3333FF"/>
                <w:sz w:val="18"/>
                <w:szCs w:val="18"/>
              </w:rPr>
              <w:t>06</w:t>
            </w:r>
          </w:p>
        </w:tc>
        <w:tc>
          <w:tcPr>
            <w:tcW w:w="513" w:type="pct"/>
            <w:shd w:val="clear" w:color="auto" w:fill="B6DDE8" w:themeFill="accent5" w:themeFillTint="66"/>
            <w:vAlign w:val="center"/>
          </w:tcPr>
          <w:p w:rsidR="009A0AB2" w:rsidRPr="005F120D" w:rsidRDefault="00B45FAE" w:rsidP="00A03624">
            <w:pPr>
              <w:spacing w:after="0"/>
              <w:jc w:val="center"/>
              <w:rPr>
                <w:rFonts w:asciiTheme="minorHAnsi" w:hAnsiTheme="minorHAnsi" w:cstheme="minorHAnsi"/>
                <w:b/>
                <w:color w:val="3333FF"/>
                <w:sz w:val="18"/>
                <w:szCs w:val="18"/>
              </w:rPr>
            </w:pPr>
            <w:r w:rsidRPr="005F120D">
              <w:rPr>
                <w:rFonts w:asciiTheme="minorHAnsi" w:hAnsiTheme="minorHAnsi" w:cstheme="minorHAnsi"/>
                <w:b/>
                <w:color w:val="3333FF"/>
                <w:sz w:val="18"/>
                <w:szCs w:val="18"/>
              </w:rPr>
              <w:t>408,921</w:t>
            </w:r>
          </w:p>
        </w:tc>
        <w:tc>
          <w:tcPr>
            <w:tcW w:w="432" w:type="pct"/>
            <w:shd w:val="clear" w:color="auto" w:fill="B6DDE8" w:themeFill="accent5" w:themeFillTint="66"/>
            <w:vAlign w:val="center"/>
          </w:tcPr>
          <w:p w:rsidR="009A0AB2" w:rsidRPr="005F120D" w:rsidRDefault="00B45FAE" w:rsidP="00A03624">
            <w:pPr>
              <w:spacing w:after="0"/>
              <w:jc w:val="center"/>
              <w:rPr>
                <w:rFonts w:asciiTheme="minorHAnsi" w:hAnsiTheme="minorHAnsi" w:cstheme="minorHAnsi"/>
                <w:b/>
                <w:color w:val="3333FF"/>
                <w:sz w:val="18"/>
                <w:szCs w:val="18"/>
              </w:rPr>
            </w:pPr>
            <w:r w:rsidRPr="005F120D">
              <w:rPr>
                <w:rFonts w:asciiTheme="minorHAnsi" w:hAnsiTheme="minorHAnsi" w:cstheme="minorHAnsi"/>
                <w:b/>
                <w:color w:val="3333FF"/>
                <w:sz w:val="18"/>
                <w:szCs w:val="18"/>
              </w:rPr>
              <w:t>356,809</w:t>
            </w:r>
          </w:p>
        </w:tc>
        <w:tc>
          <w:tcPr>
            <w:tcW w:w="446" w:type="pct"/>
            <w:shd w:val="clear" w:color="auto" w:fill="B6DDE8" w:themeFill="accent5" w:themeFillTint="66"/>
            <w:vAlign w:val="center"/>
          </w:tcPr>
          <w:p w:rsidR="009A0AB2" w:rsidRPr="005F120D" w:rsidRDefault="00B45FAE" w:rsidP="00A03624">
            <w:pPr>
              <w:spacing w:after="0"/>
              <w:jc w:val="center"/>
              <w:rPr>
                <w:rFonts w:asciiTheme="minorHAnsi" w:hAnsiTheme="minorHAnsi" w:cstheme="minorHAnsi"/>
                <w:b/>
                <w:color w:val="3333FF"/>
                <w:sz w:val="18"/>
                <w:szCs w:val="18"/>
              </w:rPr>
            </w:pPr>
            <w:r w:rsidRPr="005F120D">
              <w:rPr>
                <w:rFonts w:asciiTheme="minorHAnsi" w:hAnsiTheme="minorHAnsi" w:cstheme="minorHAnsi"/>
                <w:b/>
                <w:color w:val="3333FF"/>
                <w:sz w:val="18"/>
                <w:szCs w:val="18"/>
              </w:rPr>
              <w:t>52,102</w:t>
            </w:r>
          </w:p>
        </w:tc>
        <w:tc>
          <w:tcPr>
            <w:tcW w:w="354" w:type="pct"/>
            <w:shd w:val="clear" w:color="auto" w:fill="B6DDE8" w:themeFill="accent5" w:themeFillTint="66"/>
            <w:vAlign w:val="center"/>
          </w:tcPr>
          <w:p w:rsidR="009A0AB2" w:rsidRPr="005F120D" w:rsidRDefault="00B45FAE" w:rsidP="00A03624">
            <w:pPr>
              <w:spacing w:after="0"/>
              <w:jc w:val="center"/>
              <w:rPr>
                <w:rFonts w:asciiTheme="minorHAnsi" w:hAnsiTheme="minorHAnsi" w:cstheme="minorHAnsi"/>
                <w:b/>
                <w:color w:val="3333FF"/>
                <w:sz w:val="18"/>
                <w:szCs w:val="18"/>
              </w:rPr>
            </w:pPr>
            <w:r w:rsidRPr="005F120D">
              <w:rPr>
                <w:rFonts w:asciiTheme="minorHAnsi" w:hAnsiTheme="minorHAnsi" w:cstheme="minorHAnsi"/>
                <w:b/>
                <w:color w:val="3333FF"/>
                <w:sz w:val="18"/>
                <w:szCs w:val="18"/>
              </w:rPr>
              <w:t>13%</w:t>
            </w:r>
          </w:p>
        </w:tc>
        <w:tc>
          <w:tcPr>
            <w:tcW w:w="510" w:type="pct"/>
            <w:shd w:val="clear" w:color="auto" w:fill="B6DDE8" w:themeFill="accent5" w:themeFillTint="66"/>
            <w:vAlign w:val="center"/>
          </w:tcPr>
          <w:p w:rsidR="009A0AB2" w:rsidRPr="005F120D" w:rsidRDefault="009A0AB2" w:rsidP="00A03624">
            <w:pPr>
              <w:spacing w:after="0"/>
              <w:jc w:val="center"/>
              <w:rPr>
                <w:rFonts w:asciiTheme="minorHAnsi" w:hAnsiTheme="minorHAnsi" w:cstheme="minorHAnsi"/>
                <w:sz w:val="18"/>
                <w:szCs w:val="18"/>
              </w:rPr>
            </w:pPr>
          </w:p>
        </w:tc>
      </w:tr>
    </w:tbl>
    <w:p w:rsidR="00EA356A" w:rsidRPr="005F120D" w:rsidRDefault="0045016E" w:rsidP="00C437AA">
      <w:pPr>
        <w:pStyle w:val="NoSpacing"/>
        <w:spacing w:line="276" w:lineRule="auto"/>
        <w:rPr>
          <w:rFonts w:asciiTheme="minorHAnsi" w:hAnsiTheme="minorHAnsi" w:cstheme="minorHAnsi"/>
          <w:b/>
          <w:sz w:val="16"/>
          <w:szCs w:val="16"/>
        </w:rPr>
      </w:pPr>
      <w:r w:rsidRPr="005F120D">
        <w:rPr>
          <w:rFonts w:asciiTheme="minorHAnsi" w:hAnsiTheme="minorHAnsi" w:cstheme="minorHAnsi"/>
          <w:b/>
          <w:sz w:val="16"/>
          <w:szCs w:val="16"/>
        </w:rPr>
        <w:t>Source: DPE administrative records</w:t>
      </w:r>
      <w:r w:rsidR="00FE1D89" w:rsidRPr="005F120D">
        <w:rPr>
          <w:rFonts w:asciiTheme="minorHAnsi" w:hAnsiTheme="minorHAnsi" w:cstheme="minorHAnsi"/>
          <w:b/>
          <w:sz w:val="16"/>
          <w:szCs w:val="16"/>
        </w:rPr>
        <w:t xml:space="preserve"> as of January 2016</w:t>
      </w:r>
    </w:p>
    <w:p w:rsidR="00F035A1" w:rsidRPr="005F120D" w:rsidRDefault="00F035A1" w:rsidP="00C437AA">
      <w:pPr>
        <w:pStyle w:val="NoSpacing"/>
        <w:spacing w:line="276" w:lineRule="auto"/>
        <w:rPr>
          <w:rFonts w:asciiTheme="minorHAnsi" w:hAnsiTheme="minorHAnsi" w:cstheme="minorHAnsi"/>
          <w:b/>
          <w:sz w:val="16"/>
          <w:szCs w:val="16"/>
        </w:rPr>
      </w:pPr>
    </w:p>
    <w:p w:rsidR="00341882" w:rsidRPr="005F120D" w:rsidRDefault="00BD75D9" w:rsidP="004E77B3">
      <w:pPr>
        <w:pStyle w:val="Heading3"/>
      </w:pPr>
      <w:r w:rsidRPr="005F120D">
        <w:t>Effectiveness</w:t>
      </w:r>
    </w:p>
    <w:p w:rsidR="005A7C7E" w:rsidRPr="005F120D" w:rsidRDefault="005A7C7E" w:rsidP="00C8098D">
      <w:pPr>
        <w:autoSpaceDE w:val="0"/>
        <w:autoSpaceDN w:val="0"/>
        <w:adjustRightInd w:val="0"/>
        <w:spacing w:after="0" w:line="276" w:lineRule="auto"/>
        <w:jc w:val="both"/>
        <w:rPr>
          <w:rFonts w:asciiTheme="minorHAnsi" w:hAnsiTheme="minorHAnsi" w:cstheme="minorHAnsi"/>
        </w:rPr>
      </w:pPr>
      <w:bookmarkStart w:id="374" w:name="_Ref211351858"/>
      <w:bookmarkStart w:id="375" w:name="_Toc302835147"/>
      <w:bookmarkStart w:id="376" w:name="_Toc338839507"/>
      <w:bookmarkStart w:id="377" w:name="_Toc338856156"/>
      <w:bookmarkStart w:id="378" w:name="_Toc385242088"/>
      <w:bookmarkStart w:id="379" w:name="_Toc385245714"/>
      <w:r w:rsidRPr="005F120D">
        <w:rPr>
          <w:rFonts w:asciiTheme="minorHAnsi" w:hAnsiTheme="minorHAnsi" w:cstheme="minorHAnsi"/>
        </w:rPr>
        <w:t>The PEDP3 Results Area 3.2 on Effectiveness of Budgetary Allocation aims to address the effectiveness and efficiency in the utilization of the primary education budget in order to achieve the goals of participation, quality and equity.  This result area consists of four Key Performance Indicators and four Non-KPIs:</w:t>
      </w:r>
    </w:p>
    <w:p w:rsidR="005A7C7E" w:rsidRPr="005F120D" w:rsidRDefault="005A7C7E" w:rsidP="00C8098D">
      <w:pPr>
        <w:autoSpaceDE w:val="0"/>
        <w:autoSpaceDN w:val="0"/>
        <w:adjustRightInd w:val="0"/>
        <w:spacing w:after="0" w:line="276" w:lineRule="auto"/>
        <w:rPr>
          <w:rFonts w:asciiTheme="minorHAnsi" w:hAnsiTheme="minorHAnsi" w:cstheme="minorHAnsi"/>
        </w:rPr>
      </w:pPr>
    </w:p>
    <w:p w:rsidR="005A7C7E" w:rsidRPr="005F120D" w:rsidRDefault="005A7C7E" w:rsidP="00C8098D">
      <w:pPr>
        <w:numPr>
          <w:ilvl w:val="0"/>
          <w:numId w:val="2"/>
        </w:numPr>
        <w:spacing w:after="200" w:line="276" w:lineRule="auto"/>
        <w:contextualSpacing/>
        <w:rPr>
          <w:rFonts w:asciiTheme="minorHAnsi" w:hAnsiTheme="minorHAnsi" w:cstheme="minorHAnsi"/>
        </w:rPr>
      </w:pPr>
      <w:r w:rsidRPr="005F120D">
        <w:rPr>
          <w:rFonts w:asciiTheme="minorHAnsi" w:hAnsiTheme="minorHAnsi" w:cstheme="minorHAnsi"/>
        </w:rPr>
        <w:t>KPI 12  Cycle Completion Rate;</w:t>
      </w:r>
    </w:p>
    <w:p w:rsidR="005A7C7E" w:rsidRPr="005F120D" w:rsidRDefault="005A7C7E" w:rsidP="00C8098D">
      <w:pPr>
        <w:numPr>
          <w:ilvl w:val="0"/>
          <w:numId w:val="2"/>
        </w:numPr>
        <w:spacing w:after="200" w:line="276" w:lineRule="auto"/>
        <w:contextualSpacing/>
        <w:rPr>
          <w:rFonts w:asciiTheme="minorHAnsi" w:hAnsiTheme="minorHAnsi" w:cstheme="minorHAnsi"/>
        </w:rPr>
      </w:pPr>
      <w:r w:rsidRPr="005F120D">
        <w:rPr>
          <w:rFonts w:asciiTheme="minorHAnsi" w:hAnsiTheme="minorHAnsi" w:cstheme="minorHAnsi"/>
        </w:rPr>
        <w:t>KPI 13 Cycle Dropout Rate;</w:t>
      </w:r>
    </w:p>
    <w:p w:rsidR="005A7C7E" w:rsidRPr="005F120D" w:rsidRDefault="005A7C7E" w:rsidP="00C8098D">
      <w:pPr>
        <w:numPr>
          <w:ilvl w:val="0"/>
          <w:numId w:val="2"/>
        </w:numPr>
        <w:spacing w:after="200" w:line="276" w:lineRule="auto"/>
        <w:contextualSpacing/>
        <w:rPr>
          <w:rFonts w:asciiTheme="minorHAnsi" w:hAnsiTheme="minorHAnsi" w:cstheme="minorHAnsi"/>
        </w:rPr>
      </w:pPr>
      <w:r w:rsidRPr="005F120D">
        <w:rPr>
          <w:rFonts w:asciiTheme="minorHAnsi" w:hAnsiTheme="minorHAnsi" w:cstheme="minorHAnsi"/>
        </w:rPr>
        <w:t xml:space="preserve">KPI 14 Coefficient of Efficiency [EFA 14]; and </w:t>
      </w:r>
    </w:p>
    <w:p w:rsidR="005A7C7E" w:rsidRPr="005F120D" w:rsidRDefault="00464FE4" w:rsidP="00C8098D">
      <w:pPr>
        <w:numPr>
          <w:ilvl w:val="0"/>
          <w:numId w:val="2"/>
        </w:numPr>
        <w:spacing w:after="200" w:line="276" w:lineRule="auto"/>
        <w:contextualSpacing/>
        <w:rPr>
          <w:rFonts w:asciiTheme="minorHAnsi" w:hAnsiTheme="minorHAnsi" w:cstheme="minorHAnsi"/>
        </w:rPr>
      </w:pPr>
      <w:r>
        <w:rPr>
          <w:rFonts w:asciiTheme="minorHAnsi" w:hAnsiTheme="minorHAnsi" w:cstheme="minorHAnsi"/>
        </w:rPr>
        <w:t>KPI 15</w:t>
      </w:r>
      <w:r w:rsidR="005A7C7E" w:rsidRPr="005F120D">
        <w:rPr>
          <w:rFonts w:asciiTheme="minorHAnsi" w:hAnsiTheme="minorHAnsi" w:cstheme="minorHAnsi"/>
        </w:rPr>
        <w:t xml:space="preserve"> PSQL based Composite indicators</w:t>
      </w:r>
      <w:r w:rsidR="00516EA1" w:rsidRPr="005F120D">
        <w:rPr>
          <w:rFonts w:asciiTheme="minorHAnsi" w:hAnsiTheme="minorHAnsi" w:cstheme="minorHAnsi"/>
        </w:rPr>
        <w:t>.</w:t>
      </w:r>
    </w:p>
    <w:p w:rsidR="008A207D" w:rsidRPr="005F120D" w:rsidRDefault="008A207D" w:rsidP="00C8098D">
      <w:pPr>
        <w:spacing w:after="200" w:line="276" w:lineRule="auto"/>
        <w:ind w:left="357"/>
        <w:contextualSpacing/>
        <w:rPr>
          <w:rFonts w:asciiTheme="minorHAnsi" w:hAnsiTheme="minorHAnsi" w:cstheme="minorHAnsi"/>
        </w:rPr>
      </w:pPr>
    </w:p>
    <w:p w:rsidR="005A7C7E" w:rsidRPr="005F120D" w:rsidRDefault="005A7C7E" w:rsidP="00C8098D">
      <w:pPr>
        <w:numPr>
          <w:ilvl w:val="0"/>
          <w:numId w:val="2"/>
        </w:numPr>
        <w:spacing w:after="200" w:line="276" w:lineRule="auto"/>
        <w:contextualSpacing/>
        <w:rPr>
          <w:rFonts w:asciiTheme="minorHAnsi" w:hAnsiTheme="minorHAnsi" w:cstheme="minorHAnsi"/>
        </w:rPr>
      </w:pPr>
      <w:r w:rsidRPr="005F120D">
        <w:rPr>
          <w:rFonts w:asciiTheme="minorHAnsi" w:hAnsiTheme="minorHAnsi" w:cstheme="minorHAnsi"/>
        </w:rPr>
        <w:t>Non-KPI 9 Gross Completion rate</w:t>
      </w:r>
      <w:r w:rsidR="00516EA1" w:rsidRPr="005F120D">
        <w:rPr>
          <w:rFonts w:asciiTheme="minorHAnsi" w:hAnsiTheme="minorHAnsi" w:cstheme="minorHAnsi"/>
        </w:rPr>
        <w:t>;</w:t>
      </w:r>
    </w:p>
    <w:p w:rsidR="005A7C7E" w:rsidRPr="005F120D" w:rsidRDefault="005A7C7E" w:rsidP="00C8098D">
      <w:pPr>
        <w:numPr>
          <w:ilvl w:val="0"/>
          <w:numId w:val="2"/>
        </w:numPr>
        <w:spacing w:after="200" w:line="276" w:lineRule="auto"/>
        <w:contextualSpacing/>
        <w:rPr>
          <w:rFonts w:asciiTheme="minorHAnsi" w:hAnsiTheme="minorHAnsi" w:cstheme="minorHAnsi"/>
        </w:rPr>
      </w:pPr>
      <w:r w:rsidRPr="005F120D">
        <w:rPr>
          <w:rFonts w:asciiTheme="minorHAnsi" w:hAnsiTheme="minorHAnsi" w:cstheme="minorHAnsi"/>
        </w:rPr>
        <w:t>Non-KPI 10 Transition Rate from Grade 5 to Grade 6</w:t>
      </w:r>
      <w:r w:rsidR="00516EA1" w:rsidRPr="005F120D">
        <w:rPr>
          <w:rFonts w:asciiTheme="minorHAnsi" w:hAnsiTheme="minorHAnsi" w:cstheme="minorHAnsi"/>
        </w:rPr>
        <w:t>;</w:t>
      </w:r>
    </w:p>
    <w:p w:rsidR="005A7C7E" w:rsidRPr="005F120D" w:rsidRDefault="005A7C7E" w:rsidP="00C8098D">
      <w:pPr>
        <w:numPr>
          <w:ilvl w:val="0"/>
          <w:numId w:val="2"/>
        </w:numPr>
        <w:spacing w:after="200" w:line="276" w:lineRule="auto"/>
        <w:contextualSpacing/>
        <w:rPr>
          <w:rFonts w:asciiTheme="minorHAnsi" w:hAnsiTheme="minorHAnsi" w:cstheme="minorHAnsi"/>
        </w:rPr>
      </w:pPr>
      <w:r w:rsidRPr="005F120D">
        <w:rPr>
          <w:rFonts w:asciiTheme="minorHAnsi" w:hAnsiTheme="minorHAnsi" w:cstheme="minorHAnsi"/>
        </w:rPr>
        <w:t>Non-KPI 11 Public Expenditure as percentage of GDP (EFA 7)</w:t>
      </w:r>
      <w:r w:rsidR="00516EA1" w:rsidRPr="005F120D">
        <w:rPr>
          <w:rFonts w:asciiTheme="minorHAnsi" w:hAnsiTheme="minorHAnsi" w:cstheme="minorHAnsi"/>
        </w:rPr>
        <w:t>;</w:t>
      </w:r>
    </w:p>
    <w:p w:rsidR="005A7C7E" w:rsidRPr="005F120D" w:rsidRDefault="005A7C7E" w:rsidP="00C8098D">
      <w:pPr>
        <w:numPr>
          <w:ilvl w:val="0"/>
          <w:numId w:val="2"/>
        </w:numPr>
        <w:spacing w:before="240" w:line="276" w:lineRule="auto"/>
        <w:ind w:left="360" w:hanging="360"/>
        <w:contextualSpacing/>
        <w:rPr>
          <w:rFonts w:asciiTheme="minorHAnsi" w:hAnsiTheme="minorHAnsi" w:cstheme="minorHAnsi"/>
        </w:rPr>
      </w:pPr>
      <w:r w:rsidRPr="005F120D">
        <w:rPr>
          <w:rFonts w:asciiTheme="minorHAnsi" w:hAnsiTheme="minorHAnsi" w:cstheme="minorHAnsi"/>
        </w:rPr>
        <w:t>Non-KPI 12 Public Expenditure on Primary Education as percentage of total public expenditure on Education (EFA 8)</w:t>
      </w:r>
      <w:r w:rsidR="00516EA1" w:rsidRPr="005F120D">
        <w:rPr>
          <w:rFonts w:asciiTheme="minorHAnsi" w:hAnsiTheme="minorHAnsi" w:cstheme="minorHAnsi"/>
        </w:rPr>
        <w:t>.</w:t>
      </w:r>
    </w:p>
    <w:p w:rsidR="008A207D" w:rsidRPr="005F120D" w:rsidRDefault="008A207D" w:rsidP="00C8098D">
      <w:pPr>
        <w:spacing w:before="240" w:line="276" w:lineRule="auto"/>
        <w:jc w:val="both"/>
        <w:rPr>
          <w:rFonts w:asciiTheme="minorHAnsi" w:hAnsiTheme="minorHAnsi" w:cstheme="minorHAnsi"/>
          <w:sz w:val="6"/>
        </w:rPr>
      </w:pPr>
    </w:p>
    <w:p w:rsidR="007D14D1" w:rsidRPr="005F120D" w:rsidRDefault="005A7C7E" w:rsidP="00C8098D">
      <w:pPr>
        <w:spacing w:before="240" w:line="276" w:lineRule="auto"/>
        <w:jc w:val="both"/>
        <w:rPr>
          <w:rFonts w:asciiTheme="minorHAnsi" w:hAnsiTheme="minorHAnsi" w:cstheme="minorHAnsi"/>
        </w:rPr>
      </w:pPr>
      <w:r w:rsidRPr="005F120D">
        <w:rPr>
          <w:rFonts w:asciiTheme="minorHAnsi" w:hAnsiTheme="minorHAnsi" w:cstheme="minorHAnsi"/>
        </w:rPr>
        <w:t xml:space="preserve">The UNESCO </w:t>
      </w:r>
      <w:r w:rsidRPr="005F120D">
        <w:rPr>
          <w:rFonts w:asciiTheme="minorHAnsi" w:hAnsiTheme="minorHAnsi" w:cstheme="minorHAnsi"/>
          <w:i/>
        </w:rPr>
        <w:t>reconstructed cohort</w:t>
      </w:r>
      <w:r w:rsidRPr="005F120D">
        <w:rPr>
          <w:rFonts w:asciiTheme="minorHAnsi" w:hAnsiTheme="minorHAnsi" w:cstheme="minorHAnsi"/>
        </w:rPr>
        <w:t xml:space="preserve"> model is used to calculate these outcome level indicators e.g. cycle completion, cycle dropouts, repetition (see Annex E).  A snapshot of the main effectiveness and efficiency indicators is presented in Figure 3.25 and details will be discussed in turn below</w:t>
      </w:r>
      <w:r w:rsidR="0018500C" w:rsidRPr="005F120D">
        <w:rPr>
          <w:rFonts w:asciiTheme="minorHAnsi" w:hAnsiTheme="minorHAnsi" w:cstheme="minorHAnsi"/>
        </w:rPr>
        <w:t>:</w:t>
      </w:r>
    </w:p>
    <w:p w:rsidR="00C8098D" w:rsidRPr="005F120D" w:rsidRDefault="00C8098D" w:rsidP="00C437AA">
      <w:pPr>
        <w:pStyle w:val="Caption"/>
        <w:spacing w:line="276" w:lineRule="auto"/>
        <w:rPr>
          <w:rFonts w:cstheme="minorHAnsi"/>
        </w:rPr>
      </w:pPr>
      <w:bookmarkStart w:id="380" w:name="_Ref387153636"/>
      <w:bookmarkStart w:id="381" w:name="_Toc385419667"/>
    </w:p>
    <w:p w:rsidR="007D14D1" w:rsidRPr="005F120D" w:rsidRDefault="0094001D" w:rsidP="00C437AA">
      <w:pPr>
        <w:pStyle w:val="Caption"/>
        <w:spacing w:line="276" w:lineRule="auto"/>
        <w:rPr>
          <w:rFonts w:cstheme="minorHAnsi"/>
        </w:rPr>
      </w:pPr>
      <w:bookmarkStart w:id="382" w:name="_Toc462837434"/>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25</w:t>
      </w:r>
      <w:r w:rsidR="002E2ED5" w:rsidRPr="005F120D">
        <w:rPr>
          <w:rFonts w:cstheme="minorHAnsi"/>
        </w:rPr>
        <w:fldChar w:fldCharType="end"/>
      </w:r>
      <w:bookmarkEnd w:id="380"/>
      <w:r w:rsidR="006A7739" w:rsidRPr="005F120D">
        <w:rPr>
          <w:rFonts w:cstheme="minorHAnsi"/>
        </w:rPr>
        <w:t xml:space="preserve">: </w:t>
      </w:r>
      <w:r w:rsidR="007D14D1" w:rsidRPr="005F120D">
        <w:rPr>
          <w:rFonts w:cstheme="minorHAnsi"/>
        </w:rPr>
        <w:t>Effectiv</w:t>
      </w:r>
      <w:r w:rsidR="00516EA1" w:rsidRPr="005F120D">
        <w:rPr>
          <w:rFonts w:cstheme="minorHAnsi"/>
        </w:rPr>
        <w:t>eness and Efficiency I</w:t>
      </w:r>
      <w:r w:rsidR="007D4681" w:rsidRPr="005F120D">
        <w:rPr>
          <w:rFonts w:cstheme="minorHAnsi"/>
        </w:rPr>
        <w:t>ndicators</w:t>
      </w:r>
      <w:r w:rsidR="007D14D1" w:rsidRPr="005F120D">
        <w:rPr>
          <w:rFonts w:cstheme="minorHAnsi"/>
        </w:rPr>
        <w:t xml:space="preserve"> 201</w:t>
      </w:r>
      <w:bookmarkEnd w:id="381"/>
      <w:r w:rsidR="00785B57" w:rsidRPr="005F120D">
        <w:rPr>
          <w:rFonts w:cstheme="minorHAnsi"/>
        </w:rPr>
        <w:t>5</w:t>
      </w:r>
      <w:r w:rsidR="007D14D1" w:rsidRPr="005F120D">
        <w:rPr>
          <w:rFonts w:cstheme="minorHAnsi"/>
        </w:rPr>
        <w:t xml:space="preserve"> APSC</w:t>
      </w:r>
      <w:bookmarkEnd w:id="382"/>
    </w:p>
    <w:p w:rsidR="007D14D1" w:rsidRPr="005F120D" w:rsidRDefault="004013CC" w:rsidP="00C437AA">
      <w:pPr>
        <w:pStyle w:val="ListBullet1"/>
        <w:spacing w:line="276" w:lineRule="auto"/>
        <w:jc w:val="center"/>
        <w:rPr>
          <w:rFonts w:asciiTheme="minorHAnsi" w:hAnsiTheme="minorHAnsi" w:cstheme="minorHAnsi"/>
          <w:b/>
          <w:i/>
          <w:color w:val="FF0000"/>
          <w:sz w:val="24"/>
          <w:szCs w:val="24"/>
        </w:rPr>
      </w:pPr>
      <w:r w:rsidRPr="005F120D">
        <w:rPr>
          <w:rFonts w:asciiTheme="minorHAnsi" w:hAnsiTheme="minorHAnsi" w:cstheme="minorHAnsi"/>
          <w:b/>
          <w:i/>
          <w:noProof/>
          <w:color w:val="FF0000"/>
          <w:sz w:val="24"/>
          <w:szCs w:val="24"/>
          <w:lang w:val="en-US" w:eastAsia="en-US"/>
        </w:rPr>
        <w:drawing>
          <wp:inline distT="0" distB="0" distL="0" distR="0">
            <wp:extent cx="5943600" cy="3295650"/>
            <wp:effectExtent l="38100" t="19050" r="190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94E49" w:rsidRPr="005F120D" w:rsidRDefault="0018500C" w:rsidP="00C437AA">
      <w:pPr>
        <w:pStyle w:val="ListBullet1"/>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 xml:space="preserve"> Source: APSC 201</w:t>
      </w:r>
      <w:bookmarkEnd w:id="374"/>
      <w:bookmarkEnd w:id="375"/>
      <w:bookmarkEnd w:id="376"/>
      <w:bookmarkEnd w:id="377"/>
      <w:bookmarkEnd w:id="378"/>
      <w:bookmarkEnd w:id="379"/>
      <w:r w:rsidR="001311F5" w:rsidRPr="005F120D">
        <w:rPr>
          <w:rFonts w:asciiTheme="minorHAnsi" w:hAnsiTheme="minorHAnsi" w:cstheme="minorHAnsi"/>
          <w:b/>
          <w:i/>
          <w:sz w:val="16"/>
          <w:szCs w:val="16"/>
        </w:rPr>
        <w:t>5</w:t>
      </w:r>
    </w:p>
    <w:p w:rsidR="00EA356A" w:rsidRPr="005F120D" w:rsidRDefault="00EA356A" w:rsidP="00C437AA">
      <w:pPr>
        <w:pStyle w:val="ListBullet1"/>
        <w:spacing w:line="276" w:lineRule="auto"/>
        <w:rPr>
          <w:rFonts w:asciiTheme="minorHAnsi" w:hAnsiTheme="minorHAnsi" w:cstheme="minorHAnsi"/>
          <w:b/>
          <w:i/>
          <w:sz w:val="16"/>
          <w:szCs w:val="16"/>
        </w:rPr>
      </w:pPr>
    </w:p>
    <w:p w:rsidR="001D69CA" w:rsidRPr="005F120D" w:rsidRDefault="00071A3E" w:rsidP="00C437AA">
      <w:pPr>
        <w:pStyle w:val="Heading4"/>
        <w:spacing w:line="276" w:lineRule="auto"/>
        <w:rPr>
          <w:rFonts w:asciiTheme="minorHAnsi" w:hAnsiTheme="minorHAnsi" w:cstheme="minorHAnsi"/>
          <w:b/>
          <w:color w:val="008000"/>
        </w:rPr>
      </w:pPr>
      <w:r w:rsidRPr="005F120D">
        <w:rPr>
          <w:rFonts w:asciiTheme="minorHAnsi" w:hAnsiTheme="minorHAnsi" w:cstheme="minorHAnsi"/>
          <w:b/>
          <w:color w:val="008000"/>
        </w:rPr>
        <w:t>Primary Cycle Completion R</w:t>
      </w:r>
      <w:r w:rsidR="001D69CA" w:rsidRPr="005F120D">
        <w:rPr>
          <w:rFonts w:asciiTheme="minorHAnsi" w:hAnsiTheme="minorHAnsi" w:cstheme="minorHAnsi"/>
          <w:b/>
          <w:color w:val="008000"/>
        </w:rPr>
        <w:t>ate</w:t>
      </w:r>
    </w:p>
    <w:p w:rsidR="00516EA1" w:rsidRPr="005F120D" w:rsidRDefault="005A7C7E" w:rsidP="00516EA1">
      <w:pPr>
        <w:spacing w:line="276" w:lineRule="auto"/>
        <w:jc w:val="both"/>
        <w:rPr>
          <w:rFonts w:asciiTheme="minorHAnsi" w:hAnsiTheme="minorHAnsi" w:cstheme="minorHAnsi"/>
        </w:rPr>
      </w:pPr>
      <w:r w:rsidRPr="005F120D">
        <w:rPr>
          <w:rFonts w:asciiTheme="minorHAnsi" w:hAnsiTheme="minorHAnsi" w:cstheme="minorHAnsi"/>
        </w:rPr>
        <w:t>The KPI 12 ‘</w:t>
      </w:r>
      <w:r w:rsidRPr="005F120D">
        <w:rPr>
          <w:rFonts w:asciiTheme="minorHAnsi" w:hAnsiTheme="minorHAnsi" w:cstheme="minorHAnsi"/>
          <w:bCs/>
        </w:rPr>
        <w:t>cycle completion rate’</w:t>
      </w:r>
      <w:r w:rsidRPr="005F120D">
        <w:rPr>
          <w:rFonts w:asciiTheme="minorHAnsi" w:hAnsiTheme="minorHAnsi" w:cstheme="minorHAnsi"/>
        </w:rPr>
        <w:t xml:space="preserve"> is the percentage of a cohort of pu</w:t>
      </w:r>
      <w:r w:rsidR="00516EA1" w:rsidRPr="005F120D">
        <w:rPr>
          <w:rFonts w:asciiTheme="minorHAnsi" w:hAnsiTheme="minorHAnsi" w:cstheme="minorHAnsi"/>
        </w:rPr>
        <w:t>pils, enrolled in Grade 1</w:t>
      </w:r>
      <w:r w:rsidRPr="005F120D">
        <w:rPr>
          <w:rFonts w:asciiTheme="minorHAnsi" w:hAnsiTheme="minorHAnsi" w:cstheme="minorHAnsi"/>
        </w:rPr>
        <w:t xml:space="preserve"> in a given school year, who comple</w:t>
      </w:r>
      <w:r w:rsidR="00516EA1" w:rsidRPr="005F120D">
        <w:rPr>
          <w:rFonts w:asciiTheme="minorHAnsi" w:hAnsiTheme="minorHAnsi" w:cstheme="minorHAnsi"/>
        </w:rPr>
        <w:t>ted Grade 5</w:t>
      </w:r>
      <w:r w:rsidRPr="005F120D">
        <w:rPr>
          <w:rFonts w:asciiTheme="minorHAnsi" w:hAnsiTheme="minorHAnsi" w:cstheme="minorHAnsi"/>
        </w:rPr>
        <w:t>.  The measure of ‘cycle completion’ or ‘graduation’ from primary school is success in passing the Primary Education</w:t>
      </w:r>
      <w:r w:rsidR="00516EA1" w:rsidRPr="005F120D">
        <w:rPr>
          <w:rFonts w:asciiTheme="minorHAnsi" w:hAnsiTheme="minorHAnsi" w:cstheme="minorHAnsi"/>
        </w:rPr>
        <w:t xml:space="preserve"> Completion Examination (PECE); </w:t>
      </w:r>
      <w:r w:rsidRPr="005F120D">
        <w:rPr>
          <w:rFonts w:asciiTheme="minorHAnsi" w:hAnsiTheme="minorHAnsi" w:cstheme="minorHAnsi"/>
        </w:rPr>
        <w:t>prior to 2009, success was passing a school-based</w:t>
      </w:r>
      <w:r w:rsidR="00516EA1" w:rsidRPr="005F120D">
        <w:rPr>
          <w:rFonts w:asciiTheme="minorHAnsi" w:hAnsiTheme="minorHAnsi" w:cstheme="minorHAnsi"/>
        </w:rPr>
        <w:t>,</w:t>
      </w:r>
      <w:r w:rsidRPr="005F120D">
        <w:rPr>
          <w:rFonts w:asciiTheme="minorHAnsi" w:hAnsiTheme="minorHAnsi" w:cstheme="minorHAnsi"/>
        </w:rPr>
        <w:t xml:space="preserve"> year</w:t>
      </w:r>
      <w:r w:rsidR="00516EA1" w:rsidRPr="005F120D">
        <w:rPr>
          <w:rFonts w:asciiTheme="minorHAnsi" w:hAnsiTheme="minorHAnsi" w:cstheme="minorHAnsi"/>
        </w:rPr>
        <w:t>-</w:t>
      </w:r>
      <w:r w:rsidRPr="005F120D">
        <w:rPr>
          <w:rFonts w:asciiTheme="minorHAnsi" w:hAnsiTheme="minorHAnsi" w:cstheme="minorHAnsi"/>
        </w:rPr>
        <w:t>end final examination. DPE calculates the cycle completion rate</w:t>
      </w:r>
      <w:r w:rsidR="00BE5BB2" w:rsidRPr="005F120D">
        <w:rPr>
          <w:rFonts w:asciiTheme="minorHAnsi" w:hAnsiTheme="minorHAnsi" w:cstheme="minorHAnsi"/>
        </w:rPr>
        <w:t>,</w:t>
      </w:r>
      <w:r w:rsidRPr="005F120D">
        <w:rPr>
          <w:rFonts w:asciiTheme="minorHAnsi" w:hAnsiTheme="minorHAnsi" w:cstheme="minorHAnsi"/>
        </w:rPr>
        <w:t xml:space="preserve"> considering the reverse of the dropout rate.</w:t>
      </w:r>
    </w:p>
    <w:p w:rsidR="000C6AE2" w:rsidRPr="005F120D" w:rsidRDefault="005A7C7E" w:rsidP="00516EA1">
      <w:pPr>
        <w:spacing w:line="276" w:lineRule="auto"/>
        <w:jc w:val="both"/>
        <w:rPr>
          <w:rFonts w:asciiTheme="minorHAnsi" w:hAnsiTheme="minorHAnsi" w:cstheme="minorHAnsi"/>
        </w:rPr>
      </w:pPr>
      <w:r w:rsidRPr="005F120D">
        <w:rPr>
          <w:rFonts w:asciiTheme="minorHAnsi" w:hAnsiTheme="minorHAnsi" w:cstheme="minorHAnsi"/>
        </w:rPr>
        <w:t>Table 3.28 shows the trend in cycle completion rates between 2005 and 2015. S</w:t>
      </w:r>
      <w:r w:rsidR="00BE5BB2" w:rsidRPr="005F120D">
        <w:rPr>
          <w:rFonts w:asciiTheme="minorHAnsi" w:hAnsiTheme="minorHAnsi" w:cstheme="minorHAnsi"/>
        </w:rPr>
        <w:t>ince the PEDPII baseline year of</w:t>
      </w:r>
      <w:r w:rsidRPr="005F120D">
        <w:rPr>
          <w:rFonts w:asciiTheme="minorHAnsi" w:hAnsiTheme="minorHAnsi" w:cstheme="minorHAnsi"/>
        </w:rPr>
        <w:t xml:space="preserve"> 2005, the cycle completion rate has risen from 52.8% in 2005 to 60.2% in 2010 to 79.6% in 2015.  There was a gain of nearly four percentage points between 2010 and 2015 (see Fig</w:t>
      </w:r>
      <w:r w:rsidR="007B77FC" w:rsidRPr="005F120D">
        <w:rPr>
          <w:rFonts w:asciiTheme="minorHAnsi" w:hAnsiTheme="minorHAnsi" w:cstheme="minorHAnsi"/>
        </w:rPr>
        <w:t>ure 3.26, given after Table 3.27</w:t>
      </w:r>
      <w:r w:rsidRPr="005F120D">
        <w:rPr>
          <w:rFonts w:asciiTheme="minorHAnsi" w:hAnsiTheme="minorHAnsi" w:cstheme="minorHAnsi"/>
        </w:rPr>
        <w:t>)</w:t>
      </w:r>
      <w:r w:rsidR="007D14D1" w:rsidRPr="005F120D">
        <w:rPr>
          <w:rFonts w:asciiTheme="minorHAnsi" w:hAnsiTheme="minorHAnsi" w:cstheme="minorHAnsi"/>
        </w:rPr>
        <w:t xml:space="preserve">.  </w:t>
      </w:r>
    </w:p>
    <w:p w:rsidR="007D14D1" w:rsidRPr="005F120D" w:rsidRDefault="00E73740" w:rsidP="00C437AA">
      <w:pPr>
        <w:pStyle w:val="Caption"/>
        <w:spacing w:line="276" w:lineRule="auto"/>
        <w:rPr>
          <w:rFonts w:cstheme="minorHAnsi"/>
        </w:rPr>
      </w:pPr>
      <w:bookmarkStart w:id="383" w:name="_Ref387061067"/>
      <w:bookmarkStart w:id="384" w:name="_Ref291399405"/>
      <w:bookmarkStart w:id="385" w:name="_Ref331080761"/>
      <w:bookmarkStart w:id="386" w:name="_Ref331082961"/>
      <w:bookmarkStart w:id="387" w:name="_Toc338839605"/>
      <w:bookmarkStart w:id="388" w:name="_Toc462837284"/>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27</w:t>
      </w:r>
      <w:r w:rsidR="002E2ED5" w:rsidRPr="005F120D">
        <w:rPr>
          <w:rFonts w:cstheme="minorHAnsi"/>
        </w:rPr>
        <w:fldChar w:fldCharType="end"/>
      </w:r>
      <w:bookmarkEnd w:id="383"/>
      <w:r w:rsidR="006A7739" w:rsidRPr="005F120D">
        <w:rPr>
          <w:rFonts w:cstheme="minorHAnsi"/>
        </w:rPr>
        <w:t>:</w:t>
      </w:r>
      <w:r w:rsidR="00464FE4">
        <w:rPr>
          <w:rFonts w:cstheme="minorHAnsi"/>
        </w:rPr>
        <w:t xml:space="preserve"> </w:t>
      </w:r>
      <w:r w:rsidR="00220FED" w:rsidRPr="005F120D">
        <w:rPr>
          <w:rFonts w:cstheme="minorHAnsi"/>
        </w:rPr>
        <w:t xml:space="preserve">Primary </w:t>
      </w:r>
      <w:r w:rsidR="00920E7E" w:rsidRPr="005F120D">
        <w:rPr>
          <w:rFonts w:cstheme="minorHAnsi"/>
        </w:rPr>
        <w:t>Cycle Completion R</w:t>
      </w:r>
      <w:r w:rsidR="000C6AE2" w:rsidRPr="005F120D">
        <w:rPr>
          <w:rFonts w:cstheme="minorHAnsi"/>
        </w:rPr>
        <w:t>ate</w:t>
      </w:r>
      <w:r w:rsidR="007D14D1" w:rsidRPr="005F120D">
        <w:rPr>
          <w:rFonts w:cstheme="minorHAnsi"/>
        </w:rPr>
        <w:t xml:space="preserve"> 2005–201</w:t>
      </w:r>
      <w:bookmarkEnd w:id="384"/>
      <w:bookmarkEnd w:id="385"/>
      <w:bookmarkEnd w:id="386"/>
      <w:bookmarkEnd w:id="387"/>
      <w:r w:rsidR="002320F9" w:rsidRPr="005F120D">
        <w:rPr>
          <w:rFonts w:cstheme="minorHAnsi"/>
        </w:rPr>
        <w:t>5</w:t>
      </w:r>
      <w:bookmarkEnd w:id="388"/>
    </w:p>
    <w:tbl>
      <w:tblPr>
        <w:tblpPr w:leftFromText="180" w:rightFromText="180" w:vertAnchor="text" w:tblpX="108" w:tblpY="1"/>
        <w:tblOverlap w:val="never"/>
        <w:tblW w:w="5018"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1E0"/>
      </w:tblPr>
      <w:tblGrid>
        <w:gridCol w:w="1806"/>
        <w:gridCol w:w="1805"/>
        <w:gridCol w:w="815"/>
        <w:gridCol w:w="813"/>
        <w:gridCol w:w="813"/>
        <w:gridCol w:w="813"/>
        <w:gridCol w:w="813"/>
        <w:gridCol w:w="813"/>
        <w:gridCol w:w="787"/>
      </w:tblGrid>
      <w:tr w:rsidR="0076134F" w:rsidRPr="005F120D" w:rsidTr="0076134F">
        <w:trPr>
          <w:trHeight w:hRule="exact" w:val="357"/>
        </w:trPr>
        <w:tc>
          <w:tcPr>
            <w:tcW w:w="973" w:type="pct"/>
            <w:shd w:val="clear" w:color="auto" w:fill="DDD9C3" w:themeFill="background2" w:themeFillShade="E6"/>
          </w:tcPr>
          <w:p w:rsidR="0076134F" w:rsidRPr="005F120D" w:rsidRDefault="0076134F" w:rsidP="00936D9E">
            <w:pPr>
              <w:pStyle w:val="Tabletext"/>
              <w:spacing w:before="0" w:after="0"/>
              <w:rPr>
                <w:rFonts w:asciiTheme="minorHAnsi" w:hAnsiTheme="minorHAnsi" w:cstheme="minorHAnsi"/>
                <w:sz w:val="18"/>
                <w:szCs w:val="18"/>
              </w:rPr>
            </w:pPr>
          </w:p>
        </w:tc>
        <w:tc>
          <w:tcPr>
            <w:tcW w:w="973" w:type="pct"/>
            <w:shd w:val="clear" w:color="auto" w:fill="DDD9C3" w:themeFill="background2" w:themeFillShade="E6"/>
          </w:tcPr>
          <w:p w:rsidR="0076134F" w:rsidRPr="005F120D" w:rsidRDefault="0076134F" w:rsidP="00936D9E">
            <w:pPr>
              <w:pStyle w:val="Tabletext"/>
              <w:spacing w:before="0" w:after="0"/>
              <w:rPr>
                <w:rFonts w:asciiTheme="minorHAnsi" w:hAnsiTheme="minorHAnsi" w:cstheme="minorHAnsi"/>
                <w:sz w:val="18"/>
                <w:szCs w:val="18"/>
              </w:rPr>
            </w:pPr>
          </w:p>
        </w:tc>
        <w:tc>
          <w:tcPr>
            <w:tcW w:w="439" w:type="pct"/>
            <w:shd w:val="clear" w:color="auto" w:fill="DDD9C3" w:themeFill="background2" w:themeFillShade="E6"/>
            <w:vAlign w:val="center"/>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2005</w:t>
            </w:r>
          </w:p>
        </w:tc>
        <w:tc>
          <w:tcPr>
            <w:tcW w:w="438" w:type="pct"/>
            <w:shd w:val="clear" w:color="auto" w:fill="DDD9C3" w:themeFill="background2" w:themeFillShade="E6"/>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2010</w:t>
            </w:r>
          </w:p>
        </w:tc>
        <w:tc>
          <w:tcPr>
            <w:tcW w:w="438" w:type="pct"/>
            <w:shd w:val="clear" w:color="auto" w:fill="DDD9C3" w:themeFill="background2" w:themeFillShade="E6"/>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2011</w:t>
            </w:r>
          </w:p>
        </w:tc>
        <w:tc>
          <w:tcPr>
            <w:tcW w:w="438" w:type="pct"/>
            <w:shd w:val="clear" w:color="auto" w:fill="DDD9C3" w:themeFill="background2" w:themeFillShade="E6"/>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2012</w:t>
            </w:r>
          </w:p>
        </w:tc>
        <w:tc>
          <w:tcPr>
            <w:tcW w:w="438" w:type="pct"/>
            <w:shd w:val="clear" w:color="auto" w:fill="DDD9C3" w:themeFill="background2" w:themeFillShade="E6"/>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2013</w:t>
            </w:r>
          </w:p>
        </w:tc>
        <w:tc>
          <w:tcPr>
            <w:tcW w:w="438" w:type="pct"/>
            <w:shd w:val="clear" w:color="auto" w:fill="DDD9C3" w:themeFill="background2" w:themeFillShade="E6"/>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2014</w:t>
            </w:r>
          </w:p>
        </w:tc>
        <w:tc>
          <w:tcPr>
            <w:tcW w:w="424" w:type="pct"/>
            <w:shd w:val="clear" w:color="auto" w:fill="DDD9C3" w:themeFill="background2" w:themeFillShade="E6"/>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2015</w:t>
            </w:r>
          </w:p>
        </w:tc>
      </w:tr>
      <w:tr w:rsidR="0076134F" w:rsidRPr="005F120D" w:rsidTr="0076134F">
        <w:trPr>
          <w:trHeight w:hRule="exact" w:val="357"/>
        </w:trPr>
        <w:tc>
          <w:tcPr>
            <w:tcW w:w="973" w:type="pct"/>
            <w:vMerge w:val="restart"/>
          </w:tcPr>
          <w:p w:rsidR="0076134F" w:rsidRPr="005F120D" w:rsidRDefault="0076134F" w:rsidP="00936D9E">
            <w:pPr>
              <w:pStyle w:val="Tabletext"/>
              <w:spacing w:before="0" w:after="0"/>
              <w:rPr>
                <w:rFonts w:asciiTheme="minorHAnsi" w:hAnsiTheme="minorHAnsi" w:cstheme="minorHAnsi"/>
                <w:sz w:val="18"/>
                <w:szCs w:val="18"/>
              </w:rPr>
            </w:pPr>
            <w:r w:rsidRPr="005F120D">
              <w:rPr>
                <w:rFonts w:asciiTheme="minorHAnsi" w:hAnsiTheme="minorHAnsi" w:cstheme="minorHAnsi"/>
                <w:sz w:val="18"/>
                <w:szCs w:val="18"/>
              </w:rPr>
              <w:t>Cycle completion rate (%)</w:t>
            </w:r>
          </w:p>
        </w:tc>
        <w:tc>
          <w:tcPr>
            <w:tcW w:w="973" w:type="pct"/>
            <w:shd w:val="clear" w:color="auto" w:fill="auto"/>
          </w:tcPr>
          <w:p w:rsidR="0076134F" w:rsidRPr="005F120D" w:rsidRDefault="0076134F" w:rsidP="00936D9E">
            <w:pPr>
              <w:pStyle w:val="Tabletext"/>
              <w:spacing w:before="0" w:after="0"/>
              <w:rPr>
                <w:rFonts w:asciiTheme="minorHAnsi" w:hAnsiTheme="minorHAnsi" w:cstheme="minorHAnsi"/>
                <w:sz w:val="18"/>
                <w:szCs w:val="18"/>
              </w:rPr>
            </w:pPr>
            <w:r w:rsidRPr="005F120D">
              <w:rPr>
                <w:rFonts w:asciiTheme="minorHAnsi" w:hAnsiTheme="minorHAnsi" w:cstheme="minorHAnsi"/>
                <w:sz w:val="18"/>
                <w:szCs w:val="18"/>
              </w:rPr>
              <w:t>All (%)</w:t>
            </w:r>
          </w:p>
        </w:tc>
        <w:tc>
          <w:tcPr>
            <w:tcW w:w="439"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52.8</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60.2</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70.3</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73.8</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78.6</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79.1</w:t>
            </w:r>
          </w:p>
        </w:tc>
        <w:tc>
          <w:tcPr>
            <w:tcW w:w="424" w:type="pct"/>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79.6</w:t>
            </w:r>
          </w:p>
        </w:tc>
      </w:tr>
      <w:tr w:rsidR="0076134F" w:rsidRPr="005F120D" w:rsidTr="0076134F">
        <w:trPr>
          <w:trHeight w:hRule="exact" w:val="357"/>
        </w:trPr>
        <w:tc>
          <w:tcPr>
            <w:tcW w:w="973" w:type="pct"/>
            <w:vMerge/>
          </w:tcPr>
          <w:p w:rsidR="0076134F" w:rsidRPr="005F120D" w:rsidRDefault="0076134F" w:rsidP="00936D9E">
            <w:pPr>
              <w:pStyle w:val="Tabletext"/>
              <w:spacing w:before="0" w:after="0"/>
              <w:rPr>
                <w:rFonts w:asciiTheme="minorHAnsi" w:hAnsiTheme="minorHAnsi" w:cstheme="minorHAnsi"/>
                <w:sz w:val="18"/>
                <w:szCs w:val="18"/>
              </w:rPr>
            </w:pPr>
          </w:p>
        </w:tc>
        <w:tc>
          <w:tcPr>
            <w:tcW w:w="973" w:type="pct"/>
            <w:shd w:val="clear" w:color="auto" w:fill="auto"/>
          </w:tcPr>
          <w:p w:rsidR="0076134F" w:rsidRPr="005F120D" w:rsidRDefault="0076134F" w:rsidP="00936D9E">
            <w:pPr>
              <w:pStyle w:val="Tabletext"/>
              <w:spacing w:before="0" w:after="0"/>
              <w:rPr>
                <w:rFonts w:asciiTheme="minorHAnsi" w:hAnsiTheme="minorHAnsi" w:cstheme="minorHAnsi"/>
                <w:sz w:val="18"/>
                <w:szCs w:val="18"/>
              </w:rPr>
            </w:pPr>
            <w:r w:rsidRPr="005F120D">
              <w:rPr>
                <w:rFonts w:asciiTheme="minorHAnsi" w:hAnsiTheme="minorHAnsi" w:cstheme="minorHAnsi"/>
                <w:sz w:val="18"/>
                <w:szCs w:val="18"/>
              </w:rPr>
              <w:t>Boys (%)</w:t>
            </w:r>
          </w:p>
        </w:tc>
        <w:tc>
          <w:tcPr>
            <w:tcW w:w="439"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n/a</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59.8</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67.6</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71.7</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75.1</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75.7</w:t>
            </w:r>
          </w:p>
        </w:tc>
        <w:tc>
          <w:tcPr>
            <w:tcW w:w="424" w:type="pct"/>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75.1</w:t>
            </w:r>
          </w:p>
        </w:tc>
      </w:tr>
      <w:tr w:rsidR="0076134F" w:rsidRPr="005F120D" w:rsidTr="0076134F">
        <w:trPr>
          <w:trHeight w:hRule="exact" w:val="357"/>
        </w:trPr>
        <w:tc>
          <w:tcPr>
            <w:tcW w:w="973" w:type="pct"/>
            <w:vMerge/>
          </w:tcPr>
          <w:p w:rsidR="0076134F" w:rsidRPr="005F120D" w:rsidRDefault="0076134F" w:rsidP="00936D9E">
            <w:pPr>
              <w:pStyle w:val="Tabletext"/>
              <w:spacing w:before="0" w:after="0"/>
              <w:rPr>
                <w:rFonts w:asciiTheme="minorHAnsi" w:hAnsiTheme="minorHAnsi" w:cstheme="minorHAnsi"/>
                <w:sz w:val="18"/>
                <w:szCs w:val="18"/>
              </w:rPr>
            </w:pPr>
          </w:p>
        </w:tc>
        <w:tc>
          <w:tcPr>
            <w:tcW w:w="973" w:type="pct"/>
            <w:shd w:val="clear" w:color="auto" w:fill="auto"/>
          </w:tcPr>
          <w:p w:rsidR="0076134F" w:rsidRPr="005F120D" w:rsidRDefault="0076134F" w:rsidP="00936D9E">
            <w:pPr>
              <w:pStyle w:val="Tabletext"/>
              <w:spacing w:before="0" w:after="0"/>
              <w:rPr>
                <w:rFonts w:asciiTheme="minorHAnsi" w:hAnsiTheme="minorHAnsi" w:cstheme="minorHAnsi"/>
                <w:sz w:val="18"/>
                <w:szCs w:val="18"/>
              </w:rPr>
            </w:pPr>
            <w:r w:rsidRPr="005F120D">
              <w:rPr>
                <w:rFonts w:asciiTheme="minorHAnsi" w:hAnsiTheme="minorHAnsi" w:cstheme="minorHAnsi"/>
                <w:sz w:val="18"/>
                <w:szCs w:val="18"/>
              </w:rPr>
              <w:t>Girls (%)</w:t>
            </w:r>
          </w:p>
        </w:tc>
        <w:tc>
          <w:tcPr>
            <w:tcW w:w="439"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n/a</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60.8</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73</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75.8</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82.1</w:t>
            </w:r>
          </w:p>
        </w:tc>
        <w:tc>
          <w:tcPr>
            <w:tcW w:w="438" w:type="pct"/>
            <w:shd w:val="clear" w:color="auto" w:fill="auto"/>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82.5</w:t>
            </w:r>
          </w:p>
        </w:tc>
        <w:tc>
          <w:tcPr>
            <w:tcW w:w="424" w:type="pct"/>
          </w:tcPr>
          <w:p w:rsidR="0076134F" w:rsidRPr="005F120D" w:rsidRDefault="0076134F" w:rsidP="00936D9E">
            <w:pPr>
              <w:pStyle w:val="Tabletext"/>
              <w:spacing w:before="0" w:after="0"/>
              <w:jc w:val="center"/>
              <w:rPr>
                <w:rFonts w:asciiTheme="minorHAnsi" w:hAnsiTheme="minorHAnsi" w:cstheme="minorHAnsi"/>
                <w:sz w:val="18"/>
                <w:szCs w:val="18"/>
              </w:rPr>
            </w:pPr>
            <w:r w:rsidRPr="005F120D">
              <w:rPr>
                <w:rFonts w:asciiTheme="minorHAnsi" w:hAnsiTheme="minorHAnsi" w:cstheme="minorHAnsi"/>
                <w:sz w:val="18"/>
                <w:szCs w:val="18"/>
              </w:rPr>
              <w:t>83</w:t>
            </w:r>
          </w:p>
        </w:tc>
      </w:tr>
    </w:tbl>
    <w:p w:rsidR="009C7452" w:rsidRPr="005F120D" w:rsidRDefault="005A7C7E" w:rsidP="000A5B80">
      <w:pPr>
        <w:pStyle w:val="Tablenotes"/>
      </w:pPr>
      <w:r w:rsidRPr="005F120D">
        <w:t>The main factor contributing to this rapid improvement appears to be the introduction of PECE as more pupils outside of GPS/NNPS appeared in this exam. Other factors could include free secondary education for girls</w:t>
      </w:r>
      <w:r w:rsidR="00BE5BB2" w:rsidRPr="005F120D">
        <w:t>,</w:t>
      </w:r>
      <w:r w:rsidRPr="005F120D">
        <w:t xml:space="preserve"> and the stipend program that provide incentives for students to complete primary education and enter the secondary level</w:t>
      </w:r>
      <w:r w:rsidR="0083191D" w:rsidRPr="005F120D">
        <w:t>.</w:t>
      </w:r>
    </w:p>
    <w:p w:rsidR="007B77FC" w:rsidRPr="005F120D" w:rsidRDefault="007B77FC" w:rsidP="007B77FC">
      <w:pPr>
        <w:pStyle w:val="BodyText1"/>
        <w:rPr>
          <w:rFonts w:asciiTheme="minorHAnsi" w:hAnsiTheme="minorHAnsi" w:cstheme="minorHAnsi"/>
          <w:lang w:val="en-US"/>
        </w:rPr>
      </w:pPr>
    </w:p>
    <w:p w:rsidR="000C6AE2" w:rsidRPr="005F120D" w:rsidRDefault="0094001D" w:rsidP="00C437AA">
      <w:pPr>
        <w:pStyle w:val="Caption"/>
        <w:spacing w:line="276" w:lineRule="auto"/>
        <w:rPr>
          <w:rFonts w:cstheme="minorHAnsi"/>
        </w:rPr>
      </w:pPr>
      <w:bookmarkStart w:id="389" w:name="_Toc462837435"/>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26</w:t>
      </w:r>
      <w:r w:rsidR="002E2ED5" w:rsidRPr="005F120D">
        <w:rPr>
          <w:rFonts w:cstheme="minorHAnsi"/>
        </w:rPr>
        <w:fldChar w:fldCharType="end"/>
      </w:r>
      <w:r w:rsidR="006A7739" w:rsidRPr="005F120D">
        <w:rPr>
          <w:rFonts w:cstheme="minorHAnsi"/>
        </w:rPr>
        <w:t>:</w:t>
      </w:r>
      <w:r w:rsidR="00464FE4">
        <w:rPr>
          <w:rFonts w:cstheme="minorHAnsi"/>
        </w:rPr>
        <w:t xml:space="preserve"> </w:t>
      </w:r>
      <w:r w:rsidR="00187336" w:rsidRPr="005F120D">
        <w:rPr>
          <w:rFonts w:cstheme="minorHAnsi"/>
        </w:rPr>
        <w:t xml:space="preserve">Primary Cycle </w:t>
      </w:r>
      <w:r w:rsidR="000C6AE2" w:rsidRPr="005F120D">
        <w:rPr>
          <w:rFonts w:cstheme="minorHAnsi"/>
        </w:rPr>
        <w:t>Co</w:t>
      </w:r>
      <w:r w:rsidR="00BA595F" w:rsidRPr="005F120D">
        <w:rPr>
          <w:rFonts w:cstheme="minorHAnsi"/>
        </w:rPr>
        <w:t>mpletion R</w:t>
      </w:r>
      <w:r w:rsidR="00187336" w:rsidRPr="005F120D">
        <w:rPr>
          <w:rFonts w:cstheme="minorHAnsi"/>
        </w:rPr>
        <w:t>ate (%) 2005-201</w:t>
      </w:r>
      <w:r w:rsidR="002320F9" w:rsidRPr="005F120D">
        <w:rPr>
          <w:rFonts w:cstheme="minorHAnsi"/>
        </w:rPr>
        <w:t>5</w:t>
      </w:r>
      <w:bookmarkEnd w:id="389"/>
    </w:p>
    <w:p w:rsidR="000C6AE2" w:rsidRPr="005F120D" w:rsidRDefault="002E2ED5" w:rsidP="00C437AA">
      <w:pPr>
        <w:pStyle w:val="BodyText1"/>
        <w:spacing w:after="0"/>
        <w:jc w:val="center"/>
        <w:rPr>
          <w:rFonts w:asciiTheme="minorHAnsi" w:hAnsiTheme="minorHAnsi" w:cstheme="minorHAnsi"/>
          <w:color w:val="FF0000"/>
          <w:lang w:val="en-US"/>
        </w:rPr>
      </w:pPr>
      <w:r>
        <w:rPr>
          <w:rFonts w:asciiTheme="minorHAnsi" w:hAnsiTheme="minorHAnsi" w:cstheme="minorHAnsi"/>
          <w:noProof/>
          <w:color w:val="FF0000"/>
          <w:lang w:val="en-US" w:eastAsia="en-US"/>
        </w:rPr>
        <w:pict>
          <v:shape id="AutoShape 388" o:spid="_x0000_s1082" type="#_x0000_t32" style="position:absolute;left:0;text-align:left;margin-left:63.15pt;margin-top:30.3pt;width:348.45pt;height:.65pt;flip:y;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" strokecolor="#c00000" strokeweight="2pt">
            <v:shadow opacity=".5" offset="6pt,6pt"/>
          </v:shape>
        </w:pict>
      </w:r>
      <w:r w:rsidR="002915EF" w:rsidRPr="005F120D">
        <w:rPr>
          <w:rFonts w:asciiTheme="minorHAnsi" w:hAnsiTheme="minorHAnsi" w:cstheme="minorHAnsi"/>
          <w:noProof/>
          <w:color w:val="FF0000"/>
          <w:lang w:val="en-US" w:eastAsia="en-US"/>
        </w:rPr>
        <w:drawing>
          <wp:inline distT="0" distB="0" distL="0" distR="0">
            <wp:extent cx="5073934" cy="2075881"/>
            <wp:effectExtent l="38100" t="19050" r="12416" b="569"/>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D14D1" w:rsidRPr="005F120D" w:rsidRDefault="001E4756" w:rsidP="00C437AA">
      <w:pPr>
        <w:pStyle w:val="BodyText1"/>
        <w:spacing w:after="0"/>
        <w:rPr>
          <w:rFonts w:asciiTheme="minorHAnsi" w:hAnsiTheme="minorHAnsi" w:cstheme="minorHAnsi"/>
          <w:i/>
          <w:sz w:val="16"/>
          <w:szCs w:val="16"/>
          <w:lang w:val="en-US"/>
        </w:rPr>
      </w:pPr>
      <w:r w:rsidRPr="005F120D">
        <w:rPr>
          <w:rFonts w:asciiTheme="minorHAnsi" w:hAnsiTheme="minorHAnsi" w:cstheme="minorHAnsi"/>
          <w:color w:val="FF0000"/>
          <w:lang w:val="en-US"/>
        </w:rPr>
        <w:tab/>
      </w:r>
      <w:r w:rsidR="002320F9" w:rsidRPr="005F120D">
        <w:rPr>
          <w:rFonts w:asciiTheme="minorHAnsi" w:hAnsiTheme="minorHAnsi" w:cstheme="minorHAnsi"/>
          <w:i/>
          <w:sz w:val="16"/>
          <w:szCs w:val="16"/>
          <w:lang w:val="en-US"/>
        </w:rPr>
        <w:t>Source: APSC 2005-2015</w:t>
      </w:r>
    </w:p>
    <w:p w:rsidR="00E73740" w:rsidRPr="005F120D" w:rsidRDefault="00E73740" w:rsidP="00C437AA">
      <w:pPr>
        <w:pStyle w:val="BodyText1"/>
        <w:spacing w:after="0"/>
        <w:rPr>
          <w:rFonts w:asciiTheme="minorHAnsi" w:hAnsiTheme="minorHAnsi" w:cstheme="minorHAnsi"/>
          <w:i/>
          <w:color w:val="FF0000"/>
          <w:sz w:val="16"/>
          <w:szCs w:val="16"/>
          <w:lang w:val="en-US"/>
        </w:rPr>
      </w:pPr>
    </w:p>
    <w:p w:rsidR="00E73740" w:rsidRPr="005F120D" w:rsidRDefault="005A7C7E" w:rsidP="008F6323">
      <w:pPr>
        <w:pStyle w:val="BodyText1"/>
        <w:spacing w:line="240" w:lineRule="auto"/>
        <w:jc w:val="both"/>
        <w:rPr>
          <w:rFonts w:asciiTheme="minorHAnsi" w:hAnsiTheme="minorHAnsi" w:cstheme="minorHAnsi"/>
          <w:b w:val="0"/>
          <w:lang w:val="en-US"/>
        </w:rPr>
      </w:pPr>
      <w:r w:rsidRPr="005F120D">
        <w:rPr>
          <w:rFonts w:asciiTheme="minorHAnsi" w:hAnsiTheme="minorHAnsi" w:cstheme="minorHAnsi"/>
          <w:b w:val="0"/>
          <w:lang w:val="en-US"/>
        </w:rPr>
        <w:t xml:space="preserve">The 2015 Education Watch report mentioned that the completion rate of primary education was </w:t>
      </w:r>
      <w:r w:rsidRPr="005F120D">
        <w:rPr>
          <w:rFonts w:asciiTheme="minorHAnsi" w:hAnsiTheme="minorHAnsi" w:cstheme="minorHAnsi"/>
          <w:b w:val="0"/>
          <w:u w:val="single"/>
          <w:lang w:val="en-US"/>
        </w:rPr>
        <w:t>79.2%</w:t>
      </w:r>
      <w:r w:rsidRPr="005F120D">
        <w:rPr>
          <w:rFonts w:asciiTheme="minorHAnsi" w:hAnsiTheme="minorHAnsi" w:cstheme="minorHAnsi"/>
          <w:b w:val="0"/>
          <w:lang w:val="en-US"/>
        </w:rPr>
        <w:t xml:space="preserve"> (boys 72.4% and girls 85.6%) in 2013. Similarly, the MICS 2012/13 survey (report published in 2014) found that the completion rate was </w:t>
      </w:r>
      <w:r w:rsidRPr="005F120D">
        <w:rPr>
          <w:rFonts w:asciiTheme="minorHAnsi" w:hAnsiTheme="minorHAnsi" w:cstheme="minorHAnsi"/>
          <w:b w:val="0"/>
          <w:u w:val="single"/>
          <w:lang w:val="en-US"/>
        </w:rPr>
        <w:t>79.5%</w:t>
      </w:r>
      <w:r w:rsidRPr="005F120D">
        <w:rPr>
          <w:rFonts w:asciiTheme="minorHAnsi" w:hAnsiTheme="minorHAnsi" w:cstheme="minorHAnsi"/>
          <w:b w:val="0"/>
          <w:lang w:val="en-US"/>
        </w:rPr>
        <w:t xml:space="preserve"> (boys 74% and girls 86%) in 2013. Both findings are consistent with APSC 2013 (</w:t>
      </w:r>
      <w:r w:rsidRPr="005F120D">
        <w:rPr>
          <w:rFonts w:asciiTheme="minorHAnsi" w:hAnsiTheme="minorHAnsi" w:cstheme="minorHAnsi"/>
          <w:b w:val="0"/>
          <w:u w:val="single"/>
          <w:lang w:val="en-US"/>
        </w:rPr>
        <w:t>78.6%</w:t>
      </w:r>
      <w:r w:rsidRPr="005F120D">
        <w:rPr>
          <w:rFonts w:asciiTheme="minorHAnsi" w:hAnsiTheme="minorHAnsi" w:cstheme="minorHAnsi"/>
          <w:b w:val="0"/>
          <w:lang w:val="en-US"/>
        </w:rPr>
        <w:t>) and APSC 2014 (</w:t>
      </w:r>
      <w:r w:rsidRPr="005F120D">
        <w:rPr>
          <w:rFonts w:asciiTheme="minorHAnsi" w:hAnsiTheme="minorHAnsi" w:cstheme="minorHAnsi"/>
          <w:b w:val="0"/>
          <w:u w:val="single"/>
          <w:lang w:val="en-US"/>
        </w:rPr>
        <w:t>79.1%</w:t>
      </w:r>
      <w:r w:rsidRPr="005F120D">
        <w:rPr>
          <w:rFonts w:asciiTheme="minorHAnsi" w:hAnsiTheme="minorHAnsi" w:cstheme="minorHAnsi"/>
          <w:b w:val="0"/>
          <w:lang w:val="en-US"/>
        </w:rPr>
        <w:t>). It is clear from the number of different sources of information that the primary cycle completion rate has improved considerably during the PEDP3 period; it was around 80% in 2015. According to MICS 2012/13, Rajshahi division was the highest achiever (92.5%) and Dhaka division the lowest (71.2%) in the primary completion rate. Considering all three</w:t>
      </w:r>
      <w:r w:rsidR="00BE5BB2" w:rsidRPr="005F120D">
        <w:rPr>
          <w:rFonts w:asciiTheme="minorHAnsi" w:hAnsiTheme="minorHAnsi" w:cstheme="minorHAnsi"/>
          <w:b w:val="0"/>
          <w:lang w:val="en-US"/>
        </w:rPr>
        <w:t xml:space="preserve"> sources, girls are ahead of</w:t>
      </w:r>
      <w:r w:rsidRPr="005F120D">
        <w:rPr>
          <w:rFonts w:asciiTheme="minorHAnsi" w:hAnsiTheme="minorHAnsi" w:cstheme="minorHAnsi"/>
          <w:b w:val="0"/>
          <w:lang w:val="en-US"/>
        </w:rPr>
        <w:t xml:space="preserve"> boys</w:t>
      </w:r>
      <w:r w:rsidR="003741FA" w:rsidRPr="005F120D">
        <w:rPr>
          <w:rFonts w:asciiTheme="minorHAnsi" w:hAnsiTheme="minorHAnsi" w:cstheme="minorHAnsi"/>
          <w:b w:val="0"/>
          <w:lang w:val="en-US"/>
        </w:rPr>
        <w:t>.</w:t>
      </w:r>
    </w:p>
    <w:p w:rsidR="00AD4A56" w:rsidRPr="005F120D" w:rsidRDefault="00071A3E" w:rsidP="008F6323">
      <w:pPr>
        <w:pStyle w:val="Heading4"/>
        <w:rPr>
          <w:rFonts w:asciiTheme="minorHAnsi" w:hAnsiTheme="minorHAnsi" w:cstheme="minorHAnsi"/>
          <w:b/>
          <w:color w:val="008000"/>
        </w:rPr>
      </w:pPr>
      <w:r w:rsidRPr="005F120D">
        <w:rPr>
          <w:rFonts w:asciiTheme="minorHAnsi" w:hAnsiTheme="minorHAnsi" w:cstheme="minorHAnsi"/>
          <w:b/>
          <w:color w:val="008000"/>
        </w:rPr>
        <w:t xml:space="preserve">Primary </w:t>
      </w:r>
      <w:r w:rsidR="00BA595F" w:rsidRPr="005F120D">
        <w:rPr>
          <w:rFonts w:asciiTheme="minorHAnsi" w:hAnsiTheme="minorHAnsi" w:cstheme="minorHAnsi"/>
          <w:b/>
          <w:color w:val="008000"/>
        </w:rPr>
        <w:t>Cycle Dropout R</w:t>
      </w:r>
      <w:r w:rsidR="00AD4A56" w:rsidRPr="005F120D">
        <w:rPr>
          <w:rFonts w:asciiTheme="minorHAnsi" w:hAnsiTheme="minorHAnsi" w:cstheme="minorHAnsi"/>
          <w:b/>
          <w:color w:val="008000"/>
        </w:rPr>
        <w:t>ate</w:t>
      </w:r>
    </w:p>
    <w:p w:rsidR="007C1D77" w:rsidRPr="005F120D" w:rsidRDefault="007B77FC" w:rsidP="008F6323">
      <w:pPr>
        <w:jc w:val="both"/>
        <w:rPr>
          <w:rFonts w:asciiTheme="minorHAnsi" w:hAnsiTheme="minorHAnsi" w:cstheme="minorHAnsi"/>
        </w:rPr>
      </w:pPr>
      <w:bookmarkStart w:id="390" w:name="_Ref387069700"/>
      <w:bookmarkStart w:id="391" w:name="_Ref331077153"/>
      <w:bookmarkStart w:id="392" w:name="_Ref331077739"/>
      <w:bookmarkStart w:id="393" w:name="_Ref331077940"/>
      <w:bookmarkStart w:id="394" w:name="_Ref331082564"/>
      <w:bookmarkStart w:id="395" w:name="_Toc338839602"/>
      <w:r w:rsidRPr="005F120D">
        <w:rPr>
          <w:rFonts w:asciiTheme="minorHAnsi" w:hAnsiTheme="minorHAnsi" w:cstheme="minorHAnsi"/>
        </w:rPr>
        <w:t>Primary cycle dropout and repetition rates are key internal efficiency indicators that show how the system converts inputs (budgets) to outputs (students who completed primary education).  If students repeat grades or if they dropped out from school before they completed the primary education cycle, then there is inefficiency and wastage of public as well as private resources.  Internal efficiency indicators are calculated using the UNESCO reconstruction cohort model on evidence from GPS, NNPS and experimental schools</w:t>
      </w:r>
      <w:r w:rsidR="001135C8" w:rsidRPr="005F120D">
        <w:rPr>
          <w:rFonts w:asciiTheme="minorHAnsi" w:hAnsiTheme="minorHAnsi" w:cstheme="minorHAnsi"/>
        </w:rPr>
        <w:t>. This model has been used</w:t>
      </w:r>
      <w:r w:rsidRPr="005F120D">
        <w:rPr>
          <w:rFonts w:asciiTheme="minorHAnsi" w:hAnsiTheme="minorHAnsi" w:cstheme="minorHAnsi"/>
        </w:rPr>
        <w:t xml:space="preserve"> since 2013</w:t>
      </w:r>
      <w:r w:rsidR="007C1D77" w:rsidRPr="005F120D">
        <w:rPr>
          <w:rFonts w:asciiTheme="minorHAnsi" w:hAnsiTheme="minorHAnsi" w:cstheme="minorHAnsi"/>
        </w:rPr>
        <w:t xml:space="preserve">.   </w:t>
      </w:r>
    </w:p>
    <w:p w:rsidR="007C1D77" w:rsidRPr="005F120D" w:rsidRDefault="007C1D77" w:rsidP="008F6323">
      <w:pPr>
        <w:jc w:val="both"/>
        <w:rPr>
          <w:rFonts w:asciiTheme="minorHAnsi" w:hAnsiTheme="minorHAnsi" w:cstheme="minorHAnsi"/>
          <w:iCs/>
        </w:rPr>
      </w:pPr>
      <w:r w:rsidRPr="005F120D">
        <w:rPr>
          <w:rFonts w:asciiTheme="minorHAnsi" w:hAnsiTheme="minorHAnsi" w:cstheme="minorHAnsi"/>
        </w:rPr>
        <w:t>The estimates on cycle dropout rates by grade and gender from 2005-2015 ar</w:t>
      </w:r>
      <w:r w:rsidR="008F6323" w:rsidRPr="005F120D">
        <w:rPr>
          <w:rFonts w:asciiTheme="minorHAnsi" w:hAnsiTheme="minorHAnsi" w:cstheme="minorHAnsi"/>
          <w:iCs/>
        </w:rPr>
        <w:t>e presented in Tables 3.28 and Table 3.29</w:t>
      </w:r>
      <w:r w:rsidRPr="005F120D">
        <w:rPr>
          <w:rFonts w:asciiTheme="minorHAnsi" w:hAnsiTheme="minorHAnsi" w:cstheme="minorHAnsi"/>
          <w:iCs/>
        </w:rPr>
        <w:t>. The overall conclusion is that the d</w:t>
      </w:r>
      <w:r w:rsidRPr="005F120D">
        <w:rPr>
          <w:rFonts w:asciiTheme="minorHAnsi" w:hAnsiTheme="minorHAnsi" w:cstheme="minorHAnsi"/>
        </w:rPr>
        <w:t xml:space="preserve">eclining dropout rate has contributed to the improvement of internal efficiency, which is measured using </w:t>
      </w:r>
      <w:r w:rsidRPr="005F120D">
        <w:rPr>
          <w:rFonts w:asciiTheme="minorHAnsi" w:hAnsiTheme="minorHAnsi" w:cstheme="minorHAnsi"/>
          <w:u w:val="single"/>
        </w:rPr>
        <w:t>KPI 13:</w:t>
      </w:r>
    </w:p>
    <w:p w:rsidR="007B77FC" w:rsidRPr="005F120D" w:rsidRDefault="007C1D77" w:rsidP="008F6323">
      <w:pPr>
        <w:ind w:left="90"/>
        <w:jc w:val="both"/>
        <w:rPr>
          <w:rFonts w:asciiTheme="minorHAnsi" w:hAnsiTheme="minorHAnsi" w:cstheme="minorHAnsi"/>
        </w:rPr>
      </w:pPr>
      <w:r w:rsidRPr="005F120D">
        <w:rPr>
          <w:rFonts w:asciiTheme="minorHAnsi" w:hAnsiTheme="minorHAnsi" w:cstheme="minorHAnsi"/>
        </w:rPr>
        <w:t>The cycle dropout rate (calculated using the UNESCO reconstructed cohort model) has fallen amazingly since 2008 (when it was at 50%) to 20.4% in 2015 (see Table</w:t>
      </w:r>
      <w:r w:rsidR="00BE5BB2" w:rsidRPr="005F120D">
        <w:rPr>
          <w:rFonts w:asciiTheme="minorHAnsi" w:hAnsiTheme="minorHAnsi" w:cstheme="minorHAnsi"/>
        </w:rPr>
        <w:t xml:space="preserve"> 3.29).   This is an excellent</w:t>
      </w:r>
      <w:r w:rsidRPr="005F120D">
        <w:rPr>
          <w:rFonts w:asciiTheme="minorHAnsi" w:hAnsiTheme="minorHAnsi" w:cstheme="minorHAnsi"/>
        </w:rPr>
        <w:t xml:space="preserve"> achievement but remains an ongoing challenge for DPE as for ev</w:t>
      </w:r>
      <w:r w:rsidR="00BE5BB2" w:rsidRPr="005F120D">
        <w:rPr>
          <w:rFonts w:asciiTheme="minorHAnsi" w:hAnsiTheme="minorHAnsi" w:cstheme="minorHAnsi"/>
        </w:rPr>
        <w:t>ery 100 children, who enter</w:t>
      </w:r>
      <w:r w:rsidRPr="005F120D">
        <w:rPr>
          <w:rFonts w:asciiTheme="minorHAnsi" w:hAnsiTheme="minorHAnsi" w:cstheme="minorHAnsi"/>
        </w:rPr>
        <w:t xml:space="preserve"> primary school, only 79.6 are likely to complete Grade 5.</w:t>
      </w:r>
    </w:p>
    <w:p w:rsidR="00AD4A56" w:rsidRPr="005F120D" w:rsidRDefault="00E73740" w:rsidP="00C437AA">
      <w:pPr>
        <w:pStyle w:val="Caption"/>
        <w:spacing w:line="276" w:lineRule="auto"/>
        <w:rPr>
          <w:rFonts w:cstheme="minorHAnsi"/>
        </w:rPr>
      </w:pPr>
      <w:bookmarkStart w:id="396" w:name="_Toc462837285"/>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28</w:t>
      </w:r>
      <w:r w:rsidR="002E2ED5" w:rsidRPr="005F120D">
        <w:rPr>
          <w:rFonts w:cstheme="minorHAnsi"/>
        </w:rPr>
        <w:fldChar w:fldCharType="end"/>
      </w:r>
      <w:bookmarkEnd w:id="390"/>
      <w:r w:rsidR="006A7739" w:rsidRPr="005F120D">
        <w:rPr>
          <w:rFonts w:cstheme="minorHAnsi"/>
        </w:rPr>
        <w:t>:</w:t>
      </w:r>
      <w:r w:rsidR="00F83E43">
        <w:rPr>
          <w:rFonts w:cstheme="minorHAnsi"/>
        </w:rPr>
        <w:t xml:space="preserve"> </w:t>
      </w:r>
      <w:r w:rsidR="00220FED" w:rsidRPr="005F120D">
        <w:rPr>
          <w:rFonts w:cstheme="minorHAnsi"/>
        </w:rPr>
        <w:t xml:space="preserve">Primary Cycle </w:t>
      </w:r>
      <w:r w:rsidR="00AD4A56" w:rsidRPr="005F120D">
        <w:rPr>
          <w:rFonts w:cstheme="minorHAnsi"/>
        </w:rPr>
        <w:t>Dropout Rate 2005–201</w:t>
      </w:r>
      <w:bookmarkEnd w:id="391"/>
      <w:bookmarkEnd w:id="392"/>
      <w:bookmarkEnd w:id="393"/>
      <w:bookmarkEnd w:id="394"/>
      <w:bookmarkEnd w:id="395"/>
      <w:r w:rsidR="00220FED" w:rsidRPr="005F120D">
        <w:rPr>
          <w:rFonts w:cstheme="minorHAnsi"/>
        </w:rPr>
        <w:t>5</w:t>
      </w:r>
      <w:bookmarkEnd w:id="396"/>
    </w:p>
    <w:tbl>
      <w:tblPr>
        <w:tblW w:w="5000" w:type="pct"/>
        <w:jc w:val="center"/>
        <w:tbl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insideH w:val="single" w:sz="6" w:space="0" w:color="76923C" w:themeColor="accent3" w:themeShade="BF"/>
          <w:insideV w:val="single" w:sz="6" w:space="0" w:color="76923C" w:themeColor="accent3" w:themeShade="BF"/>
        </w:tblBorders>
        <w:tblLook w:val="01E0"/>
      </w:tblPr>
      <w:tblGrid>
        <w:gridCol w:w="2044"/>
        <w:gridCol w:w="1244"/>
        <w:gridCol w:w="851"/>
        <w:gridCol w:w="851"/>
        <w:gridCol w:w="851"/>
        <w:gridCol w:w="851"/>
        <w:gridCol w:w="851"/>
        <w:gridCol w:w="851"/>
        <w:gridCol w:w="851"/>
      </w:tblGrid>
      <w:tr w:rsidR="007B77FC" w:rsidRPr="005F120D" w:rsidTr="007B77FC">
        <w:trPr>
          <w:trHeight w:val="378"/>
          <w:jc w:val="center"/>
        </w:trPr>
        <w:tc>
          <w:tcPr>
            <w:tcW w:w="1105" w:type="pct"/>
            <w:tcBorders>
              <w:bottom w:val="single" w:sz="6" w:space="0" w:color="76923C" w:themeColor="accent3" w:themeShade="BF"/>
            </w:tcBorders>
            <w:shd w:val="clear" w:color="auto" w:fill="C2D69B" w:themeFill="accent3" w:themeFillTint="99"/>
          </w:tcPr>
          <w:p w:rsidR="007B77FC" w:rsidRPr="005F120D" w:rsidRDefault="007B77FC" w:rsidP="00936D9E">
            <w:pPr>
              <w:pStyle w:val="Tabletext"/>
              <w:rPr>
                <w:rFonts w:asciiTheme="minorHAnsi" w:hAnsiTheme="minorHAnsi" w:cstheme="minorHAnsi"/>
              </w:rPr>
            </w:pPr>
          </w:p>
        </w:tc>
        <w:tc>
          <w:tcPr>
            <w:tcW w:w="673" w:type="pct"/>
            <w:tcBorders>
              <w:bottom w:val="single" w:sz="6" w:space="0" w:color="76923C" w:themeColor="accent3" w:themeShade="BF"/>
            </w:tcBorders>
            <w:shd w:val="clear" w:color="auto" w:fill="C2D69B" w:themeFill="accent3" w:themeFillTint="99"/>
          </w:tcPr>
          <w:p w:rsidR="007B77FC" w:rsidRPr="005F120D" w:rsidRDefault="007B77FC" w:rsidP="00936D9E">
            <w:pPr>
              <w:pStyle w:val="Tabletext"/>
              <w:rPr>
                <w:rFonts w:asciiTheme="minorHAnsi" w:hAnsiTheme="minorHAnsi" w:cstheme="minorHAnsi"/>
              </w:rPr>
            </w:pPr>
          </w:p>
        </w:tc>
        <w:tc>
          <w:tcPr>
            <w:tcW w:w="460" w:type="pct"/>
            <w:tcBorders>
              <w:bottom w:val="single" w:sz="6" w:space="0" w:color="76923C" w:themeColor="accent3" w:themeShade="BF"/>
            </w:tcBorders>
            <w:shd w:val="clear" w:color="auto" w:fill="C2D69B" w:themeFill="accent3" w:themeFillTint="99"/>
            <w:vAlign w:val="center"/>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2005</w:t>
            </w:r>
          </w:p>
        </w:tc>
        <w:tc>
          <w:tcPr>
            <w:tcW w:w="460" w:type="pct"/>
            <w:tcBorders>
              <w:bottom w:val="single" w:sz="6" w:space="0" w:color="76923C" w:themeColor="accent3" w:themeShade="BF"/>
            </w:tcBorders>
            <w:shd w:val="clear" w:color="auto" w:fill="C2D69B" w:themeFill="accent3" w:themeFillTint="99"/>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2010</w:t>
            </w:r>
          </w:p>
        </w:tc>
        <w:tc>
          <w:tcPr>
            <w:tcW w:w="460" w:type="pct"/>
            <w:tcBorders>
              <w:bottom w:val="single" w:sz="6" w:space="0" w:color="76923C" w:themeColor="accent3" w:themeShade="BF"/>
            </w:tcBorders>
            <w:shd w:val="clear" w:color="auto" w:fill="C2D69B" w:themeFill="accent3" w:themeFillTint="99"/>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2011</w:t>
            </w:r>
          </w:p>
        </w:tc>
        <w:tc>
          <w:tcPr>
            <w:tcW w:w="460" w:type="pct"/>
            <w:tcBorders>
              <w:bottom w:val="single" w:sz="6" w:space="0" w:color="76923C" w:themeColor="accent3" w:themeShade="BF"/>
            </w:tcBorders>
            <w:shd w:val="clear" w:color="auto" w:fill="C2D69B" w:themeFill="accent3" w:themeFillTint="99"/>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2012</w:t>
            </w:r>
          </w:p>
        </w:tc>
        <w:tc>
          <w:tcPr>
            <w:tcW w:w="460" w:type="pct"/>
            <w:tcBorders>
              <w:bottom w:val="single" w:sz="6" w:space="0" w:color="76923C" w:themeColor="accent3" w:themeShade="BF"/>
            </w:tcBorders>
            <w:shd w:val="clear" w:color="auto" w:fill="C2D69B" w:themeFill="accent3" w:themeFillTint="99"/>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2013</w:t>
            </w:r>
          </w:p>
        </w:tc>
        <w:tc>
          <w:tcPr>
            <w:tcW w:w="460" w:type="pct"/>
            <w:tcBorders>
              <w:bottom w:val="single" w:sz="6" w:space="0" w:color="76923C" w:themeColor="accent3" w:themeShade="BF"/>
            </w:tcBorders>
            <w:shd w:val="clear" w:color="auto" w:fill="C2D69B" w:themeFill="accent3" w:themeFillTint="99"/>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2014</w:t>
            </w:r>
          </w:p>
        </w:tc>
        <w:tc>
          <w:tcPr>
            <w:tcW w:w="460" w:type="pct"/>
            <w:tcBorders>
              <w:bottom w:val="single" w:sz="6" w:space="0" w:color="76923C" w:themeColor="accent3" w:themeShade="BF"/>
            </w:tcBorders>
            <w:shd w:val="clear" w:color="auto" w:fill="C2D69B" w:themeFill="accent3" w:themeFillTint="99"/>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2015</w:t>
            </w:r>
          </w:p>
        </w:tc>
      </w:tr>
      <w:tr w:rsidR="007B77FC" w:rsidRPr="005F120D" w:rsidTr="007B77FC">
        <w:trPr>
          <w:trHeight w:val="286"/>
          <w:jc w:val="center"/>
        </w:trPr>
        <w:tc>
          <w:tcPr>
            <w:tcW w:w="1105" w:type="pct"/>
            <w:vMerge w:val="restart"/>
            <w:tcBorders>
              <w:top w:val="single" w:sz="6" w:space="0" w:color="76923C" w:themeColor="accent3" w:themeShade="BF"/>
              <w:bottom w:val="single" w:sz="6" w:space="0" w:color="76923C" w:themeColor="accent3" w:themeShade="BF"/>
            </w:tcBorders>
            <w:shd w:val="clear" w:color="auto" w:fill="FFFFFF" w:themeFill="background1"/>
            <w:vAlign w:val="center"/>
          </w:tcPr>
          <w:p w:rsidR="007B77FC" w:rsidRPr="005F120D" w:rsidRDefault="007B77FC" w:rsidP="00936D9E">
            <w:pPr>
              <w:pStyle w:val="Tabletext"/>
              <w:jc w:val="center"/>
              <w:rPr>
                <w:rFonts w:asciiTheme="minorHAnsi" w:hAnsiTheme="minorHAnsi" w:cstheme="minorHAnsi"/>
                <w:b/>
              </w:rPr>
            </w:pPr>
            <w:r w:rsidRPr="005F120D">
              <w:rPr>
                <w:rFonts w:asciiTheme="minorHAnsi" w:hAnsiTheme="minorHAnsi" w:cstheme="minorHAnsi"/>
                <w:b/>
              </w:rPr>
              <w:t>Cycle dropout rate (%)</w:t>
            </w:r>
          </w:p>
        </w:tc>
        <w:tc>
          <w:tcPr>
            <w:tcW w:w="673"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rPr>
                <w:rFonts w:asciiTheme="minorHAnsi" w:hAnsiTheme="minorHAnsi" w:cstheme="minorHAnsi"/>
              </w:rPr>
            </w:pPr>
            <w:r w:rsidRPr="005F120D">
              <w:rPr>
                <w:rFonts w:asciiTheme="minorHAnsi" w:hAnsiTheme="minorHAnsi" w:cstheme="minorHAnsi"/>
              </w:rPr>
              <w:t>All</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47.2</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39.8</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29.7</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26.2</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21.4</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20.9</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20.4</w:t>
            </w:r>
          </w:p>
        </w:tc>
      </w:tr>
      <w:tr w:rsidR="007B77FC" w:rsidRPr="005F120D" w:rsidTr="007B77FC">
        <w:trPr>
          <w:trHeight w:val="240"/>
          <w:jc w:val="center"/>
        </w:trPr>
        <w:tc>
          <w:tcPr>
            <w:tcW w:w="1105" w:type="pct"/>
            <w:vMerge/>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rPr>
                <w:rFonts w:asciiTheme="minorHAnsi" w:hAnsiTheme="minorHAnsi" w:cstheme="minorHAnsi"/>
              </w:rPr>
            </w:pPr>
          </w:p>
        </w:tc>
        <w:tc>
          <w:tcPr>
            <w:tcW w:w="673"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rPr>
                <w:rFonts w:asciiTheme="minorHAnsi" w:hAnsiTheme="minorHAnsi" w:cstheme="minorHAnsi"/>
              </w:rPr>
            </w:pPr>
            <w:r w:rsidRPr="005F120D">
              <w:rPr>
                <w:rFonts w:asciiTheme="minorHAnsi" w:hAnsiTheme="minorHAnsi" w:cstheme="minorHAnsi"/>
              </w:rPr>
              <w:t>Boys</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n/a</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40.3</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32.4</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28.3</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24.9</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24.3</w:t>
            </w:r>
          </w:p>
        </w:tc>
        <w:tc>
          <w:tcPr>
            <w:tcW w:w="460" w:type="pct"/>
            <w:tcBorders>
              <w:top w:val="single" w:sz="6" w:space="0" w:color="76923C" w:themeColor="accent3" w:themeShade="BF"/>
              <w:bottom w:val="single" w:sz="6"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23.9</w:t>
            </w:r>
          </w:p>
        </w:tc>
      </w:tr>
      <w:tr w:rsidR="007B77FC" w:rsidRPr="005F120D" w:rsidTr="007B77FC">
        <w:trPr>
          <w:trHeight w:val="268"/>
          <w:jc w:val="center"/>
        </w:trPr>
        <w:tc>
          <w:tcPr>
            <w:tcW w:w="1105" w:type="pct"/>
            <w:vMerge/>
            <w:tcBorders>
              <w:top w:val="single" w:sz="6" w:space="0" w:color="76923C" w:themeColor="accent3" w:themeShade="BF"/>
              <w:bottom w:val="double" w:sz="4" w:space="0" w:color="76923C" w:themeColor="accent3" w:themeShade="BF"/>
            </w:tcBorders>
            <w:shd w:val="clear" w:color="auto" w:fill="FFFFFF" w:themeFill="background1"/>
          </w:tcPr>
          <w:p w:rsidR="007B77FC" w:rsidRPr="005F120D" w:rsidRDefault="007B77FC" w:rsidP="00936D9E">
            <w:pPr>
              <w:pStyle w:val="Tabletext"/>
              <w:rPr>
                <w:rFonts w:asciiTheme="minorHAnsi" w:hAnsiTheme="minorHAnsi" w:cstheme="minorHAnsi"/>
              </w:rPr>
            </w:pPr>
          </w:p>
        </w:tc>
        <w:tc>
          <w:tcPr>
            <w:tcW w:w="673" w:type="pct"/>
            <w:tcBorders>
              <w:top w:val="single" w:sz="6" w:space="0" w:color="76923C" w:themeColor="accent3" w:themeShade="BF"/>
              <w:bottom w:val="double" w:sz="4" w:space="0" w:color="76923C" w:themeColor="accent3" w:themeShade="BF"/>
            </w:tcBorders>
            <w:shd w:val="clear" w:color="auto" w:fill="FFFFFF" w:themeFill="background1"/>
          </w:tcPr>
          <w:p w:rsidR="007B77FC" w:rsidRPr="005F120D" w:rsidRDefault="007B77FC" w:rsidP="00936D9E">
            <w:pPr>
              <w:pStyle w:val="Tabletext"/>
              <w:rPr>
                <w:rFonts w:asciiTheme="minorHAnsi" w:hAnsiTheme="minorHAnsi" w:cstheme="minorHAnsi"/>
              </w:rPr>
            </w:pPr>
            <w:r w:rsidRPr="005F120D">
              <w:rPr>
                <w:rFonts w:asciiTheme="minorHAnsi" w:hAnsiTheme="minorHAnsi" w:cstheme="minorHAnsi"/>
              </w:rPr>
              <w:t>Girls</w:t>
            </w:r>
          </w:p>
        </w:tc>
        <w:tc>
          <w:tcPr>
            <w:tcW w:w="460" w:type="pct"/>
            <w:tcBorders>
              <w:top w:val="single" w:sz="6" w:space="0" w:color="76923C" w:themeColor="accent3" w:themeShade="BF"/>
              <w:bottom w:val="double" w:sz="4"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n/a</w:t>
            </w:r>
          </w:p>
        </w:tc>
        <w:tc>
          <w:tcPr>
            <w:tcW w:w="460" w:type="pct"/>
            <w:tcBorders>
              <w:top w:val="single" w:sz="6" w:space="0" w:color="76923C" w:themeColor="accent3" w:themeShade="BF"/>
              <w:bottom w:val="double" w:sz="4"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39.3</w:t>
            </w:r>
          </w:p>
        </w:tc>
        <w:tc>
          <w:tcPr>
            <w:tcW w:w="460" w:type="pct"/>
            <w:tcBorders>
              <w:top w:val="single" w:sz="6" w:space="0" w:color="76923C" w:themeColor="accent3" w:themeShade="BF"/>
              <w:bottom w:val="double" w:sz="4"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27</w:t>
            </w:r>
          </w:p>
        </w:tc>
        <w:tc>
          <w:tcPr>
            <w:tcW w:w="460" w:type="pct"/>
            <w:tcBorders>
              <w:top w:val="single" w:sz="6" w:space="0" w:color="76923C" w:themeColor="accent3" w:themeShade="BF"/>
              <w:bottom w:val="double" w:sz="4"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24.2</w:t>
            </w:r>
          </w:p>
        </w:tc>
        <w:tc>
          <w:tcPr>
            <w:tcW w:w="460" w:type="pct"/>
            <w:tcBorders>
              <w:top w:val="single" w:sz="6" w:space="0" w:color="76923C" w:themeColor="accent3" w:themeShade="BF"/>
              <w:bottom w:val="double" w:sz="4"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17.9</w:t>
            </w:r>
          </w:p>
        </w:tc>
        <w:tc>
          <w:tcPr>
            <w:tcW w:w="460" w:type="pct"/>
            <w:tcBorders>
              <w:top w:val="single" w:sz="6" w:space="0" w:color="76923C" w:themeColor="accent3" w:themeShade="BF"/>
              <w:bottom w:val="double" w:sz="4"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17.5</w:t>
            </w:r>
          </w:p>
        </w:tc>
        <w:tc>
          <w:tcPr>
            <w:tcW w:w="460" w:type="pct"/>
            <w:tcBorders>
              <w:top w:val="single" w:sz="6" w:space="0" w:color="76923C" w:themeColor="accent3" w:themeShade="BF"/>
              <w:bottom w:val="double" w:sz="4" w:space="0" w:color="76923C" w:themeColor="accent3" w:themeShade="BF"/>
            </w:tcBorders>
            <w:shd w:val="clear" w:color="auto" w:fill="FFFFFF" w:themeFill="background1"/>
          </w:tcPr>
          <w:p w:rsidR="007B77FC" w:rsidRPr="005F120D" w:rsidRDefault="007B77FC" w:rsidP="00936D9E">
            <w:pPr>
              <w:pStyle w:val="Tabletext"/>
              <w:jc w:val="center"/>
              <w:rPr>
                <w:rFonts w:asciiTheme="minorHAnsi" w:hAnsiTheme="minorHAnsi" w:cstheme="minorHAnsi"/>
              </w:rPr>
            </w:pPr>
            <w:r w:rsidRPr="005F120D">
              <w:rPr>
                <w:rFonts w:asciiTheme="minorHAnsi" w:hAnsiTheme="minorHAnsi" w:cstheme="minorHAnsi"/>
              </w:rPr>
              <w:t>17</w:t>
            </w:r>
          </w:p>
        </w:tc>
      </w:tr>
    </w:tbl>
    <w:p w:rsidR="00AD4A56" w:rsidRPr="005F120D" w:rsidRDefault="00AD4A56" w:rsidP="000A5B80">
      <w:pPr>
        <w:pStyle w:val="Tablenotes"/>
      </w:pPr>
      <w:r w:rsidRPr="005F120D">
        <w:t>Source: APSC 2005 to 2014</w:t>
      </w:r>
    </w:p>
    <w:p w:rsidR="007C1D77" w:rsidRPr="005F120D" w:rsidRDefault="007C1D77" w:rsidP="00C437AA">
      <w:pPr>
        <w:spacing w:before="240" w:after="0" w:line="276" w:lineRule="auto"/>
        <w:jc w:val="both"/>
        <w:rPr>
          <w:rFonts w:asciiTheme="minorHAnsi" w:hAnsiTheme="minorHAnsi" w:cstheme="minorHAnsi"/>
        </w:rPr>
      </w:pPr>
      <w:r w:rsidRPr="005F120D">
        <w:rPr>
          <w:rFonts w:asciiTheme="minorHAnsi" w:hAnsiTheme="minorHAnsi" w:cstheme="minorHAnsi"/>
          <w:iCs/>
        </w:rPr>
        <w:lastRenderedPageBreak/>
        <w:t>The key findings as follows:</w:t>
      </w:r>
    </w:p>
    <w:p w:rsidR="007C1D77" w:rsidRPr="005F120D" w:rsidRDefault="00760518" w:rsidP="008F6323">
      <w:pPr>
        <w:numPr>
          <w:ilvl w:val="0"/>
          <w:numId w:val="42"/>
        </w:numPr>
        <w:spacing w:after="200"/>
        <w:contextualSpacing/>
        <w:jc w:val="both"/>
        <w:rPr>
          <w:rFonts w:asciiTheme="minorHAnsi" w:hAnsiTheme="minorHAnsi" w:cstheme="minorHAnsi"/>
        </w:rPr>
      </w:pPr>
      <w:r w:rsidRPr="005F120D">
        <w:rPr>
          <w:rFonts w:asciiTheme="minorHAnsi" w:hAnsiTheme="minorHAnsi" w:cstheme="minorHAnsi"/>
        </w:rPr>
        <w:t xml:space="preserve">Dropout in Grade 1 </w:t>
      </w:r>
      <w:r w:rsidR="007B77FC" w:rsidRPr="005F120D">
        <w:rPr>
          <w:rFonts w:asciiTheme="minorHAnsi" w:hAnsiTheme="minorHAnsi" w:cstheme="minorHAnsi"/>
        </w:rPr>
        <w:t>dropped sharply from 8.5% in 2010 to 1.6% in 2015. This could be attributed to the impact of pre-primary scho</w:t>
      </w:r>
      <w:r w:rsidR="000D59E6" w:rsidRPr="005F120D">
        <w:rPr>
          <w:rFonts w:asciiTheme="minorHAnsi" w:hAnsiTheme="minorHAnsi" w:cstheme="minorHAnsi"/>
        </w:rPr>
        <w:t>ol</w:t>
      </w:r>
      <w:r w:rsidR="007B77FC" w:rsidRPr="005F120D">
        <w:rPr>
          <w:rFonts w:asciiTheme="minorHAnsi" w:hAnsiTheme="minorHAnsi" w:cstheme="minorHAnsi"/>
        </w:rPr>
        <w:t xml:space="preserve"> expansion, but requires further investigation to confirm the hypothesis (see Table 3.29)</w:t>
      </w:r>
      <w:r w:rsidR="007C1D77" w:rsidRPr="005F120D">
        <w:rPr>
          <w:rFonts w:asciiTheme="minorHAnsi" w:hAnsiTheme="minorHAnsi" w:cstheme="minorHAnsi"/>
        </w:rPr>
        <w:t>.</w:t>
      </w:r>
    </w:p>
    <w:p w:rsidR="007C1D77" w:rsidRPr="005F120D" w:rsidRDefault="007C1D77" w:rsidP="008F6323">
      <w:pPr>
        <w:numPr>
          <w:ilvl w:val="0"/>
          <w:numId w:val="42"/>
        </w:numPr>
        <w:spacing w:after="200"/>
        <w:contextualSpacing/>
        <w:jc w:val="both"/>
        <w:rPr>
          <w:rFonts w:asciiTheme="minorHAnsi" w:hAnsiTheme="minorHAnsi" w:cstheme="minorHAnsi"/>
        </w:rPr>
      </w:pPr>
      <w:r w:rsidRPr="005F120D">
        <w:rPr>
          <w:rFonts w:asciiTheme="minorHAnsi" w:hAnsiTheme="minorHAnsi" w:cstheme="minorHAnsi"/>
        </w:rPr>
        <w:t>Dropout rate in Grade 2 is more or less unchanged; it stood at 3.2% in 2015 slightly up from 2010 (3%)</w:t>
      </w:r>
    </w:p>
    <w:p w:rsidR="007C1D77" w:rsidRPr="005F120D" w:rsidRDefault="007C1D77" w:rsidP="008F6323">
      <w:pPr>
        <w:numPr>
          <w:ilvl w:val="0"/>
          <w:numId w:val="42"/>
        </w:numPr>
        <w:spacing w:after="200"/>
        <w:contextualSpacing/>
        <w:jc w:val="both"/>
        <w:rPr>
          <w:rFonts w:asciiTheme="minorHAnsi" w:hAnsiTheme="minorHAnsi" w:cstheme="minorHAnsi"/>
        </w:rPr>
      </w:pPr>
      <w:r w:rsidRPr="005F120D">
        <w:rPr>
          <w:rFonts w:asciiTheme="minorHAnsi" w:hAnsiTheme="minorHAnsi" w:cstheme="minorHAnsi"/>
        </w:rPr>
        <w:t>Dr</w:t>
      </w:r>
      <w:r w:rsidR="00760518" w:rsidRPr="005F120D">
        <w:rPr>
          <w:rFonts w:asciiTheme="minorHAnsi" w:hAnsiTheme="minorHAnsi" w:cstheme="minorHAnsi"/>
        </w:rPr>
        <w:t>opout rate in Grade 3 fell</w:t>
      </w:r>
      <w:r w:rsidRPr="005F120D">
        <w:rPr>
          <w:rFonts w:asciiTheme="minorHAnsi" w:hAnsiTheme="minorHAnsi" w:cstheme="minorHAnsi"/>
        </w:rPr>
        <w:t>, from 7.7% in 2010 to 3.4% in 2015.</w:t>
      </w:r>
    </w:p>
    <w:p w:rsidR="007C1D77" w:rsidRPr="005F120D" w:rsidRDefault="007C1D77" w:rsidP="008F6323">
      <w:pPr>
        <w:numPr>
          <w:ilvl w:val="0"/>
          <w:numId w:val="42"/>
        </w:numPr>
        <w:spacing w:after="200"/>
        <w:contextualSpacing/>
        <w:jc w:val="both"/>
        <w:rPr>
          <w:rFonts w:asciiTheme="minorHAnsi" w:hAnsiTheme="minorHAnsi" w:cstheme="minorHAnsi"/>
        </w:rPr>
      </w:pPr>
      <w:r w:rsidRPr="005F120D">
        <w:rPr>
          <w:rFonts w:asciiTheme="minorHAnsi" w:hAnsiTheme="minorHAnsi" w:cstheme="minorHAnsi"/>
        </w:rPr>
        <w:t>Dropout rate in Grade 4 remains the highest among</w:t>
      </w:r>
      <w:r w:rsidR="00760518" w:rsidRPr="005F120D">
        <w:rPr>
          <w:rFonts w:asciiTheme="minorHAnsi" w:hAnsiTheme="minorHAnsi" w:cstheme="minorHAnsi"/>
        </w:rPr>
        <w:t>st all 5 grades. However, it</w:t>
      </w:r>
      <w:r w:rsidRPr="005F120D">
        <w:rPr>
          <w:rFonts w:asciiTheme="minorHAnsi" w:hAnsiTheme="minorHAnsi" w:cstheme="minorHAnsi"/>
        </w:rPr>
        <w:t xml:space="preserve"> decreased from 12.2% in 2010 to 10.1% in 2015.  </w:t>
      </w:r>
    </w:p>
    <w:p w:rsidR="007C1D77" w:rsidRPr="005F120D" w:rsidRDefault="007C1D77" w:rsidP="008F6323">
      <w:pPr>
        <w:numPr>
          <w:ilvl w:val="0"/>
          <w:numId w:val="42"/>
        </w:numPr>
        <w:spacing w:after="200"/>
        <w:contextualSpacing/>
        <w:jc w:val="both"/>
        <w:rPr>
          <w:rFonts w:asciiTheme="minorHAnsi" w:hAnsiTheme="minorHAnsi" w:cstheme="minorHAnsi"/>
        </w:rPr>
      </w:pPr>
      <w:r w:rsidRPr="005F120D">
        <w:rPr>
          <w:rFonts w:asciiTheme="minorHAnsi" w:hAnsiTheme="minorHAnsi" w:cstheme="minorHAnsi"/>
        </w:rPr>
        <w:t>Dropou</w:t>
      </w:r>
      <w:r w:rsidR="00760518" w:rsidRPr="005F120D">
        <w:rPr>
          <w:rFonts w:asciiTheme="minorHAnsi" w:hAnsiTheme="minorHAnsi" w:cstheme="minorHAnsi"/>
        </w:rPr>
        <w:t>t rate in Grade 5 dropped</w:t>
      </w:r>
      <w:r w:rsidRPr="005F120D">
        <w:rPr>
          <w:rFonts w:asciiTheme="minorHAnsi" w:hAnsiTheme="minorHAnsi" w:cstheme="minorHAnsi"/>
        </w:rPr>
        <w:t xml:space="preserve"> drastically from 11.1% in 2011 to 2.1% in 2015, although consistent between 2012 and 2015.  </w:t>
      </w:r>
    </w:p>
    <w:p w:rsidR="008603F1" w:rsidRPr="005F120D" w:rsidRDefault="00760518" w:rsidP="008F6323">
      <w:pPr>
        <w:pStyle w:val="ListParagraph"/>
        <w:numPr>
          <w:ilvl w:val="0"/>
          <w:numId w:val="43"/>
        </w:numPr>
        <w:jc w:val="both"/>
        <w:rPr>
          <w:rFonts w:asciiTheme="minorHAnsi" w:hAnsiTheme="minorHAnsi" w:cstheme="minorHAnsi"/>
        </w:rPr>
      </w:pPr>
      <w:r w:rsidRPr="005F120D">
        <w:rPr>
          <w:rFonts w:asciiTheme="minorHAnsi" w:hAnsiTheme="minorHAnsi" w:cstheme="minorHAnsi"/>
        </w:rPr>
        <w:t>Girls’ dropout rate</w:t>
      </w:r>
      <w:r w:rsidR="007C1D77" w:rsidRPr="005F120D">
        <w:rPr>
          <w:rFonts w:asciiTheme="minorHAnsi" w:hAnsiTheme="minorHAnsi" w:cstheme="minorHAnsi"/>
        </w:rPr>
        <w:t xml:space="preserve"> declined faster than boys, resulting in a widening of the gender gap.  In 2010, the gap between boys and girls was only 1 percentage point in favors of girls.  By 2015, girls’ dropout rate was about 7 percentage points lower than</w:t>
      </w:r>
      <w:r w:rsidRPr="005F120D">
        <w:rPr>
          <w:rFonts w:asciiTheme="minorHAnsi" w:hAnsiTheme="minorHAnsi" w:cstheme="minorHAnsi"/>
        </w:rPr>
        <w:t xml:space="preserve"> that of</w:t>
      </w:r>
      <w:r w:rsidR="007C1D77" w:rsidRPr="005F120D">
        <w:rPr>
          <w:rFonts w:asciiTheme="minorHAnsi" w:hAnsiTheme="minorHAnsi" w:cstheme="minorHAnsi"/>
        </w:rPr>
        <w:t xml:space="preserve"> boys</w:t>
      </w:r>
      <w:r w:rsidR="007D14D1" w:rsidRPr="005F120D">
        <w:rPr>
          <w:rFonts w:asciiTheme="minorHAnsi" w:hAnsiTheme="minorHAnsi" w:cstheme="minorHAnsi"/>
        </w:rPr>
        <w:t xml:space="preserve">.  </w:t>
      </w:r>
      <w:bookmarkStart w:id="397" w:name="_Ref387069712"/>
    </w:p>
    <w:p w:rsidR="007D14D1" w:rsidRPr="005F120D" w:rsidRDefault="00B1324C" w:rsidP="00C437AA">
      <w:pPr>
        <w:pStyle w:val="Caption"/>
        <w:spacing w:before="240" w:line="276" w:lineRule="auto"/>
        <w:rPr>
          <w:rFonts w:cstheme="minorHAnsi"/>
          <w:color w:val="4F6228" w:themeColor="accent3" w:themeShade="80"/>
        </w:rPr>
      </w:pPr>
      <w:bookmarkStart w:id="398" w:name="_Toc462837286"/>
      <w:r w:rsidRPr="005F120D">
        <w:rPr>
          <w:rFonts w:cstheme="minorHAnsi"/>
          <w:color w:val="4F6228" w:themeColor="accent3" w:themeShade="80"/>
        </w:rPr>
        <w:t xml:space="preserve">Table </w:t>
      </w:r>
      <w:r w:rsidR="002E2ED5" w:rsidRPr="005F120D">
        <w:rPr>
          <w:rFonts w:cstheme="minorHAnsi"/>
          <w:color w:val="4F6228" w:themeColor="accent3" w:themeShade="80"/>
        </w:rPr>
        <w:fldChar w:fldCharType="begin"/>
      </w:r>
      <w:r w:rsidR="007112B6" w:rsidRPr="005F120D">
        <w:rPr>
          <w:rFonts w:cstheme="minorHAnsi"/>
          <w:color w:val="4F6228" w:themeColor="accent3" w:themeShade="80"/>
        </w:rPr>
        <w:instrText xml:space="preserve"> STYLEREF 1 \s </w:instrText>
      </w:r>
      <w:r w:rsidR="002E2ED5" w:rsidRPr="005F120D">
        <w:rPr>
          <w:rFonts w:cstheme="minorHAnsi"/>
          <w:color w:val="4F6228" w:themeColor="accent3" w:themeShade="80"/>
        </w:rPr>
        <w:fldChar w:fldCharType="separate"/>
      </w:r>
      <w:r w:rsidR="00810DA2">
        <w:rPr>
          <w:rFonts w:cstheme="minorHAnsi"/>
          <w:noProof/>
          <w:color w:val="4F6228" w:themeColor="accent3" w:themeShade="80"/>
        </w:rPr>
        <w:t>3</w:t>
      </w:r>
      <w:r w:rsidR="002E2ED5" w:rsidRPr="005F120D">
        <w:rPr>
          <w:rFonts w:cstheme="minorHAnsi"/>
          <w:color w:val="4F6228" w:themeColor="accent3" w:themeShade="80"/>
        </w:rPr>
        <w:fldChar w:fldCharType="end"/>
      </w:r>
      <w:r w:rsidR="007112B6" w:rsidRPr="005F120D">
        <w:rPr>
          <w:rFonts w:cstheme="minorHAnsi"/>
          <w:color w:val="4F6228" w:themeColor="accent3" w:themeShade="80"/>
        </w:rPr>
        <w:t>.</w:t>
      </w:r>
      <w:r w:rsidR="002E2ED5" w:rsidRPr="005F120D">
        <w:rPr>
          <w:rFonts w:cstheme="minorHAnsi"/>
          <w:color w:val="4F6228" w:themeColor="accent3" w:themeShade="80"/>
        </w:rPr>
        <w:fldChar w:fldCharType="begin"/>
      </w:r>
      <w:r w:rsidR="007112B6" w:rsidRPr="005F120D">
        <w:rPr>
          <w:rFonts w:cstheme="minorHAnsi"/>
          <w:color w:val="4F6228" w:themeColor="accent3" w:themeShade="80"/>
        </w:rPr>
        <w:instrText xml:space="preserve"> SEQ Table \* ARABIC \s 1 </w:instrText>
      </w:r>
      <w:r w:rsidR="002E2ED5" w:rsidRPr="005F120D">
        <w:rPr>
          <w:rFonts w:cstheme="minorHAnsi"/>
          <w:color w:val="4F6228" w:themeColor="accent3" w:themeShade="80"/>
        </w:rPr>
        <w:fldChar w:fldCharType="separate"/>
      </w:r>
      <w:r w:rsidR="00810DA2">
        <w:rPr>
          <w:rFonts w:cstheme="minorHAnsi"/>
          <w:noProof/>
          <w:color w:val="4F6228" w:themeColor="accent3" w:themeShade="80"/>
        </w:rPr>
        <w:t>29</w:t>
      </w:r>
      <w:r w:rsidR="002E2ED5" w:rsidRPr="005F120D">
        <w:rPr>
          <w:rFonts w:cstheme="minorHAnsi"/>
          <w:color w:val="4F6228" w:themeColor="accent3" w:themeShade="80"/>
        </w:rPr>
        <w:fldChar w:fldCharType="end"/>
      </w:r>
      <w:bookmarkEnd w:id="397"/>
      <w:r w:rsidR="006A7739" w:rsidRPr="005F120D">
        <w:rPr>
          <w:rFonts w:cstheme="minorHAnsi"/>
          <w:color w:val="4F6228" w:themeColor="accent3" w:themeShade="80"/>
        </w:rPr>
        <w:t>:</w:t>
      </w:r>
      <w:r w:rsidR="00F83E43">
        <w:rPr>
          <w:rFonts w:cstheme="minorHAnsi"/>
          <w:color w:val="4F6228" w:themeColor="accent3" w:themeShade="80"/>
        </w:rPr>
        <w:t xml:space="preserve"> </w:t>
      </w:r>
      <w:r w:rsidR="00220FED" w:rsidRPr="005F120D">
        <w:rPr>
          <w:rFonts w:cstheme="minorHAnsi"/>
          <w:color w:val="4F6228" w:themeColor="accent3" w:themeShade="80"/>
        </w:rPr>
        <w:t xml:space="preserve">Primary Cycle </w:t>
      </w:r>
      <w:r w:rsidR="004E0356" w:rsidRPr="005F120D">
        <w:rPr>
          <w:rFonts w:cstheme="minorHAnsi"/>
          <w:color w:val="4F6228" w:themeColor="accent3" w:themeShade="80"/>
          <w:szCs w:val="24"/>
        </w:rPr>
        <w:t>Dropout Rate by Grade and G</w:t>
      </w:r>
      <w:r w:rsidR="007D4681" w:rsidRPr="005F120D">
        <w:rPr>
          <w:rFonts w:cstheme="minorHAnsi"/>
          <w:color w:val="4F6228" w:themeColor="accent3" w:themeShade="80"/>
          <w:szCs w:val="24"/>
        </w:rPr>
        <w:t>ender</w:t>
      </w:r>
      <w:r w:rsidR="007D14D1" w:rsidRPr="005F120D">
        <w:rPr>
          <w:rFonts w:cstheme="minorHAnsi"/>
          <w:color w:val="4F6228" w:themeColor="accent3" w:themeShade="80"/>
          <w:szCs w:val="24"/>
        </w:rPr>
        <w:t xml:space="preserve"> 2010-201</w:t>
      </w:r>
      <w:r w:rsidR="00F42DCA" w:rsidRPr="005F120D">
        <w:rPr>
          <w:rFonts w:cstheme="minorHAnsi"/>
          <w:color w:val="4F6228" w:themeColor="accent3" w:themeShade="80"/>
          <w:szCs w:val="24"/>
        </w:rPr>
        <w:t>5</w:t>
      </w:r>
      <w:bookmarkEnd w:id="398"/>
    </w:p>
    <w:tbl>
      <w:tblPr>
        <w:tblpPr w:leftFromText="180" w:rightFromText="180" w:vertAnchor="text" w:tblpXSpec="center" w:tblpY="1"/>
        <w:tblOverlap w:val="never"/>
        <w:tblW w:w="5000" w:type="pct"/>
        <w:jc w:val="center"/>
        <w:tbl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insideH w:val="single" w:sz="6" w:space="0" w:color="76923C" w:themeColor="accent3" w:themeShade="BF"/>
          <w:insideV w:val="single" w:sz="6" w:space="0" w:color="76923C" w:themeColor="accent3" w:themeShade="BF"/>
        </w:tblBorders>
        <w:tblLook w:val="01E0"/>
      </w:tblPr>
      <w:tblGrid>
        <w:gridCol w:w="2540"/>
        <w:gridCol w:w="724"/>
        <w:gridCol w:w="857"/>
        <w:gridCol w:w="856"/>
        <w:gridCol w:w="854"/>
        <w:gridCol w:w="854"/>
        <w:gridCol w:w="854"/>
        <w:gridCol w:w="854"/>
        <w:gridCol w:w="852"/>
      </w:tblGrid>
      <w:tr w:rsidR="007D14D1" w:rsidRPr="005F120D" w:rsidTr="003240C5">
        <w:trPr>
          <w:jc w:val="center"/>
        </w:trPr>
        <w:tc>
          <w:tcPr>
            <w:tcW w:w="1373"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rPr>
            </w:pPr>
          </w:p>
        </w:tc>
        <w:tc>
          <w:tcPr>
            <w:tcW w:w="391"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p>
        </w:tc>
        <w:tc>
          <w:tcPr>
            <w:tcW w:w="463"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p>
        </w:tc>
        <w:tc>
          <w:tcPr>
            <w:tcW w:w="463"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r w:rsidRPr="005F120D">
              <w:rPr>
                <w:rFonts w:asciiTheme="minorHAnsi" w:hAnsiTheme="minorHAnsi" w:cstheme="minorHAnsi"/>
                <w:i/>
              </w:rPr>
              <w:t>Grade</w:t>
            </w:r>
          </w:p>
        </w:tc>
        <w:tc>
          <w:tcPr>
            <w:tcW w:w="462"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p>
        </w:tc>
        <w:tc>
          <w:tcPr>
            <w:tcW w:w="462"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p>
        </w:tc>
        <w:tc>
          <w:tcPr>
            <w:tcW w:w="462"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p>
        </w:tc>
        <w:tc>
          <w:tcPr>
            <w:tcW w:w="462"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r w:rsidRPr="005F120D">
              <w:rPr>
                <w:rFonts w:asciiTheme="minorHAnsi" w:hAnsiTheme="minorHAnsi" w:cstheme="minorHAnsi"/>
                <w:i/>
              </w:rPr>
              <w:t>Gender</w:t>
            </w:r>
          </w:p>
        </w:tc>
        <w:tc>
          <w:tcPr>
            <w:tcW w:w="461"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p>
        </w:tc>
      </w:tr>
      <w:tr w:rsidR="007D14D1" w:rsidRPr="005F120D" w:rsidTr="003240C5">
        <w:trPr>
          <w:jc w:val="center"/>
        </w:trPr>
        <w:tc>
          <w:tcPr>
            <w:tcW w:w="1373"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Dropout rate (%)</w:t>
            </w:r>
            <w:r w:rsidRPr="005F120D">
              <w:rPr>
                <w:rFonts w:asciiTheme="minorHAnsi" w:hAnsiTheme="minorHAnsi" w:cstheme="minorHAnsi"/>
                <w:vertAlign w:val="superscript"/>
              </w:rPr>
              <w:t>1</w:t>
            </w:r>
          </w:p>
        </w:tc>
        <w:tc>
          <w:tcPr>
            <w:tcW w:w="391"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r w:rsidRPr="005F120D">
              <w:rPr>
                <w:rFonts w:asciiTheme="minorHAnsi" w:hAnsiTheme="minorHAnsi" w:cstheme="minorHAnsi"/>
                <w:i/>
              </w:rPr>
              <w:t>1</w:t>
            </w:r>
          </w:p>
        </w:tc>
        <w:tc>
          <w:tcPr>
            <w:tcW w:w="463"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r w:rsidRPr="005F120D">
              <w:rPr>
                <w:rFonts w:asciiTheme="minorHAnsi" w:hAnsiTheme="minorHAnsi" w:cstheme="minorHAnsi"/>
                <w:i/>
              </w:rPr>
              <w:t>2</w:t>
            </w:r>
          </w:p>
        </w:tc>
        <w:tc>
          <w:tcPr>
            <w:tcW w:w="463"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r w:rsidRPr="005F120D">
              <w:rPr>
                <w:rFonts w:asciiTheme="minorHAnsi" w:hAnsiTheme="minorHAnsi" w:cstheme="minorHAnsi"/>
                <w:i/>
              </w:rPr>
              <w:t>3</w:t>
            </w:r>
          </w:p>
        </w:tc>
        <w:tc>
          <w:tcPr>
            <w:tcW w:w="462"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r w:rsidRPr="005F120D">
              <w:rPr>
                <w:rFonts w:asciiTheme="minorHAnsi" w:hAnsiTheme="minorHAnsi" w:cstheme="minorHAnsi"/>
                <w:i/>
              </w:rPr>
              <w:t>4</w:t>
            </w:r>
          </w:p>
        </w:tc>
        <w:tc>
          <w:tcPr>
            <w:tcW w:w="462"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r w:rsidRPr="005F120D">
              <w:rPr>
                <w:rFonts w:asciiTheme="minorHAnsi" w:hAnsiTheme="minorHAnsi" w:cstheme="minorHAnsi"/>
                <w:i/>
              </w:rPr>
              <w:t>5</w:t>
            </w:r>
          </w:p>
        </w:tc>
        <w:tc>
          <w:tcPr>
            <w:tcW w:w="462"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r w:rsidRPr="005F120D">
              <w:rPr>
                <w:rFonts w:asciiTheme="minorHAnsi" w:hAnsiTheme="minorHAnsi" w:cstheme="minorHAnsi"/>
                <w:i/>
              </w:rPr>
              <w:t>Boy</w:t>
            </w:r>
          </w:p>
        </w:tc>
        <w:tc>
          <w:tcPr>
            <w:tcW w:w="462"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r w:rsidRPr="005F120D">
              <w:rPr>
                <w:rFonts w:asciiTheme="minorHAnsi" w:hAnsiTheme="minorHAnsi" w:cstheme="minorHAnsi"/>
                <w:i/>
              </w:rPr>
              <w:t>Girl</w:t>
            </w:r>
          </w:p>
        </w:tc>
        <w:tc>
          <w:tcPr>
            <w:tcW w:w="461" w:type="pct"/>
            <w:shd w:val="clear" w:color="auto" w:fill="C2D69B" w:themeFill="accent3" w:themeFillTint="99"/>
            <w:vAlign w:val="center"/>
          </w:tcPr>
          <w:p w:rsidR="007D14D1" w:rsidRPr="005F120D" w:rsidRDefault="007D14D1" w:rsidP="00936D9E">
            <w:pPr>
              <w:pStyle w:val="Tabletext"/>
              <w:spacing w:before="0" w:after="0"/>
              <w:jc w:val="center"/>
              <w:rPr>
                <w:rFonts w:asciiTheme="minorHAnsi" w:hAnsiTheme="minorHAnsi" w:cstheme="minorHAnsi"/>
                <w:i/>
              </w:rPr>
            </w:pPr>
            <w:r w:rsidRPr="005F120D">
              <w:rPr>
                <w:rFonts w:asciiTheme="minorHAnsi" w:hAnsiTheme="minorHAnsi" w:cstheme="minorHAnsi"/>
                <w:i/>
              </w:rPr>
              <w:t>Total</w:t>
            </w:r>
          </w:p>
        </w:tc>
      </w:tr>
      <w:tr w:rsidR="007D14D1" w:rsidRPr="005F120D" w:rsidTr="00EF2242">
        <w:trPr>
          <w:trHeight w:hRule="exact" w:val="288"/>
          <w:jc w:val="center"/>
        </w:trPr>
        <w:tc>
          <w:tcPr>
            <w:tcW w:w="1373"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2010 (PEDP3 Baseline)</w:t>
            </w:r>
          </w:p>
        </w:tc>
        <w:tc>
          <w:tcPr>
            <w:tcW w:w="391" w:type="pct"/>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8.5</w:t>
            </w:r>
          </w:p>
        </w:tc>
        <w:tc>
          <w:tcPr>
            <w:tcW w:w="463" w:type="pct"/>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3.0</w:t>
            </w:r>
          </w:p>
        </w:tc>
        <w:tc>
          <w:tcPr>
            <w:tcW w:w="463" w:type="pct"/>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7.7</w:t>
            </w:r>
          </w:p>
        </w:tc>
        <w:tc>
          <w:tcPr>
            <w:tcW w:w="462" w:type="pct"/>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12.2</w:t>
            </w:r>
          </w:p>
        </w:tc>
        <w:tc>
          <w:tcPr>
            <w:tcW w:w="462" w:type="pct"/>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9.5</w:t>
            </w:r>
          </w:p>
        </w:tc>
        <w:tc>
          <w:tcPr>
            <w:tcW w:w="462" w:type="pct"/>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40.3</w:t>
            </w:r>
          </w:p>
        </w:tc>
        <w:tc>
          <w:tcPr>
            <w:tcW w:w="462" w:type="pct"/>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39.3</w:t>
            </w:r>
          </w:p>
        </w:tc>
        <w:tc>
          <w:tcPr>
            <w:tcW w:w="461" w:type="pct"/>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39.8</w:t>
            </w:r>
          </w:p>
        </w:tc>
      </w:tr>
      <w:tr w:rsidR="007D14D1" w:rsidRPr="005F120D" w:rsidTr="00EF2242">
        <w:trPr>
          <w:trHeight w:hRule="exact" w:val="288"/>
          <w:jc w:val="center"/>
        </w:trPr>
        <w:tc>
          <w:tcPr>
            <w:tcW w:w="1373"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2011</w:t>
            </w:r>
          </w:p>
        </w:tc>
        <w:tc>
          <w:tcPr>
            <w:tcW w:w="391"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4.1</w:t>
            </w:r>
          </w:p>
        </w:tc>
        <w:tc>
          <w:tcPr>
            <w:tcW w:w="463"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3.0</w:t>
            </w:r>
          </w:p>
        </w:tc>
        <w:tc>
          <w:tcPr>
            <w:tcW w:w="463"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4.4</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7.4</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11.1</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32.4</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27.0</w:t>
            </w:r>
          </w:p>
        </w:tc>
        <w:tc>
          <w:tcPr>
            <w:tcW w:w="461"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29.7</w:t>
            </w:r>
          </w:p>
        </w:tc>
      </w:tr>
      <w:tr w:rsidR="007D14D1" w:rsidRPr="005F120D" w:rsidTr="00EF2242">
        <w:trPr>
          <w:trHeight w:hRule="exact" w:val="288"/>
          <w:jc w:val="center"/>
        </w:trPr>
        <w:tc>
          <w:tcPr>
            <w:tcW w:w="1373"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2012</w:t>
            </w:r>
          </w:p>
        </w:tc>
        <w:tc>
          <w:tcPr>
            <w:tcW w:w="391"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6.3</w:t>
            </w:r>
          </w:p>
        </w:tc>
        <w:tc>
          <w:tcPr>
            <w:tcW w:w="463"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3.5</w:t>
            </w:r>
          </w:p>
        </w:tc>
        <w:tc>
          <w:tcPr>
            <w:tcW w:w="463"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5.1</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10.0</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1.9</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28.3</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24.2</w:t>
            </w:r>
          </w:p>
        </w:tc>
        <w:tc>
          <w:tcPr>
            <w:tcW w:w="461"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26.2</w:t>
            </w:r>
          </w:p>
        </w:tc>
      </w:tr>
      <w:tr w:rsidR="007D14D1" w:rsidRPr="005F120D" w:rsidTr="00EF2242">
        <w:trPr>
          <w:trHeight w:hRule="exact" w:val="288"/>
          <w:jc w:val="center"/>
        </w:trPr>
        <w:tc>
          <w:tcPr>
            <w:tcW w:w="1373"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2013</w:t>
            </w:r>
          </w:p>
        </w:tc>
        <w:tc>
          <w:tcPr>
            <w:tcW w:w="391"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1.5</w:t>
            </w:r>
          </w:p>
        </w:tc>
        <w:tc>
          <w:tcPr>
            <w:tcW w:w="463"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5.1</w:t>
            </w:r>
          </w:p>
        </w:tc>
        <w:tc>
          <w:tcPr>
            <w:tcW w:w="463"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5.0</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7.8</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2.3</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24.9</w:t>
            </w:r>
          </w:p>
        </w:tc>
        <w:tc>
          <w:tcPr>
            <w:tcW w:w="462"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17.9</w:t>
            </w:r>
          </w:p>
        </w:tc>
        <w:tc>
          <w:tcPr>
            <w:tcW w:w="461" w:type="pct"/>
            <w:shd w:val="clear" w:color="auto" w:fill="auto"/>
          </w:tcPr>
          <w:p w:rsidR="007D14D1" w:rsidRPr="005F120D" w:rsidRDefault="007D14D1" w:rsidP="00936D9E">
            <w:pPr>
              <w:pStyle w:val="Tabletext"/>
              <w:spacing w:before="0" w:after="0"/>
              <w:jc w:val="center"/>
              <w:rPr>
                <w:rFonts w:asciiTheme="minorHAnsi" w:hAnsiTheme="minorHAnsi" w:cstheme="minorHAnsi"/>
              </w:rPr>
            </w:pPr>
            <w:r w:rsidRPr="005F120D">
              <w:rPr>
                <w:rFonts w:asciiTheme="minorHAnsi" w:hAnsiTheme="minorHAnsi" w:cstheme="minorHAnsi"/>
              </w:rPr>
              <w:t>21.4</w:t>
            </w:r>
          </w:p>
        </w:tc>
      </w:tr>
      <w:tr w:rsidR="00C67EB3" w:rsidRPr="005F120D" w:rsidTr="00EF2242">
        <w:trPr>
          <w:trHeight w:hRule="exact" w:val="288"/>
          <w:jc w:val="center"/>
        </w:trPr>
        <w:tc>
          <w:tcPr>
            <w:tcW w:w="1373" w:type="pct"/>
            <w:shd w:val="clear" w:color="auto" w:fill="auto"/>
          </w:tcPr>
          <w:p w:rsidR="00C67EB3" w:rsidRPr="005F120D" w:rsidRDefault="00C67EB3" w:rsidP="00936D9E">
            <w:pPr>
              <w:pStyle w:val="Tabletext"/>
              <w:spacing w:before="0" w:after="0"/>
              <w:jc w:val="center"/>
              <w:rPr>
                <w:rFonts w:asciiTheme="minorHAnsi" w:hAnsiTheme="minorHAnsi" w:cstheme="minorHAnsi"/>
              </w:rPr>
            </w:pPr>
            <w:r w:rsidRPr="005F120D">
              <w:rPr>
                <w:rFonts w:asciiTheme="minorHAnsi" w:hAnsiTheme="minorHAnsi" w:cstheme="minorHAnsi"/>
              </w:rPr>
              <w:t>2014</w:t>
            </w:r>
          </w:p>
        </w:tc>
        <w:tc>
          <w:tcPr>
            <w:tcW w:w="391" w:type="pct"/>
            <w:shd w:val="clear" w:color="auto" w:fill="auto"/>
          </w:tcPr>
          <w:p w:rsidR="00C67EB3" w:rsidRPr="005F120D" w:rsidRDefault="00660043" w:rsidP="00936D9E">
            <w:pPr>
              <w:pStyle w:val="Tabletext"/>
              <w:spacing w:before="0" w:after="0"/>
              <w:jc w:val="center"/>
              <w:rPr>
                <w:rFonts w:asciiTheme="minorHAnsi" w:hAnsiTheme="minorHAnsi" w:cstheme="minorHAnsi"/>
              </w:rPr>
            </w:pPr>
            <w:r w:rsidRPr="005F120D">
              <w:rPr>
                <w:rFonts w:asciiTheme="minorHAnsi" w:hAnsiTheme="minorHAnsi" w:cstheme="minorHAnsi"/>
              </w:rPr>
              <w:t>1.2</w:t>
            </w:r>
          </w:p>
        </w:tc>
        <w:tc>
          <w:tcPr>
            <w:tcW w:w="463" w:type="pct"/>
            <w:shd w:val="clear" w:color="auto" w:fill="auto"/>
          </w:tcPr>
          <w:p w:rsidR="00C67EB3" w:rsidRPr="005F120D" w:rsidRDefault="00660043" w:rsidP="00936D9E">
            <w:pPr>
              <w:pStyle w:val="Tabletext"/>
              <w:spacing w:before="0" w:after="0"/>
              <w:jc w:val="center"/>
              <w:rPr>
                <w:rFonts w:asciiTheme="minorHAnsi" w:hAnsiTheme="minorHAnsi" w:cstheme="minorHAnsi"/>
              </w:rPr>
            </w:pPr>
            <w:r w:rsidRPr="005F120D">
              <w:rPr>
                <w:rFonts w:asciiTheme="minorHAnsi" w:hAnsiTheme="minorHAnsi" w:cstheme="minorHAnsi"/>
              </w:rPr>
              <w:t>4.6</w:t>
            </w:r>
          </w:p>
        </w:tc>
        <w:tc>
          <w:tcPr>
            <w:tcW w:w="463" w:type="pct"/>
            <w:shd w:val="clear" w:color="auto" w:fill="auto"/>
          </w:tcPr>
          <w:p w:rsidR="00C67EB3" w:rsidRPr="005F120D" w:rsidRDefault="00660043" w:rsidP="00936D9E">
            <w:pPr>
              <w:pStyle w:val="Tabletext"/>
              <w:spacing w:before="0" w:after="0"/>
              <w:jc w:val="center"/>
              <w:rPr>
                <w:rFonts w:asciiTheme="minorHAnsi" w:hAnsiTheme="minorHAnsi" w:cstheme="minorHAnsi"/>
              </w:rPr>
            </w:pPr>
            <w:r w:rsidRPr="005F120D">
              <w:rPr>
                <w:rFonts w:asciiTheme="minorHAnsi" w:hAnsiTheme="minorHAnsi" w:cstheme="minorHAnsi"/>
              </w:rPr>
              <w:t>4.8</w:t>
            </w:r>
          </w:p>
        </w:tc>
        <w:tc>
          <w:tcPr>
            <w:tcW w:w="462" w:type="pct"/>
            <w:shd w:val="clear" w:color="auto" w:fill="auto"/>
          </w:tcPr>
          <w:p w:rsidR="00C67EB3" w:rsidRPr="005F120D" w:rsidRDefault="00660043" w:rsidP="00936D9E">
            <w:pPr>
              <w:pStyle w:val="Tabletext"/>
              <w:spacing w:before="0" w:after="0"/>
              <w:jc w:val="center"/>
              <w:rPr>
                <w:rFonts w:asciiTheme="minorHAnsi" w:hAnsiTheme="minorHAnsi" w:cstheme="minorHAnsi"/>
              </w:rPr>
            </w:pPr>
            <w:r w:rsidRPr="005F120D">
              <w:rPr>
                <w:rFonts w:asciiTheme="minorHAnsi" w:hAnsiTheme="minorHAnsi" w:cstheme="minorHAnsi"/>
              </w:rPr>
              <w:t>8.1</w:t>
            </w:r>
          </w:p>
        </w:tc>
        <w:tc>
          <w:tcPr>
            <w:tcW w:w="462" w:type="pct"/>
            <w:shd w:val="clear" w:color="auto" w:fill="auto"/>
          </w:tcPr>
          <w:p w:rsidR="00C67EB3" w:rsidRPr="005F120D" w:rsidRDefault="00660043" w:rsidP="00936D9E">
            <w:pPr>
              <w:pStyle w:val="Tabletext"/>
              <w:spacing w:before="0" w:after="0"/>
              <w:jc w:val="center"/>
              <w:rPr>
                <w:rFonts w:asciiTheme="minorHAnsi" w:hAnsiTheme="minorHAnsi" w:cstheme="minorHAnsi"/>
              </w:rPr>
            </w:pPr>
            <w:r w:rsidRPr="005F120D">
              <w:rPr>
                <w:rFonts w:asciiTheme="minorHAnsi" w:hAnsiTheme="minorHAnsi" w:cstheme="minorHAnsi"/>
              </w:rPr>
              <w:t>2.3</w:t>
            </w:r>
          </w:p>
        </w:tc>
        <w:tc>
          <w:tcPr>
            <w:tcW w:w="462" w:type="pct"/>
            <w:shd w:val="clear" w:color="auto" w:fill="auto"/>
          </w:tcPr>
          <w:p w:rsidR="00C67EB3" w:rsidRPr="005F120D" w:rsidRDefault="00660043" w:rsidP="00936D9E">
            <w:pPr>
              <w:pStyle w:val="Tabletext"/>
              <w:spacing w:before="0" w:after="0"/>
              <w:jc w:val="center"/>
              <w:rPr>
                <w:rFonts w:asciiTheme="minorHAnsi" w:hAnsiTheme="minorHAnsi" w:cstheme="minorHAnsi"/>
              </w:rPr>
            </w:pPr>
            <w:r w:rsidRPr="005F120D">
              <w:rPr>
                <w:rFonts w:asciiTheme="minorHAnsi" w:hAnsiTheme="minorHAnsi" w:cstheme="minorHAnsi"/>
              </w:rPr>
              <w:t>24.3</w:t>
            </w:r>
          </w:p>
        </w:tc>
        <w:tc>
          <w:tcPr>
            <w:tcW w:w="462" w:type="pct"/>
            <w:shd w:val="clear" w:color="auto" w:fill="auto"/>
          </w:tcPr>
          <w:p w:rsidR="00C67EB3" w:rsidRPr="005F120D" w:rsidRDefault="00660043" w:rsidP="00936D9E">
            <w:pPr>
              <w:pStyle w:val="Tabletext"/>
              <w:spacing w:before="0" w:after="0"/>
              <w:jc w:val="center"/>
              <w:rPr>
                <w:rFonts w:asciiTheme="minorHAnsi" w:hAnsiTheme="minorHAnsi" w:cstheme="minorHAnsi"/>
              </w:rPr>
            </w:pPr>
            <w:r w:rsidRPr="005F120D">
              <w:rPr>
                <w:rFonts w:asciiTheme="minorHAnsi" w:hAnsiTheme="minorHAnsi" w:cstheme="minorHAnsi"/>
              </w:rPr>
              <w:t>17.5</w:t>
            </w:r>
          </w:p>
        </w:tc>
        <w:tc>
          <w:tcPr>
            <w:tcW w:w="461" w:type="pct"/>
            <w:shd w:val="clear" w:color="auto" w:fill="auto"/>
          </w:tcPr>
          <w:p w:rsidR="00C67EB3" w:rsidRPr="005F120D" w:rsidRDefault="00660043" w:rsidP="00936D9E">
            <w:pPr>
              <w:pStyle w:val="Tabletext"/>
              <w:spacing w:before="0" w:after="0"/>
              <w:jc w:val="center"/>
              <w:rPr>
                <w:rFonts w:asciiTheme="minorHAnsi" w:hAnsiTheme="minorHAnsi" w:cstheme="minorHAnsi"/>
              </w:rPr>
            </w:pPr>
            <w:r w:rsidRPr="005F120D">
              <w:rPr>
                <w:rFonts w:asciiTheme="minorHAnsi" w:hAnsiTheme="minorHAnsi" w:cstheme="minorHAnsi"/>
              </w:rPr>
              <w:t>20.9</w:t>
            </w:r>
          </w:p>
        </w:tc>
      </w:tr>
      <w:tr w:rsidR="00220FED" w:rsidRPr="005F120D" w:rsidTr="00EF2242">
        <w:trPr>
          <w:trHeight w:hRule="exact" w:val="383"/>
          <w:jc w:val="center"/>
        </w:trPr>
        <w:tc>
          <w:tcPr>
            <w:tcW w:w="1373" w:type="pct"/>
            <w:shd w:val="clear" w:color="auto" w:fill="auto"/>
          </w:tcPr>
          <w:p w:rsidR="00220FED" w:rsidRPr="005F120D" w:rsidRDefault="00220FED" w:rsidP="00936D9E">
            <w:pPr>
              <w:pStyle w:val="Tabletext"/>
              <w:jc w:val="center"/>
              <w:rPr>
                <w:rFonts w:asciiTheme="minorHAnsi" w:hAnsiTheme="minorHAnsi" w:cstheme="minorHAnsi"/>
              </w:rPr>
            </w:pPr>
            <w:r w:rsidRPr="005F120D">
              <w:rPr>
                <w:rFonts w:asciiTheme="minorHAnsi" w:hAnsiTheme="minorHAnsi" w:cstheme="minorHAnsi"/>
              </w:rPr>
              <w:t>2015</w:t>
            </w:r>
          </w:p>
        </w:tc>
        <w:tc>
          <w:tcPr>
            <w:tcW w:w="391" w:type="pct"/>
            <w:shd w:val="clear" w:color="auto" w:fill="auto"/>
          </w:tcPr>
          <w:p w:rsidR="00220FED" w:rsidRPr="005F120D" w:rsidRDefault="00220FED" w:rsidP="00936D9E">
            <w:pPr>
              <w:spacing w:before="40" w:after="40"/>
              <w:jc w:val="center"/>
              <w:rPr>
                <w:rFonts w:asciiTheme="minorHAnsi" w:hAnsiTheme="minorHAnsi" w:cstheme="minorHAnsi"/>
                <w:b/>
                <w:sz w:val="20"/>
              </w:rPr>
            </w:pPr>
            <w:r w:rsidRPr="005F120D">
              <w:rPr>
                <w:rFonts w:asciiTheme="minorHAnsi" w:hAnsiTheme="minorHAnsi" w:cstheme="minorHAnsi"/>
                <w:b/>
                <w:sz w:val="20"/>
              </w:rPr>
              <w:t>1.6</w:t>
            </w:r>
          </w:p>
        </w:tc>
        <w:tc>
          <w:tcPr>
            <w:tcW w:w="463" w:type="pct"/>
            <w:shd w:val="clear" w:color="auto" w:fill="auto"/>
          </w:tcPr>
          <w:p w:rsidR="00220FED" w:rsidRPr="005F120D" w:rsidRDefault="00220FED" w:rsidP="00936D9E">
            <w:pPr>
              <w:spacing w:before="40" w:after="40"/>
              <w:jc w:val="center"/>
              <w:rPr>
                <w:rFonts w:asciiTheme="minorHAnsi" w:hAnsiTheme="minorHAnsi" w:cstheme="minorHAnsi"/>
                <w:b/>
                <w:sz w:val="20"/>
              </w:rPr>
            </w:pPr>
            <w:r w:rsidRPr="005F120D">
              <w:rPr>
                <w:rFonts w:asciiTheme="minorHAnsi" w:hAnsiTheme="minorHAnsi" w:cstheme="minorHAnsi"/>
                <w:b/>
                <w:sz w:val="20"/>
              </w:rPr>
              <w:t>3.2</w:t>
            </w:r>
          </w:p>
        </w:tc>
        <w:tc>
          <w:tcPr>
            <w:tcW w:w="463" w:type="pct"/>
            <w:shd w:val="clear" w:color="auto" w:fill="auto"/>
          </w:tcPr>
          <w:p w:rsidR="00220FED" w:rsidRPr="005F120D" w:rsidRDefault="00220FED" w:rsidP="00936D9E">
            <w:pPr>
              <w:spacing w:before="40" w:after="40"/>
              <w:jc w:val="center"/>
              <w:rPr>
                <w:rFonts w:asciiTheme="minorHAnsi" w:hAnsiTheme="minorHAnsi" w:cstheme="minorHAnsi"/>
                <w:b/>
                <w:sz w:val="20"/>
              </w:rPr>
            </w:pPr>
            <w:r w:rsidRPr="005F120D">
              <w:rPr>
                <w:rFonts w:asciiTheme="minorHAnsi" w:hAnsiTheme="minorHAnsi" w:cstheme="minorHAnsi"/>
                <w:b/>
                <w:sz w:val="20"/>
              </w:rPr>
              <w:t>3.4</w:t>
            </w:r>
          </w:p>
        </w:tc>
        <w:tc>
          <w:tcPr>
            <w:tcW w:w="462" w:type="pct"/>
            <w:shd w:val="clear" w:color="auto" w:fill="auto"/>
          </w:tcPr>
          <w:p w:rsidR="00220FED" w:rsidRPr="005F120D" w:rsidRDefault="00220FED" w:rsidP="00936D9E">
            <w:pPr>
              <w:spacing w:before="40" w:after="40"/>
              <w:jc w:val="center"/>
              <w:rPr>
                <w:rFonts w:asciiTheme="minorHAnsi" w:hAnsiTheme="minorHAnsi" w:cstheme="minorHAnsi"/>
                <w:b/>
                <w:sz w:val="20"/>
              </w:rPr>
            </w:pPr>
            <w:r w:rsidRPr="005F120D">
              <w:rPr>
                <w:rFonts w:asciiTheme="minorHAnsi" w:hAnsiTheme="minorHAnsi" w:cstheme="minorHAnsi"/>
                <w:b/>
                <w:sz w:val="20"/>
              </w:rPr>
              <w:t>10.1</w:t>
            </w:r>
          </w:p>
        </w:tc>
        <w:tc>
          <w:tcPr>
            <w:tcW w:w="462" w:type="pct"/>
            <w:shd w:val="clear" w:color="auto" w:fill="auto"/>
          </w:tcPr>
          <w:p w:rsidR="00220FED" w:rsidRPr="005F120D" w:rsidRDefault="00220FED" w:rsidP="00936D9E">
            <w:pPr>
              <w:spacing w:before="40" w:after="40"/>
              <w:jc w:val="center"/>
              <w:rPr>
                <w:rFonts w:asciiTheme="minorHAnsi" w:hAnsiTheme="minorHAnsi" w:cstheme="minorHAnsi"/>
                <w:b/>
                <w:sz w:val="20"/>
              </w:rPr>
            </w:pPr>
            <w:r w:rsidRPr="005F120D">
              <w:rPr>
                <w:rFonts w:asciiTheme="minorHAnsi" w:hAnsiTheme="minorHAnsi" w:cstheme="minorHAnsi"/>
                <w:b/>
                <w:sz w:val="20"/>
              </w:rPr>
              <w:t>2.1</w:t>
            </w:r>
          </w:p>
        </w:tc>
        <w:tc>
          <w:tcPr>
            <w:tcW w:w="462" w:type="pct"/>
            <w:shd w:val="clear" w:color="auto" w:fill="auto"/>
          </w:tcPr>
          <w:p w:rsidR="00220FED" w:rsidRPr="005F120D" w:rsidRDefault="00220FED" w:rsidP="00936D9E">
            <w:pPr>
              <w:pStyle w:val="Tabletext"/>
              <w:jc w:val="center"/>
              <w:rPr>
                <w:rFonts w:asciiTheme="minorHAnsi" w:hAnsiTheme="minorHAnsi" w:cstheme="minorHAnsi"/>
              </w:rPr>
            </w:pPr>
            <w:r w:rsidRPr="005F120D">
              <w:rPr>
                <w:rFonts w:asciiTheme="minorHAnsi" w:hAnsiTheme="minorHAnsi" w:cstheme="minorHAnsi"/>
              </w:rPr>
              <w:t>23.9</w:t>
            </w:r>
          </w:p>
        </w:tc>
        <w:tc>
          <w:tcPr>
            <w:tcW w:w="462" w:type="pct"/>
            <w:shd w:val="clear" w:color="auto" w:fill="auto"/>
          </w:tcPr>
          <w:p w:rsidR="00220FED" w:rsidRPr="005F120D" w:rsidRDefault="00220FED" w:rsidP="00936D9E">
            <w:pPr>
              <w:pStyle w:val="Tabletext"/>
              <w:jc w:val="center"/>
              <w:rPr>
                <w:rFonts w:asciiTheme="minorHAnsi" w:hAnsiTheme="minorHAnsi" w:cstheme="minorHAnsi"/>
              </w:rPr>
            </w:pPr>
            <w:r w:rsidRPr="005F120D">
              <w:rPr>
                <w:rFonts w:asciiTheme="minorHAnsi" w:hAnsiTheme="minorHAnsi" w:cstheme="minorHAnsi"/>
              </w:rPr>
              <w:t>17</w:t>
            </w:r>
          </w:p>
        </w:tc>
        <w:tc>
          <w:tcPr>
            <w:tcW w:w="461" w:type="pct"/>
            <w:shd w:val="clear" w:color="auto" w:fill="auto"/>
          </w:tcPr>
          <w:p w:rsidR="00220FED" w:rsidRPr="005F120D" w:rsidRDefault="00220FED" w:rsidP="00936D9E">
            <w:pPr>
              <w:pStyle w:val="Tabletext"/>
              <w:jc w:val="center"/>
              <w:rPr>
                <w:rFonts w:asciiTheme="minorHAnsi" w:hAnsiTheme="minorHAnsi" w:cstheme="minorHAnsi"/>
              </w:rPr>
            </w:pPr>
            <w:r w:rsidRPr="005F120D">
              <w:rPr>
                <w:rFonts w:asciiTheme="minorHAnsi" w:hAnsiTheme="minorHAnsi" w:cstheme="minorHAnsi"/>
              </w:rPr>
              <w:t>20.4</w:t>
            </w:r>
          </w:p>
        </w:tc>
      </w:tr>
    </w:tbl>
    <w:p w:rsidR="002F7ADC" w:rsidRPr="005F120D" w:rsidRDefault="00ED3360" w:rsidP="000A5B80">
      <w:pPr>
        <w:pStyle w:val="Tablenotes"/>
      </w:pPr>
      <w:r w:rsidRPr="005F120D">
        <w:t>Source: APSC 2010 to 2015</w:t>
      </w:r>
      <w:bookmarkStart w:id="399" w:name="_Toc338839632"/>
      <w:r w:rsidR="00255F64" w:rsidRPr="005F120D">
        <w:t xml:space="preserve"> reports</w:t>
      </w:r>
    </w:p>
    <w:p w:rsidR="00652643" w:rsidRPr="005F120D" w:rsidRDefault="007C1D77" w:rsidP="00C437AA">
      <w:pPr>
        <w:spacing w:before="240" w:line="276" w:lineRule="auto"/>
        <w:jc w:val="both"/>
        <w:rPr>
          <w:rFonts w:asciiTheme="minorHAnsi" w:hAnsiTheme="minorHAnsi" w:cstheme="minorHAnsi"/>
        </w:rPr>
      </w:pPr>
      <w:r w:rsidRPr="005F120D">
        <w:rPr>
          <w:rFonts w:asciiTheme="minorHAnsi" w:hAnsiTheme="minorHAnsi" w:cstheme="minorHAnsi"/>
        </w:rPr>
        <w:t>The following Figure 3.27 shows the primary cycle dropout rate from 2005 to 2015</w:t>
      </w:r>
    </w:p>
    <w:p w:rsidR="00652643" w:rsidRPr="005F120D" w:rsidRDefault="00652643" w:rsidP="00C437AA">
      <w:pPr>
        <w:pStyle w:val="Caption"/>
        <w:spacing w:line="276" w:lineRule="auto"/>
        <w:rPr>
          <w:rFonts w:cstheme="minorHAnsi"/>
        </w:rPr>
      </w:pPr>
      <w:bookmarkStart w:id="400" w:name="_Toc462837436"/>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27</w:t>
      </w:r>
      <w:r w:rsidR="002E2ED5" w:rsidRPr="005F120D">
        <w:rPr>
          <w:rFonts w:cstheme="minorHAnsi"/>
        </w:rPr>
        <w:fldChar w:fldCharType="end"/>
      </w:r>
      <w:r w:rsidRPr="005F120D">
        <w:rPr>
          <w:rFonts w:cstheme="minorHAnsi"/>
        </w:rPr>
        <w:t>: Trend of Primary Cycle Dropout Rate 2005-2015</w:t>
      </w:r>
      <w:bookmarkEnd w:id="400"/>
    </w:p>
    <w:p w:rsidR="00652643" w:rsidRPr="005F120D" w:rsidRDefault="002E2ED5" w:rsidP="00C437AA">
      <w:pPr>
        <w:spacing w:before="40" w:after="40" w:line="276" w:lineRule="auto"/>
        <w:jc w:val="center"/>
        <w:rPr>
          <w:rFonts w:asciiTheme="minorHAnsi" w:hAnsiTheme="minorHAnsi" w:cstheme="minorHAnsi"/>
          <w:b/>
          <w:sz w:val="16"/>
          <w:szCs w:val="16"/>
          <w:vertAlign w:val="superscript"/>
        </w:rPr>
      </w:pPr>
      <w:r w:rsidRPr="002E2ED5">
        <w:rPr>
          <w:rFonts w:asciiTheme="minorHAnsi" w:hAnsiTheme="minorHAnsi" w:cstheme="minorHAnsi"/>
          <w:noProof/>
          <w:lang w:eastAsia="en-US"/>
        </w:rPr>
        <w:pict>
          <v:shape id="AutoShape 389" o:spid="_x0000_s1081" type="#_x0000_t32" style="position:absolute;left:0;text-align:left;margin-left:40.75pt;margin-top:105.1pt;width:400.1pt;height:2.0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" strokecolor="#c00000" strokeweight="2pt">
            <v:shadow opacity=".5" offset="6pt,6pt"/>
          </v:shape>
        </w:pict>
      </w:r>
      <w:r w:rsidR="00652643" w:rsidRPr="005F120D">
        <w:rPr>
          <w:rFonts w:asciiTheme="minorHAnsi" w:hAnsiTheme="minorHAnsi" w:cstheme="minorHAnsi"/>
          <w:noProof/>
          <w:lang w:eastAsia="en-US"/>
        </w:rPr>
        <w:drawing>
          <wp:inline distT="0" distB="0" distL="0" distR="0">
            <wp:extent cx="5654277" cy="2150944"/>
            <wp:effectExtent l="38100" t="19050" r="22623" b="1706"/>
            <wp:docPr id="11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B4410" w:rsidRPr="005F120D" w:rsidRDefault="00BB4410" w:rsidP="00C437AA">
      <w:pPr>
        <w:spacing w:before="40" w:after="40" w:line="276" w:lineRule="auto"/>
        <w:rPr>
          <w:rFonts w:asciiTheme="minorHAnsi" w:hAnsiTheme="minorHAnsi" w:cstheme="minorHAnsi"/>
          <w:b/>
          <w:sz w:val="18"/>
          <w:szCs w:val="18"/>
          <w:vertAlign w:val="superscript"/>
        </w:rPr>
      </w:pPr>
      <w:r w:rsidRPr="005F120D">
        <w:rPr>
          <w:rFonts w:asciiTheme="minorHAnsi" w:hAnsiTheme="minorHAnsi" w:cstheme="minorHAnsi"/>
          <w:b/>
          <w:sz w:val="18"/>
          <w:szCs w:val="18"/>
          <w:vertAlign w:val="superscript"/>
        </w:rPr>
        <w:t xml:space="preserve">         Source: Various APSC reports</w:t>
      </w:r>
    </w:p>
    <w:p w:rsidR="007C1D77" w:rsidRPr="005F120D" w:rsidRDefault="007C1D77" w:rsidP="00C437AA">
      <w:pPr>
        <w:spacing w:before="240" w:line="276" w:lineRule="auto"/>
        <w:jc w:val="both"/>
        <w:rPr>
          <w:rFonts w:asciiTheme="minorHAnsi" w:hAnsiTheme="minorHAnsi" w:cstheme="minorHAnsi"/>
        </w:rPr>
      </w:pPr>
      <w:r w:rsidRPr="005F120D">
        <w:rPr>
          <w:rFonts w:asciiTheme="minorHAnsi" w:hAnsiTheme="minorHAnsi" w:cstheme="minorHAnsi"/>
        </w:rPr>
        <w:t>There is a high risk of dropout in the northern part of the country</w:t>
      </w:r>
      <w:r w:rsidR="006940D3" w:rsidRPr="005F120D">
        <w:rPr>
          <w:rFonts w:asciiTheme="minorHAnsi" w:hAnsiTheme="minorHAnsi" w:cstheme="minorHAnsi"/>
        </w:rPr>
        <w:t xml:space="preserve"> including Bhola</w:t>
      </w:r>
      <w:r w:rsidRPr="005F120D">
        <w:rPr>
          <w:rFonts w:asciiTheme="minorHAnsi" w:hAnsiTheme="minorHAnsi" w:cstheme="minorHAnsi"/>
        </w:rPr>
        <w:t>. Gaibandha district has the highest dropout rate (47.3%) and Chittagong has the lowest</w:t>
      </w:r>
      <w:bookmarkStart w:id="401" w:name="_Toc338839604"/>
      <w:r w:rsidRPr="005F120D">
        <w:rPr>
          <w:rFonts w:asciiTheme="minorHAnsi" w:hAnsiTheme="minorHAnsi" w:cstheme="minorHAnsi"/>
        </w:rPr>
        <w:t xml:space="preserve"> (8.1%). The dropout rate by </w:t>
      </w:r>
      <w:r w:rsidR="00F83E43" w:rsidRPr="005F120D">
        <w:rPr>
          <w:rFonts w:asciiTheme="minorHAnsi" w:hAnsiTheme="minorHAnsi" w:cstheme="minorHAnsi"/>
        </w:rPr>
        <w:t>Upazila</w:t>
      </w:r>
      <w:r w:rsidRPr="005F120D">
        <w:rPr>
          <w:rFonts w:asciiTheme="minorHAnsi" w:hAnsiTheme="minorHAnsi" w:cstheme="minorHAnsi"/>
        </w:rPr>
        <w:t xml:space="preserve"> and district is presented in the Figure 3.28</w:t>
      </w:r>
    </w:p>
    <w:bookmarkEnd w:id="401"/>
    <w:p w:rsidR="008603F1" w:rsidRPr="005F120D" w:rsidRDefault="00B024E1" w:rsidP="0066101E">
      <w:pPr>
        <w:pStyle w:val="BodyText1"/>
        <w:spacing w:after="0" w:line="240" w:lineRule="auto"/>
        <w:jc w:val="both"/>
        <w:rPr>
          <w:rFonts w:asciiTheme="minorHAnsi" w:hAnsiTheme="minorHAnsi" w:cstheme="minorHAnsi"/>
          <w:b w:val="0"/>
          <w:lang w:val="en-US"/>
        </w:rPr>
      </w:pPr>
      <w:r w:rsidRPr="005F120D">
        <w:rPr>
          <w:rFonts w:asciiTheme="minorHAnsi" w:hAnsiTheme="minorHAnsi" w:cstheme="minorHAnsi"/>
          <w:b w:val="0"/>
          <w:lang w:val="en-US"/>
        </w:rPr>
        <w:lastRenderedPageBreak/>
        <w:t>The 2012/13 MICS report found that the dropout rate of primary education was 14%, which is 7 percentage points lower than the APSC 2013 (21%)</w:t>
      </w:r>
      <w:r w:rsidR="00EF27A4" w:rsidRPr="005F120D">
        <w:rPr>
          <w:rFonts w:asciiTheme="minorHAnsi" w:hAnsiTheme="minorHAnsi" w:cstheme="minorHAnsi"/>
          <w:b w:val="0"/>
          <w:lang w:val="en-US"/>
        </w:rPr>
        <w:t xml:space="preserve"> rate</w:t>
      </w:r>
      <w:r w:rsidRPr="005F120D">
        <w:rPr>
          <w:rFonts w:asciiTheme="minorHAnsi" w:hAnsiTheme="minorHAnsi" w:cstheme="minorHAnsi"/>
          <w:b w:val="0"/>
          <w:lang w:val="en-US"/>
        </w:rPr>
        <w:t>. This trend is also evident from other sources</w:t>
      </w:r>
      <w:r w:rsidR="00EF27A4" w:rsidRPr="005F120D">
        <w:rPr>
          <w:rFonts w:asciiTheme="minorHAnsi" w:hAnsiTheme="minorHAnsi" w:cstheme="minorHAnsi"/>
          <w:b w:val="0"/>
          <w:lang w:val="en-US"/>
        </w:rPr>
        <w:t xml:space="preserve"> of</w:t>
      </w:r>
      <w:r w:rsidRPr="005F120D">
        <w:rPr>
          <w:rFonts w:asciiTheme="minorHAnsi" w:hAnsiTheme="minorHAnsi" w:cstheme="minorHAnsi"/>
          <w:b w:val="0"/>
          <w:lang w:val="en-US"/>
        </w:rPr>
        <w:t xml:space="preserve"> information, indicating that the primary cycle dropout rate decreased considerably during the PEDP3 period</w:t>
      </w:r>
      <w:r w:rsidR="00C074A8" w:rsidRPr="005F120D">
        <w:rPr>
          <w:rFonts w:asciiTheme="minorHAnsi" w:hAnsiTheme="minorHAnsi" w:cstheme="minorHAnsi"/>
          <w:b w:val="0"/>
          <w:lang w:val="en-US"/>
        </w:rPr>
        <w:t>.</w:t>
      </w:r>
      <w:bookmarkStart w:id="402" w:name="_Toc338839506"/>
      <w:bookmarkStart w:id="403" w:name="_Toc338856155"/>
    </w:p>
    <w:p w:rsidR="00C52332" w:rsidRPr="005F120D" w:rsidRDefault="00C52332" w:rsidP="0066101E">
      <w:pPr>
        <w:pStyle w:val="Heading2NONUM"/>
        <w:spacing w:before="120" w:after="120"/>
        <w:rPr>
          <w:rFonts w:asciiTheme="minorHAnsi" w:hAnsiTheme="minorHAnsi" w:cstheme="minorHAnsi"/>
          <w:color w:val="008000"/>
          <w:sz w:val="22"/>
          <w:szCs w:val="22"/>
        </w:rPr>
      </w:pPr>
      <w:r w:rsidRPr="005F120D">
        <w:rPr>
          <w:rFonts w:asciiTheme="minorHAnsi" w:hAnsiTheme="minorHAnsi" w:cstheme="minorHAnsi"/>
          <w:color w:val="008000"/>
          <w:sz w:val="22"/>
          <w:szCs w:val="22"/>
        </w:rPr>
        <w:t>Comparison of Repetition, Promotion and Dropout rates based on APSC with the Education Watch and MICS</w:t>
      </w:r>
      <w:bookmarkEnd w:id="402"/>
      <w:bookmarkEnd w:id="403"/>
    </w:p>
    <w:p w:rsidR="00E33273" w:rsidRPr="005F120D" w:rsidRDefault="00E33273" w:rsidP="0066101E">
      <w:pPr>
        <w:pStyle w:val="BodyText1"/>
        <w:spacing w:line="240" w:lineRule="auto"/>
        <w:jc w:val="both"/>
        <w:rPr>
          <w:rFonts w:asciiTheme="minorHAnsi" w:hAnsiTheme="minorHAnsi" w:cstheme="minorHAnsi"/>
          <w:b w:val="0"/>
        </w:rPr>
      </w:pPr>
      <w:r w:rsidRPr="005F120D">
        <w:rPr>
          <w:rFonts w:asciiTheme="minorHAnsi" w:hAnsiTheme="minorHAnsi" w:cstheme="minorHAnsi"/>
          <w:b w:val="0"/>
        </w:rPr>
        <w:t>As discussed in last year’s ASPR, the promotion, repetition and dropout rates, es</w:t>
      </w:r>
      <w:r w:rsidR="00C723F9" w:rsidRPr="005F120D">
        <w:rPr>
          <w:rFonts w:asciiTheme="minorHAnsi" w:hAnsiTheme="minorHAnsi" w:cstheme="minorHAnsi"/>
          <w:b w:val="0"/>
        </w:rPr>
        <w:t xml:space="preserve">timated by the 2012/13 MICS and </w:t>
      </w:r>
      <w:r w:rsidRPr="005F120D">
        <w:rPr>
          <w:rFonts w:asciiTheme="minorHAnsi" w:hAnsiTheme="minorHAnsi" w:cstheme="minorHAnsi"/>
          <w:b w:val="0"/>
        </w:rPr>
        <w:t>Education Watch Educational Statistics Survey 2014, were very differe</w:t>
      </w:r>
      <w:r w:rsidR="0066101E" w:rsidRPr="005F120D">
        <w:rPr>
          <w:rFonts w:asciiTheme="minorHAnsi" w:hAnsiTheme="minorHAnsi" w:cstheme="minorHAnsi"/>
          <w:b w:val="0"/>
        </w:rPr>
        <w:t xml:space="preserve">nt </w:t>
      </w:r>
      <w:r w:rsidR="00C723F9" w:rsidRPr="005F120D">
        <w:rPr>
          <w:rFonts w:asciiTheme="minorHAnsi" w:hAnsiTheme="minorHAnsi" w:cstheme="minorHAnsi"/>
          <w:b w:val="0"/>
        </w:rPr>
        <w:t>compare</w:t>
      </w:r>
      <w:r w:rsidR="001135C8" w:rsidRPr="005F120D">
        <w:rPr>
          <w:rFonts w:asciiTheme="minorHAnsi" w:hAnsiTheme="minorHAnsi" w:cstheme="minorHAnsi"/>
          <w:b w:val="0"/>
        </w:rPr>
        <w:t>d</w:t>
      </w:r>
      <w:r w:rsidR="00C723F9" w:rsidRPr="005F120D">
        <w:rPr>
          <w:rFonts w:asciiTheme="minorHAnsi" w:hAnsiTheme="minorHAnsi" w:cstheme="minorHAnsi"/>
          <w:b w:val="0"/>
        </w:rPr>
        <w:t xml:space="preserve"> to the </w:t>
      </w:r>
      <w:r w:rsidR="0066101E" w:rsidRPr="005F120D">
        <w:rPr>
          <w:rFonts w:asciiTheme="minorHAnsi" w:hAnsiTheme="minorHAnsi" w:cstheme="minorHAnsi"/>
          <w:b w:val="0"/>
        </w:rPr>
        <w:t>APSC data</w:t>
      </w:r>
      <w:r w:rsidR="007112B6" w:rsidRPr="005F120D">
        <w:rPr>
          <w:rFonts w:asciiTheme="minorHAnsi" w:hAnsiTheme="minorHAnsi" w:cstheme="minorHAnsi"/>
          <w:b w:val="0"/>
        </w:rPr>
        <w:t xml:space="preserve"> (see the following Table 3:30).</w:t>
      </w:r>
    </w:p>
    <w:p w:rsidR="00B024E1" w:rsidRPr="005F120D" w:rsidRDefault="007112B6" w:rsidP="007112B6">
      <w:pPr>
        <w:pStyle w:val="Caption"/>
        <w:rPr>
          <w:rFonts w:cstheme="minorHAnsi"/>
          <w:b w:val="0"/>
        </w:rPr>
      </w:pPr>
      <w:bookmarkStart w:id="404" w:name="_Toc462837287"/>
      <w:r w:rsidRPr="005F120D">
        <w:rPr>
          <w:rFonts w:cstheme="minorHAnsi"/>
        </w:rPr>
        <w:t xml:space="preserve">Table </w:t>
      </w:r>
      <w:r w:rsidR="002E2ED5" w:rsidRPr="005F120D">
        <w:rPr>
          <w:rFonts w:cstheme="minorHAnsi"/>
        </w:rPr>
        <w:fldChar w:fldCharType="begin"/>
      </w:r>
      <w:r w:rsidR="007C0162"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Pr="005F120D">
        <w:rPr>
          <w:rFonts w:cstheme="minorHAnsi"/>
        </w:rPr>
        <w:t>.</w:t>
      </w:r>
      <w:r w:rsidR="002E2ED5" w:rsidRPr="005F120D">
        <w:rPr>
          <w:rFonts w:cstheme="minorHAnsi"/>
        </w:rPr>
        <w:fldChar w:fldCharType="begin"/>
      </w:r>
      <w:r w:rsidR="007C0162"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30</w:t>
      </w:r>
      <w:r w:rsidR="002E2ED5" w:rsidRPr="005F120D">
        <w:rPr>
          <w:rFonts w:cstheme="minorHAnsi"/>
        </w:rPr>
        <w:fldChar w:fldCharType="end"/>
      </w:r>
      <w:r w:rsidRPr="005F120D">
        <w:rPr>
          <w:rFonts w:cstheme="minorHAnsi"/>
        </w:rPr>
        <w:t>: Comparisons between APSC, MICS and CAPME Data</w:t>
      </w:r>
      <w:bookmarkEnd w:id="404"/>
    </w:p>
    <w:tbl>
      <w:tblPr>
        <w:tblStyle w:val="TableGrid"/>
        <w:tblW w:w="9468" w:type="dxa"/>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908"/>
        <w:gridCol w:w="567"/>
        <w:gridCol w:w="566"/>
        <w:gridCol w:w="566"/>
        <w:gridCol w:w="566"/>
        <w:gridCol w:w="566"/>
        <w:gridCol w:w="590"/>
        <w:gridCol w:w="558"/>
        <w:gridCol w:w="558"/>
        <w:gridCol w:w="590"/>
        <w:gridCol w:w="558"/>
        <w:gridCol w:w="558"/>
        <w:gridCol w:w="558"/>
        <w:gridCol w:w="558"/>
        <w:gridCol w:w="558"/>
        <w:gridCol w:w="643"/>
      </w:tblGrid>
      <w:tr w:rsidR="00C45832" w:rsidRPr="005F120D" w:rsidTr="00500C66">
        <w:trPr>
          <w:trHeight w:val="249"/>
        </w:trPr>
        <w:tc>
          <w:tcPr>
            <w:tcW w:w="908" w:type="dxa"/>
            <w:vMerge w:val="restart"/>
            <w:tcBorders>
              <w:top w:val="double" w:sz="4"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Source</w:t>
            </w:r>
          </w:p>
        </w:tc>
        <w:tc>
          <w:tcPr>
            <w:tcW w:w="2831" w:type="dxa"/>
            <w:gridSpan w:val="5"/>
            <w:tcBorders>
              <w:top w:val="double" w:sz="4"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Promotion rate (%)</w:t>
            </w:r>
          </w:p>
        </w:tc>
        <w:tc>
          <w:tcPr>
            <w:tcW w:w="2854" w:type="dxa"/>
            <w:gridSpan w:val="5"/>
            <w:tcBorders>
              <w:top w:val="double" w:sz="4"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Repetition rate (%)</w:t>
            </w:r>
          </w:p>
        </w:tc>
        <w:tc>
          <w:tcPr>
            <w:tcW w:w="2875" w:type="dxa"/>
            <w:gridSpan w:val="5"/>
            <w:tcBorders>
              <w:top w:val="double" w:sz="4"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Dropout Rate (%)</w:t>
            </w:r>
          </w:p>
        </w:tc>
      </w:tr>
      <w:tr w:rsidR="007112B6" w:rsidRPr="005F120D" w:rsidTr="00500C66">
        <w:trPr>
          <w:trHeight w:hRule="exact" w:val="288"/>
        </w:trPr>
        <w:tc>
          <w:tcPr>
            <w:tcW w:w="908" w:type="dxa"/>
            <w:vMerge/>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pStyle w:val="BodyText1"/>
              <w:spacing w:after="0" w:line="240" w:lineRule="auto"/>
              <w:rPr>
                <w:rFonts w:asciiTheme="minorHAnsi" w:hAnsiTheme="minorHAnsi" w:cstheme="minorHAnsi"/>
                <w:b w:val="0"/>
                <w:sz w:val="18"/>
                <w:szCs w:val="18"/>
              </w:rPr>
            </w:pPr>
          </w:p>
        </w:tc>
        <w:tc>
          <w:tcPr>
            <w:tcW w:w="567"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Gr-1</w:t>
            </w:r>
          </w:p>
        </w:tc>
        <w:tc>
          <w:tcPr>
            <w:tcW w:w="566"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Gr-2</w:t>
            </w:r>
          </w:p>
        </w:tc>
        <w:tc>
          <w:tcPr>
            <w:tcW w:w="566"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Gr-3</w:t>
            </w:r>
          </w:p>
        </w:tc>
        <w:tc>
          <w:tcPr>
            <w:tcW w:w="566"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Gr-4</w:t>
            </w:r>
          </w:p>
        </w:tc>
        <w:tc>
          <w:tcPr>
            <w:tcW w:w="566"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Gr-5</w:t>
            </w:r>
          </w:p>
        </w:tc>
        <w:tc>
          <w:tcPr>
            <w:tcW w:w="590"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Gr-1</w:t>
            </w:r>
          </w:p>
        </w:tc>
        <w:tc>
          <w:tcPr>
            <w:tcW w:w="558"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Gr-2</w:t>
            </w:r>
          </w:p>
        </w:tc>
        <w:tc>
          <w:tcPr>
            <w:tcW w:w="558"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Gr-3</w:t>
            </w:r>
          </w:p>
        </w:tc>
        <w:tc>
          <w:tcPr>
            <w:tcW w:w="590"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Gr-4</w:t>
            </w:r>
          </w:p>
        </w:tc>
        <w:tc>
          <w:tcPr>
            <w:tcW w:w="558"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Gr-5</w:t>
            </w:r>
          </w:p>
        </w:tc>
        <w:tc>
          <w:tcPr>
            <w:tcW w:w="558"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Gr-1</w:t>
            </w:r>
          </w:p>
        </w:tc>
        <w:tc>
          <w:tcPr>
            <w:tcW w:w="558"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Gr-2</w:t>
            </w:r>
          </w:p>
        </w:tc>
        <w:tc>
          <w:tcPr>
            <w:tcW w:w="558"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Gr-3</w:t>
            </w:r>
          </w:p>
        </w:tc>
        <w:tc>
          <w:tcPr>
            <w:tcW w:w="558"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Gr-4</w:t>
            </w:r>
          </w:p>
        </w:tc>
        <w:tc>
          <w:tcPr>
            <w:tcW w:w="643" w:type="dxa"/>
            <w:tcBorders>
              <w:top w:val="single" w:sz="6" w:space="0" w:color="31849B" w:themeColor="accent5" w:themeShade="BF"/>
              <w:bottom w:val="single" w:sz="6" w:space="0" w:color="31849B" w:themeColor="accent5" w:themeShade="BF"/>
            </w:tcBorders>
            <w:shd w:val="clear" w:color="auto" w:fill="92CDDC" w:themeFill="accent5" w:themeFillTint="99"/>
          </w:tcPr>
          <w:p w:rsidR="00C45832" w:rsidRPr="005F120D" w:rsidRDefault="00C45832" w:rsidP="00500C66">
            <w:pPr>
              <w:spacing w:after="0"/>
              <w:jc w:val="center"/>
              <w:rPr>
                <w:rFonts w:asciiTheme="minorHAnsi" w:hAnsiTheme="minorHAnsi" w:cstheme="minorHAnsi"/>
                <w:sz w:val="18"/>
                <w:szCs w:val="18"/>
              </w:rPr>
            </w:pPr>
            <w:r w:rsidRPr="005F120D">
              <w:rPr>
                <w:rFonts w:asciiTheme="minorHAnsi" w:hAnsiTheme="minorHAnsi" w:cstheme="minorHAnsi"/>
                <w:sz w:val="18"/>
                <w:szCs w:val="18"/>
              </w:rPr>
              <w:t>Gr-5</w:t>
            </w:r>
          </w:p>
        </w:tc>
      </w:tr>
      <w:tr w:rsidR="00B024E1" w:rsidRPr="005F120D" w:rsidTr="00500C66">
        <w:tc>
          <w:tcPr>
            <w:tcW w:w="908" w:type="dxa"/>
            <w:tcBorders>
              <w:top w:val="single" w:sz="6" w:space="0" w:color="31849B" w:themeColor="accent5" w:themeShade="BF"/>
            </w:tcBorders>
          </w:tcPr>
          <w:p w:rsidR="00B024E1" w:rsidRPr="005F120D" w:rsidRDefault="00B024E1"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APSC</w:t>
            </w:r>
            <w:r w:rsidR="00C45832" w:rsidRPr="005F120D">
              <w:rPr>
                <w:rFonts w:asciiTheme="minorHAnsi" w:hAnsiTheme="minorHAnsi" w:cstheme="minorHAnsi"/>
                <w:b w:val="0"/>
                <w:sz w:val="18"/>
                <w:szCs w:val="18"/>
              </w:rPr>
              <w:t xml:space="preserve"> 2013</w:t>
            </w:r>
          </w:p>
        </w:tc>
        <w:tc>
          <w:tcPr>
            <w:tcW w:w="567" w:type="dxa"/>
            <w:tcBorders>
              <w:top w:val="single" w:sz="6" w:space="0" w:color="31849B" w:themeColor="accent5" w:themeShade="BF"/>
            </w:tcBorders>
          </w:tcPr>
          <w:p w:rsidR="00B024E1" w:rsidRPr="005F120D" w:rsidRDefault="00C45832"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90.6</w:t>
            </w:r>
          </w:p>
        </w:tc>
        <w:tc>
          <w:tcPr>
            <w:tcW w:w="566" w:type="dxa"/>
            <w:tcBorders>
              <w:top w:val="single" w:sz="6" w:space="0" w:color="31849B" w:themeColor="accent5" w:themeShade="BF"/>
            </w:tcBorders>
          </w:tcPr>
          <w:p w:rsidR="00B024E1" w:rsidRPr="005F120D" w:rsidRDefault="00C45832"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88</w:t>
            </w:r>
          </w:p>
        </w:tc>
        <w:tc>
          <w:tcPr>
            <w:tcW w:w="566" w:type="dxa"/>
            <w:tcBorders>
              <w:top w:val="single" w:sz="6" w:space="0" w:color="31849B" w:themeColor="accent5" w:themeShade="BF"/>
            </w:tcBorders>
          </w:tcPr>
          <w:p w:rsidR="00B024E1" w:rsidRPr="005F120D" w:rsidRDefault="00C45832"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86</w:t>
            </w:r>
          </w:p>
        </w:tc>
        <w:tc>
          <w:tcPr>
            <w:tcW w:w="566" w:type="dxa"/>
            <w:tcBorders>
              <w:top w:val="single" w:sz="6" w:space="0" w:color="31849B" w:themeColor="accent5" w:themeShade="BF"/>
            </w:tcBorders>
          </w:tcPr>
          <w:p w:rsidR="00B024E1" w:rsidRPr="005F120D" w:rsidRDefault="00C45832"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85</w:t>
            </w:r>
          </w:p>
        </w:tc>
        <w:tc>
          <w:tcPr>
            <w:tcW w:w="566" w:type="dxa"/>
            <w:tcBorders>
              <w:top w:val="single" w:sz="6" w:space="0" w:color="31849B" w:themeColor="accent5" w:themeShade="BF"/>
            </w:tcBorders>
          </w:tcPr>
          <w:p w:rsidR="00B024E1" w:rsidRPr="005F120D" w:rsidRDefault="00C45832"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96</w:t>
            </w:r>
          </w:p>
        </w:tc>
        <w:tc>
          <w:tcPr>
            <w:tcW w:w="590" w:type="dxa"/>
            <w:tcBorders>
              <w:top w:val="single" w:sz="6" w:space="0" w:color="31849B" w:themeColor="accent5" w:themeShade="BF"/>
            </w:tcBorders>
          </w:tcPr>
          <w:p w:rsidR="00B024E1" w:rsidRPr="005F120D" w:rsidRDefault="00C45832"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7.9</w:t>
            </w:r>
          </w:p>
        </w:tc>
        <w:tc>
          <w:tcPr>
            <w:tcW w:w="558" w:type="dxa"/>
            <w:tcBorders>
              <w:top w:val="single" w:sz="6" w:space="0" w:color="31849B" w:themeColor="accent5" w:themeShade="BF"/>
            </w:tcBorders>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6.9</w:t>
            </w:r>
          </w:p>
        </w:tc>
        <w:tc>
          <w:tcPr>
            <w:tcW w:w="558" w:type="dxa"/>
            <w:tcBorders>
              <w:top w:val="single" w:sz="6" w:space="0" w:color="31849B" w:themeColor="accent5" w:themeShade="BF"/>
            </w:tcBorders>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8.8</w:t>
            </w:r>
          </w:p>
        </w:tc>
        <w:tc>
          <w:tcPr>
            <w:tcW w:w="590" w:type="dxa"/>
            <w:tcBorders>
              <w:top w:val="single" w:sz="6" w:space="0" w:color="31849B" w:themeColor="accent5" w:themeShade="BF"/>
            </w:tcBorders>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7.4</w:t>
            </w:r>
          </w:p>
        </w:tc>
        <w:tc>
          <w:tcPr>
            <w:tcW w:w="558" w:type="dxa"/>
            <w:tcBorders>
              <w:top w:val="single" w:sz="6" w:space="0" w:color="31849B" w:themeColor="accent5" w:themeShade="BF"/>
            </w:tcBorders>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1.7</w:t>
            </w:r>
          </w:p>
        </w:tc>
        <w:tc>
          <w:tcPr>
            <w:tcW w:w="558" w:type="dxa"/>
            <w:tcBorders>
              <w:top w:val="single" w:sz="6" w:space="0" w:color="31849B" w:themeColor="accent5" w:themeShade="BF"/>
            </w:tcBorders>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1.2</w:t>
            </w:r>
          </w:p>
        </w:tc>
        <w:tc>
          <w:tcPr>
            <w:tcW w:w="558" w:type="dxa"/>
            <w:tcBorders>
              <w:top w:val="single" w:sz="6" w:space="0" w:color="31849B" w:themeColor="accent5" w:themeShade="BF"/>
            </w:tcBorders>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4.6</w:t>
            </w:r>
          </w:p>
        </w:tc>
        <w:tc>
          <w:tcPr>
            <w:tcW w:w="558" w:type="dxa"/>
            <w:tcBorders>
              <w:top w:val="single" w:sz="6" w:space="0" w:color="31849B" w:themeColor="accent5" w:themeShade="BF"/>
            </w:tcBorders>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4.8</w:t>
            </w:r>
          </w:p>
        </w:tc>
        <w:tc>
          <w:tcPr>
            <w:tcW w:w="558" w:type="dxa"/>
            <w:tcBorders>
              <w:top w:val="single" w:sz="6" w:space="0" w:color="31849B" w:themeColor="accent5" w:themeShade="BF"/>
            </w:tcBorders>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8.1</w:t>
            </w:r>
          </w:p>
        </w:tc>
        <w:tc>
          <w:tcPr>
            <w:tcW w:w="643" w:type="dxa"/>
            <w:tcBorders>
              <w:top w:val="single" w:sz="6" w:space="0" w:color="31849B" w:themeColor="accent5" w:themeShade="BF"/>
            </w:tcBorders>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2.3</w:t>
            </w:r>
          </w:p>
        </w:tc>
      </w:tr>
      <w:tr w:rsidR="00B024E1" w:rsidRPr="005F120D" w:rsidTr="00500C66">
        <w:tc>
          <w:tcPr>
            <w:tcW w:w="908" w:type="dxa"/>
          </w:tcPr>
          <w:p w:rsidR="00B024E1" w:rsidRPr="005F120D" w:rsidRDefault="00B024E1"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MICS</w:t>
            </w:r>
            <w:r w:rsidR="00C45832" w:rsidRPr="005F120D">
              <w:rPr>
                <w:rFonts w:asciiTheme="minorHAnsi" w:hAnsiTheme="minorHAnsi" w:cstheme="minorHAnsi"/>
                <w:b w:val="0"/>
                <w:sz w:val="18"/>
                <w:szCs w:val="18"/>
              </w:rPr>
              <w:t xml:space="preserve"> 2013</w:t>
            </w:r>
          </w:p>
        </w:tc>
        <w:tc>
          <w:tcPr>
            <w:tcW w:w="567" w:type="dxa"/>
          </w:tcPr>
          <w:p w:rsidR="00B024E1" w:rsidRPr="005F120D" w:rsidRDefault="00B024E1" w:rsidP="00500C66">
            <w:pPr>
              <w:pStyle w:val="BodyText1"/>
              <w:spacing w:after="0" w:line="240" w:lineRule="auto"/>
              <w:rPr>
                <w:rFonts w:asciiTheme="minorHAnsi" w:hAnsiTheme="minorHAnsi" w:cstheme="minorHAnsi"/>
                <w:b w:val="0"/>
                <w:sz w:val="18"/>
                <w:szCs w:val="18"/>
              </w:rPr>
            </w:pPr>
          </w:p>
        </w:tc>
        <w:tc>
          <w:tcPr>
            <w:tcW w:w="566" w:type="dxa"/>
          </w:tcPr>
          <w:p w:rsidR="00B024E1" w:rsidRPr="005F120D" w:rsidRDefault="00B024E1" w:rsidP="00500C66">
            <w:pPr>
              <w:pStyle w:val="BodyText1"/>
              <w:spacing w:after="0" w:line="240" w:lineRule="auto"/>
              <w:rPr>
                <w:rFonts w:asciiTheme="minorHAnsi" w:hAnsiTheme="minorHAnsi" w:cstheme="minorHAnsi"/>
                <w:b w:val="0"/>
                <w:sz w:val="18"/>
                <w:szCs w:val="18"/>
              </w:rPr>
            </w:pPr>
          </w:p>
        </w:tc>
        <w:tc>
          <w:tcPr>
            <w:tcW w:w="566" w:type="dxa"/>
          </w:tcPr>
          <w:p w:rsidR="00B024E1" w:rsidRPr="005F120D" w:rsidRDefault="00B024E1" w:rsidP="00500C66">
            <w:pPr>
              <w:pStyle w:val="BodyText1"/>
              <w:spacing w:after="0" w:line="240" w:lineRule="auto"/>
              <w:rPr>
                <w:rFonts w:asciiTheme="minorHAnsi" w:hAnsiTheme="minorHAnsi" w:cstheme="minorHAnsi"/>
                <w:b w:val="0"/>
                <w:sz w:val="18"/>
                <w:szCs w:val="18"/>
              </w:rPr>
            </w:pPr>
          </w:p>
        </w:tc>
        <w:tc>
          <w:tcPr>
            <w:tcW w:w="566" w:type="dxa"/>
          </w:tcPr>
          <w:p w:rsidR="00B024E1" w:rsidRPr="005F120D" w:rsidRDefault="00B024E1" w:rsidP="00500C66">
            <w:pPr>
              <w:pStyle w:val="BodyText1"/>
              <w:spacing w:after="0" w:line="240" w:lineRule="auto"/>
              <w:rPr>
                <w:rFonts w:asciiTheme="minorHAnsi" w:hAnsiTheme="minorHAnsi" w:cstheme="minorHAnsi"/>
                <w:b w:val="0"/>
                <w:sz w:val="18"/>
                <w:szCs w:val="18"/>
              </w:rPr>
            </w:pPr>
          </w:p>
        </w:tc>
        <w:tc>
          <w:tcPr>
            <w:tcW w:w="566" w:type="dxa"/>
          </w:tcPr>
          <w:p w:rsidR="00B024E1" w:rsidRPr="005F120D" w:rsidRDefault="00B024E1" w:rsidP="00500C66">
            <w:pPr>
              <w:pStyle w:val="BodyText1"/>
              <w:spacing w:after="0" w:line="240" w:lineRule="auto"/>
              <w:rPr>
                <w:rFonts w:asciiTheme="minorHAnsi" w:hAnsiTheme="minorHAnsi" w:cstheme="minorHAnsi"/>
                <w:b w:val="0"/>
                <w:sz w:val="18"/>
                <w:szCs w:val="18"/>
              </w:rPr>
            </w:pPr>
          </w:p>
        </w:tc>
        <w:tc>
          <w:tcPr>
            <w:tcW w:w="590"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10.7</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2-3</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2-3</w:t>
            </w:r>
          </w:p>
        </w:tc>
        <w:tc>
          <w:tcPr>
            <w:tcW w:w="590"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2-3</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7.4</w:t>
            </w:r>
          </w:p>
        </w:tc>
        <w:tc>
          <w:tcPr>
            <w:tcW w:w="558" w:type="dxa"/>
          </w:tcPr>
          <w:p w:rsidR="00B024E1" w:rsidRPr="005F120D" w:rsidRDefault="0066101E" w:rsidP="00500C6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1</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w:t>
            </w:r>
          </w:p>
        </w:tc>
        <w:tc>
          <w:tcPr>
            <w:tcW w:w="643"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2.8</w:t>
            </w:r>
          </w:p>
        </w:tc>
      </w:tr>
      <w:tr w:rsidR="0066101E" w:rsidRPr="005F120D" w:rsidTr="00500C66">
        <w:tc>
          <w:tcPr>
            <w:tcW w:w="908"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APSC 2014</w:t>
            </w:r>
          </w:p>
        </w:tc>
        <w:tc>
          <w:tcPr>
            <w:tcW w:w="567"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91.9</w:t>
            </w:r>
          </w:p>
        </w:tc>
        <w:tc>
          <w:tcPr>
            <w:tcW w:w="566"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91</w:t>
            </w:r>
          </w:p>
        </w:tc>
        <w:tc>
          <w:tcPr>
            <w:tcW w:w="566"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88.7</w:t>
            </w:r>
          </w:p>
        </w:tc>
        <w:tc>
          <w:tcPr>
            <w:tcW w:w="566"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81.7</w:t>
            </w:r>
          </w:p>
        </w:tc>
        <w:tc>
          <w:tcPr>
            <w:tcW w:w="566"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94.9</w:t>
            </w:r>
          </w:p>
        </w:tc>
        <w:tc>
          <w:tcPr>
            <w:tcW w:w="590"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6.9</w:t>
            </w:r>
          </w:p>
        </w:tc>
        <w:tc>
          <w:tcPr>
            <w:tcW w:w="558"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4.4</w:t>
            </w:r>
          </w:p>
        </w:tc>
        <w:tc>
          <w:tcPr>
            <w:tcW w:w="558"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6.9</w:t>
            </w:r>
          </w:p>
        </w:tc>
        <w:tc>
          <w:tcPr>
            <w:tcW w:w="590"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10.1</w:t>
            </w:r>
          </w:p>
        </w:tc>
        <w:tc>
          <w:tcPr>
            <w:tcW w:w="558"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2.8</w:t>
            </w:r>
          </w:p>
        </w:tc>
        <w:tc>
          <w:tcPr>
            <w:tcW w:w="558"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1.5</w:t>
            </w:r>
          </w:p>
        </w:tc>
        <w:tc>
          <w:tcPr>
            <w:tcW w:w="558"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5.1</w:t>
            </w:r>
          </w:p>
        </w:tc>
        <w:tc>
          <w:tcPr>
            <w:tcW w:w="558"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5</w:t>
            </w:r>
          </w:p>
        </w:tc>
        <w:tc>
          <w:tcPr>
            <w:tcW w:w="558"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7.8</w:t>
            </w:r>
          </w:p>
        </w:tc>
        <w:tc>
          <w:tcPr>
            <w:tcW w:w="643" w:type="dxa"/>
          </w:tcPr>
          <w:p w:rsidR="0066101E"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2.3</w:t>
            </w:r>
          </w:p>
        </w:tc>
      </w:tr>
      <w:tr w:rsidR="00B024E1" w:rsidRPr="005F120D" w:rsidTr="00500C66">
        <w:tc>
          <w:tcPr>
            <w:tcW w:w="908" w:type="dxa"/>
          </w:tcPr>
          <w:p w:rsidR="00B024E1" w:rsidRPr="005F120D" w:rsidRDefault="00B024E1"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CAMPE</w:t>
            </w:r>
            <w:r w:rsidR="00C45832" w:rsidRPr="005F120D">
              <w:rPr>
                <w:rFonts w:asciiTheme="minorHAnsi" w:hAnsiTheme="minorHAnsi" w:cstheme="minorHAnsi"/>
                <w:b w:val="0"/>
                <w:sz w:val="18"/>
                <w:szCs w:val="18"/>
              </w:rPr>
              <w:t xml:space="preserve"> 2014</w:t>
            </w:r>
          </w:p>
        </w:tc>
        <w:tc>
          <w:tcPr>
            <w:tcW w:w="567"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91.8</w:t>
            </w:r>
          </w:p>
        </w:tc>
        <w:tc>
          <w:tcPr>
            <w:tcW w:w="566"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92.3</w:t>
            </w:r>
          </w:p>
        </w:tc>
        <w:tc>
          <w:tcPr>
            <w:tcW w:w="566"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89.8</w:t>
            </w:r>
          </w:p>
        </w:tc>
        <w:tc>
          <w:tcPr>
            <w:tcW w:w="566"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90</w:t>
            </w:r>
          </w:p>
        </w:tc>
        <w:tc>
          <w:tcPr>
            <w:tcW w:w="566"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97.6</w:t>
            </w:r>
          </w:p>
        </w:tc>
        <w:tc>
          <w:tcPr>
            <w:tcW w:w="590"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7.4</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6.8</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8.9</w:t>
            </w:r>
          </w:p>
        </w:tc>
        <w:tc>
          <w:tcPr>
            <w:tcW w:w="590"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8.2</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1.1</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0.8</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0.9</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1.3</w:t>
            </w:r>
          </w:p>
        </w:tc>
        <w:tc>
          <w:tcPr>
            <w:tcW w:w="558"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1.3</w:t>
            </w:r>
          </w:p>
        </w:tc>
        <w:tc>
          <w:tcPr>
            <w:tcW w:w="643" w:type="dxa"/>
          </w:tcPr>
          <w:p w:rsidR="00B024E1" w:rsidRPr="005F120D" w:rsidRDefault="0066101E" w:rsidP="00500C66">
            <w:pPr>
              <w:pStyle w:val="BodyText1"/>
              <w:spacing w:after="0" w:line="240" w:lineRule="auto"/>
              <w:rPr>
                <w:rFonts w:asciiTheme="minorHAnsi" w:hAnsiTheme="minorHAnsi" w:cstheme="minorHAnsi"/>
                <w:b w:val="0"/>
                <w:sz w:val="18"/>
                <w:szCs w:val="18"/>
              </w:rPr>
            </w:pPr>
            <w:r w:rsidRPr="005F120D">
              <w:rPr>
                <w:rFonts w:asciiTheme="minorHAnsi" w:hAnsiTheme="minorHAnsi" w:cstheme="minorHAnsi"/>
                <w:b w:val="0"/>
                <w:sz w:val="18"/>
                <w:szCs w:val="18"/>
              </w:rPr>
              <w:t>1.2</w:t>
            </w:r>
          </w:p>
        </w:tc>
      </w:tr>
    </w:tbl>
    <w:p w:rsidR="00E33273" w:rsidRPr="005F120D" w:rsidRDefault="001135C8" w:rsidP="007112B6">
      <w:pPr>
        <w:pStyle w:val="BodyText1"/>
        <w:spacing w:before="120" w:after="120"/>
        <w:jc w:val="both"/>
        <w:rPr>
          <w:rFonts w:asciiTheme="minorHAnsi" w:hAnsiTheme="minorHAnsi" w:cstheme="minorHAnsi"/>
          <w:b w:val="0"/>
        </w:rPr>
      </w:pPr>
      <w:r w:rsidRPr="005F120D">
        <w:rPr>
          <w:rFonts w:asciiTheme="minorHAnsi" w:hAnsiTheme="minorHAnsi" w:cstheme="minorHAnsi"/>
          <w:b w:val="0"/>
        </w:rPr>
        <w:t>In the 2</w:t>
      </w:r>
      <w:r w:rsidR="00E33273" w:rsidRPr="005F120D">
        <w:rPr>
          <w:rFonts w:asciiTheme="minorHAnsi" w:hAnsiTheme="minorHAnsi" w:cstheme="minorHAnsi"/>
          <w:b w:val="0"/>
        </w:rPr>
        <w:t xml:space="preserve">014 ASPR, this discrepancy between the APSC, the MICS and </w:t>
      </w:r>
      <w:r w:rsidR="0066101E" w:rsidRPr="005F120D">
        <w:rPr>
          <w:rFonts w:asciiTheme="minorHAnsi" w:hAnsiTheme="minorHAnsi" w:cstheme="minorHAnsi"/>
          <w:b w:val="0"/>
        </w:rPr>
        <w:t xml:space="preserve">the </w:t>
      </w:r>
      <w:r w:rsidR="00E33273" w:rsidRPr="005F120D">
        <w:rPr>
          <w:rFonts w:asciiTheme="minorHAnsi" w:hAnsiTheme="minorHAnsi" w:cstheme="minorHAnsi"/>
          <w:b w:val="0"/>
        </w:rPr>
        <w:t xml:space="preserve">Education Watch was large.  Between APSC and Education Watch, the percentages were more or less consistent in terms of the promotion rate; the discrepancy was found in the repetition and dropout rates. Research is needed to reconcile the three sets of estimates. To-date, there are no plans to conduct such research. </w:t>
      </w:r>
    </w:p>
    <w:p w:rsidR="00E33273" w:rsidRPr="005F120D" w:rsidRDefault="00E33273" w:rsidP="00C437AA">
      <w:pPr>
        <w:pStyle w:val="BodyText1"/>
        <w:jc w:val="both"/>
        <w:rPr>
          <w:rFonts w:asciiTheme="minorHAnsi" w:hAnsiTheme="minorHAnsi" w:cstheme="minorHAnsi"/>
        </w:rPr>
      </w:pPr>
      <w:r w:rsidRPr="005F120D">
        <w:rPr>
          <w:rFonts w:asciiTheme="minorHAnsi" w:hAnsiTheme="minorHAnsi" w:cstheme="minorHAnsi"/>
        </w:rPr>
        <w:t>The following two points could be a basis for broader discussion:</w:t>
      </w:r>
    </w:p>
    <w:p w:rsidR="00E33273" w:rsidRPr="005F120D" w:rsidRDefault="00E33273" w:rsidP="00C437AA">
      <w:pPr>
        <w:pStyle w:val="ListBullet1"/>
        <w:numPr>
          <w:ilvl w:val="0"/>
          <w:numId w:val="2"/>
        </w:numPr>
        <w:spacing w:after="0" w:line="276" w:lineRule="auto"/>
        <w:jc w:val="both"/>
        <w:rPr>
          <w:rFonts w:asciiTheme="minorHAnsi" w:hAnsiTheme="minorHAnsi" w:cstheme="minorHAnsi"/>
          <w:szCs w:val="22"/>
        </w:rPr>
      </w:pPr>
      <w:r w:rsidRPr="005F120D">
        <w:rPr>
          <w:rFonts w:asciiTheme="minorHAnsi" w:hAnsiTheme="minorHAnsi" w:cstheme="minorHAnsi"/>
          <w:szCs w:val="22"/>
        </w:rPr>
        <w:t>The 2012/13 MICS may have been underestimating</w:t>
      </w:r>
      <w:r w:rsidR="00EF27A4" w:rsidRPr="005F120D">
        <w:rPr>
          <w:rFonts w:asciiTheme="minorHAnsi" w:hAnsiTheme="minorHAnsi" w:cstheme="minorHAnsi"/>
          <w:szCs w:val="22"/>
        </w:rPr>
        <w:t>,</w:t>
      </w:r>
      <w:r w:rsidRPr="005F120D">
        <w:rPr>
          <w:rFonts w:asciiTheme="minorHAnsi" w:hAnsiTheme="minorHAnsi" w:cstheme="minorHAnsi"/>
          <w:szCs w:val="22"/>
        </w:rPr>
        <w:t xml:space="preserve"> and Education Watch may have been overestimating the repetition rate. In both surveys, </w:t>
      </w:r>
      <w:r w:rsidR="00EF27A4" w:rsidRPr="005F120D">
        <w:rPr>
          <w:rFonts w:asciiTheme="minorHAnsi" w:hAnsiTheme="minorHAnsi" w:cstheme="minorHAnsi"/>
          <w:szCs w:val="22"/>
        </w:rPr>
        <w:t>parents were asked to report on</w:t>
      </w:r>
      <w:r w:rsidRPr="005F120D">
        <w:rPr>
          <w:rFonts w:asciiTheme="minorHAnsi" w:hAnsiTheme="minorHAnsi" w:cstheme="minorHAnsi"/>
          <w:szCs w:val="22"/>
        </w:rPr>
        <w:t xml:space="preserve"> the current year whether their child</w:t>
      </w:r>
      <w:r w:rsidR="00EF27A4" w:rsidRPr="005F120D">
        <w:rPr>
          <w:rFonts w:asciiTheme="minorHAnsi" w:hAnsiTheme="minorHAnsi" w:cstheme="minorHAnsi"/>
          <w:szCs w:val="22"/>
        </w:rPr>
        <w:t xml:space="preserve"> or children</w:t>
      </w:r>
      <w:r w:rsidRPr="005F120D">
        <w:rPr>
          <w:rFonts w:asciiTheme="minorHAnsi" w:hAnsiTheme="minorHAnsi" w:cstheme="minorHAnsi"/>
          <w:szCs w:val="22"/>
        </w:rPr>
        <w:t xml:space="preserve"> wa</w:t>
      </w:r>
      <w:r w:rsidR="00EF27A4" w:rsidRPr="005F120D">
        <w:rPr>
          <w:rFonts w:asciiTheme="minorHAnsi" w:hAnsiTheme="minorHAnsi" w:cstheme="minorHAnsi"/>
          <w:szCs w:val="22"/>
        </w:rPr>
        <w:t>s/were</w:t>
      </w:r>
      <w:r w:rsidRPr="005F120D">
        <w:rPr>
          <w:rFonts w:asciiTheme="minorHAnsi" w:hAnsiTheme="minorHAnsi" w:cstheme="minorHAnsi"/>
          <w:szCs w:val="22"/>
        </w:rPr>
        <w:t xml:space="preserve"> in school and at what level and what grade – and also </w:t>
      </w:r>
      <w:r w:rsidR="00EF27A4" w:rsidRPr="005F120D">
        <w:rPr>
          <w:rFonts w:asciiTheme="minorHAnsi" w:hAnsiTheme="minorHAnsi" w:cstheme="minorHAnsi"/>
          <w:szCs w:val="22"/>
        </w:rPr>
        <w:t xml:space="preserve">to </w:t>
      </w:r>
      <w:r w:rsidRPr="005F120D">
        <w:rPr>
          <w:rFonts w:asciiTheme="minorHAnsi" w:hAnsiTheme="minorHAnsi" w:cstheme="minorHAnsi"/>
          <w:szCs w:val="22"/>
        </w:rPr>
        <w:t>answer the same questions for the previous year. In general, the number of children attending a particular grade in one year should not be very different to the number of children who were attending the same grade the previous year. However, the number of students who were reported attending a parti</w:t>
      </w:r>
      <w:r w:rsidR="00EF27A4" w:rsidRPr="005F120D">
        <w:rPr>
          <w:rFonts w:asciiTheme="minorHAnsi" w:hAnsiTheme="minorHAnsi" w:cstheme="minorHAnsi"/>
          <w:szCs w:val="22"/>
        </w:rPr>
        <w:t>cular grade the previous year was</w:t>
      </w:r>
      <w:r w:rsidRPr="005F120D">
        <w:rPr>
          <w:rFonts w:asciiTheme="minorHAnsi" w:hAnsiTheme="minorHAnsi" w:cstheme="minorHAnsi"/>
          <w:szCs w:val="22"/>
        </w:rPr>
        <w:t xml:space="preserve"> consistently lower for all grades by at </w:t>
      </w:r>
      <w:r w:rsidR="00EF27A4" w:rsidRPr="005F120D">
        <w:rPr>
          <w:rFonts w:asciiTheme="minorHAnsi" w:hAnsiTheme="minorHAnsi" w:cstheme="minorHAnsi"/>
          <w:szCs w:val="22"/>
        </w:rPr>
        <w:t>least 10% and the discrepancy was</w:t>
      </w:r>
      <w:r w:rsidRPr="005F120D">
        <w:rPr>
          <w:rFonts w:asciiTheme="minorHAnsi" w:hAnsiTheme="minorHAnsi" w:cstheme="minorHAnsi"/>
          <w:szCs w:val="22"/>
        </w:rPr>
        <w:t xml:space="preserve"> higher in Grades 1–2. This suggests some form of </w:t>
      </w:r>
      <w:r w:rsidRPr="005F120D">
        <w:rPr>
          <w:rFonts w:asciiTheme="minorHAnsi" w:hAnsiTheme="minorHAnsi" w:cstheme="minorHAnsi"/>
          <w:iCs/>
          <w:szCs w:val="22"/>
        </w:rPr>
        <w:t>recall</w:t>
      </w:r>
      <w:r w:rsidRPr="005F120D">
        <w:rPr>
          <w:rFonts w:asciiTheme="minorHAnsi" w:hAnsiTheme="minorHAnsi" w:cstheme="minorHAnsi"/>
          <w:szCs w:val="22"/>
        </w:rPr>
        <w:t xml:space="preserve"> error: some parents may not consider that their children were in school in the same grade the previous year if their attachment to school was weak (for example, they had attended for a few weeks early in the year).</w:t>
      </w:r>
    </w:p>
    <w:p w:rsidR="00E33273" w:rsidRPr="005F120D" w:rsidRDefault="00E33273" w:rsidP="00C437AA">
      <w:pPr>
        <w:pStyle w:val="Listbulletfinal"/>
        <w:numPr>
          <w:ilvl w:val="0"/>
          <w:numId w:val="2"/>
        </w:numPr>
        <w:spacing w:after="0" w:line="276" w:lineRule="auto"/>
        <w:jc w:val="both"/>
        <w:rPr>
          <w:rFonts w:asciiTheme="minorHAnsi" w:hAnsiTheme="minorHAnsi" w:cstheme="minorHAnsi"/>
          <w:szCs w:val="22"/>
        </w:rPr>
      </w:pPr>
      <w:r w:rsidRPr="005F120D">
        <w:rPr>
          <w:rFonts w:asciiTheme="minorHAnsi" w:hAnsiTheme="minorHAnsi" w:cstheme="minorHAnsi"/>
          <w:szCs w:val="22"/>
        </w:rPr>
        <w:t xml:space="preserve">On the other hand, the APSC may have been over-estimating the dropout rates. If, as discussed in section 3.3.2.2, enrolment in Grade 1 was over-reported, then some of the children who appeared to be dropping out between Grade 1 and Grade 5 may not, in fact, have been real dropouts. </w:t>
      </w:r>
    </w:p>
    <w:p w:rsidR="00EF2242" w:rsidRPr="005F120D" w:rsidRDefault="00E33273" w:rsidP="00C437AA">
      <w:pPr>
        <w:pStyle w:val="Listbulletfinal"/>
        <w:numPr>
          <w:ilvl w:val="0"/>
          <w:numId w:val="2"/>
        </w:numPr>
        <w:spacing w:after="0" w:line="276" w:lineRule="auto"/>
        <w:jc w:val="both"/>
        <w:rPr>
          <w:rFonts w:asciiTheme="minorHAnsi" w:hAnsiTheme="minorHAnsi" w:cstheme="minorHAnsi"/>
          <w:szCs w:val="22"/>
        </w:rPr>
      </w:pPr>
      <w:r w:rsidRPr="005F120D">
        <w:rPr>
          <w:rFonts w:asciiTheme="minorHAnsi" w:hAnsiTheme="minorHAnsi" w:cstheme="minorHAnsi"/>
          <w:szCs w:val="22"/>
        </w:rPr>
        <w:t>Overall, it is clearly evident that the primary education sector is moving forward in achieving the PEDP3 targets</w:t>
      </w:r>
      <w:r w:rsidR="007C36E2" w:rsidRPr="005F120D">
        <w:rPr>
          <w:rFonts w:asciiTheme="minorHAnsi" w:hAnsiTheme="minorHAnsi" w:cstheme="minorHAnsi"/>
          <w:szCs w:val="22"/>
        </w:rPr>
        <w:t>.</w:t>
      </w:r>
    </w:p>
    <w:p w:rsidR="00425FE9" w:rsidRPr="005F120D" w:rsidRDefault="00425FE9" w:rsidP="00425FE9">
      <w:pPr>
        <w:pStyle w:val="BodyText1"/>
        <w:rPr>
          <w:rFonts w:asciiTheme="minorHAnsi" w:hAnsiTheme="minorHAnsi" w:cstheme="minorHAnsi"/>
        </w:rPr>
      </w:pPr>
    </w:p>
    <w:p w:rsidR="007D14D1" w:rsidRPr="005F120D" w:rsidRDefault="00F732E2" w:rsidP="00C437AA">
      <w:pPr>
        <w:pStyle w:val="Caption"/>
        <w:spacing w:line="276" w:lineRule="auto"/>
        <w:rPr>
          <w:rFonts w:cstheme="minorHAnsi"/>
        </w:rPr>
      </w:pPr>
      <w:bookmarkStart w:id="405" w:name="_Toc462837437"/>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28</w:t>
      </w:r>
      <w:r w:rsidR="002E2ED5" w:rsidRPr="005F120D">
        <w:rPr>
          <w:rFonts w:cstheme="minorHAnsi"/>
        </w:rPr>
        <w:fldChar w:fldCharType="end"/>
      </w:r>
      <w:r w:rsidR="006A7739" w:rsidRPr="005F120D">
        <w:rPr>
          <w:rFonts w:cstheme="minorHAnsi"/>
        </w:rPr>
        <w:t>:</w:t>
      </w:r>
      <w:r w:rsidR="00362E85">
        <w:rPr>
          <w:rFonts w:cstheme="minorHAnsi"/>
        </w:rPr>
        <w:t xml:space="preserve"> </w:t>
      </w:r>
      <w:r w:rsidR="0081413B" w:rsidRPr="005F120D">
        <w:rPr>
          <w:rFonts w:cstheme="minorHAnsi"/>
        </w:rPr>
        <w:t>Dropout</w:t>
      </w:r>
      <w:r w:rsidR="004E0356" w:rsidRPr="005F120D">
        <w:rPr>
          <w:rFonts w:cstheme="minorHAnsi"/>
        </w:rPr>
        <w:t xml:space="preserve"> R</w:t>
      </w:r>
      <w:r w:rsidR="007D14D1" w:rsidRPr="005F120D">
        <w:rPr>
          <w:rFonts w:cstheme="minorHAnsi"/>
        </w:rPr>
        <w:t xml:space="preserve">ate in GPS and </w:t>
      </w:r>
      <w:r w:rsidR="003C42F2" w:rsidRPr="005F120D">
        <w:rPr>
          <w:rFonts w:cstheme="minorHAnsi"/>
        </w:rPr>
        <w:t>NNPS</w:t>
      </w:r>
      <w:r w:rsidR="0078042B" w:rsidRPr="005F120D">
        <w:rPr>
          <w:rFonts w:cstheme="minorHAnsi"/>
        </w:rPr>
        <w:t xml:space="preserve"> by </w:t>
      </w:r>
      <w:r w:rsidR="00362E85" w:rsidRPr="005F120D">
        <w:rPr>
          <w:rFonts w:cstheme="minorHAnsi"/>
        </w:rPr>
        <w:t>Upazila</w:t>
      </w:r>
      <w:r w:rsidR="007D14D1" w:rsidRPr="005F120D">
        <w:rPr>
          <w:rFonts w:cstheme="minorHAnsi"/>
        </w:rPr>
        <w:t xml:space="preserve"> 201</w:t>
      </w:r>
      <w:bookmarkEnd w:id="399"/>
      <w:r w:rsidR="007C36E2" w:rsidRPr="005F120D">
        <w:rPr>
          <w:rFonts w:cstheme="minorHAnsi"/>
        </w:rPr>
        <w:t>5</w:t>
      </w:r>
      <w:bookmarkEnd w:id="405"/>
    </w:p>
    <w:p w:rsidR="00E73E0F" w:rsidRPr="005F120D" w:rsidRDefault="00E73E0F" w:rsidP="00C437AA">
      <w:pPr>
        <w:spacing w:before="40" w:after="40" w:line="276" w:lineRule="auto"/>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5335270" cy="7391400"/>
            <wp:effectExtent l="19050" t="19050" r="17780" b="19050"/>
            <wp:docPr id="1152" name="Picture 8" descr="C:\Users\user\Downloads\4DropoutRate_20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4DropoutRate_2015 (1).png"/>
                    <pic:cNvPicPr>
                      <a:picLocks noChangeAspect="1" noChangeArrowheads="1"/>
                    </pic:cNvPicPr>
                  </pic:nvPicPr>
                  <pic:blipFill>
                    <a:blip r:embed="rId48"/>
                    <a:srcRect/>
                    <a:stretch>
                      <a:fillRect/>
                    </a:stretch>
                  </pic:blipFill>
                  <pic:spPr bwMode="auto">
                    <a:xfrm>
                      <a:off x="0" y="0"/>
                      <a:ext cx="5337343" cy="7394272"/>
                    </a:xfrm>
                    <a:prstGeom prst="rect">
                      <a:avLst/>
                    </a:prstGeom>
                    <a:noFill/>
                    <a:ln w="22225" cmpd="dbl">
                      <a:solidFill>
                        <a:srgbClr val="FF9900"/>
                      </a:solidFill>
                      <a:miter lim="800000"/>
                      <a:headEnd/>
                      <a:tailEnd/>
                    </a:ln>
                  </pic:spPr>
                </pic:pic>
              </a:graphicData>
            </a:graphic>
          </wp:inline>
        </w:drawing>
      </w:r>
    </w:p>
    <w:p w:rsidR="00197952" w:rsidRPr="005F120D" w:rsidRDefault="00F83E43" w:rsidP="00C437AA">
      <w:pPr>
        <w:spacing w:before="40" w:after="40" w:line="276" w:lineRule="auto"/>
        <w:rPr>
          <w:rFonts w:asciiTheme="minorHAnsi" w:hAnsiTheme="minorHAnsi" w:cstheme="minorHAnsi"/>
          <w:b/>
          <w:i/>
          <w:sz w:val="16"/>
          <w:szCs w:val="16"/>
        </w:rPr>
      </w:pPr>
      <w:r>
        <w:rPr>
          <w:rFonts w:asciiTheme="minorHAnsi" w:hAnsiTheme="minorHAnsi" w:cstheme="minorHAnsi"/>
          <w:b/>
          <w:i/>
          <w:sz w:val="16"/>
          <w:szCs w:val="16"/>
        </w:rPr>
        <w:t xml:space="preserve">       </w:t>
      </w:r>
      <w:r w:rsidR="00194035" w:rsidRPr="005F120D">
        <w:rPr>
          <w:rFonts w:asciiTheme="minorHAnsi" w:hAnsiTheme="minorHAnsi" w:cstheme="minorHAnsi"/>
          <w:b/>
          <w:i/>
          <w:sz w:val="16"/>
          <w:szCs w:val="16"/>
        </w:rPr>
        <w:t>Source: APSC 2015</w:t>
      </w:r>
    </w:p>
    <w:p w:rsidR="00E203DC" w:rsidRPr="005F120D" w:rsidRDefault="00071A3E" w:rsidP="00C437AA">
      <w:pPr>
        <w:pStyle w:val="Heading4"/>
        <w:spacing w:before="240" w:after="120" w:line="276" w:lineRule="auto"/>
        <w:rPr>
          <w:rFonts w:asciiTheme="minorHAnsi" w:hAnsiTheme="minorHAnsi" w:cstheme="minorHAnsi"/>
          <w:b/>
          <w:color w:val="008000"/>
        </w:rPr>
      </w:pPr>
      <w:r w:rsidRPr="005F120D">
        <w:rPr>
          <w:rFonts w:asciiTheme="minorHAnsi" w:hAnsiTheme="minorHAnsi" w:cstheme="minorHAnsi"/>
          <w:b/>
          <w:color w:val="008000"/>
        </w:rPr>
        <w:lastRenderedPageBreak/>
        <w:t>Coefficient of E</w:t>
      </w:r>
      <w:r w:rsidR="00E203DC" w:rsidRPr="005F120D">
        <w:rPr>
          <w:rFonts w:asciiTheme="minorHAnsi" w:hAnsiTheme="minorHAnsi" w:cstheme="minorHAnsi"/>
          <w:b/>
          <w:color w:val="008000"/>
        </w:rPr>
        <w:t>fficiency</w:t>
      </w:r>
    </w:p>
    <w:p w:rsidR="00F47A36" w:rsidRPr="005F120D" w:rsidRDefault="00E33273" w:rsidP="00C437AA">
      <w:pPr>
        <w:autoSpaceDE w:val="0"/>
        <w:autoSpaceDN w:val="0"/>
        <w:adjustRightInd w:val="0"/>
        <w:spacing w:line="276" w:lineRule="auto"/>
        <w:jc w:val="both"/>
        <w:rPr>
          <w:rFonts w:asciiTheme="minorHAnsi" w:hAnsiTheme="minorHAnsi" w:cstheme="minorHAnsi"/>
          <w:color w:val="000000"/>
          <w:szCs w:val="22"/>
          <w:lang w:eastAsia="ja-JP"/>
        </w:rPr>
      </w:pPr>
      <w:r w:rsidRPr="005F120D">
        <w:rPr>
          <w:rFonts w:asciiTheme="minorHAnsi" w:hAnsiTheme="minorHAnsi" w:cstheme="minorHAnsi"/>
          <w:color w:val="000000"/>
          <w:szCs w:val="22"/>
          <w:lang w:eastAsia="ja-JP"/>
        </w:rPr>
        <w:t xml:space="preserve">There is one KPI used in PEDP3 to measure internal efficiency: (KPI-14.a).  KPI-14.b measures the number of input years per graduate. The calculation of these indicators again relies on the </w:t>
      </w:r>
      <w:r w:rsidR="00103E63" w:rsidRPr="005F120D">
        <w:rPr>
          <w:rFonts w:asciiTheme="minorHAnsi" w:hAnsiTheme="minorHAnsi" w:cstheme="minorHAnsi"/>
          <w:color w:val="000000"/>
          <w:szCs w:val="22"/>
          <w:lang w:eastAsia="ja-JP"/>
        </w:rPr>
        <w:t xml:space="preserve">UNESCO </w:t>
      </w:r>
      <w:r w:rsidRPr="005F120D">
        <w:rPr>
          <w:rFonts w:asciiTheme="minorHAnsi" w:hAnsiTheme="minorHAnsi" w:cstheme="minorHAnsi"/>
          <w:color w:val="000000"/>
          <w:szCs w:val="22"/>
          <w:lang w:eastAsia="ja-JP"/>
        </w:rPr>
        <w:t>reconstructed cohort method</w:t>
      </w:r>
      <w:r w:rsidR="00F47A36" w:rsidRPr="005F120D">
        <w:rPr>
          <w:rFonts w:asciiTheme="minorHAnsi" w:hAnsiTheme="minorHAnsi" w:cstheme="minorHAnsi"/>
          <w:color w:val="000000"/>
          <w:szCs w:val="22"/>
          <w:lang w:eastAsia="ja-JP"/>
        </w:rPr>
        <w:t>.</w:t>
      </w:r>
    </w:p>
    <w:p w:rsidR="0031402E" w:rsidRPr="005F120D" w:rsidRDefault="00E203DC" w:rsidP="00C437AA">
      <w:pPr>
        <w:spacing w:line="276" w:lineRule="auto"/>
        <w:jc w:val="both"/>
        <w:rPr>
          <w:rFonts w:asciiTheme="minorHAnsi" w:hAnsiTheme="minorHAnsi" w:cstheme="minorHAnsi"/>
        </w:rPr>
      </w:pPr>
      <w:r w:rsidRPr="005F120D">
        <w:rPr>
          <w:rFonts w:asciiTheme="minorHAnsi" w:hAnsiTheme="minorHAnsi" w:cstheme="minorHAnsi"/>
          <w:b/>
          <w:i/>
          <w:color w:val="008000"/>
        </w:rPr>
        <w:t>Coefficient of efficiency</w:t>
      </w:r>
      <w:r w:rsidR="00986215" w:rsidRPr="005F120D">
        <w:rPr>
          <w:rFonts w:asciiTheme="minorHAnsi" w:hAnsiTheme="minorHAnsi" w:cstheme="minorHAnsi"/>
          <w:b/>
          <w:i/>
          <w:color w:val="008000"/>
        </w:rPr>
        <w:t xml:space="preserve"> (</w:t>
      </w:r>
      <w:r w:rsidR="00986215" w:rsidRPr="005F120D">
        <w:rPr>
          <w:rFonts w:asciiTheme="minorHAnsi" w:hAnsiTheme="minorHAnsi" w:cstheme="minorHAnsi"/>
          <w:color w:val="008000"/>
          <w:szCs w:val="22"/>
          <w:lang w:eastAsia="ja-JP"/>
        </w:rPr>
        <w:t>KPI-14.a</w:t>
      </w:r>
      <w:r w:rsidR="00986215" w:rsidRPr="005F120D">
        <w:rPr>
          <w:rFonts w:asciiTheme="minorHAnsi" w:hAnsiTheme="minorHAnsi" w:cstheme="minorHAnsi"/>
          <w:b/>
          <w:i/>
          <w:color w:val="008000"/>
        </w:rPr>
        <w:t>)</w:t>
      </w:r>
      <w:r w:rsidR="00F83E43">
        <w:rPr>
          <w:rFonts w:asciiTheme="minorHAnsi" w:hAnsiTheme="minorHAnsi" w:cstheme="minorHAnsi"/>
          <w:b/>
          <w:i/>
          <w:color w:val="008000"/>
        </w:rPr>
        <w:t xml:space="preserve"> </w:t>
      </w:r>
      <w:r w:rsidR="00E33273" w:rsidRPr="005F120D">
        <w:rPr>
          <w:rFonts w:asciiTheme="minorHAnsi" w:hAnsiTheme="minorHAnsi" w:cstheme="minorHAnsi"/>
        </w:rPr>
        <w:t xml:space="preserve">summarizes the consequences of repetition and dropouts on the efficiency of the educational process in producing graduates. If there were </w:t>
      </w:r>
      <w:r w:rsidR="00EF27A4" w:rsidRPr="005F120D">
        <w:rPr>
          <w:rFonts w:asciiTheme="minorHAnsi" w:hAnsiTheme="minorHAnsi" w:cstheme="minorHAnsi"/>
        </w:rPr>
        <w:t>n</w:t>
      </w:r>
      <w:r w:rsidR="00103E63" w:rsidRPr="005F120D">
        <w:rPr>
          <w:rFonts w:asciiTheme="minorHAnsi" w:hAnsiTheme="minorHAnsi" w:cstheme="minorHAnsi"/>
        </w:rPr>
        <w:t xml:space="preserve">either dropout </w:t>
      </w:r>
      <w:r w:rsidR="00EF27A4" w:rsidRPr="005F120D">
        <w:rPr>
          <w:rFonts w:asciiTheme="minorHAnsi" w:hAnsiTheme="minorHAnsi" w:cstheme="minorHAnsi"/>
        </w:rPr>
        <w:t>n</w:t>
      </w:r>
      <w:r w:rsidR="00103E63" w:rsidRPr="005F120D">
        <w:rPr>
          <w:rFonts w:asciiTheme="minorHAnsi" w:hAnsiTheme="minorHAnsi" w:cstheme="minorHAnsi"/>
        </w:rPr>
        <w:t xml:space="preserve">or </w:t>
      </w:r>
      <w:r w:rsidR="00E33273" w:rsidRPr="005F120D">
        <w:rPr>
          <w:rFonts w:asciiTheme="minorHAnsi" w:hAnsiTheme="minorHAnsi" w:cstheme="minorHAnsi"/>
        </w:rPr>
        <w:t xml:space="preserve">repetition, this indicator would be measured as 100%. The Coefficient of Efficiency, give below, reflects the existence of repetition and dropouts in the system. The coefficient of efficiency has improved considerably between 2010 and 2015; from 62.2% in 2010 to 80.1% in 2015.  The PEDP3 target for this indicator was set at 70%, which had already been exceeded in 2012 (77.4%).  A new target was fixed during the PEDP3’s mid-term review (MTR) in 2014.  In terms of gender, the internal efficiency of girls is slightly higher than that of boys as shown in the Figure 3.29.  The trends of coefficient of efficiency from 2005 to 2015 are presented in Table 3.31. </w:t>
      </w:r>
    </w:p>
    <w:p w:rsidR="004D65F3" w:rsidRPr="005F120D" w:rsidRDefault="000417A0" w:rsidP="00C437AA">
      <w:pPr>
        <w:pStyle w:val="Caption"/>
        <w:spacing w:line="276" w:lineRule="auto"/>
        <w:rPr>
          <w:rFonts w:cstheme="minorHAnsi"/>
        </w:rPr>
      </w:pPr>
      <w:bookmarkStart w:id="406" w:name="_Toc462837288"/>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31</w:t>
      </w:r>
      <w:r w:rsidR="002E2ED5" w:rsidRPr="005F120D">
        <w:rPr>
          <w:rFonts w:cstheme="minorHAnsi"/>
        </w:rPr>
        <w:fldChar w:fldCharType="end"/>
      </w:r>
      <w:r w:rsidR="006A7739" w:rsidRPr="005F120D">
        <w:rPr>
          <w:rFonts w:cstheme="minorHAnsi"/>
        </w:rPr>
        <w:t>:</w:t>
      </w:r>
      <w:r w:rsidR="004D65F3" w:rsidRPr="005F120D">
        <w:rPr>
          <w:rFonts w:cstheme="minorHAnsi"/>
        </w:rPr>
        <w:t xml:space="preserve"> Internal Efficiency Indicators 2005–201</w:t>
      </w:r>
      <w:r w:rsidR="00CE712B" w:rsidRPr="005F120D">
        <w:rPr>
          <w:rFonts w:cstheme="minorHAnsi"/>
        </w:rPr>
        <w:t>5</w:t>
      </w:r>
      <w:bookmarkEnd w:id="406"/>
    </w:p>
    <w:tbl>
      <w:tblPr>
        <w:tblW w:w="4904" w:type="pct"/>
        <w:tblInd w:w="108" w:type="dxa"/>
        <w:tbl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insideH w:val="single" w:sz="6" w:space="0" w:color="76923C" w:themeColor="accent3" w:themeShade="BF"/>
          <w:insideV w:val="single" w:sz="6" w:space="0" w:color="76923C" w:themeColor="accent3" w:themeShade="BF"/>
        </w:tblBorders>
        <w:tblLook w:val="04A0"/>
      </w:tblPr>
      <w:tblGrid>
        <w:gridCol w:w="2023"/>
        <w:gridCol w:w="581"/>
        <w:gridCol w:w="654"/>
        <w:gridCol w:w="648"/>
        <w:gridCol w:w="650"/>
        <w:gridCol w:w="646"/>
        <w:gridCol w:w="646"/>
        <w:gridCol w:w="646"/>
        <w:gridCol w:w="646"/>
        <w:gridCol w:w="646"/>
        <w:gridCol w:w="644"/>
        <w:gridCol w:w="637"/>
      </w:tblGrid>
      <w:tr w:rsidR="00CE712B" w:rsidRPr="005F120D" w:rsidTr="002F6585">
        <w:trPr>
          <w:trHeight w:val="270"/>
        </w:trPr>
        <w:tc>
          <w:tcPr>
            <w:tcW w:w="1116" w:type="pct"/>
            <w:shd w:val="clear" w:color="auto" w:fill="C2D69B" w:themeFill="accent3" w:themeFillTint="99"/>
            <w:vAlign w:val="center"/>
            <w:hideMark/>
          </w:tcPr>
          <w:p w:rsidR="00ED3360" w:rsidRPr="005F120D" w:rsidRDefault="00ED3360" w:rsidP="00936D9E">
            <w:pPr>
              <w:spacing w:after="0"/>
              <w:jc w:val="center"/>
              <w:rPr>
                <w:rFonts w:asciiTheme="minorHAnsi" w:hAnsiTheme="minorHAnsi" w:cstheme="minorHAnsi"/>
                <w:sz w:val="18"/>
                <w:szCs w:val="18"/>
              </w:rPr>
            </w:pPr>
          </w:p>
        </w:tc>
        <w:tc>
          <w:tcPr>
            <w:tcW w:w="315" w:type="pct"/>
            <w:shd w:val="clear" w:color="auto" w:fill="C2D69B" w:themeFill="accent3" w:themeFillTint="99"/>
            <w:vAlign w:val="center"/>
            <w:hideMark/>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2005</w:t>
            </w:r>
          </w:p>
        </w:tc>
        <w:tc>
          <w:tcPr>
            <w:tcW w:w="361" w:type="pct"/>
            <w:shd w:val="clear" w:color="auto" w:fill="C2D69B" w:themeFill="accent3" w:themeFillTint="99"/>
            <w:vAlign w:val="center"/>
            <w:hideMark/>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2006</w:t>
            </w:r>
          </w:p>
        </w:tc>
        <w:tc>
          <w:tcPr>
            <w:tcW w:w="358" w:type="pct"/>
            <w:shd w:val="clear" w:color="auto" w:fill="C2D69B" w:themeFill="accent3" w:themeFillTint="99"/>
            <w:vAlign w:val="center"/>
            <w:hideMark/>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2007</w:t>
            </w:r>
          </w:p>
        </w:tc>
        <w:tc>
          <w:tcPr>
            <w:tcW w:w="359" w:type="pct"/>
            <w:shd w:val="clear" w:color="auto" w:fill="C2D69B" w:themeFill="accent3" w:themeFillTint="99"/>
            <w:vAlign w:val="center"/>
            <w:hideMark/>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2008</w:t>
            </w:r>
          </w:p>
        </w:tc>
        <w:tc>
          <w:tcPr>
            <w:tcW w:w="357" w:type="pct"/>
            <w:shd w:val="clear" w:color="auto" w:fill="C2D69B" w:themeFill="accent3" w:themeFillTint="99"/>
            <w:vAlign w:val="center"/>
            <w:hideMark/>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2009</w:t>
            </w:r>
          </w:p>
        </w:tc>
        <w:tc>
          <w:tcPr>
            <w:tcW w:w="357" w:type="pct"/>
            <w:shd w:val="clear" w:color="auto" w:fill="C2D69B" w:themeFill="accent3" w:themeFillTint="99"/>
            <w:vAlign w:val="center"/>
            <w:hideMark/>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2010</w:t>
            </w:r>
          </w:p>
        </w:tc>
        <w:tc>
          <w:tcPr>
            <w:tcW w:w="357" w:type="pct"/>
            <w:shd w:val="clear" w:color="auto" w:fill="C2D69B" w:themeFill="accent3" w:themeFillTint="99"/>
            <w:vAlign w:val="center"/>
            <w:hideMark/>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2011</w:t>
            </w:r>
          </w:p>
        </w:tc>
        <w:tc>
          <w:tcPr>
            <w:tcW w:w="357" w:type="pct"/>
            <w:shd w:val="clear" w:color="auto" w:fill="C2D69B" w:themeFill="accent3" w:themeFillTint="99"/>
            <w:vAlign w:val="center"/>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2012</w:t>
            </w:r>
          </w:p>
        </w:tc>
        <w:tc>
          <w:tcPr>
            <w:tcW w:w="356" w:type="pct"/>
            <w:shd w:val="clear" w:color="auto" w:fill="C2D69B" w:themeFill="accent3" w:themeFillTint="99"/>
            <w:vAlign w:val="center"/>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2013</w:t>
            </w:r>
          </w:p>
        </w:tc>
        <w:tc>
          <w:tcPr>
            <w:tcW w:w="355" w:type="pct"/>
            <w:shd w:val="clear" w:color="auto" w:fill="C2D69B" w:themeFill="accent3" w:themeFillTint="99"/>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2014</w:t>
            </w:r>
          </w:p>
        </w:tc>
        <w:tc>
          <w:tcPr>
            <w:tcW w:w="351" w:type="pct"/>
            <w:shd w:val="clear" w:color="auto" w:fill="C2D69B" w:themeFill="accent3" w:themeFillTint="99"/>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2015</w:t>
            </w:r>
          </w:p>
        </w:tc>
      </w:tr>
      <w:tr w:rsidR="00CE712B" w:rsidRPr="005F120D" w:rsidTr="002F6585">
        <w:trPr>
          <w:trHeight w:hRule="exact" w:val="642"/>
        </w:trPr>
        <w:tc>
          <w:tcPr>
            <w:tcW w:w="1116" w:type="pct"/>
            <w:shd w:val="clear" w:color="auto" w:fill="auto"/>
            <w:vAlign w:val="center"/>
            <w:hideMark/>
          </w:tcPr>
          <w:p w:rsidR="00CE712B" w:rsidRPr="005F120D" w:rsidRDefault="00ED3360" w:rsidP="00936D9E">
            <w:pPr>
              <w:spacing w:after="0"/>
              <w:rPr>
                <w:rFonts w:asciiTheme="minorHAnsi" w:hAnsiTheme="minorHAnsi" w:cstheme="minorHAnsi"/>
                <w:sz w:val="18"/>
                <w:szCs w:val="18"/>
              </w:rPr>
            </w:pPr>
            <w:r w:rsidRPr="005F120D">
              <w:rPr>
                <w:rFonts w:asciiTheme="minorHAnsi" w:hAnsiTheme="minorHAnsi" w:cstheme="minorHAnsi"/>
                <w:sz w:val="18"/>
                <w:szCs w:val="18"/>
              </w:rPr>
              <w:t xml:space="preserve">Coefficient of efficiency </w:t>
            </w: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Total</w:t>
            </w:r>
            <w:r w:rsidR="00CE712B" w:rsidRPr="005F120D">
              <w:rPr>
                <w:rFonts w:asciiTheme="minorHAnsi" w:hAnsiTheme="minorHAnsi" w:cstheme="minorHAnsi"/>
                <w:sz w:val="18"/>
                <w:szCs w:val="18"/>
              </w:rPr>
              <w:t xml:space="preserve"> (%)</w:t>
            </w:r>
          </w:p>
        </w:tc>
        <w:tc>
          <w:tcPr>
            <w:tcW w:w="315" w:type="pct"/>
            <w:shd w:val="clear" w:color="auto" w:fill="auto"/>
            <w:vAlign w:val="center"/>
            <w:hideMark/>
          </w:tcPr>
          <w:p w:rsidR="00ED3360" w:rsidRPr="005F120D" w:rsidRDefault="00ED3360" w:rsidP="00936D9E">
            <w:pPr>
              <w:spacing w:after="0"/>
              <w:jc w:val="center"/>
              <w:rPr>
                <w:rFonts w:asciiTheme="minorHAnsi" w:hAnsiTheme="minorHAnsi" w:cstheme="minorHAnsi"/>
                <w:sz w:val="18"/>
                <w:szCs w:val="18"/>
              </w:rPr>
            </w:pP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61.8</w:t>
            </w:r>
          </w:p>
        </w:tc>
        <w:tc>
          <w:tcPr>
            <w:tcW w:w="361" w:type="pct"/>
            <w:shd w:val="clear" w:color="auto" w:fill="auto"/>
            <w:vAlign w:val="center"/>
            <w:hideMark/>
          </w:tcPr>
          <w:p w:rsidR="00ED3360" w:rsidRPr="005F120D" w:rsidRDefault="00ED3360" w:rsidP="00936D9E">
            <w:pPr>
              <w:spacing w:after="0"/>
              <w:jc w:val="center"/>
              <w:rPr>
                <w:rFonts w:asciiTheme="minorHAnsi" w:hAnsiTheme="minorHAnsi" w:cstheme="minorHAnsi"/>
                <w:sz w:val="18"/>
                <w:szCs w:val="18"/>
              </w:rPr>
            </w:pP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59</w:t>
            </w:r>
          </w:p>
        </w:tc>
        <w:tc>
          <w:tcPr>
            <w:tcW w:w="358" w:type="pct"/>
            <w:shd w:val="clear" w:color="auto" w:fill="auto"/>
            <w:vAlign w:val="center"/>
            <w:hideMark/>
          </w:tcPr>
          <w:p w:rsidR="00ED3360" w:rsidRPr="005F120D" w:rsidRDefault="00ED3360" w:rsidP="00936D9E">
            <w:pPr>
              <w:spacing w:after="0"/>
              <w:jc w:val="center"/>
              <w:rPr>
                <w:rFonts w:asciiTheme="minorHAnsi" w:hAnsiTheme="minorHAnsi" w:cstheme="minorHAnsi"/>
                <w:sz w:val="18"/>
                <w:szCs w:val="18"/>
              </w:rPr>
            </w:pP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58.8</w:t>
            </w:r>
          </w:p>
        </w:tc>
        <w:tc>
          <w:tcPr>
            <w:tcW w:w="359" w:type="pct"/>
            <w:shd w:val="clear" w:color="auto" w:fill="auto"/>
            <w:vAlign w:val="center"/>
            <w:hideMark/>
          </w:tcPr>
          <w:p w:rsidR="00ED3360" w:rsidRPr="005F120D" w:rsidRDefault="00ED3360" w:rsidP="00936D9E">
            <w:pPr>
              <w:spacing w:after="0"/>
              <w:jc w:val="center"/>
              <w:rPr>
                <w:rFonts w:asciiTheme="minorHAnsi" w:hAnsiTheme="minorHAnsi" w:cstheme="minorHAnsi"/>
                <w:sz w:val="18"/>
                <w:szCs w:val="18"/>
              </w:rPr>
            </w:pP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58.3</w:t>
            </w:r>
          </w:p>
        </w:tc>
        <w:tc>
          <w:tcPr>
            <w:tcW w:w="357" w:type="pct"/>
            <w:shd w:val="clear" w:color="auto" w:fill="auto"/>
            <w:vAlign w:val="center"/>
            <w:hideMark/>
          </w:tcPr>
          <w:p w:rsidR="00ED3360" w:rsidRPr="005F120D" w:rsidRDefault="00ED3360" w:rsidP="00936D9E">
            <w:pPr>
              <w:spacing w:after="0"/>
              <w:jc w:val="center"/>
              <w:rPr>
                <w:rFonts w:asciiTheme="minorHAnsi" w:hAnsiTheme="minorHAnsi" w:cstheme="minorHAnsi"/>
                <w:sz w:val="18"/>
                <w:szCs w:val="18"/>
              </w:rPr>
            </w:pP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61</w:t>
            </w:r>
          </w:p>
        </w:tc>
        <w:tc>
          <w:tcPr>
            <w:tcW w:w="357" w:type="pct"/>
            <w:shd w:val="clear" w:color="auto" w:fill="auto"/>
            <w:vAlign w:val="center"/>
            <w:hideMark/>
          </w:tcPr>
          <w:p w:rsidR="00ED3360" w:rsidRPr="005F120D" w:rsidRDefault="00ED3360" w:rsidP="00936D9E">
            <w:pPr>
              <w:spacing w:after="0"/>
              <w:jc w:val="center"/>
              <w:rPr>
                <w:rFonts w:asciiTheme="minorHAnsi" w:hAnsiTheme="minorHAnsi" w:cstheme="minorHAnsi"/>
                <w:sz w:val="18"/>
                <w:szCs w:val="18"/>
              </w:rPr>
            </w:pP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62.2</w:t>
            </w:r>
          </w:p>
        </w:tc>
        <w:tc>
          <w:tcPr>
            <w:tcW w:w="357" w:type="pct"/>
            <w:shd w:val="clear" w:color="auto" w:fill="auto"/>
            <w:vAlign w:val="center"/>
            <w:hideMark/>
          </w:tcPr>
          <w:p w:rsidR="00ED3360" w:rsidRPr="005F120D" w:rsidRDefault="00ED3360" w:rsidP="00936D9E">
            <w:pPr>
              <w:spacing w:after="0"/>
              <w:jc w:val="center"/>
              <w:rPr>
                <w:rFonts w:asciiTheme="minorHAnsi" w:hAnsiTheme="minorHAnsi" w:cstheme="minorHAnsi"/>
                <w:sz w:val="18"/>
                <w:szCs w:val="18"/>
              </w:rPr>
            </w:pP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69.1</w:t>
            </w:r>
          </w:p>
        </w:tc>
        <w:tc>
          <w:tcPr>
            <w:tcW w:w="357" w:type="pct"/>
            <w:vAlign w:val="center"/>
          </w:tcPr>
          <w:p w:rsidR="00ED3360" w:rsidRPr="005F120D" w:rsidRDefault="00ED3360" w:rsidP="00936D9E">
            <w:pPr>
              <w:spacing w:after="0"/>
              <w:jc w:val="center"/>
              <w:rPr>
                <w:rFonts w:asciiTheme="minorHAnsi" w:hAnsiTheme="minorHAnsi" w:cstheme="minorHAnsi"/>
                <w:sz w:val="18"/>
                <w:szCs w:val="18"/>
              </w:rPr>
            </w:pP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77.4</w:t>
            </w:r>
          </w:p>
        </w:tc>
        <w:tc>
          <w:tcPr>
            <w:tcW w:w="356" w:type="pct"/>
            <w:vAlign w:val="center"/>
          </w:tcPr>
          <w:p w:rsidR="00ED3360" w:rsidRPr="005F120D" w:rsidRDefault="00ED3360" w:rsidP="00936D9E">
            <w:pPr>
              <w:spacing w:after="0"/>
              <w:jc w:val="center"/>
              <w:rPr>
                <w:rFonts w:asciiTheme="minorHAnsi" w:hAnsiTheme="minorHAnsi" w:cstheme="minorHAnsi"/>
                <w:sz w:val="18"/>
                <w:szCs w:val="18"/>
              </w:rPr>
            </w:pP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79.7</w:t>
            </w:r>
          </w:p>
        </w:tc>
        <w:tc>
          <w:tcPr>
            <w:tcW w:w="355" w:type="pct"/>
            <w:vAlign w:val="center"/>
          </w:tcPr>
          <w:p w:rsidR="00ED3360" w:rsidRPr="005F120D" w:rsidRDefault="00ED3360" w:rsidP="00936D9E">
            <w:pPr>
              <w:spacing w:after="0"/>
              <w:jc w:val="center"/>
              <w:rPr>
                <w:rFonts w:asciiTheme="minorHAnsi" w:hAnsiTheme="minorHAnsi" w:cstheme="minorHAnsi"/>
                <w:sz w:val="18"/>
                <w:szCs w:val="18"/>
              </w:rPr>
            </w:pPr>
          </w:p>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80</w:t>
            </w:r>
          </w:p>
        </w:tc>
        <w:tc>
          <w:tcPr>
            <w:tcW w:w="351" w:type="pct"/>
            <w:vAlign w:val="center"/>
          </w:tcPr>
          <w:p w:rsidR="00ED3360" w:rsidRPr="005F120D" w:rsidRDefault="00ED3360" w:rsidP="00936D9E">
            <w:pPr>
              <w:spacing w:after="0"/>
              <w:jc w:val="center"/>
              <w:rPr>
                <w:rFonts w:asciiTheme="minorHAnsi" w:hAnsiTheme="minorHAnsi" w:cstheme="minorHAnsi"/>
                <w:sz w:val="18"/>
                <w:szCs w:val="18"/>
              </w:rPr>
            </w:pPr>
          </w:p>
          <w:p w:rsidR="00F47A36" w:rsidRPr="005F120D" w:rsidRDefault="00F47A36"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80.1</w:t>
            </w:r>
          </w:p>
        </w:tc>
      </w:tr>
      <w:tr w:rsidR="00CE712B" w:rsidRPr="005F120D" w:rsidTr="002F6585">
        <w:trPr>
          <w:trHeight w:hRule="exact" w:val="247"/>
        </w:trPr>
        <w:tc>
          <w:tcPr>
            <w:tcW w:w="1116" w:type="pct"/>
            <w:shd w:val="clear" w:color="auto" w:fill="auto"/>
            <w:vAlign w:val="center"/>
            <w:hideMark/>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Boy</w:t>
            </w:r>
            <w:r w:rsidR="00CE712B" w:rsidRPr="005F120D">
              <w:rPr>
                <w:rFonts w:asciiTheme="minorHAnsi" w:hAnsiTheme="minorHAnsi" w:cstheme="minorHAnsi"/>
                <w:sz w:val="18"/>
                <w:szCs w:val="18"/>
              </w:rPr>
              <w:t xml:space="preserve"> (%)</w:t>
            </w:r>
          </w:p>
        </w:tc>
        <w:tc>
          <w:tcPr>
            <w:tcW w:w="315"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58</w:t>
            </w:r>
          </w:p>
        </w:tc>
        <w:tc>
          <w:tcPr>
            <w:tcW w:w="361"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56.6</w:t>
            </w:r>
          </w:p>
        </w:tc>
        <w:tc>
          <w:tcPr>
            <w:tcW w:w="358"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56.5</w:t>
            </w:r>
          </w:p>
        </w:tc>
        <w:tc>
          <w:tcPr>
            <w:tcW w:w="359"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57.5</w:t>
            </w:r>
          </w:p>
        </w:tc>
        <w:tc>
          <w:tcPr>
            <w:tcW w:w="357"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59.1</w:t>
            </w:r>
          </w:p>
        </w:tc>
        <w:tc>
          <w:tcPr>
            <w:tcW w:w="357"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62.8</w:t>
            </w:r>
          </w:p>
        </w:tc>
        <w:tc>
          <w:tcPr>
            <w:tcW w:w="357"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67.7</w:t>
            </w:r>
          </w:p>
        </w:tc>
        <w:tc>
          <w:tcPr>
            <w:tcW w:w="357" w:type="pct"/>
            <w:vAlign w:val="center"/>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75.6</w:t>
            </w:r>
          </w:p>
        </w:tc>
        <w:tc>
          <w:tcPr>
            <w:tcW w:w="356" w:type="pct"/>
            <w:vAlign w:val="center"/>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77.3</w:t>
            </w:r>
          </w:p>
        </w:tc>
        <w:tc>
          <w:tcPr>
            <w:tcW w:w="355" w:type="pct"/>
            <w:vAlign w:val="center"/>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77.3</w:t>
            </w:r>
          </w:p>
        </w:tc>
        <w:tc>
          <w:tcPr>
            <w:tcW w:w="351" w:type="pct"/>
            <w:vAlign w:val="center"/>
          </w:tcPr>
          <w:p w:rsidR="00ED3360" w:rsidRPr="005F120D" w:rsidRDefault="00CE712B"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77.8</w:t>
            </w:r>
          </w:p>
        </w:tc>
      </w:tr>
      <w:tr w:rsidR="00CE712B" w:rsidRPr="005F120D" w:rsidTr="002F6585">
        <w:trPr>
          <w:trHeight w:hRule="exact" w:val="278"/>
        </w:trPr>
        <w:tc>
          <w:tcPr>
            <w:tcW w:w="1116" w:type="pct"/>
            <w:shd w:val="clear" w:color="auto" w:fill="auto"/>
            <w:vAlign w:val="center"/>
            <w:hideMark/>
          </w:tcPr>
          <w:p w:rsidR="00ED3360" w:rsidRPr="005F120D" w:rsidRDefault="00ED3360"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Girl</w:t>
            </w:r>
            <w:r w:rsidR="00CE712B" w:rsidRPr="005F120D">
              <w:rPr>
                <w:rFonts w:asciiTheme="minorHAnsi" w:hAnsiTheme="minorHAnsi" w:cstheme="minorHAnsi"/>
                <w:sz w:val="18"/>
                <w:szCs w:val="18"/>
              </w:rPr>
              <w:t xml:space="preserve"> (%)</w:t>
            </w:r>
          </w:p>
        </w:tc>
        <w:tc>
          <w:tcPr>
            <w:tcW w:w="315"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63.2</w:t>
            </w:r>
          </w:p>
        </w:tc>
        <w:tc>
          <w:tcPr>
            <w:tcW w:w="361"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61.3</w:t>
            </w:r>
          </w:p>
        </w:tc>
        <w:tc>
          <w:tcPr>
            <w:tcW w:w="358"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61.1</w:t>
            </w:r>
          </w:p>
        </w:tc>
        <w:tc>
          <w:tcPr>
            <w:tcW w:w="359"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59.1</w:t>
            </w:r>
          </w:p>
        </w:tc>
        <w:tc>
          <w:tcPr>
            <w:tcW w:w="357"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62.8</w:t>
            </w:r>
          </w:p>
        </w:tc>
        <w:tc>
          <w:tcPr>
            <w:tcW w:w="357"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61.8</w:t>
            </w:r>
          </w:p>
        </w:tc>
        <w:tc>
          <w:tcPr>
            <w:tcW w:w="357" w:type="pct"/>
            <w:shd w:val="clear" w:color="auto" w:fill="auto"/>
            <w:vAlign w:val="center"/>
            <w:hideMark/>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70.5</w:t>
            </w:r>
          </w:p>
        </w:tc>
        <w:tc>
          <w:tcPr>
            <w:tcW w:w="357" w:type="pct"/>
            <w:vAlign w:val="center"/>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79.2</w:t>
            </w:r>
          </w:p>
        </w:tc>
        <w:tc>
          <w:tcPr>
            <w:tcW w:w="356" w:type="pct"/>
            <w:vAlign w:val="center"/>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82.0</w:t>
            </w:r>
          </w:p>
        </w:tc>
        <w:tc>
          <w:tcPr>
            <w:tcW w:w="355" w:type="pct"/>
            <w:vAlign w:val="center"/>
          </w:tcPr>
          <w:p w:rsidR="00ED3360" w:rsidRPr="005F120D" w:rsidRDefault="00ED3360"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82.7</w:t>
            </w:r>
          </w:p>
        </w:tc>
        <w:tc>
          <w:tcPr>
            <w:tcW w:w="351" w:type="pct"/>
            <w:vAlign w:val="center"/>
          </w:tcPr>
          <w:p w:rsidR="00ED3360" w:rsidRPr="005F120D" w:rsidRDefault="00CE712B" w:rsidP="00936D9E">
            <w:pPr>
              <w:jc w:val="center"/>
              <w:rPr>
                <w:rFonts w:asciiTheme="minorHAnsi" w:hAnsiTheme="minorHAnsi" w:cstheme="minorHAnsi"/>
                <w:bCs/>
                <w:sz w:val="18"/>
                <w:szCs w:val="18"/>
              </w:rPr>
            </w:pPr>
            <w:r w:rsidRPr="005F120D">
              <w:rPr>
                <w:rFonts w:asciiTheme="minorHAnsi" w:hAnsiTheme="minorHAnsi" w:cstheme="minorHAnsi"/>
                <w:bCs/>
                <w:sz w:val="18"/>
                <w:szCs w:val="18"/>
              </w:rPr>
              <w:t>82.3</w:t>
            </w:r>
          </w:p>
        </w:tc>
      </w:tr>
    </w:tbl>
    <w:p w:rsidR="000F3BBE" w:rsidRPr="005F120D" w:rsidRDefault="002F6585" w:rsidP="00C437AA">
      <w:pPr>
        <w:pStyle w:val="ListBullet1"/>
        <w:spacing w:line="276" w:lineRule="auto"/>
        <w:rPr>
          <w:rFonts w:asciiTheme="minorHAnsi" w:hAnsiTheme="minorHAnsi" w:cstheme="minorHAnsi"/>
          <w:b/>
          <w:sz w:val="16"/>
          <w:szCs w:val="16"/>
        </w:rPr>
      </w:pPr>
      <w:r w:rsidRPr="005F120D">
        <w:rPr>
          <w:rFonts w:asciiTheme="minorHAnsi" w:hAnsiTheme="minorHAnsi" w:cstheme="minorHAnsi"/>
          <w:b/>
          <w:sz w:val="16"/>
          <w:szCs w:val="16"/>
        </w:rPr>
        <w:t>Source: APSC 2005–2015</w:t>
      </w:r>
    </w:p>
    <w:p w:rsidR="000F3BBE" w:rsidRPr="005F120D" w:rsidRDefault="000F3BBE" w:rsidP="00C437AA">
      <w:pPr>
        <w:pStyle w:val="Caption"/>
        <w:spacing w:line="276" w:lineRule="auto"/>
        <w:rPr>
          <w:rFonts w:cstheme="minorHAnsi"/>
          <w:szCs w:val="22"/>
        </w:rPr>
      </w:pPr>
      <w:bookmarkStart w:id="407" w:name="_Toc462837438"/>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29</w:t>
      </w:r>
      <w:r w:rsidR="002E2ED5" w:rsidRPr="005F120D">
        <w:rPr>
          <w:rFonts w:cstheme="minorHAnsi"/>
        </w:rPr>
        <w:fldChar w:fldCharType="end"/>
      </w:r>
      <w:r w:rsidR="006A7739" w:rsidRPr="005F120D">
        <w:rPr>
          <w:rFonts w:cstheme="minorHAnsi"/>
        </w:rPr>
        <w:t>:</w:t>
      </w:r>
      <w:r w:rsidR="00362E85">
        <w:rPr>
          <w:rFonts w:cstheme="minorHAnsi"/>
        </w:rPr>
        <w:t xml:space="preserve"> </w:t>
      </w:r>
      <w:r w:rsidR="00F66A5B" w:rsidRPr="005F120D">
        <w:rPr>
          <w:rFonts w:cstheme="minorHAnsi"/>
        </w:rPr>
        <w:t>Coefficient of</w:t>
      </w:r>
      <w:r w:rsidR="000B622B">
        <w:rPr>
          <w:rFonts w:cstheme="minorHAnsi"/>
        </w:rPr>
        <w:t xml:space="preserve"> E</w:t>
      </w:r>
      <w:r w:rsidR="00F06E0B" w:rsidRPr="005F120D">
        <w:rPr>
          <w:rFonts w:cstheme="minorHAnsi"/>
        </w:rPr>
        <w:t xml:space="preserve">fficiency </w:t>
      </w:r>
      <w:r w:rsidR="002F6585" w:rsidRPr="005F120D">
        <w:rPr>
          <w:rFonts w:cstheme="minorHAnsi"/>
        </w:rPr>
        <w:t>by Gender</w:t>
      </w:r>
      <w:r w:rsidRPr="005F120D">
        <w:rPr>
          <w:rFonts w:cstheme="minorHAnsi"/>
        </w:rPr>
        <w:t xml:space="preserve"> 2005–201</w:t>
      </w:r>
      <w:r w:rsidR="002F6585" w:rsidRPr="005F120D">
        <w:rPr>
          <w:rFonts w:cstheme="minorHAnsi"/>
        </w:rPr>
        <w:t>5</w:t>
      </w:r>
      <w:bookmarkEnd w:id="407"/>
    </w:p>
    <w:p w:rsidR="004D65F3" w:rsidRPr="005F120D" w:rsidRDefault="002E2ED5" w:rsidP="00C437AA">
      <w:pPr>
        <w:spacing w:line="276" w:lineRule="auto"/>
        <w:jc w:val="center"/>
        <w:rPr>
          <w:rFonts w:asciiTheme="minorHAnsi" w:hAnsiTheme="minorHAnsi" w:cstheme="minorHAnsi"/>
          <w:color w:val="FF0000"/>
        </w:rPr>
      </w:pPr>
      <w:r>
        <w:rPr>
          <w:rFonts w:asciiTheme="minorHAnsi" w:hAnsiTheme="minorHAnsi" w:cstheme="minorHAnsi"/>
          <w:noProof/>
          <w:color w:val="FF0000"/>
          <w:lang w:eastAsia="en-US"/>
        </w:rPr>
        <w:pict>
          <v:shape id="AutoShape 390" o:spid="_x0000_s1080" type="#_x0000_t32" style="position:absolute;left:0;text-align:left;margin-left:50.95pt;margin-top:22.65pt;width:330.1pt;height:0;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" strokecolor="#c00000" strokeweight="2pt">
            <v:shadow opacity=".5" offset="6pt,6pt"/>
          </v:shape>
        </w:pict>
      </w:r>
      <w:r w:rsidR="002F6585" w:rsidRPr="005F120D">
        <w:rPr>
          <w:rFonts w:asciiTheme="minorHAnsi" w:hAnsiTheme="minorHAnsi" w:cstheme="minorHAnsi"/>
          <w:noProof/>
          <w:color w:val="FF0000"/>
          <w:lang w:eastAsia="en-US"/>
        </w:rPr>
        <w:drawing>
          <wp:inline distT="0" distB="0" distL="0" distR="0">
            <wp:extent cx="5516413" cy="2560248"/>
            <wp:effectExtent l="38100" t="19050" r="27137" b="0"/>
            <wp:docPr id="11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33273" w:rsidRPr="005F120D" w:rsidRDefault="00E33273" w:rsidP="00C437AA">
      <w:pPr>
        <w:spacing w:line="276" w:lineRule="auto"/>
        <w:jc w:val="both"/>
        <w:rPr>
          <w:rFonts w:asciiTheme="minorHAnsi" w:hAnsiTheme="minorHAnsi" w:cstheme="minorHAnsi"/>
        </w:rPr>
      </w:pPr>
      <w:bookmarkStart w:id="408" w:name="_Ref331086021"/>
      <w:bookmarkStart w:id="409" w:name="_Toc338839606"/>
      <w:r w:rsidRPr="005F120D">
        <w:rPr>
          <w:rFonts w:asciiTheme="minorHAnsi" w:hAnsiTheme="minorHAnsi" w:cstheme="minorHAnsi"/>
        </w:rPr>
        <w:t>According to Education Watch’s Education</w:t>
      </w:r>
      <w:r w:rsidR="00EF27A4" w:rsidRPr="005F120D">
        <w:rPr>
          <w:rFonts w:asciiTheme="minorHAnsi" w:hAnsiTheme="minorHAnsi" w:cstheme="minorHAnsi"/>
        </w:rPr>
        <w:t>al Institutes Survey 2014, the Coefficient of E</w:t>
      </w:r>
      <w:r w:rsidRPr="005F120D">
        <w:rPr>
          <w:rFonts w:asciiTheme="minorHAnsi" w:hAnsiTheme="minorHAnsi" w:cstheme="minorHAnsi"/>
        </w:rPr>
        <w:t>fficiency improved considerably between 200</w:t>
      </w:r>
      <w:r w:rsidR="0059218A" w:rsidRPr="005F120D">
        <w:rPr>
          <w:rFonts w:asciiTheme="minorHAnsi" w:hAnsiTheme="minorHAnsi" w:cstheme="minorHAnsi"/>
        </w:rPr>
        <w:t>8</w:t>
      </w:r>
      <w:r w:rsidRPr="005F120D">
        <w:rPr>
          <w:rFonts w:asciiTheme="minorHAnsi" w:hAnsiTheme="minorHAnsi" w:cstheme="minorHAnsi"/>
        </w:rPr>
        <w:t xml:space="preserve"> and 2015 (</w:t>
      </w:r>
      <w:r w:rsidR="006F4546" w:rsidRPr="005F120D">
        <w:rPr>
          <w:rFonts w:asciiTheme="minorHAnsi" w:hAnsiTheme="minorHAnsi" w:cstheme="minorHAnsi"/>
        </w:rPr>
        <w:t xml:space="preserve">average </w:t>
      </w:r>
      <w:r w:rsidR="0059218A" w:rsidRPr="005F120D">
        <w:rPr>
          <w:rFonts w:asciiTheme="minorHAnsi" w:hAnsiTheme="minorHAnsi" w:cstheme="minorHAnsi"/>
        </w:rPr>
        <w:t>74.3%</w:t>
      </w:r>
      <w:r w:rsidRPr="005F120D">
        <w:rPr>
          <w:rFonts w:asciiTheme="minorHAnsi" w:hAnsiTheme="minorHAnsi" w:cstheme="minorHAnsi"/>
        </w:rPr>
        <w:t>) - in GPS 77.</w:t>
      </w:r>
      <w:r w:rsidR="00EF27A4" w:rsidRPr="005F120D">
        <w:rPr>
          <w:rFonts w:asciiTheme="minorHAnsi" w:hAnsiTheme="minorHAnsi" w:cstheme="minorHAnsi"/>
        </w:rPr>
        <w:t>1% and NNPS 66.6% in 2015. The Coefficient of E</w:t>
      </w:r>
      <w:r w:rsidRPr="005F120D">
        <w:rPr>
          <w:rFonts w:asciiTheme="minorHAnsi" w:hAnsiTheme="minorHAnsi" w:cstheme="minorHAnsi"/>
        </w:rPr>
        <w:t xml:space="preserve">fficiency was </w:t>
      </w:r>
      <w:r w:rsidR="0059218A" w:rsidRPr="005F120D">
        <w:rPr>
          <w:rFonts w:asciiTheme="minorHAnsi" w:hAnsiTheme="minorHAnsi" w:cstheme="minorHAnsi"/>
        </w:rPr>
        <w:t xml:space="preserve">also </w:t>
      </w:r>
      <w:r w:rsidRPr="005F120D">
        <w:rPr>
          <w:rFonts w:asciiTheme="minorHAnsi" w:hAnsiTheme="minorHAnsi" w:cstheme="minorHAnsi"/>
        </w:rPr>
        <w:t>higher among the girls</w:t>
      </w:r>
      <w:r w:rsidR="006F4546" w:rsidRPr="005F120D">
        <w:rPr>
          <w:rFonts w:asciiTheme="minorHAnsi" w:hAnsiTheme="minorHAnsi" w:cstheme="minorHAnsi"/>
        </w:rPr>
        <w:t xml:space="preserve"> (79.3%)</w:t>
      </w:r>
      <w:r w:rsidRPr="005F120D">
        <w:rPr>
          <w:rFonts w:asciiTheme="minorHAnsi" w:hAnsiTheme="minorHAnsi" w:cstheme="minorHAnsi"/>
        </w:rPr>
        <w:t xml:space="preserve"> than the boys</w:t>
      </w:r>
      <w:r w:rsidR="006F4546" w:rsidRPr="005F120D">
        <w:rPr>
          <w:rFonts w:asciiTheme="minorHAnsi" w:hAnsiTheme="minorHAnsi" w:cstheme="minorHAnsi"/>
        </w:rPr>
        <w:t xml:space="preserve"> (69%)</w:t>
      </w:r>
      <w:r w:rsidRPr="005F120D">
        <w:rPr>
          <w:rFonts w:asciiTheme="minorHAnsi" w:hAnsiTheme="minorHAnsi" w:cstheme="minorHAnsi"/>
        </w:rPr>
        <w:t>.</w:t>
      </w:r>
    </w:p>
    <w:p w:rsidR="001A0375" w:rsidRPr="005F120D" w:rsidRDefault="00E33273" w:rsidP="00C437AA">
      <w:pPr>
        <w:spacing w:line="276" w:lineRule="auto"/>
        <w:jc w:val="both"/>
        <w:rPr>
          <w:rFonts w:asciiTheme="minorHAnsi" w:hAnsiTheme="minorHAnsi" w:cstheme="minorHAnsi"/>
        </w:rPr>
      </w:pPr>
      <w:r w:rsidRPr="005F120D">
        <w:rPr>
          <w:rFonts w:asciiTheme="minorHAnsi" w:hAnsiTheme="minorHAnsi" w:cstheme="minorHAnsi"/>
          <w:b/>
          <w:color w:val="008000"/>
        </w:rPr>
        <w:t>Years input per Graduate (KPI-14.b):</w:t>
      </w:r>
      <w:r w:rsidRPr="005F120D">
        <w:rPr>
          <w:rFonts w:asciiTheme="minorHAnsi" w:hAnsiTheme="minorHAnsi" w:cstheme="minorHAnsi"/>
        </w:rPr>
        <w:t xml:space="preserve">is the total number of student years divided by the total number of graduates. In the case of neither repetition nor dropouts, the figure would be five years </w:t>
      </w:r>
      <w:r w:rsidRPr="005F120D">
        <w:rPr>
          <w:rFonts w:asciiTheme="minorHAnsi" w:hAnsiTheme="minorHAnsi" w:cstheme="minorHAnsi"/>
        </w:rPr>
        <w:lastRenderedPageBreak/>
        <w:t>for Bangladesh</w:t>
      </w:r>
      <w:r w:rsidR="0059218A" w:rsidRPr="005F120D">
        <w:rPr>
          <w:rFonts w:asciiTheme="minorHAnsi" w:hAnsiTheme="minorHAnsi" w:cstheme="minorHAnsi"/>
        </w:rPr>
        <w:t xml:space="preserve"> (excluding the 1 year pre-primary education)</w:t>
      </w:r>
      <w:r w:rsidRPr="005F120D">
        <w:rPr>
          <w:rFonts w:asciiTheme="minorHAnsi" w:hAnsiTheme="minorHAnsi" w:cstheme="minorHAnsi"/>
        </w:rPr>
        <w:t>. The target of PEDPII for this indicator was the reduction to 7.5 years from 8.1 years in 2005. This was not achieved during the 2006–2010 period.  The target of PEDP3 was set at 7 years against the baseline of 8 years in 2010.  The PEDP3 target was achieved in 2012 (6.5 years) and further reduced in MTR-2014 (6.2 years). The yearly input per graduate improved considerably between 2010 and 2015; from 8 years in 2010 to 6.2 years in 2015. To produce primary graduates required 6.4 years for boys and 6.1 years for girls</w:t>
      </w:r>
      <w:r w:rsidR="000C3019" w:rsidRPr="005F120D">
        <w:rPr>
          <w:rFonts w:asciiTheme="minorHAnsi" w:hAnsiTheme="minorHAnsi" w:cstheme="minorHAnsi"/>
        </w:rPr>
        <w:t xml:space="preserve"> in 2015; girls’ performance has been</w:t>
      </w:r>
      <w:r w:rsidRPr="005F120D">
        <w:rPr>
          <w:rFonts w:asciiTheme="minorHAnsi" w:hAnsiTheme="minorHAnsi" w:cstheme="minorHAnsi"/>
        </w:rPr>
        <w:t xml:space="preserve"> better than boys’</w:t>
      </w:r>
      <w:r w:rsidR="0059218A" w:rsidRPr="005F120D">
        <w:rPr>
          <w:rFonts w:asciiTheme="minorHAnsi" w:hAnsiTheme="minorHAnsi" w:cstheme="minorHAnsi"/>
        </w:rPr>
        <w:t xml:space="preserve"> since 2005 (See </w:t>
      </w:r>
      <w:r w:rsidRPr="005F120D">
        <w:rPr>
          <w:rFonts w:asciiTheme="minorHAnsi" w:hAnsiTheme="minorHAnsi" w:cstheme="minorHAnsi"/>
        </w:rPr>
        <w:t>Figure 3.30)</w:t>
      </w:r>
      <w:r w:rsidR="00FF795D" w:rsidRPr="005F120D">
        <w:rPr>
          <w:rFonts w:asciiTheme="minorHAnsi" w:hAnsiTheme="minorHAnsi" w:cstheme="minorHAnsi"/>
        </w:rPr>
        <w:t>.</w:t>
      </w:r>
    </w:p>
    <w:p w:rsidR="001A0375" w:rsidRPr="005F120D" w:rsidRDefault="001A0375" w:rsidP="00C437AA">
      <w:pPr>
        <w:pStyle w:val="Caption"/>
        <w:spacing w:before="240" w:line="276" w:lineRule="auto"/>
        <w:rPr>
          <w:rFonts w:cstheme="minorHAnsi"/>
        </w:rPr>
      </w:pPr>
      <w:bookmarkStart w:id="410" w:name="_Toc462837439"/>
      <w:bookmarkEnd w:id="408"/>
      <w:bookmarkEnd w:id="409"/>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30</w:t>
      </w:r>
      <w:r w:rsidR="002E2ED5" w:rsidRPr="005F120D">
        <w:rPr>
          <w:rFonts w:cstheme="minorHAnsi"/>
        </w:rPr>
        <w:fldChar w:fldCharType="end"/>
      </w:r>
      <w:r w:rsidR="006A7739" w:rsidRPr="005F120D">
        <w:rPr>
          <w:rFonts w:cstheme="minorHAnsi"/>
        </w:rPr>
        <w:t>:</w:t>
      </w:r>
      <w:r w:rsidR="00F83E43">
        <w:rPr>
          <w:rFonts w:cstheme="minorHAnsi"/>
        </w:rPr>
        <w:t xml:space="preserve"> </w:t>
      </w:r>
      <w:r w:rsidR="00F66A5B" w:rsidRPr="005F120D">
        <w:rPr>
          <w:rFonts w:cstheme="minorHAnsi"/>
        </w:rPr>
        <w:t>Year</w:t>
      </w:r>
      <w:r w:rsidR="00BA595F" w:rsidRPr="005F120D">
        <w:rPr>
          <w:rFonts w:cstheme="minorHAnsi"/>
        </w:rPr>
        <w:t>s Input per G</w:t>
      </w:r>
      <w:r w:rsidR="00F66A5B" w:rsidRPr="005F120D">
        <w:rPr>
          <w:rFonts w:cstheme="minorHAnsi"/>
        </w:rPr>
        <w:t>raduate</w:t>
      </w:r>
      <w:r w:rsidR="00A31612" w:rsidRPr="005F120D">
        <w:rPr>
          <w:rFonts w:cstheme="minorHAnsi"/>
        </w:rPr>
        <w:t xml:space="preserve"> by Gender</w:t>
      </w:r>
      <w:r w:rsidRPr="005F120D">
        <w:rPr>
          <w:rFonts w:cstheme="minorHAnsi"/>
        </w:rPr>
        <w:t xml:space="preserve"> 2005–201</w:t>
      </w:r>
      <w:r w:rsidR="00FF795D" w:rsidRPr="005F120D">
        <w:rPr>
          <w:rFonts w:cstheme="minorHAnsi"/>
        </w:rPr>
        <w:t>5</w:t>
      </w:r>
      <w:bookmarkEnd w:id="410"/>
    </w:p>
    <w:p w:rsidR="008D01B6" w:rsidRPr="005F120D" w:rsidRDefault="002E2ED5" w:rsidP="00C437AA">
      <w:pPr>
        <w:pStyle w:val="ListBullet1"/>
        <w:spacing w:line="276" w:lineRule="auto"/>
        <w:jc w:val="center"/>
        <w:rPr>
          <w:rFonts w:asciiTheme="minorHAnsi" w:hAnsiTheme="minorHAnsi" w:cstheme="minorHAnsi"/>
          <w:b/>
          <w:color w:val="FF0000"/>
          <w:sz w:val="16"/>
          <w:szCs w:val="16"/>
        </w:rPr>
      </w:pPr>
      <w:r>
        <w:rPr>
          <w:rFonts w:asciiTheme="minorHAnsi" w:hAnsiTheme="minorHAnsi" w:cstheme="minorHAnsi"/>
          <w:b/>
          <w:noProof/>
          <w:color w:val="FF0000"/>
          <w:sz w:val="16"/>
          <w:szCs w:val="16"/>
          <w:lang w:val="en-US" w:eastAsia="en-US"/>
        </w:rPr>
        <w:pict>
          <v:shape id="AutoShape 391" o:spid="_x0000_s1079" type="#_x0000_t32" style="position:absolute;left:0;text-align:left;margin-left:83.55pt;margin-top:83.8pt;width:348.45pt;height: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" strokecolor="#c00000" strokeweight="2pt">
            <v:shadow on="t" opacity=".5" offset="6pt,6pt"/>
          </v:shape>
        </w:pict>
      </w:r>
      <w:r w:rsidR="002E0829" w:rsidRPr="005F120D">
        <w:rPr>
          <w:rFonts w:asciiTheme="minorHAnsi" w:hAnsiTheme="minorHAnsi" w:cstheme="minorHAnsi"/>
          <w:b/>
          <w:noProof/>
          <w:color w:val="FF0000"/>
          <w:sz w:val="16"/>
          <w:szCs w:val="16"/>
          <w:lang w:val="en-US" w:eastAsia="en-US"/>
        </w:rPr>
        <w:drawing>
          <wp:inline distT="0" distB="0" distL="0" distR="0">
            <wp:extent cx="5384800" cy="2886075"/>
            <wp:effectExtent l="38100" t="19050" r="25400" b="0"/>
            <wp:docPr id="115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47A36" w:rsidRPr="005F120D" w:rsidRDefault="00F83E43" w:rsidP="00C437AA">
      <w:pPr>
        <w:pStyle w:val="ListBullet1"/>
        <w:spacing w:line="276" w:lineRule="auto"/>
        <w:rPr>
          <w:rFonts w:asciiTheme="minorHAnsi" w:hAnsiTheme="minorHAnsi" w:cstheme="minorHAnsi"/>
          <w:b/>
          <w:sz w:val="16"/>
          <w:szCs w:val="16"/>
        </w:rPr>
      </w:pPr>
      <w:r>
        <w:rPr>
          <w:rFonts w:asciiTheme="minorHAnsi" w:hAnsiTheme="minorHAnsi" w:cstheme="minorHAnsi"/>
          <w:b/>
          <w:sz w:val="16"/>
          <w:szCs w:val="16"/>
        </w:rPr>
        <w:t xml:space="preserve">       </w:t>
      </w:r>
      <w:r w:rsidR="00FF795D" w:rsidRPr="005F120D">
        <w:rPr>
          <w:rFonts w:asciiTheme="minorHAnsi" w:hAnsiTheme="minorHAnsi" w:cstheme="minorHAnsi"/>
          <w:b/>
          <w:sz w:val="16"/>
          <w:szCs w:val="16"/>
        </w:rPr>
        <w:t>Source: APSC 2005–2015</w:t>
      </w:r>
    </w:p>
    <w:p w:rsidR="00720ABA" w:rsidRPr="005F120D" w:rsidRDefault="00720ABA" w:rsidP="00C437AA">
      <w:pPr>
        <w:pStyle w:val="ListBullet1"/>
        <w:spacing w:line="276" w:lineRule="auto"/>
        <w:rPr>
          <w:rFonts w:asciiTheme="minorHAnsi" w:hAnsiTheme="minorHAnsi" w:cstheme="minorHAnsi"/>
          <w:b/>
          <w:color w:val="FF0000"/>
          <w:sz w:val="16"/>
          <w:szCs w:val="16"/>
        </w:rPr>
      </w:pPr>
    </w:p>
    <w:p w:rsidR="00720ABA" w:rsidRPr="005F120D" w:rsidRDefault="00E33273" w:rsidP="00C437AA">
      <w:pPr>
        <w:pStyle w:val="ListBullet1"/>
        <w:spacing w:line="276" w:lineRule="auto"/>
        <w:jc w:val="both"/>
        <w:rPr>
          <w:rFonts w:asciiTheme="minorHAnsi" w:hAnsiTheme="minorHAnsi" w:cstheme="minorHAnsi"/>
        </w:rPr>
      </w:pPr>
      <w:r w:rsidRPr="005F120D">
        <w:rPr>
          <w:rFonts w:asciiTheme="minorHAnsi" w:hAnsiTheme="minorHAnsi" w:cstheme="minorHAnsi"/>
        </w:rPr>
        <w:t>According to Education Watch’s Educational Institutes Survey 2014, the years input per graduate improved considerably between 2008 and 2015 (all 6.7 years, boys 7.2 years and girls 6.3 years) - in GPS 6.5 years, and NNPS 7.5 years in 2015. The years input per graduate were lower for girls than for boys</w:t>
      </w:r>
      <w:r w:rsidR="001A2CAD" w:rsidRPr="005F120D">
        <w:rPr>
          <w:rFonts w:asciiTheme="minorHAnsi" w:hAnsiTheme="minorHAnsi" w:cstheme="minorHAnsi"/>
        </w:rPr>
        <w:t>.</w:t>
      </w:r>
    </w:p>
    <w:p w:rsidR="00E33273" w:rsidRPr="005F120D" w:rsidRDefault="00E33273" w:rsidP="00C437AA">
      <w:pPr>
        <w:pStyle w:val="ListBullet1"/>
        <w:spacing w:line="276" w:lineRule="auto"/>
        <w:rPr>
          <w:rFonts w:asciiTheme="minorHAnsi" w:hAnsiTheme="minorHAnsi" w:cstheme="minorHAnsi"/>
          <w:b/>
          <w:color w:val="FF0000"/>
          <w:sz w:val="16"/>
          <w:szCs w:val="16"/>
        </w:rPr>
      </w:pPr>
    </w:p>
    <w:p w:rsidR="00720ABA" w:rsidRPr="005F120D" w:rsidRDefault="00720ABA" w:rsidP="00C437AA">
      <w:pPr>
        <w:pStyle w:val="ListBullet1"/>
        <w:spacing w:line="276" w:lineRule="auto"/>
        <w:rPr>
          <w:rFonts w:asciiTheme="minorHAnsi" w:hAnsiTheme="minorHAnsi" w:cstheme="minorHAnsi"/>
          <w:b/>
          <w:color w:val="FF0000"/>
          <w:sz w:val="16"/>
          <w:szCs w:val="16"/>
        </w:rPr>
      </w:pPr>
    </w:p>
    <w:p w:rsidR="00FF795D" w:rsidRPr="005F120D" w:rsidRDefault="00FF795D" w:rsidP="00C437AA">
      <w:pPr>
        <w:pStyle w:val="ListBullet1"/>
        <w:spacing w:line="276" w:lineRule="auto"/>
        <w:rPr>
          <w:rFonts w:asciiTheme="minorHAnsi" w:hAnsiTheme="minorHAnsi" w:cstheme="minorHAnsi"/>
          <w:b/>
          <w:color w:val="FF0000"/>
          <w:sz w:val="16"/>
          <w:szCs w:val="16"/>
        </w:rPr>
      </w:pPr>
    </w:p>
    <w:p w:rsidR="0059218A" w:rsidRPr="005F120D" w:rsidRDefault="0059218A" w:rsidP="00C437AA">
      <w:pPr>
        <w:pStyle w:val="Caption"/>
        <w:spacing w:line="276" w:lineRule="auto"/>
        <w:rPr>
          <w:rFonts w:cstheme="minorHAnsi"/>
        </w:rPr>
      </w:pPr>
    </w:p>
    <w:p w:rsidR="0059218A" w:rsidRPr="005F120D" w:rsidRDefault="0059218A" w:rsidP="00C437AA">
      <w:pPr>
        <w:pStyle w:val="Caption"/>
        <w:spacing w:line="276" w:lineRule="auto"/>
        <w:rPr>
          <w:rFonts w:cstheme="minorHAnsi"/>
        </w:rPr>
      </w:pPr>
    </w:p>
    <w:p w:rsidR="0059218A" w:rsidRPr="005F120D" w:rsidRDefault="0059218A" w:rsidP="00C437AA">
      <w:pPr>
        <w:pStyle w:val="Caption"/>
        <w:spacing w:line="276" w:lineRule="auto"/>
        <w:rPr>
          <w:rFonts w:cstheme="minorHAnsi"/>
        </w:rPr>
      </w:pPr>
    </w:p>
    <w:p w:rsidR="0059218A" w:rsidRPr="005F120D" w:rsidRDefault="0059218A" w:rsidP="00C437AA">
      <w:pPr>
        <w:pStyle w:val="Caption"/>
        <w:spacing w:line="276" w:lineRule="auto"/>
        <w:rPr>
          <w:rFonts w:cstheme="minorHAnsi"/>
        </w:rPr>
      </w:pPr>
    </w:p>
    <w:p w:rsidR="0059218A" w:rsidRPr="005F120D" w:rsidRDefault="0059218A" w:rsidP="00C437AA">
      <w:pPr>
        <w:pStyle w:val="Caption"/>
        <w:spacing w:line="276" w:lineRule="auto"/>
        <w:rPr>
          <w:rFonts w:cstheme="minorHAnsi"/>
        </w:rPr>
      </w:pPr>
    </w:p>
    <w:p w:rsidR="007C48D1" w:rsidRPr="005F120D" w:rsidRDefault="007C48D1" w:rsidP="007C48D1">
      <w:pPr>
        <w:rPr>
          <w:rFonts w:asciiTheme="minorHAnsi" w:hAnsiTheme="minorHAnsi" w:cstheme="minorHAnsi"/>
        </w:rPr>
      </w:pPr>
    </w:p>
    <w:p w:rsidR="00687408" w:rsidRPr="005F120D" w:rsidRDefault="00687408" w:rsidP="00C437AA">
      <w:pPr>
        <w:pStyle w:val="Caption"/>
        <w:spacing w:line="276" w:lineRule="auto"/>
        <w:rPr>
          <w:rFonts w:cstheme="minorHAnsi"/>
        </w:rPr>
      </w:pPr>
      <w:bookmarkStart w:id="411" w:name="_Toc462837440"/>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31</w:t>
      </w:r>
      <w:r w:rsidR="002E2ED5" w:rsidRPr="005F120D">
        <w:rPr>
          <w:rFonts w:cstheme="minorHAnsi"/>
        </w:rPr>
        <w:fldChar w:fldCharType="end"/>
      </w:r>
      <w:r w:rsidR="00BA595F" w:rsidRPr="005F120D">
        <w:rPr>
          <w:rFonts w:cstheme="minorHAnsi"/>
        </w:rPr>
        <w:t>: Coefficient of Efficiency by U</w:t>
      </w:r>
      <w:r w:rsidR="00C52062" w:rsidRPr="005F120D">
        <w:rPr>
          <w:rFonts w:cstheme="minorHAnsi"/>
        </w:rPr>
        <w:t>pazila 201</w:t>
      </w:r>
      <w:r w:rsidR="00112457" w:rsidRPr="005F120D">
        <w:rPr>
          <w:rFonts w:cstheme="minorHAnsi"/>
        </w:rPr>
        <w:t>5</w:t>
      </w:r>
      <w:bookmarkEnd w:id="411"/>
    </w:p>
    <w:p w:rsidR="00CD4FFD" w:rsidRPr="005F120D" w:rsidRDefault="00CD4FFD" w:rsidP="00C437AA">
      <w:pPr>
        <w:spacing w:before="40" w:after="40" w:line="276" w:lineRule="auto"/>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5530850" cy="7372350"/>
            <wp:effectExtent l="38100" t="19050" r="12700" b="19050"/>
            <wp:docPr id="1155" name="Picture 6" descr="C:\Users\user\Downloads\5Coefficient of effeciency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5Coefficient of effeciency2015.png"/>
                    <pic:cNvPicPr>
                      <a:picLocks noChangeAspect="1" noChangeArrowheads="1"/>
                    </pic:cNvPicPr>
                  </pic:nvPicPr>
                  <pic:blipFill>
                    <a:blip r:embed="rId51"/>
                    <a:srcRect/>
                    <a:stretch>
                      <a:fillRect/>
                    </a:stretch>
                  </pic:blipFill>
                  <pic:spPr bwMode="auto">
                    <a:xfrm>
                      <a:off x="0" y="0"/>
                      <a:ext cx="5531309" cy="7372962"/>
                    </a:xfrm>
                    <a:prstGeom prst="rect">
                      <a:avLst/>
                    </a:prstGeom>
                    <a:noFill/>
                    <a:ln w="22225" cmpd="dbl">
                      <a:solidFill>
                        <a:schemeClr val="accent6">
                          <a:lumMod val="50000"/>
                        </a:schemeClr>
                      </a:solidFill>
                      <a:miter lim="800000"/>
                      <a:headEnd/>
                      <a:tailEnd/>
                    </a:ln>
                  </pic:spPr>
                </pic:pic>
              </a:graphicData>
            </a:graphic>
          </wp:inline>
        </w:drawing>
      </w:r>
    </w:p>
    <w:p w:rsidR="007B521A" w:rsidRPr="005F120D" w:rsidRDefault="00F83E43" w:rsidP="00C437AA">
      <w:pPr>
        <w:spacing w:before="40" w:after="40" w:line="276" w:lineRule="auto"/>
        <w:rPr>
          <w:rFonts w:asciiTheme="minorHAnsi" w:hAnsiTheme="minorHAnsi" w:cstheme="minorHAnsi"/>
          <w:color w:val="FF0000"/>
        </w:rPr>
      </w:pPr>
      <w:r>
        <w:rPr>
          <w:rFonts w:asciiTheme="minorHAnsi" w:hAnsiTheme="minorHAnsi" w:cstheme="minorHAnsi"/>
          <w:b/>
          <w:sz w:val="16"/>
          <w:szCs w:val="16"/>
        </w:rPr>
        <w:t xml:space="preserve">    </w:t>
      </w:r>
      <w:r w:rsidR="007B521A" w:rsidRPr="005F120D">
        <w:rPr>
          <w:rFonts w:asciiTheme="minorHAnsi" w:hAnsiTheme="minorHAnsi" w:cstheme="minorHAnsi"/>
          <w:b/>
          <w:sz w:val="16"/>
          <w:szCs w:val="16"/>
        </w:rPr>
        <w:t>Source: APSC 2015</w:t>
      </w:r>
    </w:p>
    <w:p w:rsidR="001A0375" w:rsidRPr="005F120D" w:rsidRDefault="001A0375" w:rsidP="00C437AA">
      <w:pPr>
        <w:pStyle w:val="ListBullet1"/>
        <w:spacing w:before="240" w:line="276" w:lineRule="auto"/>
        <w:rPr>
          <w:rFonts w:asciiTheme="minorHAnsi" w:hAnsiTheme="minorHAnsi" w:cstheme="minorHAnsi"/>
          <w:b/>
          <w:color w:val="FF0000"/>
          <w:sz w:val="16"/>
          <w:szCs w:val="16"/>
        </w:rPr>
      </w:pPr>
    </w:p>
    <w:p w:rsidR="00C615DC" w:rsidRPr="005F120D" w:rsidRDefault="0052554B" w:rsidP="00C437AA">
      <w:pPr>
        <w:pStyle w:val="Heading4"/>
        <w:spacing w:line="276" w:lineRule="auto"/>
        <w:rPr>
          <w:rFonts w:asciiTheme="minorHAnsi" w:hAnsiTheme="minorHAnsi" w:cstheme="minorHAnsi"/>
          <w:b/>
          <w:color w:val="008000"/>
        </w:rPr>
      </w:pPr>
      <w:r w:rsidRPr="005F120D">
        <w:rPr>
          <w:rFonts w:asciiTheme="minorHAnsi" w:hAnsiTheme="minorHAnsi" w:cstheme="minorHAnsi"/>
          <w:b/>
          <w:color w:val="008000"/>
        </w:rPr>
        <w:lastRenderedPageBreak/>
        <w:t>PSQL</w:t>
      </w:r>
      <w:r w:rsidR="00F83E43">
        <w:rPr>
          <w:rFonts w:asciiTheme="minorHAnsi" w:hAnsiTheme="minorHAnsi" w:cstheme="minorHAnsi"/>
          <w:b/>
          <w:color w:val="008000"/>
        </w:rPr>
        <w:t xml:space="preserve"> </w:t>
      </w:r>
      <w:r w:rsidR="00BA595F" w:rsidRPr="005F120D">
        <w:rPr>
          <w:rFonts w:asciiTheme="minorHAnsi" w:hAnsiTheme="minorHAnsi" w:cstheme="minorHAnsi"/>
          <w:b/>
          <w:color w:val="008000"/>
        </w:rPr>
        <w:t>Based Composite I</w:t>
      </w:r>
      <w:r w:rsidR="00C615DC" w:rsidRPr="005F120D">
        <w:rPr>
          <w:rFonts w:asciiTheme="minorHAnsi" w:hAnsiTheme="minorHAnsi" w:cstheme="minorHAnsi"/>
          <w:b/>
          <w:color w:val="008000"/>
        </w:rPr>
        <w:t>ndicators</w:t>
      </w:r>
    </w:p>
    <w:p w:rsidR="00974D89" w:rsidRPr="005F120D" w:rsidRDefault="00974D89" w:rsidP="00C437AA">
      <w:pPr>
        <w:spacing w:before="240" w:line="276" w:lineRule="auto"/>
        <w:rPr>
          <w:rFonts w:asciiTheme="minorHAnsi" w:hAnsiTheme="minorHAnsi" w:cstheme="minorHAnsi"/>
        </w:rPr>
      </w:pPr>
      <w:r w:rsidRPr="005F120D">
        <w:rPr>
          <w:rFonts w:asciiTheme="minorHAnsi" w:hAnsiTheme="minorHAnsi" w:cstheme="minorHAnsi"/>
        </w:rPr>
        <w:t xml:space="preserve">The PSQL based composite indicator </w:t>
      </w:r>
      <w:r w:rsidRPr="005F120D">
        <w:rPr>
          <w:rFonts w:asciiTheme="minorHAnsi" w:hAnsiTheme="minorHAnsi" w:cstheme="minorHAnsi"/>
          <w:u w:val="single"/>
        </w:rPr>
        <w:t>KPI 15</w:t>
      </w:r>
      <w:r w:rsidRPr="005F120D">
        <w:rPr>
          <w:rFonts w:asciiTheme="minorHAnsi" w:hAnsiTheme="minorHAnsi" w:cstheme="minorHAnsi"/>
        </w:rPr>
        <w:t xml:space="preserve"> is intended to measure the percentage of schools that meet the three out of four PSQL indicators (see below Figure 3.29): </w:t>
      </w:r>
    </w:p>
    <w:p w:rsidR="00974D89" w:rsidRPr="005F120D" w:rsidRDefault="00974D89" w:rsidP="00C437AA">
      <w:pPr>
        <w:numPr>
          <w:ilvl w:val="0"/>
          <w:numId w:val="44"/>
        </w:numPr>
        <w:spacing w:after="200" w:line="276" w:lineRule="auto"/>
        <w:contextualSpacing/>
        <w:rPr>
          <w:rFonts w:asciiTheme="minorHAnsi" w:hAnsiTheme="minorHAnsi" w:cstheme="minorHAnsi"/>
        </w:rPr>
      </w:pPr>
      <w:r w:rsidRPr="005F120D">
        <w:rPr>
          <w:rFonts w:asciiTheme="minorHAnsi" w:hAnsiTheme="minorHAnsi" w:cstheme="minorHAnsi"/>
        </w:rPr>
        <w:t xml:space="preserve">Separate Girls’ toilets (PSQL previous 5/revised 8); </w:t>
      </w:r>
    </w:p>
    <w:p w:rsidR="00974D89" w:rsidRPr="005F120D" w:rsidRDefault="00974D89" w:rsidP="00C437AA">
      <w:pPr>
        <w:numPr>
          <w:ilvl w:val="0"/>
          <w:numId w:val="44"/>
        </w:numPr>
        <w:spacing w:after="200" w:line="276" w:lineRule="auto"/>
        <w:contextualSpacing/>
        <w:rPr>
          <w:rFonts w:asciiTheme="minorHAnsi" w:hAnsiTheme="minorHAnsi" w:cstheme="minorHAnsi"/>
        </w:rPr>
      </w:pPr>
      <w:r w:rsidRPr="005F120D">
        <w:rPr>
          <w:rFonts w:asciiTheme="minorHAnsi" w:hAnsiTheme="minorHAnsi" w:cstheme="minorHAnsi"/>
        </w:rPr>
        <w:t>Safe and functioning water sources at school (PSQL previous 7/ revised 9);</w:t>
      </w:r>
    </w:p>
    <w:p w:rsidR="00974D89" w:rsidRPr="005F120D" w:rsidRDefault="00974D89" w:rsidP="00C437AA">
      <w:pPr>
        <w:numPr>
          <w:ilvl w:val="0"/>
          <w:numId w:val="44"/>
        </w:numPr>
        <w:spacing w:after="200" w:line="276" w:lineRule="auto"/>
        <w:contextualSpacing/>
        <w:rPr>
          <w:rFonts w:asciiTheme="minorHAnsi" w:hAnsiTheme="minorHAnsi" w:cstheme="minorHAnsi"/>
        </w:rPr>
      </w:pPr>
      <w:r w:rsidRPr="005F120D">
        <w:rPr>
          <w:rFonts w:asciiTheme="minorHAnsi" w:hAnsiTheme="minorHAnsi" w:cstheme="minorHAnsi"/>
        </w:rPr>
        <w:t xml:space="preserve">SCR (Student Classroom Ratio) (PSQL previous 11/ revised 10); and </w:t>
      </w:r>
    </w:p>
    <w:p w:rsidR="00974D89" w:rsidRPr="005F120D" w:rsidRDefault="00974D89" w:rsidP="00C437AA">
      <w:pPr>
        <w:numPr>
          <w:ilvl w:val="0"/>
          <w:numId w:val="44"/>
        </w:numPr>
        <w:spacing w:before="240" w:after="200" w:line="276" w:lineRule="auto"/>
        <w:contextualSpacing/>
        <w:rPr>
          <w:rFonts w:asciiTheme="minorHAnsi" w:hAnsiTheme="minorHAnsi" w:cstheme="minorHAnsi"/>
        </w:rPr>
      </w:pPr>
      <w:r w:rsidRPr="005F120D">
        <w:rPr>
          <w:rFonts w:asciiTheme="minorHAnsi" w:hAnsiTheme="minorHAnsi" w:cstheme="minorHAnsi"/>
        </w:rPr>
        <w:t>STR (Student Teacher Ratio) (PSQL previous 16/ revised 14)</w:t>
      </w:r>
    </w:p>
    <w:p w:rsidR="00C1511E" w:rsidRPr="005F120D" w:rsidRDefault="00974D89" w:rsidP="00C437AA">
      <w:pPr>
        <w:spacing w:before="480" w:line="276" w:lineRule="auto"/>
        <w:jc w:val="both"/>
        <w:rPr>
          <w:rFonts w:asciiTheme="minorHAnsi" w:hAnsiTheme="minorHAnsi" w:cstheme="minorHAnsi"/>
        </w:rPr>
      </w:pPr>
      <w:r w:rsidRPr="005F120D">
        <w:rPr>
          <w:rFonts w:asciiTheme="minorHAnsi" w:hAnsiTheme="minorHAnsi" w:cstheme="minorHAnsi"/>
        </w:rPr>
        <w:t xml:space="preserve">In 2015, </w:t>
      </w:r>
      <w:r w:rsidR="003338B0" w:rsidRPr="005F120D">
        <w:rPr>
          <w:rFonts w:asciiTheme="minorHAnsi" w:hAnsiTheme="minorHAnsi" w:cstheme="minorHAnsi"/>
        </w:rPr>
        <w:t>29.3</w:t>
      </w:r>
      <w:r w:rsidR="0052554B" w:rsidRPr="005F120D">
        <w:rPr>
          <w:rFonts w:asciiTheme="minorHAnsi" w:hAnsiTheme="minorHAnsi" w:cstheme="minorHAnsi"/>
        </w:rPr>
        <w:t>% of</w:t>
      </w:r>
      <w:r w:rsidRPr="005F120D">
        <w:rPr>
          <w:rFonts w:asciiTheme="minorHAnsi" w:hAnsiTheme="minorHAnsi" w:cstheme="minorHAnsi"/>
        </w:rPr>
        <w:t xml:space="preserve"> GPS/NNPS</w:t>
      </w:r>
      <w:r w:rsidR="00BE0F83" w:rsidRPr="005F120D">
        <w:rPr>
          <w:rFonts w:asciiTheme="minorHAnsi" w:hAnsiTheme="minorHAnsi" w:cstheme="minorHAnsi"/>
        </w:rPr>
        <w:t xml:space="preserve"> (31.6% all types)</w:t>
      </w:r>
      <w:r w:rsidRPr="005F120D">
        <w:rPr>
          <w:rFonts w:asciiTheme="minorHAnsi" w:hAnsiTheme="minorHAnsi" w:cstheme="minorHAnsi"/>
        </w:rPr>
        <w:t xml:space="preserve"> schools nationwide met three out of the four PSQLs, up from 24% in 2013 and 28% in 2014 respectively.  The value of this KPI increased 1</w:t>
      </w:r>
      <w:r w:rsidR="003338B0" w:rsidRPr="005F120D">
        <w:rPr>
          <w:rFonts w:asciiTheme="minorHAnsi" w:hAnsiTheme="minorHAnsi" w:cstheme="minorHAnsi"/>
        </w:rPr>
        <w:t>2</w:t>
      </w:r>
      <w:r w:rsidRPr="005F120D">
        <w:rPr>
          <w:rFonts w:asciiTheme="minorHAnsi" w:hAnsiTheme="minorHAnsi" w:cstheme="minorHAnsi"/>
        </w:rPr>
        <w:t xml:space="preserve"> percentage points in 2015 compared to</w:t>
      </w:r>
      <w:r w:rsidR="000C3019" w:rsidRPr="005F120D">
        <w:rPr>
          <w:rFonts w:asciiTheme="minorHAnsi" w:hAnsiTheme="minorHAnsi" w:cstheme="minorHAnsi"/>
        </w:rPr>
        <w:t xml:space="preserve"> the</w:t>
      </w:r>
      <w:r w:rsidRPr="005F120D">
        <w:rPr>
          <w:rFonts w:asciiTheme="minorHAnsi" w:hAnsiTheme="minorHAnsi" w:cstheme="minorHAnsi"/>
        </w:rPr>
        <w:t xml:space="preserve"> PEDP3 baseline (201</w:t>
      </w:r>
      <w:r w:rsidR="00A16A02" w:rsidRPr="005F120D">
        <w:rPr>
          <w:rFonts w:asciiTheme="minorHAnsi" w:hAnsiTheme="minorHAnsi" w:cstheme="minorHAnsi"/>
        </w:rPr>
        <w:t xml:space="preserve">0). </w:t>
      </w:r>
      <w:r w:rsidR="007C1056" w:rsidRPr="005F120D">
        <w:rPr>
          <w:rFonts w:asciiTheme="minorHAnsi" w:hAnsiTheme="minorHAnsi" w:cstheme="minorHAnsi"/>
        </w:rPr>
        <w:t>As Figure 3.32</w:t>
      </w:r>
      <w:r w:rsidRPr="005F120D">
        <w:rPr>
          <w:rFonts w:asciiTheme="minorHAnsi" w:hAnsiTheme="minorHAnsi" w:cstheme="minorHAnsi"/>
        </w:rPr>
        <w:t xml:space="preserve"> below shows,</w:t>
      </w:r>
      <w:r w:rsidR="007C1056" w:rsidRPr="005F120D">
        <w:rPr>
          <w:rFonts w:asciiTheme="minorHAnsi" w:hAnsiTheme="minorHAnsi" w:cstheme="minorHAnsi"/>
        </w:rPr>
        <w:t xml:space="preserve"> the majority of the schools (38</w:t>
      </w:r>
      <w:r w:rsidRPr="005F120D">
        <w:rPr>
          <w:rFonts w:asciiTheme="minorHAnsi" w:hAnsiTheme="minorHAnsi" w:cstheme="minorHAnsi"/>
        </w:rPr>
        <w:t>%) met 2 out of the 4 PSQLS.  Only 7% of the</w:t>
      </w:r>
      <w:r w:rsidR="007C1056" w:rsidRPr="005F120D">
        <w:rPr>
          <w:rFonts w:asciiTheme="minorHAnsi" w:hAnsiTheme="minorHAnsi" w:cstheme="minorHAnsi"/>
        </w:rPr>
        <w:t xml:space="preserve"> schools met all 4 PSQLs and 7</w:t>
      </w:r>
      <w:r w:rsidRPr="005F120D">
        <w:rPr>
          <w:rFonts w:asciiTheme="minorHAnsi" w:hAnsiTheme="minorHAnsi" w:cstheme="minorHAnsi"/>
        </w:rPr>
        <w:t>% (was</w:t>
      </w:r>
      <w:r w:rsidR="000C3019" w:rsidRPr="005F120D">
        <w:rPr>
          <w:rFonts w:asciiTheme="minorHAnsi" w:hAnsiTheme="minorHAnsi" w:cstheme="minorHAnsi"/>
        </w:rPr>
        <w:t xml:space="preserve"> 8% in 2014) of the schools</w:t>
      </w:r>
      <w:r w:rsidRPr="005F120D">
        <w:rPr>
          <w:rFonts w:asciiTheme="minorHAnsi" w:hAnsiTheme="minorHAnsi" w:cstheme="minorHAnsi"/>
        </w:rPr>
        <w:t xml:space="preserve"> did not meet any of the four PSQL standards. It is clearly evident that this indicator is improv</w:t>
      </w:r>
      <w:r w:rsidR="00A16A02" w:rsidRPr="005F120D">
        <w:rPr>
          <w:rFonts w:asciiTheme="minorHAnsi" w:hAnsiTheme="minorHAnsi" w:cstheme="minorHAnsi"/>
        </w:rPr>
        <w:t xml:space="preserve">ing </w:t>
      </w:r>
      <w:r w:rsidRPr="005F120D">
        <w:rPr>
          <w:rFonts w:asciiTheme="minorHAnsi" w:hAnsiTheme="minorHAnsi" w:cstheme="minorHAnsi"/>
        </w:rPr>
        <w:t>gradually but not as expected</w:t>
      </w:r>
      <w:r w:rsidR="00657CB1" w:rsidRPr="005F120D">
        <w:rPr>
          <w:rFonts w:asciiTheme="minorHAnsi" w:hAnsiTheme="minorHAnsi" w:cstheme="minorHAnsi"/>
        </w:rPr>
        <w:t>.</w:t>
      </w:r>
    </w:p>
    <w:p w:rsidR="00E203DC" w:rsidRPr="005F120D" w:rsidRDefault="00127448" w:rsidP="00C437AA">
      <w:pPr>
        <w:pStyle w:val="Caption"/>
        <w:spacing w:line="276" w:lineRule="auto"/>
        <w:rPr>
          <w:rFonts w:cstheme="minorHAnsi"/>
        </w:rPr>
      </w:pPr>
      <w:bookmarkStart w:id="412" w:name="_Ref387158788"/>
      <w:bookmarkStart w:id="413" w:name="_Toc462837441"/>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32</w:t>
      </w:r>
      <w:r w:rsidR="002E2ED5" w:rsidRPr="005F120D">
        <w:rPr>
          <w:rFonts w:cstheme="minorHAnsi"/>
        </w:rPr>
        <w:fldChar w:fldCharType="end"/>
      </w:r>
      <w:bookmarkEnd w:id="412"/>
      <w:r w:rsidR="006A7739" w:rsidRPr="005F120D">
        <w:rPr>
          <w:rFonts w:cstheme="minorHAnsi"/>
        </w:rPr>
        <w:t>:</w:t>
      </w:r>
      <w:r w:rsidR="00F83E43">
        <w:rPr>
          <w:rFonts w:cstheme="minorHAnsi"/>
        </w:rPr>
        <w:t xml:space="preserve"> </w:t>
      </w:r>
      <w:r w:rsidR="00E203DC" w:rsidRPr="005F120D">
        <w:rPr>
          <w:rFonts w:cstheme="minorHAnsi"/>
        </w:rPr>
        <w:t>GPS/NNPS Results on PSQL Composite Index 201</w:t>
      </w:r>
      <w:r w:rsidR="00C1511E" w:rsidRPr="005F120D">
        <w:rPr>
          <w:rFonts w:cstheme="minorHAnsi"/>
        </w:rPr>
        <w:t>5</w:t>
      </w:r>
      <w:bookmarkEnd w:id="413"/>
    </w:p>
    <w:p w:rsidR="00E203DC" w:rsidRPr="005F120D" w:rsidRDefault="00390C26" w:rsidP="00C437AA">
      <w:pPr>
        <w:spacing w:after="20" w:line="276" w:lineRule="auto"/>
        <w:ind w:left="360"/>
        <w:jc w:val="center"/>
        <w:rPr>
          <w:rFonts w:asciiTheme="minorHAnsi" w:hAnsiTheme="minorHAnsi" w:cstheme="minorHAnsi"/>
          <w:b/>
          <w:sz w:val="16"/>
          <w:szCs w:val="16"/>
        </w:rPr>
      </w:pPr>
      <w:r w:rsidRPr="005F120D">
        <w:rPr>
          <w:rFonts w:asciiTheme="minorHAnsi" w:hAnsiTheme="minorHAnsi" w:cstheme="minorHAnsi"/>
          <w:b/>
          <w:noProof/>
          <w:sz w:val="16"/>
          <w:szCs w:val="16"/>
          <w:lang w:eastAsia="en-US"/>
        </w:rPr>
        <w:drawing>
          <wp:inline distT="0" distB="0" distL="0" distR="0">
            <wp:extent cx="4572000" cy="2743200"/>
            <wp:effectExtent l="38100" t="1905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C0A87" w:rsidRPr="005F120D" w:rsidRDefault="00C1511E" w:rsidP="00C437AA">
      <w:pPr>
        <w:spacing w:after="20" w:line="276" w:lineRule="auto"/>
        <w:ind w:left="1080"/>
        <w:rPr>
          <w:rFonts w:asciiTheme="minorHAnsi" w:hAnsiTheme="minorHAnsi" w:cstheme="minorHAnsi"/>
          <w:b/>
          <w:sz w:val="16"/>
          <w:szCs w:val="16"/>
        </w:rPr>
      </w:pPr>
      <w:r w:rsidRPr="005F120D">
        <w:rPr>
          <w:rFonts w:asciiTheme="minorHAnsi" w:hAnsiTheme="minorHAnsi" w:cstheme="minorHAnsi"/>
          <w:b/>
          <w:sz w:val="16"/>
          <w:szCs w:val="16"/>
        </w:rPr>
        <w:t>Source: APSC 2015</w:t>
      </w:r>
    </w:p>
    <w:p w:rsidR="00E203DC" w:rsidRPr="005F120D" w:rsidRDefault="00974D89" w:rsidP="00C437AA">
      <w:pPr>
        <w:spacing w:before="240" w:line="276" w:lineRule="auto"/>
        <w:ind w:left="360"/>
        <w:jc w:val="both"/>
        <w:rPr>
          <w:rFonts w:asciiTheme="minorHAnsi" w:hAnsiTheme="minorHAnsi" w:cstheme="minorHAnsi"/>
        </w:rPr>
      </w:pPr>
      <w:r w:rsidRPr="005F120D">
        <w:rPr>
          <w:rFonts w:asciiTheme="minorHAnsi" w:hAnsiTheme="minorHAnsi" w:cstheme="minorHAnsi"/>
        </w:rPr>
        <w:t>Table 3.33 below disaggregates this KPI for school types.  The percentage of GPS and NNPS meeting 3 out of 4</w:t>
      </w:r>
      <w:r w:rsidR="007C1056" w:rsidRPr="005F120D">
        <w:rPr>
          <w:rFonts w:asciiTheme="minorHAnsi" w:hAnsiTheme="minorHAnsi" w:cstheme="minorHAnsi"/>
        </w:rPr>
        <w:t xml:space="preserve"> PSQLs is unexpectedly low at 25.5% and 20.8</w:t>
      </w:r>
      <w:r w:rsidRPr="005F120D">
        <w:rPr>
          <w:rFonts w:asciiTheme="minorHAnsi" w:hAnsiTheme="minorHAnsi" w:cstheme="minorHAnsi"/>
        </w:rPr>
        <w:t>%</w:t>
      </w:r>
      <w:r w:rsidR="000C3019" w:rsidRPr="005F120D">
        <w:rPr>
          <w:rFonts w:asciiTheme="minorHAnsi" w:hAnsiTheme="minorHAnsi" w:cstheme="minorHAnsi"/>
        </w:rPr>
        <w:t xml:space="preserve"> respect</w:t>
      </w:r>
      <w:r w:rsidR="003A2D5B" w:rsidRPr="005F120D">
        <w:rPr>
          <w:rFonts w:asciiTheme="minorHAnsi" w:hAnsiTheme="minorHAnsi" w:cstheme="minorHAnsi"/>
        </w:rPr>
        <w:t>ively</w:t>
      </w:r>
      <w:r w:rsidRPr="005F120D">
        <w:rPr>
          <w:rFonts w:asciiTheme="minorHAnsi" w:hAnsiTheme="minorHAnsi" w:cstheme="minorHAnsi"/>
        </w:rPr>
        <w:t>. On the other hand, Kindergarten, ROSC, BRAC and NGO schools and primary sect</w:t>
      </w:r>
      <w:r w:rsidR="00F83E43">
        <w:rPr>
          <w:rFonts w:asciiTheme="minorHAnsi" w:hAnsiTheme="minorHAnsi" w:cstheme="minorHAnsi"/>
        </w:rPr>
        <w:t>ions attached to high Madrasha</w:t>
      </w:r>
      <w:r w:rsidRPr="005F120D">
        <w:rPr>
          <w:rFonts w:asciiTheme="minorHAnsi" w:hAnsiTheme="minorHAnsi" w:cstheme="minorHAnsi"/>
        </w:rPr>
        <w:t xml:space="preserve"> scored well on this indicator.  The reasons for the underperformance of GPS and NNPS </w:t>
      </w:r>
      <w:r w:rsidR="0044339A" w:rsidRPr="005F120D">
        <w:rPr>
          <w:rFonts w:asciiTheme="minorHAnsi" w:hAnsiTheme="minorHAnsi" w:cstheme="minorHAnsi"/>
        </w:rPr>
        <w:t>may be the</w:t>
      </w:r>
      <w:r w:rsidRPr="005F120D">
        <w:rPr>
          <w:rFonts w:asciiTheme="minorHAnsi" w:hAnsiTheme="minorHAnsi" w:cstheme="minorHAnsi"/>
        </w:rPr>
        <w:t xml:space="preserve"> high student/classroom and student/teacher ratios</w:t>
      </w:r>
      <w:r w:rsidR="00E203DC" w:rsidRPr="005F120D">
        <w:rPr>
          <w:rFonts w:asciiTheme="minorHAnsi" w:hAnsiTheme="minorHAnsi" w:cstheme="minorHAnsi"/>
        </w:rPr>
        <w:t>.</w:t>
      </w:r>
    </w:p>
    <w:p w:rsidR="00EA356A" w:rsidRPr="005F120D" w:rsidRDefault="00EA356A" w:rsidP="00C437AA">
      <w:pPr>
        <w:spacing w:before="240" w:line="276" w:lineRule="auto"/>
        <w:ind w:left="360"/>
        <w:jc w:val="both"/>
        <w:rPr>
          <w:rFonts w:asciiTheme="minorHAnsi" w:hAnsiTheme="minorHAnsi" w:cstheme="minorHAnsi"/>
        </w:rPr>
      </w:pPr>
    </w:p>
    <w:p w:rsidR="00EA356A" w:rsidRPr="005F120D" w:rsidRDefault="00EA356A" w:rsidP="00C437AA">
      <w:pPr>
        <w:spacing w:before="240" w:line="276" w:lineRule="auto"/>
        <w:ind w:left="360"/>
        <w:jc w:val="both"/>
        <w:rPr>
          <w:rFonts w:asciiTheme="minorHAnsi" w:hAnsiTheme="minorHAnsi" w:cstheme="minorHAnsi"/>
        </w:rPr>
      </w:pPr>
    </w:p>
    <w:p w:rsidR="0044339A" w:rsidRPr="005F120D" w:rsidRDefault="0044339A" w:rsidP="00C437AA">
      <w:pPr>
        <w:spacing w:before="240" w:line="276" w:lineRule="auto"/>
        <w:ind w:left="360"/>
        <w:jc w:val="both"/>
        <w:rPr>
          <w:rFonts w:asciiTheme="minorHAnsi" w:hAnsiTheme="minorHAnsi" w:cstheme="minorHAnsi"/>
        </w:rPr>
      </w:pPr>
    </w:p>
    <w:p w:rsidR="00E203DC" w:rsidRPr="005F120D" w:rsidRDefault="00C135DB" w:rsidP="00C437AA">
      <w:pPr>
        <w:pStyle w:val="Caption"/>
        <w:spacing w:line="276" w:lineRule="auto"/>
        <w:rPr>
          <w:rFonts w:cstheme="minorHAnsi"/>
        </w:rPr>
      </w:pPr>
      <w:bookmarkStart w:id="414" w:name="_Ref387159352"/>
      <w:bookmarkStart w:id="415" w:name="_Toc462837289"/>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32</w:t>
      </w:r>
      <w:r w:rsidR="002E2ED5" w:rsidRPr="005F120D">
        <w:rPr>
          <w:rFonts w:cstheme="minorHAnsi"/>
        </w:rPr>
        <w:fldChar w:fldCharType="end"/>
      </w:r>
      <w:bookmarkEnd w:id="414"/>
      <w:r w:rsidR="006A7739" w:rsidRPr="005F120D">
        <w:rPr>
          <w:rFonts w:cstheme="minorHAnsi"/>
        </w:rPr>
        <w:t>:</w:t>
      </w:r>
      <w:r w:rsidR="00F83E43">
        <w:rPr>
          <w:rFonts w:cstheme="minorHAnsi"/>
        </w:rPr>
        <w:t xml:space="preserve"> </w:t>
      </w:r>
      <w:r w:rsidR="00E203DC" w:rsidRPr="005F120D">
        <w:rPr>
          <w:rFonts w:cstheme="minorHAnsi"/>
        </w:rPr>
        <w:t xml:space="preserve">Percentage of All Schools </w:t>
      </w:r>
      <w:r w:rsidR="003A2D5B" w:rsidRPr="005F120D">
        <w:rPr>
          <w:rFonts w:cstheme="minorHAnsi"/>
        </w:rPr>
        <w:t xml:space="preserve">that </w:t>
      </w:r>
      <w:r w:rsidR="00E203DC" w:rsidRPr="005F120D">
        <w:rPr>
          <w:rFonts w:cstheme="minorHAnsi"/>
        </w:rPr>
        <w:t xml:space="preserve">Met 3 out </w:t>
      </w:r>
      <w:r w:rsidR="006C5166" w:rsidRPr="005F120D">
        <w:rPr>
          <w:rFonts w:cstheme="minorHAnsi"/>
        </w:rPr>
        <w:t xml:space="preserve">of </w:t>
      </w:r>
      <w:r w:rsidR="003A2D5B" w:rsidRPr="005F120D">
        <w:rPr>
          <w:rFonts w:cstheme="minorHAnsi"/>
        </w:rPr>
        <w:t>4 PSQLs by School Type,</w:t>
      </w:r>
      <w:r w:rsidR="00E203DC" w:rsidRPr="005F120D">
        <w:rPr>
          <w:rFonts w:cstheme="minorHAnsi"/>
        </w:rPr>
        <w:t xml:space="preserve"> 201</w:t>
      </w:r>
      <w:r w:rsidR="00657CB1" w:rsidRPr="005F120D">
        <w:rPr>
          <w:rFonts w:cstheme="minorHAnsi"/>
        </w:rPr>
        <w:t>5</w:t>
      </w:r>
      <w:bookmarkEnd w:id="415"/>
    </w:p>
    <w:tbl>
      <w:tblPr>
        <w:tblStyle w:val="LightGrid-Accent3"/>
        <w:tblW w:w="8402" w:type="dxa"/>
        <w:jc w:val="center"/>
        <w:tblLook w:val="04A0"/>
      </w:tblPr>
      <w:tblGrid>
        <w:gridCol w:w="1091"/>
        <w:gridCol w:w="5982"/>
        <w:gridCol w:w="1329"/>
      </w:tblGrid>
      <w:tr w:rsidR="00E203DC" w:rsidRPr="005F120D" w:rsidTr="007D780F">
        <w:trPr>
          <w:cnfStyle w:val="100000000000"/>
          <w:trHeight w:val="592"/>
          <w:jc w:val="center"/>
        </w:trPr>
        <w:tc>
          <w:tcPr>
            <w:cnfStyle w:val="001000000000"/>
            <w:tcW w:w="1091" w:type="dxa"/>
            <w:noWrap/>
            <w:hideMark/>
          </w:tcPr>
          <w:p w:rsidR="00E203DC" w:rsidRPr="005F120D" w:rsidRDefault="00E203DC" w:rsidP="00C437AA">
            <w:pPr>
              <w:spacing w:after="0" w:line="276" w:lineRule="auto"/>
              <w:jc w:val="center"/>
              <w:rPr>
                <w:rFonts w:asciiTheme="minorHAnsi" w:hAnsiTheme="minorHAnsi" w:cstheme="minorHAnsi"/>
                <w:sz w:val="21"/>
                <w:szCs w:val="22"/>
                <w:lang w:eastAsia="ja-JP"/>
              </w:rPr>
            </w:pPr>
            <w:r w:rsidRPr="005F120D">
              <w:rPr>
                <w:rFonts w:asciiTheme="minorHAnsi" w:hAnsiTheme="minorHAnsi" w:cstheme="minorHAnsi"/>
                <w:sz w:val="21"/>
              </w:rPr>
              <w:br w:type="page"/>
            </w:r>
            <w:r w:rsidRPr="005F120D">
              <w:rPr>
                <w:rFonts w:asciiTheme="minorHAnsi" w:hAnsiTheme="minorHAnsi" w:cstheme="minorHAnsi"/>
                <w:sz w:val="21"/>
                <w:szCs w:val="22"/>
                <w:lang w:eastAsia="ja-JP"/>
              </w:rPr>
              <w:t>S</w:t>
            </w:r>
            <w:r w:rsidR="00E65675" w:rsidRPr="005F120D">
              <w:rPr>
                <w:rFonts w:asciiTheme="minorHAnsi" w:hAnsiTheme="minorHAnsi" w:cstheme="minorHAnsi"/>
                <w:sz w:val="21"/>
                <w:szCs w:val="22"/>
                <w:lang w:eastAsia="ja-JP"/>
              </w:rPr>
              <w:t xml:space="preserve">L. </w:t>
            </w:r>
            <w:r w:rsidRPr="005F120D">
              <w:rPr>
                <w:rFonts w:asciiTheme="minorHAnsi" w:hAnsiTheme="minorHAnsi" w:cstheme="minorHAnsi"/>
                <w:sz w:val="21"/>
                <w:szCs w:val="22"/>
                <w:lang w:eastAsia="ja-JP"/>
              </w:rPr>
              <w:t>N</w:t>
            </w:r>
            <w:r w:rsidR="00E65675" w:rsidRPr="005F120D">
              <w:rPr>
                <w:rFonts w:asciiTheme="minorHAnsi" w:hAnsiTheme="minorHAnsi" w:cstheme="minorHAnsi"/>
                <w:sz w:val="21"/>
                <w:szCs w:val="22"/>
                <w:lang w:eastAsia="ja-JP"/>
              </w:rPr>
              <w:t>o.</w:t>
            </w:r>
          </w:p>
        </w:tc>
        <w:tc>
          <w:tcPr>
            <w:tcW w:w="5982" w:type="dxa"/>
            <w:noWrap/>
            <w:hideMark/>
          </w:tcPr>
          <w:p w:rsidR="00E203DC" w:rsidRPr="005F120D" w:rsidRDefault="00E203DC" w:rsidP="00C437AA">
            <w:pPr>
              <w:spacing w:after="0" w:line="276" w:lineRule="auto"/>
              <w:jc w:val="center"/>
              <w:cnfStyle w:val="1000000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School Type</w:t>
            </w:r>
          </w:p>
        </w:tc>
        <w:tc>
          <w:tcPr>
            <w:tcW w:w="1329" w:type="dxa"/>
            <w:noWrap/>
            <w:hideMark/>
          </w:tcPr>
          <w:p w:rsidR="00E203DC" w:rsidRPr="005F120D" w:rsidRDefault="0013195D" w:rsidP="00C437AA">
            <w:pPr>
              <w:spacing w:after="0" w:line="276" w:lineRule="auto"/>
              <w:jc w:val="center"/>
              <w:cnfStyle w:val="1000000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 xml:space="preserve">% of </w:t>
            </w:r>
            <w:r w:rsidR="00E203DC" w:rsidRPr="005F120D">
              <w:rPr>
                <w:rFonts w:asciiTheme="minorHAnsi" w:hAnsiTheme="minorHAnsi" w:cstheme="minorHAnsi"/>
                <w:sz w:val="21"/>
                <w:szCs w:val="22"/>
                <w:lang w:eastAsia="ja-JP"/>
              </w:rPr>
              <w:t>Schools</w:t>
            </w:r>
          </w:p>
        </w:tc>
      </w:tr>
      <w:tr w:rsidR="00E203DC" w:rsidRPr="005F120D" w:rsidTr="007D780F">
        <w:trPr>
          <w:cnfStyle w:val="000000100000"/>
          <w:trHeight w:val="310"/>
          <w:jc w:val="center"/>
        </w:trPr>
        <w:tc>
          <w:tcPr>
            <w:cnfStyle w:val="001000000000"/>
            <w:tcW w:w="1091" w:type="dxa"/>
            <w:hideMark/>
          </w:tcPr>
          <w:p w:rsidR="00E203DC" w:rsidRPr="005F120D" w:rsidRDefault="00E203DC"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01</w:t>
            </w:r>
          </w:p>
        </w:tc>
        <w:tc>
          <w:tcPr>
            <w:tcW w:w="5982" w:type="dxa"/>
            <w:hideMark/>
          </w:tcPr>
          <w:p w:rsidR="00E203DC" w:rsidRPr="005F120D" w:rsidRDefault="00E203DC" w:rsidP="00C437AA">
            <w:pPr>
              <w:spacing w:after="0" w:line="276" w:lineRule="auto"/>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GPS</w:t>
            </w:r>
          </w:p>
        </w:tc>
        <w:tc>
          <w:tcPr>
            <w:tcW w:w="1329" w:type="dxa"/>
            <w:hideMark/>
          </w:tcPr>
          <w:p w:rsidR="00E203DC" w:rsidRPr="005F120D" w:rsidRDefault="008211D5" w:rsidP="00C437AA">
            <w:pPr>
              <w:spacing w:after="0" w:line="276" w:lineRule="auto"/>
              <w:jc w:val="right"/>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25.5</w:t>
            </w:r>
            <w:r w:rsidR="00E203DC" w:rsidRPr="005F120D">
              <w:rPr>
                <w:rFonts w:asciiTheme="minorHAnsi" w:hAnsiTheme="minorHAnsi" w:cstheme="minorHAnsi"/>
                <w:sz w:val="21"/>
                <w:szCs w:val="22"/>
                <w:lang w:eastAsia="ja-JP"/>
              </w:rPr>
              <w:t>%</w:t>
            </w:r>
          </w:p>
        </w:tc>
      </w:tr>
      <w:tr w:rsidR="00E203DC" w:rsidRPr="005F120D" w:rsidTr="007D780F">
        <w:trPr>
          <w:cnfStyle w:val="000000010000"/>
          <w:trHeight w:val="408"/>
          <w:jc w:val="center"/>
        </w:trPr>
        <w:tc>
          <w:tcPr>
            <w:cnfStyle w:val="001000000000"/>
            <w:tcW w:w="1091" w:type="dxa"/>
            <w:hideMark/>
          </w:tcPr>
          <w:p w:rsidR="00E203DC" w:rsidRPr="005F120D" w:rsidRDefault="00E203DC"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02</w:t>
            </w:r>
          </w:p>
        </w:tc>
        <w:tc>
          <w:tcPr>
            <w:tcW w:w="5982" w:type="dxa"/>
            <w:hideMark/>
          </w:tcPr>
          <w:p w:rsidR="00E203DC" w:rsidRPr="005F120D" w:rsidRDefault="00E203DC" w:rsidP="00C437AA">
            <w:pPr>
              <w:spacing w:after="0" w:line="276" w:lineRule="auto"/>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NNPS (former RNGPS)</w:t>
            </w:r>
          </w:p>
        </w:tc>
        <w:tc>
          <w:tcPr>
            <w:tcW w:w="1329" w:type="dxa"/>
            <w:hideMark/>
          </w:tcPr>
          <w:p w:rsidR="00E203DC" w:rsidRPr="005F120D" w:rsidRDefault="008211D5" w:rsidP="00C437AA">
            <w:pPr>
              <w:spacing w:after="0" w:line="276" w:lineRule="auto"/>
              <w:jc w:val="right"/>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20.8</w:t>
            </w:r>
            <w:r w:rsidR="00E203DC" w:rsidRPr="005F120D">
              <w:rPr>
                <w:rFonts w:asciiTheme="minorHAnsi" w:hAnsiTheme="minorHAnsi" w:cstheme="minorHAnsi"/>
                <w:sz w:val="21"/>
                <w:szCs w:val="22"/>
                <w:lang w:eastAsia="ja-JP"/>
              </w:rPr>
              <w:t>%</w:t>
            </w:r>
          </w:p>
        </w:tc>
      </w:tr>
      <w:tr w:rsidR="007D780F" w:rsidRPr="005F120D" w:rsidTr="007D780F">
        <w:trPr>
          <w:cnfStyle w:val="000000100000"/>
          <w:trHeight w:val="295"/>
          <w:jc w:val="center"/>
        </w:trPr>
        <w:tc>
          <w:tcPr>
            <w:cnfStyle w:val="001000000000"/>
            <w:tcW w:w="1091" w:type="dxa"/>
            <w:hideMark/>
          </w:tcPr>
          <w:p w:rsidR="007D780F" w:rsidRPr="005F120D" w:rsidRDefault="007D780F"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03</w:t>
            </w:r>
          </w:p>
        </w:tc>
        <w:tc>
          <w:tcPr>
            <w:tcW w:w="5982" w:type="dxa"/>
            <w:hideMark/>
          </w:tcPr>
          <w:p w:rsidR="007D780F" w:rsidRPr="005F120D" w:rsidRDefault="007D780F" w:rsidP="00C437AA">
            <w:pPr>
              <w:spacing w:after="0" w:line="276" w:lineRule="auto"/>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RNGPS</w:t>
            </w:r>
          </w:p>
        </w:tc>
        <w:tc>
          <w:tcPr>
            <w:tcW w:w="1329" w:type="dxa"/>
            <w:hideMark/>
          </w:tcPr>
          <w:p w:rsidR="007D780F" w:rsidRPr="005F120D" w:rsidRDefault="008211D5" w:rsidP="00C437AA">
            <w:pPr>
              <w:spacing w:after="0" w:line="276" w:lineRule="auto"/>
              <w:jc w:val="right"/>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24.1</w:t>
            </w:r>
            <w:r w:rsidR="007D780F" w:rsidRPr="005F120D">
              <w:rPr>
                <w:rFonts w:asciiTheme="minorHAnsi" w:hAnsiTheme="minorHAnsi" w:cstheme="minorHAnsi"/>
                <w:sz w:val="21"/>
                <w:szCs w:val="22"/>
                <w:lang w:eastAsia="ja-JP"/>
              </w:rPr>
              <w:t>%</w:t>
            </w:r>
          </w:p>
        </w:tc>
      </w:tr>
      <w:tr w:rsidR="00E65675" w:rsidRPr="005F120D" w:rsidTr="007D780F">
        <w:trPr>
          <w:cnfStyle w:val="000000010000"/>
          <w:trHeight w:val="310"/>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04</w:t>
            </w:r>
          </w:p>
        </w:tc>
        <w:tc>
          <w:tcPr>
            <w:tcW w:w="5982" w:type="dxa"/>
            <w:hideMark/>
          </w:tcPr>
          <w:p w:rsidR="00E65675" w:rsidRPr="005F120D" w:rsidRDefault="00E65675" w:rsidP="00C437AA">
            <w:pPr>
              <w:spacing w:after="0" w:line="276" w:lineRule="auto"/>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NRNGPS</w:t>
            </w:r>
          </w:p>
        </w:tc>
        <w:tc>
          <w:tcPr>
            <w:tcW w:w="1329" w:type="dxa"/>
            <w:hideMark/>
          </w:tcPr>
          <w:p w:rsidR="00E65675" w:rsidRPr="005F120D" w:rsidRDefault="0052230D" w:rsidP="00C437AA">
            <w:pPr>
              <w:spacing w:after="0" w:line="276" w:lineRule="auto"/>
              <w:jc w:val="right"/>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2</w:t>
            </w:r>
            <w:r w:rsidR="00657CB1" w:rsidRPr="005F120D">
              <w:rPr>
                <w:rFonts w:asciiTheme="minorHAnsi" w:hAnsiTheme="minorHAnsi" w:cstheme="minorHAnsi"/>
                <w:sz w:val="21"/>
                <w:szCs w:val="22"/>
                <w:lang w:eastAsia="ja-JP"/>
              </w:rPr>
              <w:t>2</w:t>
            </w:r>
            <w:r w:rsidRPr="005F120D">
              <w:rPr>
                <w:rFonts w:asciiTheme="minorHAnsi" w:hAnsiTheme="minorHAnsi" w:cstheme="minorHAnsi"/>
                <w:sz w:val="21"/>
                <w:szCs w:val="22"/>
                <w:lang w:eastAsia="ja-JP"/>
              </w:rPr>
              <w:t>%</w:t>
            </w:r>
          </w:p>
        </w:tc>
      </w:tr>
      <w:tr w:rsidR="00E65675" w:rsidRPr="005F120D" w:rsidTr="007D780F">
        <w:trPr>
          <w:cnfStyle w:val="000000100000"/>
          <w:trHeight w:val="310"/>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05</w:t>
            </w:r>
          </w:p>
        </w:tc>
        <w:tc>
          <w:tcPr>
            <w:tcW w:w="5982" w:type="dxa"/>
            <w:hideMark/>
          </w:tcPr>
          <w:p w:rsidR="00E65675" w:rsidRPr="005F120D" w:rsidRDefault="00E65675" w:rsidP="00C437AA">
            <w:pPr>
              <w:spacing w:after="0" w:line="276" w:lineRule="auto"/>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Non Registered Non Gov. Primary School (NRNGPS)</w:t>
            </w:r>
          </w:p>
        </w:tc>
        <w:tc>
          <w:tcPr>
            <w:tcW w:w="1329" w:type="dxa"/>
            <w:hideMark/>
          </w:tcPr>
          <w:p w:rsidR="00E65675" w:rsidRPr="005F120D" w:rsidRDefault="00657CB1" w:rsidP="00C437AA">
            <w:pPr>
              <w:spacing w:after="0" w:line="276" w:lineRule="auto"/>
              <w:jc w:val="right"/>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21</w:t>
            </w:r>
            <w:r w:rsidR="008211D5" w:rsidRPr="005F120D">
              <w:rPr>
                <w:rFonts w:asciiTheme="minorHAnsi" w:hAnsiTheme="minorHAnsi" w:cstheme="minorHAnsi"/>
                <w:sz w:val="21"/>
                <w:szCs w:val="22"/>
                <w:lang w:eastAsia="ja-JP"/>
              </w:rPr>
              <w:t>.1</w:t>
            </w:r>
            <w:r w:rsidR="00E65675" w:rsidRPr="005F120D">
              <w:rPr>
                <w:rFonts w:asciiTheme="minorHAnsi" w:hAnsiTheme="minorHAnsi" w:cstheme="minorHAnsi"/>
                <w:sz w:val="21"/>
                <w:szCs w:val="22"/>
                <w:lang w:eastAsia="ja-JP"/>
              </w:rPr>
              <w:t>%</w:t>
            </w:r>
          </w:p>
        </w:tc>
      </w:tr>
      <w:tr w:rsidR="00E65675" w:rsidRPr="005F120D" w:rsidTr="007D780F">
        <w:trPr>
          <w:cnfStyle w:val="000000010000"/>
          <w:trHeight w:val="310"/>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06</w:t>
            </w:r>
          </w:p>
        </w:tc>
        <w:tc>
          <w:tcPr>
            <w:tcW w:w="5982" w:type="dxa"/>
            <w:hideMark/>
          </w:tcPr>
          <w:p w:rsidR="00E65675" w:rsidRPr="005F120D" w:rsidRDefault="00E65675" w:rsidP="00C437AA">
            <w:pPr>
              <w:spacing w:after="0" w:line="276" w:lineRule="auto"/>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Experimental schools</w:t>
            </w:r>
          </w:p>
        </w:tc>
        <w:tc>
          <w:tcPr>
            <w:tcW w:w="1329" w:type="dxa"/>
            <w:hideMark/>
          </w:tcPr>
          <w:p w:rsidR="00E65675" w:rsidRPr="005F120D" w:rsidRDefault="00657CB1" w:rsidP="00C437AA">
            <w:pPr>
              <w:spacing w:after="0" w:line="276" w:lineRule="auto"/>
              <w:jc w:val="right"/>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4</w:t>
            </w:r>
            <w:r w:rsidR="008211D5" w:rsidRPr="005F120D">
              <w:rPr>
                <w:rFonts w:asciiTheme="minorHAnsi" w:hAnsiTheme="minorHAnsi" w:cstheme="minorHAnsi"/>
                <w:sz w:val="21"/>
                <w:szCs w:val="22"/>
                <w:lang w:eastAsia="ja-JP"/>
              </w:rPr>
              <w:t>1.5</w:t>
            </w:r>
            <w:r w:rsidR="00E65675" w:rsidRPr="005F120D">
              <w:rPr>
                <w:rFonts w:asciiTheme="minorHAnsi" w:hAnsiTheme="minorHAnsi" w:cstheme="minorHAnsi"/>
                <w:sz w:val="21"/>
                <w:szCs w:val="22"/>
                <w:lang w:eastAsia="ja-JP"/>
              </w:rPr>
              <w:t>%</w:t>
            </w:r>
          </w:p>
        </w:tc>
      </w:tr>
      <w:tr w:rsidR="00E65675" w:rsidRPr="005F120D" w:rsidTr="007D780F">
        <w:trPr>
          <w:cnfStyle w:val="000000100000"/>
          <w:trHeight w:val="295"/>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07</w:t>
            </w:r>
          </w:p>
        </w:tc>
        <w:tc>
          <w:tcPr>
            <w:tcW w:w="5982" w:type="dxa"/>
            <w:hideMark/>
          </w:tcPr>
          <w:p w:rsidR="00E65675" w:rsidRPr="005F120D" w:rsidRDefault="000B622B" w:rsidP="00C437AA">
            <w:pPr>
              <w:spacing w:after="0" w:line="276" w:lineRule="auto"/>
              <w:cnfStyle w:val="000000100000"/>
              <w:rPr>
                <w:rFonts w:asciiTheme="minorHAnsi" w:hAnsiTheme="minorHAnsi" w:cstheme="minorHAnsi"/>
                <w:sz w:val="21"/>
                <w:szCs w:val="22"/>
                <w:lang w:eastAsia="ja-JP"/>
              </w:rPr>
            </w:pPr>
            <w:r>
              <w:rPr>
                <w:rFonts w:asciiTheme="minorHAnsi" w:hAnsiTheme="minorHAnsi" w:cstheme="minorHAnsi"/>
                <w:sz w:val="21"/>
                <w:szCs w:val="22"/>
                <w:lang w:eastAsia="ja-JP"/>
              </w:rPr>
              <w:t>Ebtedayee Madrasha</w:t>
            </w:r>
          </w:p>
        </w:tc>
        <w:tc>
          <w:tcPr>
            <w:tcW w:w="1329" w:type="dxa"/>
            <w:hideMark/>
          </w:tcPr>
          <w:p w:rsidR="00E65675" w:rsidRPr="005F120D" w:rsidRDefault="008211D5" w:rsidP="00C437AA">
            <w:pPr>
              <w:spacing w:after="0" w:line="276" w:lineRule="auto"/>
              <w:jc w:val="right"/>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32.4</w:t>
            </w:r>
            <w:r w:rsidR="00E65675" w:rsidRPr="005F120D">
              <w:rPr>
                <w:rFonts w:asciiTheme="minorHAnsi" w:hAnsiTheme="minorHAnsi" w:cstheme="minorHAnsi"/>
                <w:sz w:val="21"/>
                <w:szCs w:val="22"/>
                <w:lang w:eastAsia="ja-JP"/>
              </w:rPr>
              <w:t>%</w:t>
            </w:r>
          </w:p>
        </w:tc>
      </w:tr>
      <w:tr w:rsidR="00E65675" w:rsidRPr="005F120D" w:rsidTr="007D780F">
        <w:trPr>
          <w:cnfStyle w:val="000000010000"/>
          <w:trHeight w:val="295"/>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08</w:t>
            </w:r>
          </w:p>
        </w:tc>
        <w:tc>
          <w:tcPr>
            <w:tcW w:w="5982" w:type="dxa"/>
            <w:hideMark/>
          </w:tcPr>
          <w:p w:rsidR="00E65675" w:rsidRPr="005F120D" w:rsidRDefault="00E65675" w:rsidP="00C437AA">
            <w:pPr>
              <w:spacing w:after="0" w:line="276" w:lineRule="auto"/>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Kindergarten</w:t>
            </w:r>
          </w:p>
        </w:tc>
        <w:tc>
          <w:tcPr>
            <w:tcW w:w="1329" w:type="dxa"/>
            <w:hideMark/>
          </w:tcPr>
          <w:p w:rsidR="00E65675" w:rsidRPr="005F120D" w:rsidRDefault="00E65675" w:rsidP="00C437AA">
            <w:pPr>
              <w:spacing w:after="0" w:line="276" w:lineRule="auto"/>
              <w:jc w:val="right"/>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3</w:t>
            </w:r>
            <w:r w:rsidR="008211D5" w:rsidRPr="005F120D">
              <w:rPr>
                <w:rFonts w:asciiTheme="minorHAnsi" w:hAnsiTheme="minorHAnsi" w:cstheme="minorHAnsi"/>
                <w:sz w:val="21"/>
                <w:szCs w:val="22"/>
                <w:lang w:eastAsia="ja-JP"/>
              </w:rPr>
              <w:t>8.6</w:t>
            </w:r>
            <w:r w:rsidRPr="005F120D">
              <w:rPr>
                <w:rFonts w:asciiTheme="minorHAnsi" w:hAnsiTheme="minorHAnsi" w:cstheme="minorHAnsi"/>
                <w:sz w:val="21"/>
                <w:szCs w:val="22"/>
                <w:lang w:eastAsia="ja-JP"/>
              </w:rPr>
              <w:t>%</w:t>
            </w:r>
          </w:p>
        </w:tc>
      </w:tr>
      <w:tr w:rsidR="00E65675" w:rsidRPr="005F120D" w:rsidTr="007D780F">
        <w:trPr>
          <w:cnfStyle w:val="000000100000"/>
          <w:trHeight w:val="295"/>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10</w:t>
            </w:r>
          </w:p>
        </w:tc>
        <w:tc>
          <w:tcPr>
            <w:tcW w:w="5982" w:type="dxa"/>
            <w:hideMark/>
          </w:tcPr>
          <w:p w:rsidR="00E65675" w:rsidRPr="005F120D" w:rsidRDefault="00E65675" w:rsidP="00C437AA">
            <w:pPr>
              <w:spacing w:after="0" w:line="276" w:lineRule="auto"/>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NGO Schools</w:t>
            </w:r>
          </w:p>
        </w:tc>
        <w:tc>
          <w:tcPr>
            <w:tcW w:w="1329" w:type="dxa"/>
            <w:hideMark/>
          </w:tcPr>
          <w:p w:rsidR="00E65675" w:rsidRPr="005F120D" w:rsidRDefault="008211D5" w:rsidP="00C437AA">
            <w:pPr>
              <w:spacing w:after="0" w:line="276" w:lineRule="auto"/>
              <w:jc w:val="right"/>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42.5</w:t>
            </w:r>
            <w:r w:rsidR="00E65675" w:rsidRPr="005F120D">
              <w:rPr>
                <w:rFonts w:asciiTheme="minorHAnsi" w:hAnsiTheme="minorHAnsi" w:cstheme="minorHAnsi"/>
                <w:sz w:val="21"/>
                <w:szCs w:val="22"/>
                <w:lang w:eastAsia="ja-JP"/>
              </w:rPr>
              <w:t>%</w:t>
            </w:r>
          </w:p>
        </w:tc>
      </w:tr>
      <w:tr w:rsidR="00E65675" w:rsidRPr="005F120D" w:rsidTr="007D780F">
        <w:trPr>
          <w:cnfStyle w:val="000000010000"/>
          <w:trHeight w:val="310"/>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11</w:t>
            </w:r>
          </w:p>
        </w:tc>
        <w:tc>
          <w:tcPr>
            <w:tcW w:w="5982" w:type="dxa"/>
            <w:hideMark/>
          </w:tcPr>
          <w:p w:rsidR="00E65675" w:rsidRPr="005F120D" w:rsidRDefault="00E65675" w:rsidP="00C437AA">
            <w:pPr>
              <w:spacing w:after="0" w:line="276" w:lineRule="auto"/>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Community Schools</w:t>
            </w:r>
          </w:p>
        </w:tc>
        <w:tc>
          <w:tcPr>
            <w:tcW w:w="1329" w:type="dxa"/>
            <w:hideMark/>
          </w:tcPr>
          <w:p w:rsidR="00E65675" w:rsidRPr="005F120D" w:rsidRDefault="008211D5" w:rsidP="00C437AA">
            <w:pPr>
              <w:spacing w:after="0" w:line="276" w:lineRule="auto"/>
              <w:jc w:val="right"/>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22.6</w:t>
            </w:r>
            <w:r w:rsidR="00E65675" w:rsidRPr="005F120D">
              <w:rPr>
                <w:rFonts w:asciiTheme="minorHAnsi" w:hAnsiTheme="minorHAnsi" w:cstheme="minorHAnsi"/>
                <w:sz w:val="21"/>
                <w:szCs w:val="22"/>
                <w:lang w:eastAsia="ja-JP"/>
              </w:rPr>
              <w:t>%</w:t>
            </w:r>
          </w:p>
        </w:tc>
      </w:tr>
      <w:tr w:rsidR="00E65675" w:rsidRPr="005F120D" w:rsidTr="007D780F">
        <w:trPr>
          <w:cnfStyle w:val="000000100000"/>
          <w:trHeight w:val="295"/>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12</w:t>
            </w:r>
          </w:p>
        </w:tc>
        <w:tc>
          <w:tcPr>
            <w:tcW w:w="5982" w:type="dxa"/>
            <w:hideMark/>
          </w:tcPr>
          <w:p w:rsidR="00E65675" w:rsidRPr="005F120D" w:rsidRDefault="00E65675" w:rsidP="00C437AA">
            <w:pPr>
              <w:spacing w:after="0" w:line="276" w:lineRule="auto"/>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 xml:space="preserve">Primary Section Attached to High </w:t>
            </w:r>
            <w:r w:rsidR="0098120D" w:rsidRPr="005F120D">
              <w:rPr>
                <w:rFonts w:asciiTheme="minorHAnsi" w:hAnsiTheme="minorHAnsi" w:cstheme="minorHAnsi"/>
                <w:sz w:val="21"/>
                <w:szCs w:val="22"/>
                <w:lang w:eastAsia="ja-JP"/>
              </w:rPr>
              <w:t>Madrasha</w:t>
            </w:r>
          </w:p>
        </w:tc>
        <w:tc>
          <w:tcPr>
            <w:tcW w:w="1329" w:type="dxa"/>
            <w:hideMark/>
          </w:tcPr>
          <w:p w:rsidR="00E65675" w:rsidRPr="005F120D" w:rsidRDefault="008211D5" w:rsidP="00C437AA">
            <w:pPr>
              <w:spacing w:after="0" w:line="276" w:lineRule="auto"/>
              <w:jc w:val="right"/>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31.7</w:t>
            </w:r>
            <w:r w:rsidR="00E65675" w:rsidRPr="005F120D">
              <w:rPr>
                <w:rFonts w:asciiTheme="minorHAnsi" w:hAnsiTheme="minorHAnsi" w:cstheme="minorHAnsi"/>
                <w:sz w:val="21"/>
                <w:szCs w:val="22"/>
                <w:lang w:eastAsia="ja-JP"/>
              </w:rPr>
              <w:t>%</w:t>
            </w:r>
          </w:p>
        </w:tc>
      </w:tr>
      <w:tr w:rsidR="00E65675" w:rsidRPr="005F120D" w:rsidTr="007D780F">
        <w:trPr>
          <w:cnfStyle w:val="000000010000"/>
          <w:trHeight w:val="295"/>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13</w:t>
            </w:r>
          </w:p>
        </w:tc>
        <w:tc>
          <w:tcPr>
            <w:tcW w:w="5982" w:type="dxa"/>
            <w:hideMark/>
          </w:tcPr>
          <w:p w:rsidR="00E65675" w:rsidRPr="005F120D" w:rsidRDefault="00E65675" w:rsidP="00C437AA">
            <w:pPr>
              <w:spacing w:after="0" w:line="276" w:lineRule="auto"/>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Primary section of high schools</w:t>
            </w:r>
          </w:p>
        </w:tc>
        <w:tc>
          <w:tcPr>
            <w:tcW w:w="1329" w:type="dxa"/>
            <w:hideMark/>
          </w:tcPr>
          <w:p w:rsidR="00E65675" w:rsidRPr="005F120D" w:rsidRDefault="008211D5" w:rsidP="00C437AA">
            <w:pPr>
              <w:spacing w:after="0" w:line="276" w:lineRule="auto"/>
              <w:jc w:val="right"/>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27.6</w:t>
            </w:r>
            <w:r w:rsidR="00E65675" w:rsidRPr="005F120D">
              <w:rPr>
                <w:rFonts w:asciiTheme="minorHAnsi" w:hAnsiTheme="minorHAnsi" w:cstheme="minorHAnsi"/>
                <w:sz w:val="21"/>
                <w:szCs w:val="22"/>
                <w:lang w:eastAsia="ja-JP"/>
              </w:rPr>
              <w:t>%</w:t>
            </w:r>
          </w:p>
        </w:tc>
      </w:tr>
      <w:tr w:rsidR="00E65675" w:rsidRPr="005F120D" w:rsidTr="007D780F">
        <w:trPr>
          <w:cnfStyle w:val="000000100000"/>
          <w:trHeight w:val="295"/>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14</w:t>
            </w:r>
          </w:p>
        </w:tc>
        <w:tc>
          <w:tcPr>
            <w:tcW w:w="5982" w:type="dxa"/>
            <w:hideMark/>
          </w:tcPr>
          <w:p w:rsidR="00E65675" w:rsidRPr="005F120D" w:rsidRDefault="00E65675" w:rsidP="00C437AA">
            <w:pPr>
              <w:spacing w:after="0" w:line="276" w:lineRule="auto"/>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BRAC</w:t>
            </w:r>
          </w:p>
        </w:tc>
        <w:tc>
          <w:tcPr>
            <w:tcW w:w="1329" w:type="dxa"/>
            <w:hideMark/>
          </w:tcPr>
          <w:p w:rsidR="00E65675" w:rsidRPr="005F120D" w:rsidRDefault="008211D5" w:rsidP="00C437AA">
            <w:pPr>
              <w:spacing w:after="0" w:line="276" w:lineRule="auto"/>
              <w:jc w:val="right"/>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44</w:t>
            </w:r>
            <w:r w:rsidR="00E65675" w:rsidRPr="005F120D">
              <w:rPr>
                <w:rFonts w:asciiTheme="minorHAnsi" w:hAnsiTheme="minorHAnsi" w:cstheme="minorHAnsi"/>
                <w:sz w:val="21"/>
                <w:szCs w:val="22"/>
                <w:lang w:eastAsia="ja-JP"/>
              </w:rPr>
              <w:t>%</w:t>
            </w:r>
          </w:p>
        </w:tc>
      </w:tr>
      <w:tr w:rsidR="00E65675" w:rsidRPr="005F120D" w:rsidTr="007D780F">
        <w:trPr>
          <w:cnfStyle w:val="000000010000"/>
          <w:trHeight w:val="259"/>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15</w:t>
            </w:r>
          </w:p>
        </w:tc>
        <w:tc>
          <w:tcPr>
            <w:tcW w:w="5982" w:type="dxa"/>
            <w:hideMark/>
          </w:tcPr>
          <w:p w:rsidR="00E65675" w:rsidRPr="005F120D" w:rsidRDefault="00E65675" w:rsidP="00C437AA">
            <w:pPr>
              <w:spacing w:after="0" w:line="276" w:lineRule="auto"/>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ROSC</w:t>
            </w:r>
          </w:p>
        </w:tc>
        <w:tc>
          <w:tcPr>
            <w:tcW w:w="1329" w:type="dxa"/>
            <w:hideMark/>
          </w:tcPr>
          <w:p w:rsidR="00E65675" w:rsidRPr="005F120D" w:rsidRDefault="008211D5" w:rsidP="00C437AA">
            <w:pPr>
              <w:spacing w:after="0" w:line="276" w:lineRule="auto"/>
              <w:jc w:val="right"/>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43.4</w:t>
            </w:r>
            <w:r w:rsidR="00E65675" w:rsidRPr="005F120D">
              <w:rPr>
                <w:rFonts w:asciiTheme="minorHAnsi" w:hAnsiTheme="minorHAnsi" w:cstheme="minorHAnsi"/>
                <w:sz w:val="21"/>
                <w:szCs w:val="22"/>
                <w:lang w:eastAsia="ja-JP"/>
              </w:rPr>
              <w:t>%</w:t>
            </w:r>
          </w:p>
        </w:tc>
      </w:tr>
      <w:tr w:rsidR="00E65675" w:rsidRPr="005F120D" w:rsidTr="007D780F">
        <w:trPr>
          <w:cnfStyle w:val="000000100000"/>
          <w:trHeight w:val="315"/>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16</w:t>
            </w:r>
          </w:p>
        </w:tc>
        <w:tc>
          <w:tcPr>
            <w:tcW w:w="5982" w:type="dxa"/>
            <w:hideMark/>
          </w:tcPr>
          <w:p w:rsidR="00E65675" w:rsidRPr="005F120D" w:rsidRDefault="00E65675" w:rsidP="00C437AA">
            <w:pPr>
              <w:spacing w:after="0" w:line="276" w:lineRule="auto"/>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 xml:space="preserve">Shishu </w:t>
            </w:r>
            <w:r w:rsidR="0098120D" w:rsidRPr="005F120D">
              <w:rPr>
                <w:rFonts w:asciiTheme="minorHAnsi" w:hAnsiTheme="minorHAnsi" w:cstheme="minorHAnsi"/>
                <w:sz w:val="21"/>
                <w:szCs w:val="22"/>
                <w:lang w:eastAsia="ja-JP"/>
              </w:rPr>
              <w:t>Kollyan</w:t>
            </w:r>
          </w:p>
        </w:tc>
        <w:tc>
          <w:tcPr>
            <w:tcW w:w="1329" w:type="dxa"/>
            <w:hideMark/>
          </w:tcPr>
          <w:p w:rsidR="00E65675" w:rsidRPr="005F120D" w:rsidRDefault="008211D5" w:rsidP="00C437AA">
            <w:pPr>
              <w:spacing w:after="0" w:line="276" w:lineRule="auto"/>
              <w:jc w:val="right"/>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19.3</w:t>
            </w:r>
            <w:r w:rsidR="00E65675" w:rsidRPr="005F120D">
              <w:rPr>
                <w:rFonts w:asciiTheme="minorHAnsi" w:hAnsiTheme="minorHAnsi" w:cstheme="minorHAnsi"/>
                <w:sz w:val="21"/>
                <w:szCs w:val="22"/>
                <w:lang w:eastAsia="ja-JP"/>
              </w:rPr>
              <w:t>%</w:t>
            </w:r>
          </w:p>
        </w:tc>
      </w:tr>
      <w:tr w:rsidR="00E65675" w:rsidRPr="005F120D" w:rsidTr="007D780F">
        <w:trPr>
          <w:cnfStyle w:val="000000010000"/>
          <w:trHeight w:val="352"/>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17</w:t>
            </w:r>
          </w:p>
        </w:tc>
        <w:tc>
          <w:tcPr>
            <w:tcW w:w="5982" w:type="dxa"/>
            <w:hideMark/>
          </w:tcPr>
          <w:p w:rsidR="00E65675" w:rsidRPr="005F120D" w:rsidRDefault="00E65675" w:rsidP="00C437AA">
            <w:pPr>
              <w:spacing w:after="0" w:line="276" w:lineRule="auto"/>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NGO Center</w:t>
            </w:r>
          </w:p>
        </w:tc>
        <w:tc>
          <w:tcPr>
            <w:tcW w:w="1329" w:type="dxa"/>
            <w:hideMark/>
          </w:tcPr>
          <w:p w:rsidR="00E65675" w:rsidRPr="005F120D" w:rsidRDefault="00657CB1" w:rsidP="00C437AA">
            <w:pPr>
              <w:spacing w:after="0" w:line="276" w:lineRule="auto"/>
              <w:jc w:val="right"/>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41</w:t>
            </w:r>
            <w:r w:rsidR="008211D5" w:rsidRPr="005F120D">
              <w:rPr>
                <w:rFonts w:asciiTheme="minorHAnsi" w:hAnsiTheme="minorHAnsi" w:cstheme="minorHAnsi"/>
                <w:sz w:val="21"/>
                <w:szCs w:val="22"/>
                <w:lang w:eastAsia="ja-JP"/>
              </w:rPr>
              <w:t>.5</w:t>
            </w:r>
            <w:r w:rsidR="00E65675" w:rsidRPr="005F120D">
              <w:rPr>
                <w:rFonts w:asciiTheme="minorHAnsi" w:hAnsiTheme="minorHAnsi" w:cstheme="minorHAnsi"/>
                <w:sz w:val="21"/>
                <w:szCs w:val="22"/>
                <w:lang w:eastAsia="ja-JP"/>
              </w:rPr>
              <w:t>%</w:t>
            </w:r>
          </w:p>
        </w:tc>
      </w:tr>
      <w:tr w:rsidR="0052230D" w:rsidRPr="005F120D" w:rsidTr="007D780F">
        <w:trPr>
          <w:cnfStyle w:val="000000100000"/>
          <w:trHeight w:val="295"/>
          <w:jc w:val="center"/>
        </w:trPr>
        <w:tc>
          <w:tcPr>
            <w:cnfStyle w:val="001000000000"/>
            <w:tcW w:w="1091" w:type="dxa"/>
            <w:hideMark/>
          </w:tcPr>
          <w:p w:rsidR="0052230D" w:rsidRPr="005F120D" w:rsidRDefault="0052230D"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18</w:t>
            </w:r>
          </w:p>
        </w:tc>
        <w:tc>
          <w:tcPr>
            <w:tcW w:w="5982" w:type="dxa"/>
            <w:hideMark/>
          </w:tcPr>
          <w:p w:rsidR="0052230D" w:rsidRPr="005F120D" w:rsidRDefault="0052230D" w:rsidP="00C437AA">
            <w:pPr>
              <w:spacing w:after="0" w:line="276" w:lineRule="auto"/>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CHT mange school</w:t>
            </w:r>
          </w:p>
        </w:tc>
        <w:tc>
          <w:tcPr>
            <w:tcW w:w="1329" w:type="dxa"/>
            <w:hideMark/>
          </w:tcPr>
          <w:p w:rsidR="0052230D" w:rsidRPr="005F120D" w:rsidRDefault="008211D5" w:rsidP="00C437AA">
            <w:pPr>
              <w:spacing w:after="0" w:line="276" w:lineRule="auto"/>
              <w:jc w:val="right"/>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42.6</w:t>
            </w:r>
            <w:r w:rsidR="0052230D" w:rsidRPr="005F120D">
              <w:rPr>
                <w:rFonts w:asciiTheme="minorHAnsi" w:hAnsiTheme="minorHAnsi" w:cstheme="minorHAnsi"/>
                <w:sz w:val="21"/>
                <w:szCs w:val="22"/>
                <w:lang w:eastAsia="ja-JP"/>
              </w:rPr>
              <w:t>%</w:t>
            </w:r>
          </w:p>
        </w:tc>
      </w:tr>
      <w:tr w:rsidR="00E65675" w:rsidRPr="005F120D" w:rsidTr="007D780F">
        <w:trPr>
          <w:cnfStyle w:val="000000010000"/>
          <w:trHeight w:val="295"/>
          <w:jc w:val="center"/>
        </w:trPr>
        <w:tc>
          <w:tcPr>
            <w:cnfStyle w:val="001000000000"/>
            <w:tcW w:w="1091" w:type="dxa"/>
            <w:hideMark/>
          </w:tcPr>
          <w:p w:rsidR="00E65675" w:rsidRPr="005F120D" w:rsidRDefault="00E65675" w:rsidP="00C437AA">
            <w:pPr>
              <w:spacing w:after="0" w:line="276" w:lineRule="auto"/>
              <w:jc w:val="center"/>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1</w:t>
            </w:r>
            <w:r w:rsidR="0052230D" w:rsidRPr="005F120D">
              <w:rPr>
                <w:rFonts w:asciiTheme="minorHAnsi" w:hAnsiTheme="minorHAnsi" w:cstheme="minorHAnsi"/>
                <w:b w:val="0"/>
                <w:sz w:val="21"/>
                <w:szCs w:val="22"/>
                <w:lang w:eastAsia="ja-JP"/>
              </w:rPr>
              <w:t>9</w:t>
            </w:r>
          </w:p>
        </w:tc>
        <w:tc>
          <w:tcPr>
            <w:tcW w:w="5982" w:type="dxa"/>
            <w:hideMark/>
          </w:tcPr>
          <w:p w:rsidR="00E65675" w:rsidRPr="005F120D" w:rsidRDefault="00E65675" w:rsidP="00C437AA">
            <w:pPr>
              <w:spacing w:after="0" w:line="276" w:lineRule="auto"/>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Others</w:t>
            </w:r>
          </w:p>
        </w:tc>
        <w:tc>
          <w:tcPr>
            <w:tcW w:w="1329" w:type="dxa"/>
            <w:hideMark/>
          </w:tcPr>
          <w:p w:rsidR="00E65675" w:rsidRPr="005F120D" w:rsidRDefault="008211D5" w:rsidP="00C437AA">
            <w:pPr>
              <w:spacing w:after="0" w:line="276" w:lineRule="auto"/>
              <w:jc w:val="right"/>
              <w:cnfStyle w:val="00000001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47.5</w:t>
            </w:r>
            <w:r w:rsidR="00E65675" w:rsidRPr="005F120D">
              <w:rPr>
                <w:rFonts w:asciiTheme="minorHAnsi" w:hAnsiTheme="minorHAnsi" w:cstheme="minorHAnsi"/>
                <w:sz w:val="21"/>
                <w:szCs w:val="22"/>
                <w:lang w:eastAsia="ja-JP"/>
              </w:rPr>
              <w:t>%</w:t>
            </w:r>
          </w:p>
        </w:tc>
      </w:tr>
      <w:tr w:rsidR="00E65675" w:rsidRPr="005F120D" w:rsidTr="007D780F">
        <w:trPr>
          <w:cnfStyle w:val="000000100000"/>
          <w:trHeight w:val="310"/>
          <w:jc w:val="center"/>
        </w:trPr>
        <w:tc>
          <w:tcPr>
            <w:cnfStyle w:val="001000000000"/>
            <w:tcW w:w="1091" w:type="dxa"/>
            <w:hideMark/>
          </w:tcPr>
          <w:p w:rsidR="00E65675" w:rsidRPr="005F120D" w:rsidRDefault="00E65675" w:rsidP="00C437AA">
            <w:pPr>
              <w:spacing w:after="0" w:line="276" w:lineRule="auto"/>
              <w:rPr>
                <w:rFonts w:asciiTheme="minorHAnsi" w:hAnsiTheme="minorHAnsi" w:cstheme="minorHAnsi"/>
                <w:b w:val="0"/>
                <w:sz w:val="21"/>
                <w:szCs w:val="22"/>
                <w:lang w:eastAsia="ja-JP"/>
              </w:rPr>
            </w:pPr>
            <w:r w:rsidRPr="005F120D">
              <w:rPr>
                <w:rFonts w:asciiTheme="minorHAnsi" w:hAnsiTheme="minorHAnsi" w:cstheme="minorHAnsi"/>
                <w:b w:val="0"/>
                <w:sz w:val="21"/>
                <w:szCs w:val="22"/>
                <w:lang w:eastAsia="ja-JP"/>
              </w:rPr>
              <w:t> </w:t>
            </w:r>
          </w:p>
        </w:tc>
        <w:tc>
          <w:tcPr>
            <w:tcW w:w="5982" w:type="dxa"/>
            <w:hideMark/>
          </w:tcPr>
          <w:p w:rsidR="00E65675" w:rsidRPr="005F120D" w:rsidRDefault="00E65675" w:rsidP="00C437AA">
            <w:pPr>
              <w:spacing w:after="0" w:line="276" w:lineRule="auto"/>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 TOTAL</w:t>
            </w:r>
          </w:p>
        </w:tc>
        <w:tc>
          <w:tcPr>
            <w:tcW w:w="1329" w:type="dxa"/>
            <w:hideMark/>
          </w:tcPr>
          <w:p w:rsidR="00E65675" w:rsidRPr="005F120D" w:rsidRDefault="00657CB1" w:rsidP="00C437AA">
            <w:pPr>
              <w:spacing w:after="0" w:line="276" w:lineRule="auto"/>
              <w:jc w:val="right"/>
              <w:cnfStyle w:val="000000100000"/>
              <w:rPr>
                <w:rFonts w:asciiTheme="minorHAnsi" w:hAnsiTheme="minorHAnsi" w:cstheme="minorHAnsi"/>
                <w:sz w:val="21"/>
                <w:szCs w:val="22"/>
                <w:lang w:eastAsia="ja-JP"/>
              </w:rPr>
            </w:pPr>
            <w:r w:rsidRPr="005F120D">
              <w:rPr>
                <w:rFonts w:asciiTheme="minorHAnsi" w:hAnsiTheme="minorHAnsi" w:cstheme="minorHAnsi"/>
                <w:sz w:val="21"/>
                <w:szCs w:val="22"/>
                <w:lang w:eastAsia="ja-JP"/>
              </w:rPr>
              <w:t>31.6</w:t>
            </w:r>
            <w:r w:rsidR="00E65675" w:rsidRPr="005F120D">
              <w:rPr>
                <w:rFonts w:asciiTheme="minorHAnsi" w:hAnsiTheme="minorHAnsi" w:cstheme="minorHAnsi"/>
                <w:sz w:val="21"/>
                <w:szCs w:val="22"/>
                <w:lang w:eastAsia="ja-JP"/>
              </w:rPr>
              <w:t>%</w:t>
            </w:r>
          </w:p>
        </w:tc>
      </w:tr>
    </w:tbl>
    <w:p w:rsidR="00127448" w:rsidRPr="005F120D" w:rsidRDefault="00F83E43" w:rsidP="00C437AA">
      <w:pPr>
        <w:spacing w:after="0" w:line="276" w:lineRule="auto"/>
        <w:rPr>
          <w:rFonts w:asciiTheme="minorHAnsi" w:hAnsiTheme="minorHAnsi" w:cstheme="minorHAnsi"/>
          <w:b/>
          <w:sz w:val="16"/>
          <w:szCs w:val="16"/>
        </w:rPr>
      </w:pPr>
      <w:r>
        <w:rPr>
          <w:rFonts w:asciiTheme="minorHAnsi" w:hAnsiTheme="minorHAnsi" w:cstheme="minorHAnsi"/>
          <w:b/>
          <w:sz w:val="16"/>
          <w:szCs w:val="16"/>
        </w:rPr>
        <w:t xml:space="preserve">         </w:t>
      </w:r>
      <w:r w:rsidR="00657CB1" w:rsidRPr="005F120D">
        <w:rPr>
          <w:rFonts w:asciiTheme="minorHAnsi" w:hAnsiTheme="minorHAnsi" w:cstheme="minorHAnsi"/>
          <w:b/>
          <w:sz w:val="16"/>
          <w:szCs w:val="16"/>
        </w:rPr>
        <w:t>Source: APSC 2015</w:t>
      </w:r>
    </w:p>
    <w:p w:rsidR="006B5721" w:rsidRPr="005F120D" w:rsidRDefault="006B5721" w:rsidP="00C437AA">
      <w:pPr>
        <w:spacing w:after="0" w:line="276" w:lineRule="auto"/>
        <w:rPr>
          <w:rFonts w:asciiTheme="minorHAnsi" w:hAnsiTheme="minorHAnsi" w:cstheme="minorHAnsi"/>
          <w:color w:val="FF0000"/>
        </w:rPr>
      </w:pPr>
    </w:p>
    <w:p w:rsidR="006B5721" w:rsidRPr="005F120D" w:rsidRDefault="00974D89" w:rsidP="00C437AA">
      <w:pPr>
        <w:spacing w:after="0" w:line="276" w:lineRule="auto"/>
        <w:jc w:val="both"/>
        <w:rPr>
          <w:rFonts w:asciiTheme="minorHAnsi" w:hAnsiTheme="minorHAnsi" w:cstheme="minorHAnsi"/>
        </w:rPr>
      </w:pPr>
      <w:r w:rsidRPr="005F120D">
        <w:rPr>
          <w:rFonts w:asciiTheme="minorHAnsi" w:hAnsiTheme="minorHAnsi" w:cstheme="minorHAnsi"/>
        </w:rPr>
        <w:t>Based on the composite indicators, there are clear diff</w:t>
      </w:r>
      <w:r w:rsidR="003A2D5B" w:rsidRPr="005F120D">
        <w:rPr>
          <w:rFonts w:asciiTheme="minorHAnsi" w:hAnsiTheme="minorHAnsi" w:cstheme="minorHAnsi"/>
        </w:rPr>
        <w:t xml:space="preserve">erences between the </w:t>
      </w:r>
      <w:r w:rsidR="004A14B8" w:rsidRPr="005F120D">
        <w:rPr>
          <w:rFonts w:asciiTheme="minorHAnsi" w:hAnsiTheme="minorHAnsi" w:cstheme="minorHAnsi"/>
        </w:rPr>
        <w:t>performances</w:t>
      </w:r>
      <w:r w:rsidRPr="005F120D">
        <w:rPr>
          <w:rFonts w:asciiTheme="minorHAnsi" w:hAnsiTheme="minorHAnsi" w:cstheme="minorHAnsi"/>
        </w:rPr>
        <w:t xml:space="preserve"> of </w:t>
      </w:r>
      <w:r w:rsidR="00F83E43" w:rsidRPr="005F120D">
        <w:rPr>
          <w:rFonts w:asciiTheme="minorHAnsi" w:hAnsiTheme="minorHAnsi" w:cstheme="minorHAnsi"/>
        </w:rPr>
        <w:t>Upazilas</w:t>
      </w:r>
      <w:r w:rsidRPr="005F120D">
        <w:rPr>
          <w:rFonts w:asciiTheme="minorHAnsi" w:hAnsiTheme="minorHAnsi" w:cstheme="minorHAnsi"/>
        </w:rPr>
        <w:t xml:space="preserve"> So far, no action has been taken to reduce the regional disparity in accord</w:t>
      </w:r>
      <w:r w:rsidR="003A2D5B" w:rsidRPr="005F120D">
        <w:rPr>
          <w:rFonts w:asciiTheme="minorHAnsi" w:hAnsiTheme="minorHAnsi" w:cstheme="minorHAnsi"/>
        </w:rPr>
        <w:t>ance with the findings of the</w:t>
      </w:r>
      <w:r w:rsidRPr="005F120D">
        <w:rPr>
          <w:rFonts w:asciiTheme="minorHAnsi" w:hAnsiTheme="minorHAnsi" w:cstheme="minorHAnsi"/>
        </w:rPr>
        <w:t xml:space="preserve"> differences in performance.  It is strongly recommended that more resources be </w:t>
      </w:r>
      <w:r w:rsidR="0040349E" w:rsidRPr="005F120D">
        <w:rPr>
          <w:rFonts w:asciiTheme="minorHAnsi" w:hAnsiTheme="minorHAnsi" w:cstheme="minorHAnsi"/>
        </w:rPr>
        <w:t>channeled</w:t>
      </w:r>
      <w:r w:rsidRPr="005F120D">
        <w:rPr>
          <w:rFonts w:asciiTheme="minorHAnsi" w:hAnsiTheme="minorHAnsi" w:cstheme="minorHAnsi"/>
        </w:rPr>
        <w:t xml:space="preserve"> to the low performing </w:t>
      </w:r>
      <w:r w:rsidR="00F83E43" w:rsidRPr="005F120D">
        <w:rPr>
          <w:rFonts w:asciiTheme="minorHAnsi" w:hAnsiTheme="minorHAnsi" w:cstheme="minorHAnsi"/>
        </w:rPr>
        <w:t>Upazilas</w:t>
      </w:r>
      <w:r w:rsidR="00AF28FF" w:rsidRPr="005F120D">
        <w:rPr>
          <w:rFonts w:asciiTheme="minorHAnsi" w:hAnsiTheme="minorHAnsi" w:cstheme="minorHAnsi"/>
        </w:rPr>
        <w:t xml:space="preserve">. </w:t>
      </w:r>
    </w:p>
    <w:p w:rsidR="006B5721" w:rsidRPr="005F120D" w:rsidRDefault="006B5721" w:rsidP="00C437AA">
      <w:pPr>
        <w:spacing w:after="0" w:line="276" w:lineRule="auto"/>
        <w:rPr>
          <w:rFonts w:asciiTheme="minorHAnsi" w:hAnsiTheme="minorHAnsi" w:cstheme="minorHAnsi"/>
        </w:rPr>
      </w:pPr>
    </w:p>
    <w:p w:rsidR="006B5721" w:rsidRPr="005F120D" w:rsidRDefault="006B5721" w:rsidP="00C437AA">
      <w:pPr>
        <w:spacing w:after="0" w:line="276" w:lineRule="auto"/>
        <w:rPr>
          <w:rFonts w:asciiTheme="minorHAnsi" w:hAnsiTheme="minorHAnsi" w:cstheme="minorHAnsi"/>
          <w:color w:val="FF0000"/>
        </w:rPr>
      </w:pPr>
    </w:p>
    <w:p w:rsidR="006B5721" w:rsidRPr="005F120D" w:rsidRDefault="006B5721" w:rsidP="00C437AA">
      <w:pPr>
        <w:spacing w:after="0" w:line="276" w:lineRule="auto"/>
        <w:rPr>
          <w:rFonts w:asciiTheme="minorHAnsi" w:hAnsiTheme="minorHAnsi" w:cstheme="minorHAnsi"/>
          <w:color w:val="FF0000"/>
        </w:rPr>
      </w:pPr>
    </w:p>
    <w:p w:rsidR="006B5721" w:rsidRPr="005F120D" w:rsidRDefault="006B5721" w:rsidP="00C437AA">
      <w:pPr>
        <w:spacing w:after="0" w:line="276" w:lineRule="auto"/>
        <w:rPr>
          <w:rFonts w:asciiTheme="minorHAnsi" w:hAnsiTheme="minorHAnsi" w:cstheme="minorHAnsi"/>
          <w:color w:val="FF0000"/>
        </w:rPr>
      </w:pPr>
    </w:p>
    <w:p w:rsidR="006B5721" w:rsidRPr="005F120D" w:rsidRDefault="006B5721" w:rsidP="00C437AA">
      <w:pPr>
        <w:spacing w:after="0" w:line="276" w:lineRule="auto"/>
        <w:rPr>
          <w:rFonts w:asciiTheme="minorHAnsi" w:hAnsiTheme="minorHAnsi" w:cstheme="minorHAnsi"/>
          <w:color w:val="FF0000"/>
        </w:rPr>
      </w:pPr>
    </w:p>
    <w:p w:rsidR="006B5721" w:rsidRPr="005F120D" w:rsidRDefault="006B5721" w:rsidP="00C437AA">
      <w:pPr>
        <w:spacing w:after="0" w:line="276" w:lineRule="auto"/>
        <w:rPr>
          <w:rFonts w:asciiTheme="minorHAnsi" w:hAnsiTheme="minorHAnsi" w:cstheme="minorHAnsi"/>
          <w:color w:val="FF0000"/>
        </w:rPr>
      </w:pPr>
    </w:p>
    <w:p w:rsidR="00EA356A" w:rsidRPr="005F120D" w:rsidRDefault="00EA356A" w:rsidP="00C437AA">
      <w:pPr>
        <w:spacing w:after="0" w:line="276" w:lineRule="auto"/>
        <w:rPr>
          <w:rFonts w:asciiTheme="minorHAnsi" w:hAnsiTheme="minorHAnsi" w:cstheme="minorHAnsi"/>
          <w:color w:val="FF0000"/>
        </w:rPr>
      </w:pPr>
    </w:p>
    <w:p w:rsidR="000032DD" w:rsidRPr="005F120D" w:rsidRDefault="000032DD" w:rsidP="00C437AA">
      <w:pPr>
        <w:spacing w:after="0" w:line="276" w:lineRule="auto"/>
        <w:rPr>
          <w:rFonts w:asciiTheme="minorHAnsi" w:hAnsiTheme="minorHAnsi" w:cstheme="minorHAnsi"/>
          <w:color w:val="FF0000"/>
        </w:rPr>
      </w:pPr>
    </w:p>
    <w:p w:rsidR="000032DD" w:rsidRPr="005F120D" w:rsidRDefault="000032DD" w:rsidP="00C437AA">
      <w:pPr>
        <w:spacing w:after="0" w:line="276" w:lineRule="auto"/>
        <w:rPr>
          <w:rFonts w:asciiTheme="minorHAnsi" w:hAnsiTheme="minorHAnsi" w:cstheme="minorHAnsi"/>
          <w:color w:val="FF0000"/>
        </w:rPr>
      </w:pPr>
    </w:p>
    <w:p w:rsidR="006B5721" w:rsidRPr="005F120D" w:rsidRDefault="006B5721" w:rsidP="00C437AA">
      <w:pPr>
        <w:spacing w:after="0" w:line="276" w:lineRule="auto"/>
        <w:rPr>
          <w:rFonts w:asciiTheme="minorHAnsi" w:hAnsiTheme="minorHAnsi" w:cstheme="minorHAnsi"/>
          <w:color w:val="FF0000"/>
        </w:rPr>
      </w:pPr>
    </w:p>
    <w:p w:rsidR="006B5721" w:rsidRPr="005F120D" w:rsidRDefault="006B5721" w:rsidP="00C437AA">
      <w:pPr>
        <w:spacing w:after="0" w:line="276" w:lineRule="auto"/>
        <w:rPr>
          <w:rFonts w:asciiTheme="minorHAnsi" w:hAnsiTheme="minorHAnsi" w:cstheme="minorHAnsi"/>
          <w:color w:val="FF0000"/>
        </w:rPr>
      </w:pPr>
    </w:p>
    <w:p w:rsidR="00B16EAD" w:rsidRPr="005F120D" w:rsidRDefault="00071A3E" w:rsidP="00C437AA">
      <w:pPr>
        <w:pStyle w:val="Heading4"/>
        <w:spacing w:line="276" w:lineRule="auto"/>
        <w:rPr>
          <w:rFonts w:asciiTheme="minorHAnsi" w:hAnsiTheme="minorHAnsi" w:cstheme="minorHAnsi"/>
          <w:b/>
          <w:color w:val="008000"/>
        </w:rPr>
      </w:pPr>
      <w:r w:rsidRPr="005F120D">
        <w:rPr>
          <w:rFonts w:asciiTheme="minorHAnsi" w:hAnsiTheme="minorHAnsi" w:cstheme="minorHAnsi"/>
          <w:b/>
          <w:color w:val="008000"/>
        </w:rPr>
        <w:lastRenderedPageBreak/>
        <w:t>Gross Completion R</w:t>
      </w:r>
      <w:r w:rsidR="0043400D" w:rsidRPr="005F120D">
        <w:rPr>
          <w:rFonts w:asciiTheme="minorHAnsi" w:hAnsiTheme="minorHAnsi" w:cstheme="minorHAnsi"/>
          <w:b/>
          <w:color w:val="008000"/>
        </w:rPr>
        <w:t>ate</w:t>
      </w:r>
    </w:p>
    <w:p w:rsidR="0040349E" w:rsidRPr="005F120D" w:rsidRDefault="0040349E" w:rsidP="00C437AA">
      <w:pPr>
        <w:spacing w:before="240" w:line="276" w:lineRule="auto"/>
        <w:rPr>
          <w:rFonts w:asciiTheme="minorHAnsi" w:hAnsiTheme="minorHAnsi" w:cstheme="minorHAnsi"/>
          <w:color w:val="000000"/>
          <w:szCs w:val="22"/>
        </w:rPr>
      </w:pPr>
      <w:r w:rsidRPr="005F120D">
        <w:rPr>
          <w:rFonts w:asciiTheme="minorHAnsi" w:hAnsiTheme="minorHAnsi" w:cstheme="minorHAnsi"/>
          <w:color w:val="000000"/>
          <w:szCs w:val="22"/>
        </w:rPr>
        <w:t xml:space="preserve">The </w:t>
      </w:r>
      <w:r w:rsidRPr="005F120D">
        <w:rPr>
          <w:rFonts w:asciiTheme="minorHAnsi" w:hAnsiTheme="minorHAnsi" w:cstheme="minorHAnsi"/>
          <w:b/>
          <w:color w:val="000000"/>
          <w:szCs w:val="22"/>
          <w:u w:val="single"/>
        </w:rPr>
        <w:t>Non-KPI 9</w:t>
      </w:r>
      <w:r w:rsidRPr="005F120D">
        <w:rPr>
          <w:rFonts w:asciiTheme="minorHAnsi" w:hAnsiTheme="minorHAnsi" w:cstheme="minorHAnsi"/>
          <w:color w:val="000000"/>
          <w:szCs w:val="22"/>
        </w:rPr>
        <w:t xml:space="preserve"> is intended to measure the percentage of students who complete the primary education cycle regardless of age (in Bangladesh the official </w:t>
      </w:r>
      <w:r w:rsidR="00DB65DE" w:rsidRPr="005F120D">
        <w:rPr>
          <w:rFonts w:asciiTheme="minorHAnsi" w:hAnsiTheme="minorHAnsi" w:cstheme="minorHAnsi"/>
          <w:color w:val="000000"/>
          <w:szCs w:val="22"/>
        </w:rPr>
        <w:t>age i</w:t>
      </w:r>
      <w:r w:rsidR="004A14B8" w:rsidRPr="005F120D">
        <w:rPr>
          <w:rFonts w:asciiTheme="minorHAnsi" w:hAnsiTheme="minorHAnsi" w:cstheme="minorHAnsi"/>
          <w:color w:val="000000"/>
          <w:szCs w:val="22"/>
        </w:rPr>
        <w:t xml:space="preserve">s 10 for Grade 5 students). The </w:t>
      </w:r>
      <w:r w:rsidRPr="005F120D">
        <w:rPr>
          <w:rFonts w:asciiTheme="minorHAnsi" w:hAnsiTheme="minorHAnsi" w:cstheme="minorHAnsi"/>
          <w:color w:val="000000"/>
          <w:szCs w:val="22"/>
        </w:rPr>
        <w:t xml:space="preserve">World Bank calculated this indicator using the following definition. </w:t>
      </w:r>
    </w:p>
    <w:p w:rsidR="0040349E" w:rsidRPr="005F120D" w:rsidRDefault="00DB65DE" w:rsidP="00C437AA">
      <w:pPr>
        <w:pBdr>
          <w:top w:val="double" w:sz="4" w:space="1" w:color="948A54"/>
          <w:left w:val="double" w:sz="4" w:space="1" w:color="948A54"/>
          <w:bottom w:val="double" w:sz="4" w:space="1" w:color="948A54"/>
          <w:right w:val="double" w:sz="4" w:space="1" w:color="948A54"/>
        </w:pBdr>
        <w:spacing w:after="0" w:line="276" w:lineRule="auto"/>
        <w:outlineLvl w:val="0"/>
        <w:rPr>
          <w:rFonts w:asciiTheme="minorHAnsi" w:hAnsiTheme="minorHAnsi" w:cstheme="minorHAnsi"/>
          <w:b/>
          <w:bCs/>
          <w:color w:val="000000"/>
          <w:kern w:val="36"/>
          <w:szCs w:val="22"/>
        </w:rPr>
      </w:pPr>
      <w:bookmarkStart w:id="416" w:name="_Toc444340441"/>
      <w:bookmarkStart w:id="417" w:name="_Toc462837183"/>
      <w:r w:rsidRPr="005F120D">
        <w:rPr>
          <w:rFonts w:asciiTheme="minorHAnsi" w:hAnsiTheme="minorHAnsi" w:cstheme="minorHAnsi"/>
          <w:b/>
          <w:bCs/>
          <w:color w:val="000000"/>
          <w:kern w:val="36"/>
          <w:szCs w:val="22"/>
        </w:rPr>
        <w:t>Primary Completion Rate, T</w:t>
      </w:r>
      <w:r w:rsidR="0040349E" w:rsidRPr="005F120D">
        <w:rPr>
          <w:rFonts w:asciiTheme="minorHAnsi" w:hAnsiTheme="minorHAnsi" w:cstheme="minorHAnsi"/>
          <w:b/>
          <w:bCs/>
          <w:color w:val="000000"/>
          <w:kern w:val="36"/>
          <w:szCs w:val="22"/>
        </w:rPr>
        <w:t>otal (% of relevant age group)</w:t>
      </w:r>
      <w:bookmarkEnd w:id="416"/>
      <w:bookmarkEnd w:id="417"/>
    </w:p>
    <w:p w:rsidR="0040349E" w:rsidRPr="005F120D" w:rsidRDefault="0040349E" w:rsidP="00C437AA">
      <w:pPr>
        <w:pBdr>
          <w:top w:val="double" w:sz="4" w:space="1" w:color="948A54"/>
          <w:left w:val="double" w:sz="4" w:space="1" w:color="948A54"/>
          <w:bottom w:val="double" w:sz="4" w:space="1" w:color="948A54"/>
          <w:right w:val="double" w:sz="4" w:space="1" w:color="948A54"/>
        </w:pBdr>
        <w:spacing w:after="0" w:line="276" w:lineRule="auto"/>
        <w:rPr>
          <w:rFonts w:asciiTheme="minorHAnsi" w:hAnsiTheme="minorHAnsi" w:cstheme="minorHAnsi"/>
          <w:color w:val="000000"/>
          <w:szCs w:val="22"/>
        </w:rPr>
      </w:pPr>
    </w:p>
    <w:p w:rsidR="0040349E" w:rsidRPr="005F120D" w:rsidRDefault="0040349E" w:rsidP="00C437AA">
      <w:pPr>
        <w:pBdr>
          <w:top w:val="double" w:sz="4" w:space="1" w:color="948A54"/>
          <w:left w:val="double" w:sz="4" w:space="1" w:color="948A54"/>
          <w:bottom w:val="double" w:sz="4" w:space="1" w:color="948A54"/>
          <w:right w:val="double" w:sz="4" w:space="1" w:color="948A54"/>
        </w:pBdr>
        <w:spacing w:after="0" w:line="276" w:lineRule="auto"/>
        <w:jc w:val="both"/>
        <w:rPr>
          <w:rFonts w:asciiTheme="minorHAnsi" w:hAnsiTheme="minorHAnsi" w:cstheme="minorHAnsi"/>
          <w:color w:val="000000"/>
          <w:szCs w:val="22"/>
        </w:rPr>
      </w:pPr>
      <w:r w:rsidRPr="005F120D">
        <w:rPr>
          <w:rFonts w:asciiTheme="minorHAnsi" w:hAnsiTheme="minorHAnsi" w:cstheme="minorHAnsi"/>
          <w:color w:val="000000"/>
          <w:szCs w:val="22"/>
        </w:rPr>
        <w:t xml:space="preserve">This </w:t>
      </w:r>
      <w:r w:rsidRPr="005F120D">
        <w:rPr>
          <w:rStyle w:val="field-content"/>
          <w:rFonts w:asciiTheme="minorHAnsi" w:hAnsiTheme="minorHAnsi" w:cstheme="minorHAnsi"/>
          <w:color w:val="000000"/>
          <w:szCs w:val="22"/>
        </w:rPr>
        <w:t>Primary completion rate is measured as the gross intake ratio to the last grade of primary education. It is calculated by taking the total number of students in the last grade of primary school (</w:t>
      </w:r>
      <w:r w:rsidR="0052554B" w:rsidRPr="005F120D">
        <w:rPr>
          <w:rStyle w:val="field-content"/>
          <w:rFonts w:asciiTheme="minorHAnsi" w:hAnsiTheme="minorHAnsi" w:cstheme="minorHAnsi"/>
          <w:color w:val="000000"/>
          <w:szCs w:val="22"/>
        </w:rPr>
        <w:t xml:space="preserve">i.e. total enrolment of </w:t>
      </w:r>
      <w:r w:rsidRPr="005F120D">
        <w:rPr>
          <w:rStyle w:val="field-content"/>
          <w:rFonts w:asciiTheme="minorHAnsi" w:hAnsiTheme="minorHAnsi" w:cstheme="minorHAnsi"/>
          <w:color w:val="000000"/>
          <w:szCs w:val="22"/>
        </w:rPr>
        <w:t>Grade 5), minus the num</w:t>
      </w:r>
      <w:r w:rsidR="0052554B" w:rsidRPr="005F120D">
        <w:rPr>
          <w:rStyle w:val="field-content"/>
          <w:rFonts w:asciiTheme="minorHAnsi" w:hAnsiTheme="minorHAnsi" w:cstheme="minorHAnsi"/>
          <w:color w:val="000000"/>
          <w:szCs w:val="22"/>
        </w:rPr>
        <w:t>ber of repeaters in Grade 5</w:t>
      </w:r>
      <w:r w:rsidRPr="005F120D">
        <w:rPr>
          <w:rStyle w:val="field-content"/>
          <w:rFonts w:asciiTheme="minorHAnsi" w:hAnsiTheme="minorHAnsi" w:cstheme="minorHAnsi"/>
          <w:color w:val="000000"/>
          <w:szCs w:val="22"/>
        </w:rPr>
        <w:t xml:space="preserve">, divided by the total number of children of official graduation age (10 years). </w:t>
      </w:r>
      <w:r w:rsidRPr="005F120D">
        <w:rPr>
          <w:rFonts w:asciiTheme="minorHAnsi" w:hAnsiTheme="minorHAnsi" w:cstheme="minorHAnsi"/>
          <w:color w:val="000000"/>
          <w:szCs w:val="22"/>
        </w:rPr>
        <w:t xml:space="preserve">This indicator is also known as "gross intake rate to the last grade of primary." The ratio can exceed 100% due to over-aged and under-aged children who enter primary school late/early and/or repeat grades. </w:t>
      </w:r>
    </w:p>
    <w:p w:rsidR="0040349E" w:rsidRPr="005F120D" w:rsidRDefault="0040349E" w:rsidP="00C437AA">
      <w:pPr>
        <w:pBdr>
          <w:top w:val="double" w:sz="4" w:space="1" w:color="948A54"/>
          <w:left w:val="double" w:sz="4" w:space="1" w:color="948A54"/>
          <w:bottom w:val="double" w:sz="4" w:space="1" w:color="948A54"/>
          <w:right w:val="double" w:sz="4" w:space="1" w:color="948A54"/>
        </w:pBdr>
        <w:spacing w:after="0" w:line="276" w:lineRule="auto"/>
        <w:rPr>
          <w:rFonts w:asciiTheme="minorHAnsi" w:hAnsiTheme="minorHAnsi" w:cstheme="minorHAnsi"/>
          <w:color w:val="000000"/>
          <w:szCs w:val="22"/>
        </w:rPr>
      </w:pPr>
    </w:p>
    <w:p w:rsidR="0040349E" w:rsidRPr="005F120D" w:rsidRDefault="002E2ED5" w:rsidP="00C437AA">
      <w:pPr>
        <w:pBdr>
          <w:top w:val="double" w:sz="4" w:space="1" w:color="948A54"/>
          <w:left w:val="double" w:sz="4" w:space="1" w:color="948A54"/>
          <w:bottom w:val="double" w:sz="4" w:space="1" w:color="948A54"/>
          <w:right w:val="double" w:sz="4" w:space="1" w:color="948A54"/>
        </w:pBdr>
        <w:spacing w:after="0" w:line="276" w:lineRule="auto"/>
        <w:jc w:val="center"/>
        <w:rPr>
          <w:rFonts w:asciiTheme="minorHAnsi" w:hAnsiTheme="minorHAnsi" w:cstheme="minorHAnsi"/>
          <w:color w:val="0000FF"/>
          <w:szCs w:val="22"/>
        </w:rPr>
      </w:pPr>
      <w:hyperlink r:id="rId53" w:history="1">
        <w:r w:rsidR="0040349E" w:rsidRPr="005F120D">
          <w:rPr>
            <w:rStyle w:val="Hyperlink"/>
            <w:rFonts w:asciiTheme="minorHAnsi" w:hAnsiTheme="minorHAnsi" w:cstheme="minorHAnsi"/>
            <w:szCs w:val="22"/>
          </w:rPr>
          <w:t>http://data.worldbank.org/indicator/SE.PRM.CMPT.ZS/countries?display=default</w:t>
        </w:r>
      </w:hyperlink>
    </w:p>
    <w:p w:rsidR="0040349E" w:rsidRPr="005F120D" w:rsidRDefault="0040349E" w:rsidP="00C437AA">
      <w:pPr>
        <w:pBdr>
          <w:top w:val="double" w:sz="4" w:space="1" w:color="948A54"/>
          <w:left w:val="double" w:sz="4" w:space="1" w:color="948A54"/>
          <w:bottom w:val="double" w:sz="4" w:space="1" w:color="948A54"/>
          <w:right w:val="double" w:sz="4" w:space="1" w:color="948A54"/>
        </w:pBdr>
        <w:spacing w:after="0" w:line="276" w:lineRule="auto"/>
        <w:rPr>
          <w:rFonts w:asciiTheme="minorHAnsi" w:hAnsiTheme="minorHAnsi" w:cstheme="minorHAnsi"/>
          <w:color w:val="000000"/>
          <w:szCs w:val="22"/>
        </w:rPr>
      </w:pPr>
    </w:p>
    <w:p w:rsidR="0040349E" w:rsidRPr="005F120D" w:rsidRDefault="0040349E" w:rsidP="00C437AA">
      <w:pPr>
        <w:spacing w:before="240" w:line="276" w:lineRule="auto"/>
        <w:rPr>
          <w:rFonts w:asciiTheme="minorHAnsi" w:hAnsiTheme="minorHAnsi" w:cstheme="minorHAnsi"/>
          <w:color w:val="000000"/>
          <w:szCs w:val="22"/>
        </w:rPr>
      </w:pPr>
      <w:r w:rsidRPr="005F120D">
        <w:rPr>
          <w:rFonts w:asciiTheme="minorHAnsi" w:hAnsiTheme="minorHAnsi" w:cstheme="minorHAnsi"/>
          <w:color w:val="000000"/>
          <w:szCs w:val="22"/>
        </w:rPr>
        <w:t xml:space="preserve">DPE uses this formula to calculate the </w:t>
      </w:r>
      <w:r w:rsidR="00181A5B" w:rsidRPr="005F120D">
        <w:rPr>
          <w:rFonts w:asciiTheme="minorHAnsi" w:hAnsiTheme="minorHAnsi" w:cstheme="minorHAnsi"/>
          <w:color w:val="000000"/>
          <w:szCs w:val="22"/>
        </w:rPr>
        <w:t xml:space="preserve">3 types of </w:t>
      </w:r>
      <w:r w:rsidR="0052554B" w:rsidRPr="005F120D">
        <w:rPr>
          <w:rFonts w:asciiTheme="minorHAnsi" w:hAnsiTheme="minorHAnsi" w:cstheme="minorHAnsi"/>
          <w:color w:val="000000"/>
          <w:szCs w:val="22"/>
        </w:rPr>
        <w:t xml:space="preserve">gross </w:t>
      </w:r>
      <w:r w:rsidRPr="005F120D">
        <w:rPr>
          <w:rFonts w:asciiTheme="minorHAnsi" w:hAnsiTheme="minorHAnsi" w:cstheme="minorHAnsi"/>
          <w:color w:val="000000"/>
          <w:szCs w:val="22"/>
        </w:rPr>
        <w:t xml:space="preserve">completion rate by using the </w:t>
      </w:r>
      <w:r w:rsidR="0052554B" w:rsidRPr="005F120D">
        <w:rPr>
          <w:rFonts w:asciiTheme="minorHAnsi" w:hAnsiTheme="minorHAnsi" w:cstheme="minorHAnsi"/>
          <w:color w:val="000000"/>
          <w:szCs w:val="22"/>
        </w:rPr>
        <w:t xml:space="preserve">3 </w:t>
      </w:r>
      <w:r w:rsidR="00181A5B" w:rsidRPr="005F120D">
        <w:rPr>
          <w:rFonts w:asciiTheme="minorHAnsi" w:hAnsiTheme="minorHAnsi" w:cstheme="minorHAnsi"/>
          <w:color w:val="000000"/>
          <w:szCs w:val="22"/>
        </w:rPr>
        <w:t>numer</w:t>
      </w:r>
      <w:r w:rsidR="0052554B" w:rsidRPr="005F120D">
        <w:rPr>
          <w:rFonts w:asciiTheme="minorHAnsi" w:hAnsiTheme="minorHAnsi" w:cstheme="minorHAnsi"/>
          <w:color w:val="000000"/>
          <w:szCs w:val="22"/>
        </w:rPr>
        <w:t xml:space="preserve">ators </w:t>
      </w:r>
      <w:r w:rsidR="00181A5B" w:rsidRPr="005F120D">
        <w:rPr>
          <w:rFonts w:asciiTheme="minorHAnsi" w:hAnsiTheme="minorHAnsi" w:cstheme="minorHAnsi"/>
          <w:color w:val="000000"/>
          <w:szCs w:val="22"/>
        </w:rPr>
        <w:t>as follows</w:t>
      </w:r>
      <w:r w:rsidRPr="005F120D">
        <w:rPr>
          <w:rFonts w:asciiTheme="minorHAnsi" w:hAnsiTheme="minorHAnsi" w:cstheme="minorHAnsi"/>
          <w:color w:val="000000"/>
          <w:szCs w:val="22"/>
        </w:rPr>
        <w:t>:</w:t>
      </w:r>
    </w:p>
    <w:p w:rsidR="0040349E" w:rsidRPr="005F120D" w:rsidRDefault="0040349E" w:rsidP="00C437AA">
      <w:pPr>
        <w:numPr>
          <w:ilvl w:val="0"/>
          <w:numId w:val="54"/>
        </w:numPr>
        <w:spacing w:after="0" w:line="276" w:lineRule="auto"/>
        <w:contextualSpacing/>
        <w:rPr>
          <w:rFonts w:asciiTheme="minorHAnsi" w:hAnsiTheme="minorHAnsi" w:cstheme="minorHAnsi"/>
          <w:color w:val="000000"/>
        </w:rPr>
      </w:pPr>
      <w:r w:rsidRPr="005F120D">
        <w:rPr>
          <w:rFonts w:asciiTheme="minorHAnsi" w:hAnsiTheme="minorHAnsi" w:cstheme="minorHAnsi"/>
          <w:color w:val="000000"/>
        </w:rPr>
        <w:t>Number of new entrants in Grade 5 (not including repeaters in Grade 5) in 2015</w:t>
      </w:r>
      <w:r w:rsidR="00DB65DE" w:rsidRPr="005F120D">
        <w:rPr>
          <w:rFonts w:asciiTheme="minorHAnsi" w:hAnsiTheme="minorHAnsi" w:cstheme="minorHAnsi"/>
          <w:color w:val="000000"/>
        </w:rPr>
        <w:t>;</w:t>
      </w:r>
    </w:p>
    <w:p w:rsidR="0040349E" w:rsidRPr="005F120D" w:rsidRDefault="0040349E" w:rsidP="00C437AA">
      <w:pPr>
        <w:numPr>
          <w:ilvl w:val="0"/>
          <w:numId w:val="54"/>
        </w:numPr>
        <w:spacing w:after="0" w:line="276" w:lineRule="auto"/>
        <w:contextualSpacing/>
        <w:rPr>
          <w:rFonts w:asciiTheme="minorHAnsi" w:hAnsiTheme="minorHAnsi" w:cstheme="minorHAnsi"/>
          <w:color w:val="000000"/>
        </w:rPr>
      </w:pPr>
      <w:r w:rsidRPr="005F120D">
        <w:rPr>
          <w:rFonts w:asciiTheme="minorHAnsi" w:hAnsiTheme="minorHAnsi" w:cstheme="minorHAnsi"/>
          <w:color w:val="000000"/>
        </w:rPr>
        <w:t>Number of students on the DR list (PECE), 2015</w:t>
      </w:r>
      <w:r w:rsidR="00DB65DE" w:rsidRPr="005F120D">
        <w:rPr>
          <w:rFonts w:asciiTheme="minorHAnsi" w:hAnsiTheme="minorHAnsi" w:cstheme="minorHAnsi"/>
          <w:color w:val="000000"/>
        </w:rPr>
        <w:t>;</w:t>
      </w:r>
    </w:p>
    <w:p w:rsidR="0040349E" w:rsidRPr="005F120D" w:rsidRDefault="0040349E" w:rsidP="00C437AA">
      <w:pPr>
        <w:numPr>
          <w:ilvl w:val="0"/>
          <w:numId w:val="54"/>
        </w:numPr>
        <w:spacing w:before="240" w:after="200" w:line="276" w:lineRule="auto"/>
        <w:contextualSpacing/>
        <w:rPr>
          <w:rFonts w:asciiTheme="minorHAnsi" w:hAnsiTheme="minorHAnsi" w:cstheme="minorHAnsi"/>
          <w:color w:val="000000"/>
        </w:rPr>
      </w:pPr>
      <w:r w:rsidRPr="005F120D">
        <w:rPr>
          <w:rFonts w:asciiTheme="minorHAnsi" w:hAnsiTheme="minorHAnsi" w:cstheme="minorHAnsi"/>
          <w:color w:val="000000"/>
        </w:rPr>
        <w:t>Number of students who passed the PECE, 2015</w:t>
      </w:r>
      <w:r w:rsidR="00DB65DE" w:rsidRPr="005F120D">
        <w:rPr>
          <w:rFonts w:asciiTheme="minorHAnsi" w:hAnsiTheme="minorHAnsi" w:cstheme="minorHAnsi"/>
          <w:color w:val="000000"/>
        </w:rPr>
        <w:t>.</w:t>
      </w:r>
    </w:p>
    <w:p w:rsidR="00190BE3" w:rsidRPr="005F120D" w:rsidRDefault="0040349E" w:rsidP="00C437AA">
      <w:pPr>
        <w:spacing w:before="240" w:line="276" w:lineRule="auto"/>
        <w:rPr>
          <w:rFonts w:asciiTheme="minorHAnsi" w:hAnsiTheme="minorHAnsi" w:cstheme="minorHAnsi"/>
          <w:szCs w:val="22"/>
        </w:rPr>
      </w:pPr>
      <w:r w:rsidRPr="005F120D">
        <w:rPr>
          <w:rFonts w:asciiTheme="minorHAnsi" w:hAnsiTheme="minorHAnsi" w:cstheme="minorHAnsi"/>
          <w:color w:val="000000"/>
          <w:szCs w:val="22"/>
        </w:rPr>
        <w:t xml:space="preserve">Based on the 2011 Population Census conducted by BBS, the estimated Grade 5 population was </w:t>
      </w:r>
      <w:r w:rsidR="00DB65DE" w:rsidRPr="005F120D">
        <w:rPr>
          <w:rFonts w:asciiTheme="minorHAnsi" w:hAnsiTheme="minorHAnsi" w:cstheme="minorHAnsi"/>
          <w:color w:val="000000"/>
          <w:szCs w:val="22"/>
        </w:rPr>
        <w:t>in the 3.3 to 3.5 million ranges</w:t>
      </w:r>
      <w:r w:rsidRPr="005F120D">
        <w:rPr>
          <w:rFonts w:asciiTheme="minorHAnsi" w:hAnsiTheme="minorHAnsi" w:cstheme="minorHAnsi"/>
          <w:color w:val="000000"/>
          <w:szCs w:val="22"/>
        </w:rPr>
        <w:t>. The three possible primary gross completion rates of Bangladesh are shown in the following Table 3.3</w:t>
      </w:r>
      <w:r w:rsidR="00DB65DE" w:rsidRPr="005F120D">
        <w:rPr>
          <w:rFonts w:asciiTheme="minorHAnsi" w:hAnsiTheme="minorHAnsi" w:cstheme="minorHAnsi"/>
          <w:color w:val="000000"/>
          <w:szCs w:val="22"/>
        </w:rPr>
        <w:t>3</w:t>
      </w:r>
      <w:r w:rsidRPr="005F120D">
        <w:rPr>
          <w:rFonts w:asciiTheme="minorHAnsi" w:hAnsiTheme="minorHAnsi" w:cstheme="minorHAnsi"/>
          <w:szCs w:val="22"/>
        </w:rPr>
        <w:t>. It is evident that the primary cycle completion has been increasing since 2010</w:t>
      </w:r>
      <w:r w:rsidR="00CF57C7" w:rsidRPr="005F120D">
        <w:rPr>
          <w:rFonts w:asciiTheme="minorHAnsi" w:hAnsiTheme="minorHAnsi" w:cstheme="minorHAnsi"/>
          <w:szCs w:val="22"/>
        </w:rPr>
        <w:t>.</w:t>
      </w:r>
    </w:p>
    <w:p w:rsidR="00190BE3" w:rsidRPr="005F120D" w:rsidRDefault="00C135DB" w:rsidP="00C437AA">
      <w:pPr>
        <w:pStyle w:val="Caption"/>
        <w:spacing w:before="240" w:line="276" w:lineRule="auto"/>
        <w:rPr>
          <w:rFonts w:cstheme="minorHAnsi"/>
          <w:color w:val="000000" w:themeColor="text1"/>
        </w:rPr>
      </w:pPr>
      <w:bookmarkStart w:id="418" w:name="_Toc462837290"/>
      <w:r w:rsidRPr="005F120D">
        <w:rPr>
          <w:rFonts w:cstheme="minorHAnsi"/>
          <w:color w:val="000000" w:themeColor="text1"/>
        </w:rPr>
        <w:t xml:space="preserve">Table </w:t>
      </w:r>
      <w:r w:rsidR="002E2ED5" w:rsidRPr="005F120D">
        <w:rPr>
          <w:rFonts w:cstheme="minorHAnsi"/>
          <w:color w:val="000000" w:themeColor="text1"/>
        </w:rPr>
        <w:fldChar w:fldCharType="begin"/>
      </w:r>
      <w:r w:rsidR="007112B6" w:rsidRPr="005F120D">
        <w:rPr>
          <w:rFonts w:cstheme="minorHAnsi"/>
          <w:color w:val="000000" w:themeColor="text1"/>
        </w:rPr>
        <w:instrText xml:space="preserve"> STYLEREF 1 \s </w:instrText>
      </w:r>
      <w:r w:rsidR="002E2ED5" w:rsidRPr="005F120D">
        <w:rPr>
          <w:rFonts w:cstheme="minorHAnsi"/>
          <w:color w:val="000000" w:themeColor="text1"/>
        </w:rPr>
        <w:fldChar w:fldCharType="separate"/>
      </w:r>
      <w:r w:rsidR="00810DA2">
        <w:rPr>
          <w:rFonts w:cstheme="minorHAnsi"/>
          <w:noProof/>
          <w:color w:val="000000" w:themeColor="text1"/>
        </w:rPr>
        <w:t>3</w:t>
      </w:r>
      <w:r w:rsidR="002E2ED5" w:rsidRPr="005F120D">
        <w:rPr>
          <w:rFonts w:cstheme="minorHAnsi"/>
          <w:color w:val="000000" w:themeColor="text1"/>
        </w:rPr>
        <w:fldChar w:fldCharType="end"/>
      </w:r>
      <w:r w:rsidR="007112B6" w:rsidRPr="005F120D">
        <w:rPr>
          <w:rFonts w:cstheme="minorHAnsi"/>
          <w:color w:val="000000" w:themeColor="text1"/>
        </w:rPr>
        <w:t>.</w:t>
      </w:r>
      <w:r w:rsidR="002E2ED5" w:rsidRPr="005F120D">
        <w:rPr>
          <w:rFonts w:cstheme="minorHAnsi"/>
          <w:color w:val="000000" w:themeColor="text1"/>
        </w:rPr>
        <w:fldChar w:fldCharType="begin"/>
      </w:r>
      <w:r w:rsidR="007112B6" w:rsidRPr="005F120D">
        <w:rPr>
          <w:rFonts w:cstheme="minorHAnsi"/>
          <w:color w:val="000000" w:themeColor="text1"/>
        </w:rPr>
        <w:instrText xml:space="preserve"> SEQ Table \* ARABIC \s 1 </w:instrText>
      </w:r>
      <w:r w:rsidR="002E2ED5" w:rsidRPr="005F120D">
        <w:rPr>
          <w:rFonts w:cstheme="minorHAnsi"/>
          <w:color w:val="000000" w:themeColor="text1"/>
        </w:rPr>
        <w:fldChar w:fldCharType="separate"/>
      </w:r>
      <w:r w:rsidR="00810DA2">
        <w:rPr>
          <w:rFonts w:cstheme="minorHAnsi"/>
          <w:noProof/>
          <w:color w:val="000000" w:themeColor="text1"/>
        </w:rPr>
        <w:t>33</w:t>
      </w:r>
      <w:r w:rsidR="002E2ED5" w:rsidRPr="005F120D">
        <w:rPr>
          <w:rFonts w:cstheme="minorHAnsi"/>
          <w:color w:val="000000" w:themeColor="text1"/>
        </w:rPr>
        <w:fldChar w:fldCharType="end"/>
      </w:r>
      <w:r w:rsidR="006A7739" w:rsidRPr="005F120D">
        <w:rPr>
          <w:rFonts w:cstheme="minorHAnsi"/>
          <w:color w:val="000000" w:themeColor="text1"/>
        </w:rPr>
        <w:t>:</w:t>
      </w:r>
      <w:r w:rsidR="00F83E43">
        <w:rPr>
          <w:rFonts w:cstheme="minorHAnsi"/>
          <w:color w:val="000000" w:themeColor="text1"/>
        </w:rPr>
        <w:t xml:space="preserve"> </w:t>
      </w:r>
      <w:r w:rsidR="00020B3C" w:rsidRPr="005F120D">
        <w:rPr>
          <w:rFonts w:cstheme="minorHAnsi"/>
          <w:color w:val="000000" w:themeColor="text1"/>
        </w:rPr>
        <w:t>Gross Completion rate 201</w:t>
      </w:r>
      <w:r w:rsidR="003E7336" w:rsidRPr="005F120D">
        <w:rPr>
          <w:rFonts w:cstheme="minorHAnsi"/>
          <w:color w:val="000000" w:themeColor="text1"/>
        </w:rPr>
        <w:t>5</w:t>
      </w:r>
      <w:bookmarkEnd w:id="418"/>
    </w:p>
    <w:tbl>
      <w:tblPr>
        <w:tblStyle w:val="LightShading2"/>
        <w:tblW w:w="6947" w:type="dxa"/>
        <w:jc w:val="center"/>
        <w:tblBorders>
          <w:top w:val="none" w:sz="0" w:space="0" w:color="auto"/>
          <w:bottom w:val="none" w:sz="0" w:space="0" w:color="auto"/>
        </w:tblBorders>
        <w:tblLook w:val="04A0"/>
      </w:tblPr>
      <w:tblGrid>
        <w:gridCol w:w="2717"/>
        <w:gridCol w:w="1440"/>
        <w:gridCol w:w="1350"/>
        <w:gridCol w:w="1440"/>
      </w:tblGrid>
      <w:tr w:rsidR="00190BE3" w:rsidRPr="005F120D" w:rsidTr="00620D84">
        <w:trPr>
          <w:cnfStyle w:val="100000000000"/>
          <w:trHeight w:hRule="exact" w:val="288"/>
          <w:jc w:val="center"/>
        </w:trPr>
        <w:tc>
          <w:tcPr>
            <w:cnfStyle w:val="001000000000"/>
            <w:tcW w:w="2717" w:type="dxa"/>
            <w:vMerge w:val="restart"/>
            <w:tcBorders>
              <w:top w:val="double" w:sz="4" w:space="0" w:color="948A54" w:themeColor="background2" w:themeShade="80"/>
              <w:left w:val="none" w:sz="0" w:space="0" w:color="auto"/>
              <w:bottom w:val="none" w:sz="0" w:space="0" w:color="auto"/>
              <w:right w:val="double" w:sz="4" w:space="0" w:color="948A54" w:themeColor="background2" w:themeShade="80"/>
            </w:tcBorders>
          </w:tcPr>
          <w:p w:rsidR="00190BE3" w:rsidRPr="005F120D" w:rsidRDefault="00190BE3" w:rsidP="00C437AA">
            <w:pPr>
              <w:spacing w:line="276" w:lineRule="auto"/>
              <w:rPr>
                <w:rFonts w:asciiTheme="minorHAnsi" w:hAnsiTheme="minorHAnsi" w:cstheme="minorHAnsi"/>
                <w:color w:val="000000" w:themeColor="text1"/>
                <w:sz w:val="20"/>
                <w:szCs w:val="20"/>
              </w:rPr>
            </w:pPr>
          </w:p>
        </w:tc>
        <w:tc>
          <w:tcPr>
            <w:tcW w:w="1440" w:type="dxa"/>
            <w:vMerge w:val="restart"/>
            <w:tcBorders>
              <w:top w:val="double" w:sz="4" w:space="0" w:color="948A54" w:themeColor="background2" w:themeShade="80"/>
              <w:left w:val="double" w:sz="4" w:space="0" w:color="948A54" w:themeColor="background2" w:themeShade="80"/>
              <w:bottom w:val="none" w:sz="0" w:space="0" w:color="auto"/>
              <w:right w:val="double" w:sz="4" w:space="0" w:color="948A54" w:themeColor="background2" w:themeShade="80"/>
            </w:tcBorders>
            <w:noWrap/>
            <w:vAlign w:val="center"/>
          </w:tcPr>
          <w:p w:rsidR="00190BE3" w:rsidRPr="005F120D" w:rsidRDefault="00190BE3" w:rsidP="00C437AA">
            <w:pPr>
              <w:spacing w:line="276" w:lineRule="auto"/>
              <w:jc w:val="center"/>
              <w:cnfStyle w:val="100000000000"/>
              <w:rPr>
                <w:rFonts w:asciiTheme="minorHAnsi" w:hAnsiTheme="minorHAnsi" w:cstheme="minorHAnsi"/>
                <w:color w:val="000000" w:themeColor="text1"/>
                <w:sz w:val="20"/>
                <w:szCs w:val="20"/>
              </w:rPr>
            </w:pPr>
            <w:r w:rsidRPr="005F120D">
              <w:rPr>
                <w:rFonts w:asciiTheme="minorHAnsi" w:hAnsiTheme="minorHAnsi" w:cstheme="minorHAnsi"/>
                <w:color w:val="000000" w:themeColor="text1"/>
                <w:sz w:val="20"/>
                <w:szCs w:val="20"/>
              </w:rPr>
              <w:t>No. of Pupils</w:t>
            </w:r>
          </w:p>
        </w:tc>
        <w:tc>
          <w:tcPr>
            <w:tcW w:w="2790" w:type="dxa"/>
            <w:gridSpan w:val="2"/>
            <w:tcBorders>
              <w:top w:val="double" w:sz="4" w:space="0" w:color="948A54" w:themeColor="background2" w:themeShade="80"/>
              <w:left w:val="double" w:sz="4" w:space="0" w:color="948A54" w:themeColor="background2" w:themeShade="80"/>
              <w:bottom w:val="none" w:sz="0" w:space="0" w:color="auto"/>
              <w:right w:val="none" w:sz="0" w:space="0" w:color="auto"/>
            </w:tcBorders>
            <w:noWrap/>
          </w:tcPr>
          <w:p w:rsidR="00190BE3" w:rsidRPr="005F120D" w:rsidRDefault="00190BE3" w:rsidP="00C437AA">
            <w:pPr>
              <w:spacing w:line="276" w:lineRule="auto"/>
              <w:jc w:val="center"/>
              <w:cnfStyle w:val="100000000000"/>
              <w:rPr>
                <w:rFonts w:asciiTheme="minorHAnsi" w:hAnsiTheme="minorHAnsi" w:cstheme="minorHAnsi"/>
                <w:color w:val="000000" w:themeColor="text1"/>
                <w:sz w:val="20"/>
                <w:szCs w:val="20"/>
              </w:rPr>
            </w:pPr>
            <w:r w:rsidRPr="005F120D">
              <w:rPr>
                <w:rFonts w:asciiTheme="minorHAnsi" w:hAnsiTheme="minorHAnsi" w:cstheme="minorHAnsi"/>
                <w:color w:val="000000" w:themeColor="text1"/>
                <w:sz w:val="20"/>
                <w:szCs w:val="20"/>
              </w:rPr>
              <w:t>Completion Rate</w:t>
            </w:r>
          </w:p>
        </w:tc>
      </w:tr>
      <w:tr w:rsidR="00190BE3" w:rsidRPr="005F120D" w:rsidTr="00620D84">
        <w:trPr>
          <w:cnfStyle w:val="000000100000"/>
          <w:trHeight w:hRule="exact" w:val="288"/>
          <w:jc w:val="center"/>
        </w:trPr>
        <w:tc>
          <w:tcPr>
            <w:cnfStyle w:val="001000000000"/>
            <w:tcW w:w="2717" w:type="dxa"/>
            <w:vMerge/>
            <w:tcBorders>
              <w:left w:val="none" w:sz="0" w:space="0" w:color="auto"/>
              <w:bottom w:val="double" w:sz="4" w:space="0" w:color="948A54" w:themeColor="background2" w:themeShade="80"/>
              <w:right w:val="double" w:sz="4" w:space="0" w:color="948A54" w:themeColor="background2" w:themeShade="80"/>
            </w:tcBorders>
          </w:tcPr>
          <w:p w:rsidR="00190BE3" w:rsidRPr="005F120D" w:rsidRDefault="00190BE3" w:rsidP="00C437AA">
            <w:pPr>
              <w:spacing w:line="276" w:lineRule="auto"/>
              <w:rPr>
                <w:rFonts w:asciiTheme="minorHAnsi" w:hAnsiTheme="minorHAnsi" w:cstheme="minorHAnsi"/>
                <w:color w:val="000000" w:themeColor="text1"/>
                <w:sz w:val="20"/>
                <w:szCs w:val="20"/>
              </w:rPr>
            </w:pPr>
          </w:p>
        </w:tc>
        <w:tc>
          <w:tcPr>
            <w:tcW w:w="1440" w:type="dxa"/>
            <w:vMerge/>
            <w:tcBorders>
              <w:left w:val="double" w:sz="4" w:space="0" w:color="948A54" w:themeColor="background2" w:themeShade="80"/>
              <w:bottom w:val="double" w:sz="4" w:space="0" w:color="948A54" w:themeColor="background2" w:themeShade="80"/>
              <w:right w:val="double" w:sz="4" w:space="0" w:color="948A54" w:themeColor="background2" w:themeShade="80"/>
            </w:tcBorders>
            <w:noWrap/>
          </w:tcPr>
          <w:p w:rsidR="00190BE3" w:rsidRPr="005F120D" w:rsidRDefault="00190BE3" w:rsidP="00C437AA">
            <w:pPr>
              <w:spacing w:line="276" w:lineRule="auto"/>
              <w:jc w:val="center"/>
              <w:cnfStyle w:val="000000100000"/>
              <w:rPr>
                <w:rFonts w:asciiTheme="minorHAnsi" w:hAnsiTheme="minorHAnsi" w:cstheme="minorHAnsi"/>
                <w:color w:val="000000" w:themeColor="text1"/>
                <w:sz w:val="20"/>
                <w:szCs w:val="20"/>
              </w:rPr>
            </w:pPr>
          </w:p>
        </w:tc>
        <w:tc>
          <w:tcPr>
            <w:tcW w:w="1350" w:type="dxa"/>
            <w:tc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tcBorders>
            <w:shd w:val="clear" w:color="auto" w:fill="DDD9C3" w:themeFill="background2" w:themeFillShade="E6"/>
            <w:noWrap/>
          </w:tcPr>
          <w:p w:rsidR="00190BE3" w:rsidRPr="005F120D" w:rsidRDefault="00190BE3" w:rsidP="00C437AA">
            <w:pPr>
              <w:spacing w:line="276" w:lineRule="auto"/>
              <w:jc w:val="center"/>
              <w:cnfStyle w:val="000000100000"/>
              <w:rPr>
                <w:rFonts w:asciiTheme="minorHAnsi" w:hAnsiTheme="minorHAnsi" w:cstheme="minorHAnsi"/>
                <w:b/>
                <w:color w:val="000000" w:themeColor="text1"/>
                <w:sz w:val="16"/>
                <w:szCs w:val="20"/>
              </w:rPr>
            </w:pPr>
            <w:r w:rsidRPr="005F120D">
              <w:rPr>
                <w:rFonts w:asciiTheme="minorHAnsi" w:hAnsiTheme="minorHAnsi" w:cstheme="minorHAnsi"/>
                <w:b/>
                <w:color w:val="000000" w:themeColor="text1"/>
                <w:sz w:val="16"/>
                <w:szCs w:val="20"/>
              </w:rPr>
              <w:t>High</w:t>
            </w:r>
            <w:r w:rsidR="00F83E43">
              <w:rPr>
                <w:rFonts w:asciiTheme="minorHAnsi" w:hAnsiTheme="minorHAnsi" w:cstheme="minorHAnsi"/>
                <w:b/>
                <w:color w:val="000000" w:themeColor="text1"/>
                <w:sz w:val="16"/>
                <w:szCs w:val="20"/>
              </w:rPr>
              <w:t xml:space="preserve"> </w:t>
            </w:r>
            <w:r w:rsidRPr="005F120D">
              <w:rPr>
                <w:rFonts w:asciiTheme="minorHAnsi" w:hAnsiTheme="minorHAnsi" w:cstheme="minorHAnsi"/>
                <w:b/>
                <w:color w:val="000000" w:themeColor="text1"/>
                <w:sz w:val="16"/>
                <w:szCs w:val="20"/>
              </w:rPr>
              <w:t>Case</w:t>
            </w:r>
          </w:p>
          <w:p w:rsidR="00190BE3" w:rsidRPr="005F120D" w:rsidRDefault="00190BE3" w:rsidP="00C437AA">
            <w:pPr>
              <w:spacing w:line="276" w:lineRule="auto"/>
              <w:jc w:val="center"/>
              <w:cnfStyle w:val="000000100000"/>
              <w:rPr>
                <w:rFonts w:asciiTheme="minorHAnsi" w:hAnsiTheme="minorHAnsi" w:cstheme="minorHAnsi"/>
                <w:b/>
                <w:color w:val="000000" w:themeColor="text1"/>
                <w:sz w:val="16"/>
                <w:szCs w:val="20"/>
              </w:rPr>
            </w:pPr>
            <w:r w:rsidRPr="005F120D">
              <w:rPr>
                <w:rFonts w:asciiTheme="minorHAnsi" w:hAnsiTheme="minorHAnsi" w:cstheme="minorHAnsi"/>
                <w:b/>
                <w:color w:val="000000" w:themeColor="text1"/>
                <w:sz w:val="16"/>
                <w:szCs w:val="20"/>
              </w:rPr>
              <w:t>(3.3 million)</w:t>
            </w:r>
          </w:p>
        </w:tc>
        <w:tc>
          <w:tcPr>
            <w:tcW w:w="1440" w:type="dxa"/>
            <w:tcBorders>
              <w:left w:val="double" w:sz="4" w:space="0" w:color="948A54" w:themeColor="background2" w:themeShade="80"/>
              <w:bottom w:val="double" w:sz="4" w:space="0" w:color="948A54" w:themeColor="background2" w:themeShade="80"/>
              <w:right w:val="none" w:sz="0" w:space="0" w:color="auto"/>
            </w:tcBorders>
            <w:shd w:val="clear" w:color="auto" w:fill="DDD9C3" w:themeFill="background2" w:themeFillShade="E6"/>
            <w:noWrap/>
          </w:tcPr>
          <w:p w:rsidR="00190BE3" w:rsidRPr="005F120D" w:rsidRDefault="00190BE3" w:rsidP="00C437AA">
            <w:pPr>
              <w:pBdr>
                <w:top w:val="double" w:sz="4" w:space="1" w:color="948A54" w:themeColor="background2" w:themeShade="80"/>
                <w:left w:val="double" w:sz="4" w:space="4" w:color="948A54" w:themeColor="background2" w:themeShade="80"/>
                <w:bottom w:val="double" w:sz="4" w:space="1" w:color="948A54" w:themeColor="background2" w:themeShade="80"/>
                <w:right w:val="double" w:sz="4" w:space="4" w:color="948A54" w:themeColor="background2" w:themeShade="80"/>
              </w:pBdr>
              <w:spacing w:line="276" w:lineRule="auto"/>
              <w:jc w:val="center"/>
              <w:cnfStyle w:val="000000100000"/>
              <w:rPr>
                <w:rFonts w:asciiTheme="minorHAnsi" w:hAnsiTheme="minorHAnsi" w:cstheme="minorHAnsi"/>
                <w:b/>
                <w:color w:val="0000FF"/>
                <w:sz w:val="16"/>
                <w:szCs w:val="20"/>
              </w:rPr>
            </w:pPr>
            <w:r w:rsidRPr="005F120D">
              <w:rPr>
                <w:rFonts w:asciiTheme="minorHAnsi" w:hAnsiTheme="minorHAnsi" w:cstheme="minorHAnsi"/>
                <w:b/>
                <w:color w:val="0000FF"/>
                <w:sz w:val="16"/>
                <w:szCs w:val="20"/>
              </w:rPr>
              <w:t>Low Case</w:t>
            </w:r>
          </w:p>
          <w:p w:rsidR="00190BE3" w:rsidRPr="005F120D" w:rsidRDefault="00190BE3" w:rsidP="00C437AA">
            <w:pPr>
              <w:spacing w:line="276" w:lineRule="auto"/>
              <w:jc w:val="center"/>
              <w:cnfStyle w:val="000000100000"/>
              <w:rPr>
                <w:rFonts w:asciiTheme="minorHAnsi" w:hAnsiTheme="minorHAnsi" w:cstheme="minorHAnsi"/>
                <w:b/>
                <w:color w:val="0000FF"/>
                <w:sz w:val="16"/>
                <w:szCs w:val="20"/>
              </w:rPr>
            </w:pPr>
            <w:r w:rsidRPr="005F120D">
              <w:rPr>
                <w:rFonts w:asciiTheme="minorHAnsi" w:hAnsiTheme="minorHAnsi" w:cstheme="minorHAnsi"/>
                <w:b/>
                <w:color w:val="0000FF"/>
                <w:sz w:val="16"/>
                <w:szCs w:val="20"/>
              </w:rPr>
              <w:t>(3.5 million)</w:t>
            </w:r>
          </w:p>
        </w:tc>
      </w:tr>
      <w:tr w:rsidR="001B2C7B" w:rsidRPr="005F120D" w:rsidTr="00620D84">
        <w:trPr>
          <w:trHeight w:hRule="exact" w:val="432"/>
          <w:jc w:val="center"/>
        </w:trPr>
        <w:tc>
          <w:tcPr>
            <w:cnfStyle w:val="001000000000"/>
            <w:tcW w:w="2717" w:type="dxa"/>
            <w:tcBorders>
              <w:top w:val="double" w:sz="4" w:space="0" w:color="948A54" w:themeColor="background2" w:themeShade="80"/>
              <w:bottom w:val="double" w:sz="4" w:space="0" w:color="948A54" w:themeColor="background2" w:themeShade="80"/>
              <w:right w:val="double" w:sz="4" w:space="0" w:color="948A54" w:themeColor="background2" w:themeShade="80"/>
            </w:tcBorders>
          </w:tcPr>
          <w:p w:rsidR="001B2C7B" w:rsidRPr="005F120D" w:rsidRDefault="001B2C7B" w:rsidP="00C437AA">
            <w:pPr>
              <w:spacing w:line="276" w:lineRule="auto"/>
              <w:rPr>
                <w:rFonts w:asciiTheme="minorHAnsi" w:hAnsiTheme="minorHAnsi" w:cstheme="minorHAnsi"/>
                <w:b w:val="0"/>
                <w:color w:val="000000" w:themeColor="text1"/>
                <w:sz w:val="20"/>
                <w:szCs w:val="20"/>
              </w:rPr>
            </w:pPr>
            <w:r w:rsidRPr="005F120D">
              <w:rPr>
                <w:rFonts w:asciiTheme="minorHAnsi" w:hAnsiTheme="minorHAnsi" w:cstheme="minorHAnsi"/>
                <w:b w:val="0"/>
                <w:color w:val="000000" w:themeColor="text1"/>
                <w:sz w:val="20"/>
                <w:szCs w:val="20"/>
              </w:rPr>
              <w:t>New Entrants in Gr-5</w:t>
            </w:r>
          </w:p>
        </w:tc>
        <w:tc>
          <w:tcPr>
            <w:tcW w:w="1440" w:type="dxa"/>
            <w:tc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tcBorders>
            <w:noWrap/>
          </w:tcPr>
          <w:p w:rsidR="001B2C7B" w:rsidRPr="005F120D" w:rsidRDefault="001B2C7B" w:rsidP="00C437AA">
            <w:pPr>
              <w:spacing w:line="276" w:lineRule="auto"/>
              <w:jc w:val="center"/>
              <w:cnfStyle w:val="000000000000"/>
              <w:rPr>
                <w:rFonts w:asciiTheme="minorHAnsi" w:hAnsiTheme="minorHAnsi" w:cstheme="minorHAnsi"/>
                <w:color w:val="000000"/>
                <w:sz w:val="20"/>
                <w:szCs w:val="20"/>
              </w:rPr>
            </w:pPr>
            <w:r w:rsidRPr="005F120D">
              <w:rPr>
                <w:rFonts w:asciiTheme="minorHAnsi" w:hAnsiTheme="minorHAnsi" w:cstheme="minorHAnsi"/>
                <w:color w:val="000000"/>
                <w:sz w:val="20"/>
                <w:szCs w:val="20"/>
              </w:rPr>
              <w:t>3,261,768</w:t>
            </w:r>
          </w:p>
        </w:tc>
        <w:tc>
          <w:tcPr>
            <w:tcW w:w="1350" w:type="dxa"/>
            <w:tc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tcBorders>
            <w:noWrap/>
          </w:tcPr>
          <w:p w:rsidR="001B2C7B" w:rsidRPr="005F120D" w:rsidRDefault="001B2C7B" w:rsidP="00C437AA">
            <w:pPr>
              <w:spacing w:line="276" w:lineRule="auto"/>
              <w:jc w:val="center"/>
              <w:cnfStyle w:val="000000000000"/>
              <w:rPr>
                <w:rFonts w:asciiTheme="minorHAnsi" w:hAnsiTheme="minorHAnsi" w:cstheme="minorHAnsi"/>
                <w:color w:val="000000"/>
                <w:sz w:val="20"/>
                <w:szCs w:val="20"/>
              </w:rPr>
            </w:pPr>
            <w:r w:rsidRPr="005F120D">
              <w:rPr>
                <w:rFonts w:asciiTheme="minorHAnsi" w:hAnsiTheme="minorHAnsi" w:cstheme="minorHAnsi"/>
                <w:color w:val="000000"/>
                <w:sz w:val="20"/>
                <w:szCs w:val="20"/>
              </w:rPr>
              <w:t>98.8%</w:t>
            </w:r>
          </w:p>
        </w:tc>
        <w:tc>
          <w:tcPr>
            <w:tcW w:w="1440" w:type="dxa"/>
            <w:tcBorders>
              <w:top w:val="double" w:sz="4" w:space="0" w:color="948A54" w:themeColor="background2" w:themeShade="80"/>
              <w:left w:val="double" w:sz="4" w:space="0" w:color="948A54" w:themeColor="background2" w:themeShade="80"/>
              <w:bottom w:val="double" w:sz="4" w:space="0" w:color="948A54" w:themeColor="background2" w:themeShade="80"/>
            </w:tcBorders>
            <w:noWrap/>
          </w:tcPr>
          <w:p w:rsidR="001B2C7B" w:rsidRPr="005F120D" w:rsidRDefault="001B2C7B" w:rsidP="00C437AA">
            <w:pPr>
              <w:spacing w:line="276" w:lineRule="auto"/>
              <w:jc w:val="center"/>
              <w:cnfStyle w:val="000000000000"/>
              <w:rPr>
                <w:rFonts w:asciiTheme="minorHAnsi" w:hAnsiTheme="minorHAnsi" w:cstheme="minorHAnsi"/>
                <w:color w:val="0000FF"/>
                <w:sz w:val="20"/>
                <w:szCs w:val="20"/>
              </w:rPr>
            </w:pPr>
            <w:r w:rsidRPr="005F120D">
              <w:rPr>
                <w:rFonts w:asciiTheme="minorHAnsi" w:hAnsiTheme="minorHAnsi" w:cstheme="minorHAnsi"/>
                <w:color w:val="0000FF"/>
                <w:sz w:val="20"/>
                <w:szCs w:val="20"/>
              </w:rPr>
              <w:t>93.2%</w:t>
            </w:r>
          </w:p>
        </w:tc>
      </w:tr>
      <w:tr w:rsidR="001B2C7B" w:rsidRPr="005F120D" w:rsidTr="00620D84">
        <w:trPr>
          <w:cnfStyle w:val="000000100000"/>
          <w:trHeight w:hRule="exact" w:val="432"/>
          <w:jc w:val="center"/>
        </w:trPr>
        <w:tc>
          <w:tcPr>
            <w:cnfStyle w:val="001000000000"/>
            <w:tcW w:w="2717" w:type="dxa"/>
            <w:tcBorders>
              <w:top w:val="double" w:sz="4" w:space="0" w:color="948A54" w:themeColor="background2" w:themeShade="80"/>
              <w:left w:val="none" w:sz="0" w:space="0" w:color="auto"/>
              <w:bottom w:val="double" w:sz="4" w:space="0" w:color="948A54" w:themeColor="background2" w:themeShade="80"/>
              <w:right w:val="double" w:sz="4" w:space="0" w:color="948A54" w:themeColor="background2" w:themeShade="80"/>
            </w:tcBorders>
            <w:shd w:val="clear" w:color="auto" w:fill="DDD9C3" w:themeFill="background2" w:themeFillShade="E6"/>
          </w:tcPr>
          <w:p w:rsidR="001B2C7B" w:rsidRPr="005F120D" w:rsidRDefault="001B2C7B" w:rsidP="00C437AA">
            <w:pPr>
              <w:spacing w:line="276" w:lineRule="auto"/>
              <w:rPr>
                <w:rFonts w:asciiTheme="minorHAnsi" w:hAnsiTheme="minorHAnsi" w:cstheme="minorHAnsi"/>
                <w:b w:val="0"/>
                <w:color w:val="000000" w:themeColor="text1"/>
                <w:sz w:val="20"/>
                <w:szCs w:val="20"/>
              </w:rPr>
            </w:pPr>
            <w:r w:rsidRPr="005F120D">
              <w:rPr>
                <w:rFonts w:asciiTheme="minorHAnsi" w:hAnsiTheme="minorHAnsi" w:cstheme="minorHAnsi"/>
                <w:b w:val="0"/>
                <w:color w:val="000000" w:themeColor="text1"/>
                <w:sz w:val="20"/>
                <w:szCs w:val="20"/>
              </w:rPr>
              <w:t>Students on DR</w:t>
            </w:r>
          </w:p>
        </w:tc>
        <w:tc>
          <w:tcPr>
            <w:tcW w:w="1440" w:type="dxa"/>
            <w:tc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tcBorders>
            <w:shd w:val="clear" w:color="auto" w:fill="DDD9C3" w:themeFill="background2" w:themeFillShade="E6"/>
            <w:noWrap/>
            <w:hideMark/>
          </w:tcPr>
          <w:p w:rsidR="001B2C7B" w:rsidRPr="005F120D" w:rsidRDefault="001B2C7B" w:rsidP="00C437AA">
            <w:pPr>
              <w:spacing w:line="276" w:lineRule="auto"/>
              <w:jc w:val="center"/>
              <w:cnfStyle w:val="000000100000"/>
              <w:rPr>
                <w:rFonts w:asciiTheme="minorHAnsi" w:hAnsiTheme="minorHAnsi" w:cstheme="minorHAnsi"/>
                <w:color w:val="000000"/>
                <w:sz w:val="20"/>
                <w:szCs w:val="20"/>
              </w:rPr>
            </w:pPr>
            <w:r w:rsidRPr="005F120D">
              <w:rPr>
                <w:rFonts w:asciiTheme="minorHAnsi" w:hAnsiTheme="minorHAnsi" w:cstheme="minorHAnsi"/>
                <w:color w:val="000000"/>
                <w:sz w:val="20"/>
                <w:szCs w:val="20"/>
              </w:rPr>
              <w:t>3,256,960</w:t>
            </w:r>
          </w:p>
        </w:tc>
        <w:tc>
          <w:tcPr>
            <w:tcW w:w="1350" w:type="dxa"/>
            <w:tc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tcBorders>
            <w:shd w:val="clear" w:color="auto" w:fill="DDD9C3" w:themeFill="background2" w:themeFillShade="E6"/>
            <w:noWrap/>
            <w:hideMark/>
          </w:tcPr>
          <w:p w:rsidR="001B2C7B" w:rsidRPr="005F120D" w:rsidRDefault="001B2C7B" w:rsidP="00C437AA">
            <w:pPr>
              <w:spacing w:line="276" w:lineRule="auto"/>
              <w:jc w:val="center"/>
              <w:cnfStyle w:val="000000100000"/>
              <w:rPr>
                <w:rFonts w:asciiTheme="minorHAnsi" w:hAnsiTheme="minorHAnsi" w:cstheme="minorHAnsi"/>
                <w:color w:val="000000"/>
                <w:sz w:val="20"/>
                <w:szCs w:val="20"/>
              </w:rPr>
            </w:pPr>
            <w:r w:rsidRPr="005F120D">
              <w:rPr>
                <w:rFonts w:asciiTheme="minorHAnsi" w:hAnsiTheme="minorHAnsi" w:cstheme="minorHAnsi"/>
                <w:color w:val="000000"/>
                <w:sz w:val="20"/>
                <w:szCs w:val="20"/>
              </w:rPr>
              <w:t>98.7%</w:t>
            </w:r>
          </w:p>
        </w:tc>
        <w:tc>
          <w:tcPr>
            <w:tcW w:w="1440" w:type="dxa"/>
            <w:tcBorders>
              <w:top w:val="double" w:sz="4" w:space="0" w:color="948A54" w:themeColor="background2" w:themeShade="80"/>
              <w:left w:val="double" w:sz="4" w:space="0" w:color="948A54" w:themeColor="background2" w:themeShade="80"/>
              <w:bottom w:val="double" w:sz="4" w:space="0" w:color="948A54" w:themeColor="background2" w:themeShade="80"/>
              <w:right w:val="none" w:sz="0" w:space="0" w:color="auto"/>
            </w:tcBorders>
            <w:shd w:val="clear" w:color="auto" w:fill="DDD9C3" w:themeFill="background2" w:themeFillShade="E6"/>
            <w:noWrap/>
            <w:hideMark/>
          </w:tcPr>
          <w:p w:rsidR="001B2C7B" w:rsidRPr="005F120D" w:rsidRDefault="001B2C7B" w:rsidP="00C437AA">
            <w:pPr>
              <w:spacing w:line="276" w:lineRule="auto"/>
              <w:jc w:val="center"/>
              <w:cnfStyle w:val="000000100000"/>
              <w:rPr>
                <w:rFonts w:asciiTheme="minorHAnsi" w:hAnsiTheme="minorHAnsi" w:cstheme="minorHAnsi"/>
                <w:color w:val="0000FF"/>
                <w:sz w:val="20"/>
                <w:szCs w:val="20"/>
              </w:rPr>
            </w:pPr>
            <w:r w:rsidRPr="005F120D">
              <w:rPr>
                <w:rFonts w:asciiTheme="minorHAnsi" w:hAnsiTheme="minorHAnsi" w:cstheme="minorHAnsi"/>
                <w:color w:val="0000FF"/>
                <w:sz w:val="20"/>
                <w:szCs w:val="20"/>
              </w:rPr>
              <w:t>93.1%</w:t>
            </w:r>
          </w:p>
        </w:tc>
      </w:tr>
      <w:tr w:rsidR="002110A8" w:rsidRPr="005F120D" w:rsidTr="00620D84">
        <w:trPr>
          <w:trHeight w:hRule="exact" w:val="432"/>
          <w:jc w:val="center"/>
        </w:trPr>
        <w:tc>
          <w:tcPr>
            <w:cnfStyle w:val="001000000000"/>
            <w:tcW w:w="2717" w:type="dxa"/>
            <w:tcBorders>
              <w:top w:val="double" w:sz="4" w:space="0" w:color="948A54" w:themeColor="background2" w:themeShade="80"/>
              <w:bottom w:val="double" w:sz="4" w:space="0" w:color="948A54" w:themeColor="background2" w:themeShade="80"/>
              <w:right w:val="double" w:sz="4" w:space="0" w:color="948A54" w:themeColor="background2" w:themeShade="80"/>
            </w:tcBorders>
          </w:tcPr>
          <w:p w:rsidR="002110A8" w:rsidRPr="005F120D" w:rsidRDefault="002110A8" w:rsidP="00C437AA">
            <w:pPr>
              <w:spacing w:line="276" w:lineRule="auto"/>
              <w:rPr>
                <w:rFonts w:asciiTheme="minorHAnsi" w:hAnsiTheme="minorHAnsi" w:cstheme="minorHAnsi"/>
                <w:b w:val="0"/>
                <w:color w:val="000000" w:themeColor="text1"/>
                <w:sz w:val="20"/>
                <w:szCs w:val="20"/>
              </w:rPr>
            </w:pPr>
            <w:r w:rsidRPr="005F120D">
              <w:rPr>
                <w:rFonts w:asciiTheme="minorHAnsi" w:hAnsiTheme="minorHAnsi" w:cstheme="minorHAnsi"/>
                <w:b w:val="0"/>
                <w:color w:val="000000" w:themeColor="text1"/>
                <w:sz w:val="20"/>
                <w:szCs w:val="20"/>
              </w:rPr>
              <w:t>Students Passed PECE &amp; EECE</w:t>
            </w:r>
          </w:p>
        </w:tc>
        <w:tc>
          <w:tcPr>
            <w:tcW w:w="1440" w:type="dxa"/>
            <w:tc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tcBorders>
            <w:noWrap/>
            <w:hideMark/>
          </w:tcPr>
          <w:p w:rsidR="002110A8" w:rsidRPr="005F120D" w:rsidRDefault="002110A8" w:rsidP="00C437AA">
            <w:pPr>
              <w:spacing w:line="276" w:lineRule="auto"/>
              <w:jc w:val="center"/>
              <w:cnfStyle w:val="000000000000"/>
              <w:rPr>
                <w:rFonts w:asciiTheme="minorHAnsi" w:hAnsiTheme="minorHAnsi" w:cstheme="minorHAnsi"/>
                <w:color w:val="000000"/>
                <w:sz w:val="20"/>
                <w:szCs w:val="20"/>
              </w:rPr>
            </w:pPr>
            <w:r w:rsidRPr="005F120D">
              <w:rPr>
                <w:rFonts w:asciiTheme="minorHAnsi" w:hAnsiTheme="minorHAnsi" w:cstheme="minorHAnsi"/>
                <w:color w:val="000000"/>
                <w:sz w:val="20"/>
                <w:szCs w:val="20"/>
              </w:rPr>
              <w:t>3,048,540</w:t>
            </w:r>
          </w:p>
        </w:tc>
        <w:tc>
          <w:tcPr>
            <w:tcW w:w="1350" w:type="dxa"/>
            <w:tc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tcBorders>
            <w:noWrap/>
            <w:hideMark/>
          </w:tcPr>
          <w:p w:rsidR="002110A8" w:rsidRPr="005F120D" w:rsidRDefault="002110A8" w:rsidP="00C437AA">
            <w:pPr>
              <w:spacing w:line="276" w:lineRule="auto"/>
              <w:jc w:val="center"/>
              <w:cnfStyle w:val="000000000000"/>
              <w:rPr>
                <w:rFonts w:asciiTheme="minorHAnsi" w:hAnsiTheme="minorHAnsi" w:cstheme="minorHAnsi"/>
                <w:color w:val="000000"/>
                <w:sz w:val="20"/>
                <w:szCs w:val="20"/>
              </w:rPr>
            </w:pPr>
            <w:r w:rsidRPr="005F120D">
              <w:rPr>
                <w:rFonts w:asciiTheme="minorHAnsi" w:hAnsiTheme="minorHAnsi" w:cstheme="minorHAnsi"/>
                <w:color w:val="000000"/>
                <w:sz w:val="20"/>
                <w:szCs w:val="20"/>
              </w:rPr>
              <w:t>92.4%</w:t>
            </w:r>
          </w:p>
        </w:tc>
        <w:tc>
          <w:tcPr>
            <w:tcW w:w="1440" w:type="dxa"/>
            <w:tcBorders>
              <w:top w:val="double" w:sz="4" w:space="0" w:color="948A54" w:themeColor="background2" w:themeShade="80"/>
              <w:left w:val="double" w:sz="4" w:space="0" w:color="948A54" w:themeColor="background2" w:themeShade="80"/>
              <w:bottom w:val="double" w:sz="4" w:space="0" w:color="948A54" w:themeColor="background2" w:themeShade="80"/>
            </w:tcBorders>
            <w:noWrap/>
            <w:hideMark/>
          </w:tcPr>
          <w:p w:rsidR="002110A8" w:rsidRPr="005F120D" w:rsidRDefault="002110A8" w:rsidP="00C437AA">
            <w:pPr>
              <w:spacing w:line="276" w:lineRule="auto"/>
              <w:jc w:val="center"/>
              <w:cnfStyle w:val="000000000000"/>
              <w:rPr>
                <w:rFonts w:asciiTheme="minorHAnsi" w:hAnsiTheme="minorHAnsi" w:cstheme="minorHAnsi"/>
                <w:color w:val="0000FF"/>
                <w:sz w:val="20"/>
                <w:szCs w:val="20"/>
              </w:rPr>
            </w:pPr>
            <w:r w:rsidRPr="005F120D">
              <w:rPr>
                <w:rFonts w:asciiTheme="minorHAnsi" w:hAnsiTheme="minorHAnsi" w:cstheme="minorHAnsi"/>
                <w:color w:val="0000FF"/>
                <w:sz w:val="20"/>
                <w:szCs w:val="20"/>
              </w:rPr>
              <w:t>87.1%</w:t>
            </w:r>
          </w:p>
        </w:tc>
      </w:tr>
    </w:tbl>
    <w:p w:rsidR="00190BE3" w:rsidRPr="005F120D" w:rsidRDefault="006B5721" w:rsidP="00C437AA">
      <w:pPr>
        <w:spacing w:after="0" w:line="276" w:lineRule="auto"/>
        <w:rPr>
          <w:rFonts w:asciiTheme="minorHAnsi" w:hAnsiTheme="minorHAnsi" w:cstheme="minorHAnsi"/>
          <w:b/>
          <w:color w:val="000000" w:themeColor="text1"/>
          <w:sz w:val="16"/>
          <w:szCs w:val="16"/>
        </w:rPr>
      </w:pPr>
      <w:r w:rsidRPr="005F120D">
        <w:rPr>
          <w:rFonts w:asciiTheme="minorHAnsi" w:hAnsiTheme="minorHAnsi" w:cstheme="minorHAnsi"/>
          <w:color w:val="000000" w:themeColor="text1"/>
          <w:sz w:val="20"/>
        </w:rPr>
        <w:tab/>
      </w:r>
      <w:r w:rsidRPr="005F120D">
        <w:rPr>
          <w:rFonts w:asciiTheme="minorHAnsi" w:hAnsiTheme="minorHAnsi" w:cstheme="minorHAnsi"/>
          <w:color w:val="000000" w:themeColor="text1"/>
          <w:sz w:val="20"/>
        </w:rPr>
        <w:tab/>
      </w:r>
      <w:r w:rsidR="00FD7B93" w:rsidRPr="005F120D">
        <w:rPr>
          <w:rFonts w:asciiTheme="minorHAnsi" w:hAnsiTheme="minorHAnsi" w:cstheme="minorHAnsi"/>
          <w:b/>
          <w:color w:val="000000" w:themeColor="text1"/>
          <w:sz w:val="16"/>
          <w:szCs w:val="16"/>
        </w:rPr>
        <w:t>Source: APSC 2015 and PECE 2015</w:t>
      </w:r>
    </w:p>
    <w:p w:rsidR="006B5721" w:rsidRPr="005F120D" w:rsidRDefault="006B5721" w:rsidP="00C437AA">
      <w:pPr>
        <w:pStyle w:val="Heading4"/>
        <w:numPr>
          <w:ilvl w:val="0"/>
          <w:numId w:val="0"/>
        </w:numPr>
        <w:spacing w:line="276" w:lineRule="auto"/>
        <w:ind w:left="864" w:hanging="864"/>
        <w:rPr>
          <w:rFonts w:asciiTheme="minorHAnsi" w:hAnsiTheme="minorHAnsi" w:cstheme="minorHAnsi"/>
          <w:b/>
          <w:color w:val="FF0000"/>
        </w:rPr>
      </w:pPr>
    </w:p>
    <w:p w:rsidR="006B5721" w:rsidRPr="005F120D" w:rsidRDefault="006B5721" w:rsidP="00C437AA">
      <w:pPr>
        <w:spacing w:line="276" w:lineRule="auto"/>
        <w:rPr>
          <w:rFonts w:asciiTheme="minorHAnsi" w:hAnsiTheme="minorHAnsi" w:cstheme="minorHAnsi"/>
          <w:color w:val="FF0000"/>
        </w:rPr>
      </w:pPr>
    </w:p>
    <w:p w:rsidR="004201E5" w:rsidRPr="005F120D" w:rsidRDefault="004201E5" w:rsidP="00C437AA">
      <w:pPr>
        <w:spacing w:line="276" w:lineRule="auto"/>
        <w:rPr>
          <w:rFonts w:asciiTheme="minorHAnsi" w:hAnsiTheme="minorHAnsi" w:cstheme="minorHAnsi"/>
          <w:color w:val="FF0000"/>
        </w:rPr>
      </w:pPr>
    </w:p>
    <w:p w:rsidR="00EA356A" w:rsidRPr="005F120D" w:rsidRDefault="00EA356A" w:rsidP="00C437AA">
      <w:pPr>
        <w:spacing w:line="276" w:lineRule="auto"/>
        <w:rPr>
          <w:rFonts w:asciiTheme="minorHAnsi" w:hAnsiTheme="minorHAnsi" w:cstheme="minorHAnsi"/>
          <w:color w:val="FF0000"/>
        </w:rPr>
      </w:pPr>
    </w:p>
    <w:p w:rsidR="009C7452" w:rsidRPr="005F120D" w:rsidRDefault="00CA6650" w:rsidP="00C437AA">
      <w:pPr>
        <w:pStyle w:val="Caption"/>
        <w:spacing w:line="276" w:lineRule="auto"/>
        <w:rPr>
          <w:rFonts w:cstheme="minorHAnsi"/>
        </w:rPr>
      </w:pPr>
      <w:bookmarkStart w:id="419" w:name="_Toc462837442"/>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33</w:t>
      </w:r>
      <w:r w:rsidR="002E2ED5" w:rsidRPr="005F120D">
        <w:rPr>
          <w:rFonts w:cstheme="minorHAnsi"/>
        </w:rPr>
        <w:fldChar w:fldCharType="end"/>
      </w:r>
      <w:r w:rsidR="006C5166" w:rsidRPr="005F120D">
        <w:rPr>
          <w:rFonts w:cstheme="minorHAnsi"/>
        </w:rPr>
        <w:t>:</w:t>
      </w:r>
      <w:r w:rsidRPr="005F120D">
        <w:rPr>
          <w:rFonts w:cstheme="minorHAnsi"/>
        </w:rPr>
        <w:t xml:space="preserve"> By Upazila Completion Rate 201</w:t>
      </w:r>
      <w:r w:rsidR="006453D7" w:rsidRPr="005F120D">
        <w:rPr>
          <w:rFonts w:cstheme="minorHAnsi"/>
        </w:rPr>
        <w:t>5</w:t>
      </w:r>
      <w:bookmarkEnd w:id="419"/>
    </w:p>
    <w:p w:rsidR="00F568D5" w:rsidRPr="005F120D" w:rsidRDefault="00F568D5" w:rsidP="00C437AA">
      <w:pPr>
        <w:spacing w:before="40" w:after="40" w:line="276" w:lineRule="auto"/>
        <w:jc w:val="center"/>
        <w:rPr>
          <w:rFonts w:asciiTheme="minorHAnsi" w:hAnsiTheme="minorHAnsi" w:cstheme="minorHAnsi"/>
          <w:b/>
          <w:sz w:val="16"/>
          <w:szCs w:val="16"/>
        </w:rPr>
      </w:pPr>
      <w:r w:rsidRPr="005F120D">
        <w:rPr>
          <w:rFonts w:asciiTheme="minorHAnsi" w:hAnsiTheme="minorHAnsi" w:cstheme="minorHAnsi"/>
          <w:noProof/>
          <w:lang w:eastAsia="en-US"/>
        </w:rPr>
        <w:drawing>
          <wp:inline distT="0" distB="0" distL="0" distR="0">
            <wp:extent cx="5480050" cy="7486650"/>
            <wp:effectExtent l="38100" t="19050" r="25400" b="19050"/>
            <wp:docPr id="1165" name="Picture 5" descr="C:\Users\user\Downloads\7Completion Rat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7Completion Rate_15.png"/>
                    <pic:cNvPicPr>
                      <a:picLocks noChangeAspect="1" noChangeArrowheads="1"/>
                    </pic:cNvPicPr>
                  </pic:nvPicPr>
                  <pic:blipFill>
                    <a:blip r:embed="rId54"/>
                    <a:srcRect/>
                    <a:stretch>
                      <a:fillRect/>
                    </a:stretch>
                  </pic:blipFill>
                  <pic:spPr bwMode="auto">
                    <a:xfrm>
                      <a:off x="0" y="0"/>
                      <a:ext cx="5482299" cy="7489723"/>
                    </a:xfrm>
                    <a:prstGeom prst="rect">
                      <a:avLst/>
                    </a:prstGeom>
                    <a:noFill/>
                    <a:ln w="22225" cmpd="dbl">
                      <a:solidFill>
                        <a:schemeClr val="accent6">
                          <a:lumMod val="50000"/>
                        </a:schemeClr>
                      </a:solidFill>
                      <a:miter lim="800000"/>
                      <a:headEnd/>
                      <a:tailEnd/>
                    </a:ln>
                  </pic:spPr>
                </pic:pic>
              </a:graphicData>
            </a:graphic>
          </wp:inline>
        </w:drawing>
      </w:r>
    </w:p>
    <w:p w:rsidR="007B521A" w:rsidRPr="005F120D" w:rsidRDefault="00F83E43" w:rsidP="00C437AA">
      <w:pPr>
        <w:spacing w:before="40" w:after="40" w:line="276" w:lineRule="auto"/>
        <w:rPr>
          <w:rFonts w:asciiTheme="minorHAnsi" w:hAnsiTheme="minorHAnsi" w:cstheme="minorHAnsi"/>
        </w:rPr>
      </w:pPr>
      <w:r>
        <w:rPr>
          <w:rFonts w:asciiTheme="minorHAnsi" w:hAnsiTheme="minorHAnsi" w:cstheme="minorHAnsi"/>
          <w:b/>
          <w:sz w:val="16"/>
          <w:szCs w:val="16"/>
        </w:rPr>
        <w:t xml:space="preserve">    </w:t>
      </w:r>
      <w:r w:rsidR="007B521A" w:rsidRPr="005F120D">
        <w:rPr>
          <w:rFonts w:asciiTheme="minorHAnsi" w:hAnsiTheme="minorHAnsi" w:cstheme="minorHAnsi"/>
          <w:b/>
          <w:sz w:val="16"/>
          <w:szCs w:val="16"/>
        </w:rPr>
        <w:t>Source: APSC 2015</w:t>
      </w:r>
    </w:p>
    <w:p w:rsidR="004D38A8" w:rsidRPr="005F120D" w:rsidRDefault="00071A3E" w:rsidP="00C437AA">
      <w:pPr>
        <w:pStyle w:val="Heading4"/>
        <w:spacing w:before="240" w:line="276" w:lineRule="auto"/>
        <w:jc w:val="both"/>
        <w:rPr>
          <w:rFonts w:asciiTheme="minorHAnsi" w:hAnsiTheme="minorHAnsi" w:cstheme="minorHAnsi"/>
          <w:b/>
          <w:color w:val="008000"/>
        </w:rPr>
      </w:pPr>
      <w:r w:rsidRPr="005F120D">
        <w:rPr>
          <w:rFonts w:asciiTheme="minorHAnsi" w:hAnsiTheme="minorHAnsi" w:cstheme="minorHAnsi"/>
          <w:b/>
          <w:color w:val="008000"/>
        </w:rPr>
        <w:lastRenderedPageBreak/>
        <w:t>Transition R</w:t>
      </w:r>
      <w:r w:rsidR="004D38A8" w:rsidRPr="005F120D">
        <w:rPr>
          <w:rFonts w:asciiTheme="minorHAnsi" w:hAnsiTheme="minorHAnsi" w:cstheme="minorHAnsi"/>
          <w:b/>
          <w:color w:val="008000"/>
        </w:rPr>
        <w:t>ate</w:t>
      </w:r>
    </w:p>
    <w:p w:rsidR="0040349E" w:rsidRPr="005F120D" w:rsidRDefault="0040349E" w:rsidP="00C437AA">
      <w:pPr>
        <w:spacing w:line="276" w:lineRule="auto"/>
        <w:jc w:val="both"/>
        <w:rPr>
          <w:rFonts w:asciiTheme="minorHAnsi" w:hAnsiTheme="minorHAnsi" w:cstheme="minorHAnsi"/>
        </w:rPr>
      </w:pPr>
      <w:r w:rsidRPr="005F120D">
        <w:rPr>
          <w:rFonts w:asciiTheme="minorHAnsi" w:hAnsiTheme="minorHAnsi" w:cstheme="minorHAnsi"/>
        </w:rPr>
        <w:t xml:space="preserve">The </w:t>
      </w:r>
      <w:r w:rsidRPr="005F120D">
        <w:rPr>
          <w:rFonts w:asciiTheme="minorHAnsi" w:hAnsiTheme="minorHAnsi" w:cstheme="minorHAnsi"/>
          <w:b/>
          <w:u w:val="single"/>
        </w:rPr>
        <w:t>Non-KPI 10</w:t>
      </w:r>
      <w:r w:rsidRPr="005F120D">
        <w:rPr>
          <w:rFonts w:asciiTheme="minorHAnsi" w:hAnsiTheme="minorHAnsi" w:cstheme="minorHAnsi"/>
        </w:rPr>
        <w:t>is designed to measure the transition to the first grade of secondary level education (Grade 6 in Bangladesh) from the last grade of primary education level (Grade 5 in Bangladesh). This is calculated as follows:</w:t>
      </w:r>
    </w:p>
    <w:tbl>
      <w:tblPr>
        <w:tblW w:w="4897" w:type="pct"/>
        <w:tblLook w:val="01E0"/>
      </w:tblPr>
      <w:tblGrid>
        <w:gridCol w:w="1842"/>
        <w:gridCol w:w="7213"/>
      </w:tblGrid>
      <w:tr w:rsidR="0040349E" w:rsidRPr="005F120D" w:rsidTr="003B661A">
        <w:tc>
          <w:tcPr>
            <w:tcW w:w="1017" w:type="pct"/>
            <w:vMerge w:val="restart"/>
            <w:vAlign w:val="center"/>
          </w:tcPr>
          <w:p w:rsidR="0040349E" w:rsidRPr="005F120D" w:rsidRDefault="0040349E" w:rsidP="00C437AA">
            <w:pPr>
              <w:pStyle w:val="Tabletext"/>
              <w:spacing w:line="276" w:lineRule="auto"/>
              <w:jc w:val="both"/>
              <w:rPr>
                <w:rFonts w:asciiTheme="minorHAnsi" w:hAnsiTheme="minorHAnsi" w:cstheme="minorHAnsi"/>
                <w:b/>
                <w:color w:val="3333FF"/>
              </w:rPr>
            </w:pPr>
            <w:r w:rsidRPr="005F120D">
              <w:rPr>
                <w:rFonts w:asciiTheme="minorHAnsi" w:hAnsiTheme="minorHAnsi" w:cstheme="minorHAnsi"/>
                <w:b/>
                <w:color w:val="3333FF"/>
              </w:rPr>
              <w:t>Transition rate =</w:t>
            </w:r>
          </w:p>
        </w:tc>
        <w:tc>
          <w:tcPr>
            <w:tcW w:w="3983" w:type="pct"/>
            <w:tcBorders>
              <w:bottom w:val="single" w:sz="12" w:space="0" w:color="3333FF"/>
            </w:tcBorders>
          </w:tcPr>
          <w:p w:rsidR="0040349E" w:rsidRPr="005F120D" w:rsidRDefault="0040349E" w:rsidP="00C437AA">
            <w:pPr>
              <w:pStyle w:val="Tabletext"/>
              <w:spacing w:line="276" w:lineRule="auto"/>
              <w:jc w:val="center"/>
              <w:rPr>
                <w:rFonts w:asciiTheme="minorHAnsi" w:hAnsiTheme="minorHAnsi" w:cstheme="minorHAnsi"/>
                <w:b/>
                <w:color w:val="3333FF"/>
              </w:rPr>
            </w:pPr>
            <w:r w:rsidRPr="005F120D">
              <w:rPr>
                <w:rFonts w:asciiTheme="minorHAnsi" w:hAnsiTheme="minorHAnsi" w:cstheme="minorHAnsi"/>
                <w:b/>
                <w:color w:val="3333FF"/>
              </w:rPr>
              <w:t>Number of new entrants to Grade 6, 2016</w:t>
            </w:r>
          </w:p>
        </w:tc>
      </w:tr>
      <w:tr w:rsidR="0040349E" w:rsidRPr="005F120D" w:rsidTr="003B661A">
        <w:tc>
          <w:tcPr>
            <w:tcW w:w="1017" w:type="pct"/>
            <w:vMerge/>
          </w:tcPr>
          <w:p w:rsidR="0040349E" w:rsidRPr="005F120D" w:rsidRDefault="0040349E" w:rsidP="00C437AA">
            <w:pPr>
              <w:pStyle w:val="Tabletext"/>
              <w:spacing w:line="276" w:lineRule="auto"/>
              <w:jc w:val="both"/>
              <w:rPr>
                <w:rFonts w:asciiTheme="minorHAnsi" w:hAnsiTheme="minorHAnsi" w:cstheme="minorHAnsi"/>
                <w:b/>
                <w:color w:val="3333FF"/>
              </w:rPr>
            </w:pPr>
          </w:p>
        </w:tc>
        <w:tc>
          <w:tcPr>
            <w:tcW w:w="3983" w:type="pct"/>
            <w:tcBorders>
              <w:top w:val="single" w:sz="12" w:space="0" w:color="3333FF"/>
            </w:tcBorders>
          </w:tcPr>
          <w:p w:rsidR="0040349E" w:rsidRPr="005F120D" w:rsidRDefault="0040349E" w:rsidP="00C437AA">
            <w:pPr>
              <w:pStyle w:val="Tabletext"/>
              <w:spacing w:line="276" w:lineRule="auto"/>
              <w:jc w:val="center"/>
              <w:rPr>
                <w:rFonts w:asciiTheme="minorHAnsi" w:hAnsiTheme="minorHAnsi" w:cstheme="minorHAnsi"/>
                <w:b/>
                <w:color w:val="3333FF"/>
              </w:rPr>
            </w:pPr>
            <w:r w:rsidRPr="005F120D">
              <w:rPr>
                <w:rFonts w:asciiTheme="minorHAnsi" w:hAnsiTheme="minorHAnsi" w:cstheme="minorHAnsi"/>
                <w:b/>
                <w:color w:val="3333FF"/>
              </w:rPr>
              <w:t>Number of children who passed the primary education completion examination 2015</w:t>
            </w:r>
          </w:p>
        </w:tc>
      </w:tr>
    </w:tbl>
    <w:p w:rsidR="0040349E" w:rsidRPr="005F120D" w:rsidRDefault="0040349E" w:rsidP="00C437AA">
      <w:pPr>
        <w:spacing w:before="240" w:line="276" w:lineRule="auto"/>
        <w:jc w:val="both"/>
        <w:rPr>
          <w:rFonts w:asciiTheme="minorHAnsi" w:hAnsiTheme="minorHAnsi" w:cstheme="minorHAnsi"/>
        </w:rPr>
      </w:pPr>
      <w:r w:rsidRPr="005F120D">
        <w:rPr>
          <w:rFonts w:asciiTheme="minorHAnsi" w:hAnsiTheme="minorHAnsi" w:cstheme="minorHAnsi"/>
        </w:rPr>
        <w:t xml:space="preserve">However, the calculation of the transition rate has been hindered by the fragmentation of the education statistical system. The most important problem identified was the </w:t>
      </w:r>
      <w:r w:rsidR="00F738CE" w:rsidRPr="005F120D">
        <w:rPr>
          <w:rFonts w:asciiTheme="minorHAnsi" w:hAnsiTheme="minorHAnsi" w:cstheme="minorHAnsi"/>
        </w:rPr>
        <w:t>lac</w:t>
      </w:r>
      <w:r w:rsidR="00425FE9" w:rsidRPr="005F120D">
        <w:rPr>
          <w:rFonts w:asciiTheme="minorHAnsi" w:hAnsiTheme="minorHAnsi" w:cstheme="minorHAnsi"/>
        </w:rPr>
        <w:t>k</w:t>
      </w:r>
      <w:r w:rsidRPr="005F120D">
        <w:rPr>
          <w:rFonts w:asciiTheme="minorHAnsi" w:hAnsiTheme="minorHAnsi" w:cstheme="minorHAnsi"/>
        </w:rPr>
        <w:t xml:space="preserve"> of comprehensive information on the number of children who passed the school based Grade 5 annual examination. This information is now available after the intro</w:t>
      </w:r>
      <w:r w:rsidR="00F83E43">
        <w:rPr>
          <w:rFonts w:asciiTheme="minorHAnsi" w:hAnsiTheme="minorHAnsi" w:cstheme="minorHAnsi"/>
        </w:rPr>
        <w:t>duction of Primary and Madrasha</w:t>
      </w:r>
      <w:r w:rsidRPr="005F120D">
        <w:rPr>
          <w:rFonts w:asciiTheme="minorHAnsi" w:hAnsiTheme="minorHAnsi" w:cstheme="minorHAnsi"/>
        </w:rPr>
        <w:t xml:space="preserve"> Education Completion Examination (PECE and EECE), but the calculation also relies on information on repeaters and new entrants to Grade 6 to get the complete number of new entrants in Grade 6. </w:t>
      </w:r>
    </w:p>
    <w:p w:rsidR="007758AC" w:rsidRPr="005F120D" w:rsidRDefault="0040349E" w:rsidP="00C437AA">
      <w:pPr>
        <w:spacing w:line="276" w:lineRule="auto"/>
        <w:jc w:val="both"/>
        <w:rPr>
          <w:rFonts w:asciiTheme="minorHAnsi" w:hAnsiTheme="minorHAnsi" w:cstheme="minorHAnsi"/>
        </w:rPr>
      </w:pPr>
      <w:r w:rsidRPr="005F120D">
        <w:rPr>
          <w:rFonts w:asciiTheme="minorHAnsi" w:hAnsiTheme="minorHAnsi" w:cstheme="minorHAnsi"/>
        </w:rPr>
        <w:t>Data on seconda</w:t>
      </w:r>
      <w:r w:rsidR="00F83E43">
        <w:rPr>
          <w:rFonts w:asciiTheme="minorHAnsi" w:hAnsiTheme="minorHAnsi" w:cstheme="minorHAnsi"/>
        </w:rPr>
        <w:t>ry levels schools and Madrasha</w:t>
      </w:r>
      <w:r w:rsidRPr="005F120D">
        <w:rPr>
          <w:rFonts w:asciiTheme="minorHAnsi" w:hAnsiTheme="minorHAnsi" w:cstheme="minorHAnsi"/>
        </w:rPr>
        <w:t xml:space="preserve"> are the responsibility of BANBEIS. DPE depends on BANBEIS for the relevant information to calculate the transition rate. In 2015, the transition rate was 96.07%, which had increased from 2010 (92.4%) and 2014 (95.6%). The MICS 2012-13 reports indicated that the transition rate was 94.7% in 2013 which is consistent with BANBEIS figure (95.15)</w:t>
      </w:r>
      <w:r w:rsidR="00AD5BC1" w:rsidRPr="005F120D">
        <w:rPr>
          <w:rFonts w:asciiTheme="minorHAnsi" w:hAnsiTheme="minorHAnsi" w:cstheme="minorHAnsi"/>
        </w:rPr>
        <w:t>.</w:t>
      </w:r>
    </w:p>
    <w:p w:rsidR="003C0716" w:rsidRPr="005F120D" w:rsidRDefault="0092618D" w:rsidP="00C437AA">
      <w:pPr>
        <w:pStyle w:val="Caption"/>
        <w:spacing w:line="276" w:lineRule="auto"/>
        <w:rPr>
          <w:rFonts w:cstheme="minorHAnsi"/>
        </w:rPr>
      </w:pPr>
      <w:bookmarkStart w:id="420" w:name="_Toc462837443"/>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34</w:t>
      </w:r>
      <w:r w:rsidR="002E2ED5" w:rsidRPr="005F120D">
        <w:rPr>
          <w:rFonts w:cstheme="minorHAnsi"/>
        </w:rPr>
        <w:fldChar w:fldCharType="end"/>
      </w:r>
      <w:r w:rsidR="006A7739" w:rsidRPr="005F120D">
        <w:rPr>
          <w:rFonts w:cstheme="minorHAnsi"/>
        </w:rPr>
        <w:t>:</w:t>
      </w:r>
      <w:r w:rsidR="00F83E43">
        <w:rPr>
          <w:rFonts w:cstheme="minorHAnsi"/>
        </w:rPr>
        <w:t xml:space="preserve"> </w:t>
      </w:r>
      <w:r w:rsidRPr="005F120D">
        <w:rPr>
          <w:rFonts w:cstheme="minorHAnsi"/>
        </w:rPr>
        <w:t>Transition</w:t>
      </w:r>
      <w:r w:rsidR="00FF3237" w:rsidRPr="005F120D">
        <w:rPr>
          <w:rFonts w:cstheme="minorHAnsi"/>
        </w:rPr>
        <w:t xml:space="preserve"> Rate in GPS and NNPS by D</w:t>
      </w:r>
      <w:r w:rsidR="001156E9" w:rsidRPr="005F120D">
        <w:rPr>
          <w:rFonts w:cstheme="minorHAnsi"/>
        </w:rPr>
        <w:t>istrict 201</w:t>
      </w:r>
      <w:r w:rsidR="001429C9" w:rsidRPr="005F120D">
        <w:rPr>
          <w:rFonts w:cstheme="minorHAnsi"/>
        </w:rPr>
        <w:t>5</w:t>
      </w:r>
      <w:bookmarkEnd w:id="420"/>
    </w:p>
    <w:p w:rsidR="003C0716" w:rsidRPr="005F120D" w:rsidRDefault="00F26602" w:rsidP="00C437AA">
      <w:pPr>
        <w:spacing w:after="0" w:line="276" w:lineRule="auto"/>
        <w:jc w:val="center"/>
        <w:rPr>
          <w:rFonts w:asciiTheme="minorHAnsi" w:hAnsiTheme="minorHAnsi" w:cstheme="minorHAnsi"/>
          <w:color w:val="FF0000"/>
          <w:sz w:val="16"/>
          <w:szCs w:val="16"/>
        </w:rPr>
      </w:pPr>
      <w:r w:rsidRPr="005F120D">
        <w:rPr>
          <w:rFonts w:asciiTheme="minorHAnsi" w:hAnsiTheme="minorHAnsi" w:cstheme="minorHAnsi"/>
          <w:noProof/>
          <w:color w:val="FF0000"/>
          <w:sz w:val="16"/>
          <w:szCs w:val="16"/>
          <w:lang w:eastAsia="en-US"/>
        </w:rPr>
        <w:drawing>
          <wp:inline distT="0" distB="0" distL="0" distR="0">
            <wp:extent cx="5577696" cy="2672392"/>
            <wp:effectExtent l="38100" t="19050" r="23004"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6111B" w:rsidRPr="005F120D" w:rsidRDefault="00FF3237" w:rsidP="00C437AA">
      <w:pPr>
        <w:spacing w:after="0" w:line="276" w:lineRule="auto"/>
        <w:jc w:val="both"/>
        <w:rPr>
          <w:rFonts w:asciiTheme="minorHAnsi" w:hAnsiTheme="minorHAnsi" w:cstheme="minorHAnsi"/>
          <w:b/>
          <w:sz w:val="16"/>
          <w:szCs w:val="16"/>
        </w:rPr>
      </w:pPr>
      <w:r w:rsidRPr="005F120D">
        <w:rPr>
          <w:rFonts w:asciiTheme="minorHAnsi" w:hAnsiTheme="minorHAnsi" w:cstheme="minorHAnsi"/>
          <w:b/>
          <w:sz w:val="16"/>
          <w:szCs w:val="16"/>
        </w:rPr>
        <w:t xml:space="preserve">Source: APSC reports, </w:t>
      </w:r>
      <w:r w:rsidR="007758AC" w:rsidRPr="005F120D">
        <w:rPr>
          <w:rFonts w:asciiTheme="minorHAnsi" w:hAnsiTheme="minorHAnsi" w:cstheme="minorHAnsi"/>
          <w:b/>
          <w:sz w:val="16"/>
          <w:szCs w:val="16"/>
        </w:rPr>
        <w:t>MICS 2012/13</w:t>
      </w:r>
      <w:r w:rsidR="001429C9" w:rsidRPr="005F120D">
        <w:rPr>
          <w:rFonts w:asciiTheme="minorHAnsi" w:hAnsiTheme="minorHAnsi" w:cstheme="minorHAnsi"/>
          <w:b/>
          <w:sz w:val="16"/>
          <w:szCs w:val="16"/>
        </w:rPr>
        <w:t xml:space="preserve"> and BANBEIS report 2015</w:t>
      </w:r>
      <w:r w:rsidR="001B2C7B" w:rsidRPr="005F120D">
        <w:rPr>
          <w:rFonts w:asciiTheme="minorHAnsi" w:hAnsiTheme="minorHAnsi" w:cstheme="minorHAnsi"/>
          <w:b/>
          <w:sz w:val="16"/>
          <w:szCs w:val="16"/>
        </w:rPr>
        <w:t xml:space="preserve">. </w:t>
      </w:r>
      <w:r w:rsidR="0076111B" w:rsidRPr="005F120D">
        <w:rPr>
          <w:rFonts w:asciiTheme="minorHAnsi" w:hAnsiTheme="minorHAnsi" w:cstheme="minorHAnsi"/>
          <w:b/>
          <w:sz w:val="16"/>
          <w:szCs w:val="16"/>
        </w:rPr>
        <w:t>Note: DPE</w:t>
      </w:r>
      <w:r w:rsidR="006F35ED" w:rsidRPr="005F120D">
        <w:rPr>
          <w:rFonts w:asciiTheme="minorHAnsi" w:hAnsiTheme="minorHAnsi" w:cstheme="minorHAnsi"/>
          <w:b/>
          <w:sz w:val="16"/>
          <w:szCs w:val="16"/>
        </w:rPr>
        <w:t xml:space="preserve"> has collected the </w:t>
      </w:r>
      <w:r w:rsidR="0076111B" w:rsidRPr="005F120D">
        <w:rPr>
          <w:rFonts w:asciiTheme="minorHAnsi" w:hAnsiTheme="minorHAnsi" w:cstheme="minorHAnsi"/>
          <w:b/>
          <w:sz w:val="16"/>
          <w:szCs w:val="16"/>
        </w:rPr>
        <w:t>transition rate from BANBEIS since 2013.</w:t>
      </w:r>
    </w:p>
    <w:p w:rsidR="00AD5BC1" w:rsidRPr="005F120D" w:rsidRDefault="00AD5BC1" w:rsidP="00C437AA">
      <w:pPr>
        <w:spacing w:after="0" w:line="276" w:lineRule="auto"/>
        <w:jc w:val="both"/>
        <w:rPr>
          <w:rFonts w:asciiTheme="minorHAnsi" w:hAnsiTheme="minorHAnsi" w:cstheme="minorHAnsi"/>
          <w:color w:val="FF0000"/>
        </w:rPr>
      </w:pPr>
    </w:p>
    <w:p w:rsidR="006453D7" w:rsidRPr="005F120D" w:rsidRDefault="0040349E" w:rsidP="00C437AA">
      <w:pPr>
        <w:spacing w:after="0" w:line="276" w:lineRule="auto"/>
        <w:jc w:val="both"/>
        <w:rPr>
          <w:rFonts w:asciiTheme="minorHAnsi" w:hAnsiTheme="minorHAnsi" w:cstheme="minorHAnsi"/>
        </w:rPr>
      </w:pPr>
      <w:r w:rsidRPr="005F120D">
        <w:rPr>
          <w:rFonts w:asciiTheme="minorHAnsi" w:hAnsiTheme="minorHAnsi" w:cstheme="minorHAnsi"/>
        </w:rPr>
        <w:t>In the BANBEIS w</w:t>
      </w:r>
      <w:r w:rsidR="00F83E43">
        <w:rPr>
          <w:rFonts w:asciiTheme="minorHAnsi" w:hAnsiTheme="minorHAnsi" w:cstheme="minorHAnsi"/>
        </w:rPr>
        <w:t>ebsite, secondary and Madrasha</w:t>
      </w:r>
      <w:r w:rsidRPr="005F120D">
        <w:rPr>
          <w:rFonts w:asciiTheme="minorHAnsi" w:hAnsiTheme="minorHAnsi" w:cstheme="minorHAnsi"/>
        </w:rPr>
        <w:t xml:space="preserve"> data on Grade 6 enrollment are available up to 2012. It was noted that the number of children who passed the PECE in 2011 (2.37 million) was well below the number of Grade 6 enrollment in 2012 as reported by BANBEIS (2.6 million)</w:t>
      </w:r>
      <w:r w:rsidR="000211EC" w:rsidRPr="005F120D">
        <w:rPr>
          <w:rFonts w:asciiTheme="minorHAnsi" w:hAnsiTheme="minorHAnsi" w:cstheme="minorHAnsi"/>
        </w:rPr>
        <w:t>.</w:t>
      </w:r>
    </w:p>
    <w:p w:rsidR="00625ED4" w:rsidRPr="005F120D" w:rsidRDefault="00C73D0A" w:rsidP="00C437AA">
      <w:pPr>
        <w:pStyle w:val="Heading2"/>
        <w:spacing w:after="0" w:line="276" w:lineRule="auto"/>
        <w:jc w:val="both"/>
        <w:rPr>
          <w:rFonts w:cstheme="minorHAnsi"/>
        </w:rPr>
      </w:pPr>
      <w:bookmarkStart w:id="421" w:name="_Toc462837184"/>
      <w:r w:rsidRPr="005F120D">
        <w:rPr>
          <w:rFonts w:cstheme="minorHAnsi"/>
        </w:rPr>
        <w:lastRenderedPageBreak/>
        <w:t>Component 4: Program</w:t>
      </w:r>
      <w:r w:rsidR="00625ED4" w:rsidRPr="005F120D">
        <w:rPr>
          <w:rFonts w:cstheme="minorHAnsi"/>
        </w:rPr>
        <w:t xml:space="preserve"> Planning and Management</w:t>
      </w:r>
      <w:bookmarkEnd w:id="421"/>
    </w:p>
    <w:p w:rsidR="0040349E" w:rsidRPr="005F120D" w:rsidRDefault="0040349E" w:rsidP="00C437AA">
      <w:pPr>
        <w:autoSpaceDE w:val="0"/>
        <w:autoSpaceDN w:val="0"/>
        <w:adjustRightInd w:val="0"/>
        <w:spacing w:before="240" w:line="276" w:lineRule="auto"/>
        <w:jc w:val="both"/>
        <w:rPr>
          <w:rFonts w:asciiTheme="minorHAnsi" w:hAnsiTheme="minorHAnsi" w:cstheme="minorHAnsi"/>
          <w:szCs w:val="22"/>
          <w:lang w:eastAsia="ja-JP"/>
        </w:rPr>
      </w:pPr>
      <w:r w:rsidRPr="005F120D">
        <w:rPr>
          <w:rFonts w:asciiTheme="minorHAnsi" w:hAnsiTheme="minorHAnsi" w:cstheme="minorHAnsi"/>
          <w:szCs w:val="22"/>
          <w:lang w:eastAsia="ja-JP"/>
        </w:rPr>
        <w:t xml:space="preserve">The program planning and management component addresses the overarching planning and management of PEDP3. MoPME is responsible for </w:t>
      </w:r>
      <w:r w:rsidR="00C87507" w:rsidRPr="005F120D">
        <w:rPr>
          <w:rFonts w:asciiTheme="minorHAnsi" w:hAnsiTheme="minorHAnsi" w:cstheme="minorHAnsi"/>
          <w:szCs w:val="22"/>
          <w:lang w:eastAsia="ja-JP"/>
        </w:rPr>
        <w:t xml:space="preserve">the </w:t>
      </w:r>
      <w:r w:rsidRPr="005F120D">
        <w:rPr>
          <w:rFonts w:asciiTheme="minorHAnsi" w:hAnsiTheme="minorHAnsi" w:cstheme="minorHAnsi"/>
          <w:szCs w:val="22"/>
          <w:lang w:eastAsia="ja-JP"/>
        </w:rPr>
        <w:t>execution</w:t>
      </w:r>
      <w:r w:rsidR="00C87507" w:rsidRPr="005F120D">
        <w:rPr>
          <w:rFonts w:asciiTheme="minorHAnsi" w:hAnsiTheme="minorHAnsi" w:cstheme="minorHAnsi"/>
          <w:szCs w:val="22"/>
          <w:lang w:eastAsia="ja-JP"/>
        </w:rPr>
        <w:t xml:space="preserve"> of PEDP3</w:t>
      </w:r>
      <w:r w:rsidRPr="005F120D">
        <w:rPr>
          <w:rFonts w:asciiTheme="minorHAnsi" w:hAnsiTheme="minorHAnsi" w:cstheme="minorHAnsi"/>
          <w:szCs w:val="22"/>
          <w:lang w:eastAsia="ja-JP"/>
        </w:rPr>
        <w:t xml:space="preserve">. The MoF manages GoB’s MTBF, which translates the sector policy targets into a consistent budget framework. </w:t>
      </w:r>
    </w:p>
    <w:p w:rsidR="0040349E" w:rsidRPr="005F120D" w:rsidRDefault="0040349E" w:rsidP="00C437AA">
      <w:pPr>
        <w:autoSpaceDE w:val="0"/>
        <w:autoSpaceDN w:val="0"/>
        <w:adjustRightInd w:val="0"/>
        <w:spacing w:line="276" w:lineRule="auto"/>
        <w:jc w:val="both"/>
        <w:rPr>
          <w:rFonts w:asciiTheme="minorHAnsi" w:hAnsiTheme="minorHAnsi" w:cstheme="minorHAnsi"/>
          <w:szCs w:val="22"/>
          <w:lang w:eastAsia="ja-JP"/>
        </w:rPr>
      </w:pPr>
      <w:r w:rsidRPr="005F120D">
        <w:rPr>
          <w:rFonts w:asciiTheme="minorHAnsi" w:hAnsiTheme="minorHAnsi" w:cstheme="minorHAnsi"/>
          <w:szCs w:val="22"/>
          <w:lang w:eastAsia="ja-JP"/>
        </w:rPr>
        <w:t>PEDP3 management systems, including financial management follow the SWAp, and are designed to support both results based management (RBM) and an improved financial management model, where Government systems are used for: financial management (Treasury model) and reporting (IBAS); procurement; progress and performance reporting (ASPR); staff development training; sector finance; and partnerships with NGOs and the private sector.</w:t>
      </w:r>
    </w:p>
    <w:p w:rsidR="0040349E" w:rsidRPr="005F120D" w:rsidRDefault="0040349E" w:rsidP="00C437AA">
      <w:pPr>
        <w:autoSpaceDE w:val="0"/>
        <w:autoSpaceDN w:val="0"/>
        <w:adjustRightInd w:val="0"/>
        <w:spacing w:line="276" w:lineRule="auto"/>
        <w:jc w:val="both"/>
        <w:rPr>
          <w:rFonts w:asciiTheme="minorHAnsi" w:hAnsiTheme="minorHAnsi" w:cstheme="minorHAnsi"/>
          <w:szCs w:val="22"/>
          <w:lang w:eastAsia="ja-JP"/>
        </w:rPr>
      </w:pPr>
      <w:r w:rsidRPr="005F120D">
        <w:rPr>
          <w:rFonts w:asciiTheme="minorHAnsi" w:hAnsiTheme="minorHAnsi" w:cstheme="minorHAnsi"/>
          <w:szCs w:val="22"/>
          <w:lang w:eastAsia="ja-JP"/>
        </w:rPr>
        <w:t>The Ministry of Finance (MoF) is responsible for providing adequate financing for the pre-primary and primary education sector. The following 2 non-KPIs are intended to measure performance but not to set the target up to 2017 as the primary education budget is fixed for the whole program period (2011-2017)</w:t>
      </w:r>
    </w:p>
    <w:p w:rsidR="0040349E" w:rsidRPr="005F120D" w:rsidRDefault="0040349E" w:rsidP="00C437AA">
      <w:pPr>
        <w:numPr>
          <w:ilvl w:val="0"/>
          <w:numId w:val="53"/>
        </w:numPr>
        <w:autoSpaceDE w:val="0"/>
        <w:autoSpaceDN w:val="0"/>
        <w:adjustRightInd w:val="0"/>
        <w:spacing w:after="200" w:line="276" w:lineRule="auto"/>
        <w:contextualSpacing/>
        <w:rPr>
          <w:rFonts w:asciiTheme="minorHAnsi" w:hAnsiTheme="minorHAnsi" w:cstheme="minorHAnsi"/>
          <w:lang w:eastAsia="ja-JP"/>
        </w:rPr>
      </w:pPr>
      <w:r w:rsidRPr="005F120D">
        <w:rPr>
          <w:rFonts w:asciiTheme="minorHAnsi" w:hAnsiTheme="minorHAnsi" w:cstheme="minorHAnsi"/>
          <w:lang w:eastAsia="ja-JP"/>
        </w:rPr>
        <w:t>Non-KPI 11:</w:t>
      </w:r>
      <w:r w:rsidRPr="005F120D">
        <w:rPr>
          <w:rFonts w:asciiTheme="minorHAnsi" w:hAnsiTheme="minorHAnsi" w:cstheme="minorHAnsi"/>
        </w:rPr>
        <w:t xml:space="preserve"> Public education expenditure as percentage of GDP (EFA-7) (%)</w:t>
      </w:r>
      <w:r w:rsidR="00205F85" w:rsidRPr="005F120D">
        <w:rPr>
          <w:rFonts w:asciiTheme="minorHAnsi" w:hAnsiTheme="minorHAnsi" w:cstheme="minorHAnsi"/>
        </w:rPr>
        <w:t>;</w:t>
      </w:r>
    </w:p>
    <w:p w:rsidR="0040349E" w:rsidRPr="005F120D" w:rsidRDefault="0040349E" w:rsidP="00C437AA">
      <w:pPr>
        <w:autoSpaceDE w:val="0"/>
        <w:autoSpaceDN w:val="0"/>
        <w:adjustRightInd w:val="0"/>
        <w:spacing w:line="276" w:lineRule="auto"/>
        <w:ind w:left="720"/>
        <w:rPr>
          <w:rFonts w:asciiTheme="minorHAnsi" w:hAnsiTheme="minorHAnsi" w:cstheme="minorHAnsi"/>
          <w:sz w:val="10"/>
          <w:lang w:eastAsia="ja-JP"/>
        </w:rPr>
      </w:pPr>
    </w:p>
    <w:p w:rsidR="0040349E" w:rsidRPr="005F120D" w:rsidRDefault="0040349E" w:rsidP="00C437AA">
      <w:pPr>
        <w:numPr>
          <w:ilvl w:val="0"/>
          <w:numId w:val="53"/>
        </w:numPr>
        <w:autoSpaceDE w:val="0"/>
        <w:autoSpaceDN w:val="0"/>
        <w:adjustRightInd w:val="0"/>
        <w:spacing w:after="0" w:line="276" w:lineRule="auto"/>
        <w:contextualSpacing/>
        <w:rPr>
          <w:rFonts w:asciiTheme="minorHAnsi" w:hAnsiTheme="minorHAnsi" w:cstheme="minorHAnsi"/>
          <w:lang w:eastAsia="ja-JP"/>
        </w:rPr>
      </w:pPr>
      <w:r w:rsidRPr="005F120D">
        <w:rPr>
          <w:rFonts w:asciiTheme="minorHAnsi" w:hAnsiTheme="minorHAnsi" w:cstheme="minorHAnsi"/>
          <w:lang w:eastAsia="ja-JP"/>
        </w:rPr>
        <w:t>Non-KPI 12:</w:t>
      </w:r>
      <w:r w:rsidRPr="005F120D">
        <w:rPr>
          <w:rFonts w:asciiTheme="minorHAnsi" w:hAnsiTheme="minorHAnsi" w:cstheme="minorHAnsi"/>
        </w:rPr>
        <w:t xml:space="preserve"> Public expenditure on primary education as % of total public expenditure on education (EFA-8)</w:t>
      </w:r>
      <w:r w:rsidR="00205F85" w:rsidRPr="005F120D">
        <w:rPr>
          <w:rFonts w:asciiTheme="minorHAnsi" w:hAnsiTheme="minorHAnsi" w:cstheme="minorHAnsi"/>
        </w:rPr>
        <w:t>.</w:t>
      </w:r>
    </w:p>
    <w:p w:rsidR="00B87854" w:rsidRPr="005F120D" w:rsidRDefault="00424E94" w:rsidP="00C437AA">
      <w:pPr>
        <w:autoSpaceDE w:val="0"/>
        <w:autoSpaceDN w:val="0"/>
        <w:adjustRightInd w:val="0"/>
        <w:spacing w:before="240" w:line="276" w:lineRule="auto"/>
        <w:jc w:val="both"/>
        <w:rPr>
          <w:rFonts w:asciiTheme="minorHAnsi" w:hAnsiTheme="minorHAnsi" w:cstheme="minorHAnsi"/>
          <w:szCs w:val="22"/>
          <w:lang w:eastAsia="ja-JP"/>
        </w:rPr>
      </w:pPr>
      <w:r>
        <w:rPr>
          <w:rFonts w:asciiTheme="minorHAnsi" w:hAnsiTheme="minorHAnsi" w:cstheme="minorHAnsi"/>
          <w:szCs w:val="22"/>
          <w:lang w:eastAsia="ja-JP"/>
        </w:rPr>
        <w:t>The following Table 3.34</w:t>
      </w:r>
      <w:r w:rsidR="000B4AB3" w:rsidRPr="005F120D">
        <w:rPr>
          <w:rFonts w:asciiTheme="minorHAnsi" w:hAnsiTheme="minorHAnsi" w:cstheme="minorHAnsi"/>
          <w:szCs w:val="22"/>
          <w:lang w:eastAsia="ja-JP"/>
        </w:rPr>
        <w:t xml:space="preserve"> presents the trend of these two non-KPIs, which has declined to 1.89% in 2015 from 2.3% in 2010 (PEDP3 baseline). In other South Asian countries</w:t>
      </w:r>
      <w:r w:rsidR="00205F85" w:rsidRPr="005F120D">
        <w:rPr>
          <w:rFonts w:asciiTheme="minorHAnsi" w:hAnsiTheme="minorHAnsi" w:cstheme="minorHAnsi"/>
          <w:szCs w:val="22"/>
          <w:lang w:eastAsia="ja-JP"/>
        </w:rPr>
        <w:t>,</w:t>
      </w:r>
      <w:r w:rsidR="000B4AB3" w:rsidRPr="005F120D">
        <w:rPr>
          <w:rFonts w:asciiTheme="minorHAnsi" w:hAnsiTheme="minorHAnsi" w:cstheme="minorHAnsi"/>
          <w:szCs w:val="22"/>
          <w:lang w:eastAsia="ja-JP"/>
        </w:rPr>
        <w:t xml:space="preserve"> the total public expenditure as a percentage of GDP is, for </w:t>
      </w:r>
      <w:r w:rsidR="00205F85" w:rsidRPr="005F120D">
        <w:rPr>
          <w:rFonts w:asciiTheme="minorHAnsi" w:hAnsiTheme="minorHAnsi" w:cstheme="minorHAnsi"/>
          <w:szCs w:val="22"/>
          <w:lang w:eastAsia="ja-JP"/>
        </w:rPr>
        <w:t>example: Bhutan at 6% and ranks</w:t>
      </w:r>
      <w:r w:rsidR="000B4AB3" w:rsidRPr="005F120D">
        <w:rPr>
          <w:rFonts w:asciiTheme="minorHAnsi" w:hAnsiTheme="minorHAnsi" w:cstheme="minorHAnsi"/>
          <w:szCs w:val="22"/>
          <w:lang w:eastAsia="ja-JP"/>
        </w:rPr>
        <w:t xml:space="preserve"> highest; followed by Maldives at 5.2%; Nepal at 4.7%; Afghanistan at 4.6%; India 3.8%; Pakistan 2.5%; and Sri Lanka 1.7%. (Source: Global Education Digest 2015)</w:t>
      </w:r>
      <w:r w:rsidR="007B54E2" w:rsidRPr="005F120D">
        <w:rPr>
          <w:rFonts w:asciiTheme="minorHAnsi" w:hAnsiTheme="minorHAnsi" w:cstheme="minorHAnsi"/>
          <w:szCs w:val="22"/>
          <w:lang w:eastAsia="ja-JP"/>
        </w:rPr>
        <w:t>.</w:t>
      </w:r>
    </w:p>
    <w:p w:rsidR="009470CC" w:rsidRPr="005F120D" w:rsidRDefault="00C135DB" w:rsidP="00C437AA">
      <w:pPr>
        <w:pStyle w:val="Caption"/>
        <w:spacing w:before="240" w:line="276" w:lineRule="auto"/>
        <w:rPr>
          <w:rFonts w:cstheme="minorHAnsi"/>
          <w:szCs w:val="22"/>
        </w:rPr>
      </w:pPr>
      <w:bookmarkStart w:id="422" w:name="_Toc462837291"/>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34</w:t>
      </w:r>
      <w:r w:rsidR="002E2ED5" w:rsidRPr="005F120D">
        <w:rPr>
          <w:rFonts w:cstheme="minorHAnsi"/>
        </w:rPr>
        <w:fldChar w:fldCharType="end"/>
      </w:r>
      <w:r w:rsidR="006A7739" w:rsidRPr="005F120D">
        <w:rPr>
          <w:rFonts w:cstheme="minorHAnsi"/>
        </w:rPr>
        <w:t>:</w:t>
      </w:r>
      <w:r w:rsidR="000B622B">
        <w:rPr>
          <w:rFonts w:cstheme="minorHAnsi"/>
        </w:rPr>
        <w:t xml:space="preserve"> </w:t>
      </w:r>
      <w:r w:rsidR="00205F85" w:rsidRPr="005F120D">
        <w:rPr>
          <w:rFonts w:cstheme="minorHAnsi"/>
          <w:szCs w:val="22"/>
        </w:rPr>
        <w:t>Public Education E</w:t>
      </w:r>
      <w:r w:rsidR="009470CC" w:rsidRPr="005F120D">
        <w:rPr>
          <w:rFonts w:cstheme="minorHAnsi"/>
          <w:szCs w:val="22"/>
        </w:rPr>
        <w:t>xpe</w:t>
      </w:r>
      <w:r w:rsidR="00205F85" w:rsidRPr="005F120D">
        <w:rPr>
          <w:rFonts w:cstheme="minorHAnsi"/>
          <w:szCs w:val="22"/>
        </w:rPr>
        <w:t>nditure as P</w:t>
      </w:r>
      <w:r w:rsidR="00245277" w:rsidRPr="005F120D">
        <w:rPr>
          <w:rFonts w:cstheme="minorHAnsi"/>
          <w:szCs w:val="22"/>
        </w:rPr>
        <w:t>ercentage of GDP &amp; Total E</w:t>
      </w:r>
      <w:r w:rsidR="009470CC" w:rsidRPr="005F120D">
        <w:rPr>
          <w:rFonts w:cstheme="minorHAnsi"/>
          <w:szCs w:val="22"/>
        </w:rPr>
        <w:t>xpenditure 2010-1</w:t>
      </w:r>
      <w:r w:rsidR="00245277" w:rsidRPr="005F120D">
        <w:rPr>
          <w:rFonts w:cstheme="minorHAnsi"/>
          <w:szCs w:val="22"/>
        </w:rPr>
        <w:t>5</w:t>
      </w:r>
      <w:bookmarkEnd w:id="422"/>
    </w:p>
    <w:tbl>
      <w:tblPr>
        <w:tblW w:w="5089" w:type="pct"/>
        <w:tblBorders>
          <w:top w:val="double" w:sz="4" w:space="0" w:color="948A54" w:themeColor="background2" w:themeShade="80"/>
          <w:left w:val="double" w:sz="4" w:space="0" w:color="948A54" w:themeColor="background2" w:themeShade="80"/>
          <w:bottom w:val="double" w:sz="4" w:space="0" w:color="948A54" w:themeColor="background2" w:themeShade="80"/>
          <w:right w:val="double" w:sz="4" w:space="0" w:color="948A54" w:themeColor="background2" w:themeShade="80"/>
          <w:insideH w:val="single" w:sz="6" w:space="0" w:color="948A54" w:themeColor="background2" w:themeShade="80"/>
          <w:insideV w:val="single" w:sz="6" w:space="0" w:color="948A54" w:themeColor="background2" w:themeShade="80"/>
        </w:tblBorders>
        <w:tblLook w:val="04A0"/>
      </w:tblPr>
      <w:tblGrid>
        <w:gridCol w:w="1277"/>
        <w:gridCol w:w="2176"/>
        <w:gridCol w:w="698"/>
        <w:gridCol w:w="757"/>
        <w:gridCol w:w="738"/>
        <w:gridCol w:w="747"/>
        <w:gridCol w:w="738"/>
        <w:gridCol w:w="815"/>
        <w:gridCol w:w="1464"/>
      </w:tblGrid>
      <w:tr w:rsidR="009D6F81" w:rsidRPr="005F120D" w:rsidTr="000032DD">
        <w:trPr>
          <w:trHeight w:val="368"/>
        </w:trPr>
        <w:tc>
          <w:tcPr>
            <w:tcW w:w="679" w:type="pct"/>
            <w:shd w:val="clear" w:color="auto" w:fill="DDD9C3" w:themeFill="background2" w:themeFillShade="E6"/>
          </w:tcPr>
          <w:p w:rsidR="009D6F81" w:rsidRPr="005F120D" w:rsidRDefault="009D6F81" w:rsidP="00936D9E">
            <w:pPr>
              <w:pStyle w:val="NoSpacing"/>
              <w:jc w:val="center"/>
              <w:rPr>
                <w:rFonts w:asciiTheme="minorHAnsi" w:eastAsia="Calibri" w:hAnsiTheme="minorHAnsi" w:cstheme="minorHAnsi"/>
                <w:b/>
                <w:sz w:val="20"/>
              </w:rPr>
            </w:pPr>
          </w:p>
        </w:tc>
        <w:tc>
          <w:tcPr>
            <w:tcW w:w="1156" w:type="pct"/>
            <w:shd w:val="clear" w:color="auto" w:fill="DDD9C3" w:themeFill="background2" w:themeFillShade="E6"/>
          </w:tcPr>
          <w:p w:rsidR="009D6F81" w:rsidRPr="005F120D" w:rsidRDefault="009D6F81" w:rsidP="00936D9E">
            <w:pPr>
              <w:pStyle w:val="NoSpacing"/>
              <w:jc w:val="center"/>
              <w:rPr>
                <w:rFonts w:asciiTheme="minorHAnsi" w:hAnsiTheme="minorHAnsi" w:cstheme="minorHAnsi"/>
                <w:b/>
                <w:sz w:val="20"/>
              </w:rPr>
            </w:pPr>
            <w:r w:rsidRPr="005F120D">
              <w:rPr>
                <w:rFonts w:asciiTheme="minorHAnsi" w:hAnsiTheme="minorHAnsi" w:cstheme="minorHAnsi"/>
                <w:b/>
                <w:sz w:val="20"/>
              </w:rPr>
              <w:t>Indicator</w:t>
            </w:r>
          </w:p>
        </w:tc>
        <w:tc>
          <w:tcPr>
            <w:tcW w:w="371" w:type="pct"/>
            <w:shd w:val="clear" w:color="auto" w:fill="DDD9C3" w:themeFill="background2" w:themeFillShade="E6"/>
          </w:tcPr>
          <w:p w:rsidR="009D6F81" w:rsidRPr="005F120D" w:rsidRDefault="009D6F81" w:rsidP="00936D9E">
            <w:pPr>
              <w:pStyle w:val="NoSpacing"/>
              <w:jc w:val="center"/>
              <w:rPr>
                <w:rFonts w:asciiTheme="minorHAnsi" w:eastAsia="Calibri" w:hAnsiTheme="minorHAnsi" w:cstheme="minorHAnsi"/>
                <w:b/>
                <w:sz w:val="20"/>
              </w:rPr>
            </w:pPr>
            <w:r w:rsidRPr="005F120D">
              <w:rPr>
                <w:rFonts w:asciiTheme="minorHAnsi" w:eastAsia="Calibri" w:hAnsiTheme="minorHAnsi" w:cstheme="minorHAnsi"/>
                <w:b/>
                <w:sz w:val="20"/>
              </w:rPr>
              <w:t>2010</w:t>
            </w:r>
          </w:p>
        </w:tc>
        <w:tc>
          <w:tcPr>
            <w:tcW w:w="402" w:type="pct"/>
            <w:shd w:val="clear" w:color="auto" w:fill="DDD9C3" w:themeFill="background2" w:themeFillShade="E6"/>
          </w:tcPr>
          <w:p w:rsidR="009D6F81" w:rsidRPr="005F120D" w:rsidRDefault="009D6F81" w:rsidP="00936D9E">
            <w:pPr>
              <w:pStyle w:val="NoSpacing"/>
              <w:jc w:val="center"/>
              <w:rPr>
                <w:rFonts w:asciiTheme="minorHAnsi" w:eastAsia="Calibri" w:hAnsiTheme="minorHAnsi" w:cstheme="minorHAnsi"/>
                <w:b/>
                <w:sz w:val="20"/>
              </w:rPr>
            </w:pPr>
            <w:r w:rsidRPr="005F120D">
              <w:rPr>
                <w:rFonts w:asciiTheme="minorHAnsi" w:eastAsia="Calibri" w:hAnsiTheme="minorHAnsi" w:cstheme="minorHAnsi"/>
                <w:b/>
                <w:sz w:val="20"/>
              </w:rPr>
              <w:t>2011</w:t>
            </w:r>
          </w:p>
        </w:tc>
        <w:tc>
          <w:tcPr>
            <w:tcW w:w="392" w:type="pct"/>
            <w:shd w:val="clear" w:color="auto" w:fill="DDD9C3" w:themeFill="background2" w:themeFillShade="E6"/>
          </w:tcPr>
          <w:p w:rsidR="009D6F81" w:rsidRPr="005F120D" w:rsidRDefault="009D6F81" w:rsidP="00936D9E">
            <w:pPr>
              <w:pStyle w:val="NoSpacing"/>
              <w:jc w:val="center"/>
              <w:rPr>
                <w:rFonts w:asciiTheme="minorHAnsi" w:eastAsia="Calibri" w:hAnsiTheme="minorHAnsi" w:cstheme="minorHAnsi"/>
                <w:b/>
                <w:sz w:val="20"/>
              </w:rPr>
            </w:pPr>
            <w:r w:rsidRPr="005F120D">
              <w:rPr>
                <w:rFonts w:asciiTheme="minorHAnsi" w:eastAsia="Calibri" w:hAnsiTheme="minorHAnsi" w:cstheme="minorHAnsi"/>
                <w:b/>
                <w:sz w:val="20"/>
              </w:rPr>
              <w:t>2012</w:t>
            </w:r>
          </w:p>
        </w:tc>
        <w:tc>
          <w:tcPr>
            <w:tcW w:w="397" w:type="pct"/>
            <w:shd w:val="clear" w:color="auto" w:fill="DDD9C3" w:themeFill="background2" w:themeFillShade="E6"/>
          </w:tcPr>
          <w:p w:rsidR="009D6F81" w:rsidRPr="005F120D" w:rsidRDefault="009D6F81" w:rsidP="00936D9E">
            <w:pPr>
              <w:pStyle w:val="NoSpacing"/>
              <w:jc w:val="center"/>
              <w:rPr>
                <w:rFonts w:asciiTheme="minorHAnsi" w:eastAsia="Calibri" w:hAnsiTheme="minorHAnsi" w:cstheme="minorHAnsi"/>
                <w:b/>
                <w:sz w:val="20"/>
              </w:rPr>
            </w:pPr>
            <w:r w:rsidRPr="005F120D">
              <w:rPr>
                <w:rFonts w:asciiTheme="minorHAnsi" w:eastAsia="Calibri" w:hAnsiTheme="minorHAnsi" w:cstheme="minorHAnsi"/>
                <w:b/>
                <w:sz w:val="20"/>
              </w:rPr>
              <w:t>2013</w:t>
            </w:r>
          </w:p>
        </w:tc>
        <w:tc>
          <w:tcPr>
            <w:tcW w:w="392" w:type="pct"/>
            <w:shd w:val="clear" w:color="auto" w:fill="DDD9C3" w:themeFill="background2" w:themeFillShade="E6"/>
          </w:tcPr>
          <w:p w:rsidR="009D6F81" w:rsidRPr="005F120D" w:rsidRDefault="009D6F81" w:rsidP="00936D9E">
            <w:pPr>
              <w:pStyle w:val="NoSpacing"/>
              <w:jc w:val="center"/>
              <w:rPr>
                <w:rFonts w:asciiTheme="minorHAnsi" w:eastAsia="Calibri" w:hAnsiTheme="minorHAnsi" w:cstheme="minorHAnsi"/>
                <w:b/>
                <w:sz w:val="20"/>
              </w:rPr>
            </w:pPr>
            <w:r w:rsidRPr="005F120D">
              <w:rPr>
                <w:rFonts w:asciiTheme="minorHAnsi" w:eastAsia="Calibri" w:hAnsiTheme="minorHAnsi" w:cstheme="minorHAnsi"/>
                <w:b/>
                <w:sz w:val="20"/>
              </w:rPr>
              <w:t>2014</w:t>
            </w:r>
          </w:p>
        </w:tc>
        <w:tc>
          <w:tcPr>
            <w:tcW w:w="433" w:type="pct"/>
            <w:shd w:val="clear" w:color="auto" w:fill="DDD9C3" w:themeFill="background2" w:themeFillShade="E6"/>
          </w:tcPr>
          <w:p w:rsidR="009D6F81" w:rsidRPr="005F120D" w:rsidRDefault="009D6F81" w:rsidP="00936D9E">
            <w:pPr>
              <w:pStyle w:val="NoSpacing"/>
              <w:jc w:val="center"/>
              <w:rPr>
                <w:rFonts w:asciiTheme="minorHAnsi" w:eastAsia="Calibri" w:hAnsiTheme="minorHAnsi" w:cstheme="minorHAnsi"/>
                <w:b/>
                <w:sz w:val="20"/>
              </w:rPr>
            </w:pPr>
            <w:r w:rsidRPr="005F120D">
              <w:rPr>
                <w:rFonts w:asciiTheme="minorHAnsi" w:eastAsia="Calibri" w:hAnsiTheme="minorHAnsi" w:cstheme="minorHAnsi"/>
                <w:b/>
                <w:sz w:val="20"/>
              </w:rPr>
              <w:t>2015</w:t>
            </w:r>
          </w:p>
        </w:tc>
        <w:tc>
          <w:tcPr>
            <w:tcW w:w="778" w:type="pct"/>
            <w:shd w:val="clear" w:color="auto" w:fill="DDD9C3" w:themeFill="background2" w:themeFillShade="E6"/>
          </w:tcPr>
          <w:p w:rsidR="009D6F81" w:rsidRPr="005F120D" w:rsidRDefault="009D6F81" w:rsidP="00936D9E">
            <w:pPr>
              <w:pStyle w:val="NoSpacing"/>
              <w:jc w:val="center"/>
              <w:rPr>
                <w:rFonts w:asciiTheme="minorHAnsi" w:eastAsia="Calibri" w:hAnsiTheme="minorHAnsi" w:cstheme="minorHAnsi"/>
                <w:b/>
                <w:sz w:val="20"/>
              </w:rPr>
            </w:pPr>
            <w:r w:rsidRPr="005F120D">
              <w:rPr>
                <w:rFonts w:asciiTheme="minorHAnsi" w:eastAsia="Calibri" w:hAnsiTheme="minorHAnsi" w:cstheme="minorHAnsi"/>
                <w:b/>
                <w:sz w:val="20"/>
              </w:rPr>
              <w:t>Remarks</w:t>
            </w:r>
          </w:p>
        </w:tc>
      </w:tr>
      <w:tr w:rsidR="009D6F81" w:rsidRPr="005F120D" w:rsidTr="000032DD">
        <w:trPr>
          <w:trHeight w:val="917"/>
        </w:trPr>
        <w:tc>
          <w:tcPr>
            <w:tcW w:w="679" w:type="pct"/>
            <w:shd w:val="clear" w:color="auto" w:fill="auto"/>
          </w:tcPr>
          <w:p w:rsidR="009D6F81" w:rsidRPr="005F120D" w:rsidRDefault="004F5C5D" w:rsidP="00936D9E">
            <w:pPr>
              <w:pStyle w:val="NoSpacing"/>
              <w:jc w:val="center"/>
              <w:rPr>
                <w:rFonts w:asciiTheme="minorHAnsi" w:hAnsiTheme="minorHAnsi" w:cstheme="minorHAnsi"/>
                <w:b/>
                <w:sz w:val="20"/>
              </w:rPr>
            </w:pPr>
            <w:r w:rsidRPr="005F120D">
              <w:rPr>
                <w:rFonts w:asciiTheme="minorHAnsi" w:hAnsiTheme="minorHAnsi" w:cstheme="minorHAnsi"/>
                <w:b/>
                <w:sz w:val="20"/>
              </w:rPr>
              <w:t>Non-KPI</w:t>
            </w:r>
            <w:r w:rsidR="009D6F81" w:rsidRPr="005F120D">
              <w:rPr>
                <w:rFonts w:asciiTheme="minorHAnsi" w:eastAsia="Calibri" w:hAnsiTheme="minorHAnsi" w:cstheme="minorHAnsi"/>
                <w:sz w:val="20"/>
              </w:rPr>
              <w:t>11</w:t>
            </w:r>
          </w:p>
        </w:tc>
        <w:tc>
          <w:tcPr>
            <w:tcW w:w="1156" w:type="pct"/>
            <w:shd w:val="clear" w:color="auto" w:fill="auto"/>
          </w:tcPr>
          <w:p w:rsidR="009D6F81" w:rsidRPr="005F120D" w:rsidRDefault="009D6F81" w:rsidP="00936D9E">
            <w:pPr>
              <w:pStyle w:val="NoSpacing"/>
              <w:rPr>
                <w:rFonts w:asciiTheme="minorHAnsi" w:hAnsiTheme="minorHAnsi" w:cstheme="minorHAnsi"/>
                <w:sz w:val="20"/>
              </w:rPr>
            </w:pPr>
            <w:r w:rsidRPr="005F120D">
              <w:rPr>
                <w:rFonts w:asciiTheme="minorHAnsi" w:hAnsiTheme="minorHAnsi" w:cstheme="minorHAnsi"/>
                <w:sz w:val="20"/>
              </w:rPr>
              <w:t>Public education expenditure as percentage of GDP (EFA-7) (%)</w:t>
            </w:r>
          </w:p>
        </w:tc>
        <w:tc>
          <w:tcPr>
            <w:tcW w:w="371" w:type="pct"/>
            <w:shd w:val="clear" w:color="auto" w:fill="auto"/>
          </w:tcPr>
          <w:p w:rsidR="009D6F81" w:rsidRPr="005F120D" w:rsidRDefault="009D6F81"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2.3%</w:t>
            </w:r>
          </w:p>
        </w:tc>
        <w:tc>
          <w:tcPr>
            <w:tcW w:w="402" w:type="pct"/>
            <w:shd w:val="clear" w:color="auto" w:fill="auto"/>
          </w:tcPr>
          <w:p w:rsidR="009D6F81" w:rsidRPr="005F120D" w:rsidRDefault="009D6F81"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2.2%</w:t>
            </w:r>
          </w:p>
        </w:tc>
        <w:tc>
          <w:tcPr>
            <w:tcW w:w="392" w:type="pct"/>
            <w:shd w:val="clear" w:color="auto" w:fill="auto"/>
          </w:tcPr>
          <w:p w:rsidR="009D6F81" w:rsidRPr="005F120D" w:rsidRDefault="009D6F81"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2.06%</w:t>
            </w:r>
          </w:p>
        </w:tc>
        <w:tc>
          <w:tcPr>
            <w:tcW w:w="397" w:type="pct"/>
            <w:shd w:val="clear" w:color="auto" w:fill="auto"/>
          </w:tcPr>
          <w:p w:rsidR="009D6F81" w:rsidRPr="005F120D" w:rsidRDefault="009D6F81"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2.11%</w:t>
            </w:r>
          </w:p>
        </w:tc>
        <w:tc>
          <w:tcPr>
            <w:tcW w:w="392" w:type="pct"/>
            <w:shd w:val="clear" w:color="auto" w:fill="auto"/>
          </w:tcPr>
          <w:p w:rsidR="009D6F81" w:rsidRPr="005F120D" w:rsidRDefault="009D6F81"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2.18%</w:t>
            </w:r>
          </w:p>
        </w:tc>
        <w:tc>
          <w:tcPr>
            <w:tcW w:w="433" w:type="pct"/>
          </w:tcPr>
          <w:p w:rsidR="009D6F81" w:rsidRPr="005F120D" w:rsidRDefault="00F309D6"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1.89%</w:t>
            </w:r>
          </w:p>
        </w:tc>
        <w:tc>
          <w:tcPr>
            <w:tcW w:w="778" w:type="pct"/>
            <w:vMerge w:val="restart"/>
            <w:shd w:val="clear" w:color="auto" w:fill="auto"/>
          </w:tcPr>
          <w:p w:rsidR="009D6F81" w:rsidRPr="005F120D" w:rsidRDefault="009D6F81" w:rsidP="00936D9E">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MoPME and MoF is responsible</w:t>
            </w:r>
            <w:r w:rsidR="004F5C5D" w:rsidRPr="005F120D">
              <w:rPr>
                <w:rFonts w:asciiTheme="minorHAnsi" w:eastAsia="Calibri" w:hAnsiTheme="minorHAnsi" w:cstheme="minorHAnsi"/>
                <w:sz w:val="18"/>
                <w:szCs w:val="18"/>
              </w:rPr>
              <w:t xml:space="preserve"> for increasing education budget</w:t>
            </w:r>
          </w:p>
        </w:tc>
      </w:tr>
      <w:tr w:rsidR="009D6F81" w:rsidRPr="005F120D" w:rsidTr="000032DD">
        <w:trPr>
          <w:trHeight w:val="827"/>
        </w:trPr>
        <w:tc>
          <w:tcPr>
            <w:tcW w:w="679" w:type="pct"/>
            <w:shd w:val="clear" w:color="auto" w:fill="auto"/>
          </w:tcPr>
          <w:p w:rsidR="009D6F81" w:rsidRPr="005F120D" w:rsidRDefault="004F5C5D" w:rsidP="00936D9E">
            <w:pPr>
              <w:pStyle w:val="NoSpacing"/>
              <w:jc w:val="center"/>
              <w:rPr>
                <w:rFonts w:asciiTheme="minorHAnsi" w:hAnsiTheme="minorHAnsi" w:cstheme="minorHAnsi"/>
                <w:b/>
                <w:sz w:val="20"/>
              </w:rPr>
            </w:pPr>
            <w:r w:rsidRPr="005F120D">
              <w:rPr>
                <w:rFonts w:asciiTheme="minorHAnsi" w:hAnsiTheme="minorHAnsi" w:cstheme="minorHAnsi"/>
                <w:b/>
                <w:sz w:val="20"/>
              </w:rPr>
              <w:t>Non-KPI</w:t>
            </w:r>
            <w:r w:rsidR="009D6F81" w:rsidRPr="005F120D">
              <w:rPr>
                <w:rFonts w:asciiTheme="minorHAnsi" w:eastAsia="Calibri" w:hAnsiTheme="minorHAnsi" w:cstheme="minorHAnsi"/>
                <w:sz w:val="20"/>
              </w:rPr>
              <w:t>12</w:t>
            </w:r>
          </w:p>
        </w:tc>
        <w:tc>
          <w:tcPr>
            <w:tcW w:w="1156" w:type="pct"/>
            <w:shd w:val="clear" w:color="auto" w:fill="auto"/>
          </w:tcPr>
          <w:p w:rsidR="009D6F81" w:rsidRPr="005F120D" w:rsidRDefault="009D6F81" w:rsidP="00936D9E">
            <w:pPr>
              <w:pStyle w:val="NoSpacing"/>
              <w:rPr>
                <w:rFonts w:asciiTheme="minorHAnsi" w:eastAsia="Calibri" w:hAnsiTheme="minorHAnsi" w:cstheme="minorHAnsi"/>
                <w:sz w:val="20"/>
              </w:rPr>
            </w:pPr>
            <w:r w:rsidRPr="005F120D">
              <w:rPr>
                <w:rFonts w:asciiTheme="minorHAnsi" w:hAnsiTheme="minorHAnsi" w:cstheme="minorHAnsi"/>
                <w:sz w:val="20"/>
              </w:rPr>
              <w:t>Public expenditure on primary education as % of total public expenditure on education (EFA-8)</w:t>
            </w:r>
          </w:p>
        </w:tc>
        <w:tc>
          <w:tcPr>
            <w:tcW w:w="371" w:type="pct"/>
            <w:shd w:val="clear" w:color="auto" w:fill="auto"/>
          </w:tcPr>
          <w:p w:rsidR="009D6F81" w:rsidRPr="005F120D" w:rsidRDefault="009D6F81"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45%</w:t>
            </w:r>
          </w:p>
        </w:tc>
        <w:tc>
          <w:tcPr>
            <w:tcW w:w="402" w:type="pct"/>
            <w:shd w:val="clear" w:color="auto" w:fill="auto"/>
          </w:tcPr>
          <w:p w:rsidR="009D6F81" w:rsidRPr="005F120D" w:rsidRDefault="009D6F81"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45.2%</w:t>
            </w:r>
          </w:p>
        </w:tc>
        <w:tc>
          <w:tcPr>
            <w:tcW w:w="392" w:type="pct"/>
            <w:shd w:val="clear" w:color="auto" w:fill="auto"/>
          </w:tcPr>
          <w:p w:rsidR="009D6F81" w:rsidRPr="005F120D" w:rsidRDefault="009D6F81"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45.9%</w:t>
            </w:r>
          </w:p>
        </w:tc>
        <w:tc>
          <w:tcPr>
            <w:tcW w:w="397" w:type="pct"/>
            <w:shd w:val="clear" w:color="auto" w:fill="auto"/>
          </w:tcPr>
          <w:p w:rsidR="009D6F81" w:rsidRPr="005F120D" w:rsidRDefault="009D6F81"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47.5%</w:t>
            </w:r>
          </w:p>
        </w:tc>
        <w:tc>
          <w:tcPr>
            <w:tcW w:w="392" w:type="pct"/>
            <w:shd w:val="clear" w:color="auto" w:fill="auto"/>
          </w:tcPr>
          <w:p w:rsidR="009D6F81" w:rsidRPr="005F120D" w:rsidRDefault="009D6F81"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46.8%</w:t>
            </w:r>
          </w:p>
        </w:tc>
        <w:tc>
          <w:tcPr>
            <w:tcW w:w="433" w:type="pct"/>
          </w:tcPr>
          <w:p w:rsidR="009D6F81" w:rsidRPr="005F120D" w:rsidRDefault="00F309D6"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43.39%</w:t>
            </w:r>
          </w:p>
        </w:tc>
        <w:tc>
          <w:tcPr>
            <w:tcW w:w="778" w:type="pct"/>
            <w:vMerge/>
            <w:shd w:val="clear" w:color="auto" w:fill="auto"/>
          </w:tcPr>
          <w:p w:rsidR="009D6F81" w:rsidRPr="005F120D" w:rsidRDefault="009D6F81" w:rsidP="00936D9E">
            <w:pPr>
              <w:pStyle w:val="NoSpacing"/>
              <w:rPr>
                <w:rFonts w:asciiTheme="minorHAnsi" w:eastAsia="Calibri" w:hAnsiTheme="minorHAnsi" w:cstheme="minorHAnsi"/>
                <w:szCs w:val="22"/>
              </w:rPr>
            </w:pPr>
          </w:p>
        </w:tc>
      </w:tr>
    </w:tbl>
    <w:p w:rsidR="00546119" w:rsidRPr="005F120D" w:rsidRDefault="00BD4D42" w:rsidP="00C437AA">
      <w:pPr>
        <w:autoSpaceDE w:val="0"/>
        <w:autoSpaceDN w:val="0"/>
        <w:adjustRightInd w:val="0"/>
        <w:spacing w:after="0" w:line="276" w:lineRule="auto"/>
        <w:rPr>
          <w:rFonts w:asciiTheme="minorHAnsi" w:hAnsiTheme="minorHAnsi" w:cstheme="minorHAnsi"/>
          <w:b/>
          <w:sz w:val="16"/>
          <w:szCs w:val="16"/>
          <w:lang w:eastAsia="ja-JP"/>
        </w:rPr>
      </w:pPr>
      <w:r w:rsidRPr="005F120D">
        <w:rPr>
          <w:rFonts w:asciiTheme="minorHAnsi" w:hAnsiTheme="minorHAnsi" w:cstheme="minorHAnsi"/>
          <w:b/>
          <w:sz w:val="16"/>
          <w:szCs w:val="16"/>
          <w:lang w:eastAsia="ja-JP"/>
        </w:rPr>
        <w:t>Source: MTBF, MoF</w:t>
      </w:r>
    </w:p>
    <w:p w:rsidR="00EA356A" w:rsidRPr="005F120D" w:rsidRDefault="00EA356A" w:rsidP="00C437AA">
      <w:pPr>
        <w:autoSpaceDE w:val="0"/>
        <w:autoSpaceDN w:val="0"/>
        <w:adjustRightInd w:val="0"/>
        <w:spacing w:after="0" w:line="276" w:lineRule="auto"/>
        <w:rPr>
          <w:rFonts w:asciiTheme="minorHAnsi" w:hAnsiTheme="minorHAnsi" w:cstheme="minorHAnsi"/>
          <w:b/>
          <w:sz w:val="16"/>
          <w:szCs w:val="16"/>
          <w:lang w:eastAsia="ja-JP"/>
        </w:rPr>
      </w:pPr>
    </w:p>
    <w:p w:rsidR="00D748C3" w:rsidRPr="005F120D" w:rsidRDefault="00E524BA" w:rsidP="003F5F17">
      <w:pPr>
        <w:pStyle w:val="Heading1"/>
      </w:pPr>
      <w:bookmarkStart w:id="423" w:name="_Toc338856167"/>
      <w:bookmarkStart w:id="424" w:name="_Toc385242096"/>
      <w:bookmarkStart w:id="425" w:name="_Toc385245722"/>
      <w:bookmarkStart w:id="426" w:name="_Toc462837185"/>
      <w:bookmarkEnd w:id="313"/>
      <w:r w:rsidRPr="005F120D">
        <w:lastRenderedPageBreak/>
        <w:t xml:space="preserve">Sector </w:t>
      </w:r>
      <w:r w:rsidR="00D748C3" w:rsidRPr="005F120D">
        <w:t>Outputs</w:t>
      </w:r>
      <w:bookmarkEnd w:id="423"/>
      <w:bookmarkEnd w:id="424"/>
      <w:bookmarkEnd w:id="425"/>
      <w:r w:rsidR="00EB0FDC" w:rsidRPr="005F120D">
        <w:t>:  PSQL Indicators</w:t>
      </w:r>
      <w:bookmarkEnd w:id="426"/>
    </w:p>
    <w:p w:rsidR="00332BB3" w:rsidRPr="005F120D" w:rsidRDefault="003F5F17" w:rsidP="00C437AA">
      <w:pPr>
        <w:spacing w:line="276" w:lineRule="auto"/>
        <w:jc w:val="both"/>
        <w:rPr>
          <w:rFonts w:asciiTheme="minorHAnsi" w:hAnsiTheme="minorHAnsi" w:cstheme="minorHAnsi"/>
          <w:color w:val="FF0000"/>
        </w:rPr>
      </w:pPr>
      <w:r w:rsidRPr="005F120D">
        <w:rPr>
          <w:rFonts w:asciiTheme="minorHAnsi" w:hAnsiTheme="minorHAnsi" w:cstheme="minorHAnsi"/>
          <w:color w:val="000000"/>
        </w:rPr>
        <w:t>The Primary School Quality Level (PSQL) indicators are proxy indicators for tracking progress at school level. The PSQLs were first used to track minimum standards in primary schools under PEDPII and continued in the PEDP3. This chapter presents information on PSQL indicators of PEDP3 (except the PSQL indicator ‘percentage of schools with pre-primary classes’, which was discussed in Chapter 3). The data are from the APSC, and cover both GPS and NNPS. See Table 4.1 on PSQL indicators by thematic areas.</w:t>
      </w:r>
    </w:p>
    <w:p w:rsidR="00332BB3" w:rsidRPr="005F120D" w:rsidRDefault="00332BB3" w:rsidP="00C437AA">
      <w:pPr>
        <w:pStyle w:val="Caption"/>
        <w:spacing w:line="276" w:lineRule="auto"/>
        <w:rPr>
          <w:rFonts w:cstheme="minorHAnsi"/>
          <w:color w:val="000000" w:themeColor="text1"/>
        </w:rPr>
      </w:pPr>
      <w:bookmarkStart w:id="427" w:name="_Toc385414246"/>
      <w:bookmarkStart w:id="428" w:name="_Toc385419601"/>
      <w:bookmarkStart w:id="429" w:name="_Toc462837292"/>
      <w:r w:rsidRPr="005F120D">
        <w:rPr>
          <w:rFonts w:cstheme="minorHAnsi"/>
          <w:color w:val="000000" w:themeColor="text1"/>
        </w:rPr>
        <w:t xml:space="preserve">Table </w:t>
      </w:r>
      <w:r w:rsidR="002E2ED5" w:rsidRPr="005F120D">
        <w:rPr>
          <w:rFonts w:cstheme="minorHAnsi"/>
          <w:color w:val="000000" w:themeColor="text1"/>
        </w:rPr>
        <w:fldChar w:fldCharType="begin"/>
      </w:r>
      <w:r w:rsidR="007112B6" w:rsidRPr="005F120D">
        <w:rPr>
          <w:rFonts w:cstheme="minorHAnsi"/>
          <w:color w:val="000000" w:themeColor="text1"/>
        </w:rPr>
        <w:instrText xml:space="preserve"> STYLEREF 1 \s </w:instrText>
      </w:r>
      <w:r w:rsidR="002E2ED5" w:rsidRPr="005F120D">
        <w:rPr>
          <w:rFonts w:cstheme="minorHAnsi"/>
          <w:color w:val="000000" w:themeColor="text1"/>
        </w:rPr>
        <w:fldChar w:fldCharType="separate"/>
      </w:r>
      <w:r w:rsidR="00810DA2">
        <w:rPr>
          <w:rFonts w:cstheme="minorHAnsi"/>
          <w:noProof/>
          <w:color w:val="000000" w:themeColor="text1"/>
        </w:rPr>
        <w:t>4</w:t>
      </w:r>
      <w:r w:rsidR="002E2ED5" w:rsidRPr="005F120D">
        <w:rPr>
          <w:rFonts w:cstheme="minorHAnsi"/>
          <w:color w:val="000000" w:themeColor="text1"/>
        </w:rPr>
        <w:fldChar w:fldCharType="end"/>
      </w:r>
      <w:r w:rsidR="007112B6" w:rsidRPr="005F120D">
        <w:rPr>
          <w:rFonts w:cstheme="minorHAnsi"/>
          <w:color w:val="000000" w:themeColor="text1"/>
        </w:rPr>
        <w:t>.</w:t>
      </w:r>
      <w:r w:rsidR="002E2ED5" w:rsidRPr="005F120D">
        <w:rPr>
          <w:rFonts w:cstheme="minorHAnsi"/>
          <w:color w:val="000000" w:themeColor="text1"/>
        </w:rPr>
        <w:fldChar w:fldCharType="begin"/>
      </w:r>
      <w:r w:rsidR="007112B6" w:rsidRPr="005F120D">
        <w:rPr>
          <w:rFonts w:cstheme="minorHAnsi"/>
          <w:color w:val="000000" w:themeColor="text1"/>
        </w:rPr>
        <w:instrText xml:space="preserve"> SEQ Table \* ARABIC \s 1 </w:instrText>
      </w:r>
      <w:r w:rsidR="002E2ED5" w:rsidRPr="005F120D">
        <w:rPr>
          <w:rFonts w:cstheme="minorHAnsi"/>
          <w:color w:val="000000" w:themeColor="text1"/>
        </w:rPr>
        <w:fldChar w:fldCharType="separate"/>
      </w:r>
      <w:r w:rsidR="00810DA2">
        <w:rPr>
          <w:rFonts w:cstheme="minorHAnsi"/>
          <w:noProof/>
          <w:color w:val="000000" w:themeColor="text1"/>
        </w:rPr>
        <w:t>1</w:t>
      </w:r>
      <w:r w:rsidR="002E2ED5" w:rsidRPr="005F120D">
        <w:rPr>
          <w:rFonts w:cstheme="minorHAnsi"/>
          <w:color w:val="000000" w:themeColor="text1"/>
        </w:rPr>
        <w:fldChar w:fldCharType="end"/>
      </w:r>
      <w:r w:rsidR="005904EF" w:rsidRPr="005F120D">
        <w:rPr>
          <w:rFonts w:cstheme="minorHAnsi"/>
          <w:color w:val="000000" w:themeColor="text1"/>
        </w:rPr>
        <w:t xml:space="preserve">: </w:t>
      </w:r>
      <w:r w:rsidRPr="005F120D">
        <w:rPr>
          <w:rFonts w:cstheme="minorHAnsi"/>
          <w:color w:val="000000" w:themeColor="text1"/>
        </w:rPr>
        <w:t>P</w:t>
      </w:r>
      <w:r w:rsidR="005904EF" w:rsidRPr="005F120D">
        <w:rPr>
          <w:rFonts w:cstheme="minorHAnsi"/>
          <w:color w:val="000000" w:themeColor="text1"/>
        </w:rPr>
        <w:t>SQL I</w:t>
      </w:r>
      <w:r w:rsidR="00107034" w:rsidRPr="005F120D">
        <w:rPr>
          <w:rFonts w:cstheme="minorHAnsi"/>
          <w:color w:val="000000" w:themeColor="text1"/>
        </w:rPr>
        <w:t xml:space="preserve">ndicators </w:t>
      </w:r>
      <w:r w:rsidR="0051511D" w:rsidRPr="005F120D">
        <w:rPr>
          <w:rFonts w:cstheme="minorHAnsi"/>
          <w:color w:val="000000" w:themeColor="text1"/>
        </w:rPr>
        <w:t>by Thematic</w:t>
      </w:r>
      <w:r w:rsidRPr="005F120D">
        <w:rPr>
          <w:rFonts w:cstheme="minorHAnsi"/>
          <w:color w:val="000000" w:themeColor="text1"/>
        </w:rPr>
        <w:t xml:space="preserve"> Areas</w:t>
      </w:r>
      <w:bookmarkEnd w:id="427"/>
      <w:bookmarkEnd w:id="428"/>
      <w:bookmarkEnd w:id="429"/>
    </w:p>
    <w:tbl>
      <w:tblPr>
        <w:tblW w:w="0" w:type="auto"/>
        <w:tblBorders>
          <w:top w:val="double" w:sz="4" w:space="0" w:color="984806"/>
          <w:left w:val="double" w:sz="4" w:space="0" w:color="984806"/>
          <w:bottom w:val="double" w:sz="4" w:space="0" w:color="984806"/>
          <w:right w:val="double" w:sz="4" w:space="0" w:color="984806"/>
          <w:insideH w:val="single" w:sz="6" w:space="0" w:color="984806"/>
          <w:insideV w:val="single" w:sz="6" w:space="0" w:color="984806"/>
        </w:tblBorders>
        <w:tblLook w:val="04A0"/>
      </w:tblPr>
      <w:tblGrid>
        <w:gridCol w:w="2021"/>
        <w:gridCol w:w="1658"/>
        <w:gridCol w:w="1832"/>
        <w:gridCol w:w="1852"/>
        <w:gridCol w:w="1882"/>
      </w:tblGrid>
      <w:tr w:rsidR="003F5F17" w:rsidRPr="005F120D" w:rsidTr="00992ABD">
        <w:tc>
          <w:tcPr>
            <w:tcW w:w="2088" w:type="dxa"/>
            <w:shd w:val="clear" w:color="auto" w:fill="C0504D"/>
          </w:tcPr>
          <w:p w:rsidR="003F5F17" w:rsidRPr="005F120D" w:rsidRDefault="003F5F17" w:rsidP="00992ABD">
            <w:pPr>
              <w:spacing w:after="0"/>
              <w:jc w:val="center"/>
              <w:rPr>
                <w:rFonts w:asciiTheme="minorHAnsi" w:hAnsiTheme="minorHAnsi" w:cstheme="minorHAnsi"/>
                <w:b/>
                <w:bCs/>
                <w:color w:val="FFFFFF"/>
                <w:sz w:val="20"/>
              </w:rPr>
            </w:pPr>
            <w:r w:rsidRPr="005F120D">
              <w:rPr>
                <w:rFonts w:asciiTheme="minorHAnsi" w:hAnsiTheme="minorHAnsi" w:cstheme="minorHAnsi"/>
                <w:b/>
                <w:bCs/>
                <w:color w:val="FFFFFF"/>
                <w:sz w:val="20"/>
              </w:rPr>
              <w:t>Teaching</w:t>
            </w:r>
          </w:p>
          <w:p w:rsidR="003F5F17" w:rsidRPr="005F120D" w:rsidRDefault="003F5F17" w:rsidP="00992ABD">
            <w:pPr>
              <w:spacing w:after="0"/>
              <w:jc w:val="center"/>
              <w:rPr>
                <w:rFonts w:asciiTheme="minorHAnsi" w:hAnsiTheme="minorHAnsi" w:cstheme="minorHAnsi"/>
                <w:b/>
                <w:bCs/>
                <w:color w:val="FFFFFF"/>
                <w:sz w:val="20"/>
              </w:rPr>
            </w:pPr>
            <w:r w:rsidRPr="005F120D">
              <w:rPr>
                <w:rFonts w:asciiTheme="minorHAnsi" w:hAnsiTheme="minorHAnsi" w:cstheme="minorHAnsi"/>
                <w:b/>
                <w:bCs/>
                <w:color w:val="FFFFFF"/>
                <w:sz w:val="20"/>
              </w:rPr>
              <w:t xml:space="preserve">Learning </w:t>
            </w:r>
          </w:p>
        </w:tc>
        <w:tc>
          <w:tcPr>
            <w:tcW w:w="1699" w:type="dxa"/>
            <w:shd w:val="clear" w:color="auto" w:fill="C0504D"/>
          </w:tcPr>
          <w:p w:rsidR="003F5F17" w:rsidRPr="005F120D" w:rsidRDefault="003F5F17" w:rsidP="00992ABD">
            <w:pPr>
              <w:spacing w:after="0"/>
              <w:jc w:val="center"/>
              <w:rPr>
                <w:rFonts w:asciiTheme="minorHAnsi" w:hAnsiTheme="minorHAnsi" w:cstheme="minorHAnsi"/>
                <w:b/>
                <w:bCs/>
                <w:color w:val="FFFFFF"/>
                <w:sz w:val="20"/>
              </w:rPr>
            </w:pPr>
            <w:r w:rsidRPr="005F120D">
              <w:rPr>
                <w:rFonts w:asciiTheme="minorHAnsi" w:hAnsiTheme="minorHAnsi" w:cstheme="minorHAnsi"/>
                <w:b/>
                <w:bCs/>
                <w:color w:val="FFFFFF"/>
                <w:sz w:val="20"/>
              </w:rPr>
              <w:t>Equitable Access</w:t>
            </w:r>
          </w:p>
        </w:tc>
        <w:tc>
          <w:tcPr>
            <w:tcW w:w="1893" w:type="dxa"/>
            <w:shd w:val="clear" w:color="auto" w:fill="C0504D"/>
          </w:tcPr>
          <w:p w:rsidR="003F5F17" w:rsidRPr="005F120D" w:rsidRDefault="003F5F17" w:rsidP="00992ABD">
            <w:pPr>
              <w:spacing w:after="0"/>
              <w:jc w:val="center"/>
              <w:rPr>
                <w:rFonts w:asciiTheme="minorHAnsi" w:hAnsiTheme="minorHAnsi" w:cstheme="minorHAnsi"/>
                <w:b/>
                <w:bCs/>
                <w:color w:val="FFFFFF"/>
                <w:sz w:val="20"/>
              </w:rPr>
            </w:pPr>
            <w:r w:rsidRPr="005F120D">
              <w:rPr>
                <w:rFonts w:asciiTheme="minorHAnsi" w:hAnsiTheme="minorHAnsi" w:cstheme="minorHAnsi"/>
                <w:b/>
                <w:bCs/>
                <w:color w:val="FFFFFF"/>
                <w:sz w:val="20"/>
              </w:rPr>
              <w:t>Water and Sanitation</w:t>
            </w:r>
          </w:p>
        </w:tc>
        <w:tc>
          <w:tcPr>
            <w:tcW w:w="1894" w:type="dxa"/>
            <w:shd w:val="clear" w:color="auto" w:fill="C0504D"/>
          </w:tcPr>
          <w:p w:rsidR="003F5F17" w:rsidRPr="005F120D" w:rsidRDefault="003F5F17" w:rsidP="00992ABD">
            <w:pPr>
              <w:spacing w:after="0"/>
              <w:jc w:val="center"/>
              <w:rPr>
                <w:rFonts w:asciiTheme="minorHAnsi" w:hAnsiTheme="minorHAnsi" w:cstheme="minorHAnsi"/>
                <w:b/>
                <w:bCs/>
                <w:color w:val="FFFFFF"/>
                <w:sz w:val="20"/>
              </w:rPr>
            </w:pPr>
            <w:r w:rsidRPr="005F120D">
              <w:rPr>
                <w:rFonts w:asciiTheme="minorHAnsi" w:hAnsiTheme="minorHAnsi" w:cstheme="minorHAnsi"/>
                <w:b/>
                <w:bCs/>
                <w:color w:val="FFFFFF"/>
                <w:sz w:val="20"/>
              </w:rPr>
              <w:t>School Infrastructure</w:t>
            </w:r>
          </w:p>
        </w:tc>
        <w:tc>
          <w:tcPr>
            <w:tcW w:w="1908" w:type="dxa"/>
            <w:shd w:val="clear" w:color="auto" w:fill="C0504D"/>
          </w:tcPr>
          <w:p w:rsidR="003F5F17" w:rsidRPr="005F120D" w:rsidRDefault="003F5F17" w:rsidP="00992ABD">
            <w:pPr>
              <w:spacing w:after="0"/>
              <w:jc w:val="center"/>
              <w:rPr>
                <w:rFonts w:asciiTheme="minorHAnsi" w:hAnsiTheme="minorHAnsi" w:cstheme="minorHAnsi"/>
                <w:b/>
                <w:bCs/>
                <w:color w:val="FFFFFF"/>
                <w:sz w:val="20"/>
              </w:rPr>
            </w:pPr>
            <w:r w:rsidRPr="005F120D">
              <w:rPr>
                <w:rFonts w:asciiTheme="minorHAnsi" w:hAnsiTheme="minorHAnsi" w:cstheme="minorHAnsi"/>
                <w:b/>
                <w:bCs/>
                <w:color w:val="FFFFFF"/>
                <w:sz w:val="20"/>
              </w:rPr>
              <w:t>Decentralization</w:t>
            </w:r>
          </w:p>
        </w:tc>
      </w:tr>
      <w:tr w:rsidR="003F5F17" w:rsidRPr="005F120D" w:rsidTr="00992ABD">
        <w:tc>
          <w:tcPr>
            <w:tcW w:w="2088" w:type="dxa"/>
          </w:tcPr>
          <w:p w:rsidR="003F5F17" w:rsidRPr="005F120D" w:rsidRDefault="003F5F17" w:rsidP="00992ABD">
            <w:pPr>
              <w:spacing w:after="0"/>
              <w:rPr>
                <w:rFonts w:asciiTheme="minorHAnsi" w:hAnsiTheme="minorHAnsi" w:cstheme="minorHAnsi"/>
                <w:b/>
                <w:bCs/>
                <w:color w:val="984806"/>
                <w:sz w:val="20"/>
              </w:rPr>
            </w:pPr>
            <w:r w:rsidRPr="005F120D">
              <w:rPr>
                <w:rFonts w:asciiTheme="minorHAnsi" w:hAnsiTheme="minorHAnsi" w:cstheme="minorHAnsi"/>
                <w:bCs/>
                <w:color w:val="984806"/>
                <w:sz w:val="20"/>
              </w:rPr>
              <w:t>PSQL 1:</w:t>
            </w:r>
          </w:p>
          <w:p w:rsidR="003F5F17" w:rsidRPr="005F120D" w:rsidRDefault="003F5F17" w:rsidP="00992ABD">
            <w:pPr>
              <w:spacing w:after="0"/>
              <w:rPr>
                <w:rFonts w:asciiTheme="minorHAnsi" w:hAnsiTheme="minorHAnsi" w:cstheme="minorHAnsi"/>
                <w:b/>
                <w:bCs/>
                <w:color w:val="984806"/>
                <w:sz w:val="20"/>
              </w:rPr>
            </w:pPr>
            <w:r w:rsidRPr="005F120D">
              <w:rPr>
                <w:rFonts w:asciiTheme="minorHAnsi" w:hAnsiTheme="minorHAnsi" w:cstheme="minorHAnsi"/>
                <w:bCs/>
                <w:color w:val="984806"/>
                <w:sz w:val="20"/>
              </w:rPr>
              <w:t>% of schools which received all new textbooks by January 31</w:t>
            </w:r>
          </w:p>
        </w:tc>
        <w:tc>
          <w:tcPr>
            <w:tcW w:w="1699" w:type="dxa"/>
          </w:tcPr>
          <w:p w:rsidR="003F5F17" w:rsidRPr="005F120D" w:rsidRDefault="003F5F17" w:rsidP="00992ABD">
            <w:pPr>
              <w:spacing w:after="0"/>
              <w:rPr>
                <w:rFonts w:asciiTheme="minorHAnsi" w:hAnsiTheme="minorHAnsi" w:cstheme="minorHAnsi"/>
                <w:b/>
                <w:color w:val="000000"/>
                <w:sz w:val="20"/>
              </w:rPr>
            </w:pPr>
            <w:r w:rsidRPr="005F120D">
              <w:rPr>
                <w:rFonts w:asciiTheme="minorHAnsi" w:hAnsiTheme="minorHAnsi" w:cstheme="minorHAnsi"/>
                <w:color w:val="000000"/>
                <w:sz w:val="20"/>
              </w:rPr>
              <w:t>PSQL 5:</w:t>
            </w:r>
          </w:p>
          <w:p w:rsidR="003F5F17" w:rsidRPr="005F120D" w:rsidRDefault="003F5F17" w:rsidP="00992ABD">
            <w:pPr>
              <w:spacing w:after="0"/>
              <w:rPr>
                <w:rFonts w:asciiTheme="minorHAnsi" w:hAnsiTheme="minorHAnsi" w:cstheme="minorHAnsi"/>
                <w:color w:val="000000"/>
                <w:sz w:val="20"/>
              </w:rPr>
            </w:pPr>
            <w:r w:rsidRPr="005F120D">
              <w:rPr>
                <w:rFonts w:asciiTheme="minorHAnsi" w:hAnsiTheme="minorHAnsi" w:cstheme="minorHAnsi"/>
                <w:color w:val="000000"/>
                <w:sz w:val="20"/>
              </w:rPr>
              <w:t>% of schools (GPS/NNPS) with pre-primary classes</w:t>
            </w:r>
          </w:p>
        </w:tc>
        <w:tc>
          <w:tcPr>
            <w:tcW w:w="1893" w:type="dxa"/>
          </w:tcPr>
          <w:p w:rsidR="003F5F17" w:rsidRPr="005F120D" w:rsidRDefault="003F5F17" w:rsidP="00992ABD">
            <w:pPr>
              <w:spacing w:after="0"/>
              <w:rPr>
                <w:rFonts w:asciiTheme="minorHAnsi" w:hAnsiTheme="minorHAnsi" w:cstheme="minorHAnsi"/>
                <w:color w:val="215868"/>
                <w:sz w:val="20"/>
              </w:rPr>
            </w:pPr>
            <w:r w:rsidRPr="005F120D">
              <w:rPr>
                <w:rFonts w:asciiTheme="minorHAnsi" w:hAnsiTheme="minorHAnsi" w:cstheme="minorHAnsi"/>
                <w:color w:val="215868"/>
                <w:sz w:val="20"/>
              </w:rPr>
              <w:t>PSQL 7:</w:t>
            </w:r>
          </w:p>
          <w:p w:rsidR="003F5F17" w:rsidRPr="005F120D" w:rsidRDefault="003F5F17" w:rsidP="00992ABD">
            <w:pPr>
              <w:spacing w:after="0"/>
              <w:rPr>
                <w:rFonts w:asciiTheme="minorHAnsi" w:hAnsiTheme="minorHAnsi" w:cstheme="minorHAnsi"/>
                <w:color w:val="215868"/>
                <w:sz w:val="20"/>
              </w:rPr>
            </w:pPr>
            <w:r w:rsidRPr="005F120D">
              <w:rPr>
                <w:rFonts w:asciiTheme="minorHAnsi" w:hAnsiTheme="minorHAnsi" w:cstheme="minorHAnsi"/>
                <w:color w:val="215868"/>
                <w:sz w:val="20"/>
              </w:rPr>
              <w:t>% of schools with at least one functioning toilet</w:t>
            </w:r>
          </w:p>
        </w:tc>
        <w:tc>
          <w:tcPr>
            <w:tcW w:w="1894" w:type="dxa"/>
          </w:tcPr>
          <w:p w:rsidR="003F5F17" w:rsidRPr="005F120D" w:rsidRDefault="003F5F17" w:rsidP="00992ABD">
            <w:pPr>
              <w:spacing w:after="0"/>
              <w:rPr>
                <w:rFonts w:asciiTheme="minorHAnsi" w:hAnsiTheme="minorHAnsi" w:cstheme="minorHAnsi"/>
                <w:color w:val="000000"/>
                <w:sz w:val="20"/>
              </w:rPr>
            </w:pPr>
            <w:r w:rsidRPr="005F120D">
              <w:rPr>
                <w:rFonts w:asciiTheme="minorHAnsi" w:hAnsiTheme="minorHAnsi" w:cstheme="minorHAnsi"/>
                <w:color w:val="000000"/>
                <w:sz w:val="20"/>
              </w:rPr>
              <w:t>PSQL 10:</w:t>
            </w:r>
          </w:p>
          <w:p w:rsidR="003F5F17" w:rsidRPr="005F120D" w:rsidRDefault="003F5F17" w:rsidP="00992ABD">
            <w:pPr>
              <w:spacing w:after="0"/>
              <w:rPr>
                <w:rFonts w:asciiTheme="minorHAnsi" w:hAnsiTheme="minorHAnsi" w:cstheme="minorHAnsi"/>
                <w:color w:val="000000"/>
                <w:sz w:val="20"/>
              </w:rPr>
            </w:pPr>
            <w:r w:rsidRPr="005F120D">
              <w:rPr>
                <w:rFonts w:asciiTheme="minorHAnsi" w:hAnsiTheme="minorHAnsi" w:cstheme="minorHAnsi"/>
                <w:color w:val="000000"/>
                <w:sz w:val="20"/>
              </w:rPr>
              <w:t>% of schools that meet the SCR standard of 40</w:t>
            </w:r>
          </w:p>
          <w:p w:rsidR="003F5F17" w:rsidRPr="005F120D" w:rsidRDefault="003F5F17" w:rsidP="00992ABD">
            <w:pPr>
              <w:spacing w:after="0"/>
              <w:rPr>
                <w:rFonts w:asciiTheme="minorHAnsi" w:hAnsiTheme="minorHAnsi" w:cstheme="minorHAnsi"/>
                <w:color w:val="000000"/>
                <w:sz w:val="20"/>
              </w:rPr>
            </w:pPr>
          </w:p>
        </w:tc>
        <w:tc>
          <w:tcPr>
            <w:tcW w:w="1908" w:type="dxa"/>
          </w:tcPr>
          <w:p w:rsidR="003F5F17" w:rsidRPr="005F120D" w:rsidRDefault="003F5F17" w:rsidP="00992ABD">
            <w:pPr>
              <w:spacing w:after="0"/>
              <w:rPr>
                <w:rFonts w:asciiTheme="minorHAnsi" w:hAnsiTheme="minorHAnsi" w:cstheme="minorHAnsi"/>
                <w:b/>
                <w:color w:val="244061"/>
                <w:sz w:val="20"/>
              </w:rPr>
            </w:pPr>
            <w:r w:rsidRPr="005F120D">
              <w:rPr>
                <w:rFonts w:asciiTheme="minorHAnsi" w:hAnsiTheme="minorHAnsi" w:cstheme="minorHAnsi"/>
                <w:color w:val="244061"/>
                <w:sz w:val="20"/>
              </w:rPr>
              <w:t>PSQL 12:</w:t>
            </w:r>
          </w:p>
          <w:p w:rsidR="003F5F17" w:rsidRPr="005F120D" w:rsidRDefault="003F5F17" w:rsidP="00992ABD">
            <w:pPr>
              <w:spacing w:after="0"/>
              <w:rPr>
                <w:rFonts w:asciiTheme="minorHAnsi" w:hAnsiTheme="minorHAnsi" w:cstheme="minorHAnsi"/>
                <w:color w:val="244061"/>
                <w:sz w:val="20"/>
              </w:rPr>
            </w:pPr>
            <w:r w:rsidRPr="005F120D">
              <w:rPr>
                <w:rFonts w:asciiTheme="minorHAnsi" w:hAnsiTheme="minorHAnsi" w:cstheme="minorHAnsi"/>
                <w:color w:val="244061"/>
                <w:sz w:val="20"/>
              </w:rPr>
              <w:t>% of schools which receive SLIP grants</w:t>
            </w:r>
          </w:p>
        </w:tc>
      </w:tr>
      <w:tr w:rsidR="003F5F17" w:rsidRPr="005F120D" w:rsidTr="00992ABD">
        <w:tc>
          <w:tcPr>
            <w:tcW w:w="2088" w:type="dxa"/>
          </w:tcPr>
          <w:p w:rsidR="003F5F17" w:rsidRPr="005F120D" w:rsidRDefault="003F5F17" w:rsidP="00992ABD">
            <w:pPr>
              <w:spacing w:after="0"/>
              <w:rPr>
                <w:rFonts w:asciiTheme="minorHAnsi" w:hAnsiTheme="minorHAnsi" w:cstheme="minorHAnsi"/>
                <w:b/>
                <w:bCs/>
                <w:color w:val="984806"/>
                <w:sz w:val="20"/>
              </w:rPr>
            </w:pPr>
            <w:r w:rsidRPr="005F120D">
              <w:rPr>
                <w:rFonts w:asciiTheme="minorHAnsi" w:hAnsiTheme="minorHAnsi" w:cstheme="minorHAnsi"/>
                <w:bCs/>
                <w:color w:val="984806"/>
                <w:sz w:val="20"/>
              </w:rPr>
              <w:t>PSQL 2:</w:t>
            </w:r>
          </w:p>
          <w:p w:rsidR="003F5F17" w:rsidRPr="005F120D" w:rsidRDefault="003F5F17" w:rsidP="00992ABD">
            <w:pPr>
              <w:spacing w:after="0"/>
              <w:rPr>
                <w:rFonts w:asciiTheme="minorHAnsi" w:hAnsiTheme="minorHAnsi" w:cstheme="minorHAnsi"/>
                <w:b/>
                <w:bCs/>
                <w:color w:val="984806"/>
                <w:sz w:val="20"/>
              </w:rPr>
            </w:pPr>
            <w:r w:rsidRPr="005F120D">
              <w:rPr>
                <w:rFonts w:asciiTheme="minorHAnsi" w:hAnsiTheme="minorHAnsi" w:cstheme="minorHAnsi"/>
                <w:bCs/>
                <w:color w:val="984806"/>
                <w:sz w:val="20"/>
              </w:rPr>
              <w:t>% of (Assistant and Head) teachers with professional Qualification (C-in-Ed, Dip-in-Ed, B. Ed, M. Ed.</w:t>
            </w:r>
          </w:p>
        </w:tc>
        <w:tc>
          <w:tcPr>
            <w:tcW w:w="1699" w:type="dxa"/>
          </w:tcPr>
          <w:p w:rsidR="003F5F17" w:rsidRPr="005F120D" w:rsidRDefault="003F5F17" w:rsidP="00992ABD">
            <w:pPr>
              <w:spacing w:after="0"/>
              <w:rPr>
                <w:rFonts w:asciiTheme="minorHAnsi" w:hAnsiTheme="minorHAnsi" w:cstheme="minorHAnsi"/>
                <w:color w:val="000000"/>
                <w:sz w:val="20"/>
              </w:rPr>
            </w:pPr>
            <w:r w:rsidRPr="005F120D">
              <w:rPr>
                <w:rFonts w:asciiTheme="minorHAnsi" w:hAnsiTheme="minorHAnsi" w:cstheme="minorHAnsi"/>
                <w:color w:val="000000"/>
                <w:sz w:val="20"/>
              </w:rPr>
              <w:t>PSQL 6:</w:t>
            </w:r>
          </w:p>
          <w:p w:rsidR="003F5F17" w:rsidRPr="005F120D" w:rsidRDefault="003F5F17" w:rsidP="00992ABD">
            <w:pPr>
              <w:spacing w:after="0"/>
              <w:rPr>
                <w:rFonts w:asciiTheme="minorHAnsi" w:hAnsiTheme="minorHAnsi" w:cstheme="minorHAnsi"/>
                <w:color w:val="000000"/>
                <w:sz w:val="20"/>
              </w:rPr>
            </w:pPr>
            <w:r w:rsidRPr="005F120D">
              <w:rPr>
                <w:rFonts w:asciiTheme="minorHAnsi" w:hAnsiTheme="minorHAnsi" w:cstheme="minorHAnsi"/>
                <w:color w:val="000000"/>
                <w:sz w:val="20"/>
              </w:rPr>
              <w:t xml:space="preserve"> No. of enrolled children with disabilities</w:t>
            </w:r>
          </w:p>
          <w:p w:rsidR="003F5F17" w:rsidRPr="005F120D" w:rsidRDefault="003F5F17" w:rsidP="00992ABD">
            <w:pPr>
              <w:spacing w:after="0"/>
              <w:rPr>
                <w:rFonts w:asciiTheme="minorHAnsi" w:hAnsiTheme="minorHAnsi" w:cstheme="minorHAnsi"/>
                <w:color w:val="000000"/>
                <w:sz w:val="20"/>
              </w:rPr>
            </w:pPr>
          </w:p>
        </w:tc>
        <w:tc>
          <w:tcPr>
            <w:tcW w:w="1893" w:type="dxa"/>
          </w:tcPr>
          <w:p w:rsidR="003F5F17" w:rsidRPr="005F120D" w:rsidRDefault="003F5F17" w:rsidP="00992ABD">
            <w:pPr>
              <w:spacing w:after="0"/>
              <w:rPr>
                <w:rFonts w:asciiTheme="minorHAnsi" w:hAnsiTheme="minorHAnsi" w:cstheme="minorHAnsi"/>
                <w:color w:val="215868"/>
                <w:sz w:val="20"/>
              </w:rPr>
            </w:pPr>
            <w:r w:rsidRPr="005F120D">
              <w:rPr>
                <w:rFonts w:asciiTheme="minorHAnsi" w:hAnsiTheme="minorHAnsi" w:cstheme="minorHAnsi"/>
                <w:color w:val="215868"/>
                <w:sz w:val="20"/>
              </w:rPr>
              <w:t>PSQL 8:</w:t>
            </w:r>
          </w:p>
          <w:p w:rsidR="003F5F17" w:rsidRPr="005F120D" w:rsidRDefault="003F5F17" w:rsidP="00992ABD">
            <w:pPr>
              <w:spacing w:after="0"/>
              <w:rPr>
                <w:rFonts w:asciiTheme="minorHAnsi" w:hAnsiTheme="minorHAnsi" w:cstheme="minorHAnsi"/>
                <w:color w:val="215868"/>
                <w:sz w:val="20"/>
              </w:rPr>
            </w:pPr>
            <w:r w:rsidRPr="005F120D">
              <w:rPr>
                <w:rFonts w:asciiTheme="minorHAnsi" w:hAnsiTheme="minorHAnsi" w:cstheme="minorHAnsi"/>
                <w:color w:val="215868"/>
                <w:sz w:val="20"/>
              </w:rPr>
              <w:t>% of schools with separate functioning toilets for girls</w:t>
            </w:r>
          </w:p>
        </w:tc>
        <w:tc>
          <w:tcPr>
            <w:tcW w:w="1894" w:type="dxa"/>
          </w:tcPr>
          <w:p w:rsidR="003F5F17" w:rsidRPr="005F120D" w:rsidRDefault="003F5F17" w:rsidP="00992ABD">
            <w:pPr>
              <w:spacing w:after="0"/>
              <w:rPr>
                <w:rFonts w:asciiTheme="minorHAnsi" w:hAnsiTheme="minorHAnsi" w:cstheme="minorHAnsi"/>
                <w:color w:val="000000"/>
                <w:sz w:val="20"/>
              </w:rPr>
            </w:pPr>
            <w:r w:rsidRPr="005F120D">
              <w:rPr>
                <w:rFonts w:asciiTheme="minorHAnsi" w:hAnsiTheme="minorHAnsi" w:cstheme="minorHAnsi"/>
                <w:color w:val="000000"/>
                <w:sz w:val="20"/>
              </w:rPr>
              <w:t>PSQL 11:</w:t>
            </w:r>
          </w:p>
          <w:p w:rsidR="003F5F17" w:rsidRPr="005F120D" w:rsidRDefault="003F5F17" w:rsidP="00992ABD">
            <w:pPr>
              <w:spacing w:after="0"/>
              <w:rPr>
                <w:rFonts w:asciiTheme="minorHAnsi" w:hAnsiTheme="minorHAnsi" w:cstheme="minorHAnsi"/>
                <w:color w:val="000000"/>
                <w:sz w:val="20"/>
              </w:rPr>
            </w:pPr>
            <w:r w:rsidRPr="005F120D">
              <w:rPr>
                <w:rFonts w:asciiTheme="minorHAnsi" w:hAnsiTheme="minorHAnsi" w:cstheme="minorHAnsi"/>
                <w:color w:val="000000"/>
                <w:sz w:val="20"/>
              </w:rPr>
              <w:t>% of standard size classrooms (19’x17’4’’)</w:t>
            </w:r>
          </w:p>
          <w:p w:rsidR="003F5F17" w:rsidRPr="005F120D" w:rsidRDefault="003F5F17" w:rsidP="00992ABD">
            <w:pPr>
              <w:spacing w:after="0"/>
              <w:rPr>
                <w:rFonts w:asciiTheme="minorHAnsi" w:hAnsiTheme="minorHAnsi" w:cstheme="minorHAnsi"/>
                <w:b/>
                <w:color w:val="000000"/>
                <w:sz w:val="20"/>
              </w:rPr>
            </w:pPr>
            <w:r w:rsidRPr="005F120D">
              <w:rPr>
                <w:rFonts w:asciiTheme="minorHAnsi" w:hAnsiTheme="minorHAnsi" w:cstheme="minorHAnsi"/>
                <w:color w:val="000000"/>
                <w:sz w:val="20"/>
              </w:rPr>
              <w:t xml:space="preserve"> and larger</w:t>
            </w:r>
          </w:p>
        </w:tc>
        <w:tc>
          <w:tcPr>
            <w:tcW w:w="1908" w:type="dxa"/>
          </w:tcPr>
          <w:p w:rsidR="003F5F17" w:rsidRPr="005F120D" w:rsidRDefault="003F5F17" w:rsidP="00992ABD">
            <w:pPr>
              <w:spacing w:after="0"/>
              <w:rPr>
                <w:rFonts w:asciiTheme="minorHAnsi" w:hAnsiTheme="minorHAnsi" w:cstheme="minorHAnsi"/>
                <w:color w:val="244061"/>
                <w:sz w:val="20"/>
              </w:rPr>
            </w:pPr>
            <w:r w:rsidRPr="005F120D">
              <w:rPr>
                <w:rFonts w:asciiTheme="minorHAnsi" w:hAnsiTheme="minorHAnsi" w:cstheme="minorHAnsi"/>
                <w:color w:val="244061"/>
                <w:sz w:val="20"/>
              </w:rPr>
              <w:t>PSQL 13:</w:t>
            </w:r>
          </w:p>
          <w:p w:rsidR="003F5F17" w:rsidRPr="005F120D" w:rsidRDefault="003F5F17" w:rsidP="00992ABD">
            <w:pPr>
              <w:spacing w:after="0"/>
              <w:rPr>
                <w:rFonts w:asciiTheme="minorHAnsi" w:hAnsiTheme="minorHAnsi" w:cstheme="minorHAnsi"/>
                <w:color w:val="244061"/>
                <w:sz w:val="20"/>
              </w:rPr>
            </w:pPr>
            <w:r w:rsidRPr="005F120D">
              <w:rPr>
                <w:rFonts w:asciiTheme="minorHAnsi" w:hAnsiTheme="minorHAnsi" w:cstheme="minorHAnsi"/>
                <w:color w:val="244061"/>
                <w:sz w:val="20"/>
              </w:rPr>
              <w:t>% of Head Teachers who received training on  leadership</w:t>
            </w:r>
          </w:p>
        </w:tc>
      </w:tr>
      <w:tr w:rsidR="003F5F17" w:rsidRPr="005F120D" w:rsidTr="00992ABD">
        <w:tc>
          <w:tcPr>
            <w:tcW w:w="2088" w:type="dxa"/>
          </w:tcPr>
          <w:p w:rsidR="003F5F17" w:rsidRPr="005F120D" w:rsidRDefault="003F5F17" w:rsidP="00992ABD">
            <w:pPr>
              <w:spacing w:after="0"/>
              <w:rPr>
                <w:rFonts w:asciiTheme="minorHAnsi" w:hAnsiTheme="minorHAnsi" w:cstheme="minorHAnsi"/>
                <w:b/>
                <w:bCs/>
                <w:color w:val="984806"/>
                <w:sz w:val="20"/>
              </w:rPr>
            </w:pPr>
            <w:r w:rsidRPr="005F120D">
              <w:rPr>
                <w:rFonts w:asciiTheme="minorHAnsi" w:hAnsiTheme="minorHAnsi" w:cstheme="minorHAnsi"/>
                <w:bCs/>
                <w:color w:val="984806"/>
                <w:sz w:val="20"/>
              </w:rPr>
              <w:t>PSQL 3:</w:t>
            </w:r>
          </w:p>
          <w:p w:rsidR="003F5F17" w:rsidRPr="005F120D" w:rsidRDefault="003F5F17" w:rsidP="00992ABD">
            <w:pPr>
              <w:spacing w:after="0"/>
              <w:rPr>
                <w:rFonts w:asciiTheme="minorHAnsi" w:hAnsiTheme="minorHAnsi" w:cstheme="minorHAnsi"/>
                <w:b/>
                <w:bCs/>
                <w:color w:val="984806"/>
                <w:sz w:val="20"/>
              </w:rPr>
            </w:pPr>
            <w:r w:rsidRPr="005F120D">
              <w:rPr>
                <w:rFonts w:asciiTheme="minorHAnsi" w:hAnsiTheme="minorHAnsi" w:cstheme="minorHAnsi"/>
                <w:bCs/>
                <w:color w:val="984806"/>
                <w:sz w:val="20"/>
              </w:rPr>
              <w:t>% of (Assistant and Head) teachers who receive CPD training (subject based)</w:t>
            </w:r>
          </w:p>
        </w:tc>
        <w:tc>
          <w:tcPr>
            <w:tcW w:w="1699" w:type="dxa"/>
          </w:tcPr>
          <w:p w:rsidR="003F5F17" w:rsidRPr="005F120D" w:rsidRDefault="003F5F17" w:rsidP="00992ABD">
            <w:pPr>
              <w:spacing w:after="0"/>
              <w:rPr>
                <w:rFonts w:asciiTheme="minorHAnsi" w:hAnsiTheme="minorHAnsi" w:cstheme="minorHAnsi"/>
                <w:color w:val="000000"/>
                <w:sz w:val="20"/>
              </w:rPr>
            </w:pPr>
          </w:p>
        </w:tc>
        <w:tc>
          <w:tcPr>
            <w:tcW w:w="1893" w:type="dxa"/>
          </w:tcPr>
          <w:p w:rsidR="003F5F17" w:rsidRPr="005F120D" w:rsidRDefault="003F5F17" w:rsidP="00992ABD">
            <w:pPr>
              <w:spacing w:after="0"/>
              <w:rPr>
                <w:rFonts w:asciiTheme="minorHAnsi" w:hAnsiTheme="minorHAnsi" w:cstheme="minorHAnsi"/>
                <w:color w:val="215868"/>
                <w:sz w:val="20"/>
              </w:rPr>
            </w:pPr>
            <w:r w:rsidRPr="005F120D">
              <w:rPr>
                <w:rFonts w:asciiTheme="minorHAnsi" w:hAnsiTheme="minorHAnsi" w:cstheme="minorHAnsi"/>
                <w:color w:val="215868"/>
                <w:sz w:val="20"/>
              </w:rPr>
              <w:t>PSQL 9:</w:t>
            </w:r>
          </w:p>
          <w:p w:rsidR="003F5F17" w:rsidRPr="005F120D" w:rsidRDefault="003F5F17" w:rsidP="00992ABD">
            <w:pPr>
              <w:spacing w:after="0"/>
              <w:rPr>
                <w:rFonts w:asciiTheme="minorHAnsi" w:hAnsiTheme="minorHAnsi" w:cstheme="minorHAnsi"/>
                <w:color w:val="215868"/>
                <w:sz w:val="20"/>
              </w:rPr>
            </w:pPr>
            <w:r w:rsidRPr="005F120D">
              <w:rPr>
                <w:rFonts w:asciiTheme="minorHAnsi" w:hAnsiTheme="minorHAnsi" w:cstheme="minorHAnsi"/>
                <w:color w:val="215868"/>
                <w:sz w:val="20"/>
              </w:rPr>
              <w:t>% of schools that  have safe water sources: functioning tube wells and other sources</w:t>
            </w:r>
          </w:p>
        </w:tc>
        <w:tc>
          <w:tcPr>
            <w:tcW w:w="1894" w:type="dxa"/>
          </w:tcPr>
          <w:p w:rsidR="003F5F17" w:rsidRPr="005F120D" w:rsidRDefault="003F5F17" w:rsidP="00992ABD">
            <w:pPr>
              <w:spacing w:after="0"/>
              <w:rPr>
                <w:rFonts w:asciiTheme="minorHAnsi" w:hAnsiTheme="minorHAnsi" w:cstheme="minorHAnsi"/>
                <w:color w:val="000000"/>
                <w:sz w:val="20"/>
              </w:rPr>
            </w:pPr>
          </w:p>
        </w:tc>
        <w:tc>
          <w:tcPr>
            <w:tcW w:w="1908" w:type="dxa"/>
          </w:tcPr>
          <w:p w:rsidR="003F5F17" w:rsidRPr="005F120D" w:rsidRDefault="003F5F17" w:rsidP="00992ABD">
            <w:pPr>
              <w:spacing w:after="0"/>
              <w:rPr>
                <w:rFonts w:asciiTheme="minorHAnsi" w:hAnsiTheme="minorHAnsi" w:cstheme="minorHAnsi"/>
                <w:color w:val="000000"/>
                <w:sz w:val="20"/>
              </w:rPr>
            </w:pPr>
          </w:p>
        </w:tc>
      </w:tr>
      <w:tr w:rsidR="003F5F17" w:rsidRPr="005F120D" w:rsidTr="00992ABD">
        <w:trPr>
          <w:trHeight w:val="1357"/>
        </w:trPr>
        <w:tc>
          <w:tcPr>
            <w:tcW w:w="2088" w:type="dxa"/>
          </w:tcPr>
          <w:p w:rsidR="003F5F17" w:rsidRPr="005F120D" w:rsidRDefault="003F5F17" w:rsidP="00992ABD">
            <w:pPr>
              <w:spacing w:after="0"/>
              <w:rPr>
                <w:rFonts w:asciiTheme="minorHAnsi" w:hAnsiTheme="minorHAnsi" w:cstheme="minorHAnsi"/>
                <w:b/>
                <w:bCs/>
                <w:color w:val="984806"/>
                <w:sz w:val="20"/>
              </w:rPr>
            </w:pPr>
            <w:r w:rsidRPr="005F120D">
              <w:rPr>
                <w:rFonts w:asciiTheme="minorHAnsi" w:hAnsiTheme="minorHAnsi" w:cstheme="minorHAnsi"/>
                <w:bCs/>
                <w:color w:val="984806"/>
                <w:sz w:val="20"/>
              </w:rPr>
              <w:t>PSQL 4:</w:t>
            </w:r>
          </w:p>
          <w:p w:rsidR="003F5F17" w:rsidRPr="005F120D" w:rsidRDefault="003F5F17" w:rsidP="00992ABD">
            <w:pPr>
              <w:spacing w:after="0"/>
              <w:rPr>
                <w:rFonts w:asciiTheme="minorHAnsi" w:hAnsiTheme="minorHAnsi" w:cstheme="minorHAnsi"/>
                <w:b/>
                <w:bCs/>
                <w:color w:val="984806"/>
                <w:sz w:val="20"/>
              </w:rPr>
            </w:pPr>
            <w:r w:rsidRPr="005F120D">
              <w:rPr>
                <w:rFonts w:asciiTheme="minorHAnsi" w:hAnsiTheme="minorHAnsi" w:cstheme="minorHAnsi"/>
                <w:bCs/>
                <w:color w:val="984806"/>
                <w:sz w:val="20"/>
              </w:rPr>
              <w:t>% of (Assistant and Head) teachers who receive CPD training (sub-cluster)</w:t>
            </w:r>
          </w:p>
        </w:tc>
        <w:tc>
          <w:tcPr>
            <w:tcW w:w="1699" w:type="dxa"/>
          </w:tcPr>
          <w:p w:rsidR="003F5F17" w:rsidRPr="005F120D" w:rsidRDefault="003F5F17" w:rsidP="00992ABD">
            <w:pPr>
              <w:spacing w:after="0"/>
              <w:rPr>
                <w:rFonts w:asciiTheme="minorHAnsi" w:hAnsiTheme="minorHAnsi" w:cstheme="minorHAnsi"/>
                <w:color w:val="000000"/>
                <w:sz w:val="20"/>
              </w:rPr>
            </w:pPr>
          </w:p>
        </w:tc>
        <w:tc>
          <w:tcPr>
            <w:tcW w:w="1893" w:type="dxa"/>
          </w:tcPr>
          <w:p w:rsidR="003F5F17" w:rsidRPr="005F120D" w:rsidRDefault="003F5F17" w:rsidP="00992ABD">
            <w:pPr>
              <w:spacing w:after="0"/>
              <w:rPr>
                <w:rFonts w:asciiTheme="minorHAnsi" w:hAnsiTheme="minorHAnsi" w:cstheme="minorHAnsi"/>
                <w:color w:val="000000"/>
                <w:sz w:val="20"/>
              </w:rPr>
            </w:pPr>
          </w:p>
        </w:tc>
        <w:tc>
          <w:tcPr>
            <w:tcW w:w="1894" w:type="dxa"/>
          </w:tcPr>
          <w:p w:rsidR="003F5F17" w:rsidRPr="005F120D" w:rsidRDefault="003F5F17" w:rsidP="00992ABD">
            <w:pPr>
              <w:spacing w:after="0"/>
              <w:rPr>
                <w:rFonts w:asciiTheme="minorHAnsi" w:hAnsiTheme="minorHAnsi" w:cstheme="minorHAnsi"/>
                <w:color w:val="000000"/>
                <w:sz w:val="20"/>
              </w:rPr>
            </w:pPr>
          </w:p>
        </w:tc>
        <w:tc>
          <w:tcPr>
            <w:tcW w:w="1908" w:type="dxa"/>
          </w:tcPr>
          <w:p w:rsidR="003F5F17" w:rsidRPr="005F120D" w:rsidRDefault="003F5F17" w:rsidP="00992ABD">
            <w:pPr>
              <w:spacing w:after="0"/>
              <w:rPr>
                <w:rFonts w:asciiTheme="minorHAnsi" w:hAnsiTheme="minorHAnsi" w:cstheme="minorHAnsi"/>
                <w:color w:val="000000"/>
                <w:sz w:val="20"/>
              </w:rPr>
            </w:pPr>
          </w:p>
        </w:tc>
      </w:tr>
      <w:tr w:rsidR="003F5F17" w:rsidRPr="005F120D" w:rsidTr="00992ABD">
        <w:tc>
          <w:tcPr>
            <w:tcW w:w="2088" w:type="dxa"/>
          </w:tcPr>
          <w:p w:rsidR="003F5F17" w:rsidRPr="005F120D" w:rsidRDefault="003F5F17" w:rsidP="00992ABD">
            <w:pPr>
              <w:spacing w:after="0"/>
              <w:rPr>
                <w:rFonts w:asciiTheme="minorHAnsi" w:hAnsiTheme="minorHAnsi" w:cstheme="minorHAnsi"/>
                <w:b/>
                <w:bCs/>
                <w:color w:val="984806"/>
                <w:sz w:val="20"/>
              </w:rPr>
            </w:pPr>
            <w:r w:rsidRPr="005F120D">
              <w:rPr>
                <w:rFonts w:asciiTheme="minorHAnsi" w:hAnsiTheme="minorHAnsi" w:cstheme="minorHAnsi"/>
                <w:bCs/>
                <w:color w:val="984806"/>
                <w:sz w:val="20"/>
              </w:rPr>
              <w:t>PSQL 14:</w:t>
            </w:r>
          </w:p>
          <w:p w:rsidR="003F5F17" w:rsidRPr="005F120D" w:rsidRDefault="003F5F17" w:rsidP="00992ABD">
            <w:pPr>
              <w:spacing w:after="0"/>
              <w:rPr>
                <w:rFonts w:asciiTheme="minorHAnsi" w:hAnsiTheme="minorHAnsi" w:cstheme="minorHAnsi"/>
                <w:b/>
                <w:bCs/>
                <w:color w:val="984806"/>
                <w:sz w:val="20"/>
              </w:rPr>
            </w:pPr>
            <w:r w:rsidRPr="005F120D">
              <w:rPr>
                <w:rFonts w:asciiTheme="minorHAnsi" w:hAnsiTheme="minorHAnsi" w:cstheme="minorHAnsi"/>
                <w:bCs/>
                <w:color w:val="984806"/>
                <w:sz w:val="20"/>
              </w:rPr>
              <w:t>% of schools that meet the STR standard of 46</w:t>
            </w:r>
          </w:p>
        </w:tc>
        <w:tc>
          <w:tcPr>
            <w:tcW w:w="1699" w:type="dxa"/>
          </w:tcPr>
          <w:p w:rsidR="003F5F17" w:rsidRPr="005F120D" w:rsidRDefault="003F5F17" w:rsidP="00992ABD">
            <w:pPr>
              <w:spacing w:after="0"/>
              <w:rPr>
                <w:rFonts w:asciiTheme="minorHAnsi" w:hAnsiTheme="minorHAnsi" w:cstheme="minorHAnsi"/>
                <w:color w:val="000000"/>
                <w:sz w:val="20"/>
              </w:rPr>
            </w:pPr>
          </w:p>
        </w:tc>
        <w:tc>
          <w:tcPr>
            <w:tcW w:w="1893" w:type="dxa"/>
          </w:tcPr>
          <w:p w:rsidR="003F5F17" w:rsidRPr="005F120D" w:rsidRDefault="003F5F17" w:rsidP="00992ABD">
            <w:pPr>
              <w:spacing w:after="0"/>
              <w:rPr>
                <w:rFonts w:asciiTheme="minorHAnsi" w:hAnsiTheme="minorHAnsi" w:cstheme="minorHAnsi"/>
                <w:color w:val="000000"/>
                <w:sz w:val="20"/>
              </w:rPr>
            </w:pPr>
          </w:p>
        </w:tc>
        <w:tc>
          <w:tcPr>
            <w:tcW w:w="1894" w:type="dxa"/>
          </w:tcPr>
          <w:p w:rsidR="003F5F17" w:rsidRPr="005F120D" w:rsidRDefault="003F5F17" w:rsidP="00992ABD">
            <w:pPr>
              <w:spacing w:after="0"/>
              <w:rPr>
                <w:rFonts w:asciiTheme="minorHAnsi" w:hAnsiTheme="minorHAnsi" w:cstheme="minorHAnsi"/>
                <w:color w:val="000000"/>
                <w:sz w:val="20"/>
              </w:rPr>
            </w:pPr>
          </w:p>
        </w:tc>
        <w:tc>
          <w:tcPr>
            <w:tcW w:w="1908" w:type="dxa"/>
          </w:tcPr>
          <w:p w:rsidR="003F5F17" w:rsidRPr="005F120D" w:rsidRDefault="003F5F17" w:rsidP="00992ABD">
            <w:pPr>
              <w:spacing w:after="0"/>
              <w:rPr>
                <w:rFonts w:asciiTheme="minorHAnsi" w:hAnsiTheme="minorHAnsi" w:cstheme="minorHAnsi"/>
                <w:color w:val="000000"/>
                <w:sz w:val="20"/>
              </w:rPr>
            </w:pPr>
          </w:p>
        </w:tc>
      </w:tr>
    </w:tbl>
    <w:p w:rsidR="005D354E" w:rsidRPr="005F120D" w:rsidRDefault="00304EE8" w:rsidP="00C437AA">
      <w:pPr>
        <w:spacing w:line="276" w:lineRule="auto"/>
        <w:rPr>
          <w:rFonts w:asciiTheme="minorHAnsi" w:hAnsiTheme="minorHAnsi" w:cstheme="minorHAnsi"/>
          <w:b/>
          <w:color w:val="000000" w:themeColor="text1"/>
          <w:sz w:val="16"/>
          <w:szCs w:val="16"/>
        </w:rPr>
      </w:pPr>
      <w:r w:rsidRPr="005F120D">
        <w:rPr>
          <w:rFonts w:asciiTheme="minorHAnsi" w:hAnsiTheme="minorHAnsi" w:cstheme="minorHAnsi"/>
          <w:b/>
          <w:color w:val="000000" w:themeColor="text1"/>
          <w:sz w:val="16"/>
          <w:szCs w:val="16"/>
        </w:rPr>
        <w:t xml:space="preserve">Source: PEDP3 revised </w:t>
      </w:r>
      <w:r w:rsidR="00676B03" w:rsidRPr="005F120D">
        <w:rPr>
          <w:rFonts w:asciiTheme="minorHAnsi" w:hAnsiTheme="minorHAnsi" w:cstheme="minorHAnsi"/>
          <w:b/>
          <w:color w:val="000000" w:themeColor="text1"/>
          <w:sz w:val="16"/>
          <w:szCs w:val="16"/>
        </w:rPr>
        <w:t xml:space="preserve">M&amp;E </w:t>
      </w:r>
      <w:r w:rsidRPr="005F120D">
        <w:rPr>
          <w:rFonts w:asciiTheme="minorHAnsi" w:hAnsiTheme="minorHAnsi" w:cstheme="minorHAnsi"/>
          <w:b/>
          <w:color w:val="000000" w:themeColor="text1"/>
          <w:sz w:val="16"/>
          <w:szCs w:val="16"/>
        </w:rPr>
        <w:t xml:space="preserve">draft </w:t>
      </w:r>
      <w:r w:rsidR="00676B03" w:rsidRPr="005F120D">
        <w:rPr>
          <w:rFonts w:asciiTheme="minorHAnsi" w:hAnsiTheme="minorHAnsi" w:cstheme="minorHAnsi"/>
          <w:b/>
          <w:color w:val="000000" w:themeColor="text1"/>
          <w:sz w:val="16"/>
          <w:szCs w:val="16"/>
        </w:rPr>
        <w:t>framework</w:t>
      </w:r>
    </w:p>
    <w:p w:rsidR="007E35F4" w:rsidRPr="005F120D" w:rsidRDefault="007E35F4" w:rsidP="00C437AA">
      <w:pPr>
        <w:spacing w:line="276" w:lineRule="auto"/>
        <w:rPr>
          <w:rFonts w:asciiTheme="minorHAnsi" w:hAnsiTheme="minorHAnsi" w:cstheme="minorHAnsi"/>
          <w:b/>
          <w:color w:val="FF0000"/>
          <w:sz w:val="18"/>
          <w:szCs w:val="18"/>
        </w:rPr>
      </w:pPr>
    </w:p>
    <w:p w:rsidR="007E35F4" w:rsidRPr="005F120D" w:rsidRDefault="007E35F4" w:rsidP="00C437AA">
      <w:pPr>
        <w:spacing w:line="276" w:lineRule="auto"/>
        <w:rPr>
          <w:rFonts w:asciiTheme="minorHAnsi" w:hAnsiTheme="minorHAnsi" w:cstheme="minorHAnsi"/>
          <w:b/>
          <w:color w:val="FF0000"/>
          <w:sz w:val="18"/>
          <w:szCs w:val="18"/>
        </w:rPr>
      </w:pPr>
    </w:p>
    <w:p w:rsidR="00B31976" w:rsidRPr="005F120D" w:rsidRDefault="00B31976" w:rsidP="00C437AA">
      <w:pPr>
        <w:spacing w:line="276" w:lineRule="auto"/>
        <w:rPr>
          <w:rFonts w:asciiTheme="minorHAnsi" w:hAnsiTheme="minorHAnsi" w:cstheme="minorHAnsi"/>
          <w:b/>
          <w:color w:val="FF0000"/>
          <w:sz w:val="18"/>
          <w:szCs w:val="18"/>
        </w:rPr>
      </w:pPr>
    </w:p>
    <w:p w:rsidR="00B31976" w:rsidRPr="005F120D" w:rsidRDefault="00B31976" w:rsidP="00C437AA">
      <w:pPr>
        <w:spacing w:line="276" w:lineRule="auto"/>
        <w:rPr>
          <w:rFonts w:asciiTheme="minorHAnsi" w:hAnsiTheme="minorHAnsi" w:cstheme="minorHAnsi"/>
          <w:b/>
          <w:color w:val="FF0000"/>
          <w:sz w:val="18"/>
          <w:szCs w:val="18"/>
        </w:rPr>
      </w:pPr>
    </w:p>
    <w:p w:rsidR="00332BB3" w:rsidRPr="005F120D" w:rsidRDefault="00332BB3" w:rsidP="00C437AA">
      <w:pPr>
        <w:pStyle w:val="Heading2"/>
        <w:spacing w:line="276" w:lineRule="auto"/>
        <w:rPr>
          <w:rFonts w:cstheme="minorHAnsi"/>
          <w:color w:val="339933"/>
        </w:rPr>
      </w:pPr>
      <w:bookmarkStart w:id="430" w:name="_Ref387676102"/>
      <w:bookmarkStart w:id="431" w:name="_Toc462837186"/>
      <w:r w:rsidRPr="005F120D">
        <w:rPr>
          <w:rFonts w:cstheme="minorHAnsi"/>
          <w:color w:val="339933"/>
        </w:rPr>
        <w:lastRenderedPageBreak/>
        <w:t>Teaching and Learning</w:t>
      </w:r>
      <w:bookmarkEnd w:id="430"/>
      <w:bookmarkEnd w:id="431"/>
    </w:p>
    <w:p w:rsidR="003F5F17" w:rsidRPr="005F120D" w:rsidRDefault="003F5F17" w:rsidP="00F30B77">
      <w:pPr>
        <w:spacing w:before="240" w:line="276" w:lineRule="auto"/>
        <w:rPr>
          <w:rFonts w:asciiTheme="minorHAnsi" w:hAnsiTheme="minorHAnsi" w:cstheme="minorHAnsi"/>
        </w:rPr>
      </w:pPr>
      <w:r w:rsidRPr="005F120D">
        <w:rPr>
          <w:rFonts w:asciiTheme="minorHAnsi" w:hAnsiTheme="minorHAnsi" w:cstheme="minorHAnsi"/>
        </w:rPr>
        <w:t>The following five PSQLs are clustered under the thematic area “Teaching and Learning” for measuring the achievement of results (outputs) at school level.</w:t>
      </w:r>
    </w:p>
    <w:p w:rsidR="003F5F17" w:rsidRPr="005F120D" w:rsidRDefault="003F5F17" w:rsidP="003F5F17">
      <w:pPr>
        <w:numPr>
          <w:ilvl w:val="0"/>
          <w:numId w:val="98"/>
        </w:numPr>
        <w:spacing w:after="200" w:line="276" w:lineRule="auto"/>
        <w:contextualSpacing/>
        <w:rPr>
          <w:rFonts w:asciiTheme="minorHAnsi" w:hAnsiTheme="minorHAnsi" w:cstheme="minorHAnsi"/>
          <w:b/>
          <w:i/>
        </w:rPr>
      </w:pPr>
      <w:r w:rsidRPr="005F120D">
        <w:rPr>
          <w:rFonts w:asciiTheme="minorHAnsi" w:hAnsiTheme="minorHAnsi" w:cstheme="minorHAnsi"/>
          <w:b/>
          <w:i/>
        </w:rPr>
        <w:t>PSQL 1: Percentage of schools which received all new textbooks by January 3;</w:t>
      </w:r>
    </w:p>
    <w:p w:rsidR="003F5F17" w:rsidRPr="005F120D" w:rsidRDefault="003F5F17" w:rsidP="003F5F17">
      <w:pPr>
        <w:numPr>
          <w:ilvl w:val="0"/>
          <w:numId w:val="98"/>
        </w:numPr>
        <w:spacing w:after="200" w:line="276" w:lineRule="auto"/>
        <w:contextualSpacing/>
        <w:rPr>
          <w:rFonts w:asciiTheme="minorHAnsi" w:hAnsiTheme="minorHAnsi" w:cstheme="minorHAnsi"/>
          <w:b/>
          <w:i/>
        </w:rPr>
      </w:pPr>
      <w:r w:rsidRPr="005F120D">
        <w:rPr>
          <w:rFonts w:asciiTheme="minorHAnsi" w:hAnsiTheme="minorHAnsi" w:cstheme="minorHAnsi"/>
          <w:b/>
          <w:i/>
        </w:rPr>
        <w:t>PSQL 2: Percentage of teachers with professional qualifications;</w:t>
      </w:r>
    </w:p>
    <w:p w:rsidR="003F5F17" w:rsidRPr="005F120D" w:rsidRDefault="003F5F17" w:rsidP="003F5F17">
      <w:pPr>
        <w:numPr>
          <w:ilvl w:val="0"/>
          <w:numId w:val="98"/>
        </w:numPr>
        <w:spacing w:after="200" w:line="276" w:lineRule="auto"/>
        <w:contextualSpacing/>
        <w:rPr>
          <w:rFonts w:asciiTheme="minorHAnsi" w:hAnsiTheme="minorHAnsi" w:cstheme="minorHAnsi"/>
          <w:b/>
          <w:i/>
        </w:rPr>
      </w:pPr>
      <w:r w:rsidRPr="005F120D">
        <w:rPr>
          <w:rFonts w:asciiTheme="minorHAnsi" w:hAnsiTheme="minorHAnsi" w:cstheme="minorHAnsi"/>
          <w:b/>
          <w:i/>
        </w:rPr>
        <w:t>PSQL 3: Percentage of teachers who received Continuous Professional Development,(CPD) subject based training;</w:t>
      </w:r>
    </w:p>
    <w:p w:rsidR="003F5F17" w:rsidRPr="005F120D" w:rsidRDefault="003F5F17" w:rsidP="003F5F17">
      <w:pPr>
        <w:numPr>
          <w:ilvl w:val="0"/>
          <w:numId w:val="98"/>
        </w:numPr>
        <w:spacing w:after="200" w:line="276" w:lineRule="auto"/>
        <w:contextualSpacing/>
        <w:rPr>
          <w:rFonts w:asciiTheme="minorHAnsi" w:hAnsiTheme="minorHAnsi" w:cstheme="minorHAnsi"/>
          <w:b/>
          <w:i/>
        </w:rPr>
      </w:pPr>
      <w:r w:rsidRPr="005F120D">
        <w:rPr>
          <w:rFonts w:asciiTheme="minorHAnsi" w:hAnsiTheme="minorHAnsi" w:cstheme="minorHAnsi"/>
          <w:b/>
          <w:i/>
        </w:rPr>
        <w:t>PSQL 4: Percentage of teachers who received Continuous Professional Development (CPD) sub-cluster training;</w:t>
      </w:r>
    </w:p>
    <w:p w:rsidR="00332BB3" w:rsidRPr="005F120D" w:rsidRDefault="003F5F17" w:rsidP="003F5F17">
      <w:pPr>
        <w:pStyle w:val="ListParagraph"/>
        <w:numPr>
          <w:ilvl w:val="0"/>
          <w:numId w:val="21"/>
        </w:numPr>
        <w:spacing w:line="276" w:lineRule="auto"/>
        <w:rPr>
          <w:rFonts w:asciiTheme="minorHAnsi" w:hAnsiTheme="minorHAnsi" w:cstheme="minorHAnsi"/>
          <w:b/>
          <w:i/>
        </w:rPr>
      </w:pPr>
      <w:r w:rsidRPr="005F120D">
        <w:rPr>
          <w:rFonts w:asciiTheme="minorHAnsi" w:hAnsiTheme="minorHAnsi" w:cstheme="minorHAnsi"/>
          <w:b/>
          <w:i/>
        </w:rPr>
        <w:t>PSQL 14: Percentage of schools that meet the STR standard of 46</w:t>
      </w:r>
      <w:r w:rsidR="008E59DC" w:rsidRPr="005F120D">
        <w:rPr>
          <w:rFonts w:asciiTheme="minorHAnsi" w:hAnsiTheme="minorHAnsi" w:cstheme="minorHAnsi"/>
          <w:b/>
          <w:i/>
        </w:rPr>
        <w:t>.</w:t>
      </w:r>
    </w:p>
    <w:p w:rsidR="00332BB3" w:rsidRPr="005F120D" w:rsidRDefault="006B0960" w:rsidP="004E77B3">
      <w:pPr>
        <w:pStyle w:val="Heading3"/>
      </w:pPr>
      <w:r>
        <w:t xml:space="preserve">Timely </w:t>
      </w:r>
      <w:r w:rsidR="00332BB3" w:rsidRPr="005F120D">
        <w:t>Distribution</w:t>
      </w:r>
      <w:r>
        <w:t xml:space="preserve"> of</w:t>
      </w:r>
      <w:r w:rsidRPr="005F120D">
        <w:t xml:space="preserve"> Textbook</w:t>
      </w:r>
    </w:p>
    <w:p w:rsidR="003F5F17" w:rsidRPr="005F120D" w:rsidRDefault="003F5F17" w:rsidP="003F5F17">
      <w:pPr>
        <w:spacing w:line="276" w:lineRule="auto"/>
        <w:jc w:val="both"/>
        <w:rPr>
          <w:rFonts w:asciiTheme="minorHAnsi" w:hAnsiTheme="minorHAnsi" w:cstheme="minorHAnsi"/>
        </w:rPr>
      </w:pPr>
      <w:r w:rsidRPr="005F120D">
        <w:rPr>
          <w:rFonts w:asciiTheme="minorHAnsi" w:hAnsiTheme="minorHAnsi" w:cstheme="minorHAnsi"/>
        </w:rPr>
        <w:t xml:space="preserve">According to the PEDP3 standard for the </w:t>
      </w:r>
      <w:r w:rsidRPr="005F120D">
        <w:rPr>
          <w:rFonts w:asciiTheme="minorHAnsi" w:hAnsiTheme="minorHAnsi" w:cstheme="minorHAnsi"/>
          <w:u w:val="single"/>
        </w:rPr>
        <w:t>PSQL-1</w:t>
      </w:r>
      <w:r w:rsidRPr="005F120D">
        <w:rPr>
          <w:rFonts w:asciiTheme="minorHAnsi" w:hAnsiTheme="minorHAnsi" w:cstheme="minorHAnsi"/>
        </w:rPr>
        <w:t xml:space="preserve">, the delivery of textbooks to all school should have been completed within the first month of the school year or by 31 January.  Up to 2011, the ASPR reported that this indicator was based on the APSC question that asked Head Teachers to report the starting and completion dates of textbook deliveries.  A new textbook distribution database was set up in 2012 with the technical assistance of the World Bank, managed by the General Administration Division of DPE; this system allows </w:t>
      </w:r>
      <w:r w:rsidR="000B622B" w:rsidRPr="005F120D">
        <w:rPr>
          <w:rFonts w:asciiTheme="minorHAnsi" w:hAnsiTheme="minorHAnsi" w:cstheme="minorHAnsi"/>
        </w:rPr>
        <w:t>Upazilas</w:t>
      </w:r>
      <w:r w:rsidRPr="005F120D">
        <w:rPr>
          <w:rFonts w:asciiTheme="minorHAnsi" w:hAnsiTheme="minorHAnsi" w:cstheme="minorHAnsi"/>
        </w:rPr>
        <w:t xml:space="preserve"> to update information on the textbooks they have received. This has created a positive impact for monitoring the distribution of textbooks. The APSC stopped collecting textbook and teaching aids data and information from schools in 2013.</w:t>
      </w:r>
    </w:p>
    <w:p w:rsidR="003F5F17" w:rsidRPr="005F120D" w:rsidRDefault="003F5F17" w:rsidP="003F5F17">
      <w:pPr>
        <w:spacing w:line="276" w:lineRule="auto"/>
        <w:jc w:val="both"/>
        <w:rPr>
          <w:rFonts w:asciiTheme="minorHAnsi" w:hAnsiTheme="minorHAnsi" w:cstheme="minorHAnsi"/>
        </w:rPr>
      </w:pPr>
      <w:r w:rsidRPr="005F120D">
        <w:rPr>
          <w:rFonts w:asciiTheme="minorHAnsi" w:hAnsiTheme="minorHAnsi" w:cstheme="minorHAnsi"/>
        </w:rPr>
        <w:t xml:space="preserve">Ensuring timely delivery of textbooks has been a major achievement of PEDP3.  In 2010, only one-third of the schools received their textbooks within the first month of the school year.    As Figure 4.1 below shows, more than 99% of the schools received the textbooks on time in 2015; 89% of schools received their textbooks before the academic year started; and 10% schools received them within January 2015. Only 147 schools (0.02% schools) received some remaining books within March 2015 (see Figure 4.1). </w:t>
      </w:r>
    </w:p>
    <w:p w:rsidR="00E13A3E" w:rsidRPr="005F120D" w:rsidRDefault="003F5F17" w:rsidP="003F5F17">
      <w:pPr>
        <w:spacing w:after="0" w:line="276" w:lineRule="auto"/>
        <w:jc w:val="both"/>
        <w:rPr>
          <w:rFonts w:asciiTheme="minorHAnsi" w:hAnsiTheme="minorHAnsi" w:cstheme="minorHAnsi"/>
        </w:rPr>
      </w:pPr>
      <w:r w:rsidRPr="005F120D">
        <w:rPr>
          <w:rFonts w:asciiTheme="minorHAnsi" w:hAnsiTheme="minorHAnsi" w:cstheme="minorHAnsi"/>
        </w:rPr>
        <w:t>This positive trend has continued from 2012 to 2015.  Textbook delivery started in December 2014 and was completed in March 2015. Nearly 99.8% of schools received textbooks before January 31, 2015. And 88.7% of the schools received their textbooks before the start of the academic year up from 85% in 2013, and slightly lower than 2014. Textbook distribution appears to be a year-round process, but the bulk of the activities take place between October and December of the previous academic year (see Table 4.2)</w:t>
      </w:r>
      <w:r w:rsidR="00E13A3E" w:rsidRPr="005F120D">
        <w:rPr>
          <w:rFonts w:asciiTheme="minorHAnsi" w:hAnsiTheme="minorHAnsi" w:cstheme="minorHAnsi"/>
        </w:rPr>
        <w:t xml:space="preserve">. </w:t>
      </w:r>
    </w:p>
    <w:p w:rsidR="00E13A3E" w:rsidRPr="005F120D" w:rsidRDefault="00E13A3E" w:rsidP="00C437AA">
      <w:pPr>
        <w:spacing w:line="276" w:lineRule="auto"/>
        <w:jc w:val="both"/>
        <w:rPr>
          <w:rFonts w:asciiTheme="minorHAnsi" w:hAnsiTheme="minorHAnsi" w:cstheme="minorHAnsi"/>
        </w:rPr>
      </w:pPr>
    </w:p>
    <w:p w:rsidR="00E13A3E" w:rsidRPr="005F120D" w:rsidRDefault="00E13A3E" w:rsidP="00C437AA">
      <w:pPr>
        <w:pStyle w:val="Caption"/>
        <w:spacing w:line="276" w:lineRule="auto"/>
        <w:rPr>
          <w:rFonts w:cstheme="minorHAnsi"/>
          <w:color w:val="FF0000"/>
        </w:rPr>
      </w:pPr>
      <w:bookmarkStart w:id="432" w:name="_Ref387403183"/>
      <w:bookmarkStart w:id="433" w:name="_Toc385414279"/>
      <w:bookmarkStart w:id="434" w:name="_Toc385419668"/>
    </w:p>
    <w:p w:rsidR="00E13A3E" w:rsidRPr="005F120D" w:rsidRDefault="00E13A3E" w:rsidP="00C437AA">
      <w:pPr>
        <w:pStyle w:val="Caption"/>
        <w:spacing w:line="276" w:lineRule="auto"/>
        <w:rPr>
          <w:rFonts w:cstheme="minorHAnsi"/>
          <w:color w:val="FF0000"/>
        </w:rPr>
      </w:pPr>
    </w:p>
    <w:p w:rsidR="00EA356A" w:rsidRPr="005F120D" w:rsidRDefault="00EA356A" w:rsidP="00C437AA">
      <w:pPr>
        <w:spacing w:line="276" w:lineRule="auto"/>
        <w:rPr>
          <w:rFonts w:asciiTheme="minorHAnsi" w:hAnsiTheme="minorHAnsi" w:cstheme="minorHAnsi"/>
        </w:rPr>
      </w:pPr>
    </w:p>
    <w:p w:rsidR="009240DF" w:rsidRPr="005F120D" w:rsidRDefault="00332BB3" w:rsidP="00C437AA">
      <w:pPr>
        <w:pStyle w:val="Caption"/>
        <w:spacing w:line="276" w:lineRule="auto"/>
        <w:rPr>
          <w:rFonts w:cstheme="minorHAnsi"/>
        </w:rPr>
      </w:pPr>
      <w:bookmarkStart w:id="435" w:name="_Toc462837444"/>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bookmarkEnd w:id="432"/>
      <w:r w:rsidR="00A737F1" w:rsidRPr="005F120D">
        <w:rPr>
          <w:rFonts w:cstheme="minorHAnsi"/>
        </w:rPr>
        <w:t xml:space="preserve">:  </w:t>
      </w:r>
      <w:r w:rsidR="00F810CA" w:rsidRPr="005F120D">
        <w:rPr>
          <w:rFonts w:cstheme="minorHAnsi"/>
        </w:rPr>
        <w:t xml:space="preserve">Status of </w:t>
      </w:r>
      <w:r w:rsidR="00A737F1" w:rsidRPr="005F120D">
        <w:rPr>
          <w:rFonts w:cstheme="minorHAnsi"/>
        </w:rPr>
        <w:t>Delivery</w:t>
      </w:r>
      <w:r w:rsidR="005A7AFF" w:rsidRPr="005F120D">
        <w:rPr>
          <w:rFonts w:cstheme="minorHAnsi"/>
        </w:rPr>
        <w:t xml:space="preserve"> of Textbooks</w:t>
      </w:r>
      <w:r w:rsidRPr="005F120D">
        <w:rPr>
          <w:rFonts w:cstheme="minorHAnsi"/>
        </w:rPr>
        <w:t>201</w:t>
      </w:r>
      <w:bookmarkEnd w:id="433"/>
      <w:bookmarkEnd w:id="434"/>
      <w:r w:rsidR="00A124E9" w:rsidRPr="005F120D">
        <w:rPr>
          <w:rFonts w:cstheme="minorHAnsi"/>
        </w:rPr>
        <w:t>5</w:t>
      </w:r>
      <w:bookmarkEnd w:id="435"/>
    </w:p>
    <w:p w:rsidR="00525066" w:rsidRPr="005F120D" w:rsidRDefault="00A737F1" w:rsidP="00C437AA">
      <w:pPr>
        <w:pStyle w:val="BodyText1"/>
        <w:spacing w:after="0"/>
        <w:jc w:val="center"/>
        <w:rPr>
          <w:rFonts w:asciiTheme="minorHAnsi" w:hAnsiTheme="minorHAnsi" w:cstheme="minorHAnsi"/>
          <w:color w:val="FF0000"/>
          <w:lang w:val="en-US"/>
        </w:rPr>
      </w:pPr>
      <w:r w:rsidRPr="005F120D">
        <w:rPr>
          <w:rFonts w:asciiTheme="minorHAnsi" w:hAnsiTheme="minorHAnsi" w:cstheme="minorHAnsi"/>
          <w:noProof/>
          <w:color w:val="FF0000"/>
          <w:lang w:val="en-US" w:eastAsia="en-US"/>
        </w:rPr>
        <w:drawing>
          <wp:inline distT="0" distB="0" distL="0" distR="0">
            <wp:extent cx="5950645" cy="2827667"/>
            <wp:effectExtent l="38100" t="19050" r="12005" b="0"/>
            <wp:docPr id="116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25066" w:rsidRPr="005F120D" w:rsidRDefault="00525066" w:rsidP="00C437AA">
      <w:pPr>
        <w:spacing w:after="0" w:line="276" w:lineRule="auto"/>
        <w:rPr>
          <w:rFonts w:asciiTheme="minorHAnsi" w:hAnsiTheme="minorHAnsi" w:cstheme="minorHAnsi"/>
          <w:b/>
          <w:sz w:val="16"/>
          <w:szCs w:val="16"/>
        </w:rPr>
      </w:pPr>
      <w:r w:rsidRPr="005F120D">
        <w:rPr>
          <w:rFonts w:asciiTheme="minorHAnsi" w:hAnsiTheme="minorHAnsi" w:cstheme="minorHAnsi"/>
          <w:b/>
          <w:sz w:val="16"/>
          <w:szCs w:val="16"/>
        </w:rPr>
        <w:t>Sourc</w:t>
      </w:r>
      <w:r w:rsidR="009F0ED4" w:rsidRPr="005F120D">
        <w:rPr>
          <w:rFonts w:asciiTheme="minorHAnsi" w:hAnsiTheme="minorHAnsi" w:cstheme="minorHAnsi"/>
          <w:b/>
          <w:sz w:val="16"/>
          <w:szCs w:val="16"/>
        </w:rPr>
        <w:t>e: Book distribution report</w:t>
      </w:r>
      <w:r w:rsidR="000B622B">
        <w:rPr>
          <w:rFonts w:asciiTheme="minorHAnsi" w:hAnsiTheme="minorHAnsi" w:cstheme="minorHAnsi"/>
          <w:b/>
          <w:sz w:val="16"/>
          <w:szCs w:val="16"/>
        </w:rPr>
        <w:t xml:space="preserve"> </w:t>
      </w:r>
      <w:r w:rsidR="00901108" w:rsidRPr="005F120D">
        <w:rPr>
          <w:rFonts w:asciiTheme="minorHAnsi" w:hAnsiTheme="minorHAnsi" w:cstheme="minorHAnsi"/>
          <w:b/>
          <w:sz w:val="16"/>
          <w:szCs w:val="16"/>
        </w:rPr>
        <w:t>and</w:t>
      </w:r>
      <w:r w:rsidR="000B622B">
        <w:rPr>
          <w:rFonts w:asciiTheme="minorHAnsi" w:hAnsiTheme="minorHAnsi" w:cstheme="minorHAnsi"/>
          <w:b/>
          <w:sz w:val="16"/>
          <w:szCs w:val="16"/>
        </w:rPr>
        <w:t xml:space="preserve"> </w:t>
      </w:r>
      <w:r w:rsidR="00901108" w:rsidRPr="005F120D">
        <w:rPr>
          <w:rFonts w:asciiTheme="minorHAnsi" w:hAnsiTheme="minorHAnsi" w:cstheme="minorHAnsi"/>
          <w:b/>
          <w:sz w:val="16"/>
          <w:szCs w:val="16"/>
        </w:rPr>
        <w:t xml:space="preserve">the </w:t>
      </w:r>
      <w:r w:rsidRPr="005F120D">
        <w:rPr>
          <w:rFonts w:asciiTheme="minorHAnsi" w:hAnsiTheme="minorHAnsi" w:cstheme="minorHAnsi"/>
          <w:b/>
          <w:sz w:val="16"/>
          <w:szCs w:val="16"/>
        </w:rPr>
        <w:t>database</w:t>
      </w:r>
      <w:r w:rsidR="00901108" w:rsidRPr="005F120D">
        <w:rPr>
          <w:rFonts w:asciiTheme="minorHAnsi" w:hAnsiTheme="minorHAnsi" w:cstheme="minorHAnsi"/>
          <w:b/>
          <w:sz w:val="16"/>
          <w:szCs w:val="16"/>
        </w:rPr>
        <w:t xml:space="preserve"> 2015</w:t>
      </w:r>
      <w:r w:rsidR="00176EC0" w:rsidRPr="005F120D">
        <w:rPr>
          <w:rFonts w:asciiTheme="minorHAnsi" w:hAnsiTheme="minorHAnsi" w:cstheme="minorHAnsi"/>
          <w:b/>
          <w:sz w:val="16"/>
          <w:szCs w:val="16"/>
        </w:rPr>
        <w:t>, Administration D</w:t>
      </w:r>
      <w:r w:rsidRPr="005F120D">
        <w:rPr>
          <w:rFonts w:asciiTheme="minorHAnsi" w:hAnsiTheme="minorHAnsi" w:cstheme="minorHAnsi"/>
          <w:b/>
          <w:sz w:val="16"/>
          <w:szCs w:val="16"/>
        </w:rPr>
        <w:t>ivision</w:t>
      </w:r>
    </w:p>
    <w:p w:rsidR="00BB548B" w:rsidRPr="005F120D" w:rsidRDefault="00BB548B" w:rsidP="00C437AA">
      <w:pPr>
        <w:spacing w:after="0" w:line="276" w:lineRule="auto"/>
        <w:jc w:val="both"/>
        <w:rPr>
          <w:rFonts w:asciiTheme="minorHAnsi" w:hAnsiTheme="minorHAnsi" w:cstheme="minorHAnsi"/>
          <w:color w:val="FF0000"/>
        </w:rPr>
      </w:pPr>
    </w:p>
    <w:p w:rsidR="00F810CA" w:rsidRPr="005F120D" w:rsidRDefault="009F0ED4" w:rsidP="00C437AA">
      <w:pPr>
        <w:spacing w:line="276" w:lineRule="auto"/>
        <w:jc w:val="both"/>
        <w:rPr>
          <w:rFonts w:asciiTheme="minorHAnsi" w:hAnsiTheme="minorHAnsi" w:cstheme="minorHAnsi"/>
        </w:rPr>
      </w:pPr>
      <w:r w:rsidRPr="005F120D">
        <w:rPr>
          <w:rFonts w:asciiTheme="minorHAnsi" w:hAnsiTheme="minorHAnsi" w:cstheme="minorHAnsi"/>
        </w:rPr>
        <w:t xml:space="preserve">On a district and </w:t>
      </w:r>
      <w:r w:rsidR="000B622B" w:rsidRPr="005F120D">
        <w:rPr>
          <w:rFonts w:asciiTheme="minorHAnsi" w:hAnsiTheme="minorHAnsi" w:cstheme="minorHAnsi"/>
        </w:rPr>
        <w:t>Upazila</w:t>
      </w:r>
      <w:r w:rsidRPr="005F120D">
        <w:rPr>
          <w:rFonts w:asciiTheme="minorHAnsi" w:hAnsiTheme="minorHAnsi" w:cstheme="minorHAnsi"/>
        </w:rPr>
        <w:t xml:space="preserve"> level throughout the country, a few </w:t>
      </w:r>
      <w:r w:rsidR="000B622B" w:rsidRPr="005F120D">
        <w:rPr>
          <w:rFonts w:asciiTheme="minorHAnsi" w:hAnsiTheme="minorHAnsi" w:cstheme="minorHAnsi"/>
        </w:rPr>
        <w:t>Upazilas</w:t>
      </w:r>
      <w:r w:rsidRPr="005F120D">
        <w:rPr>
          <w:rFonts w:asciiTheme="minorHAnsi" w:hAnsiTheme="minorHAnsi" w:cstheme="minorHAnsi"/>
        </w:rPr>
        <w:t xml:space="preserve"> appear to have had some minor delivery problems, e.g., only 147 schools had not received some books after the start of the academic year.  (See Table 4.2)</w:t>
      </w:r>
      <w:r w:rsidR="00F810CA" w:rsidRPr="005F120D">
        <w:rPr>
          <w:rFonts w:asciiTheme="minorHAnsi" w:hAnsiTheme="minorHAnsi" w:cstheme="minorHAnsi"/>
        </w:rPr>
        <w:t>:</w:t>
      </w:r>
    </w:p>
    <w:p w:rsidR="00F810CA" w:rsidRPr="005F120D" w:rsidRDefault="009F0ED4" w:rsidP="00C437AA">
      <w:pPr>
        <w:pStyle w:val="ListParagraph"/>
        <w:numPr>
          <w:ilvl w:val="0"/>
          <w:numId w:val="99"/>
        </w:numPr>
        <w:tabs>
          <w:tab w:val="left" w:pos="2513"/>
          <w:tab w:val="left" w:pos="3473"/>
          <w:tab w:val="left" w:pos="4433"/>
        </w:tabs>
        <w:spacing w:after="0" w:line="276" w:lineRule="auto"/>
        <w:jc w:val="both"/>
        <w:rPr>
          <w:rFonts w:asciiTheme="minorHAnsi" w:hAnsiTheme="minorHAnsi" w:cstheme="minorHAnsi"/>
          <w:szCs w:val="20"/>
        </w:rPr>
      </w:pPr>
      <w:r w:rsidRPr="005F120D">
        <w:rPr>
          <w:rFonts w:asciiTheme="minorHAnsi" w:hAnsiTheme="minorHAnsi" w:cstheme="minorHAnsi"/>
          <w:sz w:val="21"/>
          <w:lang w:eastAsia="ja-JP"/>
        </w:rPr>
        <w:t xml:space="preserve">Bogra </w:t>
      </w:r>
      <w:r w:rsidRPr="005F120D">
        <w:rPr>
          <w:rFonts w:asciiTheme="minorHAnsi" w:hAnsiTheme="minorHAnsi" w:cstheme="minorHAnsi"/>
          <w:szCs w:val="20"/>
        </w:rPr>
        <w:t>district</w:t>
      </w:r>
      <w:r w:rsidRPr="005F120D">
        <w:rPr>
          <w:rFonts w:asciiTheme="minorHAnsi" w:hAnsiTheme="minorHAnsi" w:cstheme="minorHAnsi"/>
        </w:rPr>
        <w:t xml:space="preserve">, </w:t>
      </w:r>
      <w:r w:rsidRPr="005F120D">
        <w:rPr>
          <w:rFonts w:asciiTheme="minorHAnsi" w:hAnsiTheme="minorHAnsi" w:cstheme="minorHAnsi"/>
          <w:szCs w:val="20"/>
        </w:rPr>
        <w:t>Gabtoli Upazila</w:t>
      </w:r>
      <w:r w:rsidRPr="005F120D">
        <w:rPr>
          <w:rFonts w:asciiTheme="minorHAnsi" w:hAnsiTheme="minorHAnsi" w:cstheme="minorHAnsi"/>
        </w:rPr>
        <w:t>: only three schools had late delivery but not for all books</w:t>
      </w:r>
      <w:r w:rsidR="00F810CA" w:rsidRPr="005F120D">
        <w:rPr>
          <w:rFonts w:asciiTheme="minorHAnsi" w:hAnsiTheme="minorHAnsi" w:cstheme="minorHAnsi"/>
        </w:rPr>
        <w:t>;</w:t>
      </w:r>
    </w:p>
    <w:p w:rsidR="00F810CA" w:rsidRPr="005F120D" w:rsidRDefault="009F0ED4" w:rsidP="00C437AA">
      <w:pPr>
        <w:pStyle w:val="ListParagraph"/>
        <w:numPr>
          <w:ilvl w:val="0"/>
          <w:numId w:val="99"/>
        </w:numPr>
        <w:tabs>
          <w:tab w:val="left" w:pos="2513"/>
          <w:tab w:val="left" w:pos="3473"/>
          <w:tab w:val="left" w:pos="4433"/>
        </w:tabs>
        <w:spacing w:after="0" w:line="276" w:lineRule="auto"/>
        <w:jc w:val="both"/>
        <w:rPr>
          <w:rFonts w:asciiTheme="minorHAnsi" w:hAnsiTheme="minorHAnsi" w:cstheme="minorHAnsi"/>
        </w:rPr>
      </w:pPr>
      <w:r w:rsidRPr="005F120D">
        <w:rPr>
          <w:rFonts w:asciiTheme="minorHAnsi" w:hAnsiTheme="minorHAnsi" w:cstheme="minorHAnsi"/>
        </w:rPr>
        <w:t xml:space="preserve">Khulna district, Dakope Upazila: only </w:t>
      </w:r>
      <w:r w:rsidRPr="005F120D">
        <w:rPr>
          <w:rFonts w:asciiTheme="minorHAnsi" w:hAnsiTheme="minorHAnsi" w:cstheme="minorHAnsi"/>
          <w:szCs w:val="20"/>
        </w:rPr>
        <w:t>15</w:t>
      </w:r>
      <w:r w:rsidRPr="005F120D">
        <w:rPr>
          <w:rFonts w:asciiTheme="minorHAnsi" w:hAnsiTheme="minorHAnsi" w:cstheme="minorHAnsi"/>
        </w:rPr>
        <w:t xml:space="preserve"> schools had a late delivery but not for all books</w:t>
      </w:r>
      <w:r w:rsidR="00F810CA" w:rsidRPr="005F120D">
        <w:rPr>
          <w:rFonts w:asciiTheme="minorHAnsi" w:hAnsiTheme="minorHAnsi" w:cstheme="minorHAnsi"/>
        </w:rPr>
        <w:t>;</w:t>
      </w:r>
    </w:p>
    <w:p w:rsidR="00F810CA" w:rsidRPr="005F120D" w:rsidRDefault="009F0ED4" w:rsidP="00C437AA">
      <w:pPr>
        <w:pStyle w:val="ListParagraph"/>
        <w:numPr>
          <w:ilvl w:val="0"/>
          <w:numId w:val="99"/>
        </w:numPr>
        <w:tabs>
          <w:tab w:val="left" w:pos="2513"/>
          <w:tab w:val="left" w:pos="3473"/>
          <w:tab w:val="left" w:pos="4433"/>
        </w:tabs>
        <w:spacing w:after="0" w:line="276" w:lineRule="auto"/>
        <w:jc w:val="both"/>
        <w:rPr>
          <w:rFonts w:asciiTheme="minorHAnsi" w:hAnsiTheme="minorHAnsi" w:cstheme="minorHAnsi"/>
        </w:rPr>
      </w:pPr>
      <w:r w:rsidRPr="005F120D">
        <w:rPr>
          <w:rFonts w:asciiTheme="minorHAnsi" w:hAnsiTheme="minorHAnsi" w:cstheme="minorHAnsi"/>
        </w:rPr>
        <w:t xml:space="preserve">Comilla district, Chandina Upazila: only </w:t>
      </w:r>
      <w:r w:rsidRPr="005F120D">
        <w:rPr>
          <w:rFonts w:asciiTheme="minorHAnsi" w:hAnsiTheme="minorHAnsi" w:cstheme="minorHAnsi"/>
          <w:szCs w:val="20"/>
        </w:rPr>
        <w:t>86</w:t>
      </w:r>
      <w:r w:rsidRPr="005F120D">
        <w:rPr>
          <w:rFonts w:asciiTheme="minorHAnsi" w:hAnsiTheme="minorHAnsi" w:cstheme="minorHAnsi"/>
        </w:rPr>
        <w:t xml:space="preserve"> schools had late delivery but not for all books</w:t>
      </w:r>
      <w:r w:rsidR="00F810CA" w:rsidRPr="005F120D">
        <w:rPr>
          <w:rFonts w:asciiTheme="minorHAnsi" w:hAnsiTheme="minorHAnsi" w:cstheme="minorHAnsi"/>
        </w:rPr>
        <w:t>;</w:t>
      </w:r>
    </w:p>
    <w:p w:rsidR="00941AA4" w:rsidRPr="005F120D" w:rsidRDefault="009F0ED4" w:rsidP="00C437AA">
      <w:pPr>
        <w:pStyle w:val="ListParagraph"/>
        <w:numPr>
          <w:ilvl w:val="0"/>
          <w:numId w:val="38"/>
        </w:numPr>
        <w:tabs>
          <w:tab w:val="left" w:pos="2513"/>
          <w:tab w:val="left" w:pos="3473"/>
          <w:tab w:val="left" w:pos="4433"/>
        </w:tabs>
        <w:spacing w:after="0" w:line="276" w:lineRule="auto"/>
        <w:jc w:val="both"/>
        <w:rPr>
          <w:rFonts w:asciiTheme="minorHAnsi" w:hAnsiTheme="minorHAnsi" w:cstheme="minorHAnsi"/>
        </w:rPr>
      </w:pPr>
      <w:r w:rsidRPr="005F120D">
        <w:rPr>
          <w:rFonts w:asciiTheme="minorHAnsi" w:hAnsiTheme="minorHAnsi" w:cstheme="minorHAnsi"/>
        </w:rPr>
        <w:t xml:space="preserve">Chittagong district, Hathazari Upazila: only </w:t>
      </w:r>
      <w:r w:rsidRPr="005F120D">
        <w:rPr>
          <w:rFonts w:asciiTheme="minorHAnsi" w:hAnsiTheme="minorHAnsi" w:cstheme="minorHAnsi"/>
          <w:szCs w:val="20"/>
        </w:rPr>
        <w:t>22</w:t>
      </w:r>
      <w:r w:rsidRPr="005F120D">
        <w:rPr>
          <w:rFonts w:asciiTheme="minorHAnsi" w:hAnsiTheme="minorHAnsi" w:cstheme="minorHAnsi"/>
        </w:rPr>
        <w:t xml:space="preserve"> had late delivery but not for all books</w:t>
      </w:r>
      <w:r w:rsidR="00F810CA" w:rsidRPr="005F120D">
        <w:rPr>
          <w:rFonts w:asciiTheme="minorHAnsi" w:hAnsiTheme="minorHAnsi" w:cstheme="minorHAnsi"/>
        </w:rPr>
        <w:t>.</w:t>
      </w:r>
    </w:p>
    <w:p w:rsidR="00923B86" w:rsidRPr="005F120D" w:rsidRDefault="00923B86" w:rsidP="00C437AA">
      <w:pPr>
        <w:pStyle w:val="ListParagraph"/>
        <w:numPr>
          <w:ilvl w:val="0"/>
          <w:numId w:val="0"/>
        </w:numPr>
        <w:tabs>
          <w:tab w:val="left" w:pos="2513"/>
          <w:tab w:val="left" w:pos="3473"/>
          <w:tab w:val="left" w:pos="4433"/>
        </w:tabs>
        <w:spacing w:after="0" w:line="276" w:lineRule="auto"/>
        <w:ind w:left="813"/>
        <w:rPr>
          <w:rFonts w:asciiTheme="minorHAnsi" w:hAnsiTheme="minorHAnsi" w:cstheme="minorHAnsi"/>
        </w:rPr>
      </w:pPr>
    </w:p>
    <w:p w:rsidR="00941AA4" w:rsidRPr="005F120D" w:rsidRDefault="00941AA4" w:rsidP="00936D9E">
      <w:pPr>
        <w:pStyle w:val="Caption"/>
        <w:rPr>
          <w:rFonts w:cstheme="minorHAnsi"/>
        </w:rPr>
      </w:pPr>
      <w:bookmarkStart w:id="436" w:name="_Ref388259511"/>
      <w:bookmarkStart w:id="437" w:name="_Toc462837293"/>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bookmarkEnd w:id="436"/>
      <w:r w:rsidRPr="005F120D">
        <w:rPr>
          <w:rFonts w:cstheme="minorHAnsi"/>
        </w:rPr>
        <w:t>: Percentage of Schools Receivin</w:t>
      </w:r>
      <w:r w:rsidR="005A7AFF" w:rsidRPr="005F120D">
        <w:rPr>
          <w:rFonts w:cstheme="minorHAnsi"/>
        </w:rPr>
        <w:t>g Textbook Delivery by Division</w:t>
      </w:r>
      <w:r w:rsidRPr="005F120D">
        <w:rPr>
          <w:rFonts w:cstheme="minorHAnsi"/>
        </w:rPr>
        <w:t xml:space="preserve"> 201</w:t>
      </w:r>
      <w:r w:rsidR="008F0F9C" w:rsidRPr="005F120D">
        <w:rPr>
          <w:rFonts w:cstheme="minorHAnsi"/>
        </w:rPr>
        <w:t>5</w:t>
      </w:r>
      <w:bookmarkEnd w:id="437"/>
    </w:p>
    <w:tbl>
      <w:tblPr>
        <w:tblStyle w:val="LightList-Accent3"/>
        <w:tblW w:w="5047" w:type="pct"/>
        <w:jc w:val="center"/>
        <w:tbl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insideH w:val="single" w:sz="6" w:space="0" w:color="76923C" w:themeColor="accent3" w:themeShade="BF"/>
          <w:insideV w:val="single" w:sz="6" w:space="0" w:color="76923C" w:themeColor="accent3" w:themeShade="BF"/>
        </w:tblBorders>
        <w:tblLook w:val="04A0"/>
      </w:tblPr>
      <w:tblGrid>
        <w:gridCol w:w="2297"/>
        <w:gridCol w:w="1667"/>
        <w:gridCol w:w="1389"/>
        <w:gridCol w:w="1243"/>
        <w:gridCol w:w="1140"/>
        <w:gridCol w:w="1596"/>
      </w:tblGrid>
      <w:tr w:rsidR="008F0F9C" w:rsidRPr="005F120D" w:rsidTr="00A15AA6">
        <w:trPr>
          <w:cnfStyle w:val="100000000000"/>
          <w:trHeight w:val="337"/>
          <w:jc w:val="center"/>
        </w:trPr>
        <w:tc>
          <w:tcPr>
            <w:cnfStyle w:val="001000000000"/>
            <w:tcW w:w="1231" w:type="pct"/>
            <w:noWrap/>
            <w:vAlign w:val="center"/>
            <w:hideMark/>
          </w:tcPr>
          <w:p w:rsidR="008F0F9C" w:rsidRPr="005F120D" w:rsidRDefault="008F0F9C" w:rsidP="00C437AA">
            <w:pPr>
              <w:spacing w:after="0" w:line="276" w:lineRule="auto"/>
              <w:rPr>
                <w:rFonts w:asciiTheme="minorHAnsi" w:hAnsiTheme="minorHAnsi" w:cstheme="minorHAnsi"/>
                <w:color w:val="auto"/>
                <w:sz w:val="20"/>
                <w:szCs w:val="22"/>
                <w:lang w:eastAsia="ja-JP"/>
              </w:rPr>
            </w:pPr>
            <w:r w:rsidRPr="005F120D">
              <w:rPr>
                <w:rFonts w:asciiTheme="minorHAnsi" w:hAnsiTheme="minorHAnsi" w:cstheme="minorHAnsi"/>
                <w:color w:val="auto"/>
                <w:sz w:val="20"/>
                <w:szCs w:val="22"/>
                <w:lang w:eastAsia="ja-JP"/>
              </w:rPr>
              <w:t>Division</w:t>
            </w:r>
          </w:p>
        </w:tc>
        <w:tc>
          <w:tcPr>
            <w:tcW w:w="893" w:type="pct"/>
            <w:noWrap/>
            <w:vAlign w:val="center"/>
            <w:hideMark/>
          </w:tcPr>
          <w:p w:rsidR="008F0F9C" w:rsidRPr="005F120D" w:rsidRDefault="008F0F9C" w:rsidP="00C437AA">
            <w:pPr>
              <w:spacing w:after="0" w:line="276" w:lineRule="auto"/>
              <w:jc w:val="right"/>
              <w:cnfStyle w:val="100000000000"/>
              <w:rPr>
                <w:rFonts w:asciiTheme="minorHAnsi" w:hAnsiTheme="minorHAnsi" w:cstheme="minorHAnsi"/>
                <w:color w:val="auto"/>
                <w:sz w:val="20"/>
                <w:szCs w:val="22"/>
                <w:lang w:eastAsia="ja-JP"/>
              </w:rPr>
            </w:pPr>
            <w:r w:rsidRPr="005F120D">
              <w:rPr>
                <w:rFonts w:asciiTheme="minorHAnsi" w:hAnsiTheme="minorHAnsi" w:cstheme="minorHAnsi"/>
                <w:color w:val="auto"/>
                <w:sz w:val="20"/>
                <w:szCs w:val="22"/>
                <w:lang w:eastAsia="ja-JP"/>
              </w:rPr>
              <w:t>Dec -14</w:t>
            </w:r>
          </w:p>
        </w:tc>
        <w:tc>
          <w:tcPr>
            <w:tcW w:w="744" w:type="pct"/>
            <w:noWrap/>
            <w:vAlign w:val="center"/>
            <w:hideMark/>
          </w:tcPr>
          <w:p w:rsidR="008F0F9C" w:rsidRPr="005F120D" w:rsidRDefault="008F0F9C" w:rsidP="00C437AA">
            <w:pPr>
              <w:spacing w:after="0" w:line="276" w:lineRule="auto"/>
              <w:jc w:val="right"/>
              <w:cnfStyle w:val="100000000000"/>
              <w:rPr>
                <w:rFonts w:asciiTheme="minorHAnsi" w:hAnsiTheme="minorHAnsi" w:cstheme="minorHAnsi"/>
                <w:color w:val="auto"/>
                <w:sz w:val="20"/>
                <w:szCs w:val="22"/>
                <w:lang w:eastAsia="ja-JP"/>
              </w:rPr>
            </w:pPr>
            <w:r w:rsidRPr="005F120D">
              <w:rPr>
                <w:rFonts w:asciiTheme="minorHAnsi" w:hAnsiTheme="minorHAnsi" w:cstheme="minorHAnsi"/>
                <w:color w:val="auto"/>
                <w:sz w:val="20"/>
                <w:szCs w:val="22"/>
                <w:lang w:eastAsia="ja-JP"/>
              </w:rPr>
              <w:t>Jan-15</w:t>
            </w:r>
          </w:p>
        </w:tc>
        <w:tc>
          <w:tcPr>
            <w:tcW w:w="666" w:type="pct"/>
            <w:noWrap/>
            <w:vAlign w:val="center"/>
            <w:hideMark/>
          </w:tcPr>
          <w:p w:rsidR="008F0F9C" w:rsidRPr="005F120D" w:rsidRDefault="008F0F9C" w:rsidP="00C437AA">
            <w:pPr>
              <w:spacing w:after="0" w:line="276" w:lineRule="auto"/>
              <w:jc w:val="right"/>
              <w:cnfStyle w:val="100000000000"/>
              <w:rPr>
                <w:rFonts w:asciiTheme="minorHAnsi" w:hAnsiTheme="minorHAnsi" w:cstheme="minorHAnsi"/>
                <w:color w:val="auto"/>
                <w:sz w:val="20"/>
                <w:szCs w:val="22"/>
                <w:lang w:eastAsia="ja-JP"/>
              </w:rPr>
            </w:pPr>
            <w:r w:rsidRPr="005F120D">
              <w:rPr>
                <w:rFonts w:asciiTheme="minorHAnsi" w:hAnsiTheme="minorHAnsi" w:cstheme="minorHAnsi"/>
                <w:color w:val="auto"/>
                <w:sz w:val="20"/>
                <w:szCs w:val="22"/>
                <w:lang w:eastAsia="ja-JP"/>
              </w:rPr>
              <w:t>Feb -15</w:t>
            </w:r>
          </w:p>
        </w:tc>
        <w:tc>
          <w:tcPr>
            <w:tcW w:w="611" w:type="pct"/>
            <w:noWrap/>
            <w:vAlign w:val="center"/>
            <w:hideMark/>
          </w:tcPr>
          <w:p w:rsidR="008F0F9C" w:rsidRPr="005F120D" w:rsidRDefault="008F0F9C" w:rsidP="00C437AA">
            <w:pPr>
              <w:spacing w:after="0" w:line="276" w:lineRule="auto"/>
              <w:jc w:val="right"/>
              <w:cnfStyle w:val="100000000000"/>
              <w:rPr>
                <w:rFonts w:asciiTheme="minorHAnsi" w:hAnsiTheme="minorHAnsi" w:cstheme="minorHAnsi"/>
                <w:color w:val="auto"/>
                <w:sz w:val="20"/>
                <w:szCs w:val="22"/>
                <w:lang w:eastAsia="ja-JP"/>
              </w:rPr>
            </w:pPr>
            <w:r w:rsidRPr="005F120D">
              <w:rPr>
                <w:rFonts w:asciiTheme="minorHAnsi" w:hAnsiTheme="minorHAnsi" w:cstheme="minorHAnsi"/>
                <w:color w:val="auto"/>
                <w:sz w:val="20"/>
                <w:szCs w:val="22"/>
                <w:lang w:eastAsia="ja-JP"/>
              </w:rPr>
              <w:t>Mar-15</w:t>
            </w:r>
          </w:p>
        </w:tc>
        <w:tc>
          <w:tcPr>
            <w:tcW w:w="855" w:type="pct"/>
            <w:noWrap/>
            <w:vAlign w:val="center"/>
            <w:hideMark/>
          </w:tcPr>
          <w:p w:rsidR="008F0F9C" w:rsidRPr="005F120D" w:rsidRDefault="008F0F9C" w:rsidP="00C437AA">
            <w:pPr>
              <w:spacing w:after="0" w:line="276" w:lineRule="auto"/>
              <w:jc w:val="right"/>
              <w:cnfStyle w:val="100000000000"/>
              <w:rPr>
                <w:rFonts w:asciiTheme="minorHAnsi" w:hAnsiTheme="minorHAnsi" w:cstheme="minorHAnsi"/>
                <w:color w:val="auto"/>
                <w:sz w:val="20"/>
                <w:szCs w:val="22"/>
                <w:lang w:eastAsia="ja-JP"/>
              </w:rPr>
            </w:pPr>
            <w:r w:rsidRPr="005F120D">
              <w:rPr>
                <w:rFonts w:asciiTheme="minorHAnsi" w:hAnsiTheme="minorHAnsi" w:cstheme="minorHAnsi"/>
                <w:color w:val="auto"/>
                <w:sz w:val="20"/>
                <w:szCs w:val="22"/>
                <w:lang w:eastAsia="ja-JP"/>
              </w:rPr>
              <w:t xml:space="preserve">Late Delivery </w:t>
            </w:r>
          </w:p>
          <w:p w:rsidR="008F0F9C" w:rsidRPr="005F120D" w:rsidRDefault="008F0F9C" w:rsidP="00C437AA">
            <w:pPr>
              <w:spacing w:after="0" w:line="276" w:lineRule="auto"/>
              <w:jc w:val="right"/>
              <w:cnfStyle w:val="100000000000"/>
              <w:rPr>
                <w:rFonts w:asciiTheme="minorHAnsi" w:hAnsiTheme="minorHAnsi" w:cstheme="minorHAnsi"/>
                <w:color w:val="auto"/>
                <w:sz w:val="20"/>
                <w:szCs w:val="22"/>
                <w:lang w:eastAsia="ja-JP"/>
              </w:rPr>
            </w:pPr>
            <w:r w:rsidRPr="005F120D">
              <w:rPr>
                <w:rFonts w:asciiTheme="minorHAnsi" w:hAnsiTheme="minorHAnsi" w:cstheme="minorHAnsi"/>
                <w:color w:val="auto"/>
                <w:sz w:val="20"/>
                <w:szCs w:val="22"/>
                <w:lang w:eastAsia="ja-JP"/>
              </w:rPr>
              <w:t>(No. of schools)</w:t>
            </w:r>
          </w:p>
        </w:tc>
      </w:tr>
      <w:tr w:rsidR="008F0F9C" w:rsidRPr="005F120D" w:rsidTr="00A15AA6">
        <w:trPr>
          <w:cnfStyle w:val="000000100000"/>
          <w:trHeight w:val="337"/>
          <w:jc w:val="center"/>
        </w:trPr>
        <w:tc>
          <w:tcPr>
            <w:cnfStyle w:val="001000000000"/>
            <w:tcW w:w="1231" w:type="pct"/>
            <w:tcBorders>
              <w:top w:val="none" w:sz="0" w:space="0" w:color="auto"/>
              <w:left w:val="none" w:sz="0" w:space="0" w:color="auto"/>
              <w:bottom w:val="none" w:sz="0" w:space="0" w:color="auto"/>
            </w:tcBorders>
            <w:noWrap/>
            <w:hideMark/>
          </w:tcPr>
          <w:p w:rsidR="008F0F9C" w:rsidRPr="005F120D" w:rsidRDefault="008F0F9C" w:rsidP="00C437AA">
            <w:pPr>
              <w:spacing w:after="0" w:line="276" w:lineRule="auto"/>
              <w:rPr>
                <w:rFonts w:asciiTheme="minorHAnsi" w:hAnsiTheme="minorHAnsi" w:cstheme="minorHAnsi"/>
                <w:sz w:val="20"/>
                <w:szCs w:val="22"/>
                <w:lang w:eastAsia="ja-JP"/>
              </w:rPr>
            </w:pPr>
            <w:r w:rsidRPr="005F120D">
              <w:rPr>
                <w:rFonts w:asciiTheme="minorHAnsi" w:hAnsiTheme="minorHAnsi" w:cstheme="minorHAnsi"/>
                <w:sz w:val="20"/>
                <w:szCs w:val="22"/>
                <w:lang w:eastAsia="ja-JP"/>
              </w:rPr>
              <w:t>Barisal</w:t>
            </w:r>
          </w:p>
        </w:tc>
        <w:tc>
          <w:tcPr>
            <w:tcW w:w="893" w:type="pct"/>
            <w:tcBorders>
              <w:top w:val="none" w:sz="0" w:space="0" w:color="auto"/>
              <w:bottom w:val="none" w:sz="0" w:space="0" w:color="auto"/>
            </w:tcBorders>
            <w:noWrap/>
            <w:hideMark/>
          </w:tcPr>
          <w:p w:rsidR="008F0F9C" w:rsidRPr="005F120D" w:rsidRDefault="008F0F9C" w:rsidP="00C437AA">
            <w:pPr>
              <w:spacing w:after="0" w:line="276" w:lineRule="auto"/>
              <w:jc w:val="right"/>
              <w:cnfStyle w:val="000000100000"/>
              <w:rPr>
                <w:rFonts w:asciiTheme="minorHAnsi" w:hAnsiTheme="minorHAnsi" w:cstheme="minorHAnsi"/>
                <w:sz w:val="20"/>
                <w:lang w:eastAsia="ja-JP"/>
              </w:rPr>
            </w:pPr>
            <w:r w:rsidRPr="005F120D">
              <w:rPr>
                <w:rFonts w:asciiTheme="minorHAnsi" w:hAnsiTheme="minorHAnsi" w:cstheme="minorHAnsi"/>
                <w:sz w:val="20"/>
                <w:lang w:eastAsia="ja-JP"/>
              </w:rPr>
              <w:t>91.42%</w:t>
            </w:r>
          </w:p>
        </w:tc>
        <w:tc>
          <w:tcPr>
            <w:tcW w:w="744" w:type="pct"/>
            <w:tcBorders>
              <w:top w:val="none" w:sz="0" w:space="0" w:color="auto"/>
              <w:bottom w:val="none" w:sz="0" w:space="0" w:color="auto"/>
            </w:tcBorders>
            <w:noWrap/>
            <w:hideMark/>
          </w:tcPr>
          <w:p w:rsidR="008F0F9C" w:rsidRPr="005F120D" w:rsidRDefault="00F24BE9"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8.58</w:t>
            </w:r>
            <w:r w:rsidR="008F0F9C" w:rsidRPr="005F120D">
              <w:rPr>
                <w:rFonts w:asciiTheme="minorHAnsi" w:hAnsiTheme="minorHAnsi" w:cstheme="minorHAnsi"/>
                <w:sz w:val="20"/>
                <w:szCs w:val="22"/>
                <w:lang w:eastAsia="ja-JP"/>
              </w:rPr>
              <w:t>%</w:t>
            </w:r>
          </w:p>
        </w:tc>
        <w:tc>
          <w:tcPr>
            <w:tcW w:w="666" w:type="pct"/>
            <w:tcBorders>
              <w:top w:val="none" w:sz="0" w:space="0" w:color="auto"/>
              <w:bottom w:val="none" w:sz="0" w:space="0" w:color="auto"/>
            </w:tcBorders>
            <w:noWrap/>
            <w:hideMark/>
          </w:tcPr>
          <w:p w:rsidR="008F0F9C" w:rsidRPr="005F120D" w:rsidRDefault="00F24BE9"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0.0</w:t>
            </w:r>
            <w:r w:rsidR="008F0F9C" w:rsidRPr="005F120D">
              <w:rPr>
                <w:rFonts w:asciiTheme="minorHAnsi" w:hAnsiTheme="minorHAnsi" w:cstheme="minorHAnsi"/>
                <w:sz w:val="20"/>
                <w:szCs w:val="22"/>
                <w:lang w:eastAsia="ja-JP"/>
              </w:rPr>
              <w:t>%</w:t>
            </w:r>
          </w:p>
        </w:tc>
        <w:tc>
          <w:tcPr>
            <w:tcW w:w="611" w:type="pct"/>
            <w:tcBorders>
              <w:top w:val="none" w:sz="0" w:space="0" w:color="auto"/>
              <w:bottom w:val="none" w:sz="0" w:space="0" w:color="auto"/>
            </w:tcBorders>
            <w:noWrap/>
            <w:hideMark/>
          </w:tcPr>
          <w:p w:rsidR="008F0F9C" w:rsidRPr="005F120D" w:rsidRDefault="00BD3463"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w:t>
            </w:r>
          </w:p>
        </w:tc>
        <w:tc>
          <w:tcPr>
            <w:tcW w:w="855" w:type="pct"/>
            <w:tcBorders>
              <w:top w:val="none" w:sz="0" w:space="0" w:color="auto"/>
              <w:bottom w:val="none" w:sz="0" w:space="0" w:color="auto"/>
              <w:right w:val="none" w:sz="0" w:space="0" w:color="auto"/>
            </w:tcBorders>
            <w:noWrap/>
            <w:hideMark/>
          </w:tcPr>
          <w:p w:rsidR="008F0F9C" w:rsidRPr="005F120D" w:rsidRDefault="00BD3463"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w:t>
            </w:r>
          </w:p>
        </w:tc>
      </w:tr>
      <w:tr w:rsidR="008F0F9C" w:rsidRPr="005F120D" w:rsidTr="00A15AA6">
        <w:trPr>
          <w:trHeight w:val="337"/>
          <w:jc w:val="center"/>
        </w:trPr>
        <w:tc>
          <w:tcPr>
            <w:cnfStyle w:val="001000000000"/>
            <w:tcW w:w="1231" w:type="pct"/>
            <w:noWrap/>
            <w:hideMark/>
          </w:tcPr>
          <w:p w:rsidR="008F0F9C" w:rsidRPr="005F120D" w:rsidRDefault="008F0F9C" w:rsidP="00C437AA">
            <w:pPr>
              <w:spacing w:after="0" w:line="276" w:lineRule="auto"/>
              <w:rPr>
                <w:rFonts w:asciiTheme="minorHAnsi" w:hAnsiTheme="minorHAnsi" w:cstheme="minorHAnsi"/>
                <w:sz w:val="20"/>
                <w:szCs w:val="22"/>
                <w:lang w:eastAsia="ja-JP"/>
              </w:rPr>
            </w:pPr>
            <w:r w:rsidRPr="005F120D">
              <w:rPr>
                <w:rFonts w:asciiTheme="minorHAnsi" w:hAnsiTheme="minorHAnsi" w:cstheme="minorHAnsi"/>
                <w:sz w:val="20"/>
                <w:szCs w:val="22"/>
                <w:lang w:eastAsia="ja-JP"/>
              </w:rPr>
              <w:t>Chittagong</w:t>
            </w:r>
          </w:p>
        </w:tc>
        <w:tc>
          <w:tcPr>
            <w:tcW w:w="893" w:type="pct"/>
            <w:noWrap/>
            <w:hideMark/>
          </w:tcPr>
          <w:p w:rsidR="008F0F9C" w:rsidRPr="005F120D" w:rsidRDefault="008F0F9C" w:rsidP="00C437AA">
            <w:pPr>
              <w:spacing w:after="0" w:line="276" w:lineRule="auto"/>
              <w:jc w:val="right"/>
              <w:cnfStyle w:val="000000000000"/>
              <w:rPr>
                <w:rFonts w:asciiTheme="minorHAnsi" w:hAnsiTheme="minorHAnsi" w:cstheme="minorHAnsi"/>
                <w:sz w:val="20"/>
                <w:lang w:eastAsia="ja-JP"/>
              </w:rPr>
            </w:pPr>
            <w:r w:rsidRPr="005F120D">
              <w:rPr>
                <w:rFonts w:asciiTheme="minorHAnsi" w:hAnsiTheme="minorHAnsi" w:cstheme="minorHAnsi"/>
                <w:sz w:val="20"/>
                <w:lang w:eastAsia="ja-JP"/>
              </w:rPr>
              <w:t>84.54%</w:t>
            </w:r>
          </w:p>
        </w:tc>
        <w:tc>
          <w:tcPr>
            <w:tcW w:w="744" w:type="pct"/>
            <w:noWrap/>
            <w:hideMark/>
          </w:tcPr>
          <w:p w:rsidR="008F0F9C" w:rsidRPr="005F120D" w:rsidRDefault="008F0F9C"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1</w:t>
            </w:r>
            <w:r w:rsidR="00F24BE9" w:rsidRPr="005F120D">
              <w:rPr>
                <w:rFonts w:asciiTheme="minorHAnsi" w:hAnsiTheme="minorHAnsi" w:cstheme="minorHAnsi"/>
                <w:sz w:val="20"/>
                <w:szCs w:val="22"/>
                <w:lang w:eastAsia="ja-JP"/>
              </w:rPr>
              <w:t>4.75</w:t>
            </w:r>
            <w:r w:rsidRPr="005F120D">
              <w:rPr>
                <w:rFonts w:asciiTheme="minorHAnsi" w:hAnsiTheme="minorHAnsi" w:cstheme="minorHAnsi"/>
                <w:sz w:val="20"/>
                <w:szCs w:val="22"/>
                <w:lang w:eastAsia="ja-JP"/>
              </w:rPr>
              <w:t>%</w:t>
            </w:r>
          </w:p>
        </w:tc>
        <w:tc>
          <w:tcPr>
            <w:tcW w:w="666" w:type="pct"/>
            <w:noWrap/>
            <w:hideMark/>
          </w:tcPr>
          <w:p w:rsidR="008F0F9C" w:rsidRPr="005F120D" w:rsidRDefault="00F24BE9"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w:t>
            </w:r>
            <w:r w:rsidR="008F0F9C" w:rsidRPr="005F120D">
              <w:rPr>
                <w:rFonts w:asciiTheme="minorHAnsi" w:hAnsiTheme="minorHAnsi" w:cstheme="minorHAnsi"/>
                <w:sz w:val="20"/>
                <w:szCs w:val="22"/>
                <w:lang w:eastAsia="ja-JP"/>
              </w:rPr>
              <w:t>.1</w:t>
            </w:r>
            <w:r w:rsidRPr="005F120D">
              <w:rPr>
                <w:rFonts w:asciiTheme="minorHAnsi" w:hAnsiTheme="minorHAnsi" w:cstheme="minorHAnsi"/>
                <w:sz w:val="20"/>
                <w:szCs w:val="22"/>
                <w:lang w:eastAsia="ja-JP"/>
              </w:rPr>
              <w:t>5</w:t>
            </w:r>
            <w:r w:rsidR="008F0F9C" w:rsidRPr="005F120D">
              <w:rPr>
                <w:rFonts w:asciiTheme="minorHAnsi" w:hAnsiTheme="minorHAnsi" w:cstheme="minorHAnsi"/>
                <w:sz w:val="20"/>
                <w:szCs w:val="22"/>
                <w:lang w:eastAsia="ja-JP"/>
              </w:rPr>
              <w:t>%</w:t>
            </w:r>
          </w:p>
        </w:tc>
        <w:tc>
          <w:tcPr>
            <w:tcW w:w="611" w:type="pct"/>
            <w:noWrap/>
            <w:hideMark/>
          </w:tcPr>
          <w:p w:rsidR="008F0F9C" w:rsidRPr="005F120D" w:rsidRDefault="008F0F9C"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w:t>
            </w:r>
            <w:r w:rsidR="00F24BE9" w:rsidRPr="005F120D">
              <w:rPr>
                <w:rFonts w:asciiTheme="minorHAnsi" w:hAnsiTheme="minorHAnsi" w:cstheme="minorHAnsi"/>
                <w:sz w:val="20"/>
                <w:szCs w:val="22"/>
                <w:lang w:eastAsia="ja-JP"/>
              </w:rPr>
              <w:t>5</w:t>
            </w:r>
            <w:r w:rsidRPr="005F120D">
              <w:rPr>
                <w:rFonts w:asciiTheme="minorHAnsi" w:hAnsiTheme="minorHAnsi" w:cstheme="minorHAnsi"/>
                <w:sz w:val="20"/>
                <w:szCs w:val="22"/>
                <w:lang w:eastAsia="ja-JP"/>
              </w:rPr>
              <w:t>6%</w:t>
            </w:r>
          </w:p>
        </w:tc>
        <w:tc>
          <w:tcPr>
            <w:tcW w:w="855" w:type="pct"/>
            <w:noWrap/>
            <w:hideMark/>
          </w:tcPr>
          <w:p w:rsidR="008F0F9C" w:rsidRPr="005F120D" w:rsidRDefault="008F0F9C"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1</w:t>
            </w:r>
            <w:r w:rsidR="00615B22" w:rsidRPr="005F120D">
              <w:rPr>
                <w:rFonts w:asciiTheme="minorHAnsi" w:hAnsiTheme="minorHAnsi" w:cstheme="minorHAnsi"/>
                <w:sz w:val="20"/>
                <w:szCs w:val="22"/>
                <w:lang w:eastAsia="ja-JP"/>
              </w:rPr>
              <w:t>13</w:t>
            </w:r>
          </w:p>
        </w:tc>
      </w:tr>
      <w:tr w:rsidR="008F0F9C" w:rsidRPr="005F120D" w:rsidTr="00A15AA6">
        <w:trPr>
          <w:cnfStyle w:val="000000100000"/>
          <w:trHeight w:val="337"/>
          <w:jc w:val="center"/>
        </w:trPr>
        <w:tc>
          <w:tcPr>
            <w:cnfStyle w:val="001000000000"/>
            <w:tcW w:w="1231" w:type="pct"/>
            <w:tcBorders>
              <w:top w:val="none" w:sz="0" w:space="0" w:color="auto"/>
              <w:left w:val="none" w:sz="0" w:space="0" w:color="auto"/>
              <w:bottom w:val="none" w:sz="0" w:space="0" w:color="auto"/>
            </w:tcBorders>
            <w:noWrap/>
            <w:hideMark/>
          </w:tcPr>
          <w:p w:rsidR="008F0F9C" w:rsidRPr="005F120D" w:rsidRDefault="008F0F9C" w:rsidP="00C437AA">
            <w:pPr>
              <w:spacing w:after="0" w:line="276" w:lineRule="auto"/>
              <w:rPr>
                <w:rFonts w:asciiTheme="minorHAnsi" w:hAnsiTheme="minorHAnsi" w:cstheme="minorHAnsi"/>
                <w:sz w:val="20"/>
                <w:szCs w:val="22"/>
                <w:lang w:eastAsia="ja-JP"/>
              </w:rPr>
            </w:pPr>
            <w:r w:rsidRPr="005F120D">
              <w:rPr>
                <w:rFonts w:asciiTheme="minorHAnsi" w:hAnsiTheme="minorHAnsi" w:cstheme="minorHAnsi"/>
                <w:sz w:val="20"/>
                <w:szCs w:val="22"/>
                <w:lang w:eastAsia="ja-JP"/>
              </w:rPr>
              <w:t>Dhaka</w:t>
            </w:r>
          </w:p>
        </w:tc>
        <w:tc>
          <w:tcPr>
            <w:tcW w:w="893" w:type="pct"/>
            <w:tcBorders>
              <w:top w:val="none" w:sz="0" w:space="0" w:color="auto"/>
              <w:bottom w:val="none" w:sz="0" w:space="0" w:color="auto"/>
            </w:tcBorders>
            <w:noWrap/>
            <w:hideMark/>
          </w:tcPr>
          <w:p w:rsidR="008F0F9C" w:rsidRPr="005F120D" w:rsidRDefault="008F0F9C" w:rsidP="00C437AA">
            <w:pPr>
              <w:spacing w:after="0" w:line="276" w:lineRule="auto"/>
              <w:jc w:val="right"/>
              <w:cnfStyle w:val="000000100000"/>
              <w:rPr>
                <w:rFonts w:asciiTheme="minorHAnsi" w:hAnsiTheme="minorHAnsi" w:cstheme="minorHAnsi"/>
                <w:sz w:val="20"/>
                <w:lang w:eastAsia="ja-JP"/>
              </w:rPr>
            </w:pPr>
            <w:r w:rsidRPr="005F120D">
              <w:rPr>
                <w:rFonts w:asciiTheme="minorHAnsi" w:hAnsiTheme="minorHAnsi" w:cstheme="minorHAnsi"/>
                <w:sz w:val="20"/>
                <w:lang w:eastAsia="ja-JP"/>
              </w:rPr>
              <w:t>88.06%</w:t>
            </w:r>
          </w:p>
        </w:tc>
        <w:tc>
          <w:tcPr>
            <w:tcW w:w="744" w:type="pct"/>
            <w:tcBorders>
              <w:top w:val="none" w:sz="0" w:space="0" w:color="auto"/>
              <w:bottom w:val="none" w:sz="0" w:space="0" w:color="auto"/>
            </w:tcBorders>
            <w:noWrap/>
            <w:hideMark/>
          </w:tcPr>
          <w:p w:rsidR="008F0F9C" w:rsidRPr="005F120D" w:rsidRDefault="00F24BE9"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11.88</w:t>
            </w:r>
            <w:r w:rsidR="008F0F9C" w:rsidRPr="005F120D">
              <w:rPr>
                <w:rFonts w:asciiTheme="minorHAnsi" w:hAnsiTheme="minorHAnsi" w:cstheme="minorHAnsi"/>
                <w:sz w:val="20"/>
                <w:szCs w:val="22"/>
                <w:lang w:eastAsia="ja-JP"/>
              </w:rPr>
              <w:t>%</w:t>
            </w:r>
          </w:p>
        </w:tc>
        <w:tc>
          <w:tcPr>
            <w:tcW w:w="666" w:type="pct"/>
            <w:tcBorders>
              <w:top w:val="none" w:sz="0" w:space="0" w:color="auto"/>
              <w:bottom w:val="none" w:sz="0" w:space="0" w:color="auto"/>
            </w:tcBorders>
            <w:noWrap/>
            <w:hideMark/>
          </w:tcPr>
          <w:p w:rsidR="008F0F9C" w:rsidRPr="005F120D" w:rsidRDefault="00F24BE9"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0.02</w:t>
            </w:r>
            <w:r w:rsidR="008F0F9C" w:rsidRPr="005F120D">
              <w:rPr>
                <w:rFonts w:asciiTheme="minorHAnsi" w:hAnsiTheme="minorHAnsi" w:cstheme="minorHAnsi"/>
                <w:sz w:val="20"/>
                <w:szCs w:val="22"/>
                <w:lang w:eastAsia="ja-JP"/>
              </w:rPr>
              <w:t>%</w:t>
            </w:r>
          </w:p>
        </w:tc>
        <w:tc>
          <w:tcPr>
            <w:tcW w:w="611" w:type="pct"/>
            <w:tcBorders>
              <w:top w:val="none" w:sz="0" w:space="0" w:color="auto"/>
              <w:bottom w:val="none" w:sz="0" w:space="0" w:color="auto"/>
            </w:tcBorders>
            <w:noWrap/>
            <w:hideMark/>
          </w:tcPr>
          <w:p w:rsidR="008F0F9C" w:rsidRPr="005F120D" w:rsidRDefault="008F0F9C"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w:t>
            </w:r>
            <w:r w:rsidR="00F24BE9" w:rsidRPr="005F120D">
              <w:rPr>
                <w:rFonts w:asciiTheme="minorHAnsi" w:hAnsiTheme="minorHAnsi" w:cstheme="minorHAnsi"/>
                <w:sz w:val="20"/>
                <w:szCs w:val="22"/>
                <w:lang w:eastAsia="ja-JP"/>
              </w:rPr>
              <w:t>04</w:t>
            </w:r>
            <w:r w:rsidRPr="005F120D">
              <w:rPr>
                <w:rFonts w:asciiTheme="minorHAnsi" w:hAnsiTheme="minorHAnsi" w:cstheme="minorHAnsi"/>
                <w:sz w:val="20"/>
                <w:szCs w:val="22"/>
                <w:lang w:eastAsia="ja-JP"/>
              </w:rPr>
              <w:t>%</w:t>
            </w:r>
          </w:p>
        </w:tc>
        <w:tc>
          <w:tcPr>
            <w:tcW w:w="855" w:type="pct"/>
            <w:tcBorders>
              <w:top w:val="none" w:sz="0" w:space="0" w:color="auto"/>
              <w:bottom w:val="none" w:sz="0" w:space="0" w:color="auto"/>
              <w:right w:val="none" w:sz="0" w:space="0" w:color="auto"/>
            </w:tcBorders>
            <w:noWrap/>
            <w:hideMark/>
          </w:tcPr>
          <w:p w:rsidR="008F0F9C" w:rsidRPr="005F120D" w:rsidRDefault="008F0F9C"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13</w:t>
            </w:r>
          </w:p>
        </w:tc>
      </w:tr>
      <w:tr w:rsidR="008F0F9C" w:rsidRPr="005F120D" w:rsidTr="00A15AA6">
        <w:trPr>
          <w:trHeight w:val="337"/>
          <w:jc w:val="center"/>
        </w:trPr>
        <w:tc>
          <w:tcPr>
            <w:cnfStyle w:val="001000000000"/>
            <w:tcW w:w="1231" w:type="pct"/>
            <w:noWrap/>
            <w:hideMark/>
          </w:tcPr>
          <w:p w:rsidR="008F0F9C" w:rsidRPr="005F120D" w:rsidRDefault="008F0F9C" w:rsidP="00C437AA">
            <w:pPr>
              <w:spacing w:after="0" w:line="276" w:lineRule="auto"/>
              <w:rPr>
                <w:rFonts w:asciiTheme="minorHAnsi" w:hAnsiTheme="minorHAnsi" w:cstheme="minorHAnsi"/>
                <w:sz w:val="20"/>
                <w:szCs w:val="22"/>
                <w:lang w:eastAsia="ja-JP"/>
              </w:rPr>
            </w:pPr>
            <w:r w:rsidRPr="005F120D">
              <w:rPr>
                <w:rFonts w:asciiTheme="minorHAnsi" w:hAnsiTheme="minorHAnsi" w:cstheme="minorHAnsi"/>
                <w:sz w:val="20"/>
                <w:szCs w:val="22"/>
                <w:lang w:eastAsia="ja-JP"/>
              </w:rPr>
              <w:t>Khulna</w:t>
            </w:r>
          </w:p>
        </w:tc>
        <w:tc>
          <w:tcPr>
            <w:tcW w:w="893" w:type="pct"/>
            <w:noWrap/>
            <w:hideMark/>
          </w:tcPr>
          <w:p w:rsidR="008F0F9C" w:rsidRPr="005F120D" w:rsidRDefault="008F0F9C" w:rsidP="00C437AA">
            <w:pPr>
              <w:spacing w:after="0" w:line="276" w:lineRule="auto"/>
              <w:jc w:val="right"/>
              <w:cnfStyle w:val="000000000000"/>
              <w:rPr>
                <w:rFonts w:asciiTheme="minorHAnsi" w:hAnsiTheme="minorHAnsi" w:cstheme="minorHAnsi"/>
                <w:sz w:val="20"/>
                <w:lang w:eastAsia="ja-JP"/>
              </w:rPr>
            </w:pPr>
            <w:r w:rsidRPr="005F120D">
              <w:rPr>
                <w:rFonts w:asciiTheme="minorHAnsi" w:hAnsiTheme="minorHAnsi" w:cstheme="minorHAnsi"/>
                <w:sz w:val="20"/>
                <w:lang w:eastAsia="ja-JP"/>
              </w:rPr>
              <w:t>91.47%</w:t>
            </w:r>
          </w:p>
        </w:tc>
        <w:tc>
          <w:tcPr>
            <w:tcW w:w="744" w:type="pct"/>
            <w:noWrap/>
            <w:hideMark/>
          </w:tcPr>
          <w:p w:rsidR="008F0F9C" w:rsidRPr="005F120D" w:rsidRDefault="00F24BE9"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8.26</w:t>
            </w:r>
            <w:r w:rsidR="008F0F9C" w:rsidRPr="005F120D">
              <w:rPr>
                <w:rFonts w:asciiTheme="minorHAnsi" w:hAnsiTheme="minorHAnsi" w:cstheme="minorHAnsi"/>
                <w:sz w:val="20"/>
                <w:szCs w:val="22"/>
                <w:lang w:eastAsia="ja-JP"/>
              </w:rPr>
              <w:t>%</w:t>
            </w:r>
          </w:p>
        </w:tc>
        <w:tc>
          <w:tcPr>
            <w:tcW w:w="666" w:type="pct"/>
            <w:noWrap/>
            <w:hideMark/>
          </w:tcPr>
          <w:p w:rsidR="008F0F9C" w:rsidRPr="005F120D" w:rsidRDefault="00F24BE9"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0.12</w:t>
            </w:r>
            <w:r w:rsidR="008F0F9C" w:rsidRPr="005F120D">
              <w:rPr>
                <w:rFonts w:asciiTheme="minorHAnsi" w:hAnsiTheme="minorHAnsi" w:cstheme="minorHAnsi"/>
                <w:sz w:val="20"/>
                <w:szCs w:val="22"/>
                <w:lang w:eastAsia="ja-JP"/>
              </w:rPr>
              <w:t>%</w:t>
            </w:r>
          </w:p>
        </w:tc>
        <w:tc>
          <w:tcPr>
            <w:tcW w:w="611" w:type="pct"/>
            <w:noWrap/>
            <w:hideMark/>
          </w:tcPr>
          <w:p w:rsidR="008F0F9C" w:rsidRPr="005F120D" w:rsidRDefault="008F0F9C"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w:t>
            </w:r>
            <w:r w:rsidR="00F24BE9" w:rsidRPr="005F120D">
              <w:rPr>
                <w:rFonts w:asciiTheme="minorHAnsi" w:hAnsiTheme="minorHAnsi" w:cstheme="minorHAnsi"/>
                <w:sz w:val="20"/>
                <w:szCs w:val="22"/>
                <w:lang w:eastAsia="ja-JP"/>
              </w:rPr>
              <w:t>15</w:t>
            </w:r>
            <w:r w:rsidRPr="005F120D">
              <w:rPr>
                <w:rFonts w:asciiTheme="minorHAnsi" w:hAnsiTheme="minorHAnsi" w:cstheme="minorHAnsi"/>
                <w:sz w:val="20"/>
                <w:szCs w:val="22"/>
                <w:lang w:eastAsia="ja-JP"/>
              </w:rPr>
              <w:t>%</w:t>
            </w:r>
          </w:p>
        </w:tc>
        <w:tc>
          <w:tcPr>
            <w:tcW w:w="855" w:type="pct"/>
            <w:noWrap/>
            <w:hideMark/>
          </w:tcPr>
          <w:p w:rsidR="008F0F9C" w:rsidRPr="005F120D" w:rsidRDefault="00615B22"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16</w:t>
            </w:r>
          </w:p>
        </w:tc>
      </w:tr>
      <w:tr w:rsidR="008F0F9C" w:rsidRPr="005F120D" w:rsidTr="00A15AA6">
        <w:trPr>
          <w:cnfStyle w:val="000000100000"/>
          <w:trHeight w:val="337"/>
          <w:jc w:val="center"/>
        </w:trPr>
        <w:tc>
          <w:tcPr>
            <w:cnfStyle w:val="001000000000"/>
            <w:tcW w:w="1231" w:type="pct"/>
            <w:tcBorders>
              <w:top w:val="none" w:sz="0" w:space="0" w:color="auto"/>
              <w:left w:val="none" w:sz="0" w:space="0" w:color="auto"/>
              <w:bottom w:val="none" w:sz="0" w:space="0" w:color="auto"/>
            </w:tcBorders>
            <w:noWrap/>
            <w:hideMark/>
          </w:tcPr>
          <w:p w:rsidR="008F0F9C" w:rsidRPr="005F120D" w:rsidRDefault="008F0F9C" w:rsidP="00C437AA">
            <w:pPr>
              <w:spacing w:after="0" w:line="276" w:lineRule="auto"/>
              <w:rPr>
                <w:rFonts w:asciiTheme="minorHAnsi" w:hAnsiTheme="minorHAnsi" w:cstheme="minorHAnsi"/>
                <w:sz w:val="20"/>
                <w:szCs w:val="22"/>
                <w:lang w:eastAsia="ja-JP"/>
              </w:rPr>
            </w:pPr>
            <w:r w:rsidRPr="005F120D">
              <w:rPr>
                <w:rFonts w:asciiTheme="minorHAnsi" w:hAnsiTheme="minorHAnsi" w:cstheme="minorHAnsi"/>
                <w:sz w:val="20"/>
                <w:szCs w:val="22"/>
                <w:lang w:eastAsia="ja-JP"/>
              </w:rPr>
              <w:t>Rajshahi</w:t>
            </w:r>
          </w:p>
        </w:tc>
        <w:tc>
          <w:tcPr>
            <w:tcW w:w="893" w:type="pct"/>
            <w:tcBorders>
              <w:top w:val="none" w:sz="0" w:space="0" w:color="auto"/>
              <w:bottom w:val="none" w:sz="0" w:space="0" w:color="auto"/>
            </w:tcBorders>
            <w:noWrap/>
            <w:hideMark/>
          </w:tcPr>
          <w:p w:rsidR="008F0F9C" w:rsidRPr="005F120D" w:rsidRDefault="008F0F9C" w:rsidP="00C437AA">
            <w:pPr>
              <w:spacing w:after="0" w:line="276" w:lineRule="auto"/>
              <w:jc w:val="right"/>
              <w:cnfStyle w:val="000000100000"/>
              <w:rPr>
                <w:rFonts w:asciiTheme="minorHAnsi" w:hAnsiTheme="minorHAnsi" w:cstheme="minorHAnsi"/>
                <w:sz w:val="20"/>
                <w:lang w:eastAsia="ja-JP"/>
              </w:rPr>
            </w:pPr>
            <w:r w:rsidRPr="005F120D">
              <w:rPr>
                <w:rFonts w:asciiTheme="minorHAnsi" w:hAnsiTheme="minorHAnsi" w:cstheme="minorHAnsi"/>
                <w:sz w:val="20"/>
                <w:lang w:eastAsia="ja-JP"/>
              </w:rPr>
              <w:t>87.13%</w:t>
            </w:r>
          </w:p>
        </w:tc>
        <w:tc>
          <w:tcPr>
            <w:tcW w:w="744" w:type="pct"/>
            <w:tcBorders>
              <w:top w:val="none" w:sz="0" w:space="0" w:color="auto"/>
              <w:bottom w:val="none" w:sz="0" w:space="0" w:color="auto"/>
            </w:tcBorders>
            <w:noWrap/>
            <w:hideMark/>
          </w:tcPr>
          <w:p w:rsidR="008F0F9C" w:rsidRPr="005F120D" w:rsidRDefault="00F24BE9"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12.78</w:t>
            </w:r>
            <w:r w:rsidR="008F0F9C" w:rsidRPr="005F120D">
              <w:rPr>
                <w:rFonts w:asciiTheme="minorHAnsi" w:hAnsiTheme="minorHAnsi" w:cstheme="minorHAnsi"/>
                <w:sz w:val="20"/>
                <w:szCs w:val="22"/>
                <w:lang w:eastAsia="ja-JP"/>
              </w:rPr>
              <w:t>%</w:t>
            </w:r>
          </w:p>
        </w:tc>
        <w:tc>
          <w:tcPr>
            <w:tcW w:w="666" w:type="pct"/>
            <w:tcBorders>
              <w:top w:val="none" w:sz="0" w:space="0" w:color="auto"/>
              <w:bottom w:val="none" w:sz="0" w:space="0" w:color="auto"/>
            </w:tcBorders>
            <w:noWrap/>
            <w:hideMark/>
          </w:tcPr>
          <w:p w:rsidR="008F0F9C" w:rsidRPr="005F120D" w:rsidRDefault="00065856"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0.05</w:t>
            </w:r>
            <w:r w:rsidR="008F0F9C" w:rsidRPr="005F120D">
              <w:rPr>
                <w:rFonts w:asciiTheme="minorHAnsi" w:hAnsiTheme="minorHAnsi" w:cstheme="minorHAnsi"/>
                <w:sz w:val="20"/>
                <w:szCs w:val="22"/>
                <w:lang w:eastAsia="ja-JP"/>
              </w:rPr>
              <w:t>%</w:t>
            </w:r>
          </w:p>
        </w:tc>
        <w:tc>
          <w:tcPr>
            <w:tcW w:w="611" w:type="pct"/>
            <w:tcBorders>
              <w:top w:val="none" w:sz="0" w:space="0" w:color="auto"/>
              <w:bottom w:val="none" w:sz="0" w:space="0" w:color="auto"/>
            </w:tcBorders>
            <w:noWrap/>
            <w:hideMark/>
          </w:tcPr>
          <w:p w:rsidR="008F0F9C" w:rsidRPr="005F120D" w:rsidRDefault="00065856"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0.03</w:t>
            </w:r>
            <w:r w:rsidR="008F0F9C" w:rsidRPr="005F120D">
              <w:rPr>
                <w:rFonts w:asciiTheme="minorHAnsi" w:hAnsiTheme="minorHAnsi" w:cstheme="minorHAnsi"/>
                <w:sz w:val="20"/>
                <w:szCs w:val="22"/>
                <w:lang w:eastAsia="ja-JP"/>
              </w:rPr>
              <w:t>%</w:t>
            </w:r>
          </w:p>
        </w:tc>
        <w:tc>
          <w:tcPr>
            <w:tcW w:w="855" w:type="pct"/>
            <w:tcBorders>
              <w:top w:val="none" w:sz="0" w:space="0" w:color="auto"/>
              <w:bottom w:val="none" w:sz="0" w:space="0" w:color="auto"/>
              <w:right w:val="none" w:sz="0" w:space="0" w:color="auto"/>
            </w:tcBorders>
            <w:noWrap/>
            <w:hideMark/>
          </w:tcPr>
          <w:p w:rsidR="008F0F9C" w:rsidRPr="005F120D" w:rsidRDefault="00615B22"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5</w:t>
            </w:r>
          </w:p>
        </w:tc>
      </w:tr>
      <w:tr w:rsidR="008F0F9C" w:rsidRPr="005F120D" w:rsidTr="00A15AA6">
        <w:trPr>
          <w:trHeight w:val="337"/>
          <w:jc w:val="center"/>
        </w:trPr>
        <w:tc>
          <w:tcPr>
            <w:cnfStyle w:val="001000000000"/>
            <w:tcW w:w="1231" w:type="pct"/>
            <w:noWrap/>
            <w:hideMark/>
          </w:tcPr>
          <w:p w:rsidR="008F0F9C" w:rsidRPr="005F120D" w:rsidRDefault="008F0F9C" w:rsidP="00C437AA">
            <w:pPr>
              <w:spacing w:after="0" w:line="276" w:lineRule="auto"/>
              <w:rPr>
                <w:rFonts w:asciiTheme="minorHAnsi" w:hAnsiTheme="minorHAnsi" w:cstheme="minorHAnsi"/>
                <w:sz w:val="20"/>
                <w:szCs w:val="22"/>
                <w:lang w:eastAsia="ja-JP"/>
              </w:rPr>
            </w:pPr>
            <w:r w:rsidRPr="005F120D">
              <w:rPr>
                <w:rFonts w:asciiTheme="minorHAnsi" w:hAnsiTheme="minorHAnsi" w:cstheme="minorHAnsi"/>
                <w:sz w:val="20"/>
                <w:szCs w:val="22"/>
                <w:lang w:eastAsia="ja-JP"/>
              </w:rPr>
              <w:t>Rangpur</w:t>
            </w:r>
          </w:p>
        </w:tc>
        <w:tc>
          <w:tcPr>
            <w:tcW w:w="893" w:type="pct"/>
            <w:noWrap/>
            <w:hideMark/>
          </w:tcPr>
          <w:p w:rsidR="008F0F9C" w:rsidRPr="005F120D" w:rsidRDefault="00065856" w:rsidP="00C437AA">
            <w:pPr>
              <w:spacing w:after="0" w:line="276" w:lineRule="auto"/>
              <w:jc w:val="right"/>
              <w:cnfStyle w:val="000000000000"/>
              <w:rPr>
                <w:rFonts w:asciiTheme="minorHAnsi" w:hAnsiTheme="minorHAnsi" w:cstheme="minorHAnsi"/>
                <w:sz w:val="20"/>
                <w:lang w:eastAsia="ja-JP"/>
              </w:rPr>
            </w:pPr>
            <w:r w:rsidRPr="005F120D">
              <w:rPr>
                <w:rFonts w:asciiTheme="minorHAnsi" w:hAnsiTheme="minorHAnsi" w:cstheme="minorHAnsi"/>
                <w:sz w:val="20"/>
                <w:lang w:eastAsia="en-US"/>
              </w:rPr>
              <w:t>89.66</w:t>
            </w:r>
            <w:r w:rsidR="008F0F9C" w:rsidRPr="005F120D">
              <w:rPr>
                <w:rFonts w:asciiTheme="minorHAnsi" w:hAnsiTheme="minorHAnsi" w:cstheme="minorHAnsi"/>
                <w:sz w:val="20"/>
                <w:lang w:eastAsia="en-US"/>
              </w:rPr>
              <w:t>%</w:t>
            </w:r>
          </w:p>
        </w:tc>
        <w:tc>
          <w:tcPr>
            <w:tcW w:w="744" w:type="pct"/>
            <w:noWrap/>
            <w:hideMark/>
          </w:tcPr>
          <w:p w:rsidR="008F0F9C" w:rsidRPr="005F120D" w:rsidRDefault="00065856"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10.26</w:t>
            </w:r>
            <w:r w:rsidR="008F0F9C" w:rsidRPr="005F120D">
              <w:rPr>
                <w:rFonts w:asciiTheme="minorHAnsi" w:hAnsiTheme="minorHAnsi" w:cstheme="minorHAnsi"/>
                <w:sz w:val="20"/>
                <w:szCs w:val="22"/>
                <w:lang w:eastAsia="ja-JP"/>
              </w:rPr>
              <w:t>%</w:t>
            </w:r>
          </w:p>
        </w:tc>
        <w:tc>
          <w:tcPr>
            <w:tcW w:w="666" w:type="pct"/>
            <w:noWrap/>
            <w:hideMark/>
          </w:tcPr>
          <w:p w:rsidR="008F0F9C" w:rsidRPr="005F120D" w:rsidRDefault="00065856"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0.08</w:t>
            </w:r>
            <w:r w:rsidR="008F0F9C" w:rsidRPr="005F120D">
              <w:rPr>
                <w:rFonts w:asciiTheme="minorHAnsi" w:hAnsiTheme="minorHAnsi" w:cstheme="minorHAnsi"/>
                <w:sz w:val="20"/>
                <w:szCs w:val="22"/>
                <w:lang w:eastAsia="ja-JP"/>
              </w:rPr>
              <w:t>%</w:t>
            </w:r>
          </w:p>
        </w:tc>
        <w:tc>
          <w:tcPr>
            <w:tcW w:w="611" w:type="pct"/>
            <w:noWrap/>
            <w:hideMark/>
          </w:tcPr>
          <w:p w:rsidR="008F0F9C" w:rsidRPr="005F120D" w:rsidRDefault="00BD3463"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w:t>
            </w:r>
          </w:p>
        </w:tc>
        <w:tc>
          <w:tcPr>
            <w:tcW w:w="855" w:type="pct"/>
            <w:noWrap/>
            <w:hideMark/>
          </w:tcPr>
          <w:p w:rsidR="008F0F9C" w:rsidRPr="005F120D" w:rsidRDefault="00BD3463" w:rsidP="00C437AA">
            <w:pPr>
              <w:spacing w:after="0" w:line="276" w:lineRule="auto"/>
              <w:jc w:val="right"/>
              <w:cnfStyle w:val="0000000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w:t>
            </w:r>
          </w:p>
        </w:tc>
      </w:tr>
      <w:tr w:rsidR="008F0F9C" w:rsidRPr="005F120D" w:rsidTr="00A15AA6">
        <w:trPr>
          <w:cnfStyle w:val="000000100000"/>
          <w:trHeight w:val="337"/>
          <w:jc w:val="center"/>
        </w:trPr>
        <w:tc>
          <w:tcPr>
            <w:cnfStyle w:val="001000000000"/>
            <w:tcW w:w="1231" w:type="pct"/>
            <w:tcBorders>
              <w:top w:val="none" w:sz="0" w:space="0" w:color="auto"/>
              <w:left w:val="none" w:sz="0" w:space="0" w:color="auto"/>
              <w:bottom w:val="none" w:sz="0" w:space="0" w:color="auto"/>
            </w:tcBorders>
            <w:noWrap/>
            <w:hideMark/>
          </w:tcPr>
          <w:p w:rsidR="008F0F9C" w:rsidRPr="005F120D" w:rsidRDefault="008F0F9C" w:rsidP="00C437AA">
            <w:pPr>
              <w:spacing w:after="0" w:line="276" w:lineRule="auto"/>
              <w:rPr>
                <w:rFonts w:asciiTheme="minorHAnsi" w:hAnsiTheme="minorHAnsi" w:cstheme="minorHAnsi"/>
                <w:sz w:val="20"/>
                <w:szCs w:val="22"/>
                <w:lang w:eastAsia="ja-JP"/>
              </w:rPr>
            </w:pPr>
            <w:r w:rsidRPr="005F120D">
              <w:rPr>
                <w:rFonts w:asciiTheme="minorHAnsi" w:hAnsiTheme="minorHAnsi" w:cstheme="minorHAnsi"/>
                <w:sz w:val="20"/>
                <w:szCs w:val="22"/>
                <w:lang w:eastAsia="ja-JP"/>
              </w:rPr>
              <w:t>Sylhet</w:t>
            </w:r>
          </w:p>
        </w:tc>
        <w:tc>
          <w:tcPr>
            <w:tcW w:w="893" w:type="pct"/>
            <w:tcBorders>
              <w:top w:val="none" w:sz="0" w:space="0" w:color="auto"/>
              <w:bottom w:val="none" w:sz="0" w:space="0" w:color="auto"/>
            </w:tcBorders>
            <w:noWrap/>
            <w:hideMark/>
          </w:tcPr>
          <w:p w:rsidR="008F0F9C" w:rsidRPr="005F120D" w:rsidRDefault="008F0F9C" w:rsidP="00C437AA">
            <w:pPr>
              <w:spacing w:after="0" w:line="276" w:lineRule="auto"/>
              <w:jc w:val="right"/>
              <w:cnfStyle w:val="000000100000"/>
              <w:rPr>
                <w:rFonts w:asciiTheme="minorHAnsi" w:hAnsiTheme="minorHAnsi" w:cstheme="minorHAnsi"/>
                <w:sz w:val="20"/>
                <w:lang w:eastAsia="ja-JP"/>
              </w:rPr>
            </w:pPr>
            <w:r w:rsidRPr="005F120D">
              <w:rPr>
                <w:rFonts w:asciiTheme="minorHAnsi" w:hAnsiTheme="minorHAnsi" w:cstheme="minorHAnsi"/>
                <w:sz w:val="20"/>
                <w:lang w:eastAsia="ja-JP"/>
              </w:rPr>
              <w:t>95.44%</w:t>
            </w:r>
          </w:p>
        </w:tc>
        <w:tc>
          <w:tcPr>
            <w:tcW w:w="744" w:type="pct"/>
            <w:tcBorders>
              <w:top w:val="none" w:sz="0" w:space="0" w:color="auto"/>
              <w:bottom w:val="none" w:sz="0" w:space="0" w:color="auto"/>
            </w:tcBorders>
            <w:noWrap/>
            <w:hideMark/>
          </w:tcPr>
          <w:p w:rsidR="008F0F9C" w:rsidRPr="005F120D" w:rsidRDefault="00065856"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4.46</w:t>
            </w:r>
            <w:r w:rsidR="008F0F9C" w:rsidRPr="005F120D">
              <w:rPr>
                <w:rFonts w:asciiTheme="minorHAnsi" w:hAnsiTheme="minorHAnsi" w:cstheme="minorHAnsi"/>
                <w:sz w:val="20"/>
                <w:szCs w:val="22"/>
                <w:lang w:eastAsia="ja-JP"/>
              </w:rPr>
              <w:t>%</w:t>
            </w:r>
          </w:p>
        </w:tc>
        <w:tc>
          <w:tcPr>
            <w:tcW w:w="666" w:type="pct"/>
            <w:tcBorders>
              <w:top w:val="none" w:sz="0" w:space="0" w:color="auto"/>
              <w:bottom w:val="none" w:sz="0" w:space="0" w:color="auto"/>
            </w:tcBorders>
            <w:noWrap/>
            <w:hideMark/>
          </w:tcPr>
          <w:p w:rsidR="008F0F9C" w:rsidRPr="005F120D" w:rsidRDefault="00065856"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0.10</w:t>
            </w:r>
            <w:r w:rsidR="008F0F9C" w:rsidRPr="005F120D">
              <w:rPr>
                <w:rFonts w:asciiTheme="minorHAnsi" w:hAnsiTheme="minorHAnsi" w:cstheme="minorHAnsi"/>
                <w:sz w:val="20"/>
                <w:szCs w:val="22"/>
                <w:lang w:eastAsia="ja-JP"/>
              </w:rPr>
              <w:t>%</w:t>
            </w:r>
          </w:p>
        </w:tc>
        <w:tc>
          <w:tcPr>
            <w:tcW w:w="611" w:type="pct"/>
            <w:tcBorders>
              <w:top w:val="none" w:sz="0" w:space="0" w:color="auto"/>
              <w:bottom w:val="none" w:sz="0" w:space="0" w:color="auto"/>
            </w:tcBorders>
            <w:noWrap/>
            <w:hideMark/>
          </w:tcPr>
          <w:p w:rsidR="008F0F9C" w:rsidRPr="005F120D" w:rsidRDefault="00BD3463"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w:t>
            </w:r>
          </w:p>
        </w:tc>
        <w:tc>
          <w:tcPr>
            <w:tcW w:w="855" w:type="pct"/>
            <w:tcBorders>
              <w:top w:val="none" w:sz="0" w:space="0" w:color="auto"/>
              <w:bottom w:val="none" w:sz="0" w:space="0" w:color="auto"/>
              <w:right w:val="none" w:sz="0" w:space="0" w:color="auto"/>
            </w:tcBorders>
            <w:noWrap/>
            <w:hideMark/>
          </w:tcPr>
          <w:p w:rsidR="008F0F9C" w:rsidRPr="005F120D" w:rsidRDefault="00BD3463" w:rsidP="00C437AA">
            <w:pPr>
              <w:spacing w:after="0" w:line="276" w:lineRule="auto"/>
              <w:jc w:val="right"/>
              <w:cnfStyle w:val="000000100000"/>
              <w:rPr>
                <w:rFonts w:asciiTheme="minorHAnsi" w:hAnsiTheme="minorHAnsi" w:cstheme="minorHAnsi"/>
                <w:sz w:val="20"/>
                <w:szCs w:val="22"/>
                <w:lang w:eastAsia="ja-JP"/>
              </w:rPr>
            </w:pPr>
            <w:r w:rsidRPr="005F120D">
              <w:rPr>
                <w:rFonts w:asciiTheme="minorHAnsi" w:hAnsiTheme="minorHAnsi" w:cstheme="minorHAnsi"/>
                <w:sz w:val="20"/>
                <w:szCs w:val="22"/>
                <w:lang w:eastAsia="ja-JP"/>
              </w:rPr>
              <w:t>-</w:t>
            </w:r>
          </w:p>
        </w:tc>
      </w:tr>
      <w:tr w:rsidR="008F0F9C" w:rsidRPr="005F120D" w:rsidTr="00A15AA6">
        <w:trPr>
          <w:trHeight w:val="337"/>
          <w:jc w:val="center"/>
        </w:trPr>
        <w:tc>
          <w:tcPr>
            <w:cnfStyle w:val="001000000000"/>
            <w:tcW w:w="1231" w:type="pct"/>
            <w:noWrap/>
            <w:hideMark/>
          </w:tcPr>
          <w:p w:rsidR="008F0F9C" w:rsidRPr="005F120D" w:rsidRDefault="008F0F9C" w:rsidP="00C437AA">
            <w:pPr>
              <w:spacing w:after="0" w:line="276" w:lineRule="auto"/>
              <w:rPr>
                <w:rFonts w:asciiTheme="minorHAnsi" w:hAnsiTheme="minorHAnsi" w:cstheme="minorHAnsi"/>
                <w:sz w:val="20"/>
                <w:szCs w:val="22"/>
                <w:lang w:eastAsia="ja-JP"/>
              </w:rPr>
            </w:pPr>
            <w:r w:rsidRPr="005F120D">
              <w:rPr>
                <w:rFonts w:asciiTheme="minorHAnsi" w:hAnsiTheme="minorHAnsi" w:cstheme="minorHAnsi"/>
                <w:sz w:val="20"/>
                <w:szCs w:val="22"/>
                <w:lang w:eastAsia="ja-JP"/>
              </w:rPr>
              <w:t>National</w:t>
            </w:r>
          </w:p>
        </w:tc>
        <w:tc>
          <w:tcPr>
            <w:tcW w:w="893" w:type="pct"/>
            <w:noWrap/>
            <w:hideMark/>
          </w:tcPr>
          <w:p w:rsidR="008F0F9C" w:rsidRPr="005F120D" w:rsidRDefault="008F0F9C" w:rsidP="00C437AA">
            <w:pPr>
              <w:spacing w:after="0" w:line="276" w:lineRule="auto"/>
              <w:jc w:val="right"/>
              <w:cnfStyle w:val="000000000000"/>
              <w:rPr>
                <w:rFonts w:asciiTheme="minorHAnsi" w:hAnsiTheme="minorHAnsi" w:cstheme="minorHAnsi"/>
                <w:b/>
                <w:sz w:val="20"/>
                <w:lang w:eastAsia="ja-JP"/>
              </w:rPr>
            </w:pPr>
            <w:r w:rsidRPr="005F120D">
              <w:rPr>
                <w:rFonts w:asciiTheme="minorHAnsi" w:hAnsiTheme="minorHAnsi" w:cstheme="minorHAnsi"/>
                <w:b/>
                <w:sz w:val="20"/>
                <w:lang w:eastAsia="ja-JP"/>
              </w:rPr>
              <w:t>88.65%</w:t>
            </w:r>
          </w:p>
        </w:tc>
        <w:tc>
          <w:tcPr>
            <w:tcW w:w="744" w:type="pct"/>
            <w:noWrap/>
            <w:hideMark/>
          </w:tcPr>
          <w:p w:rsidR="008F0F9C" w:rsidRPr="005F120D" w:rsidRDefault="008F0F9C" w:rsidP="00C437AA">
            <w:pPr>
              <w:spacing w:after="0" w:line="276" w:lineRule="auto"/>
              <w:jc w:val="right"/>
              <w:cnfStyle w:val="000000000000"/>
              <w:rPr>
                <w:rFonts w:asciiTheme="minorHAnsi" w:hAnsiTheme="minorHAnsi" w:cstheme="minorHAnsi"/>
                <w:b/>
                <w:sz w:val="20"/>
                <w:szCs w:val="22"/>
                <w:lang w:eastAsia="ja-JP"/>
              </w:rPr>
            </w:pPr>
            <w:r w:rsidRPr="005F120D">
              <w:rPr>
                <w:rFonts w:asciiTheme="minorHAnsi" w:hAnsiTheme="minorHAnsi" w:cstheme="minorHAnsi"/>
                <w:b/>
                <w:sz w:val="20"/>
                <w:szCs w:val="22"/>
                <w:lang w:eastAsia="ja-JP"/>
              </w:rPr>
              <w:t>1</w:t>
            </w:r>
            <w:r w:rsidR="00065856" w:rsidRPr="005F120D">
              <w:rPr>
                <w:rFonts w:asciiTheme="minorHAnsi" w:hAnsiTheme="minorHAnsi" w:cstheme="minorHAnsi"/>
                <w:b/>
                <w:sz w:val="20"/>
                <w:szCs w:val="22"/>
                <w:lang w:eastAsia="ja-JP"/>
              </w:rPr>
              <w:t>1.14</w:t>
            </w:r>
            <w:r w:rsidRPr="005F120D">
              <w:rPr>
                <w:rFonts w:asciiTheme="minorHAnsi" w:hAnsiTheme="minorHAnsi" w:cstheme="minorHAnsi"/>
                <w:b/>
                <w:sz w:val="20"/>
                <w:szCs w:val="22"/>
                <w:lang w:eastAsia="ja-JP"/>
              </w:rPr>
              <w:t>%</w:t>
            </w:r>
          </w:p>
        </w:tc>
        <w:tc>
          <w:tcPr>
            <w:tcW w:w="666" w:type="pct"/>
            <w:noWrap/>
            <w:hideMark/>
          </w:tcPr>
          <w:p w:rsidR="008F0F9C" w:rsidRPr="005F120D" w:rsidRDefault="00065856" w:rsidP="00C437AA">
            <w:pPr>
              <w:spacing w:after="0" w:line="276" w:lineRule="auto"/>
              <w:jc w:val="right"/>
              <w:cnfStyle w:val="000000000000"/>
              <w:rPr>
                <w:rFonts w:asciiTheme="minorHAnsi" w:hAnsiTheme="minorHAnsi" w:cstheme="minorHAnsi"/>
                <w:b/>
                <w:sz w:val="20"/>
                <w:szCs w:val="22"/>
                <w:lang w:eastAsia="ja-JP"/>
              </w:rPr>
            </w:pPr>
            <w:r w:rsidRPr="005F120D">
              <w:rPr>
                <w:rFonts w:asciiTheme="minorHAnsi" w:hAnsiTheme="minorHAnsi" w:cstheme="minorHAnsi"/>
                <w:b/>
                <w:sz w:val="20"/>
                <w:szCs w:val="22"/>
                <w:lang w:eastAsia="ja-JP"/>
              </w:rPr>
              <w:t>0.07</w:t>
            </w:r>
            <w:r w:rsidR="008F0F9C" w:rsidRPr="005F120D">
              <w:rPr>
                <w:rFonts w:asciiTheme="minorHAnsi" w:hAnsiTheme="minorHAnsi" w:cstheme="minorHAnsi"/>
                <w:b/>
                <w:sz w:val="20"/>
                <w:szCs w:val="22"/>
                <w:lang w:eastAsia="ja-JP"/>
              </w:rPr>
              <w:t>%</w:t>
            </w:r>
          </w:p>
        </w:tc>
        <w:tc>
          <w:tcPr>
            <w:tcW w:w="611" w:type="pct"/>
            <w:noWrap/>
            <w:hideMark/>
          </w:tcPr>
          <w:p w:rsidR="008F0F9C" w:rsidRPr="005F120D" w:rsidRDefault="00065856" w:rsidP="00C437AA">
            <w:pPr>
              <w:spacing w:after="0" w:line="276" w:lineRule="auto"/>
              <w:jc w:val="right"/>
              <w:cnfStyle w:val="000000000000"/>
              <w:rPr>
                <w:rFonts w:asciiTheme="minorHAnsi" w:hAnsiTheme="minorHAnsi" w:cstheme="minorHAnsi"/>
                <w:b/>
                <w:sz w:val="20"/>
                <w:szCs w:val="22"/>
                <w:lang w:eastAsia="ja-JP"/>
              </w:rPr>
            </w:pPr>
            <w:r w:rsidRPr="005F120D">
              <w:rPr>
                <w:rFonts w:asciiTheme="minorHAnsi" w:hAnsiTheme="minorHAnsi" w:cstheme="minorHAnsi"/>
                <w:b/>
                <w:sz w:val="20"/>
                <w:szCs w:val="22"/>
                <w:lang w:eastAsia="ja-JP"/>
              </w:rPr>
              <w:t>0.14</w:t>
            </w:r>
            <w:r w:rsidR="008F0F9C" w:rsidRPr="005F120D">
              <w:rPr>
                <w:rFonts w:asciiTheme="minorHAnsi" w:hAnsiTheme="minorHAnsi" w:cstheme="minorHAnsi"/>
                <w:b/>
                <w:sz w:val="20"/>
                <w:szCs w:val="22"/>
                <w:lang w:eastAsia="ja-JP"/>
              </w:rPr>
              <w:t>%</w:t>
            </w:r>
          </w:p>
        </w:tc>
        <w:tc>
          <w:tcPr>
            <w:tcW w:w="855" w:type="pct"/>
            <w:noWrap/>
            <w:hideMark/>
          </w:tcPr>
          <w:p w:rsidR="008F0F9C" w:rsidRPr="005F120D" w:rsidRDefault="008F0F9C" w:rsidP="00C437AA">
            <w:pPr>
              <w:spacing w:after="0" w:line="276" w:lineRule="auto"/>
              <w:jc w:val="right"/>
              <w:cnfStyle w:val="000000000000"/>
              <w:rPr>
                <w:rFonts w:asciiTheme="minorHAnsi" w:hAnsiTheme="minorHAnsi" w:cstheme="minorHAnsi"/>
                <w:b/>
                <w:sz w:val="20"/>
                <w:szCs w:val="22"/>
                <w:lang w:eastAsia="ja-JP"/>
              </w:rPr>
            </w:pPr>
            <w:r w:rsidRPr="005F120D">
              <w:rPr>
                <w:rFonts w:asciiTheme="minorHAnsi" w:hAnsiTheme="minorHAnsi" w:cstheme="minorHAnsi"/>
                <w:b/>
                <w:sz w:val="20"/>
                <w:szCs w:val="22"/>
                <w:lang w:eastAsia="ja-JP"/>
              </w:rPr>
              <w:t>147</w:t>
            </w:r>
          </w:p>
        </w:tc>
      </w:tr>
    </w:tbl>
    <w:p w:rsidR="00E13A3E" w:rsidRPr="005F120D" w:rsidRDefault="00941AA4" w:rsidP="00C437AA">
      <w:pPr>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Source: Textbook Database, 201</w:t>
      </w:r>
      <w:r w:rsidR="008F0F9C" w:rsidRPr="005F120D">
        <w:rPr>
          <w:rFonts w:asciiTheme="minorHAnsi" w:hAnsiTheme="minorHAnsi" w:cstheme="minorHAnsi"/>
          <w:b/>
          <w:i/>
          <w:sz w:val="16"/>
          <w:szCs w:val="16"/>
        </w:rPr>
        <w:t>5</w:t>
      </w:r>
    </w:p>
    <w:p w:rsidR="00A15AA6" w:rsidRPr="005F120D" w:rsidRDefault="00A15AA6" w:rsidP="00C437AA">
      <w:pPr>
        <w:pStyle w:val="Caption"/>
        <w:spacing w:line="276" w:lineRule="auto"/>
        <w:rPr>
          <w:rFonts w:cstheme="minorHAnsi"/>
        </w:rPr>
      </w:pPr>
    </w:p>
    <w:p w:rsidR="00F30B77" w:rsidRPr="005F120D" w:rsidRDefault="00F30B77" w:rsidP="00F30B77">
      <w:pPr>
        <w:rPr>
          <w:rFonts w:asciiTheme="minorHAnsi" w:hAnsiTheme="minorHAnsi" w:cstheme="minorHAnsi"/>
        </w:rPr>
      </w:pPr>
    </w:p>
    <w:p w:rsidR="00F64619" w:rsidRPr="005F120D" w:rsidRDefault="00F64619" w:rsidP="00C437AA">
      <w:pPr>
        <w:pStyle w:val="Caption"/>
        <w:spacing w:line="276" w:lineRule="auto"/>
        <w:rPr>
          <w:rFonts w:cstheme="minorHAnsi"/>
        </w:rPr>
      </w:pPr>
      <w:bookmarkStart w:id="438" w:name="_Toc462837294"/>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Pr="005F120D">
        <w:rPr>
          <w:rFonts w:cstheme="minorHAnsi"/>
        </w:rPr>
        <w:t>: Textbooks Demand and Supply 201</w:t>
      </w:r>
      <w:r w:rsidR="00E13A3E" w:rsidRPr="005F120D">
        <w:rPr>
          <w:rFonts w:cstheme="minorHAnsi"/>
        </w:rPr>
        <w:t>5</w:t>
      </w:r>
      <w:bookmarkEnd w:id="438"/>
    </w:p>
    <w:tbl>
      <w:tblPr>
        <w:tblStyle w:val="MediumShading1-Accent3"/>
        <w:tblW w:w="5015" w:type="pct"/>
        <w:tblLook w:val="04A0"/>
      </w:tblPr>
      <w:tblGrid>
        <w:gridCol w:w="1002"/>
        <w:gridCol w:w="891"/>
        <w:gridCol w:w="1130"/>
        <w:gridCol w:w="914"/>
        <w:gridCol w:w="1244"/>
        <w:gridCol w:w="1154"/>
        <w:gridCol w:w="1469"/>
        <w:gridCol w:w="1469"/>
      </w:tblGrid>
      <w:tr w:rsidR="00854BAF" w:rsidRPr="005F120D" w:rsidTr="00F30B77">
        <w:trPr>
          <w:cnfStyle w:val="100000000000"/>
          <w:trHeight w:hRule="exact" w:val="309"/>
        </w:trPr>
        <w:tc>
          <w:tcPr>
            <w:cnfStyle w:val="001000000000"/>
            <w:tcW w:w="540" w:type="pct"/>
            <w:vMerge w:val="restart"/>
            <w:noWrap/>
            <w:hideMark/>
          </w:tcPr>
          <w:p w:rsidR="00AC1883" w:rsidRPr="005F120D" w:rsidRDefault="00AC1883" w:rsidP="00AC1883">
            <w:pPr>
              <w:spacing w:after="0"/>
              <w:jc w:val="center"/>
              <w:rPr>
                <w:rFonts w:asciiTheme="minorHAnsi" w:hAnsiTheme="minorHAnsi" w:cstheme="minorHAnsi"/>
                <w:b w:val="0"/>
                <w:sz w:val="18"/>
                <w:szCs w:val="18"/>
                <w:lang w:eastAsia="ja-JP"/>
              </w:rPr>
            </w:pPr>
          </w:p>
        </w:tc>
        <w:tc>
          <w:tcPr>
            <w:tcW w:w="480" w:type="pct"/>
            <w:vMerge w:val="restart"/>
            <w:noWrap/>
            <w:hideMark/>
          </w:tcPr>
          <w:p w:rsidR="00AC1883" w:rsidRPr="005F120D" w:rsidRDefault="00AC1883" w:rsidP="00AC1883">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No. of</w:t>
            </w:r>
          </w:p>
          <w:p w:rsidR="00AC1883" w:rsidRPr="005F120D" w:rsidRDefault="00AC1883" w:rsidP="00AC1883">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Subjects</w:t>
            </w:r>
          </w:p>
        </w:tc>
        <w:tc>
          <w:tcPr>
            <w:tcW w:w="1773" w:type="pct"/>
            <w:gridSpan w:val="3"/>
          </w:tcPr>
          <w:p w:rsidR="00AC1883" w:rsidRPr="005F120D" w:rsidRDefault="00AC1883" w:rsidP="00AC1883">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Demand including buffer stock</w:t>
            </w:r>
            <w:r w:rsidR="0006685C" w:rsidRPr="005F120D">
              <w:rPr>
                <w:rFonts w:asciiTheme="minorHAnsi" w:hAnsiTheme="minorHAnsi" w:cstheme="minorHAnsi"/>
                <w:b w:val="0"/>
                <w:color w:val="auto"/>
                <w:sz w:val="18"/>
                <w:szCs w:val="18"/>
                <w:lang w:eastAsia="ja-JP"/>
              </w:rPr>
              <w:t xml:space="preserve"> (5%)</w:t>
            </w:r>
            <w:r w:rsidRPr="005F120D">
              <w:rPr>
                <w:rFonts w:asciiTheme="minorHAnsi" w:hAnsiTheme="minorHAnsi" w:cstheme="minorHAnsi"/>
                <w:b w:val="0"/>
                <w:color w:val="auto"/>
                <w:sz w:val="18"/>
                <w:szCs w:val="18"/>
                <w:lang w:eastAsia="ja-JP"/>
              </w:rPr>
              <w:t>, 2015</w:t>
            </w:r>
          </w:p>
        </w:tc>
        <w:tc>
          <w:tcPr>
            <w:tcW w:w="622" w:type="pct"/>
            <w:vMerge w:val="restart"/>
          </w:tcPr>
          <w:p w:rsidR="00AC1883" w:rsidRPr="005F120D" w:rsidRDefault="00AC1883" w:rsidP="00AC1883">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By grade</w:t>
            </w:r>
          </w:p>
          <w:p w:rsidR="00AC1883" w:rsidRPr="005F120D" w:rsidRDefault="00AC1883" w:rsidP="00AC1883">
            <w:pPr>
              <w:jc w:val="center"/>
              <w:cnfStyle w:val="100000000000"/>
              <w:rPr>
                <w:rFonts w:asciiTheme="minorHAnsi" w:hAnsiTheme="minorHAnsi" w:cstheme="minorHAnsi"/>
                <w:b w:val="0"/>
                <w:color w:val="auto"/>
                <w:sz w:val="18"/>
                <w:szCs w:val="18"/>
              </w:rPr>
            </w:pPr>
            <w:r w:rsidRPr="005F120D">
              <w:rPr>
                <w:rFonts w:asciiTheme="minorHAnsi" w:hAnsiTheme="minorHAnsi" w:cstheme="minorHAnsi"/>
                <w:b w:val="0"/>
                <w:color w:val="auto"/>
                <w:sz w:val="18"/>
                <w:szCs w:val="18"/>
                <w:lang w:eastAsia="ja-JP"/>
              </w:rPr>
              <w:t>Demand</w:t>
            </w:r>
          </w:p>
        </w:tc>
        <w:tc>
          <w:tcPr>
            <w:tcW w:w="792" w:type="pct"/>
            <w:vMerge w:val="restart"/>
            <w:noWrap/>
            <w:hideMark/>
          </w:tcPr>
          <w:p w:rsidR="00AC1883" w:rsidRPr="005F120D" w:rsidRDefault="00AC1883" w:rsidP="00AC1883">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No. of books</w:t>
            </w:r>
          </w:p>
          <w:p w:rsidR="000572E3" w:rsidRPr="005F120D" w:rsidRDefault="000572E3" w:rsidP="000572E3">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 xml:space="preserve">Delivered district </w:t>
            </w:r>
          </w:p>
          <w:p w:rsidR="00AC1883" w:rsidRPr="005F120D" w:rsidRDefault="000572E3" w:rsidP="000572E3">
            <w:pPr>
              <w:spacing w:after="0"/>
              <w:jc w:val="center"/>
              <w:cnfStyle w:val="100000000000"/>
              <w:rPr>
                <w:rFonts w:asciiTheme="minorHAnsi" w:hAnsiTheme="minorHAnsi" w:cstheme="minorHAnsi"/>
                <w:b w:val="0"/>
                <w:color w:val="auto"/>
                <w:sz w:val="18"/>
                <w:szCs w:val="18"/>
              </w:rPr>
            </w:pPr>
            <w:r w:rsidRPr="005F120D">
              <w:rPr>
                <w:rFonts w:asciiTheme="minorHAnsi" w:hAnsiTheme="minorHAnsi" w:cstheme="minorHAnsi"/>
                <w:b w:val="0"/>
                <w:color w:val="auto"/>
                <w:sz w:val="18"/>
                <w:szCs w:val="18"/>
                <w:lang w:eastAsia="ja-JP"/>
              </w:rPr>
              <w:t xml:space="preserve">and </w:t>
            </w:r>
            <w:r w:rsidR="000B622B" w:rsidRPr="005F120D">
              <w:rPr>
                <w:rFonts w:asciiTheme="minorHAnsi" w:hAnsiTheme="minorHAnsi" w:cstheme="minorHAnsi"/>
                <w:b w:val="0"/>
                <w:color w:val="auto"/>
                <w:sz w:val="18"/>
                <w:szCs w:val="18"/>
                <w:lang w:eastAsia="ja-JP"/>
              </w:rPr>
              <w:t>Upazila</w:t>
            </w:r>
          </w:p>
        </w:tc>
        <w:tc>
          <w:tcPr>
            <w:tcW w:w="792" w:type="pct"/>
            <w:vMerge w:val="restart"/>
            <w:noWrap/>
            <w:hideMark/>
          </w:tcPr>
          <w:p w:rsidR="00AC1883" w:rsidRPr="005F120D" w:rsidRDefault="00AC1883" w:rsidP="00AC1883">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 of Books</w:t>
            </w:r>
          </w:p>
          <w:p w:rsidR="00854BAF" w:rsidRPr="005F120D" w:rsidRDefault="00AC1883" w:rsidP="00AC1883">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Delivered</w:t>
            </w:r>
            <w:r w:rsidR="00854BAF" w:rsidRPr="005F120D">
              <w:rPr>
                <w:rFonts w:asciiTheme="minorHAnsi" w:hAnsiTheme="minorHAnsi" w:cstheme="minorHAnsi"/>
                <w:b w:val="0"/>
                <w:color w:val="auto"/>
                <w:sz w:val="18"/>
                <w:szCs w:val="18"/>
                <w:lang w:eastAsia="ja-JP"/>
              </w:rPr>
              <w:t xml:space="preserve"> district </w:t>
            </w:r>
          </w:p>
          <w:p w:rsidR="00AC1883" w:rsidRPr="005F120D" w:rsidRDefault="00854BAF" w:rsidP="00AC1883">
            <w:pPr>
              <w:spacing w:after="0"/>
              <w:jc w:val="center"/>
              <w:cnfStyle w:val="100000000000"/>
              <w:rPr>
                <w:rFonts w:asciiTheme="minorHAnsi" w:hAnsiTheme="minorHAnsi" w:cstheme="minorHAnsi"/>
                <w:b w:val="0"/>
                <w:color w:val="auto"/>
                <w:sz w:val="18"/>
                <w:szCs w:val="18"/>
              </w:rPr>
            </w:pPr>
            <w:r w:rsidRPr="005F120D">
              <w:rPr>
                <w:rFonts w:asciiTheme="minorHAnsi" w:hAnsiTheme="minorHAnsi" w:cstheme="minorHAnsi"/>
                <w:b w:val="0"/>
                <w:color w:val="auto"/>
                <w:sz w:val="18"/>
                <w:szCs w:val="18"/>
                <w:lang w:eastAsia="ja-JP"/>
              </w:rPr>
              <w:t xml:space="preserve">and </w:t>
            </w:r>
            <w:r w:rsidR="000B622B" w:rsidRPr="005F120D">
              <w:rPr>
                <w:rFonts w:asciiTheme="minorHAnsi" w:hAnsiTheme="minorHAnsi" w:cstheme="minorHAnsi"/>
                <w:b w:val="0"/>
                <w:color w:val="auto"/>
                <w:sz w:val="18"/>
                <w:szCs w:val="18"/>
                <w:lang w:eastAsia="ja-JP"/>
              </w:rPr>
              <w:t>Upazila</w:t>
            </w:r>
          </w:p>
        </w:tc>
      </w:tr>
      <w:tr w:rsidR="00854BAF" w:rsidRPr="005F120D" w:rsidTr="00F30B77">
        <w:trPr>
          <w:cnfStyle w:val="000000100000"/>
          <w:trHeight w:hRule="exact" w:val="623"/>
        </w:trPr>
        <w:tc>
          <w:tcPr>
            <w:cnfStyle w:val="001000000000"/>
            <w:tcW w:w="540" w:type="pct"/>
            <w:vMerge/>
            <w:noWrap/>
            <w:hideMark/>
          </w:tcPr>
          <w:p w:rsidR="00AC1883" w:rsidRPr="005F120D" w:rsidRDefault="00AC1883" w:rsidP="00AC1883">
            <w:pPr>
              <w:spacing w:after="0"/>
              <w:jc w:val="center"/>
              <w:rPr>
                <w:rFonts w:asciiTheme="minorHAnsi" w:hAnsiTheme="minorHAnsi" w:cstheme="minorHAnsi"/>
                <w:b w:val="0"/>
                <w:sz w:val="18"/>
                <w:szCs w:val="18"/>
                <w:lang w:eastAsia="ja-JP"/>
              </w:rPr>
            </w:pPr>
          </w:p>
        </w:tc>
        <w:tc>
          <w:tcPr>
            <w:tcW w:w="480" w:type="pct"/>
            <w:vMerge/>
            <w:noWrap/>
            <w:hideMark/>
          </w:tcPr>
          <w:p w:rsidR="00AC1883" w:rsidRPr="005F120D" w:rsidRDefault="00AC1883" w:rsidP="00AC1883">
            <w:pPr>
              <w:spacing w:after="0"/>
              <w:jc w:val="center"/>
              <w:cnfStyle w:val="000000100000"/>
              <w:rPr>
                <w:rFonts w:asciiTheme="minorHAnsi" w:hAnsiTheme="minorHAnsi" w:cstheme="minorHAnsi"/>
                <w:sz w:val="18"/>
                <w:szCs w:val="18"/>
                <w:lang w:eastAsia="ja-JP"/>
              </w:rPr>
            </w:pPr>
          </w:p>
        </w:tc>
        <w:tc>
          <w:tcPr>
            <w:tcW w:w="609" w:type="pct"/>
          </w:tcPr>
          <w:p w:rsidR="00AC1883" w:rsidRPr="005F120D" w:rsidRDefault="00AC1883" w:rsidP="00AC1883">
            <w:pPr>
              <w:spacing w:after="0"/>
              <w:jc w:val="center"/>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Bangla</w:t>
            </w:r>
          </w:p>
          <w:p w:rsidR="00AC1883" w:rsidRPr="005F120D" w:rsidRDefault="00AC1883" w:rsidP="00AC1883">
            <w:pPr>
              <w:jc w:val="center"/>
              <w:cnfStyle w:val="000000100000"/>
              <w:rPr>
                <w:rFonts w:asciiTheme="minorHAnsi" w:hAnsiTheme="minorHAnsi" w:cstheme="minorHAnsi"/>
                <w:color w:val="000000"/>
                <w:sz w:val="18"/>
                <w:szCs w:val="18"/>
              </w:rPr>
            </w:pPr>
            <w:r w:rsidRPr="005F120D">
              <w:rPr>
                <w:rFonts w:asciiTheme="minorHAnsi" w:hAnsiTheme="minorHAnsi" w:cstheme="minorHAnsi"/>
                <w:sz w:val="18"/>
                <w:szCs w:val="18"/>
                <w:lang w:eastAsia="ja-JP"/>
              </w:rPr>
              <w:t>Version</w:t>
            </w:r>
          </w:p>
        </w:tc>
        <w:tc>
          <w:tcPr>
            <w:tcW w:w="493" w:type="pct"/>
          </w:tcPr>
          <w:p w:rsidR="00AC1883" w:rsidRPr="005F120D" w:rsidRDefault="00AC1883" w:rsidP="00AC1883">
            <w:pPr>
              <w:spacing w:after="0"/>
              <w:jc w:val="center"/>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English</w:t>
            </w:r>
          </w:p>
          <w:p w:rsidR="00AC1883" w:rsidRPr="005F120D" w:rsidRDefault="00AC1883" w:rsidP="00AC1883">
            <w:pPr>
              <w:spacing w:after="0"/>
              <w:jc w:val="center"/>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Version</w:t>
            </w:r>
          </w:p>
        </w:tc>
        <w:tc>
          <w:tcPr>
            <w:tcW w:w="670" w:type="pct"/>
          </w:tcPr>
          <w:p w:rsidR="00AC1883" w:rsidRPr="005F120D" w:rsidRDefault="00AC1883" w:rsidP="00AC1883">
            <w:pPr>
              <w:spacing w:after="0"/>
              <w:jc w:val="center"/>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Total</w:t>
            </w:r>
          </w:p>
        </w:tc>
        <w:tc>
          <w:tcPr>
            <w:tcW w:w="622" w:type="pct"/>
            <w:vMerge/>
          </w:tcPr>
          <w:p w:rsidR="00AC1883" w:rsidRPr="005F120D" w:rsidRDefault="00AC1883" w:rsidP="00AC1883">
            <w:pPr>
              <w:jc w:val="center"/>
              <w:cnfStyle w:val="000000100000"/>
              <w:rPr>
                <w:rFonts w:asciiTheme="minorHAnsi" w:hAnsiTheme="minorHAnsi" w:cstheme="minorHAnsi"/>
                <w:color w:val="000000"/>
                <w:sz w:val="18"/>
                <w:szCs w:val="18"/>
              </w:rPr>
            </w:pPr>
          </w:p>
        </w:tc>
        <w:tc>
          <w:tcPr>
            <w:tcW w:w="792" w:type="pct"/>
            <w:vMerge/>
            <w:noWrap/>
            <w:hideMark/>
          </w:tcPr>
          <w:p w:rsidR="00AC1883" w:rsidRPr="005F120D" w:rsidRDefault="00AC1883" w:rsidP="00AC1883">
            <w:pPr>
              <w:spacing w:after="0"/>
              <w:jc w:val="center"/>
              <w:cnfStyle w:val="000000100000"/>
              <w:rPr>
                <w:rFonts w:asciiTheme="minorHAnsi" w:hAnsiTheme="minorHAnsi" w:cstheme="minorHAnsi"/>
                <w:color w:val="C00000"/>
                <w:sz w:val="18"/>
                <w:szCs w:val="18"/>
              </w:rPr>
            </w:pPr>
          </w:p>
        </w:tc>
        <w:tc>
          <w:tcPr>
            <w:tcW w:w="792" w:type="pct"/>
            <w:vMerge/>
            <w:noWrap/>
            <w:hideMark/>
          </w:tcPr>
          <w:p w:rsidR="00AC1883" w:rsidRPr="005F120D" w:rsidRDefault="00AC1883" w:rsidP="00AC1883">
            <w:pPr>
              <w:spacing w:after="0"/>
              <w:jc w:val="center"/>
              <w:cnfStyle w:val="000000100000"/>
              <w:rPr>
                <w:rFonts w:asciiTheme="minorHAnsi" w:hAnsiTheme="minorHAnsi" w:cstheme="minorHAnsi"/>
                <w:sz w:val="18"/>
                <w:szCs w:val="18"/>
              </w:rPr>
            </w:pPr>
          </w:p>
        </w:tc>
      </w:tr>
      <w:tr w:rsidR="0006685C" w:rsidRPr="005F120D" w:rsidTr="00F30B77">
        <w:trPr>
          <w:cnfStyle w:val="000000010000"/>
          <w:trHeight w:hRule="exact" w:val="327"/>
        </w:trPr>
        <w:tc>
          <w:tcPr>
            <w:cnfStyle w:val="001000000000"/>
            <w:tcW w:w="540" w:type="pct"/>
            <w:noWrap/>
            <w:hideMark/>
          </w:tcPr>
          <w:p w:rsidR="00AC1883" w:rsidRPr="005F120D" w:rsidRDefault="00AC1883" w:rsidP="00AC1883">
            <w:pPr>
              <w:spacing w:after="0"/>
              <w:jc w:val="center"/>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Grade 1</w:t>
            </w:r>
          </w:p>
        </w:tc>
        <w:tc>
          <w:tcPr>
            <w:tcW w:w="480" w:type="pct"/>
            <w:noWrap/>
            <w:hideMark/>
          </w:tcPr>
          <w:p w:rsidR="00AC1883" w:rsidRPr="005F120D" w:rsidRDefault="00AC1883" w:rsidP="00AC1883">
            <w:pPr>
              <w:spacing w:after="0"/>
              <w:jc w:val="center"/>
              <w:cnfStyle w:val="00000001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3</w:t>
            </w:r>
          </w:p>
        </w:tc>
        <w:tc>
          <w:tcPr>
            <w:tcW w:w="609" w:type="pct"/>
          </w:tcPr>
          <w:p w:rsidR="00AC1883" w:rsidRPr="005F120D" w:rsidRDefault="00AC1883" w:rsidP="00AC1883">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16,516,297</w:t>
            </w:r>
          </w:p>
        </w:tc>
        <w:tc>
          <w:tcPr>
            <w:tcW w:w="493" w:type="pct"/>
          </w:tcPr>
          <w:p w:rsidR="00AC1883" w:rsidRPr="005F120D" w:rsidRDefault="00AC1883" w:rsidP="00AC1883">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128,686</w:t>
            </w:r>
          </w:p>
        </w:tc>
        <w:tc>
          <w:tcPr>
            <w:tcW w:w="670" w:type="pct"/>
          </w:tcPr>
          <w:p w:rsidR="00AC1883" w:rsidRPr="005F120D" w:rsidRDefault="00AC1883" w:rsidP="00AC1883">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16,644,983</w:t>
            </w:r>
          </w:p>
        </w:tc>
        <w:tc>
          <w:tcPr>
            <w:tcW w:w="622" w:type="pct"/>
          </w:tcPr>
          <w:p w:rsidR="00AC1883" w:rsidRPr="005F120D" w:rsidRDefault="00AC1883" w:rsidP="00997048">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16,516,297</w:t>
            </w:r>
          </w:p>
        </w:tc>
        <w:tc>
          <w:tcPr>
            <w:tcW w:w="792" w:type="pct"/>
            <w:noWrap/>
            <w:hideMark/>
          </w:tcPr>
          <w:p w:rsidR="00AC1883" w:rsidRPr="005F120D" w:rsidRDefault="00AC1883" w:rsidP="00997048">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16,516,297</w:t>
            </w:r>
          </w:p>
        </w:tc>
        <w:tc>
          <w:tcPr>
            <w:tcW w:w="792" w:type="pct"/>
            <w:noWrap/>
            <w:hideMark/>
          </w:tcPr>
          <w:p w:rsidR="00AC1883" w:rsidRPr="005F120D" w:rsidRDefault="00AC1883" w:rsidP="00854BAF">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99.2</w:t>
            </w:r>
          </w:p>
        </w:tc>
      </w:tr>
      <w:tr w:rsidR="000572E3" w:rsidRPr="005F120D" w:rsidTr="00F30B77">
        <w:trPr>
          <w:cnfStyle w:val="000000100000"/>
          <w:trHeight w:hRule="exact" w:val="298"/>
        </w:trPr>
        <w:tc>
          <w:tcPr>
            <w:cnfStyle w:val="001000000000"/>
            <w:tcW w:w="540" w:type="pct"/>
            <w:noWrap/>
            <w:hideMark/>
          </w:tcPr>
          <w:p w:rsidR="00AC1883" w:rsidRPr="005F120D" w:rsidRDefault="00AC1883" w:rsidP="00AC1883">
            <w:pPr>
              <w:spacing w:after="0"/>
              <w:jc w:val="center"/>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Grade 2</w:t>
            </w:r>
          </w:p>
        </w:tc>
        <w:tc>
          <w:tcPr>
            <w:tcW w:w="480" w:type="pct"/>
            <w:noWrap/>
            <w:hideMark/>
          </w:tcPr>
          <w:p w:rsidR="00AC1883" w:rsidRPr="005F120D" w:rsidRDefault="00AC1883" w:rsidP="00AC1883">
            <w:pPr>
              <w:spacing w:after="0"/>
              <w:jc w:val="center"/>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3</w:t>
            </w:r>
          </w:p>
        </w:tc>
        <w:tc>
          <w:tcPr>
            <w:tcW w:w="609" w:type="pct"/>
          </w:tcPr>
          <w:p w:rsidR="00AC1883" w:rsidRPr="005F120D" w:rsidRDefault="00AC1883" w:rsidP="00AC1883">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15,697,067</w:t>
            </w:r>
          </w:p>
        </w:tc>
        <w:tc>
          <w:tcPr>
            <w:tcW w:w="493" w:type="pct"/>
          </w:tcPr>
          <w:p w:rsidR="00AC1883" w:rsidRPr="005F120D" w:rsidRDefault="00AC1883" w:rsidP="00AC1883">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126,288</w:t>
            </w:r>
          </w:p>
        </w:tc>
        <w:tc>
          <w:tcPr>
            <w:tcW w:w="670" w:type="pct"/>
          </w:tcPr>
          <w:p w:rsidR="00AC1883" w:rsidRPr="005F120D" w:rsidRDefault="00AC1883" w:rsidP="00AC1883">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15,823,355</w:t>
            </w:r>
          </w:p>
        </w:tc>
        <w:tc>
          <w:tcPr>
            <w:tcW w:w="622" w:type="pct"/>
          </w:tcPr>
          <w:p w:rsidR="00AC1883" w:rsidRPr="005F120D" w:rsidRDefault="00AC1883" w:rsidP="00997048">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15,697,067</w:t>
            </w:r>
          </w:p>
        </w:tc>
        <w:tc>
          <w:tcPr>
            <w:tcW w:w="792" w:type="pct"/>
            <w:noWrap/>
            <w:hideMark/>
          </w:tcPr>
          <w:p w:rsidR="00AC1883" w:rsidRPr="005F120D" w:rsidRDefault="00AC1883" w:rsidP="00997048">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15,697,067</w:t>
            </w:r>
          </w:p>
        </w:tc>
        <w:tc>
          <w:tcPr>
            <w:tcW w:w="792" w:type="pct"/>
            <w:noWrap/>
            <w:hideMark/>
          </w:tcPr>
          <w:p w:rsidR="00AC1883" w:rsidRPr="005F120D" w:rsidRDefault="00AC1883" w:rsidP="00854BAF">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99.2</w:t>
            </w:r>
          </w:p>
        </w:tc>
      </w:tr>
      <w:tr w:rsidR="0006685C" w:rsidRPr="005F120D" w:rsidTr="00F30B77">
        <w:trPr>
          <w:cnfStyle w:val="000000010000"/>
          <w:trHeight w:hRule="exact" w:val="298"/>
        </w:trPr>
        <w:tc>
          <w:tcPr>
            <w:cnfStyle w:val="001000000000"/>
            <w:tcW w:w="540" w:type="pct"/>
            <w:noWrap/>
            <w:hideMark/>
          </w:tcPr>
          <w:p w:rsidR="00AC1883" w:rsidRPr="005F120D" w:rsidRDefault="00AC1883" w:rsidP="00AC1883">
            <w:pPr>
              <w:spacing w:after="0"/>
              <w:jc w:val="center"/>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Grade 3</w:t>
            </w:r>
          </w:p>
        </w:tc>
        <w:tc>
          <w:tcPr>
            <w:tcW w:w="480" w:type="pct"/>
            <w:noWrap/>
            <w:hideMark/>
          </w:tcPr>
          <w:p w:rsidR="00AC1883" w:rsidRPr="005F120D" w:rsidRDefault="00AC1883" w:rsidP="00AC1883">
            <w:pPr>
              <w:spacing w:after="0"/>
              <w:jc w:val="center"/>
              <w:cnfStyle w:val="00000001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9</w:t>
            </w:r>
          </w:p>
        </w:tc>
        <w:tc>
          <w:tcPr>
            <w:tcW w:w="609" w:type="pct"/>
          </w:tcPr>
          <w:p w:rsidR="00AC1883" w:rsidRPr="005F120D" w:rsidRDefault="00AC1883" w:rsidP="00AC1883">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29,229,345</w:t>
            </w:r>
          </w:p>
        </w:tc>
        <w:tc>
          <w:tcPr>
            <w:tcW w:w="493" w:type="pct"/>
          </w:tcPr>
          <w:p w:rsidR="00AC1883" w:rsidRPr="005F120D" w:rsidRDefault="00AC1883" w:rsidP="00AC1883">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184,215</w:t>
            </w:r>
          </w:p>
        </w:tc>
        <w:tc>
          <w:tcPr>
            <w:tcW w:w="670" w:type="pct"/>
          </w:tcPr>
          <w:p w:rsidR="00AC1883" w:rsidRPr="005F120D" w:rsidRDefault="00AC1883" w:rsidP="00AC1883">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29,413,560</w:t>
            </w:r>
          </w:p>
        </w:tc>
        <w:tc>
          <w:tcPr>
            <w:tcW w:w="622" w:type="pct"/>
          </w:tcPr>
          <w:p w:rsidR="00AC1883" w:rsidRPr="005F120D" w:rsidRDefault="00AC1883" w:rsidP="00997048">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29,229,345</w:t>
            </w:r>
          </w:p>
        </w:tc>
        <w:tc>
          <w:tcPr>
            <w:tcW w:w="792" w:type="pct"/>
            <w:noWrap/>
            <w:hideMark/>
          </w:tcPr>
          <w:p w:rsidR="00AC1883" w:rsidRPr="005F120D" w:rsidRDefault="00AC1883" w:rsidP="00997048">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29,229,345</w:t>
            </w:r>
          </w:p>
        </w:tc>
        <w:tc>
          <w:tcPr>
            <w:tcW w:w="792" w:type="pct"/>
            <w:noWrap/>
            <w:hideMark/>
          </w:tcPr>
          <w:p w:rsidR="00AC1883" w:rsidRPr="005F120D" w:rsidRDefault="00AC1883" w:rsidP="00854BAF">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99.4</w:t>
            </w:r>
          </w:p>
        </w:tc>
      </w:tr>
      <w:tr w:rsidR="000572E3" w:rsidRPr="005F120D" w:rsidTr="00F30B77">
        <w:trPr>
          <w:cnfStyle w:val="000000100000"/>
          <w:trHeight w:hRule="exact" w:val="298"/>
        </w:trPr>
        <w:tc>
          <w:tcPr>
            <w:cnfStyle w:val="001000000000"/>
            <w:tcW w:w="540" w:type="pct"/>
            <w:noWrap/>
            <w:hideMark/>
          </w:tcPr>
          <w:p w:rsidR="00AC1883" w:rsidRPr="005F120D" w:rsidRDefault="00AC1883" w:rsidP="00AC1883">
            <w:pPr>
              <w:spacing w:after="0"/>
              <w:jc w:val="center"/>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Grade 4</w:t>
            </w:r>
          </w:p>
        </w:tc>
        <w:tc>
          <w:tcPr>
            <w:tcW w:w="480" w:type="pct"/>
            <w:noWrap/>
            <w:hideMark/>
          </w:tcPr>
          <w:p w:rsidR="00AC1883" w:rsidRPr="005F120D" w:rsidRDefault="00AC1883" w:rsidP="00AC1883">
            <w:pPr>
              <w:spacing w:after="0"/>
              <w:jc w:val="center"/>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9</w:t>
            </w:r>
          </w:p>
        </w:tc>
        <w:tc>
          <w:tcPr>
            <w:tcW w:w="609" w:type="pct"/>
          </w:tcPr>
          <w:p w:rsidR="00AC1883" w:rsidRPr="005F120D" w:rsidRDefault="00AC1883" w:rsidP="00AC1883">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27,345,952</w:t>
            </w:r>
          </w:p>
        </w:tc>
        <w:tc>
          <w:tcPr>
            <w:tcW w:w="493" w:type="pct"/>
          </w:tcPr>
          <w:p w:rsidR="00AC1883" w:rsidRPr="005F120D" w:rsidRDefault="00AC1883" w:rsidP="00AC1883">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165,646</w:t>
            </w:r>
          </w:p>
        </w:tc>
        <w:tc>
          <w:tcPr>
            <w:tcW w:w="670" w:type="pct"/>
          </w:tcPr>
          <w:p w:rsidR="00AC1883" w:rsidRPr="005F120D" w:rsidRDefault="00AC1883" w:rsidP="00AC1883">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27,511,598</w:t>
            </w:r>
          </w:p>
        </w:tc>
        <w:tc>
          <w:tcPr>
            <w:tcW w:w="622" w:type="pct"/>
          </w:tcPr>
          <w:p w:rsidR="00AC1883" w:rsidRPr="005F120D" w:rsidRDefault="00AC1883" w:rsidP="00997048">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27,345,952</w:t>
            </w:r>
          </w:p>
        </w:tc>
        <w:tc>
          <w:tcPr>
            <w:tcW w:w="792" w:type="pct"/>
            <w:noWrap/>
            <w:hideMark/>
          </w:tcPr>
          <w:p w:rsidR="00AC1883" w:rsidRPr="005F120D" w:rsidRDefault="00AC1883" w:rsidP="00997048">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27,345,952</w:t>
            </w:r>
          </w:p>
        </w:tc>
        <w:tc>
          <w:tcPr>
            <w:tcW w:w="792" w:type="pct"/>
            <w:noWrap/>
            <w:hideMark/>
          </w:tcPr>
          <w:p w:rsidR="00AC1883" w:rsidRPr="005F120D" w:rsidRDefault="00AC1883" w:rsidP="00854BAF">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99.4</w:t>
            </w:r>
          </w:p>
        </w:tc>
      </w:tr>
      <w:tr w:rsidR="0006685C" w:rsidRPr="005F120D" w:rsidTr="00F30B77">
        <w:trPr>
          <w:cnfStyle w:val="000000010000"/>
          <w:trHeight w:hRule="exact" w:val="298"/>
        </w:trPr>
        <w:tc>
          <w:tcPr>
            <w:cnfStyle w:val="001000000000"/>
            <w:tcW w:w="540" w:type="pct"/>
            <w:noWrap/>
            <w:hideMark/>
          </w:tcPr>
          <w:p w:rsidR="00AC1883" w:rsidRPr="005F120D" w:rsidRDefault="00AC1883" w:rsidP="00AC1883">
            <w:pPr>
              <w:spacing w:after="0"/>
              <w:jc w:val="center"/>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Grade 5</w:t>
            </w:r>
          </w:p>
        </w:tc>
        <w:tc>
          <w:tcPr>
            <w:tcW w:w="480" w:type="pct"/>
            <w:noWrap/>
            <w:hideMark/>
          </w:tcPr>
          <w:p w:rsidR="00AC1883" w:rsidRPr="005F120D" w:rsidRDefault="00AC1883" w:rsidP="00AC1883">
            <w:pPr>
              <w:spacing w:after="0"/>
              <w:jc w:val="center"/>
              <w:cnfStyle w:val="00000001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9</w:t>
            </w:r>
          </w:p>
        </w:tc>
        <w:tc>
          <w:tcPr>
            <w:tcW w:w="609" w:type="pct"/>
          </w:tcPr>
          <w:p w:rsidR="00AC1883" w:rsidRPr="005F120D" w:rsidRDefault="00AC1883" w:rsidP="00AC1883">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24,771,313</w:t>
            </w:r>
          </w:p>
        </w:tc>
        <w:tc>
          <w:tcPr>
            <w:tcW w:w="493" w:type="pct"/>
          </w:tcPr>
          <w:p w:rsidR="00AC1883" w:rsidRPr="005F120D" w:rsidRDefault="00AC1883" w:rsidP="00AC1883">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148,855</w:t>
            </w:r>
          </w:p>
        </w:tc>
        <w:tc>
          <w:tcPr>
            <w:tcW w:w="670" w:type="pct"/>
          </w:tcPr>
          <w:p w:rsidR="00AC1883" w:rsidRPr="005F120D" w:rsidRDefault="00AC1883" w:rsidP="00AC1883">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24,920,168</w:t>
            </w:r>
          </w:p>
        </w:tc>
        <w:tc>
          <w:tcPr>
            <w:tcW w:w="622" w:type="pct"/>
          </w:tcPr>
          <w:p w:rsidR="00AC1883" w:rsidRPr="005F120D" w:rsidRDefault="00AC1883" w:rsidP="00997048">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24,771,313</w:t>
            </w:r>
          </w:p>
        </w:tc>
        <w:tc>
          <w:tcPr>
            <w:tcW w:w="792" w:type="pct"/>
            <w:noWrap/>
            <w:hideMark/>
          </w:tcPr>
          <w:p w:rsidR="00AC1883" w:rsidRPr="005F120D" w:rsidRDefault="00AC1883" w:rsidP="00997048">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24,771,313</w:t>
            </w:r>
          </w:p>
        </w:tc>
        <w:tc>
          <w:tcPr>
            <w:tcW w:w="792" w:type="pct"/>
            <w:noWrap/>
            <w:hideMark/>
          </w:tcPr>
          <w:p w:rsidR="00AC1883" w:rsidRPr="005F120D" w:rsidRDefault="00AC1883" w:rsidP="00854BAF">
            <w:pPr>
              <w:jc w:val="center"/>
              <w:cnfStyle w:val="000000010000"/>
              <w:rPr>
                <w:rFonts w:asciiTheme="minorHAnsi" w:hAnsiTheme="minorHAnsi" w:cstheme="minorHAnsi"/>
                <w:color w:val="000000"/>
                <w:sz w:val="18"/>
                <w:szCs w:val="18"/>
              </w:rPr>
            </w:pPr>
            <w:r w:rsidRPr="005F120D">
              <w:rPr>
                <w:rFonts w:asciiTheme="minorHAnsi" w:hAnsiTheme="minorHAnsi" w:cstheme="minorHAnsi"/>
                <w:color w:val="000000"/>
                <w:sz w:val="18"/>
                <w:szCs w:val="18"/>
              </w:rPr>
              <w:t>99.4</w:t>
            </w:r>
          </w:p>
        </w:tc>
      </w:tr>
      <w:tr w:rsidR="000572E3" w:rsidRPr="005F120D" w:rsidTr="00F30B77">
        <w:trPr>
          <w:cnfStyle w:val="000000100000"/>
          <w:trHeight w:hRule="exact" w:val="283"/>
        </w:trPr>
        <w:tc>
          <w:tcPr>
            <w:cnfStyle w:val="001000000000"/>
            <w:tcW w:w="540" w:type="pct"/>
            <w:noWrap/>
            <w:hideMark/>
          </w:tcPr>
          <w:p w:rsidR="00AC1883" w:rsidRPr="005F120D" w:rsidRDefault="00AC1883" w:rsidP="00AC1883">
            <w:pPr>
              <w:spacing w:after="0"/>
              <w:jc w:val="center"/>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TOTAL</w:t>
            </w:r>
          </w:p>
        </w:tc>
        <w:tc>
          <w:tcPr>
            <w:tcW w:w="480" w:type="pct"/>
            <w:noWrap/>
            <w:hideMark/>
          </w:tcPr>
          <w:p w:rsidR="00AC1883" w:rsidRPr="005F120D" w:rsidRDefault="00AC1883" w:rsidP="00AC1883">
            <w:pPr>
              <w:spacing w:after="0"/>
              <w:jc w:val="center"/>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33</w:t>
            </w:r>
          </w:p>
        </w:tc>
        <w:tc>
          <w:tcPr>
            <w:tcW w:w="609" w:type="pct"/>
          </w:tcPr>
          <w:p w:rsidR="00AC1883" w:rsidRPr="005F120D" w:rsidRDefault="00AC1883" w:rsidP="00AC1883">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113,559,974</w:t>
            </w:r>
          </w:p>
        </w:tc>
        <w:tc>
          <w:tcPr>
            <w:tcW w:w="493" w:type="pct"/>
          </w:tcPr>
          <w:p w:rsidR="00AC1883" w:rsidRPr="005F120D" w:rsidRDefault="00AC1883" w:rsidP="00AC1883">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753,689</w:t>
            </w:r>
          </w:p>
        </w:tc>
        <w:tc>
          <w:tcPr>
            <w:tcW w:w="670" w:type="pct"/>
          </w:tcPr>
          <w:p w:rsidR="00AC1883" w:rsidRPr="005F120D" w:rsidRDefault="00AC1883" w:rsidP="00AC1883">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114,313,663</w:t>
            </w:r>
          </w:p>
        </w:tc>
        <w:tc>
          <w:tcPr>
            <w:tcW w:w="622" w:type="pct"/>
          </w:tcPr>
          <w:p w:rsidR="00AC1883" w:rsidRPr="005F120D" w:rsidRDefault="00AC1883" w:rsidP="00997048">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113,559,974</w:t>
            </w:r>
          </w:p>
        </w:tc>
        <w:tc>
          <w:tcPr>
            <w:tcW w:w="792" w:type="pct"/>
            <w:noWrap/>
            <w:hideMark/>
          </w:tcPr>
          <w:p w:rsidR="00AC1883" w:rsidRPr="005F120D" w:rsidRDefault="00AC1883" w:rsidP="00997048">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113,559,974</w:t>
            </w:r>
          </w:p>
        </w:tc>
        <w:tc>
          <w:tcPr>
            <w:tcW w:w="792" w:type="pct"/>
            <w:noWrap/>
            <w:hideMark/>
          </w:tcPr>
          <w:p w:rsidR="00AC1883" w:rsidRPr="005F120D" w:rsidRDefault="00AC1883" w:rsidP="00854BAF">
            <w:pPr>
              <w:jc w:val="center"/>
              <w:cnfStyle w:val="000000100000"/>
              <w:rPr>
                <w:rFonts w:asciiTheme="minorHAnsi" w:hAnsiTheme="minorHAnsi" w:cstheme="minorHAnsi"/>
                <w:color w:val="000000"/>
                <w:sz w:val="18"/>
                <w:szCs w:val="18"/>
              </w:rPr>
            </w:pPr>
            <w:r w:rsidRPr="005F120D">
              <w:rPr>
                <w:rFonts w:asciiTheme="minorHAnsi" w:hAnsiTheme="minorHAnsi" w:cstheme="minorHAnsi"/>
                <w:color w:val="000000"/>
                <w:sz w:val="18"/>
                <w:szCs w:val="18"/>
              </w:rPr>
              <w:t>99.3</w:t>
            </w:r>
          </w:p>
        </w:tc>
      </w:tr>
    </w:tbl>
    <w:p w:rsidR="006A797E" w:rsidRPr="005F120D" w:rsidRDefault="00E13A3E" w:rsidP="008E385E">
      <w:pPr>
        <w:pStyle w:val="BodyText1"/>
        <w:tabs>
          <w:tab w:val="clear" w:pos="720"/>
        </w:tabs>
        <w:rPr>
          <w:rFonts w:asciiTheme="minorHAnsi" w:hAnsiTheme="minorHAnsi" w:cstheme="minorHAnsi"/>
          <w:i/>
          <w:sz w:val="16"/>
          <w:szCs w:val="16"/>
        </w:rPr>
      </w:pPr>
      <w:r w:rsidRPr="005F120D">
        <w:rPr>
          <w:rFonts w:asciiTheme="minorHAnsi" w:hAnsiTheme="minorHAnsi" w:cstheme="minorHAnsi"/>
          <w:i/>
          <w:sz w:val="16"/>
          <w:szCs w:val="16"/>
        </w:rPr>
        <w:t>Source: Textbook Database, 2015</w:t>
      </w:r>
      <w:r w:rsidR="001C7BE4" w:rsidRPr="005F120D">
        <w:rPr>
          <w:rFonts w:asciiTheme="minorHAnsi" w:hAnsiTheme="minorHAnsi" w:cstheme="minorHAnsi"/>
          <w:i/>
          <w:sz w:val="16"/>
          <w:szCs w:val="16"/>
        </w:rPr>
        <w:t>. Note: in the percentage calculation did not consider the English version and buffer stock</w:t>
      </w:r>
    </w:p>
    <w:p w:rsidR="00DE775D" w:rsidRPr="005F120D" w:rsidRDefault="00E2553D" w:rsidP="00A15AA6">
      <w:pPr>
        <w:jc w:val="both"/>
        <w:rPr>
          <w:rFonts w:asciiTheme="minorHAnsi" w:hAnsiTheme="minorHAnsi" w:cstheme="minorHAnsi"/>
          <w:b/>
          <w:color w:val="3333CC"/>
          <w:szCs w:val="22"/>
        </w:rPr>
      </w:pPr>
      <w:bookmarkStart w:id="439" w:name="_Toc302835172"/>
      <w:r w:rsidRPr="005F120D">
        <w:rPr>
          <w:rFonts w:asciiTheme="minorHAnsi" w:hAnsiTheme="minorHAnsi" w:cstheme="minorHAnsi"/>
          <w:b/>
          <w:color w:val="3333CC"/>
          <w:szCs w:val="22"/>
        </w:rPr>
        <w:t>Teacher E</w:t>
      </w:r>
      <w:r w:rsidR="00DE775D" w:rsidRPr="005F120D">
        <w:rPr>
          <w:rFonts w:asciiTheme="minorHAnsi" w:hAnsiTheme="minorHAnsi" w:cstheme="minorHAnsi"/>
          <w:b/>
          <w:color w:val="3333CC"/>
          <w:szCs w:val="22"/>
        </w:rPr>
        <w:t>dition</w:t>
      </w:r>
      <w:r w:rsidRPr="005F120D">
        <w:rPr>
          <w:rFonts w:asciiTheme="minorHAnsi" w:hAnsiTheme="minorHAnsi" w:cstheme="minorHAnsi"/>
          <w:b/>
          <w:color w:val="3333CC"/>
          <w:szCs w:val="22"/>
        </w:rPr>
        <w:t>s, Guides and A</w:t>
      </w:r>
      <w:r w:rsidR="00DE775D" w:rsidRPr="005F120D">
        <w:rPr>
          <w:rFonts w:asciiTheme="minorHAnsi" w:hAnsiTheme="minorHAnsi" w:cstheme="minorHAnsi"/>
          <w:b/>
          <w:color w:val="3333CC"/>
          <w:szCs w:val="22"/>
        </w:rPr>
        <w:t>ids</w:t>
      </w:r>
      <w:bookmarkEnd w:id="439"/>
    </w:p>
    <w:p w:rsidR="009F0ED4" w:rsidRPr="005F120D" w:rsidRDefault="009F0ED4" w:rsidP="009F0ED4">
      <w:pPr>
        <w:pStyle w:val="BodyText1"/>
        <w:spacing w:line="240" w:lineRule="auto"/>
        <w:jc w:val="both"/>
        <w:rPr>
          <w:rFonts w:asciiTheme="minorHAnsi" w:hAnsiTheme="minorHAnsi" w:cstheme="minorHAnsi"/>
          <w:b w:val="0"/>
        </w:rPr>
      </w:pPr>
      <w:r w:rsidRPr="005F120D">
        <w:rPr>
          <w:rFonts w:asciiTheme="minorHAnsi" w:hAnsiTheme="minorHAnsi" w:cstheme="minorHAnsi"/>
          <w:b w:val="0"/>
        </w:rPr>
        <w:t xml:space="preserve">The PEDP3 planned to develop and distribute Teacher Edition and Teacher Guides based on the revised curriculum and revised Textbooks through NCTB. But the NCTB is not yet able to print any of these. It is necessary to accelerate the printing process and ensure distribution during the PEDP3 period. </w:t>
      </w:r>
    </w:p>
    <w:p w:rsidR="009F0ED4" w:rsidRPr="005F120D" w:rsidRDefault="009F0ED4" w:rsidP="009F0ED4">
      <w:pPr>
        <w:pStyle w:val="BodyText1"/>
        <w:spacing w:line="240" w:lineRule="auto"/>
        <w:jc w:val="both"/>
        <w:rPr>
          <w:rFonts w:asciiTheme="minorHAnsi" w:hAnsiTheme="minorHAnsi" w:cstheme="minorHAnsi"/>
          <w:b w:val="0"/>
        </w:rPr>
      </w:pPr>
      <w:r w:rsidRPr="005F120D">
        <w:rPr>
          <w:rFonts w:asciiTheme="minorHAnsi" w:hAnsiTheme="minorHAnsi" w:cstheme="minorHAnsi"/>
          <w:b w:val="0"/>
        </w:rPr>
        <w:t xml:space="preserve">Previous ASPRs provided details on the supply of teachers’ guides and teaching aids based on information collected by the APSC.   The school census stopped collecting information on teaching aids (e.g. flip charts, maps, education kit, etc.) in 2007.  Because the new textbook database does not collect information on teacher guide, there has been no update on them since 2011.  </w:t>
      </w:r>
    </w:p>
    <w:p w:rsidR="00A15AA6" w:rsidRPr="000B622B" w:rsidRDefault="000B622B" w:rsidP="009F0ED4">
      <w:pPr>
        <w:pStyle w:val="BodyText1"/>
        <w:spacing w:line="240" w:lineRule="auto"/>
        <w:jc w:val="both"/>
        <w:rPr>
          <w:rFonts w:asciiTheme="minorHAnsi" w:hAnsiTheme="minorHAnsi" w:cstheme="minorHAnsi"/>
          <w:b w:val="0"/>
        </w:rPr>
      </w:pPr>
      <w:r w:rsidRPr="005A727A">
        <w:rPr>
          <w:rFonts w:asciiTheme="minorHAnsi" w:hAnsiTheme="minorHAnsi" w:cstheme="minorHAnsi"/>
          <w:b w:val="0"/>
        </w:rPr>
        <w:t>It is suggested that DPE to be consider for collecting information through APSC on teaching and learning materials in the future Censuses as PEDP3 has planned to distribute teacher guides, teacher editions etc. including pre-primary materials to all the schools based on the revised curriculum and textbooks.</w:t>
      </w:r>
    </w:p>
    <w:p w:rsidR="00332BB3" w:rsidRPr="005F120D" w:rsidRDefault="00651781" w:rsidP="004E77B3">
      <w:pPr>
        <w:pStyle w:val="Heading3"/>
      </w:pPr>
      <w:bookmarkStart w:id="440" w:name="_Toc338839522"/>
      <w:bookmarkStart w:id="441" w:name="_Toc338856172"/>
      <w:bookmarkStart w:id="442" w:name="_Toc385242104"/>
      <w:bookmarkStart w:id="443" w:name="_Toc385245728"/>
      <w:r w:rsidRPr="005F120D">
        <w:t>Teacher Qualification</w:t>
      </w:r>
      <w:r w:rsidR="00E2553D" w:rsidRPr="005F120D">
        <w:t>s</w:t>
      </w:r>
    </w:p>
    <w:p w:rsidR="00F810CA" w:rsidRPr="005F120D" w:rsidRDefault="009F0ED4" w:rsidP="00A15AA6">
      <w:pPr>
        <w:jc w:val="both"/>
        <w:rPr>
          <w:rFonts w:asciiTheme="minorHAnsi" w:eastAsia="Calibri" w:hAnsiTheme="minorHAnsi" w:cstheme="minorHAnsi"/>
          <w:color w:val="000000" w:themeColor="text1"/>
        </w:rPr>
      </w:pPr>
      <w:r w:rsidRPr="005F120D">
        <w:rPr>
          <w:rFonts w:asciiTheme="minorHAnsi" w:eastAsia="Calibri" w:hAnsiTheme="minorHAnsi" w:cstheme="minorHAnsi"/>
          <w:color w:val="000000"/>
        </w:rPr>
        <w:t>A safe learning environment in the classroom is the key to the provision of quality primary education. Teachers’ educational and professional qualifications, including skills and roles, are also important for effective classroom teaching as well as for the management of the school</w:t>
      </w:r>
      <w:r w:rsidR="00F810CA" w:rsidRPr="005F120D">
        <w:rPr>
          <w:rFonts w:asciiTheme="minorHAnsi" w:eastAsia="Calibri" w:hAnsiTheme="minorHAnsi" w:cstheme="minorHAnsi"/>
          <w:color w:val="000000" w:themeColor="text1"/>
        </w:rPr>
        <w:t xml:space="preserve">. </w:t>
      </w:r>
    </w:p>
    <w:p w:rsidR="00F810CA" w:rsidRPr="005F120D" w:rsidRDefault="00F810CA" w:rsidP="00A15AA6">
      <w:pPr>
        <w:jc w:val="both"/>
        <w:rPr>
          <w:rFonts w:asciiTheme="minorHAnsi" w:eastAsia="Calibri" w:hAnsiTheme="minorHAnsi" w:cstheme="minorHAnsi"/>
          <w:b/>
          <w:color w:val="008000"/>
        </w:rPr>
      </w:pPr>
      <w:r w:rsidRPr="005F120D">
        <w:rPr>
          <w:rFonts w:asciiTheme="minorHAnsi" w:eastAsia="Calibri" w:hAnsiTheme="minorHAnsi" w:cstheme="minorHAnsi"/>
          <w:b/>
          <w:color w:val="008000"/>
        </w:rPr>
        <w:t>Teachers’ Educational Qualification</w:t>
      </w:r>
      <w:r w:rsidR="00E2553D" w:rsidRPr="005F120D">
        <w:rPr>
          <w:rFonts w:asciiTheme="minorHAnsi" w:eastAsia="Calibri" w:hAnsiTheme="minorHAnsi" w:cstheme="minorHAnsi"/>
          <w:b/>
          <w:color w:val="008000"/>
        </w:rPr>
        <w:t>s</w:t>
      </w:r>
      <w:r w:rsidRPr="005F120D">
        <w:rPr>
          <w:rFonts w:asciiTheme="minorHAnsi" w:eastAsia="Calibri" w:hAnsiTheme="minorHAnsi" w:cstheme="minorHAnsi"/>
          <w:b/>
          <w:color w:val="008000"/>
        </w:rPr>
        <w:t xml:space="preserve">: </w:t>
      </w:r>
    </w:p>
    <w:p w:rsidR="00913293" w:rsidRPr="005F120D" w:rsidRDefault="009F0ED4" w:rsidP="00A15AA6">
      <w:pPr>
        <w:jc w:val="both"/>
        <w:rPr>
          <w:rFonts w:asciiTheme="minorHAnsi" w:hAnsiTheme="minorHAnsi" w:cstheme="minorHAnsi"/>
        </w:rPr>
      </w:pPr>
      <w:r w:rsidRPr="005F120D">
        <w:rPr>
          <w:rFonts w:asciiTheme="minorHAnsi" w:eastAsia="Calibri" w:hAnsiTheme="minorHAnsi" w:cstheme="minorHAnsi"/>
          <w:color w:val="000000"/>
        </w:rPr>
        <w:t xml:space="preserve">In DPE managed schools, the earlier minimum educational qualification for teaching in primary schools was a secondary level certificate (i.e. the successful completion of Grade 10). This minimum qualification was increased to the higher secondary level (i.e. the successful completion of Grade 12) during the PEDP3 period. However, over time, the educational level of primary teachers has increased. Currently more Bachelor and Master Degree holders are joining this profession, but the required educational qualification is flexible for female teachers. Now the required educational qualification is a Bachelor Degree for males, and the Higher Secondary Certificate for female teachers. The APSC 2015 collected reliable data about teachers’ educational qualifications. The highest level of education attained by primary school teachers varied substantially; in 2015, overall 13% of teachers had completed Grade 10 (SSC), 30% had a Higher Secondary Certificate (HSC), 34% had a Bachelor degree and 22% a Masters degree. </w:t>
      </w:r>
      <w:r w:rsidRPr="005F120D">
        <w:rPr>
          <w:rFonts w:asciiTheme="minorHAnsi" w:hAnsiTheme="minorHAnsi" w:cstheme="minorHAnsi"/>
        </w:rPr>
        <w:t xml:space="preserve">The following </w:t>
      </w:r>
      <w:r w:rsidRPr="005F120D">
        <w:rPr>
          <w:rFonts w:asciiTheme="minorHAnsi" w:eastAsia="Calibri" w:hAnsiTheme="minorHAnsi" w:cstheme="minorHAnsi"/>
          <w:color w:val="000000"/>
        </w:rPr>
        <w:t xml:space="preserve">Figure 4.2 </w:t>
      </w:r>
      <w:r w:rsidRPr="005F120D">
        <w:rPr>
          <w:rFonts w:asciiTheme="minorHAnsi" w:hAnsiTheme="minorHAnsi" w:cstheme="minorHAnsi"/>
        </w:rPr>
        <w:t>shows the educational qualifications of teachers</w:t>
      </w:r>
      <w:r w:rsidR="00F810CA" w:rsidRPr="005F120D">
        <w:rPr>
          <w:rFonts w:asciiTheme="minorHAnsi" w:hAnsiTheme="minorHAnsi" w:cstheme="minorHAnsi"/>
        </w:rPr>
        <w:t>.</w:t>
      </w:r>
    </w:p>
    <w:p w:rsidR="004C2AD5" w:rsidRPr="005F120D" w:rsidRDefault="004C2AD5" w:rsidP="00A15AA6">
      <w:pPr>
        <w:pStyle w:val="Caption"/>
        <w:jc w:val="left"/>
        <w:rPr>
          <w:rFonts w:cstheme="minorHAnsi"/>
        </w:rPr>
      </w:pPr>
    </w:p>
    <w:p w:rsidR="00DE1988" w:rsidRPr="005F120D" w:rsidRDefault="000B4AB3" w:rsidP="000B4AB3">
      <w:pPr>
        <w:pStyle w:val="Caption"/>
        <w:rPr>
          <w:rFonts w:cstheme="minorHAnsi"/>
        </w:rPr>
      </w:pPr>
      <w:bookmarkStart w:id="444" w:name="_Toc462837445"/>
      <w:r w:rsidRPr="005F120D">
        <w:rPr>
          <w:rFonts w:cstheme="minorHAnsi"/>
        </w:rPr>
        <w:t xml:space="preserve">Figure </w:t>
      </w:r>
      <w:r w:rsidR="002E2ED5" w:rsidRPr="005F120D">
        <w:rPr>
          <w:rFonts w:cstheme="minorHAnsi"/>
        </w:rPr>
        <w:fldChar w:fldCharType="begin"/>
      </w:r>
      <w:r w:rsidR="00487DFD"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Pr="005F120D">
        <w:rPr>
          <w:rFonts w:cstheme="minorHAnsi"/>
        </w:rPr>
        <w:t>.</w:t>
      </w:r>
      <w:r w:rsidR="002E2ED5" w:rsidRPr="005F120D">
        <w:rPr>
          <w:rFonts w:cstheme="minorHAnsi"/>
        </w:rPr>
        <w:fldChar w:fldCharType="begin"/>
      </w:r>
      <w:r w:rsidR="00487DFD"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DE1988" w:rsidRPr="005F120D">
        <w:rPr>
          <w:rFonts w:cstheme="minorHAnsi"/>
        </w:rPr>
        <w:t xml:space="preserve">: Percentage of Teachers </w:t>
      </w:r>
      <w:r w:rsidR="00BC3DCD" w:rsidRPr="005F120D">
        <w:rPr>
          <w:rFonts w:cstheme="minorHAnsi"/>
        </w:rPr>
        <w:t>with Qualifications at Different Education Levels</w:t>
      </w:r>
      <w:r w:rsidR="00E4262D">
        <w:rPr>
          <w:rFonts w:cstheme="minorHAnsi"/>
        </w:rPr>
        <w:t xml:space="preserve"> b</w:t>
      </w:r>
      <w:r w:rsidR="00F30B77" w:rsidRPr="005F120D">
        <w:rPr>
          <w:rFonts w:cstheme="minorHAnsi"/>
        </w:rPr>
        <w:t xml:space="preserve">y Gender </w:t>
      </w:r>
      <w:r w:rsidR="00DE1988" w:rsidRPr="005F120D">
        <w:rPr>
          <w:rFonts w:cstheme="minorHAnsi"/>
        </w:rPr>
        <w:t>2015</w:t>
      </w:r>
      <w:bookmarkEnd w:id="444"/>
    </w:p>
    <w:p w:rsidR="00AC216C" w:rsidRPr="005F120D" w:rsidRDefault="0037331A" w:rsidP="00C437AA">
      <w:pPr>
        <w:spacing w:after="40" w:line="276" w:lineRule="auto"/>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5458676" cy="2527384"/>
            <wp:effectExtent l="38100" t="19050" r="27724" b="6266"/>
            <wp:docPr id="116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7331A" w:rsidRPr="005F120D" w:rsidRDefault="0037331A" w:rsidP="00C437AA">
      <w:pPr>
        <w:spacing w:after="40" w:line="276" w:lineRule="auto"/>
        <w:rPr>
          <w:rFonts w:asciiTheme="minorHAnsi" w:hAnsiTheme="minorHAnsi" w:cstheme="minorHAnsi"/>
          <w:b/>
          <w:sz w:val="16"/>
          <w:szCs w:val="16"/>
        </w:rPr>
      </w:pPr>
      <w:r w:rsidRPr="005F120D">
        <w:rPr>
          <w:rFonts w:asciiTheme="minorHAnsi" w:hAnsiTheme="minorHAnsi" w:cstheme="minorHAnsi"/>
          <w:b/>
          <w:sz w:val="16"/>
          <w:szCs w:val="16"/>
        </w:rPr>
        <w:t xml:space="preserve">              Source: APSC 2015</w:t>
      </w:r>
    </w:p>
    <w:p w:rsidR="002D4554" w:rsidRPr="005F120D" w:rsidRDefault="00970F13" w:rsidP="00F30B77">
      <w:pPr>
        <w:spacing w:before="240" w:line="276" w:lineRule="auto"/>
        <w:jc w:val="both"/>
        <w:rPr>
          <w:rFonts w:asciiTheme="minorHAnsi" w:eastAsia="Calibri" w:hAnsiTheme="minorHAnsi" w:cstheme="minorHAnsi"/>
          <w:b/>
          <w:color w:val="008000"/>
        </w:rPr>
      </w:pPr>
      <w:r w:rsidRPr="005F120D">
        <w:rPr>
          <w:rFonts w:asciiTheme="minorHAnsi" w:eastAsia="Calibri" w:hAnsiTheme="minorHAnsi" w:cstheme="minorHAnsi"/>
          <w:b/>
          <w:color w:val="008000"/>
        </w:rPr>
        <w:t>Teachers</w:t>
      </w:r>
      <w:r w:rsidR="00BC3DCD" w:rsidRPr="005F120D">
        <w:rPr>
          <w:rFonts w:asciiTheme="minorHAnsi" w:eastAsia="Calibri" w:hAnsiTheme="minorHAnsi" w:cstheme="minorHAnsi"/>
          <w:b/>
          <w:color w:val="008000"/>
        </w:rPr>
        <w:t>’</w:t>
      </w:r>
      <w:r w:rsidR="00E4262D">
        <w:rPr>
          <w:rFonts w:asciiTheme="minorHAnsi" w:eastAsia="Calibri" w:hAnsiTheme="minorHAnsi" w:cstheme="minorHAnsi"/>
          <w:b/>
          <w:color w:val="008000"/>
        </w:rPr>
        <w:t xml:space="preserve"> </w:t>
      </w:r>
      <w:r w:rsidR="001C6FDC" w:rsidRPr="005F120D">
        <w:rPr>
          <w:rFonts w:asciiTheme="minorHAnsi" w:eastAsia="Calibri" w:hAnsiTheme="minorHAnsi" w:cstheme="minorHAnsi"/>
          <w:b/>
          <w:color w:val="008000"/>
        </w:rPr>
        <w:t>Professional</w:t>
      </w:r>
      <w:r w:rsidRPr="005F120D">
        <w:rPr>
          <w:rFonts w:asciiTheme="minorHAnsi" w:eastAsia="Calibri" w:hAnsiTheme="minorHAnsi" w:cstheme="minorHAnsi"/>
          <w:b/>
          <w:color w:val="008000"/>
        </w:rPr>
        <w:t xml:space="preserve"> Qualification</w:t>
      </w:r>
      <w:r w:rsidR="00BC3DCD" w:rsidRPr="005F120D">
        <w:rPr>
          <w:rFonts w:asciiTheme="minorHAnsi" w:eastAsia="Calibri" w:hAnsiTheme="minorHAnsi" w:cstheme="minorHAnsi"/>
          <w:b/>
          <w:color w:val="008000"/>
        </w:rPr>
        <w:t>s</w:t>
      </w:r>
      <w:r w:rsidRPr="005F120D">
        <w:rPr>
          <w:rFonts w:asciiTheme="minorHAnsi" w:eastAsia="Calibri" w:hAnsiTheme="minorHAnsi" w:cstheme="minorHAnsi"/>
          <w:b/>
          <w:color w:val="008000"/>
        </w:rPr>
        <w:t xml:space="preserve">: </w:t>
      </w:r>
    </w:p>
    <w:p w:rsidR="009140AE" w:rsidRPr="005F120D" w:rsidRDefault="009F0ED4" w:rsidP="00C437AA">
      <w:pPr>
        <w:spacing w:line="276" w:lineRule="auto"/>
        <w:jc w:val="both"/>
        <w:rPr>
          <w:rFonts w:asciiTheme="minorHAnsi" w:hAnsiTheme="minorHAnsi" w:cstheme="minorHAnsi"/>
          <w:color w:val="000000" w:themeColor="text1"/>
        </w:rPr>
      </w:pPr>
      <w:r w:rsidRPr="005F120D">
        <w:rPr>
          <w:rFonts w:asciiTheme="minorHAnsi" w:eastAsia="Calibri" w:hAnsiTheme="minorHAnsi" w:cstheme="minorHAnsi"/>
          <w:color w:val="000000"/>
          <w:u w:val="single"/>
        </w:rPr>
        <w:t>PSQL2</w:t>
      </w:r>
      <w:r w:rsidRPr="005F120D">
        <w:rPr>
          <w:rFonts w:asciiTheme="minorHAnsi" w:eastAsia="Calibri" w:hAnsiTheme="minorHAnsi" w:cstheme="minorHAnsi"/>
          <w:color w:val="000000"/>
        </w:rPr>
        <w:t xml:space="preserve"> monitors the percentage of teachers (Assistant and Head) with professional qualifications (C-in-Ed, B.Ed., M. Ed, DPEd). Figure 4.3 </w:t>
      </w:r>
      <w:r w:rsidRPr="005F120D">
        <w:rPr>
          <w:rFonts w:asciiTheme="minorHAnsi" w:hAnsiTheme="minorHAnsi" w:cstheme="minorHAnsi"/>
          <w:color w:val="000000"/>
        </w:rPr>
        <w:t>shows the total number of C-in-Ed and DPEd in 2015</w:t>
      </w:r>
      <w:r w:rsidR="009140AE" w:rsidRPr="005F120D">
        <w:rPr>
          <w:rFonts w:asciiTheme="minorHAnsi" w:hAnsiTheme="minorHAnsi" w:cstheme="minorHAnsi"/>
          <w:color w:val="000000" w:themeColor="text1"/>
        </w:rPr>
        <w:t xml:space="preserve">. </w:t>
      </w:r>
    </w:p>
    <w:p w:rsidR="009140AE" w:rsidRPr="005F120D" w:rsidRDefault="009140AE" w:rsidP="00C437AA">
      <w:pPr>
        <w:pStyle w:val="Caption"/>
        <w:spacing w:line="276" w:lineRule="auto"/>
        <w:rPr>
          <w:rFonts w:cstheme="minorHAnsi"/>
        </w:rPr>
      </w:pPr>
      <w:bookmarkStart w:id="445" w:name="_Toc462837446"/>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00450B54" w:rsidRPr="005F120D">
        <w:rPr>
          <w:rFonts w:cstheme="minorHAnsi"/>
        </w:rPr>
        <w:t xml:space="preserve">: </w:t>
      </w:r>
      <w:r w:rsidR="00DA3BBE" w:rsidRPr="005F120D">
        <w:rPr>
          <w:rFonts w:cstheme="minorHAnsi"/>
        </w:rPr>
        <w:t>Number of Teachers</w:t>
      </w:r>
      <w:r w:rsidR="008B2710" w:rsidRPr="005F120D">
        <w:rPr>
          <w:rFonts w:cstheme="minorHAnsi"/>
        </w:rPr>
        <w:t xml:space="preserve"> (GPS &amp; NNPS)</w:t>
      </w:r>
      <w:r w:rsidR="00BC3DCD" w:rsidRPr="005F120D">
        <w:rPr>
          <w:rFonts w:cstheme="minorHAnsi"/>
        </w:rPr>
        <w:t xml:space="preserve"> with</w:t>
      </w:r>
      <w:r w:rsidR="00E4262D">
        <w:rPr>
          <w:rFonts w:cstheme="minorHAnsi"/>
        </w:rPr>
        <w:t xml:space="preserve"> </w:t>
      </w:r>
      <w:r w:rsidRPr="005F120D">
        <w:rPr>
          <w:rFonts w:cstheme="minorHAnsi"/>
        </w:rPr>
        <w:t xml:space="preserve">C-in-Ed </w:t>
      </w:r>
      <w:r w:rsidR="00450B54" w:rsidRPr="005F120D">
        <w:rPr>
          <w:rFonts w:cstheme="minorHAnsi"/>
        </w:rPr>
        <w:t>and DPEd</w:t>
      </w:r>
      <w:r w:rsidR="00E4262D">
        <w:rPr>
          <w:rFonts w:cstheme="minorHAnsi"/>
        </w:rPr>
        <w:t xml:space="preserve"> </w:t>
      </w:r>
      <w:r w:rsidR="00DA3BBE" w:rsidRPr="005F120D">
        <w:rPr>
          <w:rFonts w:cstheme="minorHAnsi"/>
        </w:rPr>
        <w:t xml:space="preserve">as of March </w:t>
      </w:r>
      <w:r w:rsidRPr="005F120D">
        <w:rPr>
          <w:rFonts w:cstheme="minorHAnsi"/>
        </w:rPr>
        <w:t>2015</w:t>
      </w:r>
      <w:bookmarkEnd w:id="445"/>
    </w:p>
    <w:p w:rsidR="009140AE" w:rsidRPr="005F120D" w:rsidRDefault="005E22F8" w:rsidP="00C437AA">
      <w:pPr>
        <w:spacing w:after="40" w:line="276" w:lineRule="auto"/>
        <w:rPr>
          <w:rFonts w:asciiTheme="minorHAnsi" w:hAnsiTheme="minorHAnsi" w:cstheme="minorHAnsi"/>
          <w:sz w:val="16"/>
          <w:szCs w:val="16"/>
        </w:rPr>
      </w:pPr>
      <w:r w:rsidRPr="005F120D">
        <w:rPr>
          <w:rFonts w:asciiTheme="minorHAnsi" w:hAnsiTheme="minorHAnsi" w:cstheme="minorHAnsi"/>
          <w:noProof/>
          <w:lang w:eastAsia="en-US"/>
        </w:rPr>
        <w:drawing>
          <wp:inline distT="0" distB="0" distL="0" distR="0">
            <wp:extent cx="5946835" cy="2456731"/>
            <wp:effectExtent l="38100" t="19050" r="15815" b="719"/>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71A3E" w:rsidRPr="005F120D" w:rsidRDefault="00071A3E" w:rsidP="00C437AA">
      <w:pPr>
        <w:spacing w:after="40" w:line="276" w:lineRule="auto"/>
        <w:rPr>
          <w:rFonts w:asciiTheme="minorHAnsi" w:hAnsiTheme="minorHAnsi" w:cstheme="minorHAnsi"/>
          <w:b/>
          <w:sz w:val="16"/>
          <w:szCs w:val="16"/>
        </w:rPr>
      </w:pPr>
      <w:r w:rsidRPr="005F120D">
        <w:rPr>
          <w:rFonts w:asciiTheme="minorHAnsi" w:hAnsiTheme="minorHAnsi" w:cstheme="minorHAnsi"/>
          <w:b/>
          <w:sz w:val="16"/>
          <w:szCs w:val="16"/>
        </w:rPr>
        <w:t>Source: APSC 2015</w:t>
      </w:r>
    </w:p>
    <w:p w:rsidR="009F0ED4" w:rsidRPr="005F120D" w:rsidRDefault="009F0ED4" w:rsidP="009F0ED4">
      <w:pPr>
        <w:spacing w:before="240" w:line="276" w:lineRule="auto"/>
        <w:jc w:val="both"/>
        <w:rPr>
          <w:rFonts w:asciiTheme="minorHAnsi" w:hAnsiTheme="minorHAnsi" w:cstheme="minorHAnsi"/>
          <w:color w:val="000000"/>
        </w:rPr>
      </w:pPr>
      <w:r w:rsidRPr="005F120D">
        <w:rPr>
          <w:rFonts w:asciiTheme="minorHAnsi" w:hAnsiTheme="minorHAnsi" w:cstheme="minorHAnsi"/>
          <w:color w:val="000000"/>
        </w:rPr>
        <w:t>F</w:t>
      </w:r>
      <w:r w:rsidRPr="005F120D">
        <w:rPr>
          <w:rFonts w:asciiTheme="minorHAnsi" w:eastAsia="Calibri" w:hAnsiTheme="minorHAnsi" w:cstheme="minorHAnsi"/>
          <w:color w:val="000000"/>
        </w:rPr>
        <w:t xml:space="preserve">igure 4.4 below </w:t>
      </w:r>
      <w:r w:rsidRPr="005F120D">
        <w:rPr>
          <w:rFonts w:asciiTheme="minorHAnsi" w:hAnsiTheme="minorHAnsi" w:cstheme="minorHAnsi"/>
          <w:color w:val="000000"/>
        </w:rPr>
        <w:t>shows the changes in the proportion of teachers (of different categories, by gender and by school type) with at least the C-in-Ed qualification between 2010 and 2015. The key points are as follows:</w:t>
      </w:r>
    </w:p>
    <w:p w:rsidR="009F0ED4" w:rsidRPr="005F120D" w:rsidRDefault="009F0ED4" w:rsidP="00F30B77">
      <w:pPr>
        <w:numPr>
          <w:ilvl w:val="0"/>
          <w:numId w:val="100"/>
        </w:numPr>
        <w:spacing w:before="240" w:line="276" w:lineRule="auto"/>
        <w:contextualSpacing/>
        <w:jc w:val="both"/>
        <w:rPr>
          <w:rFonts w:asciiTheme="minorHAnsi" w:hAnsiTheme="minorHAnsi" w:cstheme="minorHAnsi"/>
        </w:rPr>
      </w:pPr>
      <w:r w:rsidRPr="005F120D">
        <w:rPr>
          <w:rFonts w:asciiTheme="minorHAnsi" w:hAnsiTheme="minorHAnsi" w:cstheme="minorHAnsi"/>
        </w:rPr>
        <w:lastRenderedPageBreak/>
        <w:t xml:space="preserve">The percentage of teachers, who meet the teaching qualification to at least the C-in-Ed level, has remained constant at above 83% since 2010.  There was an increase in 2012 (89%) and a further improvement to 90% in 2013. In 2014, the percentage declined, and stood at 83.8% (87.6% male; 81.2% female); but improved again to 88.7% (92.6% male and 94.9% female) in 2015. The reason for the sharp increase in 2012 was the change in the calculation method, and the reason for the decline in 2014 was the number of newly recruited teachers (13,974) to the total teaching force. </w:t>
      </w:r>
    </w:p>
    <w:p w:rsidR="00EA356A" w:rsidRPr="005F120D" w:rsidRDefault="009F0ED4" w:rsidP="009F0ED4">
      <w:pPr>
        <w:pStyle w:val="ListParagraph"/>
        <w:numPr>
          <w:ilvl w:val="0"/>
          <w:numId w:val="46"/>
        </w:numPr>
        <w:spacing w:line="276" w:lineRule="auto"/>
        <w:jc w:val="both"/>
        <w:rPr>
          <w:rFonts w:asciiTheme="minorHAnsi" w:hAnsiTheme="minorHAnsi" w:cstheme="minorHAnsi"/>
        </w:rPr>
      </w:pPr>
      <w:r w:rsidRPr="005F120D">
        <w:rPr>
          <w:rFonts w:asciiTheme="minorHAnsi" w:hAnsiTheme="minorHAnsi" w:cstheme="minorHAnsi"/>
        </w:rPr>
        <w:t>One implication of the addition of teachers from the newly nationalized NNPS was an increase in the number of under-qualified teachers, especially female assistant teachers.   In 2015, only 76.2% of female teachers in NNPS had the minimum qualification compared to 88.7% of their female counterparts in GPS. Among the various groups of teachers, the female assistant teacher is in the group furthest away from achieving the PEDP3 target of 95% by 2017</w:t>
      </w:r>
      <w:r w:rsidR="000E4168" w:rsidRPr="005F120D">
        <w:rPr>
          <w:rFonts w:asciiTheme="minorHAnsi" w:hAnsiTheme="minorHAnsi" w:cstheme="minorHAnsi"/>
        </w:rPr>
        <w:t xml:space="preserve">.  </w:t>
      </w:r>
      <w:bookmarkStart w:id="446" w:name="_Ref387411654"/>
      <w:bookmarkStart w:id="447" w:name="_Toc338839533"/>
      <w:bookmarkStart w:id="448" w:name="_Toc338856183"/>
      <w:bookmarkStart w:id="449" w:name="_Toc385242120"/>
      <w:bookmarkStart w:id="450" w:name="_Toc385245739"/>
    </w:p>
    <w:p w:rsidR="00F44D1E" w:rsidRPr="005F120D" w:rsidRDefault="000D4695" w:rsidP="00C437AA">
      <w:pPr>
        <w:pStyle w:val="Caption"/>
        <w:spacing w:line="276" w:lineRule="auto"/>
        <w:rPr>
          <w:rFonts w:cstheme="minorHAnsi"/>
        </w:rPr>
      </w:pPr>
      <w:bookmarkStart w:id="451" w:name="_Toc462837447"/>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bookmarkEnd w:id="446"/>
      <w:r w:rsidR="00260546" w:rsidRPr="005F120D">
        <w:rPr>
          <w:rFonts w:cstheme="minorHAnsi"/>
        </w:rPr>
        <w:t>: Proportion</w:t>
      </w:r>
      <w:r w:rsidR="00296F2A" w:rsidRPr="005F120D">
        <w:rPr>
          <w:rFonts w:cstheme="minorHAnsi"/>
        </w:rPr>
        <w:t xml:space="preserve"> of </w:t>
      </w:r>
      <w:r w:rsidR="005904EF" w:rsidRPr="005F120D">
        <w:rPr>
          <w:rFonts w:cstheme="minorHAnsi"/>
        </w:rPr>
        <w:t>T</w:t>
      </w:r>
      <w:r w:rsidR="00296F2A" w:rsidRPr="005F120D">
        <w:rPr>
          <w:rFonts w:cstheme="minorHAnsi"/>
        </w:rPr>
        <w:t xml:space="preserve">eachers (in GPS and </w:t>
      </w:r>
      <w:r w:rsidR="003C42F2" w:rsidRPr="005F120D">
        <w:rPr>
          <w:rFonts w:cstheme="minorHAnsi"/>
        </w:rPr>
        <w:t>NNPS</w:t>
      </w:r>
      <w:r w:rsidR="005904EF" w:rsidRPr="005F120D">
        <w:rPr>
          <w:rFonts w:cstheme="minorHAnsi"/>
        </w:rPr>
        <w:t>) with At L</w:t>
      </w:r>
      <w:r w:rsidR="00F44D1E" w:rsidRPr="005F120D">
        <w:rPr>
          <w:rFonts w:cstheme="minorHAnsi"/>
        </w:rPr>
        <w:t>east C-in-Ed</w:t>
      </w:r>
      <w:r w:rsidR="002E4B78" w:rsidRPr="005F120D">
        <w:rPr>
          <w:rFonts w:cstheme="minorHAnsi"/>
        </w:rPr>
        <w:t xml:space="preserve"> 2010</w:t>
      </w:r>
      <w:r w:rsidR="00AB4D73" w:rsidRPr="005F120D">
        <w:rPr>
          <w:rFonts w:cstheme="minorHAnsi"/>
        </w:rPr>
        <w:t>-2015</w:t>
      </w:r>
      <w:r w:rsidR="00F44D1E" w:rsidRPr="005F120D">
        <w:rPr>
          <w:rFonts w:cstheme="minorHAnsi"/>
        </w:rPr>
        <w:t xml:space="preserve"> (%)</w:t>
      </w:r>
      <w:bookmarkEnd w:id="451"/>
    </w:p>
    <w:p w:rsidR="00F44D1E" w:rsidRPr="005F120D" w:rsidRDefault="00B74232" w:rsidP="00C437AA">
      <w:pPr>
        <w:spacing w:after="40" w:line="276" w:lineRule="auto"/>
        <w:jc w:val="center"/>
        <w:rPr>
          <w:rFonts w:asciiTheme="minorHAnsi" w:hAnsiTheme="minorHAnsi" w:cstheme="minorHAnsi"/>
          <w:color w:val="FF0000"/>
        </w:rPr>
      </w:pPr>
      <w:r w:rsidRPr="005F120D">
        <w:rPr>
          <w:rFonts w:asciiTheme="minorHAnsi" w:hAnsiTheme="minorHAnsi" w:cstheme="minorHAnsi"/>
          <w:noProof/>
          <w:color w:val="FF0000"/>
          <w:lang w:eastAsia="en-US"/>
        </w:rPr>
        <w:drawing>
          <wp:inline distT="0" distB="0" distL="0" distR="0">
            <wp:extent cx="5927393" cy="3010753"/>
            <wp:effectExtent l="38100" t="19050" r="16207"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2562E" w:rsidRPr="005F120D" w:rsidRDefault="003A140E" w:rsidP="000A5B80">
      <w:pPr>
        <w:pStyle w:val="Tablenotes"/>
      </w:pPr>
      <w:r w:rsidRPr="005F120D">
        <w:t>Source: APSC 2010 and 2015</w:t>
      </w:r>
    </w:p>
    <w:p w:rsidR="00B74232" w:rsidRPr="005F120D" w:rsidRDefault="009F0ED4" w:rsidP="00C437AA">
      <w:pPr>
        <w:pStyle w:val="BodyText1"/>
        <w:jc w:val="both"/>
        <w:rPr>
          <w:rFonts w:asciiTheme="minorHAnsi" w:hAnsiTheme="minorHAnsi" w:cstheme="minorHAnsi"/>
          <w:b w:val="0"/>
          <w:lang w:val="en-US"/>
        </w:rPr>
      </w:pPr>
      <w:r w:rsidRPr="005F120D">
        <w:rPr>
          <w:rFonts w:asciiTheme="minorHAnsi" w:hAnsiTheme="minorHAnsi" w:cstheme="minorHAnsi"/>
          <w:b w:val="0"/>
          <w:lang w:val="en-US"/>
        </w:rPr>
        <w:t xml:space="preserve">The proportion of teachers with at least a C-in-Ed = </w:t>
      </w:r>
      <w:r w:rsidRPr="005F120D">
        <w:rPr>
          <w:rFonts w:asciiTheme="minorHAnsi" w:hAnsiTheme="minorHAnsi" w:cstheme="minorHAnsi"/>
          <w:b w:val="0"/>
        </w:rPr>
        <w:t>for both categories of Head Teachers, and Assistant Teachers, and male and female - was disaggregated by GPS and NNPS</w:t>
      </w:r>
      <w:r w:rsidRPr="005F120D">
        <w:rPr>
          <w:rFonts w:asciiTheme="minorHAnsi" w:hAnsiTheme="minorHAnsi" w:cstheme="minorHAnsi"/>
          <w:b w:val="0"/>
          <w:lang w:val="en-US"/>
        </w:rPr>
        <w:t>. The above Figure 4.5 clearly shows that the proportion of teachers with at least a C-in-Ed increased in 2015 compared to 2014. In 2015, over 96.5% of male Head Teachers had the required qualification compared to their female counterparts with 91.4% in GPS; and over 90% male HTs had the required qualification compared to 96% of their female counterparts in NNPS. Similarly, 91% of male ATs had the required qualification compared to their female counterparts of 86% in GPS; and 75% male ATs had the required qualification compared to 88% of their female counterparts in NNPS. With regard to training, male teachers were ahead of female teachers in both school categories; there was only one exception, there were more female assistant teachers in NNPS (88.1% vs. 75.2%)</w:t>
      </w:r>
      <w:r w:rsidR="0032562E" w:rsidRPr="005F120D">
        <w:rPr>
          <w:rFonts w:asciiTheme="minorHAnsi" w:hAnsiTheme="minorHAnsi" w:cstheme="minorHAnsi"/>
          <w:b w:val="0"/>
          <w:lang w:val="en-US"/>
        </w:rPr>
        <w:t>.</w:t>
      </w:r>
    </w:p>
    <w:p w:rsidR="00332BB3" w:rsidRPr="005F120D" w:rsidRDefault="00EC3C77" w:rsidP="004E77B3">
      <w:pPr>
        <w:pStyle w:val="Heading3"/>
      </w:pPr>
      <w:r w:rsidRPr="005F120D">
        <w:lastRenderedPageBreak/>
        <w:t>Continuous Professional Development T</w:t>
      </w:r>
      <w:r w:rsidR="00332BB3" w:rsidRPr="005F120D">
        <w:t>raining</w:t>
      </w:r>
      <w:bookmarkEnd w:id="447"/>
      <w:bookmarkEnd w:id="448"/>
      <w:bookmarkEnd w:id="449"/>
      <w:bookmarkEnd w:id="450"/>
      <w:r w:rsidR="004E0D5C" w:rsidRPr="005F120D">
        <w:t xml:space="preserve"> (subject based)</w:t>
      </w:r>
    </w:p>
    <w:p w:rsidR="009F0ED4" w:rsidRPr="005F120D" w:rsidRDefault="009F0ED4" w:rsidP="009F0ED4">
      <w:pPr>
        <w:spacing w:line="276" w:lineRule="auto"/>
        <w:jc w:val="both"/>
        <w:rPr>
          <w:rFonts w:asciiTheme="minorHAnsi" w:hAnsiTheme="minorHAnsi" w:cstheme="minorHAnsi"/>
        </w:rPr>
      </w:pPr>
      <w:bookmarkStart w:id="452" w:name="_Ref387416001"/>
      <w:bookmarkStart w:id="453" w:name="_Toc385414283"/>
      <w:bookmarkStart w:id="454" w:name="_Toc385419672"/>
      <w:bookmarkStart w:id="455" w:name="_Ref225407695"/>
      <w:bookmarkStart w:id="456" w:name="_Ref330817269"/>
      <w:bookmarkStart w:id="457" w:name="_Toc338839647"/>
      <w:bookmarkStart w:id="458" w:name="_Toc385414284"/>
      <w:bookmarkStart w:id="459" w:name="_Toc385419673"/>
      <w:r w:rsidRPr="005F120D">
        <w:rPr>
          <w:rFonts w:asciiTheme="minorHAnsi" w:hAnsiTheme="minorHAnsi" w:cstheme="minorHAnsi"/>
        </w:rPr>
        <w:t xml:space="preserve">The </w:t>
      </w:r>
      <w:r w:rsidRPr="005F120D">
        <w:rPr>
          <w:rFonts w:asciiTheme="minorHAnsi" w:hAnsiTheme="minorHAnsi" w:cstheme="minorHAnsi"/>
          <w:u w:val="single"/>
        </w:rPr>
        <w:t>PSQL-3</w:t>
      </w:r>
      <w:r w:rsidRPr="005F120D">
        <w:rPr>
          <w:rFonts w:asciiTheme="minorHAnsi" w:hAnsiTheme="minorHAnsi" w:cstheme="minorHAnsi"/>
        </w:rPr>
        <w:t xml:space="preserve"> is ‘subject-based training’, Figure 4.6 displays participation in ‘subject-based training’ of all types of teachers in GPS and NNPS for 2005, and from 2010 to 2015. There has been a slightly declining trend in the annual coverage of the subject-based training since the introduction of the PEDP3 baseline (2010). In 2015, only 73.4% (male 79.1 % and female 69.9%) of teachers (Head and Assistant) received subject-based training. This was slightly higher than 61.2% in 2014, but was significantly lower than the PEDP3 baseline of 84.7% in 2010.  As stated earlier, subject-based trained teachers have the highest positive correlation with learning outcomes among all other teacher qualification and training factors [WB ESR 2014].</w:t>
      </w:r>
    </w:p>
    <w:p w:rsidR="000B48BC" w:rsidRPr="005F120D" w:rsidRDefault="009F0ED4" w:rsidP="009F0ED4">
      <w:pPr>
        <w:spacing w:line="276" w:lineRule="auto"/>
        <w:jc w:val="both"/>
        <w:rPr>
          <w:rFonts w:asciiTheme="minorHAnsi" w:hAnsiTheme="minorHAnsi" w:cstheme="minorHAnsi"/>
        </w:rPr>
      </w:pPr>
      <w:r w:rsidRPr="005F120D">
        <w:rPr>
          <w:rFonts w:asciiTheme="minorHAnsi" w:hAnsiTheme="minorHAnsi" w:cstheme="minorHAnsi"/>
        </w:rPr>
        <w:t>The proportion of teachers receiving subject-based training has been declining from the start of PEDP3.  This is because of the preparatory work required for this training, such as the development of training manuals, TOT for subject-based training, and also the deployment of 45,000 teachers in 2010-11 and 2011-12 as they did not receive training. Another important factor is that the subject-based training started after the APSC data col</w:t>
      </w:r>
      <w:r w:rsidR="0044339A" w:rsidRPr="005F120D">
        <w:rPr>
          <w:rFonts w:asciiTheme="minorHAnsi" w:hAnsiTheme="minorHAnsi" w:cstheme="minorHAnsi"/>
        </w:rPr>
        <w:t>lection (February–March) from the schools</w:t>
      </w:r>
      <w:r w:rsidR="00AA7E86" w:rsidRPr="005F120D">
        <w:rPr>
          <w:rFonts w:asciiTheme="minorHAnsi" w:hAnsiTheme="minorHAnsi" w:cstheme="minorHAnsi"/>
        </w:rPr>
        <w:t>.</w:t>
      </w:r>
    </w:p>
    <w:p w:rsidR="00EC3C77" w:rsidRPr="005F120D" w:rsidRDefault="00EC3C77" w:rsidP="00C437AA">
      <w:pPr>
        <w:pStyle w:val="Caption"/>
        <w:spacing w:line="276" w:lineRule="auto"/>
        <w:rPr>
          <w:rFonts w:cstheme="minorHAnsi"/>
        </w:rPr>
      </w:pPr>
      <w:bookmarkStart w:id="460" w:name="_Toc462837448"/>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5</w:t>
      </w:r>
      <w:r w:rsidR="002E2ED5" w:rsidRPr="005F120D">
        <w:rPr>
          <w:rFonts w:cstheme="minorHAnsi"/>
        </w:rPr>
        <w:fldChar w:fldCharType="end"/>
      </w:r>
      <w:bookmarkEnd w:id="452"/>
      <w:r w:rsidR="00380E10" w:rsidRPr="005F120D">
        <w:rPr>
          <w:rFonts w:cstheme="minorHAnsi"/>
        </w:rPr>
        <w:t>:  Percentage</w:t>
      </w:r>
      <w:r w:rsidR="00AA7E86" w:rsidRPr="005F120D">
        <w:rPr>
          <w:rFonts w:cstheme="minorHAnsi"/>
        </w:rPr>
        <w:t xml:space="preserve"> of T</w:t>
      </w:r>
      <w:r w:rsidRPr="005F120D">
        <w:rPr>
          <w:rFonts w:cstheme="minorHAnsi"/>
        </w:rPr>
        <w:t xml:space="preserve">eachers (GPS </w:t>
      </w:r>
      <w:r w:rsidR="00F7312A" w:rsidRPr="005F120D">
        <w:rPr>
          <w:rFonts w:cstheme="minorHAnsi"/>
        </w:rPr>
        <w:t>&amp;</w:t>
      </w:r>
      <w:r w:rsidR="003C42F2" w:rsidRPr="005F120D">
        <w:rPr>
          <w:rFonts w:cstheme="minorHAnsi"/>
        </w:rPr>
        <w:t>NNPS</w:t>
      </w:r>
      <w:r w:rsidRPr="005F120D">
        <w:rPr>
          <w:rFonts w:cstheme="minorHAnsi"/>
        </w:rPr>
        <w:t>) w</w:t>
      </w:r>
      <w:r w:rsidR="00AA7E86" w:rsidRPr="005F120D">
        <w:rPr>
          <w:rFonts w:cstheme="minorHAnsi"/>
        </w:rPr>
        <w:t>ho R</w:t>
      </w:r>
      <w:r w:rsidR="00F7312A" w:rsidRPr="005F120D">
        <w:rPr>
          <w:rFonts w:cstheme="minorHAnsi"/>
        </w:rPr>
        <w:t xml:space="preserve">eceived </w:t>
      </w:r>
      <w:r w:rsidR="00AA7E86" w:rsidRPr="005F120D">
        <w:rPr>
          <w:rFonts w:cstheme="minorHAnsi"/>
        </w:rPr>
        <w:t>S</w:t>
      </w:r>
      <w:r w:rsidR="00CD42A8" w:rsidRPr="005F120D">
        <w:rPr>
          <w:rFonts w:cstheme="minorHAnsi"/>
        </w:rPr>
        <w:t>ubject based</w:t>
      </w:r>
      <w:r w:rsidR="00AA7E86" w:rsidRPr="005F120D">
        <w:rPr>
          <w:rFonts w:cstheme="minorHAnsi"/>
        </w:rPr>
        <w:t xml:space="preserve"> T</w:t>
      </w:r>
      <w:r w:rsidR="00F7312A" w:rsidRPr="005F120D">
        <w:rPr>
          <w:rFonts w:cstheme="minorHAnsi"/>
        </w:rPr>
        <w:t>raining</w:t>
      </w:r>
      <w:r w:rsidR="00E4262D">
        <w:rPr>
          <w:rFonts w:cstheme="minorHAnsi"/>
        </w:rPr>
        <w:t xml:space="preserve"> </w:t>
      </w:r>
      <w:r w:rsidR="00380E10" w:rsidRPr="005F120D">
        <w:rPr>
          <w:rFonts w:cstheme="minorHAnsi"/>
        </w:rPr>
        <w:t xml:space="preserve">by Gender </w:t>
      </w:r>
      <w:r w:rsidR="007658C2" w:rsidRPr="005F120D">
        <w:rPr>
          <w:rFonts w:cstheme="minorHAnsi"/>
        </w:rPr>
        <w:t>2005</w:t>
      </w:r>
      <w:r w:rsidR="00F7312A" w:rsidRPr="005F120D">
        <w:rPr>
          <w:rFonts w:cstheme="minorHAnsi"/>
        </w:rPr>
        <w:t>, 2010</w:t>
      </w:r>
      <w:r w:rsidR="001C6FDC" w:rsidRPr="005F120D">
        <w:rPr>
          <w:rFonts w:cstheme="minorHAnsi"/>
        </w:rPr>
        <w:t>–2015</w:t>
      </w:r>
      <w:r w:rsidRPr="005F120D">
        <w:rPr>
          <w:rFonts w:cstheme="minorHAnsi"/>
        </w:rPr>
        <w:t xml:space="preserve"> (%)</w:t>
      </w:r>
      <w:bookmarkEnd w:id="453"/>
      <w:bookmarkEnd w:id="454"/>
      <w:bookmarkEnd w:id="460"/>
    </w:p>
    <w:p w:rsidR="00124704" w:rsidRPr="005F120D" w:rsidRDefault="002E2ED5" w:rsidP="00C437AA">
      <w:pPr>
        <w:spacing w:after="40" w:line="276" w:lineRule="auto"/>
        <w:jc w:val="center"/>
        <w:rPr>
          <w:rFonts w:asciiTheme="minorHAnsi" w:hAnsiTheme="minorHAnsi" w:cstheme="minorHAnsi"/>
          <w:b/>
          <w:noProof/>
          <w:color w:val="FF0000"/>
          <w:sz w:val="16"/>
          <w:szCs w:val="16"/>
          <w:lang w:eastAsia="ja-JP"/>
        </w:rPr>
      </w:pPr>
      <w:r>
        <w:rPr>
          <w:rFonts w:asciiTheme="minorHAnsi" w:hAnsiTheme="minorHAnsi" w:cstheme="minorHAnsi"/>
          <w:b/>
          <w:noProof/>
          <w:color w:val="FF0000"/>
          <w:sz w:val="16"/>
          <w:szCs w:val="16"/>
          <w:lang w:eastAsia="en-US"/>
        </w:rPr>
        <w:pict>
          <v:shape id="AutoShape 396" o:spid="_x0000_s1078" type="#_x0000_t32" style="position:absolute;left:0;text-align:left;margin-left:68.6pt;margin-top:34.9pt;width:309.75pt;height:.7pt;flip: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" strokecolor="#c00000" strokeweight="2pt">
            <v:shadow opacity=".5" offset="6pt,6pt"/>
          </v:shape>
        </w:pict>
      </w:r>
      <w:r w:rsidR="00CE0F09" w:rsidRPr="005F120D">
        <w:rPr>
          <w:rFonts w:asciiTheme="minorHAnsi" w:hAnsiTheme="minorHAnsi" w:cstheme="minorHAnsi"/>
          <w:b/>
          <w:noProof/>
          <w:color w:val="FF0000"/>
          <w:sz w:val="16"/>
          <w:szCs w:val="16"/>
          <w:lang w:eastAsia="en-US"/>
        </w:rPr>
        <w:drawing>
          <wp:inline distT="0" distB="0" distL="0" distR="0">
            <wp:extent cx="5403850" cy="2616200"/>
            <wp:effectExtent l="38100" t="19050" r="25400" b="0"/>
            <wp:docPr id="11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21510" w:rsidRPr="005F120D" w:rsidRDefault="00E4262D" w:rsidP="00C437AA">
      <w:pPr>
        <w:spacing w:line="276" w:lineRule="auto"/>
        <w:rPr>
          <w:rFonts w:asciiTheme="minorHAnsi" w:hAnsiTheme="minorHAnsi" w:cstheme="minorHAnsi"/>
          <w:b/>
          <w:i/>
          <w:sz w:val="16"/>
          <w:szCs w:val="16"/>
        </w:rPr>
      </w:pPr>
      <w:r>
        <w:rPr>
          <w:rFonts w:asciiTheme="minorHAnsi" w:hAnsiTheme="minorHAnsi" w:cstheme="minorHAnsi"/>
          <w:b/>
          <w:i/>
          <w:sz w:val="16"/>
          <w:szCs w:val="16"/>
        </w:rPr>
        <w:t xml:space="preserve">      </w:t>
      </w:r>
      <w:r w:rsidR="00CD42A8" w:rsidRPr="005F120D">
        <w:rPr>
          <w:rFonts w:asciiTheme="minorHAnsi" w:hAnsiTheme="minorHAnsi" w:cstheme="minorHAnsi"/>
          <w:b/>
          <w:i/>
          <w:sz w:val="16"/>
          <w:szCs w:val="16"/>
        </w:rPr>
        <w:t>S</w:t>
      </w:r>
      <w:r w:rsidR="003A140E" w:rsidRPr="005F120D">
        <w:rPr>
          <w:rFonts w:asciiTheme="minorHAnsi" w:hAnsiTheme="minorHAnsi" w:cstheme="minorHAnsi"/>
          <w:b/>
          <w:i/>
          <w:sz w:val="16"/>
          <w:szCs w:val="16"/>
        </w:rPr>
        <w:t>ource: APSC 2005, 2010-2015</w:t>
      </w:r>
    </w:p>
    <w:p w:rsidR="004E0D5C" w:rsidRPr="005F120D" w:rsidRDefault="004E0D5C" w:rsidP="004E77B3">
      <w:pPr>
        <w:pStyle w:val="Heading3"/>
      </w:pPr>
      <w:r w:rsidRPr="005F120D">
        <w:t>Continuous Professional Development Training (sub-cluster)</w:t>
      </w:r>
    </w:p>
    <w:p w:rsidR="009F0ED4" w:rsidRPr="005F120D" w:rsidRDefault="009F0ED4" w:rsidP="009F0ED4">
      <w:pPr>
        <w:pStyle w:val="BodyText1"/>
        <w:jc w:val="both"/>
        <w:rPr>
          <w:rFonts w:asciiTheme="minorHAnsi" w:hAnsiTheme="minorHAnsi" w:cstheme="minorHAnsi"/>
          <w:b w:val="0"/>
        </w:rPr>
      </w:pPr>
      <w:r w:rsidRPr="005F120D">
        <w:rPr>
          <w:rFonts w:asciiTheme="minorHAnsi" w:hAnsiTheme="minorHAnsi" w:cstheme="minorHAnsi"/>
          <w:b w:val="0"/>
        </w:rPr>
        <w:t xml:space="preserve">The standard of </w:t>
      </w:r>
      <w:r w:rsidRPr="005F120D">
        <w:rPr>
          <w:rFonts w:asciiTheme="minorHAnsi" w:hAnsiTheme="minorHAnsi" w:cstheme="minorHAnsi"/>
          <w:b w:val="0"/>
          <w:u w:val="single"/>
        </w:rPr>
        <w:t>PSQL-4</w:t>
      </w:r>
      <w:r w:rsidRPr="005F120D">
        <w:rPr>
          <w:rFonts w:asciiTheme="minorHAnsi" w:hAnsiTheme="minorHAnsi" w:cstheme="minorHAnsi"/>
          <w:b w:val="0"/>
        </w:rPr>
        <w:t xml:space="preserve"> is that 95% teachers receive sub-cluster training: the Program Framework target is that all teachers receive 4 days of sub-cluster trainings each year. PEDP3 placed an increased focus on this PSQL, and increased the training budget allocation (TK. 9,820/- in each sub-cluster). </w:t>
      </w:r>
    </w:p>
    <w:p w:rsidR="009F0ED4" w:rsidRPr="005F120D" w:rsidRDefault="009F0ED4" w:rsidP="009F0ED4">
      <w:pPr>
        <w:pStyle w:val="BodyText1"/>
        <w:jc w:val="both"/>
        <w:rPr>
          <w:rFonts w:asciiTheme="minorHAnsi" w:hAnsiTheme="minorHAnsi" w:cstheme="minorHAnsi"/>
          <w:b w:val="0"/>
        </w:rPr>
      </w:pPr>
      <w:r w:rsidRPr="005F120D">
        <w:rPr>
          <w:rFonts w:asciiTheme="minorHAnsi" w:hAnsiTheme="minorHAnsi" w:cstheme="minorHAnsi"/>
          <w:b w:val="0"/>
        </w:rPr>
        <w:t xml:space="preserve">A total of 11,498 sub-cluster training courses were planned to be conducted quarterly (total 45,992 training courses every year). But in 2015/16 f/y, DPE planned only 3 rounds (11,498x3) instead of 4 rounds (11,498x4) of training, due to lack of funds. A total of 22,996 training courses were completed as of March 2016. The relevant </w:t>
      </w:r>
      <w:r w:rsidR="00E4262D" w:rsidRPr="005F120D">
        <w:rPr>
          <w:rFonts w:asciiTheme="minorHAnsi" w:hAnsiTheme="minorHAnsi" w:cstheme="minorHAnsi"/>
          <w:b w:val="0"/>
        </w:rPr>
        <w:t>Upazila</w:t>
      </w:r>
      <w:r w:rsidRPr="005F120D">
        <w:rPr>
          <w:rFonts w:asciiTheme="minorHAnsi" w:hAnsiTheme="minorHAnsi" w:cstheme="minorHAnsi"/>
          <w:b w:val="0"/>
        </w:rPr>
        <w:t xml:space="preserve"> AUEO and one selected teacher jointly facilitated </w:t>
      </w:r>
      <w:r w:rsidRPr="005F120D">
        <w:rPr>
          <w:rFonts w:asciiTheme="minorHAnsi" w:hAnsiTheme="minorHAnsi" w:cstheme="minorHAnsi"/>
          <w:b w:val="0"/>
        </w:rPr>
        <w:lastRenderedPageBreak/>
        <w:t>the training based on the specified topic on sub-cluster leaflets. All the teachers from the schools within this sub-cluster catchment area are eligible to participate in the training. During the training all schools are closed except the venue school. All field level officials (DD, AD, DPEO, ADPEO, PTI Super, AMO, UEO, URC Instructors and Asst. URC Instructors) are designated for monitoring and supervising the sub-cluster training program.</w:t>
      </w:r>
    </w:p>
    <w:p w:rsidR="0073536F" w:rsidRPr="005F120D" w:rsidRDefault="009F0ED4" w:rsidP="009F0ED4">
      <w:pPr>
        <w:pStyle w:val="BodyText1"/>
        <w:jc w:val="both"/>
        <w:rPr>
          <w:rFonts w:asciiTheme="minorHAnsi" w:hAnsiTheme="minorHAnsi" w:cstheme="minorHAnsi"/>
          <w:b w:val="0"/>
        </w:rPr>
      </w:pPr>
      <w:r w:rsidRPr="005F120D">
        <w:rPr>
          <w:rFonts w:asciiTheme="minorHAnsi" w:hAnsiTheme="minorHAnsi" w:cstheme="minorHAnsi"/>
          <w:b w:val="0"/>
        </w:rPr>
        <w:t>The APSC collected this information and pattern of achievement, presented in Figure 4.7, which displays the level of teacher participation in sub-cluster training in GPS and NNPS for 2005, and 2010 to 2015. About 89.7% of teachers (Head and Assistant) (male 90% and female 89.%) received sub-cluster training in 2015 compared to 73.7% of teachers (Head and Assistant), male 74.6% and female 73% in 2014</w:t>
      </w:r>
      <w:r w:rsidR="0073536F" w:rsidRPr="005F120D">
        <w:rPr>
          <w:rFonts w:asciiTheme="minorHAnsi" w:hAnsiTheme="minorHAnsi" w:cstheme="minorHAnsi"/>
          <w:b w:val="0"/>
        </w:rPr>
        <w:t>.</w:t>
      </w:r>
    </w:p>
    <w:p w:rsidR="0012730D" w:rsidRPr="005F120D" w:rsidRDefault="0012730D" w:rsidP="00C437AA">
      <w:pPr>
        <w:pStyle w:val="Caption"/>
        <w:spacing w:line="276" w:lineRule="auto"/>
        <w:rPr>
          <w:rFonts w:cstheme="minorHAnsi"/>
        </w:rPr>
      </w:pPr>
      <w:bookmarkStart w:id="461" w:name="_Toc462837449"/>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E14B46" w:rsidRPr="005F120D">
        <w:rPr>
          <w:rFonts w:cstheme="minorHAnsi"/>
        </w:rPr>
        <w:t xml:space="preserve">: </w:t>
      </w:r>
      <w:r w:rsidR="0073536F" w:rsidRPr="005F120D">
        <w:rPr>
          <w:rFonts w:cstheme="minorHAnsi"/>
        </w:rPr>
        <w:t xml:space="preserve">Trends in </w:t>
      </w:r>
      <w:r w:rsidRPr="005F120D">
        <w:rPr>
          <w:rFonts w:cstheme="minorHAnsi"/>
        </w:rPr>
        <w:t>P</w:t>
      </w:r>
      <w:r w:rsidR="00125467" w:rsidRPr="005F120D">
        <w:rPr>
          <w:rFonts w:cstheme="minorHAnsi"/>
        </w:rPr>
        <w:t>ercentage of T</w:t>
      </w:r>
      <w:r w:rsidRPr="005F120D">
        <w:rPr>
          <w:rFonts w:cstheme="minorHAnsi"/>
        </w:rPr>
        <w:t xml:space="preserve">eachers received </w:t>
      </w:r>
      <w:r w:rsidR="00125467" w:rsidRPr="005F120D">
        <w:rPr>
          <w:rFonts w:cstheme="minorHAnsi"/>
        </w:rPr>
        <w:t>S</w:t>
      </w:r>
      <w:r w:rsidR="00CD59F8" w:rsidRPr="005F120D">
        <w:rPr>
          <w:rFonts w:cstheme="minorHAnsi"/>
        </w:rPr>
        <w:t>ub-cluster</w:t>
      </w:r>
      <w:r w:rsidR="00125467" w:rsidRPr="005F120D">
        <w:rPr>
          <w:rFonts w:cstheme="minorHAnsi"/>
        </w:rPr>
        <w:t xml:space="preserve"> T</w:t>
      </w:r>
      <w:r w:rsidR="00F7312A" w:rsidRPr="005F120D">
        <w:rPr>
          <w:rFonts w:cstheme="minorHAnsi"/>
        </w:rPr>
        <w:t>raining</w:t>
      </w:r>
      <w:r w:rsidR="00125467" w:rsidRPr="005F120D">
        <w:rPr>
          <w:rFonts w:cstheme="minorHAnsi"/>
        </w:rPr>
        <w:t xml:space="preserve"> by Gender</w:t>
      </w:r>
      <w:r w:rsidR="0073536F" w:rsidRPr="005F120D">
        <w:rPr>
          <w:rFonts w:cstheme="minorHAnsi"/>
        </w:rPr>
        <w:t xml:space="preserve"> (GPS and NNPS) </w:t>
      </w:r>
      <w:r w:rsidRPr="005F120D">
        <w:rPr>
          <w:rFonts w:cstheme="minorHAnsi"/>
        </w:rPr>
        <w:t>2005</w:t>
      </w:r>
      <w:r w:rsidR="00F7312A" w:rsidRPr="005F120D">
        <w:rPr>
          <w:rFonts w:cstheme="minorHAnsi"/>
        </w:rPr>
        <w:t>, 2010</w:t>
      </w:r>
      <w:r w:rsidRPr="005F120D">
        <w:rPr>
          <w:rFonts w:cstheme="minorHAnsi"/>
        </w:rPr>
        <w:t>–201</w:t>
      </w:r>
      <w:r w:rsidR="00125467" w:rsidRPr="005F120D">
        <w:rPr>
          <w:rFonts w:cstheme="minorHAnsi"/>
        </w:rPr>
        <w:t>5</w:t>
      </w:r>
      <w:r w:rsidRPr="005F120D">
        <w:rPr>
          <w:rFonts w:cstheme="minorHAnsi"/>
        </w:rPr>
        <w:t xml:space="preserve"> (%)</w:t>
      </w:r>
      <w:bookmarkEnd w:id="461"/>
    </w:p>
    <w:p w:rsidR="0012730D" w:rsidRPr="005F120D" w:rsidRDefault="005C23A6" w:rsidP="00C437AA">
      <w:pPr>
        <w:spacing w:after="40" w:line="276" w:lineRule="auto"/>
        <w:jc w:val="center"/>
        <w:rPr>
          <w:rFonts w:asciiTheme="minorHAnsi" w:hAnsiTheme="minorHAnsi" w:cstheme="minorHAnsi"/>
          <w:color w:val="FF0000"/>
        </w:rPr>
      </w:pPr>
      <w:r w:rsidRPr="005F120D">
        <w:rPr>
          <w:rFonts w:asciiTheme="minorHAnsi" w:hAnsiTheme="minorHAnsi" w:cstheme="minorHAnsi"/>
          <w:noProof/>
          <w:color w:val="FF0000"/>
          <w:lang w:eastAsia="en-US"/>
        </w:rPr>
        <w:drawing>
          <wp:inline distT="0" distB="0" distL="0" distR="0">
            <wp:extent cx="5524500" cy="2882900"/>
            <wp:effectExtent l="38100" t="19050" r="19050" b="0"/>
            <wp:docPr id="11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C76E1" w:rsidRPr="005F120D" w:rsidRDefault="005C23A6" w:rsidP="00C437AA">
      <w:pPr>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 xml:space="preserve">        Source: APSC 2005, 2010-2015</w:t>
      </w:r>
    </w:p>
    <w:p w:rsidR="00D757B6" w:rsidRPr="005F120D" w:rsidRDefault="00D757B6" w:rsidP="00D757B6">
      <w:pPr>
        <w:spacing w:line="276" w:lineRule="auto"/>
        <w:jc w:val="both"/>
        <w:rPr>
          <w:rFonts w:asciiTheme="minorHAnsi" w:hAnsiTheme="minorHAnsi" w:cstheme="minorHAnsi"/>
        </w:rPr>
      </w:pPr>
      <w:bookmarkStart w:id="462" w:name="_Ref225407697"/>
      <w:bookmarkStart w:id="463" w:name="_Ref387416097"/>
      <w:bookmarkEnd w:id="455"/>
      <w:bookmarkEnd w:id="456"/>
      <w:bookmarkEnd w:id="457"/>
      <w:bookmarkEnd w:id="458"/>
      <w:bookmarkEnd w:id="459"/>
      <w:r w:rsidRPr="005F120D">
        <w:rPr>
          <w:rFonts w:asciiTheme="minorHAnsi" w:hAnsiTheme="minorHAnsi" w:cstheme="minorHAnsi"/>
        </w:rPr>
        <w:t xml:space="preserve">The following Figure 4.7 presents the results for both types of training, disaggregated by GPS and NNPS. This shows that the proportion of teachers in GPS and NNPS, who were trained across the two categories of training (subject based and sub-cluster), rose to 72% (GPS) and 77% (NNPS) in 2015, compared to 84.4% (GPS) and 85.5% (NNPS) of teachers on subject-based training in 2010. Sub-cluster training for GPS teachers reached nearly of 91% and for NNPS teachers 89% in 2015, compared to GPS 87.7% and NNPS 87.4% in 2010.  </w:t>
      </w:r>
    </w:p>
    <w:p w:rsidR="00F577A2" w:rsidRPr="005F120D" w:rsidRDefault="00D757B6" w:rsidP="00D757B6">
      <w:pPr>
        <w:spacing w:line="276" w:lineRule="auto"/>
        <w:jc w:val="both"/>
        <w:rPr>
          <w:rFonts w:asciiTheme="minorHAnsi" w:hAnsiTheme="minorHAnsi" w:cstheme="minorHAnsi"/>
        </w:rPr>
      </w:pPr>
      <w:r w:rsidRPr="005F120D">
        <w:rPr>
          <w:rFonts w:asciiTheme="minorHAnsi" w:hAnsiTheme="minorHAnsi" w:cstheme="minorHAnsi"/>
        </w:rPr>
        <w:t xml:space="preserve">The downward trend was observed on subject-based training for GPS and NNPS teachers since 2010 with the exception of 2013 and 2015. One clarification is that there was no allocation for subject based training at the start of PEDP3. In addition, newly recruited teachers in GPS had probably less opportunity to receive in-service training courses, due to the timing of their recruitment, which did not match the training schedule. </w:t>
      </w:r>
      <w:bookmarkEnd w:id="462"/>
      <w:r w:rsidRPr="005F120D">
        <w:rPr>
          <w:rFonts w:asciiTheme="minorHAnsi" w:hAnsiTheme="minorHAnsi" w:cstheme="minorHAnsi"/>
        </w:rPr>
        <w:t>On the other hand, sub-cluster training was found to be improving with exception in 2012 and 2014</w:t>
      </w:r>
      <w:r w:rsidR="00520C99" w:rsidRPr="005F120D">
        <w:rPr>
          <w:rFonts w:asciiTheme="minorHAnsi" w:hAnsiTheme="minorHAnsi" w:cstheme="minorHAnsi"/>
        </w:rPr>
        <w:t>.</w:t>
      </w:r>
    </w:p>
    <w:p w:rsidR="00860D37" w:rsidRPr="005F120D" w:rsidRDefault="00265874" w:rsidP="00C437AA">
      <w:pPr>
        <w:pStyle w:val="Caption"/>
        <w:spacing w:line="276" w:lineRule="auto"/>
        <w:rPr>
          <w:rFonts w:cstheme="minorHAnsi"/>
        </w:rPr>
      </w:pPr>
      <w:bookmarkStart w:id="464" w:name="_Toc462837450"/>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7</w:t>
      </w:r>
      <w:r w:rsidR="002E2ED5" w:rsidRPr="005F120D">
        <w:rPr>
          <w:rFonts w:cstheme="minorHAnsi"/>
        </w:rPr>
        <w:fldChar w:fldCharType="end"/>
      </w:r>
      <w:bookmarkEnd w:id="463"/>
      <w:r w:rsidRPr="005F120D">
        <w:rPr>
          <w:rFonts w:cstheme="minorHAnsi"/>
        </w:rPr>
        <w:t xml:space="preserve">:  </w:t>
      </w:r>
      <w:r w:rsidR="00763EEA" w:rsidRPr="005F120D">
        <w:rPr>
          <w:rFonts w:cstheme="minorHAnsi"/>
        </w:rPr>
        <w:t>Proportion of GPS/</w:t>
      </w:r>
      <w:r w:rsidR="003C42F2" w:rsidRPr="005F120D">
        <w:rPr>
          <w:rFonts w:cstheme="minorHAnsi"/>
        </w:rPr>
        <w:t>NNPS</w:t>
      </w:r>
      <w:r w:rsidR="00E4262D">
        <w:rPr>
          <w:rFonts w:cstheme="minorHAnsi"/>
        </w:rPr>
        <w:t xml:space="preserve"> </w:t>
      </w:r>
      <w:r w:rsidR="005904EF" w:rsidRPr="005F120D">
        <w:rPr>
          <w:rFonts w:cstheme="minorHAnsi"/>
        </w:rPr>
        <w:t>Teacher Received In-Service T</w:t>
      </w:r>
      <w:r w:rsidR="009E3A65" w:rsidRPr="005F120D">
        <w:rPr>
          <w:rFonts w:cstheme="minorHAnsi"/>
        </w:rPr>
        <w:t>raining 2005–2015</w:t>
      </w:r>
      <w:r w:rsidR="00763EEA" w:rsidRPr="005F120D">
        <w:rPr>
          <w:rFonts w:cstheme="minorHAnsi"/>
        </w:rPr>
        <w:t xml:space="preserve"> (%)</w:t>
      </w:r>
      <w:bookmarkStart w:id="465" w:name="_Ref387417336"/>
      <w:bookmarkEnd w:id="464"/>
    </w:p>
    <w:bookmarkEnd w:id="465"/>
    <w:p w:rsidR="00256041" w:rsidRPr="005F120D" w:rsidRDefault="00F33EF3" w:rsidP="00C437AA">
      <w:pPr>
        <w:spacing w:after="40" w:line="276" w:lineRule="auto"/>
        <w:jc w:val="center"/>
        <w:rPr>
          <w:rFonts w:asciiTheme="minorHAnsi" w:hAnsiTheme="minorHAnsi" w:cstheme="minorHAnsi"/>
        </w:rPr>
      </w:pPr>
      <w:r w:rsidRPr="005F120D">
        <w:rPr>
          <w:rFonts w:asciiTheme="minorHAnsi" w:hAnsiTheme="minorHAnsi" w:cstheme="minorHAnsi"/>
          <w:noProof/>
          <w:lang w:eastAsia="en-US"/>
        </w:rPr>
        <w:drawing>
          <wp:inline distT="0" distB="0" distL="0" distR="0">
            <wp:extent cx="5251642" cy="2197938"/>
            <wp:effectExtent l="38100" t="19050" r="25208"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839C1" w:rsidRPr="005F120D" w:rsidRDefault="0027718A" w:rsidP="00C437AA">
      <w:pPr>
        <w:pStyle w:val="Caption"/>
        <w:spacing w:line="276" w:lineRule="auto"/>
        <w:jc w:val="left"/>
        <w:rPr>
          <w:rFonts w:cstheme="minorHAnsi"/>
          <w:sz w:val="16"/>
          <w:szCs w:val="16"/>
        </w:rPr>
      </w:pPr>
      <w:r w:rsidRPr="005F120D">
        <w:rPr>
          <w:rFonts w:cstheme="minorHAnsi"/>
          <w:sz w:val="16"/>
          <w:szCs w:val="16"/>
        </w:rPr>
        <w:t>Source: APSC 2015</w:t>
      </w:r>
    </w:p>
    <w:p w:rsidR="00405389" w:rsidRPr="005F120D" w:rsidRDefault="00D757B6" w:rsidP="00C437AA">
      <w:pPr>
        <w:spacing w:line="276" w:lineRule="auto"/>
        <w:jc w:val="both"/>
        <w:rPr>
          <w:rFonts w:asciiTheme="minorHAnsi" w:hAnsiTheme="minorHAnsi" w:cstheme="minorHAnsi"/>
        </w:rPr>
      </w:pPr>
      <w:r w:rsidRPr="005F120D">
        <w:rPr>
          <w:rFonts w:asciiTheme="minorHAnsi" w:hAnsiTheme="minorHAnsi" w:cstheme="minorHAnsi"/>
        </w:rPr>
        <w:t>The following Figure 4.8 displays a different pattern in the proportion of Head Teachers attending in-service training compared to that of Assistant Teachers. For both Head and Assistant Teachers in 2015, on average, 81% of Head Teachers and 72% of Assistant Teachers received subject-based training compared to 62% of Head Teachers and 60% of Assistant Teachers in 2014. And 91% of Head Teachers and 89% of Assistant Teachers received sub-cluster training compared to 76% of Head Teachers and 68% of Assistant Teachers in 2014</w:t>
      </w:r>
      <w:r w:rsidR="00405389" w:rsidRPr="005F120D">
        <w:rPr>
          <w:rFonts w:asciiTheme="minorHAnsi" w:hAnsiTheme="minorHAnsi" w:cstheme="minorHAnsi"/>
        </w:rPr>
        <w:t>.</w:t>
      </w:r>
    </w:p>
    <w:p w:rsidR="00212004" w:rsidRPr="005F120D" w:rsidRDefault="00212004" w:rsidP="00C437AA">
      <w:pPr>
        <w:pStyle w:val="Caption"/>
        <w:spacing w:line="276" w:lineRule="auto"/>
        <w:rPr>
          <w:rFonts w:cstheme="minorHAnsi"/>
        </w:rPr>
      </w:pPr>
      <w:bookmarkStart w:id="466" w:name="_Toc462837451"/>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8</w:t>
      </w:r>
      <w:r w:rsidR="002E2ED5" w:rsidRPr="005F120D">
        <w:rPr>
          <w:rFonts w:cstheme="minorHAnsi"/>
        </w:rPr>
        <w:fldChar w:fldCharType="end"/>
      </w:r>
      <w:r w:rsidRPr="005F120D">
        <w:rPr>
          <w:rFonts w:cstheme="minorHAnsi"/>
        </w:rPr>
        <w:t>:  Proportion of Head/Assistant Teacher Received In-Service Training 2005–201</w:t>
      </w:r>
      <w:r w:rsidR="00804D84" w:rsidRPr="005F120D">
        <w:rPr>
          <w:rFonts w:cstheme="minorHAnsi"/>
        </w:rPr>
        <w:t>5</w:t>
      </w:r>
      <w:bookmarkEnd w:id="466"/>
    </w:p>
    <w:p w:rsidR="00716785" w:rsidRPr="005F120D" w:rsidRDefault="00804D84" w:rsidP="00C437AA">
      <w:pPr>
        <w:spacing w:after="40" w:line="276" w:lineRule="auto"/>
        <w:jc w:val="center"/>
        <w:rPr>
          <w:rFonts w:asciiTheme="minorHAnsi" w:hAnsiTheme="minorHAnsi" w:cstheme="minorHAnsi"/>
          <w:b/>
          <w:color w:val="FF0000"/>
          <w:sz w:val="16"/>
          <w:szCs w:val="16"/>
        </w:rPr>
      </w:pPr>
      <w:r w:rsidRPr="005F120D">
        <w:rPr>
          <w:rFonts w:asciiTheme="minorHAnsi" w:hAnsiTheme="minorHAnsi" w:cstheme="minorHAnsi"/>
          <w:b/>
          <w:noProof/>
          <w:color w:val="FF0000"/>
          <w:sz w:val="16"/>
          <w:szCs w:val="16"/>
          <w:lang w:eastAsia="en-US"/>
        </w:rPr>
        <w:drawing>
          <wp:inline distT="0" distB="0" distL="0" distR="0">
            <wp:extent cx="5594350" cy="2387600"/>
            <wp:effectExtent l="38100" t="19050" r="25400" b="0"/>
            <wp:docPr id="116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A356A" w:rsidRPr="005F120D" w:rsidRDefault="00212004" w:rsidP="002C2191">
      <w:pPr>
        <w:spacing w:line="276" w:lineRule="auto"/>
        <w:rPr>
          <w:rFonts w:asciiTheme="minorHAnsi" w:hAnsiTheme="minorHAnsi" w:cstheme="minorHAnsi"/>
          <w:b/>
          <w:sz w:val="16"/>
          <w:szCs w:val="16"/>
        </w:rPr>
      </w:pPr>
      <w:r w:rsidRPr="005F120D">
        <w:rPr>
          <w:rFonts w:asciiTheme="minorHAnsi" w:hAnsiTheme="minorHAnsi" w:cstheme="minorHAnsi"/>
          <w:b/>
          <w:sz w:val="16"/>
          <w:szCs w:val="16"/>
        </w:rPr>
        <w:t>Source: APSC 2005, 2010 – 201</w:t>
      </w:r>
      <w:bookmarkStart w:id="467" w:name="_Ref387996867"/>
      <w:r w:rsidR="00405389" w:rsidRPr="005F120D">
        <w:rPr>
          <w:rFonts w:asciiTheme="minorHAnsi" w:hAnsiTheme="minorHAnsi" w:cstheme="minorHAnsi"/>
          <w:b/>
          <w:sz w:val="16"/>
          <w:szCs w:val="16"/>
        </w:rPr>
        <w:t>5</w:t>
      </w:r>
    </w:p>
    <w:p w:rsidR="00212004" w:rsidRPr="005F120D" w:rsidRDefault="00D757B6" w:rsidP="00C437AA">
      <w:pPr>
        <w:spacing w:after="0" w:line="276" w:lineRule="auto"/>
        <w:jc w:val="both"/>
        <w:rPr>
          <w:rFonts w:asciiTheme="minorHAnsi" w:hAnsiTheme="minorHAnsi" w:cstheme="minorHAnsi"/>
        </w:rPr>
      </w:pPr>
      <w:r w:rsidRPr="005F120D">
        <w:rPr>
          <w:rFonts w:asciiTheme="minorHAnsi" w:hAnsiTheme="minorHAnsi" w:cstheme="minorHAnsi"/>
        </w:rPr>
        <w:t>The following Figure 4.9 displays teachers’ participation in in-service training disaggregated by gender. It shows that in both types of in-service training, females are behind males, with 79% of males having had subject-based training compared to 70% of females; and 90% of males having undergone sub-cluster training compared to 89% of females in 2015. This pattern was found each year and in each category, females received less training than males. It is not clear why these disparities exist but they require further investigation and analysis to discover the reasons, so that they can be addressed in future</w:t>
      </w:r>
      <w:r w:rsidR="00716785" w:rsidRPr="005F120D">
        <w:rPr>
          <w:rFonts w:asciiTheme="minorHAnsi" w:hAnsiTheme="minorHAnsi" w:cstheme="minorHAnsi"/>
        </w:rPr>
        <w:t>.</w:t>
      </w:r>
    </w:p>
    <w:p w:rsidR="00212004" w:rsidRPr="005F120D" w:rsidRDefault="00212004" w:rsidP="00C437AA">
      <w:pPr>
        <w:pStyle w:val="Caption"/>
        <w:spacing w:line="276" w:lineRule="auto"/>
        <w:rPr>
          <w:rFonts w:cstheme="minorHAnsi"/>
        </w:rPr>
      </w:pPr>
      <w:bookmarkStart w:id="468" w:name="_Toc462837452"/>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9</w:t>
      </w:r>
      <w:r w:rsidR="002E2ED5" w:rsidRPr="005F120D">
        <w:rPr>
          <w:rFonts w:cstheme="minorHAnsi"/>
        </w:rPr>
        <w:fldChar w:fldCharType="end"/>
      </w:r>
      <w:bookmarkEnd w:id="467"/>
      <w:r w:rsidR="00E70F39" w:rsidRPr="005F120D">
        <w:rPr>
          <w:rFonts w:cstheme="minorHAnsi"/>
        </w:rPr>
        <w:t>:  Proportion of Teacher w</w:t>
      </w:r>
      <w:r w:rsidRPr="005F120D">
        <w:rPr>
          <w:rFonts w:cstheme="minorHAnsi"/>
        </w:rPr>
        <w:t xml:space="preserve">ho </w:t>
      </w:r>
      <w:r w:rsidR="00E70F39" w:rsidRPr="005F120D">
        <w:rPr>
          <w:rFonts w:cstheme="minorHAnsi"/>
        </w:rPr>
        <w:t>received</w:t>
      </w:r>
      <w:r w:rsidRPr="005F120D">
        <w:rPr>
          <w:rFonts w:cstheme="minorHAnsi"/>
        </w:rPr>
        <w:t xml:space="preserve"> In-Service Training by Gender 2005–201</w:t>
      </w:r>
      <w:r w:rsidR="0027718A" w:rsidRPr="005F120D">
        <w:rPr>
          <w:rFonts w:cstheme="minorHAnsi"/>
        </w:rPr>
        <w:t>5</w:t>
      </w:r>
      <w:bookmarkEnd w:id="468"/>
    </w:p>
    <w:p w:rsidR="003C210D" w:rsidRPr="005F120D" w:rsidRDefault="00C61E8A" w:rsidP="00C437AA">
      <w:pPr>
        <w:spacing w:after="40" w:line="276" w:lineRule="auto"/>
        <w:jc w:val="center"/>
        <w:rPr>
          <w:rFonts w:asciiTheme="minorHAnsi" w:hAnsiTheme="minorHAnsi" w:cstheme="minorHAnsi"/>
          <w:b/>
          <w:color w:val="FF0000"/>
          <w:sz w:val="16"/>
          <w:szCs w:val="16"/>
        </w:rPr>
      </w:pPr>
      <w:r w:rsidRPr="005F120D">
        <w:rPr>
          <w:rFonts w:asciiTheme="minorHAnsi" w:hAnsiTheme="minorHAnsi" w:cstheme="minorHAnsi"/>
          <w:b/>
          <w:noProof/>
          <w:color w:val="E36C0A" w:themeColor="accent6" w:themeShade="BF"/>
          <w:sz w:val="16"/>
          <w:szCs w:val="16"/>
          <w:lang w:eastAsia="en-US"/>
        </w:rPr>
        <w:drawing>
          <wp:inline distT="0" distB="0" distL="0" distR="0">
            <wp:extent cx="5695950" cy="2527300"/>
            <wp:effectExtent l="38100" t="19050" r="19050" b="6350"/>
            <wp:docPr id="115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12004" w:rsidRPr="005F120D" w:rsidRDefault="00212004" w:rsidP="00C437AA">
      <w:pPr>
        <w:spacing w:after="40" w:line="276" w:lineRule="auto"/>
        <w:rPr>
          <w:rFonts w:asciiTheme="minorHAnsi" w:hAnsiTheme="minorHAnsi" w:cstheme="minorHAnsi"/>
          <w:b/>
          <w:sz w:val="16"/>
          <w:szCs w:val="16"/>
        </w:rPr>
      </w:pPr>
      <w:r w:rsidRPr="005F120D">
        <w:rPr>
          <w:rFonts w:asciiTheme="minorHAnsi" w:hAnsiTheme="minorHAnsi" w:cstheme="minorHAnsi"/>
          <w:b/>
          <w:sz w:val="16"/>
          <w:szCs w:val="16"/>
        </w:rPr>
        <w:t xml:space="preserve">Source: APSC 2005, 2010 </w:t>
      </w:r>
      <w:r w:rsidR="00D74A25" w:rsidRPr="005F120D">
        <w:rPr>
          <w:rFonts w:asciiTheme="minorHAnsi" w:hAnsiTheme="minorHAnsi" w:cstheme="minorHAnsi"/>
          <w:b/>
          <w:sz w:val="16"/>
          <w:szCs w:val="16"/>
        </w:rPr>
        <w:t>–</w:t>
      </w:r>
      <w:r w:rsidRPr="005F120D">
        <w:rPr>
          <w:rFonts w:asciiTheme="minorHAnsi" w:hAnsiTheme="minorHAnsi" w:cstheme="minorHAnsi"/>
          <w:b/>
          <w:sz w:val="16"/>
          <w:szCs w:val="16"/>
        </w:rPr>
        <w:t xml:space="preserve"> 201</w:t>
      </w:r>
      <w:r w:rsidR="00C61E8A" w:rsidRPr="005F120D">
        <w:rPr>
          <w:rFonts w:asciiTheme="minorHAnsi" w:hAnsiTheme="minorHAnsi" w:cstheme="minorHAnsi"/>
          <w:b/>
          <w:sz w:val="16"/>
          <w:szCs w:val="16"/>
        </w:rPr>
        <w:t>5</w:t>
      </w:r>
    </w:p>
    <w:p w:rsidR="00332BB3" w:rsidRPr="005F120D" w:rsidRDefault="0077782E" w:rsidP="004E77B3">
      <w:pPr>
        <w:pStyle w:val="Heading3"/>
      </w:pPr>
      <w:r w:rsidRPr="005F120D">
        <w:t>Stu</w:t>
      </w:r>
      <w:r w:rsidR="009F3AFA" w:rsidRPr="005F120D">
        <w:t xml:space="preserve">dents </w:t>
      </w:r>
      <w:r w:rsidR="00332BB3" w:rsidRPr="005F120D">
        <w:t>teacher</w:t>
      </w:r>
      <w:bookmarkEnd w:id="440"/>
      <w:bookmarkEnd w:id="441"/>
      <w:r w:rsidR="00E4262D">
        <w:t xml:space="preserve"> </w:t>
      </w:r>
      <w:r w:rsidR="009F3AFA" w:rsidRPr="005F120D">
        <w:t xml:space="preserve">Ratio </w:t>
      </w:r>
      <w:r w:rsidR="00332BB3" w:rsidRPr="005F120D">
        <w:t>(STR)</w:t>
      </w:r>
      <w:bookmarkEnd w:id="442"/>
      <w:bookmarkEnd w:id="443"/>
    </w:p>
    <w:p w:rsidR="00A87CF0" w:rsidRPr="005F120D" w:rsidRDefault="00A87CF0" w:rsidP="00A87CF0">
      <w:pPr>
        <w:spacing w:after="120"/>
        <w:jc w:val="both"/>
        <w:rPr>
          <w:rFonts w:asciiTheme="minorHAnsi" w:hAnsiTheme="minorHAnsi" w:cstheme="minorHAnsi"/>
        </w:rPr>
      </w:pPr>
      <w:r w:rsidRPr="005F120D">
        <w:rPr>
          <w:rFonts w:asciiTheme="minorHAnsi" w:hAnsiTheme="minorHAnsi" w:cstheme="minorHAnsi"/>
        </w:rPr>
        <w:t xml:space="preserve">The Student-Teacher Ratio is an indicator, which gives teachers’ workload and the classroom situation. The </w:t>
      </w:r>
      <w:r w:rsidRPr="005F120D">
        <w:rPr>
          <w:rFonts w:asciiTheme="minorHAnsi" w:hAnsiTheme="minorHAnsi" w:cstheme="minorHAnsi"/>
          <w:u w:val="single"/>
        </w:rPr>
        <w:t>PSQL-14</w:t>
      </w:r>
      <w:r w:rsidRPr="005F120D">
        <w:rPr>
          <w:rFonts w:asciiTheme="minorHAnsi" w:hAnsiTheme="minorHAnsi" w:cstheme="minorHAnsi"/>
        </w:rPr>
        <w:t xml:space="preserve"> standard in PEDP3 is one teacher per 46 students.  This ratio is extremely high, and to reach the international standard, it should be reduced to one teacher for every 30 students in the Post PEDP3. However, in order to calculate how many schools achieved the PEDP3 standard 1:46, two different approaches are used:</w:t>
      </w:r>
    </w:p>
    <w:p w:rsidR="00A87CF0" w:rsidRPr="005F120D" w:rsidRDefault="00A87CF0" w:rsidP="00A87CF0">
      <w:pPr>
        <w:numPr>
          <w:ilvl w:val="0"/>
          <w:numId w:val="101"/>
        </w:numPr>
        <w:spacing w:after="200"/>
        <w:contextualSpacing/>
        <w:jc w:val="both"/>
        <w:rPr>
          <w:rFonts w:asciiTheme="minorHAnsi" w:hAnsiTheme="minorHAnsi" w:cstheme="minorHAnsi"/>
        </w:rPr>
      </w:pPr>
      <w:r w:rsidRPr="005F120D">
        <w:rPr>
          <w:rFonts w:asciiTheme="minorHAnsi" w:hAnsiTheme="minorHAnsi" w:cstheme="minorHAnsi"/>
        </w:rPr>
        <w:t>The total number of enrolled students is divided by the total number of working teachers for each single shift in GPS and NNPS (Head and Assistant teachers); and</w:t>
      </w:r>
    </w:p>
    <w:p w:rsidR="00A87CF0" w:rsidRPr="005F120D" w:rsidRDefault="00A87CF0" w:rsidP="00A87CF0">
      <w:pPr>
        <w:numPr>
          <w:ilvl w:val="0"/>
          <w:numId w:val="101"/>
        </w:numPr>
        <w:spacing w:after="120"/>
        <w:contextualSpacing/>
        <w:jc w:val="both"/>
        <w:rPr>
          <w:rFonts w:asciiTheme="minorHAnsi" w:hAnsiTheme="minorHAnsi" w:cstheme="minorHAnsi"/>
        </w:rPr>
      </w:pPr>
      <w:r w:rsidRPr="005F120D">
        <w:rPr>
          <w:rFonts w:asciiTheme="minorHAnsi" w:hAnsiTheme="minorHAnsi" w:cstheme="minorHAnsi"/>
        </w:rPr>
        <w:t xml:space="preserve">The total number of enrolled students is divided by the number of ‘effective’ working teachers for each GPS and NNPS. To calculate the number of ‘effective’ teachers, the number of teachers is multiplied by two in double-shift schools, which assumes that all teachers teach in both shifts (and staggered shifts). </w:t>
      </w:r>
    </w:p>
    <w:p w:rsidR="00A87CF0" w:rsidRPr="005F120D" w:rsidRDefault="00A87CF0" w:rsidP="00A87CF0">
      <w:pPr>
        <w:spacing w:after="120"/>
        <w:jc w:val="both"/>
        <w:rPr>
          <w:rFonts w:asciiTheme="minorHAnsi" w:hAnsiTheme="minorHAnsi" w:cstheme="minorHAnsi"/>
        </w:rPr>
      </w:pPr>
      <w:r w:rsidRPr="005F120D">
        <w:rPr>
          <w:rFonts w:asciiTheme="minorHAnsi" w:hAnsiTheme="minorHAnsi" w:cstheme="minorHAnsi"/>
        </w:rPr>
        <w:t xml:space="preserve">Table 4.4 shows the proportion of schools, which met the standard, that is, where the number of students per teacher was below 46. Using the first approach (single shift schools only), this shows that there has  been a marked improvement in the share of GPS meeting the standard, from 44% schools in 2010 to 71.5% in 2015; over the same period, the situation in NNPS has not improved very much. It appears that the recruitment of additional NNPS (52% in 2010 to 51.3% in 2015) teachers have not kept pace, considering the increase in enrolment. </w:t>
      </w:r>
    </w:p>
    <w:p w:rsidR="000F1D47" w:rsidRPr="005F120D" w:rsidRDefault="00A87CF0" w:rsidP="00A87CF0">
      <w:pPr>
        <w:jc w:val="both"/>
        <w:rPr>
          <w:rFonts w:asciiTheme="minorHAnsi" w:hAnsiTheme="minorHAnsi" w:cstheme="minorHAnsi"/>
        </w:rPr>
      </w:pPr>
      <w:r w:rsidRPr="005F120D">
        <w:rPr>
          <w:rFonts w:asciiTheme="minorHAnsi" w:hAnsiTheme="minorHAnsi" w:cstheme="minorHAnsi"/>
        </w:rPr>
        <w:t xml:space="preserve">Under the second approach, which takes account of double-shift schools, 95% of GPS met the standard STR ratio, compared with 94% of NNPS. Although these are fairly high proportions, it is important to remember that </w:t>
      </w:r>
      <w:r w:rsidRPr="005F120D">
        <w:rPr>
          <w:rFonts w:asciiTheme="minorHAnsi" w:hAnsiTheme="minorHAnsi" w:cstheme="minorHAnsi"/>
          <w:i/>
        </w:rPr>
        <w:t>double-shift schools deliver far fewer contract hours than the defined standard</w:t>
      </w:r>
      <w:r w:rsidRPr="005F120D">
        <w:rPr>
          <w:rFonts w:asciiTheme="minorHAnsi" w:hAnsiTheme="minorHAnsi" w:cstheme="minorHAnsi"/>
        </w:rPr>
        <w:t>. Based on this PSQL, the overall implication of the figures in Table 4.4 is that there is still an acute shortage of primary teachers</w:t>
      </w:r>
      <w:r w:rsidR="00332BB3" w:rsidRPr="005F120D">
        <w:rPr>
          <w:rFonts w:asciiTheme="minorHAnsi" w:hAnsiTheme="minorHAnsi" w:cstheme="minorHAnsi"/>
        </w:rPr>
        <w:t>.</w:t>
      </w:r>
    </w:p>
    <w:p w:rsidR="000F1D47" w:rsidRPr="005F120D" w:rsidRDefault="000F1D47">
      <w:pPr>
        <w:spacing w:after="0"/>
        <w:rPr>
          <w:rFonts w:asciiTheme="minorHAnsi" w:hAnsiTheme="minorHAnsi" w:cstheme="minorHAnsi"/>
        </w:rPr>
      </w:pPr>
      <w:r w:rsidRPr="005F120D">
        <w:rPr>
          <w:rFonts w:asciiTheme="minorHAnsi" w:hAnsiTheme="minorHAnsi" w:cstheme="minorHAnsi"/>
        </w:rPr>
        <w:br w:type="page"/>
      </w:r>
    </w:p>
    <w:p w:rsidR="00332BB3" w:rsidRPr="005F120D" w:rsidRDefault="00332BB3" w:rsidP="00C437AA">
      <w:pPr>
        <w:pStyle w:val="Caption"/>
        <w:keepNext/>
        <w:spacing w:line="276" w:lineRule="auto"/>
        <w:rPr>
          <w:rFonts w:cstheme="minorHAnsi"/>
          <w:i/>
        </w:rPr>
      </w:pPr>
      <w:bookmarkStart w:id="469" w:name="_Ref387483866"/>
      <w:bookmarkStart w:id="470" w:name="_Toc338839611"/>
      <w:bookmarkStart w:id="471" w:name="_Toc385242105"/>
      <w:bookmarkStart w:id="472" w:name="_Toc385414247"/>
      <w:bookmarkStart w:id="473" w:name="_Toc385419602"/>
      <w:bookmarkStart w:id="474" w:name="_Toc462837295"/>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bookmarkEnd w:id="469"/>
      <w:r w:rsidRPr="005F120D">
        <w:rPr>
          <w:rFonts w:cstheme="minorHAnsi"/>
        </w:rPr>
        <w:t xml:space="preserve">:  Schools (GPS and </w:t>
      </w:r>
      <w:r w:rsidR="003C42F2" w:rsidRPr="005F120D">
        <w:rPr>
          <w:rFonts w:cstheme="minorHAnsi"/>
        </w:rPr>
        <w:t>NNPS</w:t>
      </w:r>
      <w:r w:rsidR="00BE5160" w:rsidRPr="005F120D">
        <w:rPr>
          <w:rFonts w:cstheme="minorHAnsi"/>
        </w:rPr>
        <w:t xml:space="preserve">) Which Meet </w:t>
      </w:r>
      <w:r w:rsidR="00893BB9" w:rsidRPr="005F120D">
        <w:rPr>
          <w:rFonts w:cstheme="minorHAnsi"/>
        </w:rPr>
        <w:t>the</w:t>
      </w:r>
      <w:r w:rsidR="00BE5160" w:rsidRPr="005F120D">
        <w:rPr>
          <w:rFonts w:cstheme="minorHAnsi"/>
        </w:rPr>
        <w:t xml:space="preserve"> Students-per-Teacher S</w:t>
      </w:r>
      <w:r w:rsidRPr="005F120D">
        <w:rPr>
          <w:rFonts w:cstheme="minorHAnsi"/>
        </w:rPr>
        <w:t>tandard</w:t>
      </w:r>
      <w:bookmarkEnd w:id="470"/>
      <w:bookmarkEnd w:id="471"/>
      <w:bookmarkEnd w:id="472"/>
      <w:bookmarkEnd w:id="473"/>
      <w:r w:rsidR="00224D9C" w:rsidRPr="005F120D">
        <w:rPr>
          <w:rFonts w:cstheme="minorHAnsi"/>
        </w:rPr>
        <w:t xml:space="preserve"> 2010-2015</w:t>
      </w:r>
      <w:bookmarkEnd w:id="474"/>
    </w:p>
    <w:tbl>
      <w:tblPr>
        <w:tblW w:w="5000" w:type="pct"/>
        <w:tbl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insideH w:val="single" w:sz="6" w:space="0" w:color="76923C" w:themeColor="accent3" w:themeShade="BF"/>
          <w:insideV w:val="single" w:sz="6" w:space="0" w:color="76923C" w:themeColor="accent3" w:themeShade="BF"/>
        </w:tblBorders>
        <w:tblLook w:val="01E0"/>
      </w:tblPr>
      <w:tblGrid>
        <w:gridCol w:w="4871"/>
        <w:gridCol w:w="780"/>
        <w:gridCol w:w="1198"/>
        <w:gridCol w:w="1198"/>
        <w:gridCol w:w="1198"/>
      </w:tblGrid>
      <w:tr w:rsidR="00332BB3" w:rsidRPr="005F120D" w:rsidTr="00A43E1D">
        <w:trPr>
          <w:trHeight w:val="312"/>
        </w:trPr>
        <w:tc>
          <w:tcPr>
            <w:tcW w:w="2634" w:type="pct"/>
            <w:shd w:val="clear" w:color="auto" w:fill="C2D69B" w:themeFill="accent3" w:themeFillTint="99"/>
          </w:tcPr>
          <w:p w:rsidR="00332BB3" w:rsidRPr="005F120D" w:rsidRDefault="00332BB3" w:rsidP="00936D9E">
            <w:pPr>
              <w:pStyle w:val="Tabletext"/>
              <w:rPr>
                <w:rFonts w:asciiTheme="minorHAnsi" w:hAnsiTheme="minorHAnsi" w:cstheme="minorHAnsi"/>
                <w:color w:val="FF0000"/>
              </w:rPr>
            </w:pPr>
          </w:p>
        </w:tc>
        <w:tc>
          <w:tcPr>
            <w:tcW w:w="422" w:type="pct"/>
            <w:shd w:val="clear" w:color="auto" w:fill="C2D69B" w:themeFill="accent3" w:themeFillTint="99"/>
          </w:tcPr>
          <w:p w:rsidR="00332BB3" w:rsidRPr="005F120D" w:rsidRDefault="00332BB3" w:rsidP="00936D9E">
            <w:pPr>
              <w:pStyle w:val="Tabletext"/>
              <w:jc w:val="center"/>
              <w:rPr>
                <w:rFonts w:asciiTheme="minorHAnsi" w:hAnsiTheme="minorHAnsi" w:cstheme="minorHAnsi"/>
                <w:b/>
              </w:rPr>
            </w:pPr>
            <w:r w:rsidRPr="005F120D">
              <w:rPr>
                <w:rFonts w:asciiTheme="minorHAnsi" w:hAnsiTheme="minorHAnsi" w:cstheme="minorHAnsi"/>
                <w:b/>
              </w:rPr>
              <w:t>Year</w:t>
            </w:r>
          </w:p>
        </w:tc>
        <w:tc>
          <w:tcPr>
            <w:tcW w:w="648" w:type="pct"/>
            <w:shd w:val="clear" w:color="auto" w:fill="C2D69B" w:themeFill="accent3" w:themeFillTint="99"/>
          </w:tcPr>
          <w:p w:rsidR="00332BB3" w:rsidRPr="005F120D" w:rsidRDefault="00332BB3" w:rsidP="00936D9E">
            <w:pPr>
              <w:pStyle w:val="Tabletext"/>
              <w:jc w:val="center"/>
              <w:rPr>
                <w:rFonts w:asciiTheme="minorHAnsi" w:hAnsiTheme="minorHAnsi" w:cstheme="minorHAnsi"/>
                <w:b/>
              </w:rPr>
            </w:pPr>
            <w:r w:rsidRPr="005F120D">
              <w:rPr>
                <w:rFonts w:asciiTheme="minorHAnsi" w:hAnsiTheme="minorHAnsi" w:cstheme="minorHAnsi"/>
                <w:b/>
              </w:rPr>
              <w:t>GPS</w:t>
            </w:r>
          </w:p>
        </w:tc>
        <w:tc>
          <w:tcPr>
            <w:tcW w:w="648" w:type="pct"/>
            <w:shd w:val="clear" w:color="auto" w:fill="C2D69B" w:themeFill="accent3" w:themeFillTint="99"/>
          </w:tcPr>
          <w:p w:rsidR="00332BB3" w:rsidRPr="005F120D" w:rsidRDefault="003C42F2" w:rsidP="00936D9E">
            <w:pPr>
              <w:pStyle w:val="Tabletext"/>
              <w:jc w:val="center"/>
              <w:rPr>
                <w:rFonts w:asciiTheme="minorHAnsi" w:hAnsiTheme="minorHAnsi" w:cstheme="minorHAnsi"/>
                <w:b/>
              </w:rPr>
            </w:pPr>
            <w:r w:rsidRPr="005F120D">
              <w:rPr>
                <w:rFonts w:asciiTheme="minorHAnsi" w:hAnsiTheme="minorHAnsi" w:cstheme="minorHAnsi"/>
                <w:b/>
              </w:rPr>
              <w:t>NNPS</w:t>
            </w:r>
          </w:p>
        </w:tc>
        <w:tc>
          <w:tcPr>
            <w:tcW w:w="648" w:type="pct"/>
            <w:shd w:val="clear" w:color="auto" w:fill="C2D69B" w:themeFill="accent3" w:themeFillTint="99"/>
          </w:tcPr>
          <w:p w:rsidR="00332BB3" w:rsidRPr="005F120D" w:rsidRDefault="00332BB3" w:rsidP="00936D9E">
            <w:pPr>
              <w:pStyle w:val="Tabletext"/>
              <w:jc w:val="center"/>
              <w:rPr>
                <w:rFonts w:asciiTheme="minorHAnsi" w:hAnsiTheme="minorHAnsi" w:cstheme="minorHAnsi"/>
                <w:b/>
              </w:rPr>
            </w:pPr>
            <w:r w:rsidRPr="005F120D">
              <w:rPr>
                <w:rFonts w:asciiTheme="minorHAnsi" w:hAnsiTheme="minorHAnsi" w:cstheme="minorHAnsi"/>
                <w:b/>
              </w:rPr>
              <w:t>Total</w:t>
            </w:r>
          </w:p>
        </w:tc>
      </w:tr>
      <w:tr w:rsidR="008266FA" w:rsidRPr="005F120D" w:rsidTr="002F2379">
        <w:trPr>
          <w:trHeight w:hRule="exact" w:val="288"/>
        </w:trPr>
        <w:tc>
          <w:tcPr>
            <w:tcW w:w="2634" w:type="pct"/>
            <w:vMerge w:val="restart"/>
          </w:tcPr>
          <w:p w:rsidR="008266FA" w:rsidRPr="005F120D" w:rsidRDefault="008266FA" w:rsidP="00936D9E">
            <w:pPr>
              <w:pStyle w:val="Tabletext"/>
              <w:rPr>
                <w:rFonts w:asciiTheme="minorHAnsi" w:hAnsiTheme="minorHAnsi" w:cstheme="minorHAnsi"/>
              </w:rPr>
            </w:pPr>
            <w:r w:rsidRPr="005F120D">
              <w:rPr>
                <w:rFonts w:asciiTheme="minorHAnsi" w:hAnsiTheme="minorHAnsi" w:cstheme="minorHAnsi"/>
              </w:rPr>
              <w:t xml:space="preserve">Percentage of schools which meet the standard: </w:t>
            </w:r>
            <w:r w:rsidRPr="005F120D">
              <w:rPr>
                <w:rFonts w:asciiTheme="minorHAnsi" w:hAnsiTheme="minorHAnsi" w:cstheme="minorHAnsi"/>
              </w:rPr>
              <w:br/>
              <w:t>46 students per teacher (single shift only)</w:t>
            </w:r>
            <w:r w:rsidR="00224D9C" w:rsidRPr="005F120D">
              <w:rPr>
                <w:rFonts w:asciiTheme="minorHAnsi" w:hAnsiTheme="minorHAnsi" w:cstheme="minorHAnsi"/>
              </w:rPr>
              <w:t xml:space="preserve"> (%)</w:t>
            </w:r>
          </w:p>
        </w:tc>
        <w:tc>
          <w:tcPr>
            <w:tcW w:w="422"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2010</w:t>
            </w:r>
          </w:p>
        </w:tc>
        <w:tc>
          <w:tcPr>
            <w:tcW w:w="648"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40</w:t>
            </w:r>
          </w:p>
        </w:tc>
        <w:tc>
          <w:tcPr>
            <w:tcW w:w="648"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52</w:t>
            </w:r>
          </w:p>
        </w:tc>
        <w:tc>
          <w:tcPr>
            <w:tcW w:w="648"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44</w:t>
            </w:r>
          </w:p>
        </w:tc>
      </w:tr>
      <w:tr w:rsidR="008266FA" w:rsidRPr="005F120D" w:rsidTr="002F2379">
        <w:trPr>
          <w:trHeight w:hRule="exact" w:val="288"/>
        </w:trPr>
        <w:tc>
          <w:tcPr>
            <w:tcW w:w="2634" w:type="pct"/>
            <w:vMerge/>
          </w:tcPr>
          <w:p w:rsidR="008266FA" w:rsidRPr="005F120D" w:rsidRDefault="008266FA" w:rsidP="00936D9E">
            <w:pPr>
              <w:pStyle w:val="Tabletext"/>
              <w:rPr>
                <w:rFonts w:asciiTheme="minorHAnsi" w:hAnsiTheme="minorHAnsi" w:cstheme="minorHAnsi"/>
                <w:color w:val="FF0000"/>
              </w:rPr>
            </w:pPr>
          </w:p>
        </w:tc>
        <w:tc>
          <w:tcPr>
            <w:tcW w:w="422"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2011</w:t>
            </w:r>
          </w:p>
        </w:tc>
        <w:tc>
          <w:tcPr>
            <w:tcW w:w="648"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45</w:t>
            </w:r>
          </w:p>
        </w:tc>
        <w:tc>
          <w:tcPr>
            <w:tcW w:w="648"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47</w:t>
            </w:r>
          </w:p>
        </w:tc>
        <w:tc>
          <w:tcPr>
            <w:tcW w:w="648"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45</w:t>
            </w:r>
          </w:p>
        </w:tc>
      </w:tr>
      <w:tr w:rsidR="008266FA" w:rsidRPr="005F120D" w:rsidTr="002F2379">
        <w:trPr>
          <w:trHeight w:hRule="exact" w:val="288"/>
        </w:trPr>
        <w:tc>
          <w:tcPr>
            <w:tcW w:w="2634" w:type="pct"/>
            <w:vMerge/>
          </w:tcPr>
          <w:p w:rsidR="008266FA" w:rsidRPr="005F120D" w:rsidRDefault="008266FA" w:rsidP="00936D9E">
            <w:pPr>
              <w:pStyle w:val="Tabletext"/>
              <w:rPr>
                <w:rFonts w:asciiTheme="minorHAnsi" w:hAnsiTheme="minorHAnsi" w:cstheme="minorHAnsi"/>
                <w:color w:val="FF0000"/>
              </w:rPr>
            </w:pPr>
          </w:p>
        </w:tc>
        <w:tc>
          <w:tcPr>
            <w:tcW w:w="422"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2012</w:t>
            </w:r>
          </w:p>
        </w:tc>
        <w:tc>
          <w:tcPr>
            <w:tcW w:w="648"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50</w:t>
            </w:r>
          </w:p>
        </w:tc>
        <w:tc>
          <w:tcPr>
            <w:tcW w:w="648"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47</w:t>
            </w:r>
          </w:p>
        </w:tc>
        <w:tc>
          <w:tcPr>
            <w:tcW w:w="648" w:type="pct"/>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49</w:t>
            </w:r>
          </w:p>
        </w:tc>
      </w:tr>
      <w:tr w:rsidR="00A43E1D" w:rsidRPr="005F120D" w:rsidTr="002F2379">
        <w:trPr>
          <w:trHeight w:hRule="exact" w:val="288"/>
        </w:trPr>
        <w:tc>
          <w:tcPr>
            <w:tcW w:w="2634" w:type="pct"/>
            <w:vMerge/>
          </w:tcPr>
          <w:p w:rsidR="00A43E1D" w:rsidRPr="005F120D" w:rsidRDefault="00A43E1D" w:rsidP="00936D9E">
            <w:pPr>
              <w:pStyle w:val="Tabletext"/>
              <w:rPr>
                <w:rFonts w:asciiTheme="minorHAnsi" w:hAnsiTheme="minorHAnsi" w:cstheme="minorHAnsi"/>
                <w:color w:val="FF0000"/>
              </w:rPr>
            </w:pPr>
          </w:p>
        </w:tc>
        <w:tc>
          <w:tcPr>
            <w:tcW w:w="422" w:type="pct"/>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2013</w:t>
            </w:r>
          </w:p>
        </w:tc>
        <w:tc>
          <w:tcPr>
            <w:tcW w:w="648" w:type="pct"/>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51</w:t>
            </w:r>
          </w:p>
        </w:tc>
        <w:tc>
          <w:tcPr>
            <w:tcW w:w="648" w:type="pct"/>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46</w:t>
            </w:r>
          </w:p>
        </w:tc>
        <w:tc>
          <w:tcPr>
            <w:tcW w:w="648" w:type="pct"/>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51</w:t>
            </w:r>
          </w:p>
        </w:tc>
      </w:tr>
      <w:tr w:rsidR="00A43E1D" w:rsidRPr="005F120D" w:rsidTr="002F2379">
        <w:trPr>
          <w:trHeight w:hRule="exact" w:val="288"/>
        </w:trPr>
        <w:tc>
          <w:tcPr>
            <w:tcW w:w="2634" w:type="pct"/>
            <w:vMerge/>
          </w:tcPr>
          <w:p w:rsidR="00A43E1D" w:rsidRPr="005F120D" w:rsidRDefault="00A43E1D" w:rsidP="00936D9E">
            <w:pPr>
              <w:pStyle w:val="Tabletext"/>
              <w:rPr>
                <w:rFonts w:asciiTheme="minorHAnsi" w:hAnsiTheme="minorHAnsi" w:cstheme="minorHAnsi"/>
                <w:color w:val="FF0000"/>
              </w:rPr>
            </w:pPr>
          </w:p>
        </w:tc>
        <w:tc>
          <w:tcPr>
            <w:tcW w:w="422" w:type="pct"/>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2014</w:t>
            </w:r>
          </w:p>
        </w:tc>
        <w:tc>
          <w:tcPr>
            <w:tcW w:w="648" w:type="pct"/>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61</w:t>
            </w:r>
          </w:p>
        </w:tc>
        <w:tc>
          <w:tcPr>
            <w:tcW w:w="648" w:type="pct"/>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62</w:t>
            </w:r>
          </w:p>
        </w:tc>
        <w:tc>
          <w:tcPr>
            <w:tcW w:w="648" w:type="pct"/>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62</w:t>
            </w:r>
          </w:p>
        </w:tc>
      </w:tr>
      <w:tr w:rsidR="008266FA" w:rsidRPr="005F120D" w:rsidTr="002F2379">
        <w:trPr>
          <w:trHeight w:hRule="exact" w:val="288"/>
        </w:trPr>
        <w:tc>
          <w:tcPr>
            <w:tcW w:w="2634" w:type="pct"/>
            <w:vMerge/>
            <w:shd w:val="clear" w:color="auto" w:fill="EAF1DD" w:themeFill="accent3" w:themeFillTint="33"/>
          </w:tcPr>
          <w:p w:rsidR="008266FA" w:rsidRPr="005F120D" w:rsidRDefault="008266FA" w:rsidP="00936D9E">
            <w:pPr>
              <w:pStyle w:val="Tabletext"/>
              <w:rPr>
                <w:rFonts w:asciiTheme="minorHAnsi" w:hAnsiTheme="minorHAnsi" w:cstheme="minorHAnsi"/>
                <w:color w:val="FF0000"/>
              </w:rPr>
            </w:pPr>
          </w:p>
        </w:tc>
        <w:tc>
          <w:tcPr>
            <w:tcW w:w="422" w:type="pct"/>
            <w:shd w:val="clear" w:color="auto" w:fill="E5DFEC" w:themeFill="accent4" w:themeFillTint="33"/>
          </w:tcPr>
          <w:p w:rsidR="008266FA" w:rsidRPr="005F120D" w:rsidRDefault="00A43E1D" w:rsidP="00936D9E">
            <w:pPr>
              <w:pStyle w:val="Tabletext"/>
              <w:jc w:val="center"/>
              <w:rPr>
                <w:rFonts w:asciiTheme="minorHAnsi" w:hAnsiTheme="minorHAnsi" w:cstheme="minorHAnsi"/>
                <w:b/>
                <w:color w:val="006600"/>
              </w:rPr>
            </w:pPr>
            <w:r w:rsidRPr="005F120D">
              <w:rPr>
                <w:rFonts w:asciiTheme="minorHAnsi" w:hAnsiTheme="minorHAnsi" w:cstheme="minorHAnsi"/>
                <w:b/>
                <w:color w:val="006600"/>
              </w:rPr>
              <w:t>2015</w:t>
            </w:r>
          </w:p>
        </w:tc>
        <w:tc>
          <w:tcPr>
            <w:tcW w:w="648" w:type="pct"/>
            <w:shd w:val="clear" w:color="auto" w:fill="E5DFEC" w:themeFill="accent4" w:themeFillTint="33"/>
          </w:tcPr>
          <w:p w:rsidR="008266FA" w:rsidRPr="005F120D" w:rsidRDefault="00224D9C" w:rsidP="00936D9E">
            <w:pPr>
              <w:pStyle w:val="Tabletext"/>
              <w:jc w:val="center"/>
              <w:rPr>
                <w:rFonts w:asciiTheme="minorHAnsi" w:hAnsiTheme="minorHAnsi" w:cstheme="minorHAnsi"/>
                <w:b/>
                <w:color w:val="006600"/>
              </w:rPr>
            </w:pPr>
            <w:r w:rsidRPr="005F120D">
              <w:rPr>
                <w:rFonts w:asciiTheme="minorHAnsi" w:hAnsiTheme="minorHAnsi" w:cstheme="minorHAnsi"/>
                <w:b/>
                <w:color w:val="006600"/>
              </w:rPr>
              <w:t>7</w:t>
            </w:r>
            <w:r w:rsidR="00ED7A9C" w:rsidRPr="005F120D">
              <w:rPr>
                <w:rFonts w:asciiTheme="minorHAnsi" w:hAnsiTheme="minorHAnsi" w:cstheme="minorHAnsi"/>
                <w:b/>
                <w:color w:val="006600"/>
              </w:rPr>
              <w:t>1</w:t>
            </w:r>
          </w:p>
        </w:tc>
        <w:tc>
          <w:tcPr>
            <w:tcW w:w="648" w:type="pct"/>
            <w:shd w:val="clear" w:color="auto" w:fill="E5DFEC" w:themeFill="accent4" w:themeFillTint="33"/>
          </w:tcPr>
          <w:p w:rsidR="008266FA" w:rsidRPr="005F120D" w:rsidRDefault="00ED7A9C" w:rsidP="00936D9E">
            <w:pPr>
              <w:pStyle w:val="Tabletext"/>
              <w:jc w:val="center"/>
              <w:rPr>
                <w:rFonts w:asciiTheme="minorHAnsi" w:hAnsiTheme="minorHAnsi" w:cstheme="minorHAnsi"/>
                <w:b/>
                <w:color w:val="006600"/>
              </w:rPr>
            </w:pPr>
            <w:r w:rsidRPr="005F120D">
              <w:rPr>
                <w:rFonts w:asciiTheme="minorHAnsi" w:hAnsiTheme="minorHAnsi" w:cstheme="minorHAnsi"/>
                <w:b/>
                <w:color w:val="006600"/>
              </w:rPr>
              <w:t>51</w:t>
            </w:r>
          </w:p>
        </w:tc>
        <w:tc>
          <w:tcPr>
            <w:tcW w:w="648" w:type="pct"/>
            <w:shd w:val="clear" w:color="auto" w:fill="E5DFEC" w:themeFill="accent4" w:themeFillTint="33"/>
          </w:tcPr>
          <w:p w:rsidR="008266FA" w:rsidRPr="005F120D" w:rsidRDefault="00B62556" w:rsidP="00936D9E">
            <w:pPr>
              <w:pStyle w:val="Tabletext"/>
              <w:jc w:val="center"/>
              <w:rPr>
                <w:rFonts w:asciiTheme="minorHAnsi" w:hAnsiTheme="minorHAnsi" w:cstheme="minorHAnsi"/>
                <w:b/>
                <w:color w:val="006600"/>
              </w:rPr>
            </w:pPr>
            <w:r w:rsidRPr="005F120D">
              <w:rPr>
                <w:rFonts w:asciiTheme="minorHAnsi" w:hAnsiTheme="minorHAnsi" w:cstheme="minorHAnsi"/>
                <w:b/>
                <w:color w:val="006600"/>
              </w:rPr>
              <w:t>70</w:t>
            </w:r>
          </w:p>
        </w:tc>
      </w:tr>
      <w:tr w:rsidR="008266FA" w:rsidRPr="005F120D" w:rsidTr="002F2379">
        <w:trPr>
          <w:trHeight w:hRule="exact" w:val="288"/>
        </w:trPr>
        <w:tc>
          <w:tcPr>
            <w:tcW w:w="2634" w:type="pct"/>
            <w:vMerge w:val="restart"/>
            <w:shd w:val="clear" w:color="auto" w:fill="EAF1DD" w:themeFill="accent3" w:themeFillTint="33"/>
          </w:tcPr>
          <w:p w:rsidR="008266FA" w:rsidRPr="005F120D" w:rsidRDefault="008266FA" w:rsidP="00936D9E">
            <w:pPr>
              <w:pStyle w:val="Tabletext"/>
              <w:rPr>
                <w:rFonts w:asciiTheme="minorHAnsi" w:hAnsiTheme="minorHAnsi" w:cstheme="minorHAnsi"/>
              </w:rPr>
            </w:pPr>
            <w:r w:rsidRPr="005F120D">
              <w:rPr>
                <w:rFonts w:asciiTheme="minorHAnsi" w:hAnsiTheme="minorHAnsi" w:cstheme="minorHAnsi"/>
              </w:rPr>
              <w:t xml:space="preserve">Percentage of schools which meet the standard: </w:t>
            </w:r>
            <w:r w:rsidRPr="005F120D">
              <w:rPr>
                <w:rFonts w:asciiTheme="minorHAnsi" w:hAnsiTheme="minorHAnsi" w:cstheme="minorHAnsi"/>
              </w:rPr>
              <w:br/>
              <w:t>46 students per ‘effective’ teacher</w:t>
            </w:r>
            <w:r w:rsidR="00224D9C" w:rsidRPr="005F120D">
              <w:rPr>
                <w:rFonts w:asciiTheme="minorHAnsi" w:hAnsiTheme="minorHAnsi" w:cstheme="minorHAnsi"/>
              </w:rPr>
              <w:t xml:space="preserve"> (%)</w:t>
            </w:r>
          </w:p>
        </w:tc>
        <w:tc>
          <w:tcPr>
            <w:tcW w:w="422"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2010</w:t>
            </w:r>
          </w:p>
        </w:tc>
        <w:tc>
          <w:tcPr>
            <w:tcW w:w="648"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82</w:t>
            </w:r>
          </w:p>
        </w:tc>
        <w:tc>
          <w:tcPr>
            <w:tcW w:w="648"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93</w:t>
            </w:r>
          </w:p>
        </w:tc>
        <w:tc>
          <w:tcPr>
            <w:tcW w:w="648"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86</w:t>
            </w:r>
          </w:p>
        </w:tc>
      </w:tr>
      <w:tr w:rsidR="008266FA" w:rsidRPr="005F120D" w:rsidTr="002F2379">
        <w:trPr>
          <w:trHeight w:hRule="exact" w:val="288"/>
        </w:trPr>
        <w:tc>
          <w:tcPr>
            <w:tcW w:w="2634" w:type="pct"/>
            <w:vMerge/>
            <w:shd w:val="clear" w:color="auto" w:fill="EAF1DD" w:themeFill="accent3" w:themeFillTint="33"/>
          </w:tcPr>
          <w:p w:rsidR="008266FA" w:rsidRPr="005F120D" w:rsidRDefault="008266FA" w:rsidP="00936D9E">
            <w:pPr>
              <w:pStyle w:val="Tabletext"/>
              <w:rPr>
                <w:rFonts w:asciiTheme="minorHAnsi" w:hAnsiTheme="minorHAnsi" w:cstheme="minorHAnsi"/>
              </w:rPr>
            </w:pPr>
          </w:p>
        </w:tc>
        <w:tc>
          <w:tcPr>
            <w:tcW w:w="422"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2011</w:t>
            </w:r>
          </w:p>
        </w:tc>
        <w:tc>
          <w:tcPr>
            <w:tcW w:w="648"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82</w:t>
            </w:r>
          </w:p>
        </w:tc>
        <w:tc>
          <w:tcPr>
            <w:tcW w:w="648"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90</w:t>
            </w:r>
          </w:p>
        </w:tc>
        <w:tc>
          <w:tcPr>
            <w:tcW w:w="648"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85</w:t>
            </w:r>
          </w:p>
        </w:tc>
      </w:tr>
      <w:tr w:rsidR="008266FA" w:rsidRPr="005F120D" w:rsidTr="002F2379">
        <w:trPr>
          <w:trHeight w:hRule="exact" w:val="288"/>
        </w:trPr>
        <w:tc>
          <w:tcPr>
            <w:tcW w:w="2634" w:type="pct"/>
            <w:vMerge/>
            <w:shd w:val="clear" w:color="auto" w:fill="EAF1DD" w:themeFill="accent3" w:themeFillTint="33"/>
          </w:tcPr>
          <w:p w:rsidR="008266FA" w:rsidRPr="005F120D" w:rsidRDefault="008266FA" w:rsidP="00936D9E">
            <w:pPr>
              <w:pStyle w:val="Tabletext"/>
              <w:rPr>
                <w:rFonts w:asciiTheme="minorHAnsi" w:hAnsiTheme="minorHAnsi" w:cstheme="minorHAnsi"/>
              </w:rPr>
            </w:pPr>
          </w:p>
        </w:tc>
        <w:tc>
          <w:tcPr>
            <w:tcW w:w="422"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2012</w:t>
            </w:r>
          </w:p>
        </w:tc>
        <w:tc>
          <w:tcPr>
            <w:tcW w:w="648"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85</w:t>
            </w:r>
          </w:p>
        </w:tc>
        <w:tc>
          <w:tcPr>
            <w:tcW w:w="648"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93</w:t>
            </w:r>
          </w:p>
        </w:tc>
        <w:tc>
          <w:tcPr>
            <w:tcW w:w="648" w:type="pct"/>
            <w:shd w:val="clear" w:color="auto" w:fill="EAF1DD" w:themeFill="accent3" w:themeFillTint="33"/>
          </w:tcPr>
          <w:p w:rsidR="008266FA" w:rsidRPr="005F120D" w:rsidRDefault="008266FA" w:rsidP="00936D9E">
            <w:pPr>
              <w:pStyle w:val="Tabletext"/>
              <w:jc w:val="center"/>
              <w:rPr>
                <w:rFonts w:asciiTheme="minorHAnsi" w:hAnsiTheme="minorHAnsi" w:cstheme="minorHAnsi"/>
              </w:rPr>
            </w:pPr>
            <w:r w:rsidRPr="005F120D">
              <w:rPr>
                <w:rFonts w:asciiTheme="minorHAnsi" w:hAnsiTheme="minorHAnsi" w:cstheme="minorHAnsi"/>
              </w:rPr>
              <w:t>88</w:t>
            </w:r>
          </w:p>
        </w:tc>
      </w:tr>
      <w:tr w:rsidR="00A43E1D" w:rsidRPr="005F120D" w:rsidTr="002F2379">
        <w:trPr>
          <w:trHeight w:hRule="exact" w:val="288"/>
        </w:trPr>
        <w:tc>
          <w:tcPr>
            <w:tcW w:w="2634" w:type="pct"/>
            <w:vMerge/>
            <w:shd w:val="clear" w:color="auto" w:fill="EAF1DD" w:themeFill="accent3" w:themeFillTint="33"/>
          </w:tcPr>
          <w:p w:rsidR="00A43E1D" w:rsidRPr="005F120D" w:rsidRDefault="00A43E1D" w:rsidP="00936D9E">
            <w:pPr>
              <w:pStyle w:val="Tabletext"/>
              <w:rPr>
                <w:rFonts w:asciiTheme="minorHAnsi" w:hAnsiTheme="minorHAnsi" w:cstheme="minorHAnsi"/>
              </w:rPr>
            </w:pPr>
          </w:p>
        </w:tc>
        <w:tc>
          <w:tcPr>
            <w:tcW w:w="422" w:type="pct"/>
            <w:shd w:val="clear" w:color="auto" w:fill="EAF1DD" w:themeFill="accent3" w:themeFillTint="33"/>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2013</w:t>
            </w:r>
          </w:p>
        </w:tc>
        <w:tc>
          <w:tcPr>
            <w:tcW w:w="648" w:type="pct"/>
            <w:shd w:val="clear" w:color="auto" w:fill="EAF1DD" w:themeFill="accent3" w:themeFillTint="33"/>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82</w:t>
            </w:r>
          </w:p>
        </w:tc>
        <w:tc>
          <w:tcPr>
            <w:tcW w:w="648" w:type="pct"/>
            <w:shd w:val="clear" w:color="auto" w:fill="EAF1DD" w:themeFill="accent3" w:themeFillTint="33"/>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93</w:t>
            </w:r>
          </w:p>
        </w:tc>
        <w:tc>
          <w:tcPr>
            <w:tcW w:w="648" w:type="pct"/>
            <w:shd w:val="clear" w:color="auto" w:fill="EAF1DD" w:themeFill="accent3" w:themeFillTint="33"/>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86</w:t>
            </w:r>
          </w:p>
        </w:tc>
      </w:tr>
      <w:tr w:rsidR="00A43E1D" w:rsidRPr="005F120D" w:rsidTr="002F2379">
        <w:trPr>
          <w:trHeight w:hRule="exact" w:val="288"/>
        </w:trPr>
        <w:tc>
          <w:tcPr>
            <w:tcW w:w="2634" w:type="pct"/>
            <w:vMerge/>
            <w:shd w:val="clear" w:color="auto" w:fill="EAF1DD" w:themeFill="accent3" w:themeFillTint="33"/>
          </w:tcPr>
          <w:p w:rsidR="00A43E1D" w:rsidRPr="005F120D" w:rsidRDefault="00A43E1D" w:rsidP="00936D9E">
            <w:pPr>
              <w:pStyle w:val="Tabletext"/>
              <w:rPr>
                <w:rFonts w:asciiTheme="minorHAnsi" w:hAnsiTheme="minorHAnsi" w:cstheme="minorHAnsi"/>
              </w:rPr>
            </w:pPr>
          </w:p>
        </w:tc>
        <w:tc>
          <w:tcPr>
            <w:tcW w:w="422" w:type="pct"/>
            <w:shd w:val="clear" w:color="auto" w:fill="EAF1DD" w:themeFill="accent3" w:themeFillTint="33"/>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2014</w:t>
            </w:r>
          </w:p>
        </w:tc>
        <w:tc>
          <w:tcPr>
            <w:tcW w:w="648" w:type="pct"/>
            <w:shd w:val="clear" w:color="auto" w:fill="EAF1DD" w:themeFill="accent3" w:themeFillTint="33"/>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81</w:t>
            </w:r>
          </w:p>
        </w:tc>
        <w:tc>
          <w:tcPr>
            <w:tcW w:w="648" w:type="pct"/>
            <w:shd w:val="clear" w:color="auto" w:fill="EAF1DD" w:themeFill="accent3" w:themeFillTint="33"/>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92</w:t>
            </w:r>
          </w:p>
        </w:tc>
        <w:tc>
          <w:tcPr>
            <w:tcW w:w="648" w:type="pct"/>
            <w:shd w:val="clear" w:color="auto" w:fill="EAF1DD" w:themeFill="accent3" w:themeFillTint="33"/>
          </w:tcPr>
          <w:p w:rsidR="00A43E1D" w:rsidRPr="005F120D" w:rsidRDefault="00A43E1D" w:rsidP="00936D9E">
            <w:pPr>
              <w:pStyle w:val="Tabletext"/>
              <w:jc w:val="center"/>
              <w:rPr>
                <w:rFonts w:asciiTheme="minorHAnsi" w:hAnsiTheme="minorHAnsi" w:cstheme="minorHAnsi"/>
              </w:rPr>
            </w:pPr>
            <w:r w:rsidRPr="005F120D">
              <w:rPr>
                <w:rFonts w:asciiTheme="minorHAnsi" w:hAnsiTheme="minorHAnsi" w:cstheme="minorHAnsi"/>
              </w:rPr>
              <w:t>85</w:t>
            </w:r>
          </w:p>
        </w:tc>
      </w:tr>
      <w:tr w:rsidR="008266FA" w:rsidRPr="005F120D" w:rsidTr="002F2379">
        <w:trPr>
          <w:trHeight w:hRule="exact" w:val="288"/>
        </w:trPr>
        <w:tc>
          <w:tcPr>
            <w:tcW w:w="2634" w:type="pct"/>
            <w:vMerge/>
            <w:shd w:val="clear" w:color="auto" w:fill="EAF1DD" w:themeFill="accent3" w:themeFillTint="33"/>
          </w:tcPr>
          <w:p w:rsidR="008266FA" w:rsidRPr="005F120D" w:rsidRDefault="008266FA" w:rsidP="00936D9E">
            <w:pPr>
              <w:pStyle w:val="Tabletext"/>
              <w:rPr>
                <w:rFonts w:asciiTheme="minorHAnsi" w:hAnsiTheme="minorHAnsi" w:cstheme="minorHAnsi"/>
              </w:rPr>
            </w:pPr>
          </w:p>
        </w:tc>
        <w:tc>
          <w:tcPr>
            <w:tcW w:w="422" w:type="pct"/>
            <w:shd w:val="clear" w:color="auto" w:fill="E5DFEC" w:themeFill="accent4" w:themeFillTint="33"/>
          </w:tcPr>
          <w:p w:rsidR="008266FA" w:rsidRPr="005F120D" w:rsidRDefault="00A43E1D" w:rsidP="00936D9E">
            <w:pPr>
              <w:pStyle w:val="Tabletext"/>
              <w:jc w:val="center"/>
              <w:rPr>
                <w:rFonts w:asciiTheme="minorHAnsi" w:hAnsiTheme="minorHAnsi" w:cstheme="minorHAnsi"/>
                <w:b/>
                <w:color w:val="006600"/>
              </w:rPr>
            </w:pPr>
            <w:r w:rsidRPr="005F120D">
              <w:rPr>
                <w:rFonts w:asciiTheme="minorHAnsi" w:hAnsiTheme="minorHAnsi" w:cstheme="minorHAnsi"/>
                <w:b/>
                <w:color w:val="006600"/>
              </w:rPr>
              <w:t>2015</w:t>
            </w:r>
          </w:p>
        </w:tc>
        <w:tc>
          <w:tcPr>
            <w:tcW w:w="648" w:type="pct"/>
            <w:shd w:val="clear" w:color="auto" w:fill="E5DFEC" w:themeFill="accent4" w:themeFillTint="33"/>
          </w:tcPr>
          <w:p w:rsidR="008266FA" w:rsidRPr="005F120D" w:rsidRDefault="00F23866" w:rsidP="00936D9E">
            <w:pPr>
              <w:pStyle w:val="Tabletext"/>
              <w:jc w:val="center"/>
              <w:rPr>
                <w:rFonts w:asciiTheme="minorHAnsi" w:hAnsiTheme="minorHAnsi" w:cstheme="minorHAnsi"/>
                <w:b/>
                <w:color w:val="006600"/>
              </w:rPr>
            </w:pPr>
            <w:r w:rsidRPr="005F120D">
              <w:rPr>
                <w:rFonts w:asciiTheme="minorHAnsi" w:hAnsiTheme="minorHAnsi" w:cstheme="minorHAnsi"/>
                <w:b/>
                <w:color w:val="006600"/>
              </w:rPr>
              <w:t>9</w:t>
            </w:r>
            <w:r w:rsidR="000946AA" w:rsidRPr="005F120D">
              <w:rPr>
                <w:rFonts w:asciiTheme="minorHAnsi" w:hAnsiTheme="minorHAnsi" w:cstheme="minorHAnsi"/>
                <w:b/>
                <w:color w:val="006600"/>
              </w:rPr>
              <w:t>5</w:t>
            </w:r>
          </w:p>
        </w:tc>
        <w:tc>
          <w:tcPr>
            <w:tcW w:w="648" w:type="pct"/>
            <w:shd w:val="clear" w:color="auto" w:fill="E5DFEC" w:themeFill="accent4" w:themeFillTint="33"/>
          </w:tcPr>
          <w:p w:rsidR="008266FA" w:rsidRPr="005F120D" w:rsidRDefault="000946AA" w:rsidP="00936D9E">
            <w:pPr>
              <w:pStyle w:val="Tabletext"/>
              <w:jc w:val="center"/>
              <w:rPr>
                <w:rFonts w:asciiTheme="minorHAnsi" w:hAnsiTheme="minorHAnsi" w:cstheme="minorHAnsi"/>
                <w:b/>
                <w:color w:val="006600"/>
              </w:rPr>
            </w:pPr>
            <w:r w:rsidRPr="005F120D">
              <w:rPr>
                <w:rFonts w:asciiTheme="minorHAnsi" w:hAnsiTheme="minorHAnsi" w:cstheme="minorHAnsi"/>
                <w:b/>
                <w:color w:val="006600"/>
              </w:rPr>
              <w:t>9</w:t>
            </w:r>
            <w:r w:rsidR="00F23866" w:rsidRPr="005F120D">
              <w:rPr>
                <w:rFonts w:asciiTheme="minorHAnsi" w:hAnsiTheme="minorHAnsi" w:cstheme="minorHAnsi"/>
                <w:b/>
                <w:color w:val="006600"/>
              </w:rPr>
              <w:t>4</w:t>
            </w:r>
          </w:p>
        </w:tc>
        <w:tc>
          <w:tcPr>
            <w:tcW w:w="648" w:type="pct"/>
            <w:shd w:val="clear" w:color="auto" w:fill="E5DFEC" w:themeFill="accent4" w:themeFillTint="33"/>
          </w:tcPr>
          <w:p w:rsidR="008266FA" w:rsidRPr="005F120D" w:rsidRDefault="00F23866" w:rsidP="00936D9E">
            <w:pPr>
              <w:pStyle w:val="Tabletext"/>
              <w:jc w:val="center"/>
              <w:rPr>
                <w:rFonts w:asciiTheme="minorHAnsi" w:hAnsiTheme="minorHAnsi" w:cstheme="minorHAnsi"/>
                <w:b/>
                <w:color w:val="006600"/>
              </w:rPr>
            </w:pPr>
            <w:r w:rsidRPr="005F120D">
              <w:rPr>
                <w:rFonts w:asciiTheme="minorHAnsi" w:hAnsiTheme="minorHAnsi" w:cstheme="minorHAnsi"/>
                <w:b/>
                <w:color w:val="006600"/>
              </w:rPr>
              <w:t>94</w:t>
            </w:r>
          </w:p>
        </w:tc>
      </w:tr>
    </w:tbl>
    <w:p w:rsidR="00332BB3" w:rsidRPr="005F120D" w:rsidRDefault="00332BB3" w:rsidP="00C437AA">
      <w:pPr>
        <w:pStyle w:val="Tabletext"/>
        <w:spacing w:after="240" w:line="276" w:lineRule="auto"/>
        <w:rPr>
          <w:rFonts w:asciiTheme="minorHAnsi" w:hAnsiTheme="minorHAnsi" w:cstheme="minorHAnsi"/>
          <w:b/>
          <w:sz w:val="16"/>
          <w:szCs w:val="16"/>
        </w:rPr>
      </w:pPr>
      <w:r w:rsidRPr="005F120D">
        <w:rPr>
          <w:rFonts w:asciiTheme="minorHAnsi" w:hAnsiTheme="minorHAnsi" w:cstheme="minorHAnsi"/>
          <w:b/>
          <w:sz w:val="16"/>
          <w:szCs w:val="16"/>
        </w:rPr>
        <w:t>Source:</w:t>
      </w:r>
      <w:r w:rsidR="00A43E1D" w:rsidRPr="005F120D">
        <w:rPr>
          <w:rFonts w:asciiTheme="minorHAnsi" w:hAnsiTheme="minorHAnsi" w:cstheme="minorHAnsi"/>
          <w:b/>
          <w:sz w:val="16"/>
          <w:szCs w:val="16"/>
        </w:rPr>
        <w:t xml:space="preserve"> APSC 2005-15</w:t>
      </w:r>
    </w:p>
    <w:p w:rsidR="00514D19" w:rsidRPr="005F120D" w:rsidRDefault="00514D19" w:rsidP="00514D19">
      <w:pPr>
        <w:pStyle w:val="Tabletext"/>
        <w:jc w:val="both"/>
        <w:rPr>
          <w:rFonts w:asciiTheme="minorHAnsi" w:hAnsiTheme="minorHAnsi" w:cstheme="minorHAnsi"/>
          <w:sz w:val="22"/>
          <w:szCs w:val="22"/>
        </w:rPr>
      </w:pPr>
      <w:bookmarkStart w:id="475" w:name="_Toc338839527"/>
      <w:bookmarkStart w:id="476" w:name="_Toc338856177"/>
      <w:bookmarkStart w:id="477" w:name="_Toc385245733"/>
      <w:r w:rsidRPr="005F120D">
        <w:rPr>
          <w:rFonts w:asciiTheme="minorHAnsi" w:hAnsiTheme="minorHAnsi" w:cstheme="minorHAnsi"/>
          <w:sz w:val="22"/>
          <w:szCs w:val="22"/>
        </w:rPr>
        <w:t xml:space="preserve">The increase in the percentage of GPS that met the STR standard over the PEDPII and PEDP3 period is partly explained by the recruitment of some 45,000 additional GPS teachers between 2004 and 2011, and of some 14,000 PPE teachers recruited in 2015, which represents an increase of about 19% in the teaching force. During PEDP3, new teacher posts have been created along with the construction of additional classrooms in overcrowded schools. These have also resulted in an increase in the average number of teachers per GPS (Figure 4.11). </w:t>
      </w:r>
    </w:p>
    <w:p w:rsidR="00D03EDE" w:rsidRPr="005F120D" w:rsidRDefault="00514D19" w:rsidP="00F30B77">
      <w:pPr>
        <w:pStyle w:val="Tabletext"/>
        <w:spacing w:before="240" w:after="240"/>
        <w:jc w:val="both"/>
        <w:rPr>
          <w:rFonts w:asciiTheme="minorHAnsi" w:hAnsiTheme="minorHAnsi" w:cstheme="minorHAnsi"/>
          <w:sz w:val="22"/>
          <w:szCs w:val="22"/>
          <w:lang w:val="en-US"/>
        </w:rPr>
      </w:pPr>
      <w:r w:rsidRPr="005F120D">
        <w:rPr>
          <w:rFonts w:asciiTheme="minorHAnsi" w:hAnsiTheme="minorHAnsi" w:cstheme="minorHAnsi"/>
          <w:sz w:val="22"/>
          <w:szCs w:val="22"/>
          <w:lang w:val="en-US"/>
        </w:rPr>
        <w:t>One limitation in the calculation of the STR is that it includes both primary and pre-primary enrolment.  This is because last year’s APSC was not able to disaggregate pre-primary school teachers from the overall teacher stock.  In 2015, there were around 1.1 million pre-primary children in GPS and 0.51 million in NNPS.  Due to a lack of pre-primary teachers, some assistant teachers (as well as community volunteers or Para teachers) assisted in pre-primary classes.  Hence, the “real” primary STR, excluding pre-primary enrolment, could have been roughly 10 percentage points higher than the figures quoted in Table 4.4</w:t>
      </w:r>
      <w:r w:rsidR="00D03EDE" w:rsidRPr="005F120D">
        <w:rPr>
          <w:rFonts w:asciiTheme="minorHAnsi" w:hAnsiTheme="minorHAnsi" w:cstheme="minorHAnsi"/>
          <w:sz w:val="22"/>
          <w:szCs w:val="22"/>
          <w:lang w:val="en-US"/>
        </w:rPr>
        <w:t xml:space="preserve">.  </w:t>
      </w:r>
    </w:p>
    <w:p w:rsidR="00982F10" w:rsidRPr="005F120D" w:rsidRDefault="00982F10" w:rsidP="00F30B77">
      <w:pPr>
        <w:pStyle w:val="Tabletext"/>
        <w:spacing w:before="120" w:after="120" w:line="276" w:lineRule="auto"/>
        <w:jc w:val="both"/>
        <w:rPr>
          <w:rFonts w:asciiTheme="minorHAnsi" w:hAnsiTheme="minorHAnsi" w:cstheme="minorHAnsi"/>
          <w:b/>
          <w:color w:val="008000"/>
          <w:sz w:val="22"/>
          <w:szCs w:val="22"/>
          <w:lang w:val="en-US"/>
        </w:rPr>
      </w:pPr>
      <w:r w:rsidRPr="005F120D">
        <w:rPr>
          <w:rFonts w:asciiTheme="minorHAnsi" w:hAnsiTheme="minorHAnsi" w:cstheme="minorHAnsi"/>
          <w:b/>
          <w:color w:val="008000"/>
          <w:sz w:val="22"/>
          <w:szCs w:val="22"/>
          <w:lang w:val="en-US"/>
        </w:rPr>
        <w:t xml:space="preserve">Average Number of Students in </w:t>
      </w:r>
      <w:r w:rsidR="000C7016" w:rsidRPr="005F120D">
        <w:rPr>
          <w:rFonts w:asciiTheme="minorHAnsi" w:hAnsiTheme="minorHAnsi" w:cstheme="minorHAnsi"/>
          <w:b/>
          <w:color w:val="008000"/>
          <w:sz w:val="22"/>
          <w:szCs w:val="22"/>
          <w:lang w:val="en-US"/>
        </w:rPr>
        <w:t>Schools (</w:t>
      </w:r>
      <w:r w:rsidRPr="005F120D">
        <w:rPr>
          <w:rFonts w:asciiTheme="minorHAnsi" w:hAnsiTheme="minorHAnsi" w:cstheme="minorHAnsi"/>
          <w:b/>
          <w:color w:val="008000"/>
          <w:sz w:val="22"/>
          <w:szCs w:val="22"/>
          <w:lang w:val="en-US"/>
        </w:rPr>
        <w:t>GPS and NNPS</w:t>
      </w:r>
      <w:r w:rsidR="000C7016" w:rsidRPr="005F120D">
        <w:rPr>
          <w:rFonts w:asciiTheme="minorHAnsi" w:hAnsiTheme="minorHAnsi" w:cstheme="minorHAnsi"/>
          <w:b/>
          <w:color w:val="008000"/>
          <w:sz w:val="22"/>
          <w:szCs w:val="22"/>
          <w:lang w:val="en-US"/>
        </w:rPr>
        <w:t>)</w:t>
      </w:r>
    </w:p>
    <w:p w:rsidR="00514D19" w:rsidRPr="005F120D" w:rsidRDefault="00514D19" w:rsidP="00514D19">
      <w:pPr>
        <w:spacing w:before="120" w:after="120"/>
        <w:contextualSpacing/>
        <w:jc w:val="both"/>
        <w:rPr>
          <w:rFonts w:asciiTheme="minorHAnsi" w:hAnsiTheme="minorHAnsi" w:cstheme="minorHAnsi"/>
          <w:szCs w:val="22"/>
        </w:rPr>
      </w:pPr>
      <w:r w:rsidRPr="005F120D">
        <w:rPr>
          <w:rFonts w:asciiTheme="minorHAnsi" w:hAnsiTheme="minorHAnsi" w:cstheme="minorHAnsi"/>
          <w:szCs w:val="22"/>
        </w:rPr>
        <w:t xml:space="preserve">In the 2015 APSC, the average number of students in GPS was 250 and 167 in NNPS. But surprisingly, there were few students in the some GPS and NNPS. A total of 4,679 schools (2,415 GPS and 2,215 NNPS) had less than 100 students, e.g.: </w:t>
      </w:r>
    </w:p>
    <w:p w:rsidR="00F30B77" w:rsidRPr="005F120D" w:rsidRDefault="00F30B77" w:rsidP="00514D19">
      <w:pPr>
        <w:spacing w:before="120" w:after="120"/>
        <w:contextualSpacing/>
        <w:jc w:val="both"/>
        <w:rPr>
          <w:rFonts w:asciiTheme="minorHAnsi" w:hAnsiTheme="minorHAnsi" w:cstheme="minorHAnsi"/>
          <w:szCs w:val="22"/>
        </w:rPr>
      </w:pPr>
    </w:p>
    <w:p w:rsidR="00514D19" w:rsidRPr="005F120D" w:rsidRDefault="00514D19" w:rsidP="00F30B77">
      <w:pPr>
        <w:numPr>
          <w:ilvl w:val="0"/>
          <w:numId w:val="133"/>
        </w:numPr>
        <w:spacing w:before="240" w:after="200" w:line="276" w:lineRule="auto"/>
        <w:contextualSpacing/>
        <w:jc w:val="both"/>
        <w:rPr>
          <w:rFonts w:asciiTheme="minorHAnsi" w:hAnsiTheme="minorHAnsi" w:cstheme="minorHAnsi"/>
        </w:rPr>
      </w:pPr>
      <w:r w:rsidRPr="005F120D">
        <w:rPr>
          <w:rFonts w:asciiTheme="minorHAnsi" w:hAnsiTheme="minorHAnsi" w:cstheme="minorHAnsi"/>
        </w:rPr>
        <w:t>17 schools (GPS and NNPS) had only 8-20 students;</w:t>
      </w:r>
    </w:p>
    <w:p w:rsidR="00514D19" w:rsidRPr="005F120D" w:rsidRDefault="00514D19" w:rsidP="00F30B77">
      <w:pPr>
        <w:numPr>
          <w:ilvl w:val="0"/>
          <w:numId w:val="133"/>
        </w:numPr>
        <w:spacing w:before="240" w:after="200" w:line="276" w:lineRule="auto"/>
        <w:contextualSpacing/>
        <w:jc w:val="both"/>
        <w:rPr>
          <w:rFonts w:asciiTheme="minorHAnsi" w:hAnsiTheme="minorHAnsi" w:cstheme="minorHAnsi"/>
        </w:rPr>
      </w:pPr>
      <w:r w:rsidRPr="005F120D">
        <w:rPr>
          <w:rFonts w:asciiTheme="minorHAnsi" w:hAnsiTheme="minorHAnsi" w:cstheme="minorHAnsi"/>
        </w:rPr>
        <w:t xml:space="preserve">230 schools (GPS and NNPS) had 21-40 students; </w:t>
      </w:r>
    </w:p>
    <w:p w:rsidR="00514D19" w:rsidRPr="005F120D" w:rsidRDefault="00514D19" w:rsidP="00F30B77">
      <w:pPr>
        <w:numPr>
          <w:ilvl w:val="0"/>
          <w:numId w:val="133"/>
        </w:numPr>
        <w:spacing w:before="240" w:after="200" w:line="276" w:lineRule="auto"/>
        <w:contextualSpacing/>
        <w:jc w:val="both"/>
        <w:rPr>
          <w:rFonts w:asciiTheme="minorHAnsi" w:hAnsiTheme="minorHAnsi" w:cstheme="minorHAnsi"/>
        </w:rPr>
      </w:pPr>
      <w:r w:rsidRPr="005F120D">
        <w:rPr>
          <w:rFonts w:asciiTheme="minorHAnsi" w:hAnsiTheme="minorHAnsi" w:cstheme="minorHAnsi"/>
        </w:rPr>
        <w:t xml:space="preserve">739 schools (GPS and NNPS) had 41-60 students; </w:t>
      </w:r>
    </w:p>
    <w:p w:rsidR="00514D19" w:rsidRPr="005F120D" w:rsidRDefault="00514D19" w:rsidP="00F30B77">
      <w:pPr>
        <w:numPr>
          <w:ilvl w:val="0"/>
          <w:numId w:val="133"/>
        </w:numPr>
        <w:spacing w:before="240" w:after="200" w:line="276" w:lineRule="auto"/>
        <w:contextualSpacing/>
        <w:jc w:val="both"/>
        <w:rPr>
          <w:rFonts w:asciiTheme="minorHAnsi" w:hAnsiTheme="minorHAnsi" w:cstheme="minorHAnsi"/>
        </w:rPr>
      </w:pPr>
      <w:r w:rsidRPr="005F120D">
        <w:rPr>
          <w:rFonts w:asciiTheme="minorHAnsi" w:hAnsiTheme="minorHAnsi" w:cstheme="minorHAnsi"/>
        </w:rPr>
        <w:t xml:space="preserve">1,439 schools had 61-80 students; and </w:t>
      </w:r>
    </w:p>
    <w:p w:rsidR="00514D19" w:rsidRPr="005F120D" w:rsidRDefault="00514D19" w:rsidP="00F30B77">
      <w:pPr>
        <w:numPr>
          <w:ilvl w:val="0"/>
          <w:numId w:val="133"/>
        </w:numPr>
        <w:spacing w:before="240" w:after="200" w:line="276" w:lineRule="auto"/>
        <w:contextualSpacing/>
        <w:jc w:val="both"/>
        <w:rPr>
          <w:rFonts w:asciiTheme="minorHAnsi" w:hAnsiTheme="minorHAnsi" w:cstheme="minorHAnsi"/>
        </w:rPr>
      </w:pPr>
      <w:r w:rsidRPr="005F120D">
        <w:rPr>
          <w:rFonts w:asciiTheme="minorHAnsi" w:hAnsiTheme="minorHAnsi" w:cstheme="minorHAnsi"/>
        </w:rPr>
        <w:t xml:space="preserve">2,254 schools had 81-100 students. </w:t>
      </w:r>
    </w:p>
    <w:p w:rsidR="00F30B77" w:rsidRPr="005F120D" w:rsidRDefault="00F30B77" w:rsidP="00514D19">
      <w:pPr>
        <w:spacing w:before="120" w:after="120"/>
        <w:jc w:val="both"/>
        <w:rPr>
          <w:rFonts w:asciiTheme="minorHAnsi" w:hAnsiTheme="minorHAnsi" w:cstheme="minorHAnsi"/>
          <w:sz w:val="8"/>
        </w:rPr>
      </w:pPr>
    </w:p>
    <w:p w:rsidR="00514D19" w:rsidRPr="005F120D" w:rsidRDefault="00514D19" w:rsidP="00514D19">
      <w:pPr>
        <w:spacing w:before="120" w:after="120"/>
        <w:jc w:val="both"/>
        <w:rPr>
          <w:rFonts w:asciiTheme="minorHAnsi" w:hAnsiTheme="minorHAnsi" w:cstheme="minorHAnsi"/>
        </w:rPr>
      </w:pPr>
      <w:r w:rsidRPr="005F120D">
        <w:rPr>
          <w:rFonts w:asciiTheme="minorHAnsi" w:hAnsiTheme="minorHAnsi" w:cstheme="minorHAnsi"/>
        </w:rPr>
        <w:t>The minimum number of students in a school was 8 (50505 Niztater Kathi NNPS) and the maximum was 3,951 (31013</w:t>
      </w:r>
      <w:r w:rsidR="00E4262D">
        <w:rPr>
          <w:rFonts w:asciiTheme="minorHAnsi" w:hAnsiTheme="minorHAnsi" w:cstheme="minorHAnsi"/>
        </w:rPr>
        <w:t xml:space="preserve"> Kaligonj GPS under Keranigonj T</w:t>
      </w:r>
      <w:r w:rsidRPr="005F120D">
        <w:rPr>
          <w:rFonts w:asciiTheme="minorHAnsi" w:hAnsiTheme="minorHAnsi" w:cstheme="minorHAnsi"/>
        </w:rPr>
        <w:t xml:space="preserve">hana). The (Moddha Nicinta Haji Anwar Hossain GPS at Chagalnaiya </w:t>
      </w:r>
      <w:r w:rsidR="00E4262D" w:rsidRPr="005F120D">
        <w:rPr>
          <w:rFonts w:asciiTheme="minorHAnsi" w:hAnsiTheme="minorHAnsi" w:cstheme="minorHAnsi"/>
        </w:rPr>
        <w:t>Upazila</w:t>
      </w:r>
      <w:r w:rsidRPr="005F120D">
        <w:rPr>
          <w:rFonts w:asciiTheme="minorHAnsi" w:hAnsiTheme="minorHAnsi" w:cstheme="minorHAnsi"/>
        </w:rPr>
        <w:t xml:space="preserve"> had only 13 students. </w:t>
      </w:r>
    </w:p>
    <w:p w:rsidR="00E8048F" w:rsidRPr="005F120D" w:rsidRDefault="00514D19" w:rsidP="000F1D47">
      <w:pPr>
        <w:spacing w:before="240"/>
        <w:jc w:val="both"/>
        <w:rPr>
          <w:rFonts w:asciiTheme="minorHAnsi" w:hAnsiTheme="minorHAnsi" w:cstheme="minorHAnsi"/>
        </w:rPr>
      </w:pPr>
      <w:r w:rsidRPr="005F120D">
        <w:rPr>
          <w:rFonts w:asciiTheme="minorHAnsi" w:hAnsiTheme="minorHAnsi" w:cstheme="minorHAnsi"/>
        </w:rPr>
        <w:lastRenderedPageBreak/>
        <w:t>There is a need to consider a policy for shifting those schools (less than 50 students) from their current location to needs-based locations. BANBEIS should do the research to identify the necessary locations using a GPS modem, as well considering the school aged population (6 to 14 years) of the location.</w:t>
      </w:r>
    </w:p>
    <w:p w:rsidR="00514D19" w:rsidRPr="005F120D" w:rsidRDefault="00514D19" w:rsidP="00E8048F">
      <w:pPr>
        <w:pStyle w:val="Tabletext"/>
        <w:spacing w:before="120" w:after="120" w:line="276" w:lineRule="auto"/>
        <w:jc w:val="both"/>
        <w:rPr>
          <w:rFonts w:asciiTheme="minorHAnsi" w:hAnsiTheme="minorHAnsi" w:cstheme="minorHAnsi"/>
          <w:b/>
          <w:color w:val="008000"/>
          <w:sz w:val="22"/>
          <w:szCs w:val="22"/>
          <w:lang w:val="en-US"/>
        </w:rPr>
      </w:pPr>
      <w:r w:rsidRPr="005F120D">
        <w:rPr>
          <w:rFonts w:asciiTheme="minorHAnsi" w:hAnsiTheme="minorHAnsi" w:cstheme="minorHAnsi"/>
          <w:b/>
          <w:color w:val="008000"/>
          <w:sz w:val="22"/>
          <w:szCs w:val="22"/>
          <w:lang w:val="en-US"/>
        </w:rPr>
        <w:t>Average Number of Teachers in Schools (GPS and NNPS)</w:t>
      </w:r>
    </w:p>
    <w:p w:rsidR="000A58F1" w:rsidRPr="005F120D" w:rsidRDefault="00514D19" w:rsidP="00514D19">
      <w:pPr>
        <w:spacing w:line="276" w:lineRule="auto"/>
        <w:jc w:val="both"/>
        <w:rPr>
          <w:rFonts w:asciiTheme="minorHAnsi" w:hAnsiTheme="minorHAnsi" w:cstheme="minorHAnsi"/>
          <w:szCs w:val="22"/>
        </w:rPr>
      </w:pPr>
      <w:r w:rsidRPr="005F120D">
        <w:rPr>
          <w:rFonts w:asciiTheme="minorHAnsi" w:hAnsiTheme="minorHAnsi" w:cstheme="minorHAnsi"/>
          <w:szCs w:val="22"/>
        </w:rPr>
        <w:t>Primary schools vary in size and in the numbers of employed teachers (mainly in GPS and NNPS). In 2015, schools ranged from having 1 teacher to 45 teachers (more teachers in GPS in urban areas). There were on average 5.9 teachers in GPS and 3.8 teachers in NNPS in 2015; more teachers were deployed in the urban area GPS than in hard-to-reach area GPS. Over the period, the number of government teachers has increased from 4.8 in 2009 to 5.9 in 2015 (see Figure 4.10)</w:t>
      </w:r>
      <w:r w:rsidR="00235748" w:rsidRPr="005F120D">
        <w:rPr>
          <w:rFonts w:asciiTheme="minorHAnsi" w:hAnsiTheme="minorHAnsi" w:cstheme="minorHAnsi"/>
          <w:szCs w:val="22"/>
        </w:rPr>
        <w:t xml:space="preserve">. </w:t>
      </w:r>
    </w:p>
    <w:p w:rsidR="000A58F1" w:rsidRPr="005F120D" w:rsidRDefault="000A58F1" w:rsidP="00C437AA">
      <w:pPr>
        <w:pStyle w:val="Caption"/>
        <w:keepNext/>
        <w:spacing w:line="276" w:lineRule="auto"/>
        <w:rPr>
          <w:rFonts w:cstheme="minorHAnsi"/>
          <w:i/>
        </w:rPr>
      </w:pPr>
      <w:bookmarkStart w:id="478" w:name="_Ref387485653"/>
      <w:bookmarkStart w:id="479" w:name="_Toc385414287"/>
      <w:bookmarkStart w:id="480" w:name="_Toc385419676"/>
      <w:bookmarkStart w:id="481" w:name="_Toc462837453"/>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10</w:t>
      </w:r>
      <w:r w:rsidR="002E2ED5" w:rsidRPr="005F120D">
        <w:rPr>
          <w:rFonts w:cstheme="minorHAnsi"/>
        </w:rPr>
        <w:fldChar w:fldCharType="end"/>
      </w:r>
      <w:bookmarkStart w:id="482" w:name="_Ref207185170"/>
      <w:bookmarkStart w:id="483" w:name="_Ref330588786"/>
      <w:bookmarkStart w:id="484" w:name="_Toc338839639"/>
      <w:bookmarkStart w:id="485" w:name="_Toc385242106"/>
      <w:bookmarkEnd w:id="478"/>
      <w:r w:rsidRPr="005F120D">
        <w:rPr>
          <w:rFonts w:cstheme="minorHAnsi"/>
        </w:rPr>
        <w:t xml:space="preserve">: Average Number of </w:t>
      </w:r>
      <w:bookmarkEnd w:id="482"/>
      <w:r w:rsidRPr="005F120D">
        <w:rPr>
          <w:rFonts w:cstheme="minorHAnsi"/>
        </w:rPr>
        <w:t>Teachers per School (GPS and NNPS) 2005–201</w:t>
      </w:r>
      <w:bookmarkEnd w:id="479"/>
      <w:bookmarkEnd w:id="480"/>
      <w:bookmarkEnd w:id="483"/>
      <w:bookmarkEnd w:id="484"/>
      <w:bookmarkEnd w:id="485"/>
      <w:r w:rsidRPr="005F120D">
        <w:rPr>
          <w:rFonts w:cstheme="minorHAnsi"/>
        </w:rPr>
        <w:t>5</w:t>
      </w:r>
      <w:bookmarkEnd w:id="481"/>
    </w:p>
    <w:p w:rsidR="000A58F1" w:rsidRPr="005F120D" w:rsidRDefault="000A58F1" w:rsidP="00C437AA">
      <w:pPr>
        <w:pStyle w:val="Caption"/>
        <w:spacing w:after="40" w:line="276" w:lineRule="auto"/>
        <w:jc w:val="both"/>
        <w:rPr>
          <w:rFonts w:cstheme="minorHAnsi"/>
          <w:color w:val="FF0000"/>
        </w:rPr>
      </w:pPr>
      <w:r w:rsidRPr="005F120D">
        <w:rPr>
          <w:rFonts w:cstheme="minorHAnsi"/>
          <w:noProof/>
          <w:color w:val="006600"/>
          <w:lang w:eastAsia="en-US"/>
        </w:rPr>
        <w:drawing>
          <wp:inline distT="0" distB="0" distL="0" distR="0">
            <wp:extent cx="5696669" cy="2594753"/>
            <wp:effectExtent l="38100" t="19050" r="18331" b="0"/>
            <wp:docPr id="116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A58F1" w:rsidRPr="005F120D" w:rsidRDefault="000A58F1" w:rsidP="000A5B80">
      <w:pPr>
        <w:pStyle w:val="Tablenotes"/>
      </w:pPr>
      <w:r w:rsidRPr="005F120D">
        <w:t>Source: APSC various years</w:t>
      </w:r>
    </w:p>
    <w:p w:rsidR="00135028" w:rsidRPr="005F120D" w:rsidRDefault="00D03EDE" w:rsidP="00B6095C">
      <w:pPr>
        <w:pStyle w:val="Tabletext"/>
        <w:spacing w:before="240" w:after="0"/>
        <w:jc w:val="both"/>
        <w:rPr>
          <w:rFonts w:asciiTheme="minorHAnsi" w:hAnsiTheme="minorHAnsi" w:cstheme="minorHAnsi"/>
          <w:b/>
          <w:color w:val="008000"/>
          <w:sz w:val="22"/>
          <w:szCs w:val="22"/>
          <w:lang w:val="en-US"/>
        </w:rPr>
      </w:pPr>
      <w:r w:rsidRPr="005F120D">
        <w:rPr>
          <w:rFonts w:asciiTheme="minorHAnsi" w:hAnsiTheme="minorHAnsi" w:cstheme="minorHAnsi"/>
          <w:b/>
          <w:color w:val="008000"/>
          <w:sz w:val="22"/>
          <w:szCs w:val="22"/>
          <w:lang w:val="en-US"/>
        </w:rPr>
        <w:t>Existing Teachers in GPS and NNPS</w:t>
      </w:r>
    </w:p>
    <w:p w:rsidR="00EA356A" w:rsidRPr="005F120D" w:rsidRDefault="001E1A3A" w:rsidP="000C7016">
      <w:pPr>
        <w:pStyle w:val="Tabletext"/>
        <w:spacing w:before="240" w:after="240" w:line="276" w:lineRule="auto"/>
        <w:jc w:val="both"/>
        <w:rPr>
          <w:rFonts w:asciiTheme="minorHAnsi" w:hAnsiTheme="minorHAnsi" w:cstheme="minorHAnsi"/>
          <w:sz w:val="22"/>
          <w:szCs w:val="22"/>
        </w:rPr>
      </w:pPr>
      <w:r w:rsidRPr="005F120D">
        <w:rPr>
          <w:rFonts w:asciiTheme="minorHAnsi" w:hAnsiTheme="minorHAnsi" w:cstheme="minorHAnsi"/>
          <w:sz w:val="22"/>
          <w:szCs w:val="22"/>
        </w:rPr>
        <w:t>Despite the increase in the percentage of GPS teachers and Pre-primary teachers during PEDPII and PEDP3 period, there is still a shortage of teachers in the GPS and NNPS. The following Table shows the number of employed teachers in GPS and NNPS. There were 293-1 teacher GPS and 254-1 teacher NNPS as of February 2015. It is important to develop a mechanism to fill teacher vacancies quickly; otherwise schools will not be able to provide a quality primary education. There is an over deployment of teachers for the number of enrolled children in urban and good communication area schools.  But there is an acute shortage of teachers in the remote areas, especially the hard-to-reach ones. According to current deployment figures, it is clearly necessary to attract teachers from urban to rural area schools.  A mechanism to be considered is the following: if a position is vacant in the urban areas, shift this post to a rural area school as per need. The following Table 4.5 presents the number of working teachers in schools. A total of 547 GPS and NNPS has been running with 1 teacher, 1,546 schools with 2 teachers, 7,037 schools with 3 teachers and 27,133 with 4 teachers</w:t>
      </w:r>
      <w:r w:rsidR="00540E91" w:rsidRPr="005F120D">
        <w:rPr>
          <w:rFonts w:asciiTheme="minorHAnsi" w:hAnsiTheme="minorHAnsi" w:cstheme="minorHAnsi"/>
          <w:sz w:val="22"/>
          <w:szCs w:val="22"/>
        </w:rPr>
        <w:t>.</w:t>
      </w:r>
    </w:p>
    <w:p w:rsidR="00B6095C" w:rsidRPr="005F120D" w:rsidRDefault="00B6095C" w:rsidP="00B6095C">
      <w:pPr>
        <w:pStyle w:val="Tabletext"/>
        <w:spacing w:before="240" w:after="240"/>
        <w:jc w:val="both"/>
        <w:rPr>
          <w:rFonts w:asciiTheme="minorHAnsi" w:hAnsiTheme="minorHAnsi" w:cstheme="minorHAnsi"/>
          <w:color w:val="FF0000"/>
          <w:sz w:val="22"/>
          <w:szCs w:val="22"/>
        </w:rPr>
      </w:pPr>
    </w:p>
    <w:p w:rsidR="00B617BB" w:rsidRPr="005F120D" w:rsidRDefault="00B617BB" w:rsidP="00C437AA">
      <w:pPr>
        <w:pStyle w:val="Caption"/>
        <w:spacing w:line="276" w:lineRule="auto"/>
        <w:rPr>
          <w:rFonts w:cstheme="minorHAnsi"/>
        </w:rPr>
      </w:pPr>
      <w:bookmarkStart w:id="486" w:name="_Toc462837296"/>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5</w:t>
      </w:r>
      <w:r w:rsidR="002E2ED5" w:rsidRPr="005F120D">
        <w:rPr>
          <w:rFonts w:cstheme="minorHAnsi"/>
        </w:rPr>
        <w:fldChar w:fldCharType="end"/>
      </w:r>
      <w:r w:rsidRPr="005F120D">
        <w:rPr>
          <w:rFonts w:cstheme="minorHAnsi"/>
        </w:rPr>
        <w:t xml:space="preserve">: Existing </w:t>
      </w:r>
      <w:r w:rsidR="007868FE" w:rsidRPr="005F120D">
        <w:rPr>
          <w:rFonts w:cstheme="minorHAnsi"/>
        </w:rPr>
        <w:t xml:space="preserve">Number of </w:t>
      </w:r>
      <w:r w:rsidRPr="005F120D">
        <w:rPr>
          <w:rFonts w:cstheme="minorHAnsi"/>
        </w:rPr>
        <w:t xml:space="preserve">Teachers </w:t>
      </w:r>
      <w:r w:rsidR="007868FE" w:rsidRPr="005F120D">
        <w:rPr>
          <w:rFonts w:cstheme="minorHAnsi"/>
        </w:rPr>
        <w:t>in</w:t>
      </w:r>
      <w:r w:rsidRPr="005F120D">
        <w:rPr>
          <w:rFonts w:cstheme="minorHAnsi"/>
        </w:rPr>
        <w:t xml:space="preserve"> GPS and NNPS as of February 2015</w:t>
      </w:r>
      <w:bookmarkEnd w:id="486"/>
    </w:p>
    <w:tbl>
      <w:tblPr>
        <w:tblStyle w:val="TableGrid"/>
        <w:tblW w:w="5000" w:type="pct"/>
        <w:tblBorders>
          <w:top w:val="double" w:sz="4" w:space="0" w:color="D99594" w:themeColor="accent2" w:themeTint="99"/>
          <w:left w:val="double" w:sz="4" w:space="0" w:color="D99594" w:themeColor="accent2" w:themeTint="99"/>
          <w:bottom w:val="double" w:sz="4" w:space="0" w:color="D99594" w:themeColor="accent2" w:themeTint="99"/>
          <w:right w:val="double" w:sz="4" w:space="0" w:color="D99594" w:themeColor="accent2" w:themeTint="99"/>
          <w:insideH w:val="single" w:sz="6" w:space="0" w:color="D99594" w:themeColor="accent2" w:themeTint="99"/>
          <w:insideV w:val="single" w:sz="6" w:space="0" w:color="D99594" w:themeColor="accent2" w:themeTint="99"/>
        </w:tblBorders>
        <w:tblLook w:val="04A0"/>
      </w:tblPr>
      <w:tblGrid>
        <w:gridCol w:w="677"/>
        <w:gridCol w:w="2285"/>
        <w:gridCol w:w="2069"/>
        <w:gridCol w:w="2132"/>
        <w:gridCol w:w="2082"/>
      </w:tblGrid>
      <w:tr w:rsidR="001816B8" w:rsidRPr="005F120D" w:rsidTr="001816B8">
        <w:trPr>
          <w:trHeight w:hRule="exact" w:val="642"/>
          <w:tblHeader/>
        </w:trPr>
        <w:tc>
          <w:tcPr>
            <w:tcW w:w="366" w:type="pct"/>
            <w:tcBorders>
              <w:top w:val="double" w:sz="4" w:space="0" w:color="D99594" w:themeColor="accent2" w:themeTint="99"/>
              <w:bottom w:val="single" w:sz="6" w:space="0" w:color="D99594" w:themeColor="accent2" w:themeTint="99"/>
            </w:tcBorders>
            <w:shd w:val="clear" w:color="auto" w:fill="E5B8B7" w:themeFill="accent2" w:themeFillTint="66"/>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SL.</w:t>
            </w:r>
          </w:p>
        </w:tc>
        <w:tc>
          <w:tcPr>
            <w:tcW w:w="1236" w:type="pct"/>
            <w:tcBorders>
              <w:top w:val="double" w:sz="4" w:space="0" w:color="D99594" w:themeColor="accent2" w:themeTint="99"/>
              <w:bottom w:val="single" w:sz="6" w:space="0" w:color="D99594" w:themeColor="accent2" w:themeTint="99"/>
            </w:tcBorders>
            <w:shd w:val="clear" w:color="auto" w:fill="E5B8B7" w:themeFill="accent2" w:themeFillTint="66"/>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No. of Existing Teachers</w:t>
            </w:r>
          </w:p>
        </w:tc>
        <w:tc>
          <w:tcPr>
            <w:tcW w:w="1119" w:type="pct"/>
            <w:tcBorders>
              <w:top w:val="double" w:sz="4" w:space="0" w:color="D99594" w:themeColor="accent2" w:themeTint="99"/>
              <w:bottom w:val="single" w:sz="6" w:space="0" w:color="D99594" w:themeColor="accent2" w:themeTint="99"/>
            </w:tcBorders>
            <w:shd w:val="clear" w:color="auto" w:fill="E5B8B7" w:themeFill="accent2" w:themeFillTint="66"/>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 xml:space="preserve">Total GPS </w:t>
            </w:r>
          </w:p>
        </w:tc>
        <w:tc>
          <w:tcPr>
            <w:tcW w:w="1153" w:type="pct"/>
            <w:tcBorders>
              <w:top w:val="double" w:sz="4" w:space="0" w:color="D99594" w:themeColor="accent2" w:themeTint="99"/>
              <w:bottom w:val="single" w:sz="6" w:space="0" w:color="D99594" w:themeColor="accent2" w:themeTint="99"/>
            </w:tcBorders>
            <w:shd w:val="clear" w:color="auto" w:fill="E5B8B7" w:themeFill="accent2" w:themeFillTint="66"/>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Total NNPS</w:t>
            </w:r>
          </w:p>
        </w:tc>
        <w:tc>
          <w:tcPr>
            <w:tcW w:w="1126" w:type="pct"/>
            <w:tcBorders>
              <w:top w:val="double" w:sz="4" w:space="0" w:color="D99594" w:themeColor="accent2" w:themeTint="99"/>
              <w:bottom w:val="single" w:sz="6" w:space="0" w:color="D99594" w:themeColor="accent2" w:themeTint="99"/>
            </w:tcBorders>
            <w:shd w:val="clear" w:color="auto" w:fill="E5B8B7" w:themeFill="accent2" w:themeFillTint="66"/>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Total (GPS and NNPS)</w:t>
            </w:r>
          </w:p>
        </w:tc>
      </w:tr>
      <w:tr w:rsidR="001816B8" w:rsidRPr="005F120D" w:rsidTr="001816B8">
        <w:trPr>
          <w:trHeight w:hRule="exact" w:val="288"/>
        </w:trPr>
        <w:tc>
          <w:tcPr>
            <w:tcW w:w="366" w:type="pct"/>
            <w:tcBorders>
              <w:top w:val="single" w:sz="6" w:space="0" w:color="D99594" w:themeColor="accent2" w:themeTint="99"/>
            </w:tcBorders>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w:t>
            </w:r>
          </w:p>
        </w:tc>
        <w:tc>
          <w:tcPr>
            <w:tcW w:w="1236" w:type="pct"/>
            <w:tcBorders>
              <w:top w:val="single" w:sz="6" w:space="0" w:color="D99594" w:themeColor="accent2" w:themeTint="99"/>
            </w:tcBorders>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 Teachers’ school</w:t>
            </w:r>
          </w:p>
        </w:tc>
        <w:tc>
          <w:tcPr>
            <w:tcW w:w="1119" w:type="pct"/>
            <w:tcBorders>
              <w:top w:val="single" w:sz="6" w:space="0" w:color="D99594" w:themeColor="accent2" w:themeTint="99"/>
            </w:tcBorders>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293</w:t>
            </w:r>
          </w:p>
        </w:tc>
        <w:tc>
          <w:tcPr>
            <w:tcW w:w="1153" w:type="pct"/>
            <w:tcBorders>
              <w:top w:val="single" w:sz="6" w:space="0" w:color="D99594" w:themeColor="accent2" w:themeTint="99"/>
            </w:tcBorders>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254</w:t>
            </w:r>
          </w:p>
        </w:tc>
        <w:tc>
          <w:tcPr>
            <w:tcW w:w="1126" w:type="pct"/>
            <w:tcBorders>
              <w:top w:val="single" w:sz="6" w:space="0" w:color="D99594" w:themeColor="accent2" w:themeTint="99"/>
            </w:tcBorders>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547</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939</w:t>
            </w:r>
          </w:p>
        </w:tc>
        <w:tc>
          <w:tcPr>
            <w:tcW w:w="1153"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607</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1,546</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3</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3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3,569</w:t>
            </w:r>
          </w:p>
        </w:tc>
        <w:tc>
          <w:tcPr>
            <w:tcW w:w="1153"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3,468</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 xml:space="preserve"> 7,037</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4</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4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7,405</w:t>
            </w:r>
          </w:p>
        </w:tc>
        <w:tc>
          <w:tcPr>
            <w:tcW w:w="1153"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19,728</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27,133</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5</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5Teachers’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6,617</w:t>
            </w:r>
          </w:p>
        </w:tc>
        <w:tc>
          <w:tcPr>
            <w:tcW w:w="1153"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908</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7,525</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6</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6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6,335</w:t>
            </w:r>
          </w:p>
        </w:tc>
        <w:tc>
          <w:tcPr>
            <w:tcW w:w="1153"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132</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6,467</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7</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7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5,112</w:t>
            </w:r>
          </w:p>
        </w:tc>
        <w:tc>
          <w:tcPr>
            <w:tcW w:w="1153"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45</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5,157</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8</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8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3,216</w:t>
            </w:r>
          </w:p>
        </w:tc>
        <w:tc>
          <w:tcPr>
            <w:tcW w:w="1153"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22</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3,238</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9</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9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1,846</w:t>
            </w:r>
          </w:p>
        </w:tc>
        <w:tc>
          <w:tcPr>
            <w:tcW w:w="1153" w:type="pct"/>
            <w:tcBorders>
              <w:bottom w:val="single" w:sz="6" w:space="0" w:color="D99594" w:themeColor="accent2" w:themeTint="99"/>
            </w:tcBorders>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9</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1,855</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10</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10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1,166</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1,166</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11</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11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693</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693</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12</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12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414</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414</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13</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13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229</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229</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14</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14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146</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146</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15</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15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129</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129</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16</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16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45</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45</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17</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17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24</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24</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18</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18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29</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29</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19</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19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12</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12</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20</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20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11</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11</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21</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21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6</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6</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22</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22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7</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7</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23</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23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3</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3</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24</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24Teachers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25</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25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26</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26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27</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27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28</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28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29</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29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30</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30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2</w:t>
            </w:r>
          </w:p>
        </w:tc>
      </w:tr>
      <w:tr w:rsidR="001816B8" w:rsidRPr="005F120D" w:rsidTr="001816B8">
        <w:trPr>
          <w:trHeight w:hRule="exact" w:val="288"/>
        </w:trPr>
        <w:tc>
          <w:tcPr>
            <w:tcW w:w="366" w:type="pct"/>
          </w:tcPr>
          <w:p w:rsidR="001816B8" w:rsidRPr="005F120D" w:rsidRDefault="001816B8" w:rsidP="00936D9E">
            <w:pPr>
              <w:jc w:val="center"/>
              <w:rPr>
                <w:rFonts w:asciiTheme="minorHAnsi" w:hAnsiTheme="minorHAnsi" w:cstheme="minorHAnsi"/>
                <w:sz w:val="20"/>
                <w:szCs w:val="20"/>
              </w:rPr>
            </w:pPr>
            <w:r w:rsidRPr="005F120D">
              <w:rPr>
                <w:rFonts w:asciiTheme="minorHAnsi" w:hAnsiTheme="minorHAnsi" w:cstheme="minorHAnsi"/>
                <w:sz w:val="20"/>
                <w:szCs w:val="20"/>
              </w:rPr>
              <w:t>45</w:t>
            </w:r>
          </w:p>
        </w:tc>
        <w:tc>
          <w:tcPr>
            <w:tcW w:w="1236" w:type="pct"/>
          </w:tcPr>
          <w:p w:rsidR="001816B8" w:rsidRPr="005F120D" w:rsidRDefault="001816B8" w:rsidP="00936D9E">
            <w:pPr>
              <w:rPr>
                <w:rFonts w:asciiTheme="minorHAnsi" w:hAnsiTheme="minorHAnsi" w:cstheme="minorHAnsi"/>
                <w:sz w:val="20"/>
                <w:szCs w:val="20"/>
              </w:rPr>
            </w:pPr>
            <w:r w:rsidRPr="005F120D">
              <w:rPr>
                <w:rFonts w:asciiTheme="minorHAnsi" w:hAnsiTheme="minorHAnsi" w:cstheme="minorHAnsi"/>
                <w:sz w:val="20"/>
                <w:szCs w:val="20"/>
              </w:rPr>
              <w:t>45 Teachers school</w:t>
            </w:r>
          </w:p>
        </w:tc>
        <w:tc>
          <w:tcPr>
            <w:tcW w:w="1119"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w:t>
            </w:r>
          </w:p>
        </w:tc>
        <w:tc>
          <w:tcPr>
            <w:tcW w:w="1153" w:type="pct"/>
            <w:tcBorders>
              <w:top w:val="single" w:sz="6" w:space="0" w:color="D99594" w:themeColor="accent2" w:themeTint="99"/>
              <w:bottom w:val="single" w:sz="6" w:space="0" w:color="D99594" w:themeColor="accent2" w:themeTint="99"/>
            </w:tcBorders>
            <w:shd w:val="clear" w:color="auto" w:fill="E5B8B7" w:themeFill="accent2" w:themeFillTint="66"/>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w:t>
            </w:r>
          </w:p>
        </w:tc>
        <w:tc>
          <w:tcPr>
            <w:tcW w:w="1126" w:type="pct"/>
            <w:vAlign w:val="bottom"/>
          </w:tcPr>
          <w:p w:rsidR="001816B8" w:rsidRPr="005F120D" w:rsidRDefault="001816B8" w:rsidP="00936D9E">
            <w:pPr>
              <w:jc w:val="center"/>
              <w:rPr>
                <w:rFonts w:asciiTheme="minorHAnsi" w:hAnsiTheme="minorHAnsi" w:cstheme="minorHAnsi"/>
                <w:color w:val="000000"/>
                <w:sz w:val="20"/>
                <w:szCs w:val="20"/>
              </w:rPr>
            </w:pPr>
            <w:r w:rsidRPr="005F120D">
              <w:rPr>
                <w:rFonts w:asciiTheme="minorHAnsi" w:hAnsiTheme="minorHAnsi" w:cstheme="minorHAnsi"/>
                <w:color w:val="000000"/>
                <w:sz w:val="20"/>
                <w:szCs w:val="20"/>
              </w:rPr>
              <w:t>1</w:t>
            </w:r>
          </w:p>
        </w:tc>
      </w:tr>
      <w:tr w:rsidR="001816B8" w:rsidRPr="005F120D" w:rsidTr="001816B8">
        <w:trPr>
          <w:trHeight w:hRule="exact" w:val="288"/>
        </w:trPr>
        <w:tc>
          <w:tcPr>
            <w:tcW w:w="366" w:type="pct"/>
          </w:tcPr>
          <w:p w:rsidR="001816B8" w:rsidRPr="005F120D" w:rsidRDefault="001816B8" w:rsidP="00936D9E">
            <w:pPr>
              <w:rPr>
                <w:rFonts w:asciiTheme="minorHAnsi" w:hAnsiTheme="minorHAnsi" w:cstheme="minorHAnsi"/>
                <w:sz w:val="20"/>
                <w:szCs w:val="20"/>
              </w:rPr>
            </w:pPr>
          </w:p>
        </w:tc>
        <w:tc>
          <w:tcPr>
            <w:tcW w:w="1236" w:type="pct"/>
          </w:tcPr>
          <w:p w:rsidR="001816B8" w:rsidRPr="005F120D" w:rsidRDefault="001816B8" w:rsidP="00936D9E">
            <w:pPr>
              <w:jc w:val="right"/>
              <w:rPr>
                <w:rFonts w:asciiTheme="minorHAnsi" w:hAnsiTheme="minorHAnsi" w:cstheme="minorHAnsi"/>
                <w:b/>
                <w:sz w:val="20"/>
                <w:szCs w:val="20"/>
              </w:rPr>
            </w:pPr>
            <w:r w:rsidRPr="005F120D">
              <w:rPr>
                <w:rFonts w:asciiTheme="minorHAnsi" w:hAnsiTheme="minorHAnsi" w:cstheme="minorHAnsi"/>
                <w:b/>
                <w:sz w:val="20"/>
                <w:szCs w:val="20"/>
              </w:rPr>
              <w:t>Total Schools</w:t>
            </w:r>
          </w:p>
        </w:tc>
        <w:tc>
          <w:tcPr>
            <w:tcW w:w="1119" w:type="pct"/>
            <w:vAlign w:val="bottom"/>
          </w:tcPr>
          <w:p w:rsidR="001816B8" w:rsidRPr="005F120D" w:rsidRDefault="001816B8" w:rsidP="00936D9E">
            <w:pPr>
              <w:jc w:val="center"/>
              <w:rPr>
                <w:rFonts w:asciiTheme="minorHAnsi" w:hAnsiTheme="minorHAnsi" w:cstheme="minorHAnsi"/>
                <w:b/>
                <w:color w:val="000000"/>
                <w:sz w:val="20"/>
                <w:szCs w:val="20"/>
              </w:rPr>
            </w:pPr>
            <w:r w:rsidRPr="005F120D">
              <w:rPr>
                <w:rFonts w:asciiTheme="minorHAnsi" w:hAnsiTheme="minorHAnsi" w:cstheme="minorHAnsi"/>
                <w:b/>
                <w:color w:val="000000"/>
                <w:sz w:val="20"/>
                <w:szCs w:val="20"/>
              </w:rPr>
              <w:t>38,255</w:t>
            </w:r>
          </w:p>
        </w:tc>
        <w:tc>
          <w:tcPr>
            <w:tcW w:w="1153" w:type="pct"/>
            <w:tcBorders>
              <w:top w:val="single" w:sz="6" w:space="0" w:color="D99594" w:themeColor="accent2" w:themeTint="99"/>
            </w:tcBorders>
            <w:vAlign w:val="bottom"/>
          </w:tcPr>
          <w:p w:rsidR="001816B8" w:rsidRPr="005F120D" w:rsidRDefault="001816B8" w:rsidP="00936D9E">
            <w:pPr>
              <w:jc w:val="center"/>
              <w:rPr>
                <w:rFonts w:asciiTheme="minorHAnsi" w:hAnsiTheme="minorHAnsi" w:cstheme="minorHAnsi"/>
                <w:b/>
                <w:color w:val="000000"/>
                <w:sz w:val="20"/>
                <w:szCs w:val="20"/>
              </w:rPr>
            </w:pPr>
            <w:r w:rsidRPr="005F120D">
              <w:rPr>
                <w:rFonts w:asciiTheme="minorHAnsi" w:hAnsiTheme="minorHAnsi" w:cstheme="minorHAnsi"/>
                <w:b/>
                <w:color w:val="000000"/>
                <w:sz w:val="20"/>
                <w:szCs w:val="20"/>
              </w:rPr>
              <w:t>25,173</w:t>
            </w:r>
          </w:p>
        </w:tc>
        <w:tc>
          <w:tcPr>
            <w:tcW w:w="1126" w:type="pct"/>
            <w:vAlign w:val="bottom"/>
          </w:tcPr>
          <w:p w:rsidR="001816B8" w:rsidRPr="005F120D" w:rsidRDefault="001816B8" w:rsidP="00936D9E">
            <w:pPr>
              <w:jc w:val="center"/>
              <w:rPr>
                <w:rFonts w:asciiTheme="minorHAnsi" w:hAnsiTheme="minorHAnsi" w:cstheme="minorHAnsi"/>
                <w:b/>
                <w:color w:val="000000"/>
                <w:sz w:val="20"/>
                <w:szCs w:val="20"/>
              </w:rPr>
            </w:pPr>
            <w:r w:rsidRPr="005F120D">
              <w:rPr>
                <w:rFonts w:asciiTheme="minorHAnsi" w:hAnsiTheme="minorHAnsi" w:cstheme="minorHAnsi"/>
                <w:b/>
                <w:color w:val="000000"/>
                <w:sz w:val="20"/>
                <w:szCs w:val="20"/>
              </w:rPr>
              <w:t>63,428</w:t>
            </w:r>
          </w:p>
        </w:tc>
      </w:tr>
    </w:tbl>
    <w:p w:rsidR="000C7016" w:rsidRPr="005F120D" w:rsidRDefault="000C7016" w:rsidP="00C437AA">
      <w:pPr>
        <w:spacing w:line="276" w:lineRule="auto"/>
        <w:rPr>
          <w:rFonts w:asciiTheme="minorHAnsi" w:hAnsiTheme="minorHAnsi" w:cstheme="minorHAnsi"/>
          <w:b/>
          <w:sz w:val="16"/>
          <w:szCs w:val="16"/>
        </w:rPr>
      </w:pPr>
      <w:r w:rsidRPr="005F120D">
        <w:rPr>
          <w:rFonts w:asciiTheme="minorHAnsi" w:hAnsiTheme="minorHAnsi" w:cstheme="minorHAnsi"/>
          <w:b/>
          <w:sz w:val="16"/>
          <w:szCs w:val="16"/>
        </w:rPr>
        <w:t>Source: APSC 2015 database</w:t>
      </w:r>
    </w:p>
    <w:p w:rsidR="004A14B8" w:rsidRPr="005F120D" w:rsidRDefault="004A14B8" w:rsidP="00C437AA">
      <w:pPr>
        <w:spacing w:line="276" w:lineRule="auto"/>
        <w:rPr>
          <w:rFonts w:asciiTheme="minorHAnsi" w:hAnsiTheme="minorHAnsi" w:cstheme="minorHAnsi"/>
          <w:b/>
          <w:sz w:val="16"/>
          <w:szCs w:val="16"/>
        </w:rPr>
      </w:pPr>
    </w:p>
    <w:p w:rsidR="004A14B8" w:rsidRPr="005F120D" w:rsidRDefault="004A14B8" w:rsidP="00C437AA">
      <w:pPr>
        <w:spacing w:line="276" w:lineRule="auto"/>
        <w:rPr>
          <w:rFonts w:asciiTheme="minorHAnsi" w:hAnsiTheme="minorHAnsi" w:cstheme="minorHAnsi"/>
          <w:b/>
          <w:sz w:val="16"/>
          <w:szCs w:val="16"/>
        </w:rPr>
      </w:pPr>
    </w:p>
    <w:p w:rsidR="004A14B8" w:rsidRPr="005F120D" w:rsidRDefault="004A14B8" w:rsidP="00C437AA">
      <w:pPr>
        <w:spacing w:line="276" w:lineRule="auto"/>
        <w:rPr>
          <w:rFonts w:asciiTheme="minorHAnsi" w:hAnsiTheme="minorHAnsi" w:cstheme="minorHAnsi"/>
          <w:b/>
          <w:sz w:val="16"/>
          <w:szCs w:val="16"/>
        </w:rPr>
      </w:pPr>
    </w:p>
    <w:p w:rsidR="004A14B8" w:rsidRPr="005F120D" w:rsidRDefault="004A14B8" w:rsidP="00C437AA">
      <w:pPr>
        <w:spacing w:line="276" w:lineRule="auto"/>
        <w:rPr>
          <w:rFonts w:asciiTheme="minorHAnsi" w:hAnsiTheme="minorHAnsi" w:cstheme="minorHAnsi"/>
          <w:b/>
          <w:sz w:val="16"/>
          <w:szCs w:val="16"/>
        </w:rPr>
      </w:pPr>
    </w:p>
    <w:p w:rsidR="004A14B8" w:rsidRPr="005F120D" w:rsidRDefault="004A14B8" w:rsidP="00C437AA">
      <w:pPr>
        <w:spacing w:line="276" w:lineRule="auto"/>
        <w:rPr>
          <w:rFonts w:asciiTheme="minorHAnsi" w:hAnsiTheme="minorHAnsi" w:cstheme="minorHAnsi"/>
          <w:b/>
          <w:sz w:val="16"/>
          <w:szCs w:val="16"/>
        </w:rPr>
      </w:pPr>
    </w:p>
    <w:p w:rsidR="00332BB3" w:rsidRPr="005F120D" w:rsidRDefault="00EB0FDC" w:rsidP="00C437AA">
      <w:pPr>
        <w:pStyle w:val="Heading2"/>
        <w:spacing w:line="276" w:lineRule="auto"/>
        <w:rPr>
          <w:rFonts w:cstheme="minorHAnsi"/>
        </w:rPr>
      </w:pPr>
      <w:bookmarkStart w:id="487" w:name="_Toc462837187"/>
      <w:bookmarkEnd w:id="475"/>
      <w:bookmarkEnd w:id="476"/>
      <w:bookmarkEnd w:id="477"/>
      <w:r w:rsidRPr="005F120D">
        <w:rPr>
          <w:rFonts w:cstheme="minorHAnsi"/>
        </w:rPr>
        <w:lastRenderedPageBreak/>
        <w:t>Access</w:t>
      </w:r>
      <w:r w:rsidR="004B072A" w:rsidRPr="005F120D">
        <w:rPr>
          <w:rFonts w:cstheme="minorHAnsi"/>
        </w:rPr>
        <w:t xml:space="preserve"> and Equity</w:t>
      </w:r>
      <w:bookmarkEnd w:id="487"/>
    </w:p>
    <w:p w:rsidR="007B1D89" w:rsidRPr="005F120D" w:rsidRDefault="007B1D89" w:rsidP="00C437AA">
      <w:pPr>
        <w:spacing w:line="276" w:lineRule="auto"/>
        <w:rPr>
          <w:rFonts w:asciiTheme="minorHAnsi" w:hAnsiTheme="minorHAnsi" w:cstheme="minorHAnsi"/>
        </w:rPr>
      </w:pPr>
      <w:r w:rsidRPr="005F120D">
        <w:rPr>
          <w:rFonts w:asciiTheme="minorHAnsi" w:hAnsiTheme="minorHAnsi" w:cstheme="minorHAnsi"/>
        </w:rPr>
        <w:t>The following two PSQLs are clustered under the thematic area “Access and Equity”:</w:t>
      </w:r>
    </w:p>
    <w:p w:rsidR="007B1D89" w:rsidRPr="005F120D" w:rsidRDefault="007B1D89" w:rsidP="00C437AA">
      <w:pPr>
        <w:pStyle w:val="ListParagraph"/>
        <w:numPr>
          <w:ilvl w:val="0"/>
          <w:numId w:val="102"/>
        </w:numPr>
        <w:spacing w:line="276" w:lineRule="auto"/>
        <w:rPr>
          <w:rFonts w:asciiTheme="minorHAnsi" w:hAnsiTheme="minorHAnsi" w:cstheme="minorHAnsi"/>
          <w:b/>
          <w:i/>
        </w:rPr>
      </w:pPr>
      <w:r w:rsidRPr="005F120D">
        <w:rPr>
          <w:rFonts w:asciiTheme="minorHAnsi" w:hAnsiTheme="minorHAnsi" w:cstheme="minorHAnsi"/>
          <w:b/>
          <w:i/>
        </w:rPr>
        <w:t>PSQL 5:  % of schools (GPS/NNPS) with pre-primary classes</w:t>
      </w:r>
    </w:p>
    <w:p w:rsidR="00A25A33" w:rsidRPr="005F120D" w:rsidRDefault="007B1D89" w:rsidP="00C437AA">
      <w:pPr>
        <w:pStyle w:val="ListParagraph"/>
        <w:numPr>
          <w:ilvl w:val="0"/>
          <w:numId w:val="20"/>
        </w:numPr>
        <w:spacing w:line="276" w:lineRule="auto"/>
        <w:rPr>
          <w:rFonts w:asciiTheme="minorHAnsi" w:hAnsiTheme="minorHAnsi" w:cstheme="minorHAnsi"/>
          <w:b/>
          <w:i/>
        </w:rPr>
      </w:pPr>
      <w:r w:rsidRPr="005F120D">
        <w:rPr>
          <w:rFonts w:asciiTheme="minorHAnsi" w:hAnsiTheme="minorHAnsi" w:cstheme="minorHAnsi"/>
          <w:b/>
          <w:i/>
        </w:rPr>
        <w:t>PSQL 6: No. of enrolled children with disabilities</w:t>
      </w:r>
    </w:p>
    <w:p w:rsidR="00A25A33" w:rsidRPr="005F120D" w:rsidRDefault="00A25A33" w:rsidP="004E77B3">
      <w:pPr>
        <w:pStyle w:val="Heading3"/>
      </w:pPr>
      <w:r w:rsidRPr="005F120D">
        <w:t xml:space="preserve">Pre-primary School Coverage </w:t>
      </w:r>
    </w:p>
    <w:p w:rsidR="00992ABD" w:rsidRPr="005F120D" w:rsidRDefault="00992ABD" w:rsidP="00E8048F">
      <w:pPr>
        <w:spacing w:after="120" w:line="276" w:lineRule="auto"/>
        <w:jc w:val="both"/>
        <w:rPr>
          <w:rFonts w:asciiTheme="minorHAnsi" w:hAnsiTheme="minorHAnsi" w:cstheme="minorHAnsi"/>
        </w:rPr>
      </w:pPr>
      <w:r w:rsidRPr="005F120D">
        <w:rPr>
          <w:rFonts w:asciiTheme="minorHAnsi" w:hAnsiTheme="minorHAnsi" w:cstheme="minorHAnsi"/>
        </w:rPr>
        <w:t>Sections 3.2.1.4 discusses in detail the expansion of pre-primary education under the PEDP3.  Non-KPI-3 is another measurement on pre-primary coverage, defined as “</w:t>
      </w:r>
      <w:r w:rsidRPr="005F120D">
        <w:rPr>
          <w:rFonts w:asciiTheme="minorHAnsi" w:hAnsiTheme="minorHAnsi" w:cstheme="minorHAnsi"/>
          <w:b/>
          <w:i/>
          <w:sz w:val="20"/>
        </w:rPr>
        <w:t>Percentage of Grade 1 new intakes who completed PPE (EFA-2)</w:t>
      </w:r>
      <w:r w:rsidRPr="005F120D">
        <w:rPr>
          <w:rFonts w:asciiTheme="minorHAnsi" w:hAnsiTheme="minorHAnsi" w:cstheme="minorHAnsi"/>
          <w:b/>
          <w:i/>
        </w:rPr>
        <w:t>”.</w:t>
      </w:r>
    </w:p>
    <w:p w:rsidR="00992ABD" w:rsidRPr="005F120D" w:rsidRDefault="00992ABD" w:rsidP="00992ABD">
      <w:pPr>
        <w:spacing w:line="276" w:lineRule="auto"/>
        <w:jc w:val="both"/>
        <w:rPr>
          <w:rFonts w:asciiTheme="minorHAnsi" w:hAnsiTheme="minorHAnsi" w:cstheme="minorHAnsi"/>
        </w:rPr>
      </w:pPr>
      <w:r w:rsidRPr="005F120D">
        <w:rPr>
          <w:rFonts w:asciiTheme="minorHAnsi" w:hAnsiTheme="minorHAnsi" w:cstheme="minorHAnsi"/>
        </w:rPr>
        <w:t xml:space="preserve">The </w:t>
      </w:r>
      <w:r w:rsidRPr="005F120D">
        <w:rPr>
          <w:rFonts w:asciiTheme="minorHAnsi" w:hAnsiTheme="minorHAnsi" w:cstheme="minorHAnsi"/>
          <w:b/>
          <w:u w:val="single"/>
        </w:rPr>
        <w:t>PSQL-5</w:t>
      </w:r>
      <w:r w:rsidRPr="005F120D">
        <w:rPr>
          <w:rFonts w:asciiTheme="minorHAnsi" w:hAnsiTheme="minorHAnsi" w:cstheme="minorHAnsi"/>
        </w:rPr>
        <w:t xml:space="preserve"> is </w:t>
      </w:r>
      <w:r w:rsidRPr="005F120D">
        <w:rPr>
          <w:rFonts w:asciiTheme="minorHAnsi" w:hAnsiTheme="minorHAnsi" w:cstheme="minorHAnsi"/>
          <w:b/>
          <w:i/>
        </w:rPr>
        <w:t>‘Percentage of schools (GPS/NNPS) with pre-primary classes’</w:t>
      </w:r>
      <w:r w:rsidRPr="005F120D">
        <w:rPr>
          <w:rFonts w:asciiTheme="minorHAnsi" w:hAnsiTheme="minorHAnsi" w:cstheme="minorHAnsi"/>
        </w:rPr>
        <w:t>. Table 4.6 shows that, nearly 100% of GPSs had pre-primary classes in 2015; only 321 out of 38,306 GPS in the 2015 APSC database did not have any pre-primary students: nearly 95% of NNPSs had pre-primary classes. Only 1,291 out of 25,240 NNPS in the 2015 APSC database had no pre-primary students.</w:t>
      </w:r>
    </w:p>
    <w:p w:rsidR="00704B07" w:rsidRPr="005F120D" w:rsidRDefault="00992ABD" w:rsidP="00992ABD">
      <w:pPr>
        <w:spacing w:line="276" w:lineRule="auto"/>
        <w:rPr>
          <w:rFonts w:asciiTheme="minorHAnsi" w:hAnsiTheme="minorHAnsi" w:cstheme="minorHAnsi"/>
        </w:rPr>
      </w:pPr>
      <w:r w:rsidRPr="005F120D">
        <w:rPr>
          <w:rFonts w:asciiTheme="minorHAnsi" w:hAnsiTheme="minorHAnsi" w:cstheme="minorHAnsi"/>
        </w:rPr>
        <w:t xml:space="preserve">Nationally, 2,864,877 PPE </w:t>
      </w:r>
      <w:r w:rsidRPr="005F120D">
        <w:rPr>
          <w:rFonts w:asciiTheme="minorHAnsi" w:hAnsiTheme="minorHAnsi" w:cstheme="minorHAnsi"/>
          <w:szCs w:val="22"/>
        </w:rPr>
        <w:t>children (</w:t>
      </w:r>
      <w:r w:rsidRPr="005F120D">
        <w:rPr>
          <w:rFonts w:asciiTheme="minorHAnsi" w:hAnsiTheme="minorHAnsi" w:cstheme="minorHAnsi"/>
          <w:color w:val="000000"/>
          <w:szCs w:val="22"/>
        </w:rPr>
        <w:t xml:space="preserve">1,450,546 </w:t>
      </w:r>
      <w:r w:rsidRPr="005F120D">
        <w:rPr>
          <w:rFonts w:asciiTheme="minorHAnsi" w:hAnsiTheme="minorHAnsi" w:cstheme="minorHAnsi"/>
          <w:szCs w:val="22"/>
        </w:rPr>
        <w:t xml:space="preserve">boys and </w:t>
      </w:r>
      <w:r w:rsidRPr="005F120D">
        <w:rPr>
          <w:rFonts w:asciiTheme="minorHAnsi" w:hAnsiTheme="minorHAnsi" w:cstheme="minorHAnsi"/>
          <w:color w:val="000000"/>
          <w:szCs w:val="22"/>
        </w:rPr>
        <w:t xml:space="preserve">1,414,331 </w:t>
      </w:r>
      <w:r w:rsidRPr="005F120D">
        <w:rPr>
          <w:rFonts w:asciiTheme="minorHAnsi" w:hAnsiTheme="minorHAnsi" w:cstheme="minorHAnsi"/>
          <w:szCs w:val="22"/>
        </w:rPr>
        <w:t>girls)</w:t>
      </w:r>
      <w:r w:rsidRPr="005F120D">
        <w:rPr>
          <w:rFonts w:asciiTheme="minorHAnsi" w:hAnsiTheme="minorHAnsi" w:cstheme="minorHAnsi"/>
        </w:rPr>
        <w:t xml:space="preserve"> were enrolled in 93,247 educational institutes.  Approximately 92% of all types of primary educational institutes/LCs now offer pre-primary education; most notably GPS and Kindergartens that were at 99% in 2015</w:t>
      </w:r>
      <w:r w:rsidR="00A25A33" w:rsidRPr="005F120D">
        <w:rPr>
          <w:rFonts w:asciiTheme="minorHAnsi" w:hAnsiTheme="minorHAnsi" w:cstheme="minorHAnsi"/>
        </w:rPr>
        <w:t>.</w:t>
      </w:r>
    </w:p>
    <w:p w:rsidR="00A25A33" w:rsidRPr="005F120D" w:rsidRDefault="00A25A33" w:rsidP="00C437AA">
      <w:pPr>
        <w:pStyle w:val="Caption"/>
        <w:spacing w:line="276" w:lineRule="auto"/>
        <w:rPr>
          <w:rFonts w:cstheme="minorHAnsi"/>
        </w:rPr>
      </w:pPr>
      <w:bookmarkStart w:id="488" w:name="_Ref387491219"/>
      <w:bookmarkStart w:id="489" w:name="_Ref387670365"/>
      <w:bookmarkStart w:id="490" w:name="_Toc462837297"/>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bookmarkEnd w:id="488"/>
      <w:bookmarkEnd w:id="489"/>
      <w:r w:rsidRPr="005F120D">
        <w:rPr>
          <w:rFonts w:cstheme="minorHAnsi"/>
        </w:rPr>
        <w:t xml:space="preserve">:  </w:t>
      </w:r>
      <w:r w:rsidRPr="005F120D">
        <w:rPr>
          <w:rFonts w:eastAsia="Calibri" w:cstheme="minorHAnsi"/>
        </w:rPr>
        <w:t>Percentage of schools (GPS) with pre-primary classes</w:t>
      </w:r>
      <w:r w:rsidR="006A7739" w:rsidRPr="005F120D">
        <w:rPr>
          <w:rFonts w:eastAsia="Calibri" w:cstheme="minorHAnsi"/>
        </w:rPr>
        <w:t xml:space="preserve"> 2010-1</w:t>
      </w:r>
      <w:r w:rsidR="00D60ACB" w:rsidRPr="005F120D">
        <w:rPr>
          <w:rFonts w:eastAsia="Calibri" w:cstheme="minorHAnsi"/>
        </w:rPr>
        <w:t>5</w:t>
      </w:r>
      <w:bookmarkEnd w:id="490"/>
    </w:p>
    <w:tbl>
      <w:tblPr>
        <w:tblStyle w:val="MediumShading1-Accent3"/>
        <w:tblW w:w="5016" w:type="pct"/>
        <w:jc w:val="center"/>
        <w:tbl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insideH w:val="double" w:sz="4" w:space="0" w:color="B2A1C7" w:themeColor="accent4" w:themeTint="99"/>
          <w:insideV w:val="double" w:sz="4" w:space="0" w:color="B2A1C7" w:themeColor="accent4" w:themeTint="99"/>
        </w:tblBorders>
        <w:tblLook w:val="04A0"/>
      </w:tblPr>
      <w:tblGrid>
        <w:gridCol w:w="1401"/>
        <w:gridCol w:w="1280"/>
        <w:gridCol w:w="1281"/>
        <w:gridCol w:w="1281"/>
        <w:gridCol w:w="1281"/>
        <w:gridCol w:w="1281"/>
        <w:gridCol w:w="1470"/>
      </w:tblGrid>
      <w:tr w:rsidR="00D60ACB" w:rsidRPr="005F120D" w:rsidTr="00623EF3">
        <w:trPr>
          <w:cnfStyle w:val="100000000000"/>
          <w:trHeight w:val="139"/>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B2A1C7" w:themeFill="accent4" w:themeFillTint="99"/>
          </w:tcPr>
          <w:p w:rsidR="00D60ACB" w:rsidRPr="005F120D" w:rsidRDefault="00D60ACB" w:rsidP="00936D9E">
            <w:pPr>
              <w:pStyle w:val="NoSpacing"/>
              <w:jc w:val="center"/>
              <w:rPr>
                <w:rFonts w:asciiTheme="minorHAnsi" w:eastAsia="Calibri" w:hAnsiTheme="minorHAnsi" w:cstheme="minorHAnsi"/>
                <w:color w:val="auto"/>
                <w:sz w:val="20"/>
              </w:rPr>
            </w:pPr>
          </w:p>
        </w:tc>
        <w:tc>
          <w:tcPr>
            <w:tcW w:w="0" w:type="auto"/>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D60ACB" w:rsidRPr="005F120D" w:rsidRDefault="00D60ACB" w:rsidP="00936D9E">
            <w:pPr>
              <w:pStyle w:val="NoSpacing"/>
              <w:jc w:val="center"/>
              <w:cnfStyle w:val="100000000000"/>
              <w:rPr>
                <w:rFonts w:asciiTheme="minorHAnsi" w:eastAsia="Calibri" w:hAnsiTheme="minorHAnsi" w:cstheme="minorHAnsi"/>
                <w:color w:val="auto"/>
                <w:sz w:val="20"/>
              </w:rPr>
            </w:pPr>
            <w:r w:rsidRPr="005F120D">
              <w:rPr>
                <w:rFonts w:asciiTheme="minorHAnsi" w:eastAsia="Calibri" w:hAnsiTheme="minorHAnsi" w:cstheme="minorHAnsi"/>
                <w:color w:val="auto"/>
                <w:sz w:val="20"/>
              </w:rPr>
              <w:t>2010</w:t>
            </w:r>
          </w:p>
        </w:tc>
        <w:tc>
          <w:tcPr>
            <w:tcW w:w="0" w:type="auto"/>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D60ACB" w:rsidRPr="005F120D" w:rsidRDefault="00D60ACB" w:rsidP="00936D9E">
            <w:pPr>
              <w:pStyle w:val="NoSpacing"/>
              <w:jc w:val="center"/>
              <w:cnfStyle w:val="100000000000"/>
              <w:rPr>
                <w:rFonts w:asciiTheme="minorHAnsi" w:eastAsia="Calibri" w:hAnsiTheme="minorHAnsi" w:cstheme="minorHAnsi"/>
                <w:color w:val="auto"/>
                <w:sz w:val="20"/>
              </w:rPr>
            </w:pPr>
            <w:r w:rsidRPr="005F120D">
              <w:rPr>
                <w:rFonts w:asciiTheme="minorHAnsi" w:eastAsia="Calibri" w:hAnsiTheme="minorHAnsi" w:cstheme="minorHAnsi"/>
                <w:color w:val="auto"/>
                <w:sz w:val="20"/>
              </w:rPr>
              <w:t>2011</w:t>
            </w:r>
          </w:p>
        </w:tc>
        <w:tc>
          <w:tcPr>
            <w:tcW w:w="0" w:type="auto"/>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D60ACB" w:rsidRPr="005F120D" w:rsidRDefault="00D60ACB" w:rsidP="00936D9E">
            <w:pPr>
              <w:pStyle w:val="NoSpacing"/>
              <w:jc w:val="center"/>
              <w:cnfStyle w:val="100000000000"/>
              <w:rPr>
                <w:rFonts w:asciiTheme="minorHAnsi" w:eastAsia="Calibri" w:hAnsiTheme="minorHAnsi" w:cstheme="minorHAnsi"/>
                <w:color w:val="auto"/>
                <w:sz w:val="20"/>
              </w:rPr>
            </w:pPr>
            <w:r w:rsidRPr="005F120D">
              <w:rPr>
                <w:rFonts w:asciiTheme="minorHAnsi" w:eastAsia="Calibri" w:hAnsiTheme="minorHAnsi" w:cstheme="minorHAnsi"/>
                <w:color w:val="auto"/>
                <w:sz w:val="20"/>
              </w:rPr>
              <w:t>2012</w:t>
            </w:r>
          </w:p>
        </w:tc>
        <w:tc>
          <w:tcPr>
            <w:tcW w:w="0" w:type="auto"/>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D60ACB" w:rsidRPr="005F120D" w:rsidRDefault="00D60ACB" w:rsidP="00936D9E">
            <w:pPr>
              <w:pStyle w:val="NoSpacing"/>
              <w:jc w:val="center"/>
              <w:cnfStyle w:val="100000000000"/>
              <w:rPr>
                <w:rFonts w:asciiTheme="minorHAnsi" w:eastAsia="Calibri" w:hAnsiTheme="minorHAnsi" w:cstheme="minorHAnsi"/>
                <w:color w:val="auto"/>
                <w:sz w:val="20"/>
              </w:rPr>
            </w:pPr>
            <w:r w:rsidRPr="005F120D">
              <w:rPr>
                <w:rFonts w:asciiTheme="minorHAnsi" w:eastAsia="Calibri" w:hAnsiTheme="minorHAnsi" w:cstheme="minorHAnsi"/>
                <w:color w:val="auto"/>
                <w:sz w:val="20"/>
              </w:rPr>
              <w:t>2013</w:t>
            </w:r>
          </w:p>
        </w:tc>
        <w:tc>
          <w:tcPr>
            <w:tcW w:w="0" w:type="auto"/>
            <w:tcBorders>
              <w:top w:val="none" w:sz="0" w:space="0" w:color="auto"/>
              <w:left w:val="none" w:sz="0" w:space="0" w:color="auto"/>
              <w:bottom w:val="none" w:sz="0" w:space="0" w:color="auto"/>
              <w:right w:val="none" w:sz="0" w:space="0" w:color="auto"/>
            </w:tcBorders>
            <w:shd w:val="clear" w:color="auto" w:fill="B2A1C7" w:themeFill="accent4" w:themeFillTint="99"/>
          </w:tcPr>
          <w:p w:rsidR="00D60ACB" w:rsidRPr="005F120D" w:rsidRDefault="00D60ACB" w:rsidP="00936D9E">
            <w:pPr>
              <w:pStyle w:val="NoSpacing"/>
              <w:jc w:val="center"/>
              <w:cnfStyle w:val="100000000000"/>
              <w:rPr>
                <w:rFonts w:asciiTheme="minorHAnsi" w:eastAsia="Calibri" w:hAnsiTheme="minorHAnsi" w:cstheme="minorHAnsi"/>
                <w:color w:val="auto"/>
                <w:sz w:val="20"/>
              </w:rPr>
            </w:pPr>
            <w:r w:rsidRPr="005F120D">
              <w:rPr>
                <w:rFonts w:asciiTheme="minorHAnsi" w:eastAsia="Calibri" w:hAnsiTheme="minorHAnsi" w:cstheme="minorHAnsi"/>
                <w:color w:val="auto"/>
                <w:sz w:val="20"/>
              </w:rPr>
              <w:t>2014</w:t>
            </w:r>
          </w:p>
        </w:tc>
        <w:tc>
          <w:tcPr>
            <w:tcW w:w="0" w:type="auto"/>
            <w:tcBorders>
              <w:top w:val="none" w:sz="0" w:space="0" w:color="auto"/>
              <w:left w:val="none" w:sz="0" w:space="0" w:color="auto"/>
              <w:bottom w:val="none" w:sz="0" w:space="0" w:color="auto"/>
              <w:right w:val="none" w:sz="0" w:space="0" w:color="auto"/>
            </w:tcBorders>
            <w:shd w:val="clear" w:color="auto" w:fill="B2A1C7" w:themeFill="accent4" w:themeFillTint="99"/>
          </w:tcPr>
          <w:p w:rsidR="00D60ACB" w:rsidRPr="005F120D" w:rsidRDefault="00D60ACB" w:rsidP="00936D9E">
            <w:pPr>
              <w:pStyle w:val="NoSpacing"/>
              <w:jc w:val="center"/>
              <w:cnfStyle w:val="100000000000"/>
              <w:rPr>
                <w:rFonts w:asciiTheme="minorHAnsi" w:eastAsia="Calibri" w:hAnsiTheme="minorHAnsi" w:cstheme="minorHAnsi"/>
                <w:color w:val="auto"/>
                <w:sz w:val="20"/>
              </w:rPr>
            </w:pPr>
            <w:r w:rsidRPr="005F120D">
              <w:rPr>
                <w:rFonts w:asciiTheme="minorHAnsi" w:eastAsia="Calibri" w:hAnsiTheme="minorHAnsi" w:cstheme="minorHAnsi"/>
                <w:color w:val="auto"/>
                <w:sz w:val="20"/>
              </w:rPr>
              <w:t>2015</w:t>
            </w:r>
          </w:p>
        </w:tc>
      </w:tr>
      <w:tr w:rsidR="00D60ACB" w:rsidRPr="005F120D" w:rsidTr="00623EF3">
        <w:trPr>
          <w:cnfStyle w:val="000000100000"/>
          <w:trHeight w:val="345"/>
          <w:jc w:val="center"/>
        </w:trPr>
        <w:tc>
          <w:tcPr>
            <w:cnfStyle w:val="001000000000"/>
            <w:tcW w:w="0" w:type="auto"/>
            <w:tcBorders>
              <w:right w:val="none" w:sz="0" w:space="0" w:color="auto"/>
            </w:tcBorders>
            <w:shd w:val="clear" w:color="auto" w:fill="E5DFEC" w:themeFill="accent4" w:themeFillTint="33"/>
          </w:tcPr>
          <w:p w:rsidR="00D60ACB" w:rsidRPr="005F120D" w:rsidRDefault="00D60ACB"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GPS</w:t>
            </w:r>
          </w:p>
        </w:tc>
        <w:tc>
          <w:tcPr>
            <w:tcW w:w="0" w:type="auto"/>
            <w:tcBorders>
              <w:left w:val="none" w:sz="0" w:space="0" w:color="auto"/>
              <w:right w:val="none" w:sz="0" w:space="0" w:color="auto"/>
            </w:tcBorders>
            <w:shd w:val="clear" w:color="auto" w:fill="E5DFEC" w:themeFill="accent4" w:themeFillTint="33"/>
            <w:vAlign w:val="center"/>
          </w:tcPr>
          <w:p w:rsidR="00D60ACB" w:rsidRPr="005F120D" w:rsidRDefault="00D60ACB"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45%</w:t>
            </w:r>
          </w:p>
        </w:tc>
        <w:tc>
          <w:tcPr>
            <w:tcW w:w="0" w:type="auto"/>
            <w:tcBorders>
              <w:left w:val="none" w:sz="0" w:space="0" w:color="auto"/>
              <w:right w:val="none" w:sz="0" w:space="0" w:color="auto"/>
            </w:tcBorders>
            <w:shd w:val="clear" w:color="auto" w:fill="E5DFEC" w:themeFill="accent4" w:themeFillTint="33"/>
            <w:vAlign w:val="center"/>
          </w:tcPr>
          <w:p w:rsidR="00D60ACB" w:rsidRPr="005F120D" w:rsidRDefault="00D60ACB"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94%</w:t>
            </w:r>
          </w:p>
        </w:tc>
        <w:tc>
          <w:tcPr>
            <w:tcW w:w="0" w:type="auto"/>
            <w:tcBorders>
              <w:left w:val="none" w:sz="0" w:space="0" w:color="auto"/>
              <w:right w:val="none" w:sz="0" w:space="0" w:color="auto"/>
            </w:tcBorders>
            <w:shd w:val="clear" w:color="auto" w:fill="E5DFEC" w:themeFill="accent4" w:themeFillTint="33"/>
            <w:vAlign w:val="center"/>
          </w:tcPr>
          <w:p w:rsidR="00D60ACB" w:rsidRPr="005F120D" w:rsidRDefault="00D60ACB"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97%</w:t>
            </w:r>
          </w:p>
        </w:tc>
        <w:tc>
          <w:tcPr>
            <w:tcW w:w="0" w:type="auto"/>
            <w:tcBorders>
              <w:left w:val="none" w:sz="0" w:space="0" w:color="auto"/>
              <w:right w:val="none" w:sz="0" w:space="0" w:color="auto"/>
            </w:tcBorders>
            <w:shd w:val="clear" w:color="auto" w:fill="E5DFEC" w:themeFill="accent4" w:themeFillTint="33"/>
            <w:vAlign w:val="center"/>
          </w:tcPr>
          <w:p w:rsidR="00D60ACB" w:rsidRPr="005F120D" w:rsidRDefault="00D60ACB"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99%</w:t>
            </w:r>
          </w:p>
        </w:tc>
        <w:tc>
          <w:tcPr>
            <w:tcW w:w="0" w:type="auto"/>
            <w:tcBorders>
              <w:left w:val="none" w:sz="0" w:space="0" w:color="auto"/>
              <w:right w:val="none" w:sz="0" w:space="0" w:color="auto"/>
            </w:tcBorders>
            <w:shd w:val="clear" w:color="auto" w:fill="E5DFEC" w:themeFill="accent4" w:themeFillTint="33"/>
          </w:tcPr>
          <w:p w:rsidR="00D60ACB" w:rsidRPr="005F120D" w:rsidRDefault="00D60ACB"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99%</w:t>
            </w:r>
          </w:p>
        </w:tc>
        <w:tc>
          <w:tcPr>
            <w:tcW w:w="0" w:type="auto"/>
            <w:tcBorders>
              <w:left w:val="none" w:sz="0" w:space="0" w:color="auto"/>
            </w:tcBorders>
            <w:shd w:val="clear" w:color="auto" w:fill="E5DFEC" w:themeFill="accent4" w:themeFillTint="33"/>
          </w:tcPr>
          <w:p w:rsidR="00D60ACB" w:rsidRPr="005F120D" w:rsidRDefault="00905268"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99.2%</w:t>
            </w:r>
          </w:p>
        </w:tc>
      </w:tr>
      <w:tr w:rsidR="00D60ACB" w:rsidRPr="005F120D" w:rsidTr="00623EF3">
        <w:trPr>
          <w:cnfStyle w:val="000000010000"/>
          <w:trHeight w:val="290"/>
          <w:jc w:val="center"/>
        </w:trPr>
        <w:tc>
          <w:tcPr>
            <w:cnfStyle w:val="001000000000"/>
            <w:tcW w:w="0" w:type="auto"/>
            <w:tcBorders>
              <w:right w:val="none" w:sz="0" w:space="0" w:color="auto"/>
            </w:tcBorders>
          </w:tcPr>
          <w:p w:rsidR="00D60ACB" w:rsidRPr="005F120D" w:rsidRDefault="00D60ACB"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NNPS</w:t>
            </w:r>
          </w:p>
        </w:tc>
        <w:tc>
          <w:tcPr>
            <w:tcW w:w="0" w:type="auto"/>
            <w:tcBorders>
              <w:left w:val="none" w:sz="0" w:space="0" w:color="auto"/>
              <w:right w:val="none" w:sz="0" w:space="0" w:color="auto"/>
            </w:tcBorders>
            <w:vAlign w:val="center"/>
          </w:tcPr>
          <w:p w:rsidR="00D60ACB" w:rsidRPr="005F120D" w:rsidRDefault="00D60ACB" w:rsidP="00936D9E">
            <w:pPr>
              <w:pStyle w:val="NoSpacing"/>
              <w:jc w:val="center"/>
              <w:cnfStyle w:val="000000010000"/>
              <w:rPr>
                <w:rFonts w:asciiTheme="minorHAnsi" w:eastAsia="Calibri" w:hAnsiTheme="minorHAnsi" w:cstheme="minorHAnsi"/>
                <w:sz w:val="20"/>
              </w:rPr>
            </w:pPr>
            <w:r w:rsidRPr="005F120D">
              <w:rPr>
                <w:rFonts w:asciiTheme="minorHAnsi" w:eastAsia="Calibri" w:hAnsiTheme="minorHAnsi" w:cstheme="minorHAnsi"/>
                <w:sz w:val="20"/>
              </w:rPr>
              <w:t>40%</w:t>
            </w:r>
          </w:p>
        </w:tc>
        <w:tc>
          <w:tcPr>
            <w:tcW w:w="0" w:type="auto"/>
            <w:tcBorders>
              <w:left w:val="none" w:sz="0" w:space="0" w:color="auto"/>
              <w:right w:val="none" w:sz="0" w:space="0" w:color="auto"/>
            </w:tcBorders>
            <w:vAlign w:val="center"/>
          </w:tcPr>
          <w:p w:rsidR="00D60ACB" w:rsidRPr="005F120D" w:rsidRDefault="00D60ACB" w:rsidP="00936D9E">
            <w:pPr>
              <w:pStyle w:val="NoSpacing"/>
              <w:jc w:val="center"/>
              <w:cnfStyle w:val="000000010000"/>
              <w:rPr>
                <w:rFonts w:asciiTheme="minorHAnsi" w:eastAsia="Calibri" w:hAnsiTheme="minorHAnsi" w:cstheme="minorHAnsi"/>
                <w:sz w:val="20"/>
              </w:rPr>
            </w:pPr>
            <w:r w:rsidRPr="005F120D">
              <w:rPr>
                <w:rFonts w:asciiTheme="minorHAnsi" w:eastAsia="Calibri" w:hAnsiTheme="minorHAnsi" w:cstheme="minorHAnsi"/>
                <w:sz w:val="20"/>
              </w:rPr>
              <w:t>55%</w:t>
            </w:r>
          </w:p>
        </w:tc>
        <w:tc>
          <w:tcPr>
            <w:tcW w:w="0" w:type="auto"/>
            <w:tcBorders>
              <w:left w:val="none" w:sz="0" w:space="0" w:color="auto"/>
              <w:right w:val="none" w:sz="0" w:space="0" w:color="auto"/>
            </w:tcBorders>
            <w:vAlign w:val="center"/>
          </w:tcPr>
          <w:p w:rsidR="00D60ACB" w:rsidRPr="005F120D" w:rsidRDefault="00D60ACB" w:rsidP="00936D9E">
            <w:pPr>
              <w:pStyle w:val="NoSpacing"/>
              <w:jc w:val="center"/>
              <w:cnfStyle w:val="000000010000"/>
              <w:rPr>
                <w:rFonts w:asciiTheme="minorHAnsi" w:eastAsia="Calibri" w:hAnsiTheme="minorHAnsi" w:cstheme="minorHAnsi"/>
                <w:sz w:val="20"/>
              </w:rPr>
            </w:pPr>
            <w:r w:rsidRPr="005F120D">
              <w:rPr>
                <w:rFonts w:asciiTheme="minorHAnsi" w:eastAsia="Calibri" w:hAnsiTheme="minorHAnsi" w:cstheme="minorHAnsi"/>
                <w:sz w:val="20"/>
              </w:rPr>
              <w:t>82%</w:t>
            </w:r>
          </w:p>
        </w:tc>
        <w:tc>
          <w:tcPr>
            <w:tcW w:w="0" w:type="auto"/>
            <w:tcBorders>
              <w:left w:val="none" w:sz="0" w:space="0" w:color="auto"/>
              <w:right w:val="none" w:sz="0" w:space="0" w:color="auto"/>
            </w:tcBorders>
            <w:vAlign w:val="center"/>
          </w:tcPr>
          <w:p w:rsidR="00D60ACB" w:rsidRPr="005F120D" w:rsidRDefault="00D60ACB" w:rsidP="00936D9E">
            <w:pPr>
              <w:pStyle w:val="NoSpacing"/>
              <w:jc w:val="center"/>
              <w:cnfStyle w:val="000000010000"/>
              <w:rPr>
                <w:rFonts w:asciiTheme="minorHAnsi" w:eastAsia="Calibri" w:hAnsiTheme="minorHAnsi" w:cstheme="minorHAnsi"/>
                <w:sz w:val="20"/>
              </w:rPr>
            </w:pPr>
            <w:r w:rsidRPr="005F120D">
              <w:rPr>
                <w:rFonts w:asciiTheme="minorHAnsi" w:eastAsia="Calibri" w:hAnsiTheme="minorHAnsi" w:cstheme="minorHAnsi"/>
                <w:sz w:val="20"/>
              </w:rPr>
              <w:t>88%</w:t>
            </w:r>
          </w:p>
        </w:tc>
        <w:tc>
          <w:tcPr>
            <w:tcW w:w="0" w:type="auto"/>
            <w:tcBorders>
              <w:left w:val="none" w:sz="0" w:space="0" w:color="auto"/>
              <w:right w:val="none" w:sz="0" w:space="0" w:color="auto"/>
            </w:tcBorders>
          </w:tcPr>
          <w:p w:rsidR="00D60ACB" w:rsidRPr="005F120D" w:rsidRDefault="00D60ACB" w:rsidP="00936D9E">
            <w:pPr>
              <w:pStyle w:val="NoSpacing"/>
              <w:jc w:val="center"/>
              <w:cnfStyle w:val="000000010000"/>
              <w:rPr>
                <w:rFonts w:asciiTheme="minorHAnsi" w:eastAsia="Calibri" w:hAnsiTheme="minorHAnsi" w:cstheme="minorHAnsi"/>
                <w:sz w:val="20"/>
              </w:rPr>
            </w:pPr>
            <w:r w:rsidRPr="005F120D">
              <w:rPr>
                <w:rFonts w:asciiTheme="minorHAnsi" w:eastAsia="Calibri" w:hAnsiTheme="minorHAnsi" w:cstheme="minorHAnsi"/>
                <w:sz w:val="20"/>
              </w:rPr>
              <w:t>92%</w:t>
            </w:r>
          </w:p>
        </w:tc>
        <w:tc>
          <w:tcPr>
            <w:tcW w:w="0" w:type="auto"/>
            <w:tcBorders>
              <w:left w:val="none" w:sz="0" w:space="0" w:color="auto"/>
            </w:tcBorders>
          </w:tcPr>
          <w:p w:rsidR="00D60ACB" w:rsidRPr="005F120D" w:rsidRDefault="00905268" w:rsidP="00936D9E">
            <w:pPr>
              <w:pStyle w:val="NoSpacing"/>
              <w:jc w:val="center"/>
              <w:cnfStyle w:val="000000010000"/>
              <w:rPr>
                <w:rFonts w:asciiTheme="minorHAnsi" w:eastAsia="Calibri" w:hAnsiTheme="minorHAnsi" w:cstheme="minorHAnsi"/>
                <w:sz w:val="20"/>
              </w:rPr>
            </w:pPr>
            <w:r w:rsidRPr="005F120D">
              <w:rPr>
                <w:rFonts w:asciiTheme="minorHAnsi" w:eastAsia="Calibri" w:hAnsiTheme="minorHAnsi" w:cstheme="minorHAnsi"/>
                <w:sz w:val="20"/>
              </w:rPr>
              <w:t>94.9%</w:t>
            </w:r>
          </w:p>
        </w:tc>
      </w:tr>
      <w:tr w:rsidR="00D60ACB" w:rsidRPr="005F120D" w:rsidTr="00623EF3">
        <w:trPr>
          <w:cnfStyle w:val="000000100000"/>
          <w:trHeight w:val="77"/>
          <w:jc w:val="center"/>
        </w:trPr>
        <w:tc>
          <w:tcPr>
            <w:cnfStyle w:val="001000000000"/>
            <w:tcW w:w="0" w:type="auto"/>
            <w:tcBorders>
              <w:right w:val="none" w:sz="0" w:space="0" w:color="auto"/>
            </w:tcBorders>
            <w:shd w:val="clear" w:color="auto" w:fill="E5DFEC" w:themeFill="accent4" w:themeFillTint="33"/>
          </w:tcPr>
          <w:p w:rsidR="00D60ACB" w:rsidRPr="005F120D" w:rsidRDefault="00D60ACB" w:rsidP="00936D9E">
            <w:pPr>
              <w:pStyle w:val="NoSpacing"/>
              <w:jc w:val="center"/>
              <w:rPr>
                <w:rFonts w:asciiTheme="minorHAnsi" w:eastAsia="Calibri" w:hAnsiTheme="minorHAnsi" w:cstheme="minorHAnsi"/>
                <w:sz w:val="20"/>
              </w:rPr>
            </w:pPr>
            <w:r w:rsidRPr="005F120D">
              <w:rPr>
                <w:rFonts w:asciiTheme="minorHAnsi" w:eastAsia="Calibri" w:hAnsiTheme="minorHAnsi" w:cstheme="minorHAnsi"/>
                <w:sz w:val="20"/>
              </w:rPr>
              <w:t>Total</w:t>
            </w:r>
          </w:p>
        </w:tc>
        <w:tc>
          <w:tcPr>
            <w:tcW w:w="0" w:type="auto"/>
            <w:tcBorders>
              <w:left w:val="none" w:sz="0" w:space="0" w:color="auto"/>
              <w:right w:val="none" w:sz="0" w:space="0" w:color="auto"/>
            </w:tcBorders>
            <w:shd w:val="clear" w:color="auto" w:fill="E5DFEC" w:themeFill="accent4" w:themeFillTint="33"/>
            <w:vAlign w:val="center"/>
          </w:tcPr>
          <w:p w:rsidR="00D60ACB" w:rsidRPr="005F120D" w:rsidRDefault="00D60ACB"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43%</w:t>
            </w:r>
          </w:p>
        </w:tc>
        <w:tc>
          <w:tcPr>
            <w:tcW w:w="0" w:type="auto"/>
            <w:tcBorders>
              <w:left w:val="none" w:sz="0" w:space="0" w:color="auto"/>
              <w:right w:val="none" w:sz="0" w:space="0" w:color="auto"/>
            </w:tcBorders>
            <w:shd w:val="clear" w:color="auto" w:fill="E5DFEC" w:themeFill="accent4" w:themeFillTint="33"/>
            <w:vAlign w:val="center"/>
          </w:tcPr>
          <w:p w:rsidR="00D60ACB" w:rsidRPr="005F120D" w:rsidRDefault="00D60ACB"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81%</w:t>
            </w:r>
          </w:p>
        </w:tc>
        <w:tc>
          <w:tcPr>
            <w:tcW w:w="0" w:type="auto"/>
            <w:tcBorders>
              <w:left w:val="none" w:sz="0" w:space="0" w:color="auto"/>
              <w:right w:val="none" w:sz="0" w:space="0" w:color="auto"/>
            </w:tcBorders>
            <w:shd w:val="clear" w:color="auto" w:fill="E5DFEC" w:themeFill="accent4" w:themeFillTint="33"/>
            <w:vAlign w:val="center"/>
          </w:tcPr>
          <w:p w:rsidR="00D60ACB" w:rsidRPr="005F120D" w:rsidRDefault="00D60ACB"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91%</w:t>
            </w:r>
          </w:p>
        </w:tc>
        <w:tc>
          <w:tcPr>
            <w:tcW w:w="0" w:type="auto"/>
            <w:tcBorders>
              <w:left w:val="none" w:sz="0" w:space="0" w:color="auto"/>
              <w:right w:val="none" w:sz="0" w:space="0" w:color="auto"/>
            </w:tcBorders>
            <w:shd w:val="clear" w:color="auto" w:fill="E5DFEC" w:themeFill="accent4" w:themeFillTint="33"/>
            <w:vAlign w:val="center"/>
          </w:tcPr>
          <w:p w:rsidR="00D60ACB" w:rsidRPr="005F120D" w:rsidRDefault="00D60ACB"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95%</w:t>
            </w:r>
          </w:p>
        </w:tc>
        <w:tc>
          <w:tcPr>
            <w:tcW w:w="0" w:type="auto"/>
            <w:tcBorders>
              <w:left w:val="none" w:sz="0" w:space="0" w:color="auto"/>
              <w:right w:val="none" w:sz="0" w:space="0" w:color="auto"/>
            </w:tcBorders>
            <w:shd w:val="clear" w:color="auto" w:fill="E5DFEC" w:themeFill="accent4" w:themeFillTint="33"/>
          </w:tcPr>
          <w:p w:rsidR="00D60ACB" w:rsidRPr="005F120D" w:rsidRDefault="00D60ACB"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97%</w:t>
            </w:r>
          </w:p>
        </w:tc>
        <w:tc>
          <w:tcPr>
            <w:tcW w:w="0" w:type="auto"/>
            <w:tcBorders>
              <w:left w:val="none" w:sz="0" w:space="0" w:color="auto"/>
            </w:tcBorders>
            <w:shd w:val="clear" w:color="auto" w:fill="E5DFEC" w:themeFill="accent4" w:themeFillTint="33"/>
          </w:tcPr>
          <w:p w:rsidR="00D60ACB" w:rsidRPr="005F120D" w:rsidRDefault="00905268" w:rsidP="00936D9E">
            <w:pPr>
              <w:pStyle w:val="NoSpacing"/>
              <w:jc w:val="center"/>
              <w:cnfStyle w:val="000000100000"/>
              <w:rPr>
                <w:rFonts w:asciiTheme="minorHAnsi" w:eastAsia="Calibri" w:hAnsiTheme="minorHAnsi" w:cstheme="minorHAnsi"/>
                <w:sz w:val="20"/>
              </w:rPr>
            </w:pPr>
            <w:r w:rsidRPr="005F120D">
              <w:rPr>
                <w:rFonts w:asciiTheme="minorHAnsi" w:eastAsia="Calibri" w:hAnsiTheme="minorHAnsi" w:cstheme="minorHAnsi"/>
                <w:sz w:val="20"/>
              </w:rPr>
              <w:t>97.5%</w:t>
            </w:r>
          </w:p>
        </w:tc>
      </w:tr>
    </w:tbl>
    <w:p w:rsidR="00332BB3" w:rsidRPr="005F120D" w:rsidRDefault="00332BB3" w:rsidP="004E77B3">
      <w:pPr>
        <w:pStyle w:val="Heading3"/>
      </w:pPr>
      <w:r w:rsidRPr="005F120D">
        <w:rPr>
          <w:rFonts w:eastAsia="MS Mincho"/>
        </w:rPr>
        <w:t>Enrolled children with Special Needs</w:t>
      </w:r>
    </w:p>
    <w:p w:rsidR="00992ABD" w:rsidRPr="005F120D" w:rsidRDefault="00992ABD" w:rsidP="00992ABD">
      <w:pPr>
        <w:jc w:val="both"/>
        <w:rPr>
          <w:rFonts w:asciiTheme="minorHAnsi" w:hAnsiTheme="minorHAnsi" w:cstheme="minorHAnsi"/>
        </w:rPr>
      </w:pPr>
      <w:bookmarkStart w:id="491" w:name="_Ref330569731"/>
      <w:bookmarkStart w:id="492" w:name="_Toc338839638"/>
      <w:r w:rsidRPr="005F120D">
        <w:rPr>
          <w:rFonts w:asciiTheme="minorHAnsi" w:hAnsiTheme="minorHAnsi" w:cstheme="minorHAnsi"/>
        </w:rPr>
        <w:t xml:space="preserve">The </w:t>
      </w:r>
      <w:r w:rsidRPr="005F120D">
        <w:rPr>
          <w:rFonts w:asciiTheme="minorHAnsi" w:hAnsiTheme="minorHAnsi" w:cstheme="minorHAnsi"/>
          <w:u w:val="single"/>
        </w:rPr>
        <w:t>PSQL 6</w:t>
      </w:r>
      <w:r w:rsidRPr="005F120D">
        <w:rPr>
          <w:rFonts w:asciiTheme="minorHAnsi" w:hAnsiTheme="minorHAnsi" w:cstheme="minorHAnsi"/>
        </w:rPr>
        <w:t xml:space="preserve"> monitors the progress of inclusive education; the APSC collects data on enrolment for two main categories of disadvantaged children: (1) children with special needs because of a physical challenge and (2) children from ethnic or minority group. This sub-section outlines the trends on children with special needs of six main types (physical, visual, hearing, speaking, mental and autistic) but also includes other less common types.</w:t>
      </w:r>
    </w:p>
    <w:p w:rsidR="00992ABD" w:rsidRPr="005F120D" w:rsidRDefault="00992ABD" w:rsidP="00992ABD">
      <w:pPr>
        <w:jc w:val="both"/>
        <w:rPr>
          <w:rFonts w:asciiTheme="minorHAnsi" w:hAnsiTheme="minorHAnsi" w:cstheme="minorHAnsi"/>
        </w:rPr>
      </w:pPr>
      <w:r w:rsidRPr="005F120D">
        <w:rPr>
          <w:rFonts w:asciiTheme="minorHAnsi" w:hAnsiTheme="minorHAnsi" w:cstheme="minorHAnsi"/>
        </w:rPr>
        <w:t xml:space="preserve">The intention is to integrate such special need children into ‘mainstreaming inclusive education’, which is one of the sub-components of the PEDP3, and to measure the success of this goal through using the PSQL indicator ‘the number of children with special needs enrolled in schools’. </w:t>
      </w:r>
    </w:p>
    <w:p w:rsidR="00F30B77" w:rsidRPr="005F120D" w:rsidRDefault="00992ABD" w:rsidP="007A4BEC">
      <w:pPr>
        <w:spacing w:afterLines="100"/>
        <w:jc w:val="both"/>
        <w:rPr>
          <w:rFonts w:asciiTheme="minorHAnsi" w:hAnsiTheme="minorHAnsi" w:cstheme="minorHAnsi"/>
        </w:rPr>
      </w:pPr>
      <w:r w:rsidRPr="005F120D">
        <w:rPr>
          <w:rFonts w:asciiTheme="minorHAnsi" w:hAnsiTheme="minorHAnsi" w:cstheme="minorHAnsi"/>
        </w:rPr>
        <w:t>The following Table 4.7 shows the number of children with special needs by types of disabilities enrolled in GPS and NNPS in 2015</w:t>
      </w:r>
      <w:r w:rsidR="00396B5E" w:rsidRPr="005F120D">
        <w:rPr>
          <w:rFonts w:asciiTheme="minorHAnsi" w:hAnsiTheme="minorHAnsi" w:cstheme="minorHAnsi"/>
        </w:rPr>
        <w:t>.</w:t>
      </w:r>
      <w:bookmarkStart w:id="493" w:name="_Ref387489880"/>
      <w:bookmarkStart w:id="494" w:name="_Toc385414248"/>
      <w:bookmarkStart w:id="495" w:name="_Toc385419603"/>
    </w:p>
    <w:p w:rsidR="004A14B8" w:rsidRPr="005F120D" w:rsidRDefault="004A14B8" w:rsidP="00C437AA">
      <w:pPr>
        <w:pStyle w:val="Caption"/>
        <w:spacing w:line="276" w:lineRule="auto"/>
        <w:rPr>
          <w:rFonts w:cstheme="minorHAnsi"/>
        </w:rPr>
      </w:pPr>
    </w:p>
    <w:p w:rsidR="004A14B8" w:rsidRPr="005F120D" w:rsidRDefault="004A14B8" w:rsidP="00C437AA">
      <w:pPr>
        <w:pStyle w:val="Caption"/>
        <w:spacing w:line="276" w:lineRule="auto"/>
        <w:rPr>
          <w:rFonts w:cstheme="minorHAnsi"/>
        </w:rPr>
      </w:pPr>
    </w:p>
    <w:p w:rsidR="004A14B8" w:rsidRPr="005F120D" w:rsidRDefault="004A14B8" w:rsidP="00C437AA">
      <w:pPr>
        <w:pStyle w:val="Caption"/>
        <w:spacing w:line="276" w:lineRule="auto"/>
        <w:rPr>
          <w:rFonts w:cstheme="minorHAnsi"/>
        </w:rPr>
      </w:pPr>
    </w:p>
    <w:p w:rsidR="00332BB3" w:rsidRPr="005F120D" w:rsidRDefault="00A65886" w:rsidP="00C437AA">
      <w:pPr>
        <w:pStyle w:val="Caption"/>
        <w:spacing w:line="276" w:lineRule="auto"/>
        <w:rPr>
          <w:rFonts w:cstheme="minorHAnsi"/>
        </w:rPr>
      </w:pPr>
      <w:bookmarkStart w:id="496" w:name="_Toc462837298"/>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7</w:t>
      </w:r>
      <w:r w:rsidR="002E2ED5" w:rsidRPr="005F120D">
        <w:rPr>
          <w:rFonts w:cstheme="minorHAnsi"/>
        </w:rPr>
        <w:fldChar w:fldCharType="end"/>
      </w:r>
      <w:bookmarkEnd w:id="493"/>
      <w:r w:rsidR="00BE5160" w:rsidRPr="005F120D">
        <w:rPr>
          <w:rFonts w:cstheme="minorHAnsi"/>
        </w:rPr>
        <w:t xml:space="preserve">:  Number of Enrolled Children with </w:t>
      </w:r>
      <w:r w:rsidR="00AA7E86" w:rsidRPr="005F120D">
        <w:rPr>
          <w:rFonts w:cstheme="minorHAnsi"/>
        </w:rPr>
        <w:t>Special N</w:t>
      </w:r>
      <w:r w:rsidR="00123882" w:rsidRPr="005F120D">
        <w:rPr>
          <w:rFonts w:cstheme="minorHAnsi"/>
        </w:rPr>
        <w:t>eeds</w:t>
      </w:r>
      <w:r w:rsidR="00332BB3" w:rsidRPr="005F120D">
        <w:rPr>
          <w:rFonts w:cstheme="minorHAnsi"/>
        </w:rPr>
        <w:t xml:space="preserve"> in GPS and </w:t>
      </w:r>
      <w:r w:rsidR="003C42F2" w:rsidRPr="005F120D">
        <w:rPr>
          <w:rFonts w:cstheme="minorHAnsi"/>
        </w:rPr>
        <w:t>NNPS</w:t>
      </w:r>
      <w:r w:rsidR="00332BB3" w:rsidRPr="005F120D">
        <w:rPr>
          <w:rFonts w:cstheme="minorHAnsi"/>
        </w:rPr>
        <w:t>, 201</w:t>
      </w:r>
      <w:bookmarkEnd w:id="494"/>
      <w:bookmarkEnd w:id="495"/>
      <w:r w:rsidR="00490BC6" w:rsidRPr="005F120D">
        <w:rPr>
          <w:rFonts w:cstheme="minorHAnsi"/>
        </w:rPr>
        <w:t>5</w:t>
      </w:r>
      <w:bookmarkEnd w:id="496"/>
    </w:p>
    <w:tbl>
      <w:tblPr>
        <w:tblW w:w="4978"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ook w:val="04A0"/>
      </w:tblPr>
      <w:tblGrid>
        <w:gridCol w:w="1857"/>
        <w:gridCol w:w="873"/>
        <w:gridCol w:w="821"/>
        <w:gridCol w:w="825"/>
        <w:gridCol w:w="823"/>
        <w:gridCol w:w="712"/>
        <w:gridCol w:w="828"/>
        <w:gridCol w:w="823"/>
        <w:gridCol w:w="823"/>
        <w:gridCol w:w="819"/>
      </w:tblGrid>
      <w:tr w:rsidR="00332BB3" w:rsidRPr="005F120D" w:rsidTr="00623EF3">
        <w:trPr>
          <w:trHeight w:hRule="exact" w:val="307"/>
        </w:trPr>
        <w:tc>
          <w:tcPr>
            <w:tcW w:w="1009" w:type="pct"/>
            <w:vMerge w:val="restart"/>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Type of disabilities</w:t>
            </w:r>
          </w:p>
        </w:tc>
        <w:tc>
          <w:tcPr>
            <w:tcW w:w="1368" w:type="pct"/>
            <w:gridSpan w:val="3"/>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GPS</w:t>
            </w:r>
          </w:p>
        </w:tc>
        <w:tc>
          <w:tcPr>
            <w:tcW w:w="1284" w:type="pct"/>
            <w:gridSpan w:val="3"/>
            <w:shd w:val="clear" w:color="auto" w:fill="B2A1C7" w:themeFill="accent4" w:themeFillTint="99"/>
            <w:vAlign w:val="center"/>
          </w:tcPr>
          <w:p w:rsidR="00332BB3" w:rsidRPr="005F120D" w:rsidRDefault="003C42F2"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NNPS</w:t>
            </w:r>
          </w:p>
        </w:tc>
        <w:tc>
          <w:tcPr>
            <w:tcW w:w="1339" w:type="pct"/>
            <w:gridSpan w:val="3"/>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GPS &amp;</w:t>
            </w:r>
            <w:r w:rsidR="003C42F2" w:rsidRPr="005F120D">
              <w:rPr>
                <w:rFonts w:asciiTheme="minorHAnsi" w:eastAsia="Calibri" w:hAnsiTheme="minorHAnsi" w:cstheme="minorHAnsi"/>
                <w:b/>
                <w:sz w:val="18"/>
                <w:szCs w:val="18"/>
              </w:rPr>
              <w:t>NNPS</w:t>
            </w:r>
          </w:p>
        </w:tc>
      </w:tr>
      <w:tr w:rsidR="000856E9" w:rsidRPr="005F120D" w:rsidTr="00623EF3">
        <w:trPr>
          <w:trHeight w:hRule="exact" w:val="307"/>
        </w:trPr>
        <w:tc>
          <w:tcPr>
            <w:tcW w:w="1009" w:type="pct"/>
            <w:vMerge/>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p>
        </w:tc>
        <w:tc>
          <w:tcPr>
            <w:tcW w:w="474" w:type="pct"/>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Boy</w:t>
            </w:r>
            <w:r w:rsidR="000856E9" w:rsidRPr="005F120D">
              <w:rPr>
                <w:rFonts w:asciiTheme="minorHAnsi" w:eastAsia="Calibri" w:hAnsiTheme="minorHAnsi" w:cstheme="minorHAnsi"/>
                <w:b/>
                <w:sz w:val="18"/>
                <w:szCs w:val="18"/>
              </w:rPr>
              <w:t>s</w:t>
            </w:r>
          </w:p>
        </w:tc>
        <w:tc>
          <w:tcPr>
            <w:tcW w:w="446" w:type="pct"/>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Girl</w:t>
            </w:r>
            <w:r w:rsidR="000856E9" w:rsidRPr="005F120D">
              <w:rPr>
                <w:rFonts w:asciiTheme="minorHAnsi" w:eastAsia="Calibri" w:hAnsiTheme="minorHAnsi" w:cstheme="minorHAnsi"/>
                <w:b/>
                <w:sz w:val="18"/>
                <w:szCs w:val="18"/>
              </w:rPr>
              <w:t>s</w:t>
            </w:r>
          </w:p>
        </w:tc>
        <w:tc>
          <w:tcPr>
            <w:tcW w:w="448" w:type="pct"/>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Total</w:t>
            </w:r>
          </w:p>
        </w:tc>
        <w:tc>
          <w:tcPr>
            <w:tcW w:w="447" w:type="pct"/>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Boy</w:t>
            </w:r>
            <w:r w:rsidR="000856E9" w:rsidRPr="005F120D">
              <w:rPr>
                <w:rFonts w:asciiTheme="minorHAnsi" w:eastAsia="Calibri" w:hAnsiTheme="minorHAnsi" w:cstheme="minorHAnsi"/>
                <w:b/>
                <w:sz w:val="18"/>
                <w:szCs w:val="18"/>
              </w:rPr>
              <w:t>s</w:t>
            </w:r>
          </w:p>
        </w:tc>
        <w:tc>
          <w:tcPr>
            <w:tcW w:w="387" w:type="pct"/>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Girl</w:t>
            </w:r>
            <w:r w:rsidR="000856E9" w:rsidRPr="005F120D">
              <w:rPr>
                <w:rFonts w:asciiTheme="minorHAnsi" w:eastAsia="Calibri" w:hAnsiTheme="minorHAnsi" w:cstheme="minorHAnsi"/>
                <w:b/>
                <w:sz w:val="18"/>
                <w:szCs w:val="18"/>
              </w:rPr>
              <w:t>s</w:t>
            </w:r>
          </w:p>
        </w:tc>
        <w:tc>
          <w:tcPr>
            <w:tcW w:w="449" w:type="pct"/>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Total</w:t>
            </w:r>
          </w:p>
        </w:tc>
        <w:tc>
          <w:tcPr>
            <w:tcW w:w="447" w:type="pct"/>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Boy</w:t>
            </w:r>
            <w:r w:rsidR="000856E9" w:rsidRPr="005F120D">
              <w:rPr>
                <w:rFonts w:asciiTheme="minorHAnsi" w:eastAsia="Calibri" w:hAnsiTheme="minorHAnsi" w:cstheme="minorHAnsi"/>
                <w:b/>
                <w:sz w:val="18"/>
                <w:szCs w:val="18"/>
              </w:rPr>
              <w:t>s</w:t>
            </w:r>
          </w:p>
        </w:tc>
        <w:tc>
          <w:tcPr>
            <w:tcW w:w="447" w:type="pct"/>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Girl</w:t>
            </w:r>
            <w:r w:rsidR="000856E9" w:rsidRPr="005F120D">
              <w:rPr>
                <w:rFonts w:asciiTheme="minorHAnsi" w:eastAsia="Calibri" w:hAnsiTheme="minorHAnsi" w:cstheme="minorHAnsi"/>
                <w:b/>
                <w:sz w:val="18"/>
                <w:szCs w:val="18"/>
              </w:rPr>
              <w:t>s</w:t>
            </w:r>
          </w:p>
        </w:tc>
        <w:tc>
          <w:tcPr>
            <w:tcW w:w="445" w:type="pct"/>
            <w:shd w:val="clear" w:color="auto" w:fill="B2A1C7" w:themeFill="accent4" w:themeFillTint="99"/>
            <w:vAlign w:val="center"/>
          </w:tcPr>
          <w:p w:rsidR="00332BB3" w:rsidRPr="005F120D" w:rsidRDefault="00332BB3"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Total</w:t>
            </w:r>
          </w:p>
        </w:tc>
      </w:tr>
      <w:tr w:rsidR="008101E2" w:rsidRPr="005F120D" w:rsidTr="00623EF3">
        <w:trPr>
          <w:trHeight w:hRule="exact" w:val="307"/>
        </w:trPr>
        <w:tc>
          <w:tcPr>
            <w:tcW w:w="1009" w:type="pct"/>
            <w:shd w:val="clear" w:color="auto" w:fill="auto"/>
            <w:vAlign w:val="center"/>
          </w:tcPr>
          <w:p w:rsidR="008101E2" w:rsidRPr="005F120D" w:rsidRDefault="008101E2" w:rsidP="00936D9E">
            <w:pPr>
              <w:spacing w:after="0"/>
              <w:rPr>
                <w:rFonts w:asciiTheme="minorHAnsi" w:hAnsiTheme="minorHAnsi" w:cstheme="minorHAnsi"/>
                <w:sz w:val="18"/>
                <w:szCs w:val="18"/>
              </w:rPr>
            </w:pPr>
            <w:r w:rsidRPr="005F120D">
              <w:rPr>
                <w:rFonts w:asciiTheme="minorHAnsi" w:hAnsiTheme="minorHAnsi" w:cstheme="minorHAnsi"/>
                <w:sz w:val="18"/>
                <w:szCs w:val="18"/>
              </w:rPr>
              <w:t>1. Physically  Handicap</w:t>
            </w:r>
          </w:p>
        </w:tc>
        <w:tc>
          <w:tcPr>
            <w:tcW w:w="474"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9,672</w:t>
            </w:r>
          </w:p>
        </w:tc>
        <w:tc>
          <w:tcPr>
            <w:tcW w:w="446"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7,198</w:t>
            </w:r>
          </w:p>
        </w:tc>
        <w:tc>
          <w:tcPr>
            <w:tcW w:w="448"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16,870</w:t>
            </w:r>
          </w:p>
        </w:tc>
        <w:tc>
          <w:tcPr>
            <w:tcW w:w="447"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3,648</w:t>
            </w:r>
          </w:p>
        </w:tc>
        <w:tc>
          <w:tcPr>
            <w:tcW w:w="387"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2,659</w:t>
            </w:r>
          </w:p>
        </w:tc>
        <w:tc>
          <w:tcPr>
            <w:tcW w:w="449"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6,307</w:t>
            </w:r>
          </w:p>
        </w:tc>
        <w:tc>
          <w:tcPr>
            <w:tcW w:w="447"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13,320</w:t>
            </w:r>
          </w:p>
        </w:tc>
        <w:tc>
          <w:tcPr>
            <w:tcW w:w="447"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9,857</w:t>
            </w:r>
          </w:p>
        </w:tc>
        <w:tc>
          <w:tcPr>
            <w:tcW w:w="445"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23,177</w:t>
            </w:r>
          </w:p>
        </w:tc>
      </w:tr>
      <w:tr w:rsidR="008101E2" w:rsidRPr="005F120D" w:rsidTr="00623EF3">
        <w:trPr>
          <w:trHeight w:hRule="exact" w:val="307"/>
        </w:trPr>
        <w:tc>
          <w:tcPr>
            <w:tcW w:w="1009" w:type="pct"/>
            <w:shd w:val="clear" w:color="auto" w:fill="E5DFEC" w:themeFill="accent4" w:themeFillTint="33"/>
            <w:vAlign w:val="center"/>
          </w:tcPr>
          <w:p w:rsidR="008101E2" w:rsidRPr="005F120D" w:rsidRDefault="008101E2" w:rsidP="00936D9E">
            <w:pPr>
              <w:spacing w:after="0"/>
              <w:rPr>
                <w:rFonts w:asciiTheme="minorHAnsi" w:hAnsiTheme="minorHAnsi" w:cstheme="minorHAnsi"/>
                <w:sz w:val="18"/>
                <w:szCs w:val="18"/>
              </w:rPr>
            </w:pPr>
            <w:r w:rsidRPr="005F120D">
              <w:rPr>
                <w:rFonts w:asciiTheme="minorHAnsi" w:hAnsiTheme="minorHAnsi" w:cstheme="minorHAnsi"/>
                <w:sz w:val="18"/>
                <w:szCs w:val="18"/>
              </w:rPr>
              <w:t>2. Poor Eyesight</w:t>
            </w:r>
          </w:p>
        </w:tc>
        <w:tc>
          <w:tcPr>
            <w:tcW w:w="474"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3,998</w:t>
            </w:r>
          </w:p>
        </w:tc>
        <w:tc>
          <w:tcPr>
            <w:tcW w:w="446"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3,191</w:t>
            </w:r>
          </w:p>
        </w:tc>
        <w:tc>
          <w:tcPr>
            <w:tcW w:w="448"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7,189</w:t>
            </w:r>
          </w:p>
        </w:tc>
        <w:tc>
          <w:tcPr>
            <w:tcW w:w="447" w:type="pct"/>
            <w:shd w:val="clear" w:color="auto" w:fill="E5DFEC" w:themeFill="accent4" w:themeFillTint="33"/>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1,319</w:t>
            </w:r>
          </w:p>
        </w:tc>
        <w:tc>
          <w:tcPr>
            <w:tcW w:w="387" w:type="pct"/>
            <w:shd w:val="clear" w:color="auto" w:fill="E5DFEC" w:themeFill="accent4" w:themeFillTint="33"/>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1,052</w:t>
            </w:r>
          </w:p>
        </w:tc>
        <w:tc>
          <w:tcPr>
            <w:tcW w:w="449" w:type="pct"/>
            <w:shd w:val="clear" w:color="auto" w:fill="E5DFEC" w:themeFill="accent4" w:themeFillTint="33"/>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2,371</w:t>
            </w:r>
          </w:p>
        </w:tc>
        <w:tc>
          <w:tcPr>
            <w:tcW w:w="447"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5,317</w:t>
            </w:r>
          </w:p>
        </w:tc>
        <w:tc>
          <w:tcPr>
            <w:tcW w:w="447"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4,243</w:t>
            </w:r>
          </w:p>
        </w:tc>
        <w:tc>
          <w:tcPr>
            <w:tcW w:w="445"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9,560</w:t>
            </w:r>
          </w:p>
        </w:tc>
      </w:tr>
      <w:tr w:rsidR="008101E2" w:rsidRPr="005F120D" w:rsidTr="00623EF3">
        <w:trPr>
          <w:trHeight w:hRule="exact" w:val="307"/>
        </w:trPr>
        <w:tc>
          <w:tcPr>
            <w:tcW w:w="1009" w:type="pct"/>
            <w:shd w:val="clear" w:color="auto" w:fill="auto"/>
            <w:vAlign w:val="center"/>
          </w:tcPr>
          <w:p w:rsidR="008101E2" w:rsidRPr="005F120D" w:rsidRDefault="008101E2" w:rsidP="00936D9E">
            <w:pPr>
              <w:spacing w:after="0"/>
              <w:rPr>
                <w:rFonts w:asciiTheme="minorHAnsi" w:hAnsiTheme="minorHAnsi" w:cstheme="minorHAnsi"/>
                <w:sz w:val="18"/>
                <w:szCs w:val="18"/>
              </w:rPr>
            </w:pPr>
            <w:r w:rsidRPr="005F120D">
              <w:rPr>
                <w:rFonts w:asciiTheme="minorHAnsi" w:hAnsiTheme="minorHAnsi" w:cstheme="minorHAnsi"/>
                <w:sz w:val="18"/>
                <w:szCs w:val="18"/>
              </w:rPr>
              <w:t>3. Short of Hearing</w:t>
            </w:r>
          </w:p>
        </w:tc>
        <w:tc>
          <w:tcPr>
            <w:tcW w:w="474"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1,007</w:t>
            </w:r>
          </w:p>
        </w:tc>
        <w:tc>
          <w:tcPr>
            <w:tcW w:w="446"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903</w:t>
            </w:r>
          </w:p>
        </w:tc>
        <w:tc>
          <w:tcPr>
            <w:tcW w:w="448"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1,910</w:t>
            </w:r>
          </w:p>
        </w:tc>
        <w:tc>
          <w:tcPr>
            <w:tcW w:w="447"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496</w:t>
            </w:r>
          </w:p>
        </w:tc>
        <w:tc>
          <w:tcPr>
            <w:tcW w:w="387"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412</w:t>
            </w:r>
          </w:p>
        </w:tc>
        <w:tc>
          <w:tcPr>
            <w:tcW w:w="449"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908</w:t>
            </w:r>
          </w:p>
        </w:tc>
        <w:tc>
          <w:tcPr>
            <w:tcW w:w="447"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1,503</w:t>
            </w:r>
          </w:p>
        </w:tc>
        <w:tc>
          <w:tcPr>
            <w:tcW w:w="447"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1,315</w:t>
            </w:r>
          </w:p>
        </w:tc>
        <w:tc>
          <w:tcPr>
            <w:tcW w:w="445"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2,818</w:t>
            </w:r>
          </w:p>
        </w:tc>
      </w:tr>
      <w:tr w:rsidR="008101E2" w:rsidRPr="005F120D" w:rsidTr="00623EF3">
        <w:trPr>
          <w:trHeight w:hRule="exact" w:val="307"/>
        </w:trPr>
        <w:tc>
          <w:tcPr>
            <w:tcW w:w="1009" w:type="pct"/>
            <w:shd w:val="clear" w:color="auto" w:fill="E5DFEC" w:themeFill="accent4" w:themeFillTint="33"/>
            <w:vAlign w:val="center"/>
          </w:tcPr>
          <w:p w:rsidR="008101E2" w:rsidRPr="005F120D" w:rsidRDefault="008101E2" w:rsidP="00936D9E">
            <w:pPr>
              <w:spacing w:after="0"/>
              <w:rPr>
                <w:rFonts w:asciiTheme="minorHAnsi" w:hAnsiTheme="minorHAnsi" w:cstheme="minorHAnsi"/>
                <w:sz w:val="18"/>
                <w:szCs w:val="18"/>
              </w:rPr>
            </w:pPr>
            <w:r w:rsidRPr="005F120D">
              <w:rPr>
                <w:rFonts w:asciiTheme="minorHAnsi" w:hAnsiTheme="minorHAnsi" w:cstheme="minorHAnsi"/>
                <w:sz w:val="18"/>
                <w:szCs w:val="18"/>
              </w:rPr>
              <w:t>4. Problem in Speech</w:t>
            </w:r>
          </w:p>
        </w:tc>
        <w:tc>
          <w:tcPr>
            <w:tcW w:w="474"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5,392</w:t>
            </w:r>
          </w:p>
        </w:tc>
        <w:tc>
          <w:tcPr>
            <w:tcW w:w="446"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4,625</w:t>
            </w:r>
          </w:p>
        </w:tc>
        <w:tc>
          <w:tcPr>
            <w:tcW w:w="448"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10,017</w:t>
            </w:r>
          </w:p>
        </w:tc>
        <w:tc>
          <w:tcPr>
            <w:tcW w:w="447" w:type="pct"/>
            <w:shd w:val="clear" w:color="auto" w:fill="E5DFEC" w:themeFill="accent4" w:themeFillTint="33"/>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2,558</w:t>
            </w:r>
          </w:p>
        </w:tc>
        <w:tc>
          <w:tcPr>
            <w:tcW w:w="387" w:type="pct"/>
            <w:shd w:val="clear" w:color="auto" w:fill="E5DFEC" w:themeFill="accent4" w:themeFillTint="33"/>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2,152</w:t>
            </w:r>
          </w:p>
        </w:tc>
        <w:tc>
          <w:tcPr>
            <w:tcW w:w="449" w:type="pct"/>
            <w:shd w:val="clear" w:color="auto" w:fill="E5DFEC" w:themeFill="accent4" w:themeFillTint="33"/>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4,710</w:t>
            </w:r>
          </w:p>
        </w:tc>
        <w:tc>
          <w:tcPr>
            <w:tcW w:w="447"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7,950</w:t>
            </w:r>
          </w:p>
        </w:tc>
        <w:tc>
          <w:tcPr>
            <w:tcW w:w="447"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6,777</w:t>
            </w:r>
          </w:p>
        </w:tc>
        <w:tc>
          <w:tcPr>
            <w:tcW w:w="445"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14,727</w:t>
            </w:r>
          </w:p>
        </w:tc>
      </w:tr>
      <w:tr w:rsidR="008101E2" w:rsidRPr="005F120D" w:rsidTr="00623EF3">
        <w:trPr>
          <w:trHeight w:hRule="exact" w:val="307"/>
        </w:trPr>
        <w:tc>
          <w:tcPr>
            <w:tcW w:w="1009" w:type="pct"/>
            <w:shd w:val="clear" w:color="auto" w:fill="auto"/>
            <w:vAlign w:val="center"/>
          </w:tcPr>
          <w:p w:rsidR="008101E2" w:rsidRPr="005F120D" w:rsidRDefault="008101E2" w:rsidP="00936D9E">
            <w:pPr>
              <w:spacing w:after="0"/>
              <w:rPr>
                <w:rFonts w:asciiTheme="minorHAnsi" w:hAnsiTheme="minorHAnsi" w:cstheme="minorHAnsi"/>
                <w:sz w:val="18"/>
                <w:szCs w:val="18"/>
              </w:rPr>
            </w:pPr>
            <w:r w:rsidRPr="005F120D">
              <w:rPr>
                <w:rFonts w:asciiTheme="minorHAnsi" w:hAnsiTheme="minorHAnsi" w:cstheme="minorHAnsi"/>
                <w:sz w:val="18"/>
                <w:szCs w:val="18"/>
              </w:rPr>
              <w:t>5. Intellectual/ Mental</w:t>
            </w:r>
          </w:p>
        </w:tc>
        <w:tc>
          <w:tcPr>
            <w:tcW w:w="474"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6,321</w:t>
            </w:r>
          </w:p>
        </w:tc>
        <w:tc>
          <w:tcPr>
            <w:tcW w:w="446"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5,446</w:t>
            </w:r>
          </w:p>
        </w:tc>
        <w:tc>
          <w:tcPr>
            <w:tcW w:w="448"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11,767</w:t>
            </w:r>
          </w:p>
        </w:tc>
        <w:tc>
          <w:tcPr>
            <w:tcW w:w="447"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1,853</w:t>
            </w:r>
          </w:p>
        </w:tc>
        <w:tc>
          <w:tcPr>
            <w:tcW w:w="387"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1,608</w:t>
            </w:r>
          </w:p>
        </w:tc>
        <w:tc>
          <w:tcPr>
            <w:tcW w:w="449"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3,461</w:t>
            </w:r>
          </w:p>
        </w:tc>
        <w:tc>
          <w:tcPr>
            <w:tcW w:w="447"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8,174</w:t>
            </w:r>
          </w:p>
        </w:tc>
        <w:tc>
          <w:tcPr>
            <w:tcW w:w="447"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7,054</w:t>
            </w:r>
          </w:p>
        </w:tc>
        <w:tc>
          <w:tcPr>
            <w:tcW w:w="445"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15,228</w:t>
            </w:r>
          </w:p>
        </w:tc>
      </w:tr>
      <w:tr w:rsidR="008101E2" w:rsidRPr="005F120D" w:rsidTr="00623EF3">
        <w:trPr>
          <w:trHeight w:hRule="exact" w:val="307"/>
        </w:trPr>
        <w:tc>
          <w:tcPr>
            <w:tcW w:w="1009" w:type="pct"/>
            <w:shd w:val="clear" w:color="auto" w:fill="E5DFEC" w:themeFill="accent4" w:themeFillTint="33"/>
            <w:vAlign w:val="center"/>
          </w:tcPr>
          <w:p w:rsidR="008101E2" w:rsidRPr="005F120D" w:rsidRDefault="008101E2" w:rsidP="00936D9E">
            <w:pPr>
              <w:spacing w:after="0"/>
              <w:rPr>
                <w:rFonts w:asciiTheme="minorHAnsi" w:hAnsiTheme="minorHAnsi" w:cstheme="minorHAnsi"/>
                <w:sz w:val="18"/>
                <w:szCs w:val="18"/>
              </w:rPr>
            </w:pPr>
            <w:r w:rsidRPr="005F120D">
              <w:rPr>
                <w:rFonts w:asciiTheme="minorHAnsi" w:hAnsiTheme="minorHAnsi" w:cstheme="minorHAnsi"/>
                <w:sz w:val="18"/>
                <w:szCs w:val="18"/>
              </w:rPr>
              <w:t>6. Autistics</w:t>
            </w:r>
          </w:p>
        </w:tc>
        <w:tc>
          <w:tcPr>
            <w:tcW w:w="474"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618</w:t>
            </w:r>
          </w:p>
        </w:tc>
        <w:tc>
          <w:tcPr>
            <w:tcW w:w="446"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470</w:t>
            </w:r>
          </w:p>
        </w:tc>
        <w:tc>
          <w:tcPr>
            <w:tcW w:w="448"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1,088</w:t>
            </w:r>
          </w:p>
        </w:tc>
        <w:tc>
          <w:tcPr>
            <w:tcW w:w="447" w:type="pct"/>
            <w:shd w:val="clear" w:color="auto" w:fill="E5DFEC" w:themeFill="accent4" w:themeFillTint="33"/>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225</w:t>
            </w:r>
          </w:p>
        </w:tc>
        <w:tc>
          <w:tcPr>
            <w:tcW w:w="387" w:type="pct"/>
            <w:shd w:val="clear" w:color="auto" w:fill="E5DFEC" w:themeFill="accent4" w:themeFillTint="33"/>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203</w:t>
            </w:r>
          </w:p>
        </w:tc>
        <w:tc>
          <w:tcPr>
            <w:tcW w:w="449" w:type="pct"/>
            <w:shd w:val="clear" w:color="auto" w:fill="E5DFEC" w:themeFill="accent4" w:themeFillTint="33"/>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428</w:t>
            </w:r>
          </w:p>
        </w:tc>
        <w:tc>
          <w:tcPr>
            <w:tcW w:w="447"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843</w:t>
            </w:r>
          </w:p>
        </w:tc>
        <w:tc>
          <w:tcPr>
            <w:tcW w:w="447"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673</w:t>
            </w:r>
          </w:p>
        </w:tc>
        <w:tc>
          <w:tcPr>
            <w:tcW w:w="445" w:type="pct"/>
            <w:shd w:val="clear" w:color="auto" w:fill="E5DFEC" w:themeFill="accent4" w:themeFillTint="33"/>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1,516</w:t>
            </w:r>
          </w:p>
        </w:tc>
      </w:tr>
      <w:tr w:rsidR="008101E2" w:rsidRPr="005F120D" w:rsidTr="00623EF3">
        <w:trPr>
          <w:trHeight w:hRule="exact" w:val="307"/>
        </w:trPr>
        <w:tc>
          <w:tcPr>
            <w:tcW w:w="1009" w:type="pct"/>
            <w:shd w:val="clear" w:color="auto" w:fill="auto"/>
            <w:vAlign w:val="center"/>
          </w:tcPr>
          <w:p w:rsidR="008101E2" w:rsidRPr="005F120D" w:rsidRDefault="008101E2" w:rsidP="00936D9E">
            <w:pPr>
              <w:spacing w:after="0"/>
              <w:rPr>
                <w:rFonts w:asciiTheme="minorHAnsi" w:hAnsiTheme="minorHAnsi" w:cstheme="minorHAnsi"/>
                <w:sz w:val="18"/>
                <w:szCs w:val="18"/>
              </w:rPr>
            </w:pPr>
            <w:r w:rsidRPr="005F120D">
              <w:rPr>
                <w:rFonts w:asciiTheme="minorHAnsi" w:hAnsiTheme="minorHAnsi" w:cstheme="minorHAnsi"/>
                <w:sz w:val="18"/>
                <w:szCs w:val="18"/>
              </w:rPr>
              <w:t>7. Others</w:t>
            </w:r>
          </w:p>
        </w:tc>
        <w:tc>
          <w:tcPr>
            <w:tcW w:w="474"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304</w:t>
            </w:r>
          </w:p>
        </w:tc>
        <w:tc>
          <w:tcPr>
            <w:tcW w:w="446"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223</w:t>
            </w:r>
          </w:p>
        </w:tc>
        <w:tc>
          <w:tcPr>
            <w:tcW w:w="448"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527</w:t>
            </w:r>
          </w:p>
        </w:tc>
        <w:tc>
          <w:tcPr>
            <w:tcW w:w="447"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124</w:t>
            </w:r>
          </w:p>
        </w:tc>
        <w:tc>
          <w:tcPr>
            <w:tcW w:w="387"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116</w:t>
            </w:r>
          </w:p>
        </w:tc>
        <w:tc>
          <w:tcPr>
            <w:tcW w:w="449" w:type="pct"/>
            <w:shd w:val="clear" w:color="auto" w:fill="auto"/>
            <w:vAlign w:val="center"/>
          </w:tcPr>
          <w:p w:rsidR="008101E2" w:rsidRPr="005F120D" w:rsidRDefault="008101E2" w:rsidP="00FA2F12">
            <w:pPr>
              <w:spacing w:after="0"/>
              <w:jc w:val="center"/>
              <w:rPr>
                <w:rFonts w:asciiTheme="minorHAnsi" w:hAnsiTheme="minorHAnsi" w:cstheme="minorHAnsi"/>
                <w:sz w:val="18"/>
                <w:szCs w:val="18"/>
              </w:rPr>
            </w:pPr>
            <w:r w:rsidRPr="005F120D">
              <w:rPr>
                <w:rFonts w:asciiTheme="minorHAnsi" w:hAnsiTheme="minorHAnsi" w:cstheme="minorHAnsi"/>
                <w:sz w:val="18"/>
                <w:szCs w:val="18"/>
              </w:rPr>
              <w:t>240</w:t>
            </w:r>
          </w:p>
        </w:tc>
        <w:tc>
          <w:tcPr>
            <w:tcW w:w="447"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428</w:t>
            </w:r>
          </w:p>
        </w:tc>
        <w:tc>
          <w:tcPr>
            <w:tcW w:w="447"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339</w:t>
            </w:r>
          </w:p>
        </w:tc>
        <w:tc>
          <w:tcPr>
            <w:tcW w:w="445" w:type="pct"/>
            <w:shd w:val="clear" w:color="auto" w:fill="auto"/>
            <w:vAlign w:val="center"/>
          </w:tcPr>
          <w:p w:rsidR="008101E2" w:rsidRPr="005F120D" w:rsidRDefault="008101E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767</w:t>
            </w:r>
          </w:p>
        </w:tc>
      </w:tr>
      <w:tr w:rsidR="004A24DA" w:rsidRPr="005F120D" w:rsidTr="00623EF3">
        <w:trPr>
          <w:trHeight w:hRule="exact" w:val="307"/>
        </w:trPr>
        <w:tc>
          <w:tcPr>
            <w:tcW w:w="1009" w:type="pct"/>
            <w:shd w:val="clear" w:color="auto" w:fill="E5DFEC" w:themeFill="accent4" w:themeFillTint="33"/>
            <w:vAlign w:val="center"/>
          </w:tcPr>
          <w:p w:rsidR="004A24DA" w:rsidRPr="005F120D" w:rsidRDefault="004A24DA" w:rsidP="00936D9E">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Total</w:t>
            </w:r>
          </w:p>
        </w:tc>
        <w:tc>
          <w:tcPr>
            <w:tcW w:w="474" w:type="pct"/>
            <w:shd w:val="clear" w:color="auto" w:fill="E5DFEC" w:themeFill="accent4" w:themeFillTint="33"/>
            <w:vAlign w:val="center"/>
          </w:tcPr>
          <w:p w:rsidR="004A24DA" w:rsidRPr="005F120D" w:rsidRDefault="004A24DA" w:rsidP="00936D9E">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27,312</w:t>
            </w:r>
          </w:p>
        </w:tc>
        <w:tc>
          <w:tcPr>
            <w:tcW w:w="446" w:type="pct"/>
            <w:shd w:val="clear" w:color="auto" w:fill="E5DFEC" w:themeFill="accent4" w:themeFillTint="33"/>
            <w:vAlign w:val="center"/>
          </w:tcPr>
          <w:p w:rsidR="004A24DA" w:rsidRPr="005F120D" w:rsidRDefault="004A24DA" w:rsidP="00936D9E">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22,056</w:t>
            </w:r>
          </w:p>
        </w:tc>
        <w:tc>
          <w:tcPr>
            <w:tcW w:w="448" w:type="pct"/>
            <w:shd w:val="clear" w:color="auto" w:fill="E5DFEC" w:themeFill="accent4" w:themeFillTint="33"/>
            <w:vAlign w:val="center"/>
          </w:tcPr>
          <w:p w:rsidR="004A24DA" w:rsidRPr="005F120D" w:rsidRDefault="004A24DA" w:rsidP="00936D9E">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49,368</w:t>
            </w:r>
          </w:p>
        </w:tc>
        <w:tc>
          <w:tcPr>
            <w:tcW w:w="447" w:type="pct"/>
            <w:shd w:val="clear" w:color="auto" w:fill="E5DFEC" w:themeFill="accent4" w:themeFillTint="33"/>
            <w:vAlign w:val="center"/>
          </w:tcPr>
          <w:p w:rsidR="004A24DA" w:rsidRPr="005F120D" w:rsidRDefault="004A24DA" w:rsidP="00936D9E">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1</w:t>
            </w:r>
            <w:r w:rsidR="008101E2" w:rsidRPr="005F120D">
              <w:rPr>
                <w:rFonts w:asciiTheme="minorHAnsi" w:hAnsiTheme="minorHAnsi" w:cstheme="minorHAnsi"/>
                <w:b/>
                <w:sz w:val="18"/>
                <w:szCs w:val="18"/>
              </w:rPr>
              <w:t>0,223</w:t>
            </w:r>
          </w:p>
        </w:tc>
        <w:tc>
          <w:tcPr>
            <w:tcW w:w="387" w:type="pct"/>
            <w:shd w:val="clear" w:color="auto" w:fill="E5DFEC" w:themeFill="accent4" w:themeFillTint="33"/>
            <w:vAlign w:val="center"/>
          </w:tcPr>
          <w:p w:rsidR="004A24DA" w:rsidRPr="005F120D" w:rsidRDefault="008101E2" w:rsidP="00936D9E">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8,202</w:t>
            </w:r>
          </w:p>
        </w:tc>
        <w:tc>
          <w:tcPr>
            <w:tcW w:w="449" w:type="pct"/>
            <w:shd w:val="clear" w:color="auto" w:fill="E5DFEC" w:themeFill="accent4" w:themeFillTint="33"/>
            <w:vAlign w:val="center"/>
          </w:tcPr>
          <w:p w:rsidR="004A24DA" w:rsidRPr="005F120D" w:rsidRDefault="008101E2" w:rsidP="00936D9E">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18,425</w:t>
            </w:r>
          </w:p>
        </w:tc>
        <w:tc>
          <w:tcPr>
            <w:tcW w:w="447" w:type="pct"/>
            <w:shd w:val="clear" w:color="auto" w:fill="E5DFEC" w:themeFill="accent4" w:themeFillTint="33"/>
            <w:vAlign w:val="center"/>
          </w:tcPr>
          <w:p w:rsidR="004A24DA" w:rsidRPr="005F120D" w:rsidRDefault="004A24DA" w:rsidP="00936D9E">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37,535</w:t>
            </w:r>
          </w:p>
        </w:tc>
        <w:tc>
          <w:tcPr>
            <w:tcW w:w="447" w:type="pct"/>
            <w:shd w:val="clear" w:color="auto" w:fill="E5DFEC" w:themeFill="accent4" w:themeFillTint="33"/>
            <w:vAlign w:val="center"/>
          </w:tcPr>
          <w:p w:rsidR="004A24DA" w:rsidRPr="005F120D" w:rsidRDefault="004A24DA" w:rsidP="00936D9E">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30,258</w:t>
            </w:r>
          </w:p>
        </w:tc>
        <w:tc>
          <w:tcPr>
            <w:tcW w:w="445" w:type="pct"/>
            <w:shd w:val="clear" w:color="auto" w:fill="E5DFEC" w:themeFill="accent4" w:themeFillTint="33"/>
            <w:vAlign w:val="center"/>
          </w:tcPr>
          <w:p w:rsidR="004A24DA" w:rsidRPr="005F120D" w:rsidRDefault="004A24DA" w:rsidP="00936D9E">
            <w:pPr>
              <w:spacing w:after="0"/>
              <w:jc w:val="center"/>
              <w:rPr>
                <w:rFonts w:asciiTheme="minorHAnsi" w:hAnsiTheme="minorHAnsi" w:cstheme="minorHAnsi"/>
                <w:b/>
                <w:sz w:val="18"/>
                <w:szCs w:val="18"/>
              </w:rPr>
            </w:pPr>
            <w:r w:rsidRPr="005F120D">
              <w:rPr>
                <w:rFonts w:asciiTheme="minorHAnsi" w:hAnsiTheme="minorHAnsi" w:cstheme="minorHAnsi"/>
                <w:b/>
                <w:sz w:val="18"/>
                <w:szCs w:val="18"/>
              </w:rPr>
              <w:t>67,793</w:t>
            </w:r>
          </w:p>
        </w:tc>
      </w:tr>
    </w:tbl>
    <w:p w:rsidR="00460A98" w:rsidRPr="005F120D" w:rsidRDefault="000856E9" w:rsidP="00C437AA">
      <w:pPr>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Source: 201</w:t>
      </w:r>
      <w:r w:rsidR="00490BC6" w:rsidRPr="005F120D">
        <w:rPr>
          <w:rFonts w:asciiTheme="minorHAnsi" w:hAnsiTheme="minorHAnsi" w:cstheme="minorHAnsi"/>
          <w:b/>
          <w:i/>
          <w:sz w:val="16"/>
          <w:szCs w:val="16"/>
        </w:rPr>
        <w:t>5</w:t>
      </w:r>
      <w:r w:rsidR="00332BB3" w:rsidRPr="005F120D">
        <w:rPr>
          <w:rFonts w:asciiTheme="minorHAnsi" w:hAnsiTheme="minorHAnsi" w:cstheme="minorHAnsi"/>
          <w:b/>
          <w:i/>
          <w:sz w:val="16"/>
          <w:szCs w:val="16"/>
        </w:rPr>
        <w:t xml:space="preserve"> APSC</w:t>
      </w:r>
    </w:p>
    <w:p w:rsidR="00E554A4" w:rsidRPr="005F120D" w:rsidRDefault="00992ABD" w:rsidP="000C7016">
      <w:pPr>
        <w:spacing w:afterLines="100" w:line="276" w:lineRule="auto"/>
        <w:jc w:val="both"/>
        <w:rPr>
          <w:rFonts w:asciiTheme="minorHAnsi" w:hAnsiTheme="minorHAnsi" w:cstheme="minorHAnsi"/>
          <w:color w:val="FF0000"/>
        </w:rPr>
      </w:pPr>
      <w:r w:rsidRPr="005F120D">
        <w:rPr>
          <w:rFonts w:asciiTheme="minorHAnsi" w:hAnsiTheme="minorHAnsi" w:cstheme="minorHAnsi"/>
        </w:rPr>
        <w:t>The following Table 4.8 shows that the number of children with special needs (physically challenged) enrolled in DPE managed schools grew faster than the PEDPII target for all types, and in particular for children with physical disabilities and eyesight problems. There was a striking 50% increase in the number of special needs children in school between 2005 and 2011. The enrolment trend gradually declined from 2012 and stood at 67,793 in 2015 compared to 76,522 in 2014. The reason for this decline is not known but the perception is that the teachers had not been properly trained to identify disabled children before 2012, so they reported more. After receiving training under the Inclusive Education program, they are currently able to identify these children properly. They also now refer cognitively ill children to specialized schools and autism rehabilitation centres</w:t>
      </w:r>
      <w:r w:rsidR="008569AA" w:rsidRPr="005F120D">
        <w:rPr>
          <w:rFonts w:asciiTheme="minorHAnsi" w:hAnsiTheme="minorHAnsi" w:cstheme="minorHAnsi"/>
        </w:rPr>
        <w:t>.</w:t>
      </w:r>
    </w:p>
    <w:p w:rsidR="000054C2" w:rsidRPr="005F120D" w:rsidRDefault="00A65886" w:rsidP="00C437AA">
      <w:pPr>
        <w:pStyle w:val="Caption"/>
        <w:spacing w:line="276" w:lineRule="auto"/>
        <w:rPr>
          <w:rFonts w:cstheme="minorHAnsi"/>
          <w:szCs w:val="22"/>
        </w:rPr>
      </w:pPr>
      <w:bookmarkStart w:id="497" w:name="_Toc462837299"/>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8</w:t>
      </w:r>
      <w:r w:rsidR="002E2ED5" w:rsidRPr="005F120D">
        <w:rPr>
          <w:rFonts w:cstheme="minorHAnsi"/>
        </w:rPr>
        <w:fldChar w:fldCharType="end"/>
      </w:r>
      <w:r w:rsidR="00260546" w:rsidRPr="005F120D">
        <w:rPr>
          <w:rFonts w:cstheme="minorHAnsi"/>
        </w:rPr>
        <w:t>:</w:t>
      </w:r>
      <w:r w:rsidR="00260546" w:rsidRPr="005F120D">
        <w:rPr>
          <w:rFonts w:cstheme="minorHAnsi"/>
          <w:bCs/>
          <w:szCs w:val="22"/>
        </w:rPr>
        <w:t xml:space="preserve"> Year</w:t>
      </w:r>
      <w:r w:rsidR="00CF5DD9" w:rsidRPr="005F120D">
        <w:rPr>
          <w:rFonts w:cstheme="minorHAnsi"/>
          <w:bCs/>
          <w:szCs w:val="22"/>
        </w:rPr>
        <w:t xml:space="preserve"> wise </w:t>
      </w:r>
      <w:r w:rsidR="004B53A0" w:rsidRPr="005F120D">
        <w:rPr>
          <w:rFonts w:cstheme="minorHAnsi"/>
          <w:bCs/>
          <w:szCs w:val="22"/>
        </w:rPr>
        <w:t>Enrolment</w:t>
      </w:r>
      <w:r w:rsidR="00CF5DD9" w:rsidRPr="005F120D">
        <w:rPr>
          <w:rFonts w:cstheme="minorHAnsi"/>
          <w:bCs/>
          <w:szCs w:val="22"/>
        </w:rPr>
        <w:t xml:space="preserve"> of Special Need Children by Gender 2005- 201</w:t>
      </w:r>
      <w:r w:rsidR="00055158" w:rsidRPr="005F120D">
        <w:rPr>
          <w:rFonts w:cstheme="minorHAnsi"/>
          <w:bCs/>
          <w:szCs w:val="22"/>
        </w:rPr>
        <w:t>5</w:t>
      </w:r>
      <w:bookmarkEnd w:id="497"/>
    </w:p>
    <w:tbl>
      <w:tblPr>
        <w:tblStyle w:val="LightList-Accent4"/>
        <w:tblW w:w="5016" w:type="pct"/>
        <w:tblLook w:val="0000"/>
      </w:tblPr>
      <w:tblGrid>
        <w:gridCol w:w="1285"/>
        <w:gridCol w:w="1875"/>
        <w:gridCol w:w="1914"/>
        <w:gridCol w:w="1827"/>
        <w:gridCol w:w="2374"/>
      </w:tblGrid>
      <w:tr w:rsidR="00D25E30" w:rsidRPr="005F120D" w:rsidTr="000C7016">
        <w:trPr>
          <w:cnfStyle w:val="000000100000"/>
          <w:trHeight w:hRule="exact" w:val="406"/>
        </w:trPr>
        <w:tc>
          <w:tcPr>
            <w:cnfStyle w:val="000010000000"/>
            <w:tcW w:w="692" w:type="pct"/>
            <w:shd w:val="clear" w:color="auto" w:fill="B2A1C7" w:themeFill="accent4" w:themeFillTint="99"/>
          </w:tcPr>
          <w:p w:rsidR="00D25E30" w:rsidRPr="005F120D" w:rsidRDefault="00D25E30" w:rsidP="00936D9E">
            <w:pPr>
              <w:jc w:val="center"/>
              <w:rPr>
                <w:rFonts w:asciiTheme="minorHAnsi" w:hAnsiTheme="minorHAnsi" w:cstheme="minorHAnsi"/>
                <w:bCs/>
                <w:sz w:val="20"/>
              </w:rPr>
            </w:pPr>
            <w:r w:rsidRPr="005F120D">
              <w:rPr>
                <w:rFonts w:asciiTheme="minorHAnsi" w:hAnsiTheme="minorHAnsi" w:cstheme="minorHAnsi"/>
                <w:bCs/>
                <w:sz w:val="20"/>
              </w:rPr>
              <w:t>Year</w:t>
            </w:r>
          </w:p>
        </w:tc>
        <w:tc>
          <w:tcPr>
            <w:tcW w:w="1011" w:type="pct"/>
            <w:shd w:val="clear" w:color="auto" w:fill="B2A1C7" w:themeFill="accent4" w:themeFillTint="99"/>
          </w:tcPr>
          <w:p w:rsidR="00D25E30" w:rsidRPr="005F120D" w:rsidRDefault="00D25E30" w:rsidP="00936D9E">
            <w:pPr>
              <w:jc w:val="center"/>
              <w:cnfStyle w:val="000000100000"/>
              <w:rPr>
                <w:rFonts w:asciiTheme="minorHAnsi" w:hAnsiTheme="minorHAnsi" w:cstheme="minorHAnsi"/>
                <w:bCs/>
                <w:sz w:val="20"/>
              </w:rPr>
            </w:pPr>
            <w:r w:rsidRPr="005F120D">
              <w:rPr>
                <w:rFonts w:asciiTheme="minorHAnsi" w:hAnsiTheme="minorHAnsi" w:cstheme="minorHAnsi"/>
                <w:bCs/>
                <w:sz w:val="20"/>
              </w:rPr>
              <w:t>Boys</w:t>
            </w:r>
          </w:p>
        </w:tc>
        <w:tc>
          <w:tcPr>
            <w:cnfStyle w:val="000010000000"/>
            <w:tcW w:w="1032" w:type="pct"/>
            <w:shd w:val="clear" w:color="auto" w:fill="B2A1C7" w:themeFill="accent4" w:themeFillTint="99"/>
          </w:tcPr>
          <w:p w:rsidR="00D25E30" w:rsidRPr="005F120D" w:rsidRDefault="00D25E30" w:rsidP="00936D9E">
            <w:pPr>
              <w:jc w:val="center"/>
              <w:rPr>
                <w:rFonts w:asciiTheme="minorHAnsi" w:hAnsiTheme="minorHAnsi" w:cstheme="minorHAnsi"/>
                <w:bCs/>
                <w:sz w:val="20"/>
              </w:rPr>
            </w:pPr>
            <w:r w:rsidRPr="005F120D">
              <w:rPr>
                <w:rFonts w:asciiTheme="minorHAnsi" w:hAnsiTheme="minorHAnsi" w:cstheme="minorHAnsi"/>
                <w:bCs/>
                <w:sz w:val="20"/>
              </w:rPr>
              <w:t>Girls</w:t>
            </w:r>
          </w:p>
        </w:tc>
        <w:tc>
          <w:tcPr>
            <w:tcW w:w="985" w:type="pct"/>
            <w:shd w:val="clear" w:color="auto" w:fill="B2A1C7" w:themeFill="accent4" w:themeFillTint="99"/>
          </w:tcPr>
          <w:p w:rsidR="00D25E30" w:rsidRPr="005F120D" w:rsidRDefault="00D25E30" w:rsidP="00936D9E">
            <w:pPr>
              <w:jc w:val="center"/>
              <w:cnfStyle w:val="000000100000"/>
              <w:rPr>
                <w:rFonts w:asciiTheme="minorHAnsi" w:hAnsiTheme="minorHAnsi" w:cstheme="minorHAnsi"/>
                <w:bCs/>
                <w:sz w:val="20"/>
              </w:rPr>
            </w:pPr>
            <w:r w:rsidRPr="005F120D">
              <w:rPr>
                <w:rFonts w:asciiTheme="minorHAnsi" w:hAnsiTheme="minorHAnsi" w:cstheme="minorHAnsi"/>
                <w:bCs/>
                <w:sz w:val="20"/>
              </w:rPr>
              <w:t>Total</w:t>
            </w:r>
          </w:p>
        </w:tc>
        <w:tc>
          <w:tcPr>
            <w:cnfStyle w:val="000010000000"/>
            <w:tcW w:w="1280" w:type="pct"/>
            <w:shd w:val="clear" w:color="auto" w:fill="B2A1C7" w:themeFill="accent4" w:themeFillTint="99"/>
          </w:tcPr>
          <w:p w:rsidR="00D25E30" w:rsidRPr="005F120D" w:rsidRDefault="00D25E30" w:rsidP="00936D9E">
            <w:pPr>
              <w:jc w:val="center"/>
              <w:rPr>
                <w:rFonts w:asciiTheme="minorHAnsi" w:hAnsiTheme="minorHAnsi" w:cstheme="minorHAnsi"/>
                <w:bCs/>
                <w:sz w:val="20"/>
              </w:rPr>
            </w:pPr>
            <w:r w:rsidRPr="005F120D">
              <w:rPr>
                <w:rFonts w:asciiTheme="minorHAnsi" w:hAnsiTheme="minorHAnsi" w:cstheme="minorHAnsi"/>
                <w:bCs/>
                <w:sz w:val="20"/>
              </w:rPr>
              <w:t>Remarks</w:t>
            </w:r>
          </w:p>
        </w:tc>
      </w:tr>
      <w:tr w:rsidR="00525A81" w:rsidRPr="005F120D" w:rsidTr="000C7016">
        <w:trPr>
          <w:trHeight w:hRule="exact" w:val="336"/>
        </w:trPr>
        <w:tc>
          <w:tcPr>
            <w:cnfStyle w:val="000010000000"/>
            <w:tcW w:w="69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2005</w:t>
            </w:r>
          </w:p>
        </w:tc>
        <w:tc>
          <w:tcPr>
            <w:tcW w:w="1011" w:type="pct"/>
          </w:tcPr>
          <w:p w:rsidR="00525A81" w:rsidRPr="005F120D" w:rsidRDefault="00525A81" w:rsidP="00936D9E">
            <w:pPr>
              <w:jc w:val="center"/>
              <w:cnfStyle w:val="000000000000"/>
              <w:rPr>
                <w:rFonts w:asciiTheme="minorHAnsi" w:hAnsiTheme="minorHAnsi" w:cstheme="minorHAnsi"/>
                <w:sz w:val="20"/>
              </w:rPr>
            </w:pPr>
            <w:r w:rsidRPr="005F120D">
              <w:rPr>
                <w:rFonts w:asciiTheme="minorHAnsi" w:hAnsiTheme="minorHAnsi" w:cstheme="minorHAnsi"/>
                <w:sz w:val="20"/>
              </w:rPr>
              <w:t>25,833</w:t>
            </w:r>
          </w:p>
        </w:tc>
        <w:tc>
          <w:tcPr>
            <w:cnfStyle w:val="000010000000"/>
            <w:tcW w:w="103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19,847</w:t>
            </w:r>
          </w:p>
        </w:tc>
        <w:tc>
          <w:tcPr>
            <w:tcW w:w="985" w:type="pct"/>
          </w:tcPr>
          <w:p w:rsidR="00525A81" w:rsidRPr="005F120D" w:rsidRDefault="00525A81" w:rsidP="00936D9E">
            <w:pPr>
              <w:jc w:val="center"/>
              <w:cnfStyle w:val="000000000000"/>
              <w:rPr>
                <w:rFonts w:asciiTheme="minorHAnsi" w:hAnsiTheme="minorHAnsi" w:cstheme="minorHAnsi"/>
                <w:sz w:val="20"/>
              </w:rPr>
            </w:pPr>
            <w:r w:rsidRPr="005F120D">
              <w:rPr>
                <w:rFonts w:asciiTheme="minorHAnsi" w:hAnsiTheme="minorHAnsi" w:cstheme="minorHAnsi"/>
                <w:sz w:val="20"/>
              </w:rPr>
              <w:t>45,680</w:t>
            </w:r>
          </w:p>
        </w:tc>
        <w:tc>
          <w:tcPr>
            <w:cnfStyle w:val="000010000000"/>
            <w:tcW w:w="1280" w:type="pct"/>
            <w:vMerge w:val="restart"/>
          </w:tcPr>
          <w:p w:rsidR="00525A81" w:rsidRPr="005F120D" w:rsidRDefault="00525A81" w:rsidP="00936D9E">
            <w:pPr>
              <w:rPr>
                <w:rFonts w:asciiTheme="minorHAnsi" w:hAnsiTheme="minorHAnsi" w:cstheme="minorHAnsi"/>
                <w:sz w:val="20"/>
              </w:rPr>
            </w:pPr>
            <w:r w:rsidRPr="005F120D">
              <w:rPr>
                <w:rFonts w:asciiTheme="minorHAnsi" w:hAnsiTheme="minorHAnsi" w:cstheme="minorHAnsi"/>
                <w:sz w:val="20"/>
              </w:rPr>
              <w:t>*Declining trend from 2012.</w:t>
            </w:r>
          </w:p>
          <w:p w:rsidR="00525A81" w:rsidRPr="005F120D" w:rsidRDefault="00525A81" w:rsidP="00936D9E">
            <w:pPr>
              <w:rPr>
                <w:rFonts w:asciiTheme="minorHAnsi" w:hAnsiTheme="minorHAnsi" w:cstheme="minorHAnsi"/>
                <w:sz w:val="20"/>
              </w:rPr>
            </w:pPr>
            <w:r w:rsidRPr="005F120D">
              <w:rPr>
                <w:rFonts w:asciiTheme="minorHAnsi" w:hAnsiTheme="minorHAnsi" w:cstheme="minorHAnsi"/>
                <w:sz w:val="20"/>
              </w:rPr>
              <w:t>MoSW conducted a study and expected t</w:t>
            </w:r>
            <w:r w:rsidR="00490BC6" w:rsidRPr="005F120D">
              <w:rPr>
                <w:rFonts w:asciiTheme="minorHAnsi" w:hAnsiTheme="minorHAnsi" w:cstheme="minorHAnsi"/>
                <w:sz w:val="20"/>
              </w:rPr>
              <w:t>he report will published in 2016</w:t>
            </w:r>
            <w:r w:rsidRPr="005F120D">
              <w:rPr>
                <w:rFonts w:asciiTheme="minorHAnsi" w:hAnsiTheme="minorHAnsi" w:cstheme="minorHAnsi"/>
                <w:sz w:val="20"/>
              </w:rPr>
              <w:t xml:space="preserve"> which helps to set PEDP3 target and </w:t>
            </w:r>
            <w:r w:rsidR="00C23C41" w:rsidRPr="005F120D">
              <w:rPr>
                <w:rFonts w:asciiTheme="minorHAnsi" w:hAnsiTheme="minorHAnsi" w:cstheme="minorHAnsi"/>
                <w:sz w:val="20"/>
              </w:rPr>
              <w:t xml:space="preserve">also </w:t>
            </w:r>
            <w:r w:rsidRPr="005F120D">
              <w:rPr>
                <w:rFonts w:asciiTheme="minorHAnsi" w:hAnsiTheme="minorHAnsi" w:cstheme="minorHAnsi"/>
                <w:sz w:val="20"/>
              </w:rPr>
              <w:t>know the exact number of disable children</w:t>
            </w:r>
            <w:r w:rsidR="00C23C41" w:rsidRPr="005F120D">
              <w:rPr>
                <w:rFonts w:asciiTheme="minorHAnsi" w:hAnsiTheme="minorHAnsi" w:cstheme="minorHAnsi"/>
                <w:sz w:val="20"/>
              </w:rPr>
              <w:t xml:space="preserve"> of the country</w:t>
            </w:r>
          </w:p>
        </w:tc>
      </w:tr>
      <w:tr w:rsidR="00525A81" w:rsidRPr="005F120D" w:rsidTr="000C7016">
        <w:trPr>
          <w:cnfStyle w:val="000000100000"/>
          <w:trHeight w:hRule="exact" w:val="336"/>
        </w:trPr>
        <w:tc>
          <w:tcPr>
            <w:cnfStyle w:val="000010000000"/>
            <w:tcW w:w="69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2006</w:t>
            </w:r>
          </w:p>
        </w:tc>
        <w:tc>
          <w:tcPr>
            <w:tcW w:w="1011" w:type="pct"/>
          </w:tcPr>
          <w:p w:rsidR="00525A81" w:rsidRPr="005F120D" w:rsidRDefault="00525A81" w:rsidP="00936D9E">
            <w:pPr>
              <w:jc w:val="center"/>
              <w:cnfStyle w:val="000000100000"/>
              <w:rPr>
                <w:rFonts w:asciiTheme="minorHAnsi" w:hAnsiTheme="minorHAnsi" w:cstheme="minorHAnsi"/>
                <w:sz w:val="20"/>
              </w:rPr>
            </w:pPr>
            <w:r w:rsidRPr="005F120D">
              <w:rPr>
                <w:rFonts w:asciiTheme="minorHAnsi" w:hAnsiTheme="minorHAnsi" w:cstheme="minorHAnsi"/>
                <w:sz w:val="20"/>
              </w:rPr>
              <w:t>26,777</w:t>
            </w:r>
          </w:p>
        </w:tc>
        <w:tc>
          <w:tcPr>
            <w:cnfStyle w:val="000010000000"/>
            <w:tcW w:w="103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20,793</w:t>
            </w:r>
          </w:p>
        </w:tc>
        <w:tc>
          <w:tcPr>
            <w:tcW w:w="985" w:type="pct"/>
          </w:tcPr>
          <w:p w:rsidR="00525A81" w:rsidRPr="005F120D" w:rsidRDefault="00525A81" w:rsidP="00936D9E">
            <w:pPr>
              <w:jc w:val="center"/>
              <w:cnfStyle w:val="000000100000"/>
              <w:rPr>
                <w:rFonts w:asciiTheme="minorHAnsi" w:hAnsiTheme="minorHAnsi" w:cstheme="minorHAnsi"/>
                <w:sz w:val="20"/>
              </w:rPr>
            </w:pPr>
            <w:r w:rsidRPr="005F120D">
              <w:rPr>
                <w:rFonts w:asciiTheme="minorHAnsi" w:hAnsiTheme="minorHAnsi" w:cstheme="minorHAnsi"/>
                <w:sz w:val="20"/>
              </w:rPr>
              <w:t>47,570</w:t>
            </w:r>
          </w:p>
        </w:tc>
        <w:tc>
          <w:tcPr>
            <w:cnfStyle w:val="000010000000"/>
            <w:tcW w:w="1280" w:type="pct"/>
            <w:vMerge/>
          </w:tcPr>
          <w:p w:rsidR="00525A81" w:rsidRPr="005F120D" w:rsidRDefault="00525A81" w:rsidP="00936D9E">
            <w:pPr>
              <w:jc w:val="center"/>
              <w:rPr>
                <w:rFonts w:asciiTheme="minorHAnsi" w:hAnsiTheme="minorHAnsi" w:cstheme="minorHAnsi"/>
                <w:sz w:val="20"/>
              </w:rPr>
            </w:pPr>
          </w:p>
        </w:tc>
      </w:tr>
      <w:tr w:rsidR="00525A81" w:rsidRPr="005F120D" w:rsidTr="000C7016">
        <w:trPr>
          <w:trHeight w:hRule="exact" w:val="295"/>
        </w:trPr>
        <w:tc>
          <w:tcPr>
            <w:cnfStyle w:val="000010000000"/>
            <w:tcW w:w="69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2007</w:t>
            </w:r>
          </w:p>
        </w:tc>
        <w:tc>
          <w:tcPr>
            <w:tcW w:w="1011" w:type="pct"/>
          </w:tcPr>
          <w:p w:rsidR="00525A81" w:rsidRPr="005F120D" w:rsidRDefault="00525A81" w:rsidP="00936D9E">
            <w:pPr>
              <w:jc w:val="center"/>
              <w:cnfStyle w:val="000000000000"/>
              <w:rPr>
                <w:rFonts w:asciiTheme="minorHAnsi" w:hAnsiTheme="minorHAnsi" w:cstheme="minorHAnsi"/>
                <w:sz w:val="20"/>
              </w:rPr>
            </w:pPr>
            <w:r w:rsidRPr="005F120D">
              <w:rPr>
                <w:rFonts w:asciiTheme="minorHAnsi" w:hAnsiTheme="minorHAnsi" w:cstheme="minorHAnsi"/>
                <w:sz w:val="20"/>
              </w:rPr>
              <w:t>30,142</w:t>
            </w:r>
          </w:p>
        </w:tc>
        <w:tc>
          <w:tcPr>
            <w:cnfStyle w:val="000010000000"/>
            <w:tcW w:w="103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23,161</w:t>
            </w:r>
          </w:p>
        </w:tc>
        <w:tc>
          <w:tcPr>
            <w:tcW w:w="985" w:type="pct"/>
          </w:tcPr>
          <w:p w:rsidR="00525A81" w:rsidRPr="005F120D" w:rsidRDefault="00525A81" w:rsidP="00936D9E">
            <w:pPr>
              <w:jc w:val="center"/>
              <w:cnfStyle w:val="000000000000"/>
              <w:rPr>
                <w:rFonts w:asciiTheme="minorHAnsi" w:hAnsiTheme="minorHAnsi" w:cstheme="minorHAnsi"/>
                <w:sz w:val="20"/>
              </w:rPr>
            </w:pPr>
            <w:r w:rsidRPr="005F120D">
              <w:rPr>
                <w:rFonts w:asciiTheme="minorHAnsi" w:hAnsiTheme="minorHAnsi" w:cstheme="minorHAnsi"/>
                <w:sz w:val="20"/>
              </w:rPr>
              <w:t>53,303</w:t>
            </w:r>
          </w:p>
        </w:tc>
        <w:tc>
          <w:tcPr>
            <w:cnfStyle w:val="000010000000"/>
            <w:tcW w:w="1280" w:type="pct"/>
            <w:vMerge/>
          </w:tcPr>
          <w:p w:rsidR="00525A81" w:rsidRPr="005F120D" w:rsidRDefault="00525A81" w:rsidP="00936D9E">
            <w:pPr>
              <w:jc w:val="center"/>
              <w:rPr>
                <w:rFonts w:asciiTheme="minorHAnsi" w:hAnsiTheme="minorHAnsi" w:cstheme="minorHAnsi"/>
                <w:sz w:val="20"/>
              </w:rPr>
            </w:pPr>
          </w:p>
        </w:tc>
      </w:tr>
      <w:tr w:rsidR="00525A81" w:rsidRPr="005F120D" w:rsidTr="000C7016">
        <w:trPr>
          <w:cnfStyle w:val="000000100000"/>
          <w:trHeight w:hRule="exact" w:val="275"/>
        </w:trPr>
        <w:tc>
          <w:tcPr>
            <w:cnfStyle w:val="000010000000"/>
            <w:tcW w:w="69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2008</w:t>
            </w:r>
          </w:p>
        </w:tc>
        <w:tc>
          <w:tcPr>
            <w:tcW w:w="1011" w:type="pct"/>
          </w:tcPr>
          <w:p w:rsidR="00525A81" w:rsidRPr="005F120D" w:rsidRDefault="00525A81" w:rsidP="00936D9E">
            <w:pPr>
              <w:jc w:val="center"/>
              <w:cnfStyle w:val="000000100000"/>
              <w:rPr>
                <w:rFonts w:asciiTheme="minorHAnsi" w:hAnsiTheme="minorHAnsi" w:cstheme="minorHAnsi"/>
                <w:sz w:val="20"/>
              </w:rPr>
            </w:pPr>
            <w:r w:rsidRPr="005F120D">
              <w:rPr>
                <w:rFonts w:asciiTheme="minorHAnsi" w:hAnsiTheme="minorHAnsi" w:cstheme="minorHAnsi"/>
                <w:sz w:val="20"/>
              </w:rPr>
              <w:t>44,340</w:t>
            </w:r>
          </w:p>
        </w:tc>
        <w:tc>
          <w:tcPr>
            <w:cnfStyle w:val="000010000000"/>
            <w:tcW w:w="103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33,148</w:t>
            </w:r>
          </w:p>
        </w:tc>
        <w:tc>
          <w:tcPr>
            <w:tcW w:w="985" w:type="pct"/>
          </w:tcPr>
          <w:p w:rsidR="00525A81" w:rsidRPr="005F120D" w:rsidRDefault="00525A81" w:rsidP="00936D9E">
            <w:pPr>
              <w:jc w:val="center"/>
              <w:cnfStyle w:val="000000100000"/>
              <w:rPr>
                <w:rFonts w:asciiTheme="minorHAnsi" w:hAnsiTheme="minorHAnsi" w:cstheme="minorHAnsi"/>
                <w:sz w:val="20"/>
              </w:rPr>
            </w:pPr>
            <w:r w:rsidRPr="005F120D">
              <w:rPr>
                <w:rFonts w:asciiTheme="minorHAnsi" w:hAnsiTheme="minorHAnsi" w:cstheme="minorHAnsi"/>
                <w:sz w:val="20"/>
              </w:rPr>
              <w:t>77,488</w:t>
            </w:r>
          </w:p>
        </w:tc>
        <w:tc>
          <w:tcPr>
            <w:cnfStyle w:val="000010000000"/>
            <w:tcW w:w="1280" w:type="pct"/>
            <w:vMerge/>
          </w:tcPr>
          <w:p w:rsidR="00525A81" w:rsidRPr="005F120D" w:rsidRDefault="00525A81" w:rsidP="00936D9E">
            <w:pPr>
              <w:jc w:val="center"/>
              <w:rPr>
                <w:rFonts w:asciiTheme="minorHAnsi" w:hAnsiTheme="minorHAnsi" w:cstheme="minorHAnsi"/>
                <w:sz w:val="20"/>
              </w:rPr>
            </w:pPr>
          </w:p>
        </w:tc>
      </w:tr>
      <w:tr w:rsidR="00525A81" w:rsidRPr="005F120D" w:rsidTr="000C7016">
        <w:trPr>
          <w:trHeight w:hRule="exact" w:val="366"/>
        </w:trPr>
        <w:tc>
          <w:tcPr>
            <w:cnfStyle w:val="000010000000"/>
            <w:tcW w:w="69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2009</w:t>
            </w:r>
          </w:p>
        </w:tc>
        <w:tc>
          <w:tcPr>
            <w:tcW w:w="1011" w:type="pct"/>
          </w:tcPr>
          <w:p w:rsidR="00525A81" w:rsidRPr="005F120D" w:rsidRDefault="00525A81" w:rsidP="00936D9E">
            <w:pPr>
              <w:jc w:val="center"/>
              <w:cnfStyle w:val="000000000000"/>
              <w:rPr>
                <w:rFonts w:asciiTheme="minorHAnsi" w:hAnsiTheme="minorHAnsi" w:cstheme="minorHAnsi"/>
                <w:sz w:val="20"/>
              </w:rPr>
            </w:pPr>
            <w:r w:rsidRPr="005F120D">
              <w:rPr>
                <w:rFonts w:asciiTheme="minorHAnsi" w:hAnsiTheme="minorHAnsi" w:cstheme="minorHAnsi"/>
                <w:sz w:val="20"/>
              </w:rPr>
              <w:t>43,925</w:t>
            </w:r>
          </w:p>
        </w:tc>
        <w:tc>
          <w:tcPr>
            <w:cnfStyle w:val="000010000000"/>
            <w:tcW w:w="103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34,274</w:t>
            </w:r>
          </w:p>
        </w:tc>
        <w:tc>
          <w:tcPr>
            <w:tcW w:w="985" w:type="pct"/>
          </w:tcPr>
          <w:p w:rsidR="00525A81" w:rsidRPr="005F120D" w:rsidRDefault="00525A81" w:rsidP="00936D9E">
            <w:pPr>
              <w:jc w:val="center"/>
              <w:cnfStyle w:val="000000000000"/>
              <w:rPr>
                <w:rFonts w:asciiTheme="minorHAnsi" w:hAnsiTheme="minorHAnsi" w:cstheme="minorHAnsi"/>
                <w:sz w:val="20"/>
              </w:rPr>
            </w:pPr>
            <w:r w:rsidRPr="005F120D">
              <w:rPr>
                <w:rFonts w:asciiTheme="minorHAnsi" w:hAnsiTheme="minorHAnsi" w:cstheme="minorHAnsi"/>
                <w:sz w:val="20"/>
              </w:rPr>
              <w:t>78,199</w:t>
            </w:r>
          </w:p>
        </w:tc>
        <w:tc>
          <w:tcPr>
            <w:cnfStyle w:val="000010000000"/>
            <w:tcW w:w="1280" w:type="pct"/>
            <w:vMerge/>
          </w:tcPr>
          <w:p w:rsidR="00525A81" w:rsidRPr="005F120D" w:rsidRDefault="00525A81" w:rsidP="00936D9E">
            <w:pPr>
              <w:jc w:val="center"/>
              <w:rPr>
                <w:rFonts w:asciiTheme="minorHAnsi" w:hAnsiTheme="minorHAnsi" w:cstheme="minorHAnsi"/>
                <w:sz w:val="20"/>
              </w:rPr>
            </w:pPr>
          </w:p>
        </w:tc>
      </w:tr>
      <w:tr w:rsidR="00525A81" w:rsidRPr="005F120D" w:rsidTr="000C7016">
        <w:trPr>
          <w:cnfStyle w:val="000000100000"/>
          <w:trHeight w:hRule="exact" w:val="336"/>
        </w:trPr>
        <w:tc>
          <w:tcPr>
            <w:cnfStyle w:val="000010000000"/>
            <w:tcW w:w="69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2010</w:t>
            </w:r>
          </w:p>
        </w:tc>
        <w:tc>
          <w:tcPr>
            <w:tcW w:w="1011" w:type="pct"/>
          </w:tcPr>
          <w:p w:rsidR="00525A81" w:rsidRPr="005F120D" w:rsidRDefault="00525A81" w:rsidP="00936D9E">
            <w:pPr>
              <w:jc w:val="center"/>
              <w:cnfStyle w:val="000000100000"/>
              <w:rPr>
                <w:rFonts w:asciiTheme="minorHAnsi" w:hAnsiTheme="minorHAnsi" w:cstheme="minorHAnsi"/>
                <w:sz w:val="20"/>
              </w:rPr>
            </w:pPr>
            <w:r w:rsidRPr="005F120D">
              <w:rPr>
                <w:rFonts w:asciiTheme="minorHAnsi" w:hAnsiTheme="minorHAnsi" w:cstheme="minorHAnsi"/>
                <w:sz w:val="20"/>
              </w:rPr>
              <w:t>47,029</w:t>
            </w:r>
          </w:p>
        </w:tc>
        <w:tc>
          <w:tcPr>
            <w:cnfStyle w:val="000010000000"/>
            <w:tcW w:w="103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35,994</w:t>
            </w:r>
          </w:p>
        </w:tc>
        <w:tc>
          <w:tcPr>
            <w:tcW w:w="985" w:type="pct"/>
          </w:tcPr>
          <w:p w:rsidR="00525A81" w:rsidRPr="005F120D" w:rsidRDefault="00525A81" w:rsidP="00936D9E">
            <w:pPr>
              <w:jc w:val="center"/>
              <w:cnfStyle w:val="000000100000"/>
              <w:rPr>
                <w:rFonts w:asciiTheme="minorHAnsi" w:hAnsiTheme="minorHAnsi" w:cstheme="minorHAnsi"/>
                <w:sz w:val="20"/>
              </w:rPr>
            </w:pPr>
            <w:r w:rsidRPr="005F120D">
              <w:rPr>
                <w:rFonts w:asciiTheme="minorHAnsi" w:hAnsiTheme="minorHAnsi" w:cstheme="minorHAnsi"/>
                <w:sz w:val="20"/>
              </w:rPr>
              <w:t>83,023</w:t>
            </w:r>
          </w:p>
        </w:tc>
        <w:tc>
          <w:tcPr>
            <w:cnfStyle w:val="000010000000"/>
            <w:tcW w:w="1280" w:type="pct"/>
            <w:vMerge/>
          </w:tcPr>
          <w:p w:rsidR="00525A81" w:rsidRPr="005F120D" w:rsidRDefault="00525A81" w:rsidP="00936D9E">
            <w:pPr>
              <w:jc w:val="center"/>
              <w:rPr>
                <w:rFonts w:asciiTheme="minorHAnsi" w:hAnsiTheme="minorHAnsi" w:cstheme="minorHAnsi"/>
                <w:sz w:val="20"/>
              </w:rPr>
            </w:pPr>
          </w:p>
        </w:tc>
      </w:tr>
      <w:tr w:rsidR="00525A81" w:rsidRPr="005F120D" w:rsidTr="000C7016">
        <w:trPr>
          <w:trHeight w:hRule="exact" w:val="336"/>
        </w:trPr>
        <w:tc>
          <w:tcPr>
            <w:cnfStyle w:val="000010000000"/>
            <w:tcW w:w="69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2011</w:t>
            </w:r>
          </w:p>
        </w:tc>
        <w:tc>
          <w:tcPr>
            <w:tcW w:w="1011" w:type="pct"/>
          </w:tcPr>
          <w:p w:rsidR="00525A81" w:rsidRPr="005F120D" w:rsidRDefault="00525A81" w:rsidP="00936D9E">
            <w:pPr>
              <w:jc w:val="center"/>
              <w:cnfStyle w:val="000000000000"/>
              <w:rPr>
                <w:rFonts w:asciiTheme="minorHAnsi" w:hAnsiTheme="minorHAnsi" w:cstheme="minorHAnsi"/>
                <w:sz w:val="20"/>
              </w:rPr>
            </w:pPr>
            <w:r w:rsidRPr="005F120D">
              <w:rPr>
                <w:rFonts w:asciiTheme="minorHAnsi" w:hAnsiTheme="minorHAnsi" w:cstheme="minorHAnsi"/>
                <w:sz w:val="20"/>
              </w:rPr>
              <w:t>51,248</w:t>
            </w:r>
          </w:p>
        </w:tc>
        <w:tc>
          <w:tcPr>
            <w:cnfStyle w:val="000010000000"/>
            <w:tcW w:w="103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39,712</w:t>
            </w:r>
          </w:p>
        </w:tc>
        <w:tc>
          <w:tcPr>
            <w:tcW w:w="985" w:type="pct"/>
          </w:tcPr>
          <w:p w:rsidR="00525A81" w:rsidRPr="005F120D" w:rsidRDefault="00525A81" w:rsidP="00936D9E">
            <w:pPr>
              <w:jc w:val="center"/>
              <w:cnfStyle w:val="000000000000"/>
              <w:rPr>
                <w:rFonts w:asciiTheme="minorHAnsi" w:hAnsiTheme="minorHAnsi" w:cstheme="minorHAnsi"/>
                <w:sz w:val="20"/>
              </w:rPr>
            </w:pPr>
            <w:r w:rsidRPr="005F120D">
              <w:rPr>
                <w:rFonts w:asciiTheme="minorHAnsi" w:hAnsiTheme="minorHAnsi" w:cstheme="minorHAnsi"/>
                <w:sz w:val="20"/>
              </w:rPr>
              <w:t>90,960</w:t>
            </w:r>
          </w:p>
        </w:tc>
        <w:tc>
          <w:tcPr>
            <w:cnfStyle w:val="000010000000"/>
            <w:tcW w:w="1280" w:type="pct"/>
            <w:vMerge/>
          </w:tcPr>
          <w:p w:rsidR="00525A81" w:rsidRPr="005F120D" w:rsidRDefault="00525A81" w:rsidP="00936D9E">
            <w:pPr>
              <w:jc w:val="center"/>
              <w:rPr>
                <w:rFonts w:asciiTheme="minorHAnsi" w:hAnsiTheme="minorHAnsi" w:cstheme="minorHAnsi"/>
                <w:sz w:val="20"/>
              </w:rPr>
            </w:pPr>
          </w:p>
        </w:tc>
      </w:tr>
      <w:tr w:rsidR="00525A81" w:rsidRPr="005F120D" w:rsidTr="000C7016">
        <w:trPr>
          <w:cnfStyle w:val="000000100000"/>
          <w:trHeight w:hRule="exact" w:val="275"/>
        </w:trPr>
        <w:tc>
          <w:tcPr>
            <w:cnfStyle w:val="000010000000"/>
            <w:tcW w:w="692" w:type="pct"/>
          </w:tcPr>
          <w:p w:rsidR="00525A81" w:rsidRPr="005F120D" w:rsidRDefault="00525A81" w:rsidP="00936D9E">
            <w:pPr>
              <w:jc w:val="center"/>
              <w:rPr>
                <w:rFonts w:asciiTheme="minorHAnsi" w:hAnsiTheme="minorHAnsi" w:cstheme="minorHAnsi"/>
                <w:bCs/>
                <w:sz w:val="20"/>
              </w:rPr>
            </w:pPr>
            <w:r w:rsidRPr="005F120D">
              <w:rPr>
                <w:rFonts w:asciiTheme="minorHAnsi" w:hAnsiTheme="minorHAnsi" w:cstheme="minorHAnsi"/>
                <w:bCs/>
                <w:sz w:val="20"/>
              </w:rPr>
              <w:t>2012</w:t>
            </w:r>
          </w:p>
        </w:tc>
        <w:tc>
          <w:tcPr>
            <w:tcW w:w="1011" w:type="pct"/>
          </w:tcPr>
          <w:p w:rsidR="00525A81" w:rsidRPr="005F120D" w:rsidRDefault="00525A81" w:rsidP="00936D9E">
            <w:pPr>
              <w:jc w:val="center"/>
              <w:cnfStyle w:val="000000100000"/>
              <w:rPr>
                <w:rFonts w:asciiTheme="minorHAnsi" w:hAnsiTheme="minorHAnsi" w:cstheme="minorHAnsi"/>
                <w:bCs/>
                <w:sz w:val="20"/>
              </w:rPr>
            </w:pPr>
            <w:r w:rsidRPr="005F120D">
              <w:rPr>
                <w:rFonts w:asciiTheme="minorHAnsi" w:hAnsiTheme="minorHAnsi" w:cstheme="minorHAnsi"/>
                <w:bCs/>
                <w:sz w:val="20"/>
              </w:rPr>
              <w:t>50,365</w:t>
            </w:r>
          </w:p>
        </w:tc>
        <w:tc>
          <w:tcPr>
            <w:cnfStyle w:val="000010000000"/>
            <w:tcW w:w="1032" w:type="pct"/>
          </w:tcPr>
          <w:p w:rsidR="00525A81" w:rsidRPr="005F120D" w:rsidRDefault="00525A81" w:rsidP="00936D9E">
            <w:pPr>
              <w:jc w:val="center"/>
              <w:rPr>
                <w:rFonts w:asciiTheme="minorHAnsi" w:hAnsiTheme="minorHAnsi" w:cstheme="minorHAnsi"/>
                <w:bCs/>
                <w:sz w:val="20"/>
              </w:rPr>
            </w:pPr>
            <w:r w:rsidRPr="005F120D">
              <w:rPr>
                <w:rFonts w:asciiTheme="minorHAnsi" w:hAnsiTheme="minorHAnsi" w:cstheme="minorHAnsi"/>
                <w:bCs/>
                <w:sz w:val="20"/>
              </w:rPr>
              <w:t>39,629</w:t>
            </w:r>
          </w:p>
        </w:tc>
        <w:tc>
          <w:tcPr>
            <w:tcW w:w="985" w:type="pct"/>
          </w:tcPr>
          <w:p w:rsidR="00525A81" w:rsidRPr="005F120D" w:rsidRDefault="00525A81" w:rsidP="00936D9E">
            <w:pPr>
              <w:jc w:val="center"/>
              <w:cnfStyle w:val="000000100000"/>
              <w:rPr>
                <w:rFonts w:asciiTheme="minorHAnsi" w:hAnsiTheme="minorHAnsi" w:cstheme="minorHAnsi"/>
                <w:bCs/>
                <w:sz w:val="20"/>
              </w:rPr>
            </w:pPr>
            <w:r w:rsidRPr="005F120D">
              <w:rPr>
                <w:rFonts w:asciiTheme="minorHAnsi" w:hAnsiTheme="minorHAnsi" w:cstheme="minorHAnsi"/>
                <w:bCs/>
                <w:sz w:val="20"/>
              </w:rPr>
              <w:t>89,994</w:t>
            </w:r>
          </w:p>
        </w:tc>
        <w:tc>
          <w:tcPr>
            <w:cnfStyle w:val="000010000000"/>
            <w:tcW w:w="1280" w:type="pct"/>
            <w:vMerge/>
          </w:tcPr>
          <w:p w:rsidR="00525A81" w:rsidRPr="005F120D" w:rsidRDefault="00525A81" w:rsidP="00936D9E">
            <w:pPr>
              <w:jc w:val="center"/>
              <w:rPr>
                <w:rFonts w:asciiTheme="minorHAnsi" w:hAnsiTheme="minorHAnsi" w:cstheme="minorHAnsi"/>
                <w:bCs/>
                <w:sz w:val="20"/>
              </w:rPr>
            </w:pPr>
          </w:p>
        </w:tc>
      </w:tr>
      <w:tr w:rsidR="00525A81" w:rsidRPr="005F120D" w:rsidTr="000C7016">
        <w:trPr>
          <w:trHeight w:hRule="exact" w:val="306"/>
        </w:trPr>
        <w:tc>
          <w:tcPr>
            <w:cnfStyle w:val="000010000000"/>
            <w:tcW w:w="692" w:type="pct"/>
          </w:tcPr>
          <w:p w:rsidR="00525A81" w:rsidRPr="005F120D" w:rsidRDefault="00525A81" w:rsidP="00936D9E">
            <w:pPr>
              <w:jc w:val="center"/>
              <w:rPr>
                <w:rFonts w:asciiTheme="minorHAnsi" w:hAnsiTheme="minorHAnsi" w:cstheme="minorHAnsi"/>
                <w:bCs/>
                <w:sz w:val="20"/>
              </w:rPr>
            </w:pPr>
            <w:r w:rsidRPr="005F120D">
              <w:rPr>
                <w:rFonts w:asciiTheme="minorHAnsi" w:hAnsiTheme="minorHAnsi" w:cstheme="minorHAnsi"/>
                <w:bCs/>
                <w:sz w:val="20"/>
              </w:rPr>
              <w:t>2013</w:t>
            </w:r>
          </w:p>
        </w:tc>
        <w:tc>
          <w:tcPr>
            <w:tcW w:w="1011" w:type="pct"/>
          </w:tcPr>
          <w:p w:rsidR="00525A81" w:rsidRPr="005F120D" w:rsidRDefault="00525A81" w:rsidP="00936D9E">
            <w:pPr>
              <w:jc w:val="center"/>
              <w:cnfStyle w:val="000000000000"/>
              <w:rPr>
                <w:rFonts w:asciiTheme="minorHAnsi" w:hAnsiTheme="minorHAnsi" w:cstheme="minorHAnsi"/>
                <w:sz w:val="20"/>
              </w:rPr>
            </w:pPr>
            <w:r w:rsidRPr="005F120D">
              <w:rPr>
                <w:rFonts w:asciiTheme="minorHAnsi" w:hAnsiTheme="minorHAnsi" w:cstheme="minorHAnsi"/>
                <w:sz w:val="20"/>
              </w:rPr>
              <w:t>45,858</w:t>
            </w:r>
          </w:p>
        </w:tc>
        <w:tc>
          <w:tcPr>
            <w:cnfStyle w:val="000010000000"/>
            <w:tcW w:w="1032" w:type="pct"/>
          </w:tcPr>
          <w:p w:rsidR="00525A81" w:rsidRPr="005F120D" w:rsidRDefault="00525A81" w:rsidP="00936D9E">
            <w:pPr>
              <w:jc w:val="center"/>
              <w:rPr>
                <w:rFonts w:asciiTheme="minorHAnsi" w:hAnsiTheme="minorHAnsi" w:cstheme="minorHAnsi"/>
                <w:sz w:val="20"/>
              </w:rPr>
            </w:pPr>
            <w:r w:rsidRPr="005F120D">
              <w:rPr>
                <w:rFonts w:asciiTheme="minorHAnsi" w:hAnsiTheme="minorHAnsi" w:cstheme="minorHAnsi"/>
                <w:sz w:val="20"/>
              </w:rPr>
              <w:t>36,850</w:t>
            </w:r>
          </w:p>
        </w:tc>
        <w:tc>
          <w:tcPr>
            <w:tcW w:w="985" w:type="pct"/>
          </w:tcPr>
          <w:p w:rsidR="00525A81" w:rsidRPr="005F120D" w:rsidRDefault="00525A81" w:rsidP="00936D9E">
            <w:pPr>
              <w:jc w:val="center"/>
              <w:cnfStyle w:val="000000000000"/>
              <w:rPr>
                <w:rFonts w:asciiTheme="minorHAnsi" w:hAnsiTheme="minorHAnsi" w:cstheme="minorHAnsi"/>
                <w:sz w:val="20"/>
              </w:rPr>
            </w:pPr>
            <w:r w:rsidRPr="005F120D">
              <w:rPr>
                <w:rFonts w:asciiTheme="minorHAnsi" w:hAnsiTheme="minorHAnsi" w:cstheme="minorHAnsi"/>
                <w:sz w:val="20"/>
              </w:rPr>
              <w:t>82,708</w:t>
            </w:r>
          </w:p>
        </w:tc>
        <w:tc>
          <w:tcPr>
            <w:cnfStyle w:val="000010000000"/>
            <w:tcW w:w="1280" w:type="pct"/>
            <w:vMerge/>
          </w:tcPr>
          <w:p w:rsidR="00525A81" w:rsidRPr="005F120D" w:rsidRDefault="00525A81" w:rsidP="00936D9E">
            <w:pPr>
              <w:jc w:val="center"/>
              <w:rPr>
                <w:rFonts w:asciiTheme="minorHAnsi" w:hAnsiTheme="minorHAnsi" w:cstheme="minorHAnsi"/>
                <w:sz w:val="20"/>
              </w:rPr>
            </w:pPr>
          </w:p>
        </w:tc>
      </w:tr>
      <w:tr w:rsidR="00D25E30" w:rsidRPr="005F120D" w:rsidTr="000C7016">
        <w:trPr>
          <w:cnfStyle w:val="000000100000"/>
          <w:trHeight w:hRule="exact" w:val="326"/>
        </w:trPr>
        <w:tc>
          <w:tcPr>
            <w:cnfStyle w:val="000010000000"/>
            <w:tcW w:w="692" w:type="pct"/>
          </w:tcPr>
          <w:p w:rsidR="00D25E30" w:rsidRPr="005F120D" w:rsidRDefault="00D25E30" w:rsidP="00936D9E">
            <w:pPr>
              <w:jc w:val="center"/>
              <w:rPr>
                <w:rFonts w:asciiTheme="minorHAnsi" w:hAnsiTheme="minorHAnsi" w:cstheme="minorHAnsi"/>
                <w:bCs/>
                <w:sz w:val="20"/>
              </w:rPr>
            </w:pPr>
            <w:r w:rsidRPr="005F120D">
              <w:rPr>
                <w:rFonts w:asciiTheme="minorHAnsi" w:hAnsiTheme="minorHAnsi" w:cstheme="minorHAnsi"/>
                <w:bCs/>
                <w:sz w:val="20"/>
              </w:rPr>
              <w:t>2014</w:t>
            </w:r>
          </w:p>
        </w:tc>
        <w:tc>
          <w:tcPr>
            <w:tcW w:w="1011" w:type="pct"/>
          </w:tcPr>
          <w:p w:rsidR="00D25E30" w:rsidRPr="005F120D" w:rsidRDefault="00D25E30" w:rsidP="00936D9E">
            <w:pPr>
              <w:jc w:val="center"/>
              <w:cnfStyle w:val="000000100000"/>
              <w:rPr>
                <w:rFonts w:asciiTheme="minorHAnsi" w:hAnsiTheme="minorHAnsi" w:cstheme="minorHAnsi"/>
                <w:sz w:val="20"/>
              </w:rPr>
            </w:pPr>
            <w:r w:rsidRPr="005F120D">
              <w:rPr>
                <w:rFonts w:asciiTheme="minorHAnsi" w:hAnsiTheme="minorHAnsi" w:cstheme="minorHAnsi"/>
                <w:sz w:val="20"/>
              </w:rPr>
              <w:t>42,523</w:t>
            </w:r>
          </w:p>
        </w:tc>
        <w:tc>
          <w:tcPr>
            <w:cnfStyle w:val="000010000000"/>
            <w:tcW w:w="1032" w:type="pct"/>
          </w:tcPr>
          <w:p w:rsidR="00D25E30" w:rsidRPr="005F120D" w:rsidRDefault="00D25E30" w:rsidP="00936D9E">
            <w:pPr>
              <w:jc w:val="center"/>
              <w:rPr>
                <w:rFonts w:asciiTheme="minorHAnsi" w:hAnsiTheme="minorHAnsi" w:cstheme="minorHAnsi"/>
                <w:sz w:val="20"/>
              </w:rPr>
            </w:pPr>
            <w:r w:rsidRPr="005F120D">
              <w:rPr>
                <w:rFonts w:asciiTheme="minorHAnsi" w:hAnsiTheme="minorHAnsi" w:cstheme="minorHAnsi"/>
                <w:sz w:val="20"/>
              </w:rPr>
              <w:t>33,999</w:t>
            </w:r>
          </w:p>
        </w:tc>
        <w:tc>
          <w:tcPr>
            <w:tcW w:w="985" w:type="pct"/>
          </w:tcPr>
          <w:p w:rsidR="00D25E30" w:rsidRPr="005F120D" w:rsidRDefault="00D25E30" w:rsidP="00936D9E">
            <w:pPr>
              <w:jc w:val="center"/>
              <w:cnfStyle w:val="000000100000"/>
              <w:rPr>
                <w:rFonts w:asciiTheme="minorHAnsi" w:hAnsiTheme="minorHAnsi" w:cstheme="minorHAnsi"/>
                <w:sz w:val="20"/>
              </w:rPr>
            </w:pPr>
            <w:r w:rsidRPr="005F120D">
              <w:rPr>
                <w:rFonts w:asciiTheme="minorHAnsi" w:hAnsiTheme="minorHAnsi" w:cstheme="minorHAnsi"/>
                <w:sz w:val="20"/>
              </w:rPr>
              <w:t>76,522</w:t>
            </w:r>
          </w:p>
        </w:tc>
        <w:tc>
          <w:tcPr>
            <w:cnfStyle w:val="000010000000"/>
            <w:tcW w:w="1280" w:type="pct"/>
          </w:tcPr>
          <w:p w:rsidR="00D25E30" w:rsidRPr="005F120D" w:rsidRDefault="00D25E30" w:rsidP="00936D9E">
            <w:pPr>
              <w:rPr>
                <w:rFonts w:asciiTheme="minorHAnsi" w:hAnsiTheme="minorHAnsi" w:cstheme="minorHAnsi"/>
                <w:sz w:val="20"/>
              </w:rPr>
            </w:pPr>
          </w:p>
        </w:tc>
      </w:tr>
      <w:tr w:rsidR="00490BC6" w:rsidRPr="005F120D" w:rsidTr="000C7016">
        <w:trPr>
          <w:trHeight w:hRule="exact" w:val="285"/>
        </w:trPr>
        <w:tc>
          <w:tcPr>
            <w:cnfStyle w:val="000010000000"/>
            <w:tcW w:w="692" w:type="pct"/>
          </w:tcPr>
          <w:p w:rsidR="00490BC6" w:rsidRPr="005F120D" w:rsidRDefault="00490BC6" w:rsidP="00936D9E">
            <w:pPr>
              <w:jc w:val="center"/>
              <w:rPr>
                <w:rFonts w:asciiTheme="minorHAnsi" w:hAnsiTheme="minorHAnsi" w:cstheme="minorHAnsi"/>
                <w:b/>
                <w:bCs/>
                <w:sz w:val="20"/>
              </w:rPr>
            </w:pPr>
            <w:r w:rsidRPr="005F120D">
              <w:rPr>
                <w:rFonts w:asciiTheme="minorHAnsi" w:hAnsiTheme="minorHAnsi" w:cstheme="minorHAnsi"/>
                <w:b/>
                <w:bCs/>
                <w:sz w:val="20"/>
              </w:rPr>
              <w:t>2015</w:t>
            </w:r>
          </w:p>
        </w:tc>
        <w:tc>
          <w:tcPr>
            <w:tcW w:w="1011" w:type="pct"/>
          </w:tcPr>
          <w:p w:rsidR="00490BC6" w:rsidRPr="005F120D" w:rsidRDefault="00C23C41" w:rsidP="00936D9E">
            <w:pPr>
              <w:jc w:val="center"/>
              <w:cnfStyle w:val="000000000000"/>
              <w:rPr>
                <w:rFonts w:asciiTheme="minorHAnsi" w:hAnsiTheme="minorHAnsi" w:cstheme="minorHAnsi"/>
                <w:b/>
                <w:sz w:val="20"/>
              </w:rPr>
            </w:pPr>
            <w:r w:rsidRPr="005F120D">
              <w:rPr>
                <w:rFonts w:asciiTheme="minorHAnsi" w:hAnsiTheme="minorHAnsi" w:cstheme="minorHAnsi"/>
                <w:sz w:val="20"/>
                <w:lang w:eastAsia="en-US"/>
              </w:rPr>
              <w:t>37,5</w:t>
            </w:r>
            <w:r w:rsidR="004A24DA" w:rsidRPr="005F120D">
              <w:rPr>
                <w:rFonts w:asciiTheme="minorHAnsi" w:hAnsiTheme="minorHAnsi" w:cstheme="minorHAnsi"/>
                <w:sz w:val="20"/>
                <w:lang w:eastAsia="en-US"/>
              </w:rPr>
              <w:t>35</w:t>
            </w:r>
          </w:p>
        </w:tc>
        <w:tc>
          <w:tcPr>
            <w:cnfStyle w:val="000010000000"/>
            <w:tcW w:w="1032" w:type="pct"/>
          </w:tcPr>
          <w:p w:rsidR="00490BC6" w:rsidRPr="005F120D" w:rsidRDefault="00C23C41" w:rsidP="00936D9E">
            <w:pPr>
              <w:jc w:val="center"/>
              <w:rPr>
                <w:rFonts w:asciiTheme="minorHAnsi" w:hAnsiTheme="minorHAnsi" w:cstheme="minorHAnsi"/>
                <w:b/>
                <w:sz w:val="20"/>
              </w:rPr>
            </w:pPr>
            <w:r w:rsidRPr="005F120D">
              <w:rPr>
                <w:rFonts w:asciiTheme="minorHAnsi" w:hAnsiTheme="minorHAnsi" w:cstheme="minorHAnsi"/>
                <w:sz w:val="20"/>
                <w:lang w:eastAsia="en-US"/>
              </w:rPr>
              <w:t>30,2</w:t>
            </w:r>
            <w:r w:rsidR="004A24DA" w:rsidRPr="005F120D">
              <w:rPr>
                <w:rFonts w:asciiTheme="minorHAnsi" w:hAnsiTheme="minorHAnsi" w:cstheme="minorHAnsi"/>
                <w:sz w:val="20"/>
                <w:lang w:eastAsia="en-US"/>
              </w:rPr>
              <w:t>58</w:t>
            </w:r>
          </w:p>
        </w:tc>
        <w:tc>
          <w:tcPr>
            <w:tcW w:w="985" w:type="pct"/>
          </w:tcPr>
          <w:p w:rsidR="00490BC6" w:rsidRPr="005F120D" w:rsidRDefault="00C23C41" w:rsidP="00936D9E">
            <w:pPr>
              <w:jc w:val="center"/>
              <w:cnfStyle w:val="000000000000"/>
              <w:rPr>
                <w:rFonts w:asciiTheme="minorHAnsi" w:hAnsiTheme="minorHAnsi" w:cstheme="minorHAnsi"/>
                <w:b/>
                <w:sz w:val="20"/>
              </w:rPr>
            </w:pPr>
            <w:r w:rsidRPr="005F120D">
              <w:rPr>
                <w:rFonts w:asciiTheme="minorHAnsi" w:hAnsiTheme="minorHAnsi" w:cstheme="minorHAnsi"/>
                <w:sz w:val="20"/>
                <w:lang w:eastAsia="en-US"/>
              </w:rPr>
              <w:t>67,</w:t>
            </w:r>
            <w:r w:rsidR="004A24DA" w:rsidRPr="005F120D">
              <w:rPr>
                <w:rFonts w:asciiTheme="minorHAnsi" w:hAnsiTheme="minorHAnsi" w:cstheme="minorHAnsi"/>
                <w:sz w:val="20"/>
                <w:lang w:eastAsia="en-US"/>
              </w:rPr>
              <w:t>793</w:t>
            </w:r>
          </w:p>
        </w:tc>
        <w:tc>
          <w:tcPr>
            <w:cnfStyle w:val="000010000000"/>
            <w:tcW w:w="1280" w:type="pct"/>
          </w:tcPr>
          <w:p w:rsidR="00490BC6" w:rsidRPr="005F120D" w:rsidRDefault="00490BC6" w:rsidP="00936D9E">
            <w:pPr>
              <w:rPr>
                <w:rFonts w:asciiTheme="minorHAnsi" w:hAnsiTheme="minorHAnsi" w:cstheme="minorHAnsi"/>
                <w:sz w:val="20"/>
              </w:rPr>
            </w:pPr>
          </w:p>
        </w:tc>
      </w:tr>
    </w:tbl>
    <w:p w:rsidR="00DF64DA" w:rsidRPr="005F120D" w:rsidRDefault="00CF5DD9" w:rsidP="00C437AA">
      <w:pPr>
        <w:pStyle w:val="Caption"/>
        <w:spacing w:line="276" w:lineRule="auto"/>
        <w:jc w:val="left"/>
        <w:rPr>
          <w:rFonts w:cstheme="minorHAnsi"/>
          <w:sz w:val="16"/>
          <w:szCs w:val="16"/>
        </w:rPr>
      </w:pPr>
      <w:bookmarkStart w:id="498" w:name="_Ref387489856"/>
      <w:bookmarkStart w:id="499" w:name="_Toc385414289"/>
      <w:bookmarkStart w:id="500" w:name="_Toc385419678"/>
      <w:bookmarkEnd w:id="491"/>
      <w:bookmarkEnd w:id="492"/>
      <w:r w:rsidRPr="005F120D">
        <w:rPr>
          <w:rFonts w:cstheme="minorHAnsi"/>
          <w:sz w:val="16"/>
          <w:szCs w:val="16"/>
        </w:rPr>
        <w:t>Source: APSC 2005-201</w:t>
      </w:r>
      <w:r w:rsidR="00490BC6" w:rsidRPr="005F120D">
        <w:rPr>
          <w:rFonts w:cstheme="minorHAnsi"/>
          <w:sz w:val="16"/>
          <w:szCs w:val="16"/>
        </w:rPr>
        <w:t>5</w:t>
      </w:r>
    </w:p>
    <w:p w:rsidR="00800979" w:rsidRPr="00E4262D" w:rsidRDefault="00992ABD" w:rsidP="00E4262D">
      <w:pPr>
        <w:pStyle w:val="Caption"/>
        <w:spacing w:line="276" w:lineRule="auto"/>
        <w:jc w:val="both"/>
        <w:rPr>
          <w:rFonts w:cstheme="minorHAnsi"/>
          <w:b w:val="0"/>
        </w:rPr>
      </w:pPr>
      <w:r w:rsidRPr="005F120D">
        <w:rPr>
          <w:rFonts w:cstheme="minorHAnsi"/>
          <w:b w:val="0"/>
        </w:rPr>
        <w:t>The following Figure 4.12 shows that the number of children with special needs (physically challenged) enrolled in DPE managed (GPS and NNPS) schools has been declining since 2012</w:t>
      </w:r>
      <w:r w:rsidR="00ED22A3" w:rsidRPr="00E4262D">
        <w:rPr>
          <w:rFonts w:cstheme="minorHAnsi"/>
          <w:b w:val="0"/>
        </w:rPr>
        <w:t>.</w:t>
      </w:r>
      <w:r w:rsidRPr="00E4262D">
        <w:rPr>
          <w:rFonts w:cstheme="minorHAnsi"/>
          <w:b w:val="0"/>
        </w:rPr>
        <w:t xml:space="preserve"> It is recommended that the DPE contact </w:t>
      </w:r>
      <w:r w:rsidR="00E4262D" w:rsidRPr="00E4262D">
        <w:rPr>
          <w:rFonts w:cstheme="minorHAnsi"/>
          <w:b w:val="0"/>
        </w:rPr>
        <w:t xml:space="preserve">with </w:t>
      </w:r>
      <w:r w:rsidRPr="00E4262D">
        <w:rPr>
          <w:rFonts w:cstheme="minorHAnsi"/>
          <w:b w:val="0"/>
        </w:rPr>
        <w:t>the MoSW to examine the cause(s) of this trend</w:t>
      </w:r>
      <w:r w:rsidR="00E4262D" w:rsidRPr="00E4262D">
        <w:rPr>
          <w:rFonts w:cstheme="minorHAnsi"/>
          <w:b w:val="0"/>
        </w:rPr>
        <w:t xml:space="preserve"> as they conducted the survey</w:t>
      </w:r>
      <w:r w:rsidR="00B4498E" w:rsidRPr="00E4262D">
        <w:rPr>
          <w:rFonts w:cstheme="minorHAnsi"/>
          <w:b w:val="0"/>
        </w:rPr>
        <w:t>.</w:t>
      </w:r>
    </w:p>
    <w:p w:rsidR="000054C2" w:rsidRPr="005F120D" w:rsidRDefault="00A75F12" w:rsidP="00C437AA">
      <w:pPr>
        <w:pStyle w:val="Caption"/>
        <w:spacing w:line="276" w:lineRule="auto"/>
        <w:rPr>
          <w:rFonts w:cstheme="minorHAnsi"/>
        </w:rPr>
      </w:pPr>
      <w:bookmarkStart w:id="501" w:name="_Toc462837454"/>
      <w:r w:rsidRPr="005F120D">
        <w:rPr>
          <w:rFonts w:cstheme="minorHAnsi"/>
        </w:rPr>
        <w:lastRenderedPageBreak/>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11</w:t>
      </w:r>
      <w:r w:rsidR="002E2ED5" w:rsidRPr="005F120D">
        <w:rPr>
          <w:rFonts w:cstheme="minorHAnsi"/>
        </w:rPr>
        <w:fldChar w:fldCharType="end"/>
      </w:r>
      <w:bookmarkEnd w:id="498"/>
      <w:r w:rsidR="00BE5160" w:rsidRPr="005F120D">
        <w:rPr>
          <w:rFonts w:cstheme="minorHAnsi"/>
        </w:rPr>
        <w:t xml:space="preserve">: Number of </w:t>
      </w:r>
      <w:r w:rsidR="007B521A" w:rsidRPr="005F120D">
        <w:rPr>
          <w:rFonts w:cstheme="minorHAnsi"/>
        </w:rPr>
        <w:t xml:space="preserve">Physically Challenged </w:t>
      </w:r>
      <w:r w:rsidR="00BE5160" w:rsidRPr="005F120D">
        <w:rPr>
          <w:rFonts w:cstheme="minorHAnsi"/>
        </w:rPr>
        <w:t xml:space="preserve">Children </w:t>
      </w:r>
      <w:r w:rsidR="007B521A" w:rsidRPr="005F120D">
        <w:rPr>
          <w:rFonts w:cstheme="minorHAnsi"/>
        </w:rPr>
        <w:t xml:space="preserve">Enrolled </w:t>
      </w:r>
      <w:r w:rsidR="00332BB3" w:rsidRPr="005F120D">
        <w:rPr>
          <w:rFonts w:cstheme="minorHAnsi"/>
        </w:rPr>
        <w:t>in GP</w:t>
      </w:r>
      <w:r w:rsidR="00BE5160" w:rsidRPr="005F120D">
        <w:rPr>
          <w:rFonts w:cstheme="minorHAnsi"/>
        </w:rPr>
        <w:t xml:space="preserve">S </w:t>
      </w:r>
      <w:r w:rsidR="007B521A" w:rsidRPr="005F120D">
        <w:rPr>
          <w:rFonts w:cstheme="minorHAnsi"/>
        </w:rPr>
        <w:t xml:space="preserve">and </w:t>
      </w:r>
      <w:r w:rsidR="003C42F2" w:rsidRPr="005F120D">
        <w:rPr>
          <w:rFonts w:cstheme="minorHAnsi"/>
        </w:rPr>
        <w:t>NNPS</w:t>
      </w:r>
      <w:r w:rsidR="00332BB3" w:rsidRPr="005F120D">
        <w:rPr>
          <w:rFonts w:cstheme="minorHAnsi"/>
        </w:rPr>
        <w:t>, 2005, 2010-201</w:t>
      </w:r>
      <w:bookmarkEnd w:id="499"/>
      <w:bookmarkEnd w:id="500"/>
      <w:r w:rsidR="004A24DA" w:rsidRPr="005F120D">
        <w:rPr>
          <w:rFonts w:cstheme="minorHAnsi"/>
        </w:rPr>
        <w:t>5</w:t>
      </w:r>
      <w:bookmarkEnd w:id="501"/>
    </w:p>
    <w:p w:rsidR="000054C2" w:rsidRPr="005F120D" w:rsidRDefault="00E2334F" w:rsidP="00C437AA">
      <w:pPr>
        <w:spacing w:after="0" w:line="276" w:lineRule="auto"/>
        <w:jc w:val="center"/>
        <w:rPr>
          <w:rFonts w:asciiTheme="minorHAnsi" w:hAnsiTheme="minorHAnsi" w:cstheme="minorHAnsi"/>
          <w:color w:val="FF0000"/>
        </w:rPr>
      </w:pPr>
      <w:r w:rsidRPr="005F120D">
        <w:rPr>
          <w:rFonts w:asciiTheme="minorHAnsi" w:hAnsiTheme="minorHAnsi" w:cstheme="minorHAnsi"/>
          <w:noProof/>
          <w:color w:val="FF0000"/>
          <w:lang w:eastAsia="en-US"/>
        </w:rPr>
        <w:drawing>
          <wp:inline distT="0" distB="0" distL="0" distR="0">
            <wp:extent cx="5676900" cy="2524125"/>
            <wp:effectExtent l="38100" t="19050" r="19050" b="0"/>
            <wp:docPr id="116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F5DD9" w:rsidRPr="005F120D" w:rsidRDefault="00FD5C50" w:rsidP="00C437AA">
      <w:pPr>
        <w:spacing w:line="276" w:lineRule="auto"/>
        <w:rPr>
          <w:rFonts w:asciiTheme="minorHAnsi" w:hAnsiTheme="minorHAnsi" w:cstheme="minorHAnsi"/>
          <w:b/>
          <w:sz w:val="16"/>
          <w:szCs w:val="16"/>
        </w:rPr>
      </w:pPr>
      <w:r w:rsidRPr="005F120D">
        <w:rPr>
          <w:rFonts w:asciiTheme="minorHAnsi" w:hAnsiTheme="minorHAnsi" w:cstheme="minorHAnsi"/>
          <w:b/>
          <w:sz w:val="16"/>
          <w:szCs w:val="16"/>
        </w:rPr>
        <w:t>Source: APSC, various years</w:t>
      </w:r>
    </w:p>
    <w:p w:rsidR="00992ABD" w:rsidRPr="005F120D" w:rsidRDefault="00992ABD" w:rsidP="00992ABD">
      <w:pPr>
        <w:spacing w:line="276" w:lineRule="auto"/>
        <w:jc w:val="both"/>
        <w:rPr>
          <w:rFonts w:asciiTheme="minorHAnsi" w:hAnsiTheme="minorHAnsi" w:cstheme="minorHAnsi"/>
        </w:rPr>
      </w:pPr>
      <w:bookmarkStart w:id="502" w:name="_Toc338839521"/>
      <w:bookmarkStart w:id="503" w:name="_Toc338856171"/>
      <w:r w:rsidRPr="005F120D">
        <w:rPr>
          <w:rFonts w:asciiTheme="minorHAnsi" w:hAnsiTheme="minorHAnsi" w:cstheme="minorHAnsi"/>
        </w:rPr>
        <w:t xml:space="preserve">Another source of information on children with special needs is the 2010 Child Education and Literacy Survey (CELS) draft report published in 2012. This survey found that 118,575 children aged 3 to 14 years with special needs were enrolled in various types of schools. This is not far from the APSC 2014 figure of 76,366 (only 6-10 year olds) in GPS and NNPS combined (based on six types of special need children). Standard definitions are difficult to apply in the field of disability. </w:t>
      </w:r>
    </w:p>
    <w:p w:rsidR="00992ABD" w:rsidRPr="005F120D" w:rsidRDefault="00992ABD" w:rsidP="00992ABD">
      <w:pPr>
        <w:spacing w:line="276" w:lineRule="auto"/>
        <w:jc w:val="both"/>
        <w:rPr>
          <w:rFonts w:asciiTheme="minorHAnsi" w:hAnsiTheme="minorHAnsi" w:cstheme="minorHAnsi"/>
        </w:rPr>
      </w:pPr>
      <w:r w:rsidRPr="005F120D">
        <w:rPr>
          <w:rFonts w:asciiTheme="minorHAnsi" w:hAnsiTheme="minorHAnsi" w:cstheme="minorHAnsi"/>
        </w:rPr>
        <w:t>The Child Education and Literacy survey (CELS) also estimated the proportion of children in the population with a disability and who were enrolled in school. It was found that 59.4% of children (boys: 58.4%; girls: 60.8%) were enrolled, out of total 197,159 children with special needs aged 3-14 years nationally. The enrolment rate of rural children with special needs (60.7%) was higher than that of urban children (54.3%). Among the seven divisions, Rajshahi had the highest proportion of children with special needs enrolled in school (63.4%) and Sylhet had the lowest (51.9%).</w:t>
      </w:r>
      <w:r w:rsidRPr="005F120D">
        <w:rPr>
          <w:rStyle w:val="FootnoteReference"/>
          <w:rFonts w:asciiTheme="minorHAnsi" w:eastAsia="MS Mincho" w:hAnsiTheme="minorHAnsi" w:cstheme="minorHAnsi"/>
        </w:rPr>
        <w:footnoteReference w:id="15"/>
      </w:r>
    </w:p>
    <w:p w:rsidR="000C7016" w:rsidRPr="005F120D" w:rsidRDefault="00992ABD" w:rsidP="00C437AA">
      <w:pPr>
        <w:spacing w:afterLines="100" w:line="276" w:lineRule="auto"/>
        <w:jc w:val="both"/>
        <w:rPr>
          <w:rFonts w:asciiTheme="minorHAnsi" w:hAnsiTheme="minorHAnsi" w:cstheme="minorHAnsi"/>
        </w:rPr>
      </w:pPr>
      <w:r w:rsidRPr="005F120D">
        <w:rPr>
          <w:rFonts w:asciiTheme="minorHAnsi" w:hAnsiTheme="minorHAnsi" w:cstheme="minorHAnsi"/>
        </w:rPr>
        <w:t>Such a large increase in enrolment over the period, 2005-2013, and the decreasing trends from 2013 to 2015, together with their participation in class along with normal children, is worthy of further investigation. This would help to understand the underlying factors for these increases and decreases as well to identify the children’s motivational level for learning (helped through the provisions of SLIP grants, such as the increased facilities of ramps, toilets, wheelchairs, hearing aids, spectacles etc.)</w:t>
      </w:r>
      <w:r w:rsidR="00110F1E" w:rsidRPr="005F120D">
        <w:rPr>
          <w:rFonts w:asciiTheme="minorHAnsi" w:hAnsiTheme="minorHAnsi" w:cstheme="minorHAnsi"/>
        </w:rPr>
        <w:t>.</w:t>
      </w:r>
    </w:p>
    <w:p w:rsidR="004A14B8" w:rsidRPr="005F120D" w:rsidRDefault="004A14B8" w:rsidP="00C437AA">
      <w:pPr>
        <w:spacing w:afterLines="100" w:line="276" w:lineRule="auto"/>
        <w:jc w:val="both"/>
        <w:rPr>
          <w:rFonts w:asciiTheme="minorHAnsi" w:hAnsiTheme="minorHAnsi" w:cstheme="minorHAnsi"/>
        </w:rPr>
      </w:pPr>
    </w:p>
    <w:p w:rsidR="004A14B8" w:rsidRPr="005F120D" w:rsidRDefault="004A14B8" w:rsidP="00C437AA">
      <w:pPr>
        <w:spacing w:afterLines="100" w:line="276" w:lineRule="auto"/>
        <w:jc w:val="both"/>
        <w:rPr>
          <w:rFonts w:asciiTheme="minorHAnsi" w:hAnsiTheme="minorHAnsi" w:cstheme="minorHAnsi"/>
        </w:rPr>
      </w:pPr>
    </w:p>
    <w:p w:rsidR="00332BB3" w:rsidRPr="005F120D" w:rsidRDefault="00332BB3" w:rsidP="00C437AA">
      <w:pPr>
        <w:pStyle w:val="Heading2"/>
        <w:spacing w:line="276" w:lineRule="auto"/>
        <w:rPr>
          <w:rFonts w:cstheme="minorHAnsi"/>
          <w:color w:val="006600"/>
        </w:rPr>
      </w:pPr>
      <w:bookmarkStart w:id="504" w:name="_Toc462837188"/>
      <w:r w:rsidRPr="005F120D">
        <w:rPr>
          <w:rFonts w:cstheme="minorHAnsi"/>
          <w:color w:val="006600"/>
        </w:rPr>
        <w:lastRenderedPageBreak/>
        <w:t>Water and Sanitation</w:t>
      </w:r>
      <w:bookmarkEnd w:id="504"/>
    </w:p>
    <w:p w:rsidR="00EF273F" w:rsidRPr="005F120D" w:rsidRDefault="00EF273F" w:rsidP="00EF273F">
      <w:pPr>
        <w:spacing w:after="0" w:line="276" w:lineRule="auto"/>
        <w:jc w:val="both"/>
        <w:rPr>
          <w:rFonts w:asciiTheme="minorHAnsi" w:hAnsiTheme="minorHAnsi" w:cstheme="minorHAnsi"/>
        </w:rPr>
      </w:pPr>
      <w:bookmarkStart w:id="505" w:name="_Toc338839525"/>
      <w:bookmarkStart w:id="506" w:name="_Toc338856175"/>
      <w:bookmarkStart w:id="507" w:name="_Toc385242111"/>
      <w:bookmarkStart w:id="508" w:name="_Toc385245731"/>
      <w:r w:rsidRPr="005F120D">
        <w:rPr>
          <w:rFonts w:asciiTheme="minorHAnsi" w:hAnsiTheme="minorHAnsi" w:cstheme="minorHAnsi"/>
        </w:rPr>
        <w:t>The following three PSQLs are clustered under the thematic area of water and sanitation:</w:t>
      </w:r>
    </w:p>
    <w:p w:rsidR="00EF273F" w:rsidRPr="005F120D" w:rsidRDefault="00EF273F" w:rsidP="00EF273F">
      <w:pPr>
        <w:numPr>
          <w:ilvl w:val="0"/>
          <w:numId w:val="103"/>
        </w:numPr>
        <w:spacing w:after="0" w:line="276" w:lineRule="auto"/>
        <w:contextualSpacing/>
        <w:rPr>
          <w:rFonts w:asciiTheme="minorHAnsi" w:hAnsiTheme="minorHAnsi" w:cstheme="minorHAnsi"/>
          <w:b/>
          <w:i/>
        </w:rPr>
      </w:pPr>
      <w:r w:rsidRPr="005F120D">
        <w:rPr>
          <w:rFonts w:asciiTheme="minorHAnsi" w:hAnsiTheme="minorHAnsi" w:cstheme="minorHAnsi"/>
          <w:b/>
          <w:i/>
        </w:rPr>
        <w:t>PSQL-7 Percentage of schools with at least one functioning toilet;</w:t>
      </w:r>
    </w:p>
    <w:p w:rsidR="00EF273F" w:rsidRPr="005F120D" w:rsidRDefault="00EF273F" w:rsidP="00EF273F">
      <w:pPr>
        <w:numPr>
          <w:ilvl w:val="0"/>
          <w:numId w:val="103"/>
        </w:numPr>
        <w:spacing w:after="0" w:line="276" w:lineRule="auto"/>
        <w:contextualSpacing/>
        <w:rPr>
          <w:rFonts w:asciiTheme="minorHAnsi" w:hAnsiTheme="minorHAnsi" w:cstheme="minorHAnsi"/>
          <w:b/>
          <w:i/>
        </w:rPr>
      </w:pPr>
      <w:r w:rsidRPr="005F120D">
        <w:rPr>
          <w:rFonts w:asciiTheme="minorHAnsi" w:hAnsiTheme="minorHAnsi" w:cstheme="minorHAnsi"/>
          <w:b/>
          <w:i/>
        </w:rPr>
        <w:t>PSQL-8 Percentage of schools with separate functioning toilets for girls; and</w:t>
      </w:r>
    </w:p>
    <w:p w:rsidR="00332BB3" w:rsidRPr="005F120D" w:rsidRDefault="00EF273F" w:rsidP="004E77B3">
      <w:pPr>
        <w:pStyle w:val="ListParagraph"/>
        <w:numPr>
          <w:ilvl w:val="0"/>
          <w:numId w:val="40"/>
        </w:numPr>
        <w:spacing w:after="0"/>
        <w:ind w:left="634"/>
        <w:jc w:val="both"/>
        <w:rPr>
          <w:rFonts w:asciiTheme="minorHAnsi" w:hAnsiTheme="minorHAnsi" w:cstheme="minorHAnsi"/>
          <w:b/>
          <w:i/>
        </w:rPr>
      </w:pPr>
      <w:r w:rsidRPr="005F120D">
        <w:rPr>
          <w:rFonts w:asciiTheme="minorHAnsi" w:hAnsiTheme="minorHAnsi" w:cstheme="minorHAnsi"/>
          <w:b/>
          <w:i/>
        </w:rPr>
        <w:t>PSQL-9 Percentage of schools with safe water sources: functioning tube wells and other sources</w:t>
      </w:r>
      <w:r w:rsidR="00B856B6" w:rsidRPr="005F120D">
        <w:rPr>
          <w:rFonts w:asciiTheme="minorHAnsi" w:hAnsiTheme="minorHAnsi" w:cstheme="minorHAnsi"/>
          <w:b/>
          <w:i/>
        </w:rPr>
        <w:t>.</w:t>
      </w:r>
    </w:p>
    <w:p w:rsidR="00332BB3" w:rsidRPr="005F120D" w:rsidRDefault="00332BB3" w:rsidP="004E77B3">
      <w:pPr>
        <w:pStyle w:val="Heading3"/>
      </w:pPr>
      <w:r w:rsidRPr="005F120D">
        <w:t>School toilets</w:t>
      </w:r>
      <w:bookmarkEnd w:id="505"/>
      <w:bookmarkEnd w:id="506"/>
      <w:bookmarkEnd w:id="507"/>
      <w:bookmarkEnd w:id="508"/>
    </w:p>
    <w:p w:rsidR="00EF273F" w:rsidRPr="005F120D" w:rsidRDefault="00EF273F" w:rsidP="00EF273F">
      <w:pPr>
        <w:pStyle w:val="BodyText1"/>
        <w:spacing w:after="0"/>
        <w:rPr>
          <w:rFonts w:asciiTheme="minorHAnsi" w:hAnsiTheme="minorHAnsi" w:cstheme="minorHAnsi"/>
          <w:b w:val="0"/>
        </w:rPr>
      </w:pPr>
      <w:bookmarkStart w:id="509" w:name="_Toc302835163"/>
      <w:bookmarkStart w:id="510" w:name="_Toc338839526"/>
      <w:bookmarkStart w:id="511" w:name="_Toc338856176"/>
      <w:bookmarkStart w:id="512" w:name="_Toc385242112"/>
      <w:bookmarkStart w:id="513" w:name="_Toc385245732"/>
      <w:r w:rsidRPr="005F120D">
        <w:rPr>
          <w:rFonts w:asciiTheme="minorHAnsi" w:hAnsiTheme="minorHAnsi" w:cstheme="minorHAnsi"/>
          <w:b w:val="0"/>
        </w:rPr>
        <w:t>There are two PEDP3 PSQLs standards on school toilets:</w:t>
      </w:r>
    </w:p>
    <w:p w:rsidR="00EF273F" w:rsidRPr="005F120D" w:rsidRDefault="00EF273F" w:rsidP="006623E7">
      <w:pPr>
        <w:numPr>
          <w:ilvl w:val="0"/>
          <w:numId w:val="103"/>
        </w:numPr>
        <w:spacing w:after="200"/>
        <w:contextualSpacing/>
        <w:jc w:val="both"/>
        <w:rPr>
          <w:rFonts w:asciiTheme="minorHAnsi" w:hAnsiTheme="minorHAnsi" w:cstheme="minorHAnsi"/>
        </w:rPr>
      </w:pPr>
      <w:r w:rsidRPr="005F120D">
        <w:rPr>
          <w:rFonts w:asciiTheme="minorHAnsi" w:hAnsiTheme="minorHAnsi" w:cstheme="minorHAnsi"/>
          <w:b/>
        </w:rPr>
        <w:t xml:space="preserve">PSQL-7 ‘Percentage of schools with at least one functioning toilet’: </w:t>
      </w:r>
      <w:r w:rsidRPr="005F120D">
        <w:rPr>
          <w:rFonts w:asciiTheme="minorHAnsi" w:hAnsiTheme="minorHAnsi" w:cstheme="minorHAnsi"/>
        </w:rPr>
        <w:t>About 90.6% of GPS and 82.7% of NNPS have at least one functioning toilet, which is below the PEDP3 baseline of 95% and 83.2% in 2014 for both GPS and NNPS.  Overall, around 12% of all types of primary educational institutes do not have at least one functioning toilet.  It is uncertain why this indicator has been on a downward trend since 2012.  Some possible reasons may be: (i) the rephrasing of this question in the APSC led to different school responses; (ii) lack of proper toilet maintenance; and (iii) introduction of the new wash block leading to the slow replacement of non-functioning toilets.</w:t>
      </w:r>
    </w:p>
    <w:p w:rsidR="00EF273F" w:rsidRPr="005F120D" w:rsidRDefault="00EF273F" w:rsidP="006623E7">
      <w:pPr>
        <w:numPr>
          <w:ilvl w:val="0"/>
          <w:numId w:val="40"/>
        </w:numPr>
        <w:spacing w:after="200"/>
        <w:contextualSpacing/>
        <w:jc w:val="both"/>
        <w:rPr>
          <w:rFonts w:asciiTheme="minorHAnsi" w:hAnsiTheme="minorHAnsi" w:cstheme="minorHAnsi"/>
        </w:rPr>
      </w:pPr>
      <w:r w:rsidRPr="005F120D">
        <w:rPr>
          <w:rFonts w:asciiTheme="minorHAnsi" w:hAnsiTheme="minorHAnsi" w:cstheme="minorHAnsi"/>
          <w:b/>
        </w:rPr>
        <w:t xml:space="preserve">PSQL-8 ‘Percentage of schools with separate functioning toilets for girls’: </w:t>
      </w:r>
      <w:r w:rsidRPr="005F120D">
        <w:rPr>
          <w:rFonts w:asciiTheme="minorHAnsi" w:hAnsiTheme="minorHAnsi" w:cstheme="minorHAnsi"/>
        </w:rPr>
        <w:t>The PEDP3 target was for at least 95% of GPS to have separate toilets for girls by the end of the Program (June 2017). In 2015, the proportion of GPS with separate toilets particularly for girls was 57.6% compared to 69.2% in 2014. and for NNPS the percentage was 45% compared to 58.4% in 2014 which was a major improvement from the PEDP3 2010 baseline of 37% in GPS and 20% in NNPS, but reduced from the previous year mainly for the WASH block. In 2015, WASH blocks were constructed instead of toilets, and were not included in the 2015 calculations due to APSC not collecting this information.</w:t>
      </w:r>
    </w:p>
    <w:p w:rsidR="00E8093E" w:rsidRPr="005F120D" w:rsidRDefault="00EF273F" w:rsidP="00EF273F">
      <w:pPr>
        <w:pStyle w:val="ListParagraph"/>
        <w:numPr>
          <w:ilvl w:val="0"/>
          <w:numId w:val="40"/>
        </w:numPr>
        <w:jc w:val="both"/>
        <w:rPr>
          <w:rFonts w:asciiTheme="minorHAnsi" w:hAnsiTheme="minorHAnsi" w:cstheme="minorHAnsi"/>
        </w:rPr>
      </w:pPr>
      <w:r w:rsidRPr="005F120D">
        <w:rPr>
          <w:rFonts w:asciiTheme="minorHAnsi" w:hAnsiTheme="minorHAnsi" w:cstheme="minorHAnsi"/>
          <w:b/>
        </w:rPr>
        <w:t>Accessibility for children with physical disabilities:</w:t>
      </w:r>
      <w:r w:rsidRPr="005F120D">
        <w:rPr>
          <w:rFonts w:asciiTheme="minorHAnsi" w:hAnsiTheme="minorHAnsi" w:cstheme="minorHAnsi"/>
        </w:rPr>
        <w:t xml:space="preserve"> All toilets should be accessible for children with physical disabilities. The APSC has not been consistent in its data collection, and it is unclear from year to year whether Head Teachers need to identify which of the existing toilets can also be accessed by disabled students. The APSC questionnaire should consider including specific questions on this issue</w:t>
      </w:r>
      <w:r w:rsidR="00AC3992" w:rsidRPr="005F120D">
        <w:rPr>
          <w:rFonts w:asciiTheme="minorHAnsi" w:hAnsiTheme="minorHAnsi" w:cstheme="minorHAnsi"/>
        </w:rPr>
        <w:t>.</w:t>
      </w:r>
    </w:p>
    <w:p w:rsidR="00332BB3" w:rsidRPr="005F120D" w:rsidRDefault="00332BB3" w:rsidP="004E77B3">
      <w:pPr>
        <w:pStyle w:val="Heading3"/>
      </w:pPr>
      <w:r w:rsidRPr="005F120D">
        <w:t>School water supply</w:t>
      </w:r>
      <w:bookmarkEnd w:id="509"/>
      <w:bookmarkEnd w:id="510"/>
      <w:bookmarkEnd w:id="511"/>
      <w:bookmarkEnd w:id="512"/>
      <w:bookmarkEnd w:id="513"/>
    </w:p>
    <w:p w:rsidR="006623E7" w:rsidRPr="005F120D" w:rsidRDefault="006623E7" w:rsidP="006623E7">
      <w:pPr>
        <w:spacing w:after="120"/>
        <w:jc w:val="both"/>
        <w:rPr>
          <w:rFonts w:asciiTheme="minorHAnsi" w:hAnsiTheme="minorHAnsi" w:cstheme="minorHAnsi"/>
        </w:rPr>
      </w:pPr>
      <w:r w:rsidRPr="005F120D">
        <w:rPr>
          <w:rFonts w:asciiTheme="minorHAnsi" w:hAnsiTheme="minorHAnsi" w:cstheme="minorHAnsi"/>
        </w:rPr>
        <w:t>Table 4.8 highlights the recent trends in the achievement of PSQL-9 indicator.  In 2010, 84% of GPS and 83% of NNPS reported positively on this indicator, compared with 75.6% of GPS and 69.5% of NNPS in 2015. The trend is declining and a possible explanation is the introduction of the new wash block, which led to a slow replacement of broken toilets. An overview of the water supply situation is presented in Table 4.9.</w:t>
      </w:r>
    </w:p>
    <w:p w:rsidR="00BE395D" w:rsidRPr="005F120D" w:rsidRDefault="006623E7" w:rsidP="006623E7">
      <w:pPr>
        <w:spacing w:after="120"/>
        <w:jc w:val="both"/>
        <w:rPr>
          <w:rFonts w:asciiTheme="minorHAnsi" w:eastAsia="Calibri" w:hAnsiTheme="minorHAnsi" w:cstheme="minorHAnsi"/>
          <w:color w:val="FF0000"/>
          <w:lang w:eastAsia="en-US"/>
        </w:rPr>
      </w:pPr>
      <w:r w:rsidRPr="005F120D">
        <w:rPr>
          <w:rFonts w:asciiTheme="minorHAnsi" w:eastAsia="Calibri" w:hAnsiTheme="minorHAnsi" w:cstheme="minorHAnsi"/>
          <w:lang w:eastAsia="en-US"/>
        </w:rPr>
        <w:t xml:space="preserve">The APSC has some concern about the reliability of data on water safety, especially regarding information on arsenic, provided by schools.  There appears to be a general lack of understanding on these water-related questions, evident by the low response rate from schools. Currently, school water arsenic testing is a part of the annual school health program (PEDP3 sub-component 2.2.2). After arsenic testing through this sub-component, the results should be given to the schools so that Head Teachers are able to answer arsenic related questions correctly in the APSC questionnaire. Unfortunately, arsenic testing has not been done at all due to many reasons including no fund allocation in the school health sub-component. Testing could be done if DPE were to request DPHE to test the </w:t>
      </w:r>
      <w:r w:rsidR="004E77B3" w:rsidRPr="005F120D">
        <w:rPr>
          <w:rFonts w:asciiTheme="minorHAnsi" w:eastAsia="Calibri" w:hAnsiTheme="minorHAnsi" w:cstheme="minorHAnsi"/>
          <w:lang w:eastAsia="en-US"/>
        </w:rPr>
        <w:t>tubewells</w:t>
      </w:r>
      <w:r w:rsidRPr="005F120D">
        <w:rPr>
          <w:rFonts w:asciiTheme="minorHAnsi" w:eastAsia="Calibri" w:hAnsiTheme="minorHAnsi" w:cstheme="minorHAnsi"/>
          <w:lang w:eastAsia="en-US"/>
        </w:rPr>
        <w:t xml:space="preserve"> in primary schools. DPHE is responsible for arsenic testing</w:t>
      </w:r>
      <w:r w:rsidR="00341600" w:rsidRPr="005F120D">
        <w:rPr>
          <w:rFonts w:asciiTheme="minorHAnsi" w:eastAsia="Calibri" w:hAnsiTheme="minorHAnsi" w:cstheme="minorHAnsi"/>
          <w:lang w:eastAsia="en-US"/>
        </w:rPr>
        <w:t>.</w:t>
      </w:r>
      <w:r w:rsidR="00BE395D" w:rsidRPr="005F120D">
        <w:rPr>
          <w:rFonts w:asciiTheme="minorHAnsi" w:hAnsiTheme="minorHAnsi" w:cstheme="minorHAnsi"/>
        </w:rPr>
        <w:br w:type="page"/>
      </w:r>
    </w:p>
    <w:p w:rsidR="00BE395D" w:rsidRPr="005F120D" w:rsidRDefault="00BE395D" w:rsidP="00C437AA">
      <w:pPr>
        <w:spacing w:line="276" w:lineRule="auto"/>
        <w:jc w:val="both"/>
        <w:rPr>
          <w:rFonts w:asciiTheme="minorHAnsi" w:hAnsiTheme="minorHAnsi" w:cstheme="minorHAnsi"/>
        </w:rPr>
        <w:sectPr w:rsidR="00BE395D" w:rsidRPr="005F120D" w:rsidSect="00EA356A">
          <w:type w:val="nextColumn"/>
          <w:pgSz w:w="11909" w:h="16834" w:code="9"/>
          <w:pgMar w:top="1440" w:right="1440" w:bottom="1440" w:left="1440" w:header="720" w:footer="720" w:gutter="0"/>
          <w:cols w:space="720"/>
          <w:docGrid w:linePitch="360"/>
        </w:sectPr>
      </w:pPr>
    </w:p>
    <w:p w:rsidR="00332BB3" w:rsidRPr="005F120D" w:rsidRDefault="00332BB3" w:rsidP="00936D9E">
      <w:pPr>
        <w:pStyle w:val="Caption"/>
        <w:keepNext/>
        <w:rPr>
          <w:rFonts w:cstheme="minorHAnsi"/>
        </w:rPr>
      </w:pPr>
      <w:bookmarkStart w:id="514" w:name="_Ref387577138"/>
      <w:bookmarkStart w:id="515" w:name="_Ref330761596"/>
      <w:bookmarkStart w:id="516" w:name="_Toc338839614"/>
      <w:bookmarkStart w:id="517" w:name="_Toc385242113"/>
      <w:bookmarkStart w:id="518" w:name="_Toc385414249"/>
      <w:bookmarkStart w:id="519" w:name="_Toc385419604"/>
      <w:bookmarkStart w:id="520" w:name="_Ref387577081"/>
      <w:bookmarkStart w:id="521" w:name="_Toc462837300"/>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9</w:t>
      </w:r>
      <w:r w:rsidR="002E2ED5" w:rsidRPr="005F120D">
        <w:rPr>
          <w:rFonts w:cstheme="minorHAnsi"/>
        </w:rPr>
        <w:fldChar w:fldCharType="end"/>
      </w:r>
      <w:bookmarkEnd w:id="514"/>
      <w:r w:rsidR="00BE5160" w:rsidRPr="005F120D">
        <w:rPr>
          <w:rFonts w:cstheme="minorHAnsi"/>
        </w:rPr>
        <w:t>:  Water S</w:t>
      </w:r>
      <w:r w:rsidRPr="005F120D">
        <w:rPr>
          <w:rFonts w:cstheme="minorHAnsi"/>
        </w:rPr>
        <w:t xml:space="preserve">upply (GPS and </w:t>
      </w:r>
      <w:r w:rsidR="003C42F2" w:rsidRPr="005F120D">
        <w:rPr>
          <w:rFonts w:cstheme="minorHAnsi"/>
        </w:rPr>
        <w:t>NNPS</w:t>
      </w:r>
      <w:r w:rsidR="005A7AFF" w:rsidRPr="005F120D">
        <w:rPr>
          <w:rFonts w:cstheme="minorHAnsi"/>
        </w:rPr>
        <w:t>)</w:t>
      </w:r>
      <w:r w:rsidRPr="005F120D">
        <w:rPr>
          <w:rFonts w:cstheme="minorHAnsi"/>
        </w:rPr>
        <w:t xml:space="preserve"> 201</w:t>
      </w:r>
      <w:bookmarkEnd w:id="515"/>
      <w:bookmarkEnd w:id="516"/>
      <w:bookmarkEnd w:id="517"/>
      <w:bookmarkEnd w:id="518"/>
      <w:bookmarkEnd w:id="519"/>
      <w:bookmarkEnd w:id="520"/>
      <w:r w:rsidR="003C002B" w:rsidRPr="005F120D">
        <w:rPr>
          <w:rFonts w:cstheme="minorHAnsi"/>
        </w:rPr>
        <w:t>0-1</w:t>
      </w:r>
      <w:r w:rsidR="00BE395D" w:rsidRPr="005F120D">
        <w:rPr>
          <w:rFonts w:cstheme="minorHAnsi"/>
        </w:rPr>
        <w:t>5</w:t>
      </w:r>
      <w:bookmarkEnd w:id="5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1526"/>
        <w:gridCol w:w="573"/>
        <w:gridCol w:w="672"/>
        <w:gridCol w:w="640"/>
        <w:gridCol w:w="575"/>
        <w:gridCol w:w="672"/>
        <w:gridCol w:w="643"/>
        <w:gridCol w:w="575"/>
        <w:gridCol w:w="672"/>
        <w:gridCol w:w="640"/>
        <w:gridCol w:w="572"/>
        <w:gridCol w:w="672"/>
        <w:gridCol w:w="640"/>
        <w:gridCol w:w="640"/>
        <w:gridCol w:w="672"/>
        <w:gridCol w:w="643"/>
        <w:gridCol w:w="643"/>
        <w:gridCol w:w="643"/>
        <w:gridCol w:w="635"/>
      </w:tblGrid>
      <w:tr w:rsidR="001E6486" w:rsidRPr="005F120D" w:rsidTr="00006DDA">
        <w:trPr>
          <w:trHeight w:val="163"/>
        </w:trPr>
        <w:tc>
          <w:tcPr>
            <w:tcW w:w="431" w:type="pct"/>
            <w:tcBorders>
              <w:top w:val="double" w:sz="4" w:space="0" w:color="5F497A" w:themeColor="accent4" w:themeShade="BF"/>
              <w:left w:val="double" w:sz="4" w:space="0" w:color="5F497A" w:themeColor="accent4" w:themeShade="BF"/>
              <w:bottom w:val="double" w:sz="4" w:space="0" w:color="5F497A" w:themeColor="accent4" w:themeShade="BF"/>
              <w:right w:val="nil"/>
            </w:tcBorders>
            <w:shd w:val="clear" w:color="auto" w:fill="C2D69B" w:themeFill="accent3" w:themeFillTint="99"/>
          </w:tcPr>
          <w:p w:rsidR="001E6486" w:rsidRPr="005F120D" w:rsidRDefault="001E6486" w:rsidP="004E77B3">
            <w:pPr>
              <w:pStyle w:val="Tabletext"/>
              <w:spacing w:before="0" w:after="0"/>
              <w:jc w:val="center"/>
              <w:rPr>
                <w:rFonts w:asciiTheme="minorHAnsi" w:hAnsiTheme="minorHAnsi" w:cstheme="minorHAnsi"/>
                <w:b/>
                <w:sz w:val="16"/>
                <w:szCs w:val="16"/>
              </w:rPr>
            </w:pPr>
          </w:p>
        </w:tc>
        <w:tc>
          <w:tcPr>
            <w:tcW w:w="538" w:type="pct"/>
            <w:tcBorders>
              <w:top w:val="double" w:sz="4" w:space="0" w:color="5F497A" w:themeColor="accent4" w:themeShade="BF"/>
              <w:left w:val="nil"/>
              <w:bottom w:val="double" w:sz="4" w:space="0" w:color="5F497A" w:themeColor="accent4" w:themeShade="BF"/>
              <w:right w:val="double" w:sz="4" w:space="0" w:color="5F497A" w:themeColor="accent4" w:themeShade="BF"/>
            </w:tcBorders>
            <w:shd w:val="clear" w:color="auto" w:fill="C2D69B" w:themeFill="accent3" w:themeFillTint="99"/>
          </w:tcPr>
          <w:p w:rsidR="001E6486" w:rsidRPr="005F120D" w:rsidRDefault="001E6486" w:rsidP="004E77B3">
            <w:pPr>
              <w:pStyle w:val="Tabletext"/>
              <w:spacing w:before="0" w:after="0"/>
              <w:jc w:val="center"/>
              <w:rPr>
                <w:rFonts w:asciiTheme="minorHAnsi" w:hAnsiTheme="minorHAnsi" w:cstheme="minorHAnsi"/>
                <w:b/>
                <w:sz w:val="16"/>
                <w:szCs w:val="16"/>
              </w:rPr>
            </w:pPr>
          </w:p>
        </w:tc>
        <w:tc>
          <w:tcPr>
            <w:tcW w:w="202" w:type="pct"/>
            <w:tcBorders>
              <w:top w:val="double" w:sz="4" w:space="0" w:color="5F497A" w:themeColor="accent4" w:themeShade="BF"/>
              <w:left w:val="double" w:sz="4" w:space="0" w:color="5F497A" w:themeColor="accent4" w:themeShade="BF"/>
              <w:bottom w:val="double" w:sz="4" w:space="0" w:color="5F497A" w:themeColor="accent4" w:themeShade="BF"/>
              <w:right w:val="nil"/>
            </w:tcBorders>
            <w:shd w:val="clear" w:color="auto" w:fill="C2D69B" w:themeFill="accent3" w:themeFillTint="99"/>
          </w:tcPr>
          <w:p w:rsidR="001E6486" w:rsidRPr="005F120D" w:rsidRDefault="001E6486" w:rsidP="004E77B3">
            <w:pPr>
              <w:pStyle w:val="Tabletext"/>
              <w:spacing w:before="0" w:after="0"/>
              <w:jc w:val="center"/>
              <w:rPr>
                <w:rFonts w:asciiTheme="minorHAnsi" w:hAnsiTheme="minorHAnsi" w:cstheme="minorHAnsi"/>
                <w:b/>
                <w:sz w:val="16"/>
                <w:szCs w:val="16"/>
              </w:rPr>
            </w:pPr>
          </w:p>
        </w:tc>
        <w:tc>
          <w:tcPr>
            <w:tcW w:w="463" w:type="pct"/>
            <w:gridSpan w:val="2"/>
            <w:tcBorders>
              <w:top w:val="double" w:sz="4" w:space="0" w:color="5F497A" w:themeColor="accent4" w:themeShade="BF"/>
              <w:left w:val="nil"/>
              <w:bottom w:val="double" w:sz="4" w:space="0" w:color="5F497A" w:themeColor="accent4" w:themeShade="BF"/>
              <w:right w:val="double" w:sz="4" w:space="0" w:color="5F497A" w:themeColor="accent4" w:themeShade="BF"/>
            </w:tcBorders>
            <w:shd w:val="clear" w:color="auto" w:fill="C2D69B" w:themeFill="accent3" w:themeFillTint="99"/>
          </w:tcPr>
          <w:p w:rsidR="001E6486" w:rsidRPr="005F120D" w:rsidRDefault="001E6486" w:rsidP="004E77B3">
            <w:pPr>
              <w:pStyle w:val="Tabletext"/>
              <w:spacing w:before="0" w:after="0"/>
              <w:jc w:val="center"/>
              <w:rPr>
                <w:rFonts w:asciiTheme="minorHAnsi" w:hAnsiTheme="minorHAnsi" w:cstheme="minorHAnsi"/>
                <w:b/>
                <w:sz w:val="16"/>
                <w:szCs w:val="16"/>
              </w:rPr>
            </w:pPr>
            <w:r w:rsidRPr="005F120D">
              <w:rPr>
                <w:rFonts w:asciiTheme="minorHAnsi" w:hAnsiTheme="minorHAnsi" w:cstheme="minorHAnsi"/>
                <w:b/>
                <w:sz w:val="16"/>
                <w:szCs w:val="16"/>
              </w:rPr>
              <w:t>2010</w:t>
            </w:r>
          </w:p>
        </w:tc>
        <w:tc>
          <w:tcPr>
            <w:tcW w:w="667" w:type="pct"/>
            <w:gridSpan w:val="3"/>
            <w:tc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tcBorders>
            <w:shd w:val="clear" w:color="auto" w:fill="C2D69B" w:themeFill="accent3" w:themeFillTint="99"/>
          </w:tcPr>
          <w:p w:rsidR="001E6486" w:rsidRPr="005F120D" w:rsidRDefault="001E6486" w:rsidP="004E77B3">
            <w:pPr>
              <w:pStyle w:val="Tabletext"/>
              <w:spacing w:before="0" w:after="0"/>
              <w:jc w:val="center"/>
              <w:rPr>
                <w:rFonts w:asciiTheme="minorHAnsi" w:hAnsiTheme="minorHAnsi" w:cstheme="minorHAnsi"/>
                <w:b/>
                <w:sz w:val="16"/>
                <w:szCs w:val="16"/>
              </w:rPr>
            </w:pPr>
            <w:r w:rsidRPr="005F120D">
              <w:rPr>
                <w:rFonts w:asciiTheme="minorHAnsi" w:hAnsiTheme="minorHAnsi" w:cstheme="minorHAnsi"/>
                <w:b/>
                <w:sz w:val="16"/>
                <w:szCs w:val="16"/>
              </w:rPr>
              <w:t>2011</w:t>
            </w:r>
          </w:p>
        </w:tc>
        <w:tc>
          <w:tcPr>
            <w:tcW w:w="666" w:type="pct"/>
            <w:gridSpan w:val="3"/>
            <w:tc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tcBorders>
            <w:shd w:val="clear" w:color="auto" w:fill="C2D69B" w:themeFill="accent3" w:themeFillTint="99"/>
          </w:tcPr>
          <w:p w:rsidR="001E6486" w:rsidRPr="005F120D" w:rsidRDefault="001E6486" w:rsidP="004E77B3">
            <w:pPr>
              <w:pStyle w:val="Tabletext"/>
              <w:spacing w:before="0" w:after="0"/>
              <w:jc w:val="center"/>
              <w:rPr>
                <w:rFonts w:asciiTheme="minorHAnsi" w:hAnsiTheme="minorHAnsi" w:cstheme="minorHAnsi"/>
                <w:b/>
                <w:sz w:val="16"/>
                <w:szCs w:val="16"/>
              </w:rPr>
            </w:pPr>
            <w:r w:rsidRPr="005F120D">
              <w:rPr>
                <w:rFonts w:asciiTheme="minorHAnsi" w:hAnsiTheme="minorHAnsi" w:cstheme="minorHAnsi"/>
                <w:b/>
                <w:sz w:val="16"/>
                <w:szCs w:val="16"/>
              </w:rPr>
              <w:t>2012</w:t>
            </w:r>
          </w:p>
        </w:tc>
        <w:tc>
          <w:tcPr>
            <w:tcW w:w="665" w:type="pct"/>
            <w:gridSpan w:val="3"/>
            <w:tc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tcBorders>
            <w:shd w:val="clear" w:color="auto" w:fill="C2D69B" w:themeFill="accent3" w:themeFillTint="99"/>
          </w:tcPr>
          <w:p w:rsidR="001E6486" w:rsidRPr="005F120D" w:rsidRDefault="001E6486" w:rsidP="004E77B3">
            <w:pPr>
              <w:pStyle w:val="Tabletext"/>
              <w:spacing w:before="0" w:after="0"/>
              <w:jc w:val="center"/>
              <w:rPr>
                <w:rFonts w:asciiTheme="minorHAnsi" w:hAnsiTheme="minorHAnsi" w:cstheme="minorHAnsi"/>
                <w:b/>
                <w:sz w:val="16"/>
                <w:szCs w:val="16"/>
              </w:rPr>
            </w:pPr>
            <w:r w:rsidRPr="005F120D">
              <w:rPr>
                <w:rFonts w:asciiTheme="minorHAnsi" w:hAnsiTheme="minorHAnsi" w:cstheme="minorHAnsi"/>
                <w:b/>
                <w:sz w:val="16"/>
                <w:szCs w:val="16"/>
              </w:rPr>
              <w:t>2013</w:t>
            </w:r>
          </w:p>
        </w:tc>
        <w:tc>
          <w:tcPr>
            <w:tcW w:w="690" w:type="pct"/>
            <w:gridSpan w:val="3"/>
            <w:tc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tcBorders>
            <w:shd w:val="clear" w:color="auto" w:fill="C2D69B" w:themeFill="accent3" w:themeFillTint="99"/>
          </w:tcPr>
          <w:p w:rsidR="001E6486" w:rsidRPr="005F120D" w:rsidRDefault="001E6486" w:rsidP="004E77B3">
            <w:pPr>
              <w:pStyle w:val="Tabletext"/>
              <w:spacing w:before="0" w:after="0"/>
              <w:jc w:val="center"/>
              <w:rPr>
                <w:rFonts w:asciiTheme="minorHAnsi" w:hAnsiTheme="minorHAnsi" w:cstheme="minorHAnsi"/>
                <w:b/>
                <w:sz w:val="16"/>
                <w:szCs w:val="16"/>
              </w:rPr>
            </w:pPr>
            <w:r w:rsidRPr="005F120D">
              <w:rPr>
                <w:rFonts w:asciiTheme="minorHAnsi" w:hAnsiTheme="minorHAnsi" w:cstheme="minorHAnsi"/>
                <w:b/>
                <w:sz w:val="16"/>
                <w:szCs w:val="16"/>
              </w:rPr>
              <w:t>2014</w:t>
            </w:r>
          </w:p>
        </w:tc>
        <w:tc>
          <w:tcPr>
            <w:tcW w:w="678" w:type="pct"/>
            <w:gridSpan w:val="3"/>
            <w:tc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tcBorders>
            <w:shd w:val="clear" w:color="auto" w:fill="C2D69B" w:themeFill="accent3" w:themeFillTint="99"/>
          </w:tcPr>
          <w:p w:rsidR="001E6486" w:rsidRPr="005F120D" w:rsidRDefault="001E6486" w:rsidP="004E77B3">
            <w:pPr>
              <w:pStyle w:val="Tabletext"/>
              <w:spacing w:before="0" w:after="0"/>
              <w:jc w:val="center"/>
              <w:rPr>
                <w:rFonts w:asciiTheme="minorHAnsi" w:hAnsiTheme="minorHAnsi" w:cstheme="minorHAnsi"/>
                <w:b/>
                <w:color w:val="006600"/>
                <w:sz w:val="16"/>
                <w:szCs w:val="16"/>
              </w:rPr>
            </w:pPr>
            <w:r w:rsidRPr="005F120D">
              <w:rPr>
                <w:rFonts w:asciiTheme="minorHAnsi" w:hAnsiTheme="minorHAnsi" w:cstheme="minorHAnsi"/>
                <w:b/>
                <w:color w:val="006600"/>
                <w:sz w:val="16"/>
                <w:szCs w:val="16"/>
              </w:rPr>
              <w:t>2015</w:t>
            </w:r>
          </w:p>
        </w:tc>
      </w:tr>
      <w:tr w:rsidR="00006DDA" w:rsidRPr="005F120D" w:rsidTr="00006DDA">
        <w:trPr>
          <w:trHeight w:val="195"/>
        </w:trPr>
        <w:tc>
          <w:tcPr>
            <w:tcW w:w="968" w:type="pct"/>
            <w:gridSpan w:val="2"/>
            <w:tcBorders>
              <w:top w:val="double" w:sz="4" w:space="0" w:color="5F497A" w:themeColor="accent4" w:themeShade="BF"/>
              <w:left w:val="nil"/>
              <w:bottom w:val="nil"/>
              <w:right w:val="single" w:sz="4" w:space="0" w:color="auto"/>
            </w:tcBorders>
          </w:tcPr>
          <w:p w:rsidR="001E6486" w:rsidRPr="005F120D" w:rsidRDefault="001E6486" w:rsidP="004E77B3">
            <w:pPr>
              <w:pStyle w:val="Tabletext"/>
              <w:spacing w:before="0" w:after="0"/>
              <w:rPr>
                <w:rFonts w:asciiTheme="minorHAnsi" w:hAnsiTheme="minorHAnsi" w:cstheme="minorHAnsi"/>
                <w:sz w:val="16"/>
                <w:szCs w:val="16"/>
              </w:rPr>
            </w:pPr>
            <w:r w:rsidRPr="005F120D">
              <w:rPr>
                <w:rFonts w:asciiTheme="minorHAnsi" w:hAnsiTheme="minorHAnsi" w:cstheme="minorHAnsi"/>
                <w:sz w:val="16"/>
                <w:szCs w:val="16"/>
              </w:rPr>
              <w:t>Percentage of schools:</w:t>
            </w:r>
          </w:p>
        </w:tc>
        <w:tc>
          <w:tcPr>
            <w:tcW w:w="202" w:type="pct"/>
            <w:tcBorders>
              <w:top w:val="double" w:sz="4" w:space="0" w:color="5F497A" w:themeColor="accent4" w:themeShade="BF"/>
              <w:left w:val="single" w:sz="4" w:space="0" w:color="auto"/>
              <w:bottom w:val="single" w:sz="4" w:space="0" w:color="auto"/>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GPS</w:t>
            </w:r>
          </w:p>
        </w:tc>
        <w:tc>
          <w:tcPr>
            <w:tcW w:w="237" w:type="pct"/>
            <w:tcBorders>
              <w:top w:val="double" w:sz="4" w:space="0" w:color="5F497A" w:themeColor="accent4" w:themeShade="BF"/>
              <w:bottom w:val="single" w:sz="4" w:space="0" w:color="auto"/>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NNPS</w:t>
            </w:r>
          </w:p>
        </w:tc>
        <w:tc>
          <w:tcPr>
            <w:tcW w:w="226" w:type="pct"/>
            <w:tcBorders>
              <w:top w:val="double" w:sz="4" w:space="0" w:color="5F497A" w:themeColor="accent4" w:themeShade="BF"/>
              <w:bottom w:val="nil"/>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Total</w:t>
            </w:r>
          </w:p>
        </w:tc>
        <w:tc>
          <w:tcPr>
            <w:tcW w:w="203"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GPS</w:t>
            </w:r>
          </w:p>
        </w:tc>
        <w:tc>
          <w:tcPr>
            <w:tcW w:w="237"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NNPS</w:t>
            </w:r>
          </w:p>
        </w:tc>
        <w:tc>
          <w:tcPr>
            <w:tcW w:w="227"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Total</w:t>
            </w:r>
          </w:p>
        </w:tc>
        <w:tc>
          <w:tcPr>
            <w:tcW w:w="203"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GPS</w:t>
            </w:r>
          </w:p>
        </w:tc>
        <w:tc>
          <w:tcPr>
            <w:tcW w:w="237"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NNPS</w:t>
            </w:r>
          </w:p>
        </w:tc>
        <w:tc>
          <w:tcPr>
            <w:tcW w:w="226"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Total</w:t>
            </w:r>
          </w:p>
        </w:tc>
        <w:tc>
          <w:tcPr>
            <w:tcW w:w="202"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GPS</w:t>
            </w:r>
          </w:p>
        </w:tc>
        <w:tc>
          <w:tcPr>
            <w:tcW w:w="237"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NNPS</w:t>
            </w:r>
          </w:p>
        </w:tc>
        <w:tc>
          <w:tcPr>
            <w:tcW w:w="226"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Total</w:t>
            </w:r>
          </w:p>
        </w:tc>
        <w:tc>
          <w:tcPr>
            <w:tcW w:w="226"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GPS</w:t>
            </w:r>
          </w:p>
        </w:tc>
        <w:tc>
          <w:tcPr>
            <w:tcW w:w="237"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NNPS</w:t>
            </w:r>
          </w:p>
        </w:tc>
        <w:tc>
          <w:tcPr>
            <w:tcW w:w="227"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sz w:val="14"/>
                <w:szCs w:val="14"/>
              </w:rPr>
            </w:pPr>
            <w:r w:rsidRPr="005F120D">
              <w:rPr>
                <w:rFonts w:asciiTheme="minorHAnsi" w:hAnsiTheme="minorHAnsi" w:cstheme="minorHAnsi"/>
                <w:sz w:val="14"/>
                <w:szCs w:val="14"/>
              </w:rPr>
              <w:t>Total</w:t>
            </w:r>
          </w:p>
        </w:tc>
        <w:tc>
          <w:tcPr>
            <w:tcW w:w="227"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color w:val="006600"/>
                <w:sz w:val="14"/>
                <w:szCs w:val="14"/>
              </w:rPr>
            </w:pPr>
            <w:r w:rsidRPr="005F120D">
              <w:rPr>
                <w:rFonts w:asciiTheme="minorHAnsi" w:hAnsiTheme="minorHAnsi" w:cstheme="minorHAnsi"/>
                <w:color w:val="006600"/>
                <w:sz w:val="14"/>
                <w:szCs w:val="14"/>
              </w:rPr>
              <w:t>GPS</w:t>
            </w:r>
          </w:p>
        </w:tc>
        <w:tc>
          <w:tcPr>
            <w:tcW w:w="227"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color w:val="006600"/>
                <w:sz w:val="14"/>
                <w:szCs w:val="14"/>
              </w:rPr>
            </w:pPr>
            <w:r w:rsidRPr="005F120D">
              <w:rPr>
                <w:rFonts w:asciiTheme="minorHAnsi" w:hAnsiTheme="minorHAnsi" w:cstheme="minorHAnsi"/>
                <w:color w:val="006600"/>
                <w:sz w:val="14"/>
                <w:szCs w:val="14"/>
              </w:rPr>
              <w:t>NNPS</w:t>
            </w:r>
          </w:p>
        </w:tc>
        <w:tc>
          <w:tcPr>
            <w:tcW w:w="224" w:type="pct"/>
            <w:tcBorders>
              <w:top w:val="double" w:sz="4" w:space="0" w:color="5F497A" w:themeColor="accent4" w:themeShade="BF"/>
              <w:bottom w:val="single" w:sz="4" w:space="0" w:color="auto"/>
              <w:right w:val="nil"/>
            </w:tcBorders>
            <w:shd w:val="clear" w:color="auto" w:fill="D6E3BC" w:themeFill="accent3" w:themeFillTint="66"/>
          </w:tcPr>
          <w:p w:rsidR="001E6486" w:rsidRPr="005F120D" w:rsidRDefault="001E6486" w:rsidP="004E77B3">
            <w:pPr>
              <w:pStyle w:val="Tabletext"/>
              <w:spacing w:before="0" w:after="0"/>
              <w:jc w:val="center"/>
              <w:rPr>
                <w:rFonts w:asciiTheme="minorHAnsi" w:hAnsiTheme="minorHAnsi" w:cstheme="minorHAnsi"/>
                <w:color w:val="006600"/>
                <w:sz w:val="14"/>
                <w:szCs w:val="14"/>
              </w:rPr>
            </w:pPr>
            <w:r w:rsidRPr="005F120D">
              <w:rPr>
                <w:rFonts w:asciiTheme="minorHAnsi" w:hAnsiTheme="minorHAnsi" w:cstheme="minorHAnsi"/>
                <w:color w:val="006600"/>
                <w:sz w:val="14"/>
                <w:szCs w:val="14"/>
              </w:rPr>
              <w:t>Total</w:t>
            </w:r>
          </w:p>
        </w:tc>
      </w:tr>
      <w:tr w:rsidR="00006DDA" w:rsidRPr="005F120D" w:rsidTr="00006DDA">
        <w:trPr>
          <w:trHeight w:hRule="exact" w:val="289"/>
        </w:trPr>
        <w:tc>
          <w:tcPr>
            <w:tcW w:w="968" w:type="pct"/>
            <w:gridSpan w:val="2"/>
            <w:tcBorders>
              <w:top w:val="nil"/>
              <w:left w:val="nil"/>
              <w:bottom w:val="double" w:sz="4" w:space="0" w:color="5F497A" w:themeColor="accent4" w:themeShade="BF"/>
              <w:right w:val="nil"/>
            </w:tcBorders>
          </w:tcPr>
          <w:p w:rsidR="00BA5AD5" w:rsidRPr="005F120D" w:rsidRDefault="00BA5AD5" w:rsidP="004E77B3">
            <w:pPr>
              <w:pStyle w:val="Tabletext"/>
              <w:spacing w:before="0" w:after="0"/>
              <w:rPr>
                <w:rFonts w:asciiTheme="minorHAnsi" w:hAnsiTheme="minorHAnsi" w:cstheme="minorHAnsi"/>
                <w:sz w:val="16"/>
                <w:szCs w:val="16"/>
              </w:rPr>
            </w:pPr>
            <w:r w:rsidRPr="005F120D">
              <w:rPr>
                <w:rFonts w:asciiTheme="minorHAnsi" w:hAnsiTheme="minorHAnsi" w:cstheme="minorHAnsi"/>
                <w:sz w:val="16"/>
                <w:szCs w:val="16"/>
              </w:rPr>
              <w:t>(1) With water</w:t>
            </w:r>
          </w:p>
        </w:tc>
        <w:tc>
          <w:tcPr>
            <w:tcW w:w="202" w:type="pct"/>
            <w:tcBorders>
              <w:top w:val="single" w:sz="4" w:space="0" w:color="auto"/>
              <w:bottom w:val="double" w:sz="4" w:space="0" w:color="5F497A" w:themeColor="accent4" w:themeShade="BF"/>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87</w:t>
            </w:r>
          </w:p>
        </w:tc>
        <w:tc>
          <w:tcPr>
            <w:tcW w:w="237" w:type="pct"/>
            <w:tcBorders>
              <w:top w:val="single" w:sz="4" w:space="0" w:color="auto"/>
              <w:bottom w:val="double" w:sz="4" w:space="0" w:color="5F497A" w:themeColor="accent4" w:themeShade="BF"/>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78</w:t>
            </w:r>
          </w:p>
        </w:tc>
        <w:tc>
          <w:tcPr>
            <w:tcW w:w="226" w:type="pct"/>
            <w:tcBorders>
              <w:bottom w:val="double" w:sz="4" w:space="0" w:color="5F497A" w:themeColor="accent4" w:themeShade="BF"/>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84</w:t>
            </w:r>
          </w:p>
        </w:tc>
        <w:tc>
          <w:tcPr>
            <w:tcW w:w="203"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88</w:t>
            </w:r>
          </w:p>
        </w:tc>
        <w:tc>
          <w:tcPr>
            <w:tcW w:w="237"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82</w:t>
            </w:r>
          </w:p>
        </w:tc>
        <w:tc>
          <w:tcPr>
            <w:tcW w:w="227"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86</w:t>
            </w:r>
          </w:p>
        </w:tc>
        <w:tc>
          <w:tcPr>
            <w:tcW w:w="203"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86</w:t>
            </w:r>
          </w:p>
        </w:tc>
        <w:tc>
          <w:tcPr>
            <w:tcW w:w="237"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85</w:t>
            </w:r>
          </w:p>
        </w:tc>
        <w:tc>
          <w:tcPr>
            <w:tcW w:w="226"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85</w:t>
            </w:r>
          </w:p>
        </w:tc>
        <w:tc>
          <w:tcPr>
            <w:tcW w:w="202"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78</w:t>
            </w:r>
          </w:p>
        </w:tc>
        <w:tc>
          <w:tcPr>
            <w:tcW w:w="237"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68</w:t>
            </w:r>
          </w:p>
        </w:tc>
        <w:tc>
          <w:tcPr>
            <w:tcW w:w="226"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74</w:t>
            </w:r>
          </w:p>
        </w:tc>
        <w:tc>
          <w:tcPr>
            <w:tcW w:w="226"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72.5</w:t>
            </w:r>
          </w:p>
        </w:tc>
        <w:tc>
          <w:tcPr>
            <w:tcW w:w="237"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64.5</w:t>
            </w:r>
          </w:p>
        </w:tc>
        <w:tc>
          <w:tcPr>
            <w:tcW w:w="227" w:type="pct"/>
            <w:tcBorders>
              <w:top w:val="single" w:sz="4" w:space="0" w:color="auto"/>
              <w:bottom w:val="double" w:sz="4" w:space="0" w:color="5F497A" w:themeColor="accent4" w:themeShade="BF"/>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69.3</w:t>
            </w:r>
          </w:p>
        </w:tc>
        <w:tc>
          <w:tcPr>
            <w:tcW w:w="227" w:type="pct"/>
            <w:tcBorders>
              <w:top w:val="single" w:sz="4" w:space="0" w:color="auto"/>
              <w:bottom w:val="double" w:sz="4" w:space="0" w:color="5F497A" w:themeColor="accent4" w:themeShade="BF"/>
              <w:right w:val="nil"/>
            </w:tcBorders>
          </w:tcPr>
          <w:p w:rsidR="00BA5AD5" w:rsidRPr="005F120D" w:rsidRDefault="005443CB"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75.6</w:t>
            </w:r>
          </w:p>
        </w:tc>
        <w:tc>
          <w:tcPr>
            <w:tcW w:w="227" w:type="pct"/>
            <w:tcBorders>
              <w:top w:val="single" w:sz="4" w:space="0" w:color="auto"/>
              <w:bottom w:val="double" w:sz="4" w:space="0" w:color="5F497A" w:themeColor="accent4" w:themeShade="BF"/>
              <w:right w:val="nil"/>
            </w:tcBorders>
          </w:tcPr>
          <w:p w:rsidR="00BA5AD5" w:rsidRPr="005F120D" w:rsidRDefault="005443CB"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69.5</w:t>
            </w:r>
          </w:p>
        </w:tc>
        <w:tc>
          <w:tcPr>
            <w:tcW w:w="224" w:type="pct"/>
            <w:tcBorders>
              <w:top w:val="single" w:sz="4" w:space="0" w:color="auto"/>
              <w:bottom w:val="double" w:sz="4" w:space="0" w:color="5F497A" w:themeColor="accent4" w:themeShade="BF"/>
              <w:right w:val="nil"/>
            </w:tcBorders>
          </w:tcPr>
          <w:p w:rsidR="00BA5AD5" w:rsidRPr="005F120D" w:rsidRDefault="005443CB"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73.2</w:t>
            </w:r>
          </w:p>
        </w:tc>
      </w:tr>
      <w:tr w:rsidR="00006DDA" w:rsidRPr="005F120D" w:rsidTr="00006DDA">
        <w:trPr>
          <w:trHeight w:hRule="exact" w:val="633"/>
        </w:trPr>
        <w:tc>
          <w:tcPr>
            <w:tcW w:w="431" w:type="pct"/>
            <w:tcBorders>
              <w:top w:val="double" w:sz="4" w:space="0" w:color="5F497A" w:themeColor="accent4" w:themeShade="BF"/>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(2) With safe water if school has:</w:t>
            </w:r>
          </w:p>
          <w:p w:rsidR="00BA5AD5" w:rsidRPr="005F120D" w:rsidRDefault="00BA5AD5" w:rsidP="004E77B3">
            <w:pPr>
              <w:pStyle w:val="Tabletext"/>
              <w:spacing w:before="0" w:after="0"/>
              <w:jc w:val="center"/>
              <w:rPr>
                <w:rFonts w:asciiTheme="minorHAnsi" w:hAnsiTheme="minorHAnsi" w:cstheme="minorHAnsi"/>
                <w:sz w:val="16"/>
                <w:szCs w:val="16"/>
              </w:rPr>
            </w:pPr>
          </w:p>
        </w:tc>
        <w:tc>
          <w:tcPr>
            <w:tcW w:w="538" w:type="pct"/>
            <w:tcBorders>
              <w:top w:val="double" w:sz="4" w:space="0" w:color="5F497A" w:themeColor="accent4" w:themeShade="BF"/>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Any source of water</w:t>
            </w:r>
          </w:p>
        </w:tc>
        <w:tc>
          <w:tcPr>
            <w:tcW w:w="202" w:type="pct"/>
            <w:tcBorders>
              <w:top w:val="double" w:sz="4" w:space="0" w:color="5F497A" w:themeColor="accent4" w:themeShade="BF"/>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86</w:t>
            </w:r>
          </w:p>
        </w:tc>
        <w:tc>
          <w:tcPr>
            <w:tcW w:w="237" w:type="pct"/>
            <w:tcBorders>
              <w:top w:val="double" w:sz="4" w:space="0" w:color="5F497A" w:themeColor="accent4" w:themeShade="BF"/>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82</w:t>
            </w:r>
          </w:p>
        </w:tc>
        <w:tc>
          <w:tcPr>
            <w:tcW w:w="226" w:type="pct"/>
            <w:tcBorders>
              <w:top w:val="double" w:sz="4" w:space="0" w:color="5F497A" w:themeColor="accent4" w:themeShade="BF"/>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85</w:t>
            </w:r>
          </w:p>
        </w:tc>
        <w:tc>
          <w:tcPr>
            <w:tcW w:w="203"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96</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83</w:t>
            </w:r>
          </w:p>
        </w:tc>
        <w:tc>
          <w:tcPr>
            <w:tcW w:w="22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90</w:t>
            </w:r>
          </w:p>
        </w:tc>
        <w:tc>
          <w:tcPr>
            <w:tcW w:w="203"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72</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60</w:t>
            </w:r>
          </w:p>
        </w:tc>
        <w:tc>
          <w:tcPr>
            <w:tcW w:w="226"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67</w:t>
            </w:r>
          </w:p>
        </w:tc>
        <w:tc>
          <w:tcPr>
            <w:tcW w:w="202"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92</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92</w:t>
            </w:r>
          </w:p>
        </w:tc>
        <w:tc>
          <w:tcPr>
            <w:tcW w:w="226"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92</w:t>
            </w:r>
          </w:p>
        </w:tc>
        <w:tc>
          <w:tcPr>
            <w:tcW w:w="226"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96.9</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97.1</w:t>
            </w:r>
          </w:p>
        </w:tc>
        <w:tc>
          <w:tcPr>
            <w:tcW w:w="22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97</w:t>
            </w:r>
          </w:p>
        </w:tc>
        <w:tc>
          <w:tcPr>
            <w:tcW w:w="22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color w:val="006600"/>
                <w:sz w:val="16"/>
                <w:szCs w:val="16"/>
              </w:rPr>
            </w:pPr>
          </w:p>
        </w:tc>
        <w:tc>
          <w:tcPr>
            <w:tcW w:w="22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color w:val="006600"/>
                <w:sz w:val="16"/>
                <w:szCs w:val="16"/>
              </w:rPr>
            </w:pPr>
          </w:p>
        </w:tc>
        <w:tc>
          <w:tcPr>
            <w:tcW w:w="224"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color w:val="006600"/>
                <w:sz w:val="16"/>
                <w:szCs w:val="16"/>
              </w:rPr>
            </w:pPr>
          </w:p>
        </w:tc>
      </w:tr>
      <w:tr w:rsidR="00006DDA" w:rsidRPr="005F120D" w:rsidTr="00006DDA">
        <w:trPr>
          <w:trHeight w:val="172"/>
        </w:trPr>
        <w:tc>
          <w:tcPr>
            <w:tcW w:w="431" w:type="pct"/>
            <w:tcBorders>
              <w:top w:val="nil"/>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p>
        </w:tc>
        <w:tc>
          <w:tcPr>
            <w:tcW w:w="538" w:type="pct"/>
            <w:tcBorders>
              <w:top w:val="nil"/>
              <w:left w:val="nil"/>
              <w:bottom w:val="nil"/>
              <w:right w:val="nil"/>
            </w:tcBorders>
          </w:tcPr>
          <w:p w:rsidR="00BA5AD5" w:rsidRPr="005F120D" w:rsidRDefault="00067CEC"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Tap water (11.2</w:t>
            </w:r>
            <w:r w:rsidR="00BA5AD5" w:rsidRPr="005F120D">
              <w:rPr>
                <w:rFonts w:asciiTheme="minorHAnsi" w:hAnsiTheme="minorHAnsi" w:cstheme="minorHAnsi"/>
                <w:sz w:val="16"/>
                <w:szCs w:val="16"/>
              </w:rPr>
              <w:t>% of GPS &amp; NNPS with water)</w:t>
            </w:r>
          </w:p>
        </w:tc>
        <w:tc>
          <w:tcPr>
            <w:tcW w:w="202" w:type="pct"/>
            <w:tcBorders>
              <w:top w:val="nil"/>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87</w:t>
            </w:r>
          </w:p>
        </w:tc>
        <w:tc>
          <w:tcPr>
            <w:tcW w:w="237" w:type="pct"/>
            <w:tcBorders>
              <w:top w:val="nil"/>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87</w:t>
            </w:r>
          </w:p>
        </w:tc>
        <w:tc>
          <w:tcPr>
            <w:tcW w:w="226" w:type="pct"/>
            <w:tcBorders>
              <w:top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87</w:t>
            </w:r>
          </w:p>
        </w:tc>
        <w:tc>
          <w:tcPr>
            <w:tcW w:w="203"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98</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90</w:t>
            </w:r>
          </w:p>
        </w:tc>
        <w:tc>
          <w:tcPr>
            <w:tcW w:w="22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93</w:t>
            </w:r>
          </w:p>
        </w:tc>
        <w:tc>
          <w:tcPr>
            <w:tcW w:w="203"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78</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80</w:t>
            </w:r>
          </w:p>
        </w:tc>
        <w:tc>
          <w:tcPr>
            <w:tcW w:w="226"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78</w:t>
            </w:r>
          </w:p>
        </w:tc>
        <w:tc>
          <w:tcPr>
            <w:tcW w:w="202"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88</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93</w:t>
            </w:r>
          </w:p>
        </w:tc>
        <w:tc>
          <w:tcPr>
            <w:tcW w:w="226"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89</w:t>
            </w:r>
          </w:p>
        </w:tc>
        <w:tc>
          <w:tcPr>
            <w:tcW w:w="226"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100</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100</w:t>
            </w:r>
          </w:p>
        </w:tc>
        <w:tc>
          <w:tcPr>
            <w:tcW w:w="22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100</w:t>
            </w:r>
          </w:p>
        </w:tc>
        <w:tc>
          <w:tcPr>
            <w:tcW w:w="227" w:type="pct"/>
            <w:tcBorders>
              <w:top w:val="nil"/>
              <w:bottom w:val="nil"/>
              <w:right w:val="nil"/>
            </w:tcBorders>
          </w:tcPr>
          <w:p w:rsidR="00BA5AD5" w:rsidRPr="005F120D" w:rsidRDefault="00673298"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100</w:t>
            </w:r>
          </w:p>
        </w:tc>
        <w:tc>
          <w:tcPr>
            <w:tcW w:w="227" w:type="pct"/>
            <w:tcBorders>
              <w:top w:val="nil"/>
              <w:bottom w:val="nil"/>
              <w:right w:val="nil"/>
            </w:tcBorders>
          </w:tcPr>
          <w:p w:rsidR="00BA5AD5" w:rsidRPr="005F120D" w:rsidRDefault="00673298"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100</w:t>
            </w:r>
          </w:p>
        </w:tc>
        <w:tc>
          <w:tcPr>
            <w:tcW w:w="224" w:type="pct"/>
            <w:tcBorders>
              <w:top w:val="nil"/>
              <w:bottom w:val="nil"/>
              <w:right w:val="nil"/>
            </w:tcBorders>
          </w:tcPr>
          <w:p w:rsidR="00BA5AD5" w:rsidRPr="005F120D" w:rsidRDefault="00673298"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100</w:t>
            </w:r>
          </w:p>
        </w:tc>
      </w:tr>
      <w:tr w:rsidR="00006DDA" w:rsidRPr="005F120D" w:rsidTr="00006DDA">
        <w:trPr>
          <w:trHeight w:val="163"/>
        </w:trPr>
        <w:tc>
          <w:tcPr>
            <w:tcW w:w="431" w:type="pct"/>
            <w:tcBorders>
              <w:top w:val="nil"/>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p>
        </w:tc>
        <w:tc>
          <w:tcPr>
            <w:tcW w:w="538" w:type="pct"/>
            <w:tcBorders>
              <w:top w:val="nil"/>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Tube well</w:t>
            </w:r>
            <w:r w:rsidR="00067CEC" w:rsidRPr="005F120D">
              <w:rPr>
                <w:rFonts w:asciiTheme="minorHAnsi" w:hAnsiTheme="minorHAnsi" w:cstheme="minorHAnsi"/>
                <w:sz w:val="16"/>
                <w:szCs w:val="16"/>
              </w:rPr>
              <w:t xml:space="preserve"> (85.5</w:t>
            </w:r>
            <w:r w:rsidRPr="005F120D">
              <w:rPr>
                <w:rFonts w:asciiTheme="minorHAnsi" w:hAnsiTheme="minorHAnsi" w:cstheme="minorHAnsi"/>
                <w:sz w:val="16"/>
                <w:szCs w:val="16"/>
              </w:rPr>
              <w:t>% of GPS &amp; NNPS with water)</w:t>
            </w:r>
          </w:p>
        </w:tc>
        <w:tc>
          <w:tcPr>
            <w:tcW w:w="202" w:type="pct"/>
            <w:tcBorders>
              <w:top w:val="nil"/>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87</w:t>
            </w:r>
          </w:p>
        </w:tc>
        <w:tc>
          <w:tcPr>
            <w:tcW w:w="237" w:type="pct"/>
            <w:tcBorders>
              <w:top w:val="nil"/>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81</w:t>
            </w:r>
          </w:p>
        </w:tc>
        <w:tc>
          <w:tcPr>
            <w:tcW w:w="226" w:type="pct"/>
            <w:tcBorders>
              <w:top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85</w:t>
            </w:r>
          </w:p>
        </w:tc>
        <w:tc>
          <w:tcPr>
            <w:tcW w:w="203"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95</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82</w:t>
            </w:r>
          </w:p>
        </w:tc>
        <w:tc>
          <w:tcPr>
            <w:tcW w:w="22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89</w:t>
            </w:r>
          </w:p>
        </w:tc>
        <w:tc>
          <w:tcPr>
            <w:tcW w:w="203"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86</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82</w:t>
            </w:r>
          </w:p>
        </w:tc>
        <w:tc>
          <w:tcPr>
            <w:tcW w:w="226"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85</w:t>
            </w:r>
          </w:p>
        </w:tc>
        <w:tc>
          <w:tcPr>
            <w:tcW w:w="202"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93</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93</w:t>
            </w:r>
          </w:p>
        </w:tc>
        <w:tc>
          <w:tcPr>
            <w:tcW w:w="226"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93</w:t>
            </w:r>
          </w:p>
        </w:tc>
        <w:tc>
          <w:tcPr>
            <w:tcW w:w="226"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87.6</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86</w:t>
            </w:r>
          </w:p>
        </w:tc>
        <w:tc>
          <w:tcPr>
            <w:tcW w:w="22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87</w:t>
            </w:r>
          </w:p>
        </w:tc>
        <w:tc>
          <w:tcPr>
            <w:tcW w:w="227" w:type="pct"/>
            <w:tcBorders>
              <w:top w:val="nil"/>
              <w:bottom w:val="nil"/>
              <w:right w:val="nil"/>
            </w:tcBorders>
          </w:tcPr>
          <w:p w:rsidR="00BA5AD5" w:rsidRPr="005F120D" w:rsidRDefault="00D406DC"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97.5</w:t>
            </w:r>
          </w:p>
        </w:tc>
        <w:tc>
          <w:tcPr>
            <w:tcW w:w="227" w:type="pct"/>
            <w:tcBorders>
              <w:top w:val="nil"/>
              <w:bottom w:val="nil"/>
              <w:right w:val="nil"/>
            </w:tcBorders>
          </w:tcPr>
          <w:p w:rsidR="00BA5AD5" w:rsidRPr="005F120D" w:rsidRDefault="00D406DC"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97.7</w:t>
            </w:r>
          </w:p>
        </w:tc>
        <w:tc>
          <w:tcPr>
            <w:tcW w:w="224" w:type="pct"/>
            <w:tcBorders>
              <w:top w:val="nil"/>
              <w:bottom w:val="nil"/>
              <w:right w:val="nil"/>
            </w:tcBorders>
          </w:tcPr>
          <w:p w:rsidR="00BA5AD5" w:rsidRPr="005F120D" w:rsidRDefault="00D406DC"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97.6</w:t>
            </w:r>
          </w:p>
        </w:tc>
      </w:tr>
      <w:tr w:rsidR="00673298" w:rsidRPr="005F120D" w:rsidTr="00006DDA">
        <w:trPr>
          <w:trHeight w:val="172"/>
        </w:trPr>
        <w:tc>
          <w:tcPr>
            <w:tcW w:w="431" w:type="pct"/>
            <w:tcBorders>
              <w:top w:val="nil"/>
              <w:left w:val="nil"/>
              <w:bottom w:val="double" w:sz="4" w:space="0" w:color="5F497A" w:themeColor="accent4" w:themeShade="BF"/>
              <w:right w:val="nil"/>
            </w:tcBorders>
          </w:tcPr>
          <w:p w:rsidR="00673298" w:rsidRPr="005F120D" w:rsidRDefault="00673298" w:rsidP="004E77B3">
            <w:pPr>
              <w:pStyle w:val="Tabletext"/>
              <w:spacing w:before="0" w:after="0"/>
              <w:jc w:val="center"/>
              <w:rPr>
                <w:rFonts w:asciiTheme="minorHAnsi" w:hAnsiTheme="minorHAnsi" w:cstheme="minorHAnsi"/>
                <w:sz w:val="16"/>
                <w:szCs w:val="16"/>
              </w:rPr>
            </w:pPr>
          </w:p>
        </w:tc>
        <w:tc>
          <w:tcPr>
            <w:tcW w:w="538" w:type="pct"/>
            <w:tcBorders>
              <w:top w:val="nil"/>
              <w:left w:val="nil"/>
              <w:bottom w:val="double" w:sz="4" w:space="0" w:color="5F497A" w:themeColor="accent4" w:themeShade="BF"/>
              <w:right w:val="nil"/>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Pond/river others (3.3% of schools with water)</w:t>
            </w:r>
          </w:p>
        </w:tc>
        <w:tc>
          <w:tcPr>
            <w:tcW w:w="202" w:type="pct"/>
            <w:tcBorders>
              <w:top w:val="nil"/>
              <w:bottom w:val="double" w:sz="4" w:space="0" w:color="5F497A" w:themeColor="accent4" w:themeShade="BF"/>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21</w:t>
            </w:r>
          </w:p>
        </w:tc>
        <w:tc>
          <w:tcPr>
            <w:tcW w:w="237" w:type="pct"/>
            <w:tcBorders>
              <w:top w:val="nil"/>
              <w:bottom w:val="double" w:sz="4" w:space="0" w:color="5F497A" w:themeColor="accent4" w:themeShade="BF"/>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17</w:t>
            </w:r>
          </w:p>
        </w:tc>
        <w:tc>
          <w:tcPr>
            <w:tcW w:w="226" w:type="pct"/>
            <w:tcBorders>
              <w:top w:val="nil"/>
              <w:bottom w:val="double" w:sz="4" w:space="0" w:color="5F497A" w:themeColor="accent4" w:themeShade="BF"/>
              <w:right w:val="nil"/>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19</w:t>
            </w:r>
          </w:p>
        </w:tc>
        <w:tc>
          <w:tcPr>
            <w:tcW w:w="203"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3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2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03"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3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26"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02"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3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26"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26"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3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2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22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rPr>
            </w:pPr>
            <w:r w:rsidRPr="005F120D">
              <w:rPr>
                <w:rFonts w:asciiTheme="minorHAnsi" w:hAnsiTheme="minorHAnsi" w:cstheme="minorHAnsi"/>
                <w:sz w:val="16"/>
                <w:szCs w:val="16"/>
              </w:rPr>
              <w:t>.</w:t>
            </w:r>
          </w:p>
        </w:tc>
        <w:tc>
          <w:tcPr>
            <w:tcW w:w="22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rPr>
            </w:pPr>
            <w:r w:rsidRPr="005F120D">
              <w:rPr>
                <w:rFonts w:asciiTheme="minorHAnsi" w:hAnsiTheme="minorHAnsi" w:cstheme="minorHAnsi"/>
                <w:sz w:val="16"/>
                <w:szCs w:val="16"/>
              </w:rPr>
              <w:t>.</w:t>
            </w:r>
          </w:p>
        </w:tc>
        <w:tc>
          <w:tcPr>
            <w:tcW w:w="224" w:type="pct"/>
            <w:tcBorders>
              <w:top w:val="nil"/>
              <w:bottom w:val="double" w:sz="4" w:space="0" w:color="5F497A" w:themeColor="accent4" w:themeShade="BF"/>
              <w:right w:val="nil"/>
            </w:tcBorders>
          </w:tcPr>
          <w:p w:rsidR="00673298" w:rsidRPr="005F120D" w:rsidRDefault="0025454C" w:rsidP="004E77B3">
            <w:pPr>
              <w:spacing w:after="0"/>
              <w:jc w:val="center"/>
              <w:rPr>
                <w:rFonts w:asciiTheme="minorHAnsi" w:hAnsiTheme="minorHAnsi" w:cstheme="minorHAnsi"/>
                <w:color w:val="006600"/>
                <w:sz w:val="16"/>
                <w:szCs w:val="16"/>
              </w:rPr>
            </w:pPr>
            <w:r w:rsidRPr="005F120D">
              <w:rPr>
                <w:rFonts w:asciiTheme="minorHAnsi" w:hAnsiTheme="minorHAnsi" w:cstheme="minorHAnsi"/>
                <w:sz w:val="16"/>
                <w:szCs w:val="16"/>
              </w:rPr>
              <w:t>.</w:t>
            </w:r>
          </w:p>
        </w:tc>
      </w:tr>
      <w:tr w:rsidR="00006DDA" w:rsidRPr="005F120D" w:rsidTr="00006DDA">
        <w:trPr>
          <w:trHeight w:val="163"/>
        </w:trPr>
        <w:tc>
          <w:tcPr>
            <w:tcW w:w="968" w:type="pct"/>
            <w:gridSpan w:val="2"/>
            <w:tcBorders>
              <w:top w:val="double" w:sz="4" w:space="0" w:color="5F497A" w:themeColor="accent4" w:themeShade="BF"/>
              <w:left w:val="nil"/>
              <w:bottom w:val="double" w:sz="4" w:space="0" w:color="5F497A" w:themeColor="accent4" w:themeShade="BF"/>
              <w:right w:val="nil"/>
            </w:tcBorders>
            <w:shd w:val="clear" w:color="auto" w:fill="D6E3BC" w:themeFill="accent3" w:themeFillTint="66"/>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 xml:space="preserve">(3) With safe water  </w:t>
            </w:r>
          </w:p>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 (1) x (2)]</w:t>
            </w:r>
          </w:p>
        </w:tc>
        <w:tc>
          <w:tcPr>
            <w:tcW w:w="202" w:type="pct"/>
            <w:tcBorders>
              <w:top w:val="double" w:sz="4" w:space="0" w:color="5F497A" w:themeColor="accent4" w:themeShade="BF"/>
              <w:bottom w:val="double" w:sz="4" w:space="0" w:color="5F497A" w:themeColor="accent4" w:themeShade="BF"/>
            </w:tcBorders>
            <w:shd w:val="clear" w:color="auto" w:fill="D6E3BC" w:themeFill="accent3" w:themeFillTint="66"/>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75</w:t>
            </w:r>
          </w:p>
        </w:tc>
        <w:tc>
          <w:tcPr>
            <w:tcW w:w="237" w:type="pct"/>
            <w:tcBorders>
              <w:top w:val="double" w:sz="4" w:space="0" w:color="5F497A" w:themeColor="accent4" w:themeShade="BF"/>
              <w:bottom w:val="double" w:sz="4" w:space="0" w:color="5F497A" w:themeColor="accent4" w:themeShade="BF"/>
            </w:tcBorders>
            <w:shd w:val="clear" w:color="auto" w:fill="D6E3BC" w:themeFill="accent3" w:themeFillTint="66"/>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64</w:t>
            </w:r>
          </w:p>
        </w:tc>
        <w:tc>
          <w:tcPr>
            <w:tcW w:w="226"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71</w:t>
            </w:r>
          </w:p>
        </w:tc>
        <w:tc>
          <w:tcPr>
            <w:tcW w:w="203"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84</w:t>
            </w:r>
          </w:p>
        </w:tc>
        <w:tc>
          <w:tcPr>
            <w:tcW w:w="237"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68</w:t>
            </w:r>
          </w:p>
        </w:tc>
        <w:tc>
          <w:tcPr>
            <w:tcW w:w="227"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77</w:t>
            </w:r>
          </w:p>
        </w:tc>
        <w:tc>
          <w:tcPr>
            <w:tcW w:w="203"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62</w:t>
            </w:r>
          </w:p>
        </w:tc>
        <w:tc>
          <w:tcPr>
            <w:tcW w:w="237"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51</w:t>
            </w:r>
          </w:p>
        </w:tc>
        <w:tc>
          <w:tcPr>
            <w:tcW w:w="226"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58</w:t>
            </w:r>
          </w:p>
        </w:tc>
        <w:tc>
          <w:tcPr>
            <w:tcW w:w="202"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72</w:t>
            </w:r>
          </w:p>
        </w:tc>
        <w:tc>
          <w:tcPr>
            <w:tcW w:w="237"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63</w:t>
            </w:r>
          </w:p>
        </w:tc>
        <w:tc>
          <w:tcPr>
            <w:tcW w:w="226"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68</w:t>
            </w:r>
          </w:p>
        </w:tc>
        <w:tc>
          <w:tcPr>
            <w:tcW w:w="226"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74.8</w:t>
            </w:r>
          </w:p>
        </w:tc>
        <w:tc>
          <w:tcPr>
            <w:tcW w:w="237"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66.4</w:t>
            </w:r>
          </w:p>
        </w:tc>
        <w:tc>
          <w:tcPr>
            <w:tcW w:w="227"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71.4</w:t>
            </w:r>
          </w:p>
        </w:tc>
        <w:tc>
          <w:tcPr>
            <w:tcW w:w="227"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color w:val="006600"/>
                <w:sz w:val="16"/>
                <w:szCs w:val="16"/>
              </w:rPr>
            </w:pPr>
          </w:p>
        </w:tc>
        <w:tc>
          <w:tcPr>
            <w:tcW w:w="227"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color w:val="006600"/>
                <w:sz w:val="16"/>
                <w:szCs w:val="16"/>
              </w:rPr>
            </w:pPr>
          </w:p>
        </w:tc>
        <w:tc>
          <w:tcPr>
            <w:tcW w:w="224" w:type="pct"/>
            <w:tcBorders>
              <w:top w:val="double" w:sz="4" w:space="0" w:color="5F497A" w:themeColor="accent4" w:themeShade="BF"/>
              <w:bottom w:val="double" w:sz="4" w:space="0" w:color="5F497A" w:themeColor="accent4" w:themeShade="BF"/>
              <w:right w:val="nil"/>
            </w:tcBorders>
            <w:shd w:val="clear" w:color="auto" w:fill="D6E3BC" w:themeFill="accent3" w:themeFillTint="66"/>
          </w:tcPr>
          <w:p w:rsidR="00BA5AD5" w:rsidRPr="005F120D" w:rsidRDefault="00BA5AD5" w:rsidP="004E77B3">
            <w:pPr>
              <w:spacing w:after="0"/>
              <w:jc w:val="center"/>
              <w:rPr>
                <w:rFonts w:asciiTheme="minorHAnsi" w:hAnsiTheme="minorHAnsi" w:cstheme="minorHAnsi"/>
                <w:color w:val="006600"/>
                <w:sz w:val="16"/>
                <w:szCs w:val="16"/>
              </w:rPr>
            </w:pPr>
          </w:p>
        </w:tc>
      </w:tr>
      <w:tr w:rsidR="00006DDA" w:rsidRPr="005F120D" w:rsidTr="006623E7">
        <w:trPr>
          <w:trHeight w:hRule="exact" w:val="489"/>
        </w:trPr>
        <w:tc>
          <w:tcPr>
            <w:tcW w:w="431" w:type="pct"/>
            <w:tcBorders>
              <w:top w:val="double" w:sz="4" w:space="0" w:color="5F497A" w:themeColor="accent4" w:themeShade="BF"/>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(4) If source is tap water</w:t>
            </w:r>
            <w:r w:rsidRPr="005F120D">
              <w:rPr>
                <w:rStyle w:val="FootnoteReference"/>
                <w:rFonts w:asciiTheme="minorHAnsi" w:hAnsiTheme="minorHAnsi" w:cstheme="minorHAnsi"/>
                <w:sz w:val="16"/>
                <w:szCs w:val="16"/>
              </w:rPr>
              <w:footnoteReference w:id="16"/>
            </w:r>
            <w:r w:rsidRPr="005F120D">
              <w:rPr>
                <w:rFonts w:asciiTheme="minorHAnsi" w:hAnsiTheme="minorHAnsi" w:cstheme="minorHAnsi"/>
                <w:sz w:val="16"/>
                <w:szCs w:val="16"/>
              </w:rPr>
              <w:t>:</w:t>
            </w:r>
          </w:p>
        </w:tc>
        <w:tc>
          <w:tcPr>
            <w:tcW w:w="538" w:type="pct"/>
            <w:tcBorders>
              <w:top w:val="double" w:sz="4" w:space="0" w:color="5F497A" w:themeColor="accent4" w:themeShade="BF"/>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Free of arsenic</w:t>
            </w:r>
          </w:p>
        </w:tc>
        <w:tc>
          <w:tcPr>
            <w:tcW w:w="202" w:type="pct"/>
            <w:tcBorders>
              <w:top w:val="double" w:sz="4" w:space="0" w:color="5F497A" w:themeColor="accent4" w:themeShade="BF"/>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61</w:t>
            </w:r>
          </w:p>
        </w:tc>
        <w:tc>
          <w:tcPr>
            <w:tcW w:w="237" w:type="pct"/>
            <w:tcBorders>
              <w:top w:val="double" w:sz="4" w:space="0" w:color="5F497A" w:themeColor="accent4" w:themeShade="BF"/>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59</w:t>
            </w:r>
          </w:p>
        </w:tc>
        <w:tc>
          <w:tcPr>
            <w:tcW w:w="226" w:type="pct"/>
            <w:tcBorders>
              <w:top w:val="double" w:sz="4" w:space="0" w:color="5F497A" w:themeColor="accent4" w:themeShade="BF"/>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60</w:t>
            </w:r>
          </w:p>
        </w:tc>
        <w:tc>
          <w:tcPr>
            <w:tcW w:w="203"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2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03"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26"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02"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72</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71</w:t>
            </w:r>
          </w:p>
        </w:tc>
        <w:tc>
          <w:tcPr>
            <w:tcW w:w="226"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72</w:t>
            </w:r>
          </w:p>
        </w:tc>
        <w:tc>
          <w:tcPr>
            <w:tcW w:w="226"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100</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100</w:t>
            </w:r>
          </w:p>
        </w:tc>
        <w:tc>
          <w:tcPr>
            <w:tcW w:w="22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100</w:t>
            </w:r>
          </w:p>
        </w:tc>
        <w:tc>
          <w:tcPr>
            <w:tcW w:w="227" w:type="pct"/>
            <w:tcBorders>
              <w:top w:val="double" w:sz="4" w:space="0" w:color="5F497A" w:themeColor="accent4" w:themeShade="BF"/>
              <w:bottom w:val="nil"/>
              <w:right w:val="nil"/>
            </w:tcBorders>
          </w:tcPr>
          <w:p w:rsidR="00BA5AD5" w:rsidRPr="005F120D" w:rsidRDefault="008233DF"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100</w:t>
            </w:r>
          </w:p>
        </w:tc>
        <w:tc>
          <w:tcPr>
            <w:tcW w:w="227" w:type="pct"/>
            <w:tcBorders>
              <w:top w:val="double" w:sz="4" w:space="0" w:color="5F497A" w:themeColor="accent4" w:themeShade="BF"/>
              <w:bottom w:val="nil"/>
              <w:right w:val="nil"/>
            </w:tcBorders>
          </w:tcPr>
          <w:p w:rsidR="00BA5AD5" w:rsidRPr="005F120D" w:rsidRDefault="008233DF"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100</w:t>
            </w:r>
          </w:p>
        </w:tc>
        <w:tc>
          <w:tcPr>
            <w:tcW w:w="224" w:type="pct"/>
            <w:tcBorders>
              <w:top w:val="double" w:sz="4" w:space="0" w:color="5F497A" w:themeColor="accent4" w:themeShade="BF"/>
              <w:bottom w:val="nil"/>
              <w:right w:val="nil"/>
            </w:tcBorders>
          </w:tcPr>
          <w:p w:rsidR="00BA5AD5" w:rsidRPr="005F120D" w:rsidRDefault="008233DF"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100</w:t>
            </w:r>
          </w:p>
        </w:tc>
      </w:tr>
      <w:tr w:rsidR="00673298" w:rsidRPr="005F120D" w:rsidTr="00006DDA">
        <w:trPr>
          <w:trHeight w:hRule="exact" w:val="360"/>
        </w:trPr>
        <w:tc>
          <w:tcPr>
            <w:tcW w:w="431" w:type="pct"/>
            <w:tcBorders>
              <w:top w:val="nil"/>
              <w:left w:val="nil"/>
              <w:bottom w:val="nil"/>
              <w:right w:val="nil"/>
            </w:tcBorders>
          </w:tcPr>
          <w:p w:rsidR="00673298" w:rsidRPr="005F120D" w:rsidRDefault="00673298" w:rsidP="004E77B3">
            <w:pPr>
              <w:pStyle w:val="Tabletext"/>
              <w:spacing w:before="0" w:after="0"/>
              <w:jc w:val="center"/>
              <w:rPr>
                <w:rFonts w:asciiTheme="minorHAnsi" w:hAnsiTheme="minorHAnsi" w:cstheme="minorHAnsi"/>
                <w:sz w:val="16"/>
                <w:szCs w:val="16"/>
              </w:rPr>
            </w:pPr>
          </w:p>
        </w:tc>
        <w:tc>
          <w:tcPr>
            <w:tcW w:w="538" w:type="pct"/>
            <w:tcBorders>
              <w:top w:val="nil"/>
              <w:left w:val="nil"/>
              <w:bottom w:val="nil"/>
              <w:right w:val="nil"/>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Not tested</w:t>
            </w:r>
          </w:p>
        </w:tc>
        <w:tc>
          <w:tcPr>
            <w:tcW w:w="202" w:type="pct"/>
            <w:tcBorders>
              <w:top w:val="nil"/>
              <w:bottom w:val="nil"/>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30</w:t>
            </w:r>
          </w:p>
        </w:tc>
        <w:tc>
          <w:tcPr>
            <w:tcW w:w="237" w:type="pct"/>
            <w:tcBorders>
              <w:top w:val="nil"/>
              <w:bottom w:val="nil"/>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31</w:t>
            </w:r>
          </w:p>
        </w:tc>
        <w:tc>
          <w:tcPr>
            <w:tcW w:w="226" w:type="pct"/>
            <w:tcBorders>
              <w:top w:val="nil"/>
              <w:bottom w:val="nil"/>
              <w:right w:val="nil"/>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30</w:t>
            </w:r>
          </w:p>
        </w:tc>
        <w:tc>
          <w:tcPr>
            <w:tcW w:w="203" w:type="pct"/>
            <w:tcBorders>
              <w:top w:val="nil"/>
              <w:bottom w:val="nil"/>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37" w:type="pct"/>
            <w:tcBorders>
              <w:top w:val="nil"/>
              <w:bottom w:val="nil"/>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27" w:type="pct"/>
            <w:tcBorders>
              <w:top w:val="nil"/>
              <w:bottom w:val="nil"/>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03" w:type="pct"/>
            <w:tcBorders>
              <w:top w:val="nil"/>
              <w:bottom w:val="nil"/>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37" w:type="pct"/>
            <w:tcBorders>
              <w:top w:val="nil"/>
              <w:bottom w:val="nil"/>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26" w:type="pct"/>
            <w:tcBorders>
              <w:top w:val="nil"/>
              <w:bottom w:val="nil"/>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02" w:type="pct"/>
            <w:tcBorders>
              <w:top w:val="nil"/>
              <w:bottom w:val="nil"/>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w:t>
            </w:r>
          </w:p>
        </w:tc>
        <w:tc>
          <w:tcPr>
            <w:tcW w:w="237" w:type="pct"/>
            <w:tcBorders>
              <w:top w:val="nil"/>
              <w:bottom w:val="nil"/>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w:t>
            </w:r>
          </w:p>
        </w:tc>
        <w:tc>
          <w:tcPr>
            <w:tcW w:w="226" w:type="pct"/>
            <w:tcBorders>
              <w:top w:val="nil"/>
              <w:bottom w:val="nil"/>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w:t>
            </w:r>
          </w:p>
        </w:tc>
        <w:tc>
          <w:tcPr>
            <w:tcW w:w="226" w:type="pct"/>
            <w:tcBorders>
              <w:top w:val="nil"/>
              <w:bottom w:val="nil"/>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c>
          <w:tcPr>
            <w:tcW w:w="237" w:type="pct"/>
            <w:tcBorders>
              <w:top w:val="nil"/>
              <w:bottom w:val="nil"/>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c>
          <w:tcPr>
            <w:tcW w:w="227" w:type="pct"/>
            <w:tcBorders>
              <w:top w:val="nil"/>
              <w:bottom w:val="nil"/>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c>
          <w:tcPr>
            <w:tcW w:w="227" w:type="pct"/>
            <w:tcBorders>
              <w:top w:val="nil"/>
              <w:bottom w:val="nil"/>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c>
          <w:tcPr>
            <w:tcW w:w="227" w:type="pct"/>
            <w:tcBorders>
              <w:top w:val="nil"/>
              <w:bottom w:val="nil"/>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c>
          <w:tcPr>
            <w:tcW w:w="224" w:type="pct"/>
            <w:tcBorders>
              <w:top w:val="nil"/>
              <w:bottom w:val="nil"/>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r>
      <w:tr w:rsidR="00673298" w:rsidRPr="005F120D" w:rsidTr="00006DDA">
        <w:trPr>
          <w:trHeight w:hRule="exact" w:val="387"/>
        </w:trPr>
        <w:tc>
          <w:tcPr>
            <w:tcW w:w="431" w:type="pct"/>
            <w:tcBorders>
              <w:top w:val="nil"/>
              <w:left w:val="nil"/>
              <w:bottom w:val="double" w:sz="4" w:space="0" w:color="5F497A" w:themeColor="accent4" w:themeShade="BF"/>
              <w:right w:val="nil"/>
            </w:tcBorders>
          </w:tcPr>
          <w:p w:rsidR="00673298" w:rsidRPr="005F120D" w:rsidRDefault="00673298" w:rsidP="004E77B3">
            <w:pPr>
              <w:pStyle w:val="Tabletext"/>
              <w:spacing w:before="0" w:after="0"/>
              <w:jc w:val="center"/>
              <w:rPr>
                <w:rFonts w:asciiTheme="minorHAnsi" w:hAnsiTheme="minorHAnsi" w:cstheme="minorHAnsi"/>
                <w:sz w:val="16"/>
                <w:szCs w:val="16"/>
              </w:rPr>
            </w:pPr>
          </w:p>
        </w:tc>
        <w:tc>
          <w:tcPr>
            <w:tcW w:w="538" w:type="pct"/>
            <w:tcBorders>
              <w:top w:val="nil"/>
              <w:left w:val="nil"/>
              <w:bottom w:val="double" w:sz="4" w:space="0" w:color="5F497A" w:themeColor="accent4" w:themeShade="BF"/>
              <w:right w:val="nil"/>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With arsenic</w:t>
            </w:r>
          </w:p>
        </w:tc>
        <w:tc>
          <w:tcPr>
            <w:tcW w:w="202" w:type="pct"/>
            <w:tcBorders>
              <w:top w:val="nil"/>
              <w:bottom w:val="double" w:sz="4" w:space="0" w:color="5F497A" w:themeColor="accent4" w:themeShade="BF"/>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9</w:t>
            </w:r>
          </w:p>
        </w:tc>
        <w:tc>
          <w:tcPr>
            <w:tcW w:w="237" w:type="pct"/>
            <w:tcBorders>
              <w:top w:val="nil"/>
              <w:bottom w:val="double" w:sz="4" w:space="0" w:color="5F497A" w:themeColor="accent4" w:themeShade="BF"/>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10</w:t>
            </w:r>
          </w:p>
        </w:tc>
        <w:tc>
          <w:tcPr>
            <w:tcW w:w="226" w:type="pct"/>
            <w:tcBorders>
              <w:top w:val="nil"/>
              <w:bottom w:val="double" w:sz="4" w:space="0" w:color="5F497A" w:themeColor="accent4" w:themeShade="BF"/>
              <w:right w:val="nil"/>
            </w:tcBorders>
          </w:tcPr>
          <w:p w:rsidR="00673298" w:rsidRPr="005F120D" w:rsidRDefault="00673298"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10</w:t>
            </w:r>
          </w:p>
        </w:tc>
        <w:tc>
          <w:tcPr>
            <w:tcW w:w="203"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3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2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03"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3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26"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02"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20</w:t>
            </w:r>
          </w:p>
        </w:tc>
        <w:tc>
          <w:tcPr>
            <w:tcW w:w="237"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22</w:t>
            </w:r>
          </w:p>
        </w:tc>
        <w:tc>
          <w:tcPr>
            <w:tcW w:w="226" w:type="pct"/>
            <w:tcBorders>
              <w:top w:val="nil"/>
              <w:bottom w:val="double" w:sz="4" w:space="0" w:color="5F497A" w:themeColor="accent4" w:themeShade="BF"/>
              <w:right w:val="nil"/>
            </w:tcBorders>
          </w:tcPr>
          <w:p w:rsidR="00673298" w:rsidRPr="005F120D" w:rsidRDefault="00673298"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21</w:t>
            </w:r>
          </w:p>
        </w:tc>
        <w:tc>
          <w:tcPr>
            <w:tcW w:w="226" w:type="pct"/>
            <w:tcBorders>
              <w:top w:val="nil"/>
              <w:bottom w:val="double" w:sz="4" w:space="0" w:color="5F497A" w:themeColor="accent4" w:themeShade="BF"/>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c>
          <w:tcPr>
            <w:tcW w:w="237" w:type="pct"/>
            <w:tcBorders>
              <w:top w:val="nil"/>
              <w:bottom w:val="double" w:sz="4" w:space="0" w:color="5F497A" w:themeColor="accent4" w:themeShade="BF"/>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c>
          <w:tcPr>
            <w:tcW w:w="227" w:type="pct"/>
            <w:tcBorders>
              <w:top w:val="nil"/>
              <w:bottom w:val="double" w:sz="4" w:space="0" w:color="5F497A" w:themeColor="accent4" w:themeShade="BF"/>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c>
          <w:tcPr>
            <w:tcW w:w="227" w:type="pct"/>
            <w:tcBorders>
              <w:top w:val="nil"/>
              <w:bottom w:val="double" w:sz="4" w:space="0" w:color="5F497A" w:themeColor="accent4" w:themeShade="BF"/>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c>
          <w:tcPr>
            <w:tcW w:w="227" w:type="pct"/>
            <w:tcBorders>
              <w:top w:val="nil"/>
              <w:bottom w:val="double" w:sz="4" w:space="0" w:color="5F497A" w:themeColor="accent4" w:themeShade="BF"/>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c>
          <w:tcPr>
            <w:tcW w:w="224" w:type="pct"/>
            <w:tcBorders>
              <w:top w:val="nil"/>
              <w:bottom w:val="double" w:sz="4" w:space="0" w:color="5F497A" w:themeColor="accent4" w:themeShade="BF"/>
              <w:right w:val="nil"/>
            </w:tcBorders>
          </w:tcPr>
          <w:p w:rsidR="00673298" w:rsidRPr="005F120D" w:rsidRDefault="00673298" w:rsidP="004E77B3">
            <w:pPr>
              <w:spacing w:after="0"/>
              <w:rPr>
                <w:rFonts w:asciiTheme="minorHAnsi" w:hAnsiTheme="minorHAnsi" w:cstheme="minorHAnsi"/>
              </w:rPr>
            </w:pPr>
            <w:r w:rsidRPr="005F120D">
              <w:rPr>
                <w:rFonts w:asciiTheme="minorHAnsi" w:hAnsiTheme="minorHAnsi" w:cstheme="minorHAnsi"/>
                <w:color w:val="006600"/>
                <w:sz w:val="14"/>
                <w:szCs w:val="14"/>
              </w:rPr>
              <w:t>N/T</w:t>
            </w:r>
          </w:p>
        </w:tc>
      </w:tr>
      <w:tr w:rsidR="00006DDA" w:rsidRPr="005F120D" w:rsidTr="00006DDA">
        <w:trPr>
          <w:trHeight w:val="163"/>
        </w:trPr>
        <w:tc>
          <w:tcPr>
            <w:tcW w:w="431" w:type="pct"/>
            <w:tcBorders>
              <w:top w:val="double" w:sz="4" w:space="0" w:color="5F497A" w:themeColor="accent4" w:themeShade="BF"/>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(5) If source is tube well:</w:t>
            </w:r>
          </w:p>
        </w:tc>
        <w:tc>
          <w:tcPr>
            <w:tcW w:w="538" w:type="pct"/>
            <w:tcBorders>
              <w:top w:val="double" w:sz="4" w:space="0" w:color="5F497A" w:themeColor="accent4" w:themeShade="BF"/>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Functional tube well</w:t>
            </w:r>
          </w:p>
        </w:tc>
        <w:tc>
          <w:tcPr>
            <w:tcW w:w="202" w:type="pct"/>
            <w:tcBorders>
              <w:top w:val="double" w:sz="4" w:space="0" w:color="5F497A" w:themeColor="accent4" w:themeShade="BF"/>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88</w:t>
            </w:r>
          </w:p>
        </w:tc>
        <w:tc>
          <w:tcPr>
            <w:tcW w:w="237" w:type="pct"/>
            <w:tcBorders>
              <w:top w:val="double" w:sz="4" w:space="0" w:color="5F497A" w:themeColor="accent4" w:themeShade="BF"/>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83</w:t>
            </w:r>
          </w:p>
        </w:tc>
        <w:tc>
          <w:tcPr>
            <w:tcW w:w="226" w:type="pct"/>
            <w:tcBorders>
              <w:top w:val="double" w:sz="4" w:space="0" w:color="5F497A" w:themeColor="accent4" w:themeShade="BF"/>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86</w:t>
            </w:r>
          </w:p>
        </w:tc>
        <w:tc>
          <w:tcPr>
            <w:tcW w:w="203"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88</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83</w:t>
            </w:r>
          </w:p>
        </w:tc>
        <w:tc>
          <w:tcPr>
            <w:tcW w:w="22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86</w:t>
            </w:r>
          </w:p>
        </w:tc>
        <w:tc>
          <w:tcPr>
            <w:tcW w:w="203"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26"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02"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92</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86</w:t>
            </w:r>
          </w:p>
        </w:tc>
        <w:tc>
          <w:tcPr>
            <w:tcW w:w="226"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90</w:t>
            </w:r>
          </w:p>
        </w:tc>
        <w:tc>
          <w:tcPr>
            <w:tcW w:w="226"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83.3</w:t>
            </w:r>
          </w:p>
        </w:tc>
        <w:tc>
          <w:tcPr>
            <w:tcW w:w="23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79.5</w:t>
            </w:r>
          </w:p>
        </w:tc>
        <w:tc>
          <w:tcPr>
            <w:tcW w:w="227" w:type="pct"/>
            <w:tcBorders>
              <w:top w:val="double" w:sz="4" w:space="0" w:color="5F497A" w:themeColor="accent4" w:themeShade="BF"/>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81.9</w:t>
            </w:r>
          </w:p>
        </w:tc>
        <w:tc>
          <w:tcPr>
            <w:tcW w:w="227" w:type="pct"/>
            <w:tcBorders>
              <w:top w:val="double" w:sz="4" w:space="0" w:color="5F497A" w:themeColor="accent4" w:themeShade="BF"/>
              <w:bottom w:val="nil"/>
              <w:right w:val="nil"/>
            </w:tcBorders>
          </w:tcPr>
          <w:p w:rsidR="00BA5AD5" w:rsidRPr="005F120D" w:rsidRDefault="00006DDA"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86.9</w:t>
            </w:r>
          </w:p>
        </w:tc>
        <w:tc>
          <w:tcPr>
            <w:tcW w:w="227" w:type="pct"/>
            <w:tcBorders>
              <w:top w:val="double" w:sz="4" w:space="0" w:color="5F497A" w:themeColor="accent4" w:themeShade="BF"/>
              <w:bottom w:val="nil"/>
              <w:right w:val="nil"/>
            </w:tcBorders>
          </w:tcPr>
          <w:p w:rsidR="00BA5AD5" w:rsidRPr="005F120D" w:rsidRDefault="00006DDA"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86.4</w:t>
            </w:r>
          </w:p>
        </w:tc>
        <w:tc>
          <w:tcPr>
            <w:tcW w:w="224" w:type="pct"/>
            <w:tcBorders>
              <w:top w:val="double" w:sz="4" w:space="0" w:color="5F497A" w:themeColor="accent4" w:themeShade="BF"/>
              <w:bottom w:val="nil"/>
              <w:right w:val="nil"/>
            </w:tcBorders>
          </w:tcPr>
          <w:p w:rsidR="00BA5AD5" w:rsidRPr="005F120D" w:rsidRDefault="00006DDA"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86.7</w:t>
            </w:r>
          </w:p>
        </w:tc>
      </w:tr>
      <w:tr w:rsidR="00006DDA" w:rsidRPr="005F120D" w:rsidTr="006623E7">
        <w:trPr>
          <w:trHeight w:hRule="exact" w:val="603"/>
        </w:trPr>
        <w:tc>
          <w:tcPr>
            <w:tcW w:w="431" w:type="pct"/>
            <w:tcBorders>
              <w:top w:val="nil"/>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(6) If source is functional tube well:</w:t>
            </w:r>
          </w:p>
        </w:tc>
        <w:tc>
          <w:tcPr>
            <w:tcW w:w="538" w:type="pct"/>
            <w:tcBorders>
              <w:top w:val="nil"/>
              <w:left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Free of arsenic</w:t>
            </w:r>
          </w:p>
        </w:tc>
        <w:tc>
          <w:tcPr>
            <w:tcW w:w="202" w:type="pct"/>
            <w:tcBorders>
              <w:top w:val="nil"/>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60</w:t>
            </w:r>
          </w:p>
        </w:tc>
        <w:tc>
          <w:tcPr>
            <w:tcW w:w="237" w:type="pct"/>
            <w:tcBorders>
              <w:top w:val="nil"/>
              <w:bottom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57</w:t>
            </w:r>
          </w:p>
        </w:tc>
        <w:tc>
          <w:tcPr>
            <w:tcW w:w="226" w:type="pct"/>
            <w:tcBorders>
              <w:top w:val="nil"/>
              <w:bottom w:val="nil"/>
              <w:right w:val="nil"/>
            </w:tcBorders>
          </w:tcPr>
          <w:p w:rsidR="00BA5AD5" w:rsidRPr="005F120D" w:rsidRDefault="00BA5AD5"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59</w:t>
            </w:r>
          </w:p>
        </w:tc>
        <w:tc>
          <w:tcPr>
            <w:tcW w:w="203"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84</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81</w:t>
            </w:r>
          </w:p>
        </w:tc>
        <w:tc>
          <w:tcPr>
            <w:tcW w:w="22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82</w:t>
            </w:r>
          </w:p>
        </w:tc>
        <w:tc>
          <w:tcPr>
            <w:tcW w:w="203"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26"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02"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89</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87</w:t>
            </w:r>
          </w:p>
        </w:tc>
        <w:tc>
          <w:tcPr>
            <w:tcW w:w="226"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88</w:t>
            </w:r>
          </w:p>
        </w:tc>
        <w:tc>
          <w:tcPr>
            <w:tcW w:w="226"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90.2</w:t>
            </w:r>
          </w:p>
        </w:tc>
        <w:tc>
          <w:tcPr>
            <w:tcW w:w="23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88.2</w:t>
            </w:r>
          </w:p>
        </w:tc>
        <w:tc>
          <w:tcPr>
            <w:tcW w:w="227" w:type="pct"/>
            <w:tcBorders>
              <w:top w:val="nil"/>
              <w:bottom w:val="nil"/>
              <w:right w:val="nil"/>
            </w:tcBorders>
          </w:tcPr>
          <w:p w:rsidR="00BA5AD5" w:rsidRPr="005F120D" w:rsidRDefault="00BA5AD5"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89.5</w:t>
            </w:r>
          </w:p>
        </w:tc>
        <w:tc>
          <w:tcPr>
            <w:tcW w:w="227" w:type="pct"/>
            <w:tcBorders>
              <w:top w:val="nil"/>
              <w:bottom w:val="nil"/>
              <w:right w:val="nil"/>
            </w:tcBorders>
          </w:tcPr>
          <w:p w:rsidR="00BA5AD5" w:rsidRPr="005F120D" w:rsidRDefault="00673298"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92</w:t>
            </w:r>
          </w:p>
        </w:tc>
        <w:tc>
          <w:tcPr>
            <w:tcW w:w="227" w:type="pct"/>
            <w:tcBorders>
              <w:top w:val="nil"/>
              <w:bottom w:val="nil"/>
              <w:right w:val="nil"/>
            </w:tcBorders>
          </w:tcPr>
          <w:p w:rsidR="00BA5AD5" w:rsidRPr="005F120D" w:rsidRDefault="00673298"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92</w:t>
            </w:r>
          </w:p>
        </w:tc>
        <w:tc>
          <w:tcPr>
            <w:tcW w:w="224" w:type="pct"/>
            <w:tcBorders>
              <w:top w:val="nil"/>
              <w:bottom w:val="nil"/>
              <w:right w:val="nil"/>
            </w:tcBorders>
          </w:tcPr>
          <w:p w:rsidR="00BA5AD5" w:rsidRPr="005F120D" w:rsidRDefault="00673298" w:rsidP="004E77B3">
            <w:pPr>
              <w:spacing w:after="0"/>
              <w:jc w:val="center"/>
              <w:rPr>
                <w:rFonts w:asciiTheme="minorHAnsi" w:hAnsiTheme="minorHAnsi" w:cstheme="minorHAnsi"/>
                <w:color w:val="006600"/>
                <w:sz w:val="16"/>
                <w:szCs w:val="16"/>
              </w:rPr>
            </w:pPr>
            <w:r w:rsidRPr="005F120D">
              <w:rPr>
                <w:rFonts w:asciiTheme="minorHAnsi" w:hAnsiTheme="minorHAnsi" w:cstheme="minorHAnsi"/>
                <w:color w:val="006600"/>
                <w:sz w:val="16"/>
                <w:szCs w:val="16"/>
              </w:rPr>
              <w:t>92</w:t>
            </w:r>
          </w:p>
        </w:tc>
      </w:tr>
      <w:tr w:rsidR="00006DDA" w:rsidRPr="005F120D" w:rsidTr="00006DDA">
        <w:trPr>
          <w:trHeight w:hRule="exact" w:val="360"/>
        </w:trPr>
        <w:tc>
          <w:tcPr>
            <w:tcW w:w="431" w:type="pct"/>
            <w:tcBorders>
              <w:top w:val="nil"/>
              <w:left w:val="nil"/>
              <w:bottom w:val="nil"/>
              <w:right w:val="nil"/>
            </w:tcBorders>
          </w:tcPr>
          <w:p w:rsidR="00006DDA" w:rsidRPr="005F120D" w:rsidRDefault="00006DDA" w:rsidP="004E77B3">
            <w:pPr>
              <w:pStyle w:val="Tabletext"/>
              <w:spacing w:before="0" w:after="0"/>
              <w:jc w:val="center"/>
              <w:rPr>
                <w:rFonts w:asciiTheme="minorHAnsi" w:hAnsiTheme="minorHAnsi" w:cstheme="minorHAnsi"/>
                <w:sz w:val="16"/>
                <w:szCs w:val="16"/>
              </w:rPr>
            </w:pPr>
          </w:p>
        </w:tc>
        <w:tc>
          <w:tcPr>
            <w:tcW w:w="538" w:type="pct"/>
            <w:tcBorders>
              <w:top w:val="nil"/>
              <w:left w:val="nil"/>
              <w:bottom w:val="nil"/>
              <w:right w:val="nil"/>
            </w:tcBorders>
          </w:tcPr>
          <w:p w:rsidR="00006DDA" w:rsidRPr="005F120D" w:rsidRDefault="00006DDA"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Tested</w:t>
            </w:r>
          </w:p>
        </w:tc>
        <w:tc>
          <w:tcPr>
            <w:tcW w:w="202" w:type="pct"/>
            <w:tcBorders>
              <w:top w:val="nil"/>
              <w:bottom w:val="nil"/>
            </w:tcBorders>
          </w:tcPr>
          <w:p w:rsidR="00006DDA" w:rsidRPr="005F120D" w:rsidRDefault="00006DDA"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34</w:t>
            </w:r>
          </w:p>
        </w:tc>
        <w:tc>
          <w:tcPr>
            <w:tcW w:w="237" w:type="pct"/>
            <w:tcBorders>
              <w:top w:val="nil"/>
              <w:bottom w:val="nil"/>
            </w:tcBorders>
          </w:tcPr>
          <w:p w:rsidR="00006DDA" w:rsidRPr="005F120D" w:rsidRDefault="00006DDA"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36</w:t>
            </w:r>
          </w:p>
        </w:tc>
        <w:tc>
          <w:tcPr>
            <w:tcW w:w="226" w:type="pct"/>
            <w:tcBorders>
              <w:top w:val="nil"/>
              <w:bottom w:val="nil"/>
              <w:right w:val="nil"/>
            </w:tcBorders>
          </w:tcPr>
          <w:p w:rsidR="00006DDA" w:rsidRPr="005F120D" w:rsidRDefault="00006DDA"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35</w:t>
            </w:r>
          </w:p>
        </w:tc>
        <w:tc>
          <w:tcPr>
            <w:tcW w:w="203"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w:t>
            </w:r>
          </w:p>
        </w:tc>
        <w:tc>
          <w:tcPr>
            <w:tcW w:w="237"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w:t>
            </w:r>
          </w:p>
        </w:tc>
        <w:tc>
          <w:tcPr>
            <w:tcW w:w="227"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w:t>
            </w:r>
          </w:p>
        </w:tc>
        <w:tc>
          <w:tcPr>
            <w:tcW w:w="203"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37"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26"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02"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2</w:t>
            </w:r>
          </w:p>
        </w:tc>
        <w:tc>
          <w:tcPr>
            <w:tcW w:w="237"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w:t>
            </w:r>
          </w:p>
        </w:tc>
        <w:tc>
          <w:tcPr>
            <w:tcW w:w="226"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2</w:t>
            </w:r>
          </w:p>
        </w:tc>
        <w:tc>
          <w:tcPr>
            <w:tcW w:w="226"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1.1</w:t>
            </w:r>
          </w:p>
        </w:tc>
        <w:tc>
          <w:tcPr>
            <w:tcW w:w="237"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0.9</w:t>
            </w:r>
          </w:p>
        </w:tc>
        <w:tc>
          <w:tcPr>
            <w:tcW w:w="227" w:type="pct"/>
            <w:tcBorders>
              <w:top w:val="nil"/>
              <w:bottom w:val="nil"/>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1.1</w:t>
            </w:r>
          </w:p>
        </w:tc>
        <w:tc>
          <w:tcPr>
            <w:tcW w:w="227" w:type="pct"/>
            <w:tcBorders>
              <w:top w:val="nil"/>
              <w:bottom w:val="nil"/>
              <w:right w:val="nil"/>
            </w:tcBorders>
          </w:tcPr>
          <w:p w:rsidR="00006DDA" w:rsidRPr="005F120D" w:rsidRDefault="00006DDA" w:rsidP="004E77B3">
            <w:pPr>
              <w:spacing w:after="0"/>
              <w:jc w:val="center"/>
              <w:rPr>
                <w:rFonts w:asciiTheme="minorHAnsi" w:hAnsiTheme="minorHAnsi" w:cstheme="minorHAnsi"/>
                <w:color w:val="006600"/>
                <w:sz w:val="14"/>
                <w:szCs w:val="14"/>
              </w:rPr>
            </w:pPr>
            <w:r w:rsidRPr="005F120D">
              <w:rPr>
                <w:rFonts w:asciiTheme="minorHAnsi" w:hAnsiTheme="minorHAnsi" w:cstheme="minorHAnsi"/>
                <w:color w:val="006600"/>
                <w:sz w:val="14"/>
                <w:szCs w:val="14"/>
              </w:rPr>
              <w:t>N/T</w:t>
            </w:r>
          </w:p>
        </w:tc>
        <w:tc>
          <w:tcPr>
            <w:tcW w:w="227" w:type="pct"/>
            <w:tcBorders>
              <w:top w:val="nil"/>
              <w:bottom w:val="nil"/>
              <w:right w:val="nil"/>
            </w:tcBorders>
          </w:tcPr>
          <w:p w:rsidR="00006DDA" w:rsidRPr="005F120D" w:rsidRDefault="00006DDA" w:rsidP="004E77B3">
            <w:pPr>
              <w:spacing w:after="0"/>
              <w:jc w:val="center"/>
              <w:rPr>
                <w:rFonts w:asciiTheme="minorHAnsi" w:hAnsiTheme="minorHAnsi" w:cstheme="minorHAnsi"/>
              </w:rPr>
            </w:pPr>
            <w:r w:rsidRPr="005F120D">
              <w:rPr>
                <w:rFonts w:asciiTheme="minorHAnsi" w:hAnsiTheme="minorHAnsi" w:cstheme="minorHAnsi"/>
                <w:color w:val="006600"/>
                <w:sz w:val="14"/>
                <w:szCs w:val="14"/>
              </w:rPr>
              <w:t>N/T</w:t>
            </w:r>
          </w:p>
        </w:tc>
        <w:tc>
          <w:tcPr>
            <w:tcW w:w="224" w:type="pct"/>
            <w:tcBorders>
              <w:top w:val="nil"/>
              <w:bottom w:val="nil"/>
              <w:right w:val="nil"/>
            </w:tcBorders>
          </w:tcPr>
          <w:p w:rsidR="00006DDA" w:rsidRPr="005F120D" w:rsidRDefault="00006DDA" w:rsidP="004E77B3">
            <w:pPr>
              <w:spacing w:after="0"/>
              <w:jc w:val="center"/>
              <w:rPr>
                <w:rFonts w:asciiTheme="minorHAnsi" w:hAnsiTheme="minorHAnsi" w:cstheme="minorHAnsi"/>
              </w:rPr>
            </w:pPr>
            <w:r w:rsidRPr="005F120D">
              <w:rPr>
                <w:rFonts w:asciiTheme="minorHAnsi" w:hAnsiTheme="minorHAnsi" w:cstheme="minorHAnsi"/>
                <w:color w:val="006600"/>
                <w:sz w:val="14"/>
                <w:szCs w:val="14"/>
              </w:rPr>
              <w:t>N/T</w:t>
            </w:r>
          </w:p>
        </w:tc>
      </w:tr>
      <w:tr w:rsidR="00006DDA" w:rsidRPr="005F120D" w:rsidTr="00006DDA">
        <w:trPr>
          <w:trHeight w:hRule="exact" w:val="468"/>
        </w:trPr>
        <w:tc>
          <w:tcPr>
            <w:tcW w:w="431" w:type="pct"/>
            <w:tcBorders>
              <w:top w:val="nil"/>
              <w:left w:val="nil"/>
              <w:bottom w:val="double" w:sz="4" w:space="0" w:color="5F497A" w:themeColor="accent4" w:themeShade="BF"/>
              <w:right w:val="nil"/>
            </w:tcBorders>
          </w:tcPr>
          <w:p w:rsidR="00006DDA" w:rsidRPr="005F120D" w:rsidRDefault="00006DDA" w:rsidP="004E77B3">
            <w:pPr>
              <w:pStyle w:val="Tabletext"/>
              <w:spacing w:before="0" w:after="0"/>
              <w:jc w:val="center"/>
              <w:rPr>
                <w:rFonts w:asciiTheme="minorHAnsi" w:hAnsiTheme="minorHAnsi" w:cstheme="minorHAnsi"/>
                <w:sz w:val="16"/>
                <w:szCs w:val="16"/>
              </w:rPr>
            </w:pPr>
          </w:p>
        </w:tc>
        <w:tc>
          <w:tcPr>
            <w:tcW w:w="538" w:type="pct"/>
            <w:tcBorders>
              <w:top w:val="nil"/>
              <w:left w:val="nil"/>
              <w:bottom w:val="double" w:sz="4" w:space="0" w:color="5F497A" w:themeColor="accent4" w:themeShade="BF"/>
              <w:right w:val="nil"/>
            </w:tcBorders>
          </w:tcPr>
          <w:p w:rsidR="00006DDA" w:rsidRPr="005F120D" w:rsidRDefault="00006DDA"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With arsenic</w:t>
            </w:r>
          </w:p>
        </w:tc>
        <w:tc>
          <w:tcPr>
            <w:tcW w:w="202" w:type="pct"/>
            <w:tcBorders>
              <w:top w:val="nil"/>
              <w:left w:val="single" w:sz="4" w:space="0" w:color="auto"/>
              <w:bottom w:val="double" w:sz="4" w:space="0" w:color="5F497A" w:themeColor="accent4" w:themeShade="BF"/>
              <w:right w:val="single" w:sz="4" w:space="0" w:color="auto"/>
            </w:tcBorders>
          </w:tcPr>
          <w:p w:rsidR="00006DDA" w:rsidRPr="005F120D" w:rsidRDefault="00006DDA"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6</w:t>
            </w:r>
          </w:p>
        </w:tc>
        <w:tc>
          <w:tcPr>
            <w:tcW w:w="237" w:type="pct"/>
            <w:tcBorders>
              <w:top w:val="nil"/>
              <w:left w:val="single" w:sz="4" w:space="0" w:color="auto"/>
              <w:bottom w:val="double" w:sz="4" w:space="0" w:color="5F497A" w:themeColor="accent4" w:themeShade="BF"/>
              <w:right w:val="single" w:sz="4" w:space="0" w:color="auto"/>
            </w:tcBorders>
          </w:tcPr>
          <w:p w:rsidR="00006DDA" w:rsidRPr="005F120D" w:rsidRDefault="00006DDA"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7</w:t>
            </w:r>
          </w:p>
        </w:tc>
        <w:tc>
          <w:tcPr>
            <w:tcW w:w="226" w:type="pct"/>
            <w:tcBorders>
              <w:top w:val="nil"/>
              <w:left w:val="single" w:sz="4" w:space="0" w:color="auto"/>
              <w:bottom w:val="double" w:sz="4" w:space="0" w:color="5F497A" w:themeColor="accent4" w:themeShade="BF"/>
              <w:right w:val="nil"/>
            </w:tcBorders>
          </w:tcPr>
          <w:p w:rsidR="00006DDA" w:rsidRPr="005F120D" w:rsidRDefault="00006DDA" w:rsidP="004E77B3">
            <w:pPr>
              <w:pStyle w:val="Tabletext"/>
              <w:spacing w:before="0" w:after="0"/>
              <w:jc w:val="center"/>
              <w:rPr>
                <w:rFonts w:asciiTheme="minorHAnsi" w:hAnsiTheme="minorHAnsi" w:cstheme="minorHAnsi"/>
                <w:sz w:val="16"/>
                <w:szCs w:val="16"/>
              </w:rPr>
            </w:pPr>
            <w:r w:rsidRPr="005F120D">
              <w:rPr>
                <w:rFonts w:asciiTheme="minorHAnsi" w:hAnsiTheme="minorHAnsi" w:cstheme="minorHAnsi"/>
                <w:sz w:val="16"/>
                <w:szCs w:val="16"/>
              </w:rPr>
              <w:t>6</w:t>
            </w:r>
          </w:p>
        </w:tc>
        <w:tc>
          <w:tcPr>
            <w:tcW w:w="203"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w:t>
            </w:r>
          </w:p>
        </w:tc>
        <w:tc>
          <w:tcPr>
            <w:tcW w:w="237"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11</w:t>
            </w:r>
          </w:p>
        </w:tc>
        <w:tc>
          <w:tcPr>
            <w:tcW w:w="227"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9</w:t>
            </w:r>
          </w:p>
        </w:tc>
        <w:tc>
          <w:tcPr>
            <w:tcW w:w="203"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37"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26"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n/a</w:t>
            </w:r>
          </w:p>
        </w:tc>
        <w:tc>
          <w:tcPr>
            <w:tcW w:w="202"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10</w:t>
            </w:r>
          </w:p>
        </w:tc>
        <w:tc>
          <w:tcPr>
            <w:tcW w:w="237"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12</w:t>
            </w:r>
          </w:p>
        </w:tc>
        <w:tc>
          <w:tcPr>
            <w:tcW w:w="226"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10</w:t>
            </w:r>
          </w:p>
        </w:tc>
        <w:tc>
          <w:tcPr>
            <w:tcW w:w="226"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6.7</w:t>
            </w:r>
          </w:p>
        </w:tc>
        <w:tc>
          <w:tcPr>
            <w:tcW w:w="237"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8</w:t>
            </w:r>
          </w:p>
        </w:tc>
        <w:tc>
          <w:tcPr>
            <w:tcW w:w="227"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sz w:val="16"/>
                <w:szCs w:val="16"/>
              </w:rPr>
            </w:pPr>
            <w:r w:rsidRPr="005F120D">
              <w:rPr>
                <w:rFonts w:asciiTheme="minorHAnsi" w:hAnsiTheme="minorHAnsi" w:cstheme="minorHAnsi"/>
                <w:sz w:val="16"/>
                <w:szCs w:val="16"/>
              </w:rPr>
              <w:t>7.2</w:t>
            </w:r>
          </w:p>
        </w:tc>
        <w:tc>
          <w:tcPr>
            <w:tcW w:w="227"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rPr>
            </w:pPr>
            <w:r w:rsidRPr="005F120D">
              <w:rPr>
                <w:rFonts w:asciiTheme="minorHAnsi" w:hAnsiTheme="minorHAnsi" w:cstheme="minorHAnsi"/>
                <w:color w:val="006600"/>
                <w:sz w:val="14"/>
                <w:szCs w:val="14"/>
              </w:rPr>
              <w:t>N/T</w:t>
            </w:r>
          </w:p>
        </w:tc>
        <w:tc>
          <w:tcPr>
            <w:tcW w:w="227"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rPr>
            </w:pPr>
            <w:r w:rsidRPr="005F120D">
              <w:rPr>
                <w:rFonts w:asciiTheme="minorHAnsi" w:hAnsiTheme="minorHAnsi" w:cstheme="minorHAnsi"/>
                <w:color w:val="006600"/>
                <w:sz w:val="14"/>
                <w:szCs w:val="14"/>
              </w:rPr>
              <w:t>N/T</w:t>
            </w:r>
          </w:p>
        </w:tc>
        <w:tc>
          <w:tcPr>
            <w:tcW w:w="224" w:type="pct"/>
            <w:tcBorders>
              <w:top w:val="nil"/>
              <w:left w:val="single" w:sz="4" w:space="0" w:color="auto"/>
              <w:bottom w:val="double" w:sz="4" w:space="0" w:color="5F497A" w:themeColor="accent4" w:themeShade="BF"/>
              <w:right w:val="nil"/>
            </w:tcBorders>
          </w:tcPr>
          <w:p w:rsidR="00006DDA" w:rsidRPr="005F120D" w:rsidRDefault="00006DDA" w:rsidP="004E77B3">
            <w:pPr>
              <w:spacing w:after="0"/>
              <w:jc w:val="center"/>
              <w:rPr>
                <w:rFonts w:asciiTheme="minorHAnsi" w:hAnsiTheme="minorHAnsi" w:cstheme="minorHAnsi"/>
              </w:rPr>
            </w:pPr>
            <w:r w:rsidRPr="005F120D">
              <w:rPr>
                <w:rFonts w:asciiTheme="minorHAnsi" w:hAnsiTheme="minorHAnsi" w:cstheme="minorHAnsi"/>
                <w:color w:val="006600"/>
                <w:sz w:val="14"/>
                <w:szCs w:val="14"/>
              </w:rPr>
              <w:t>N/T</w:t>
            </w:r>
          </w:p>
        </w:tc>
      </w:tr>
    </w:tbl>
    <w:p w:rsidR="00BE395D" w:rsidRPr="005F120D" w:rsidRDefault="00332BB3" w:rsidP="006623E7">
      <w:pPr>
        <w:pStyle w:val="Tablenotes"/>
        <w:spacing w:before="0"/>
      </w:pPr>
      <w:bookmarkStart w:id="522" w:name="_Toc302835164"/>
      <w:r w:rsidRPr="005F120D">
        <w:t>Source: APSC 2010-201</w:t>
      </w:r>
      <w:bookmarkEnd w:id="522"/>
      <w:r w:rsidR="009F5351" w:rsidRPr="005F120D">
        <w:t>5</w:t>
      </w:r>
      <w:r w:rsidR="00006DDA" w:rsidRPr="005F120D">
        <w:t>, Note: ‘N/T’ means Arsenic not tested</w:t>
      </w:r>
      <w:r w:rsidR="00673298" w:rsidRPr="005F120D">
        <w:t xml:space="preserve"> in 2015/16 f/y</w:t>
      </w:r>
      <w:r w:rsidR="00D406DC" w:rsidRPr="005F120D">
        <w:t xml:space="preserve">. </w:t>
      </w:r>
    </w:p>
    <w:p w:rsidR="006A5188" w:rsidRPr="005F120D" w:rsidRDefault="006A5188" w:rsidP="00C437AA">
      <w:pPr>
        <w:pStyle w:val="BodyText1"/>
        <w:rPr>
          <w:rFonts w:asciiTheme="minorHAnsi" w:hAnsiTheme="minorHAnsi" w:cstheme="minorHAnsi"/>
          <w:lang w:val="en-US"/>
        </w:rPr>
        <w:sectPr w:rsidR="006A5188" w:rsidRPr="005F120D" w:rsidSect="00EA356A">
          <w:type w:val="nextColumn"/>
          <w:pgSz w:w="16834" w:h="11909" w:orient="landscape" w:code="9"/>
          <w:pgMar w:top="1008" w:right="1440" w:bottom="720" w:left="1440" w:header="720" w:footer="720" w:gutter="0"/>
          <w:cols w:space="720"/>
          <w:docGrid w:linePitch="360"/>
        </w:sectPr>
      </w:pPr>
    </w:p>
    <w:p w:rsidR="00332BB3" w:rsidRPr="005F120D" w:rsidRDefault="00332BB3" w:rsidP="00C437AA">
      <w:pPr>
        <w:pStyle w:val="Heading2"/>
        <w:spacing w:after="120" w:line="276" w:lineRule="auto"/>
        <w:rPr>
          <w:rFonts w:cstheme="minorHAnsi"/>
          <w:color w:val="006600"/>
        </w:rPr>
      </w:pPr>
      <w:bookmarkStart w:id="523" w:name="_Toc462837189"/>
      <w:bookmarkEnd w:id="502"/>
      <w:bookmarkEnd w:id="503"/>
      <w:r w:rsidRPr="005F120D">
        <w:rPr>
          <w:rFonts w:cstheme="minorHAnsi"/>
          <w:color w:val="006600"/>
        </w:rPr>
        <w:lastRenderedPageBreak/>
        <w:t>School Infrastructure</w:t>
      </w:r>
      <w:bookmarkEnd w:id="523"/>
    </w:p>
    <w:p w:rsidR="00EB077C" w:rsidRPr="005F120D" w:rsidRDefault="00EB077C" w:rsidP="00EB077C">
      <w:pPr>
        <w:spacing w:line="276" w:lineRule="auto"/>
        <w:rPr>
          <w:rFonts w:asciiTheme="minorHAnsi" w:hAnsiTheme="minorHAnsi" w:cstheme="minorHAnsi"/>
        </w:rPr>
      </w:pPr>
      <w:bookmarkStart w:id="524" w:name="_Toc338839523"/>
      <w:bookmarkStart w:id="525" w:name="_Toc338856173"/>
      <w:bookmarkStart w:id="526" w:name="_Toc385242107"/>
      <w:bookmarkStart w:id="527" w:name="_Toc385245729"/>
      <w:r w:rsidRPr="005F120D">
        <w:rPr>
          <w:rFonts w:asciiTheme="minorHAnsi" w:hAnsiTheme="minorHAnsi" w:cstheme="minorHAnsi"/>
        </w:rPr>
        <w:t>The following two PSQLs are clustered under the thematic area of “school infrastructure”.</w:t>
      </w:r>
    </w:p>
    <w:p w:rsidR="00EB077C" w:rsidRPr="005F120D" w:rsidRDefault="00EB077C" w:rsidP="00EB077C">
      <w:pPr>
        <w:numPr>
          <w:ilvl w:val="0"/>
          <w:numId w:val="104"/>
        </w:numPr>
        <w:spacing w:after="200" w:line="276" w:lineRule="auto"/>
        <w:contextualSpacing/>
        <w:rPr>
          <w:rFonts w:asciiTheme="minorHAnsi" w:hAnsiTheme="minorHAnsi" w:cstheme="minorHAnsi"/>
          <w:b/>
          <w:i/>
        </w:rPr>
      </w:pPr>
      <w:r w:rsidRPr="005F120D">
        <w:rPr>
          <w:rFonts w:asciiTheme="minorHAnsi" w:hAnsiTheme="minorHAnsi" w:cstheme="minorHAnsi"/>
          <w:b/>
          <w:i/>
        </w:rPr>
        <w:t>PSQL-10 Percentage of schools that meet the SCR standard of 40</w:t>
      </w:r>
    </w:p>
    <w:p w:rsidR="002E23EA" w:rsidRPr="005F120D" w:rsidRDefault="00EB077C" w:rsidP="00EB077C">
      <w:pPr>
        <w:pStyle w:val="ListParagraph"/>
        <w:numPr>
          <w:ilvl w:val="0"/>
          <w:numId w:val="19"/>
        </w:numPr>
        <w:spacing w:line="276" w:lineRule="auto"/>
        <w:rPr>
          <w:rFonts w:asciiTheme="minorHAnsi" w:hAnsiTheme="minorHAnsi" w:cstheme="minorHAnsi"/>
          <w:b/>
          <w:i/>
        </w:rPr>
      </w:pPr>
      <w:r w:rsidRPr="005F120D">
        <w:rPr>
          <w:rFonts w:asciiTheme="minorHAnsi" w:hAnsiTheme="minorHAnsi" w:cstheme="minorHAnsi"/>
          <w:b/>
          <w:i/>
        </w:rPr>
        <w:t xml:space="preserve">PSQL-11 Percentage of standard-size classrooms </w:t>
      </w:r>
      <w:r w:rsidRPr="005F120D">
        <w:rPr>
          <w:rFonts w:asciiTheme="minorHAnsi" w:hAnsiTheme="minorHAnsi" w:cstheme="minorHAnsi"/>
          <w:b/>
          <w:i/>
          <w:sz w:val="20"/>
        </w:rPr>
        <w:t xml:space="preserve">(19’6’’X17’4”) </w:t>
      </w:r>
      <w:r w:rsidRPr="005F120D">
        <w:rPr>
          <w:rFonts w:asciiTheme="minorHAnsi" w:hAnsiTheme="minorHAnsi" w:cstheme="minorHAnsi"/>
          <w:b/>
          <w:i/>
        </w:rPr>
        <w:t>(PEDPII size was 26’x19’6’’) and larger constructed</w:t>
      </w:r>
      <w:r w:rsidR="00D67A2D" w:rsidRPr="005F120D">
        <w:rPr>
          <w:rFonts w:asciiTheme="minorHAnsi" w:hAnsiTheme="minorHAnsi" w:cstheme="minorHAnsi"/>
          <w:b/>
          <w:i/>
        </w:rPr>
        <w:t>.</w:t>
      </w:r>
    </w:p>
    <w:p w:rsidR="002E23EA" w:rsidRPr="005F120D" w:rsidRDefault="002E23EA" w:rsidP="004E77B3">
      <w:pPr>
        <w:pStyle w:val="Heading3"/>
      </w:pPr>
      <w:bookmarkStart w:id="528" w:name="_Toc385245727"/>
      <w:r w:rsidRPr="005F120D">
        <w:t>Students per classroom (SCR)</w:t>
      </w:r>
      <w:bookmarkEnd w:id="528"/>
    </w:p>
    <w:p w:rsidR="00EB077C" w:rsidRPr="005F120D" w:rsidRDefault="00EB077C" w:rsidP="00EB077C">
      <w:pPr>
        <w:spacing w:after="0" w:line="276" w:lineRule="auto"/>
        <w:jc w:val="both"/>
        <w:rPr>
          <w:rFonts w:asciiTheme="minorHAnsi" w:hAnsiTheme="minorHAnsi" w:cstheme="minorHAnsi"/>
          <w:bCs/>
          <w:sz w:val="24"/>
          <w:szCs w:val="24"/>
        </w:rPr>
      </w:pPr>
      <w:bookmarkStart w:id="529" w:name="_Toc338839609"/>
      <w:bookmarkStart w:id="530" w:name="_Toc385242102"/>
      <w:bookmarkStart w:id="531" w:name="_Toc385414252"/>
      <w:bookmarkStart w:id="532" w:name="_Toc385419607"/>
      <w:r w:rsidRPr="005F120D">
        <w:rPr>
          <w:rFonts w:asciiTheme="minorHAnsi" w:hAnsiTheme="minorHAnsi" w:cstheme="minorHAnsi"/>
        </w:rPr>
        <w:t>The PSQL-10 standard under PEDP3 is that there should be 40 students per classroom. In order to calculate how many schools have achieved this standard, two different approaches were used to calculate the SCR:</w:t>
      </w:r>
    </w:p>
    <w:p w:rsidR="00EB077C" w:rsidRPr="005F120D" w:rsidRDefault="00EB077C" w:rsidP="00EB077C">
      <w:pPr>
        <w:pStyle w:val="ListBullet1"/>
        <w:numPr>
          <w:ilvl w:val="0"/>
          <w:numId w:val="105"/>
        </w:numPr>
        <w:tabs>
          <w:tab w:val="num" w:pos="717"/>
        </w:tabs>
        <w:spacing w:line="276" w:lineRule="auto"/>
        <w:ind w:left="717"/>
        <w:jc w:val="both"/>
        <w:rPr>
          <w:rFonts w:asciiTheme="minorHAnsi" w:hAnsiTheme="minorHAnsi" w:cstheme="minorHAnsi"/>
          <w:color w:val="000000"/>
        </w:rPr>
      </w:pPr>
      <w:r w:rsidRPr="005F120D">
        <w:rPr>
          <w:rFonts w:asciiTheme="minorHAnsi" w:hAnsiTheme="minorHAnsi" w:cstheme="minorHAnsi"/>
          <w:color w:val="000000"/>
        </w:rPr>
        <w:t>In the first approach, the total number of enrolled students was divided by the total number of classrooms for each GPS and NNPS (Note that only useable classrooms are included, based on information from the APSC).</w:t>
      </w:r>
    </w:p>
    <w:p w:rsidR="00EB077C" w:rsidRPr="005F120D" w:rsidRDefault="00EB077C" w:rsidP="00EB077C">
      <w:pPr>
        <w:pStyle w:val="ListBullet1"/>
        <w:numPr>
          <w:ilvl w:val="0"/>
          <w:numId w:val="105"/>
        </w:numPr>
        <w:tabs>
          <w:tab w:val="num" w:pos="717"/>
        </w:tabs>
        <w:spacing w:line="276" w:lineRule="auto"/>
        <w:ind w:left="717"/>
        <w:jc w:val="both"/>
        <w:rPr>
          <w:rFonts w:asciiTheme="minorHAnsi" w:hAnsiTheme="minorHAnsi" w:cstheme="minorHAnsi"/>
          <w:color w:val="000000"/>
        </w:rPr>
      </w:pPr>
      <w:r w:rsidRPr="005F120D">
        <w:rPr>
          <w:rFonts w:asciiTheme="minorHAnsi" w:hAnsiTheme="minorHAnsi" w:cstheme="minorHAnsi"/>
        </w:rPr>
        <w:t xml:space="preserve">In the second approach, the total number of enrolled students was divided by the ‘effective’ number of classrooms for each GPS and NNPS. This takes account of double-shift schools. </w:t>
      </w:r>
      <w:r w:rsidRPr="005F120D">
        <w:rPr>
          <w:rFonts w:asciiTheme="minorHAnsi" w:hAnsiTheme="minorHAnsi" w:cstheme="minorHAnsi"/>
          <w:color w:val="000000"/>
        </w:rPr>
        <w:t>If the school is double shift, it is assumed that all classrooms are used in each shift, and therefore, the number of classrooms is multiplied by two to give the 'effective' number of classrooms. If the school is single shift, the number of ‘effective’ classrooms is the same as the number of classrooms.</w:t>
      </w:r>
    </w:p>
    <w:p w:rsidR="002E23EA" w:rsidRPr="005F120D" w:rsidRDefault="00EB077C" w:rsidP="00EB077C">
      <w:pPr>
        <w:pStyle w:val="ListBullet3"/>
      </w:pPr>
      <w:r w:rsidRPr="005F120D">
        <w:t>Table 4.10 shows that there is an acute shortage of classrooms in both GPS and NNPS because of increased enrolment, though progress has been made between the 2010 baseline (GPS 22% and NNPS 27%) and in 2015 (GPS 28% and NNPS 27%). The ‘effective’ classroom showed improvement between the 2010 baseline (GPS 60% and NNPS 76%) and 2015 (GPS 80% and NNPS 74%).</w:t>
      </w:r>
    </w:p>
    <w:p w:rsidR="002E23EA" w:rsidRPr="005F120D" w:rsidRDefault="002E23EA" w:rsidP="00C437AA">
      <w:pPr>
        <w:pStyle w:val="Caption"/>
        <w:spacing w:line="276" w:lineRule="auto"/>
        <w:rPr>
          <w:rFonts w:cstheme="minorHAnsi"/>
        </w:rPr>
      </w:pPr>
      <w:bookmarkStart w:id="533" w:name="_Toc462837301"/>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10</w:t>
      </w:r>
      <w:r w:rsidR="002E2ED5" w:rsidRPr="005F120D">
        <w:rPr>
          <w:rFonts w:cstheme="minorHAnsi"/>
        </w:rPr>
        <w:fldChar w:fldCharType="end"/>
      </w:r>
      <w:r w:rsidRPr="005F120D">
        <w:rPr>
          <w:rFonts w:cstheme="minorHAnsi"/>
        </w:rPr>
        <w:t>: Schools (GPS and NNPS) which Meet the Students-per-Classroom Standard</w:t>
      </w:r>
      <w:bookmarkEnd w:id="529"/>
      <w:bookmarkEnd w:id="530"/>
      <w:bookmarkEnd w:id="531"/>
      <w:bookmarkEnd w:id="532"/>
      <w:r w:rsidR="000729E8" w:rsidRPr="005F120D">
        <w:rPr>
          <w:rFonts w:cstheme="minorHAnsi"/>
        </w:rPr>
        <w:t xml:space="preserve"> (40:1)</w:t>
      </w:r>
      <w:bookmarkEnd w:id="533"/>
    </w:p>
    <w:tbl>
      <w:tblPr>
        <w:tblW w:w="5017" w:type="pct"/>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single" w:sz="6" w:space="0" w:color="5F497A" w:themeColor="accent4" w:themeShade="BF"/>
          <w:insideV w:val="single" w:sz="6" w:space="0" w:color="5F497A" w:themeColor="accent4" w:themeShade="BF"/>
        </w:tblBorders>
        <w:tblLook w:val="01E0"/>
      </w:tblPr>
      <w:tblGrid>
        <w:gridCol w:w="4850"/>
        <w:gridCol w:w="775"/>
        <w:gridCol w:w="1217"/>
        <w:gridCol w:w="1217"/>
        <w:gridCol w:w="1217"/>
      </w:tblGrid>
      <w:tr w:rsidR="002E23EA" w:rsidRPr="005F120D" w:rsidTr="000C7016">
        <w:trPr>
          <w:trHeight w:val="277"/>
        </w:trPr>
        <w:tc>
          <w:tcPr>
            <w:tcW w:w="2614" w:type="pct"/>
            <w:shd w:val="clear" w:color="auto" w:fill="B2A1C7" w:themeFill="accent4" w:themeFillTint="99"/>
          </w:tcPr>
          <w:p w:rsidR="002E23EA" w:rsidRPr="005F120D" w:rsidRDefault="002E23EA" w:rsidP="00936D9E">
            <w:pPr>
              <w:pStyle w:val="Tabletext"/>
              <w:spacing w:before="0" w:after="0"/>
              <w:rPr>
                <w:rFonts w:asciiTheme="minorHAnsi" w:hAnsiTheme="minorHAnsi" w:cstheme="minorHAnsi"/>
                <w:color w:val="FF0000"/>
              </w:rPr>
            </w:pPr>
          </w:p>
        </w:tc>
        <w:tc>
          <w:tcPr>
            <w:tcW w:w="418" w:type="pct"/>
            <w:shd w:val="clear" w:color="auto" w:fill="B2A1C7" w:themeFill="accent4" w:themeFillTint="99"/>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Year</w:t>
            </w:r>
          </w:p>
        </w:tc>
        <w:tc>
          <w:tcPr>
            <w:tcW w:w="656" w:type="pct"/>
            <w:shd w:val="clear" w:color="auto" w:fill="B2A1C7" w:themeFill="accent4" w:themeFillTint="99"/>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GPS</w:t>
            </w:r>
          </w:p>
        </w:tc>
        <w:tc>
          <w:tcPr>
            <w:tcW w:w="656" w:type="pct"/>
            <w:shd w:val="clear" w:color="auto" w:fill="B2A1C7" w:themeFill="accent4" w:themeFillTint="99"/>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NNPS</w:t>
            </w:r>
          </w:p>
        </w:tc>
        <w:tc>
          <w:tcPr>
            <w:tcW w:w="656" w:type="pct"/>
            <w:shd w:val="clear" w:color="auto" w:fill="B2A1C7" w:themeFill="accent4" w:themeFillTint="99"/>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Total</w:t>
            </w:r>
          </w:p>
        </w:tc>
      </w:tr>
      <w:tr w:rsidR="002E23EA" w:rsidRPr="005F120D" w:rsidTr="000C7016">
        <w:trPr>
          <w:trHeight w:hRule="exact" w:val="271"/>
        </w:trPr>
        <w:tc>
          <w:tcPr>
            <w:tcW w:w="2614" w:type="pct"/>
            <w:vMerge w:val="restart"/>
          </w:tcPr>
          <w:p w:rsidR="002E23EA" w:rsidRPr="005F120D" w:rsidRDefault="002E23EA" w:rsidP="00936D9E">
            <w:pPr>
              <w:pStyle w:val="Tabletext"/>
              <w:spacing w:before="0" w:after="0"/>
              <w:rPr>
                <w:rFonts w:asciiTheme="minorHAnsi" w:hAnsiTheme="minorHAnsi" w:cstheme="minorHAnsi"/>
              </w:rPr>
            </w:pPr>
            <w:r w:rsidRPr="005F120D">
              <w:rPr>
                <w:rFonts w:asciiTheme="minorHAnsi" w:hAnsiTheme="minorHAnsi" w:cstheme="minorHAnsi"/>
              </w:rPr>
              <w:t xml:space="preserve">Percentage of schools which meet the standard: </w:t>
            </w:r>
            <w:r w:rsidRPr="005F120D">
              <w:rPr>
                <w:rFonts w:asciiTheme="minorHAnsi" w:hAnsiTheme="minorHAnsi" w:cstheme="minorHAnsi"/>
              </w:rPr>
              <w:br/>
              <w:t>40 students per classroom  (single shift only)</w:t>
            </w:r>
          </w:p>
        </w:tc>
        <w:tc>
          <w:tcPr>
            <w:tcW w:w="418"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2005</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17</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19</w:t>
            </w:r>
          </w:p>
        </w:tc>
      </w:tr>
      <w:tr w:rsidR="002E23EA" w:rsidRPr="005F120D" w:rsidTr="000C7016">
        <w:trPr>
          <w:trHeight w:hRule="exact" w:val="271"/>
        </w:trPr>
        <w:tc>
          <w:tcPr>
            <w:tcW w:w="2614" w:type="pct"/>
            <w:vMerge/>
          </w:tcPr>
          <w:p w:rsidR="002E23EA" w:rsidRPr="005F120D" w:rsidRDefault="002E23EA" w:rsidP="00936D9E">
            <w:pPr>
              <w:pStyle w:val="Tabletext"/>
              <w:spacing w:before="0" w:after="0"/>
              <w:rPr>
                <w:rFonts w:asciiTheme="minorHAnsi" w:hAnsiTheme="minorHAnsi" w:cstheme="minorHAnsi"/>
              </w:rPr>
            </w:pPr>
          </w:p>
        </w:tc>
        <w:tc>
          <w:tcPr>
            <w:tcW w:w="418"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2010</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22</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18</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21</w:t>
            </w:r>
          </w:p>
        </w:tc>
      </w:tr>
      <w:tr w:rsidR="002E23EA" w:rsidRPr="005F120D" w:rsidTr="000C7016">
        <w:trPr>
          <w:trHeight w:hRule="exact" w:val="271"/>
        </w:trPr>
        <w:tc>
          <w:tcPr>
            <w:tcW w:w="2614" w:type="pct"/>
            <w:vMerge/>
          </w:tcPr>
          <w:p w:rsidR="002E23EA" w:rsidRPr="005F120D" w:rsidRDefault="002E23EA" w:rsidP="00936D9E">
            <w:pPr>
              <w:pStyle w:val="Tabletext"/>
              <w:spacing w:before="0" w:after="0"/>
              <w:rPr>
                <w:rFonts w:asciiTheme="minorHAnsi" w:hAnsiTheme="minorHAnsi" w:cstheme="minorHAnsi"/>
              </w:rPr>
            </w:pPr>
          </w:p>
        </w:tc>
        <w:tc>
          <w:tcPr>
            <w:tcW w:w="418"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2011</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22</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21</w:t>
            </w:r>
          </w:p>
        </w:tc>
      </w:tr>
      <w:tr w:rsidR="002E23EA" w:rsidRPr="005F120D" w:rsidTr="000C7016">
        <w:trPr>
          <w:trHeight w:hRule="exact" w:val="271"/>
        </w:trPr>
        <w:tc>
          <w:tcPr>
            <w:tcW w:w="2614" w:type="pct"/>
            <w:vMerge/>
          </w:tcPr>
          <w:p w:rsidR="002E23EA" w:rsidRPr="005F120D" w:rsidRDefault="002E23EA" w:rsidP="00936D9E">
            <w:pPr>
              <w:pStyle w:val="Tabletext"/>
              <w:spacing w:before="0" w:after="0"/>
              <w:rPr>
                <w:rFonts w:asciiTheme="minorHAnsi" w:hAnsiTheme="minorHAnsi" w:cstheme="minorHAnsi"/>
              </w:rPr>
            </w:pPr>
          </w:p>
        </w:tc>
        <w:tc>
          <w:tcPr>
            <w:tcW w:w="418" w:type="pct"/>
            <w:shd w:val="clear" w:color="auto" w:fill="auto"/>
          </w:tcPr>
          <w:p w:rsidR="002E23EA" w:rsidRPr="005F120D" w:rsidRDefault="002E23EA" w:rsidP="00936D9E">
            <w:pPr>
              <w:pStyle w:val="Tabletext"/>
              <w:tabs>
                <w:tab w:val="center" w:pos="253"/>
              </w:tabs>
              <w:spacing w:before="0" w:after="0"/>
              <w:jc w:val="center"/>
              <w:rPr>
                <w:rFonts w:asciiTheme="minorHAnsi" w:hAnsiTheme="minorHAnsi" w:cstheme="minorHAnsi"/>
              </w:rPr>
            </w:pPr>
            <w:r w:rsidRPr="005F120D">
              <w:rPr>
                <w:rFonts w:asciiTheme="minorHAnsi" w:hAnsiTheme="minorHAnsi" w:cstheme="minorHAnsi"/>
              </w:rPr>
              <w:t>2012</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22</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21</w:t>
            </w:r>
            <w:r w:rsidRPr="005F120D">
              <w:rPr>
                <w:rFonts w:asciiTheme="minorHAnsi" w:hAnsiTheme="minorHAnsi" w:cstheme="minorHAnsi"/>
                <w:vanish/>
              </w:rPr>
              <w:t>3</w:t>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r w:rsidRPr="005F120D">
              <w:rPr>
                <w:rFonts w:asciiTheme="minorHAnsi" w:hAnsiTheme="minorHAnsi" w:cstheme="minorHAnsi"/>
                <w:vanish/>
              </w:rPr>
              <w:pgNum/>
            </w:r>
          </w:p>
        </w:tc>
      </w:tr>
      <w:tr w:rsidR="002E23EA" w:rsidRPr="005F120D" w:rsidTr="000C7016">
        <w:trPr>
          <w:trHeight w:hRule="exact" w:val="271"/>
        </w:trPr>
        <w:tc>
          <w:tcPr>
            <w:tcW w:w="2614" w:type="pct"/>
            <w:vMerge/>
          </w:tcPr>
          <w:p w:rsidR="002E23EA" w:rsidRPr="005F120D" w:rsidRDefault="002E23EA" w:rsidP="00936D9E">
            <w:pPr>
              <w:pStyle w:val="Tabletext"/>
              <w:spacing w:before="0" w:after="0"/>
              <w:rPr>
                <w:rFonts w:asciiTheme="minorHAnsi" w:hAnsiTheme="minorHAnsi" w:cstheme="minorHAnsi"/>
              </w:rPr>
            </w:pPr>
          </w:p>
        </w:tc>
        <w:tc>
          <w:tcPr>
            <w:tcW w:w="418" w:type="pct"/>
            <w:shd w:val="clear" w:color="auto" w:fill="auto"/>
          </w:tcPr>
          <w:p w:rsidR="002E23EA" w:rsidRPr="005F120D" w:rsidRDefault="002E23EA" w:rsidP="00936D9E">
            <w:pPr>
              <w:pStyle w:val="Tabletext"/>
              <w:tabs>
                <w:tab w:val="center" w:pos="253"/>
              </w:tabs>
              <w:spacing w:before="0" w:after="0"/>
              <w:jc w:val="center"/>
              <w:rPr>
                <w:rFonts w:asciiTheme="minorHAnsi" w:hAnsiTheme="minorHAnsi" w:cstheme="minorHAnsi"/>
              </w:rPr>
            </w:pPr>
            <w:r w:rsidRPr="005F120D">
              <w:rPr>
                <w:rFonts w:asciiTheme="minorHAnsi" w:hAnsiTheme="minorHAnsi" w:cstheme="minorHAnsi"/>
              </w:rPr>
              <w:t>2013</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22</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21</w:t>
            </w:r>
          </w:p>
        </w:tc>
      </w:tr>
      <w:tr w:rsidR="005F6330" w:rsidRPr="005F120D" w:rsidTr="000C7016">
        <w:trPr>
          <w:trHeight w:hRule="exact" w:val="271"/>
        </w:trPr>
        <w:tc>
          <w:tcPr>
            <w:tcW w:w="2614" w:type="pct"/>
            <w:vMerge/>
          </w:tcPr>
          <w:p w:rsidR="005F6330" w:rsidRPr="005F120D" w:rsidRDefault="005F6330" w:rsidP="00936D9E">
            <w:pPr>
              <w:pStyle w:val="Tabletext"/>
              <w:spacing w:before="0" w:after="0"/>
              <w:rPr>
                <w:rFonts w:asciiTheme="minorHAnsi" w:hAnsiTheme="minorHAnsi" w:cstheme="minorHAnsi"/>
              </w:rPr>
            </w:pPr>
          </w:p>
        </w:tc>
        <w:tc>
          <w:tcPr>
            <w:tcW w:w="418" w:type="pct"/>
            <w:shd w:val="clear" w:color="auto" w:fill="auto"/>
          </w:tcPr>
          <w:p w:rsidR="005F6330" w:rsidRPr="005F120D" w:rsidRDefault="005F6330" w:rsidP="00936D9E">
            <w:pPr>
              <w:pStyle w:val="Tabletext"/>
              <w:tabs>
                <w:tab w:val="center" w:pos="253"/>
              </w:tabs>
              <w:spacing w:before="0" w:after="0"/>
              <w:jc w:val="center"/>
              <w:rPr>
                <w:rFonts w:asciiTheme="minorHAnsi" w:hAnsiTheme="minorHAnsi" w:cstheme="minorHAnsi"/>
              </w:rPr>
            </w:pPr>
            <w:r w:rsidRPr="005F120D">
              <w:rPr>
                <w:rFonts w:asciiTheme="minorHAnsi" w:hAnsiTheme="minorHAnsi" w:cstheme="minorHAnsi"/>
              </w:rPr>
              <w:t>2014</w:t>
            </w:r>
          </w:p>
        </w:tc>
        <w:tc>
          <w:tcPr>
            <w:tcW w:w="656" w:type="pct"/>
            <w:shd w:val="clear" w:color="auto" w:fill="auto"/>
          </w:tcPr>
          <w:p w:rsidR="005F6330" w:rsidRPr="005F120D" w:rsidRDefault="005F6330" w:rsidP="00936D9E">
            <w:pPr>
              <w:pStyle w:val="Tabletext"/>
              <w:spacing w:before="0" w:after="0"/>
              <w:jc w:val="center"/>
              <w:rPr>
                <w:rFonts w:asciiTheme="minorHAnsi" w:hAnsiTheme="minorHAnsi" w:cstheme="minorHAnsi"/>
              </w:rPr>
            </w:pPr>
            <w:r w:rsidRPr="005F120D">
              <w:rPr>
                <w:rFonts w:asciiTheme="minorHAnsi" w:hAnsiTheme="minorHAnsi" w:cstheme="minorHAnsi"/>
              </w:rPr>
              <w:t>28</w:t>
            </w:r>
          </w:p>
        </w:tc>
        <w:tc>
          <w:tcPr>
            <w:tcW w:w="656" w:type="pct"/>
            <w:shd w:val="clear" w:color="auto" w:fill="auto"/>
          </w:tcPr>
          <w:p w:rsidR="005F6330" w:rsidRPr="005F120D" w:rsidRDefault="005F6330" w:rsidP="00936D9E">
            <w:pPr>
              <w:pStyle w:val="Tabletext"/>
              <w:spacing w:before="0" w:after="0"/>
              <w:jc w:val="center"/>
              <w:rPr>
                <w:rFonts w:asciiTheme="minorHAnsi" w:hAnsiTheme="minorHAnsi" w:cstheme="minorHAnsi"/>
              </w:rPr>
            </w:pPr>
            <w:r w:rsidRPr="005F120D">
              <w:rPr>
                <w:rFonts w:asciiTheme="minorHAnsi" w:hAnsiTheme="minorHAnsi" w:cstheme="minorHAnsi"/>
              </w:rPr>
              <w:t>31</w:t>
            </w:r>
          </w:p>
        </w:tc>
        <w:tc>
          <w:tcPr>
            <w:tcW w:w="656" w:type="pct"/>
            <w:shd w:val="clear" w:color="auto" w:fill="auto"/>
          </w:tcPr>
          <w:p w:rsidR="005F6330" w:rsidRPr="005F120D" w:rsidRDefault="005F6330" w:rsidP="00936D9E">
            <w:pPr>
              <w:pStyle w:val="Tabletext"/>
              <w:spacing w:before="0" w:after="0"/>
              <w:jc w:val="center"/>
              <w:rPr>
                <w:rFonts w:asciiTheme="minorHAnsi" w:hAnsiTheme="minorHAnsi" w:cstheme="minorHAnsi"/>
              </w:rPr>
            </w:pPr>
            <w:r w:rsidRPr="005F120D">
              <w:rPr>
                <w:rFonts w:asciiTheme="minorHAnsi" w:hAnsiTheme="minorHAnsi" w:cstheme="minorHAnsi"/>
              </w:rPr>
              <w:t>24</w:t>
            </w:r>
          </w:p>
        </w:tc>
      </w:tr>
      <w:tr w:rsidR="002E23EA" w:rsidRPr="005F120D" w:rsidTr="000C7016">
        <w:trPr>
          <w:trHeight w:hRule="exact" w:val="271"/>
        </w:trPr>
        <w:tc>
          <w:tcPr>
            <w:tcW w:w="2614" w:type="pct"/>
            <w:vMerge/>
          </w:tcPr>
          <w:p w:rsidR="002E23EA" w:rsidRPr="005F120D" w:rsidRDefault="002E23EA" w:rsidP="00936D9E">
            <w:pPr>
              <w:pStyle w:val="Tabletext"/>
              <w:spacing w:before="0" w:after="0"/>
              <w:rPr>
                <w:rFonts w:asciiTheme="minorHAnsi" w:hAnsiTheme="minorHAnsi" w:cstheme="minorHAnsi"/>
              </w:rPr>
            </w:pPr>
          </w:p>
        </w:tc>
        <w:tc>
          <w:tcPr>
            <w:tcW w:w="418" w:type="pct"/>
            <w:shd w:val="clear" w:color="auto" w:fill="CCC0D9" w:themeFill="accent4" w:themeFillTint="66"/>
          </w:tcPr>
          <w:p w:rsidR="002E23EA" w:rsidRPr="005F120D" w:rsidRDefault="005F6330" w:rsidP="00936D9E">
            <w:pPr>
              <w:pStyle w:val="Tabletext"/>
              <w:tabs>
                <w:tab w:val="center" w:pos="253"/>
              </w:tabs>
              <w:spacing w:before="0" w:after="0"/>
              <w:jc w:val="center"/>
              <w:rPr>
                <w:rFonts w:asciiTheme="minorHAnsi" w:hAnsiTheme="minorHAnsi" w:cstheme="minorHAnsi"/>
              </w:rPr>
            </w:pPr>
            <w:r w:rsidRPr="005F120D">
              <w:rPr>
                <w:rFonts w:asciiTheme="minorHAnsi" w:hAnsiTheme="minorHAnsi" w:cstheme="minorHAnsi"/>
              </w:rPr>
              <w:t>2015</w:t>
            </w:r>
          </w:p>
        </w:tc>
        <w:tc>
          <w:tcPr>
            <w:tcW w:w="656" w:type="pct"/>
            <w:shd w:val="clear" w:color="auto" w:fill="CCC0D9" w:themeFill="accent4" w:themeFillTint="66"/>
          </w:tcPr>
          <w:p w:rsidR="002E23EA" w:rsidRPr="005F120D" w:rsidRDefault="0036029D" w:rsidP="00936D9E">
            <w:pPr>
              <w:pStyle w:val="Tabletext"/>
              <w:spacing w:before="0" w:after="0"/>
              <w:jc w:val="center"/>
              <w:rPr>
                <w:rFonts w:asciiTheme="minorHAnsi" w:hAnsiTheme="minorHAnsi" w:cstheme="minorHAnsi"/>
              </w:rPr>
            </w:pPr>
            <w:r w:rsidRPr="005F120D">
              <w:rPr>
                <w:rFonts w:asciiTheme="minorHAnsi" w:hAnsiTheme="minorHAnsi" w:cstheme="minorHAnsi"/>
              </w:rPr>
              <w:t>27.9</w:t>
            </w:r>
          </w:p>
        </w:tc>
        <w:tc>
          <w:tcPr>
            <w:tcW w:w="656" w:type="pct"/>
            <w:shd w:val="clear" w:color="auto" w:fill="CCC0D9" w:themeFill="accent4" w:themeFillTint="66"/>
          </w:tcPr>
          <w:p w:rsidR="002E23EA" w:rsidRPr="005F120D" w:rsidRDefault="00256A0C" w:rsidP="00936D9E">
            <w:pPr>
              <w:pStyle w:val="Tabletext"/>
              <w:spacing w:before="0" w:after="0"/>
              <w:jc w:val="center"/>
              <w:rPr>
                <w:rFonts w:asciiTheme="minorHAnsi" w:hAnsiTheme="minorHAnsi" w:cstheme="minorHAnsi"/>
              </w:rPr>
            </w:pPr>
            <w:r w:rsidRPr="005F120D">
              <w:rPr>
                <w:rFonts w:asciiTheme="minorHAnsi" w:hAnsiTheme="minorHAnsi" w:cstheme="minorHAnsi"/>
              </w:rPr>
              <w:t>2</w:t>
            </w:r>
            <w:r w:rsidR="0036029D" w:rsidRPr="005F120D">
              <w:rPr>
                <w:rFonts w:asciiTheme="minorHAnsi" w:hAnsiTheme="minorHAnsi" w:cstheme="minorHAnsi"/>
              </w:rPr>
              <w:t>6.9</w:t>
            </w:r>
          </w:p>
        </w:tc>
        <w:tc>
          <w:tcPr>
            <w:tcW w:w="656" w:type="pct"/>
            <w:shd w:val="clear" w:color="auto" w:fill="CCC0D9" w:themeFill="accent4" w:themeFillTint="66"/>
          </w:tcPr>
          <w:p w:rsidR="002E23EA" w:rsidRPr="005F120D" w:rsidRDefault="00E350B5" w:rsidP="00936D9E">
            <w:pPr>
              <w:pStyle w:val="Tabletext"/>
              <w:spacing w:before="0" w:after="0"/>
              <w:jc w:val="center"/>
              <w:rPr>
                <w:rFonts w:asciiTheme="minorHAnsi" w:hAnsiTheme="minorHAnsi" w:cstheme="minorHAnsi"/>
              </w:rPr>
            </w:pPr>
            <w:r w:rsidRPr="005F120D">
              <w:rPr>
                <w:rFonts w:asciiTheme="minorHAnsi" w:hAnsiTheme="minorHAnsi" w:cstheme="minorHAnsi"/>
              </w:rPr>
              <w:t>2</w:t>
            </w:r>
            <w:r w:rsidR="0036029D" w:rsidRPr="005F120D">
              <w:rPr>
                <w:rFonts w:asciiTheme="minorHAnsi" w:hAnsiTheme="minorHAnsi" w:cstheme="minorHAnsi"/>
              </w:rPr>
              <w:t>8</w:t>
            </w:r>
            <w:r w:rsidRPr="005F120D">
              <w:rPr>
                <w:rFonts w:asciiTheme="minorHAnsi" w:hAnsiTheme="minorHAnsi" w:cstheme="minorHAnsi"/>
              </w:rPr>
              <w:t>.</w:t>
            </w:r>
            <w:r w:rsidR="0036029D" w:rsidRPr="005F120D">
              <w:rPr>
                <w:rFonts w:asciiTheme="minorHAnsi" w:hAnsiTheme="minorHAnsi" w:cstheme="minorHAnsi"/>
              </w:rPr>
              <w:t>7</w:t>
            </w:r>
          </w:p>
        </w:tc>
      </w:tr>
      <w:tr w:rsidR="002E23EA" w:rsidRPr="005F120D" w:rsidTr="000C7016">
        <w:trPr>
          <w:trHeight w:hRule="exact" w:val="271"/>
        </w:trPr>
        <w:tc>
          <w:tcPr>
            <w:tcW w:w="2614" w:type="pct"/>
            <w:vMerge w:val="restart"/>
            <w:shd w:val="clear" w:color="auto" w:fill="auto"/>
          </w:tcPr>
          <w:p w:rsidR="002E23EA" w:rsidRPr="005F120D" w:rsidRDefault="002E23EA" w:rsidP="00936D9E">
            <w:pPr>
              <w:pStyle w:val="Tabletext"/>
              <w:spacing w:before="0" w:after="0"/>
              <w:rPr>
                <w:rFonts w:asciiTheme="minorHAnsi" w:hAnsiTheme="minorHAnsi" w:cstheme="minorHAnsi"/>
              </w:rPr>
            </w:pPr>
            <w:r w:rsidRPr="005F120D">
              <w:rPr>
                <w:rFonts w:asciiTheme="minorHAnsi" w:hAnsiTheme="minorHAnsi" w:cstheme="minorHAnsi"/>
              </w:rPr>
              <w:t xml:space="preserve">Percentage of schools which meet the standard: </w:t>
            </w:r>
            <w:r w:rsidRPr="005F120D">
              <w:rPr>
                <w:rFonts w:asciiTheme="minorHAnsi" w:hAnsiTheme="minorHAnsi" w:cstheme="minorHAnsi"/>
              </w:rPr>
              <w:br/>
              <w:t xml:space="preserve">40 students per ‘effective’ classroom </w:t>
            </w:r>
          </w:p>
        </w:tc>
        <w:tc>
          <w:tcPr>
            <w:tcW w:w="418"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2005</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63</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77</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67</w:t>
            </w:r>
          </w:p>
        </w:tc>
      </w:tr>
      <w:tr w:rsidR="002E23EA" w:rsidRPr="005F120D" w:rsidTr="000C7016">
        <w:trPr>
          <w:trHeight w:hRule="exact" w:val="271"/>
        </w:trPr>
        <w:tc>
          <w:tcPr>
            <w:tcW w:w="2614" w:type="pct"/>
            <w:vMerge/>
            <w:shd w:val="clear" w:color="auto" w:fill="auto"/>
          </w:tcPr>
          <w:p w:rsidR="002E23EA" w:rsidRPr="005F120D" w:rsidRDefault="002E23EA" w:rsidP="00936D9E">
            <w:pPr>
              <w:pStyle w:val="Tabletext"/>
              <w:spacing w:before="0" w:after="0"/>
              <w:rPr>
                <w:rFonts w:asciiTheme="minorHAnsi" w:hAnsiTheme="minorHAnsi" w:cstheme="minorHAnsi"/>
                <w:color w:val="FF0000"/>
              </w:rPr>
            </w:pPr>
          </w:p>
        </w:tc>
        <w:tc>
          <w:tcPr>
            <w:tcW w:w="418"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2010</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60</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76</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65</w:t>
            </w:r>
          </w:p>
        </w:tc>
      </w:tr>
      <w:tr w:rsidR="002E23EA" w:rsidRPr="005F120D" w:rsidTr="000C7016">
        <w:trPr>
          <w:trHeight w:hRule="exact" w:val="271"/>
        </w:trPr>
        <w:tc>
          <w:tcPr>
            <w:tcW w:w="2614" w:type="pct"/>
            <w:vMerge/>
            <w:shd w:val="clear" w:color="auto" w:fill="auto"/>
          </w:tcPr>
          <w:p w:rsidR="002E23EA" w:rsidRPr="005F120D" w:rsidRDefault="002E23EA" w:rsidP="00936D9E">
            <w:pPr>
              <w:pStyle w:val="Tabletext"/>
              <w:spacing w:before="0" w:after="0"/>
              <w:rPr>
                <w:rFonts w:asciiTheme="minorHAnsi" w:hAnsiTheme="minorHAnsi" w:cstheme="minorHAnsi"/>
                <w:color w:val="FF0000"/>
              </w:rPr>
            </w:pPr>
          </w:p>
        </w:tc>
        <w:tc>
          <w:tcPr>
            <w:tcW w:w="418"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2011</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60</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79</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67</w:t>
            </w:r>
          </w:p>
        </w:tc>
      </w:tr>
      <w:tr w:rsidR="002E23EA" w:rsidRPr="005F120D" w:rsidTr="000C7016">
        <w:trPr>
          <w:trHeight w:hRule="exact" w:val="271"/>
        </w:trPr>
        <w:tc>
          <w:tcPr>
            <w:tcW w:w="2614" w:type="pct"/>
            <w:vMerge/>
            <w:shd w:val="clear" w:color="auto" w:fill="auto"/>
          </w:tcPr>
          <w:p w:rsidR="002E23EA" w:rsidRPr="005F120D" w:rsidRDefault="002E23EA" w:rsidP="00936D9E">
            <w:pPr>
              <w:pStyle w:val="Tabletext"/>
              <w:spacing w:before="0" w:after="0"/>
              <w:rPr>
                <w:rFonts w:asciiTheme="minorHAnsi" w:hAnsiTheme="minorHAnsi" w:cstheme="minorHAnsi"/>
                <w:color w:val="FF0000"/>
              </w:rPr>
            </w:pPr>
          </w:p>
        </w:tc>
        <w:tc>
          <w:tcPr>
            <w:tcW w:w="418"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2012</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56</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73</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62</w:t>
            </w:r>
          </w:p>
        </w:tc>
      </w:tr>
      <w:tr w:rsidR="002E23EA" w:rsidRPr="005F120D" w:rsidTr="000C7016">
        <w:trPr>
          <w:trHeight w:hRule="exact" w:val="271"/>
        </w:trPr>
        <w:tc>
          <w:tcPr>
            <w:tcW w:w="2614" w:type="pct"/>
            <w:vMerge/>
            <w:shd w:val="clear" w:color="auto" w:fill="auto"/>
          </w:tcPr>
          <w:p w:rsidR="002E23EA" w:rsidRPr="005F120D" w:rsidRDefault="002E23EA" w:rsidP="00936D9E">
            <w:pPr>
              <w:pStyle w:val="Tabletext"/>
              <w:spacing w:before="0" w:after="0"/>
              <w:rPr>
                <w:rFonts w:asciiTheme="minorHAnsi" w:hAnsiTheme="minorHAnsi" w:cstheme="minorHAnsi"/>
                <w:color w:val="FF0000"/>
              </w:rPr>
            </w:pPr>
          </w:p>
        </w:tc>
        <w:tc>
          <w:tcPr>
            <w:tcW w:w="418"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2013</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56</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73</w:t>
            </w:r>
          </w:p>
        </w:tc>
        <w:tc>
          <w:tcPr>
            <w:tcW w:w="656" w:type="pct"/>
            <w:shd w:val="clear" w:color="auto" w:fill="auto"/>
          </w:tcPr>
          <w:p w:rsidR="002E23EA" w:rsidRPr="005F120D" w:rsidRDefault="002E23EA" w:rsidP="00936D9E">
            <w:pPr>
              <w:pStyle w:val="Tabletext"/>
              <w:spacing w:before="0" w:after="0"/>
              <w:jc w:val="center"/>
              <w:rPr>
                <w:rFonts w:asciiTheme="minorHAnsi" w:hAnsiTheme="minorHAnsi" w:cstheme="minorHAnsi"/>
              </w:rPr>
            </w:pPr>
            <w:r w:rsidRPr="005F120D">
              <w:rPr>
                <w:rFonts w:asciiTheme="minorHAnsi" w:hAnsiTheme="minorHAnsi" w:cstheme="minorHAnsi"/>
              </w:rPr>
              <w:t>62</w:t>
            </w:r>
          </w:p>
        </w:tc>
      </w:tr>
      <w:tr w:rsidR="005F6330" w:rsidRPr="005F120D" w:rsidTr="000C7016">
        <w:trPr>
          <w:trHeight w:hRule="exact" w:val="271"/>
        </w:trPr>
        <w:tc>
          <w:tcPr>
            <w:tcW w:w="2614" w:type="pct"/>
            <w:vMerge/>
            <w:shd w:val="clear" w:color="auto" w:fill="auto"/>
          </w:tcPr>
          <w:p w:rsidR="005F6330" w:rsidRPr="005F120D" w:rsidRDefault="005F6330" w:rsidP="00936D9E">
            <w:pPr>
              <w:pStyle w:val="Tabletext"/>
              <w:spacing w:before="0" w:after="0"/>
              <w:rPr>
                <w:rFonts w:asciiTheme="minorHAnsi" w:hAnsiTheme="minorHAnsi" w:cstheme="minorHAnsi"/>
                <w:color w:val="FF0000"/>
              </w:rPr>
            </w:pPr>
          </w:p>
        </w:tc>
        <w:tc>
          <w:tcPr>
            <w:tcW w:w="418" w:type="pct"/>
            <w:shd w:val="clear" w:color="auto" w:fill="auto"/>
          </w:tcPr>
          <w:p w:rsidR="005F6330" w:rsidRPr="005F120D" w:rsidRDefault="005F6330" w:rsidP="00936D9E">
            <w:pPr>
              <w:pStyle w:val="Tabletext"/>
              <w:spacing w:before="0" w:after="0"/>
              <w:jc w:val="center"/>
              <w:rPr>
                <w:rFonts w:asciiTheme="minorHAnsi" w:hAnsiTheme="minorHAnsi" w:cstheme="minorHAnsi"/>
              </w:rPr>
            </w:pPr>
            <w:r w:rsidRPr="005F120D">
              <w:rPr>
                <w:rFonts w:asciiTheme="minorHAnsi" w:hAnsiTheme="minorHAnsi" w:cstheme="minorHAnsi"/>
              </w:rPr>
              <w:t>2014</w:t>
            </w:r>
          </w:p>
        </w:tc>
        <w:tc>
          <w:tcPr>
            <w:tcW w:w="656" w:type="pct"/>
            <w:shd w:val="clear" w:color="auto" w:fill="auto"/>
          </w:tcPr>
          <w:p w:rsidR="005F6330" w:rsidRPr="005F120D" w:rsidRDefault="005F6330" w:rsidP="00936D9E">
            <w:pPr>
              <w:pStyle w:val="Tabletext"/>
              <w:spacing w:before="0" w:after="0"/>
              <w:jc w:val="center"/>
              <w:rPr>
                <w:rFonts w:asciiTheme="minorHAnsi" w:hAnsiTheme="minorHAnsi" w:cstheme="minorHAnsi"/>
              </w:rPr>
            </w:pPr>
            <w:r w:rsidRPr="005F120D">
              <w:rPr>
                <w:rFonts w:asciiTheme="minorHAnsi" w:hAnsiTheme="minorHAnsi" w:cstheme="minorHAnsi"/>
              </w:rPr>
              <w:t>62</w:t>
            </w:r>
          </w:p>
        </w:tc>
        <w:tc>
          <w:tcPr>
            <w:tcW w:w="656" w:type="pct"/>
            <w:shd w:val="clear" w:color="auto" w:fill="auto"/>
          </w:tcPr>
          <w:p w:rsidR="005F6330" w:rsidRPr="005F120D" w:rsidRDefault="005F6330" w:rsidP="00936D9E">
            <w:pPr>
              <w:pStyle w:val="Tabletext"/>
              <w:spacing w:before="0" w:after="0"/>
              <w:jc w:val="center"/>
              <w:rPr>
                <w:rFonts w:asciiTheme="minorHAnsi" w:hAnsiTheme="minorHAnsi" w:cstheme="minorHAnsi"/>
              </w:rPr>
            </w:pPr>
            <w:r w:rsidRPr="005F120D">
              <w:rPr>
                <w:rFonts w:asciiTheme="minorHAnsi" w:hAnsiTheme="minorHAnsi" w:cstheme="minorHAnsi"/>
              </w:rPr>
              <w:t>75</w:t>
            </w:r>
          </w:p>
        </w:tc>
        <w:tc>
          <w:tcPr>
            <w:tcW w:w="656" w:type="pct"/>
            <w:shd w:val="clear" w:color="auto" w:fill="auto"/>
          </w:tcPr>
          <w:p w:rsidR="005F6330" w:rsidRPr="005F120D" w:rsidRDefault="005F6330" w:rsidP="00936D9E">
            <w:pPr>
              <w:pStyle w:val="Tabletext"/>
              <w:spacing w:before="0" w:after="0"/>
              <w:jc w:val="center"/>
              <w:rPr>
                <w:rFonts w:asciiTheme="minorHAnsi" w:hAnsiTheme="minorHAnsi" w:cstheme="minorHAnsi"/>
              </w:rPr>
            </w:pPr>
            <w:r w:rsidRPr="005F120D">
              <w:rPr>
                <w:rFonts w:asciiTheme="minorHAnsi" w:hAnsiTheme="minorHAnsi" w:cstheme="minorHAnsi"/>
              </w:rPr>
              <w:t>65</w:t>
            </w:r>
          </w:p>
        </w:tc>
      </w:tr>
      <w:tr w:rsidR="002E23EA" w:rsidRPr="005F120D" w:rsidTr="000C7016">
        <w:trPr>
          <w:trHeight w:hRule="exact" w:val="271"/>
        </w:trPr>
        <w:tc>
          <w:tcPr>
            <w:tcW w:w="2614" w:type="pct"/>
            <w:vMerge/>
            <w:shd w:val="clear" w:color="auto" w:fill="auto"/>
          </w:tcPr>
          <w:p w:rsidR="002E23EA" w:rsidRPr="005F120D" w:rsidRDefault="002E23EA" w:rsidP="00936D9E">
            <w:pPr>
              <w:pStyle w:val="Tabletext"/>
              <w:spacing w:before="0" w:after="0"/>
              <w:rPr>
                <w:rFonts w:asciiTheme="minorHAnsi" w:hAnsiTheme="minorHAnsi" w:cstheme="minorHAnsi"/>
                <w:color w:val="FF0000"/>
              </w:rPr>
            </w:pPr>
          </w:p>
        </w:tc>
        <w:tc>
          <w:tcPr>
            <w:tcW w:w="418" w:type="pct"/>
            <w:shd w:val="clear" w:color="auto" w:fill="CCC0D9" w:themeFill="accent4" w:themeFillTint="66"/>
          </w:tcPr>
          <w:p w:rsidR="002E23EA" w:rsidRPr="005F120D" w:rsidRDefault="005F6330" w:rsidP="00936D9E">
            <w:pPr>
              <w:pStyle w:val="Tabletext"/>
              <w:spacing w:before="0" w:after="0"/>
              <w:jc w:val="center"/>
              <w:rPr>
                <w:rFonts w:asciiTheme="minorHAnsi" w:hAnsiTheme="minorHAnsi" w:cstheme="minorHAnsi"/>
              </w:rPr>
            </w:pPr>
            <w:r w:rsidRPr="005F120D">
              <w:rPr>
                <w:rFonts w:asciiTheme="minorHAnsi" w:hAnsiTheme="minorHAnsi" w:cstheme="minorHAnsi"/>
              </w:rPr>
              <w:t>2015</w:t>
            </w:r>
          </w:p>
        </w:tc>
        <w:tc>
          <w:tcPr>
            <w:tcW w:w="656" w:type="pct"/>
            <w:shd w:val="clear" w:color="auto" w:fill="CCC0D9" w:themeFill="accent4" w:themeFillTint="66"/>
          </w:tcPr>
          <w:p w:rsidR="002E23EA" w:rsidRPr="005F120D" w:rsidRDefault="002C79F0" w:rsidP="00936D9E">
            <w:pPr>
              <w:pStyle w:val="Tabletext"/>
              <w:spacing w:before="0" w:after="0"/>
              <w:jc w:val="center"/>
              <w:rPr>
                <w:rFonts w:asciiTheme="minorHAnsi" w:hAnsiTheme="minorHAnsi" w:cstheme="minorHAnsi"/>
              </w:rPr>
            </w:pPr>
            <w:r w:rsidRPr="005F120D">
              <w:rPr>
                <w:rFonts w:asciiTheme="minorHAnsi" w:hAnsiTheme="minorHAnsi" w:cstheme="minorHAnsi"/>
              </w:rPr>
              <w:t>80</w:t>
            </w:r>
          </w:p>
        </w:tc>
        <w:tc>
          <w:tcPr>
            <w:tcW w:w="656" w:type="pct"/>
            <w:shd w:val="clear" w:color="auto" w:fill="CCC0D9" w:themeFill="accent4" w:themeFillTint="66"/>
          </w:tcPr>
          <w:p w:rsidR="002E23EA" w:rsidRPr="005F120D" w:rsidRDefault="002C79F0" w:rsidP="00936D9E">
            <w:pPr>
              <w:pStyle w:val="Tabletext"/>
              <w:spacing w:before="0" w:after="0"/>
              <w:jc w:val="center"/>
              <w:rPr>
                <w:rFonts w:asciiTheme="minorHAnsi" w:hAnsiTheme="minorHAnsi" w:cstheme="minorHAnsi"/>
              </w:rPr>
            </w:pPr>
            <w:r w:rsidRPr="005F120D">
              <w:rPr>
                <w:rFonts w:asciiTheme="minorHAnsi" w:hAnsiTheme="minorHAnsi" w:cstheme="minorHAnsi"/>
              </w:rPr>
              <w:t>74</w:t>
            </w:r>
          </w:p>
        </w:tc>
        <w:tc>
          <w:tcPr>
            <w:tcW w:w="656" w:type="pct"/>
            <w:shd w:val="clear" w:color="auto" w:fill="CCC0D9" w:themeFill="accent4" w:themeFillTint="66"/>
          </w:tcPr>
          <w:p w:rsidR="002E23EA" w:rsidRPr="005F120D" w:rsidRDefault="0027602E" w:rsidP="00936D9E">
            <w:pPr>
              <w:pStyle w:val="Tabletext"/>
              <w:spacing w:before="0" w:after="0"/>
              <w:jc w:val="center"/>
              <w:rPr>
                <w:rFonts w:asciiTheme="minorHAnsi" w:hAnsiTheme="minorHAnsi" w:cstheme="minorHAnsi"/>
              </w:rPr>
            </w:pPr>
            <w:r w:rsidRPr="005F120D">
              <w:rPr>
                <w:rFonts w:asciiTheme="minorHAnsi" w:hAnsiTheme="minorHAnsi" w:cstheme="minorHAnsi"/>
              </w:rPr>
              <w:t>7</w:t>
            </w:r>
            <w:r w:rsidR="0036029D" w:rsidRPr="005F120D">
              <w:rPr>
                <w:rFonts w:asciiTheme="minorHAnsi" w:hAnsiTheme="minorHAnsi" w:cstheme="minorHAnsi"/>
              </w:rPr>
              <w:t>7</w:t>
            </w:r>
          </w:p>
        </w:tc>
      </w:tr>
    </w:tbl>
    <w:p w:rsidR="002E23EA" w:rsidRPr="005F120D" w:rsidRDefault="00BE395D" w:rsidP="00C437AA">
      <w:pPr>
        <w:pStyle w:val="BodyText1"/>
        <w:spacing w:after="0"/>
        <w:rPr>
          <w:rFonts w:asciiTheme="minorHAnsi" w:hAnsiTheme="minorHAnsi" w:cstheme="minorHAnsi"/>
          <w:sz w:val="16"/>
          <w:szCs w:val="16"/>
        </w:rPr>
      </w:pPr>
      <w:r w:rsidRPr="005F120D">
        <w:rPr>
          <w:rFonts w:asciiTheme="minorHAnsi" w:hAnsiTheme="minorHAnsi" w:cstheme="minorHAnsi"/>
          <w:sz w:val="16"/>
          <w:szCs w:val="16"/>
        </w:rPr>
        <w:t>Source: APSC 2006, 2010 and 2015</w:t>
      </w:r>
    </w:p>
    <w:bookmarkEnd w:id="524"/>
    <w:bookmarkEnd w:id="525"/>
    <w:bookmarkEnd w:id="526"/>
    <w:bookmarkEnd w:id="527"/>
    <w:p w:rsidR="00EB077C" w:rsidRPr="005F120D" w:rsidRDefault="00EB077C" w:rsidP="00EB077C">
      <w:pPr>
        <w:pStyle w:val="BodyText1"/>
        <w:spacing w:before="240"/>
        <w:jc w:val="both"/>
        <w:rPr>
          <w:rFonts w:asciiTheme="minorHAnsi" w:hAnsiTheme="minorHAnsi" w:cstheme="minorHAnsi"/>
          <w:b w:val="0"/>
          <w:color w:val="000000"/>
        </w:rPr>
      </w:pPr>
      <w:r w:rsidRPr="005F120D">
        <w:rPr>
          <w:rFonts w:asciiTheme="minorHAnsi" w:hAnsiTheme="minorHAnsi" w:cstheme="minorHAnsi"/>
          <w:b w:val="0"/>
          <w:color w:val="000000"/>
        </w:rPr>
        <w:lastRenderedPageBreak/>
        <w:t>When the SCR does not take shifts into account (i.e. the first approach), this exaggerates the problem of overcrowding. The second approach captures what a visitor to a school would witness: as most schools run two shifts (the ‘staggered system’), not all students are in school at any given time. The first approach reveals what would happen if schools switched to single shift and students began spending five hours in school: in that case, the issue of overcrowding would become more obvious.</w:t>
      </w:r>
    </w:p>
    <w:p w:rsidR="00EB077C" w:rsidRPr="005F120D" w:rsidRDefault="00EB077C" w:rsidP="00EB077C">
      <w:pPr>
        <w:pStyle w:val="BodyText1"/>
        <w:spacing w:before="240"/>
        <w:jc w:val="both"/>
        <w:rPr>
          <w:rFonts w:asciiTheme="minorHAnsi" w:hAnsiTheme="minorHAnsi" w:cstheme="minorHAnsi"/>
          <w:b w:val="0"/>
          <w:color w:val="000000"/>
        </w:rPr>
      </w:pPr>
      <w:r w:rsidRPr="005F120D">
        <w:rPr>
          <w:rFonts w:asciiTheme="minorHAnsi" w:hAnsiTheme="minorHAnsi" w:cstheme="minorHAnsi"/>
          <w:b w:val="0"/>
          <w:color w:val="000000"/>
        </w:rPr>
        <w:t>Given that APSC does not collect information on which grade uses a particular classroom, the calculation is at the level of the school: it is possible that within a particular school, which does not meet the standard on the whole, the standard is achieved at Grade 2 and Grade 5 where the level of enrolment is lower. Conversely, it is possible that within a school, which meets the standard on the whole, the standard is not achieved in lower grades where enrolment is higher, as in Grade 1.</w:t>
      </w:r>
    </w:p>
    <w:p w:rsidR="00EB077C" w:rsidRPr="005F120D" w:rsidRDefault="00EB077C" w:rsidP="00EB077C">
      <w:pPr>
        <w:pStyle w:val="ListBullet1"/>
        <w:numPr>
          <w:ilvl w:val="0"/>
          <w:numId w:val="106"/>
        </w:numPr>
        <w:spacing w:line="276" w:lineRule="auto"/>
        <w:jc w:val="both"/>
        <w:rPr>
          <w:rFonts w:asciiTheme="minorHAnsi" w:hAnsiTheme="minorHAnsi" w:cstheme="minorHAnsi"/>
          <w:color w:val="000000"/>
        </w:rPr>
      </w:pPr>
      <w:r w:rsidRPr="005F120D">
        <w:rPr>
          <w:rFonts w:asciiTheme="minorHAnsi" w:hAnsiTheme="minorHAnsi" w:cstheme="minorHAnsi"/>
          <w:color w:val="000000"/>
        </w:rPr>
        <w:t>According to the first approach, 33% of schools met the average standard of 40 students per classroom in 2015, which is over the figure for 2010 (21%) and for 2014 (24%). There has been little movement in this ratio for GPS since 2005, despite the addition of more than 40,000 classrooms during PEDPII and about 20,000 needs based classrooms during PEDP3 to the GPS classroom stock, because enrolment levels have grown as well. There has also been improvement in the SCR for NNPS of about 10 percentage points since 2005.</w:t>
      </w:r>
    </w:p>
    <w:p w:rsidR="00EB077C" w:rsidRPr="005F120D" w:rsidRDefault="00EB077C" w:rsidP="00EB077C">
      <w:pPr>
        <w:pStyle w:val="ListBullet1"/>
        <w:numPr>
          <w:ilvl w:val="0"/>
          <w:numId w:val="106"/>
        </w:numPr>
        <w:spacing w:before="240" w:line="276" w:lineRule="auto"/>
        <w:jc w:val="both"/>
        <w:rPr>
          <w:rFonts w:asciiTheme="minorHAnsi" w:hAnsiTheme="minorHAnsi" w:cstheme="minorHAnsi"/>
        </w:rPr>
      </w:pPr>
      <w:r w:rsidRPr="005F120D">
        <w:rPr>
          <w:rFonts w:asciiTheme="minorHAnsi" w:hAnsiTheme="minorHAnsi" w:cstheme="minorHAnsi"/>
        </w:rPr>
        <w:t>According to the second approach, 77% of schools met the average standard of 40 students per ‘effective’ classroom in 2015. A considerably higher proportion of GPS and NNPS met the standard. The main reason behind this situation is that on average all the NNPS (97%) are double shift school. In addition fewer students are enrolled in the NNPS especially from the northwest part of Bangladesh.</w:t>
      </w:r>
    </w:p>
    <w:p w:rsidR="00EB077C" w:rsidRPr="005F120D" w:rsidRDefault="00EB077C" w:rsidP="00EB077C">
      <w:pPr>
        <w:spacing w:before="240" w:line="276" w:lineRule="auto"/>
        <w:jc w:val="both"/>
        <w:rPr>
          <w:rFonts w:asciiTheme="minorHAnsi" w:hAnsiTheme="minorHAnsi" w:cstheme="minorHAnsi"/>
          <w:color w:val="000000"/>
        </w:rPr>
      </w:pPr>
      <w:r w:rsidRPr="005F120D">
        <w:rPr>
          <w:rFonts w:asciiTheme="minorHAnsi" w:hAnsiTheme="minorHAnsi" w:cstheme="minorHAnsi"/>
          <w:color w:val="000000"/>
        </w:rPr>
        <w:t>The student-per-classroom indicator ignores the fact that classroom sizes vary: whether 40 students are attending lessons in a large classroom or are cramped in a small classroom does not change the indicator. An alternative approach is therefore to measure the number of students per classroom square meter. The school census collects information on classroom size. A classroom of sufficient size for 40 students should be 40 m</w:t>
      </w:r>
      <w:r w:rsidRPr="005F120D">
        <w:rPr>
          <w:rFonts w:asciiTheme="minorHAnsi" w:hAnsiTheme="minorHAnsi" w:cstheme="minorHAnsi"/>
          <w:color w:val="000000"/>
          <w:vertAlign w:val="superscript"/>
        </w:rPr>
        <w:t>2</w:t>
      </w:r>
      <w:r w:rsidRPr="005F120D">
        <w:rPr>
          <w:rFonts w:asciiTheme="minorHAnsi" w:hAnsiTheme="minorHAnsi" w:cstheme="minorHAnsi"/>
          <w:color w:val="000000"/>
        </w:rPr>
        <w:t>, which is equal to 1 m</w:t>
      </w:r>
      <w:r w:rsidRPr="005F120D">
        <w:rPr>
          <w:rFonts w:asciiTheme="minorHAnsi" w:hAnsiTheme="minorHAnsi" w:cstheme="minorHAnsi"/>
          <w:color w:val="000000"/>
          <w:vertAlign w:val="superscript"/>
        </w:rPr>
        <w:t>2</w:t>
      </w:r>
      <w:r w:rsidRPr="005F120D">
        <w:rPr>
          <w:rFonts w:asciiTheme="minorHAnsi" w:hAnsiTheme="minorHAnsi" w:cstheme="minorHAnsi"/>
          <w:color w:val="000000"/>
        </w:rPr>
        <w:t xml:space="preserve"> per student. </w:t>
      </w:r>
      <w:r w:rsidRPr="005F120D">
        <w:rPr>
          <w:rFonts w:asciiTheme="minorHAnsi" w:hAnsiTheme="minorHAnsi" w:cstheme="minorHAnsi"/>
        </w:rPr>
        <w:t xml:space="preserve">About </w:t>
      </w:r>
      <w:r w:rsidRPr="005F120D">
        <w:rPr>
          <w:rFonts w:asciiTheme="minorHAnsi" w:hAnsiTheme="minorHAnsi" w:cstheme="minorHAnsi"/>
          <w:color w:val="000000"/>
        </w:rPr>
        <w:t>48% of schools met this explicit minimum standard, a slight improvement on the figure in 2015. A higher percentage of GPS met the standard compared to NNPS because GPS classrooms tend to be 50% larger.</w:t>
      </w:r>
    </w:p>
    <w:p w:rsidR="00EB077C" w:rsidRPr="005F120D" w:rsidRDefault="00EB077C" w:rsidP="00EB077C">
      <w:pPr>
        <w:spacing w:before="240" w:line="276" w:lineRule="auto"/>
        <w:jc w:val="both"/>
        <w:rPr>
          <w:rFonts w:asciiTheme="minorHAnsi" w:hAnsiTheme="minorHAnsi" w:cstheme="minorHAnsi"/>
        </w:rPr>
      </w:pPr>
      <w:r w:rsidRPr="005F120D">
        <w:rPr>
          <w:rFonts w:asciiTheme="minorHAnsi" w:hAnsiTheme="minorHAnsi" w:cstheme="minorHAnsi"/>
        </w:rPr>
        <w:t>Similar to the caveats on STR, the SCR calculation includes both primary and pre-primary students because APSC did not disaggregate classroom use for pre-primary classes from overall classroom stock.  Inclusion of the new pre-primary classrooms into the classrooms stock, therefore, may have the effect of lowering the proportion of primary schools meeting the SCR standard of 40 students per classroom.</w:t>
      </w:r>
    </w:p>
    <w:p w:rsidR="00A05FA7" w:rsidRPr="005F120D" w:rsidRDefault="00EB077C" w:rsidP="00EB077C">
      <w:pPr>
        <w:spacing w:before="240" w:line="276" w:lineRule="auto"/>
        <w:jc w:val="both"/>
        <w:rPr>
          <w:rFonts w:asciiTheme="minorHAnsi" w:hAnsiTheme="minorHAnsi" w:cstheme="minorHAnsi"/>
          <w:color w:val="000000" w:themeColor="text1"/>
        </w:rPr>
      </w:pPr>
      <w:r w:rsidRPr="005F120D">
        <w:rPr>
          <w:rFonts w:asciiTheme="minorHAnsi" w:hAnsiTheme="minorHAnsi" w:cstheme="minorHAnsi"/>
          <w:color w:val="000000"/>
        </w:rPr>
        <w:t>In addition, if one considers that the actual student attendance is around 87%, then fewer students than those enrolled are actually in the classroom, and the proportion of schools that meet the standard in practice is in fact higher i.e. more schools may meet the standard</w:t>
      </w:r>
      <w:r w:rsidR="004828EF" w:rsidRPr="005F120D">
        <w:rPr>
          <w:rFonts w:asciiTheme="minorHAnsi" w:hAnsiTheme="minorHAnsi" w:cstheme="minorHAnsi"/>
          <w:color w:val="000000" w:themeColor="text1"/>
        </w:rPr>
        <w:t>.</w:t>
      </w:r>
    </w:p>
    <w:p w:rsidR="00B1561C" w:rsidRPr="005F120D" w:rsidRDefault="00B1561C" w:rsidP="00C437AA">
      <w:pPr>
        <w:spacing w:before="240" w:line="276" w:lineRule="auto"/>
        <w:jc w:val="both"/>
        <w:rPr>
          <w:rFonts w:asciiTheme="minorHAnsi" w:hAnsiTheme="minorHAnsi" w:cstheme="minorHAnsi"/>
        </w:rPr>
      </w:pPr>
    </w:p>
    <w:p w:rsidR="00332BB3" w:rsidRPr="005F120D" w:rsidRDefault="00332BB3" w:rsidP="004E77B3">
      <w:pPr>
        <w:pStyle w:val="Heading3"/>
      </w:pPr>
      <w:bookmarkStart w:id="534" w:name="_Toc338839524"/>
      <w:bookmarkStart w:id="535" w:name="_Toc338856174"/>
      <w:bookmarkStart w:id="536" w:name="_Toc385242108"/>
      <w:bookmarkStart w:id="537" w:name="_Toc385245730"/>
      <w:r w:rsidRPr="005F120D">
        <w:lastRenderedPageBreak/>
        <w:t>P</w:t>
      </w:r>
      <w:r w:rsidR="002358E7" w:rsidRPr="005F120D">
        <w:t xml:space="preserve">ercentage of standard size classroom </w:t>
      </w:r>
      <w:r w:rsidR="002358E7" w:rsidRPr="005F120D">
        <w:rPr>
          <w:rFonts w:eastAsia="Calibri"/>
          <w:sz w:val="20"/>
        </w:rPr>
        <w:t xml:space="preserve">(19’6’’X17’4”) </w:t>
      </w:r>
      <w:r w:rsidR="002358E7" w:rsidRPr="005F120D">
        <w:t>and larger</w:t>
      </w:r>
      <w:r w:rsidRPr="005F120D">
        <w:t xml:space="preserve"> constructed </w:t>
      </w:r>
      <w:bookmarkEnd w:id="534"/>
      <w:bookmarkEnd w:id="535"/>
      <w:bookmarkEnd w:id="536"/>
      <w:bookmarkEnd w:id="537"/>
    </w:p>
    <w:p w:rsidR="00EB077C" w:rsidRPr="005F120D" w:rsidRDefault="00EB077C" w:rsidP="00EB077C">
      <w:pPr>
        <w:spacing w:line="276" w:lineRule="auto"/>
        <w:jc w:val="both"/>
        <w:rPr>
          <w:rFonts w:asciiTheme="minorHAnsi" w:hAnsiTheme="minorHAnsi" w:cstheme="minorHAnsi"/>
        </w:rPr>
      </w:pPr>
      <w:bookmarkStart w:id="538" w:name="_Ref387664637"/>
      <w:bookmarkStart w:id="539" w:name="_Ref207473189"/>
      <w:bookmarkStart w:id="540" w:name="_Ref330755961"/>
      <w:bookmarkStart w:id="541" w:name="_Toc338839640"/>
      <w:bookmarkStart w:id="542" w:name="_Toc385242109"/>
      <w:bookmarkStart w:id="543" w:name="_Toc385414291"/>
      <w:bookmarkStart w:id="544" w:name="_Toc385419680"/>
      <w:r w:rsidRPr="005F120D">
        <w:rPr>
          <w:rFonts w:asciiTheme="minorHAnsi" w:hAnsiTheme="minorHAnsi" w:cstheme="minorHAnsi"/>
        </w:rPr>
        <w:t xml:space="preserve">In the commencement of PEDP3 there were three PSQLs standards for classrooms.  To meet </w:t>
      </w:r>
      <w:r w:rsidR="00E4262D" w:rsidRPr="005F120D">
        <w:rPr>
          <w:rFonts w:asciiTheme="minorHAnsi" w:hAnsiTheme="minorHAnsi" w:cstheme="minorHAnsi"/>
        </w:rPr>
        <w:t>these classroom</w:t>
      </w:r>
      <w:r w:rsidRPr="005F120D">
        <w:rPr>
          <w:rFonts w:asciiTheme="minorHAnsi" w:hAnsiTheme="minorHAnsi" w:cstheme="minorHAnsi"/>
        </w:rPr>
        <w:t xml:space="preserve"> must be: (PSQL-13) pacca classroom (built with durable materials); (PSQL-12), a large classroom (at least 26' x 19'6” / 47.1m</w:t>
      </w:r>
      <w:r w:rsidRPr="005F120D">
        <w:rPr>
          <w:rFonts w:asciiTheme="minorHAnsi" w:hAnsiTheme="minorHAnsi" w:cstheme="minorHAnsi"/>
          <w:vertAlign w:val="superscript"/>
        </w:rPr>
        <w:t>2</w:t>
      </w:r>
      <w:r w:rsidRPr="005F120D">
        <w:rPr>
          <w:rFonts w:asciiTheme="minorHAnsi" w:hAnsiTheme="minorHAnsi" w:cstheme="minorHAnsi"/>
        </w:rPr>
        <w:t>); and (PSQL-10) and a classroom in good condition. In the MTR 2014, these three PSQLs were revised and re-fixed as one PSQL.</w:t>
      </w:r>
    </w:p>
    <w:p w:rsidR="00EB077C" w:rsidRPr="005F120D" w:rsidRDefault="00EB077C" w:rsidP="00EB077C">
      <w:pPr>
        <w:spacing w:line="276" w:lineRule="auto"/>
        <w:jc w:val="both"/>
        <w:rPr>
          <w:rFonts w:asciiTheme="minorHAnsi" w:hAnsiTheme="minorHAnsi" w:cstheme="minorHAnsi"/>
          <w:i/>
        </w:rPr>
      </w:pPr>
      <w:r w:rsidRPr="005F120D">
        <w:rPr>
          <w:rFonts w:asciiTheme="minorHAnsi" w:hAnsiTheme="minorHAnsi" w:cstheme="minorHAnsi"/>
        </w:rPr>
        <w:t>The previous APSC contained questions on all three criteria, although the last is subjective and depends on the Head Teacher’s assessment, due to a lack of a clear-cut definition of a classroom in good condition. PEDP3 constructed all pacca classrooms. As a result these 2 PSQLs were removed and only PSQL-11; ‘Percentage</w:t>
      </w:r>
      <w:r w:rsidRPr="005F120D">
        <w:rPr>
          <w:rFonts w:asciiTheme="minorHAnsi" w:hAnsiTheme="minorHAnsi" w:cstheme="minorHAnsi"/>
          <w:i/>
        </w:rPr>
        <w:t xml:space="preserve"> of standard-size classrooms </w:t>
      </w:r>
      <w:r w:rsidRPr="005F120D">
        <w:rPr>
          <w:rFonts w:asciiTheme="minorHAnsi" w:eastAsia="Calibri" w:hAnsiTheme="minorHAnsi" w:cstheme="minorHAnsi"/>
          <w:i/>
          <w:sz w:val="20"/>
        </w:rPr>
        <w:t xml:space="preserve">(19’6’’X17’4”) </w:t>
      </w:r>
      <w:r w:rsidRPr="005F120D">
        <w:rPr>
          <w:rFonts w:asciiTheme="minorHAnsi" w:hAnsiTheme="minorHAnsi" w:cstheme="minorHAnsi"/>
          <w:i/>
        </w:rPr>
        <w:t xml:space="preserve">and larger constructed’ </w:t>
      </w:r>
      <w:r w:rsidRPr="005F120D">
        <w:rPr>
          <w:rFonts w:asciiTheme="minorHAnsi" w:hAnsiTheme="minorHAnsi" w:cstheme="minorHAnsi"/>
        </w:rPr>
        <w:t>was retained.</w:t>
      </w:r>
    </w:p>
    <w:p w:rsidR="00EB077C" w:rsidRPr="005F120D" w:rsidRDefault="00EB077C" w:rsidP="00EB077C">
      <w:pPr>
        <w:spacing w:line="276" w:lineRule="auto"/>
        <w:jc w:val="both"/>
        <w:rPr>
          <w:rFonts w:asciiTheme="minorHAnsi" w:hAnsiTheme="minorHAnsi" w:cstheme="minorHAnsi"/>
        </w:rPr>
      </w:pPr>
      <w:r w:rsidRPr="005F120D">
        <w:rPr>
          <w:rFonts w:asciiTheme="minorHAnsi" w:hAnsiTheme="minorHAnsi" w:cstheme="minorHAnsi"/>
        </w:rPr>
        <w:t xml:space="preserve">The proportion of the GPS/NNPS classrooms that meet the PSQL criteria on room size </w:t>
      </w:r>
      <w:r w:rsidRPr="005F120D">
        <w:rPr>
          <w:rFonts w:asciiTheme="minorHAnsi" w:eastAsia="Calibri" w:hAnsiTheme="minorHAnsi" w:cstheme="minorHAnsi"/>
          <w:sz w:val="20"/>
        </w:rPr>
        <w:t>(</w:t>
      </w:r>
      <w:r w:rsidRPr="005F120D">
        <w:rPr>
          <w:rFonts w:asciiTheme="minorHAnsi" w:eastAsia="Calibri" w:hAnsiTheme="minorHAnsi" w:cstheme="minorHAnsi"/>
        </w:rPr>
        <w:t>26’X19’6’’ or larger)</w:t>
      </w:r>
      <w:r w:rsidRPr="005F120D">
        <w:rPr>
          <w:rFonts w:asciiTheme="minorHAnsi" w:hAnsiTheme="minorHAnsi" w:cstheme="minorHAnsi"/>
        </w:rPr>
        <w:t xml:space="preserve"> has been declining since 2010.  The reason for the downward trend is that the PEDP3’s standard room size </w:t>
      </w:r>
      <w:r w:rsidRPr="005F120D">
        <w:rPr>
          <w:rFonts w:asciiTheme="minorHAnsi" w:eastAsia="Calibri" w:hAnsiTheme="minorHAnsi" w:cstheme="minorHAnsi"/>
        </w:rPr>
        <w:t xml:space="preserve">is ‘19’X17’4’’ or larger’; </w:t>
      </w:r>
      <w:r w:rsidRPr="005F120D">
        <w:rPr>
          <w:rFonts w:asciiTheme="minorHAnsi" w:hAnsiTheme="minorHAnsi" w:cstheme="minorHAnsi"/>
        </w:rPr>
        <w:t>accordingly, new construction under PEDP3 is smaller than the PEDPII classroom size. Thus, all the new classrooms built over the past three years do not meet this PSQL standard. This indicator was calculated to consider the PEDP3 classroom size ‘</w:t>
      </w:r>
      <w:r w:rsidRPr="005F120D">
        <w:rPr>
          <w:rFonts w:asciiTheme="minorHAnsi" w:eastAsia="Calibri" w:hAnsiTheme="minorHAnsi" w:cstheme="minorHAnsi"/>
          <w:i/>
          <w:sz w:val="20"/>
        </w:rPr>
        <w:t>19’X17’4”/30.9</w:t>
      </w:r>
      <w:r w:rsidRPr="005F120D">
        <w:rPr>
          <w:rFonts w:asciiTheme="minorHAnsi" w:hAnsiTheme="minorHAnsi" w:cstheme="minorHAnsi"/>
        </w:rPr>
        <w:t>m</w:t>
      </w:r>
      <w:r w:rsidRPr="005F120D">
        <w:rPr>
          <w:rFonts w:asciiTheme="minorHAnsi" w:hAnsiTheme="minorHAnsi" w:cstheme="minorHAnsi"/>
          <w:vertAlign w:val="superscript"/>
        </w:rPr>
        <w:t>2</w:t>
      </w:r>
      <w:r w:rsidRPr="005F120D">
        <w:rPr>
          <w:rFonts w:asciiTheme="minorHAnsi" w:hAnsiTheme="minorHAnsi" w:cstheme="minorHAnsi"/>
        </w:rPr>
        <w:t xml:space="preserve"> or larger’ since 2014. As a result progress in 2014 (71%) jumped compared to that of 2013 (38%) but was consistent with 2015, which had slightly improved at 71.4% (GPS 72.6% and NNPS 68.8%). </w:t>
      </w:r>
    </w:p>
    <w:p w:rsidR="005C2031" w:rsidRPr="005F120D" w:rsidRDefault="00EB077C" w:rsidP="00EB077C">
      <w:pPr>
        <w:spacing w:line="276" w:lineRule="auto"/>
        <w:jc w:val="both"/>
        <w:rPr>
          <w:rFonts w:asciiTheme="minorHAnsi" w:hAnsiTheme="minorHAnsi" w:cstheme="minorHAnsi"/>
        </w:rPr>
      </w:pPr>
      <w:r w:rsidRPr="005F120D">
        <w:rPr>
          <w:rFonts w:asciiTheme="minorHAnsi" w:hAnsiTheme="minorHAnsi" w:cstheme="minorHAnsi"/>
        </w:rPr>
        <w:t xml:space="preserve">Figure 4.13 displays the proportion of classrooms which are </w:t>
      </w:r>
      <w:r w:rsidRPr="005F120D">
        <w:rPr>
          <w:rFonts w:asciiTheme="minorHAnsi" w:hAnsiTheme="minorHAnsi" w:cstheme="minorHAnsi"/>
          <w:i/>
        </w:rPr>
        <w:t>standard size and</w:t>
      </w:r>
      <w:r w:rsidRPr="005F120D">
        <w:rPr>
          <w:rFonts w:asciiTheme="minorHAnsi" w:hAnsiTheme="minorHAnsi" w:cstheme="minorHAnsi"/>
        </w:rPr>
        <w:t xml:space="preserve"> larger, by type of school. It shows that the trend towards </w:t>
      </w:r>
      <w:r w:rsidRPr="005F120D">
        <w:rPr>
          <w:rFonts w:asciiTheme="minorHAnsi" w:hAnsiTheme="minorHAnsi" w:cstheme="minorHAnsi"/>
          <w:i/>
        </w:rPr>
        <w:t>standard size</w:t>
      </w:r>
      <w:r w:rsidRPr="005F120D">
        <w:rPr>
          <w:rFonts w:asciiTheme="minorHAnsi" w:hAnsiTheme="minorHAnsi" w:cstheme="minorHAnsi"/>
        </w:rPr>
        <w:t xml:space="preserve"> classrooms has continued in a positive direction. Around 72.6% of GPS classrooms and around 69% of NNPS classrooms are standard size (PEDP3: </w:t>
      </w:r>
      <w:r w:rsidRPr="005F120D">
        <w:rPr>
          <w:rFonts w:asciiTheme="minorHAnsi" w:eastAsia="Calibri" w:hAnsiTheme="minorHAnsi" w:cstheme="minorHAnsi"/>
          <w:i/>
          <w:sz w:val="20"/>
        </w:rPr>
        <w:t>19’X17’4”</w:t>
      </w:r>
      <w:r w:rsidRPr="005F120D">
        <w:rPr>
          <w:rFonts w:asciiTheme="minorHAnsi" w:hAnsiTheme="minorHAnsi" w:cstheme="minorHAnsi"/>
        </w:rPr>
        <w:t xml:space="preserve">) or larger, but the PEDP3 size is </w:t>
      </w:r>
      <w:r w:rsidRPr="005F120D">
        <w:rPr>
          <w:rFonts w:asciiTheme="minorHAnsi" w:eastAsia="Calibri" w:hAnsiTheme="minorHAnsi" w:cstheme="minorHAnsi"/>
          <w:i/>
          <w:sz w:val="20"/>
        </w:rPr>
        <w:t>30.9</w:t>
      </w:r>
      <w:r w:rsidRPr="005F120D">
        <w:rPr>
          <w:rFonts w:asciiTheme="minorHAnsi" w:hAnsiTheme="minorHAnsi" w:cstheme="minorHAnsi"/>
        </w:rPr>
        <w:t>m</w:t>
      </w:r>
      <w:r w:rsidRPr="005F120D">
        <w:rPr>
          <w:rFonts w:asciiTheme="minorHAnsi" w:hAnsiTheme="minorHAnsi" w:cstheme="minorHAnsi"/>
          <w:vertAlign w:val="superscript"/>
        </w:rPr>
        <w:t>2</w:t>
      </w:r>
      <w:r w:rsidRPr="005F120D">
        <w:rPr>
          <w:rFonts w:asciiTheme="minorHAnsi" w:hAnsiTheme="minorHAnsi" w:cstheme="minorHAnsi"/>
        </w:rPr>
        <w:t xml:space="preserve"> which is not consistent with the PEDP3 SCR standard of 40:1</w:t>
      </w:r>
      <w:r w:rsidR="00C34862" w:rsidRPr="005F120D">
        <w:rPr>
          <w:rFonts w:asciiTheme="minorHAnsi" w:hAnsiTheme="minorHAnsi" w:cstheme="minorHAnsi"/>
        </w:rPr>
        <w:t xml:space="preserve">. </w:t>
      </w:r>
    </w:p>
    <w:p w:rsidR="005C2031" w:rsidRPr="005F120D" w:rsidRDefault="005C2031" w:rsidP="00C437AA">
      <w:pPr>
        <w:pStyle w:val="Caption"/>
        <w:spacing w:line="276" w:lineRule="auto"/>
        <w:rPr>
          <w:rFonts w:cstheme="minorHAnsi"/>
        </w:rPr>
      </w:pPr>
      <w:bookmarkStart w:id="545" w:name="_Toc462837455"/>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12</w:t>
      </w:r>
      <w:r w:rsidR="002E2ED5" w:rsidRPr="005F120D">
        <w:rPr>
          <w:rFonts w:cstheme="minorHAnsi"/>
        </w:rPr>
        <w:fldChar w:fldCharType="end"/>
      </w:r>
      <w:r w:rsidRPr="005F120D">
        <w:rPr>
          <w:rFonts w:cstheme="minorHAnsi"/>
        </w:rPr>
        <w:t xml:space="preserve">: </w:t>
      </w:r>
      <w:r w:rsidR="00B353F6" w:rsidRPr="005F120D">
        <w:rPr>
          <w:rFonts w:cstheme="minorHAnsi"/>
        </w:rPr>
        <w:t>P</w:t>
      </w:r>
      <w:r w:rsidR="00967201" w:rsidRPr="005F120D">
        <w:rPr>
          <w:rFonts w:cstheme="minorHAnsi"/>
        </w:rPr>
        <w:t xml:space="preserve">roportion of classrooms which are </w:t>
      </w:r>
      <w:r w:rsidR="00967201" w:rsidRPr="005F120D">
        <w:rPr>
          <w:rFonts w:cstheme="minorHAnsi"/>
          <w:i/>
        </w:rPr>
        <w:t>standard size and</w:t>
      </w:r>
      <w:r w:rsidR="00967201" w:rsidRPr="005F120D">
        <w:rPr>
          <w:rFonts w:cstheme="minorHAnsi"/>
        </w:rPr>
        <w:t xml:space="preserve"> larger2010-201</w:t>
      </w:r>
      <w:r w:rsidR="00EF59F6" w:rsidRPr="005F120D">
        <w:rPr>
          <w:rFonts w:cstheme="minorHAnsi"/>
        </w:rPr>
        <w:t>5</w:t>
      </w:r>
      <w:bookmarkEnd w:id="545"/>
    </w:p>
    <w:p w:rsidR="00D120A8" w:rsidRPr="005F120D" w:rsidRDefault="002E2ED5" w:rsidP="00C437AA">
      <w:pPr>
        <w:spacing w:after="40" w:line="276" w:lineRule="auto"/>
        <w:jc w:val="center"/>
        <w:rPr>
          <w:rFonts w:asciiTheme="minorHAnsi" w:hAnsiTheme="minorHAnsi" w:cstheme="minorHAnsi"/>
        </w:rPr>
      </w:pPr>
      <w:r>
        <w:rPr>
          <w:rFonts w:asciiTheme="minorHAnsi" w:hAnsiTheme="minorHAnsi" w:cstheme="minorHAnsi"/>
          <w:noProof/>
          <w:lang w:eastAsia="en-US"/>
        </w:rPr>
        <w:pict>
          <v:shape id="AutoShape 404" o:spid="_x0000_s1077" type="#_x0000_t32" style="position:absolute;left:0;text-align:left;margin-left:44pt;margin-top:67.25pt;width:345.5pt;height:0;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" strokecolor="#c00000" strokeweight="2pt">
            <v:shadow opacity=".5" offset="6pt,6pt"/>
          </v:shape>
        </w:pict>
      </w:r>
      <w:r w:rsidR="00D353D0" w:rsidRPr="005F120D">
        <w:rPr>
          <w:rFonts w:asciiTheme="minorHAnsi" w:hAnsiTheme="minorHAnsi" w:cstheme="minorHAnsi"/>
          <w:noProof/>
          <w:lang w:eastAsia="en-US"/>
        </w:rPr>
        <w:drawing>
          <wp:inline distT="0" distB="0" distL="0" distR="0">
            <wp:extent cx="5564996" cy="2430852"/>
            <wp:effectExtent l="38100" t="19050" r="16654" b="7548"/>
            <wp:docPr id="11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120A8" w:rsidRPr="005F120D" w:rsidRDefault="00EF59F6" w:rsidP="00C437AA">
      <w:pPr>
        <w:spacing w:line="276" w:lineRule="auto"/>
        <w:rPr>
          <w:rFonts w:asciiTheme="minorHAnsi" w:hAnsiTheme="minorHAnsi" w:cstheme="minorHAnsi"/>
          <w:b/>
          <w:sz w:val="16"/>
          <w:szCs w:val="16"/>
        </w:rPr>
      </w:pPr>
      <w:r w:rsidRPr="005F120D">
        <w:rPr>
          <w:rFonts w:asciiTheme="minorHAnsi" w:hAnsiTheme="minorHAnsi" w:cstheme="minorHAnsi"/>
          <w:b/>
          <w:sz w:val="16"/>
          <w:szCs w:val="16"/>
        </w:rPr>
        <w:t xml:space="preserve">           Source: APSC 2010-2015</w:t>
      </w:r>
    </w:p>
    <w:p w:rsidR="00586EC5" w:rsidRPr="005F120D" w:rsidRDefault="00586EC5" w:rsidP="00586EC5">
      <w:pPr>
        <w:spacing w:line="276" w:lineRule="auto"/>
        <w:jc w:val="both"/>
        <w:rPr>
          <w:rFonts w:asciiTheme="minorHAnsi" w:hAnsiTheme="minorHAnsi" w:cstheme="minorHAnsi"/>
        </w:rPr>
      </w:pPr>
      <w:r w:rsidRPr="005F120D">
        <w:rPr>
          <w:rFonts w:asciiTheme="minorHAnsi" w:hAnsiTheme="minorHAnsi" w:cstheme="minorHAnsi"/>
        </w:rPr>
        <w:lastRenderedPageBreak/>
        <w:t xml:space="preserve">A related standard on classroom size is the square meter per pupil. The minimum norm is 1 square meter (10.764 square feet) per pupil [UNESCO].  Hence, the PEDP3 room size of 330 square feet </w:t>
      </w:r>
      <w:r w:rsidRPr="005F120D">
        <w:rPr>
          <w:rFonts w:asciiTheme="minorHAnsi" w:eastAsia="Calibri" w:hAnsiTheme="minorHAnsi" w:cstheme="minorHAnsi"/>
        </w:rPr>
        <w:t xml:space="preserve">(19’X17’4’’) can accommodate only a maximum of 30 pupils, which is significantly lower than the current SCR norms of DPE 40:1. </w:t>
      </w:r>
      <w:r w:rsidRPr="005F120D">
        <w:rPr>
          <w:rFonts w:asciiTheme="minorHAnsi" w:hAnsiTheme="minorHAnsi" w:cstheme="minorHAnsi"/>
        </w:rPr>
        <w:t xml:space="preserve">It is recommended that one square meter be the required space per student and that the future room size be increased accordingly (at least </w:t>
      </w:r>
      <w:r w:rsidRPr="005F120D">
        <w:rPr>
          <w:rFonts w:asciiTheme="minorHAnsi" w:eastAsia="Calibri" w:hAnsiTheme="minorHAnsi" w:cstheme="minorHAnsi"/>
          <w:i/>
          <w:sz w:val="20"/>
        </w:rPr>
        <w:t>40</w:t>
      </w:r>
      <w:r w:rsidRPr="005F120D">
        <w:rPr>
          <w:rFonts w:asciiTheme="minorHAnsi" w:hAnsiTheme="minorHAnsi" w:cstheme="minorHAnsi"/>
        </w:rPr>
        <w:t>m</w:t>
      </w:r>
      <w:r w:rsidRPr="005F120D">
        <w:rPr>
          <w:rFonts w:asciiTheme="minorHAnsi" w:hAnsiTheme="minorHAnsi" w:cstheme="minorHAnsi"/>
          <w:vertAlign w:val="superscript"/>
        </w:rPr>
        <w:t>2</w:t>
      </w:r>
      <w:r w:rsidRPr="005F120D">
        <w:rPr>
          <w:rFonts w:asciiTheme="minorHAnsi" w:hAnsiTheme="minorHAnsi" w:cstheme="minorHAnsi"/>
        </w:rPr>
        <w:t xml:space="preserve"> instead </w:t>
      </w:r>
      <w:r w:rsidRPr="005F120D">
        <w:rPr>
          <w:rFonts w:asciiTheme="minorHAnsi" w:eastAsia="Calibri" w:hAnsiTheme="minorHAnsi" w:cstheme="minorHAnsi"/>
          <w:i/>
          <w:sz w:val="20"/>
        </w:rPr>
        <w:t>30.9</w:t>
      </w:r>
      <w:r w:rsidRPr="005F120D">
        <w:rPr>
          <w:rFonts w:asciiTheme="minorHAnsi" w:hAnsiTheme="minorHAnsi" w:cstheme="minorHAnsi"/>
        </w:rPr>
        <w:t>m</w:t>
      </w:r>
      <w:r w:rsidRPr="005F120D">
        <w:rPr>
          <w:rFonts w:asciiTheme="minorHAnsi" w:hAnsiTheme="minorHAnsi" w:cstheme="minorHAnsi"/>
          <w:vertAlign w:val="superscript"/>
        </w:rPr>
        <w:t>2</w:t>
      </w:r>
      <w:r w:rsidRPr="005F120D">
        <w:rPr>
          <w:rFonts w:asciiTheme="minorHAnsi" w:hAnsiTheme="minorHAnsi" w:cstheme="minorHAnsi"/>
        </w:rPr>
        <w:t>).</w:t>
      </w:r>
    </w:p>
    <w:p w:rsidR="005C2031" w:rsidRPr="005F120D" w:rsidRDefault="00586EC5" w:rsidP="00586EC5">
      <w:pPr>
        <w:spacing w:line="276" w:lineRule="auto"/>
        <w:jc w:val="both"/>
        <w:rPr>
          <w:rFonts w:asciiTheme="minorHAnsi" w:hAnsiTheme="minorHAnsi" w:cstheme="minorHAnsi"/>
        </w:rPr>
      </w:pPr>
      <w:r w:rsidRPr="005F120D">
        <w:rPr>
          <w:rFonts w:asciiTheme="minorHAnsi" w:hAnsiTheme="minorHAnsi" w:cstheme="minorHAnsi"/>
        </w:rPr>
        <w:t>It is also worth investigating the current stock of 'half rooms' in schools.  ‘Half rooms’ are found in pre-1996 built schools. The logic was that the half room could be used for very small sized classes or for teachers’/Head Teacher’s room. LGED also built 3.5 and even 2.5 room schools</w:t>
      </w:r>
      <w:r w:rsidR="00B353F6" w:rsidRPr="005F120D">
        <w:rPr>
          <w:rFonts w:asciiTheme="minorHAnsi" w:hAnsiTheme="minorHAnsi" w:cstheme="minorHAnsi"/>
        </w:rPr>
        <w:t>.</w:t>
      </w:r>
    </w:p>
    <w:p w:rsidR="005C2031" w:rsidRPr="005F120D" w:rsidRDefault="00852552" w:rsidP="00C437AA">
      <w:pPr>
        <w:pStyle w:val="Heading4"/>
        <w:spacing w:line="276" w:lineRule="auto"/>
        <w:rPr>
          <w:rFonts w:asciiTheme="minorHAnsi" w:hAnsiTheme="minorHAnsi" w:cstheme="minorHAnsi"/>
          <w:b/>
          <w:color w:val="006600"/>
        </w:rPr>
      </w:pPr>
      <w:r w:rsidRPr="005F120D">
        <w:rPr>
          <w:rFonts w:asciiTheme="minorHAnsi" w:hAnsiTheme="minorHAnsi" w:cstheme="minorHAnsi"/>
          <w:b/>
          <w:color w:val="006600"/>
        </w:rPr>
        <w:t>Uses of rooms</w:t>
      </w:r>
      <w:r w:rsidR="00CA6650" w:rsidRPr="005F120D">
        <w:rPr>
          <w:rFonts w:asciiTheme="minorHAnsi" w:hAnsiTheme="minorHAnsi" w:cstheme="minorHAnsi"/>
          <w:b/>
          <w:color w:val="006600"/>
        </w:rPr>
        <w:t xml:space="preserve"> in GPS &amp; NNPS</w:t>
      </w:r>
    </w:p>
    <w:p w:rsidR="000A036A" w:rsidRPr="005F120D" w:rsidRDefault="00586EC5" w:rsidP="00C437AA">
      <w:pPr>
        <w:spacing w:line="276" w:lineRule="auto"/>
        <w:jc w:val="both"/>
        <w:rPr>
          <w:rFonts w:asciiTheme="minorHAnsi" w:hAnsiTheme="minorHAnsi" w:cstheme="minorHAnsi"/>
        </w:rPr>
      </w:pPr>
      <w:r w:rsidRPr="005F120D">
        <w:rPr>
          <w:rFonts w:asciiTheme="minorHAnsi" w:hAnsiTheme="minorHAnsi" w:cstheme="minorHAnsi"/>
        </w:rPr>
        <w:t xml:space="preserve">The APSC 2015 collected information about the use of rooms in GPS and NNPS. A total of 305,360 rooms (GPS 209,252 and in NNPS 96,108 rooms) were listed including 9,018 pre-primary classrooms (GPS had 7,984 and NNPS 1,034 pre-primary classrooms).In the GPS, 77% </w:t>
      </w:r>
      <w:r w:rsidR="00904B82">
        <w:rPr>
          <w:rFonts w:asciiTheme="minorHAnsi" w:hAnsiTheme="minorHAnsi" w:cstheme="minorHAnsi"/>
        </w:rPr>
        <w:t xml:space="preserve">of </w:t>
      </w:r>
      <w:r w:rsidRPr="005F120D">
        <w:rPr>
          <w:rFonts w:asciiTheme="minorHAnsi" w:hAnsiTheme="minorHAnsi" w:cstheme="minorHAnsi"/>
        </w:rPr>
        <w:t>rooms were used for classroom teaching and learning (including 3.8% of pre-primary classrooms); 14% of rooms for Head Teachers or Assistant teachers’ offices; and 4.3% for store rooms. Similarly, in NNPS, 78.6% of rooms were used as classrooms (1.1% pre-primary classrooms); 18% of rooms were used as a Head Teachers’ or Assistant teachers’ offices; and 1.1% of</w:t>
      </w:r>
      <w:r w:rsidR="00904B82">
        <w:rPr>
          <w:rFonts w:asciiTheme="minorHAnsi" w:hAnsiTheme="minorHAnsi" w:cstheme="minorHAnsi"/>
        </w:rPr>
        <w:t xml:space="preserve"> rooms were used as store rooms;</w:t>
      </w:r>
      <w:r w:rsidRPr="005F120D">
        <w:rPr>
          <w:rFonts w:asciiTheme="minorHAnsi" w:hAnsiTheme="minorHAnsi" w:cstheme="minorHAnsi"/>
        </w:rPr>
        <w:t xml:space="preserve"> 1% of rooms in both school categories were used as a library. The following Figure 4.14 shows the use of rooms for the three main categories based on utilization</w:t>
      </w:r>
      <w:r w:rsidR="00736AFB" w:rsidRPr="005F120D">
        <w:rPr>
          <w:rFonts w:asciiTheme="minorHAnsi" w:hAnsiTheme="minorHAnsi" w:cstheme="minorHAnsi"/>
        </w:rPr>
        <w:t>.</w:t>
      </w:r>
    </w:p>
    <w:p w:rsidR="00344E65" w:rsidRPr="005F120D" w:rsidRDefault="00344E65" w:rsidP="00C437AA">
      <w:pPr>
        <w:pStyle w:val="Caption"/>
        <w:spacing w:line="276" w:lineRule="auto"/>
        <w:rPr>
          <w:rFonts w:cstheme="minorHAnsi"/>
        </w:rPr>
      </w:pPr>
      <w:bookmarkStart w:id="546" w:name="_Toc462837456"/>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13</w:t>
      </w:r>
      <w:r w:rsidR="002E2ED5" w:rsidRPr="005F120D">
        <w:rPr>
          <w:rFonts w:cstheme="minorHAnsi"/>
        </w:rPr>
        <w:fldChar w:fldCharType="end"/>
      </w:r>
      <w:r w:rsidR="00AA5CC5" w:rsidRPr="005F120D">
        <w:rPr>
          <w:rFonts w:cstheme="minorHAnsi"/>
        </w:rPr>
        <w:t>: Use</w:t>
      </w:r>
      <w:r w:rsidR="00E4262D">
        <w:rPr>
          <w:rFonts w:cstheme="minorHAnsi"/>
        </w:rPr>
        <w:t xml:space="preserve"> </w:t>
      </w:r>
      <w:r w:rsidR="00AA5CC5" w:rsidRPr="005F120D">
        <w:rPr>
          <w:rFonts w:cstheme="minorHAnsi"/>
        </w:rPr>
        <w:t>of R</w:t>
      </w:r>
      <w:r w:rsidRPr="005F120D">
        <w:rPr>
          <w:rFonts w:cstheme="minorHAnsi"/>
        </w:rPr>
        <w:t>ooms</w:t>
      </w:r>
      <w:r w:rsidR="003D7629" w:rsidRPr="005F120D">
        <w:rPr>
          <w:rFonts w:cstheme="minorHAnsi"/>
        </w:rPr>
        <w:t xml:space="preserve"> (GPS &amp; NNPS)</w:t>
      </w:r>
      <w:r w:rsidRPr="005F120D">
        <w:rPr>
          <w:rFonts w:cstheme="minorHAnsi"/>
        </w:rPr>
        <w:t xml:space="preserve"> 20</w:t>
      </w:r>
      <w:r w:rsidR="00AA5CC5" w:rsidRPr="005F120D">
        <w:rPr>
          <w:rFonts w:cstheme="minorHAnsi"/>
        </w:rPr>
        <w:t>14 and 20</w:t>
      </w:r>
      <w:r w:rsidRPr="005F120D">
        <w:rPr>
          <w:rFonts w:cstheme="minorHAnsi"/>
        </w:rPr>
        <w:t>1</w:t>
      </w:r>
      <w:r w:rsidR="00B435A8" w:rsidRPr="005F120D">
        <w:rPr>
          <w:rFonts w:cstheme="minorHAnsi"/>
        </w:rPr>
        <w:t>5</w:t>
      </w:r>
      <w:bookmarkEnd w:id="546"/>
    </w:p>
    <w:p w:rsidR="00852552" w:rsidRPr="005F120D" w:rsidRDefault="00B8759F" w:rsidP="00C437AA">
      <w:pPr>
        <w:spacing w:after="40" w:line="276" w:lineRule="auto"/>
        <w:jc w:val="center"/>
        <w:rPr>
          <w:rFonts w:asciiTheme="minorHAnsi" w:hAnsiTheme="minorHAnsi" w:cstheme="minorHAnsi"/>
          <w:color w:val="FF0000"/>
        </w:rPr>
      </w:pPr>
      <w:r w:rsidRPr="005F120D">
        <w:rPr>
          <w:rFonts w:asciiTheme="minorHAnsi" w:hAnsiTheme="minorHAnsi" w:cstheme="minorHAnsi"/>
          <w:noProof/>
          <w:color w:val="3333CC"/>
          <w:lang w:eastAsia="en-US"/>
        </w:rPr>
        <w:drawing>
          <wp:inline distT="0" distB="0" distL="0" distR="0">
            <wp:extent cx="5740400" cy="2857500"/>
            <wp:effectExtent l="38100" t="19050" r="12700" b="0"/>
            <wp:docPr id="113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A356A" w:rsidRPr="005F120D" w:rsidRDefault="00344E65" w:rsidP="00C437AA">
      <w:pPr>
        <w:spacing w:line="276" w:lineRule="auto"/>
        <w:rPr>
          <w:rFonts w:asciiTheme="minorHAnsi" w:hAnsiTheme="minorHAnsi" w:cstheme="minorHAnsi"/>
          <w:b/>
          <w:sz w:val="16"/>
          <w:szCs w:val="16"/>
        </w:rPr>
      </w:pPr>
      <w:r w:rsidRPr="005F120D">
        <w:rPr>
          <w:rFonts w:asciiTheme="minorHAnsi" w:hAnsiTheme="minorHAnsi" w:cstheme="minorHAnsi"/>
          <w:b/>
          <w:sz w:val="16"/>
          <w:szCs w:val="16"/>
        </w:rPr>
        <w:t>Source: APSC 2014</w:t>
      </w:r>
      <w:r w:rsidR="00B8759F" w:rsidRPr="005F120D">
        <w:rPr>
          <w:rFonts w:asciiTheme="minorHAnsi" w:hAnsiTheme="minorHAnsi" w:cstheme="minorHAnsi"/>
          <w:b/>
          <w:sz w:val="16"/>
          <w:szCs w:val="16"/>
        </w:rPr>
        <w:t>-15</w:t>
      </w:r>
    </w:p>
    <w:p w:rsidR="00B1561C" w:rsidRPr="005F120D" w:rsidRDefault="00B1561C" w:rsidP="00C437AA">
      <w:pPr>
        <w:spacing w:line="276" w:lineRule="auto"/>
        <w:rPr>
          <w:rFonts w:asciiTheme="minorHAnsi" w:hAnsiTheme="minorHAnsi" w:cstheme="minorHAnsi"/>
          <w:b/>
          <w:sz w:val="16"/>
          <w:szCs w:val="16"/>
        </w:rPr>
      </w:pPr>
    </w:p>
    <w:p w:rsidR="00852552" w:rsidRPr="005F120D" w:rsidRDefault="00852552" w:rsidP="00C437AA">
      <w:pPr>
        <w:pStyle w:val="Heading4"/>
        <w:spacing w:line="276" w:lineRule="auto"/>
        <w:rPr>
          <w:rFonts w:asciiTheme="minorHAnsi" w:hAnsiTheme="minorHAnsi" w:cstheme="minorHAnsi"/>
          <w:b/>
          <w:color w:val="006600"/>
        </w:rPr>
      </w:pPr>
      <w:r w:rsidRPr="005F120D">
        <w:rPr>
          <w:rFonts w:asciiTheme="minorHAnsi" w:hAnsiTheme="minorHAnsi" w:cstheme="minorHAnsi"/>
          <w:b/>
          <w:color w:val="006600"/>
        </w:rPr>
        <w:lastRenderedPageBreak/>
        <w:t>Classroom Condition</w:t>
      </w:r>
    </w:p>
    <w:p w:rsidR="00586EC5" w:rsidRPr="005F120D" w:rsidRDefault="00586EC5" w:rsidP="00586EC5">
      <w:pPr>
        <w:spacing w:line="276" w:lineRule="auto"/>
        <w:jc w:val="both"/>
        <w:rPr>
          <w:rFonts w:asciiTheme="minorHAnsi" w:hAnsiTheme="minorHAnsi" w:cstheme="minorHAnsi"/>
        </w:rPr>
      </w:pPr>
      <w:r w:rsidRPr="005F120D">
        <w:rPr>
          <w:rFonts w:asciiTheme="minorHAnsi" w:hAnsiTheme="minorHAnsi" w:cstheme="minorHAnsi"/>
        </w:rPr>
        <w:t xml:space="preserve">Quite a high proportion of all classrooms (73%) were rated as ‘good’ or ‘moderate’, but lower than the baseline of 88%. The numbers were very similar when compared to those in 2013. The only glaring problem appeared to be semi-pacca classrooms in GPS. Some 14% of classrooms were reported to be ‘unusable’ and 1% </w:t>
      </w:r>
      <w:r w:rsidR="004A14B8" w:rsidRPr="005F120D">
        <w:rPr>
          <w:rFonts w:asciiTheme="minorHAnsi" w:hAnsiTheme="minorHAnsi" w:cstheme="minorHAnsi"/>
        </w:rPr>
        <w:t>was</w:t>
      </w:r>
      <w:r w:rsidRPr="005F120D">
        <w:rPr>
          <w:rFonts w:asciiTheme="minorHAnsi" w:hAnsiTheme="minorHAnsi" w:cstheme="minorHAnsi"/>
        </w:rPr>
        <w:t xml:space="preserve"> under construction/repair in 2015. Replacement of non-pacca school buildings should be given priority in the PEDP3 needs-based infrastructure development.</w:t>
      </w:r>
    </w:p>
    <w:p w:rsidR="007D35E2" w:rsidRPr="005F120D" w:rsidRDefault="00586EC5" w:rsidP="00586EC5">
      <w:pPr>
        <w:spacing w:line="276" w:lineRule="auto"/>
        <w:jc w:val="both"/>
        <w:rPr>
          <w:rFonts w:asciiTheme="minorHAnsi" w:hAnsiTheme="minorHAnsi" w:cstheme="minorHAnsi"/>
        </w:rPr>
      </w:pPr>
      <w:bookmarkStart w:id="547" w:name="_Ref259352877"/>
      <w:r w:rsidRPr="005F120D">
        <w:rPr>
          <w:rFonts w:asciiTheme="minorHAnsi" w:hAnsiTheme="minorHAnsi" w:cstheme="minorHAnsi"/>
        </w:rPr>
        <w:t xml:space="preserve">Some 6.9% respondents did not provide any answers about classroom conditions. </w:t>
      </w:r>
      <w:bookmarkEnd w:id="547"/>
      <w:r w:rsidRPr="005F120D">
        <w:rPr>
          <w:rFonts w:asciiTheme="minorHAnsi" w:hAnsiTheme="minorHAnsi" w:cstheme="minorHAnsi"/>
        </w:rPr>
        <w:t>Around 1.9% classrooms are still in Katcha</w:t>
      </w:r>
      <w:r w:rsidR="001B13FA" w:rsidRPr="005F120D">
        <w:rPr>
          <w:rFonts w:asciiTheme="minorHAnsi" w:hAnsiTheme="minorHAnsi" w:cstheme="minorHAnsi"/>
        </w:rPr>
        <w:t>.</w:t>
      </w:r>
    </w:p>
    <w:p w:rsidR="007D35E2" w:rsidRPr="005F120D" w:rsidRDefault="007D35E2" w:rsidP="00C437AA">
      <w:pPr>
        <w:pStyle w:val="Caption"/>
        <w:spacing w:line="276" w:lineRule="auto"/>
        <w:rPr>
          <w:rFonts w:cstheme="minorHAnsi"/>
        </w:rPr>
      </w:pPr>
      <w:bookmarkStart w:id="548" w:name="_Toc462837302"/>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11</w:t>
      </w:r>
      <w:r w:rsidR="002E2ED5" w:rsidRPr="005F120D">
        <w:rPr>
          <w:rFonts w:cstheme="minorHAnsi"/>
        </w:rPr>
        <w:fldChar w:fldCharType="end"/>
      </w:r>
      <w:r w:rsidRPr="005F120D">
        <w:rPr>
          <w:rFonts w:cstheme="minorHAnsi"/>
        </w:rPr>
        <w:t>: Classroom (GPS and N</w:t>
      </w:r>
      <w:r w:rsidR="00EE1C88" w:rsidRPr="005F120D">
        <w:rPr>
          <w:rFonts w:cstheme="minorHAnsi"/>
        </w:rPr>
        <w:t>NPS) Conditions 2012-13 and 2014</w:t>
      </w:r>
      <w:r w:rsidRPr="005F120D">
        <w:rPr>
          <w:rFonts w:cstheme="minorHAnsi"/>
        </w:rPr>
        <w:t>-1</w:t>
      </w:r>
      <w:r w:rsidR="00EE1C88" w:rsidRPr="005F120D">
        <w:rPr>
          <w:rFonts w:cstheme="minorHAnsi"/>
        </w:rPr>
        <w:t>5</w:t>
      </w:r>
      <w:bookmarkEnd w:id="548"/>
    </w:p>
    <w:tbl>
      <w:tblPr>
        <w:tblW w:w="5208" w:type="pct"/>
        <w:jc w:val="center"/>
        <w:tbl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insideH w:val="single" w:sz="6" w:space="0" w:color="76923C" w:themeColor="accent3" w:themeShade="BF"/>
          <w:insideV w:val="single" w:sz="6" w:space="0" w:color="76923C" w:themeColor="accent3" w:themeShade="BF"/>
        </w:tblBorders>
        <w:tblLook w:val="01E0"/>
      </w:tblPr>
      <w:tblGrid>
        <w:gridCol w:w="741"/>
        <w:gridCol w:w="809"/>
        <w:gridCol w:w="614"/>
        <w:gridCol w:w="948"/>
        <w:gridCol w:w="1137"/>
        <w:gridCol w:w="1341"/>
        <w:gridCol w:w="614"/>
        <w:gridCol w:w="948"/>
        <w:gridCol w:w="1137"/>
        <w:gridCol w:w="1341"/>
      </w:tblGrid>
      <w:tr w:rsidR="007D35E2" w:rsidRPr="005F120D" w:rsidTr="00F11D5E">
        <w:trPr>
          <w:trHeight w:val="138"/>
          <w:tblHeader/>
          <w:jc w:val="center"/>
        </w:trPr>
        <w:tc>
          <w:tcPr>
            <w:tcW w:w="950" w:type="pct"/>
            <w:gridSpan w:val="2"/>
            <w:vMerge w:val="restart"/>
            <w:shd w:val="clear" w:color="auto" w:fill="C2D69B" w:themeFill="accent3" w:themeFillTint="99"/>
          </w:tcPr>
          <w:p w:rsidR="007D35E2" w:rsidRPr="005F120D" w:rsidRDefault="007D35E2" w:rsidP="00936D9E">
            <w:pPr>
              <w:pStyle w:val="Tabletext"/>
              <w:jc w:val="center"/>
              <w:rPr>
                <w:rFonts w:asciiTheme="minorHAnsi" w:hAnsiTheme="minorHAnsi" w:cstheme="minorHAnsi"/>
              </w:rPr>
            </w:pPr>
            <w:r w:rsidRPr="005F120D">
              <w:rPr>
                <w:rFonts w:asciiTheme="minorHAnsi" w:hAnsiTheme="minorHAnsi" w:cstheme="minorHAnsi"/>
              </w:rPr>
              <w:t>Building</w:t>
            </w:r>
          </w:p>
        </w:tc>
        <w:tc>
          <w:tcPr>
            <w:tcW w:w="2025" w:type="pct"/>
            <w:gridSpan w:val="4"/>
            <w:shd w:val="clear" w:color="auto" w:fill="C2D69B" w:themeFill="accent3" w:themeFillTint="99"/>
          </w:tcPr>
          <w:p w:rsidR="007D35E2" w:rsidRPr="005F120D" w:rsidRDefault="000F08AE" w:rsidP="00936D9E">
            <w:pPr>
              <w:pStyle w:val="Tabletext"/>
              <w:jc w:val="center"/>
              <w:rPr>
                <w:rFonts w:asciiTheme="minorHAnsi" w:hAnsiTheme="minorHAnsi" w:cstheme="minorHAnsi"/>
                <w:sz w:val="18"/>
                <w:szCs w:val="18"/>
              </w:rPr>
            </w:pPr>
            <w:r w:rsidRPr="005F120D">
              <w:rPr>
                <w:rFonts w:asciiTheme="minorHAnsi" w:hAnsiTheme="minorHAnsi" w:cstheme="minorHAnsi"/>
              </w:rPr>
              <w:t>Classroom condition in 2014</w:t>
            </w:r>
            <w:r w:rsidR="007D35E2" w:rsidRPr="005F120D">
              <w:rPr>
                <w:rFonts w:asciiTheme="minorHAnsi" w:hAnsiTheme="minorHAnsi" w:cstheme="minorHAnsi"/>
              </w:rPr>
              <w:t xml:space="preserve"> (%)</w:t>
            </w:r>
          </w:p>
        </w:tc>
        <w:tc>
          <w:tcPr>
            <w:tcW w:w="2025" w:type="pct"/>
            <w:gridSpan w:val="4"/>
            <w:shd w:val="clear" w:color="auto" w:fill="C2D69B" w:themeFill="accent3" w:themeFillTint="99"/>
          </w:tcPr>
          <w:p w:rsidR="007D35E2" w:rsidRPr="005F120D" w:rsidRDefault="000F08AE" w:rsidP="00936D9E">
            <w:pPr>
              <w:pStyle w:val="Tabletext"/>
              <w:jc w:val="center"/>
              <w:rPr>
                <w:rFonts w:asciiTheme="minorHAnsi" w:hAnsiTheme="minorHAnsi" w:cstheme="minorHAnsi"/>
                <w:sz w:val="18"/>
                <w:szCs w:val="18"/>
              </w:rPr>
            </w:pPr>
            <w:r w:rsidRPr="005F120D">
              <w:rPr>
                <w:rFonts w:asciiTheme="minorHAnsi" w:hAnsiTheme="minorHAnsi" w:cstheme="minorHAnsi"/>
              </w:rPr>
              <w:t>Classroom condition in 2015</w:t>
            </w:r>
            <w:r w:rsidR="007D35E2" w:rsidRPr="005F120D">
              <w:rPr>
                <w:rFonts w:asciiTheme="minorHAnsi" w:hAnsiTheme="minorHAnsi" w:cstheme="minorHAnsi"/>
              </w:rPr>
              <w:t xml:space="preserve"> (%)</w:t>
            </w:r>
          </w:p>
        </w:tc>
      </w:tr>
      <w:tr w:rsidR="007D35E2" w:rsidRPr="005F120D" w:rsidTr="00F11D5E">
        <w:trPr>
          <w:trHeight w:val="138"/>
          <w:tblHeader/>
          <w:jc w:val="center"/>
        </w:trPr>
        <w:tc>
          <w:tcPr>
            <w:tcW w:w="950" w:type="pct"/>
            <w:gridSpan w:val="2"/>
            <w:vMerge/>
            <w:shd w:val="clear" w:color="auto" w:fill="C2D69B" w:themeFill="accent3" w:themeFillTint="99"/>
          </w:tcPr>
          <w:p w:rsidR="007D35E2" w:rsidRPr="005F120D" w:rsidRDefault="007D35E2" w:rsidP="00936D9E">
            <w:pPr>
              <w:pStyle w:val="Tabletext"/>
              <w:jc w:val="center"/>
              <w:rPr>
                <w:rFonts w:asciiTheme="minorHAnsi" w:hAnsiTheme="minorHAnsi" w:cstheme="minorHAnsi"/>
              </w:rPr>
            </w:pPr>
          </w:p>
        </w:tc>
        <w:tc>
          <w:tcPr>
            <w:tcW w:w="308" w:type="pct"/>
            <w:shd w:val="clear" w:color="auto" w:fill="C2D69B" w:themeFill="accent3" w:themeFillTint="99"/>
          </w:tcPr>
          <w:p w:rsidR="007D35E2" w:rsidRPr="005F120D" w:rsidRDefault="007D35E2" w:rsidP="00936D9E">
            <w:pPr>
              <w:pStyle w:val="Tabletext"/>
              <w:jc w:val="center"/>
              <w:rPr>
                <w:rFonts w:asciiTheme="minorHAnsi" w:hAnsiTheme="minorHAnsi" w:cstheme="minorHAnsi"/>
                <w:sz w:val="18"/>
                <w:szCs w:val="18"/>
              </w:rPr>
            </w:pPr>
            <w:r w:rsidRPr="005F120D">
              <w:rPr>
                <w:rFonts w:asciiTheme="minorHAnsi" w:hAnsiTheme="minorHAnsi" w:cstheme="minorHAnsi"/>
                <w:sz w:val="18"/>
                <w:szCs w:val="18"/>
              </w:rPr>
              <w:t>Good</w:t>
            </w:r>
          </w:p>
        </w:tc>
        <w:tc>
          <w:tcPr>
            <w:tcW w:w="475" w:type="pct"/>
            <w:shd w:val="clear" w:color="auto" w:fill="C2D69B" w:themeFill="accent3" w:themeFillTint="99"/>
          </w:tcPr>
          <w:p w:rsidR="007D35E2" w:rsidRPr="005F120D" w:rsidRDefault="007D35E2" w:rsidP="00936D9E">
            <w:pPr>
              <w:pStyle w:val="Tabletext"/>
              <w:jc w:val="center"/>
              <w:rPr>
                <w:rFonts w:asciiTheme="minorHAnsi" w:hAnsiTheme="minorHAnsi" w:cstheme="minorHAnsi"/>
                <w:sz w:val="18"/>
                <w:szCs w:val="18"/>
              </w:rPr>
            </w:pPr>
            <w:r w:rsidRPr="005F120D">
              <w:rPr>
                <w:rFonts w:asciiTheme="minorHAnsi" w:hAnsiTheme="minorHAnsi" w:cstheme="minorHAnsi"/>
                <w:sz w:val="18"/>
                <w:szCs w:val="18"/>
              </w:rPr>
              <w:t>Moderate</w:t>
            </w:r>
          </w:p>
        </w:tc>
        <w:tc>
          <w:tcPr>
            <w:tcW w:w="570" w:type="pct"/>
            <w:shd w:val="clear" w:color="auto" w:fill="C2D69B" w:themeFill="accent3" w:themeFillTint="99"/>
          </w:tcPr>
          <w:p w:rsidR="007D35E2" w:rsidRPr="005F120D" w:rsidRDefault="007D35E2" w:rsidP="00936D9E">
            <w:pPr>
              <w:pStyle w:val="Tabletext"/>
              <w:jc w:val="center"/>
              <w:rPr>
                <w:rFonts w:asciiTheme="minorHAnsi" w:hAnsiTheme="minorHAnsi" w:cstheme="minorHAnsi"/>
                <w:sz w:val="18"/>
                <w:szCs w:val="18"/>
              </w:rPr>
            </w:pPr>
            <w:r w:rsidRPr="005F120D">
              <w:rPr>
                <w:rFonts w:asciiTheme="minorHAnsi" w:hAnsiTheme="minorHAnsi" w:cstheme="minorHAnsi"/>
                <w:sz w:val="18"/>
                <w:szCs w:val="18"/>
              </w:rPr>
              <w:t>Under construction</w:t>
            </w:r>
          </w:p>
        </w:tc>
        <w:tc>
          <w:tcPr>
            <w:tcW w:w="672" w:type="pct"/>
            <w:shd w:val="clear" w:color="auto" w:fill="C2D69B" w:themeFill="accent3" w:themeFillTint="99"/>
          </w:tcPr>
          <w:p w:rsidR="007D35E2" w:rsidRPr="005F120D" w:rsidRDefault="007D35E2" w:rsidP="00936D9E">
            <w:pPr>
              <w:pStyle w:val="Tabletext"/>
              <w:jc w:val="center"/>
              <w:rPr>
                <w:rFonts w:asciiTheme="minorHAnsi" w:hAnsiTheme="minorHAnsi" w:cstheme="minorHAnsi"/>
                <w:sz w:val="18"/>
                <w:szCs w:val="18"/>
              </w:rPr>
            </w:pPr>
            <w:r w:rsidRPr="005F120D">
              <w:rPr>
                <w:rFonts w:asciiTheme="minorHAnsi" w:hAnsiTheme="minorHAnsi" w:cstheme="minorHAnsi"/>
                <w:sz w:val="18"/>
                <w:szCs w:val="18"/>
              </w:rPr>
              <w:t>Unusable</w:t>
            </w:r>
            <w:r w:rsidR="00F11D5E" w:rsidRPr="005F120D">
              <w:rPr>
                <w:rFonts w:asciiTheme="minorHAnsi" w:hAnsiTheme="minorHAnsi" w:cstheme="minorHAnsi"/>
                <w:sz w:val="18"/>
                <w:szCs w:val="18"/>
              </w:rPr>
              <w:t>/need to repair</w:t>
            </w:r>
          </w:p>
        </w:tc>
        <w:tc>
          <w:tcPr>
            <w:tcW w:w="308" w:type="pct"/>
            <w:shd w:val="clear" w:color="auto" w:fill="C2D69B" w:themeFill="accent3" w:themeFillTint="99"/>
          </w:tcPr>
          <w:p w:rsidR="007D35E2" w:rsidRPr="005F120D" w:rsidRDefault="007D35E2" w:rsidP="00936D9E">
            <w:pPr>
              <w:pStyle w:val="Tabletext"/>
              <w:jc w:val="center"/>
              <w:rPr>
                <w:rFonts w:asciiTheme="minorHAnsi" w:hAnsiTheme="minorHAnsi" w:cstheme="minorHAnsi"/>
                <w:sz w:val="18"/>
                <w:szCs w:val="18"/>
              </w:rPr>
            </w:pPr>
            <w:r w:rsidRPr="005F120D">
              <w:rPr>
                <w:rFonts w:asciiTheme="minorHAnsi" w:hAnsiTheme="minorHAnsi" w:cstheme="minorHAnsi"/>
                <w:sz w:val="18"/>
                <w:szCs w:val="18"/>
              </w:rPr>
              <w:t>Good</w:t>
            </w:r>
          </w:p>
        </w:tc>
        <w:tc>
          <w:tcPr>
            <w:tcW w:w="475" w:type="pct"/>
            <w:shd w:val="clear" w:color="auto" w:fill="C2D69B" w:themeFill="accent3" w:themeFillTint="99"/>
          </w:tcPr>
          <w:p w:rsidR="007D35E2" w:rsidRPr="005F120D" w:rsidRDefault="007D35E2" w:rsidP="00936D9E">
            <w:pPr>
              <w:pStyle w:val="Tabletext"/>
              <w:jc w:val="center"/>
              <w:rPr>
                <w:rFonts w:asciiTheme="minorHAnsi" w:hAnsiTheme="minorHAnsi" w:cstheme="minorHAnsi"/>
                <w:sz w:val="18"/>
                <w:szCs w:val="18"/>
              </w:rPr>
            </w:pPr>
            <w:r w:rsidRPr="005F120D">
              <w:rPr>
                <w:rFonts w:asciiTheme="minorHAnsi" w:hAnsiTheme="minorHAnsi" w:cstheme="minorHAnsi"/>
                <w:sz w:val="18"/>
                <w:szCs w:val="18"/>
              </w:rPr>
              <w:t>Moderate</w:t>
            </w:r>
          </w:p>
        </w:tc>
        <w:tc>
          <w:tcPr>
            <w:tcW w:w="570" w:type="pct"/>
            <w:shd w:val="clear" w:color="auto" w:fill="C2D69B" w:themeFill="accent3" w:themeFillTint="99"/>
          </w:tcPr>
          <w:p w:rsidR="007D35E2" w:rsidRPr="005F120D" w:rsidRDefault="007D35E2" w:rsidP="00936D9E">
            <w:pPr>
              <w:pStyle w:val="Tabletext"/>
              <w:jc w:val="center"/>
              <w:rPr>
                <w:rFonts w:asciiTheme="minorHAnsi" w:hAnsiTheme="minorHAnsi" w:cstheme="minorHAnsi"/>
                <w:sz w:val="18"/>
                <w:szCs w:val="18"/>
              </w:rPr>
            </w:pPr>
            <w:r w:rsidRPr="005F120D">
              <w:rPr>
                <w:rFonts w:asciiTheme="minorHAnsi" w:hAnsiTheme="minorHAnsi" w:cstheme="minorHAnsi"/>
                <w:sz w:val="18"/>
                <w:szCs w:val="18"/>
              </w:rPr>
              <w:t>Under construction</w:t>
            </w:r>
          </w:p>
        </w:tc>
        <w:tc>
          <w:tcPr>
            <w:tcW w:w="672" w:type="pct"/>
            <w:shd w:val="clear" w:color="auto" w:fill="C2D69B" w:themeFill="accent3" w:themeFillTint="99"/>
          </w:tcPr>
          <w:p w:rsidR="007D35E2" w:rsidRPr="005F120D" w:rsidRDefault="007D35E2" w:rsidP="00936D9E">
            <w:pPr>
              <w:pStyle w:val="Tabletext"/>
              <w:jc w:val="center"/>
              <w:rPr>
                <w:rFonts w:asciiTheme="minorHAnsi" w:hAnsiTheme="minorHAnsi" w:cstheme="minorHAnsi"/>
                <w:sz w:val="18"/>
                <w:szCs w:val="18"/>
              </w:rPr>
            </w:pPr>
            <w:r w:rsidRPr="005F120D">
              <w:rPr>
                <w:rFonts w:asciiTheme="minorHAnsi" w:hAnsiTheme="minorHAnsi" w:cstheme="minorHAnsi"/>
                <w:sz w:val="18"/>
                <w:szCs w:val="18"/>
              </w:rPr>
              <w:t>Unusable</w:t>
            </w:r>
            <w:r w:rsidR="00F11D5E" w:rsidRPr="005F120D">
              <w:rPr>
                <w:rFonts w:asciiTheme="minorHAnsi" w:hAnsiTheme="minorHAnsi" w:cstheme="minorHAnsi"/>
                <w:sz w:val="18"/>
                <w:szCs w:val="18"/>
              </w:rPr>
              <w:t>/need to repair</w:t>
            </w:r>
          </w:p>
        </w:tc>
      </w:tr>
      <w:tr w:rsidR="00F11D5E" w:rsidRPr="005F120D" w:rsidTr="00F11D5E">
        <w:trPr>
          <w:trHeight w:hRule="exact" w:val="288"/>
          <w:jc w:val="center"/>
        </w:trPr>
        <w:tc>
          <w:tcPr>
            <w:tcW w:w="371" w:type="pct"/>
            <w:vMerge w:val="restar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41</w:t>
            </w:r>
            <w:r w:rsidR="000F08AE" w:rsidRPr="005F120D">
              <w:rPr>
                <w:rFonts w:asciiTheme="minorHAnsi" w:hAnsiTheme="minorHAnsi" w:cstheme="minorHAnsi"/>
              </w:rPr>
              <w:t>GPS</w:t>
            </w:r>
          </w:p>
        </w:tc>
        <w:tc>
          <w:tcPr>
            <w:tcW w:w="578" w:type="pct"/>
            <w:shd w:val="clear" w:color="auto" w:fill="FFFFFF" w:themeFill="background1"/>
          </w:tcPr>
          <w:p w:rsidR="000F08AE" w:rsidRPr="005F120D" w:rsidRDefault="000F08AE" w:rsidP="00936D9E">
            <w:pPr>
              <w:pStyle w:val="Tabletext"/>
              <w:rPr>
                <w:rFonts w:asciiTheme="minorHAnsi" w:hAnsiTheme="minorHAnsi" w:cstheme="minorHAnsi"/>
              </w:rPr>
            </w:pPr>
            <w:r w:rsidRPr="005F120D">
              <w:rPr>
                <w:rFonts w:asciiTheme="minorHAnsi" w:hAnsiTheme="minorHAnsi" w:cstheme="minorHAnsi"/>
                <w:i/>
              </w:rPr>
              <w:t>Pacca</w:t>
            </w:r>
          </w:p>
        </w:tc>
        <w:tc>
          <w:tcPr>
            <w:tcW w:w="308"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51</w:t>
            </w:r>
          </w:p>
        </w:tc>
        <w:tc>
          <w:tcPr>
            <w:tcW w:w="475"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20</w:t>
            </w:r>
          </w:p>
        </w:tc>
        <w:tc>
          <w:tcPr>
            <w:tcW w:w="570"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23</w:t>
            </w:r>
          </w:p>
        </w:tc>
        <w:tc>
          <w:tcPr>
            <w:tcW w:w="672"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6</w:t>
            </w:r>
          </w:p>
        </w:tc>
        <w:tc>
          <w:tcPr>
            <w:tcW w:w="308"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68</w:t>
            </w:r>
          </w:p>
        </w:tc>
        <w:tc>
          <w:tcPr>
            <w:tcW w:w="475"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24</w:t>
            </w:r>
          </w:p>
        </w:tc>
        <w:tc>
          <w:tcPr>
            <w:tcW w:w="570"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1</w:t>
            </w:r>
          </w:p>
        </w:tc>
        <w:tc>
          <w:tcPr>
            <w:tcW w:w="672"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7</w:t>
            </w:r>
          </w:p>
        </w:tc>
      </w:tr>
      <w:tr w:rsidR="00F11D5E" w:rsidRPr="005F120D" w:rsidTr="00F11D5E">
        <w:trPr>
          <w:trHeight w:hRule="exact" w:val="288"/>
          <w:jc w:val="center"/>
        </w:trPr>
        <w:tc>
          <w:tcPr>
            <w:tcW w:w="371" w:type="pct"/>
            <w:vMerge/>
            <w:shd w:val="clear" w:color="auto" w:fill="FFFFFF" w:themeFill="background1"/>
          </w:tcPr>
          <w:p w:rsidR="000F08AE" w:rsidRPr="005F120D" w:rsidRDefault="000F08AE" w:rsidP="00936D9E">
            <w:pPr>
              <w:pStyle w:val="Tabletext"/>
              <w:jc w:val="center"/>
              <w:rPr>
                <w:rFonts w:asciiTheme="minorHAnsi" w:hAnsiTheme="minorHAnsi" w:cstheme="minorHAnsi"/>
              </w:rPr>
            </w:pPr>
          </w:p>
        </w:tc>
        <w:tc>
          <w:tcPr>
            <w:tcW w:w="578" w:type="pct"/>
            <w:shd w:val="clear" w:color="auto" w:fill="FFFFFF" w:themeFill="background1"/>
          </w:tcPr>
          <w:p w:rsidR="000F08AE" w:rsidRPr="005F120D" w:rsidRDefault="000F08AE" w:rsidP="00936D9E">
            <w:pPr>
              <w:pStyle w:val="Tabletext"/>
              <w:rPr>
                <w:rFonts w:asciiTheme="minorHAnsi" w:hAnsiTheme="minorHAnsi" w:cstheme="minorHAnsi"/>
              </w:rPr>
            </w:pPr>
            <w:r w:rsidRPr="005F120D">
              <w:rPr>
                <w:rFonts w:asciiTheme="minorHAnsi" w:hAnsiTheme="minorHAnsi" w:cstheme="minorHAnsi"/>
              </w:rPr>
              <w:t>Semi-</w:t>
            </w:r>
            <w:r w:rsidRPr="005F120D">
              <w:rPr>
                <w:rFonts w:asciiTheme="minorHAnsi" w:hAnsiTheme="minorHAnsi" w:cstheme="minorHAnsi"/>
                <w:i/>
              </w:rPr>
              <w:t>Pacca</w:t>
            </w:r>
          </w:p>
        </w:tc>
        <w:tc>
          <w:tcPr>
            <w:tcW w:w="308"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8</w:t>
            </w:r>
          </w:p>
        </w:tc>
        <w:tc>
          <w:tcPr>
            <w:tcW w:w="475"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42</w:t>
            </w:r>
          </w:p>
        </w:tc>
        <w:tc>
          <w:tcPr>
            <w:tcW w:w="570"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38</w:t>
            </w:r>
          </w:p>
        </w:tc>
        <w:tc>
          <w:tcPr>
            <w:tcW w:w="672"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12</w:t>
            </w:r>
          </w:p>
        </w:tc>
        <w:tc>
          <w:tcPr>
            <w:tcW w:w="308"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16</w:t>
            </w:r>
          </w:p>
        </w:tc>
        <w:tc>
          <w:tcPr>
            <w:tcW w:w="475"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43</w:t>
            </w:r>
          </w:p>
        </w:tc>
        <w:tc>
          <w:tcPr>
            <w:tcW w:w="570"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1</w:t>
            </w:r>
          </w:p>
        </w:tc>
        <w:tc>
          <w:tcPr>
            <w:tcW w:w="672"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41</w:t>
            </w:r>
          </w:p>
        </w:tc>
      </w:tr>
      <w:tr w:rsidR="00F11D5E" w:rsidRPr="005F120D" w:rsidTr="00F11D5E">
        <w:trPr>
          <w:trHeight w:hRule="exact" w:val="288"/>
          <w:jc w:val="center"/>
        </w:trPr>
        <w:tc>
          <w:tcPr>
            <w:tcW w:w="371" w:type="pct"/>
            <w:vMerge/>
            <w:shd w:val="clear" w:color="auto" w:fill="D6E3BC" w:themeFill="accent3" w:themeFillTint="66"/>
          </w:tcPr>
          <w:p w:rsidR="00F11D5E" w:rsidRPr="005F120D" w:rsidRDefault="00F11D5E" w:rsidP="00936D9E">
            <w:pPr>
              <w:pStyle w:val="Tabletext"/>
              <w:jc w:val="center"/>
              <w:rPr>
                <w:rFonts w:asciiTheme="minorHAnsi" w:hAnsiTheme="minorHAnsi" w:cstheme="minorHAnsi"/>
              </w:rPr>
            </w:pPr>
          </w:p>
        </w:tc>
        <w:tc>
          <w:tcPr>
            <w:tcW w:w="578" w:type="pct"/>
            <w:shd w:val="clear" w:color="auto" w:fill="D6E3BC" w:themeFill="accent3" w:themeFillTint="66"/>
          </w:tcPr>
          <w:p w:rsidR="00F11D5E" w:rsidRPr="005F120D" w:rsidRDefault="00F11D5E" w:rsidP="00936D9E">
            <w:pPr>
              <w:pStyle w:val="Tabletext"/>
              <w:rPr>
                <w:rFonts w:asciiTheme="minorHAnsi" w:hAnsiTheme="minorHAnsi" w:cstheme="minorHAnsi"/>
              </w:rPr>
            </w:pPr>
            <w:r w:rsidRPr="005F120D">
              <w:rPr>
                <w:rFonts w:asciiTheme="minorHAnsi" w:hAnsiTheme="minorHAnsi" w:cstheme="minorHAnsi"/>
              </w:rPr>
              <w:t>Total</w:t>
            </w:r>
          </w:p>
        </w:tc>
        <w:tc>
          <w:tcPr>
            <w:tcW w:w="308" w:type="pct"/>
            <w:shd w:val="clear" w:color="auto" w:fill="D6E3BC" w:themeFill="accent3" w:themeFillTint="66"/>
          </w:tcPr>
          <w:p w:rsidR="00F11D5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53</w:t>
            </w:r>
          </w:p>
        </w:tc>
        <w:tc>
          <w:tcPr>
            <w:tcW w:w="475" w:type="pct"/>
            <w:shd w:val="clear" w:color="auto" w:fill="D6E3BC" w:themeFill="accent3" w:themeFillTint="66"/>
          </w:tcPr>
          <w:p w:rsidR="00F11D5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20</w:t>
            </w:r>
          </w:p>
        </w:tc>
        <w:tc>
          <w:tcPr>
            <w:tcW w:w="570" w:type="pct"/>
            <w:shd w:val="clear" w:color="auto" w:fill="D6E3BC" w:themeFill="accent3" w:themeFillTint="66"/>
          </w:tcPr>
          <w:p w:rsidR="00F11D5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22</w:t>
            </w:r>
          </w:p>
        </w:tc>
        <w:tc>
          <w:tcPr>
            <w:tcW w:w="672" w:type="pct"/>
            <w:shd w:val="clear" w:color="auto" w:fill="D6E3BC" w:themeFill="accent3" w:themeFillTint="66"/>
          </w:tcPr>
          <w:p w:rsidR="00F11D5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5</w:t>
            </w:r>
          </w:p>
        </w:tc>
        <w:tc>
          <w:tcPr>
            <w:tcW w:w="308" w:type="pct"/>
            <w:shd w:val="clear" w:color="auto" w:fill="D6E3BC" w:themeFill="accent3" w:themeFillTint="66"/>
          </w:tcPr>
          <w:p w:rsidR="00F11D5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59</w:t>
            </w:r>
          </w:p>
        </w:tc>
        <w:tc>
          <w:tcPr>
            <w:tcW w:w="475" w:type="pct"/>
            <w:shd w:val="clear" w:color="auto" w:fill="D6E3BC" w:themeFill="accent3" w:themeFillTint="66"/>
          </w:tcPr>
          <w:p w:rsidR="00F11D5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27</w:t>
            </w:r>
          </w:p>
        </w:tc>
        <w:tc>
          <w:tcPr>
            <w:tcW w:w="570" w:type="pct"/>
            <w:shd w:val="clear" w:color="auto" w:fill="D6E3BC" w:themeFill="accent3" w:themeFillTint="66"/>
          </w:tcPr>
          <w:p w:rsidR="00F11D5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1</w:t>
            </w:r>
          </w:p>
        </w:tc>
        <w:tc>
          <w:tcPr>
            <w:tcW w:w="672" w:type="pct"/>
            <w:shd w:val="clear" w:color="auto" w:fill="D6E3BC" w:themeFill="accent3" w:themeFillTint="66"/>
          </w:tcPr>
          <w:p w:rsidR="00F11D5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12</w:t>
            </w:r>
          </w:p>
        </w:tc>
      </w:tr>
      <w:tr w:rsidR="00F11D5E" w:rsidRPr="005F120D" w:rsidTr="00F11D5E">
        <w:trPr>
          <w:trHeight w:hRule="exact" w:val="288"/>
          <w:jc w:val="center"/>
        </w:trPr>
        <w:tc>
          <w:tcPr>
            <w:tcW w:w="371" w:type="pct"/>
            <w:vMerge w:val="restar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NNPS</w:t>
            </w:r>
          </w:p>
        </w:tc>
        <w:tc>
          <w:tcPr>
            <w:tcW w:w="578" w:type="pct"/>
            <w:shd w:val="clear" w:color="auto" w:fill="FFFFFF" w:themeFill="background1"/>
          </w:tcPr>
          <w:p w:rsidR="000F08AE" w:rsidRPr="005F120D" w:rsidRDefault="000F08AE" w:rsidP="00936D9E">
            <w:pPr>
              <w:pStyle w:val="Tabletext"/>
              <w:rPr>
                <w:rFonts w:asciiTheme="minorHAnsi" w:hAnsiTheme="minorHAnsi" w:cstheme="minorHAnsi"/>
              </w:rPr>
            </w:pPr>
            <w:r w:rsidRPr="005F120D">
              <w:rPr>
                <w:rFonts w:asciiTheme="minorHAnsi" w:hAnsiTheme="minorHAnsi" w:cstheme="minorHAnsi"/>
                <w:i/>
              </w:rPr>
              <w:t>Pacca</w:t>
            </w:r>
          </w:p>
        </w:tc>
        <w:tc>
          <w:tcPr>
            <w:tcW w:w="308"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53</w:t>
            </w:r>
          </w:p>
        </w:tc>
        <w:tc>
          <w:tcPr>
            <w:tcW w:w="475"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21</w:t>
            </w:r>
          </w:p>
        </w:tc>
        <w:tc>
          <w:tcPr>
            <w:tcW w:w="570"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22</w:t>
            </w:r>
          </w:p>
        </w:tc>
        <w:tc>
          <w:tcPr>
            <w:tcW w:w="672"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4</w:t>
            </w:r>
          </w:p>
        </w:tc>
        <w:tc>
          <w:tcPr>
            <w:tcW w:w="308"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50</w:t>
            </w:r>
          </w:p>
        </w:tc>
        <w:tc>
          <w:tcPr>
            <w:tcW w:w="475"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35</w:t>
            </w:r>
          </w:p>
        </w:tc>
        <w:tc>
          <w:tcPr>
            <w:tcW w:w="570"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1</w:t>
            </w:r>
          </w:p>
        </w:tc>
        <w:tc>
          <w:tcPr>
            <w:tcW w:w="672"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17</w:t>
            </w:r>
          </w:p>
        </w:tc>
      </w:tr>
      <w:tr w:rsidR="00F11D5E" w:rsidRPr="005F120D" w:rsidTr="00F11D5E">
        <w:trPr>
          <w:trHeight w:hRule="exact" w:val="288"/>
          <w:jc w:val="center"/>
        </w:trPr>
        <w:tc>
          <w:tcPr>
            <w:tcW w:w="371" w:type="pct"/>
            <w:vMerge/>
            <w:shd w:val="clear" w:color="auto" w:fill="FFFFFF" w:themeFill="background1"/>
          </w:tcPr>
          <w:p w:rsidR="000F08AE" w:rsidRPr="005F120D" w:rsidRDefault="000F08AE" w:rsidP="00936D9E">
            <w:pPr>
              <w:pStyle w:val="Tabletext"/>
              <w:jc w:val="center"/>
              <w:rPr>
                <w:rFonts w:asciiTheme="minorHAnsi" w:hAnsiTheme="minorHAnsi" w:cstheme="minorHAnsi"/>
              </w:rPr>
            </w:pPr>
          </w:p>
        </w:tc>
        <w:tc>
          <w:tcPr>
            <w:tcW w:w="578" w:type="pct"/>
            <w:shd w:val="clear" w:color="auto" w:fill="FFFFFF" w:themeFill="background1"/>
          </w:tcPr>
          <w:p w:rsidR="000F08AE" w:rsidRPr="005F120D" w:rsidRDefault="000F08AE" w:rsidP="00936D9E">
            <w:pPr>
              <w:pStyle w:val="Tabletext"/>
              <w:rPr>
                <w:rFonts w:asciiTheme="minorHAnsi" w:hAnsiTheme="minorHAnsi" w:cstheme="minorHAnsi"/>
              </w:rPr>
            </w:pPr>
            <w:r w:rsidRPr="005F120D">
              <w:rPr>
                <w:rFonts w:asciiTheme="minorHAnsi" w:hAnsiTheme="minorHAnsi" w:cstheme="minorHAnsi"/>
              </w:rPr>
              <w:t>Semi-</w:t>
            </w:r>
            <w:r w:rsidRPr="005F120D">
              <w:rPr>
                <w:rFonts w:asciiTheme="minorHAnsi" w:hAnsiTheme="minorHAnsi" w:cstheme="minorHAnsi"/>
                <w:i/>
              </w:rPr>
              <w:t>Pacca</w:t>
            </w:r>
          </w:p>
        </w:tc>
        <w:tc>
          <w:tcPr>
            <w:tcW w:w="308"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16</w:t>
            </w:r>
          </w:p>
        </w:tc>
        <w:tc>
          <w:tcPr>
            <w:tcW w:w="475"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50</w:t>
            </w:r>
          </w:p>
        </w:tc>
        <w:tc>
          <w:tcPr>
            <w:tcW w:w="570"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30</w:t>
            </w:r>
          </w:p>
        </w:tc>
        <w:tc>
          <w:tcPr>
            <w:tcW w:w="672"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4</w:t>
            </w:r>
          </w:p>
        </w:tc>
        <w:tc>
          <w:tcPr>
            <w:tcW w:w="308"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25</w:t>
            </w:r>
          </w:p>
        </w:tc>
        <w:tc>
          <w:tcPr>
            <w:tcW w:w="475"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42</w:t>
            </w:r>
          </w:p>
        </w:tc>
        <w:tc>
          <w:tcPr>
            <w:tcW w:w="570"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0.5</w:t>
            </w:r>
          </w:p>
        </w:tc>
        <w:tc>
          <w:tcPr>
            <w:tcW w:w="672" w:type="pct"/>
            <w:shd w:val="clear" w:color="auto" w:fill="FFFFFF" w:themeFill="background1"/>
          </w:tcPr>
          <w:p w:rsidR="000F08AE" w:rsidRPr="005F120D" w:rsidRDefault="00F11D5E" w:rsidP="00936D9E">
            <w:pPr>
              <w:pStyle w:val="Tabletext"/>
              <w:jc w:val="center"/>
              <w:rPr>
                <w:rFonts w:asciiTheme="minorHAnsi" w:hAnsiTheme="minorHAnsi" w:cstheme="minorHAnsi"/>
              </w:rPr>
            </w:pPr>
            <w:r w:rsidRPr="005F120D">
              <w:rPr>
                <w:rFonts w:asciiTheme="minorHAnsi" w:hAnsiTheme="minorHAnsi" w:cstheme="minorHAnsi"/>
              </w:rPr>
              <w:t>32</w:t>
            </w:r>
          </w:p>
        </w:tc>
      </w:tr>
      <w:tr w:rsidR="00F11D5E" w:rsidRPr="005F120D" w:rsidTr="00F11D5E">
        <w:trPr>
          <w:trHeight w:hRule="exact" w:val="288"/>
          <w:jc w:val="center"/>
        </w:trPr>
        <w:tc>
          <w:tcPr>
            <w:tcW w:w="371" w:type="pct"/>
            <w:vMerge/>
            <w:shd w:val="clear" w:color="auto" w:fill="D6E3BC" w:themeFill="accent3" w:themeFillTint="66"/>
          </w:tcPr>
          <w:p w:rsidR="000F08AE" w:rsidRPr="005F120D" w:rsidRDefault="000F08AE" w:rsidP="00936D9E">
            <w:pPr>
              <w:pStyle w:val="Tabletext"/>
              <w:jc w:val="center"/>
              <w:rPr>
                <w:rFonts w:asciiTheme="minorHAnsi" w:hAnsiTheme="minorHAnsi" w:cstheme="minorHAnsi"/>
              </w:rPr>
            </w:pPr>
          </w:p>
        </w:tc>
        <w:tc>
          <w:tcPr>
            <w:tcW w:w="578" w:type="pct"/>
            <w:shd w:val="clear" w:color="auto" w:fill="D6E3BC" w:themeFill="accent3" w:themeFillTint="66"/>
          </w:tcPr>
          <w:p w:rsidR="000F08AE" w:rsidRPr="005F120D" w:rsidRDefault="000F08AE" w:rsidP="00936D9E">
            <w:pPr>
              <w:pStyle w:val="Tabletext"/>
              <w:rPr>
                <w:rFonts w:asciiTheme="minorHAnsi" w:hAnsiTheme="minorHAnsi" w:cstheme="minorHAnsi"/>
              </w:rPr>
            </w:pPr>
            <w:r w:rsidRPr="005F120D">
              <w:rPr>
                <w:rFonts w:asciiTheme="minorHAnsi" w:hAnsiTheme="minorHAnsi" w:cstheme="minorHAnsi"/>
              </w:rPr>
              <w:t>Total</w:t>
            </w:r>
          </w:p>
        </w:tc>
        <w:tc>
          <w:tcPr>
            <w:tcW w:w="308" w:type="pct"/>
            <w:shd w:val="clear" w:color="auto" w:fill="D6E3BC" w:themeFill="accent3" w:themeFillTint="66"/>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55</w:t>
            </w:r>
          </w:p>
        </w:tc>
        <w:tc>
          <w:tcPr>
            <w:tcW w:w="475" w:type="pct"/>
            <w:shd w:val="clear" w:color="auto" w:fill="D6E3BC" w:themeFill="accent3" w:themeFillTint="66"/>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19</w:t>
            </w:r>
          </w:p>
        </w:tc>
        <w:tc>
          <w:tcPr>
            <w:tcW w:w="570" w:type="pct"/>
            <w:shd w:val="clear" w:color="auto" w:fill="D6E3BC" w:themeFill="accent3" w:themeFillTint="66"/>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22</w:t>
            </w:r>
          </w:p>
        </w:tc>
        <w:tc>
          <w:tcPr>
            <w:tcW w:w="672" w:type="pct"/>
            <w:shd w:val="clear" w:color="auto" w:fill="D6E3BC" w:themeFill="accent3" w:themeFillTint="66"/>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4</w:t>
            </w:r>
          </w:p>
        </w:tc>
        <w:tc>
          <w:tcPr>
            <w:tcW w:w="308" w:type="pct"/>
            <w:shd w:val="clear" w:color="auto" w:fill="D6E3BC" w:themeFill="accent3" w:themeFillTint="66"/>
          </w:tcPr>
          <w:p w:rsidR="000F08AE" w:rsidRPr="005F120D" w:rsidRDefault="00AA5CC5" w:rsidP="00936D9E">
            <w:pPr>
              <w:pStyle w:val="Tabletext"/>
              <w:jc w:val="center"/>
              <w:rPr>
                <w:rFonts w:asciiTheme="minorHAnsi" w:hAnsiTheme="minorHAnsi" w:cstheme="minorHAnsi"/>
              </w:rPr>
            </w:pPr>
            <w:r w:rsidRPr="005F120D">
              <w:rPr>
                <w:rFonts w:asciiTheme="minorHAnsi" w:hAnsiTheme="minorHAnsi" w:cstheme="minorHAnsi"/>
              </w:rPr>
              <w:t>48</w:t>
            </w:r>
          </w:p>
        </w:tc>
        <w:tc>
          <w:tcPr>
            <w:tcW w:w="475" w:type="pct"/>
            <w:shd w:val="clear" w:color="auto" w:fill="D6E3BC" w:themeFill="accent3" w:themeFillTint="66"/>
          </w:tcPr>
          <w:p w:rsidR="000F08AE" w:rsidRPr="005F120D" w:rsidRDefault="00AA5CC5" w:rsidP="00936D9E">
            <w:pPr>
              <w:pStyle w:val="Tabletext"/>
              <w:jc w:val="center"/>
              <w:rPr>
                <w:rFonts w:asciiTheme="minorHAnsi" w:hAnsiTheme="minorHAnsi" w:cstheme="minorHAnsi"/>
              </w:rPr>
            </w:pPr>
            <w:r w:rsidRPr="005F120D">
              <w:rPr>
                <w:rFonts w:asciiTheme="minorHAnsi" w:hAnsiTheme="minorHAnsi" w:cstheme="minorHAnsi"/>
              </w:rPr>
              <w:t>33</w:t>
            </w:r>
          </w:p>
        </w:tc>
        <w:tc>
          <w:tcPr>
            <w:tcW w:w="570" w:type="pct"/>
            <w:shd w:val="clear" w:color="auto" w:fill="D6E3BC" w:themeFill="accent3" w:themeFillTint="66"/>
          </w:tcPr>
          <w:p w:rsidR="000F08AE" w:rsidRPr="005F120D" w:rsidRDefault="00AA5CC5" w:rsidP="00936D9E">
            <w:pPr>
              <w:pStyle w:val="Tabletext"/>
              <w:jc w:val="center"/>
              <w:rPr>
                <w:rFonts w:asciiTheme="minorHAnsi" w:hAnsiTheme="minorHAnsi" w:cstheme="minorHAnsi"/>
              </w:rPr>
            </w:pPr>
            <w:r w:rsidRPr="005F120D">
              <w:rPr>
                <w:rFonts w:asciiTheme="minorHAnsi" w:hAnsiTheme="minorHAnsi" w:cstheme="minorHAnsi"/>
              </w:rPr>
              <w:t>0.7</w:t>
            </w:r>
          </w:p>
        </w:tc>
        <w:tc>
          <w:tcPr>
            <w:tcW w:w="672" w:type="pct"/>
            <w:shd w:val="clear" w:color="auto" w:fill="D6E3BC" w:themeFill="accent3" w:themeFillTint="66"/>
          </w:tcPr>
          <w:p w:rsidR="000F08AE" w:rsidRPr="005F120D" w:rsidRDefault="00AA5CC5" w:rsidP="00936D9E">
            <w:pPr>
              <w:pStyle w:val="Tabletext"/>
              <w:jc w:val="center"/>
              <w:rPr>
                <w:rFonts w:asciiTheme="minorHAnsi" w:hAnsiTheme="minorHAnsi" w:cstheme="minorHAnsi"/>
              </w:rPr>
            </w:pPr>
            <w:r w:rsidRPr="005F120D">
              <w:rPr>
                <w:rFonts w:asciiTheme="minorHAnsi" w:hAnsiTheme="minorHAnsi" w:cstheme="minorHAnsi"/>
              </w:rPr>
              <w:t>18</w:t>
            </w:r>
          </w:p>
        </w:tc>
      </w:tr>
      <w:tr w:rsidR="00F11D5E" w:rsidRPr="005F120D" w:rsidTr="00F11D5E">
        <w:trPr>
          <w:trHeight w:hRule="exact" w:val="288"/>
          <w:jc w:val="center"/>
        </w:trPr>
        <w:tc>
          <w:tcPr>
            <w:tcW w:w="371" w:type="pct"/>
            <w:vMerge w:val="restar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All</w:t>
            </w:r>
          </w:p>
        </w:tc>
        <w:tc>
          <w:tcPr>
            <w:tcW w:w="578" w:type="pct"/>
            <w:shd w:val="clear" w:color="auto" w:fill="FFFFFF" w:themeFill="background1"/>
          </w:tcPr>
          <w:p w:rsidR="000F08AE" w:rsidRPr="005F120D" w:rsidRDefault="000F08AE" w:rsidP="00936D9E">
            <w:pPr>
              <w:pStyle w:val="Tabletext"/>
              <w:rPr>
                <w:rFonts w:asciiTheme="minorHAnsi" w:hAnsiTheme="minorHAnsi" w:cstheme="minorHAnsi"/>
              </w:rPr>
            </w:pPr>
            <w:r w:rsidRPr="005F120D">
              <w:rPr>
                <w:rFonts w:asciiTheme="minorHAnsi" w:hAnsiTheme="minorHAnsi" w:cstheme="minorHAnsi"/>
                <w:i/>
              </w:rPr>
              <w:t>Pacca</w:t>
            </w:r>
          </w:p>
        </w:tc>
        <w:tc>
          <w:tcPr>
            <w:tcW w:w="308"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65</w:t>
            </w:r>
          </w:p>
        </w:tc>
        <w:tc>
          <w:tcPr>
            <w:tcW w:w="475"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14</w:t>
            </w:r>
          </w:p>
        </w:tc>
        <w:tc>
          <w:tcPr>
            <w:tcW w:w="570"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17</w:t>
            </w:r>
          </w:p>
        </w:tc>
        <w:tc>
          <w:tcPr>
            <w:tcW w:w="672"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4</w:t>
            </w:r>
          </w:p>
        </w:tc>
        <w:tc>
          <w:tcPr>
            <w:tcW w:w="308" w:type="pct"/>
            <w:shd w:val="clear" w:color="auto" w:fill="FFFFFF" w:themeFill="background1"/>
          </w:tcPr>
          <w:p w:rsidR="000F08AE" w:rsidRPr="005F120D" w:rsidRDefault="00AA5CC5" w:rsidP="00936D9E">
            <w:pPr>
              <w:pStyle w:val="Tabletext"/>
              <w:jc w:val="center"/>
              <w:rPr>
                <w:rFonts w:asciiTheme="minorHAnsi" w:hAnsiTheme="minorHAnsi" w:cstheme="minorHAnsi"/>
              </w:rPr>
            </w:pPr>
            <w:r w:rsidRPr="005F120D">
              <w:rPr>
                <w:rFonts w:asciiTheme="minorHAnsi" w:hAnsiTheme="minorHAnsi" w:cstheme="minorHAnsi"/>
              </w:rPr>
              <w:t>62</w:t>
            </w:r>
          </w:p>
        </w:tc>
        <w:tc>
          <w:tcPr>
            <w:tcW w:w="475" w:type="pct"/>
            <w:shd w:val="clear" w:color="auto" w:fill="FFFFFF" w:themeFill="background1"/>
          </w:tcPr>
          <w:p w:rsidR="000F08AE" w:rsidRPr="005F120D" w:rsidRDefault="00AA5CC5" w:rsidP="00936D9E">
            <w:pPr>
              <w:pStyle w:val="Tabletext"/>
              <w:jc w:val="center"/>
              <w:rPr>
                <w:rFonts w:asciiTheme="minorHAnsi" w:hAnsiTheme="minorHAnsi" w:cstheme="minorHAnsi"/>
              </w:rPr>
            </w:pPr>
            <w:r w:rsidRPr="005F120D">
              <w:rPr>
                <w:rFonts w:asciiTheme="minorHAnsi" w:hAnsiTheme="minorHAnsi" w:cstheme="minorHAnsi"/>
              </w:rPr>
              <w:t>27</w:t>
            </w:r>
          </w:p>
        </w:tc>
        <w:tc>
          <w:tcPr>
            <w:tcW w:w="570" w:type="pct"/>
            <w:shd w:val="clear" w:color="auto" w:fill="FFFFFF" w:themeFill="background1"/>
          </w:tcPr>
          <w:p w:rsidR="000F08AE" w:rsidRPr="005F120D" w:rsidRDefault="00AA5CC5" w:rsidP="00936D9E">
            <w:pPr>
              <w:pStyle w:val="Tabletext"/>
              <w:jc w:val="center"/>
              <w:rPr>
                <w:rFonts w:asciiTheme="minorHAnsi" w:hAnsiTheme="minorHAnsi" w:cstheme="minorHAnsi"/>
              </w:rPr>
            </w:pPr>
            <w:r w:rsidRPr="005F120D">
              <w:rPr>
                <w:rFonts w:asciiTheme="minorHAnsi" w:hAnsiTheme="minorHAnsi" w:cstheme="minorHAnsi"/>
              </w:rPr>
              <w:t>0.7</w:t>
            </w:r>
          </w:p>
        </w:tc>
        <w:tc>
          <w:tcPr>
            <w:tcW w:w="672" w:type="pct"/>
            <w:shd w:val="clear" w:color="auto" w:fill="FFFFFF" w:themeFill="background1"/>
          </w:tcPr>
          <w:p w:rsidR="000F08AE" w:rsidRPr="005F120D" w:rsidRDefault="00AA5CC5" w:rsidP="00936D9E">
            <w:pPr>
              <w:pStyle w:val="Tabletext"/>
              <w:jc w:val="center"/>
              <w:rPr>
                <w:rFonts w:asciiTheme="minorHAnsi" w:hAnsiTheme="minorHAnsi" w:cstheme="minorHAnsi"/>
              </w:rPr>
            </w:pPr>
            <w:r w:rsidRPr="005F120D">
              <w:rPr>
                <w:rFonts w:asciiTheme="minorHAnsi" w:hAnsiTheme="minorHAnsi" w:cstheme="minorHAnsi"/>
              </w:rPr>
              <w:t>10</w:t>
            </w:r>
          </w:p>
        </w:tc>
      </w:tr>
      <w:tr w:rsidR="00F11D5E" w:rsidRPr="005F120D" w:rsidTr="00F11D5E">
        <w:trPr>
          <w:trHeight w:hRule="exact" w:val="288"/>
          <w:jc w:val="center"/>
        </w:trPr>
        <w:tc>
          <w:tcPr>
            <w:tcW w:w="371" w:type="pct"/>
            <w:vMerge/>
            <w:shd w:val="clear" w:color="auto" w:fill="FFFFFF" w:themeFill="background1"/>
          </w:tcPr>
          <w:p w:rsidR="000F08AE" w:rsidRPr="005F120D" w:rsidRDefault="000F08AE" w:rsidP="00936D9E">
            <w:pPr>
              <w:pStyle w:val="Tabletext"/>
              <w:jc w:val="center"/>
              <w:rPr>
                <w:rFonts w:asciiTheme="minorHAnsi" w:hAnsiTheme="minorHAnsi" w:cstheme="minorHAnsi"/>
              </w:rPr>
            </w:pPr>
          </w:p>
        </w:tc>
        <w:tc>
          <w:tcPr>
            <w:tcW w:w="578" w:type="pct"/>
            <w:shd w:val="clear" w:color="auto" w:fill="FFFFFF" w:themeFill="background1"/>
          </w:tcPr>
          <w:p w:rsidR="000F08AE" w:rsidRPr="005F120D" w:rsidRDefault="000F08AE" w:rsidP="00936D9E">
            <w:pPr>
              <w:pStyle w:val="Tabletext"/>
              <w:rPr>
                <w:rFonts w:asciiTheme="minorHAnsi" w:hAnsiTheme="minorHAnsi" w:cstheme="minorHAnsi"/>
              </w:rPr>
            </w:pPr>
            <w:r w:rsidRPr="005F120D">
              <w:rPr>
                <w:rFonts w:asciiTheme="minorHAnsi" w:hAnsiTheme="minorHAnsi" w:cstheme="minorHAnsi"/>
              </w:rPr>
              <w:t>Semi-</w:t>
            </w:r>
            <w:r w:rsidRPr="005F120D">
              <w:rPr>
                <w:rFonts w:asciiTheme="minorHAnsi" w:hAnsiTheme="minorHAnsi" w:cstheme="minorHAnsi"/>
                <w:i/>
              </w:rPr>
              <w:t>Pacca</w:t>
            </w:r>
          </w:p>
        </w:tc>
        <w:tc>
          <w:tcPr>
            <w:tcW w:w="308"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9</w:t>
            </w:r>
          </w:p>
        </w:tc>
        <w:tc>
          <w:tcPr>
            <w:tcW w:w="475"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43</w:t>
            </w:r>
          </w:p>
        </w:tc>
        <w:tc>
          <w:tcPr>
            <w:tcW w:w="570"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37</w:t>
            </w:r>
          </w:p>
        </w:tc>
        <w:tc>
          <w:tcPr>
            <w:tcW w:w="672" w:type="pct"/>
            <w:shd w:val="clear" w:color="auto" w:fill="FFFFFF" w:themeFill="background1"/>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11</w:t>
            </w:r>
          </w:p>
        </w:tc>
        <w:tc>
          <w:tcPr>
            <w:tcW w:w="308" w:type="pct"/>
            <w:shd w:val="clear" w:color="auto" w:fill="FFFFFF" w:themeFill="background1"/>
          </w:tcPr>
          <w:p w:rsidR="000F08AE" w:rsidRPr="005F120D" w:rsidRDefault="00764F3D" w:rsidP="00936D9E">
            <w:pPr>
              <w:pStyle w:val="Tabletext"/>
              <w:jc w:val="center"/>
              <w:rPr>
                <w:rFonts w:asciiTheme="minorHAnsi" w:hAnsiTheme="minorHAnsi" w:cstheme="minorHAnsi"/>
              </w:rPr>
            </w:pPr>
            <w:r w:rsidRPr="005F120D">
              <w:rPr>
                <w:rFonts w:asciiTheme="minorHAnsi" w:hAnsiTheme="minorHAnsi" w:cstheme="minorHAnsi"/>
              </w:rPr>
              <w:t>18</w:t>
            </w:r>
          </w:p>
        </w:tc>
        <w:tc>
          <w:tcPr>
            <w:tcW w:w="475" w:type="pct"/>
            <w:shd w:val="clear" w:color="auto" w:fill="FFFFFF" w:themeFill="background1"/>
          </w:tcPr>
          <w:p w:rsidR="000F08AE" w:rsidRPr="005F120D" w:rsidRDefault="00764F3D" w:rsidP="00936D9E">
            <w:pPr>
              <w:pStyle w:val="Tabletext"/>
              <w:jc w:val="center"/>
              <w:rPr>
                <w:rFonts w:asciiTheme="minorHAnsi" w:hAnsiTheme="minorHAnsi" w:cstheme="minorHAnsi"/>
              </w:rPr>
            </w:pPr>
            <w:r w:rsidRPr="005F120D">
              <w:rPr>
                <w:rFonts w:asciiTheme="minorHAnsi" w:hAnsiTheme="minorHAnsi" w:cstheme="minorHAnsi"/>
              </w:rPr>
              <w:t>43</w:t>
            </w:r>
          </w:p>
        </w:tc>
        <w:tc>
          <w:tcPr>
            <w:tcW w:w="570" w:type="pct"/>
            <w:shd w:val="clear" w:color="auto" w:fill="FFFFFF" w:themeFill="background1"/>
          </w:tcPr>
          <w:p w:rsidR="000F08AE" w:rsidRPr="005F120D" w:rsidRDefault="00764F3D" w:rsidP="00936D9E">
            <w:pPr>
              <w:pStyle w:val="Tabletext"/>
              <w:jc w:val="center"/>
              <w:rPr>
                <w:rFonts w:asciiTheme="minorHAnsi" w:hAnsiTheme="minorHAnsi" w:cstheme="minorHAnsi"/>
              </w:rPr>
            </w:pPr>
            <w:r w:rsidRPr="005F120D">
              <w:rPr>
                <w:rFonts w:asciiTheme="minorHAnsi" w:hAnsiTheme="minorHAnsi" w:cstheme="minorHAnsi"/>
              </w:rPr>
              <w:t>0.5</w:t>
            </w:r>
          </w:p>
        </w:tc>
        <w:tc>
          <w:tcPr>
            <w:tcW w:w="672" w:type="pct"/>
            <w:shd w:val="clear" w:color="auto" w:fill="FFFFFF" w:themeFill="background1"/>
          </w:tcPr>
          <w:p w:rsidR="000F08AE" w:rsidRPr="005F120D" w:rsidRDefault="00764F3D" w:rsidP="00936D9E">
            <w:pPr>
              <w:pStyle w:val="Tabletext"/>
              <w:jc w:val="center"/>
              <w:rPr>
                <w:rFonts w:asciiTheme="minorHAnsi" w:hAnsiTheme="minorHAnsi" w:cstheme="minorHAnsi"/>
              </w:rPr>
            </w:pPr>
            <w:r w:rsidRPr="005F120D">
              <w:rPr>
                <w:rFonts w:asciiTheme="minorHAnsi" w:hAnsiTheme="minorHAnsi" w:cstheme="minorHAnsi"/>
              </w:rPr>
              <w:t>39</w:t>
            </w:r>
          </w:p>
        </w:tc>
      </w:tr>
      <w:tr w:rsidR="00F11D5E" w:rsidRPr="005F120D" w:rsidTr="00F11D5E">
        <w:trPr>
          <w:trHeight w:hRule="exact" w:val="288"/>
          <w:jc w:val="center"/>
        </w:trPr>
        <w:tc>
          <w:tcPr>
            <w:tcW w:w="371" w:type="pct"/>
            <w:vMerge/>
            <w:shd w:val="clear" w:color="auto" w:fill="D6E3BC" w:themeFill="accent3" w:themeFillTint="66"/>
          </w:tcPr>
          <w:p w:rsidR="000F08AE" w:rsidRPr="005F120D" w:rsidRDefault="000F08AE" w:rsidP="00936D9E">
            <w:pPr>
              <w:pStyle w:val="Tabletext"/>
              <w:jc w:val="center"/>
              <w:rPr>
                <w:rFonts w:asciiTheme="minorHAnsi" w:hAnsiTheme="minorHAnsi" w:cstheme="minorHAnsi"/>
              </w:rPr>
            </w:pPr>
          </w:p>
        </w:tc>
        <w:tc>
          <w:tcPr>
            <w:tcW w:w="578" w:type="pct"/>
            <w:shd w:val="clear" w:color="auto" w:fill="D6E3BC" w:themeFill="accent3" w:themeFillTint="66"/>
          </w:tcPr>
          <w:p w:rsidR="000F08AE" w:rsidRPr="005F120D" w:rsidRDefault="000F08AE" w:rsidP="00936D9E">
            <w:pPr>
              <w:pStyle w:val="Tabletext"/>
              <w:rPr>
                <w:rFonts w:asciiTheme="minorHAnsi" w:hAnsiTheme="minorHAnsi" w:cstheme="minorHAnsi"/>
              </w:rPr>
            </w:pPr>
            <w:r w:rsidRPr="005F120D">
              <w:rPr>
                <w:rFonts w:asciiTheme="minorHAnsi" w:hAnsiTheme="minorHAnsi" w:cstheme="minorHAnsi"/>
              </w:rPr>
              <w:t>Total</w:t>
            </w:r>
          </w:p>
        </w:tc>
        <w:tc>
          <w:tcPr>
            <w:tcW w:w="308" w:type="pct"/>
            <w:shd w:val="clear" w:color="auto" w:fill="D6E3BC" w:themeFill="accent3" w:themeFillTint="66"/>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54</w:t>
            </w:r>
          </w:p>
        </w:tc>
        <w:tc>
          <w:tcPr>
            <w:tcW w:w="475" w:type="pct"/>
            <w:shd w:val="clear" w:color="auto" w:fill="D6E3BC" w:themeFill="accent3" w:themeFillTint="66"/>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19</w:t>
            </w:r>
          </w:p>
        </w:tc>
        <w:tc>
          <w:tcPr>
            <w:tcW w:w="570" w:type="pct"/>
            <w:shd w:val="clear" w:color="auto" w:fill="D6E3BC" w:themeFill="accent3" w:themeFillTint="66"/>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21</w:t>
            </w:r>
          </w:p>
        </w:tc>
        <w:tc>
          <w:tcPr>
            <w:tcW w:w="672" w:type="pct"/>
            <w:shd w:val="clear" w:color="auto" w:fill="D6E3BC" w:themeFill="accent3" w:themeFillTint="66"/>
          </w:tcPr>
          <w:p w:rsidR="000F08AE" w:rsidRPr="005F120D" w:rsidRDefault="000F08AE" w:rsidP="00936D9E">
            <w:pPr>
              <w:pStyle w:val="Tabletext"/>
              <w:jc w:val="center"/>
              <w:rPr>
                <w:rFonts w:asciiTheme="minorHAnsi" w:hAnsiTheme="minorHAnsi" w:cstheme="minorHAnsi"/>
              </w:rPr>
            </w:pPr>
            <w:r w:rsidRPr="005F120D">
              <w:rPr>
                <w:rFonts w:asciiTheme="minorHAnsi" w:hAnsiTheme="minorHAnsi" w:cstheme="minorHAnsi"/>
              </w:rPr>
              <w:t>6</w:t>
            </w:r>
          </w:p>
        </w:tc>
        <w:tc>
          <w:tcPr>
            <w:tcW w:w="308" w:type="pct"/>
            <w:shd w:val="clear" w:color="auto" w:fill="D6E3BC" w:themeFill="accent3" w:themeFillTint="66"/>
          </w:tcPr>
          <w:p w:rsidR="000F08AE" w:rsidRPr="005F120D" w:rsidRDefault="00764F3D" w:rsidP="00936D9E">
            <w:pPr>
              <w:pStyle w:val="Tabletext"/>
              <w:jc w:val="center"/>
              <w:rPr>
                <w:rFonts w:asciiTheme="minorHAnsi" w:hAnsiTheme="minorHAnsi" w:cstheme="minorHAnsi"/>
              </w:rPr>
            </w:pPr>
            <w:r w:rsidRPr="005F120D">
              <w:rPr>
                <w:rFonts w:asciiTheme="minorHAnsi" w:hAnsiTheme="minorHAnsi" w:cstheme="minorHAnsi"/>
              </w:rPr>
              <w:t>56</w:t>
            </w:r>
          </w:p>
        </w:tc>
        <w:tc>
          <w:tcPr>
            <w:tcW w:w="475" w:type="pct"/>
            <w:shd w:val="clear" w:color="auto" w:fill="D6E3BC" w:themeFill="accent3" w:themeFillTint="66"/>
          </w:tcPr>
          <w:p w:rsidR="000F08AE" w:rsidRPr="005F120D" w:rsidRDefault="00764F3D" w:rsidP="00936D9E">
            <w:pPr>
              <w:pStyle w:val="Tabletext"/>
              <w:jc w:val="center"/>
              <w:rPr>
                <w:rFonts w:asciiTheme="minorHAnsi" w:hAnsiTheme="minorHAnsi" w:cstheme="minorHAnsi"/>
              </w:rPr>
            </w:pPr>
            <w:r w:rsidRPr="005F120D">
              <w:rPr>
                <w:rFonts w:asciiTheme="minorHAnsi" w:hAnsiTheme="minorHAnsi" w:cstheme="minorHAnsi"/>
              </w:rPr>
              <w:t>29</w:t>
            </w:r>
          </w:p>
        </w:tc>
        <w:tc>
          <w:tcPr>
            <w:tcW w:w="570" w:type="pct"/>
            <w:shd w:val="clear" w:color="auto" w:fill="D6E3BC" w:themeFill="accent3" w:themeFillTint="66"/>
          </w:tcPr>
          <w:p w:rsidR="000F08AE" w:rsidRPr="005F120D" w:rsidRDefault="00764F3D" w:rsidP="00936D9E">
            <w:pPr>
              <w:pStyle w:val="Tabletext"/>
              <w:jc w:val="center"/>
              <w:rPr>
                <w:rFonts w:asciiTheme="minorHAnsi" w:hAnsiTheme="minorHAnsi" w:cstheme="minorHAnsi"/>
              </w:rPr>
            </w:pPr>
            <w:r w:rsidRPr="005F120D">
              <w:rPr>
                <w:rFonts w:asciiTheme="minorHAnsi" w:hAnsiTheme="minorHAnsi" w:cstheme="minorHAnsi"/>
              </w:rPr>
              <w:t>1</w:t>
            </w:r>
          </w:p>
        </w:tc>
        <w:tc>
          <w:tcPr>
            <w:tcW w:w="672" w:type="pct"/>
            <w:shd w:val="clear" w:color="auto" w:fill="D6E3BC" w:themeFill="accent3" w:themeFillTint="66"/>
          </w:tcPr>
          <w:p w:rsidR="000F08AE" w:rsidRPr="005F120D" w:rsidRDefault="00764F3D" w:rsidP="00936D9E">
            <w:pPr>
              <w:pStyle w:val="Tabletext"/>
              <w:jc w:val="center"/>
              <w:rPr>
                <w:rFonts w:asciiTheme="minorHAnsi" w:hAnsiTheme="minorHAnsi" w:cstheme="minorHAnsi"/>
              </w:rPr>
            </w:pPr>
            <w:r w:rsidRPr="005F120D">
              <w:rPr>
                <w:rFonts w:asciiTheme="minorHAnsi" w:hAnsiTheme="minorHAnsi" w:cstheme="minorHAnsi"/>
              </w:rPr>
              <w:t>14</w:t>
            </w:r>
          </w:p>
        </w:tc>
      </w:tr>
    </w:tbl>
    <w:p w:rsidR="007D35E2" w:rsidRPr="005F120D" w:rsidRDefault="004B66C1" w:rsidP="000A5B80">
      <w:pPr>
        <w:pStyle w:val="Tablenotes"/>
      </w:pPr>
      <w:r w:rsidRPr="005F120D">
        <w:t xml:space="preserve">Source: APSC 2012, </w:t>
      </w:r>
      <w:r w:rsidR="00764F3D" w:rsidRPr="005F120D">
        <w:t>2014</w:t>
      </w:r>
      <w:r w:rsidRPr="005F120D">
        <w:t xml:space="preserve"> and 20</w:t>
      </w:r>
      <w:r w:rsidR="00764F3D" w:rsidRPr="005F120D">
        <w:t>15</w:t>
      </w:r>
    </w:p>
    <w:bookmarkEnd w:id="538"/>
    <w:bookmarkEnd w:id="539"/>
    <w:bookmarkEnd w:id="540"/>
    <w:bookmarkEnd w:id="541"/>
    <w:bookmarkEnd w:id="542"/>
    <w:bookmarkEnd w:id="543"/>
    <w:bookmarkEnd w:id="544"/>
    <w:p w:rsidR="00B353F6" w:rsidRPr="005F120D" w:rsidRDefault="00B353F6" w:rsidP="00C437AA">
      <w:pPr>
        <w:pStyle w:val="Heading4"/>
        <w:spacing w:line="276" w:lineRule="auto"/>
        <w:rPr>
          <w:rFonts w:asciiTheme="minorHAnsi" w:hAnsiTheme="minorHAnsi" w:cstheme="minorHAnsi"/>
          <w:b/>
          <w:color w:val="006600"/>
        </w:rPr>
      </w:pPr>
      <w:r w:rsidRPr="005F120D">
        <w:rPr>
          <w:rFonts w:asciiTheme="minorHAnsi" w:hAnsiTheme="minorHAnsi" w:cstheme="minorHAnsi"/>
          <w:b/>
          <w:color w:val="006600"/>
        </w:rPr>
        <w:t>Construction of New Classroom</w:t>
      </w:r>
    </w:p>
    <w:p w:rsidR="00586EC5" w:rsidRPr="005F120D" w:rsidRDefault="00586EC5" w:rsidP="00586EC5">
      <w:pPr>
        <w:spacing w:line="276" w:lineRule="auto"/>
        <w:jc w:val="both"/>
        <w:rPr>
          <w:rFonts w:asciiTheme="minorHAnsi" w:hAnsiTheme="minorHAnsi" w:cstheme="minorHAnsi"/>
        </w:rPr>
      </w:pPr>
      <w:r w:rsidRPr="005F120D">
        <w:rPr>
          <w:rFonts w:asciiTheme="minorHAnsi" w:hAnsiTheme="minorHAnsi" w:cstheme="minorHAnsi"/>
        </w:rPr>
        <w:t xml:space="preserve">In order to reduce overcrowding and disparities in school facilities, PEDP3 uses a transparent, needs-based approach to infrastructure development. Some additional classrooms (target 39,003 classrooms) are to be built during PEDP3 along with the creation of teacher posts to reduce overcrowding in GPS. As per the LGED progress report up to March 2016, a total of 22,444 classrooms have already been constructed. For the construction of new classrooms, priority is to be given to the following three types of areas: </w:t>
      </w:r>
    </w:p>
    <w:p w:rsidR="00586EC5" w:rsidRPr="005F120D" w:rsidRDefault="00586EC5" w:rsidP="00586EC5">
      <w:pPr>
        <w:pStyle w:val="ListBullet11"/>
        <w:numPr>
          <w:ilvl w:val="0"/>
          <w:numId w:val="107"/>
        </w:numPr>
        <w:tabs>
          <w:tab w:val="left" w:pos="720"/>
        </w:tabs>
        <w:spacing w:after="240" w:line="276" w:lineRule="auto"/>
        <w:ind w:left="360"/>
        <w:jc w:val="both"/>
        <w:rPr>
          <w:rFonts w:asciiTheme="minorHAnsi" w:hAnsiTheme="minorHAnsi" w:cstheme="minorHAnsi"/>
        </w:rPr>
      </w:pPr>
      <w:r w:rsidRPr="005F120D">
        <w:rPr>
          <w:rFonts w:asciiTheme="minorHAnsi" w:hAnsiTheme="minorHAnsi" w:cstheme="minorHAnsi"/>
        </w:rPr>
        <w:t xml:space="preserve">Remote: In 2015, about 19.9% of Head Teachers (GPS/NNPS) claimed that their school was difficult to reach, similar to the 21.7% reported in 2010. Equally, about 10% of schools (GPS/NNPS) were 25 kilometres or more away from the </w:t>
      </w:r>
      <w:r w:rsidRPr="005F120D">
        <w:rPr>
          <w:rFonts w:asciiTheme="minorHAnsi" w:hAnsiTheme="minorHAnsi" w:cstheme="minorHAnsi"/>
          <w:i/>
        </w:rPr>
        <w:t>Upazila</w:t>
      </w:r>
      <w:r w:rsidRPr="005F120D">
        <w:rPr>
          <w:rFonts w:asciiTheme="minorHAnsi" w:hAnsiTheme="minorHAnsi" w:cstheme="minorHAnsi"/>
        </w:rPr>
        <w:t xml:space="preserve"> headquarters, slightly higher than the 9.3% reported in 2010.  </w:t>
      </w:r>
    </w:p>
    <w:p w:rsidR="00586EC5" w:rsidRPr="005F120D" w:rsidRDefault="00586EC5" w:rsidP="00586EC5">
      <w:pPr>
        <w:pStyle w:val="ListBullet11"/>
        <w:numPr>
          <w:ilvl w:val="0"/>
          <w:numId w:val="107"/>
        </w:numPr>
        <w:tabs>
          <w:tab w:val="left" w:pos="720"/>
        </w:tabs>
        <w:spacing w:after="240" w:line="276" w:lineRule="auto"/>
        <w:ind w:left="360"/>
        <w:jc w:val="both"/>
        <w:rPr>
          <w:rFonts w:asciiTheme="minorHAnsi" w:hAnsiTheme="minorHAnsi" w:cstheme="minorHAnsi"/>
        </w:rPr>
      </w:pPr>
      <w:r w:rsidRPr="005F120D">
        <w:rPr>
          <w:rFonts w:asciiTheme="minorHAnsi" w:hAnsiTheme="minorHAnsi" w:cstheme="minorHAnsi"/>
        </w:rPr>
        <w:t xml:space="preserve">Underserved: There is no formal definition of an ‘underserved’ area. However, as mentioned above, the APSC has started identifying geographical areas that are generally considered to be underprivileged. In 2015, it was estimated that around 12% of all GPS and NNPSs are located in the more underserved </w:t>
      </w:r>
      <w:r w:rsidR="00E4262D" w:rsidRPr="005F120D">
        <w:rPr>
          <w:rFonts w:asciiTheme="minorHAnsi" w:hAnsiTheme="minorHAnsi" w:cstheme="minorHAnsi"/>
          <w:i/>
        </w:rPr>
        <w:t>hoar</w:t>
      </w:r>
      <w:r w:rsidRPr="005F120D">
        <w:rPr>
          <w:rFonts w:asciiTheme="minorHAnsi" w:hAnsiTheme="minorHAnsi" w:cstheme="minorHAnsi"/>
        </w:rPr>
        <w:t xml:space="preserve"> and hilly areas.</w:t>
      </w:r>
    </w:p>
    <w:p w:rsidR="00586EC5" w:rsidRPr="005F120D" w:rsidRDefault="00586EC5" w:rsidP="00586EC5">
      <w:pPr>
        <w:pStyle w:val="ListBullet11"/>
        <w:numPr>
          <w:ilvl w:val="0"/>
          <w:numId w:val="107"/>
        </w:numPr>
        <w:tabs>
          <w:tab w:val="left" w:pos="720"/>
        </w:tabs>
        <w:spacing w:after="240" w:line="276" w:lineRule="auto"/>
        <w:ind w:left="360"/>
        <w:jc w:val="both"/>
        <w:rPr>
          <w:rFonts w:asciiTheme="minorHAnsi" w:hAnsiTheme="minorHAnsi" w:cstheme="minorHAnsi"/>
        </w:rPr>
      </w:pPr>
      <w:r w:rsidRPr="005F120D">
        <w:rPr>
          <w:rFonts w:asciiTheme="minorHAnsi" w:hAnsiTheme="minorHAnsi" w:cstheme="minorHAnsi"/>
        </w:rPr>
        <w:lastRenderedPageBreak/>
        <w:t>Inhabited by tribal communities: The 2009 APSC included a question on whether a school was located in a tribal/ethnic minority area (about 2% of schools) without plans for being moved. In 2015 it was estimated that there were 3% of GPS and NNPS schools located in tribal areas. This requires further investigation on whether or not the present number of schools in tribal areas meets demand, alongside the need to replace schools or ones that have poor infrastructure that need to be renovated.</w:t>
      </w:r>
    </w:p>
    <w:p w:rsidR="00EA356A" w:rsidRPr="005F120D" w:rsidRDefault="00586EC5" w:rsidP="00586EC5">
      <w:pPr>
        <w:spacing w:before="240" w:line="276" w:lineRule="auto"/>
        <w:jc w:val="both"/>
        <w:rPr>
          <w:rFonts w:asciiTheme="minorHAnsi" w:hAnsiTheme="minorHAnsi" w:cstheme="minorHAnsi"/>
        </w:rPr>
      </w:pPr>
      <w:r w:rsidRPr="005F120D">
        <w:rPr>
          <w:rFonts w:asciiTheme="minorHAnsi" w:hAnsiTheme="minorHAnsi" w:cstheme="minorHAnsi"/>
        </w:rPr>
        <w:t xml:space="preserve">It was mentioned that a discrete project </w:t>
      </w:r>
      <w:r w:rsidRPr="005F120D">
        <w:rPr>
          <w:rFonts w:asciiTheme="minorHAnsi" w:hAnsiTheme="minorHAnsi" w:cstheme="minorHAnsi"/>
          <w:szCs w:val="22"/>
        </w:rPr>
        <w:t>has been established to</w:t>
      </w:r>
      <w:r w:rsidRPr="005F120D">
        <w:rPr>
          <w:rFonts w:asciiTheme="minorHAnsi" w:hAnsiTheme="minorHAnsi" w:cstheme="minorHAnsi"/>
        </w:rPr>
        <w:t xml:space="preserve"> build 1,500 new schools in the non-school areas of Bangladesh</w:t>
      </w:r>
      <w:r w:rsidRPr="005F120D">
        <w:rPr>
          <w:rFonts w:asciiTheme="minorHAnsi" w:hAnsiTheme="minorHAnsi" w:cstheme="minorHAnsi"/>
          <w:szCs w:val="22"/>
        </w:rPr>
        <w:t xml:space="preserve"> between 2011 and 2016; as of March 2016, 1,125 schools have been constructed</w:t>
      </w:r>
      <w:r w:rsidRPr="005F120D">
        <w:rPr>
          <w:rFonts w:asciiTheme="minorHAnsi" w:hAnsiTheme="minorHAnsi" w:cstheme="minorHAnsi"/>
        </w:rPr>
        <w:t xml:space="preserve">. While this construction project lies outside PEDP3, it is expected to have a positive impact on </w:t>
      </w:r>
      <w:r w:rsidRPr="005F120D">
        <w:rPr>
          <w:rFonts w:asciiTheme="minorHAnsi" w:hAnsiTheme="minorHAnsi" w:cstheme="minorHAnsi"/>
          <w:szCs w:val="22"/>
        </w:rPr>
        <w:t xml:space="preserve">overall </w:t>
      </w:r>
      <w:r w:rsidRPr="005F120D">
        <w:rPr>
          <w:rFonts w:asciiTheme="minorHAnsi" w:hAnsiTheme="minorHAnsi" w:cstheme="minorHAnsi"/>
        </w:rPr>
        <w:t>enrolment, retention and completion</w:t>
      </w:r>
      <w:r w:rsidRPr="005F120D">
        <w:rPr>
          <w:rFonts w:asciiTheme="minorHAnsi" w:hAnsiTheme="minorHAnsi" w:cstheme="minorHAnsi"/>
          <w:szCs w:val="22"/>
        </w:rPr>
        <w:t>.</w:t>
      </w:r>
      <w:r w:rsidRPr="005F120D">
        <w:rPr>
          <w:rFonts w:asciiTheme="minorHAnsi" w:hAnsiTheme="minorHAnsi" w:cstheme="minorHAnsi"/>
        </w:rPr>
        <w:t xml:space="preserve"> This project is also expected to reduce disparities, so the project should contribute to a reduction in regional disparities, one of the result areas targeted in the PEDP3. As such, the progress of school construction should be reported in ASPR 2017. See annexure on the progress of discrete projects as of March 2016</w:t>
      </w:r>
      <w:r w:rsidR="00593120" w:rsidRPr="005F120D">
        <w:rPr>
          <w:rFonts w:asciiTheme="minorHAnsi" w:hAnsiTheme="minorHAnsi" w:cstheme="minorHAnsi"/>
        </w:rPr>
        <w:t>.</w:t>
      </w:r>
    </w:p>
    <w:p w:rsidR="00332BB3" w:rsidRPr="005F120D" w:rsidRDefault="00332BB3" w:rsidP="00C437AA">
      <w:pPr>
        <w:pStyle w:val="Heading2"/>
        <w:spacing w:line="276" w:lineRule="auto"/>
        <w:rPr>
          <w:rFonts w:cstheme="minorHAnsi"/>
          <w:color w:val="006600"/>
        </w:rPr>
      </w:pPr>
      <w:bookmarkStart w:id="549" w:name="_Toc462837190"/>
      <w:r w:rsidRPr="005F120D">
        <w:rPr>
          <w:rFonts w:cstheme="minorHAnsi"/>
          <w:color w:val="006600"/>
        </w:rPr>
        <w:t>Education Decentralization</w:t>
      </w:r>
      <w:bookmarkEnd w:id="549"/>
    </w:p>
    <w:p w:rsidR="00586EC5" w:rsidRPr="005F120D" w:rsidRDefault="00586EC5" w:rsidP="00586EC5">
      <w:pPr>
        <w:spacing w:after="120" w:line="276" w:lineRule="auto"/>
        <w:jc w:val="both"/>
        <w:rPr>
          <w:rFonts w:asciiTheme="minorHAnsi" w:hAnsiTheme="minorHAnsi" w:cstheme="minorHAnsi"/>
        </w:rPr>
      </w:pPr>
      <w:r w:rsidRPr="005F120D">
        <w:rPr>
          <w:rFonts w:asciiTheme="minorHAnsi" w:hAnsiTheme="minorHAnsi" w:cstheme="minorHAnsi"/>
        </w:rPr>
        <w:t xml:space="preserve">The PEDP3 prioritizes increased decentralized management and governance to district, </w:t>
      </w:r>
      <w:r w:rsidR="00E4262D" w:rsidRPr="005F120D">
        <w:rPr>
          <w:rFonts w:asciiTheme="minorHAnsi" w:hAnsiTheme="minorHAnsi" w:cstheme="minorHAnsi"/>
        </w:rPr>
        <w:t>Upazila</w:t>
      </w:r>
      <w:r w:rsidRPr="005F120D">
        <w:rPr>
          <w:rFonts w:asciiTheme="minorHAnsi" w:hAnsiTheme="minorHAnsi" w:cstheme="minorHAnsi"/>
        </w:rPr>
        <w:t xml:space="preserve"> and school levels.  APSC captured three types of training related to capacity building for decentralization:  (i) Two training programs targeted at Head Teachers; (ii) School Management and Leadership (PSQL13); and (iii) Community Mobilization for SLIP planning and monitoring.</w:t>
      </w:r>
    </w:p>
    <w:p w:rsidR="00586EC5" w:rsidRPr="005F120D" w:rsidRDefault="00586EC5" w:rsidP="00586EC5">
      <w:pPr>
        <w:spacing w:after="120" w:line="276" w:lineRule="auto"/>
        <w:rPr>
          <w:rFonts w:asciiTheme="minorHAnsi" w:hAnsiTheme="minorHAnsi" w:cstheme="minorHAnsi"/>
        </w:rPr>
      </w:pPr>
      <w:r w:rsidRPr="005F120D">
        <w:rPr>
          <w:rFonts w:asciiTheme="minorHAnsi" w:hAnsiTheme="minorHAnsi" w:cstheme="minorHAnsi"/>
        </w:rPr>
        <w:t>Two PSQLs are clustered under the thematic area of education decentralization.</w:t>
      </w:r>
    </w:p>
    <w:p w:rsidR="00586EC5" w:rsidRPr="005F120D" w:rsidRDefault="00586EC5" w:rsidP="00586EC5">
      <w:pPr>
        <w:numPr>
          <w:ilvl w:val="0"/>
          <w:numId w:val="108"/>
        </w:numPr>
        <w:spacing w:after="200" w:line="276" w:lineRule="auto"/>
        <w:contextualSpacing/>
        <w:rPr>
          <w:rFonts w:asciiTheme="minorHAnsi" w:hAnsiTheme="minorHAnsi" w:cstheme="minorHAnsi"/>
          <w:b/>
          <w:i/>
        </w:rPr>
      </w:pPr>
      <w:r w:rsidRPr="005F120D">
        <w:rPr>
          <w:rFonts w:asciiTheme="minorHAnsi" w:hAnsiTheme="minorHAnsi" w:cstheme="minorHAnsi"/>
          <w:b/>
          <w:i/>
        </w:rPr>
        <w:t>PSQL-12: Percentage of schools which receive SLIP grants,</w:t>
      </w:r>
    </w:p>
    <w:p w:rsidR="0025733D" w:rsidRPr="005F120D" w:rsidRDefault="00586EC5" w:rsidP="00586EC5">
      <w:pPr>
        <w:pStyle w:val="ListParagraph"/>
        <w:numPr>
          <w:ilvl w:val="0"/>
          <w:numId w:val="22"/>
        </w:numPr>
        <w:spacing w:line="276" w:lineRule="auto"/>
        <w:rPr>
          <w:rFonts w:asciiTheme="minorHAnsi" w:hAnsiTheme="minorHAnsi" w:cstheme="minorHAnsi"/>
          <w:b/>
          <w:i/>
        </w:rPr>
      </w:pPr>
      <w:r w:rsidRPr="005F120D">
        <w:rPr>
          <w:rFonts w:asciiTheme="minorHAnsi" w:hAnsiTheme="minorHAnsi" w:cstheme="minorHAnsi"/>
          <w:b/>
          <w:i/>
        </w:rPr>
        <w:t>PSQL -13: Percentage of head teachers who received training on school management and leadership</w:t>
      </w:r>
      <w:r w:rsidR="00030897" w:rsidRPr="005F120D">
        <w:rPr>
          <w:rFonts w:asciiTheme="minorHAnsi" w:hAnsiTheme="minorHAnsi" w:cstheme="minorHAnsi"/>
          <w:b/>
          <w:i/>
        </w:rPr>
        <w:t>.</w:t>
      </w:r>
    </w:p>
    <w:p w:rsidR="0025733D" w:rsidRPr="005F120D" w:rsidRDefault="0025733D" w:rsidP="004E77B3">
      <w:pPr>
        <w:pStyle w:val="Heading3"/>
      </w:pPr>
      <w:bookmarkStart w:id="550" w:name="_Toc338839537"/>
      <w:bookmarkStart w:id="551" w:name="_Toc338856187"/>
      <w:bookmarkStart w:id="552" w:name="_Toc385242130"/>
      <w:bookmarkStart w:id="553" w:name="_Toc385245743"/>
      <w:r w:rsidRPr="005F120D">
        <w:t>School-level improvement plan</w:t>
      </w:r>
      <w:bookmarkEnd w:id="550"/>
      <w:bookmarkEnd w:id="551"/>
      <w:r w:rsidRPr="005F120D">
        <w:t xml:space="preserve"> (SLIP) </w:t>
      </w:r>
      <w:bookmarkEnd w:id="552"/>
      <w:bookmarkEnd w:id="553"/>
    </w:p>
    <w:p w:rsidR="00586EC5" w:rsidRPr="005F120D" w:rsidRDefault="00586EC5" w:rsidP="00586EC5">
      <w:pPr>
        <w:spacing w:before="240" w:line="276" w:lineRule="auto"/>
        <w:jc w:val="both"/>
        <w:rPr>
          <w:rFonts w:asciiTheme="minorHAnsi" w:hAnsiTheme="minorHAnsi" w:cstheme="minorHAnsi"/>
          <w:sz w:val="28"/>
          <w:szCs w:val="28"/>
        </w:rPr>
      </w:pPr>
      <w:r w:rsidRPr="005F120D">
        <w:rPr>
          <w:rFonts w:asciiTheme="minorHAnsi" w:hAnsiTheme="minorHAnsi" w:cstheme="minorHAnsi"/>
        </w:rPr>
        <w:t xml:space="preserve">The main dimension of PEDP3 is to expand decentralized planning, management and monitoring at district, </w:t>
      </w:r>
      <w:r w:rsidR="00E4262D" w:rsidRPr="005F120D">
        <w:rPr>
          <w:rFonts w:asciiTheme="minorHAnsi" w:hAnsiTheme="minorHAnsi" w:cstheme="minorHAnsi"/>
        </w:rPr>
        <w:t>Upazila</w:t>
      </w:r>
      <w:r w:rsidRPr="005F120D">
        <w:rPr>
          <w:rFonts w:asciiTheme="minorHAnsi" w:hAnsiTheme="minorHAnsi" w:cstheme="minorHAnsi"/>
        </w:rPr>
        <w:t xml:space="preserve"> and school levels. The ‘School Level Improvement Plans’ (SLIPs) aim to address school and community-wide issues linked with learning outcomes and primary cycle completion. They also aim to reduce disparities between areas within </w:t>
      </w:r>
      <w:r w:rsidR="00E4262D" w:rsidRPr="005F120D">
        <w:rPr>
          <w:rFonts w:asciiTheme="minorHAnsi" w:hAnsiTheme="minorHAnsi" w:cstheme="minorHAnsi"/>
        </w:rPr>
        <w:t>Upazilas</w:t>
      </w:r>
      <w:r w:rsidRPr="005F120D">
        <w:rPr>
          <w:rFonts w:asciiTheme="minorHAnsi" w:hAnsiTheme="minorHAnsi" w:cstheme="minorHAnsi"/>
        </w:rPr>
        <w:t xml:space="preserve"> leading, eventually, to a reduction of disparities between </w:t>
      </w:r>
      <w:r w:rsidR="00E4262D" w:rsidRPr="005F120D">
        <w:rPr>
          <w:rFonts w:asciiTheme="minorHAnsi" w:hAnsiTheme="minorHAnsi" w:cstheme="minorHAnsi"/>
        </w:rPr>
        <w:t>Upazilas</w:t>
      </w:r>
      <w:r w:rsidRPr="005F120D">
        <w:rPr>
          <w:rFonts w:asciiTheme="minorHAnsi" w:hAnsiTheme="minorHAnsi" w:cstheme="minorHAnsi"/>
        </w:rPr>
        <w:t xml:space="preserve">. </w:t>
      </w:r>
    </w:p>
    <w:p w:rsidR="00586EC5" w:rsidRPr="005F120D" w:rsidRDefault="00586EC5" w:rsidP="00586EC5">
      <w:pPr>
        <w:spacing w:after="120" w:line="276" w:lineRule="auto"/>
        <w:jc w:val="both"/>
        <w:rPr>
          <w:rFonts w:asciiTheme="minorHAnsi" w:hAnsiTheme="minorHAnsi" w:cstheme="minorHAnsi"/>
        </w:rPr>
      </w:pPr>
      <w:r w:rsidRPr="005F120D">
        <w:rPr>
          <w:rFonts w:asciiTheme="minorHAnsi" w:hAnsiTheme="minorHAnsi" w:cstheme="minorHAnsi"/>
        </w:rPr>
        <w:t>A key element of the policy of decentralization in primary education is the promotion of SLIPs. Under PEDPII, this initiative was supported by the provision of school-level improvement planning grants and this has been continued and scaled up under PEDP3. The coverage of SLIP grants across schools is a PSQL indicator. The PEDP3 target is for 95% of GPS and NNPS to receive SLIP grants.</w:t>
      </w:r>
    </w:p>
    <w:p w:rsidR="00586EC5" w:rsidRPr="005F120D" w:rsidRDefault="00586EC5" w:rsidP="00586EC5">
      <w:pPr>
        <w:spacing w:before="240" w:line="276" w:lineRule="auto"/>
        <w:jc w:val="both"/>
        <w:rPr>
          <w:rFonts w:asciiTheme="minorHAnsi" w:hAnsiTheme="minorHAnsi" w:cstheme="minorHAnsi"/>
        </w:rPr>
      </w:pPr>
      <w:r w:rsidRPr="005F120D">
        <w:rPr>
          <w:rFonts w:asciiTheme="minorHAnsi" w:hAnsiTheme="minorHAnsi" w:cstheme="minorHAnsi"/>
        </w:rPr>
        <w:t>In 2015, nearly three-quarters of schools (74%) received SLIP grants up to March 2016. SLIP cell coverage may be 100% when DPE releases second and third allotments after the revision of AOP 2015/16 and SLIP guidelines.</w:t>
      </w:r>
      <w:r w:rsidR="00E4262D">
        <w:rPr>
          <w:rFonts w:asciiTheme="minorHAnsi" w:hAnsiTheme="minorHAnsi" w:cstheme="minorHAnsi"/>
        </w:rPr>
        <w:t xml:space="preserve"> </w:t>
      </w:r>
      <w:r w:rsidRPr="005F120D">
        <w:rPr>
          <w:rFonts w:asciiTheme="minorHAnsi" w:hAnsiTheme="minorHAnsi" w:cstheme="minorHAnsi"/>
        </w:rPr>
        <w:t xml:space="preserve">A total of 36,310 schools (GPS and NNPS) under 297 </w:t>
      </w:r>
      <w:r w:rsidR="00E4262D" w:rsidRPr="005F120D">
        <w:rPr>
          <w:rFonts w:asciiTheme="minorHAnsi" w:hAnsiTheme="minorHAnsi" w:cstheme="minorHAnsi"/>
        </w:rPr>
        <w:t>Upazilas</w:t>
      </w:r>
      <w:r w:rsidRPr="005F120D">
        <w:rPr>
          <w:rFonts w:asciiTheme="minorHAnsi" w:hAnsiTheme="minorHAnsi" w:cstheme="minorHAnsi"/>
        </w:rPr>
        <w:t xml:space="preserve"> in 38 districts were provided with SLIP grants at TK. 40,000/- per school in 2015/16 f/y; it was TK. 30,000/- </w:t>
      </w:r>
      <w:r w:rsidRPr="005F120D">
        <w:rPr>
          <w:rFonts w:asciiTheme="minorHAnsi" w:hAnsiTheme="minorHAnsi" w:cstheme="minorHAnsi"/>
        </w:rPr>
        <w:lastRenderedPageBreak/>
        <w:t>per school in 2014</w:t>
      </w:r>
      <w:r w:rsidR="00904B82">
        <w:rPr>
          <w:rFonts w:asciiTheme="minorHAnsi" w:hAnsiTheme="minorHAnsi" w:cstheme="minorHAnsi"/>
        </w:rPr>
        <w:t>/</w:t>
      </w:r>
      <w:r w:rsidRPr="005F120D">
        <w:rPr>
          <w:rFonts w:asciiTheme="minorHAnsi" w:hAnsiTheme="minorHAnsi" w:cstheme="minorHAnsi"/>
        </w:rPr>
        <w:t xml:space="preserve">15 f/y. The total disbursed was TK. 145 </w:t>
      </w:r>
      <w:r w:rsidR="00904B82" w:rsidRPr="005F120D">
        <w:rPr>
          <w:rFonts w:asciiTheme="minorHAnsi" w:hAnsiTheme="minorHAnsi" w:cstheme="minorHAnsi"/>
        </w:rPr>
        <w:t>core</w:t>
      </w:r>
      <w:r w:rsidR="00E4262D">
        <w:rPr>
          <w:rFonts w:asciiTheme="minorHAnsi" w:hAnsiTheme="minorHAnsi" w:cstheme="minorHAnsi"/>
        </w:rPr>
        <w:t xml:space="preserve"> and 24</w:t>
      </w:r>
      <w:r w:rsidRPr="005F120D">
        <w:rPr>
          <w:rFonts w:asciiTheme="minorHAnsi" w:hAnsiTheme="minorHAnsi" w:cstheme="minorHAnsi"/>
        </w:rPr>
        <w:t>lac. The SLIP coverage increased to 74% in 2015</w:t>
      </w:r>
      <w:r w:rsidRPr="005F120D">
        <w:rPr>
          <w:rStyle w:val="FootnoteReference"/>
          <w:rFonts w:asciiTheme="minorHAnsi" w:eastAsia="MS Mincho" w:hAnsiTheme="minorHAnsi" w:cstheme="minorHAnsi"/>
        </w:rPr>
        <w:footnoteReference w:id="17"/>
      </w:r>
      <w:r w:rsidRPr="005F120D">
        <w:rPr>
          <w:rFonts w:asciiTheme="minorHAnsi" w:hAnsiTheme="minorHAnsi" w:cstheme="minorHAnsi"/>
        </w:rPr>
        <w:t xml:space="preserve"> and the expected coverage increased to 100% in 2015/16 F/Y.  </w:t>
      </w:r>
    </w:p>
    <w:p w:rsidR="00021448" w:rsidRPr="005F120D" w:rsidRDefault="00586EC5" w:rsidP="00586EC5">
      <w:pPr>
        <w:spacing w:line="276" w:lineRule="auto"/>
        <w:jc w:val="both"/>
        <w:rPr>
          <w:rFonts w:asciiTheme="minorHAnsi" w:hAnsiTheme="minorHAnsi" w:cstheme="minorHAnsi"/>
          <w:szCs w:val="22"/>
        </w:rPr>
      </w:pPr>
      <w:r w:rsidRPr="005F120D">
        <w:rPr>
          <w:rFonts w:asciiTheme="minorHAnsi" w:hAnsiTheme="minorHAnsi" w:cstheme="minorHAnsi"/>
          <w:szCs w:val="22"/>
        </w:rPr>
        <w:t>Community Contribution: Community involvement and ownership increased to some extent for the preparation and implementation of SLIP. Community awareness increased and stakeholders felt honored to be involved in the SLIP preparation process. Stakeholders and community people played their roles for the betterment of their school as well as for the students by contributing their own resources (cash and kind) along with government-funded SLIP grants to implement the planned SLIP activities. The 2015 APSC collected information about local contributions. About 11.8% schools (9.2% GPS and 35.5% NNPS) received community contribution within the range of Taka 100 to 635,000. It is worthwhile to investigate whether the local contributions were properly utilized or not. Hence, it is noteworthy that some Bangladeshis, who have migrated to other countries, contributed funds for the construction of school building/classrooms.  Many were motivated through SLIP orientation workshops (See below Figure 4.14)</w:t>
      </w:r>
      <w:r w:rsidR="003A5BE8" w:rsidRPr="005F120D">
        <w:rPr>
          <w:rFonts w:asciiTheme="minorHAnsi" w:hAnsiTheme="minorHAnsi" w:cstheme="minorHAnsi"/>
          <w:szCs w:val="22"/>
        </w:rPr>
        <w:t>.</w:t>
      </w:r>
    </w:p>
    <w:p w:rsidR="007955E6" w:rsidRPr="005F120D" w:rsidRDefault="007955E6" w:rsidP="00C437AA">
      <w:pPr>
        <w:pStyle w:val="Caption"/>
        <w:spacing w:line="276" w:lineRule="auto"/>
        <w:rPr>
          <w:rFonts w:cstheme="minorHAnsi"/>
          <w:szCs w:val="22"/>
        </w:rPr>
      </w:pPr>
      <w:bookmarkStart w:id="554" w:name="_Toc462837457"/>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14</w:t>
      </w:r>
      <w:r w:rsidR="002E2ED5" w:rsidRPr="005F120D">
        <w:rPr>
          <w:rFonts w:cstheme="minorHAnsi"/>
        </w:rPr>
        <w:fldChar w:fldCharType="end"/>
      </w:r>
      <w:r w:rsidRPr="005F120D">
        <w:rPr>
          <w:rFonts w:cstheme="minorHAnsi"/>
        </w:rPr>
        <w:t xml:space="preserve">: </w:t>
      </w:r>
      <w:r w:rsidR="00796C3C" w:rsidRPr="005F120D">
        <w:rPr>
          <w:rFonts w:cstheme="minorHAnsi"/>
        </w:rPr>
        <w:t xml:space="preserve">Percentage of Schools Received Local Contribution for implementing </w:t>
      </w:r>
      <w:r w:rsidRPr="005F120D">
        <w:rPr>
          <w:rFonts w:cstheme="minorHAnsi"/>
        </w:rPr>
        <w:t>SL</w:t>
      </w:r>
      <w:r w:rsidR="006A7739" w:rsidRPr="005F120D">
        <w:rPr>
          <w:rFonts w:cstheme="minorHAnsi"/>
        </w:rPr>
        <w:t>IP 201</w:t>
      </w:r>
      <w:r w:rsidR="00796C3C" w:rsidRPr="005F120D">
        <w:rPr>
          <w:rFonts w:cstheme="minorHAnsi"/>
        </w:rPr>
        <w:t>5</w:t>
      </w:r>
      <w:r w:rsidR="00EB7CFC" w:rsidRPr="005F120D">
        <w:rPr>
          <w:rFonts w:cstheme="minorHAnsi"/>
        </w:rPr>
        <w:t>/16</w:t>
      </w:r>
      <w:bookmarkEnd w:id="554"/>
    </w:p>
    <w:p w:rsidR="007955E6" w:rsidRPr="005F120D" w:rsidRDefault="00CA6485" w:rsidP="00C437AA">
      <w:pPr>
        <w:spacing w:after="40" w:line="276" w:lineRule="auto"/>
        <w:jc w:val="center"/>
        <w:rPr>
          <w:rFonts w:asciiTheme="minorHAnsi" w:hAnsiTheme="minorHAnsi" w:cstheme="minorHAnsi"/>
          <w:color w:val="FF0000"/>
        </w:rPr>
      </w:pPr>
      <w:r w:rsidRPr="005F120D">
        <w:rPr>
          <w:rFonts w:asciiTheme="minorHAnsi" w:hAnsiTheme="minorHAnsi" w:cstheme="minorHAnsi"/>
          <w:noProof/>
          <w:color w:val="FF0000"/>
          <w:lang w:eastAsia="en-US"/>
        </w:rPr>
        <w:drawing>
          <wp:inline distT="0" distB="0" distL="0" distR="0">
            <wp:extent cx="4242399" cy="1966823"/>
            <wp:effectExtent l="38100" t="19050" r="24801"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B66C1" w:rsidRPr="005F120D" w:rsidRDefault="004B66C1" w:rsidP="000A5B80">
      <w:pPr>
        <w:pStyle w:val="Tablenotes"/>
      </w:pPr>
      <w:r w:rsidRPr="005F120D">
        <w:t>Source: APSC 201</w:t>
      </w:r>
      <w:r w:rsidR="0044744C" w:rsidRPr="005F120D">
        <w:t>5</w:t>
      </w:r>
    </w:p>
    <w:p w:rsidR="00586EC5" w:rsidRPr="005F120D" w:rsidRDefault="00586EC5" w:rsidP="00586EC5">
      <w:pPr>
        <w:spacing w:before="240"/>
        <w:jc w:val="both"/>
        <w:rPr>
          <w:rFonts w:asciiTheme="minorHAnsi" w:hAnsiTheme="minorHAnsi" w:cstheme="minorHAnsi"/>
        </w:rPr>
      </w:pPr>
      <w:r w:rsidRPr="005F120D">
        <w:rPr>
          <w:rFonts w:asciiTheme="minorHAnsi" w:hAnsiTheme="minorHAnsi" w:cstheme="minorHAnsi"/>
        </w:rPr>
        <w:t>A qualitative evaluation of SLIP, conducted by UNICEF in 2010, found that the local and national SLIP grants have enabled schools to plan and implement limited improvements to their physical facilities for the purpose of creating a more welcoming learning space for children. However, the study also found that the SLIP initiative has made limited progress in supporting a fuller decentralization of education management functions, including those which impact directly on teaching and learning. These findings underscore the importance for ensuring that decentralization programs are underpinned by effective capacity building initiatives for central and local education authorities in school supervision and performance monitoring (basically no supervision and monitoring mechanism exists at the school level).</w:t>
      </w:r>
    </w:p>
    <w:p w:rsidR="00586EC5" w:rsidRPr="005F120D" w:rsidRDefault="00586EC5" w:rsidP="00586EC5">
      <w:pPr>
        <w:spacing w:before="240"/>
        <w:jc w:val="both"/>
        <w:rPr>
          <w:rFonts w:asciiTheme="minorHAnsi" w:hAnsiTheme="minorHAnsi" w:cstheme="minorHAnsi"/>
        </w:rPr>
      </w:pPr>
      <w:r w:rsidRPr="005F120D">
        <w:rPr>
          <w:rFonts w:asciiTheme="minorHAnsi" w:hAnsiTheme="minorHAnsi" w:cstheme="minorHAnsi"/>
          <w:szCs w:val="22"/>
        </w:rPr>
        <w:t xml:space="preserve">M&amp;E division colleagues intensively monitor SLIP implementation during their routine school visits. The findings of the SLIP </w:t>
      </w:r>
      <w:r w:rsidRPr="005F120D">
        <w:rPr>
          <w:rFonts w:asciiTheme="minorHAnsi" w:hAnsiTheme="minorHAnsi" w:cstheme="minorHAnsi"/>
        </w:rPr>
        <w:t>qualitative evaluation conducted by UNICEF and M&amp;E show clearly in their reports</w:t>
      </w:r>
      <w:r w:rsidRPr="005F120D">
        <w:rPr>
          <w:rFonts w:asciiTheme="minorHAnsi" w:hAnsiTheme="minorHAnsi" w:cstheme="minorHAnsi"/>
          <w:szCs w:val="22"/>
        </w:rPr>
        <w:t xml:space="preserve"> that, in some cases, perceptions regarding SLIPs are not clear to SMC members, PTA, teachers and other stakeholders; more emphasis needs to be given to infrastructure development </w:t>
      </w:r>
      <w:r w:rsidRPr="005F120D">
        <w:rPr>
          <w:rFonts w:asciiTheme="minorHAnsi" w:hAnsiTheme="minorHAnsi" w:cstheme="minorHAnsi"/>
          <w:szCs w:val="22"/>
        </w:rPr>
        <w:lastRenderedPageBreak/>
        <w:t xml:space="preserve">rather than on improving teaching learning processes. The quality outlook of SLIPs is not very clear to those stakeholders for prioritizing the teaching learning activities in the SLIP plan. </w:t>
      </w:r>
    </w:p>
    <w:p w:rsidR="00586EC5" w:rsidRPr="005F120D" w:rsidRDefault="00586EC5" w:rsidP="00586EC5">
      <w:pPr>
        <w:spacing w:before="240"/>
        <w:jc w:val="both"/>
        <w:rPr>
          <w:rFonts w:asciiTheme="minorHAnsi" w:hAnsiTheme="minorHAnsi" w:cstheme="minorHAnsi"/>
        </w:rPr>
      </w:pPr>
      <w:r w:rsidRPr="005F120D">
        <w:rPr>
          <w:rFonts w:asciiTheme="minorHAnsi" w:hAnsiTheme="minorHAnsi" w:cstheme="minorHAnsi"/>
        </w:rPr>
        <w:t xml:space="preserve">More resources need to be mobilized towards the low performing </w:t>
      </w:r>
      <w:r w:rsidR="00E4262D" w:rsidRPr="005F120D">
        <w:rPr>
          <w:rFonts w:asciiTheme="minorHAnsi" w:hAnsiTheme="minorHAnsi" w:cstheme="minorHAnsi"/>
        </w:rPr>
        <w:t>Upazilas</w:t>
      </w:r>
      <w:r w:rsidRPr="005F120D">
        <w:rPr>
          <w:rFonts w:asciiTheme="minorHAnsi" w:hAnsiTheme="minorHAnsi" w:cstheme="minorHAnsi"/>
        </w:rPr>
        <w:t xml:space="preserve"> and schools through SLIP as a priority for equilibrium improvement with the high performing </w:t>
      </w:r>
      <w:r w:rsidR="00E4262D" w:rsidRPr="005F120D">
        <w:rPr>
          <w:rFonts w:asciiTheme="minorHAnsi" w:hAnsiTheme="minorHAnsi" w:cstheme="minorHAnsi"/>
        </w:rPr>
        <w:t>Upazilas</w:t>
      </w:r>
      <w:r w:rsidRPr="005F120D">
        <w:rPr>
          <w:rFonts w:asciiTheme="minorHAnsi" w:hAnsiTheme="minorHAnsi" w:cstheme="minorHAnsi"/>
        </w:rPr>
        <w:t>. In addition, the SLIP preparation process and utilization of allocated fund needs to be very closely monitored in order to achieve the preferred results. A common monitoring matrix for SLIP needs to be developed for progress monitoring as well as regular reporting.</w:t>
      </w:r>
    </w:p>
    <w:p w:rsidR="00EA356A" w:rsidRPr="005F120D" w:rsidRDefault="00586EC5" w:rsidP="00586EC5">
      <w:pPr>
        <w:spacing w:after="0"/>
        <w:jc w:val="both"/>
        <w:rPr>
          <w:rFonts w:asciiTheme="minorHAnsi" w:hAnsiTheme="minorHAnsi" w:cstheme="minorHAnsi"/>
        </w:rPr>
      </w:pPr>
      <w:r w:rsidRPr="005F120D">
        <w:rPr>
          <w:rFonts w:asciiTheme="minorHAnsi" w:hAnsiTheme="minorHAnsi" w:cstheme="minorHAnsi"/>
        </w:rPr>
        <w:t xml:space="preserve">The SLIP grant is intended to be increased in accordance with the implementation of the SLIP plan under PEDP3. If the SLIP grant is increased according to need, greater attention is required for the targeting of activities, utilization of the grant, and efficient record-keeping of spending. The use of the SLIP grant at the school level </w:t>
      </w:r>
      <w:r w:rsidR="004E77B3" w:rsidRPr="005F120D">
        <w:rPr>
          <w:rFonts w:asciiTheme="minorHAnsi" w:hAnsiTheme="minorHAnsi" w:cstheme="minorHAnsi"/>
        </w:rPr>
        <w:t>is needed</w:t>
      </w:r>
      <w:r w:rsidRPr="005F120D">
        <w:rPr>
          <w:rFonts w:asciiTheme="minorHAnsi" w:hAnsiTheme="minorHAnsi" w:cstheme="minorHAnsi"/>
        </w:rPr>
        <w:t xml:space="preserve"> to be monitored more carefully</w:t>
      </w:r>
      <w:r w:rsidR="00EB22B4" w:rsidRPr="005F120D">
        <w:rPr>
          <w:rFonts w:asciiTheme="minorHAnsi" w:hAnsiTheme="minorHAnsi" w:cstheme="minorHAnsi"/>
        </w:rPr>
        <w:t>.</w:t>
      </w:r>
    </w:p>
    <w:p w:rsidR="0084788E" w:rsidRPr="005F120D" w:rsidRDefault="00470218" w:rsidP="004E77B3">
      <w:pPr>
        <w:pStyle w:val="Heading3"/>
      </w:pPr>
      <w:r w:rsidRPr="005F120D">
        <w:t>teachers training on school management and leadership</w:t>
      </w:r>
    </w:p>
    <w:p w:rsidR="00586EC5" w:rsidRPr="005F120D" w:rsidRDefault="00586EC5" w:rsidP="00586EC5">
      <w:pPr>
        <w:spacing w:before="240"/>
        <w:jc w:val="both"/>
        <w:rPr>
          <w:rFonts w:asciiTheme="minorHAnsi" w:hAnsiTheme="minorHAnsi" w:cstheme="minorHAnsi"/>
        </w:rPr>
      </w:pPr>
      <w:r w:rsidRPr="005F120D">
        <w:rPr>
          <w:rFonts w:asciiTheme="minorHAnsi" w:hAnsiTheme="minorHAnsi" w:cstheme="minorHAnsi"/>
        </w:rPr>
        <w:t xml:space="preserve">The PSQL-13 standard of PEDP3 is stated as </w:t>
      </w:r>
      <w:r w:rsidRPr="005F120D">
        <w:rPr>
          <w:rFonts w:asciiTheme="minorHAnsi" w:hAnsiTheme="minorHAnsi" w:cstheme="minorHAnsi"/>
          <w:i/>
        </w:rPr>
        <w:t>‘Percentage of head teachers who received training on school management and leadership training’</w:t>
      </w:r>
      <w:r w:rsidRPr="005F120D">
        <w:rPr>
          <w:rFonts w:asciiTheme="minorHAnsi" w:hAnsiTheme="minorHAnsi" w:cstheme="minorHAnsi"/>
        </w:rPr>
        <w:t xml:space="preserve">. All Head Teachers are expected to be given training in school management and leadership, teacher support and academic supervision, community mobilization and participation, including subject based and sub-cluster training. All types of in-service training for Head Teachers are recorded in the APSC. </w:t>
      </w:r>
    </w:p>
    <w:p w:rsidR="00586EC5" w:rsidRPr="005F120D" w:rsidRDefault="00586EC5" w:rsidP="00586EC5">
      <w:pPr>
        <w:spacing w:after="0"/>
        <w:jc w:val="both"/>
        <w:rPr>
          <w:rFonts w:asciiTheme="minorHAnsi" w:hAnsiTheme="minorHAnsi" w:cstheme="minorHAnsi"/>
        </w:rPr>
      </w:pPr>
      <w:r w:rsidRPr="005F120D">
        <w:rPr>
          <w:rFonts w:asciiTheme="minorHAnsi" w:hAnsiTheme="minorHAnsi" w:cstheme="minorHAnsi"/>
        </w:rPr>
        <w:t>Among those schools with a Head Teacher, Figure 4.1</w:t>
      </w:r>
      <w:r w:rsidR="00904B82">
        <w:rPr>
          <w:rFonts w:asciiTheme="minorHAnsi" w:hAnsiTheme="minorHAnsi" w:cstheme="minorHAnsi"/>
        </w:rPr>
        <w:t>5</w:t>
      </w:r>
      <w:r w:rsidRPr="005F120D">
        <w:rPr>
          <w:rFonts w:asciiTheme="minorHAnsi" w:hAnsiTheme="minorHAnsi" w:cstheme="minorHAnsi"/>
        </w:rPr>
        <w:t xml:space="preserve"> below shows the proportion of Head Teachers who received training on school management and leadership (in addition to the other training outlined above in the sub-section 4.1.2 and 4.1.3). It appears that school management and leadership training for Head Teachers has fallen off to some extent since 2012. Only 50% GPS and 49% NNPS Head Teachers received this training in 2015 compared to 25% GPS and 26% NNPS in 2014 and 75% and 64% in 2010.</w:t>
      </w:r>
    </w:p>
    <w:p w:rsidR="0084788E" w:rsidRPr="005F120D" w:rsidRDefault="00586EC5" w:rsidP="00586EC5">
      <w:pPr>
        <w:spacing w:before="240"/>
        <w:jc w:val="both"/>
        <w:rPr>
          <w:rFonts w:asciiTheme="minorHAnsi" w:hAnsiTheme="minorHAnsi" w:cstheme="minorHAnsi"/>
        </w:rPr>
      </w:pPr>
      <w:r w:rsidRPr="005F120D">
        <w:rPr>
          <w:rFonts w:asciiTheme="minorHAnsi" w:hAnsiTheme="minorHAnsi" w:cstheme="minorHAnsi"/>
        </w:rPr>
        <w:t>There is no identifiable reason why the trend is up and down but one possible explanation is that there was no AOP allocation in the 2011/12 and 2013/14 financial year for conducting this training</w:t>
      </w:r>
      <w:r w:rsidR="00DC12CF" w:rsidRPr="005F120D">
        <w:rPr>
          <w:rFonts w:asciiTheme="minorHAnsi" w:hAnsiTheme="minorHAnsi" w:cstheme="minorHAnsi"/>
        </w:rPr>
        <w:t>.</w:t>
      </w:r>
    </w:p>
    <w:p w:rsidR="00B353F6" w:rsidRPr="005F120D" w:rsidRDefault="005F0348" w:rsidP="00C437AA">
      <w:pPr>
        <w:pStyle w:val="Caption"/>
        <w:spacing w:line="276" w:lineRule="auto"/>
        <w:rPr>
          <w:rFonts w:cstheme="minorHAnsi"/>
        </w:rPr>
      </w:pPr>
      <w:bookmarkStart w:id="555" w:name="_Toc462837458"/>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15</w:t>
      </w:r>
      <w:r w:rsidR="002E2ED5" w:rsidRPr="005F120D">
        <w:rPr>
          <w:rFonts w:cstheme="minorHAnsi"/>
        </w:rPr>
        <w:fldChar w:fldCharType="end"/>
      </w:r>
      <w:r w:rsidRPr="005F120D">
        <w:rPr>
          <w:rFonts w:cstheme="minorHAnsi"/>
        </w:rPr>
        <w:t>:</w:t>
      </w:r>
      <w:r w:rsidR="00EB7CFC" w:rsidRPr="005F120D">
        <w:rPr>
          <w:rFonts w:cstheme="minorHAnsi"/>
        </w:rPr>
        <w:t xml:space="preserve"> Trends and Percentage</w:t>
      </w:r>
      <w:r w:rsidR="004C41FE" w:rsidRPr="005F120D">
        <w:rPr>
          <w:rFonts w:cstheme="minorHAnsi"/>
        </w:rPr>
        <w:t xml:space="preserve"> of Head</w:t>
      </w:r>
      <w:r w:rsidR="000A2996" w:rsidRPr="005F120D">
        <w:rPr>
          <w:rFonts w:cstheme="minorHAnsi"/>
        </w:rPr>
        <w:t xml:space="preserve"> T</w:t>
      </w:r>
      <w:r w:rsidR="00A0442E" w:rsidRPr="005F120D">
        <w:rPr>
          <w:rFonts w:cstheme="minorHAnsi"/>
        </w:rPr>
        <w:t>e</w:t>
      </w:r>
      <w:r w:rsidR="00EB7CFC" w:rsidRPr="005F120D">
        <w:rPr>
          <w:rFonts w:cstheme="minorHAnsi"/>
        </w:rPr>
        <w:t>achers (GPS and NNPS) received T</w:t>
      </w:r>
      <w:r w:rsidR="00A0442E" w:rsidRPr="005F120D">
        <w:rPr>
          <w:rFonts w:cstheme="minorHAnsi"/>
        </w:rPr>
        <w:t>raining</w:t>
      </w:r>
      <w:r w:rsidR="00EB7CFC" w:rsidRPr="005F120D">
        <w:rPr>
          <w:rFonts w:cstheme="minorHAnsi"/>
        </w:rPr>
        <w:t xml:space="preserve"> on School M</w:t>
      </w:r>
      <w:r w:rsidR="00197F6B" w:rsidRPr="005F120D">
        <w:rPr>
          <w:rFonts w:cstheme="minorHAnsi"/>
        </w:rPr>
        <w:t>anag</w:t>
      </w:r>
      <w:r w:rsidR="00EB7CFC" w:rsidRPr="005F120D">
        <w:rPr>
          <w:rFonts w:cstheme="minorHAnsi"/>
        </w:rPr>
        <w:t>ement and L</w:t>
      </w:r>
      <w:r w:rsidR="00197F6B" w:rsidRPr="005F120D">
        <w:rPr>
          <w:rFonts w:cstheme="minorHAnsi"/>
        </w:rPr>
        <w:t>eadership 2010</w:t>
      </w:r>
      <w:r w:rsidR="00A0442E" w:rsidRPr="005F120D">
        <w:rPr>
          <w:rFonts w:cstheme="minorHAnsi"/>
        </w:rPr>
        <w:t>–201</w:t>
      </w:r>
      <w:r w:rsidR="003B2ECD" w:rsidRPr="005F120D">
        <w:rPr>
          <w:rFonts w:cstheme="minorHAnsi"/>
        </w:rPr>
        <w:t>5</w:t>
      </w:r>
      <w:r w:rsidR="00A0442E" w:rsidRPr="005F120D">
        <w:rPr>
          <w:rFonts w:cstheme="minorHAnsi"/>
        </w:rPr>
        <w:t xml:space="preserve"> (%)</w:t>
      </w:r>
      <w:bookmarkEnd w:id="555"/>
    </w:p>
    <w:p w:rsidR="00B32E55" w:rsidRPr="005F120D" w:rsidRDefault="00EB7CFC" w:rsidP="00C437AA">
      <w:pPr>
        <w:spacing w:after="40" w:line="276" w:lineRule="auto"/>
        <w:jc w:val="center"/>
        <w:rPr>
          <w:rFonts w:asciiTheme="minorHAnsi" w:hAnsiTheme="minorHAnsi" w:cstheme="minorHAnsi"/>
          <w:b/>
          <w:color w:val="FF0000"/>
          <w:sz w:val="16"/>
          <w:szCs w:val="16"/>
        </w:rPr>
      </w:pPr>
      <w:r w:rsidRPr="005F120D">
        <w:rPr>
          <w:rFonts w:asciiTheme="minorHAnsi" w:hAnsiTheme="minorHAnsi" w:cstheme="minorHAnsi"/>
          <w:b/>
          <w:noProof/>
          <w:color w:val="FF0000"/>
          <w:sz w:val="16"/>
          <w:szCs w:val="16"/>
          <w:lang w:eastAsia="en-US"/>
        </w:rPr>
        <w:drawing>
          <wp:inline distT="0" distB="0" distL="0" distR="0">
            <wp:extent cx="5661262" cy="2553553"/>
            <wp:effectExtent l="38100" t="19050" r="15638"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21448" w:rsidRPr="005F120D" w:rsidRDefault="003B2ECD" w:rsidP="00C437AA">
      <w:pPr>
        <w:spacing w:after="40" w:line="276" w:lineRule="auto"/>
        <w:rPr>
          <w:rFonts w:asciiTheme="minorHAnsi" w:hAnsiTheme="minorHAnsi" w:cstheme="minorHAnsi"/>
          <w:b/>
          <w:sz w:val="16"/>
          <w:szCs w:val="16"/>
        </w:rPr>
      </w:pPr>
      <w:r w:rsidRPr="005F120D">
        <w:rPr>
          <w:rFonts w:asciiTheme="minorHAnsi" w:hAnsiTheme="minorHAnsi" w:cstheme="minorHAnsi"/>
          <w:b/>
          <w:sz w:val="16"/>
          <w:szCs w:val="16"/>
        </w:rPr>
        <w:t>Source: APSC 2010-15</w:t>
      </w:r>
      <w:r w:rsidR="00F817AF" w:rsidRPr="005F120D">
        <w:rPr>
          <w:rFonts w:asciiTheme="minorHAnsi" w:hAnsiTheme="minorHAnsi" w:cstheme="minorHAnsi"/>
          <w:b/>
          <w:sz w:val="16"/>
          <w:szCs w:val="16"/>
        </w:rPr>
        <w:t xml:space="preserve"> and DPE Training Division Administrative records</w:t>
      </w:r>
    </w:p>
    <w:p w:rsidR="0002361D" w:rsidRPr="005F120D" w:rsidRDefault="006E48D1" w:rsidP="00C437AA">
      <w:pPr>
        <w:pStyle w:val="Heading4"/>
        <w:spacing w:line="276" w:lineRule="auto"/>
        <w:rPr>
          <w:rFonts w:asciiTheme="minorHAnsi" w:hAnsiTheme="minorHAnsi" w:cstheme="minorHAnsi"/>
          <w:b/>
          <w:color w:val="006600"/>
        </w:rPr>
      </w:pPr>
      <w:r w:rsidRPr="005F120D">
        <w:rPr>
          <w:rFonts w:asciiTheme="minorHAnsi" w:hAnsiTheme="minorHAnsi" w:cstheme="minorHAnsi"/>
          <w:b/>
          <w:color w:val="006600"/>
        </w:rPr>
        <w:lastRenderedPageBreak/>
        <w:t xml:space="preserve">School Management Committee (SMC) </w:t>
      </w:r>
      <w:r w:rsidR="00C0497E" w:rsidRPr="005F120D">
        <w:rPr>
          <w:rFonts w:asciiTheme="minorHAnsi" w:hAnsiTheme="minorHAnsi" w:cstheme="minorHAnsi"/>
          <w:b/>
          <w:color w:val="006600"/>
        </w:rPr>
        <w:t>Members</w:t>
      </w:r>
      <w:r w:rsidR="00F14FBB">
        <w:rPr>
          <w:rFonts w:asciiTheme="minorHAnsi" w:hAnsiTheme="minorHAnsi" w:cstheme="minorHAnsi"/>
          <w:b/>
          <w:color w:val="006600"/>
        </w:rPr>
        <w:t xml:space="preserve"> </w:t>
      </w:r>
      <w:r w:rsidR="00C0497E" w:rsidRPr="005F120D">
        <w:rPr>
          <w:rFonts w:asciiTheme="minorHAnsi" w:hAnsiTheme="minorHAnsi" w:cstheme="minorHAnsi"/>
          <w:b/>
          <w:color w:val="006600"/>
        </w:rPr>
        <w:t>T</w:t>
      </w:r>
      <w:r w:rsidR="0025523D" w:rsidRPr="005F120D">
        <w:rPr>
          <w:rFonts w:asciiTheme="minorHAnsi" w:hAnsiTheme="minorHAnsi" w:cstheme="minorHAnsi"/>
          <w:b/>
          <w:color w:val="006600"/>
        </w:rPr>
        <w:t>raining</w:t>
      </w:r>
    </w:p>
    <w:p w:rsidR="00586EC5" w:rsidRPr="005F120D" w:rsidRDefault="00586EC5" w:rsidP="00586EC5">
      <w:pPr>
        <w:spacing w:line="276" w:lineRule="auto"/>
        <w:jc w:val="both"/>
        <w:rPr>
          <w:rFonts w:asciiTheme="minorHAnsi" w:hAnsiTheme="minorHAnsi" w:cstheme="minorHAnsi"/>
          <w:szCs w:val="22"/>
        </w:rPr>
      </w:pPr>
      <w:r w:rsidRPr="005F120D">
        <w:rPr>
          <w:rFonts w:asciiTheme="minorHAnsi" w:hAnsiTheme="minorHAnsi" w:cstheme="minorHAnsi"/>
          <w:szCs w:val="22"/>
        </w:rPr>
        <w:t xml:space="preserve">According to the 2015 APSC data, around 88% of Schools (GPS and NNPS) reported that they have a School Management Committee. On an average, each GPS conducted 10 and each NNPS conducted 9.5 SMC meetings in 2015; the goal is 12 meetings in each year. </w:t>
      </w:r>
    </w:p>
    <w:p w:rsidR="00586EC5" w:rsidRPr="005F120D" w:rsidRDefault="00586EC5" w:rsidP="00586EC5">
      <w:pPr>
        <w:spacing w:line="276" w:lineRule="auto"/>
        <w:jc w:val="both"/>
        <w:rPr>
          <w:rFonts w:asciiTheme="minorHAnsi" w:hAnsiTheme="minorHAnsi" w:cstheme="minorHAnsi"/>
          <w:szCs w:val="22"/>
        </w:rPr>
      </w:pPr>
      <w:r w:rsidRPr="005F120D">
        <w:rPr>
          <w:rFonts w:asciiTheme="minorHAnsi" w:hAnsiTheme="minorHAnsi" w:cstheme="minorHAnsi"/>
        </w:rPr>
        <w:t xml:space="preserve">SMC member training has been de-prioritized since 2011 with no funds allocated separately for this activity.  The </w:t>
      </w:r>
      <w:r w:rsidRPr="005F120D">
        <w:rPr>
          <w:rFonts w:asciiTheme="minorHAnsi" w:hAnsiTheme="minorHAnsi" w:cstheme="minorHAnsi"/>
          <w:szCs w:val="22"/>
        </w:rPr>
        <w:t>SMC members have the opportunity to receive training through the SLIP preparation process and also through social mobilization.</w:t>
      </w:r>
    </w:p>
    <w:p w:rsidR="00586EC5" w:rsidRPr="005F120D" w:rsidRDefault="00586EC5" w:rsidP="00586EC5">
      <w:pPr>
        <w:spacing w:line="276" w:lineRule="auto"/>
        <w:jc w:val="both"/>
        <w:rPr>
          <w:rFonts w:asciiTheme="minorHAnsi" w:hAnsiTheme="minorHAnsi" w:cstheme="minorHAnsi"/>
          <w:color w:val="FF0000"/>
        </w:rPr>
      </w:pPr>
      <w:r w:rsidRPr="005F120D">
        <w:rPr>
          <w:rFonts w:asciiTheme="minorHAnsi" w:hAnsiTheme="minorHAnsi" w:cstheme="minorHAnsi"/>
          <w:szCs w:val="22"/>
        </w:rPr>
        <w:t xml:space="preserve">On the other hand, there is always a requirement for the training of newly elected or selected SMC members. In the SMC guidelines, </w:t>
      </w:r>
      <w:r w:rsidRPr="005F120D">
        <w:rPr>
          <w:rFonts w:asciiTheme="minorHAnsi" w:hAnsiTheme="minorHAnsi" w:cstheme="minorHAnsi"/>
        </w:rPr>
        <w:t>specific roles and responsibilities are outline for SMC members, especially for the SMC chair. It is very important that SMC be given the required training or orientation about their roles and responsibilities for carrying out their functions. PEDP3 has prioritized increased decentralized management and governance to district and school levels. The Government has currently reviewed the structure and functions of the SMC to make it a more effective body, accountable to the school community for the overall administration of the school. For example, there will be new requirements for SLIPs, including effective monitoring and supervision.</w:t>
      </w:r>
    </w:p>
    <w:p w:rsidR="00586EC5" w:rsidRPr="005F120D" w:rsidRDefault="00586EC5" w:rsidP="00586EC5">
      <w:pPr>
        <w:spacing w:line="276" w:lineRule="auto"/>
        <w:jc w:val="both"/>
        <w:rPr>
          <w:rFonts w:asciiTheme="minorHAnsi" w:hAnsiTheme="minorHAnsi" w:cstheme="minorHAnsi"/>
        </w:rPr>
      </w:pPr>
      <w:r w:rsidRPr="005F120D">
        <w:rPr>
          <w:rFonts w:asciiTheme="minorHAnsi" w:hAnsiTheme="minorHAnsi" w:cstheme="minorHAnsi"/>
        </w:rPr>
        <w:t>The final PEDPII project completion report published in December 2011 found that there is a “lack of clarity about accountability for decisions, overlapping functions, and concerns about the composition of the School Management Committee. This lack has delayed the achievement of increased community participation in decision-making throughout the school system”. The MTR governance study also highlighted the lack of knowledge about school management by the SMC chairpersons and members as the main reason for the failure of accountability at school level.</w:t>
      </w:r>
    </w:p>
    <w:p w:rsidR="0034346E" w:rsidRPr="005F120D" w:rsidRDefault="00586EC5" w:rsidP="00586EC5">
      <w:pPr>
        <w:spacing w:line="276" w:lineRule="auto"/>
        <w:jc w:val="both"/>
        <w:rPr>
          <w:rFonts w:asciiTheme="minorHAnsi" w:hAnsiTheme="minorHAnsi" w:cstheme="minorHAnsi"/>
        </w:rPr>
      </w:pPr>
      <w:r w:rsidRPr="005F120D">
        <w:rPr>
          <w:rFonts w:asciiTheme="minorHAnsi" w:hAnsiTheme="minorHAnsi" w:cstheme="minorHAnsi"/>
        </w:rPr>
        <w:t>The above findings focused on the necessity for training SMC members mainly to make them aware of their roles and responsibilities. It is strongly recommended that, before the end of PEDP3 in 2017, SMC training be re-introduced especially to cover newly formed SMC members in order to ensure the effective preparation and implementation of SLIP and the introduction of decentralization reforms</w:t>
      </w:r>
      <w:r w:rsidR="0034346E" w:rsidRPr="005F120D">
        <w:rPr>
          <w:rFonts w:asciiTheme="minorHAnsi" w:hAnsiTheme="minorHAnsi" w:cstheme="minorHAnsi"/>
        </w:rPr>
        <w:t xml:space="preserve">. </w:t>
      </w:r>
    </w:p>
    <w:p w:rsidR="0034346E" w:rsidRPr="005F120D" w:rsidRDefault="0034346E" w:rsidP="00C437AA">
      <w:pPr>
        <w:spacing w:line="276" w:lineRule="auto"/>
        <w:rPr>
          <w:rFonts w:asciiTheme="minorHAnsi" w:hAnsiTheme="minorHAnsi" w:cstheme="minorHAnsi"/>
          <w:color w:val="FF0000"/>
        </w:rPr>
      </w:pPr>
    </w:p>
    <w:p w:rsidR="00AE240A" w:rsidRPr="005F120D" w:rsidRDefault="00AE240A" w:rsidP="00C437AA">
      <w:pPr>
        <w:spacing w:line="276" w:lineRule="auto"/>
        <w:rPr>
          <w:rFonts w:asciiTheme="minorHAnsi" w:hAnsiTheme="minorHAnsi" w:cstheme="minorHAnsi"/>
          <w:color w:val="FF0000"/>
          <w:szCs w:val="22"/>
        </w:rPr>
      </w:pPr>
    </w:p>
    <w:p w:rsidR="001D536A" w:rsidRPr="005F120D" w:rsidRDefault="001D536A" w:rsidP="00C437AA">
      <w:pPr>
        <w:spacing w:line="276" w:lineRule="auto"/>
        <w:rPr>
          <w:rFonts w:asciiTheme="minorHAnsi" w:hAnsiTheme="minorHAnsi" w:cstheme="minorHAnsi"/>
          <w:color w:val="FF0000"/>
        </w:rPr>
      </w:pPr>
    </w:p>
    <w:p w:rsidR="00332BB3" w:rsidRPr="005F120D" w:rsidRDefault="004B072A" w:rsidP="003F5F17">
      <w:pPr>
        <w:pStyle w:val="Heading1"/>
      </w:pPr>
      <w:bookmarkStart w:id="556" w:name="_Toc302835175"/>
      <w:bookmarkStart w:id="557" w:name="_Toc338856188"/>
      <w:bookmarkStart w:id="558" w:name="_Toc462837191"/>
      <w:bookmarkEnd w:id="556"/>
      <w:bookmarkEnd w:id="557"/>
      <w:r w:rsidRPr="005F120D">
        <w:lastRenderedPageBreak/>
        <w:t>Activities</w:t>
      </w:r>
      <w:bookmarkEnd w:id="558"/>
    </w:p>
    <w:p w:rsidR="00D628CD" w:rsidRPr="005F120D" w:rsidRDefault="00A35BD5" w:rsidP="00C437AA">
      <w:pPr>
        <w:pStyle w:val="BodyText1"/>
        <w:jc w:val="both"/>
        <w:rPr>
          <w:rFonts w:asciiTheme="minorHAnsi" w:hAnsiTheme="minorHAnsi" w:cstheme="minorHAnsi"/>
          <w:b w:val="0"/>
          <w:color w:val="000000" w:themeColor="text1"/>
        </w:rPr>
      </w:pPr>
      <w:r w:rsidRPr="005F120D">
        <w:rPr>
          <w:rFonts w:asciiTheme="minorHAnsi" w:hAnsiTheme="minorHAnsi" w:cstheme="minorHAnsi"/>
          <w:b w:val="0"/>
          <w:color w:val="000000"/>
        </w:rPr>
        <w:t>This chapter summarises the AOP 2015/16 activities and number of sub-component activity indicators, apart from outcomes (KPIs, Non-KPIs) and outputs (PSQLs) indicators, based on the revised PEDP3 Programme Framework</w:t>
      </w:r>
      <w:r w:rsidR="00DF37FB" w:rsidRPr="005F120D">
        <w:rPr>
          <w:rFonts w:asciiTheme="minorHAnsi" w:hAnsiTheme="minorHAnsi" w:cstheme="minorHAnsi"/>
          <w:b w:val="0"/>
        </w:rPr>
        <w:t>.</w:t>
      </w:r>
    </w:p>
    <w:p w:rsidR="00D628CD" w:rsidRPr="005F120D" w:rsidRDefault="00D628CD" w:rsidP="00C437AA">
      <w:pPr>
        <w:pStyle w:val="Heading2"/>
        <w:spacing w:before="0" w:line="276" w:lineRule="auto"/>
        <w:rPr>
          <w:rFonts w:cstheme="minorHAnsi"/>
          <w:color w:val="006600"/>
        </w:rPr>
      </w:pPr>
      <w:bookmarkStart w:id="559" w:name="_Toc462837192"/>
      <w:r w:rsidRPr="005F120D">
        <w:rPr>
          <w:rFonts w:cstheme="minorHAnsi"/>
          <w:color w:val="006600"/>
        </w:rPr>
        <w:t>PEDP3 Activities</w:t>
      </w:r>
      <w:bookmarkEnd w:id="559"/>
    </w:p>
    <w:p w:rsidR="00D628CD" w:rsidRPr="005F120D" w:rsidRDefault="00A35BD5" w:rsidP="00C437AA">
      <w:pPr>
        <w:pStyle w:val="BodyText1"/>
        <w:jc w:val="both"/>
        <w:rPr>
          <w:rFonts w:asciiTheme="minorHAnsi" w:hAnsiTheme="minorHAnsi" w:cstheme="minorHAnsi"/>
          <w:b w:val="0"/>
        </w:rPr>
      </w:pPr>
      <w:r w:rsidRPr="005F120D">
        <w:rPr>
          <w:rFonts w:asciiTheme="minorHAnsi" w:hAnsiTheme="minorHAnsi" w:cstheme="minorHAnsi"/>
          <w:b w:val="0"/>
        </w:rPr>
        <w:t>This short chapter summarises in table form the progress with respect to PEDP3 activities based on AOP 2015/16. In the 2015/16 AOP, there are 351 activities with funding allocated against 203 of them. The following table summarizes the key activities, 2015/16 AOP budget allocation, including the budget disbursed to implement them in f/y 2015/16 as of March 2016</w:t>
      </w:r>
      <w:r w:rsidR="00415E32" w:rsidRPr="005F120D">
        <w:rPr>
          <w:rFonts w:asciiTheme="minorHAnsi" w:hAnsiTheme="minorHAnsi" w:cstheme="minorHAnsi"/>
          <w:b w:val="0"/>
        </w:rPr>
        <w:t>.</w:t>
      </w:r>
    </w:p>
    <w:p w:rsidR="008F7D75" w:rsidRPr="005F120D" w:rsidRDefault="008F7D75" w:rsidP="00C437AA">
      <w:pPr>
        <w:pStyle w:val="Caption"/>
        <w:spacing w:line="276" w:lineRule="auto"/>
        <w:rPr>
          <w:rFonts w:cstheme="minorHAnsi"/>
        </w:rPr>
      </w:pPr>
      <w:bookmarkStart w:id="560" w:name="_Toc462837303"/>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5</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Pr="005F120D">
        <w:rPr>
          <w:rFonts w:cstheme="minorHAnsi"/>
        </w:rPr>
        <w:t>: Planned Activities in 2015/16 AOP</w:t>
      </w:r>
      <w:bookmarkEnd w:id="560"/>
    </w:p>
    <w:tbl>
      <w:tblPr>
        <w:tblW w:w="5211" w:type="pct"/>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
        <w:gridCol w:w="4226"/>
        <w:gridCol w:w="1295"/>
        <w:gridCol w:w="1214"/>
        <w:gridCol w:w="1214"/>
        <w:gridCol w:w="1098"/>
      </w:tblGrid>
      <w:tr w:rsidR="00A35BD5" w:rsidRPr="005F120D" w:rsidTr="00A01B3D">
        <w:trPr>
          <w:tblHeader/>
        </w:trPr>
        <w:tc>
          <w:tcPr>
            <w:tcW w:w="305" w:type="pct"/>
            <w:tcBorders>
              <w:top w:val="nil"/>
              <w:left w:val="nil"/>
              <w:bottom w:val="single" w:sz="8" w:space="0" w:color="auto"/>
              <w:right w:val="nil"/>
            </w:tcBorders>
            <w:vAlign w:val="center"/>
          </w:tcPr>
          <w:p w:rsidR="00A35BD5" w:rsidRPr="005F120D" w:rsidRDefault="00A35BD5" w:rsidP="004E77B3">
            <w:pPr>
              <w:spacing w:after="0"/>
              <w:jc w:val="center"/>
              <w:rPr>
                <w:rFonts w:asciiTheme="minorHAnsi" w:hAnsiTheme="minorHAnsi" w:cstheme="minorHAnsi"/>
                <w:b/>
                <w:color w:val="000000"/>
                <w:sz w:val="20"/>
              </w:rPr>
            </w:pPr>
          </w:p>
        </w:tc>
        <w:tc>
          <w:tcPr>
            <w:tcW w:w="2193" w:type="pct"/>
            <w:tcBorders>
              <w:top w:val="nil"/>
              <w:left w:val="nil"/>
              <w:bottom w:val="single" w:sz="8" w:space="0" w:color="auto"/>
              <w:right w:val="nil"/>
            </w:tcBorders>
            <w:vAlign w:val="center"/>
          </w:tcPr>
          <w:p w:rsidR="00A35BD5" w:rsidRPr="005F120D" w:rsidRDefault="00A35BD5" w:rsidP="004E77B3">
            <w:pPr>
              <w:spacing w:after="0"/>
              <w:jc w:val="center"/>
              <w:rPr>
                <w:rFonts w:asciiTheme="minorHAnsi" w:hAnsiTheme="minorHAnsi" w:cstheme="minorHAnsi"/>
                <w:b/>
                <w:color w:val="000000"/>
                <w:sz w:val="20"/>
              </w:rPr>
            </w:pPr>
          </w:p>
        </w:tc>
        <w:tc>
          <w:tcPr>
            <w:tcW w:w="672" w:type="pct"/>
            <w:tcBorders>
              <w:top w:val="nil"/>
              <w:left w:val="nil"/>
              <w:bottom w:val="single" w:sz="8"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b/>
                <w:color w:val="000000"/>
                <w:sz w:val="20"/>
              </w:rPr>
            </w:pPr>
          </w:p>
        </w:tc>
        <w:tc>
          <w:tcPr>
            <w:tcW w:w="630" w:type="pct"/>
            <w:tcBorders>
              <w:top w:val="nil"/>
              <w:left w:val="single" w:sz="4" w:space="0" w:color="auto"/>
              <w:bottom w:val="single" w:sz="8" w:space="0" w:color="auto"/>
              <w:right w:val="nil"/>
            </w:tcBorders>
            <w:shd w:val="clear" w:color="auto" w:fill="92CDDC"/>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In Lac Taka</w:t>
            </w:r>
          </w:p>
        </w:tc>
        <w:tc>
          <w:tcPr>
            <w:tcW w:w="630" w:type="pct"/>
            <w:tcBorders>
              <w:top w:val="nil"/>
              <w:left w:val="single" w:sz="4" w:space="0" w:color="auto"/>
              <w:bottom w:val="single" w:sz="8" w:space="0" w:color="auto"/>
              <w:right w:val="nil"/>
            </w:tcBorders>
            <w:shd w:val="clear" w:color="auto" w:fill="92CDDC"/>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In Lac Taka</w:t>
            </w:r>
          </w:p>
        </w:tc>
        <w:tc>
          <w:tcPr>
            <w:tcW w:w="571" w:type="pct"/>
            <w:tcBorders>
              <w:top w:val="nil"/>
              <w:left w:val="single" w:sz="4" w:space="0" w:color="auto"/>
              <w:bottom w:val="single" w:sz="8" w:space="0" w:color="auto"/>
              <w:right w:val="nil"/>
            </w:tcBorders>
            <w:shd w:val="clear" w:color="auto" w:fill="92CDDC"/>
            <w:vAlign w:val="center"/>
          </w:tcPr>
          <w:p w:rsidR="00A35BD5" w:rsidRPr="005F120D" w:rsidRDefault="00A35BD5" w:rsidP="004E77B3">
            <w:pPr>
              <w:spacing w:after="0"/>
              <w:jc w:val="center"/>
              <w:rPr>
                <w:rFonts w:asciiTheme="minorHAnsi" w:hAnsiTheme="minorHAnsi" w:cstheme="minorHAnsi"/>
                <w:b/>
                <w:color w:val="000000"/>
                <w:sz w:val="20"/>
              </w:rPr>
            </w:pPr>
          </w:p>
        </w:tc>
      </w:tr>
      <w:tr w:rsidR="00A35BD5" w:rsidRPr="005F120D" w:rsidTr="00A01B3D">
        <w:trPr>
          <w:tblHeader/>
        </w:trPr>
        <w:tc>
          <w:tcPr>
            <w:tcW w:w="305" w:type="pct"/>
            <w:tcBorders>
              <w:top w:val="single" w:sz="8" w:space="0" w:color="auto"/>
              <w:left w:val="nil"/>
              <w:bottom w:val="single" w:sz="8" w:space="0" w:color="auto"/>
              <w:right w:val="nil"/>
            </w:tcBorders>
            <w:shd w:val="clear" w:color="auto" w:fill="92CDDC"/>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SL #</w:t>
            </w:r>
          </w:p>
        </w:tc>
        <w:tc>
          <w:tcPr>
            <w:tcW w:w="2193" w:type="pct"/>
            <w:tcBorders>
              <w:top w:val="single" w:sz="8" w:space="0" w:color="auto"/>
              <w:left w:val="nil"/>
              <w:bottom w:val="single" w:sz="8" w:space="0" w:color="auto"/>
              <w:right w:val="single" w:sz="4" w:space="0" w:color="auto"/>
            </w:tcBorders>
            <w:shd w:val="clear" w:color="auto" w:fill="92CDDC"/>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Activity</w:t>
            </w:r>
          </w:p>
        </w:tc>
        <w:tc>
          <w:tcPr>
            <w:tcW w:w="672" w:type="pct"/>
            <w:tcBorders>
              <w:top w:val="single" w:sz="8" w:space="0" w:color="auto"/>
              <w:left w:val="single" w:sz="4" w:space="0" w:color="auto"/>
              <w:bottom w:val="single" w:sz="8" w:space="0" w:color="auto"/>
              <w:right w:val="single" w:sz="4" w:space="0" w:color="auto"/>
            </w:tcBorders>
            <w:shd w:val="clear" w:color="auto" w:fill="92CDDC"/>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Responsible Division</w:t>
            </w:r>
          </w:p>
        </w:tc>
        <w:tc>
          <w:tcPr>
            <w:tcW w:w="630" w:type="pct"/>
            <w:tcBorders>
              <w:top w:val="single" w:sz="8" w:space="0" w:color="auto"/>
              <w:left w:val="single" w:sz="4" w:space="0" w:color="auto"/>
              <w:bottom w:val="single" w:sz="8" w:space="0" w:color="auto"/>
              <w:right w:val="nil"/>
            </w:tcBorders>
            <w:shd w:val="clear" w:color="auto" w:fill="92CDDC"/>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AOP 2015/16</w:t>
            </w:r>
          </w:p>
        </w:tc>
        <w:tc>
          <w:tcPr>
            <w:tcW w:w="630" w:type="pct"/>
            <w:tcBorders>
              <w:top w:val="single" w:sz="8" w:space="0" w:color="auto"/>
              <w:left w:val="single" w:sz="4" w:space="0" w:color="auto"/>
              <w:bottom w:val="single" w:sz="8" w:space="0" w:color="auto"/>
              <w:right w:val="nil"/>
            </w:tcBorders>
            <w:shd w:val="clear" w:color="auto" w:fill="92CDDC"/>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Money Spent as of March 2016</w:t>
            </w:r>
          </w:p>
        </w:tc>
        <w:tc>
          <w:tcPr>
            <w:tcW w:w="571" w:type="pct"/>
            <w:tcBorders>
              <w:top w:val="single" w:sz="8" w:space="0" w:color="auto"/>
              <w:left w:val="single" w:sz="4" w:space="0" w:color="auto"/>
              <w:bottom w:val="single" w:sz="8" w:space="0" w:color="auto"/>
              <w:right w:val="nil"/>
            </w:tcBorders>
            <w:shd w:val="clear" w:color="auto" w:fill="92CDDC"/>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 of spending (9 months)</w:t>
            </w:r>
          </w:p>
        </w:tc>
      </w:tr>
      <w:tr w:rsidR="00A35BD5" w:rsidRPr="005F120D" w:rsidTr="00A01B3D">
        <w:trPr>
          <w:trHeight w:val="592"/>
        </w:trPr>
        <w:tc>
          <w:tcPr>
            <w:tcW w:w="305" w:type="pct"/>
            <w:tcBorders>
              <w:top w:val="single" w:sz="8"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w:t>
            </w:r>
          </w:p>
        </w:tc>
        <w:tc>
          <w:tcPr>
            <w:tcW w:w="2193" w:type="pct"/>
            <w:tcBorders>
              <w:top w:val="single" w:sz="8"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Each Child Learns: Program piloting, expanded, study, workshop and ECL materials</w:t>
            </w:r>
          </w:p>
        </w:tc>
        <w:tc>
          <w:tcPr>
            <w:tcW w:w="672" w:type="pct"/>
            <w:tcBorders>
              <w:top w:val="single" w:sz="8"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Program</w:t>
            </w:r>
          </w:p>
        </w:tc>
        <w:tc>
          <w:tcPr>
            <w:tcW w:w="630"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t>1,186.61</w:t>
            </w:r>
          </w:p>
        </w:tc>
        <w:tc>
          <w:tcPr>
            <w:tcW w:w="630"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sz w:val="20"/>
                <w:lang w:eastAsia="ja-JP"/>
              </w:rPr>
              <w:t>268.79</w:t>
            </w:r>
          </w:p>
        </w:tc>
        <w:tc>
          <w:tcPr>
            <w:tcW w:w="571"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22.7%</w:t>
            </w:r>
          </w:p>
        </w:tc>
      </w:tr>
      <w:tr w:rsidR="00A35BD5" w:rsidRPr="005F120D" w:rsidTr="00A01B3D">
        <w:trPr>
          <w:trHeight w:val="360"/>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w:t>
            </w:r>
          </w:p>
        </w:tc>
        <w:tc>
          <w:tcPr>
            <w:tcW w:w="2193" w:type="pct"/>
            <w:tcBorders>
              <w:top w:val="single" w:sz="4" w:space="0" w:color="auto"/>
              <w:left w:val="nil"/>
              <w:bottom w:val="single" w:sz="4" w:space="0" w:color="auto"/>
            </w:tcBorders>
            <w:vAlign w:val="center"/>
          </w:tcPr>
          <w:p w:rsidR="00A35BD5" w:rsidRPr="005F120D" w:rsidRDefault="00A35BD5" w:rsidP="004E77B3">
            <w:pPr>
              <w:pStyle w:val="Tabletext"/>
              <w:spacing w:before="0" w:after="0"/>
              <w:rPr>
                <w:rFonts w:asciiTheme="minorHAnsi" w:hAnsiTheme="minorHAnsi" w:cstheme="minorHAnsi"/>
                <w:color w:val="000000"/>
              </w:rPr>
            </w:pPr>
            <w:r w:rsidRPr="005F120D">
              <w:rPr>
                <w:rFonts w:asciiTheme="minorHAnsi" w:hAnsiTheme="minorHAnsi" w:cstheme="minorHAnsi"/>
                <w:color w:val="000000"/>
              </w:rPr>
              <w:t>School and Classroom Based Assessment: Piloting, tools and printing</w:t>
            </w:r>
          </w:p>
        </w:tc>
        <w:tc>
          <w:tcPr>
            <w:tcW w:w="672" w:type="pct"/>
            <w:tcBorders>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NCTB, Training</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112.00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0.0%</w:t>
            </w:r>
          </w:p>
        </w:tc>
      </w:tr>
      <w:tr w:rsidR="00A35BD5" w:rsidRPr="005F120D" w:rsidTr="00A01B3D">
        <w:trPr>
          <w:trHeight w:val="360"/>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w:t>
            </w:r>
          </w:p>
        </w:tc>
        <w:tc>
          <w:tcPr>
            <w:tcW w:w="2193" w:type="pct"/>
            <w:tcBorders>
              <w:top w:val="single" w:sz="4" w:space="0" w:color="auto"/>
              <w:left w:val="nil"/>
              <w:bottom w:val="single" w:sz="4" w:space="0" w:color="auto"/>
            </w:tcBorders>
            <w:vAlign w:val="center"/>
          </w:tcPr>
          <w:p w:rsidR="00A35BD5" w:rsidRPr="005F120D" w:rsidRDefault="00A35BD5" w:rsidP="004E77B3">
            <w:pPr>
              <w:pStyle w:val="Tabletext"/>
              <w:spacing w:before="0" w:after="0"/>
              <w:rPr>
                <w:rFonts w:asciiTheme="minorHAnsi" w:hAnsiTheme="minorHAnsi" w:cstheme="minorHAnsi"/>
                <w:color w:val="000000"/>
              </w:rPr>
            </w:pPr>
            <w:r w:rsidRPr="005F120D">
              <w:rPr>
                <w:rFonts w:asciiTheme="minorHAnsi" w:hAnsiTheme="minorHAnsi" w:cstheme="minorHAnsi"/>
                <w:color w:val="000000"/>
              </w:rPr>
              <w:t xml:space="preserve">Curriculum Revision Gr-1 to 5: Try-out of Text books from </w:t>
            </w:r>
            <w:r w:rsidRPr="005F120D">
              <w:rPr>
                <w:rFonts w:asciiTheme="minorHAnsi" w:hAnsiTheme="minorHAnsi" w:cstheme="minorHAnsi"/>
                <w:b/>
                <w:color w:val="000000"/>
              </w:rPr>
              <w:t>G</w:t>
            </w:r>
            <w:r w:rsidRPr="005F120D">
              <w:rPr>
                <w:rFonts w:asciiTheme="minorHAnsi" w:hAnsiTheme="minorHAnsi" w:cstheme="minorHAnsi"/>
                <w:color w:val="000000"/>
              </w:rPr>
              <w:t>rade 1-5; Annual Scheme of Work with class routine; test item booklets; CRM Dissemination and Curriculum dissemination (training of teachers)</w:t>
            </w:r>
          </w:p>
        </w:tc>
        <w:tc>
          <w:tcPr>
            <w:tcW w:w="672" w:type="pct"/>
            <w:tcBorders>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NCTB</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5,042.00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sz w:val="20"/>
                <w:lang w:eastAsia="ja-JP"/>
              </w:rPr>
              <w:t>2,771.80</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55.0%</w:t>
            </w:r>
          </w:p>
        </w:tc>
      </w:tr>
      <w:tr w:rsidR="00A35BD5" w:rsidRPr="005F120D" w:rsidTr="00A01B3D">
        <w:trPr>
          <w:trHeight w:val="360"/>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w:t>
            </w:r>
          </w:p>
        </w:tc>
        <w:tc>
          <w:tcPr>
            <w:tcW w:w="2193" w:type="pct"/>
            <w:tcBorders>
              <w:top w:val="single" w:sz="4" w:space="0" w:color="auto"/>
              <w:left w:val="nil"/>
              <w:bottom w:val="single" w:sz="4" w:space="0" w:color="auto"/>
            </w:tcBorders>
            <w:vAlign w:val="center"/>
          </w:tcPr>
          <w:p w:rsidR="00A35BD5" w:rsidRPr="005F120D" w:rsidRDefault="00A35BD5" w:rsidP="004E77B3">
            <w:pPr>
              <w:pStyle w:val="Tabletext"/>
              <w:spacing w:before="0" w:after="0"/>
              <w:rPr>
                <w:rFonts w:asciiTheme="minorHAnsi" w:hAnsiTheme="minorHAnsi" w:cstheme="minorHAnsi"/>
                <w:color w:val="000000"/>
              </w:rPr>
            </w:pPr>
            <w:r w:rsidRPr="005F120D">
              <w:rPr>
                <w:rFonts w:asciiTheme="minorHAnsi" w:hAnsiTheme="minorHAnsi" w:cstheme="minorHAnsi"/>
                <w:color w:val="000000"/>
              </w:rPr>
              <w:t>Teacher Guide s; Supplementary reading materials</w:t>
            </w:r>
          </w:p>
        </w:tc>
        <w:tc>
          <w:tcPr>
            <w:tcW w:w="672" w:type="pct"/>
            <w:tcBorders>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NCTB, Admin</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3,550.00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0.0%</w:t>
            </w:r>
          </w:p>
        </w:tc>
      </w:tr>
      <w:tr w:rsidR="00A35BD5" w:rsidRPr="005F120D" w:rsidTr="00A01B3D">
        <w:trPr>
          <w:trHeight w:val="360"/>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5</w:t>
            </w:r>
          </w:p>
        </w:tc>
        <w:tc>
          <w:tcPr>
            <w:tcW w:w="2193" w:type="pct"/>
            <w:tcBorders>
              <w:top w:val="single" w:sz="4" w:space="0" w:color="auto"/>
              <w:left w:val="nil"/>
              <w:bottom w:val="single" w:sz="4" w:space="0" w:color="auto"/>
            </w:tcBorders>
            <w:vAlign w:val="center"/>
          </w:tcPr>
          <w:p w:rsidR="00A35BD5" w:rsidRPr="005F120D" w:rsidRDefault="00A35BD5" w:rsidP="004E77B3">
            <w:pPr>
              <w:pStyle w:val="Tabletext"/>
              <w:spacing w:before="0" w:after="0"/>
              <w:rPr>
                <w:rFonts w:asciiTheme="minorHAnsi" w:hAnsiTheme="minorHAnsi" w:cstheme="minorHAnsi"/>
                <w:color w:val="000000"/>
              </w:rPr>
            </w:pPr>
            <w:r w:rsidRPr="005F120D">
              <w:rPr>
                <w:rFonts w:asciiTheme="minorHAnsi" w:hAnsiTheme="minorHAnsi" w:cstheme="minorHAnsi"/>
                <w:color w:val="000000"/>
              </w:rPr>
              <w:t>ICT Education - Model School and GPS Teachers: Establish multimedia classrooms with one laptop and a projector along with internet connection in 503 model schools and 1000 GPS</w:t>
            </w:r>
          </w:p>
        </w:tc>
        <w:tc>
          <w:tcPr>
            <w:tcW w:w="672" w:type="pct"/>
            <w:tcBorders>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Training, IMD</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18,011.44</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2726.45</w:t>
            </w:r>
          </w:p>
          <w:p w:rsidR="00A35BD5" w:rsidRPr="005F120D" w:rsidRDefault="00A35BD5" w:rsidP="004E77B3">
            <w:pPr>
              <w:spacing w:after="0"/>
              <w:jc w:val="center"/>
              <w:rPr>
                <w:rFonts w:asciiTheme="minorHAnsi" w:hAnsiTheme="minorHAnsi" w:cstheme="minorHAnsi"/>
                <w:color w:val="000000"/>
                <w:sz w:val="20"/>
              </w:rPr>
            </w:pP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15.1%</w:t>
            </w:r>
          </w:p>
        </w:tc>
      </w:tr>
      <w:tr w:rsidR="00A35BD5" w:rsidRPr="005F120D" w:rsidTr="00A01B3D">
        <w:trPr>
          <w:trHeight w:val="1349"/>
        </w:trPr>
        <w:tc>
          <w:tcPr>
            <w:tcW w:w="305" w:type="pct"/>
            <w:tcBorders>
              <w:top w:val="single" w:sz="4" w:space="0" w:color="auto"/>
              <w:left w:val="nil"/>
              <w:bottom w:val="single" w:sz="8"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6</w:t>
            </w:r>
          </w:p>
        </w:tc>
        <w:tc>
          <w:tcPr>
            <w:tcW w:w="2193" w:type="pct"/>
            <w:tcBorders>
              <w:top w:val="single" w:sz="4" w:space="0" w:color="auto"/>
              <w:left w:val="nil"/>
              <w:bottom w:val="single" w:sz="8"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Teacher education &amp; professional development: Diploma in Education – implementation;  Sub-cluster - training in 12,000 (app) clusters; Subject based training other than 5 subjects; Teacher network and need-based technical support for development of DIP in ED curriculum and related teaching materials.</w:t>
            </w:r>
          </w:p>
        </w:tc>
        <w:tc>
          <w:tcPr>
            <w:tcW w:w="672" w:type="pct"/>
            <w:tcBorders>
              <w:top w:val="single" w:sz="4" w:space="0" w:color="auto"/>
              <w:bottom w:val="single" w:sz="8"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IMD</w:t>
            </w:r>
          </w:p>
        </w:tc>
        <w:tc>
          <w:tcPr>
            <w:tcW w:w="630"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b/>
                <w:bCs/>
                <w:sz w:val="20"/>
              </w:rPr>
              <w:t>20,430.51</w:t>
            </w:r>
          </w:p>
        </w:tc>
        <w:tc>
          <w:tcPr>
            <w:tcW w:w="630" w:type="pct"/>
            <w:tcBorders>
              <w:top w:val="single" w:sz="4" w:space="0" w:color="auto"/>
              <w:left w:val="single" w:sz="4" w:space="0" w:color="auto"/>
              <w:bottom w:val="single" w:sz="8" w:space="0" w:color="auto"/>
              <w:right w:val="nil"/>
            </w:tcBorders>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8,471.86</w:t>
            </w:r>
          </w:p>
          <w:p w:rsidR="00A35BD5" w:rsidRPr="005F120D" w:rsidRDefault="00A35BD5" w:rsidP="004E77B3">
            <w:pPr>
              <w:spacing w:after="0"/>
              <w:jc w:val="center"/>
              <w:rPr>
                <w:rFonts w:asciiTheme="minorHAnsi" w:hAnsiTheme="minorHAnsi" w:cstheme="minorHAnsi"/>
                <w:b/>
                <w:bCs/>
                <w:sz w:val="20"/>
              </w:rPr>
            </w:pPr>
          </w:p>
        </w:tc>
        <w:tc>
          <w:tcPr>
            <w:tcW w:w="571"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41.5%</w:t>
            </w:r>
          </w:p>
        </w:tc>
      </w:tr>
      <w:tr w:rsidR="00A35BD5" w:rsidRPr="005F120D" w:rsidTr="00A01B3D">
        <w:trPr>
          <w:trHeight w:hRule="exact" w:val="470"/>
        </w:trPr>
        <w:tc>
          <w:tcPr>
            <w:tcW w:w="305" w:type="pct"/>
            <w:tcBorders>
              <w:top w:val="single" w:sz="8" w:space="0" w:color="auto"/>
              <w:left w:val="nil"/>
              <w:bottom w:val="single" w:sz="8" w:space="0" w:color="auto"/>
              <w:right w:val="nil"/>
            </w:tcBorders>
            <w:shd w:val="clear" w:color="auto" w:fill="B6DDE8"/>
            <w:vAlign w:val="center"/>
          </w:tcPr>
          <w:p w:rsidR="00A35BD5" w:rsidRPr="005F120D" w:rsidRDefault="00A35BD5" w:rsidP="004E77B3">
            <w:pPr>
              <w:spacing w:after="0"/>
              <w:jc w:val="center"/>
              <w:rPr>
                <w:rFonts w:asciiTheme="minorHAnsi" w:hAnsiTheme="minorHAnsi" w:cstheme="minorHAnsi"/>
                <w:color w:val="000000"/>
                <w:sz w:val="20"/>
              </w:rPr>
            </w:pPr>
          </w:p>
        </w:tc>
        <w:tc>
          <w:tcPr>
            <w:tcW w:w="2193" w:type="pct"/>
            <w:tcBorders>
              <w:top w:val="single" w:sz="8" w:space="0" w:color="auto"/>
              <w:left w:val="nil"/>
              <w:bottom w:val="single" w:sz="8" w:space="0" w:color="auto"/>
            </w:tcBorders>
            <w:shd w:val="clear" w:color="auto" w:fill="B6DDE8"/>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Total of Component 1: Learning and Teaching</w:t>
            </w:r>
          </w:p>
        </w:tc>
        <w:tc>
          <w:tcPr>
            <w:tcW w:w="672" w:type="pct"/>
            <w:tcBorders>
              <w:top w:val="single" w:sz="8" w:space="0" w:color="auto"/>
              <w:bottom w:val="single" w:sz="8" w:space="0" w:color="auto"/>
              <w:right w:val="single" w:sz="4" w:space="0" w:color="auto"/>
            </w:tcBorders>
            <w:shd w:val="clear" w:color="auto" w:fill="B6DDE8"/>
            <w:vAlign w:val="center"/>
          </w:tcPr>
          <w:p w:rsidR="00A35BD5" w:rsidRPr="005F120D" w:rsidRDefault="00A35BD5" w:rsidP="004E77B3">
            <w:pPr>
              <w:spacing w:after="0"/>
              <w:jc w:val="center"/>
              <w:rPr>
                <w:rFonts w:asciiTheme="minorHAnsi" w:hAnsiTheme="minorHAnsi" w:cstheme="minorHAnsi"/>
                <w:b/>
                <w:color w:val="000000"/>
                <w:sz w:val="20"/>
              </w:rPr>
            </w:pPr>
          </w:p>
        </w:tc>
        <w:tc>
          <w:tcPr>
            <w:tcW w:w="630"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b/>
                <w:bCs/>
                <w:color w:val="000000"/>
                <w:sz w:val="20"/>
              </w:rPr>
            </w:pPr>
            <w:r w:rsidRPr="005F120D">
              <w:rPr>
                <w:rFonts w:asciiTheme="minorHAnsi" w:hAnsiTheme="minorHAnsi" w:cstheme="minorHAnsi"/>
                <w:b/>
                <w:bCs/>
                <w:color w:val="000000"/>
                <w:sz w:val="20"/>
              </w:rPr>
              <w:t>48,332.56</w:t>
            </w:r>
          </w:p>
          <w:p w:rsidR="00A35BD5" w:rsidRPr="005F120D" w:rsidRDefault="00A35BD5" w:rsidP="004E77B3">
            <w:pPr>
              <w:spacing w:after="0"/>
              <w:jc w:val="center"/>
              <w:rPr>
                <w:rFonts w:asciiTheme="minorHAnsi" w:hAnsiTheme="minorHAnsi" w:cstheme="minorHAnsi"/>
                <w:b/>
                <w:bCs/>
                <w:sz w:val="20"/>
              </w:rPr>
            </w:pPr>
          </w:p>
        </w:tc>
        <w:tc>
          <w:tcPr>
            <w:tcW w:w="630"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14,238.90</w:t>
            </w:r>
          </w:p>
          <w:p w:rsidR="00A35BD5" w:rsidRPr="005F120D" w:rsidRDefault="00A35BD5" w:rsidP="004E77B3">
            <w:pPr>
              <w:spacing w:after="0"/>
              <w:jc w:val="center"/>
              <w:rPr>
                <w:rFonts w:asciiTheme="minorHAnsi" w:hAnsiTheme="minorHAnsi" w:cstheme="minorHAnsi"/>
                <w:b/>
                <w:bCs/>
                <w:sz w:val="20"/>
              </w:rPr>
            </w:pPr>
          </w:p>
        </w:tc>
        <w:tc>
          <w:tcPr>
            <w:tcW w:w="571"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29.5%</w:t>
            </w:r>
          </w:p>
        </w:tc>
      </w:tr>
      <w:tr w:rsidR="00A35BD5" w:rsidRPr="005F120D" w:rsidTr="00A01B3D">
        <w:trPr>
          <w:trHeight w:val="360"/>
        </w:trPr>
        <w:tc>
          <w:tcPr>
            <w:tcW w:w="305" w:type="pct"/>
            <w:tcBorders>
              <w:top w:val="single" w:sz="8"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7</w:t>
            </w:r>
          </w:p>
        </w:tc>
        <w:tc>
          <w:tcPr>
            <w:tcW w:w="2193" w:type="pct"/>
            <w:tcBorders>
              <w:top w:val="single" w:sz="8"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Second Chance and Alternative Education survey, new division.</w:t>
            </w:r>
          </w:p>
        </w:tc>
        <w:tc>
          <w:tcPr>
            <w:tcW w:w="672" w:type="pct"/>
            <w:tcBorders>
              <w:top w:val="single" w:sz="8"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 &amp;D</w:t>
            </w:r>
          </w:p>
        </w:tc>
        <w:tc>
          <w:tcPr>
            <w:tcW w:w="630"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t>2958.62</w:t>
            </w:r>
          </w:p>
        </w:tc>
        <w:tc>
          <w:tcPr>
            <w:tcW w:w="630"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sz w:val="20"/>
                <w:lang w:eastAsia="ja-JP"/>
              </w:rPr>
              <w:t>25.63</w:t>
            </w:r>
          </w:p>
        </w:tc>
        <w:tc>
          <w:tcPr>
            <w:tcW w:w="571"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0.9%</w:t>
            </w:r>
          </w:p>
        </w:tc>
      </w:tr>
      <w:tr w:rsidR="00A35BD5" w:rsidRPr="005F120D" w:rsidTr="00A01B3D">
        <w:trPr>
          <w:trHeight w:val="360"/>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8</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Pre-Primary Education:</w:t>
            </w:r>
            <w:r w:rsidR="00BB666A">
              <w:rPr>
                <w:rFonts w:asciiTheme="minorHAnsi" w:hAnsiTheme="minorHAnsi" w:cstheme="minorHAnsi"/>
                <w:color w:val="000000"/>
                <w:sz w:val="20"/>
              </w:rPr>
              <w:t xml:space="preserve"> </w:t>
            </w:r>
            <w:r w:rsidRPr="005F120D">
              <w:rPr>
                <w:rFonts w:asciiTheme="minorHAnsi" w:hAnsiTheme="minorHAnsi" w:cstheme="minorHAnsi"/>
                <w:color w:val="000000"/>
                <w:sz w:val="20"/>
              </w:rPr>
              <w:t>PPE database and mapping; PPE curriculum development; PPE expansion plan; try-out of PPE materials; PPE textbook printing</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 &amp;O</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t>53,306.48</w:t>
            </w:r>
          </w:p>
          <w:p w:rsidR="00A35BD5" w:rsidRPr="005F120D" w:rsidRDefault="00A35BD5" w:rsidP="004E77B3">
            <w:pPr>
              <w:spacing w:after="0"/>
              <w:jc w:val="center"/>
              <w:rPr>
                <w:rFonts w:asciiTheme="minorHAnsi" w:hAnsiTheme="minorHAnsi" w:cstheme="minorHAnsi"/>
                <w:color w:val="000000"/>
                <w:sz w:val="20"/>
              </w:rPr>
            </w:pP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31,505.74</w:t>
            </w:r>
          </w:p>
          <w:p w:rsidR="00A35BD5" w:rsidRPr="005F120D" w:rsidRDefault="00A35BD5" w:rsidP="004E77B3">
            <w:pPr>
              <w:spacing w:after="0"/>
              <w:jc w:val="center"/>
              <w:rPr>
                <w:rFonts w:asciiTheme="minorHAnsi" w:hAnsiTheme="minorHAnsi" w:cstheme="minorHAnsi"/>
                <w:color w:val="000000"/>
                <w:sz w:val="20"/>
              </w:rPr>
            </w:pP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59.1%</w:t>
            </w:r>
          </w:p>
        </w:tc>
      </w:tr>
      <w:tr w:rsidR="00A35BD5" w:rsidRPr="005F120D" w:rsidTr="00A01B3D">
        <w:trPr>
          <w:trHeight w:val="360"/>
        </w:trPr>
        <w:tc>
          <w:tcPr>
            <w:tcW w:w="305" w:type="pct"/>
            <w:tcBorders>
              <w:top w:val="single" w:sz="4" w:space="0" w:color="auto"/>
              <w:left w:val="nil"/>
              <w:bottom w:val="single" w:sz="8"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9</w:t>
            </w:r>
          </w:p>
        </w:tc>
        <w:tc>
          <w:tcPr>
            <w:tcW w:w="2193" w:type="pct"/>
            <w:tcBorders>
              <w:top w:val="single" w:sz="4" w:space="0" w:color="auto"/>
              <w:left w:val="nil"/>
              <w:bottom w:val="single" w:sz="8"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 xml:space="preserve">Mainstreaming Inclusive Education: </w:t>
            </w:r>
            <w:r w:rsidRPr="005F120D">
              <w:rPr>
                <w:rFonts w:asciiTheme="minorHAnsi" w:hAnsiTheme="minorHAnsi" w:cstheme="minorHAnsi"/>
                <w:color w:val="000000"/>
                <w:sz w:val="20"/>
              </w:rPr>
              <w:lastRenderedPageBreak/>
              <w:t>Implementation of Gender &amp; IE action plan; Block grant for UPEP; multilingual education for the ethnic tribal children; and Teacher training on IE for Autism</w:t>
            </w:r>
          </w:p>
        </w:tc>
        <w:tc>
          <w:tcPr>
            <w:tcW w:w="672" w:type="pct"/>
            <w:tcBorders>
              <w:top w:val="single" w:sz="4" w:space="0" w:color="auto"/>
              <w:bottom w:val="single" w:sz="8"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lastRenderedPageBreak/>
              <w:t xml:space="preserve">P &amp;O, </w:t>
            </w:r>
            <w:r w:rsidRPr="005F120D">
              <w:rPr>
                <w:rFonts w:asciiTheme="minorHAnsi" w:hAnsiTheme="minorHAnsi" w:cstheme="minorHAnsi"/>
                <w:color w:val="000000"/>
                <w:sz w:val="20"/>
              </w:rPr>
              <w:lastRenderedPageBreak/>
              <w:t>Training,</w:t>
            </w:r>
          </w:p>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NCTB</w:t>
            </w:r>
          </w:p>
        </w:tc>
        <w:tc>
          <w:tcPr>
            <w:tcW w:w="630"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lastRenderedPageBreak/>
              <w:t>1,226.02</w:t>
            </w:r>
          </w:p>
          <w:p w:rsidR="00A35BD5" w:rsidRPr="005F120D" w:rsidRDefault="00A35BD5" w:rsidP="004E77B3">
            <w:pPr>
              <w:spacing w:after="0"/>
              <w:jc w:val="center"/>
              <w:rPr>
                <w:rFonts w:asciiTheme="minorHAnsi" w:hAnsiTheme="minorHAnsi" w:cstheme="minorHAnsi"/>
                <w:color w:val="000000"/>
                <w:sz w:val="20"/>
              </w:rPr>
            </w:pPr>
          </w:p>
        </w:tc>
        <w:tc>
          <w:tcPr>
            <w:tcW w:w="630"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lastRenderedPageBreak/>
              <w:t>64.86</w:t>
            </w:r>
          </w:p>
        </w:tc>
        <w:tc>
          <w:tcPr>
            <w:tcW w:w="571"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5.3%</w:t>
            </w:r>
          </w:p>
        </w:tc>
      </w:tr>
      <w:tr w:rsidR="00A35BD5" w:rsidRPr="005F120D" w:rsidTr="00A01B3D">
        <w:trPr>
          <w:trHeight w:val="720"/>
        </w:trPr>
        <w:tc>
          <w:tcPr>
            <w:tcW w:w="305" w:type="pct"/>
            <w:tcBorders>
              <w:top w:val="single" w:sz="8"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lastRenderedPageBreak/>
              <w:t>10</w:t>
            </w:r>
          </w:p>
        </w:tc>
        <w:tc>
          <w:tcPr>
            <w:tcW w:w="2193" w:type="pct"/>
            <w:tcBorders>
              <w:top w:val="single" w:sz="8"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Education in Emergencies: Funds for reconstruction &amp; rehabilitation; funds for UPEP and need</w:t>
            </w:r>
            <w:r w:rsidRPr="005F120D">
              <w:rPr>
                <w:rFonts w:asciiTheme="minorHAnsi" w:hAnsiTheme="minorHAnsi" w:cstheme="minorHAnsi"/>
                <w:b/>
                <w:color w:val="000000"/>
                <w:sz w:val="20"/>
              </w:rPr>
              <w:t>s-</w:t>
            </w:r>
            <w:r w:rsidRPr="005F120D">
              <w:rPr>
                <w:rFonts w:asciiTheme="minorHAnsi" w:hAnsiTheme="minorHAnsi" w:cstheme="minorHAnsi"/>
                <w:color w:val="000000"/>
                <w:sz w:val="20"/>
              </w:rPr>
              <w:t>based support for EiE schools</w:t>
            </w:r>
          </w:p>
        </w:tc>
        <w:tc>
          <w:tcPr>
            <w:tcW w:w="672" w:type="pct"/>
            <w:tcBorders>
              <w:top w:val="single" w:sz="8"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P&amp;D</w:t>
            </w:r>
          </w:p>
        </w:tc>
        <w:tc>
          <w:tcPr>
            <w:tcW w:w="630"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10,866.39</w:t>
            </w:r>
          </w:p>
        </w:tc>
        <w:tc>
          <w:tcPr>
            <w:tcW w:w="630"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w:t>
            </w:r>
          </w:p>
        </w:tc>
        <w:tc>
          <w:tcPr>
            <w:tcW w:w="571"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0.0%</w:t>
            </w:r>
          </w:p>
        </w:tc>
      </w:tr>
      <w:tr w:rsidR="00A35BD5" w:rsidRPr="005F120D" w:rsidTr="00A01B3D">
        <w:trPr>
          <w:trHeight w:val="720"/>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11</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Communication and Social Mobilization : Public Awareness Build</w:t>
            </w:r>
            <w:r w:rsidRPr="005F120D">
              <w:rPr>
                <w:rFonts w:asciiTheme="minorHAnsi" w:hAnsiTheme="minorHAnsi" w:cstheme="minorHAnsi"/>
                <w:b/>
                <w:color w:val="000000"/>
                <w:sz w:val="20"/>
              </w:rPr>
              <w:t>ing</w:t>
            </w:r>
            <w:r w:rsidRPr="005F120D">
              <w:rPr>
                <w:rFonts w:asciiTheme="minorHAnsi" w:hAnsiTheme="minorHAnsi" w:cstheme="minorHAnsi"/>
                <w:color w:val="000000"/>
                <w:sz w:val="20"/>
              </w:rPr>
              <w:t xml:space="preserve"> Activities; Publicity of Development Works &amp; Motivational Activities on Communication &amp; Social Mobilization; Bangabandhu and Bangamata Begum Fazilatunnesa Mujib gold-cup football tournament; National Events (Education Week, EFA, ICT Fair, national days &amp; others) and Inter-school cultural &amp; sports competition</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P&amp;O, Admin</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t>2,926.27</w:t>
            </w:r>
          </w:p>
          <w:p w:rsidR="00A35BD5" w:rsidRPr="005F120D" w:rsidRDefault="00A35BD5" w:rsidP="004E77B3">
            <w:pPr>
              <w:spacing w:after="0"/>
              <w:jc w:val="center"/>
              <w:rPr>
                <w:rFonts w:asciiTheme="minorHAnsi" w:hAnsiTheme="minorHAnsi" w:cstheme="minorHAnsi"/>
                <w:color w:val="000000"/>
                <w:sz w:val="20"/>
              </w:rPr>
            </w:pP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475.52</w:t>
            </w:r>
          </w:p>
          <w:p w:rsidR="00A35BD5" w:rsidRPr="005F120D" w:rsidRDefault="00A35BD5" w:rsidP="004E77B3">
            <w:pPr>
              <w:spacing w:after="0"/>
              <w:jc w:val="center"/>
              <w:rPr>
                <w:rFonts w:asciiTheme="minorHAnsi" w:hAnsiTheme="minorHAnsi" w:cstheme="minorHAnsi"/>
                <w:color w:val="000000"/>
                <w:sz w:val="20"/>
              </w:rPr>
            </w:pP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16.3%</w:t>
            </w:r>
          </w:p>
        </w:tc>
      </w:tr>
      <w:tr w:rsidR="00A35BD5" w:rsidRPr="005F120D" w:rsidTr="00A01B3D">
        <w:trPr>
          <w:trHeight w:val="233"/>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12</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Targeted Stipend</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P&amp;D</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0.00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0.0%</w:t>
            </w:r>
          </w:p>
        </w:tc>
      </w:tr>
      <w:tr w:rsidR="00A35BD5" w:rsidRPr="005F120D" w:rsidTr="00A01B3D">
        <w:trPr>
          <w:trHeight w:val="360"/>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13</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School Health Education &amp; Check-up and School Feeding-Food for students; First Aid Box and Block grants to UPEP for medical team</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P&amp;O</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270.00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0.0%</w:t>
            </w:r>
          </w:p>
        </w:tc>
      </w:tr>
      <w:tr w:rsidR="00A35BD5" w:rsidRPr="005F120D" w:rsidTr="00A01B3D">
        <w:trPr>
          <w:trHeight w:val="720"/>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14</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School Physical Environment: Toilet</w:t>
            </w:r>
            <w:r w:rsidRPr="005F120D">
              <w:rPr>
                <w:rFonts w:asciiTheme="minorHAnsi" w:hAnsiTheme="minorHAnsi" w:cstheme="minorHAnsi"/>
                <w:b/>
                <w:color w:val="000000"/>
                <w:sz w:val="20"/>
              </w:rPr>
              <w:t>s</w:t>
            </w:r>
            <w:r w:rsidRPr="005F120D">
              <w:rPr>
                <w:rFonts w:asciiTheme="minorHAnsi" w:hAnsiTheme="minorHAnsi" w:cstheme="minorHAnsi"/>
                <w:color w:val="000000"/>
                <w:sz w:val="20"/>
              </w:rPr>
              <w:t xml:space="preserve"> for male teachers and boys; Toilet for female teachers and girls; Sinking of Tube Well; Furniture for schools; Repair of toilet</w:t>
            </w:r>
            <w:r w:rsidRPr="005F120D">
              <w:rPr>
                <w:rFonts w:asciiTheme="minorHAnsi" w:hAnsiTheme="minorHAnsi" w:cstheme="minorHAnsi"/>
                <w:b/>
                <w:color w:val="000000"/>
                <w:sz w:val="20"/>
              </w:rPr>
              <w:t>s</w:t>
            </w:r>
            <w:r w:rsidRPr="005F120D">
              <w:rPr>
                <w:rFonts w:asciiTheme="minorHAnsi" w:hAnsiTheme="minorHAnsi" w:cstheme="minorHAnsi"/>
                <w:color w:val="000000"/>
                <w:sz w:val="20"/>
              </w:rPr>
              <w:t>; Boundary wall/ green/ play ground and book corner</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P&amp;D</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t>60,594.70</w:t>
            </w:r>
          </w:p>
          <w:p w:rsidR="00A35BD5" w:rsidRPr="005F120D" w:rsidRDefault="00A35BD5" w:rsidP="004E77B3">
            <w:pPr>
              <w:spacing w:after="0"/>
              <w:jc w:val="center"/>
              <w:rPr>
                <w:rFonts w:asciiTheme="minorHAnsi" w:hAnsiTheme="minorHAnsi" w:cstheme="minorHAnsi"/>
                <w:color w:val="000000"/>
                <w:sz w:val="20"/>
              </w:rPr>
            </w:pP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34,100.00</w:t>
            </w:r>
          </w:p>
          <w:p w:rsidR="00A35BD5" w:rsidRPr="005F120D" w:rsidRDefault="00A35BD5" w:rsidP="004E77B3">
            <w:pPr>
              <w:spacing w:after="0"/>
              <w:jc w:val="center"/>
              <w:rPr>
                <w:rFonts w:asciiTheme="minorHAnsi" w:hAnsiTheme="minorHAnsi" w:cstheme="minorHAnsi"/>
                <w:color w:val="000000"/>
                <w:sz w:val="20"/>
              </w:rPr>
            </w:pP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56.3%</w:t>
            </w:r>
          </w:p>
        </w:tc>
      </w:tr>
      <w:tr w:rsidR="00A35BD5" w:rsidRPr="005F120D" w:rsidTr="00A01B3D">
        <w:trPr>
          <w:trHeight w:val="720"/>
        </w:trPr>
        <w:tc>
          <w:tcPr>
            <w:tcW w:w="305" w:type="pct"/>
            <w:tcBorders>
              <w:top w:val="single" w:sz="4" w:space="0" w:color="auto"/>
              <w:left w:val="nil"/>
              <w:bottom w:val="single" w:sz="8"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15</w:t>
            </w:r>
          </w:p>
        </w:tc>
        <w:tc>
          <w:tcPr>
            <w:tcW w:w="2193" w:type="pct"/>
            <w:tcBorders>
              <w:top w:val="single" w:sz="4" w:space="0" w:color="auto"/>
              <w:left w:val="nil"/>
              <w:bottom w:val="single" w:sz="8"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Need Based Infrastructure Development: Construction of schools; additional classrooms; Repair and maintenance of schools; Need based Furniture; Maintenance and Other Construction Modules of PEPMIS Software</w:t>
            </w:r>
          </w:p>
        </w:tc>
        <w:tc>
          <w:tcPr>
            <w:tcW w:w="672" w:type="pct"/>
            <w:tcBorders>
              <w:top w:val="single" w:sz="4" w:space="0" w:color="auto"/>
              <w:bottom w:val="single" w:sz="8"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P&amp;D</w:t>
            </w:r>
          </w:p>
        </w:tc>
        <w:tc>
          <w:tcPr>
            <w:tcW w:w="630"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t>134,757.90</w:t>
            </w:r>
          </w:p>
          <w:p w:rsidR="00A35BD5" w:rsidRPr="005F120D" w:rsidRDefault="00A35BD5" w:rsidP="004E77B3">
            <w:pPr>
              <w:spacing w:after="0"/>
              <w:jc w:val="center"/>
              <w:rPr>
                <w:rFonts w:asciiTheme="minorHAnsi" w:hAnsiTheme="minorHAnsi" w:cstheme="minorHAnsi"/>
                <w:color w:val="000000"/>
                <w:sz w:val="20"/>
              </w:rPr>
            </w:pPr>
          </w:p>
        </w:tc>
        <w:tc>
          <w:tcPr>
            <w:tcW w:w="630"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62,350.00</w:t>
            </w:r>
          </w:p>
          <w:p w:rsidR="00A35BD5" w:rsidRPr="005F120D" w:rsidRDefault="00A35BD5" w:rsidP="004E77B3">
            <w:pPr>
              <w:spacing w:after="0"/>
              <w:jc w:val="center"/>
              <w:rPr>
                <w:rFonts w:asciiTheme="minorHAnsi" w:hAnsiTheme="minorHAnsi" w:cstheme="minorHAnsi"/>
                <w:color w:val="000000"/>
                <w:sz w:val="20"/>
              </w:rPr>
            </w:pPr>
          </w:p>
        </w:tc>
        <w:tc>
          <w:tcPr>
            <w:tcW w:w="571"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46.3%</w:t>
            </w:r>
          </w:p>
        </w:tc>
      </w:tr>
      <w:tr w:rsidR="00A35BD5" w:rsidRPr="005F120D" w:rsidTr="00A01B3D">
        <w:trPr>
          <w:trHeight w:hRule="exact" w:val="587"/>
        </w:trPr>
        <w:tc>
          <w:tcPr>
            <w:tcW w:w="305" w:type="pct"/>
            <w:tcBorders>
              <w:top w:val="single" w:sz="8" w:space="0" w:color="auto"/>
              <w:left w:val="nil"/>
              <w:bottom w:val="single" w:sz="8" w:space="0" w:color="auto"/>
              <w:right w:val="nil"/>
            </w:tcBorders>
            <w:shd w:val="clear" w:color="auto" w:fill="B6DDE8"/>
            <w:vAlign w:val="center"/>
          </w:tcPr>
          <w:p w:rsidR="00A35BD5" w:rsidRPr="005F120D" w:rsidRDefault="00A35BD5" w:rsidP="004E77B3">
            <w:pPr>
              <w:spacing w:after="0"/>
              <w:jc w:val="center"/>
              <w:rPr>
                <w:rFonts w:asciiTheme="minorHAnsi" w:hAnsiTheme="minorHAnsi" w:cstheme="minorHAnsi"/>
                <w:color w:val="000000"/>
                <w:sz w:val="20"/>
              </w:rPr>
            </w:pPr>
          </w:p>
        </w:tc>
        <w:tc>
          <w:tcPr>
            <w:tcW w:w="2193" w:type="pct"/>
            <w:tcBorders>
              <w:top w:val="single" w:sz="8" w:space="0" w:color="auto"/>
              <w:left w:val="nil"/>
              <w:bottom w:val="single" w:sz="8" w:space="0" w:color="auto"/>
            </w:tcBorders>
            <w:shd w:val="clear" w:color="auto" w:fill="B6DDE8"/>
            <w:vAlign w:val="center"/>
          </w:tcPr>
          <w:p w:rsidR="00A35BD5" w:rsidRPr="005F120D" w:rsidRDefault="00A35BD5" w:rsidP="004E77B3">
            <w:pPr>
              <w:spacing w:after="0"/>
              <w:rPr>
                <w:rFonts w:asciiTheme="minorHAnsi" w:hAnsiTheme="minorHAnsi" w:cstheme="minorHAnsi"/>
                <w:b/>
                <w:color w:val="000000"/>
                <w:sz w:val="20"/>
              </w:rPr>
            </w:pPr>
            <w:r w:rsidRPr="005F120D">
              <w:rPr>
                <w:rFonts w:asciiTheme="minorHAnsi" w:hAnsiTheme="minorHAnsi" w:cstheme="minorHAnsi"/>
                <w:b/>
                <w:color w:val="000000"/>
                <w:sz w:val="20"/>
              </w:rPr>
              <w:t>Total of Component 2: Participation and Disparities</w:t>
            </w:r>
          </w:p>
        </w:tc>
        <w:tc>
          <w:tcPr>
            <w:tcW w:w="672" w:type="pct"/>
            <w:tcBorders>
              <w:top w:val="single" w:sz="8" w:space="0" w:color="auto"/>
              <w:bottom w:val="single" w:sz="8" w:space="0" w:color="auto"/>
              <w:right w:val="single" w:sz="4" w:space="0" w:color="auto"/>
            </w:tcBorders>
            <w:shd w:val="clear" w:color="auto" w:fill="B6DDE8"/>
            <w:vAlign w:val="center"/>
          </w:tcPr>
          <w:p w:rsidR="00A35BD5" w:rsidRPr="005F120D" w:rsidRDefault="00A35BD5" w:rsidP="004E77B3">
            <w:pPr>
              <w:spacing w:after="0"/>
              <w:jc w:val="center"/>
              <w:rPr>
                <w:rFonts w:asciiTheme="minorHAnsi" w:hAnsiTheme="minorHAnsi" w:cstheme="minorHAnsi"/>
                <w:b/>
                <w:color w:val="000000"/>
                <w:sz w:val="20"/>
              </w:rPr>
            </w:pPr>
          </w:p>
        </w:tc>
        <w:tc>
          <w:tcPr>
            <w:tcW w:w="630"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266,906.38</w:t>
            </w:r>
          </w:p>
          <w:p w:rsidR="00A35BD5" w:rsidRPr="005F120D" w:rsidRDefault="00A35BD5" w:rsidP="004E77B3">
            <w:pPr>
              <w:spacing w:after="0"/>
              <w:jc w:val="center"/>
              <w:rPr>
                <w:rFonts w:asciiTheme="minorHAnsi" w:hAnsiTheme="minorHAnsi" w:cstheme="minorHAnsi"/>
                <w:b/>
                <w:color w:val="000000"/>
                <w:sz w:val="20"/>
              </w:rPr>
            </w:pPr>
          </w:p>
        </w:tc>
        <w:tc>
          <w:tcPr>
            <w:tcW w:w="630"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128,521.75</w:t>
            </w:r>
          </w:p>
          <w:p w:rsidR="00A35BD5" w:rsidRPr="005F120D" w:rsidRDefault="00A35BD5" w:rsidP="004E77B3">
            <w:pPr>
              <w:spacing w:after="0"/>
              <w:jc w:val="center"/>
              <w:rPr>
                <w:rFonts w:asciiTheme="minorHAnsi" w:hAnsiTheme="minorHAnsi" w:cstheme="minorHAnsi"/>
                <w:b/>
                <w:color w:val="000000"/>
                <w:sz w:val="20"/>
              </w:rPr>
            </w:pPr>
          </w:p>
        </w:tc>
        <w:tc>
          <w:tcPr>
            <w:tcW w:w="571"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48.2%</w:t>
            </w:r>
          </w:p>
        </w:tc>
      </w:tr>
      <w:tr w:rsidR="00A35BD5" w:rsidRPr="005F120D" w:rsidTr="00A01B3D">
        <w:trPr>
          <w:trHeight w:hRule="exact" w:val="1243"/>
        </w:trPr>
        <w:tc>
          <w:tcPr>
            <w:tcW w:w="305" w:type="pct"/>
            <w:tcBorders>
              <w:top w:val="single" w:sz="8"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16</w:t>
            </w:r>
          </w:p>
        </w:tc>
        <w:tc>
          <w:tcPr>
            <w:tcW w:w="2193" w:type="pct"/>
            <w:tcBorders>
              <w:top w:val="single" w:sz="8"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Field- Level Offices Strengthened: PTI expansion works; Construction of Auditorium; URC (new) construction;  Repair works; Furniture; Computers/ Laptops, UPS, volt stabilizer for PTI, UEO, URC, Additional manpower , Transport</w:t>
            </w:r>
          </w:p>
        </w:tc>
        <w:tc>
          <w:tcPr>
            <w:tcW w:w="672" w:type="pct"/>
            <w:tcBorders>
              <w:top w:val="single" w:sz="8"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P&amp;D, Admin</w:t>
            </w:r>
          </w:p>
        </w:tc>
        <w:tc>
          <w:tcPr>
            <w:tcW w:w="630"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t>10,976.07</w:t>
            </w:r>
          </w:p>
          <w:p w:rsidR="00A35BD5" w:rsidRPr="005F120D" w:rsidRDefault="00A35BD5" w:rsidP="004E77B3">
            <w:pPr>
              <w:spacing w:after="0"/>
              <w:jc w:val="center"/>
              <w:rPr>
                <w:rFonts w:asciiTheme="minorHAnsi" w:hAnsiTheme="minorHAnsi" w:cstheme="minorHAnsi"/>
                <w:color w:val="000000"/>
                <w:sz w:val="20"/>
              </w:rPr>
            </w:pPr>
          </w:p>
        </w:tc>
        <w:tc>
          <w:tcPr>
            <w:tcW w:w="630"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2,354.56</w:t>
            </w:r>
          </w:p>
          <w:p w:rsidR="00A35BD5" w:rsidRPr="005F120D" w:rsidRDefault="00A35BD5" w:rsidP="004E77B3">
            <w:pPr>
              <w:spacing w:after="0"/>
              <w:jc w:val="center"/>
              <w:rPr>
                <w:rFonts w:asciiTheme="minorHAnsi" w:hAnsiTheme="minorHAnsi" w:cstheme="minorHAnsi"/>
                <w:color w:val="000000"/>
                <w:sz w:val="20"/>
              </w:rPr>
            </w:pPr>
          </w:p>
        </w:tc>
        <w:tc>
          <w:tcPr>
            <w:tcW w:w="571"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21.5%</w:t>
            </w:r>
          </w:p>
        </w:tc>
      </w:tr>
      <w:tr w:rsidR="00A35BD5" w:rsidRPr="005F120D" w:rsidTr="00A01B3D">
        <w:trPr>
          <w:trHeight w:hRule="exact" w:val="541"/>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17</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Decentralized School Management and Governance: SLIP; UPEP; Training and grant</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P&amp;O, P&amp;D Training</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t>28,172.30</w:t>
            </w:r>
          </w:p>
          <w:p w:rsidR="00A35BD5" w:rsidRPr="005F120D" w:rsidRDefault="00A35BD5" w:rsidP="004E77B3">
            <w:pPr>
              <w:spacing w:after="0"/>
              <w:jc w:val="center"/>
              <w:rPr>
                <w:rFonts w:asciiTheme="minorHAnsi" w:hAnsiTheme="minorHAnsi" w:cstheme="minorHAnsi"/>
                <w:color w:val="000000"/>
                <w:sz w:val="20"/>
              </w:rPr>
            </w:pP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sz w:val="20"/>
                <w:lang w:eastAsia="ja-JP"/>
              </w:rPr>
              <w:t>14,524.00</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51.6%</w:t>
            </w:r>
          </w:p>
        </w:tc>
      </w:tr>
      <w:tr w:rsidR="00A35BD5" w:rsidRPr="005F120D" w:rsidTr="00A01B3D">
        <w:trPr>
          <w:trHeight w:hRule="exact" w:val="360"/>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18</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Head Teacher training on school level leadership</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Admin</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2,600.00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sz w:val="20"/>
                <w:lang w:eastAsia="ja-JP"/>
              </w:rPr>
              <w:t>2,558.38</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98.4%</w:t>
            </w:r>
          </w:p>
        </w:tc>
      </w:tr>
      <w:tr w:rsidR="00A35BD5" w:rsidRPr="005F120D" w:rsidTr="00A01B3D">
        <w:trPr>
          <w:trHeight w:hRule="exact" w:val="1621"/>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19</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Organizational Review and Strengthening: Construction works; Leadership centre; DPE HO, NAPE, DPEO expansion; Computers/ Laptops, UPS; volt stabilizer for DPE, DD, DPEO and Computer accessories; Additional manpower for DPE, DD, DPEO, NAPE; Transport</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Admin, P&amp;D, NAPE</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t>3,578.00</w:t>
            </w:r>
          </w:p>
          <w:p w:rsidR="00A35BD5" w:rsidRPr="005F120D" w:rsidRDefault="00A35BD5" w:rsidP="004E77B3">
            <w:pPr>
              <w:spacing w:after="0"/>
              <w:jc w:val="center"/>
              <w:rPr>
                <w:rFonts w:asciiTheme="minorHAnsi" w:hAnsiTheme="minorHAnsi" w:cstheme="minorHAnsi"/>
                <w:color w:val="000000"/>
                <w:sz w:val="20"/>
              </w:rPr>
            </w:pP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sz w:val="20"/>
                <w:lang w:eastAsia="ja-JP"/>
              </w:rPr>
              <w:t>551.90</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15.4%</w:t>
            </w:r>
          </w:p>
        </w:tc>
      </w:tr>
      <w:tr w:rsidR="00A35BD5" w:rsidRPr="005F120D" w:rsidTr="00A01B3D">
        <w:trPr>
          <w:trHeight w:hRule="exact" w:val="361"/>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20</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PECE</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Admin</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350.00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sz w:val="20"/>
                <w:lang w:eastAsia="ja-JP"/>
              </w:rPr>
              <w:t>61.22</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17.5%</w:t>
            </w:r>
          </w:p>
        </w:tc>
      </w:tr>
      <w:tr w:rsidR="00A35BD5" w:rsidRPr="005F120D" w:rsidTr="00A01B3D">
        <w:trPr>
          <w:trHeight w:hRule="exact" w:val="811"/>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lastRenderedPageBreak/>
              <w:t>21</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b/>
                <w:color w:val="000000"/>
                <w:sz w:val="20"/>
              </w:rPr>
            </w:pPr>
            <w:r w:rsidRPr="005F120D">
              <w:rPr>
                <w:rFonts w:asciiTheme="minorHAnsi" w:hAnsiTheme="minorHAnsi" w:cstheme="minorHAnsi"/>
                <w:color w:val="000000"/>
                <w:sz w:val="20"/>
              </w:rPr>
              <w:t>Study; workshop on teacher recruitment, promotion and deployment; Additional Manpower for GPS and Hostel in Hill-tract</w:t>
            </w:r>
            <w:r w:rsidRPr="005F120D">
              <w:rPr>
                <w:rFonts w:asciiTheme="minorHAnsi" w:hAnsiTheme="minorHAnsi" w:cstheme="minorHAnsi"/>
                <w:b/>
                <w:color w:val="000000"/>
                <w:sz w:val="20"/>
              </w:rPr>
              <w:t>s</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P&amp;O, Admin</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13.00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sz w:val="20"/>
                <w:lang w:eastAsia="ja-JP"/>
              </w:rPr>
              <w:t>6.84</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52.6%</w:t>
            </w:r>
          </w:p>
        </w:tc>
      </w:tr>
      <w:tr w:rsidR="00A35BD5" w:rsidRPr="005F120D" w:rsidTr="00A01B3D">
        <w:trPr>
          <w:trHeight w:hRule="exact" w:val="388"/>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22</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Annual School Census (APSC)</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M&amp;E</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499.40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345.17</w:t>
            </w:r>
          </w:p>
          <w:p w:rsidR="00A35BD5" w:rsidRPr="005F120D" w:rsidRDefault="00A35BD5" w:rsidP="004E77B3">
            <w:pPr>
              <w:spacing w:after="0"/>
              <w:jc w:val="center"/>
              <w:rPr>
                <w:rFonts w:asciiTheme="minorHAnsi" w:hAnsiTheme="minorHAnsi" w:cstheme="minorHAnsi"/>
                <w:color w:val="000000"/>
                <w:sz w:val="20"/>
              </w:rPr>
            </w:pP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69.1%</w:t>
            </w:r>
          </w:p>
        </w:tc>
      </w:tr>
      <w:tr w:rsidR="00A35BD5" w:rsidRPr="005F120D" w:rsidTr="00A01B3D">
        <w:trPr>
          <w:trHeight w:hRule="exact" w:val="271"/>
        </w:trPr>
        <w:tc>
          <w:tcPr>
            <w:tcW w:w="305" w:type="pct"/>
            <w:tcBorders>
              <w:top w:val="single" w:sz="4" w:space="0" w:color="auto"/>
              <w:left w:val="nil"/>
              <w:bottom w:val="single" w:sz="8"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23</w:t>
            </w:r>
          </w:p>
        </w:tc>
        <w:tc>
          <w:tcPr>
            <w:tcW w:w="2193" w:type="pct"/>
            <w:tcBorders>
              <w:top w:val="single" w:sz="4" w:space="0" w:color="auto"/>
              <w:left w:val="nil"/>
              <w:bottom w:val="single" w:sz="8"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National Assessment of Students</w:t>
            </w:r>
          </w:p>
        </w:tc>
        <w:tc>
          <w:tcPr>
            <w:tcW w:w="672" w:type="pct"/>
            <w:tcBorders>
              <w:top w:val="single" w:sz="4" w:space="0" w:color="auto"/>
              <w:bottom w:val="single" w:sz="8"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M&amp;E</w:t>
            </w:r>
          </w:p>
        </w:tc>
        <w:tc>
          <w:tcPr>
            <w:tcW w:w="630"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242.00</w:t>
            </w:r>
          </w:p>
        </w:tc>
        <w:tc>
          <w:tcPr>
            <w:tcW w:w="630"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sz w:val="20"/>
                <w:lang w:eastAsia="ja-JP"/>
              </w:rPr>
              <w:t>203.04</w:t>
            </w:r>
          </w:p>
        </w:tc>
        <w:tc>
          <w:tcPr>
            <w:tcW w:w="571"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83.9%</w:t>
            </w:r>
          </w:p>
        </w:tc>
      </w:tr>
      <w:tr w:rsidR="00A35BD5" w:rsidRPr="005F120D" w:rsidTr="00A01B3D">
        <w:trPr>
          <w:trHeight w:hRule="exact" w:val="532"/>
        </w:trPr>
        <w:tc>
          <w:tcPr>
            <w:tcW w:w="305" w:type="pct"/>
            <w:tcBorders>
              <w:top w:val="single" w:sz="8" w:space="0" w:color="auto"/>
              <w:left w:val="nil"/>
              <w:bottom w:val="single" w:sz="8" w:space="0" w:color="auto"/>
              <w:right w:val="nil"/>
            </w:tcBorders>
            <w:shd w:val="clear" w:color="auto" w:fill="B6DDE8"/>
            <w:vAlign w:val="center"/>
          </w:tcPr>
          <w:p w:rsidR="00A35BD5" w:rsidRPr="005F120D" w:rsidRDefault="00A35BD5" w:rsidP="004E77B3">
            <w:pPr>
              <w:spacing w:after="0"/>
              <w:jc w:val="center"/>
              <w:rPr>
                <w:rFonts w:asciiTheme="minorHAnsi" w:hAnsiTheme="minorHAnsi" w:cstheme="minorHAnsi"/>
                <w:color w:val="000000"/>
                <w:sz w:val="20"/>
              </w:rPr>
            </w:pPr>
          </w:p>
        </w:tc>
        <w:tc>
          <w:tcPr>
            <w:tcW w:w="2193" w:type="pct"/>
            <w:tcBorders>
              <w:top w:val="single" w:sz="8" w:space="0" w:color="auto"/>
              <w:left w:val="nil"/>
              <w:bottom w:val="single" w:sz="8" w:space="0" w:color="auto"/>
            </w:tcBorders>
            <w:shd w:val="clear" w:color="auto" w:fill="B6DDE8"/>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Total of Component 3: Decentralization and Effectiveness</w:t>
            </w:r>
          </w:p>
        </w:tc>
        <w:tc>
          <w:tcPr>
            <w:tcW w:w="672" w:type="pct"/>
            <w:tcBorders>
              <w:top w:val="single" w:sz="8" w:space="0" w:color="auto"/>
              <w:bottom w:val="single" w:sz="8" w:space="0" w:color="auto"/>
              <w:right w:val="single" w:sz="4" w:space="0" w:color="auto"/>
            </w:tcBorders>
            <w:shd w:val="clear" w:color="auto" w:fill="B6DDE8"/>
            <w:vAlign w:val="center"/>
          </w:tcPr>
          <w:p w:rsidR="00A35BD5" w:rsidRPr="005F120D" w:rsidRDefault="00A35BD5" w:rsidP="004E77B3">
            <w:pPr>
              <w:spacing w:after="0"/>
              <w:jc w:val="center"/>
              <w:rPr>
                <w:rFonts w:asciiTheme="minorHAnsi" w:hAnsiTheme="minorHAnsi" w:cstheme="minorHAnsi"/>
                <w:b/>
                <w:color w:val="000000"/>
                <w:sz w:val="20"/>
              </w:rPr>
            </w:pPr>
          </w:p>
        </w:tc>
        <w:tc>
          <w:tcPr>
            <w:tcW w:w="630"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46,430.77</w:t>
            </w:r>
          </w:p>
          <w:p w:rsidR="00A35BD5" w:rsidRPr="005F120D" w:rsidRDefault="00A35BD5" w:rsidP="004E77B3">
            <w:pPr>
              <w:spacing w:after="0"/>
              <w:jc w:val="center"/>
              <w:rPr>
                <w:rFonts w:asciiTheme="minorHAnsi" w:hAnsiTheme="minorHAnsi" w:cstheme="minorHAnsi"/>
                <w:b/>
                <w:color w:val="000000"/>
                <w:sz w:val="20"/>
              </w:rPr>
            </w:pPr>
          </w:p>
        </w:tc>
        <w:tc>
          <w:tcPr>
            <w:tcW w:w="630"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20,605.11</w:t>
            </w:r>
          </w:p>
          <w:p w:rsidR="00A35BD5" w:rsidRPr="005F120D" w:rsidRDefault="00A35BD5" w:rsidP="004E77B3">
            <w:pPr>
              <w:spacing w:after="0"/>
              <w:jc w:val="center"/>
              <w:rPr>
                <w:rFonts w:asciiTheme="minorHAnsi" w:hAnsiTheme="minorHAnsi" w:cstheme="minorHAnsi"/>
                <w:b/>
                <w:color w:val="000000"/>
                <w:sz w:val="20"/>
              </w:rPr>
            </w:pPr>
          </w:p>
        </w:tc>
        <w:tc>
          <w:tcPr>
            <w:tcW w:w="571"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44.4%</w:t>
            </w:r>
          </w:p>
        </w:tc>
      </w:tr>
      <w:tr w:rsidR="00A35BD5" w:rsidRPr="005F120D" w:rsidTr="00A01B3D">
        <w:trPr>
          <w:trHeight w:hRule="exact" w:val="1073"/>
        </w:trPr>
        <w:tc>
          <w:tcPr>
            <w:tcW w:w="305" w:type="pct"/>
            <w:tcBorders>
              <w:top w:val="single" w:sz="8"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24</w:t>
            </w:r>
          </w:p>
        </w:tc>
        <w:tc>
          <w:tcPr>
            <w:tcW w:w="2193" w:type="pct"/>
            <w:tcBorders>
              <w:top w:val="single" w:sz="8"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PEDP 3 Management and Governance: Workshop/ seminar (t.b.d) managed by Program Division; Operational Cost of PEDP3 (contingency)</w:t>
            </w:r>
          </w:p>
        </w:tc>
        <w:tc>
          <w:tcPr>
            <w:tcW w:w="672" w:type="pct"/>
            <w:tcBorders>
              <w:top w:val="single" w:sz="8"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Program, Training, FPD</w:t>
            </w:r>
          </w:p>
        </w:tc>
        <w:tc>
          <w:tcPr>
            <w:tcW w:w="630"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b/>
                <w:bCs/>
                <w:sz w:val="20"/>
              </w:rPr>
            </w:pPr>
            <w:r w:rsidRPr="005F120D">
              <w:rPr>
                <w:rFonts w:asciiTheme="minorHAnsi" w:hAnsiTheme="minorHAnsi" w:cstheme="minorHAnsi"/>
                <w:b/>
                <w:bCs/>
                <w:sz w:val="20"/>
              </w:rPr>
              <w:t>5,674.76</w:t>
            </w:r>
          </w:p>
          <w:p w:rsidR="00A35BD5" w:rsidRPr="005F120D" w:rsidRDefault="00A35BD5" w:rsidP="004E77B3">
            <w:pPr>
              <w:spacing w:after="0"/>
              <w:jc w:val="center"/>
              <w:rPr>
                <w:rFonts w:asciiTheme="minorHAnsi" w:hAnsiTheme="minorHAnsi" w:cstheme="minorHAnsi"/>
                <w:color w:val="000000"/>
                <w:sz w:val="20"/>
              </w:rPr>
            </w:pPr>
          </w:p>
        </w:tc>
        <w:tc>
          <w:tcPr>
            <w:tcW w:w="630"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1,884.94</w:t>
            </w:r>
          </w:p>
          <w:p w:rsidR="00A35BD5" w:rsidRPr="005F120D" w:rsidRDefault="00A35BD5" w:rsidP="004E77B3">
            <w:pPr>
              <w:spacing w:after="0"/>
              <w:jc w:val="center"/>
              <w:rPr>
                <w:rFonts w:asciiTheme="minorHAnsi" w:hAnsiTheme="minorHAnsi" w:cstheme="minorHAnsi"/>
                <w:color w:val="000000"/>
                <w:sz w:val="20"/>
              </w:rPr>
            </w:pPr>
          </w:p>
        </w:tc>
        <w:tc>
          <w:tcPr>
            <w:tcW w:w="571" w:type="pct"/>
            <w:tcBorders>
              <w:top w:val="single" w:sz="8"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33.2%</w:t>
            </w:r>
          </w:p>
        </w:tc>
      </w:tr>
      <w:tr w:rsidR="00A35BD5" w:rsidRPr="005F120D" w:rsidTr="00A01B3D">
        <w:trPr>
          <w:trHeight w:hRule="exact" w:val="802"/>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25</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PEDP 3 Financial Management: Developing computerized accounting system; Training on accounting system &amp; IBAS</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FPD, Training</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190.00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sz w:val="20"/>
                <w:lang w:eastAsia="ja-JP"/>
              </w:rPr>
              <w:t>45.65</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24%</w:t>
            </w:r>
          </w:p>
        </w:tc>
      </w:tr>
      <w:tr w:rsidR="00A35BD5" w:rsidRPr="005F120D" w:rsidTr="00A01B3D">
        <w:trPr>
          <w:trHeight w:hRule="exact" w:val="360"/>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26</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Sector Finance- Workshop &amp; Seminar</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FPD</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0.00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w:t>
            </w:r>
          </w:p>
        </w:tc>
      </w:tr>
      <w:tr w:rsidR="00A35BD5" w:rsidRPr="005F120D" w:rsidTr="00A01B3D">
        <w:trPr>
          <w:trHeight w:hRule="exact" w:val="721"/>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27</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Strengthen Monitoring Functions: Workshop &amp; Seminar on QSTF; Progress review meeting,; Preparation of ASPR, GIS implementation, RBM , Monthly meeting</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M&amp;E, Training</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243.50</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492.22</w:t>
            </w:r>
          </w:p>
          <w:p w:rsidR="00A35BD5" w:rsidRPr="005F120D" w:rsidRDefault="00A35BD5" w:rsidP="004E77B3">
            <w:pPr>
              <w:spacing w:after="0"/>
              <w:jc w:val="center"/>
              <w:rPr>
                <w:rFonts w:asciiTheme="minorHAnsi" w:hAnsiTheme="minorHAnsi" w:cstheme="minorHAnsi"/>
                <w:color w:val="000000"/>
                <w:sz w:val="20"/>
              </w:rPr>
            </w:pP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2002%</w:t>
            </w:r>
          </w:p>
        </w:tc>
      </w:tr>
      <w:tr w:rsidR="00A35BD5" w:rsidRPr="005F120D" w:rsidTr="00A01B3D">
        <w:trPr>
          <w:trHeight w:hRule="exact" w:val="541"/>
        </w:trPr>
        <w:tc>
          <w:tcPr>
            <w:tcW w:w="305" w:type="pct"/>
            <w:tcBorders>
              <w:top w:val="single" w:sz="4" w:space="0" w:color="auto"/>
              <w:left w:val="nil"/>
              <w:bottom w:val="single" w:sz="4"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28</w:t>
            </w:r>
          </w:p>
        </w:tc>
        <w:tc>
          <w:tcPr>
            <w:tcW w:w="2193" w:type="pct"/>
            <w:tcBorders>
              <w:top w:val="single" w:sz="4" w:space="0" w:color="auto"/>
              <w:left w:val="nil"/>
              <w:bottom w:val="single" w:sz="4"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Human Resources Development: Training of management and staff - central level, DPEO, ADPEO, AD, field level</w:t>
            </w:r>
          </w:p>
        </w:tc>
        <w:tc>
          <w:tcPr>
            <w:tcW w:w="672" w:type="pct"/>
            <w:tcBorders>
              <w:top w:val="single" w:sz="4" w:space="0" w:color="auto"/>
              <w:bottom w:val="single" w:sz="4"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Admin, Training</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3,122.03</w:t>
            </w:r>
          </w:p>
        </w:tc>
        <w:tc>
          <w:tcPr>
            <w:tcW w:w="630"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382.71</w:t>
            </w:r>
          </w:p>
        </w:tc>
        <w:tc>
          <w:tcPr>
            <w:tcW w:w="571" w:type="pct"/>
            <w:tcBorders>
              <w:top w:val="single" w:sz="4" w:space="0" w:color="auto"/>
              <w:left w:val="single" w:sz="4" w:space="0" w:color="auto"/>
              <w:bottom w:val="single" w:sz="4"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12.3%</w:t>
            </w:r>
          </w:p>
        </w:tc>
      </w:tr>
      <w:tr w:rsidR="00A35BD5" w:rsidRPr="005F120D" w:rsidTr="00A01B3D">
        <w:trPr>
          <w:trHeight w:hRule="exact" w:val="352"/>
        </w:trPr>
        <w:tc>
          <w:tcPr>
            <w:tcW w:w="305" w:type="pct"/>
            <w:tcBorders>
              <w:top w:val="single" w:sz="4" w:space="0" w:color="auto"/>
              <w:left w:val="nil"/>
              <w:bottom w:val="single" w:sz="8"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29</w:t>
            </w:r>
          </w:p>
        </w:tc>
        <w:tc>
          <w:tcPr>
            <w:tcW w:w="2193" w:type="pct"/>
            <w:tcBorders>
              <w:top w:val="single" w:sz="4" w:space="0" w:color="auto"/>
              <w:left w:val="nil"/>
              <w:bottom w:val="single" w:sz="8" w:space="0" w:color="auto"/>
            </w:tcBorders>
            <w:vAlign w:val="center"/>
          </w:tcPr>
          <w:p w:rsidR="00A35BD5" w:rsidRPr="005F120D" w:rsidRDefault="00A35BD5" w:rsidP="004E77B3">
            <w:pPr>
              <w:spacing w:after="0"/>
              <w:rPr>
                <w:rFonts w:asciiTheme="minorHAnsi" w:hAnsiTheme="minorHAnsi" w:cstheme="minorHAnsi"/>
                <w:color w:val="000000"/>
                <w:sz w:val="20"/>
              </w:rPr>
            </w:pPr>
            <w:r w:rsidRPr="005F120D">
              <w:rPr>
                <w:rFonts w:asciiTheme="minorHAnsi" w:hAnsiTheme="minorHAnsi" w:cstheme="minorHAnsi"/>
                <w:color w:val="000000"/>
                <w:sz w:val="20"/>
              </w:rPr>
              <w:t>Public Private Partnership:</w:t>
            </w:r>
          </w:p>
        </w:tc>
        <w:tc>
          <w:tcPr>
            <w:tcW w:w="672" w:type="pct"/>
            <w:tcBorders>
              <w:top w:val="single" w:sz="4" w:space="0" w:color="auto"/>
              <w:bottom w:val="single" w:sz="8"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P&amp;D</w:t>
            </w:r>
          </w:p>
        </w:tc>
        <w:tc>
          <w:tcPr>
            <w:tcW w:w="630"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100.00</w:t>
            </w:r>
          </w:p>
        </w:tc>
        <w:tc>
          <w:tcPr>
            <w:tcW w:w="630"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w:t>
            </w:r>
          </w:p>
        </w:tc>
        <w:tc>
          <w:tcPr>
            <w:tcW w:w="571" w:type="pct"/>
            <w:tcBorders>
              <w:top w:val="single" w:sz="4"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0%</w:t>
            </w:r>
          </w:p>
        </w:tc>
      </w:tr>
      <w:tr w:rsidR="00A35BD5" w:rsidRPr="005F120D" w:rsidTr="00A01B3D">
        <w:trPr>
          <w:trHeight w:hRule="exact" w:val="623"/>
        </w:trPr>
        <w:tc>
          <w:tcPr>
            <w:tcW w:w="305" w:type="pct"/>
            <w:tcBorders>
              <w:top w:val="single" w:sz="8" w:space="0" w:color="auto"/>
              <w:left w:val="nil"/>
              <w:bottom w:val="single" w:sz="8" w:space="0" w:color="auto"/>
              <w:right w:val="nil"/>
            </w:tcBorders>
            <w:shd w:val="clear" w:color="auto" w:fill="B6DDE8"/>
            <w:vAlign w:val="center"/>
          </w:tcPr>
          <w:p w:rsidR="00A35BD5" w:rsidRPr="005F120D" w:rsidRDefault="00A35BD5" w:rsidP="004E77B3">
            <w:pPr>
              <w:spacing w:after="0"/>
              <w:jc w:val="center"/>
              <w:rPr>
                <w:rFonts w:asciiTheme="minorHAnsi" w:hAnsiTheme="minorHAnsi" w:cstheme="minorHAnsi"/>
                <w:color w:val="000000"/>
                <w:sz w:val="20"/>
              </w:rPr>
            </w:pPr>
          </w:p>
        </w:tc>
        <w:tc>
          <w:tcPr>
            <w:tcW w:w="2193" w:type="pct"/>
            <w:tcBorders>
              <w:top w:val="single" w:sz="8" w:space="0" w:color="auto"/>
              <w:left w:val="nil"/>
              <w:bottom w:val="single" w:sz="8" w:space="0" w:color="auto"/>
            </w:tcBorders>
            <w:shd w:val="clear" w:color="auto" w:fill="B6DDE8"/>
            <w:vAlign w:val="center"/>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Total of Component 4: Planning and Management</w:t>
            </w:r>
          </w:p>
        </w:tc>
        <w:tc>
          <w:tcPr>
            <w:tcW w:w="672" w:type="pct"/>
            <w:tcBorders>
              <w:top w:val="single" w:sz="8" w:space="0" w:color="auto"/>
              <w:bottom w:val="single" w:sz="8" w:space="0" w:color="auto"/>
              <w:right w:val="single" w:sz="4" w:space="0" w:color="auto"/>
            </w:tcBorders>
            <w:shd w:val="clear" w:color="auto" w:fill="B6DDE8"/>
            <w:vAlign w:val="center"/>
          </w:tcPr>
          <w:p w:rsidR="00A35BD5" w:rsidRPr="005F120D" w:rsidRDefault="00A35BD5" w:rsidP="004E77B3">
            <w:pPr>
              <w:spacing w:after="0"/>
              <w:jc w:val="center"/>
              <w:rPr>
                <w:rFonts w:asciiTheme="minorHAnsi" w:hAnsiTheme="minorHAnsi" w:cstheme="minorHAnsi"/>
                <w:b/>
                <w:color w:val="000000"/>
                <w:sz w:val="20"/>
              </w:rPr>
            </w:pPr>
          </w:p>
        </w:tc>
        <w:tc>
          <w:tcPr>
            <w:tcW w:w="630"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9,330.29</w:t>
            </w:r>
          </w:p>
        </w:tc>
        <w:tc>
          <w:tcPr>
            <w:tcW w:w="630"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b/>
                <w:color w:val="000000"/>
                <w:sz w:val="20"/>
              </w:rPr>
            </w:pPr>
            <w:r w:rsidRPr="005F120D">
              <w:rPr>
                <w:rFonts w:asciiTheme="minorHAnsi" w:hAnsiTheme="minorHAnsi" w:cstheme="minorHAnsi"/>
                <w:b/>
                <w:color w:val="000000"/>
                <w:sz w:val="20"/>
              </w:rPr>
              <w:t>2,805.52</w:t>
            </w:r>
          </w:p>
          <w:p w:rsidR="00A35BD5" w:rsidRPr="005F120D" w:rsidRDefault="00A35BD5" w:rsidP="004E77B3">
            <w:pPr>
              <w:spacing w:after="0"/>
              <w:jc w:val="center"/>
              <w:rPr>
                <w:rFonts w:asciiTheme="minorHAnsi" w:hAnsiTheme="minorHAnsi" w:cstheme="minorHAnsi"/>
                <w:color w:val="000000"/>
                <w:sz w:val="20"/>
              </w:rPr>
            </w:pPr>
          </w:p>
        </w:tc>
        <w:tc>
          <w:tcPr>
            <w:tcW w:w="571" w:type="pct"/>
            <w:tcBorders>
              <w:top w:val="single" w:sz="8" w:space="0" w:color="auto"/>
              <w:left w:val="single" w:sz="4" w:space="0" w:color="auto"/>
              <w:bottom w:val="single" w:sz="8" w:space="0" w:color="auto"/>
              <w:right w:val="nil"/>
            </w:tcBorders>
            <w:shd w:val="clear" w:color="auto" w:fill="B6DDE8"/>
          </w:tcPr>
          <w:p w:rsidR="00A35BD5" w:rsidRPr="005F120D" w:rsidRDefault="00A35BD5" w:rsidP="004E77B3">
            <w:pPr>
              <w:spacing w:after="0"/>
              <w:jc w:val="center"/>
              <w:rPr>
                <w:rFonts w:asciiTheme="minorHAnsi" w:hAnsiTheme="minorHAnsi" w:cstheme="minorHAnsi"/>
                <w:color w:val="000000"/>
                <w:sz w:val="20"/>
              </w:rPr>
            </w:pPr>
            <w:r w:rsidRPr="005F120D">
              <w:rPr>
                <w:rFonts w:asciiTheme="minorHAnsi" w:hAnsiTheme="minorHAnsi" w:cstheme="minorHAnsi"/>
                <w:color w:val="000000"/>
                <w:sz w:val="20"/>
              </w:rPr>
              <w:t>30.1</w:t>
            </w:r>
          </w:p>
        </w:tc>
      </w:tr>
      <w:tr w:rsidR="00A35BD5" w:rsidRPr="005F120D" w:rsidTr="00A01B3D">
        <w:trPr>
          <w:trHeight w:hRule="exact" w:val="360"/>
        </w:trPr>
        <w:tc>
          <w:tcPr>
            <w:tcW w:w="305" w:type="pct"/>
            <w:tcBorders>
              <w:top w:val="single" w:sz="8" w:space="0" w:color="auto"/>
              <w:left w:val="nil"/>
              <w:bottom w:val="single" w:sz="8"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p>
        </w:tc>
        <w:tc>
          <w:tcPr>
            <w:tcW w:w="2193" w:type="pct"/>
            <w:tcBorders>
              <w:top w:val="single" w:sz="8" w:space="0" w:color="auto"/>
              <w:left w:val="nil"/>
              <w:bottom w:val="single" w:sz="8" w:space="0" w:color="auto"/>
            </w:tcBorders>
            <w:vAlign w:val="center"/>
          </w:tcPr>
          <w:p w:rsidR="00A35BD5" w:rsidRPr="005F120D" w:rsidRDefault="00A35BD5" w:rsidP="004E77B3">
            <w:pPr>
              <w:spacing w:after="0"/>
              <w:jc w:val="center"/>
              <w:rPr>
                <w:rFonts w:asciiTheme="minorHAnsi" w:hAnsiTheme="minorHAnsi" w:cstheme="minorHAnsi"/>
                <w:b/>
                <w:color w:val="008000"/>
                <w:sz w:val="20"/>
              </w:rPr>
            </w:pPr>
            <w:r w:rsidRPr="005F120D">
              <w:rPr>
                <w:rFonts w:asciiTheme="minorHAnsi" w:hAnsiTheme="minorHAnsi" w:cstheme="minorHAnsi"/>
                <w:b/>
                <w:color w:val="008000"/>
                <w:sz w:val="20"/>
              </w:rPr>
              <w:t>Grand Total of 4 Components</w:t>
            </w:r>
          </w:p>
        </w:tc>
        <w:tc>
          <w:tcPr>
            <w:tcW w:w="672" w:type="pct"/>
            <w:tcBorders>
              <w:top w:val="single" w:sz="8" w:space="0" w:color="auto"/>
              <w:bottom w:val="single" w:sz="8"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b/>
                <w:color w:val="008000"/>
                <w:sz w:val="20"/>
              </w:rPr>
            </w:pPr>
          </w:p>
        </w:tc>
        <w:tc>
          <w:tcPr>
            <w:tcW w:w="630" w:type="pct"/>
            <w:tcBorders>
              <w:top w:val="single" w:sz="8"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b/>
                <w:color w:val="008000"/>
                <w:sz w:val="20"/>
              </w:rPr>
            </w:pPr>
            <w:r w:rsidRPr="005F120D">
              <w:rPr>
                <w:rFonts w:asciiTheme="minorHAnsi" w:hAnsiTheme="minorHAnsi" w:cstheme="minorHAnsi"/>
                <w:b/>
                <w:color w:val="008000"/>
                <w:sz w:val="20"/>
              </w:rPr>
              <w:t>371,000.00</w:t>
            </w:r>
          </w:p>
        </w:tc>
        <w:tc>
          <w:tcPr>
            <w:tcW w:w="630" w:type="pct"/>
            <w:tcBorders>
              <w:top w:val="single" w:sz="8"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8000"/>
                <w:sz w:val="20"/>
              </w:rPr>
            </w:pPr>
            <w:r w:rsidRPr="005F120D">
              <w:rPr>
                <w:rFonts w:asciiTheme="minorHAnsi" w:hAnsiTheme="minorHAnsi" w:cstheme="minorHAnsi"/>
                <w:color w:val="008000"/>
                <w:sz w:val="20"/>
              </w:rPr>
              <w:t>166,171</w:t>
            </w:r>
          </w:p>
        </w:tc>
        <w:tc>
          <w:tcPr>
            <w:tcW w:w="571" w:type="pct"/>
            <w:tcBorders>
              <w:top w:val="single" w:sz="8"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8000"/>
                <w:sz w:val="20"/>
              </w:rPr>
            </w:pPr>
            <w:r w:rsidRPr="005F120D">
              <w:rPr>
                <w:rFonts w:asciiTheme="minorHAnsi" w:hAnsiTheme="minorHAnsi" w:cstheme="minorHAnsi"/>
                <w:color w:val="008000"/>
                <w:sz w:val="20"/>
              </w:rPr>
              <w:t>44.8%</w:t>
            </w:r>
          </w:p>
        </w:tc>
      </w:tr>
      <w:tr w:rsidR="00A35BD5" w:rsidRPr="005F120D" w:rsidTr="00A01B3D">
        <w:trPr>
          <w:trHeight w:hRule="exact" w:val="569"/>
        </w:trPr>
        <w:tc>
          <w:tcPr>
            <w:tcW w:w="305" w:type="pct"/>
            <w:tcBorders>
              <w:top w:val="single" w:sz="8" w:space="0" w:color="auto"/>
              <w:left w:val="nil"/>
              <w:bottom w:val="single" w:sz="8"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p>
        </w:tc>
        <w:tc>
          <w:tcPr>
            <w:tcW w:w="2193" w:type="pct"/>
            <w:tcBorders>
              <w:top w:val="single" w:sz="8" w:space="0" w:color="auto"/>
              <w:left w:val="nil"/>
              <w:bottom w:val="single" w:sz="8" w:space="0" w:color="auto"/>
            </w:tcBorders>
            <w:vAlign w:val="center"/>
          </w:tcPr>
          <w:p w:rsidR="00A35BD5" w:rsidRPr="005F120D" w:rsidRDefault="00A35BD5" w:rsidP="004E77B3">
            <w:pPr>
              <w:spacing w:after="0"/>
              <w:jc w:val="center"/>
              <w:rPr>
                <w:rFonts w:asciiTheme="minorHAnsi" w:hAnsiTheme="minorHAnsi" w:cstheme="minorHAnsi"/>
                <w:b/>
                <w:color w:val="008000"/>
                <w:sz w:val="20"/>
              </w:rPr>
            </w:pPr>
            <w:r w:rsidRPr="005F120D">
              <w:rPr>
                <w:rFonts w:asciiTheme="minorHAnsi" w:hAnsiTheme="minorHAnsi" w:cstheme="minorHAnsi"/>
                <w:b/>
                <w:color w:val="008000"/>
                <w:sz w:val="20"/>
              </w:rPr>
              <w:t>CDVAT for Textbook, computer, vehicle and others</w:t>
            </w:r>
          </w:p>
        </w:tc>
        <w:tc>
          <w:tcPr>
            <w:tcW w:w="672" w:type="pct"/>
            <w:tcBorders>
              <w:top w:val="single" w:sz="8" w:space="0" w:color="auto"/>
              <w:bottom w:val="single" w:sz="8"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b/>
                <w:color w:val="008000"/>
                <w:sz w:val="20"/>
              </w:rPr>
            </w:pPr>
          </w:p>
        </w:tc>
        <w:tc>
          <w:tcPr>
            <w:tcW w:w="630" w:type="pct"/>
            <w:tcBorders>
              <w:top w:val="single" w:sz="8"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b/>
                <w:color w:val="008000"/>
                <w:sz w:val="20"/>
              </w:rPr>
            </w:pPr>
            <w:r w:rsidRPr="005F120D">
              <w:rPr>
                <w:rFonts w:asciiTheme="minorHAnsi" w:hAnsiTheme="minorHAnsi" w:cstheme="minorHAnsi"/>
                <w:b/>
                <w:color w:val="008000"/>
                <w:sz w:val="20"/>
              </w:rPr>
              <w:t>3,000.00</w:t>
            </w:r>
          </w:p>
        </w:tc>
        <w:tc>
          <w:tcPr>
            <w:tcW w:w="630" w:type="pct"/>
            <w:tcBorders>
              <w:top w:val="single" w:sz="8"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8000"/>
                <w:sz w:val="20"/>
              </w:rPr>
            </w:pPr>
            <w:r w:rsidRPr="005F120D">
              <w:rPr>
                <w:rFonts w:asciiTheme="minorHAnsi" w:hAnsiTheme="minorHAnsi" w:cstheme="minorHAnsi"/>
                <w:color w:val="008000"/>
                <w:sz w:val="20"/>
                <w:lang w:eastAsia="ja-JP"/>
              </w:rPr>
              <w:t>2,575.72</w:t>
            </w:r>
          </w:p>
        </w:tc>
        <w:tc>
          <w:tcPr>
            <w:tcW w:w="571" w:type="pct"/>
            <w:tcBorders>
              <w:top w:val="single" w:sz="8"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8000"/>
                <w:sz w:val="20"/>
                <w:lang w:eastAsia="ja-JP"/>
              </w:rPr>
            </w:pPr>
            <w:r w:rsidRPr="005F120D">
              <w:rPr>
                <w:rFonts w:asciiTheme="minorHAnsi" w:hAnsiTheme="minorHAnsi" w:cstheme="minorHAnsi"/>
                <w:color w:val="008000"/>
                <w:sz w:val="20"/>
                <w:lang w:eastAsia="ja-JP"/>
              </w:rPr>
              <w:t>85.9%</w:t>
            </w:r>
          </w:p>
        </w:tc>
      </w:tr>
      <w:tr w:rsidR="00A35BD5" w:rsidRPr="005F120D" w:rsidTr="00A01B3D">
        <w:trPr>
          <w:trHeight w:hRule="exact" w:val="532"/>
        </w:trPr>
        <w:tc>
          <w:tcPr>
            <w:tcW w:w="305" w:type="pct"/>
            <w:tcBorders>
              <w:top w:val="single" w:sz="8" w:space="0" w:color="auto"/>
              <w:left w:val="nil"/>
              <w:bottom w:val="single" w:sz="8" w:space="0" w:color="auto"/>
              <w:right w:val="nil"/>
            </w:tcBorders>
            <w:vAlign w:val="center"/>
          </w:tcPr>
          <w:p w:rsidR="00A35BD5" w:rsidRPr="005F120D" w:rsidRDefault="00A35BD5" w:rsidP="004E77B3">
            <w:pPr>
              <w:spacing w:after="0"/>
              <w:jc w:val="center"/>
              <w:rPr>
                <w:rFonts w:asciiTheme="minorHAnsi" w:hAnsiTheme="minorHAnsi" w:cstheme="minorHAnsi"/>
                <w:color w:val="000000"/>
                <w:sz w:val="20"/>
              </w:rPr>
            </w:pPr>
          </w:p>
        </w:tc>
        <w:tc>
          <w:tcPr>
            <w:tcW w:w="2193" w:type="pct"/>
            <w:tcBorders>
              <w:top w:val="single" w:sz="8" w:space="0" w:color="auto"/>
              <w:left w:val="nil"/>
              <w:bottom w:val="single" w:sz="8" w:space="0" w:color="auto"/>
            </w:tcBorders>
            <w:vAlign w:val="center"/>
          </w:tcPr>
          <w:p w:rsidR="00A35BD5" w:rsidRPr="005F120D" w:rsidRDefault="00A35BD5" w:rsidP="004E77B3">
            <w:pPr>
              <w:spacing w:after="0"/>
              <w:jc w:val="center"/>
              <w:rPr>
                <w:rFonts w:asciiTheme="minorHAnsi" w:hAnsiTheme="minorHAnsi" w:cstheme="minorHAnsi"/>
                <w:b/>
                <w:color w:val="008000"/>
                <w:sz w:val="20"/>
              </w:rPr>
            </w:pPr>
            <w:r w:rsidRPr="005F120D">
              <w:rPr>
                <w:rFonts w:asciiTheme="minorHAnsi" w:hAnsiTheme="minorHAnsi" w:cstheme="minorHAnsi"/>
                <w:b/>
                <w:color w:val="008000"/>
                <w:sz w:val="20"/>
              </w:rPr>
              <w:t>Total</w:t>
            </w:r>
          </w:p>
        </w:tc>
        <w:tc>
          <w:tcPr>
            <w:tcW w:w="672" w:type="pct"/>
            <w:tcBorders>
              <w:top w:val="single" w:sz="8" w:space="0" w:color="auto"/>
              <w:bottom w:val="single" w:sz="8" w:space="0" w:color="auto"/>
              <w:right w:val="single" w:sz="4" w:space="0" w:color="auto"/>
            </w:tcBorders>
            <w:vAlign w:val="center"/>
          </w:tcPr>
          <w:p w:rsidR="00A35BD5" w:rsidRPr="005F120D" w:rsidRDefault="00A35BD5" w:rsidP="004E77B3">
            <w:pPr>
              <w:spacing w:after="0"/>
              <w:jc w:val="center"/>
              <w:rPr>
                <w:rFonts w:asciiTheme="minorHAnsi" w:hAnsiTheme="minorHAnsi" w:cstheme="minorHAnsi"/>
                <w:b/>
                <w:color w:val="008000"/>
                <w:sz w:val="20"/>
              </w:rPr>
            </w:pPr>
          </w:p>
        </w:tc>
        <w:tc>
          <w:tcPr>
            <w:tcW w:w="630" w:type="pct"/>
            <w:tcBorders>
              <w:top w:val="single" w:sz="8"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b/>
                <w:color w:val="008000"/>
                <w:sz w:val="20"/>
              </w:rPr>
            </w:pPr>
            <w:r w:rsidRPr="005F120D">
              <w:rPr>
                <w:rFonts w:asciiTheme="minorHAnsi" w:hAnsiTheme="minorHAnsi" w:cstheme="minorHAnsi"/>
                <w:b/>
                <w:color w:val="008000"/>
                <w:sz w:val="20"/>
              </w:rPr>
              <w:t>374,000.00</w:t>
            </w:r>
          </w:p>
        </w:tc>
        <w:tc>
          <w:tcPr>
            <w:tcW w:w="630" w:type="pct"/>
            <w:tcBorders>
              <w:top w:val="single" w:sz="8"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color w:val="008000"/>
                <w:sz w:val="20"/>
              </w:rPr>
            </w:pPr>
            <w:r w:rsidRPr="005F120D">
              <w:rPr>
                <w:rFonts w:asciiTheme="minorHAnsi" w:hAnsiTheme="minorHAnsi" w:cstheme="minorHAnsi"/>
                <w:b/>
                <w:bCs/>
                <w:color w:val="008000"/>
                <w:sz w:val="20"/>
                <w:lang w:eastAsia="ja-JP"/>
              </w:rPr>
              <w:t>168,806.83</w:t>
            </w:r>
          </w:p>
        </w:tc>
        <w:tc>
          <w:tcPr>
            <w:tcW w:w="571" w:type="pct"/>
            <w:tcBorders>
              <w:top w:val="single" w:sz="8" w:space="0" w:color="auto"/>
              <w:left w:val="single" w:sz="4" w:space="0" w:color="auto"/>
              <w:bottom w:val="single" w:sz="8" w:space="0" w:color="auto"/>
              <w:right w:val="nil"/>
            </w:tcBorders>
          </w:tcPr>
          <w:p w:rsidR="00A35BD5" w:rsidRPr="005F120D" w:rsidRDefault="00A35BD5" w:rsidP="004E77B3">
            <w:pPr>
              <w:spacing w:after="0"/>
              <w:jc w:val="center"/>
              <w:rPr>
                <w:rFonts w:asciiTheme="minorHAnsi" w:hAnsiTheme="minorHAnsi" w:cstheme="minorHAnsi"/>
                <w:b/>
                <w:bCs/>
                <w:color w:val="008000"/>
                <w:sz w:val="20"/>
                <w:lang w:eastAsia="ja-JP"/>
              </w:rPr>
            </w:pPr>
            <w:r w:rsidRPr="005F120D">
              <w:rPr>
                <w:rFonts w:asciiTheme="minorHAnsi" w:hAnsiTheme="minorHAnsi" w:cstheme="minorHAnsi"/>
                <w:b/>
                <w:bCs/>
                <w:color w:val="008000"/>
                <w:sz w:val="20"/>
                <w:lang w:eastAsia="ja-JP"/>
              </w:rPr>
              <w:t>45.1%</w:t>
            </w:r>
          </w:p>
        </w:tc>
      </w:tr>
    </w:tbl>
    <w:p w:rsidR="009D7DC9" w:rsidRPr="005F120D" w:rsidRDefault="009D7DC9" w:rsidP="00C437AA">
      <w:pPr>
        <w:pStyle w:val="BodyText1"/>
        <w:spacing w:after="0"/>
        <w:rPr>
          <w:rFonts w:asciiTheme="minorHAnsi" w:hAnsiTheme="minorHAnsi" w:cstheme="minorHAnsi"/>
          <w:b w:val="0"/>
          <w:color w:val="000000" w:themeColor="text1"/>
        </w:rPr>
      </w:pPr>
    </w:p>
    <w:p w:rsidR="00AD38AD" w:rsidRPr="005F120D" w:rsidRDefault="00AD38AD" w:rsidP="00C437AA">
      <w:pPr>
        <w:pStyle w:val="BodyText1"/>
        <w:spacing w:after="0"/>
        <w:rPr>
          <w:rFonts w:asciiTheme="minorHAnsi" w:hAnsiTheme="minorHAnsi" w:cstheme="minorHAnsi"/>
          <w:b w:val="0"/>
          <w:color w:val="000000" w:themeColor="text1"/>
        </w:rPr>
      </w:pPr>
    </w:p>
    <w:p w:rsidR="00AD38AD" w:rsidRPr="005F120D" w:rsidRDefault="00AD38AD" w:rsidP="00C437AA">
      <w:pPr>
        <w:pStyle w:val="BodyText1"/>
        <w:spacing w:after="0"/>
        <w:rPr>
          <w:rFonts w:asciiTheme="minorHAnsi" w:hAnsiTheme="minorHAnsi" w:cstheme="minorHAnsi"/>
          <w:b w:val="0"/>
          <w:color w:val="000000" w:themeColor="text1"/>
        </w:rPr>
      </w:pPr>
    </w:p>
    <w:p w:rsidR="004E77B3" w:rsidRPr="005F120D" w:rsidRDefault="004E77B3" w:rsidP="00C437AA">
      <w:pPr>
        <w:pStyle w:val="BodyText1"/>
        <w:spacing w:after="0"/>
        <w:rPr>
          <w:rFonts w:asciiTheme="minorHAnsi" w:hAnsiTheme="minorHAnsi" w:cstheme="minorHAnsi"/>
          <w:b w:val="0"/>
          <w:color w:val="000000" w:themeColor="text1"/>
        </w:rPr>
      </w:pPr>
    </w:p>
    <w:p w:rsidR="004E77B3" w:rsidRPr="005F120D" w:rsidRDefault="004E77B3" w:rsidP="00C437AA">
      <w:pPr>
        <w:pStyle w:val="BodyText1"/>
        <w:spacing w:after="0"/>
        <w:rPr>
          <w:rFonts w:asciiTheme="minorHAnsi" w:hAnsiTheme="minorHAnsi" w:cstheme="minorHAnsi"/>
          <w:b w:val="0"/>
          <w:color w:val="000000" w:themeColor="text1"/>
        </w:rPr>
      </w:pPr>
    </w:p>
    <w:p w:rsidR="004E77B3" w:rsidRPr="005F120D" w:rsidRDefault="004E77B3" w:rsidP="00C437AA">
      <w:pPr>
        <w:pStyle w:val="BodyText1"/>
        <w:spacing w:after="0"/>
        <w:rPr>
          <w:rFonts w:asciiTheme="minorHAnsi" w:hAnsiTheme="minorHAnsi" w:cstheme="minorHAnsi"/>
          <w:b w:val="0"/>
          <w:color w:val="000000" w:themeColor="text1"/>
        </w:rPr>
      </w:pPr>
    </w:p>
    <w:p w:rsidR="00AD38AD" w:rsidRPr="005F120D" w:rsidRDefault="00AD38AD" w:rsidP="00C437AA">
      <w:pPr>
        <w:pStyle w:val="BodyText1"/>
        <w:spacing w:after="0"/>
        <w:rPr>
          <w:rFonts w:asciiTheme="minorHAnsi" w:hAnsiTheme="minorHAnsi" w:cstheme="minorHAnsi"/>
          <w:b w:val="0"/>
          <w:color w:val="000000" w:themeColor="text1"/>
        </w:rPr>
      </w:pPr>
    </w:p>
    <w:p w:rsidR="00AD38AD" w:rsidRPr="005F120D" w:rsidRDefault="00AD38AD" w:rsidP="00C437AA">
      <w:pPr>
        <w:pStyle w:val="BodyText1"/>
        <w:spacing w:after="0"/>
        <w:rPr>
          <w:rFonts w:asciiTheme="minorHAnsi" w:hAnsiTheme="minorHAnsi" w:cstheme="minorHAnsi"/>
          <w:b w:val="0"/>
          <w:color w:val="000000" w:themeColor="text1"/>
        </w:rPr>
      </w:pPr>
    </w:p>
    <w:p w:rsidR="00AD38AD" w:rsidRPr="005F120D" w:rsidRDefault="00AD38AD" w:rsidP="00C437AA">
      <w:pPr>
        <w:pStyle w:val="BodyText1"/>
        <w:spacing w:after="0"/>
        <w:rPr>
          <w:rFonts w:asciiTheme="minorHAnsi" w:hAnsiTheme="minorHAnsi" w:cstheme="minorHAnsi"/>
          <w:b w:val="0"/>
          <w:color w:val="000000" w:themeColor="text1"/>
        </w:rPr>
      </w:pPr>
    </w:p>
    <w:p w:rsidR="00AD38AD" w:rsidRPr="005F120D" w:rsidRDefault="00AD38AD" w:rsidP="00C437AA">
      <w:pPr>
        <w:pStyle w:val="BodyText1"/>
        <w:spacing w:after="0"/>
        <w:rPr>
          <w:rFonts w:asciiTheme="minorHAnsi" w:hAnsiTheme="minorHAnsi" w:cstheme="minorHAnsi"/>
          <w:b w:val="0"/>
          <w:color w:val="000000" w:themeColor="text1"/>
        </w:rPr>
      </w:pPr>
    </w:p>
    <w:p w:rsidR="000E078B" w:rsidRPr="005F120D" w:rsidRDefault="000E078B" w:rsidP="00C437AA">
      <w:pPr>
        <w:pStyle w:val="Heading2"/>
        <w:spacing w:before="0" w:line="276" w:lineRule="auto"/>
        <w:rPr>
          <w:rFonts w:cstheme="minorHAnsi"/>
          <w:color w:val="006600"/>
        </w:rPr>
      </w:pPr>
      <w:bookmarkStart w:id="561" w:name="_Toc462837193"/>
      <w:r w:rsidRPr="005F120D">
        <w:rPr>
          <w:rFonts w:cstheme="minorHAnsi"/>
          <w:color w:val="006600"/>
        </w:rPr>
        <w:lastRenderedPageBreak/>
        <w:t>PEDP3 Activities</w:t>
      </w:r>
      <w:r w:rsidR="00685EC9" w:rsidRPr="005F120D">
        <w:rPr>
          <w:rFonts w:cstheme="minorHAnsi"/>
          <w:color w:val="006600"/>
        </w:rPr>
        <w:t xml:space="preserve"> not covered in the AOP</w:t>
      </w:r>
      <w:bookmarkEnd w:id="561"/>
    </w:p>
    <w:p w:rsidR="006B7CA5" w:rsidRPr="005F120D" w:rsidRDefault="00F10B40" w:rsidP="00C437AA">
      <w:pPr>
        <w:pStyle w:val="BodyText1"/>
        <w:jc w:val="both"/>
        <w:rPr>
          <w:rFonts w:asciiTheme="minorHAnsi" w:hAnsiTheme="minorHAnsi" w:cstheme="minorHAnsi"/>
          <w:b w:val="0"/>
        </w:rPr>
      </w:pPr>
      <w:r w:rsidRPr="005F120D">
        <w:rPr>
          <w:rFonts w:asciiTheme="minorHAnsi" w:hAnsiTheme="minorHAnsi" w:cstheme="minorHAnsi"/>
          <w:b w:val="0"/>
        </w:rPr>
        <w:t>Apart from outcomes (KPIs and Non-KPIs) and outputs (PSQL) indicators, the revised PEDP3 Program Framework includes a number of activity indicators. This short chapter summarises, in table form, progress with respect to PEDP3 activities not covered in previous chapters</w:t>
      </w:r>
      <w:r w:rsidR="006B7CA5" w:rsidRPr="005F120D">
        <w:rPr>
          <w:rFonts w:asciiTheme="minorHAnsi" w:hAnsiTheme="minorHAnsi" w:cstheme="minorHAnsi"/>
          <w:b w:val="0"/>
        </w:rPr>
        <w:t>.</w:t>
      </w:r>
    </w:p>
    <w:p w:rsidR="00F10B40" w:rsidRPr="005F120D" w:rsidRDefault="00F10B40" w:rsidP="00F10B40">
      <w:pPr>
        <w:pStyle w:val="BodyText1"/>
        <w:jc w:val="both"/>
        <w:rPr>
          <w:rFonts w:asciiTheme="minorHAnsi" w:hAnsiTheme="minorHAnsi" w:cstheme="minorHAnsi"/>
          <w:color w:val="3333FF"/>
        </w:rPr>
      </w:pPr>
      <w:r w:rsidRPr="005F120D">
        <w:rPr>
          <w:rFonts w:asciiTheme="minorHAnsi" w:hAnsiTheme="minorHAnsi" w:cstheme="minorHAnsi"/>
          <w:color w:val="3333FF"/>
        </w:rPr>
        <w:t>Component 1: Learning and Teaching</w:t>
      </w:r>
    </w:p>
    <w:tbl>
      <w:tblPr>
        <w:tblW w:w="9639" w:type="dxa"/>
        <w:tblBorders>
          <w:top w:val="single" w:sz="4" w:space="0" w:color="000000"/>
          <w:bottom w:val="single" w:sz="4" w:space="0" w:color="000000"/>
          <w:insideH w:val="single" w:sz="4" w:space="0" w:color="000000"/>
          <w:insideV w:val="single" w:sz="4" w:space="0" w:color="000000"/>
        </w:tblBorders>
        <w:tblLayout w:type="fixed"/>
        <w:tblLook w:val="00A0"/>
      </w:tblPr>
      <w:tblGrid>
        <w:gridCol w:w="567"/>
        <w:gridCol w:w="3591"/>
        <w:gridCol w:w="1350"/>
        <w:gridCol w:w="4131"/>
      </w:tblGrid>
      <w:tr w:rsidR="00F10B40" w:rsidRPr="005F120D" w:rsidTr="00A01B3D">
        <w:trPr>
          <w:trHeight w:val="404"/>
        </w:trPr>
        <w:tc>
          <w:tcPr>
            <w:tcW w:w="567"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No.</w:t>
            </w:r>
          </w:p>
        </w:tc>
        <w:tc>
          <w:tcPr>
            <w:tcW w:w="3591"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Planned activity</w:t>
            </w:r>
          </w:p>
        </w:tc>
        <w:tc>
          <w:tcPr>
            <w:tcW w:w="1350"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Target date</w:t>
            </w:r>
          </w:p>
        </w:tc>
        <w:tc>
          <w:tcPr>
            <w:tcW w:w="4131"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Progress summary</w:t>
            </w:r>
          </w:p>
        </w:tc>
      </w:tr>
      <w:tr w:rsidR="00F10B40" w:rsidRPr="005F120D" w:rsidTr="00A01B3D">
        <w:trPr>
          <w:trHeight w:val="332"/>
        </w:trPr>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A1</w:t>
            </w:r>
          </w:p>
        </w:tc>
        <w:tc>
          <w:tcPr>
            <w:tcW w:w="3591" w:type="dxa"/>
          </w:tcPr>
          <w:p w:rsidR="00F10B40" w:rsidRPr="005F120D" w:rsidRDefault="00F10B40" w:rsidP="00A01B3D">
            <w:pPr>
              <w:spacing w:after="0"/>
              <w:rPr>
                <w:rFonts w:asciiTheme="minorHAnsi" w:hAnsiTheme="minorHAnsi" w:cstheme="minorHAnsi"/>
                <w:sz w:val="20"/>
              </w:rPr>
            </w:pPr>
            <w:r w:rsidRPr="005F120D">
              <w:rPr>
                <w:rFonts w:asciiTheme="minorHAnsi" w:hAnsiTheme="minorHAnsi" w:cstheme="minorHAnsi"/>
                <w:sz w:val="20"/>
              </w:rPr>
              <w:t>Longitudinal study on ECL designed</w:t>
            </w:r>
          </w:p>
        </w:tc>
        <w:tc>
          <w:tcPr>
            <w:tcW w:w="135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1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Phase II of Longitudinal study is ongoing.</w:t>
            </w:r>
          </w:p>
        </w:tc>
      </w:tr>
      <w:tr w:rsidR="00F10B40" w:rsidRPr="005F120D" w:rsidTr="00A01B3D">
        <w:trPr>
          <w:trHeight w:val="1376"/>
        </w:trPr>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A2</w:t>
            </w:r>
          </w:p>
        </w:tc>
        <w:tc>
          <w:tcPr>
            <w:tcW w:w="3591" w:type="dxa"/>
          </w:tcPr>
          <w:p w:rsidR="00F10B40" w:rsidRPr="005F120D" w:rsidRDefault="00F10B40" w:rsidP="00A01B3D">
            <w:pPr>
              <w:spacing w:after="0"/>
              <w:rPr>
                <w:rFonts w:asciiTheme="minorHAnsi" w:hAnsiTheme="minorHAnsi" w:cstheme="minorHAnsi"/>
                <w:sz w:val="20"/>
              </w:rPr>
            </w:pPr>
            <w:r w:rsidRPr="005F120D">
              <w:rPr>
                <w:rFonts w:asciiTheme="minorHAnsi" w:hAnsiTheme="minorHAnsi" w:cstheme="minorHAnsi"/>
                <w:sz w:val="20"/>
              </w:rPr>
              <w:t>Integrated national curriculum framework is established for all primary schools to be  approved by GoB with agreed common core subjects (common learning outcomes) plus optional elective subjects</w:t>
            </w:r>
          </w:p>
        </w:tc>
        <w:tc>
          <w:tcPr>
            <w:tcW w:w="135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December 2015</w:t>
            </w:r>
          </w:p>
        </w:tc>
        <w:tc>
          <w:tcPr>
            <w:tcW w:w="41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Integrated national curriculum framework approved and endorsed by the MoPME.</w:t>
            </w:r>
          </w:p>
          <w:p w:rsidR="00F10B40" w:rsidRPr="005F120D" w:rsidRDefault="00F10B40" w:rsidP="00A01B3D">
            <w:pPr>
              <w:pStyle w:val="Tabletext"/>
              <w:spacing w:before="0" w:after="0"/>
              <w:rPr>
                <w:rFonts w:asciiTheme="minorHAnsi" w:hAnsiTheme="minorHAnsi" w:cstheme="minorHAnsi"/>
              </w:rPr>
            </w:pP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A3</w:t>
            </w:r>
          </w:p>
        </w:tc>
        <w:tc>
          <w:tcPr>
            <w:tcW w:w="359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Multi-lingual education is endorsed by the National Education Policy, including the development of textbooks</w:t>
            </w:r>
          </w:p>
        </w:tc>
        <w:tc>
          <w:tcPr>
            <w:tcW w:w="135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1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 xml:space="preserve">Textbooks are being ,developed in 4 different languages </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A4</w:t>
            </w:r>
          </w:p>
        </w:tc>
        <w:tc>
          <w:tcPr>
            <w:tcW w:w="359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Updated DPEd framework and endorsed by NAPE/MoPME</w:t>
            </w:r>
          </w:p>
        </w:tc>
        <w:tc>
          <w:tcPr>
            <w:tcW w:w="135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1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Already updated DPEd framework and also endorsed by NAPE/MoPME.</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A5</w:t>
            </w:r>
          </w:p>
        </w:tc>
        <w:tc>
          <w:tcPr>
            <w:tcW w:w="359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Study to explore alternative methods and modalities to implement or expand the DPEd</w:t>
            </w:r>
          </w:p>
        </w:tc>
        <w:tc>
          <w:tcPr>
            <w:tcW w:w="135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1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Study to explore alternative methods and modalities is in progress and report will be available by 30 May 2016</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A6</w:t>
            </w:r>
          </w:p>
        </w:tc>
        <w:tc>
          <w:tcPr>
            <w:tcW w:w="359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ICT Strategy to be developed and implemented</w:t>
            </w:r>
          </w:p>
        </w:tc>
        <w:tc>
          <w:tcPr>
            <w:tcW w:w="1350" w:type="dxa"/>
          </w:tcPr>
          <w:p w:rsidR="00F10B40" w:rsidRPr="005F120D" w:rsidRDefault="00F10B40" w:rsidP="00A01B3D">
            <w:pPr>
              <w:pStyle w:val="Tabletext"/>
              <w:spacing w:before="0" w:after="0"/>
              <w:rPr>
                <w:rFonts w:asciiTheme="minorHAnsi" w:hAnsiTheme="minorHAnsi" w:cstheme="minorHAnsi"/>
              </w:rPr>
            </w:pPr>
          </w:p>
        </w:tc>
        <w:tc>
          <w:tcPr>
            <w:tcW w:w="41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ICT strategy developed and endorsed by MoPME and is being implemented.</w:t>
            </w:r>
          </w:p>
        </w:tc>
      </w:tr>
    </w:tbl>
    <w:p w:rsidR="00F10B40" w:rsidRPr="005F120D" w:rsidRDefault="00F10B40" w:rsidP="00F10B40">
      <w:pPr>
        <w:pStyle w:val="BodyText1"/>
        <w:spacing w:before="240"/>
        <w:jc w:val="both"/>
        <w:rPr>
          <w:rFonts w:asciiTheme="minorHAnsi" w:hAnsiTheme="minorHAnsi" w:cstheme="minorHAnsi"/>
          <w:color w:val="3333FF"/>
          <w:sz w:val="20"/>
          <w:szCs w:val="20"/>
        </w:rPr>
      </w:pPr>
      <w:r w:rsidRPr="005F120D">
        <w:rPr>
          <w:rFonts w:asciiTheme="minorHAnsi" w:hAnsiTheme="minorHAnsi" w:cstheme="minorHAnsi"/>
          <w:color w:val="3333FF"/>
        </w:rPr>
        <w:t xml:space="preserve">Component 2: </w:t>
      </w:r>
      <w:r w:rsidRPr="005F120D">
        <w:rPr>
          <w:rFonts w:asciiTheme="minorHAnsi" w:hAnsiTheme="minorHAnsi" w:cstheme="minorHAnsi"/>
          <w:color w:val="3333FF"/>
          <w:sz w:val="20"/>
          <w:szCs w:val="20"/>
        </w:rPr>
        <w:t>Participation and Disparities</w:t>
      </w:r>
    </w:p>
    <w:tbl>
      <w:tblPr>
        <w:tblW w:w="9639" w:type="dxa"/>
        <w:tblBorders>
          <w:top w:val="single" w:sz="4" w:space="0" w:color="000000"/>
          <w:bottom w:val="single" w:sz="4" w:space="0" w:color="000000"/>
          <w:insideH w:val="single" w:sz="4" w:space="0" w:color="000000"/>
          <w:insideV w:val="single" w:sz="4" w:space="0" w:color="000000"/>
        </w:tblBorders>
        <w:tblLayout w:type="fixed"/>
        <w:tblLook w:val="00A0"/>
      </w:tblPr>
      <w:tblGrid>
        <w:gridCol w:w="567"/>
        <w:gridCol w:w="3591"/>
        <w:gridCol w:w="1440"/>
        <w:gridCol w:w="4041"/>
      </w:tblGrid>
      <w:tr w:rsidR="00F10B40" w:rsidRPr="005F120D" w:rsidTr="00A01B3D">
        <w:trPr>
          <w:trHeight w:val="413"/>
        </w:trPr>
        <w:tc>
          <w:tcPr>
            <w:tcW w:w="567"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No.</w:t>
            </w:r>
          </w:p>
        </w:tc>
        <w:tc>
          <w:tcPr>
            <w:tcW w:w="3591"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Planned activity</w:t>
            </w:r>
          </w:p>
        </w:tc>
        <w:tc>
          <w:tcPr>
            <w:tcW w:w="1440"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Target date</w:t>
            </w:r>
          </w:p>
        </w:tc>
        <w:tc>
          <w:tcPr>
            <w:tcW w:w="4041"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Progress summary</w:t>
            </w:r>
          </w:p>
        </w:tc>
      </w:tr>
      <w:tr w:rsidR="00F10B40" w:rsidRPr="005F120D" w:rsidTr="00A01B3D">
        <w:trPr>
          <w:trHeight w:val="296"/>
        </w:trPr>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A1</w:t>
            </w:r>
          </w:p>
        </w:tc>
        <w:tc>
          <w:tcPr>
            <w:tcW w:w="3591" w:type="dxa"/>
          </w:tcPr>
          <w:p w:rsidR="00F10B40" w:rsidRPr="005F120D" w:rsidRDefault="00F10B40" w:rsidP="00A01B3D">
            <w:pPr>
              <w:spacing w:after="0"/>
              <w:rPr>
                <w:rFonts w:asciiTheme="minorHAnsi" w:hAnsiTheme="minorHAnsi" w:cstheme="minorHAnsi"/>
                <w:sz w:val="20"/>
              </w:rPr>
            </w:pPr>
            <w:r w:rsidRPr="005F120D">
              <w:rPr>
                <w:rFonts w:asciiTheme="minorHAnsi" w:hAnsiTheme="minorHAnsi" w:cstheme="minorHAnsi"/>
                <w:sz w:val="20"/>
              </w:rPr>
              <w:t>Complete at least 65% of planned needs-based infrastructure development, according to criteria and technical standards</w:t>
            </w:r>
          </w:p>
        </w:tc>
        <w:tc>
          <w:tcPr>
            <w:tcW w:w="144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041" w:type="dxa"/>
          </w:tcPr>
          <w:p w:rsidR="00F10B40" w:rsidRPr="005F120D" w:rsidRDefault="00F10B40" w:rsidP="00A01B3D">
            <w:pPr>
              <w:pStyle w:val="Tabletext"/>
              <w:spacing w:before="0" w:after="0"/>
              <w:rPr>
                <w:rFonts w:asciiTheme="minorHAnsi" w:hAnsiTheme="minorHAnsi" w:cstheme="minorHAnsi"/>
              </w:rPr>
            </w:pP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A2</w:t>
            </w:r>
          </w:p>
        </w:tc>
        <w:tc>
          <w:tcPr>
            <w:tcW w:w="359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 xml:space="preserve">Provide training on PPE dissemination training of 26,700 PPE teachers (both newly recruited and existing teachers) </w:t>
            </w:r>
          </w:p>
        </w:tc>
        <w:tc>
          <w:tcPr>
            <w:tcW w:w="144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04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The training has not yet been initiated</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A3</w:t>
            </w:r>
          </w:p>
        </w:tc>
        <w:tc>
          <w:tcPr>
            <w:tcW w:w="359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 xml:space="preserve">Study on integration of PPE with the DPEd </w:t>
            </w:r>
          </w:p>
        </w:tc>
        <w:tc>
          <w:tcPr>
            <w:tcW w:w="144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04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 xml:space="preserve">The study is ongoing </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A4</w:t>
            </w:r>
          </w:p>
        </w:tc>
        <w:tc>
          <w:tcPr>
            <w:tcW w:w="359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Baseline census on out-of-school children</w:t>
            </w:r>
          </w:p>
        </w:tc>
        <w:tc>
          <w:tcPr>
            <w:tcW w:w="144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04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This census has not yet been initiated</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A5</w:t>
            </w:r>
          </w:p>
        </w:tc>
        <w:tc>
          <w:tcPr>
            <w:tcW w:w="359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Equivalency framework finalized, approved by DPE and endorsed by MoPME</w:t>
            </w:r>
          </w:p>
        </w:tc>
        <w:tc>
          <w:tcPr>
            <w:tcW w:w="144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041" w:type="dxa"/>
          </w:tcPr>
          <w:p w:rsidR="00F10B40" w:rsidRPr="005F120D" w:rsidRDefault="00F10B40" w:rsidP="00A01B3D">
            <w:pPr>
              <w:pStyle w:val="Tabletext"/>
              <w:spacing w:before="0" w:after="0"/>
              <w:rPr>
                <w:rFonts w:asciiTheme="minorHAnsi" w:hAnsiTheme="minorHAnsi" w:cstheme="minorHAnsi"/>
              </w:rPr>
            </w:pPr>
          </w:p>
        </w:tc>
      </w:tr>
    </w:tbl>
    <w:p w:rsidR="004A14B8" w:rsidRPr="005F120D" w:rsidRDefault="004A14B8" w:rsidP="00F10B40">
      <w:pPr>
        <w:pStyle w:val="BodyText1"/>
        <w:spacing w:before="240"/>
        <w:jc w:val="both"/>
        <w:rPr>
          <w:rFonts w:asciiTheme="minorHAnsi" w:hAnsiTheme="minorHAnsi" w:cstheme="minorHAnsi"/>
          <w:color w:val="3333FF"/>
        </w:rPr>
      </w:pPr>
    </w:p>
    <w:p w:rsidR="004A14B8" w:rsidRPr="005F120D" w:rsidRDefault="004A14B8" w:rsidP="00F10B40">
      <w:pPr>
        <w:pStyle w:val="BodyText1"/>
        <w:spacing w:before="240"/>
        <w:jc w:val="both"/>
        <w:rPr>
          <w:rFonts w:asciiTheme="minorHAnsi" w:hAnsiTheme="minorHAnsi" w:cstheme="minorHAnsi"/>
          <w:color w:val="3333FF"/>
        </w:rPr>
      </w:pPr>
    </w:p>
    <w:p w:rsidR="004A14B8" w:rsidRPr="005F120D" w:rsidRDefault="004A14B8" w:rsidP="00F10B40">
      <w:pPr>
        <w:pStyle w:val="BodyText1"/>
        <w:spacing w:before="240"/>
        <w:jc w:val="both"/>
        <w:rPr>
          <w:rFonts w:asciiTheme="minorHAnsi" w:hAnsiTheme="minorHAnsi" w:cstheme="minorHAnsi"/>
          <w:color w:val="3333FF"/>
        </w:rPr>
      </w:pPr>
    </w:p>
    <w:p w:rsidR="00F10B40" w:rsidRPr="005F120D" w:rsidRDefault="00F10B40" w:rsidP="00F10B40">
      <w:pPr>
        <w:pStyle w:val="BodyText1"/>
        <w:spacing w:before="240"/>
        <w:jc w:val="both"/>
        <w:rPr>
          <w:rFonts w:asciiTheme="minorHAnsi" w:hAnsiTheme="minorHAnsi" w:cstheme="minorHAnsi"/>
          <w:color w:val="3333FF"/>
          <w:sz w:val="20"/>
          <w:szCs w:val="20"/>
        </w:rPr>
      </w:pPr>
      <w:r w:rsidRPr="005F120D">
        <w:rPr>
          <w:rFonts w:asciiTheme="minorHAnsi" w:hAnsiTheme="minorHAnsi" w:cstheme="minorHAnsi"/>
          <w:color w:val="3333FF"/>
        </w:rPr>
        <w:lastRenderedPageBreak/>
        <w:t xml:space="preserve">Component 3: </w:t>
      </w:r>
      <w:r w:rsidRPr="005F120D">
        <w:rPr>
          <w:rFonts w:asciiTheme="minorHAnsi" w:hAnsiTheme="minorHAnsi" w:cstheme="minorHAnsi"/>
          <w:color w:val="3333FF"/>
          <w:sz w:val="20"/>
          <w:szCs w:val="20"/>
        </w:rPr>
        <w:t>Decentralization and Effectiveness</w:t>
      </w:r>
    </w:p>
    <w:tbl>
      <w:tblPr>
        <w:tblW w:w="9639" w:type="dxa"/>
        <w:tblBorders>
          <w:top w:val="single" w:sz="4" w:space="0" w:color="000000"/>
          <w:bottom w:val="single" w:sz="4" w:space="0" w:color="000000"/>
          <w:insideH w:val="single" w:sz="4" w:space="0" w:color="000000"/>
          <w:insideV w:val="single" w:sz="4" w:space="0" w:color="000000"/>
        </w:tblBorders>
        <w:tblLayout w:type="fixed"/>
        <w:tblLook w:val="00A0"/>
      </w:tblPr>
      <w:tblGrid>
        <w:gridCol w:w="567"/>
        <w:gridCol w:w="3231"/>
        <w:gridCol w:w="1170"/>
        <w:gridCol w:w="4671"/>
      </w:tblGrid>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No.</w:t>
            </w:r>
          </w:p>
        </w:tc>
        <w:tc>
          <w:tcPr>
            <w:tcW w:w="3231"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Planned activity</w:t>
            </w:r>
          </w:p>
        </w:tc>
        <w:tc>
          <w:tcPr>
            <w:tcW w:w="1170"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Target date</w:t>
            </w:r>
          </w:p>
        </w:tc>
        <w:tc>
          <w:tcPr>
            <w:tcW w:w="4671"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Progress summary</w:t>
            </w:r>
          </w:p>
        </w:tc>
      </w:tr>
      <w:tr w:rsidR="00F10B40" w:rsidRPr="005F120D" w:rsidTr="00A01B3D">
        <w:trPr>
          <w:trHeight w:val="404"/>
        </w:trPr>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A1</w:t>
            </w:r>
          </w:p>
        </w:tc>
        <w:tc>
          <w:tcPr>
            <w:tcW w:w="3231" w:type="dxa"/>
          </w:tcPr>
          <w:p w:rsidR="00F10B40" w:rsidRPr="005F120D" w:rsidRDefault="00F10B40" w:rsidP="00A01B3D">
            <w:pPr>
              <w:spacing w:after="0"/>
              <w:rPr>
                <w:rFonts w:asciiTheme="minorHAnsi" w:hAnsiTheme="minorHAnsi" w:cstheme="minorHAnsi"/>
                <w:sz w:val="20"/>
              </w:rPr>
            </w:pPr>
            <w:r w:rsidRPr="005F120D">
              <w:rPr>
                <w:rFonts w:asciiTheme="minorHAnsi" w:hAnsiTheme="minorHAnsi" w:cstheme="minorHAnsi"/>
                <w:sz w:val="20"/>
              </w:rPr>
              <w:t>Update Grade 5 PECE Framework approved by NAPE/MoPME, and prepare action plan</w:t>
            </w:r>
          </w:p>
        </w:tc>
        <w:tc>
          <w:tcPr>
            <w:tcW w:w="117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67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PECE Framework already approved by MoPME, and the NAPE is preparing the action plan</w:t>
            </w:r>
          </w:p>
        </w:tc>
      </w:tr>
      <w:tr w:rsidR="00F10B40" w:rsidRPr="005F120D" w:rsidTr="00A01B3D">
        <w:trPr>
          <w:trHeight w:val="404"/>
        </w:trPr>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A2</w:t>
            </w:r>
          </w:p>
        </w:tc>
        <w:tc>
          <w:tcPr>
            <w:tcW w:w="3231" w:type="dxa"/>
          </w:tcPr>
          <w:p w:rsidR="00F10B40" w:rsidRPr="005F120D" w:rsidRDefault="00F10B40" w:rsidP="00A01B3D">
            <w:pPr>
              <w:spacing w:after="0"/>
              <w:rPr>
                <w:rFonts w:asciiTheme="minorHAnsi" w:hAnsiTheme="minorHAnsi" w:cstheme="minorHAnsi"/>
                <w:sz w:val="20"/>
              </w:rPr>
            </w:pPr>
            <w:r w:rsidRPr="005F120D">
              <w:rPr>
                <w:rFonts w:asciiTheme="minorHAnsi" w:hAnsiTheme="minorHAnsi" w:cstheme="minorHAnsi"/>
                <w:sz w:val="20"/>
              </w:rPr>
              <w:t>Update SMC, SLIP and UPEP guidelines</w:t>
            </w:r>
          </w:p>
        </w:tc>
        <w:tc>
          <w:tcPr>
            <w:tcW w:w="117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67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Updated SMC, SLIP and UPEP guidelines completed in March 2016</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A3</w:t>
            </w:r>
          </w:p>
        </w:tc>
        <w:tc>
          <w:tcPr>
            <w:tcW w:w="32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 xml:space="preserve">40% of </w:t>
            </w:r>
            <w:r w:rsidR="00045BB9" w:rsidRPr="005F120D">
              <w:rPr>
                <w:rFonts w:asciiTheme="minorHAnsi" w:hAnsiTheme="minorHAnsi" w:cstheme="minorHAnsi"/>
              </w:rPr>
              <w:t>Upazilas</w:t>
            </w:r>
            <w:r w:rsidRPr="005F120D">
              <w:rPr>
                <w:rFonts w:asciiTheme="minorHAnsi" w:hAnsiTheme="minorHAnsi" w:cstheme="minorHAnsi"/>
              </w:rPr>
              <w:t xml:space="preserve"> to have prepared UPEP</w:t>
            </w:r>
          </w:p>
        </w:tc>
        <w:tc>
          <w:tcPr>
            <w:tcW w:w="117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December 2015</w:t>
            </w:r>
          </w:p>
        </w:tc>
        <w:tc>
          <w:tcPr>
            <w:tcW w:w="4671" w:type="dxa"/>
          </w:tcPr>
          <w:p w:rsidR="00F10B40" w:rsidRPr="005F120D" w:rsidRDefault="00F10B40" w:rsidP="00A01B3D">
            <w:pPr>
              <w:pStyle w:val="Tabletext"/>
              <w:rPr>
                <w:rFonts w:asciiTheme="minorHAnsi" w:hAnsiTheme="minorHAnsi" w:cstheme="minorHAnsi"/>
              </w:rPr>
            </w:pPr>
            <w:r w:rsidRPr="005F120D">
              <w:rPr>
                <w:rFonts w:asciiTheme="minorHAnsi" w:hAnsiTheme="minorHAnsi" w:cstheme="minorHAnsi"/>
              </w:rPr>
              <w:t xml:space="preserve">UPEP </w:t>
            </w:r>
            <w:r w:rsidR="00045BB9" w:rsidRPr="005F120D">
              <w:rPr>
                <w:rFonts w:asciiTheme="minorHAnsi" w:hAnsiTheme="minorHAnsi" w:cstheme="minorHAnsi"/>
              </w:rPr>
              <w:t>Upazila</w:t>
            </w:r>
            <w:r w:rsidRPr="005F120D">
              <w:rPr>
                <w:rFonts w:asciiTheme="minorHAnsi" w:hAnsiTheme="minorHAnsi" w:cstheme="minorHAnsi"/>
              </w:rPr>
              <w:t xml:space="preserve"> plans prepared, but funding not yet received for implementation of the plan</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A4</w:t>
            </w:r>
          </w:p>
        </w:tc>
        <w:tc>
          <w:tcPr>
            <w:tcW w:w="32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Fill at least 90% of teacher and head teacher vacancies, and all new positions according to needs based plan</w:t>
            </w:r>
          </w:p>
          <w:p w:rsidR="00F10B40" w:rsidRPr="005F120D" w:rsidRDefault="00F10B40" w:rsidP="00A01B3D">
            <w:pPr>
              <w:pStyle w:val="Tabletext"/>
              <w:spacing w:before="0" w:after="0"/>
              <w:rPr>
                <w:rFonts w:asciiTheme="minorHAnsi" w:hAnsiTheme="minorHAnsi" w:cstheme="minorHAnsi"/>
              </w:rPr>
            </w:pPr>
          </w:p>
        </w:tc>
        <w:tc>
          <w:tcPr>
            <w:tcW w:w="117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671" w:type="dxa"/>
          </w:tcPr>
          <w:p w:rsidR="00F10B40" w:rsidRPr="005F120D" w:rsidRDefault="00F10B40" w:rsidP="00A01B3D">
            <w:pPr>
              <w:pStyle w:val="Tabletext"/>
              <w:rPr>
                <w:rFonts w:asciiTheme="minorHAnsi" w:hAnsiTheme="minorHAnsi" w:cstheme="minorHAnsi"/>
              </w:rPr>
            </w:pPr>
            <w:r w:rsidRPr="005F120D">
              <w:rPr>
                <w:rFonts w:asciiTheme="minorHAnsi" w:hAnsiTheme="minorHAnsi" w:cstheme="minorHAnsi"/>
              </w:rPr>
              <w:t>Time-bound Action Plan to fill vacancies being implemented:</w:t>
            </w:r>
          </w:p>
          <w:p w:rsidR="00F10B40" w:rsidRPr="005F120D" w:rsidRDefault="00F10B40" w:rsidP="00A01B3D">
            <w:pPr>
              <w:pStyle w:val="Tabletext"/>
              <w:rPr>
                <w:rFonts w:asciiTheme="minorHAnsi" w:hAnsiTheme="minorHAnsi" w:cstheme="minorHAnsi"/>
              </w:rPr>
            </w:pPr>
            <w:r w:rsidRPr="005F120D">
              <w:rPr>
                <w:rFonts w:asciiTheme="minorHAnsi" w:hAnsiTheme="minorHAnsi" w:cstheme="minorHAnsi"/>
              </w:rPr>
              <w:t>• HTs: 87% filled</w:t>
            </w:r>
          </w:p>
          <w:p w:rsidR="00F10B40" w:rsidRPr="005F120D" w:rsidRDefault="00F10B40" w:rsidP="00A01B3D">
            <w:pPr>
              <w:pStyle w:val="Tabletext"/>
              <w:rPr>
                <w:rFonts w:asciiTheme="minorHAnsi" w:hAnsiTheme="minorHAnsi" w:cstheme="minorHAnsi"/>
              </w:rPr>
            </w:pPr>
            <w:r w:rsidRPr="005F120D">
              <w:rPr>
                <w:rFonts w:asciiTheme="minorHAnsi" w:hAnsiTheme="minorHAnsi" w:cstheme="minorHAnsi"/>
              </w:rPr>
              <w:t>• ATs: 93% filled</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A5</w:t>
            </w:r>
          </w:p>
        </w:tc>
        <w:tc>
          <w:tcPr>
            <w:tcW w:w="32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Conduct study on teacher contact  hours</w:t>
            </w:r>
          </w:p>
        </w:tc>
        <w:tc>
          <w:tcPr>
            <w:tcW w:w="117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67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In progress</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A6</w:t>
            </w:r>
          </w:p>
        </w:tc>
        <w:tc>
          <w:tcPr>
            <w:tcW w:w="32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 xml:space="preserve">Conduct needs assessment on strengthening assessment/examination system </w:t>
            </w:r>
          </w:p>
        </w:tc>
        <w:tc>
          <w:tcPr>
            <w:tcW w:w="117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67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Organization of assessment not yet initiated</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A7</w:t>
            </w:r>
          </w:p>
        </w:tc>
        <w:tc>
          <w:tcPr>
            <w:tcW w:w="32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 xml:space="preserve">Review MTR governance report findings, </w:t>
            </w:r>
            <w:r w:rsidR="00045BB9">
              <w:rPr>
                <w:rFonts w:asciiTheme="minorHAnsi" w:hAnsiTheme="minorHAnsi" w:cstheme="minorHAnsi"/>
              </w:rPr>
              <w:t>and agree on next steps to be</w:t>
            </w:r>
            <w:r w:rsidRPr="005F120D">
              <w:rPr>
                <w:rFonts w:asciiTheme="minorHAnsi" w:hAnsiTheme="minorHAnsi" w:cstheme="minorHAnsi"/>
              </w:rPr>
              <w:t xml:space="preserve"> taken</w:t>
            </w:r>
          </w:p>
        </w:tc>
        <w:tc>
          <w:tcPr>
            <w:tcW w:w="117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June 2016</w:t>
            </w:r>
          </w:p>
        </w:tc>
        <w:tc>
          <w:tcPr>
            <w:tcW w:w="467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Not yet initiated</w:t>
            </w:r>
          </w:p>
        </w:tc>
      </w:tr>
    </w:tbl>
    <w:p w:rsidR="00F10B40" w:rsidRPr="005F120D" w:rsidRDefault="00F10B40" w:rsidP="00F10B40">
      <w:pPr>
        <w:pStyle w:val="BodyText1"/>
        <w:spacing w:before="240"/>
        <w:jc w:val="both"/>
        <w:rPr>
          <w:rFonts w:asciiTheme="minorHAnsi" w:hAnsiTheme="minorHAnsi" w:cstheme="minorHAnsi"/>
          <w:color w:val="3333FF"/>
        </w:rPr>
      </w:pPr>
      <w:r w:rsidRPr="005F120D">
        <w:rPr>
          <w:rFonts w:asciiTheme="minorHAnsi" w:hAnsiTheme="minorHAnsi" w:cstheme="minorHAnsi"/>
          <w:color w:val="3333FF"/>
        </w:rPr>
        <w:t>Component 4:</w:t>
      </w:r>
      <w:r w:rsidRPr="005F120D">
        <w:rPr>
          <w:rFonts w:asciiTheme="minorHAnsi" w:hAnsiTheme="minorHAnsi" w:cstheme="minorHAnsi"/>
          <w:color w:val="3333FF"/>
          <w:sz w:val="20"/>
          <w:szCs w:val="20"/>
        </w:rPr>
        <w:t xml:space="preserve"> Planning and Management</w:t>
      </w:r>
    </w:p>
    <w:tbl>
      <w:tblPr>
        <w:tblW w:w="9639" w:type="dxa"/>
        <w:tblBorders>
          <w:top w:val="single" w:sz="4" w:space="0" w:color="000000"/>
          <w:bottom w:val="single" w:sz="4" w:space="0" w:color="000000"/>
          <w:insideH w:val="single" w:sz="4" w:space="0" w:color="000000"/>
          <w:insideV w:val="single" w:sz="4" w:space="0" w:color="000000"/>
        </w:tblBorders>
        <w:tblLayout w:type="fixed"/>
        <w:tblLook w:val="00A0"/>
      </w:tblPr>
      <w:tblGrid>
        <w:gridCol w:w="567"/>
        <w:gridCol w:w="3231"/>
        <w:gridCol w:w="1170"/>
        <w:gridCol w:w="4671"/>
      </w:tblGrid>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No.</w:t>
            </w:r>
          </w:p>
        </w:tc>
        <w:tc>
          <w:tcPr>
            <w:tcW w:w="3231"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Planned activity</w:t>
            </w:r>
          </w:p>
        </w:tc>
        <w:tc>
          <w:tcPr>
            <w:tcW w:w="1170"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Target date</w:t>
            </w:r>
          </w:p>
        </w:tc>
        <w:tc>
          <w:tcPr>
            <w:tcW w:w="4671" w:type="dxa"/>
          </w:tcPr>
          <w:p w:rsidR="00F10B40" w:rsidRPr="005F120D" w:rsidRDefault="00F10B40" w:rsidP="00A01B3D">
            <w:pPr>
              <w:pStyle w:val="Tabletext"/>
              <w:spacing w:before="0" w:after="0"/>
              <w:rPr>
                <w:rFonts w:asciiTheme="minorHAnsi" w:hAnsiTheme="minorHAnsi" w:cstheme="minorHAnsi"/>
                <w:b/>
              </w:rPr>
            </w:pPr>
            <w:r w:rsidRPr="005F120D">
              <w:rPr>
                <w:rFonts w:asciiTheme="minorHAnsi" w:hAnsiTheme="minorHAnsi" w:cstheme="minorHAnsi"/>
                <w:b/>
              </w:rPr>
              <w:t>Progress summary</w:t>
            </w:r>
          </w:p>
        </w:tc>
      </w:tr>
      <w:tr w:rsidR="00F10B40" w:rsidRPr="005F120D" w:rsidTr="00A01B3D">
        <w:trPr>
          <w:trHeight w:val="440"/>
        </w:trPr>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A1</w:t>
            </w:r>
          </w:p>
        </w:tc>
        <w:tc>
          <w:tcPr>
            <w:tcW w:w="3231" w:type="dxa"/>
          </w:tcPr>
          <w:p w:rsidR="00F10B40" w:rsidRPr="005F120D" w:rsidRDefault="00F10B40" w:rsidP="00A01B3D">
            <w:pPr>
              <w:spacing w:after="0"/>
              <w:rPr>
                <w:rFonts w:asciiTheme="minorHAnsi" w:hAnsiTheme="minorHAnsi" w:cstheme="minorHAnsi"/>
                <w:sz w:val="20"/>
              </w:rPr>
            </w:pPr>
            <w:r w:rsidRPr="005F120D">
              <w:rPr>
                <w:rFonts w:asciiTheme="minorHAnsi" w:hAnsiTheme="minorHAnsi" w:cstheme="minorHAnsi"/>
                <w:sz w:val="20"/>
              </w:rPr>
              <w:t>Ensure amounts budgeted are in line with MTBF</w:t>
            </w:r>
          </w:p>
        </w:tc>
        <w:tc>
          <w:tcPr>
            <w:tcW w:w="117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December 2015</w:t>
            </w:r>
          </w:p>
        </w:tc>
        <w:tc>
          <w:tcPr>
            <w:tcW w:w="467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AOP budgeted in line with MTBF</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A2</w:t>
            </w:r>
          </w:p>
        </w:tc>
        <w:tc>
          <w:tcPr>
            <w:tcW w:w="32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Develop Action Plan on the ODCBG and have it approved</w:t>
            </w:r>
          </w:p>
        </w:tc>
        <w:tc>
          <w:tcPr>
            <w:tcW w:w="117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December 2015</w:t>
            </w:r>
          </w:p>
        </w:tc>
        <w:tc>
          <w:tcPr>
            <w:tcW w:w="467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Consultant recruitment is progress</w:t>
            </w:r>
          </w:p>
        </w:tc>
      </w:tr>
      <w:tr w:rsidR="00F10B40" w:rsidRPr="005F120D" w:rsidTr="00A01B3D">
        <w:tc>
          <w:tcPr>
            <w:tcW w:w="567"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A3</w:t>
            </w:r>
          </w:p>
        </w:tc>
        <w:tc>
          <w:tcPr>
            <w:tcW w:w="323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 xml:space="preserve">Develop and Implement PPP framework </w:t>
            </w:r>
          </w:p>
        </w:tc>
        <w:tc>
          <w:tcPr>
            <w:tcW w:w="1170"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December 2015</w:t>
            </w:r>
          </w:p>
        </w:tc>
        <w:tc>
          <w:tcPr>
            <w:tcW w:w="4671" w:type="dxa"/>
          </w:tcPr>
          <w:p w:rsidR="00F10B40" w:rsidRPr="005F120D" w:rsidRDefault="00F10B40" w:rsidP="00A01B3D">
            <w:pPr>
              <w:pStyle w:val="Tabletext"/>
              <w:spacing w:before="0" w:after="0"/>
              <w:rPr>
                <w:rFonts w:asciiTheme="minorHAnsi" w:hAnsiTheme="minorHAnsi" w:cstheme="minorHAnsi"/>
              </w:rPr>
            </w:pPr>
            <w:r w:rsidRPr="005F120D">
              <w:rPr>
                <w:rFonts w:asciiTheme="minorHAnsi" w:hAnsiTheme="minorHAnsi" w:cstheme="minorHAnsi"/>
              </w:rPr>
              <w:t>Not yet developed</w:t>
            </w:r>
          </w:p>
        </w:tc>
      </w:tr>
    </w:tbl>
    <w:p w:rsidR="00F10B40" w:rsidRPr="005F120D" w:rsidRDefault="00F10B40" w:rsidP="00F10B40">
      <w:pPr>
        <w:pStyle w:val="BodyText1"/>
        <w:spacing w:after="0"/>
        <w:jc w:val="both"/>
        <w:rPr>
          <w:rFonts w:asciiTheme="minorHAnsi" w:hAnsiTheme="minorHAnsi" w:cstheme="minorHAnsi"/>
          <w:b w:val="0"/>
          <w:color w:val="000000"/>
        </w:rPr>
      </w:pPr>
    </w:p>
    <w:p w:rsidR="00D56435" w:rsidRPr="005F120D" w:rsidRDefault="00E25700" w:rsidP="003F5F17">
      <w:pPr>
        <w:pStyle w:val="Heading1"/>
      </w:pPr>
      <w:bookmarkStart w:id="562" w:name="_Toc462837194"/>
      <w:r w:rsidRPr="005F120D">
        <w:lastRenderedPageBreak/>
        <w:t>inputs</w:t>
      </w:r>
      <w:bookmarkEnd w:id="562"/>
    </w:p>
    <w:p w:rsidR="00F10B40" w:rsidRPr="005F120D" w:rsidRDefault="00F10B40" w:rsidP="00F10B40">
      <w:pPr>
        <w:pStyle w:val="BodyText1"/>
        <w:spacing w:after="0"/>
        <w:jc w:val="both"/>
        <w:rPr>
          <w:rFonts w:asciiTheme="minorHAnsi" w:hAnsiTheme="minorHAnsi" w:cstheme="minorHAnsi"/>
          <w:b w:val="0"/>
        </w:rPr>
      </w:pPr>
      <w:r w:rsidRPr="005F120D">
        <w:rPr>
          <w:rFonts w:asciiTheme="minorHAnsi" w:hAnsiTheme="minorHAnsi" w:cstheme="minorHAnsi"/>
          <w:b w:val="0"/>
        </w:rPr>
        <w:t xml:space="preserve">The Primary Education Sector performance depends on how inputs are spent to implement activities. This chapter presents the distribution of: </w:t>
      </w:r>
    </w:p>
    <w:p w:rsidR="00F10B40" w:rsidRPr="005F120D" w:rsidRDefault="00F10B40" w:rsidP="00F10B40">
      <w:pPr>
        <w:pStyle w:val="ListBullet3"/>
        <w:numPr>
          <w:ilvl w:val="0"/>
          <w:numId w:val="2"/>
        </w:numPr>
      </w:pPr>
      <w:r w:rsidRPr="005F120D">
        <w:t>the budget allocation of the original PEDP3 Development Project Pro</w:t>
      </w:r>
      <w:r w:rsidR="00045BB9">
        <w:t>-</w:t>
      </w:r>
      <w:r w:rsidRPr="005F120D">
        <w:t xml:space="preserve">forma (DPP) (around 58,360 crore taka); </w:t>
      </w:r>
    </w:p>
    <w:p w:rsidR="00F10B40" w:rsidRPr="005F120D" w:rsidRDefault="00F10B40" w:rsidP="00F10B40">
      <w:pPr>
        <w:pStyle w:val="ListBullet3"/>
        <w:numPr>
          <w:ilvl w:val="0"/>
          <w:numId w:val="2"/>
        </w:numPr>
      </w:pPr>
      <w:r w:rsidRPr="005F120D">
        <w:t>the budget allocation in the PEDP3 Revised Development Project Pro</w:t>
      </w:r>
      <w:r w:rsidR="00F81108">
        <w:t>-</w:t>
      </w:r>
      <w:r w:rsidRPr="005F120D">
        <w:t>forma (RDPP) (about 76,500 crore taka) as well as the 2014/15 original and revised and 2015/16 original AOP allocation of PEDP3;</w:t>
      </w:r>
    </w:p>
    <w:p w:rsidR="00F10B40" w:rsidRPr="005F120D" w:rsidRDefault="00F10B40" w:rsidP="00F10B40">
      <w:pPr>
        <w:pStyle w:val="BodyText1"/>
        <w:spacing w:after="0"/>
        <w:rPr>
          <w:rFonts w:asciiTheme="minorHAnsi" w:hAnsiTheme="minorHAnsi" w:cstheme="minorHAnsi"/>
          <w:b w:val="0"/>
        </w:rPr>
      </w:pPr>
      <w:r w:rsidRPr="005F120D">
        <w:rPr>
          <w:rFonts w:asciiTheme="minorHAnsi" w:hAnsiTheme="minorHAnsi" w:cstheme="minorHAnsi"/>
          <w:b w:val="0"/>
        </w:rPr>
        <w:t>The actual spending up to March 2016 and the spending anticipated by the end of the program in June 2017 (around 76,500 crore taka)</w:t>
      </w:r>
    </w:p>
    <w:p w:rsidR="00FE6C95" w:rsidRPr="005F120D" w:rsidRDefault="00F10B40" w:rsidP="00F10B40">
      <w:pPr>
        <w:pStyle w:val="Caption"/>
        <w:spacing w:line="276" w:lineRule="auto"/>
        <w:jc w:val="left"/>
        <w:rPr>
          <w:rFonts w:cstheme="minorHAnsi"/>
          <w:b w:val="0"/>
        </w:rPr>
      </w:pPr>
      <w:r w:rsidRPr="005F120D">
        <w:rPr>
          <w:rFonts w:cstheme="minorHAnsi"/>
          <w:b w:val="0"/>
        </w:rPr>
        <w:t>Development Partners Commitment on budget support to GOB as shown in Table 6.1</w:t>
      </w:r>
    </w:p>
    <w:p w:rsidR="00FE6C95" w:rsidRPr="005F120D" w:rsidRDefault="00EA1FC1" w:rsidP="00C437AA">
      <w:pPr>
        <w:pStyle w:val="Caption"/>
        <w:spacing w:after="0" w:line="276" w:lineRule="auto"/>
        <w:rPr>
          <w:rFonts w:cstheme="minorHAnsi"/>
          <w:bCs/>
          <w:szCs w:val="22"/>
        </w:rPr>
      </w:pPr>
      <w:bookmarkStart w:id="563" w:name="_Toc462837304"/>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FE6C95" w:rsidRPr="005F120D">
        <w:rPr>
          <w:rFonts w:cstheme="minorHAnsi"/>
        </w:rPr>
        <w:t>: Assistance of Development Partners in PEDP3</w:t>
      </w:r>
      <w:bookmarkEnd w:id="563"/>
    </w:p>
    <w:tbl>
      <w:tblPr>
        <w:tblW w:w="5000" w:type="pct"/>
        <w:tblInd w:w="108" w:type="dxa"/>
        <w:tbl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insideH w:val="double" w:sz="4" w:space="0" w:color="76923C" w:themeColor="accent3" w:themeShade="BF"/>
          <w:insideV w:val="double" w:sz="4" w:space="0" w:color="76923C" w:themeColor="accent3" w:themeShade="BF"/>
        </w:tblBorders>
        <w:tblLook w:val="04A0"/>
      </w:tblPr>
      <w:tblGrid>
        <w:gridCol w:w="1997"/>
        <w:gridCol w:w="1374"/>
        <w:gridCol w:w="1374"/>
        <w:gridCol w:w="1357"/>
        <w:gridCol w:w="1246"/>
        <w:gridCol w:w="1897"/>
      </w:tblGrid>
      <w:tr w:rsidR="00FE6C95" w:rsidRPr="005F120D" w:rsidTr="00535331">
        <w:trPr>
          <w:trHeight w:hRule="exact" w:val="262"/>
          <w:tblHeader/>
        </w:trPr>
        <w:tc>
          <w:tcPr>
            <w:tcW w:w="1080" w:type="pct"/>
            <w:vMerge w:val="restart"/>
            <w:shd w:val="clear" w:color="auto" w:fill="D6E3BC" w:themeFill="accent3" w:themeFillTint="66"/>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Name of DPs</w:t>
            </w:r>
          </w:p>
        </w:tc>
        <w:tc>
          <w:tcPr>
            <w:tcW w:w="743" w:type="pct"/>
            <w:shd w:val="clear" w:color="auto" w:fill="D6E3BC" w:themeFill="accent3" w:themeFillTint="66"/>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Original</w:t>
            </w:r>
          </w:p>
        </w:tc>
        <w:tc>
          <w:tcPr>
            <w:tcW w:w="743" w:type="pct"/>
            <w:shd w:val="clear" w:color="auto" w:fill="D6E3BC" w:themeFill="accent3" w:themeFillTint="66"/>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Additional</w:t>
            </w:r>
          </w:p>
        </w:tc>
        <w:tc>
          <w:tcPr>
            <w:tcW w:w="734" w:type="pct"/>
            <w:shd w:val="clear" w:color="auto" w:fill="D6E3BC" w:themeFill="accent3" w:themeFillTint="66"/>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Total</w:t>
            </w:r>
          </w:p>
        </w:tc>
        <w:tc>
          <w:tcPr>
            <w:tcW w:w="674" w:type="pct"/>
            <w:vMerge w:val="restart"/>
            <w:shd w:val="clear" w:color="auto" w:fill="D6E3BC" w:themeFill="accent3" w:themeFillTint="66"/>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Percentage</w:t>
            </w:r>
          </w:p>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w:t>
            </w:r>
          </w:p>
        </w:tc>
        <w:tc>
          <w:tcPr>
            <w:tcW w:w="1026" w:type="pct"/>
            <w:vMerge w:val="restart"/>
            <w:shd w:val="clear" w:color="auto" w:fill="D6E3BC" w:themeFill="accent3" w:themeFillTint="66"/>
            <w:vAlign w:val="center"/>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Remarks</w:t>
            </w:r>
          </w:p>
        </w:tc>
      </w:tr>
      <w:tr w:rsidR="00FE6C95" w:rsidRPr="005F120D" w:rsidTr="00535331">
        <w:trPr>
          <w:trHeight w:hRule="exact" w:val="262"/>
          <w:tblHeader/>
        </w:trPr>
        <w:tc>
          <w:tcPr>
            <w:tcW w:w="1080" w:type="pct"/>
            <w:vMerge/>
            <w:vAlign w:val="center"/>
            <w:hideMark/>
          </w:tcPr>
          <w:p w:rsidR="00FE6C95" w:rsidRPr="005F120D" w:rsidRDefault="00FE6C95" w:rsidP="00936D9E">
            <w:pPr>
              <w:jc w:val="center"/>
              <w:rPr>
                <w:rFonts w:asciiTheme="minorHAnsi" w:hAnsiTheme="minorHAnsi" w:cstheme="minorHAnsi"/>
                <w:sz w:val="20"/>
              </w:rPr>
            </w:pPr>
          </w:p>
        </w:tc>
        <w:tc>
          <w:tcPr>
            <w:tcW w:w="743" w:type="pct"/>
            <w:shd w:val="clear" w:color="auto" w:fill="D6E3BC" w:themeFill="accent3" w:themeFillTint="66"/>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US$ in million</w:t>
            </w:r>
          </w:p>
        </w:tc>
        <w:tc>
          <w:tcPr>
            <w:tcW w:w="743" w:type="pct"/>
            <w:shd w:val="clear" w:color="auto" w:fill="D6E3BC" w:themeFill="accent3" w:themeFillTint="66"/>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US$ in million</w:t>
            </w:r>
          </w:p>
        </w:tc>
        <w:tc>
          <w:tcPr>
            <w:tcW w:w="734" w:type="pct"/>
            <w:shd w:val="clear" w:color="auto" w:fill="D6E3BC" w:themeFill="accent3" w:themeFillTint="66"/>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US$ in million</w:t>
            </w:r>
          </w:p>
        </w:tc>
        <w:tc>
          <w:tcPr>
            <w:tcW w:w="674" w:type="pct"/>
            <w:vMerge/>
            <w:shd w:val="clear" w:color="auto" w:fill="D6E3BC" w:themeFill="accent3" w:themeFillTint="66"/>
            <w:vAlign w:val="center"/>
            <w:hideMark/>
          </w:tcPr>
          <w:p w:rsidR="00FE6C95" w:rsidRPr="005F120D" w:rsidRDefault="00FE6C95" w:rsidP="00936D9E">
            <w:pPr>
              <w:jc w:val="center"/>
              <w:rPr>
                <w:rFonts w:asciiTheme="minorHAnsi" w:hAnsiTheme="minorHAnsi" w:cstheme="minorHAnsi"/>
                <w:sz w:val="20"/>
              </w:rPr>
            </w:pPr>
          </w:p>
        </w:tc>
        <w:tc>
          <w:tcPr>
            <w:tcW w:w="1026" w:type="pct"/>
            <w:vMerge/>
            <w:shd w:val="clear" w:color="auto" w:fill="D6E3BC" w:themeFill="accent3" w:themeFillTint="66"/>
            <w:vAlign w:val="center"/>
          </w:tcPr>
          <w:p w:rsidR="00FE6C95" w:rsidRPr="005F120D" w:rsidRDefault="00FE6C95" w:rsidP="00936D9E">
            <w:pPr>
              <w:jc w:val="center"/>
              <w:rPr>
                <w:rFonts w:asciiTheme="minorHAnsi" w:hAnsiTheme="minorHAnsi" w:cstheme="minorHAnsi"/>
                <w:sz w:val="20"/>
              </w:rPr>
            </w:pPr>
          </w:p>
        </w:tc>
      </w:tr>
      <w:tr w:rsidR="00FE6C95" w:rsidRPr="005F120D" w:rsidTr="00535331">
        <w:trPr>
          <w:trHeight w:hRule="exact" w:val="262"/>
        </w:trPr>
        <w:tc>
          <w:tcPr>
            <w:tcW w:w="1080" w:type="pct"/>
            <w:shd w:val="clear" w:color="auto" w:fill="auto"/>
            <w:vAlign w:val="center"/>
            <w:hideMark/>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ADB</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320</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120</w:t>
            </w:r>
          </w:p>
        </w:tc>
        <w:tc>
          <w:tcPr>
            <w:tcW w:w="73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440</w:t>
            </w:r>
          </w:p>
        </w:tc>
        <w:tc>
          <w:tcPr>
            <w:tcW w:w="67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25.39%</w:t>
            </w:r>
          </w:p>
        </w:tc>
        <w:tc>
          <w:tcPr>
            <w:tcW w:w="1026" w:type="pct"/>
            <w:vAlign w:val="center"/>
          </w:tcPr>
          <w:p w:rsidR="00FE6C95" w:rsidRPr="005F120D" w:rsidRDefault="00FE6C95" w:rsidP="00936D9E">
            <w:pPr>
              <w:jc w:val="center"/>
              <w:rPr>
                <w:rFonts w:asciiTheme="minorHAnsi" w:hAnsiTheme="minorHAnsi" w:cstheme="minorHAnsi"/>
                <w:sz w:val="20"/>
              </w:rPr>
            </w:pPr>
          </w:p>
        </w:tc>
      </w:tr>
      <w:tr w:rsidR="00FE6C95" w:rsidRPr="005F120D" w:rsidTr="00535331">
        <w:trPr>
          <w:trHeight w:hRule="exact" w:val="262"/>
        </w:trPr>
        <w:tc>
          <w:tcPr>
            <w:tcW w:w="1080" w:type="pct"/>
            <w:shd w:val="clear" w:color="auto" w:fill="auto"/>
            <w:vAlign w:val="center"/>
            <w:hideMark/>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World Bank</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300</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400</w:t>
            </w:r>
          </w:p>
        </w:tc>
        <w:tc>
          <w:tcPr>
            <w:tcW w:w="73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700</w:t>
            </w:r>
          </w:p>
        </w:tc>
        <w:tc>
          <w:tcPr>
            <w:tcW w:w="67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40.39%</w:t>
            </w:r>
          </w:p>
        </w:tc>
        <w:tc>
          <w:tcPr>
            <w:tcW w:w="1026" w:type="pct"/>
            <w:vAlign w:val="center"/>
          </w:tcPr>
          <w:p w:rsidR="00FE6C95" w:rsidRPr="005F120D" w:rsidRDefault="00FE6C95" w:rsidP="00936D9E">
            <w:pPr>
              <w:jc w:val="center"/>
              <w:rPr>
                <w:rFonts w:asciiTheme="minorHAnsi" w:hAnsiTheme="minorHAnsi" w:cstheme="minorHAnsi"/>
                <w:sz w:val="20"/>
              </w:rPr>
            </w:pPr>
          </w:p>
        </w:tc>
      </w:tr>
      <w:tr w:rsidR="00FE6C95" w:rsidRPr="005F120D" w:rsidTr="00535331">
        <w:trPr>
          <w:trHeight w:hRule="exact" w:val="262"/>
        </w:trPr>
        <w:tc>
          <w:tcPr>
            <w:tcW w:w="1080" w:type="pct"/>
            <w:shd w:val="clear" w:color="auto" w:fill="auto"/>
            <w:vAlign w:val="center"/>
            <w:hideMark/>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DFID</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190</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0</w:t>
            </w:r>
          </w:p>
        </w:tc>
        <w:tc>
          <w:tcPr>
            <w:tcW w:w="73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190</w:t>
            </w:r>
          </w:p>
        </w:tc>
        <w:tc>
          <w:tcPr>
            <w:tcW w:w="67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10.96%</w:t>
            </w:r>
          </w:p>
        </w:tc>
        <w:tc>
          <w:tcPr>
            <w:tcW w:w="1026" w:type="pct"/>
            <w:vAlign w:val="center"/>
          </w:tcPr>
          <w:p w:rsidR="00FE6C95" w:rsidRPr="005F120D" w:rsidRDefault="00FE6C95" w:rsidP="00936D9E">
            <w:pPr>
              <w:jc w:val="center"/>
              <w:rPr>
                <w:rFonts w:asciiTheme="minorHAnsi" w:hAnsiTheme="minorHAnsi" w:cstheme="minorHAnsi"/>
                <w:sz w:val="20"/>
              </w:rPr>
            </w:pPr>
          </w:p>
        </w:tc>
      </w:tr>
      <w:tr w:rsidR="00FE6C95" w:rsidRPr="005F120D" w:rsidTr="00535331">
        <w:trPr>
          <w:trHeight w:hRule="exact" w:val="262"/>
        </w:trPr>
        <w:tc>
          <w:tcPr>
            <w:tcW w:w="1080" w:type="pct"/>
            <w:shd w:val="clear" w:color="auto" w:fill="auto"/>
            <w:vAlign w:val="center"/>
            <w:hideMark/>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EU</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70</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46.67</w:t>
            </w:r>
          </w:p>
        </w:tc>
        <w:tc>
          <w:tcPr>
            <w:tcW w:w="73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116.67</w:t>
            </w:r>
          </w:p>
        </w:tc>
        <w:tc>
          <w:tcPr>
            <w:tcW w:w="67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6.73%</w:t>
            </w:r>
          </w:p>
        </w:tc>
        <w:tc>
          <w:tcPr>
            <w:tcW w:w="1026" w:type="pct"/>
            <w:vAlign w:val="center"/>
          </w:tcPr>
          <w:p w:rsidR="00FE6C95" w:rsidRPr="005F120D" w:rsidRDefault="00FE6C95" w:rsidP="00936D9E">
            <w:pPr>
              <w:jc w:val="center"/>
              <w:rPr>
                <w:rFonts w:asciiTheme="minorHAnsi" w:hAnsiTheme="minorHAnsi" w:cstheme="minorHAnsi"/>
                <w:sz w:val="20"/>
              </w:rPr>
            </w:pPr>
          </w:p>
        </w:tc>
      </w:tr>
      <w:tr w:rsidR="00FE6C95" w:rsidRPr="005F120D" w:rsidTr="00535331">
        <w:trPr>
          <w:trHeight w:hRule="exact" w:val="262"/>
        </w:trPr>
        <w:tc>
          <w:tcPr>
            <w:tcW w:w="1080" w:type="pct"/>
            <w:shd w:val="clear" w:color="auto" w:fill="auto"/>
            <w:vAlign w:val="center"/>
            <w:hideMark/>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DFAT (former AusAid)</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35</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11</w:t>
            </w:r>
          </w:p>
        </w:tc>
        <w:tc>
          <w:tcPr>
            <w:tcW w:w="73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46</w:t>
            </w:r>
          </w:p>
        </w:tc>
        <w:tc>
          <w:tcPr>
            <w:tcW w:w="67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2.65%</w:t>
            </w:r>
          </w:p>
        </w:tc>
        <w:tc>
          <w:tcPr>
            <w:tcW w:w="1026" w:type="pct"/>
            <w:vAlign w:val="center"/>
          </w:tcPr>
          <w:p w:rsidR="00FE6C95" w:rsidRPr="005F120D" w:rsidRDefault="00FE6C95" w:rsidP="00936D9E">
            <w:pPr>
              <w:jc w:val="center"/>
              <w:rPr>
                <w:rFonts w:asciiTheme="minorHAnsi" w:hAnsiTheme="minorHAnsi" w:cstheme="minorHAnsi"/>
                <w:sz w:val="20"/>
              </w:rPr>
            </w:pPr>
          </w:p>
        </w:tc>
      </w:tr>
      <w:tr w:rsidR="00FE6C95" w:rsidRPr="005F120D" w:rsidTr="00535331">
        <w:trPr>
          <w:trHeight w:hRule="exact" w:val="262"/>
        </w:trPr>
        <w:tc>
          <w:tcPr>
            <w:tcW w:w="1080" w:type="pct"/>
            <w:shd w:val="clear" w:color="auto" w:fill="auto"/>
            <w:vAlign w:val="center"/>
            <w:hideMark/>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Sida</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45</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0</w:t>
            </w:r>
          </w:p>
        </w:tc>
        <w:tc>
          <w:tcPr>
            <w:tcW w:w="73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45</w:t>
            </w:r>
          </w:p>
        </w:tc>
        <w:tc>
          <w:tcPr>
            <w:tcW w:w="67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2.6%</w:t>
            </w:r>
          </w:p>
        </w:tc>
        <w:tc>
          <w:tcPr>
            <w:tcW w:w="1026" w:type="pct"/>
            <w:vAlign w:val="center"/>
          </w:tcPr>
          <w:p w:rsidR="00FE6C95" w:rsidRPr="005F120D" w:rsidRDefault="00FE6C95" w:rsidP="00936D9E">
            <w:pPr>
              <w:jc w:val="center"/>
              <w:rPr>
                <w:rFonts w:asciiTheme="minorHAnsi" w:hAnsiTheme="minorHAnsi" w:cstheme="minorHAnsi"/>
                <w:sz w:val="20"/>
              </w:rPr>
            </w:pPr>
          </w:p>
        </w:tc>
      </w:tr>
      <w:tr w:rsidR="00FE6C95" w:rsidRPr="005F120D" w:rsidTr="00535331">
        <w:trPr>
          <w:trHeight w:hRule="exact" w:val="262"/>
        </w:trPr>
        <w:tc>
          <w:tcPr>
            <w:tcW w:w="1080" w:type="pct"/>
            <w:shd w:val="clear" w:color="auto" w:fill="auto"/>
            <w:vAlign w:val="center"/>
            <w:hideMark/>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DFATD (former CIDA)</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65</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0</w:t>
            </w:r>
          </w:p>
        </w:tc>
        <w:tc>
          <w:tcPr>
            <w:tcW w:w="73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65</w:t>
            </w:r>
          </w:p>
        </w:tc>
        <w:tc>
          <w:tcPr>
            <w:tcW w:w="67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3.75%</w:t>
            </w:r>
          </w:p>
        </w:tc>
        <w:tc>
          <w:tcPr>
            <w:tcW w:w="1026" w:type="pct"/>
            <w:vAlign w:val="center"/>
          </w:tcPr>
          <w:p w:rsidR="00FE6C95" w:rsidRPr="005F120D" w:rsidRDefault="00FE6C95" w:rsidP="00936D9E">
            <w:pPr>
              <w:jc w:val="center"/>
              <w:rPr>
                <w:rFonts w:asciiTheme="minorHAnsi" w:hAnsiTheme="minorHAnsi" w:cstheme="minorHAnsi"/>
                <w:sz w:val="20"/>
              </w:rPr>
            </w:pPr>
          </w:p>
        </w:tc>
      </w:tr>
      <w:tr w:rsidR="00FE6C95" w:rsidRPr="005F120D" w:rsidTr="00535331">
        <w:trPr>
          <w:trHeight w:hRule="exact" w:val="262"/>
        </w:trPr>
        <w:tc>
          <w:tcPr>
            <w:tcW w:w="1080" w:type="pct"/>
            <w:shd w:val="clear" w:color="auto" w:fill="auto"/>
            <w:vAlign w:val="center"/>
            <w:hideMark/>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JICA</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30</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0</w:t>
            </w:r>
          </w:p>
        </w:tc>
        <w:tc>
          <w:tcPr>
            <w:tcW w:w="73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30</w:t>
            </w:r>
          </w:p>
        </w:tc>
        <w:tc>
          <w:tcPr>
            <w:tcW w:w="67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1.73%</w:t>
            </w:r>
          </w:p>
        </w:tc>
        <w:tc>
          <w:tcPr>
            <w:tcW w:w="1026" w:type="pct"/>
            <w:vAlign w:val="center"/>
          </w:tcPr>
          <w:p w:rsidR="00FE6C95" w:rsidRPr="005F120D" w:rsidRDefault="00FE6C95" w:rsidP="00936D9E">
            <w:pPr>
              <w:jc w:val="center"/>
              <w:rPr>
                <w:rFonts w:asciiTheme="minorHAnsi" w:hAnsiTheme="minorHAnsi" w:cstheme="minorHAnsi"/>
                <w:sz w:val="20"/>
              </w:rPr>
            </w:pPr>
          </w:p>
        </w:tc>
      </w:tr>
      <w:tr w:rsidR="00FE6C95" w:rsidRPr="005F120D" w:rsidTr="00535331">
        <w:trPr>
          <w:trHeight w:hRule="exact" w:val="262"/>
        </w:trPr>
        <w:tc>
          <w:tcPr>
            <w:tcW w:w="1080" w:type="pct"/>
            <w:shd w:val="clear" w:color="auto" w:fill="auto"/>
            <w:vAlign w:val="center"/>
            <w:hideMark/>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UNICEF</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0.5</w:t>
            </w:r>
          </w:p>
        </w:tc>
        <w:tc>
          <w:tcPr>
            <w:tcW w:w="743"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0</w:t>
            </w:r>
          </w:p>
        </w:tc>
        <w:tc>
          <w:tcPr>
            <w:tcW w:w="73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0.5</w:t>
            </w:r>
          </w:p>
        </w:tc>
        <w:tc>
          <w:tcPr>
            <w:tcW w:w="674" w:type="pct"/>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0.03%</w:t>
            </w:r>
          </w:p>
        </w:tc>
        <w:tc>
          <w:tcPr>
            <w:tcW w:w="1026" w:type="pct"/>
            <w:vAlign w:val="center"/>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Parallel Fund</w:t>
            </w:r>
          </w:p>
        </w:tc>
      </w:tr>
      <w:tr w:rsidR="00FE6C95" w:rsidRPr="005F120D" w:rsidTr="00535331">
        <w:trPr>
          <w:trHeight w:hRule="exact" w:val="262"/>
        </w:trPr>
        <w:tc>
          <w:tcPr>
            <w:tcW w:w="1080" w:type="pct"/>
            <w:tcBorders>
              <w:bottom w:val="double" w:sz="4" w:space="0" w:color="76923C" w:themeColor="accent3" w:themeShade="BF"/>
            </w:tcBorders>
            <w:shd w:val="clear" w:color="auto" w:fill="auto"/>
            <w:vAlign w:val="center"/>
            <w:hideMark/>
          </w:tcPr>
          <w:p w:rsidR="00FE6C95" w:rsidRPr="005F120D" w:rsidRDefault="00FE6C95" w:rsidP="00936D9E">
            <w:pPr>
              <w:rPr>
                <w:rFonts w:asciiTheme="minorHAnsi" w:hAnsiTheme="minorHAnsi" w:cstheme="minorHAnsi"/>
                <w:sz w:val="20"/>
              </w:rPr>
            </w:pPr>
            <w:r w:rsidRPr="005F120D">
              <w:rPr>
                <w:rFonts w:asciiTheme="minorHAnsi" w:hAnsiTheme="minorHAnsi" w:cstheme="minorHAnsi"/>
                <w:sz w:val="20"/>
              </w:rPr>
              <w:t>GPE</w:t>
            </w:r>
          </w:p>
        </w:tc>
        <w:tc>
          <w:tcPr>
            <w:tcW w:w="743" w:type="pct"/>
            <w:tcBorders>
              <w:bottom w:val="double" w:sz="4" w:space="0" w:color="76923C" w:themeColor="accent3" w:themeShade="BF"/>
            </w:tcBorders>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0</w:t>
            </w:r>
          </w:p>
        </w:tc>
        <w:tc>
          <w:tcPr>
            <w:tcW w:w="743" w:type="pct"/>
            <w:tcBorders>
              <w:bottom w:val="double" w:sz="4" w:space="0" w:color="76923C" w:themeColor="accent3" w:themeShade="BF"/>
            </w:tcBorders>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100</w:t>
            </w:r>
          </w:p>
        </w:tc>
        <w:tc>
          <w:tcPr>
            <w:tcW w:w="734" w:type="pct"/>
            <w:tcBorders>
              <w:bottom w:val="double" w:sz="4" w:space="0" w:color="76923C" w:themeColor="accent3" w:themeShade="BF"/>
            </w:tcBorders>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100</w:t>
            </w:r>
          </w:p>
        </w:tc>
        <w:tc>
          <w:tcPr>
            <w:tcW w:w="674" w:type="pct"/>
            <w:tcBorders>
              <w:bottom w:val="double" w:sz="4" w:space="0" w:color="76923C" w:themeColor="accent3" w:themeShade="BF"/>
            </w:tcBorders>
            <w:shd w:val="clear" w:color="auto" w:fill="auto"/>
            <w:vAlign w:val="center"/>
            <w:hideMark/>
          </w:tcPr>
          <w:p w:rsidR="00FE6C95" w:rsidRPr="005F120D" w:rsidRDefault="00FE6C95" w:rsidP="00936D9E">
            <w:pPr>
              <w:jc w:val="center"/>
              <w:rPr>
                <w:rFonts w:asciiTheme="minorHAnsi" w:hAnsiTheme="minorHAnsi" w:cstheme="minorHAnsi"/>
                <w:sz w:val="20"/>
              </w:rPr>
            </w:pPr>
            <w:r w:rsidRPr="005F120D">
              <w:rPr>
                <w:rFonts w:asciiTheme="minorHAnsi" w:hAnsiTheme="minorHAnsi" w:cstheme="minorHAnsi"/>
                <w:sz w:val="20"/>
              </w:rPr>
              <w:t>5.77%</w:t>
            </w:r>
          </w:p>
        </w:tc>
        <w:tc>
          <w:tcPr>
            <w:tcW w:w="1026" w:type="pct"/>
            <w:tcBorders>
              <w:bottom w:val="double" w:sz="4" w:space="0" w:color="76923C" w:themeColor="accent3" w:themeShade="BF"/>
            </w:tcBorders>
            <w:vAlign w:val="center"/>
          </w:tcPr>
          <w:p w:rsidR="00FE6C95" w:rsidRPr="005F120D" w:rsidRDefault="000F2917" w:rsidP="00936D9E">
            <w:pPr>
              <w:rPr>
                <w:rFonts w:asciiTheme="minorHAnsi" w:hAnsiTheme="minorHAnsi" w:cstheme="minorHAnsi"/>
                <w:sz w:val="20"/>
              </w:rPr>
            </w:pPr>
            <w:r w:rsidRPr="005F120D">
              <w:rPr>
                <w:rFonts w:asciiTheme="minorHAnsi" w:hAnsiTheme="minorHAnsi" w:cstheme="minorHAnsi"/>
                <w:sz w:val="20"/>
              </w:rPr>
              <w:t>Newly included</w:t>
            </w:r>
          </w:p>
        </w:tc>
      </w:tr>
      <w:tr w:rsidR="00FE6C95" w:rsidRPr="005F120D" w:rsidTr="00535331">
        <w:trPr>
          <w:trHeight w:hRule="exact" w:val="262"/>
        </w:trPr>
        <w:tc>
          <w:tcPr>
            <w:tcW w:w="1080" w:type="pct"/>
            <w:shd w:val="clear" w:color="auto" w:fill="EAF1DD" w:themeFill="accent3" w:themeFillTint="33"/>
            <w:vAlign w:val="center"/>
            <w:hideMark/>
          </w:tcPr>
          <w:p w:rsidR="00FE6C95" w:rsidRPr="005F120D" w:rsidRDefault="00FE6C95" w:rsidP="00936D9E">
            <w:pPr>
              <w:jc w:val="center"/>
              <w:rPr>
                <w:rFonts w:asciiTheme="minorHAnsi" w:hAnsiTheme="minorHAnsi" w:cstheme="minorHAnsi"/>
                <w:b/>
                <w:bCs/>
                <w:sz w:val="20"/>
              </w:rPr>
            </w:pPr>
            <w:r w:rsidRPr="005F120D">
              <w:rPr>
                <w:rFonts w:asciiTheme="minorHAnsi" w:hAnsiTheme="minorHAnsi" w:cstheme="minorHAnsi"/>
                <w:b/>
                <w:bCs/>
                <w:sz w:val="20"/>
              </w:rPr>
              <w:t>Total in million USD</w:t>
            </w:r>
          </w:p>
        </w:tc>
        <w:tc>
          <w:tcPr>
            <w:tcW w:w="743" w:type="pct"/>
            <w:shd w:val="clear" w:color="auto" w:fill="EAF1DD" w:themeFill="accent3" w:themeFillTint="33"/>
            <w:vAlign w:val="center"/>
            <w:hideMark/>
          </w:tcPr>
          <w:p w:rsidR="00FE6C95" w:rsidRPr="005F120D" w:rsidRDefault="00FE6C95" w:rsidP="00936D9E">
            <w:pPr>
              <w:jc w:val="center"/>
              <w:rPr>
                <w:rFonts w:asciiTheme="minorHAnsi" w:hAnsiTheme="minorHAnsi" w:cstheme="minorHAnsi"/>
                <w:b/>
                <w:bCs/>
                <w:sz w:val="20"/>
              </w:rPr>
            </w:pPr>
            <w:r w:rsidRPr="005F120D">
              <w:rPr>
                <w:rFonts w:asciiTheme="minorHAnsi" w:hAnsiTheme="minorHAnsi" w:cstheme="minorHAnsi"/>
                <w:b/>
                <w:bCs/>
                <w:sz w:val="20"/>
              </w:rPr>
              <w:t>1,055.50</w:t>
            </w:r>
          </w:p>
        </w:tc>
        <w:tc>
          <w:tcPr>
            <w:tcW w:w="743" w:type="pct"/>
            <w:shd w:val="clear" w:color="auto" w:fill="EAF1DD" w:themeFill="accent3" w:themeFillTint="33"/>
            <w:vAlign w:val="center"/>
            <w:hideMark/>
          </w:tcPr>
          <w:p w:rsidR="00FE6C95" w:rsidRPr="005F120D" w:rsidRDefault="00FE6C95" w:rsidP="00936D9E">
            <w:pPr>
              <w:jc w:val="center"/>
              <w:rPr>
                <w:rFonts w:asciiTheme="minorHAnsi" w:hAnsiTheme="minorHAnsi" w:cstheme="minorHAnsi"/>
                <w:b/>
                <w:bCs/>
                <w:sz w:val="20"/>
              </w:rPr>
            </w:pPr>
            <w:r w:rsidRPr="005F120D">
              <w:rPr>
                <w:rFonts w:asciiTheme="minorHAnsi" w:hAnsiTheme="minorHAnsi" w:cstheme="minorHAnsi"/>
                <w:b/>
                <w:bCs/>
                <w:sz w:val="20"/>
              </w:rPr>
              <w:t>677.67</w:t>
            </w:r>
          </w:p>
        </w:tc>
        <w:tc>
          <w:tcPr>
            <w:tcW w:w="734" w:type="pct"/>
            <w:shd w:val="clear" w:color="auto" w:fill="EAF1DD" w:themeFill="accent3" w:themeFillTint="33"/>
            <w:vAlign w:val="center"/>
            <w:hideMark/>
          </w:tcPr>
          <w:p w:rsidR="00FE6C95" w:rsidRPr="005F120D" w:rsidRDefault="00FE6C95" w:rsidP="00936D9E">
            <w:pPr>
              <w:jc w:val="center"/>
              <w:rPr>
                <w:rFonts w:asciiTheme="minorHAnsi" w:hAnsiTheme="minorHAnsi" w:cstheme="minorHAnsi"/>
                <w:b/>
                <w:bCs/>
                <w:sz w:val="20"/>
              </w:rPr>
            </w:pPr>
            <w:r w:rsidRPr="005F120D">
              <w:rPr>
                <w:rFonts w:asciiTheme="minorHAnsi" w:hAnsiTheme="minorHAnsi" w:cstheme="minorHAnsi"/>
                <w:b/>
                <w:bCs/>
                <w:noProof/>
                <w:sz w:val="20"/>
              </w:rPr>
              <w:t>1,733.17</w:t>
            </w:r>
          </w:p>
        </w:tc>
        <w:tc>
          <w:tcPr>
            <w:tcW w:w="674" w:type="pct"/>
            <w:shd w:val="clear" w:color="auto" w:fill="EAF1DD" w:themeFill="accent3" w:themeFillTint="33"/>
            <w:vAlign w:val="center"/>
            <w:hideMark/>
          </w:tcPr>
          <w:p w:rsidR="00FE6C95" w:rsidRPr="005F120D" w:rsidRDefault="00FE6C95" w:rsidP="00936D9E">
            <w:pPr>
              <w:jc w:val="center"/>
              <w:rPr>
                <w:rFonts w:asciiTheme="minorHAnsi" w:hAnsiTheme="minorHAnsi" w:cstheme="minorHAnsi"/>
                <w:b/>
                <w:bCs/>
                <w:sz w:val="20"/>
              </w:rPr>
            </w:pPr>
            <w:r w:rsidRPr="005F120D">
              <w:rPr>
                <w:rFonts w:asciiTheme="minorHAnsi" w:hAnsiTheme="minorHAnsi" w:cstheme="minorHAnsi"/>
                <w:b/>
                <w:bCs/>
                <w:noProof/>
                <w:sz w:val="20"/>
              </w:rPr>
              <w:t>100</w:t>
            </w:r>
            <w:r w:rsidRPr="005F120D">
              <w:rPr>
                <w:rFonts w:asciiTheme="minorHAnsi" w:hAnsiTheme="minorHAnsi" w:cstheme="minorHAnsi"/>
                <w:sz w:val="20"/>
              </w:rPr>
              <w:t>%</w:t>
            </w:r>
          </w:p>
        </w:tc>
        <w:tc>
          <w:tcPr>
            <w:tcW w:w="1026" w:type="pct"/>
            <w:shd w:val="clear" w:color="auto" w:fill="EAF1DD" w:themeFill="accent3" w:themeFillTint="33"/>
            <w:vAlign w:val="center"/>
          </w:tcPr>
          <w:p w:rsidR="00FE6C95" w:rsidRPr="005F120D" w:rsidRDefault="00FE6C95" w:rsidP="00936D9E">
            <w:pPr>
              <w:jc w:val="center"/>
              <w:rPr>
                <w:rFonts w:asciiTheme="minorHAnsi" w:hAnsiTheme="minorHAnsi" w:cstheme="minorHAnsi"/>
                <w:b/>
                <w:bCs/>
                <w:noProof/>
                <w:sz w:val="20"/>
              </w:rPr>
            </w:pPr>
          </w:p>
        </w:tc>
      </w:tr>
    </w:tbl>
    <w:p w:rsidR="00FE6C95" w:rsidRPr="005F120D" w:rsidRDefault="00FE6C95" w:rsidP="00C437AA">
      <w:pPr>
        <w:pStyle w:val="BodyText1"/>
        <w:rPr>
          <w:rFonts w:asciiTheme="minorHAnsi" w:hAnsiTheme="minorHAnsi" w:cstheme="minorHAnsi"/>
        </w:rPr>
      </w:pPr>
    </w:p>
    <w:p w:rsidR="00332BB3" w:rsidRPr="005F120D" w:rsidRDefault="00037F65" w:rsidP="00C437AA">
      <w:pPr>
        <w:pStyle w:val="Heading2"/>
        <w:spacing w:before="0" w:line="276" w:lineRule="auto"/>
        <w:rPr>
          <w:rFonts w:cstheme="minorHAnsi"/>
          <w:color w:val="006600"/>
        </w:rPr>
      </w:pPr>
      <w:bookmarkStart w:id="564" w:name="_Toc385242133"/>
      <w:bookmarkStart w:id="565" w:name="_Toc338856191"/>
      <w:bookmarkStart w:id="566" w:name="_Toc385245757"/>
      <w:bookmarkStart w:id="567" w:name="_Toc385419525"/>
      <w:bookmarkStart w:id="568" w:name="_Toc462837195"/>
      <w:r w:rsidRPr="005F120D">
        <w:rPr>
          <w:rFonts w:cstheme="minorHAnsi"/>
          <w:color w:val="006600"/>
        </w:rPr>
        <w:t>Overview of Primary Education B</w:t>
      </w:r>
      <w:r w:rsidR="00332BB3" w:rsidRPr="005F120D">
        <w:rPr>
          <w:rFonts w:cstheme="minorHAnsi"/>
          <w:color w:val="006600"/>
        </w:rPr>
        <w:t>udget</w:t>
      </w:r>
      <w:bookmarkEnd w:id="564"/>
      <w:bookmarkEnd w:id="565"/>
      <w:bookmarkEnd w:id="566"/>
      <w:bookmarkEnd w:id="567"/>
      <w:r w:rsidR="00D628CD" w:rsidRPr="005F120D">
        <w:rPr>
          <w:rFonts w:cstheme="minorHAnsi"/>
          <w:color w:val="006600"/>
        </w:rPr>
        <w:t xml:space="preserve"> (Inputs)</w:t>
      </w:r>
      <w:bookmarkEnd w:id="568"/>
    </w:p>
    <w:p w:rsidR="002A24F5" w:rsidRPr="005F120D" w:rsidRDefault="002A24F5" w:rsidP="002A24F5">
      <w:pPr>
        <w:spacing w:line="276" w:lineRule="auto"/>
        <w:jc w:val="both"/>
        <w:rPr>
          <w:rFonts w:asciiTheme="minorHAnsi" w:hAnsiTheme="minorHAnsi" w:cstheme="minorHAnsi"/>
          <w:szCs w:val="22"/>
        </w:rPr>
      </w:pPr>
      <w:r w:rsidRPr="005F120D">
        <w:rPr>
          <w:rFonts w:asciiTheme="minorHAnsi" w:hAnsiTheme="minorHAnsi" w:cstheme="minorHAnsi"/>
          <w:szCs w:val="22"/>
        </w:rPr>
        <w:t>The PEDP3 was originally a five-year sub-sector wide program that commenced in the financial year 2011/12 and was increased by another one year in 2014 MTR.  The Development Partners’ financial support for PEDP3 has been implemented by using a treasury model, whereby external funds are deposited into the general consolidated fund managed by the Ministry of Finance (MoF).</w:t>
      </w:r>
    </w:p>
    <w:p w:rsidR="00332BB3" w:rsidRPr="005F120D" w:rsidRDefault="002A24F5" w:rsidP="002A24F5">
      <w:pPr>
        <w:spacing w:line="276" w:lineRule="auto"/>
        <w:jc w:val="both"/>
        <w:rPr>
          <w:rFonts w:asciiTheme="minorHAnsi" w:hAnsiTheme="minorHAnsi" w:cstheme="minorHAnsi"/>
        </w:rPr>
      </w:pPr>
      <w:r w:rsidRPr="005F120D">
        <w:rPr>
          <w:rFonts w:asciiTheme="minorHAnsi" w:hAnsiTheme="minorHAnsi" w:cstheme="minorHAnsi"/>
          <w:szCs w:val="22"/>
        </w:rPr>
        <w:t>PEDP3 adopts a holistic sector planning approach, exemplified by the Annual Operational Plan (AOP), which covers planned spending in the sector as reflected in the DPP/RDPP. In addition there are a number of discrete projects (around 10/16), which operate outside of PEDP3 but contribute to the achievement of primary education sector goals and targets</w:t>
      </w:r>
      <w:r w:rsidR="006B2CF1" w:rsidRPr="005F120D">
        <w:rPr>
          <w:rFonts w:asciiTheme="minorHAnsi" w:hAnsiTheme="minorHAnsi" w:cstheme="minorHAnsi"/>
        </w:rPr>
        <w:t>.</w:t>
      </w:r>
    </w:p>
    <w:p w:rsidR="00E10770" w:rsidRPr="005F120D" w:rsidRDefault="00E10770" w:rsidP="004E77B3">
      <w:pPr>
        <w:pStyle w:val="Heading3"/>
      </w:pPr>
      <w:r w:rsidRPr="005F120D">
        <w:t>P</w:t>
      </w:r>
      <w:r w:rsidR="00D53689" w:rsidRPr="005F120D">
        <w:t xml:space="preserve">EDP3 Original </w:t>
      </w:r>
      <w:r w:rsidR="00981CFD" w:rsidRPr="005F120D">
        <w:t xml:space="preserve">2011-16 </w:t>
      </w:r>
      <w:r w:rsidR="003B34AA" w:rsidRPr="005F120D">
        <w:t xml:space="preserve">(DPP) </w:t>
      </w:r>
      <w:r w:rsidR="00D53689" w:rsidRPr="005F120D">
        <w:t>and revised</w:t>
      </w:r>
      <w:r w:rsidR="003B34AA" w:rsidRPr="005F120D">
        <w:t xml:space="preserve"> (RDPP)</w:t>
      </w:r>
      <w:r w:rsidR="00D50AFB" w:rsidRPr="005F120D">
        <w:t>budget</w:t>
      </w:r>
      <w:r w:rsidR="003B34AA" w:rsidRPr="005F120D">
        <w:t xml:space="preserve"> 2011-</w:t>
      </w:r>
      <w:r w:rsidRPr="005F120D">
        <w:t>17</w:t>
      </w:r>
      <w:r w:rsidRPr="005F120D">
        <w:tab/>
      </w:r>
      <w:r w:rsidRPr="005F120D">
        <w:tab/>
      </w:r>
    </w:p>
    <w:p w:rsidR="000A6DD9" w:rsidRPr="005F120D" w:rsidRDefault="002A24F5" w:rsidP="00C437AA">
      <w:pPr>
        <w:spacing w:line="276" w:lineRule="auto"/>
        <w:jc w:val="both"/>
        <w:rPr>
          <w:rFonts w:asciiTheme="minorHAnsi" w:hAnsiTheme="minorHAnsi" w:cstheme="minorHAnsi"/>
        </w:rPr>
      </w:pPr>
      <w:r w:rsidRPr="005F120D">
        <w:rPr>
          <w:rFonts w:asciiTheme="minorHAnsi" w:hAnsiTheme="minorHAnsi" w:cstheme="minorHAnsi"/>
          <w:szCs w:val="22"/>
        </w:rPr>
        <w:t xml:space="preserve">In the 2014 Mid-Term Review (MTR), PEDP3 was extended from five to six years and as endorsed by MoPME in February 2014; the program will close in June 2017 (December 2017). Accordingly, a </w:t>
      </w:r>
      <w:r w:rsidRPr="005F120D">
        <w:rPr>
          <w:rFonts w:asciiTheme="minorHAnsi" w:hAnsiTheme="minorHAnsi" w:cstheme="minorHAnsi"/>
          <w:szCs w:val="22"/>
        </w:rPr>
        <w:lastRenderedPageBreak/>
        <w:t>Revised Development Project Pro</w:t>
      </w:r>
      <w:r w:rsidR="00F81108">
        <w:rPr>
          <w:rFonts w:asciiTheme="minorHAnsi" w:hAnsiTheme="minorHAnsi" w:cstheme="minorHAnsi"/>
          <w:szCs w:val="22"/>
        </w:rPr>
        <w:t>-</w:t>
      </w:r>
      <w:r w:rsidRPr="005F120D">
        <w:rPr>
          <w:rFonts w:asciiTheme="minorHAnsi" w:hAnsiTheme="minorHAnsi" w:cstheme="minorHAnsi"/>
          <w:szCs w:val="22"/>
        </w:rPr>
        <w:t>forma (RDPP) was prepared based on the agreed financing plan for 2011-17. The cost of different components, items and activities have been adjusted and rationalized. This paragraph summarizes the original and revised costs of PEDP3.  The original PEDP3 DPP cost for the program period 2011-2016 was about TK. 58,360 crore. Due to the extension of PEDP3 for an additional year, the increase in the cost of civil works, the expansion of ICT activities and the implication of the nationalization of RNGPS, the total program cost was increased to TK. 76,500 crore (31%). The revised PEDP3 – RDPP cost is TK. 18,154 crore, which is 4% lower than the original cost. Similarly, discrete projects cost is TK. 15,066 crore, which is a raise of around 12% and Non-development cost is TK. 43,280 crore, which is an increase of around 48% compared to the original cost. Both the original and revised costs are shown in Table 6.1 and Figure 6.1. The PEDP3 RDPP costs were reduced mainly due to the transfer of school feeding and stipend program to the discrete project budget; an increase in the non-development budget is due to the inclusion of the cost of textbooks</w:t>
      </w:r>
      <w:r w:rsidR="00570EC8" w:rsidRPr="005F120D">
        <w:rPr>
          <w:rFonts w:asciiTheme="minorHAnsi" w:hAnsiTheme="minorHAnsi" w:cstheme="minorHAnsi"/>
        </w:rPr>
        <w:t>.</w:t>
      </w:r>
    </w:p>
    <w:p w:rsidR="00256A32" w:rsidRPr="005F120D" w:rsidRDefault="00EA1FC1" w:rsidP="00C437AA">
      <w:pPr>
        <w:pStyle w:val="Caption"/>
        <w:spacing w:line="276" w:lineRule="auto"/>
        <w:rPr>
          <w:rFonts w:cstheme="minorHAnsi"/>
        </w:rPr>
      </w:pPr>
      <w:bookmarkStart w:id="569" w:name="_Toc462837305"/>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004C41FE" w:rsidRPr="005F120D">
        <w:rPr>
          <w:rFonts w:cstheme="minorHAnsi"/>
        </w:rPr>
        <w:t xml:space="preserve">: </w:t>
      </w:r>
      <w:r w:rsidR="008721BC" w:rsidRPr="005F120D">
        <w:rPr>
          <w:rFonts w:cstheme="minorHAnsi"/>
        </w:rPr>
        <w:t xml:space="preserve">Comparison between </w:t>
      </w:r>
      <w:r w:rsidR="007D34E6" w:rsidRPr="005F120D">
        <w:rPr>
          <w:rFonts w:cstheme="minorHAnsi"/>
        </w:rPr>
        <w:t xml:space="preserve">PEDP3 </w:t>
      </w:r>
      <w:r w:rsidR="008D60A3" w:rsidRPr="005F120D">
        <w:rPr>
          <w:rFonts w:cstheme="minorHAnsi"/>
        </w:rPr>
        <w:t>Origin</w:t>
      </w:r>
      <w:r w:rsidR="008721BC" w:rsidRPr="005F120D">
        <w:rPr>
          <w:rFonts w:cstheme="minorHAnsi"/>
        </w:rPr>
        <w:t>al and Revised C</w:t>
      </w:r>
      <w:r w:rsidR="00570EC8" w:rsidRPr="005F120D">
        <w:rPr>
          <w:rFonts w:cstheme="minorHAnsi"/>
        </w:rPr>
        <w:t>ost 2011-16/17</w:t>
      </w:r>
      <w:bookmarkEnd w:id="569"/>
    </w:p>
    <w:tbl>
      <w:tblPr>
        <w:tblW w:w="5065" w:type="pct"/>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2635"/>
        <w:gridCol w:w="991"/>
        <w:gridCol w:w="980"/>
        <w:gridCol w:w="1000"/>
        <w:gridCol w:w="955"/>
        <w:gridCol w:w="918"/>
        <w:gridCol w:w="781"/>
        <w:gridCol w:w="1105"/>
      </w:tblGrid>
      <w:tr w:rsidR="00A429BA" w:rsidRPr="005F120D" w:rsidTr="004E77B3">
        <w:trPr>
          <w:trHeight w:val="270"/>
        </w:trPr>
        <w:tc>
          <w:tcPr>
            <w:tcW w:w="1407" w:type="pct"/>
            <w:vMerge w:val="restart"/>
            <w:shd w:val="clear" w:color="auto" w:fill="EEECE1" w:themeFill="background2"/>
            <w:hideMark/>
          </w:tcPr>
          <w:p w:rsidR="00570EC8" w:rsidRPr="005F120D" w:rsidRDefault="00570EC8" w:rsidP="00936D9E">
            <w:pPr>
              <w:spacing w:after="0"/>
              <w:rPr>
                <w:rFonts w:asciiTheme="minorHAnsi" w:hAnsiTheme="minorHAnsi" w:cstheme="minorHAnsi"/>
                <w:b/>
                <w:bCs/>
                <w:sz w:val="18"/>
                <w:szCs w:val="18"/>
                <w:lang w:eastAsia="en-US"/>
              </w:rPr>
            </w:pPr>
            <w:r w:rsidRPr="005F120D">
              <w:rPr>
                <w:rFonts w:asciiTheme="minorHAnsi" w:hAnsiTheme="minorHAnsi" w:cstheme="minorHAnsi"/>
                <w:b/>
                <w:bCs/>
                <w:sz w:val="18"/>
                <w:szCs w:val="18"/>
                <w:lang w:eastAsia="en-US"/>
              </w:rPr>
              <w:t>Budget Head</w:t>
            </w:r>
          </w:p>
        </w:tc>
        <w:tc>
          <w:tcPr>
            <w:tcW w:w="1586" w:type="pct"/>
            <w:gridSpan w:val="3"/>
            <w:shd w:val="clear" w:color="auto" w:fill="E5DFEC" w:themeFill="accent4" w:themeFillTint="33"/>
            <w:hideMark/>
          </w:tcPr>
          <w:p w:rsidR="00570EC8" w:rsidRPr="005F120D" w:rsidRDefault="00570EC8" w:rsidP="00936D9E">
            <w:pPr>
              <w:spacing w:after="0"/>
              <w:jc w:val="center"/>
              <w:rPr>
                <w:rFonts w:asciiTheme="minorHAnsi" w:hAnsiTheme="minorHAnsi" w:cstheme="minorHAnsi"/>
                <w:b/>
                <w:bCs/>
                <w:sz w:val="18"/>
                <w:szCs w:val="18"/>
                <w:lang w:eastAsia="en-US"/>
              </w:rPr>
            </w:pPr>
            <w:r w:rsidRPr="005F120D">
              <w:rPr>
                <w:rFonts w:asciiTheme="minorHAnsi" w:hAnsiTheme="minorHAnsi" w:cstheme="minorHAnsi"/>
                <w:b/>
                <w:bCs/>
                <w:sz w:val="18"/>
                <w:szCs w:val="18"/>
                <w:lang w:eastAsia="en-US"/>
              </w:rPr>
              <w:t>DPP (July 2011-June 2016)</w:t>
            </w:r>
          </w:p>
        </w:tc>
        <w:tc>
          <w:tcPr>
            <w:tcW w:w="2008" w:type="pct"/>
            <w:gridSpan w:val="4"/>
            <w:shd w:val="clear" w:color="auto" w:fill="FDE9D9" w:themeFill="accent6" w:themeFillTint="33"/>
            <w:hideMark/>
          </w:tcPr>
          <w:p w:rsidR="00570EC8" w:rsidRPr="005F120D" w:rsidRDefault="00570EC8" w:rsidP="00936D9E">
            <w:pPr>
              <w:spacing w:after="0"/>
              <w:jc w:val="center"/>
              <w:rPr>
                <w:rFonts w:asciiTheme="minorHAnsi" w:hAnsiTheme="minorHAnsi" w:cstheme="minorHAnsi"/>
                <w:b/>
                <w:bCs/>
                <w:sz w:val="18"/>
                <w:szCs w:val="18"/>
                <w:lang w:eastAsia="en-US"/>
              </w:rPr>
            </w:pPr>
            <w:r w:rsidRPr="005F120D">
              <w:rPr>
                <w:rFonts w:asciiTheme="minorHAnsi" w:hAnsiTheme="minorHAnsi" w:cstheme="minorHAnsi"/>
                <w:b/>
                <w:bCs/>
                <w:sz w:val="18"/>
                <w:szCs w:val="18"/>
                <w:lang w:eastAsia="en-US"/>
              </w:rPr>
              <w:t>RDPP (July 2011-June 2017</w:t>
            </w:r>
          </w:p>
        </w:tc>
      </w:tr>
      <w:tr w:rsidR="007D34E6" w:rsidRPr="005F120D" w:rsidTr="004E77B3">
        <w:trPr>
          <w:trHeight w:val="453"/>
        </w:trPr>
        <w:tc>
          <w:tcPr>
            <w:tcW w:w="1407" w:type="pct"/>
            <w:vMerge/>
            <w:tcBorders>
              <w:bottom w:val="single" w:sz="6" w:space="0" w:color="31849B" w:themeColor="accent5" w:themeShade="BF"/>
            </w:tcBorders>
            <w:shd w:val="clear" w:color="auto" w:fill="EEECE1" w:themeFill="background2"/>
            <w:vAlign w:val="center"/>
            <w:hideMark/>
          </w:tcPr>
          <w:p w:rsidR="00570EC8" w:rsidRPr="005F120D" w:rsidRDefault="00570EC8" w:rsidP="00936D9E">
            <w:pPr>
              <w:spacing w:after="0"/>
              <w:rPr>
                <w:rFonts w:asciiTheme="minorHAnsi" w:hAnsiTheme="minorHAnsi" w:cstheme="minorHAnsi"/>
                <w:b/>
                <w:bCs/>
                <w:sz w:val="18"/>
                <w:szCs w:val="18"/>
                <w:lang w:eastAsia="en-US"/>
              </w:rPr>
            </w:pPr>
          </w:p>
        </w:tc>
        <w:tc>
          <w:tcPr>
            <w:tcW w:w="529" w:type="pct"/>
            <w:tcBorders>
              <w:bottom w:val="single" w:sz="6" w:space="0" w:color="31849B" w:themeColor="accent5" w:themeShade="BF"/>
            </w:tcBorders>
            <w:shd w:val="clear" w:color="auto" w:fill="E5DFEC" w:themeFill="accent4" w:themeFillTint="33"/>
            <w:hideMark/>
          </w:tcPr>
          <w:p w:rsidR="00570EC8" w:rsidRPr="005F120D" w:rsidRDefault="00570EC8" w:rsidP="00936D9E">
            <w:pPr>
              <w:spacing w:after="0"/>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Taka</w:t>
            </w:r>
          </w:p>
        </w:tc>
        <w:tc>
          <w:tcPr>
            <w:tcW w:w="523" w:type="pct"/>
            <w:tcBorders>
              <w:bottom w:val="single" w:sz="6" w:space="0" w:color="31849B" w:themeColor="accent5" w:themeShade="BF"/>
            </w:tcBorders>
            <w:shd w:val="clear" w:color="auto" w:fill="E5DFEC" w:themeFill="accent4" w:themeFillTint="33"/>
            <w:hideMark/>
          </w:tcPr>
          <w:p w:rsidR="00570EC8" w:rsidRPr="005F120D" w:rsidRDefault="00570EC8" w:rsidP="00936D9E">
            <w:pPr>
              <w:spacing w:after="0"/>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US $ in Million</w:t>
            </w:r>
          </w:p>
        </w:tc>
        <w:tc>
          <w:tcPr>
            <w:tcW w:w="534" w:type="pct"/>
            <w:tcBorders>
              <w:bottom w:val="single" w:sz="6" w:space="0" w:color="31849B" w:themeColor="accent5" w:themeShade="BF"/>
            </w:tcBorders>
            <w:shd w:val="clear" w:color="auto" w:fill="E5DFEC" w:themeFill="accent4" w:themeFillTint="33"/>
            <w:hideMark/>
          </w:tcPr>
          <w:p w:rsidR="00570EC8" w:rsidRPr="005F120D" w:rsidRDefault="00570EC8" w:rsidP="00936D9E">
            <w:pPr>
              <w:spacing w:after="0"/>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Share (%)</w:t>
            </w:r>
          </w:p>
        </w:tc>
        <w:tc>
          <w:tcPr>
            <w:tcW w:w="510" w:type="pct"/>
            <w:tcBorders>
              <w:bottom w:val="single" w:sz="6" w:space="0" w:color="31849B" w:themeColor="accent5" w:themeShade="BF"/>
            </w:tcBorders>
            <w:shd w:val="clear" w:color="auto" w:fill="FDE9D9" w:themeFill="accent6" w:themeFillTint="33"/>
            <w:hideMark/>
          </w:tcPr>
          <w:p w:rsidR="00570EC8" w:rsidRPr="005F120D" w:rsidRDefault="00570EC8" w:rsidP="00936D9E">
            <w:pPr>
              <w:spacing w:after="0"/>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Taka</w:t>
            </w:r>
          </w:p>
        </w:tc>
        <w:tc>
          <w:tcPr>
            <w:tcW w:w="490" w:type="pct"/>
            <w:tcBorders>
              <w:bottom w:val="single" w:sz="6" w:space="0" w:color="31849B" w:themeColor="accent5" w:themeShade="BF"/>
            </w:tcBorders>
            <w:shd w:val="clear" w:color="auto" w:fill="FDE9D9" w:themeFill="accent6" w:themeFillTint="33"/>
            <w:hideMark/>
          </w:tcPr>
          <w:p w:rsidR="00570EC8" w:rsidRPr="005F120D" w:rsidRDefault="00570EC8" w:rsidP="00936D9E">
            <w:pPr>
              <w:spacing w:after="0"/>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US $ in Million</w:t>
            </w:r>
          </w:p>
        </w:tc>
        <w:tc>
          <w:tcPr>
            <w:tcW w:w="417" w:type="pct"/>
            <w:tcBorders>
              <w:bottom w:val="single" w:sz="6" w:space="0" w:color="31849B" w:themeColor="accent5" w:themeShade="BF"/>
            </w:tcBorders>
            <w:shd w:val="clear" w:color="auto" w:fill="FDE9D9" w:themeFill="accent6" w:themeFillTint="33"/>
            <w:hideMark/>
          </w:tcPr>
          <w:p w:rsidR="00570EC8" w:rsidRPr="005F120D" w:rsidRDefault="00570EC8" w:rsidP="00936D9E">
            <w:pPr>
              <w:spacing w:after="0"/>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Share (%)</w:t>
            </w:r>
          </w:p>
        </w:tc>
        <w:tc>
          <w:tcPr>
            <w:tcW w:w="590" w:type="pct"/>
            <w:tcBorders>
              <w:bottom w:val="single" w:sz="6" w:space="0" w:color="31849B" w:themeColor="accent5" w:themeShade="BF"/>
            </w:tcBorders>
            <w:shd w:val="clear" w:color="auto" w:fill="FDE9D9" w:themeFill="accent6" w:themeFillTint="33"/>
            <w:hideMark/>
          </w:tcPr>
          <w:p w:rsidR="00570EC8" w:rsidRPr="005F120D" w:rsidRDefault="008F09D8" w:rsidP="00936D9E">
            <w:pPr>
              <w:spacing w:after="0"/>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Change</w:t>
            </w:r>
            <w:r w:rsidR="00570EC8" w:rsidRPr="005F120D">
              <w:rPr>
                <w:rFonts w:asciiTheme="minorHAnsi" w:hAnsiTheme="minorHAnsi" w:cstheme="minorHAnsi"/>
                <w:b/>
                <w:sz w:val="18"/>
                <w:szCs w:val="18"/>
                <w:lang w:eastAsia="en-US"/>
              </w:rPr>
              <w:t xml:space="preserve"> (%)</w:t>
            </w:r>
          </w:p>
        </w:tc>
      </w:tr>
      <w:tr w:rsidR="007D34E6" w:rsidRPr="005F120D" w:rsidTr="004E77B3">
        <w:trPr>
          <w:trHeight w:val="150"/>
        </w:trPr>
        <w:tc>
          <w:tcPr>
            <w:tcW w:w="1407"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 xml:space="preserve">Non-Development </w:t>
            </w:r>
          </w:p>
        </w:tc>
        <w:tc>
          <w:tcPr>
            <w:tcW w:w="529"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29,309</w:t>
            </w:r>
          </w:p>
        </w:tc>
        <w:tc>
          <w:tcPr>
            <w:tcW w:w="523"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4,187</w:t>
            </w:r>
          </w:p>
        </w:tc>
        <w:tc>
          <w:tcPr>
            <w:tcW w:w="534"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50</w:t>
            </w:r>
          </w:p>
        </w:tc>
        <w:tc>
          <w:tcPr>
            <w:tcW w:w="510"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43,280</w:t>
            </w:r>
          </w:p>
        </w:tc>
        <w:tc>
          <w:tcPr>
            <w:tcW w:w="490"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5,549</w:t>
            </w:r>
          </w:p>
        </w:tc>
        <w:tc>
          <w:tcPr>
            <w:tcW w:w="417"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093882" w:rsidP="00936D9E">
            <w:pPr>
              <w:spacing w:after="0"/>
              <w:ind w:firstLineChars="100" w:firstLine="18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57</w:t>
            </w:r>
          </w:p>
        </w:tc>
        <w:tc>
          <w:tcPr>
            <w:tcW w:w="590"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48</w:t>
            </w:r>
          </w:p>
        </w:tc>
      </w:tr>
      <w:tr w:rsidR="007D34E6" w:rsidRPr="005F120D" w:rsidTr="004E77B3">
        <w:trPr>
          <w:trHeight w:val="214"/>
        </w:trPr>
        <w:tc>
          <w:tcPr>
            <w:tcW w:w="1407"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rPr>
                <w:rFonts w:asciiTheme="minorHAnsi" w:hAnsiTheme="minorHAnsi" w:cstheme="minorHAnsi"/>
                <w:sz w:val="18"/>
                <w:szCs w:val="18"/>
                <w:lang w:eastAsia="en-US"/>
              </w:rPr>
            </w:pPr>
            <w:r w:rsidRPr="005F120D">
              <w:rPr>
                <w:rFonts w:asciiTheme="minorHAnsi" w:hAnsiTheme="minorHAnsi" w:cstheme="minorHAnsi"/>
                <w:sz w:val="18"/>
                <w:szCs w:val="18"/>
                <w:lang w:eastAsia="en-US"/>
              </w:rPr>
              <w:t xml:space="preserve">Development (PEDP3) </w:t>
            </w:r>
          </w:p>
        </w:tc>
        <w:tc>
          <w:tcPr>
            <w:tcW w:w="529"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22,197</w:t>
            </w:r>
          </w:p>
        </w:tc>
        <w:tc>
          <w:tcPr>
            <w:tcW w:w="523"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3,171</w:t>
            </w:r>
          </w:p>
        </w:tc>
        <w:tc>
          <w:tcPr>
            <w:tcW w:w="534"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38</w:t>
            </w:r>
          </w:p>
        </w:tc>
        <w:tc>
          <w:tcPr>
            <w:tcW w:w="510"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18,154</w:t>
            </w:r>
          </w:p>
        </w:tc>
        <w:tc>
          <w:tcPr>
            <w:tcW w:w="490"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2,372</w:t>
            </w:r>
          </w:p>
        </w:tc>
        <w:tc>
          <w:tcPr>
            <w:tcW w:w="417"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w:t>
            </w:r>
            <w:r w:rsidR="00093882" w:rsidRPr="005F120D">
              <w:rPr>
                <w:rFonts w:asciiTheme="minorHAnsi" w:hAnsiTheme="minorHAnsi" w:cstheme="minorHAnsi"/>
                <w:sz w:val="18"/>
                <w:szCs w:val="18"/>
                <w:lang w:eastAsia="en-US"/>
              </w:rPr>
              <w:t>4</w:t>
            </w:r>
          </w:p>
        </w:tc>
        <w:tc>
          <w:tcPr>
            <w:tcW w:w="590"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-18</w:t>
            </w:r>
          </w:p>
        </w:tc>
      </w:tr>
      <w:tr w:rsidR="007D34E6" w:rsidRPr="005F120D" w:rsidTr="004E77B3">
        <w:trPr>
          <w:trHeight w:val="241"/>
        </w:trPr>
        <w:tc>
          <w:tcPr>
            <w:tcW w:w="1407"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rPr>
                <w:rFonts w:asciiTheme="minorHAnsi" w:hAnsiTheme="minorHAnsi" w:cstheme="minorHAnsi"/>
                <w:sz w:val="18"/>
                <w:szCs w:val="18"/>
                <w:lang w:eastAsia="en-US"/>
              </w:rPr>
            </w:pPr>
            <w:r w:rsidRPr="005F120D">
              <w:rPr>
                <w:rFonts w:asciiTheme="minorHAnsi" w:hAnsiTheme="minorHAnsi" w:cstheme="minorHAnsi"/>
                <w:sz w:val="18"/>
                <w:szCs w:val="18"/>
                <w:lang w:eastAsia="en-US"/>
              </w:rPr>
              <w:t xml:space="preserve">Discrete Project </w:t>
            </w:r>
          </w:p>
        </w:tc>
        <w:tc>
          <w:tcPr>
            <w:tcW w:w="529"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6,854</w:t>
            </w:r>
          </w:p>
        </w:tc>
        <w:tc>
          <w:tcPr>
            <w:tcW w:w="523"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979</w:t>
            </w:r>
          </w:p>
        </w:tc>
        <w:tc>
          <w:tcPr>
            <w:tcW w:w="534"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12</w:t>
            </w:r>
          </w:p>
        </w:tc>
        <w:tc>
          <w:tcPr>
            <w:tcW w:w="510"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15,066</w:t>
            </w:r>
          </w:p>
        </w:tc>
        <w:tc>
          <w:tcPr>
            <w:tcW w:w="490"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right"/>
              <w:rPr>
                <w:rFonts w:asciiTheme="minorHAnsi" w:hAnsiTheme="minorHAnsi" w:cstheme="minorHAnsi"/>
                <w:sz w:val="18"/>
                <w:szCs w:val="18"/>
                <w:lang w:eastAsia="en-US"/>
              </w:rPr>
            </w:pPr>
            <w:r w:rsidRPr="005F120D">
              <w:rPr>
                <w:rFonts w:asciiTheme="minorHAnsi" w:hAnsiTheme="minorHAnsi" w:cstheme="minorHAnsi"/>
                <w:sz w:val="18"/>
                <w:szCs w:val="18"/>
                <w:lang w:eastAsia="en-US"/>
              </w:rPr>
              <w:t>1,932</w:t>
            </w:r>
          </w:p>
        </w:tc>
        <w:tc>
          <w:tcPr>
            <w:tcW w:w="417"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093882" w:rsidP="00936D9E">
            <w:pPr>
              <w:spacing w:after="0"/>
              <w:ind w:firstLineChars="100" w:firstLine="18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20</w:t>
            </w:r>
          </w:p>
        </w:tc>
        <w:tc>
          <w:tcPr>
            <w:tcW w:w="590" w:type="pct"/>
            <w:tcBorders>
              <w:top w:val="single" w:sz="6" w:space="0" w:color="31849B" w:themeColor="accent5" w:themeShade="BF"/>
              <w:bottom w:val="single" w:sz="6" w:space="0" w:color="31849B" w:themeColor="accent5" w:themeShade="BF"/>
            </w:tcBorders>
            <w:shd w:val="clear" w:color="auto" w:fill="FFFFFF" w:themeFill="background1"/>
            <w:hideMark/>
          </w:tcPr>
          <w:p w:rsidR="00570EC8" w:rsidRPr="005F120D" w:rsidRDefault="00570EC8" w:rsidP="00936D9E">
            <w:pPr>
              <w:spacing w:after="0"/>
              <w:ind w:firstLineChars="100" w:firstLine="18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120</w:t>
            </w:r>
          </w:p>
        </w:tc>
      </w:tr>
      <w:tr w:rsidR="00093882" w:rsidRPr="005F120D" w:rsidTr="004E77B3">
        <w:trPr>
          <w:trHeight w:val="270"/>
        </w:trPr>
        <w:tc>
          <w:tcPr>
            <w:tcW w:w="1407" w:type="pct"/>
            <w:tcBorders>
              <w:top w:val="single" w:sz="6" w:space="0" w:color="31849B" w:themeColor="accent5" w:themeShade="BF"/>
              <w:bottom w:val="single" w:sz="6" w:space="0" w:color="31849B" w:themeColor="accent5" w:themeShade="BF"/>
            </w:tcBorders>
            <w:shd w:val="clear" w:color="auto" w:fill="FFFFFF" w:themeFill="background1"/>
            <w:hideMark/>
          </w:tcPr>
          <w:p w:rsidR="00093882" w:rsidRPr="005F120D" w:rsidRDefault="00093882" w:rsidP="00936D9E">
            <w:pPr>
              <w:spacing w:after="0"/>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 Sub-total Dev. (PEDP3+ discrete projects)</w:t>
            </w:r>
          </w:p>
        </w:tc>
        <w:tc>
          <w:tcPr>
            <w:tcW w:w="529" w:type="pct"/>
            <w:tcBorders>
              <w:top w:val="single" w:sz="6" w:space="0" w:color="31849B" w:themeColor="accent5" w:themeShade="BF"/>
              <w:bottom w:val="single" w:sz="6" w:space="0" w:color="31849B" w:themeColor="accent5" w:themeShade="BF"/>
            </w:tcBorders>
            <w:shd w:val="clear" w:color="auto" w:fill="FFFFFF" w:themeFill="background1"/>
            <w:hideMark/>
          </w:tcPr>
          <w:p w:rsidR="00093882" w:rsidRPr="005F120D" w:rsidRDefault="00093882" w:rsidP="00936D9E">
            <w:pPr>
              <w:pStyle w:val="NormalWeb"/>
              <w:spacing w:before="0" w:beforeAutospacing="0" w:after="0" w:afterAutospacing="0"/>
              <w:jc w:val="right"/>
              <w:textAlignment w:val="top"/>
              <w:rPr>
                <w:rFonts w:asciiTheme="minorHAnsi" w:hAnsiTheme="minorHAnsi" w:cstheme="minorHAnsi"/>
              </w:rPr>
            </w:pPr>
            <w:r w:rsidRPr="005F120D">
              <w:rPr>
                <w:rFonts w:asciiTheme="minorHAnsi" w:hAnsiTheme="minorHAnsi" w:cstheme="minorHAnsi"/>
                <w:bCs/>
                <w:kern w:val="24"/>
              </w:rPr>
              <w:t>29,050</w:t>
            </w:r>
          </w:p>
        </w:tc>
        <w:tc>
          <w:tcPr>
            <w:tcW w:w="523" w:type="pct"/>
            <w:tcBorders>
              <w:top w:val="single" w:sz="6" w:space="0" w:color="31849B" w:themeColor="accent5" w:themeShade="BF"/>
              <w:bottom w:val="single" w:sz="6" w:space="0" w:color="31849B" w:themeColor="accent5" w:themeShade="BF"/>
            </w:tcBorders>
            <w:shd w:val="clear" w:color="auto" w:fill="FFFFFF" w:themeFill="background1"/>
            <w:hideMark/>
          </w:tcPr>
          <w:p w:rsidR="00093882" w:rsidRPr="005F120D" w:rsidRDefault="00093882" w:rsidP="00936D9E">
            <w:pPr>
              <w:pStyle w:val="NormalWeb"/>
              <w:spacing w:before="0" w:beforeAutospacing="0" w:after="0" w:afterAutospacing="0"/>
              <w:jc w:val="right"/>
              <w:textAlignment w:val="top"/>
              <w:rPr>
                <w:rFonts w:asciiTheme="minorHAnsi" w:hAnsiTheme="minorHAnsi" w:cstheme="minorHAnsi"/>
              </w:rPr>
            </w:pPr>
            <w:r w:rsidRPr="005F120D">
              <w:rPr>
                <w:rFonts w:asciiTheme="minorHAnsi" w:hAnsiTheme="minorHAnsi" w:cstheme="minorHAnsi"/>
                <w:bCs/>
                <w:kern w:val="24"/>
              </w:rPr>
              <w:t>4,150</w:t>
            </w:r>
          </w:p>
        </w:tc>
        <w:tc>
          <w:tcPr>
            <w:tcW w:w="534" w:type="pct"/>
            <w:tcBorders>
              <w:top w:val="single" w:sz="6" w:space="0" w:color="31849B" w:themeColor="accent5" w:themeShade="BF"/>
              <w:bottom w:val="single" w:sz="6" w:space="0" w:color="31849B" w:themeColor="accent5" w:themeShade="BF"/>
            </w:tcBorders>
            <w:shd w:val="clear" w:color="auto" w:fill="FFFFFF" w:themeFill="background1"/>
            <w:hideMark/>
          </w:tcPr>
          <w:p w:rsidR="00093882" w:rsidRPr="005F120D" w:rsidRDefault="00093882" w:rsidP="00936D9E">
            <w:pPr>
              <w:pStyle w:val="NormalWeb"/>
              <w:spacing w:before="0" w:beforeAutospacing="0" w:after="0" w:afterAutospacing="0"/>
              <w:jc w:val="center"/>
              <w:textAlignment w:val="top"/>
              <w:rPr>
                <w:rFonts w:asciiTheme="minorHAnsi" w:hAnsiTheme="minorHAnsi" w:cstheme="minorHAnsi"/>
              </w:rPr>
            </w:pPr>
            <w:r w:rsidRPr="005F120D">
              <w:rPr>
                <w:rFonts w:asciiTheme="minorHAnsi" w:hAnsiTheme="minorHAnsi" w:cstheme="minorHAnsi"/>
                <w:bCs/>
                <w:kern w:val="24"/>
              </w:rPr>
              <w:t>50</w:t>
            </w:r>
          </w:p>
        </w:tc>
        <w:tc>
          <w:tcPr>
            <w:tcW w:w="510" w:type="pct"/>
            <w:tcBorders>
              <w:top w:val="single" w:sz="6" w:space="0" w:color="31849B" w:themeColor="accent5" w:themeShade="BF"/>
              <w:bottom w:val="single" w:sz="6" w:space="0" w:color="31849B" w:themeColor="accent5" w:themeShade="BF"/>
            </w:tcBorders>
            <w:shd w:val="clear" w:color="auto" w:fill="FFFFFF" w:themeFill="background1"/>
            <w:hideMark/>
          </w:tcPr>
          <w:p w:rsidR="00093882" w:rsidRPr="005F120D" w:rsidRDefault="00093882" w:rsidP="00936D9E">
            <w:pPr>
              <w:pStyle w:val="NormalWeb"/>
              <w:spacing w:before="0" w:beforeAutospacing="0" w:after="0" w:afterAutospacing="0"/>
              <w:jc w:val="right"/>
              <w:textAlignment w:val="top"/>
              <w:rPr>
                <w:rFonts w:asciiTheme="minorHAnsi" w:hAnsiTheme="minorHAnsi" w:cstheme="minorHAnsi"/>
              </w:rPr>
            </w:pPr>
            <w:r w:rsidRPr="005F120D">
              <w:rPr>
                <w:rFonts w:asciiTheme="minorHAnsi" w:hAnsiTheme="minorHAnsi" w:cstheme="minorHAnsi"/>
                <w:bCs/>
                <w:kern w:val="24"/>
              </w:rPr>
              <w:t>33,220</w:t>
            </w:r>
          </w:p>
        </w:tc>
        <w:tc>
          <w:tcPr>
            <w:tcW w:w="490" w:type="pct"/>
            <w:tcBorders>
              <w:top w:val="single" w:sz="6" w:space="0" w:color="31849B" w:themeColor="accent5" w:themeShade="BF"/>
              <w:bottom w:val="single" w:sz="6" w:space="0" w:color="31849B" w:themeColor="accent5" w:themeShade="BF"/>
            </w:tcBorders>
            <w:shd w:val="clear" w:color="auto" w:fill="FFFFFF" w:themeFill="background1"/>
            <w:hideMark/>
          </w:tcPr>
          <w:p w:rsidR="00093882" w:rsidRPr="005F120D" w:rsidRDefault="00093882" w:rsidP="00936D9E">
            <w:pPr>
              <w:pStyle w:val="NormalWeb"/>
              <w:spacing w:before="0" w:beforeAutospacing="0" w:after="0" w:afterAutospacing="0"/>
              <w:jc w:val="right"/>
              <w:textAlignment w:val="top"/>
              <w:rPr>
                <w:rFonts w:asciiTheme="minorHAnsi" w:hAnsiTheme="minorHAnsi" w:cstheme="minorHAnsi"/>
              </w:rPr>
            </w:pPr>
            <w:r w:rsidRPr="005F120D">
              <w:rPr>
                <w:rFonts w:asciiTheme="minorHAnsi" w:hAnsiTheme="minorHAnsi" w:cstheme="minorHAnsi"/>
                <w:bCs/>
                <w:kern w:val="24"/>
              </w:rPr>
              <w:t>4,259</w:t>
            </w:r>
          </w:p>
        </w:tc>
        <w:tc>
          <w:tcPr>
            <w:tcW w:w="417" w:type="pct"/>
            <w:tcBorders>
              <w:top w:val="single" w:sz="6" w:space="0" w:color="31849B" w:themeColor="accent5" w:themeShade="BF"/>
              <w:bottom w:val="single" w:sz="6" w:space="0" w:color="31849B" w:themeColor="accent5" w:themeShade="BF"/>
            </w:tcBorders>
            <w:shd w:val="clear" w:color="auto" w:fill="FFFFFF" w:themeFill="background1"/>
            <w:hideMark/>
          </w:tcPr>
          <w:p w:rsidR="00093882" w:rsidRPr="005F120D" w:rsidRDefault="00093882" w:rsidP="00936D9E">
            <w:pPr>
              <w:pStyle w:val="NormalWeb"/>
              <w:spacing w:before="0" w:beforeAutospacing="0" w:after="0" w:afterAutospacing="0"/>
              <w:jc w:val="center"/>
              <w:textAlignment w:val="top"/>
              <w:rPr>
                <w:rFonts w:asciiTheme="minorHAnsi" w:hAnsiTheme="minorHAnsi" w:cstheme="minorHAnsi"/>
              </w:rPr>
            </w:pPr>
            <w:r w:rsidRPr="005F120D">
              <w:rPr>
                <w:rFonts w:asciiTheme="minorHAnsi" w:hAnsiTheme="minorHAnsi" w:cstheme="minorHAnsi"/>
                <w:bCs/>
                <w:kern w:val="24"/>
              </w:rPr>
              <w:t>43</w:t>
            </w:r>
          </w:p>
        </w:tc>
        <w:tc>
          <w:tcPr>
            <w:tcW w:w="590" w:type="pct"/>
            <w:tcBorders>
              <w:top w:val="single" w:sz="6" w:space="0" w:color="31849B" w:themeColor="accent5" w:themeShade="BF"/>
              <w:bottom w:val="single" w:sz="6" w:space="0" w:color="31849B" w:themeColor="accent5" w:themeShade="BF"/>
            </w:tcBorders>
            <w:shd w:val="clear" w:color="auto" w:fill="FFFFFF" w:themeFill="background1"/>
            <w:hideMark/>
          </w:tcPr>
          <w:p w:rsidR="00093882" w:rsidRPr="005F120D" w:rsidRDefault="00093882" w:rsidP="00936D9E">
            <w:pPr>
              <w:spacing w:after="0"/>
              <w:ind w:firstLineChars="100" w:firstLine="180"/>
              <w:jc w:val="center"/>
              <w:rPr>
                <w:rFonts w:asciiTheme="minorHAnsi" w:hAnsiTheme="minorHAnsi" w:cstheme="minorHAnsi"/>
                <w:sz w:val="18"/>
                <w:szCs w:val="18"/>
                <w:lang w:eastAsia="en-US"/>
              </w:rPr>
            </w:pPr>
            <w:r w:rsidRPr="005F120D">
              <w:rPr>
                <w:rFonts w:asciiTheme="minorHAnsi" w:hAnsiTheme="minorHAnsi" w:cstheme="minorHAnsi"/>
                <w:sz w:val="18"/>
                <w:szCs w:val="18"/>
                <w:lang w:eastAsia="en-US"/>
              </w:rPr>
              <w:t>14</w:t>
            </w:r>
          </w:p>
        </w:tc>
      </w:tr>
      <w:tr w:rsidR="00093882" w:rsidRPr="005F120D" w:rsidTr="004E77B3">
        <w:trPr>
          <w:trHeight w:val="270"/>
        </w:trPr>
        <w:tc>
          <w:tcPr>
            <w:tcW w:w="1407" w:type="pct"/>
            <w:tcBorders>
              <w:top w:val="single" w:sz="6" w:space="0" w:color="31849B" w:themeColor="accent5" w:themeShade="BF"/>
            </w:tcBorders>
            <w:shd w:val="clear" w:color="auto" w:fill="EEECE1" w:themeFill="background2"/>
          </w:tcPr>
          <w:p w:rsidR="00093882" w:rsidRPr="005F120D" w:rsidRDefault="00093882" w:rsidP="00936D9E">
            <w:pPr>
              <w:spacing w:after="0"/>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Total Cost:</w:t>
            </w:r>
          </w:p>
        </w:tc>
        <w:tc>
          <w:tcPr>
            <w:tcW w:w="529" w:type="pct"/>
            <w:tcBorders>
              <w:top w:val="single" w:sz="6" w:space="0" w:color="31849B" w:themeColor="accent5" w:themeShade="BF"/>
            </w:tcBorders>
            <w:shd w:val="clear" w:color="auto" w:fill="E5DFEC" w:themeFill="accent4" w:themeFillTint="33"/>
          </w:tcPr>
          <w:p w:rsidR="00093882" w:rsidRPr="005F120D" w:rsidRDefault="00093882" w:rsidP="00936D9E">
            <w:pPr>
              <w:spacing w:after="0"/>
              <w:ind w:firstLineChars="100" w:firstLine="181"/>
              <w:jc w:val="right"/>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58,359</w:t>
            </w:r>
          </w:p>
        </w:tc>
        <w:tc>
          <w:tcPr>
            <w:tcW w:w="523" w:type="pct"/>
            <w:tcBorders>
              <w:top w:val="single" w:sz="6" w:space="0" w:color="31849B" w:themeColor="accent5" w:themeShade="BF"/>
            </w:tcBorders>
            <w:shd w:val="clear" w:color="auto" w:fill="E5DFEC" w:themeFill="accent4" w:themeFillTint="33"/>
          </w:tcPr>
          <w:p w:rsidR="00093882" w:rsidRPr="005F120D" w:rsidRDefault="00093882" w:rsidP="00936D9E">
            <w:pPr>
              <w:spacing w:after="0"/>
              <w:ind w:firstLineChars="100" w:firstLine="181"/>
              <w:jc w:val="right"/>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8,337</w:t>
            </w:r>
          </w:p>
        </w:tc>
        <w:tc>
          <w:tcPr>
            <w:tcW w:w="534" w:type="pct"/>
            <w:tcBorders>
              <w:top w:val="single" w:sz="6" w:space="0" w:color="31849B" w:themeColor="accent5" w:themeShade="BF"/>
            </w:tcBorders>
            <w:shd w:val="clear" w:color="auto" w:fill="E5DFEC" w:themeFill="accent4" w:themeFillTint="33"/>
          </w:tcPr>
          <w:p w:rsidR="00093882" w:rsidRPr="005F120D" w:rsidRDefault="00093882" w:rsidP="00936D9E">
            <w:pPr>
              <w:spacing w:after="0"/>
              <w:ind w:firstLineChars="100" w:firstLine="181"/>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100</w:t>
            </w:r>
          </w:p>
        </w:tc>
        <w:tc>
          <w:tcPr>
            <w:tcW w:w="510" w:type="pct"/>
            <w:tcBorders>
              <w:top w:val="single" w:sz="6" w:space="0" w:color="31849B" w:themeColor="accent5" w:themeShade="BF"/>
            </w:tcBorders>
            <w:shd w:val="clear" w:color="auto" w:fill="FDE9D9" w:themeFill="accent6" w:themeFillTint="33"/>
          </w:tcPr>
          <w:p w:rsidR="00093882" w:rsidRPr="005F120D" w:rsidRDefault="00093882" w:rsidP="00936D9E">
            <w:pPr>
              <w:spacing w:after="0"/>
              <w:ind w:firstLineChars="100" w:firstLine="181"/>
              <w:jc w:val="right"/>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76,500</w:t>
            </w:r>
          </w:p>
        </w:tc>
        <w:tc>
          <w:tcPr>
            <w:tcW w:w="490" w:type="pct"/>
            <w:tcBorders>
              <w:top w:val="single" w:sz="6" w:space="0" w:color="31849B" w:themeColor="accent5" w:themeShade="BF"/>
            </w:tcBorders>
            <w:shd w:val="clear" w:color="auto" w:fill="FDE9D9" w:themeFill="accent6" w:themeFillTint="33"/>
          </w:tcPr>
          <w:p w:rsidR="00093882" w:rsidRPr="005F120D" w:rsidRDefault="00093882" w:rsidP="00936D9E">
            <w:pPr>
              <w:spacing w:after="0"/>
              <w:ind w:firstLineChars="100" w:firstLine="181"/>
              <w:jc w:val="right"/>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9,853</w:t>
            </w:r>
          </w:p>
        </w:tc>
        <w:tc>
          <w:tcPr>
            <w:tcW w:w="417" w:type="pct"/>
            <w:tcBorders>
              <w:top w:val="single" w:sz="6" w:space="0" w:color="31849B" w:themeColor="accent5" w:themeShade="BF"/>
            </w:tcBorders>
            <w:shd w:val="clear" w:color="auto" w:fill="FDE9D9" w:themeFill="accent6" w:themeFillTint="33"/>
          </w:tcPr>
          <w:p w:rsidR="00093882" w:rsidRPr="005F120D" w:rsidRDefault="00093882" w:rsidP="00936D9E">
            <w:pPr>
              <w:spacing w:after="0"/>
              <w:ind w:firstLineChars="100" w:firstLine="181"/>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100</w:t>
            </w:r>
          </w:p>
        </w:tc>
        <w:tc>
          <w:tcPr>
            <w:tcW w:w="590" w:type="pct"/>
            <w:tcBorders>
              <w:top w:val="single" w:sz="6" w:space="0" w:color="31849B" w:themeColor="accent5" w:themeShade="BF"/>
            </w:tcBorders>
            <w:shd w:val="clear" w:color="auto" w:fill="FDE9D9" w:themeFill="accent6" w:themeFillTint="33"/>
          </w:tcPr>
          <w:p w:rsidR="00093882" w:rsidRPr="005F120D" w:rsidRDefault="00093882" w:rsidP="00936D9E">
            <w:pPr>
              <w:spacing w:after="0"/>
              <w:ind w:firstLineChars="100" w:firstLine="181"/>
              <w:jc w:val="center"/>
              <w:rPr>
                <w:rFonts w:asciiTheme="minorHAnsi" w:hAnsiTheme="minorHAnsi" w:cstheme="minorHAnsi"/>
                <w:b/>
                <w:sz w:val="18"/>
                <w:szCs w:val="18"/>
                <w:lang w:eastAsia="en-US"/>
              </w:rPr>
            </w:pPr>
            <w:r w:rsidRPr="005F120D">
              <w:rPr>
                <w:rFonts w:asciiTheme="minorHAnsi" w:hAnsiTheme="minorHAnsi" w:cstheme="minorHAnsi"/>
                <w:b/>
                <w:sz w:val="18"/>
                <w:szCs w:val="18"/>
                <w:lang w:eastAsia="en-US"/>
              </w:rPr>
              <w:t>31</w:t>
            </w:r>
          </w:p>
        </w:tc>
      </w:tr>
    </w:tbl>
    <w:p w:rsidR="00EA1FC1" w:rsidRPr="005F120D" w:rsidRDefault="004E1326" w:rsidP="00C437AA">
      <w:pPr>
        <w:pStyle w:val="Caption"/>
        <w:spacing w:before="240" w:line="276" w:lineRule="auto"/>
        <w:rPr>
          <w:rFonts w:cstheme="minorHAnsi"/>
        </w:rPr>
      </w:pPr>
      <w:bookmarkStart w:id="570" w:name="_Toc462837459"/>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1</w:t>
      </w:r>
      <w:r w:rsidR="002E2ED5" w:rsidRPr="005F120D">
        <w:rPr>
          <w:rFonts w:cstheme="minorHAnsi"/>
        </w:rPr>
        <w:fldChar w:fldCharType="end"/>
      </w:r>
      <w:r w:rsidR="004E3568" w:rsidRPr="005F120D">
        <w:rPr>
          <w:rFonts w:cstheme="minorHAnsi"/>
        </w:rPr>
        <w:t xml:space="preserve">: </w:t>
      </w:r>
      <w:r w:rsidR="007D34E6" w:rsidRPr="005F120D">
        <w:rPr>
          <w:rFonts w:cstheme="minorHAnsi"/>
        </w:rPr>
        <w:t xml:space="preserve">PEDP3 </w:t>
      </w:r>
      <w:r w:rsidR="004E3568" w:rsidRPr="005F120D">
        <w:rPr>
          <w:rFonts w:cstheme="minorHAnsi"/>
        </w:rPr>
        <w:t xml:space="preserve">Original and Revised </w:t>
      </w:r>
      <w:r w:rsidR="008D60A3" w:rsidRPr="005F120D">
        <w:rPr>
          <w:rFonts w:cstheme="minorHAnsi"/>
        </w:rPr>
        <w:t>Program</w:t>
      </w:r>
      <w:r w:rsidR="00782EA2" w:rsidRPr="005F120D">
        <w:rPr>
          <w:rFonts w:cstheme="minorHAnsi"/>
        </w:rPr>
        <w:t xml:space="preserve"> C</w:t>
      </w:r>
      <w:r w:rsidR="00233B7D" w:rsidRPr="005F120D">
        <w:rPr>
          <w:rFonts w:cstheme="minorHAnsi"/>
        </w:rPr>
        <w:t>ost</w:t>
      </w:r>
      <w:r w:rsidR="00A6452C" w:rsidRPr="005F120D">
        <w:rPr>
          <w:rFonts w:cstheme="minorHAnsi"/>
        </w:rPr>
        <w:t xml:space="preserve">as per DPP and RDPP </w:t>
      </w:r>
      <w:r w:rsidR="00570EC8" w:rsidRPr="005F120D">
        <w:rPr>
          <w:rFonts w:cstheme="minorHAnsi"/>
        </w:rPr>
        <w:t>2011</w:t>
      </w:r>
      <w:r w:rsidR="00A6452C" w:rsidRPr="005F120D">
        <w:rPr>
          <w:rFonts w:cstheme="minorHAnsi"/>
        </w:rPr>
        <w:t xml:space="preserve">/12 </w:t>
      </w:r>
      <w:r w:rsidR="00570EC8" w:rsidRPr="005F120D">
        <w:rPr>
          <w:rFonts w:cstheme="minorHAnsi"/>
        </w:rPr>
        <w:t>-2016/17</w:t>
      </w:r>
      <w:bookmarkEnd w:id="570"/>
    </w:p>
    <w:tbl>
      <w:tblPr>
        <w:tblW w:w="5055" w:type="pct"/>
        <w:tblLook w:val="04A0"/>
      </w:tblPr>
      <w:tblGrid>
        <w:gridCol w:w="4926"/>
        <w:gridCol w:w="4806"/>
      </w:tblGrid>
      <w:tr w:rsidR="00EA1FC1" w:rsidRPr="005F120D" w:rsidTr="00EA1FC1">
        <w:trPr>
          <w:trHeight w:val="3158"/>
        </w:trPr>
        <w:tc>
          <w:tcPr>
            <w:tcW w:w="2531" w:type="pct"/>
            <w:shd w:val="clear" w:color="auto" w:fill="auto"/>
          </w:tcPr>
          <w:p w:rsidR="00EA1FC1" w:rsidRPr="005F120D" w:rsidRDefault="00EA1FC1" w:rsidP="00C437AA">
            <w:pPr>
              <w:pStyle w:val="BodyText1"/>
              <w:spacing w:after="40"/>
              <w:jc w:val="both"/>
              <w:rPr>
                <w:rFonts w:asciiTheme="minorHAnsi" w:eastAsia="Calibri" w:hAnsiTheme="minorHAnsi" w:cstheme="minorHAnsi"/>
                <w:color w:val="FF0000"/>
              </w:rPr>
            </w:pPr>
            <w:r w:rsidRPr="005F120D">
              <w:rPr>
                <w:rFonts w:asciiTheme="minorHAnsi" w:eastAsia="Calibri" w:hAnsiTheme="minorHAnsi" w:cstheme="minorHAnsi"/>
                <w:noProof/>
                <w:color w:val="FF0000"/>
                <w:lang w:val="en-US" w:eastAsia="en-US"/>
              </w:rPr>
              <w:drawing>
                <wp:inline distT="0" distB="0" distL="0" distR="0">
                  <wp:extent cx="2932406" cy="2249697"/>
                  <wp:effectExtent l="38100" t="19050" r="20344"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2469" w:type="pct"/>
            <w:shd w:val="clear" w:color="auto" w:fill="auto"/>
          </w:tcPr>
          <w:p w:rsidR="00EA1FC1" w:rsidRPr="005F120D" w:rsidRDefault="00EA1FC1" w:rsidP="00C437AA">
            <w:pPr>
              <w:pStyle w:val="BodyText1"/>
              <w:spacing w:after="40"/>
              <w:rPr>
                <w:rFonts w:asciiTheme="minorHAnsi" w:eastAsia="Calibri" w:hAnsiTheme="minorHAnsi" w:cstheme="minorHAnsi"/>
                <w:color w:val="FF0000"/>
              </w:rPr>
            </w:pPr>
            <w:r w:rsidRPr="005F120D">
              <w:rPr>
                <w:rFonts w:asciiTheme="minorHAnsi" w:eastAsia="Calibri" w:hAnsiTheme="minorHAnsi" w:cstheme="minorHAnsi"/>
                <w:noProof/>
                <w:color w:val="FF0000"/>
                <w:lang w:val="en-US" w:eastAsia="en-US"/>
              </w:rPr>
              <w:drawing>
                <wp:inline distT="0" distB="0" distL="0" distR="0">
                  <wp:extent cx="2859848" cy="2249697"/>
                  <wp:effectExtent l="38100" t="19050" r="16702"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rsidR="00723403" w:rsidRPr="005F120D" w:rsidRDefault="00F90C01" w:rsidP="00C437AA">
      <w:pPr>
        <w:spacing w:line="276" w:lineRule="auto"/>
        <w:jc w:val="both"/>
        <w:rPr>
          <w:rFonts w:asciiTheme="minorHAnsi" w:hAnsiTheme="minorHAnsi" w:cstheme="minorHAnsi"/>
          <w:b/>
          <w:sz w:val="16"/>
          <w:szCs w:val="16"/>
        </w:rPr>
      </w:pPr>
      <w:r w:rsidRPr="005F120D">
        <w:rPr>
          <w:rFonts w:asciiTheme="minorHAnsi" w:hAnsiTheme="minorHAnsi" w:cstheme="minorHAnsi"/>
          <w:b/>
          <w:sz w:val="16"/>
          <w:szCs w:val="16"/>
        </w:rPr>
        <w:t xml:space="preserve">Sources: </w:t>
      </w:r>
      <w:r w:rsidR="00A265F0" w:rsidRPr="005F120D">
        <w:rPr>
          <w:rFonts w:asciiTheme="minorHAnsi" w:hAnsiTheme="minorHAnsi" w:cstheme="minorHAnsi"/>
          <w:b/>
          <w:sz w:val="16"/>
          <w:szCs w:val="16"/>
        </w:rPr>
        <w:t>RDPP, PEDP3</w:t>
      </w:r>
    </w:p>
    <w:p w:rsidR="00037F65" w:rsidRPr="005F120D" w:rsidRDefault="002A24F5" w:rsidP="004E77B3">
      <w:pPr>
        <w:jc w:val="both"/>
        <w:rPr>
          <w:rFonts w:asciiTheme="minorHAnsi" w:hAnsiTheme="minorHAnsi" w:cstheme="minorHAnsi"/>
          <w:sz w:val="16"/>
          <w:szCs w:val="16"/>
        </w:rPr>
      </w:pPr>
      <w:r w:rsidRPr="005F120D">
        <w:rPr>
          <w:rFonts w:asciiTheme="minorHAnsi" w:hAnsiTheme="minorHAnsi" w:cstheme="minorHAnsi"/>
          <w:szCs w:val="22"/>
        </w:rPr>
        <w:t>The comparison of the above two pie charts reveals that the balance between the non-development and development budgets has shifted slightly towards non-development in the revised DPP. The share of the development budget has fallen from 38% to 24%. A sharper change is evident in the composition of the revised discrete project budget. Discrete projects have gained a considerable budget share, accounting for almost 20% of the revised budget and up from 12% of the original budget</w:t>
      </w:r>
      <w:r w:rsidR="00B74F65" w:rsidRPr="005F120D">
        <w:rPr>
          <w:rFonts w:asciiTheme="minorHAnsi" w:hAnsiTheme="minorHAnsi" w:cstheme="minorHAnsi"/>
        </w:rPr>
        <w:t xml:space="preserve">. </w:t>
      </w:r>
    </w:p>
    <w:p w:rsidR="00332BB3" w:rsidRPr="005F120D" w:rsidRDefault="00332BB3" w:rsidP="004E77B3">
      <w:pPr>
        <w:pStyle w:val="Heading3"/>
      </w:pPr>
      <w:bookmarkStart w:id="571" w:name="_Toc385245758"/>
      <w:r w:rsidRPr="005F120D">
        <w:lastRenderedPageBreak/>
        <w:t>Education Financing Trend</w:t>
      </w:r>
      <w:bookmarkEnd w:id="571"/>
      <w:r w:rsidRPr="005F120D">
        <w:tab/>
      </w:r>
    </w:p>
    <w:p w:rsidR="000A6DD9" w:rsidRPr="005F120D" w:rsidRDefault="002A24F5" w:rsidP="00C437AA">
      <w:pPr>
        <w:spacing w:before="120" w:after="120" w:line="276" w:lineRule="auto"/>
        <w:jc w:val="both"/>
        <w:rPr>
          <w:rFonts w:asciiTheme="minorHAnsi" w:hAnsiTheme="minorHAnsi" w:cstheme="minorHAnsi"/>
        </w:rPr>
      </w:pPr>
      <w:r w:rsidRPr="005F120D">
        <w:rPr>
          <w:rFonts w:asciiTheme="minorHAnsi" w:hAnsiTheme="minorHAnsi" w:cstheme="minorHAnsi"/>
          <w:szCs w:val="22"/>
        </w:rPr>
        <w:t>Table 6.3 summarizes the education budget. Government funding for education as a percentage of GDP was reduced to 1.84% in FY 2015/16 but the volume of budget increased, alongside a modest rise in the education share of total government spending.  MoPME’s budget as a percentage of the sector was also reduced slightly to 45.89% in 2015/16.  Volume-wise, MoPME had a major budget increase (up 14.5%) from Taka 11,935 crore in 2013/14 to 13,673 crore in 2014/15, as well as (up 6.1%) in 2015/16 to Taka 14,504 crore compared to 2014/15 (TK. 13,673 crore)</w:t>
      </w:r>
      <w:r w:rsidR="00332BB3" w:rsidRPr="005F120D">
        <w:rPr>
          <w:rFonts w:asciiTheme="minorHAnsi" w:hAnsiTheme="minorHAnsi" w:cstheme="minorHAnsi"/>
        </w:rPr>
        <w:t xml:space="preserve">. </w:t>
      </w:r>
      <w:bookmarkStart w:id="572" w:name="_Ref387754609"/>
      <w:bookmarkStart w:id="573" w:name="_Toc385419611"/>
    </w:p>
    <w:p w:rsidR="00332BB3" w:rsidRPr="005F120D" w:rsidRDefault="00332BB3" w:rsidP="00C437AA">
      <w:pPr>
        <w:pStyle w:val="Caption"/>
        <w:spacing w:line="276" w:lineRule="auto"/>
        <w:rPr>
          <w:rFonts w:cstheme="minorHAnsi"/>
        </w:rPr>
      </w:pPr>
      <w:bookmarkStart w:id="574" w:name="_Toc462837306"/>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bookmarkEnd w:id="572"/>
      <w:r w:rsidRPr="005F120D">
        <w:rPr>
          <w:rFonts w:cstheme="minorHAnsi"/>
        </w:rPr>
        <w:t>:  Education Budget Overview:  Five Year Trend</w:t>
      </w:r>
      <w:bookmarkEnd w:id="573"/>
      <w:bookmarkEnd w:id="574"/>
    </w:p>
    <w:tbl>
      <w:tblPr>
        <w:tblW w:w="5103" w:type="pct"/>
        <w:tblBorders>
          <w:top w:val="single" w:sz="4" w:space="0" w:color="auto"/>
          <w:insideH w:val="single" w:sz="4" w:space="0" w:color="auto"/>
        </w:tblBorders>
        <w:tblLook w:val="04A0"/>
      </w:tblPr>
      <w:tblGrid>
        <w:gridCol w:w="3345"/>
        <w:gridCol w:w="822"/>
        <w:gridCol w:w="880"/>
        <w:gridCol w:w="879"/>
        <w:gridCol w:w="879"/>
        <w:gridCol w:w="877"/>
        <w:gridCol w:w="877"/>
        <w:gridCol w:w="876"/>
      </w:tblGrid>
      <w:tr w:rsidR="001E5CA2" w:rsidRPr="005F120D" w:rsidTr="004E77B3">
        <w:trPr>
          <w:trHeight w:hRule="exact" w:val="361"/>
        </w:trPr>
        <w:tc>
          <w:tcPr>
            <w:tcW w:w="1772" w:type="pct"/>
            <w:tcBorders>
              <w:bottom w:val="single" w:sz="4" w:space="0" w:color="auto"/>
            </w:tcBorders>
            <w:shd w:val="clear" w:color="auto" w:fill="C2D69B" w:themeFill="accent3" w:themeFillTint="99"/>
            <w:vAlign w:val="center"/>
            <w:hideMark/>
          </w:tcPr>
          <w:p w:rsidR="001E5CA2" w:rsidRPr="005F120D" w:rsidRDefault="001E5CA2" w:rsidP="00936D9E">
            <w:pPr>
              <w:spacing w:after="0"/>
              <w:jc w:val="center"/>
              <w:rPr>
                <w:rFonts w:asciiTheme="minorHAnsi" w:hAnsiTheme="minorHAnsi" w:cstheme="minorHAnsi"/>
                <w:b/>
                <w:bCs/>
                <w:sz w:val="18"/>
                <w:szCs w:val="18"/>
                <w:lang w:eastAsia="ja-JP"/>
              </w:rPr>
            </w:pPr>
          </w:p>
        </w:tc>
        <w:tc>
          <w:tcPr>
            <w:tcW w:w="435"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2009-10</w:t>
            </w:r>
          </w:p>
        </w:tc>
        <w:tc>
          <w:tcPr>
            <w:tcW w:w="466"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2010-11</w:t>
            </w:r>
          </w:p>
        </w:tc>
        <w:tc>
          <w:tcPr>
            <w:tcW w:w="466"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2011-12</w:t>
            </w:r>
          </w:p>
        </w:tc>
        <w:tc>
          <w:tcPr>
            <w:tcW w:w="466"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2012-13</w:t>
            </w:r>
          </w:p>
        </w:tc>
        <w:tc>
          <w:tcPr>
            <w:tcW w:w="465" w:type="pct"/>
            <w:tcBorders>
              <w:bottom w:val="single" w:sz="4" w:space="0" w:color="auto"/>
            </w:tcBorders>
            <w:shd w:val="clear" w:color="auto" w:fill="C2D69B" w:themeFill="accent3" w:themeFillTint="99"/>
            <w:vAlign w:val="center"/>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2013-14</w:t>
            </w:r>
          </w:p>
        </w:tc>
        <w:tc>
          <w:tcPr>
            <w:tcW w:w="465" w:type="pct"/>
            <w:tcBorders>
              <w:bottom w:val="single" w:sz="4" w:space="0" w:color="auto"/>
            </w:tcBorders>
            <w:shd w:val="clear" w:color="auto" w:fill="C2D69B" w:themeFill="accent3" w:themeFillTint="99"/>
            <w:vAlign w:val="center"/>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2014-15</w:t>
            </w:r>
          </w:p>
        </w:tc>
        <w:tc>
          <w:tcPr>
            <w:tcW w:w="464" w:type="pct"/>
            <w:tcBorders>
              <w:bottom w:val="single" w:sz="4" w:space="0" w:color="auto"/>
            </w:tcBorders>
            <w:shd w:val="clear" w:color="auto" w:fill="C2D69B" w:themeFill="accent3" w:themeFillTint="99"/>
            <w:vAlign w:val="center"/>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2015-16</w:t>
            </w:r>
          </w:p>
        </w:tc>
      </w:tr>
      <w:tr w:rsidR="001E5CA2" w:rsidRPr="005F120D" w:rsidTr="004E77B3">
        <w:trPr>
          <w:trHeight w:hRule="exact" w:val="289"/>
        </w:trPr>
        <w:tc>
          <w:tcPr>
            <w:tcW w:w="1772" w:type="pct"/>
            <w:tcBorders>
              <w:top w:val="single" w:sz="4" w:space="0" w:color="auto"/>
              <w:bottom w:val="single" w:sz="4" w:space="0" w:color="auto"/>
            </w:tcBorders>
            <w:shd w:val="clear" w:color="auto" w:fill="auto"/>
            <w:vAlign w:val="center"/>
            <w:hideMark/>
          </w:tcPr>
          <w:p w:rsidR="001E5CA2" w:rsidRPr="005F120D" w:rsidRDefault="001E5CA2" w:rsidP="004E77B3">
            <w:pPr>
              <w:spacing w:after="0"/>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Allocation of Education as % of GDP</w:t>
            </w:r>
          </w:p>
        </w:tc>
        <w:tc>
          <w:tcPr>
            <w:tcW w:w="435" w:type="pct"/>
            <w:tcBorders>
              <w:top w:val="single" w:sz="4" w:space="0" w:color="auto"/>
              <w:bottom w:val="single" w:sz="4" w:space="0" w:color="auto"/>
            </w:tcBorders>
            <w:shd w:val="clear" w:color="auto" w:fill="auto"/>
            <w:noWrap/>
            <w:vAlign w:val="center"/>
            <w:hideMark/>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2.04</w:t>
            </w:r>
          </w:p>
        </w:tc>
        <w:tc>
          <w:tcPr>
            <w:tcW w:w="466" w:type="pct"/>
            <w:tcBorders>
              <w:top w:val="single" w:sz="4" w:space="0" w:color="auto"/>
              <w:bottom w:val="single" w:sz="4" w:space="0" w:color="auto"/>
            </w:tcBorders>
            <w:shd w:val="clear" w:color="auto" w:fill="auto"/>
            <w:noWrap/>
            <w:vAlign w:val="center"/>
            <w:hideMark/>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2.30</w:t>
            </w:r>
          </w:p>
        </w:tc>
        <w:tc>
          <w:tcPr>
            <w:tcW w:w="466" w:type="pct"/>
            <w:tcBorders>
              <w:top w:val="single" w:sz="4" w:space="0" w:color="auto"/>
              <w:bottom w:val="single" w:sz="4" w:space="0" w:color="auto"/>
            </w:tcBorders>
            <w:shd w:val="clear" w:color="auto" w:fill="auto"/>
            <w:noWrap/>
            <w:vAlign w:val="center"/>
            <w:hideMark/>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2.20</w:t>
            </w:r>
          </w:p>
        </w:tc>
        <w:tc>
          <w:tcPr>
            <w:tcW w:w="466" w:type="pct"/>
            <w:tcBorders>
              <w:top w:val="single" w:sz="4" w:space="0" w:color="auto"/>
              <w:bottom w:val="single" w:sz="4" w:space="0" w:color="auto"/>
            </w:tcBorders>
            <w:shd w:val="clear" w:color="auto" w:fill="auto"/>
            <w:noWrap/>
            <w:vAlign w:val="center"/>
            <w:hideMark/>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2.06</w:t>
            </w:r>
          </w:p>
        </w:tc>
        <w:tc>
          <w:tcPr>
            <w:tcW w:w="465" w:type="pct"/>
            <w:tcBorders>
              <w:top w:val="single" w:sz="4" w:space="0" w:color="auto"/>
              <w:bottom w:val="single" w:sz="4" w:space="0" w:color="auto"/>
            </w:tcBorders>
            <w:vAlign w:val="center"/>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2.11</w:t>
            </w:r>
          </w:p>
        </w:tc>
        <w:tc>
          <w:tcPr>
            <w:tcW w:w="465" w:type="pct"/>
            <w:tcBorders>
              <w:top w:val="single" w:sz="4" w:space="0" w:color="auto"/>
              <w:bottom w:val="single" w:sz="4" w:space="0" w:color="auto"/>
            </w:tcBorders>
            <w:vAlign w:val="center"/>
          </w:tcPr>
          <w:p w:rsidR="001E5CA2" w:rsidRPr="005F120D" w:rsidRDefault="001E5CA2"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2.18</w:t>
            </w:r>
          </w:p>
        </w:tc>
        <w:tc>
          <w:tcPr>
            <w:tcW w:w="464" w:type="pct"/>
            <w:tcBorders>
              <w:top w:val="single" w:sz="4" w:space="0" w:color="auto"/>
              <w:bottom w:val="single" w:sz="4" w:space="0" w:color="auto"/>
            </w:tcBorders>
            <w:vAlign w:val="center"/>
          </w:tcPr>
          <w:p w:rsidR="001E5CA2" w:rsidRPr="005F120D" w:rsidRDefault="00BF620C" w:rsidP="00936D9E">
            <w:pPr>
              <w:spacing w:after="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1.84</w:t>
            </w:r>
          </w:p>
        </w:tc>
      </w:tr>
      <w:tr w:rsidR="001E5CA2" w:rsidRPr="005F120D" w:rsidTr="004E77B3">
        <w:trPr>
          <w:trHeight w:hRule="exact" w:val="271"/>
        </w:trPr>
        <w:tc>
          <w:tcPr>
            <w:tcW w:w="1772" w:type="pct"/>
            <w:tcBorders>
              <w:bottom w:val="single" w:sz="4" w:space="0" w:color="auto"/>
            </w:tcBorders>
            <w:shd w:val="clear" w:color="auto" w:fill="C2D69B" w:themeFill="accent3" w:themeFillTint="99"/>
            <w:vAlign w:val="center"/>
            <w:hideMark/>
          </w:tcPr>
          <w:p w:rsidR="001E5CA2" w:rsidRPr="005F120D" w:rsidRDefault="001E5CA2" w:rsidP="004E77B3">
            <w:pPr>
              <w:spacing w:after="0"/>
              <w:rPr>
                <w:rFonts w:asciiTheme="minorHAnsi" w:hAnsiTheme="minorHAnsi" w:cstheme="minorHAnsi"/>
                <w:b/>
                <w:sz w:val="18"/>
                <w:szCs w:val="18"/>
              </w:rPr>
            </w:pPr>
            <w:r w:rsidRPr="005F120D">
              <w:rPr>
                <w:rFonts w:asciiTheme="minorHAnsi" w:hAnsiTheme="minorHAnsi" w:cstheme="minorHAnsi"/>
                <w:b/>
                <w:sz w:val="18"/>
                <w:szCs w:val="18"/>
              </w:rPr>
              <w:t>Education as % of All Sectors</w:t>
            </w:r>
          </w:p>
        </w:tc>
        <w:tc>
          <w:tcPr>
            <w:tcW w:w="435"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14.0</w:t>
            </w:r>
          </w:p>
        </w:tc>
        <w:tc>
          <w:tcPr>
            <w:tcW w:w="466"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15.8</w:t>
            </w:r>
          </w:p>
        </w:tc>
        <w:tc>
          <w:tcPr>
            <w:tcW w:w="466"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14.8</w:t>
            </w:r>
          </w:p>
        </w:tc>
        <w:tc>
          <w:tcPr>
            <w:tcW w:w="466"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13.9</w:t>
            </w:r>
          </w:p>
        </w:tc>
        <w:tc>
          <w:tcPr>
            <w:tcW w:w="465" w:type="pct"/>
            <w:tcBorders>
              <w:bottom w:val="single" w:sz="4" w:space="0" w:color="auto"/>
            </w:tcBorders>
            <w:shd w:val="clear" w:color="auto" w:fill="C2D69B" w:themeFill="accent3" w:themeFillTint="99"/>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14.0</w:t>
            </w:r>
          </w:p>
        </w:tc>
        <w:tc>
          <w:tcPr>
            <w:tcW w:w="465" w:type="pct"/>
            <w:tcBorders>
              <w:bottom w:val="single" w:sz="4" w:space="0" w:color="auto"/>
            </w:tcBorders>
            <w:shd w:val="clear" w:color="auto" w:fill="C2D69B" w:themeFill="accent3" w:themeFillTint="99"/>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14.01</w:t>
            </w:r>
          </w:p>
        </w:tc>
        <w:tc>
          <w:tcPr>
            <w:tcW w:w="464" w:type="pct"/>
            <w:tcBorders>
              <w:bottom w:val="single" w:sz="4" w:space="0" w:color="auto"/>
            </w:tcBorders>
            <w:shd w:val="clear" w:color="auto" w:fill="C2D69B" w:themeFill="accent3" w:themeFillTint="99"/>
            <w:vAlign w:val="center"/>
          </w:tcPr>
          <w:p w:rsidR="001E5CA2" w:rsidRPr="005F120D" w:rsidRDefault="00BF620C"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12.08</w:t>
            </w:r>
          </w:p>
        </w:tc>
      </w:tr>
      <w:tr w:rsidR="001E5CA2" w:rsidRPr="005F120D" w:rsidTr="004E77B3">
        <w:trPr>
          <w:trHeight w:hRule="exact" w:val="253"/>
        </w:trPr>
        <w:tc>
          <w:tcPr>
            <w:tcW w:w="1772" w:type="pct"/>
            <w:tcBorders>
              <w:bottom w:val="single" w:sz="4" w:space="0" w:color="auto"/>
            </w:tcBorders>
            <w:shd w:val="clear" w:color="auto" w:fill="FFFFFF" w:themeFill="background1"/>
            <w:vAlign w:val="center"/>
          </w:tcPr>
          <w:p w:rsidR="001E5CA2" w:rsidRPr="005F120D" w:rsidRDefault="001E5CA2" w:rsidP="004E77B3">
            <w:pPr>
              <w:spacing w:after="0"/>
              <w:rPr>
                <w:rFonts w:asciiTheme="minorHAnsi" w:hAnsiTheme="minorHAnsi" w:cstheme="minorHAnsi"/>
                <w:b/>
                <w:sz w:val="18"/>
                <w:szCs w:val="18"/>
              </w:rPr>
            </w:pPr>
            <w:r w:rsidRPr="005F120D">
              <w:rPr>
                <w:rFonts w:asciiTheme="minorHAnsi" w:hAnsiTheme="minorHAnsi" w:cstheme="minorHAnsi"/>
                <w:b/>
                <w:sz w:val="18"/>
                <w:szCs w:val="18"/>
                <w:lang w:eastAsia="ja-JP"/>
              </w:rPr>
              <w:t>MoPME Budget as % of GDP</w:t>
            </w:r>
          </w:p>
        </w:tc>
        <w:tc>
          <w:tcPr>
            <w:tcW w:w="435" w:type="pct"/>
            <w:tcBorders>
              <w:bottom w:val="single" w:sz="4" w:space="0" w:color="auto"/>
            </w:tcBorders>
            <w:shd w:val="clear" w:color="auto" w:fill="FFFFFF" w:themeFill="background1"/>
            <w:noWrap/>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0.96</w:t>
            </w:r>
          </w:p>
        </w:tc>
        <w:tc>
          <w:tcPr>
            <w:tcW w:w="466" w:type="pct"/>
            <w:tcBorders>
              <w:bottom w:val="single" w:sz="4" w:space="0" w:color="auto"/>
            </w:tcBorders>
            <w:shd w:val="clear" w:color="auto" w:fill="FFFFFF" w:themeFill="background1"/>
            <w:noWrap/>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1.03</w:t>
            </w:r>
          </w:p>
        </w:tc>
        <w:tc>
          <w:tcPr>
            <w:tcW w:w="466" w:type="pct"/>
            <w:tcBorders>
              <w:bottom w:val="single" w:sz="4" w:space="0" w:color="auto"/>
            </w:tcBorders>
            <w:shd w:val="clear" w:color="auto" w:fill="FFFFFF" w:themeFill="background1"/>
            <w:noWrap/>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1.00</w:t>
            </w:r>
          </w:p>
        </w:tc>
        <w:tc>
          <w:tcPr>
            <w:tcW w:w="466" w:type="pct"/>
            <w:tcBorders>
              <w:bottom w:val="single" w:sz="4" w:space="0" w:color="auto"/>
            </w:tcBorders>
            <w:shd w:val="clear" w:color="auto" w:fill="FFFFFF" w:themeFill="background1"/>
            <w:noWrap/>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0.94</w:t>
            </w:r>
          </w:p>
        </w:tc>
        <w:tc>
          <w:tcPr>
            <w:tcW w:w="465" w:type="pct"/>
            <w:tcBorders>
              <w:bottom w:val="single" w:sz="4" w:space="0" w:color="auto"/>
            </w:tcBorders>
            <w:shd w:val="clear" w:color="auto" w:fill="FFFFFF" w:themeFill="background1"/>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1.00</w:t>
            </w:r>
          </w:p>
        </w:tc>
        <w:tc>
          <w:tcPr>
            <w:tcW w:w="465" w:type="pct"/>
            <w:tcBorders>
              <w:bottom w:val="single" w:sz="4" w:space="0" w:color="auto"/>
            </w:tcBorders>
            <w:shd w:val="clear" w:color="auto" w:fill="FFFFFF" w:themeFill="background1"/>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1.02</w:t>
            </w:r>
          </w:p>
        </w:tc>
        <w:tc>
          <w:tcPr>
            <w:tcW w:w="464" w:type="pct"/>
            <w:tcBorders>
              <w:bottom w:val="single" w:sz="4" w:space="0" w:color="auto"/>
            </w:tcBorders>
            <w:shd w:val="clear" w:color="auto" w:fill="FFFFFF" w:themeFill="background1"/>
            <w:vAlign w:val="center"/>
          </w:tcPr>
          <w:p w:rsidR="001E5CA2" w:rsidRPr="005F120D" w:rsidRDefault="00E735C1"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r w:rsidR="00BF620C" w:rsidRPr="005F120D">
              <w:rPr>
                <w:rFonts w:asciiTheme="minorHAnsi" w:hAnsiTheme="minorHAnsi" w:cstheme="minorHAnsi"/>
                <w:sz w:val="18"/>
                <w:szCs w:val="18"/>
              </w:rPr>
              <w:t>84</w:t>
            </w:r>
          </w:p>
        </w:tc>
      </w:tr>
      <w:tr w:rsidR="001E5CA2" w:rsidRPr="005F120D" w:rsidTr="004E77B3">
        <w:trPr>
          <w:trHeight w:hRule="exact" w:val="289"/>
        </w:trPr>
        <w:tc>
          <w:tcPr>
            <w:tcW w:w="1772" w:type="pct"/>
            <w:tcBorders>
              <w:bottom w:val="single" w:sz="4" w:space="0" w:color="auto"/>
            </w:tcBorders>
            <w:shd w:val="clear" w:color="auto" w:fill="C2D69B" w:themeFill="accent3" w:themeFillTint="99"/>
            <w:vAlign w:val="center"/>
            <w:hideMark/>
          </w:tcPr>
          <w:p w:rsidR="001E5CA2" w:rsidRPr="005F120D" w:rsidRDefault="001E5CA2" w:rsidP="004E77B3">
            <w:pPr>
              <w:spacing w:after="0"/>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MoPME Budget as % of Education Sector</w:t>
            </w:r>
          </w:p>
        </w:tc>
        <w:tc>
          <w:tcPr>
            <w:tcW w:w="435"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47.2</w:t>
            </w:r>
          </w:p>
        </w:tc>
        <w:tc>
          <w:tcPr>
            <w:tcW w:w="466"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45.0</w:t>
            </w:r>
          </w:p>
        </w:tc>
        <w:tc>
          <w:tcPr>
            <w:tcW w:w="466"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45.2</w:t>
            </w:r>
          </w:p>
        </w:tc>
        <w:tc>
          <w:tcPr>
            <w:tcW w:w="466" w:type="pct"/>
            <w:tcBorders>
              <w:bottom w:val="single" w:sz="4" w:space="0" w:color="auto"/>
            </w:tcBorders>
            <w:shd w:val="clear" w:color="auto" w:fill="C2D69B" w:themeFill="accent3" w:themeFillTint="99"/>
            <w:noWrap/>
            <w:vAlign w:val="center"/>
            <w:hideMark/>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45</w:t>
            </w:r>
          </w:p>
        </w:tc>
        <w:tc>
          <w:tcPr>
            <w:tcW w:w="465" w:type="pct"/>
            <w:tcBorders>
              <w:bottom w:val="single" w:sz="4" w:space="0" w:color="auto"/>
            </w:tcBorders>
            <w:shd w:val="clear" w:color="auto" w:fill="C2D69B" w:themeFill="accent3" w:themeFillTint="99"/>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45.4</w:t>
            </w:r>
          </w:p>
        </w:tc>
        <w:tc>
          <w:tcPr>
            <w:tcW w:w="465" w:type="pct"/>
            <w:tcBorders>
              <w:bottom w:val="single" w:sz="4" w:space="0" w:color="auto"/>
            </w:tcBorders>
            <w:shd w:val="clear" w:color="auto" w:fill="C2D69B" w:themeFill="accent3" w:themeFillTint="99"/>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46.8</w:t>
            </w:r>
          </w:p>
        </w:tc>
        <w:tc>
          <w:tcPr>
            <w:tcW w:w="464" w:type="pct"/>
            <w:tcBorders>
              <w:bottom w:val="single" w:sz="4" w:space="0" w:color="auto"/>
            </w:tcBorders>
            <w:shd w:val="clear" w:color="auto" w:fill="C2D69B" w:themeFill="accent3" w:themeFillTint="99"/>
            <w:vAlign w:val="center"/>
          </w:tcPr>
          <w:p w:rsidR="001E5CA2" w:rsidRPr="005F120D" w:rsidRDefault="00BF620C"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45.89</w:t>
            </w:r>
          </w:p>
        </w:tc>
      </w:tr>
      <w:tr w:rsidR="001E5CA2" w:rsidRPr="005F120D" w:rsidTr="004E77B3">
        <w:trPr>
          <w:trHeight w:hRule="exact" w:val="271"/>
        </w:trPr>
        <w:tc>
          <w:tcPr>
            <w:tcW w:w="1772" w:type="pct"/>
            <w:tcBorders>
              <w:bottom w:val="single" w:sz="4" w:space="0" w:color="auto"/>
            </w:tcBorders>
            <w:shd w:val="clear" w:color="auto" w:fill="FFFFFF" w:themeFill="background1"/>
            <w:vAlign w:val="center"/>
          </w:tcPr>
          <w:p w:rsidR="001E5CA2" w:rsidRPr="005F120D" w:rsidRDefault="001E5CA2" w:rsidP="004E77B3">
            <w:pPr>
              <w:spacing w:after="0"/>
              <w:rPr>
                <w:rFonts w:asciiTheme="minorHAnsi" w:hAnsiTheme="minorHAnsi" w:cstheme="minorHAnsi"/>
                <w:b/>
                <w:sz w:val="18"/>
                <w:szCs w:val="18"/>
                <w:lang w:eastAsia="ja-JP"/>
              </w:rPr>
            </w:pPr>
            <w:r w:rsidRPr="005F120D">
              <w:rPr>
                <w:rFonts w:asciiTheme="minorHAnsi" w:hAnsiTheme="minorHAnsi" w:cstheme="minorHAnsi"/>
                <w:b/>
                <w:sz w:val="18"/>
                <w:szCs w:val="18"/>
              </w:rPr>
              <w:t>Allocation MoPME (Crore Taka)</w:t>
            </w:r>
          </w:p>
        </w:tc>
        <w:tc>
          <w:tcPr>
            <w:tcW w:w="435" w:type="pct"/>
            <w:tcBorders>
              <w:bottom w:val="single" w:sz="4" w:space="0" w:color="auto"/>
            </w:tcBorders>
            <w:shd w:val="clear" w:color="auto" w:fill="FFFFFF" w:themeFill="background1"/>
            <w:noWrap/>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6,611</w:t>
            </w:r>
          </w:p>
        </w:tc>
        <w:tc>
          <w:tcPr>
            <w:tcW w:w="466" w:type="pct"/>
            <w:tcBorders>
              <w:bottom w:val="single" w:sz="4" w:space="0" w:color="auto"/>
            </w:tcBorders>
            <w:shd w:val="clear" w:color="auto" w:fill="FFFFFF" w:themeFill="background1"/>
            <w:noWrap/>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8,062</w:t>
            </w:r>
          </w:p>
        </w:tc>
        <w:tc>
          <w:tcPr>
            <w:tcW w:w="466" w:type="pct"/>
            <w:tcBorders>
              <w:bottom w:val="single" w:sz="4" w:space="0" w:color="auto"/>
            </w:tcBorders>
            <w:shd w:val="clear" w:color="auto" w:fill="FFFFFF" w:themeFill="background1"/>
            <w:noWrap/>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8,956</w:t>
            </w:r>
          </w:p>
        </w:tc>
        <w:tc>
          <w:tcPr>
            <w:tcW w:w="466" w:type="pct"/>
            <w:tcBorders>
              <w:bottom w:val="single" w:sz="4" w:space="0" w:color="auto"/>
            </w:tcBorders>
            <w:shd w:val="clear" w:color="auto" w:fill="FFFFFF" w:themeFill="background1"/>
            <w:noWrap/>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9,825</w:t>
            </w:r>
          </w:p>
        </w:tc>
        <w:tc>
          <w:tcPr>
            <w:tcW w:w="465" w:type="pct"/>
            <w:tcBorders>
              <w:bottom w:val="single" w:sz="4" w:space="0" w:color="auto"/>
            </w:tcBorders>
            <w:shd w:val="clear" w:color="auto" w:fill="FFFFFF" w:themeFill="background1"/>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11,935</w:t>
            </w:r>
          </w:p>
        </w:tc>
        <w:tc>
          <w:tcPr>
            <w:tcW w:w="465" w:type="pct"/>
            <w:tcBorders>
              <w:bottom w:val="single" w:sz="4" w:space="0" w:color="auto"/>
            </w:tcBorders>
            <w:shd w:val="clear" w:color="auto" w:fill="FFFFFF" w:themeFill="background1"/>
            <w:vAlign w:val="center"/>
          </w:tcPr>
          <w:p w:rsidR="001E5CA2" w:rsidRPr="005F120D" w:rsidRDefault="001E5CA2"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13,673</w:t>
            </w:r>
          </w:p>
        </w:tc>
        <w:tc>
          <w:tcPr>
            <w:tcW w:w="464" w:type="pct"/>
            <w:tcBorders>
              <w:bottom w:val="single" w:sz="4" w:space="0" w:color="auto"/>
            </w:tcBorders>
            <w:shd w:val="clear" w:color="auto" w:fill="FFFFFF" w:themeFill="background1"/>
            <w:vAlign w:val="center"/>
          </w:tcPr>
          <w:p w:rsidR="001E5CA2" w:rsidRPr="005F120D" w:rsidRDefault="00624F8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14,504</w:t>
            </w:r>
          </w:p>
        </w:tc>
      </w:tr>
    </w:tbl>
    <w:p w:rsidR="00332BB3" w:rsidRPr="005F120D" w:rsidRDefault="00BF620C" w:rsidP="00C437AA">
      <w:pPr>
        <w:pStyle w:val="BodyText1"/>
        <w:rPr>
          <w:rFonts w:asciiTheme="minorHAnsi" w:hAnsiTheme="minorHAnsi" w:cstheme="minorHAnsi"/>
          <w:b w:val="0"/>
          <w:i/>
          <w:sz w:val="16"/>
          <w:szCs w:val="16"/>
        </w:rPr>
      </w:pPr>
      <w:r w:rsidRPr="005F120D">
        <w:rPr>
          <w:rFonts w:asciiTheme="minorHAnsi" w:hAnsiTheme="minorHAnsi" w:cstheme="minorHAnsi"/>
          <w:b w:val="0"/>
          <w:i/>
          <w:sz w:val="16"/>
          <w:szCs w:val="16"/>
        </w:rPr>
        <w:t>Source:  MoF budget documents and MTBF</w:t>
      </w:r>
    </w:p>
    <w:p w:rsidR="008603F1" w:rsidRPr="005F120D" w:rsidRDefault="002A24F5" w:rsidP="004E77B3">
      <w:pPr>
        <w:jc w:val="both"/>
        <w:rPr>
          <w:rFonts w:asciiTheme="minorHAnsi" w:hAnsiTheme="minorHAnsi" w:cstheme="minorHAnsi"/>
          <w:szCs w:val="22"/>
        </w:rPr>
      </w:pPr>
      <w:r w:rsidRPr="005F120D">
        <w:rPr>
          <w:rFonts w:asciiTheme="minorHAnsi" w:hAnsiTheme="minorHAnsi" w:cstheme="minorHAnsi"/>
          <w:szCs w:val="22"/>
          <w:lang w:eastAsia="ja-JP"/>
        </w:rPr>
        <w:t>In order to ensure a predictable budget for PEDP3 implementation, one of the DLIs on ‘Sector Finance’ is the alignment of the education budget with the Medium-Term Budgetary Framework (MTBF</w:t>
      </w:r>
      <w:bookmarkStart w:id="575" w:name="_Ref387756992"/>
      <w:r w:rsidR="0025109C" w:rsidRPr="005F120D">
        <w:rPr>
          <w:rFonts w:asciiTheme="minorHAnsi" w:hAnsiTheme="minorHAnsi" w:cstheme="minorHAnsi"/>
          <w:szCs w:val="22"/>
          <w:lang w:eastAsia="ja-JP"/>
        </w:rPr>
        <w:t>) Table 6.4</w:t>
      </w:r>
      <w:r w:rsidRPr="005F120D">
        <w:rPr>
          <w:rFonts w:asciiTheme="minorHAnsi" w:hAnsiTheme="minorHAnsi" w:cstheme="minorHAnsi"/>
          <w:szCs w:val="22"/>
          <w:lang w:eastAsia="ja-JP"/>
        </w:rPr>
        <w:t>shows that the Government has met its MTBF projections on the MoPME budget allocation for the past five years; only 2012/13 was not met.  The MoPME budget exceeded MTBF by 6.8% in 2010/11, by 0.04% in 2011/12, by 7.9% in 2013/14, by 0.02% in 2014/15 and 0.01% in 2015/16 respectively.  However, there has been less certainty in the allocation of the non-development and development budget.  For instance in 2010/11, the non-development budget exceeded the MTBF projection by 27.3% due to the recruitment of new teachers but reduced by 20.7% in 2012/13. From the 2013/14 the non-development budget again exceeded MTBF projections in order to cover NNPS teachers pay.  In 2012/13, the development budget exceeded MTBF projection by 24.4% and dropped by 16.77% in 2014/15.  The lack of predictability in the development budget presents a challenge for PEDP3 in operational planning and in the achievement of annual targets and results</w:t>
      </w:r>
    </w:p>
    <w:p w:rsidR="00FD6625" w:rsidRPr="005F120D" w:rsidRDefault="00412672" w:rsidP="00C437AA">
      <w:pPr>
        <w:pStyle w:val="Caption"/>
        <w:spacing w:before="120" w:after="120" w:line="276" w:lineRule="auto"/>
        <w:rPr>
          <w:rFonts w:cstheme="minorHAnsi"/>
        </w:rPr>
      </w:pPr>
      <w:bookmarkStart w:id="576" w:name="_Toc462837307"/>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4</w:t>
      </w:r>
      <w:r w:rsidR="002E2ED5" w:rsidRPr="005F120D">
        <w:rPr>
          <w:rFonts w:cstheme="minorHAnsi"/>
        </w:rPr>
        <w:fldChar w:fldCharType="end"/>
      </w:r>
      <w:bookmarkEnd w:id="575"/>
      <w:r w:rsidRPr="005F120D">
        <w:rPr>
          <w:rFonts w:cstheme="minorHAnsi"/>
        </w:rPr>
        <w:t>: MoPME Budget and MTBF 2010-1</w:t>
      </w:r>
      <w:r w:rsidR="0020637A" w:rsidRPr="005F120D">
        <w:rPr>
          <w:rFonts w:cstheme="minorHAnsi"/>
        </w:rPr>
        <w:t>6</w:t>
      </w:r>
      <w:bookmarkEnd w:id="576"/>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228"/>
        <w:gridCol w:w="1601"/>
        <w:gridCol w:w="1250"/>
        <w:gridCol w:w="1206"/>
        <w:gridCol w:w="1206"/>
        <w:gridCol w:w="1028"/>
        <w:gridCol w:w="990"/>
        <w:gridCol w:w="1308"/>
      </w:tblGrid>
      <w:tr w:rsidR="001E5CA2" w:rsidRPr="005F120D" w:rsidTr="004E77B3">
        <w:trPr>
          <w:trHeight w:val="288"/>
          <w:tblHeader/>
          <w:jc w:val="center"/>
        </w:trPr>
        <w:tc>
          <w:tcPr>
            <w:tcW w:w="2829" w:type="dxa"/>
            <w:gridSpan w:val="2"/>
            <w:tcBorders>
              <w:top w:val="single" w:sz="12" w:space="0" w:color="auto"/>
              <w:left w:val="single" w:sz="12" w:space="0" w:color="auto"/>
              <w:bottom w:val="single" w:sz="12" w:space="0" w:color="auto"/>
              <w:right w:val="nil"/>
            </w:tcBorders>
            <w:shd w:val="clear" w:color="auto" w:fill="C2D69B" w:themeFill="accent3" w:themeFillTint="99"/>
            <w:noWrap/>
            <w:vAlign w:val="center"/>
            <w:hideMark/>
          </w:tcPr>
          <w:p w:rsidR="001E5CA2" w:rsidRPr="005F120D" w:rsidRDefault="001E5CA2" w:rsidP="00936D9E">
            <w:pPr>
              <w:spacing w:after="0"/>
              <w:rPr>
                <w:rFonts w:asciiTheme="minorHAnsi" w:hAnsiTheme="minorHAnsi" w:cstheme="minorHAnsi"/>
                <w:sz w:val="18"/>
                <w:szCs w:val="18"/>
                <w:lang w:eastAsia="ja-JP"/>
              </w:rPr>
            </w:pPr>
          </w:p>
        </w:tc>
        <w:tc>
          <w:tcPr>
            <w:tcW w:w="1250" w:type="dxa"/>
            <w:tcBorders>
              <w:top w:val="single" w:sz="12" w:space="0" w:color="auto"/>
              <w:left w:val="nil"/>
              <w:bottom w:val="single" w:sz="12" w:space="0" w:color="auto"/>
              <w:right w:val="nil"/>
            </w:tcBorders>
            <w:shd w:val="clear" w:color="auto" w:fill="C2D69B" w:themeFill="accent3" w:themeFillTint="99"/>
            <w:noWrap/>
            <w:vAlign w:val="center"/>
            <w:hideMark/>
          </w:tcPr>
          <w:p w:rsidR="001E5CA2" w:rsidRPr="005F120D" w:rsidRDefault="001E5CA2" w:rsidP="00936D9E">
            <w:pPr>
              <w:spacing w:after="0"/>
              <w:jc w:val="right"/>
              <w:rPr>
                <w:rFonts w:asciiTheme="minorHAnsi" w:hAnsiTheme="minorHAnsi" w:cstheme="minorHAnsi"/>
                <w:b/>
                <w:bCs/>
                <w:sz w:val="18"/>
                <w:szCs w:val="18"/>
                <w:lang w:eastAsia="ja-JP"/>
              </w:rPr>
            </w:pPr>
            <w:r w:rsidRPr="005F120D">
              <w:rPr>
                <w:rFonts w:asciiTheme="minorHAnsi" w:hAnsiTheme="minorHAnsi" w:cstheme="minorHAnsi"/>
                <w:b/>
                <w:bCs/>
                <w:sz w:val="18"/>
                <w:szCs w:val="18"/>
                <w:lang w:eastAsia="ja-JP"/>
              </w:rPr>
              <w:t>2010-11</w:t>
            </w:r>
          </w:p>
        </w:tc>
        <w:tc>
          <w:tcPr>
            <w:tcW w:w="1206" w:type="dxa"/>
            <w:tcBorders>
              <w:top w:val="single" w:sz="12" w:space="0" w:color="auto"/>
              <w:left w:val="nil"/>
              <w:bottom w:val="single" w:sz="12" w:space="0" w:color="auto"/>
              <w:right w:val="nil"/>
            </w:tcBorders>
            <w:shd w:val="clear" w:color="auto" w:fill="C2D69B" w:themeFill="accent3" w:themeFillTint="99"/>
            <w:noWrap/>
            <w:vAlign w:val="center"/>
            <w:hideMark/>
          </w:tcPr>
          <w:p w:rsidR="001E5CA2" w:rsidRPr="005F120D" w:rsidRDefault="001E5CA2" w:rsidP="00936D9E">
            <w:pPr>
              <w:spacing w:after="0"/>
              <w:jc w:val="right"/>
              <w:rPr>
                <w:rFonts w:asciiTheme="minorHAnsi" w:hAnsiTheme="minorHAnsi" w:cstheme="minorHAnsi"/>
                <w:b/>
                <w:bCs/>
                <w:sz w:val="18"/>
                <w:szCs w:val="18"/>
                <w:lang w:eastAsia="ja-JP"/>
              </w:rPr>
            </w:pPr>
            <w:r w:rsidRPr="005F120D">
              <w:rPr>
                <w:rFonts w:asciiTheme="minorHAnsi" w:hAnsiTheme="minorHAnsi" w:cstheme="minorHAnsi"/>
                <w:b/>
                <w:bCs/>
                <w:sz w:val="18"/>
                <w:szCs w:val="18"/>
                <w:lang w:eastAsia="ja-JP"/>
              </w:rPr>
              <w:t>2011-12</w:t>
            </w:r>
          </w:p>
        </w:tc>
        <w:tc>
          <w:tcPr>
            <w:tcW w:w="1206" w:type="dxa"/>
            <w:tcBorders>
              <w:top w:val="single" w:sz="12" w:space="0" w:color="auto"/>
              <w:left w:val="nil"/>
              <w:bottom w:val="single" w:sz="12" w:space="0" w:color="auto"/>
              <w:right w:val="nil"/>
            </w:tcBorders>
            <w:shd w:val="clear" w:color="auto" w:fill="C2D69B" w:themeFill="accent3" w:themeFillTint="99"/>
            <w:noWrap/>
            <w:vAlign w:val="center"/>
            <w:hideMark/>
          </w:tcPr>
          <w:p w:rsidR="001E5CA2" w:rsidRPr="005F120D" w:rsidRDefault="001E5CA2" w:rsidP="00936D9E">
            <w:pPr>
              <w:spacing w:after="0"/>
              <w:jc w:val="right"/>
              <w:rPr>
                <w:rFonts w:asciiTheme="minorHAnsi" w:hAnsiTheme="minorHAnsi" w:cstheme="minorHAnsi"/>
                <w:b/>
                <w:bCs/>
                <w:sz w:val="18"/>
                <w:szCs w:val="18"/>
                <w:lang w:eastAsia="ja-JP"/>
              </w:rPr>
            </w:pPr>
            <w:r w:rsidRPr="005F120D">
              <w:rPr>
                <w:rFonts w:asciiTheme="minorHAnsi" w:hAnsiTheme="minorHAnsi" w:cstheme="minorHAnsi"/>
                <w:b/>
                <w:bCs/>
                <w:sz w:val="18"/>
                <w:szCs w:val="18"/>
                <w:lang w:eastAsia="ja-JP"/>
              </w:rPr>
              <w:t>2012-13</w:t>
            </w:r>
          </w:p>
        </w:tc>
        <w:tc>
          <w:tcPr>
            <w:tcW w:w="1028" w:type="dxa"/>
            <w:tcBorders>
              <w:top w:val="single" w:sz="12" w:space="0" w:color="auto"/>
              <w:left w:val="nil"/>
              <w:bottom w:val="single" w:sz="12" w:space="0" w:color="auto"/>
              <w:right w:val="nil"/>
            </w:tcBorders>
            <w:shd w:val="clear" w:color="auto" w:fill="C2D69B" w:themeFill="accent3" w:themeFillTint="99"/>
          </w:tcPr>
          <w:p w:rsidR="001E5CA2" w:rsidRPr="005F120D" w:rsidRDefault="001E5CA2" w:rsidP="00936D9E">
            <w:pPr>
              <w:spacing w:after="0"/>
              <w:jc w:val="right"/>
              <w:rPr>
                <w:rFonts w:asciiTheme="minorHAnsi" w:hAnsiTheme="minorHAnsi" w:cstheme="minorHAnsi"/>
                <w:b/>
                <w:bCs/>
                <w:sz w:val="18"/>
                <w:szCs w:val="18"/>
                <w:lang w:eastAsia="ja-JP"/>
              </w:rPr>
            </w:pPr>
            <w:r w:rsidRPr="005F120D">
              <w:rPr>
                <w:rFonts w:asciiTheme="minorHAnsi" w:hAnsiTheme="minorHAnsi" w:cstheme="minorHAnsi"/>
                <w:b/>
                <w:bCs/>
                <w:sz w:val="18"/>
                <w:szCs w:val="18"/>
                <w:lang w:eastAsia="ja-JP"/>
              </w:rPr>
              <w:t>2013-14</w:t>
            </w:r>
          </w:p>
        </w:tc>
        <w:tc>
          <w:tcPr>
            <w:tcW w:w="990" w:type="dxa"/>
            <w:tcBorders>
              <w:top w:val="single" w:sz="12" w:space="0" w:color="auto"/>
              <w:left w:val="nil"/>
              <w:bottom w:val="single" w:sz="12" w:space="0" w:color="auto"/>
              <w:right w:val="single" w:sz="12" w:space="0" w:color="auto"/>
            </w:tcBorders>
            <w:shd w:val="clear" w:color="auto" w:fill="C2D69B" w:themeFill="accent3" w:themeFillTint="99"/>
            <w:noWrap/>
            <w:vAlign w:val="center"/>
            <w:hideMark/>
          </w:tcPr>
          <w:p w:rsidR="001E5CA2" w:rsidRPr="005F120D" w:rsidRDefault="001E5CA2" w:rsidP="00936D9E">
            <w:pPr>
              <w:spacing w:after="0"/>
              <w:jc w:val="right"/>
              <w:rPr>
                <w:rFonts w:asciiTheme="minorHAnsi" w:hAnsiTheme="minorHAnsi" w:cstheme="minorHAnsi"/>
                <w:b/>
                <w:bCs/>
                <w:sz w:val="18"/>
                <w:szCs w:val="18"/>
                <w:lang w:eastAsia="ja-JP"/>
              </w:rPr>
            </w:pPr>
            <w:r w:rsidRPr="005F120D">
              <w:rPr>
                <w:rFonts w:asciiTheme="minorHAnsi" w:hAnsiTheme="minorHAnsi" w:cstheme="minorHAnsi"/>
                <w:b/>
                <w:bCs/>
                <w:sz w:val="18"/>
                <w:szCs w:val="18"/>
                <w:lang w:eastAsia="ja-JP"/>
              </w:rPr>
              <w:t>2014-15</w:t>
            </w:r>
          </w:p>
        </w:tc>
        <w:tc>
          <w:tcPr>
            <w:tcW w:w="1308" w:type="dxa"/>
            <w:tcBorders>
              <w:top w:val="single" w:sz="12" w:space="0" w:color="auto"/>
              <w:left w:val="nil"/>
              <w:bottom w:val="single" w:sz="12" w:space="0" w:color="auto"/>
              <w:right w:val="single" w:sz="12" w:space="0" w:color="auto"/>
            </w:tcBorders>
            <w:shd w:val="clear" w:color="auto" w:fill="C2D69B" w:themeFill="accent3" w:themeFillTint="99"/>
          </w:tcPr>
          <w:p w:rsidR="001E5CA2" w:rsidRPr="005F120D" w:rsidRDefault="001E5CA2" w:rsidP="00936D9E">
            <w:pPr>
              <w:spacing w:after="0"/>
              <w:jc w:val="right"/>
              <w:rPr>
                <w:rFonts w:asciiTheme="minorHAnsi" w:hAnsiTheme="minorHAnsi" w:cstheme="minorHAnsi"/>
                <w:b/>
                <w:bCs/>
                <w:sz w:val="18"/>
                <w:szCs w:val="18"/>
                <w:lang w:eastAsia="ja-JP"/>
              </w:rPr>
            </w:pPr>
            <w:r w:rsidRPr="005F120D">
              <w:rPr>
                <w:rFonts w:asciiTheme="minorHAnsi" w:hAnsiTheme="minorHAnsi" w:cstheme="minorHAnsi"/>
                <w:b/>
                <w:bCs/>
                <w:sz w:val="18"/>
                <w:szCs w:val="18"/>
                <w:lang w:eastAsia="ja-JP"/>
              </w:rPr>
              <w:t>2015-16</w:t>
            </w:r>
          </w:p>
        </w:tc>
      </w:tr>
      <w:tr w:rsidR="001E5CA2" w:rsidRPr="005F120D" w:rsidTr="004E77B3">
        <w:trPr>
          <w:trHeight w:val="288"/>
          <w:jc w:val="center"/>
        </w:trPr>
        <w:tc>
          <w:tcPr>
            <w:tcW w:w="1228" w:type="dxa"/>
            <w:tcBorders>
              <w:top w:val="single" w:sz="12" w:space="0" w:color="auto"/>
              <w:left w:val="single" w:sz="12" w:space="0" w:color="auto"/>
              <w:right w:val="single" w:sz="12" w:space="0" w:color="auto"/>
            </w:tcBorders>
            <w:shd w:val="clear" w:color="auto" w:fill="EAF1DD" w:themeFill="accent3" w:themeFillTint="33"/>
          </w:tcPr>
          <w:p w:rsidR="001E5CA2" w:rsidRPr="005F120D" w:rsidRDefault="001E5CA2" w:rsidP="00936D9E">
            <w:pPr>
              <w:spacing w:after="0"/>
              <w:rPr>
                <w:rFonts w:asciiTheme="minorHAnsi" w:hAnsiTheme="minorHAnsi" w:cstheme="minorHAnsi"/>
                <w:b/>
                <w:sz w:val="18"/>
                <w:szCs w:val="18"/>
                <w:lang w:eastAsia="ja-JP"/>
              </w:rPr>
            </w:pPr>
          </w:p>
        </w:tc>
        <w:tc>
          <w:tcPr>
            <w:tcW w:w="7281" w:type="dxa"/>
            <w:gridSpan w:val="6"/>
            <w:tcBorders>
              <w:top w:val="single" w:sz="12" w:space="0" w:color="auto"/>
              <w:left w:val="single" w:sz="12" w:space="0" w:color="auto"/>
              <w:right w:val="single" w:sz="12" w:space="0" w:color="auto"/>
            </w:tcBorders>
            <w:shd w:val="clear" w:color="auto" w:fill="EAF1DD" w:themeFill="accent3" w:themeFillTint="33"/>
            <w:noWrap/>
            <w:vAlign w:val="center"/>
          </w:tcPr>
          <w:p w:rsidR="001E5CA2" w:rsidRPr="005F120D" w:rsidRDefault="001E5CA2" w:rsidP="00936D9E">
            <w:pPr>
              <w:spacing w:after="0"/>
              <w:rPr>
                <w:rFonts w:asciiTheme="minorHAnsi" w:hAnsiTheme="minorHAnsi" w:cstheme="minorHAnsi"/>
                <w:b/>
                <w:bCs/>
                <w:sz w:val="18"/>
                <w:szCs w:val="18"/>
                <w:lang w:eastAsia="ja-JP"/>
              </w:rPr>
            </w:pPr>
            <w:r w:rsidRPr="005F120D">
              <w:rPr>
                <w:rFonts w:asciiTheme="minorHAnsi" w:hAnsiTheme="minorHAnsi" w:cstheme="minorHAnsi"/>
                <w:b/>
                <w:sz w:val="18"/>
                <w:szCs w:val="18"/>
                <w:lang w:eastAsia="ja-JP"/>
              </w:rPr>
              <w:t xml:space="preserve">MOPME Budget </w:t>
            </w:r>
          </w:p>
        </w:tc>
        <w:tc>
          <w:tcPr>
            <w:tcW w:w="1308" w:type="dxa"/>
            <w:tcBorders>
              <w:top w:val="single" w:sz="12" w:space="0" w:color="auto"/>
              <w:left w:val="single" w:sz="12" w:space="0" w:color="auto"/>
              <w:right w:val="single" w:sz="12" w:space="0" w:color="auto"/>
            </w:tcBorders>
            <w:shd w:val="clear" w:color="auto" w:fill="EAF1DD" w:themeFill="accent3" w:themeFillTint="33"/>
          </w:tcPr>
          <w:p w:rsidR="001E5CA2" w:rsidRPr="005F120D" w:rsidRDefault="001E5CA2" w:rsidP="00936D9E">
            <w:pPr>
              <w:spacing w:after="0"/>
              <w:rPr>
                <w:rFonts w:asciiTheme="minorHAnsi" w:hAnsiTheme="minorHAnsi" w:cstheme="minorHAnsi"/>
                <w:b/>
                <w:sz w:val="18"/>
                <w:szCs w:val="18"/>
                <w:lang w:eastAsia="ja-JP"/>
              </w:rPr>
            </w:pPr>
          </w:p>
        </w:tc>
      </w:tr>
      <w:tr w:rsidR="001E5CA2" w:rsidRPr="005F120D" w:rsidTr="004E77B3">
        <w:trPr>
          <w:trHeight w:val="288"/>
          <w:jc w:val="center"/>
        </w:trPr>
        <w:tc>
          <w:tcPr>
            <w:tcW w:w="2829" w:type="dxa"/>
            <w:gridSpan w:val="2"/>
            <w:tcBorders>
              <w:left w:val="single" w:sz="12" w:space="0" w:color="auto"/>
            </w:tcBorders>
            <w:shd w:val="clear" w:color="auto" w:fill="FFFFFF" w:themeFill="background1"/>
            <w:noWrap/>
            <w:vAlign w:val="center"/>
            <w:hideMark/>
          </w:tcPr>
          <w:p w:rsidR="001E5CA2" w:rsidRPr="005F120D" w:rsidRDefault="001E5CA2" w:rsidP="00936D9E">
            <w:pPr>
              <w:spacing w:after="0"/>
              <w:rPr>
                <w:rFonts w:asciiTheme="minorHAnsi" w:hAnsiTheme="minorHAnsi" w:cstheme="minorHAnsi"/>
                <w:sz w:val="18"/>
                <w:szCs w:val="18"/>
                <w:lang w:eastAsia="ja-JP"/>
              </w:rPr>
            </w:pPr>
            <w:r w:rsidRPr="005F120D">
              <w:rPr>
                <w:rFonts w:asciiTheme="minorHAnsi" w:hAnsiTheme="minorHAnsi" w:cstheme="minorHAnsi"/>
                <w:sz w:val="18"/>
                <w:szCs w:val="18"/>
                <w:lang w:eastAsia="ja-JP"/>
              </w:rPr>
              <w:t>MTBF Projection (crore taka)</w:t>
            </w:r>
          </w:p>
        </w:tc>
        <w:tc>
          <w:tcPr>
            <w:tcW w:w="1250"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7,558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8,960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9,899 </w:t>
            </w:r>
          </w:p>
        </w:tc>
        <w:tc>
          <w:tcPr>
            <w:tcW w:w="1028" w:type="dxa"/>
            <w:shd w:val="clear" w:color="auto" w:fill="FFFFFF" w:themeFill="background1"/>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11,057</w:t>
            </w:r>
          </w:p>
        </w:tc>
        <w:tc>
          <w:tcPr>
            <w:tcW w:w="990" w:type="dxa"/>
            <w:tcBorders>
              <w:right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13,673</w:t>
            </w:r>
          </w:p>
        </w:tc>
        <w:tc>
          <w:tcPr>
            <w:tcW w:w="1308" w:type="dxa"/>
            <w:tcBorders>
              <w:right w:val="single" w:sz="12" w:space="0" w:color="auto"/>
            </w:tcBorders>
            <w:shd w:val="clear" w:color="auto" w:fill="FFFFFF" w:themeFill="background1"/>
          </w:tcPr>
          <w:p w:rsidR="001E5CA2" w:rsidRPr="005F120D" w:rsidRDefault="00A626FC"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14,502</w:t>
            </w:r>
          </w:p>
        </w:tc>
      </w:tr>
      <w:tr w:rsidR="001E5CA2" w:rsidRPr="005F120D" w:rsidTr="004E77B3">
        <w:trPr>
          <w:trHeight w:val="288"/>
          <w:jc w:val="center"/>
        </w:trPr>
        <w:tc>
          <w:tcPr>
            <w:tcW w:w="2829" w:type="dxa"/>
            <w:gridSpan w:val="2"/>
            <w:tcBorders>
              <w:left w:val="single" w:sz="12" w:space="0" w:color="auto"/>
            </w:tcBorders>
            <w:shd w:val="clear" w:color="auto" w:fill="FFFFFF" w:themeFill="background1"/>
            <w:noWrap/>
            <w:vAlign w:val="center"/>
            <w:hideMark/>
          </w:tcPr>
          <w:p w:rsidR="001E5CA2" w:rsidRPr="005F120D" w:rsidRDefault="001E5CA2" w:rsidP="00936D9E">
            <w:pPr>
              <w:spacing w:after="0"/>
              <w:rPr>
                <w:rFonts w:asciiTheme="minorHAnsi" w:hAnsiTheme="minorHAnsi" w:cstheme="minorHAnsi"/>
                <w:sz w:val="18"/>
                <w:szCs w:val="18"/>
                <w:lang w:eastAsia="ja-JP"/>
              </w:rPr>
            </w:pPr>
            <w:r w:rsidRPr="005F120D">
              <w:rPr>
                <w:rFonts w:asciiTheme="minorHAnsi" w:hAnsiTheme="minorHAnsi" w:cstheme="minorHAnsi"/>
                <w:sz w:val="18"/>
                <w:szCs w:val="18"/>
                <w:lang w:eastAsia="ja-JP"/>
              </w:rPr>
              <w:t>Actual Budget (crore taka)</w:t>
            </w:r>
          </w:p>
        </w:tc>
        <w:tc>
          <w:tcPr>
            <w:tcW w:w="1250"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8,074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8,964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9,825 </w:t>
            </w:r>
          </w:p>
        </w:tc>
        <w:tc>
          <w:tcPr>
            <w:tcW w:w="1028" w:type="dxa"/>
            <w:shd w:val="clear" w:color="auto" w:fill="FFFFFF" w:themeFill="background1"/>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11,935</w:t>
            </w:r>
          </w:p>
        </w:tc>
        <w:tc>
          <w:tcPr>
            <w:tcW w:w="990" w:type="dxa"/>
            <w:tcBorders>
              <w:right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13,676</w:t>
            </w:r>
          </w:p>
        </w:tc>
        <w:tc>
          <w:tcPr>
            <w:tcW w:w="1308" w:type="dxa"/>
            <w:tcBorders>
              <w:right w:val="single" w:sz="12" w:space="0" w:color="auto"/>
            </w:tcBorders>
            <w:shd w:val="clear" w:color="auto" w:fill="FFFFFF" w:themeFill="background1"/>
          </w:tcPr>
          <w:p w:rsidR="001E5CA2" w:rsidRPr="005F120D" w:rsidRDefault="00A626FC"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14,504</w:t>
            </w:r>
          </w:p>
        </w:tc>
      </w:tr>
      <w:tr w:rsidR="001E5CA2" w:rsidRPr="005F120D" w:rsidTr="004E77B3">
        <w:trPr>
          <w:trHeight w:val="288"/>
          <w:jc w:val="center"/>
        </w:trPr>
        <w:tc>
          <w:tcPr>
            <w:tcW w:w="2829" w:type="dxa"/>
            <w:gridSpan w:val="2"/>
            <w:tcBorders>
              <w:left w:val="single" w:sz="12" w:space="0" w:color="auto"/>
              <w:bottom w:val="single" w:sz="12" w:space="0" w:color="auto"/>
            </w:tcBorders>
            <w:shd w:val="clear" w:color="auto" w:fill="FFFFFF" w:themeFill="background1"/>
            <w:noWrap/>
            <w:vAlign w:val="center"/>
            <w:hideMark/>
          </w:tcPr>
          <w:p w:rsidR="001E5CA2" w:rsidRPr="005F120D" w:rsidRDefault="001E5CA2" w:rsidP="00936D9E">
            <w:pPr>
              <w:spacing w:after="0"/>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 Variation</w:t>
            </w:r>
          </w:p>
        </w:tc>
        <w:tc>
          <w:tcPr>
            <w:tcW w:w="1250" w:type="dxa"/>
            <w:tcBorders>
              <w:bottom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6.83%</w:t>
            </w:r>
          </w:p>
        </w:tc>
        <w:tc>
          <w:tcPr>
            <w:tcW w:w="1206" w:type="dxa"/>
            <w:tcBorders>
              <w:bottom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0.04%</w:t>
            </w:r>
          </w:p>
        </w:tc>
        <w:tc>
          <w:tcPr>
            <w:tcW w:w="1206" w:type="dxa"/>
            <w:tcBorders>
              <w:bottom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-0.75%</w:t>
            </w:r>
          </w:p>
        </w:tc>
        <w:tc>
          <w:tcPr>
            <w:tcW w:w="1028" w:type="dxa"/>
            <w:tcBorders>
              <w:bottom w:val="single" w:sz="12" w:space="0" w:color="auto"/>
            </w:tcBorders>
            <w:shd w:val="clear" w:color="auto" w:fill="FFFFFF" w:themeFill="background1"/>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7.94%</w:t>
            </w:r>
          </w:p>
        </w:tc>
        <w:tc>
          <w:tcPr>
            <w:tcW w:w="990" w:type="dxa"/>
            <w:tcBorders>
              <w:bottom w:val="single" w:sz="12" w:space="0" w:color="auto"/>
              <w:right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0.02%</w:t>
            </w:r>
          </w:p>
        </w:tc>
        <w:tc>
          <w:tcPr>
            <w:tcW w:w="1308" w:type="dxa"/>
            <w:tcBorders>
              <w:bottom w:val="single" w:sz="12" w:space="0" w:color="auto"/>
              <w:right w:val="single" w:sz="12" w:space="0" w:color="auto"/>
            </w:tcBorders>
            <w:shd w:val="clear" w:color="auto" w:fill="FFFFFF" w:themeFill="background1"/>
          </w:tcPr>
          <w:p w:rsidR="001E5CA2" w:rsidRPr="005F120D" w:rsidRDefault="00B442DF"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0.01</w:t>
            </w:r>
            <w:r w:rsidR="001E5CA2" w:rsidRPr="005F120D">
              <w:rPr>
                <w:rFonts w:asciiTheme="minorHAnsi" w:hAnsiTheme="minorHAnsi" w:cstheme="minorHAnsi"/>
                <w:b/>
                <w:sz w:val="18"/>
                <w:szCs w:val="18"/>
                <w:lang w:eastAsia="ja-JP"/>
              </w:rPr>
              <w:t>%</w:t>
            </w:r>
          </w:p>
        </w:tc>
      </w:tr>
      <w:tr w:rsidR="001E5CA2" w:rsidRPr="005F120D" w:rsidTr="004E77B3">
        <w:trPr>
          <w:trHeight w:val="288"/>
          <w:jc w:val="center"/>
        </w:trPr>
        <w:tc>
          <w:tcPr>
            <w:tcW w:w="1228" w:type="dxa"/>
            <w:tcBorders>
              <w:top w:val="single" w:sz="12" w:space="0" w:color="auto"/>
              <w:left w:val="single" w:sz="12" w:space="0" w:color="auto"/>
              <w:right w:val="single" w:sz="12" w:space="0" w:color="auto"/>
            </w:tcBorders>
            <w:shd w:val="clear" w:color="auto" w:fill="EAF1DD" w:themeFill="accent3" w:themeFillTint="33"/>
          </w:tcPr>
          <w:p w:rsidR="001E5CA2" w:rsidRPr="005F120D" w:rsidRDefault="001E5CA2" w:rsidP="00936D9E">
            <w:pPr>
              <w:spacing w:after="0"/>
              <w:rPr>
                <w:rFonts w:asciiTheme="minorHAnsi" w:hAnsiTheme="minorHAnsi" w:cstheme="minorHAnsi"/>
                <w:b/>
                <w:bCs/>
                <w:sz w:val="18"/>
                <w:szCs w:val="18"/>
                <w:lang w:eastAsia="ja-JP"/>
              </w:rPr>
            </w:pPr>
          </w:p>
        </w:tc>
        <w:tc>
          <w:tcPr>
            <w:tcW w:w="7281" w:type="dxa"/>
            <w:gridSpan w:val="6"/>
            <w:tcBorders>
              <w:top w:val="single" w:sz="12" w:space="0" w:color="auto"/>
              <w:left w:val="single" w:sz="12" w:space="0" w:color="auto"/>
              <w:right w:val="single" w:sz="12" w:space="0" w:color="auto"/>
            </w:tcBorders>
            <w:shd w:val="clear" w:color="auto" w:fill="EAF1DD" w:themeFill="accent3" w:themeFillTint="33"/>
            <w:noWrap/>
            <w:vAlign w:val="center"/>
            <w:hideMark/>
          </w:tcPr>
          <w:p w:rsidR="001E5CA2" w:rsidRPr="005F120D" w:rsidRDefault="001E5CA2" w:rsidP="00936D9E">
            <w:pPr>
              <w:spacing w:after="0"/>
              <w:rPr>
                <w:rFonts w:asciiTheme="minorHAnsi" w:hAnsiTheme="minorHAnsi" w:cstheme="minorHAnsi"/>
                <w:b/>
                <w:bCs/>
                <w:sz w:val="18"/>
                <w:szCs w:val="18"/>
                <w:lang w:eastAsia="ja-JP"/>
              </w:rPr>
            </w:pPr>
            <w:r w:rsidRPr="005F120D">
              <w:rPr>
                <w:rFonts w:asciiTheme="minorHAnsi" w:hAnsiTheme="minorHAnsi" w:cstheme="minorHAnsi"/>
                <w:b/>
                <w:bCs/>
                <w:sz w:val="18"/>
                <w:szCs w:val="18"/>
                <w:lang w:eastAsia="ja-JP"/>
              </w:rPr>
              <w:t>Non-Development</w:t>
            </w:r>
          </w:p>
        </w:tc>
        <w:tc>
          <w:tcPr>
            <w:tcW w:w="1308" w:type="dxa"/>
            <w:tcBorders>
              <w:top w:val="single" w:sz="12" w:space="0" w:color="auto"/>
              <w:left w:val="single" w:sz="12" w:space="0" w:color="auto"/>
              <w:right w:val="single" w:sz="12" w:space="0" w:color="auto"/>
            </w:tcBorders>
            <w:shd w:val="clear" w:color="auto" w:fill="EAF1DD" w:themeFill="accent3" w:themeFillTint="33"/>
          </w:tcPr>
          <w:p w:rsidR="001E5CA2" w:rsidRPr="005F120D" w:rsidRDefault="001E5CA2" w:rsidP="00936D9E">
            <w:pPr>
              <w:spacing w:after="0"/>
              <w:rPr>
                <w:rFonts w:asciiTheme="minorHAnsi" w:hAnsiTheme="minorHAnsi" w:cstheme="minorHAnsi"/>
                <w:b/>
                <w:bCs/>
                <w:sz w:val="18"/>
                <w:szCs w:val="18"/>
                <w:lang w:eastAsia="ja-JP"/>
              </w:rPr>
            </w:pPr>
          </w:p>
        </w:tc>
      </w:tr>
      <w:tr w:rsidR="001E5CA2" w:rsidRPr="005F120D" w:rsidTr="004E77B3">
        <w:trPr>
          <w:trHeight w:val="288"/>
          <w:jc w:val="center"/>
        </w:trPr>
        <w:tc>
          <w:tcPr>
            <w:tcW w:w="2829" w:type="dxa"/>
            <w:gridSpan w:val="2"/>
            <w:tcBorders>
              <w:left w:val="single" w:sz="12" w:space="0" w:color="auto"/>
            </w:tcBorders>
            <w:shd w:val="clear" w:color="auto" w:fill="FFFFFF" w:themeFill="background1"/>
            <w:noWrap/>
            <w:vAlign w:val="center"/>
            <w:hideMark/>
          </w:tcPr>
          <w:p w:rsidR="001E5CA2" w:rsidRPr="005F120D" w:rsidRDefault="001E5CA2" w:rsidP="00936D9E">
            <w:pPr>
              <w:spacing w:after="0"/>
              <w:rPr>
                <w:rFonts w:asciiTheme="minorHAnsi" w:hAnsiTheme="minorHAnsi" w:cstheme="minorHAnsi"/>
                <w:sz w:val="18"/>
                <w:szCs w:val="18"/>
                <w:lang w:eastAsia="ja-JP"/>
              </w:rPr>
            </w:pPr>
            <w:r w:rsidRPr="005F120D">
              <w:rPr>
                <w:rFonts w:asciiTheme="minorHAnsi" w:hAnsiTheme="minorHAnsi" w:cstheme="minorHAnsi"/>
                <w:sz w:val="18"/>
                <w:szCs w:val="18"/>
                <w:lang w:eastAsia="ja-JP"/>
              </w:rPr>
              <w:t>MTBF Projection (crore taka)</w:t>
            </w:r>
          </w:p>
        </w:tc>
        <w:tc>
          <w:tcPr>
            <w:tcW w:w="1250"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3,823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5,087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5,525 </w:t>
            </w:r>
          </w:p>
        </w:tc>
        <w:tc>
          <w:tcPr>
            <w:tcW w:w="1028" w:type="dxa"/>
            <w:shd w:val="clear" w:color="auto" w:fill="FFFFFF" w:themeFill="background1"/>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5,809</w:t>
            </w:r>
          </w:p>
        </w:tc>
        <w:tc>
          <w:tcPr>
            <w:tcW w:w="990" w:type="dxa"/>
            <w:tcBorders>
              <w:right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6,040</w:t>
            </w:r>
          </w:p>
        </w:tc>
        <w:tc>
          <w:tcPr>
            <w:tcW w:w="1308" w:type="dxa"/>
            <w:tcBorders>
              <w:right w:val="single" w:sz="12" w:space="0" w:color="auto"/>
            </w:tcBorders>
            <w:shd w:val="clear" w:color="auto" w:fill="FFFFFF" w:themeFill="background1"/>
          </w:tcPr>
          <w:p w:rsidR="001E5CA2" w:rsidRPr="005F120D" w:rsidRDefault="00A626FC"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8,96</w:t>
            </w:r>
            <w:r w:rsidR="00BD3852" w:rsidRPr="005F120D">
              <w:rPr>
                <w:rFonts w:asciiTheme="minorHAnsi" w:hAnsiTheme="minorHAnsi" w:cstheme="minorHAnsi"/>
                <w:sz w:val="18"/>
                <w:szCs w:val="18"/>
                <w:lang w:eastAsia="ja-JP"/>
              </w:rPr>
              <w:t>0</w:t>
            </w:r>
          </w:p>
        </w:tc>
      </w:tr>
      <w:tr w:rsidR="001E5CA2" w:rsidRPr="005F120D" w:rsidTr="004E77B3">
        <w:trPr>
          <w:trHeight w:val="288"/>
          <w:jc w:val="center"/>
        </w:trPr>
        <w:tc>
          <w:tcPr>
            <w:tcW w:w="2829" w:type="dxa"/>
            <w:gridSpan w:val="2"/>
            <w:tcBorders>
              <w:left w:val="single" w:sz="12" w:space="0" w:color="auto"/>
            </w:tcBorders>
            <w:shd w:val="clear" w:color="auto" w:fill="FFFFFF" w:themeFill="background1"/>
            <w:noWrap/>
            <w:vAlign w:val="center"/>
            <w:hideMark/>
          </w:tcPr>
          <w:p w:rsidR="001E5CA2" w:rsidRPr="005F120D" w:rsidRDefault="001E5CA2" w:rsidP="00936D9E">
            <w:pPr>
              <w:spacing w:after="0"/>
              <w:rPr>
                <w:rFonts w:asciiTheme="minorHAnsi" w:hAnsiTheme="minorHAnsi" w:cstheme="minorHAnsi"/>
                <w:sz w:val="18"/>
                <w:szCs w:val="18"/>
                <w:lang w:eastAsia="ja-JP"/>
              </w:rPr>
            </w:pPr>
            <w:r w:rsidRPr="005F120D">
              <w:rPr>
                <w:rFonts w:asciiTheme="minorHAnsi" w:hAnsiTheme="minorHAnsi" w:cstheme="minorHAnsi"/>
                <w:sz w:val="18"/>
                <w:szCs w:val="18"/>
                <w:lang w:eastAsia="ja-JP"/>
              </w:rPr>
              <w:t>Actual Budget (crore taka)</w:t>
            </w:r>
          </w:p>
        </w:tc>
        <w:tc>
          <w:tcPr>
            <w:tcW w:w="1250"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4,867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5,450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4,382 </w:t>
            </w:r>
          </w:p>
        </w:tc>
        <w:tc>
          <w:tcPr>
            <w:tcW w:w="1028" w:type="dxa"/>
            <w:shd w:val="clear" w:color="auto" w:fill="FFFFFF" w:themeFill="background1"/>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6,657</w:t>
            </w:r>
          </w:p>
        </w:tc>
        <w:tc>
          <w:tcPr>
            <w:tcW w:w="990" w:type="dxa"/>
            <w:tcBorders>
              <w:right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7,898</w:t>
            </w:r>
          </w:p>
        </w:tc>
        <w:tc>
          <w:tcPr>
            <w:tcW w:w="1308" w:type="dxa"/>
            <w:tcBorders>
              <w:right w:val="single" w:sz="12" w:space="0" w:color="auto"/>
            </w:tcBorders>
            <w:shd w:val="clear" w:color="auto" w:fill="FFFFFF" w:themeFill="background1"/>
          </w:tcPr>
          <w:p w:rsidR="001E5CA2" w:rsidRPr="005F120D" w:rsidRDefault="00BD385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8,963</w:t>
            </w:r>
          </w:p>
        </w:tc>
      </w:tr>
      <w:tr w:rsidR="001E5CA2" w:rsidRPr="005F120D" w:rsidTr="004E77B3">
        <w:trPr>
          <w:trHeight w:val="288"/>
          <w:jc w:val="center"/>
        </w:trPr>
        <w:tc>
          <w:tcPr>
            <w:tcW w:w="2829" w:type="dxa"/>
            <w:gridSpan w:val="2"/>
            <w:tcBorders>
              <w:left w:val="single" w:sz="12" w:space="0" w:color="auto"/>
              <w:bottom w:val="single" w:sz="12" w:space="0" w:color="auto"/>
            </w:tcBorders>
            <w:shd w:val="clear" w:color="auto" w:fill="FFFFFF" w:themeFill="background1"/>
            <w:noWrap/>
            <w:vAlign w:val="center"/>
            <w:hideMark/>
          </w:tcPr>
          <w:p w:rsidR="001E5CA2" w:rsidRPr="005F120D" w:rsidRDefault="001E5CA2" w:rsidP="00936D9E">
            <w:pPr>
              <w:spacing w:after="0"/>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 Variation</w:t>
            </w:r>
          </w:p>
        </w:tc>
        <w:tc>
          <w:tcPr>
            <w:tcW w:w="1250" w:type="dxa"/>
            <w:tcBorders>
              <w:bottom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27.31%</w:t>
            </w:r>
          </w:p>
        </w:tc>
        <w:tc>
          <w:tcPr>
            <w:tcW w:w="1206" w:type="dxa"/>
            <w:tcBorders>
              <w:bottom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7.14%</w:t>
            </w:r>
          </w:p>
        </w:tc>
        <w:tc>
          <w:tcPr>
            <w:tcW w:w="1206" w:type="dxa"/>
            <w:tcBorders>
              <w:bottom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-20.69%</w:t>
            </w:r>
          </w:p>
        </w:tc>
        <w:tc>
          <w:tcPr>
            <w:tcW w:w="1028" w:type="dxa"/>
            <w:tcBorders>
              <w:bottom w:val="single" w:sz="12" w:space="0" w:color="auto"/>
            </w:tcBorders>
            <w:shd w:val="clear" w:color="auto" w:fill="FFFFFF" w:themeFill="background1"/>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14.60%</w:t>
            </w:r>
          </w:p>
        </w:tc>
        <w:tc>
          <w:tcPr>
            <w:tcW w:w="990" w:type="dxa"/>
            <w:tcBorders>
              <w:bottom w:val="single" w:sz="12" w:space="0" w:color="auto"/>
              <w:right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30.76%</w:t>
            </w:r>
          </w:p>
        </w:tc>
        <w:tc>
          <w:tcPr>
            <w:tcW w:w="1308" w:type="dxa"/>
            <w:tcBorders>
              <w:bottom w:val="single" w:sz="12" w:space="0" w:color="auto"/>
              <w:right w:val="single" w:sz="12" w:space="0" w:color="auto"/>
            </w:tcBorders>
            <w:shd w:val="clear" w:color="auto" w:fill="FFFFFF" w:themeFill="background1"/>
          </w:tcPr>
          <w:p w:rsidR="001E5CA2" w:rsidRPr="005F120D" w:rsidRDefault="00B442DF"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0.03</w:t>
            </w:r>
            <w:r w:rsidR="001E5CA2" w:rsidRPr="005F120D">
              <w:rPr>
                <w:rFonts w:asciiTheme="minorHAnsi" w:hAnsiTheme="minorHAnsi" w:cstheme="minorHAnsi"/>
                <w:b/>
                <w:sz w:val="18"/>
                <w:szCs w:val="18"/>
                <w:lang w:eastAsia="ja-JP"/>
              </w:rPr>
              <w:t>%</w:t>
            </w:r>
          </w:p>
        </w:tc>
      </w:tr>
      <w:tr w:rsidR="001E5CA2" w:rsidRPr="005F120D" w:rsidTr="004E77B3">
        <w:trPr>
          <w:trHeight w:val="288"/>
          <w:jc w:val="center"/>
        </w:trPr>
        <w:tc>
          <w:tcPr>
            <w:tcW w:w="1228" w:type="dxa"/>
            <w:tcBorders>
              <w:top w:val="single" w:sz="12" w:space="0" w:color="auto"/>
              <w:left w:val="single" w:sz="12" w:space="0" w:color="auto"/>
              <w:right w:val="single" w:sz="12" w:space="0" w:color="auto"/>
            </w:tcBorders>
            <w:shd w:val="clear" w:color="auto" w:fill="EAF1DD" w:themeFill="accent3" w:themeFillTint="33"/>
          </w:tcPr>
          <w:p w:rsidR="001E5CA2" w:rsidRPr="005F120D" w:rsidRDefault="001E5CA2" w:rsidP="00936D9E">
            <w:pPr>
              <w:spacing w:after="0"/>
              <w:rPr>
                <w:rFonts w:asciiTheme="minorHAnsi" w:hAnsiTheme="minorHAnsi" w:cstheme="minorHAnsi"/>
                <w:b/>
                <w:bCs/>
                <w:sz w:val="18"/>
                <w:szCs w:val="18"/>
                <w:lang w:eastAsia="ja-JP"/>
              </w:rPr>
            </w:pPr>
          </w:p>
        </w:tc>
        <w:tc>
          <w:tcPr>
            <w:tcW w:w="7281" w:type="dxa"/>
            <w:gridSpan w:val="6"/>
            <w:tcBorders>
              <w:top w:val="single" w:sz="12" w:space="0" w:color="auto"/>
              <w:left w:val="single" w:sz="12" w:space="0" w:color="auto"/>
              <w:right w:val="single" w:sz="12" w:space="0" w:color="auto"/>
            </w:tcBorders>
            <w:shd w:val="clear" w:color="auto" w:fill="EAF1DD" w:themeFill="accent3" w:themeFillTint="33"/>
            <w:noWrap/>
            <w:vAlign w:val="center"/>
            <w:hideMark/>
          </w:tcPr>
          <w:p w:rsidR="001E5CA2" w:rsidRPr="005F120D" w:rsidRDefault="001E5CA2" w:rsidP="00936D9E">
            <w:pPr>
              <w:spacing w:after="0"/>
              <w:rPr>
                <w:rFonts w:asciiTheme="minorHAnsi" w:hAnsiTheme="minorHAnsi" w:cstheme="minorHAnsi"/>
                <w:b/>
                <w:bCs/>
                <w:sz w:val="18"/>
                <w:szCs w:val="18"/>
                <w:lang w:eastAsia="ja-JP"/>
              </w:rPr>
            </w:pPr>
            <w:r w:rsidRPr="005F120D">
              <w:rPr>
                <w:rFonts w:asciiTheme="minorHAnsi" w:hAnsiTheme="minorHAnsi" w:cstheme="minorHAnsi"/>
                <w:b/>
                <w:bCs/>
                <w:sz w:val="18"/>
                <w:szCs w:val="18"/>
                <w:lang w:eastAsia="ja-JP"/>
              </w:rPr>
              <w:t>Development Budget</w:t>
            </w:r>
          </w:p>
        </w:tc>
        <w:tc>
          <w:tcPr>
            <w:tcW w:w="1308" w:type="dxa"/>
            <w:tcBorders>
              <w:top w:val="single" w:sz="12" w:space="0" w:color="auto"/>
              <w:left w:val="single" w:sz="12" w:space="0" w:color="auto"/>
              <w:right w:val="single" w:sz="12" w:space="0" w:color="auto"/>
            </w:tcBorders>
            <w:shd w:val="clear" w:color="auto" w:fill="EAF1DD" w:themeFill="accent3" w:themeFillTint="33"/>
          </w:tcPr>
          <w:p w:rsidR="001E5CA2" w:rsidRPr="005F120D" w:rsidRDefault="001E5CA2" w:rsidP="00936D9E">
            <w:pPr>
              <w:spacing w:after="0"/>
              <w:rPr>
                <w:rFonts w:asciiTheme="minorHAnsi" w:hAnsiTheme="minorHAnsi" w:cstheme="minorHAnsi"/>
                <w:b/>
                <w:bCs/>
                <w:sz w:val="18"/>
                <w:szCs w:val="18"/>
                <w:lang w:eastAsia="ja-JP"/>
              </w:rPr>
            </w:pPr>
          </w:p>
        </w:tc>
      </w:tr>
      <w:tr w:rsidR="001E5CA2" w:rsidRPr="005F120D" w:rsidTr="004E77B3">
        <w:trPr>
          <w:trHeight w:val="288"/>
          <w:jc w:val="center"/>
        </w:trPr>
        <w:tc>
          <w:tcPr>
            <w:tcW w:w="2829" w:type="dxa"/>
            <w:gridSpan w:val="2"/>
            <w:tcBorders>
              <w:left w:val="single" w:sz="12" w:space="0" w:color="auto"/>
            </w:tcBorders>
            <w:shd w:val="clear" w:color="auto" w:fill="FFFFFF" w:themeFill="background1"/>
            <w:noWrap/>
            <w:vAlign w:val="center"/>
            <w:hideMark/>
          </w:tcPr>
          <w:p w:rsidR="001E5CA2" w:rsidRPr="005F120D" w:rsidRDefault="001E5CA2" w:rsidP="00936D9E">
            <w:pPr>
              <w:spacing w:after="0"/>
              <w:rPr>
                <w:rFonts w:asciiTheme="minorHAnsi" w:hAnsiTheme="minorHAnsi" w:cstheme="minorHAnsi"/>
                <w:sz w:val="18"/>
                <w:szCs w:val="18"/>
                <w:lang w:eastAsia="ja-JP"/>
              </w:rPr>
            </w:pPr>
            <w:r w:rsidRPr="005F120D">
              <w:rPr>
                <w:rFonts w:asciiTheme="minorHAnsi" w:hAnsiTheme="minorHAnsi" w:cstheme="minorHAnsi"/>
                <w:sz w:val="18"/>
                <w:szCs w:val="18"/>
                <w:lang w:eastAsia="ja-JP"/>
              </w:rPr>
              <w:t>MTBF Projection (crore taka)</w:t>
            </w:r>
          </w:p>
        </w:tc>
        <w:tc>
          <w:tcPr>
            <w:tcW w:w="1250"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3,735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3,873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4,374 </w:t>
            </w:r>
          </w:p>
        </w:tc>
        <w:tc>
          <w:tcPr>
            <w:tcW w:w="1028" w:type="dxa"/>
            <w:shd w:val="clear" w:color="auto" w:fill="FFFFFF" w:themeFill="background1"/>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5,249</w:t>
            </w:r>
          </w:p>
        </w:tc>
        <w:tc>
          <w:tcPr>
            <w:tcW w:w="990" w:type="dxa"/>
            <w:tcBorders>
              <w:right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6,942</w:t>
            </w:r>
          </w:p>
        </w:tc>
        <w:tc>
          <w:tcPr>
            <w:tcW w:w="1308" w:type="dxa"/>
            <w:tcBorders>
              <w:right w:val="single" w:sz="12" w:space="0" w:color="auto"/>
            </w:tcBorders>
            <w:shd w:val="clear" w:color="auto" w:fill="FFFFFF" w:themeFill="background1"/>
          </w:tcPr>
          <w:p w:rsidR="001E5CA2" w:rsidRPr="005F120D" w:rsidRDefault="00BD385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5,5</w:t>
            </w:r>
            <w:r w:rsidR="001E5CA2" w:rsidRPr="005F120D">
              <w:rPr>
                <w:rFonts w:asciiTheme="minorHAnsi" w:hAnsiTheme="minorHAnsi" w:cstheme="minorHAnsi"/>
                <w:sz w:val="18"/>
                <w:szCs w:val="18"/>
                <w:lang w:eastAsia="ja-JP"/>
              </w:rPr>
              <w:t>42</w:t>
            </w:r>
          </w:p>
        </w:tc>
      </w:tr>
      <w:tr w:rsidR="001E5CA2" w:rsidRPr="005F120D" w:rsidTr="004E77B3">
        <w:trPr>
          <w:trHeight w:val="288"/>
          <w:jc w:val="center"/>
        </w:trPr>
        <w:tc>
          <w:tcPr>
            <w:tcW w:w="2829" w:type="dxa"/>
            <w:gridSpan w:val="2"/>
            <w:tcBorders>
              <w:left w:val="single" w:sz="12" w:space="0" w:color="auto"/>
            </w:tcBorders>
            <w:shd w:val="clear" w:color="auto" w:fill="FFFFFF" w:themeFill="background1"/>
            <w:noWrap/>
            <w:vAlign w:val="center"/>
            <w:hideMark/>
          </w:tcPr>
          <w:p w:rsidR="001E5CA2" w:rsidRPr="005F120D" w:rsidRDefault="001E5CA2" w:rsidP="00936D9E">
            <w:pPr>
              <w:spacing w:after="0"/>
              <w:rPr>
                <w:rFonts w:asciiTheme="minorHAnsi" w:hAnsiTheme="minorHAnsi" w:cstheme="minorHAnsi"/>
                <w:sz w:val="18"/>
                <w:szCs w:val="18"/>
                <w:lang w:eastAsia="ja-JP"/>
              </w:rPr>
            </w:pPr>
            <w:r w:rsidRPr="005F120D">
              <w:rPr>
                <w:rFonts w:asciiTheme="minorHAnsi" w:hAnsiTheme="minorHAnsi" w:cstheme="minorHAnsi"/>
                <w:sz w:val="18"/>
                <w:szCs w:val="18"/>
                <w:lang w:eastAsia="ja-JP"/>
              </w:rPr>
              <w:t>Actual Budget (crore taka)</w:t>
            </w:r>
          </w:p>
        </w:tc>
        <w:tc>
          <w:tcPr>
            <w:tcW w:w="1250"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3,207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3,514 </w:t>
            </w:r>
          </w:p>
        </w:tc>
        <w:tc>
          <w:tcPr>
            <w:tcW w:w="1206" w:type="dxa"/>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        5,443 </w:t>
            </w:r>
          </w:p>
        </w:tc>
        <w:tc>
          <w:tcPr>
            <w:tcW w:w="1028" w:type="dxa"/>
            <w:shd w:val="clear" w:color="auto" w:fill="FFFFFF" w:themeFill="background1"/>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5,278</w:t>
            </w:r>
          </w:p>
        </w:tc>
        <w:tc>
          <w:tcPr>
            <w:tcW w:w="990" w:type="dxa"/>
            <w:tcBorders>
              <w:right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5,778</w:t>
            </w:r>
          </w:p>
        </w:tc>
        <w:tc>
          <w:tcPr>
            <w:tcW w:w="1308" w:type="dxa"/>
            <w:tcBorders>
              <w:right w:val="single" w:sz="12" w:space="0" w:color="auto"/>
            </w:tcBorders>
            <w:shd w:val="clear" w:color="auto" w:fill="FFFFFF" w:themeFill="background1"/>
          </w:tcPr>
          <w:p w:rsidR="001E5CA2" w:rsidRPr="005F120D" w:rsidRDefault="001E5CA2" w:rsidP="00936D9E">
            <w:pPr>
              <w:spacing w:after="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w:t>
            </w:r>
            <w:r w:rsidR="00BD3852" w:rsidRPr="005F120D">
              <w:rPr>
                <w:rFonts w:asciiTheme="minorHAnsi" w:hAnsiTheme="minorHAnsi" w:cstheme="minorHAnsi"/>
                <w:sz w:val="18"/>
                <w:szCs w:val="18"/>
                <w:lang w:eastAsia="ja-JP"/>
              </w:rPr>
              <w:t>541</w:t>
            </w:r>
          </w:p>
        </w:tc>
      </w:tr>
      <w:tr w:rsidR="001E5CA2" w:rsidRPr="005F120D" w:rsidTr="004E77B3">
        <w:trPr>
          <w:trHeight w:val="288"/>
          <w:jc w:val="center"/>
        </w:trPr>
        <w:tc>
          <w:tcPr>
            <w:tcW w:w="2829" w:type="dxa"/>
            <w:gridSpan w:val="2"/>
            <w:tcBorders>
              <w:left w:val="single" w:sz="12" w:space="0" w:color="auto"/>
              <w:bottom w:val="single" w:sz="12" w:space="0" w:color="auto"/>
            </w:tcBorders>
            <w:shd w:val="clear" w:color="auto" w:fill="FFFFFF" w:themeFill="background1"/>
            <w:noWrap/>
            <w:vAlign w:val="center"/>
            <w:hideMark/>
          </w:tcPr>
          <w:p w:rsidR="001E5CA2" w:rsidRPr="005F120D" w:rsidRDefault="001E5CA2" w:rsidP="00936D9E">
            <w:pPr>
              <w:spacing w:after="0"/>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 Variation</w:t>
            </w:r>
          </w:p>
        </w:tc>
        <w:tc>
          <w:tcPr>
            <w:tcW w:w="1250" w:type="dxa"/>
            <w:tcBorders>
              <w:bottom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-14.14%</w:t>
            </w:r>
          </w:p>
        </w:tc>
        <w:tc>
          <w:tcPr>
            <w:tcW w:w="1206" w:type="dxa"/>
            <w:tcBorders>
              <w:bottom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-9.30%</w:t>
            </w:r>
          </w:p>
        </w:tc>
        <w:tc>
          <w:tcPr>
            <w:tcW w:w="1206" w:type="dxa"/>
            <w:tcBorders>
              <w:bottom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24.40%</w:t>
            </w:r>
          </w:p>
        </w:tc>
        <w:tc>
          <w:tcPr>
            <w:tcW w:w="1028" w:type="dxa"/>
            <w:tcBorders>
              <w:bottom w:val="single" w:sz="12" w:space="0" w:color="auto"/>
            </w:tcBorders>
            <w:shd w:val="clear" w:color="auto" w:fill="FFFFFF" w:themeFill="background1"/>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0.60%</w:t>
            </w:r>
          </w:p>
        </w:tc>
        <w:tc>
          <w:tcPr>
            <w:tcW w:w="990" w:type="dxa"/>
            <w:tcBorders>
              <w:bottom w:val="single" w:sz="12" w:space="0" w:color="auto"/>
              <w:right w:val="single" w:sz="12" w:space="0" w:color="auto"/>
            </w:tcBorders>
            <w:shd w:val="clear" w:color="auto" w:fill="FFFFFF" w:themeFill="background1"/>
            <w:noWrap/>
            <w:vAlign w:val="center"/>
            <w:hideMark/>
          </w:tcPr>
          <w:p w:rsidR="001E5CA2" w:rsidRPr="005F120D" w:rsidRDefault="001E5CA2"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-16.77%</w:t>
            </w:r>
          </w:p>
        </w:tc>
        <w:tc>
          <w:tcPr>
            <w:tcW w:w="1308" w:type="dxa"/>
            <w:tcBorders>
              <w:bottom w:val="single" w:sz="12" w:space="0" w:color="auto"/>
              <w:right w:val="single" w:sz="12" w:space="0" w:color="auto"/>
            </w:tcBorders>
            <w:shd w:val="clear" w:color="auto" w:fill="FFFFFF" w:themeFill="background1"/>
          </w:tcPr>
          <w:p w:rsidR="001E5CA2" w:rsidRPr="005F120D" w:rsidRDefault="00B442DF" w:rsidP="00936D9E">
            <w:pPr>
              <w:spacing w:after="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-0.01</w:t>
            </w:r>
            <w:r w:rsidR="001E5CA2" w:rsidRPr="005F120D">
              <w:rPr>
                <w:rFonts w:asciiTheme="minorHAnsi" w:hAnsiTheme="minorHAnsi" w:cstheme="minorHAnsi"/>
                <w:b/>
                <w:sz w:val="18"/>
                <w:szCs w:val="18"/>
                <w:lang w:eastAsia="ja-JP"/>
              </w:rPr>
              <w:t>%</w:t>
            </w:r>
          </w:p>
        </w:tc>
      </w:tr>
    </w:tbl>
    <w:p w:rsidR="00785B0D" w:rsidRPr="005F120D" w:rsidRDefault="00785B0D" w:rsidP="00C437AA">
      <w:pPr>
        <w:pStyle w:val="BodyText1"/>
        <w:rPr>
          <w:rFonts w:asciiTheme="minorHAnsi" w:hAnsiTheme="minorHAnsi" w:cstheme="minorHAnsi"/>
          <w:b w:val="0"/>
          <w:i/>
          <w:color w:val="FF0000"/>
          <w:sz w:val="2"/>
          <w:szCs w:val="16"/>
        </w:rPr>
      </w:pPr>
    </w:p>
    <w:p w:rsidR="00332BB3" w:rsidRPr="005F120D" w:rsidRDefault="00332BB3" w:rsidP="004E77B3">
      <w:pPr>
        <w:pStyle w:val="Heading3"/>
      </w:pPr>
      <w:bookmarkStart w:id="577" w:name="_Toc385245759"/>
      <w:r w:rsidRPr="005F120D">
        <w:lastRenderedPageBreak/>
        <w:t>Budget Composition</w:t>
      </w:r>
      <w:bookmarkEnd w:id="577"/>
      <w:r w:rsidR="0020637A" w:rsidRPr="005F120D">
        <w:t>2015-16 compare to 2014-15</w:t>
      </w:r>
    </w:p>
    <w:p w:rsidR="0025109C" w:rsidRPr="005F120D" w:rsidRDefault="0025109C" w:rsidP="0025109C">
      <w:pPr>
        <w:jc w:val="both"/>
        <w:rPr>
          <w:rFonts w:asciiTheme="minorHAnsi" w:hAnsiTheme="minorHAnsi" w:cstheme="minorHAnsi"/>
          <w:szCs w:val="22"/>
        </w:rPr>
      </w:pPr>
      <w:bookmarkStart w:id="578" w:name="_Toc385242134"/>
      <w:bookmarkStart w:id="579" w:name="_Toc385419682"/>
      <w:r w:rsidRPr="005F120D">
        <w:rPr>
          <w:rFonts w:asciiTheme="minorHAnsi" w:hAnsiTheme="minorHAnsi" w:cstheme="minorHAnsi"/>
          <w:szCs w:val="22"/>
        </w:rPr>
        <w:t>The school calendar year (January-December) straddles the financial years that start on 1 July and ends on 30 June. This chapter will therefore discuss the level and composition of the primary education budget for the previous financial year 2014/15 and the current financial year 2015-16 (three quarters only).</w:t>
      </w:r>
    </w:p>
    <w:p w:rsidR="0025109C" w:rsidRPr="005F120D" w:rsidRDefault="0025109C" w:rsidP="0025109C">
      <w:pPr>
        <w:jc w:val="both"/>
        <w:rPr>
          <w:rFonts w:asciiTheme="minorHAnsi" w:hAnsiTheme="minorHAnsi" w:cstheme="minorHAnsi"/>
          <w:szCs w:val="22"/>
        </w:rPr>
      </w:pPr>
      <w:r w:rsidRPr="005F120D">
        <w:rPr>
          <w:rFonts w:asciiTheme="minorHAnsi" w:hAnsiTheme="minorHAnsi" w:cstheme="minorHAnsi"/>
          <w:szCs w:val="22"/>
        </w:rPr>
        <w:t xml:space="preserve">The composition of the MoPME budget in all the FYs was very similar, including in 2015/16.  In the revised PEDP3 period from 2011 to 2017, the development budget share has been 44%, including the PEDP3 development component of 24%, the discrete project share of 20%, and the non-development budget share of 56%. </w:t>
      </w:r>
    </w:p>
    <w:p w:rsidR="00122044" w:rsidRPr="005F120D" w:rsidRDefault="0025109C" w:rsidP="0025109C">
      <w:pPr>
        <w:jc w:val="both"/>
        <w:rPr>
          <w:rFonts w:asciiTheme="minorHAnsi" w:hAnsiTheme="minorHAnsi" w:cstheme="minorHAnsi"/>
        </w:rPr>
      </w:pPr>
      <w:r w:rsidRPr="005F120D">
        <w:rPr>
          <w:rFonts w:asciiTheme="minorHAnsi" w:hAnsiTheme="minorHAnsi" w:cstheme="minorHAnsi"/>
          <w:szCs w:val="22"/>
        </w:rPr>
        <w:t>In the FY 2015/16, the development budget share is 52% (43% in 2014/15), including PEDP3’s development component of 35% (25% in 2014/15) and the discrete projects at 12% (16% in 2014/15). The PEDP3 budget was increased and the discrete project budgets decreased compared to the previous year’s budget. The unplanned block allocation of the development budget remains low but increased in 2015/16 (4%) compared to 2014/15 (1%). The allocation is low due to uncertainties in budget disbursement and expenditure. To get an overview on the primary education budget, the Figure 6.2 below displays a snapshot of the MoPME budget in 2014/15 and 2015/16</w:t>
      </w:r>
      <w:r w:rsidR="00DF37FB" w:rsidRPr="005F120D">
        <w:rPr>
          <w:rFonts w:asciiTheme="minorHAnsi" w:hAnsiTheme="minorHAnsi" w:cstheme="minorHAnsi"/>
        </w:rPr>
        <w:t>.</w:t>
      </w:r>
    </w:p>
    <w:p w:rsidR="00F52403" w:rsidRPr="005F120D" w:rsidRDefault="00332BB3" w:rsidP="00C437AA">
      <w:pPr>
        <w:pStyle w:val="Caption"/>
        <w:spacing w:line="276" w:lineRule="auto"/>
        <w:rPr>
          <w:rFonts w:cstheme="minorHAnsi"/>
        </w:rPr>
      </w:pPr>
      <w:bookmarkStart w:id="580" w:name="_Toc462837460"/>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2</w:t>
      </w:r>
      <w:r w:rsidR="002E2ED5" w:rsidRPr="005F120D">
        <w:rPr>
          <w:rFonts w:cstheme="minorHAnsi"/>
        </w:rPr>
        <w:fldChar w:fldCharType="end"/>
      </w:r>
      <w:r w:rsidRPr="005F120D">
        <w:rPr>
          <w:rFonts w:cstheme="minorHAnsi"/>
        </w:rPr>
        <w:t>: MoPM</w:t>
      </w:r>
      <w:r w:rsidR="007D341C" w:rsidRPr="005F120D">
        <w:rPr>
          <w:rFonts w:cstheme="minorHAnsi"/>
        </w:rPr>
        <w:t>E budget by type of budget, 2014/15 and 2015</w:t>
      </w:r>
      <w:r w:rsidRPr="005F120D">
        <w:rPr>
          <w:rFonts w:cstheme="minorHAnsi"/>
        </w:rPr>
        <w:t>/1</w:t>
      </w:r>
      <w:bookmarkEnd w:id="578"/>
      <w:bookmarkEnd w:id="579"/>
      <w:r w:rsidR="007D341C" w:rsidRPr="005F120D">
        <w:rPr>
          <w:rFonts w:cstheme="minorHAnsi"/>
        </w:rPr>
        <w:t>6</w:t>
      </w:r>
      <w:bookmarkEnd w:id="580"/>
    </w:p>
    <w:tbl>
      <w:tblPr>
        <w:tblW w:w="5000" w:type="pct"/>
        <w:tblLook w:val="04A0"/>
      </w:tblPr>
      <w:tblGrid>
        <w:gridCol w:w="4740"/>
        <w:gridCol w:w="4505"/>
      </w:tblGrid>
      <w:tr w:rsidR="007D341C" w:rsidRPr="005F120D" w:rsidTr="00936D9E">
        <w:trPr>
          <w:trHeight w:val="3737"/>
        </w:trPr>
        <w:tc>
          <w:tcPr>
            <w:tcW w:w="2563" w:type="pct"/>
            <w:shd w:val="clear" w:color="auto" w:fill="auto"/>
          </w:tcPr>
          <w:p w:rsidR="007D341C" w:rsidRPr="005F120D" w:rsidRDefault="007D341C" w:rsidP="00936D9E">
            <w:pPr>
              <w:pStyle w:val="BodyText1"/>
              <w:spacing w:before="40" w:after="40"/>
              <w:rPr>
                <w:rFonts w:asciiTheme="minorHAnsi" w:eastAsia="Calibri" w:hAnsiTheme="minorHAnsi" w:cstheme="minorHAnsi"/>
                <w:b w:val="0"/>
                <w:color w:val="3333FF"/>
              </w:rPr>
            </w:pPr>
            <w:r w:rsidRPr="005F120D">
              <w:rPr>
                <w:rFonts w:asciiTheme="minorHAnsi" w:eastAsia="Calibri" w:hAnsiTheme="minorHAnsi" w:cstheme="minorHAnsi"/>
                <w:b w:val="0"/>
                <w:noProof/>
                <w:color w:val="3333FF"/>
                <w:lang w:val="en-US" w:eastAsia="en-US"/>
              </w:rPr>
              <w:drawing>
                <wp:inline distT="0" distB="0" distL="0" distR="0">
                  <wp:extent cx="2870504" cy="2318633"/>
                  <wp:effectExtent l="38100" t="19050" r="25096" b="5467"/>
                  <wp:docPr id="113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2437" w:type="pct"/>
          </w:tcPr>
          <w:p w:rsidR="007D341C" w:rsidRPr="005F120D" w:rsidRDefault="00E85AC1" w:rsidP="00936D9E">
            <w:pPr>
              <w:pStyle w:val="BodyText1"/>
              <w:spacing w:before="40" w:after="40"/>
              <w:rPr>
                <w:rFonts w:asciiTheme="minorHAnsi" w:eastAsia="Calibri" w:hAnsiTheme="minorHAnsi" w:cstheme="minorHAnsi"/>
                <w:b w:val="0"/>
                <w:noProof/>
                <w:color w:val="FF0000"/>
                <w:lang w:val="en-US" w:eastAsia="en-US"/>
              </w:rPr>
            </w:pPr>
            <w:r w:rsidRPr="005F120D">
              <w:rPr>
                <w:rFonts w:asciiTheme="minorHAnsi" w:eastAsia="Calibri" w:hAnsiTheme="minorHAnsi" w:cstheme="minorHAnsi"/>
                <w:b w:val="0"/>
                <w:noProof/>
                <w:color w:val="FF0000"/>
                <w:lang w:val="en-US" w:eastAsia="en-US"/>
              </w:rPr>
              <w:drawing>
                <wp:inline distT="0" distB="0" distL="0" distR="0">
                  <wp:extent cx="2732157" cy="2321505"/>
                  <wp:effectExtent l="38100" t="19050" r="11043" b="2595"/>
                  <wp:docPr id="11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4B5CB4" w:rsidRPr="005F120D" w:rsidRDefault="00B40929" w:rsidP="00936D9E">
      <w:pPr>
        <w:pStyle w:val="Tablenotes"/>
        <w:spacing w:after="40"/>
      </w:pPr>
      <w:r w:rsidRPr="005F120D">
        <w:t>Sources: MoPME PEDP3 AOP 2013/14 and 2014/15</w:t>
      </w:r>
    </w:p>
    <w:p w:rsidR="0025109C" w:rsidRPr="005F120D" w:rsidRDefault="0025109C" w:rsidP="00C437AA">
      <w:pPr>
        <w:spacing w:line="276" w:lineRule="auto"/>
        <w:jc w:val="both"/>
        <w:rPr>
          <w:rFonts w:asciiTheme="minorHAnsi" w:hAnsiTheme="minorHAnsi" w:cstheme="minorHAnsi"/>
          <w:sz w:val="4"/>
          <w:szCs w:val="22"/>
        </w:rPr>
      </w:pPr>
      <w:bookmarkStart w:id="581" w:name="_Ref387839091"/>
      <w:bookmarkStart w:id="582" w:name="_Toc385419612"/>
    </w:p>
    <w:p w:rsidR="00416792" w:rsidRPr="005F120D" w:rsidRDefault="0025109C" w:rsidP="00C437AA">
      <w:pPr>
        <w:spacing w:line="276" w:lineRule="auto"/>
        <w:jc w:val="both"/>
        <w:rPr>
          <w:rFonts w:asciiTheme="minorHAnsi" w:hAnsiTheme="minorHAnsi" w:cstheme="minorHAnsi"/>
        </w:rPr>
      </w:pPr>
      <w:r w:rsidRPr="005F120D">
        <w:rPr>
          <w:rFonts w:asciiTheme="minorHAnsi" w:hAnsiTheme="minorHAnsi" w:cstheme="minorHAnsi"/>
          <w:szCs w:val="22"/>
        </w:rPr>
        <w:t>Information is available on both original and revised AOP 2014/15 (original TK. 3,400 crore) and (revised TK. 2,404 crore). The revised 2014/15 AOP was cut by around 29.3% compared to the original 2014/15 budget. This represents an improvement over the previous year</w:t>
      </w:r>
      <w:r w:rsidR="00E8048F" w:rsidRPr="005F120D">
        <w:rPr>
          <w:rFonts w:asciiTheme="minorHAnsi" w:hAnsiTheme="minorHAnsi" w:cstheme="minorHAnsi"/>
          <w:szCs w:val="22"/>
        </w:rPr>
        <w:t xml:space="preserve"> (2013/14)</w:t>
      </w:r>
      <w:r w:rsidRPr="005F120D">
        <w:rPr>
          <w:rFonts w:asciiTheme="minorHAnsi" w:hAnsiTheme="minorHAnsi" w:cstheme="minorHAnsi"/>
          <w:szCs w:val="22"/>
        </w:rPr>
        <w:t xml:space="preserve"> when the AOP was revised downward by 20% to 32% due to low spending by nearly half of the sub-components (see Table 5.4). In 2015/16, the budget, over all increased by 16.8% of the MoPME budget (28% development and 2.4% non-development budget) compared to the revised 2014/15 budget.</w:t>
      </w:r>
    </w:p>
    <w:p w:rsidR="004E77B3" w:rsidRPr="005F120D" w:rsidRDefault="004E77B3" w:rsidP="00C437AA">
      <w:pPr>
        <w:pStyle w:val="Caption"/>
        <w:spacing w:line="276" w:lineRule="auto"/>
        <w:rPr>
          <w:rFonts w:cstheme="minorHAnsi"/>
        </w:rPr>
      </w:pPr>
    </w:p>
    <w:p w:rsidR="004E77B3" w:rsidRPr="005F120D" w:rsidRDefault="004E77B3" w:rsidP="00E8048F">
      <w:pPr>
        <w:pStyle w:val="Caption"/>
        <w:spacing w:line="276" w:lineRule="auto"/>
        <w:jc w:val="left"/>
        <w:rPr>
          <w:rFonts w:cstheme="minorHAnsi"/>
        </w:rPr>
      </w:pPr>
    </w:p>
    <w:p w:rsidR="00332BB3" w:rsidRPr="005F120D" w:rsidRDefault="00332BB3" w:rsidP="00C437AA">
      <w:pPr>
        <w:pStyle w:val="Caption"/>
        <w:spacing w:line="276" w:lineRule="auto"/>
        <w:rPr>
          <w:rFonts w:cstheme="minorHAnsi"/>
        </w:rPr>
      </w:pPr>
      <w:bookmarkStart w:id="583" w:name="_Toc462837308"/>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5</w:t>
      </w:r>
      <w:r w:rsidR="002E2ED5" w:rsidRPr="005F120D">
        <w:rPr>
          <w:rFonts w:cstheme="minorHAnsi"/>
        </w:rPr>
        <w:fldChar w:fldCharType="end"/>
      </w:r>
      <w:bookmarkEnd w:id="581"/>
      <w:r w:rsidRPr="005F120D">
        <w:rPr>
          <w:rFonts w:cstheme="minorHAnsi"/>
        </w:rPr>
        <w:t xml:space="preserve">:  Comparison of MoPME </w:t>
      </w:r>
      <w:r w:rsidR="0006721F" w:rsidRPr="005F120D">
        <w:rPr>
          <w:rFonts w:cstheme="minorHAnsi"/>
        </w:rPr>
        <w:t>original and revised budget 2012/13to 2014</w:t>
      </w:r>
      <w:r w:rsidRPr="005F120D">
        <w:rPr>
          <w:rFonts w:cstheme="minorHAnsi"/>
        </w:rPr>
        <w:t>/1</w:t>
      </w:r>
      <w:bookmarkEnd w:id="582"/>
      <w:r w:rsidR="0006721F" w:rsidRPr="005F120D">
        <w:rPr>
          <w:rFonts w:cstheme="minorHAnsi"/>
        </w:rPr>
        <w:t>5</w:t>
      </w:r>
      <w:r w:rsidR="008874E0" w:rsidRPr="005F120D">
        <w:rPr>
          <w:rFonts w:cstheme="minorHAnsi"/>
        </w:rPr>
        <w:t xml:space="preserve"> and 2015-16</w:t>
      </w:r>
      <w:bookmarkEnd w:id="583"/>
    </w:p>
    <w:tbl>
      <w:tblPr>
        <w:tblW w:w="5101" w:type="pct"/>
        <w:jc w:val="center"/>
        <w:tblLook w:val="04A0"/>
      </w:tblPr>
      <w:tblGrid>
        <w:gridCol w:w="1264"/>
        <w:gridCol w:w="788"/>
        <w:gridCol w:w="781"/>
        <w:gridCol w:w="891"/>
        <w:gridCol w:w="788"/>
        <w:gridCol w:w="781"/>
        <w:gridCol w:w="891"/>
        <w:gridCol w:w="788"/>
        <w:gridCol w:w="781"/>
        <w:gridCol w:w="891"/>
        <w:gridCol w:w="788"/>
      </w:tblGrid>
      <w:tr w:rsidR="008874E0" w:rsidRPr="005F120D" w:rsidTr="00F417AB">
        <w:trPr>
          <w:jc w:val="center"/>
        </w:trPr>
        <w:tc>
          <w:tcPr>
            <w:tcW w:w="754" w:type="pct"/>
            <w:vMerge w:val="restart"/>
            <w:tcBorders>
              <w:top w:val="single" w:sz="4" w:space="0" w:color="auto"/>
            </w:tcBorders>
            <w:shd w:val="clear" w:color="auto" w:fill="C2D69B" w:themeFill="accent3" w:themeFillTint="99"/>
            <w:vAlign w:val="center"/>
            <w:hideMark/>
          </w:tcPr>
          <w:p w:rsidR="008874E0" w:rsidRPr="005F120D" w:rsidRDefault="008874E0"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 </w:t>
            </w:r>
          </w:p>
          <w:p w:rsidR="008874E0" w:rsidRPr="005F120D" w:rsidRDefault="008874E0" w:rsidP="00936D9E">
            <w:pPr>
              <w:pStyle w:val="NoSpacing"/>
              <w:rPr>
                <w:rFonts w:asciiTheme="minorHAnsi" w:hAnsiTheme="minorHAnsi" w:cstheme="minorHAnsi"/>
                <w:sz w:val="18"/>
                <w:szCs w:val="18"/>
                <w:lang w:eastAsia="ja-JP"/>
              </w:rPr>
            </w:pPr>
          </w:p>
          <w:p w:rsidR="008874E0" w:rsidRPr="005F120D" w:rsidRDefault="008874E0"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(in Crore Taka)</w:t>
            </w:r>
          </w:p>
        </w:tc>
        <w:tc>
          <w:tcPr>
            <w:tcW w:w="1259" w:type="pct"/>
            <w:gridSpan w:val="3"/>
            <w:tcBorders>
              <w:top w:val="single" w:sz="4" w:space="0" w:color="auto"/>
              <w:bottom w:val="single" w:sz="4" w:space="0" w:color="auto"/>
              <w:right w:val="single" w:sz="4" w:space="0" w:color="auto"/>
            </w:tcBorders>
            <w:shd w:val="clear" w:color="auto" w:fill="C2D69B" w:themeFill="accent3" w:themeFillTint="99"/>
            <w:vAlign w:val="center"/>
            <w:hideMark/>
          </w:tcPr>
          <w:p w:rsidR="008874E0" w:rsidRPr="005F120D" w:rsidRDefault="008874E0"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bCs/>
                <w:sz w:val="18"/>
                <w:szCs w:val="18"/>
                <w:lang w:eastAsia="ja-JP"/>
              </w:rPr>
              <w:t>2012–13</w:t>
            </w:r>
          </w:p>
        </w:tc>
        <w:tc>
          <w:tcPr>
            <w:tcW w:w="1260" w:type="pct"/>
            <w:gridSpan w:val="3"/>
            <w:tcBorders>
              <w:top w:val="single" w:sz="4" w:space="0" w:color="auto"/>
              <w:left w:val="single" w:sz="4" w:space="0" w:color="auto"/>
              <w:bottom w:val="single" w:sz="4" w:space="0" w:color="auto"/>
            </w:tcBorders>
            <w:shd w:val="clear" w:color="auto" w:fill="C2D69B" w:themeFill="accent3" w:themeFillTint="99"/>
            <w:vAlign w:val="center"/>
            <w:hideMark/>
          </w:tcPr>
          <w:p w:rsidR="008874E0" w:rsidRPr="005F120D" w:rsidRDefault="008874E0"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bCs/>
                <w:sz w:val="18"/>
                <w:szCs w:val="18"/>
                <w:lang w:eastAsia="ja-JP"/>
              </w:rPr>
              <w:t>2013-14</w:t>
            </w:r>
          </w:p>
        </w:tc>
        <w:tc>
          <w:tcPr>
            <w:tcW w:w="1262" w:type="pct"/>
            <w:gridSpan w:val="3"/>
            <w:tcBorders>
              <w:top w:val="single" w:sz="4" w:space="0" w:color="auto"/>
              <w:left w:val="single" w:sz="4" w:space="0" w:color="auto"/>
              <w:bottom w:val="single" w:sz="4" w:space="0" w:color="auto"/>
            </w:tcBorders>
            <w:shd w:val="clear" w:color="auto" w:fill="C2D69B" w:themeFill="accent3" w:themeFillTint="99"/>
          </w:tcPr>
          <w:p w:rsidR="008874E0" w:rsidRPr="005F120D" w:rsidRDefault="008874E0"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2014-15</w:t>
            </w:r>
          </w:p>
        </w:tc>
        <w:tc>
          <w:tcPr>
            <w:tcW w:w="465" w:type="pct"/>
            <w:tcBorders>
              <w:top w:val="single" w:sz="4" w:space="0" w:color="auto"/>
              <w:left w:val="single" w:sz="4" w:space="0" w:color="auto"/>
              <w:bottom w:val="single" w:sz="4" w:space="0" w:color="auto"/>
            </w:tcBorders>
            <w:shd w:val="clear" w:color="auto" w:fill="C2D69B" w:themeFill="accent3" w:themeFillTint="99"/>
          </w:tcPr>
          <w:p w:rsidR="008874E0" w:rsidRPr="005F120D" w:rsidRDefault="008874E0"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2015-16</w:t>
            </w:r>
          </w:p>
        </w:tc>
      </w:tr>
      <w:tr w:rsidR="007A69F5" w:rsidRPr="005F120D" w:rsidTr="00F417AB">
        <w:trPr>
          <w:jc w:val="center"/>
        </w:trPr>
        <w:tc>
          <w:tcPr>
            <w:tcW w:w="754" w:type="pct"/>
            <w:vMerge/>
            <w:tcBorders>
              <w:bottom w:val="single" w:sz="4" w:space="0" w:color="auto"/>
            </w:tcBorders>
            <w:shd w:val="clear" w:color="auto" w:fill="C2D69B" w:themeFill="accent3" w:themeFillTint="99"/>
            <w:vAlign w:val="center"/>
            <w:hideMark/>
          </w:tcPr>
          <w:p w:rsidR="007A69F5" w:rsidRPr="005F120D" w:rsidRDefault="007A69F5" w:rsidP="00936D9E">
            <w:pPr>
              <w:pStyle w:val="NoSpacing"/>
              <w:rPr>
                <w:rFonts w:asciiTheme="minorHAnsi" w:hAnsiTheme="minorHAnsi" w:cstheme="minorHAnsi"/>
                <w:sz w:val="18"/>
                <w:szCs w:val="18"/>
                <w:lang w:eastAsia="ja-JP"/>
              </w:rPr>
            </w:pPr>
          </w:p>
        </w:tc>
        <w:tc>
          <w:tcPr>
            <w:tcW w:w="403" w:type="pct"/>
            <w:tcBorders>
              <w:top w:val="single" w:sz="4" w:space="0" w:color="auto"/>
              <w:bottom w:val="single" w:sz="4" w:space="0" w:color="auto"/>
            </w:tcBorders>
            <w:shd w:val="clear" w:color="auto" w:fill="C2D69B" w:themeFill="accent3" w:themeFillTint="99"/>
            <w:vAlign w:val="center"/>
            <w:hideMark/>
          </w:tcPr>
          <w:p w:rsidR="007A69F5" w:rsidRPr="005F120D" w:rsidRDefault="007A69F5"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Original</w:t>
            </w:r>
          </w:p>
        </w:tc>
        <w:tc>
          <w:tcPr>
            <w:tcW w:w="400" w:type="pct"/>
            <w:tcBorders>
              <w:top w:val="single" w:sz="4" w:space="0" w:color="auto"/>
              <w:bottom w:val="single" w:sz="4" w:space="0" w:color="auto"/>
            </w:tcBorders>
            <w:shd w:val="clear" w:color="auto" w:fill="C2D69B" w:themeFill="accent3" w:themeFillTint="99"/>
            <w:vAlign w:val="center"/>
            <w:hideMark/>
          </w:tcPr>
          <w:p w:rsidR="007A69F5" w:rsidRPr="005F120D" w:rsidRDefault="007A69F5"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Revised</w:t>
            </w:r>
          </w:p>
        </w:tc>
        <w:tc>
          <w:tcPr>
            <w:tcW w:w="456" w:type="pct"/>
            <w:tcBorders>
              <w:top w:val="single" w:sz="4" w:space="0" w:color="auto"/>
              <w:bottom w:val="single" w:sz="4" w:space="0" w:color="auto"/>
              <w:right w:val="single" w:sz="4" w:space="0" w:color="auto"/>
            </w:tcBorders>
            <w:shd w:val="clear" w:color="auto" w:fill="C2D69B" w:themeFill="accent3" w:themeFillTint="99"/>
            <w:vAlign w:val="center"/>
            <w:hideMark/>
          </w:tcPr>
          <w:p w:rsidR="007A69F5" w:rsidRPr="005F120D" w:rsidRDefault="007A69F5"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%Change</w:t>
            </w:r>
          </w:p>
        </w:tc>
        <w:tc>
          <w:tcPr>
            <w:tcW w:w="403" w:type="pct"/>
            <w:tcBorders>
              <w:top w:val="single" w:sz="4" w:space="0" w:color="auto"/>
              <w:left w:val="single" w:sz="4" w:space="0" w:color="auto"/>
              <w:bottom w:val="single" w:sz="4" w:space="0" w:color="auto"/>
            </w:tcBorders>
            <w:shd w:val="clear" w:color="auto" w:fill="C2D69B" w:themeFill="accent3" w:themeFillTint="99"/>
            <w:vAlign w:val="center"/>
            <w:hideMark/>
          </w:tcPr>
          <w:p w:rsidR="007A69F5" w:rsidRPr="005F120D" w:rsidRDefault="007A69F5"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Original</w:t>
            </w:r>
          </w:p>
        </w:tc>
        <w:tc>
          <w:tcPr>
            <w:tcW w:w="400" w:type="pct"/>
            <w:tcBorders>
              <w:top w:val="single" w:sz="4" w:space="0" w:color="auto"/>
              <w:bottom w:val="single" w:sz="4" w:space="0" w:color="auto"/>
            </w:tcBorders>
            <w:shd w:val="clear" w:color="auto" w:fill="C2D69B" w:themeFill="accent3" w:themeFillTint="99"/>
            <w:vAlign w:val="center"/>
            <w:hideMark/>
          </w:tcPr>
          <w:p w:rsidR="007A69F5" w:rsidRPr="005F120D" w:rsidRDefault="007A69F5"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Revised</w:t>
            </w:r>
          </w:p>
        </w:tc>
        <w:tc>
          <w:tcPr>
            <w:tcW w:w="457" w:type="pct"/>
            <w:tcBorders>
              <w:top w:val="single" w:sz="4" w:space="0" w:color="auto"/>
              <w:bottom w:val="single" w:sz="4" w:space="0" w:color="auto"/>
              <w:right w:val="single" w:sz="4" w:space="0" w:color="auto"/>
            </w:tcBorders>
            <w:shd w:val="clear" w:color="auto" w:fill="C2D69B" w:themeFill="accent3" w:themeFillTint="99"/>
            <w:vAlign w:val="center"/>
            <w:hideMark/>
          </w:tcPr>
          <w:p w:rsidR="007A69F5" w:rsidRPr="005F120D" w:rsidRDefault="007A69F5"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%Change</w:t>
            </w:r>
          </w:p>
        </w:tc>
        <w:tc>
          <w:tcPr>
            <w:tcW w:w="403" w:type="pct"/>
            <w:tcBorders>
              <w:top w:val="single" w:sz="4" w:space="0" w:color="auto"/>
              <w:left w:val="single" w:sz="4" w:space="0" w:color="auto"/>
              <w:bottom w:val="single" w:sz="4" w:space="0" w:color="auto"/>
            </w:tcBorders>
            <w:shd w:val="clear" w:color="auto" w:fill="C2D69B" w:themeFill="accent3" w:themeFillTint="99"/>
            <w:vAlign w:val="center"/>
          </w:tcPr>
          <w:p w:rsidR="007A69F5" w:rsidRPr="005F120D" w:rsidRDefault="007A69F5"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Original</w:t>
            </w:r>
          </w:p>
        </w:tc>
        <w:tc>
          <w:tcPr>
            <w:tcW w:w="400" w:type="pct"/>
            <w:tcBorders>
              <w:top w:val="single" w:sz="4" w:space="0" w:color="auto"/>
              <w:bottom w:val="single" w:sz="4" w:space="0" w:color="auto"/>
            </w:tcBorders>
            <w:shd w:val="clear" w:color="auto" w:fill="C2D69B" w:themeFill="accent3" w:themeFillTint="99"/>
            <w:vAlign w:val="center"/>
          </w:tcPr>
          <w:p w:rsidR="007A69F5" w:rsidRPr="005F120D" w:rsidRDefault="007A69F5"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Revised</w:t>
            </w:r>
          </w:p>
        </w:tc>
        <w:tc>
          <w:tcPr>
            <w:tcW w:w="458" w:type="pct"/>
            <w:tcBorders>
              <w:top w:val="single" w:sz="4" w:space="0" w:color="auto"/>
              <w:bottom w:val="single" w:sz="4" w:space="0" w:color="auto"/>
              <w:right w:val="single" w:sz="4" w:space="0" w:color="auto"/>
            </w:tcBorders>
            <w:shd w:val="clear" w:color="auto" w:fill="C2D69B" w:themeFill="accent3" w:themeFillTint="99"/>
            <w:vAlign w:val="center"/>
          </w:tcPr>
          <w:p w:rsidR="007A69F5" w:rsidRPr="005F120D" w:rsidRDefault="007A69F5"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%Change</w:t>
            </w:r>
          </w:p>
        </w:tc>
        <w:tc>
          <w:tcPr>
            <w:tcW w:w="465" w:type="pct"/>
            <w:tcBorders>
              <w:top w:val="single" w:sz="4" w:space="0" w:color="auto"/>
              <w:left w:val="single" w:sz="4" w:space="0" w:color="auto"/>
              <w:bottom w:val="single" w:sz="4" w:space="0" w:color="auto"/>
            </w:tcBorders>
            <w:shd w:val="clear" w:color="auto" w:fill="C2D69B" w:themeFill="accent3" w:themeFillTint="99"/>
            <w:vAlign w:val="center"/>
          </w:tcPr>
          <w:p w:rsidR="007A69F5" w:rsidRPr="005F120D" w:rsidRDefault="007A69F5" w:rsidP="00936D9E">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Original</w:t>
            </w:r>
          </w:p>
        </w:tc>
      </w:tr>
      <w:tr w:rsidR="00F417AB" w:rsidRPr="005F120D" w:rsidTr="00F417AB">
        <w:trPr>
          <w:jc w:val="center"/>
        </w:trPr>
        <w:tc>
          <w:tcPr>
            <w:tcW w:w="754" w:type="pct"/>
            <w:tcBorders>
              <w:top w:val="single" w:sz="4" w:space="0" w:color="auto"/>
              <w:bottom w:val="single" w:sz="4" w:space="0" w:color="auto"/>
            </w:tcBorders>
            <w:shd w:val="clear" w:color="auto" w:fill="auto"/>
            <w:vAlign w:val="center"/>
            <w:hideMark/>
          </w:tcPr>
          <w:p w:rsidR="00F417AB" w:rsidRPr="005F120D" w:rsidRDefault="00F417AB" w:rsidP="00936D9E">
            <w:pPr>
              <w:pStyle w:val="NoSpacing"/>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Development budget</w:t>
            </w:r>
          </w:p>
        </w:tc>
        <w:tc>
          <w:tcPr>
            <w:tcW w:w="403"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4,382</w:t>
            </w:r>
          </w:p>
        </w:tc>
        <w:tc>
          <w:tcPr>
            <w:tcW w:w="400"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3,916</w:t>
            </w:r>
          </w:p>
        </w:tc>
        <w:tc>
          <w:tcPr>
            <w:tcW w:w="456" w:type="pct"/>
            <w:tcBorders>
              <w:top w:val="single" w:sz="4" w:space="0" w:color="auto"/>
              <w:bottom w:val="single" w:sz="4" w:space="0" w:color="auto"/>
              <w:right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-11%</w:t>
            </w:r>
          </w:p>
        </w:tc>
        <w:tc>
          <w:tcPr>
            <w:tcW w:w="403" w:type="pct"/>
            <w:tcBorders>
              <w:top w:val="single" w:sz="4" w:space="0" w:color="auto"/>
              <w:left w:val="single" w:sz="4" w:space="0" w:color="auto"/>
              <w:bottom w:val="single" w:sz="4" w:space="0" w:color="auto"/>
            </w:tcBorders>
            <w:shd w:val="clear" w:color="000000" w:fill="FFFFFF"/>
            <w:vAlign w:val="center"/>
            <w:hideMark/>
          </w:tcPr>
          <w:p w:rsidR="00F417AB" w:rsidRPr="005F120D" w:rsidRDefault="00F417AB" w:rsidP="00936D9E">
            <w:pPr>
              <w:spacing w:after="0"/>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5,278</w:t>
            </w:r>
          </w:p>
        </w:tc>
        <w:tc>
          <w:tcPr>
            <w:tcW w:w="400"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4,528</w:t>
            </w:r>
          </w:p>
        </w:tc>
        <w:tc>
          <w:tcPr>
            <w:tcW w:w="457" w:type="pct"/>
            <w:tcBorders>
              <w:top w:val="single" w:sz="4" w:space="0" w:color="auto"/>
              <w:bottom w:val="single" w:sz="4" w:space="0" w:color="auto"/>
              <w:right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-14%</w:t>
            </w:r>
          </w:p>
        </w:tc>
        <w:tc>
          <w:tcPr>
            <w:tcW w:w="403" w:type="pct"/>
            <w:tcBorders>
              <w:top w:val="single" w:sz="4" w:space="0" w:color="auto"/>
              <w:left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5,778</w:t>
            </w:r>
          </w:p>
        </w:tc>
        <w:tc>
          <w:tcPr>
            <w:tcW w:w="400" w:type="pct"/>
            <w:tcBorders>
              <w:top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4,333</w:t>
            </w:r>
          </w:p>
        </w:tc>
        <w:tc>
          <w:tcPr>
            <w:tcW w:w="458" w:type="pct"/>
            <w:tcBorders>
              <w:top w:val="single" w:sz="4" w:space="0" w:color="auto"/>
              <w:bottom w:val="single" w:sz="4" w:space="0" w:color="auto"/>
              <w:right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465" w:type="pct"/>
            <w:tcBorders>
              <w:top w:val="single" w:sz="4" w:space="0" w:color="auto"/>
              <w:left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5,541</w:t>
            </w:r>
            <w:r w:rsidR="006F2F01" w:rsidRPr="005F120D">
              <w:rPr>
                <w:rFonts w:asciiTheme="minorHAnsi" w:hAnsiTheme="minorHAnsi" w:cstheme="minorHAnsi"/>
                <w:sz w:val="18"/>
                <w:szCs w:val="18"/>
              </w:rPr>
              <w:t xml:space="preserve"> (28%)</w:t>
            </w:r>
          </w:p>
        </w:tc>
      </w:tr>
      <w:tr w:rsidR="00F417AB" w:rsidRPr="005F120D" w:rsidTr="00F417AB">
        <w:trPr>
          <w:jc w:val="center"/>
        </w:trPr>
        <w:tc>
          <w:tcPr>
            <w:tcW w:w="754"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numPr>
                <w:ilvl w:val="0"/>
                <w:numId w:val="24"/>
              </w:numPr>
              <w:ind w:left="180" w:hanging="180"/>
              <w:rPr>
                <w:rFonts w:asciiTheme="minorHAnsi" w:hAnsiTheme="minorHAnsi" w:cstheme="minorHAnsi"/>
                <w:sz w:val="18"/>
                <w:szCs w:val="18"/>
                <w:lang w:eastAsia="ja-JP"/>
              </w:rPr>
            </w:pPr>
            <w:r w:rsidRPr="005F120D">
              <w:rPr>
                <w:rFonts w:asciiTheme="minorHAnsi" w:hAnsiTheme="minorHAnsi" w:cstheme="minorHAnsi"/>
                <w:sz w:val="18"/>
                <w:szCs w:val="18"/>
                <w:lang w:eastAsia="ja-JP"/>
              </w:rPr>
              <w:t>PEDP3 (DPE)</w:t>
            </w:r>
          </w:p>
        </w:tc>
        <w:tc>
          <w:tcPr>
            <w:tcW w:w="403"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1,953</w:t>
            </w:r>
          </w:p>
        </w:tc>
        <w:tc>
          <w:tcPr>
            <w:tcW w:w="400"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1,560</w:t>
            </w:r>
          </w:p>
        </w:tc>
        <w:tc>
          <w:tcPr>
            <w:tcW w:w="456" w:type="pct"/>
            <w:tcBorders>
              <w:top w:val="single" w:sz="4" w:space="0" w:color="auto"/>
              <w:bottom w:val="single" w:sz="4" w:space="0" w:color="auto"/>
              <w:right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-20%</w:t>
            </w:r>
          </w:p>
        </w:tc>
        <w:tc>
          <w:tcPr>
            <w:tcW w:w="403" w:type="pct"/>
            <w:tcBorders>
              <w:top w:val="single" w:sz="4" w:space="0" w:color="auto"/>
              <w:left w:val="single" w:sz="4" w:space="0" w:color="auto"/>
              <w:bottom w:val="single" w:sz="4" w:space="0" w:color="auto"/>
            </w:tcBorders>
            <w:shd w:val="clear" w:color="auto" w:fill="D6E3BC" w:themeFill="accent3" w:themeFillTint="66"/>
            <w:vAlign w:val="center"/>
            <w:hideMark/>
          </w:tcPr>
          <w:p w:rsidR="00F417AB" w:rsidRPr="005F120D" w:rsidRDefault="00F417AB" w:rsidP="00936D9E">
            <w:pPr>
              <w:spacing w:after="0"/>
              <w:jc w:val="center"/>
              <w:rPr>
                <w:rFonts w:asciiTheme="minorHAnsi" w:hAnsiTheme="minorHAnsi" w:cstheme="minorHAnsi"/>
                <w:iCs/>
                <w:sz w:val="18"/>
                <w:szCs w:val="18"/>
                <w:lang w:eastAsia="ja-JP"/>
              </w:rPr>
            </w:pPr>
            <w:r w:rsidRPr="005F120D">
              <w:rPr>
                <w:rFonts w:asciiTheme="minorHAnsi" w:hAnsiTheme="minorHAnsi" w:cstheme="minorHAnsi"/>
                <w:iCs/>
                <w:sz w:val="18"/>
                <w:szCs w:val="18"/>
                <w:lang w:eastAsia="ja-JP"/>
              </w:rPr>
              <w:t>3,673</w:t>
            </w:r>
          </w:p>
        </w:tc>
        <w:tc>
          <w:tcPr>
            <w:tcW w:w="400"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2,510</w:t>
            </w:r>
          </w:p>
        </w:tc>
        <w:tc>
          <w:tcPr>
            <w:tcW w:w="457" w:type="pct"/>
            <w:tcBorders>
              <w:top w:val="single" w:sz="4" w:space="0" w:color="auto"/>
              <w:bottom w:val="single" w:sz="4" w:space="0" w:color="auto"/>
              <w:right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-32%</w:t>
            </w:r>
          </w:p>
        </w:tc>
        <w:tc>
          <w:tcPr>
            <w:tcW w:w="403" w:type="pct"/>
            <w:tcBorders>
              <w:top w:val="single" w:sz="4" w:space="0" w:color="auto"/>
              <w:left w:val="single" w:sz="4" w:space="0" w:color="auto"/>
              <w:bottom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3,400</w:t>
            </w:r>
          </w:p>
        </w:tc>
        <w:tc>
          <w:tcPr>
            <w:tcW w:w="400" w:type="pct"/>
            <w:tcBorders>
              <w:top w:val="single" w:sz="4" w:space="0" w:color="auto"/>
              <w:bottom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2,404</w:t>
            </w:r>
          </w:p>
        </w:tc>
        <w:tc>
          <w:tcPr>
            <w:tcW w:w="458" w:type="pct"/>
            <w:tcBorders>
              <w:top w:val="single" w:sz="4" w:space="0" w:color="auto"/>
              <w:bottom w:val="single" w:sz="4" w:space="0" w:color="auto"/>
              <w:right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-29.30%</w:t>
            </w:r>
          </w:p>
        </w:tc>
        <w:tc>
          <w:tcPr>
            <w:tcW w:w="465" w:type="pct"/>
            <w:tcBorders>
              <w:top w:val="single" w:sz="4" w:space="0" w:color="auto"/>
              <w:left w:val="single" w:sz="4" w:space="0" w:color="auto"/>
              <w:bottom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3740</w:t>
            </w:r>
            <w:r w:rsidR="006F2F01" w:rsidRPr="005F120D">
              <w:rPr>
                <w:rFonts w:asciiTheme="minorHAnsi" w:hAnsiTheme="minorHAnsi" w:cstheme="minorHAnsi"/>
                <w:sz w:val="18"/>
                <w:szCs w:val="18"/>
              </w:rPr>
              <w:t xml:space="preserve"> (56%)</w:t>
            </w:r>
          </w:p>
        </w:tc>
      </w:tr>
      <w:tr w:rsidR="00F417AB" w:rsidRPr="005F120D" w:rsidTr="00F417AB">
        <w:trPr>
          <w:jc w:val="center"/>
        </w:trPr>
        <w:tc>
          <w:tcPr>
            <w:tcW w:w="754" w:type="pct"/>
            <w:tcBorders>
              <w:top w:val="single" w:sz="4" w:space="0" w:color="auto"/>
              <w:bottom w:val="single" w:sz="4" w:space="0" w:color="auto"/>
            </w:tcBorders>
            <w:shd w:val="clear" w:color="auto" w:fill="auto"/>
            <w:vAlign w:val="center"/>
            <w:hideMark/>
          </w:tcPr>
          <w:p w:rsidR="00F417AB" w:rsidRPr="005F120D" w:rsidRDefault="00F417AB" w:rsidP="00936D9E">
            <w:pPr>
              <w:pStyle w:val="NoSpacing"/>
              <w:numPr>
                <w:ilvl w:val="0"/>
                <w:numId w:val="24"/>
              </w:numPr>
              <w:ind w:left="180" w:hanging="180"/>
              <w:rPr>
                <w:rFonts w:asciiTheme="minorHAnsi" w:hAnsiTheme="minorHAnsi" w:cstheme="minorHAnsi"/>
                <w:sz w:val="18"/>
                <w:szCs w:val="18"/>
                <w:lang w:eastAsia="ja-JP"/>
              </w:rPr>
            </w:pPr>
            <w:r w:rsidRPr="005F120D">
              <w:rPr>
                <w:rFonts w:asciiTheme="minorHAnsi" w:hAnsiTheme="minorHAnsi" w:cstheme="minorHAnsi"/>
                <w:sz w:val="18"/>
                <w:szCs w:val="18"/>
                <w:lang w:eastAsia="ja-JP"/>
              </w:rPr>
              <w:t>Discrete projects</w:t>
            </w:r>
          </w:p>
        </w:tc>
        <w:tc>
          <w:tcPr>
            <w:tcW w:w="403"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2,298</w:t>
            </w:r>
          </w:p>
        </w:tc>
        <w:tc>
          <w:tcPr>
            <w:tcW w:w="400"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2,208</w:t>
            </w:r>
          </w:p>
        </w:tc>
        <w:tc>
          <w:tcPr>
            <w:tcW w:w="456" w:type="pct"/>
            <w:tcBorders>
              <w:top w:val="single" w:sz="4" w:space="0" w:color="auto"/>
              <w:bottom w:val="single" w:sz="4" w:space="0" w:color="auto"/>
              <w:right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403" w:type="pct"/>
            <w:tcBorders>
              <w:top w:val="single" w:sz="4" w:space="0" w:color="auto"/>
              <w:left w:val="single" w:sz="4" w:space="0" w:color="auto"/>
              <w:bottom w:val="single" w:sz="4" w:space="0" w:color="auto"/>
            </w:tcBorders>
            <w:shd w:val="clear" w:color="000000" w:fill="FFFFFF"/>
            <w:vAlign w:val="center"/>
            <w:hideMark/>
          </w:tcPr>
          <w:p w:rsidR="00F417AB" w:rsidRPr="005F120D" w:rsidRDefault="00F417AB" w:rsidP="00936D9E">
            <w:pPr>
              <w:spacing w:after="0"/>
              <w:jc w:val="center"/>
              <w:rPr>
                <w:rFonts w:asciiTheme="minorHAnsi" w:hAnsiTheme="minorHAnsi" w:cstheme="minorHAnsi"/>
                <w:iCs/>
                <w:sz w:val="18"/>
                <w:szCs w:val="18"/>
                <w:lang w:eastAsia="ja-JP"/>
              </w:rPr>
            </w:pPr>
            <w:r w:rsidRPr="005F120D">
              <w:rPr>
                <w:rFonts w:asciiTheme="minorHAnsi" w:hAnsiTheme="minorHAnsi" w:cstheme="minorHAnsi"/>
                <w:iCs/>
                <w:sz w:val="18"/>
                <w:szCs w:val="18"/>
                <w:lang w:eastAsia="ja-JP"/>
              </w:rPr>
              <w:t>1,479</w:t>
            </w:r>
          </w:p>
        </w:tc>
        <w:tc>
          <w:tcPr>
            <w:tcW w:w="400"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1,822</w:t>
            </w:r>
          </w:p>
        </w:tc>
        <w:tc>
          <w:tcPr>
            <w:tcW w:w="457" w:type="pct"/>
            <w:tcBorders>
              <w:top w:val="single" w:sz="4" w:space="0" w:color="auto"/>
              <w:bottom w:val="single" w:sz="4" w:space="0" w:color="auto"/>
              <w:right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34%</w:t>
            </w:r>
          </w:p>
        </w:tc>
        <w:tc>
          <w:tcPr>
            <w:tcW w:w="403" w:type="pct"/>
            <w:tcBorders>
              <w:top w:val="single" w:sz="4" w:space="0" w:color="auto"/>
              <w:left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2,135</w:t>
            </w:r>
          </w:p>
        </w:tc>
        <w:tc>
          <w:tcPr>
            <w:tcW w:w="400" w:type="pct"/>
            <w:tcBorders>
              <w:top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1753</w:t>
            </w:r>
          </w:p>
        </w:tc>
        <w:tc>
          <w:tcPr>
            <w:tcW w:w="458" w:type="pct"/>
            <w:tcBorders>
              <w:top w:val="single" w:sz="4" w:space="0" w:color="auto"/>
              <w:bottom w:val="single" w:sz="4" w:space="0" w:color="auto"/>
              <w:right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-17.90%</w:t>
            </w:r>
          </w:p>
        </w:tc>
        <w:tc>
          <w:tcPr>
            <w:tcW w:w="465" w:type="pct"/>
            <w:tcBorders>
              <w:top w:val="single" w:sz="4" w:space="0" w:color="auto"/>
              <w:left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1260</w:t>
            </w:r>
          </w:p>
        </w:tc>
      </w:tr>
      <w:tr w:rsidR="00F417AB" w:rsidRPr="005F120D" w:rsidTr="00F417AB">
        <w:trPr>
          <w:jc w:val="center"/>
        </w:trPr>
        <w:tc>
          <w:tcPr>
            <w:tcW w:w="754"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numPr>
                <w:ilvl w:val="0"/>
                <w:numId w:val="24"/>
              </w:numPr>
              <w:ind w:left="180" w:hanging="180"/>
              <w:rPr>
                <w:rFonts w:asciiTheme="minorHAnsi" w:hAnsiTheme="minorHAnsi" w:cstheme="minorHAnsi"/>
                <w:sz w:val="18"/>
                <w:szCs w:val="18"/>
                <w:lang w:eastAsia="ja-JP"/>
              </w:rPr>
            </w:pPr>
            <w:r w:rsidRPr="005F120D">
              <w:rPr>
                <w:rFonts w:asciiTheme="minorHAnsi" w:hAnsiTheme="minorHAnsi" w:cstheme="minorHAnsi"/>
                <w:sz w:val="18"/>
                <w:szCs w:val="18"/>
                <w:lang w:eastAsia="ja-JP"/>
              </w:rPr>
              <w:t>Block allocation</w:t>
            </w:r>
          </w:p>
        </w:tc>
        <w:tc>
          <w:tcPr>
            <w:tcW w:w="403"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49</w:t>
            </w:r>
          </w:p>
        </w:tc>
        <w:tc>
          <w:tcPr>
            <w:tcW w:w="400"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19</w:t>
            </w:r>
          </w:p>
        </w:tc>
        <w:tc>
          <w:tcPr>
            <w:tcW w:w="456" w:type="pct"/>
            <w:tcBorders>
              <w:top w:val="single" w:sz="4" w:space="0" w:color="auto"/>
              <w:bottom w:val="single" w:sz="4" w:space="0" w:color="auto"/>
              <w:right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-61%</w:t>
            </w:r>
          </w:p>
        </w:tc>
        <w:tc>
          <w:tcPr>
            <w:tcW w:w="403" w:type="pct"/>
            <w:tcBorders>
              <w:top w:val="single" w:sz="4" w:space="0" w:color="auto"/>
              <w:left w:val="single" w:sz="4" w:space="0" w:color="auto"/>
              <w:bottom w:val="single" w:sz="4" w:space="0" w:color="auto"/>
            </w:tcBorders>
            <w:shd w:val="clear" w:color="auto" w:fill="D6E3BC" w:themeFill="accent3" w:themeFillTint="66"/>
            <w:vAlign w:val="center"/>
            <w:hideMark/>
          </w:tcPr>
          <w:p w:rsidR="00F417AB" w:rsidRPr="005F120D" w:rsidRDefault="00F417AB" w:rsidP="00936D9E">
            <w:pPr>
              <w:spacing w:after="0"/>
              <w:jc w:val="center"/>
              <w:rPr>
                <w:rFonts w:asciiTheme="minorHAnsi" w:hAnsiTheme="minorHAnsi" w:cstheme="minorHAnsi"/>
                <w:iCs/>
                <w:sz w:val="18"/>
                <w:szCs w:val="18"/>
                <w:lang w:eastAsia="ja-JP"/>
              </w:rPr>
            </w:pPr>
            <w:r w:rsidRPr="005F120D">
              <w:rPr>
                <w:rFonts w:asciiTheme="minorHAnsi" w:hAnsiTheme="minorHAnsi" w:cstheme="minorHAnsi"/>
                <w:iCs/>
                <w:sz w:val="18"/>
                <w:szCs w:val="18"/>
                <w:lang w:eastAsia="ja-JP"/>
              </w:rPr>
              <w:t>92</w:t>
            </w:r>
          </w:p>
        </w:tc>
        <w:tc>
          <w:tcPr>
            <w:tcW w:w="400"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w:t>
            </w:r>
          </w:p>
        </w:tc>
        <w:tc>
          <w:tcPr>
            <w:tcW w:w="457" w:type="pct"/>
            <w:tcBorders>
              <w:top w:val="single" w:sz="4" w:space="0" w:color="auto"/>
              <w:bottom w:val="single" w:sz="4" w:space="0" w:color="auto"/>
              <w:right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w:t>
            </w:r>
          </w:p>
        </w:tc>
        <w:tc>
          <w:tcPr>
            <w:tcW w:w="403" w:type="pct"/>
            <w:tcBorders>
              <w:top w:val="single" w:sz="4" w:space="0" w:color="auto"/>
              <w:left w:val="single" w:sz="4" w:space="0" w:color="auto"/>
              <w:bottom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173</w:t>
            </w:r>
          </w:p>
        </w:tc>
        <w:tc>
          <w:tcPr>
            <w:tcW w:w="400" w:type="pct"/>
            <w:tcBorders>
              <w:top w:val="single" w:sz="4" w:space="0" w:color="auto"/>
              <w:bottom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172.92</w:t>
            </w:r>
          </w:p>
        </w:tc>
        <w:tc>
          <w:tcPr>
            <w:tcW w:w="458" w:type="pct"/>
            <w:tcBorders>
              <w:top w:val="single" w:sz="4" w:space="0" w:color="auto"/>
              <w:bottom w:val="single" w:sz="4" w:space="0" w:color="auto"/>
              <w:right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0%</w:t>
            </w:r>
          </w:p>
        </w:tc>
        <w:tc>
          <w:tcPr>
            <w:tcW w:w="465" w:type="pct"/>
            <w:tcBorders>
              <w:top w:val="single" w:sz="4" w:space="0" w:color="auto"/>
              <w:left w:val="single" w:sz="4" w:space="0" w:color="auto"/>
              <w:bottom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416</w:t>
            </w:r>
          </w:p>
        </w:tc>
      </w:tr>
      <w:tr w:rsidR="00F417AB" w:rsidRPr="005F120D" w:rsidTr="00F417AB">
        <w:trPr>
          <w:jc w:val="center"/>
        </w:trPr>
        <w:tc>
          <w:tcPr>
            <w:tcW w:w="754" w:type="pct"/>
            <w:tcBorders>
              <w:top w:val="single" w:sz="4" w:space="0" w:color="auto"/>
              <w:bottom w:val="single" w:sz="4" w:space="0" w:color="auto"/>
            </w:tcBorders>
            <w:shd w:val="clear" w:color="auto" w:fill="auto"/>
            <w:vAlign w:val="center"/>
            <w:hideMark/>
          </w:tcPr>
          <w:p w:rsidR="00F417AB" w:rsidRPr="005F120D" w:rsidRDefault="00F417AB" w:rsidP="00936D9E">
            <w:pPr>
              <w:pStyle w:val="NoSpacing"/>
              <w:numPr>
                <w:ilvl w:val="0"/>
                <w:numId w:val="24"/>
              </w:numPr>
              <w:ind w:left="180" w:hanging="180"/>
              <w:rPr>
                <w:rFonts w:asciiTheme="minorHAnsi" w:hAnsiTheme="minorHAnsi" w:cstheme="minorHAnsi"/>
                <w:sz w:val="18"/>
                <w:szCs w:val="18"/>
                <w:lang w:eastAsia="ja-JP"/>
              </w:rPr>
            </w:pPr>
            <w:r w:rsidRPr="005F120D">
              <w:rPr>
                <w:rFonts w:asciiTheme="minorHAnsi" w:hAnsiTheme="minorHAnsi" w:cstheme="minorHAnsi"/>
                <w:sz w:val="18"/>
                <w:szCs w:val="18"/>
                <w:lang w:eastAsia="ja-JP"/>
              </w:rPr>
              <w:t>BNFE</w:t>
            </w:r>
          </w:p>
        </w:tc>
        <w:tc>
          <w:tcPr>
            <w:tcW w:w="403"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82</w:t>
            </w:r>
          </w:p>
        </w:tc>
        <w:tc>
          <w:tcPr>
            <w:tcW w:w="400"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129</w:t>
            </w:r>
          </w:p>
        </w:tc>
        <w:tc>
          <w:tcPr>
            <w:tcW w:w="456" w:type="pct"/>
            <w:tcBorders>
              <w:top w:val="single" w:sz="4" w:space="0" w:color="auto"/>
              <w:bottom w:val="single" w:sz="4" w:space="0" w:color="auto"/>
              <w:right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57%</w:t>
            </w:r>
          </w:p>
        </w:tc>
        <w:tc>
          <w:tcPr>
            <w:tcW w:w="403" w:type="pct"/>
            <w:tcBorders>
              <w:top w:val="single" w:sz="4" w:space="0" w:color="auto"/>
              <w:left w:val="single" w:sz="4" w:space="0" w:color="auto"/>
              <w:bottom w:val="single" w:sz="4" w:space="0" w:color="auto"/>
            </w:tcBorders>
            <w:shd w:val="clear" w:color="000000" w:fill="FFFFFF"/>
            <w:vAlign w:val="center"/>
            <w:hideMark/>
          </w:tcPr>
          <w:p w:rsidR="00F417AB" w:rsidRPr="005F120D" w:rsidRDefault="00F417AB" w:rsidP="00936D9E">
            <w:pPr>
              <w:spacing w:after="0"/>
              <w:jc w:val="center"/>
              <w:rPr>
                <w:rFonts w:asciiTheme="minorHAnsi" w:hAnsiTheme="minorHAnsi" w:cstheme="minorHAnsi"/>
                <w:iCs/>
                <w:sz w:val="18"/>
                <w:szCs w:val="18"/>
                <w:lang w:eastAsia="ja-JP"/>
              </w:rPr>
            </w:pPr>
            <w:r w:rsidRPr="005F120D">
              <w:rPr>
                <w:rFonts w:asciiTheme="minorHAnsi" w:hAnsiTheme="minorHAnsi" w:cstheme="minorHAnsi"/>
                <w:iCs/>
                <w:sz w:val="18"/>
                <w:szCs w:val="18"/>
                <w:lang w:eastAsia="ja-JP"/>
              </w:rPr>
              <w:t>34</w:t>
            </w:r>
          </w:p>
        </w:tc>
        <w:tc>
          <w:tcPr>
            <w:tcW w:w="400"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36</w:t>
            </w:r>
          </w:p>
        </w:tc>
        <w:tc>
          <w:tcPr>
            <w:tcW w:w="457" w:type="pct"/>
            <w:tcBorders>
              <w:top w:val="single" w:sz="4" w:space="0" w:color="auto"/>
              <w:bottom w:val="single" w:sz="4" w:space="0" w:color="auto"/>
              <w:right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403" w:type="pct"/>
            <w:tcBorders>
              <w:top w:val="single" w:sz="4" w:space="0" w:color="auto"/>
              <w:left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70</w:t>
            </w:r>
          </w:p>
        </w:tc>
        <w:tc>
          <w:tcPr>
            <w:tcW w:w="400" w:type="pct"/>
            <w:tcBorders>
              <w:top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2.9</w:t>
            </w:r>
          </w:p>
        </w:tc>
        <w:tc>
          <w:tcPr>
            <w:tcW w:w="458" w:type="pct"/>
            <w:tcBorders>
              <w:top w:val="single" w:sz="4" w:space="0" w:color="auto"/>
              <w:bottom w:val="single" w:sz="4" w:space="0" w:color="auto"/>
              <w:right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-96%</w:t>
            </w:r>
          </w:p>
        </w:tc>
        <w:tc>
          <w:tcPr>
            <w:tcW w:w="465" w:type="pct"/>
            <w:tcBorders>
              <w:top w:val="single" w:sz="4" w:space="0" w:color="auto"/>
              <w:left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125</w:t>
            </w:r>
          </w:p>
        </w:tc>
      </w:tr>
      <w:tr w:rsidR="00F417AB" w:rsidRPr="005F120D" w:rsidTr="00F417AB">
        <w:trPr>
          <w:jc w:val="center"/>
        </w:trPr>
        <w:tc>
          <w:tcPr>
            <w:tcW w:w="754"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Non-development</w:t>
            </w:r>
          </w:p>
        </w:tc>
        <w:tc>
          <w:tcPr>
            <w:tcW w:w="403"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5,443</w:t>
            </w:r>
          </w:p>
        </w:tc>
        <w:tc>
          <w:tcPr>
            <w:tcW w:w="400"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5,540</w:t>
            </w:r>
          </w:p>
        </w:tc>
        <w:tc>
          <w:tcPr>
            <w:tcW w:w="456" w:type="pct"/>
            <w:tcBorders>
              <w:top w:val="single" w:sz="4" w:space="0" w:color="auto"/>
              <w:bottom w:val="single" w:sz="4" w:space="0" w:color="auto"/>
              <w:right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403" w:type="pct"/>
            <w:tcBorders>
              <w:top w:val="single" w:sz="4" w:space="0" w:color="auto"/>
              <w:left w:val="single" w:sz="4" w:space="0" w:color="auto"/>
              <w:bottom w:val="single" w:sz="4" w:space="0" w:color="auto"/>
            </w:tcBorders>
            <w:shd w:val="clear" w:color="auto" w:fill="D6E3BC" w:themeFill="accent3" w:themeFillTint="66"/>
            <w:vAlign w:val="center"/>
            <w:hideMark/>
          </w:tcPr>
          <w:p w:rsidR="00F417AB" w:rsidRPr="005F120D" w:rsidRDefault="00F417AB" w:rsidP="00936D9E">
            <w:pPr>
              <w:spacing w:after="0"/>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6,657</w:t>
            </w:r>
          </w:p>
        </w:tc>
        <w:tc>
          <w:tcPr>
            <w:tcW w:w="400" w:type="pct"/>
            <w:tcBorders>
              <w:top w:val="single" w:sz="4" w:space="0" w:color="auto"/>
              <w:bottom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7,438</w:t>
            </w:r>
          </w:p>
        </w:tc>
        <w:tc>
          <w:tcPr>
            <w:tcW w:w="457" w:type="pct"/>
            <w:tcBorders>
              <w:top w:val="single" w:sz="4" w:space="0" w:color="auto"/>
              <w:bottom w:val="single" w:sz="4" w:space="0" w:color="auto"/>
              <w:right w:val="single" w:sz="4" w:space="0" w:color="auto"/>
            </w:tcBorders>
            <w:shd w:val="clear" w:color="auto" w:fill="D6E3BC" w:themeFill="accent3" w:themeFillTint="66"/>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12%</w:t>
            </w:r>
          </w:p>
        </w:tc>
        <w:tc>
          <w:tcPr>
            <w:tcW w:w="403" w:type="pct"/>
            <w:tcBorders>
              <w:top w:val="single" w:sz="4" w:space="0" w:color="auto"/>
              <w:left w:val="single" w:sz="4" w:space="0" w:color="auto"/>
              <w:bottom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7,898</w:t>
            </w:r>
          </w:p>
        </w:tc>
        <w:tc>
          <w:tcPr>
            <w:tcW w:w="400" w:type="pct"/>
            <w:tcBorders>
              <w:top w:val="single" w:sz="4" w:space="0" w:color="auto"/>
              <w:bottom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8,087</w:t>
            </w:r>
          </w:p>
        </w:tc>
        <w:tc>
          <w:tcPr>
            <w:tcW w:w="458" w:type="pct"/>
            <w:tcBorders>
              <w:top w:val="single" w:sz="4" w:space="0" w:color="auto"/>
              <w:bottom w:val="single" w:sz="4" w:space="0" w:color="auto"/>
              <w:right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2.4%</w:t>
            </w:r>
          </w:p>
        </w:tc>
        <w:tc>
          <w:tcPr>
            <w:tcW w:w="465" w:type="pct"/>
            <w:tcBorders>
              <w:top w:val="single" w:sz="4" w:space="0" w:color="auto"/>
              <w:left w:val="single" w:sz="4" w:space="0" w:color="auto"/>
              <w:bottom w:val="single" w:sz="4" w:space="0" w:color="auto"/>
            </w:tcBorders>
            <w:shd w:val="clear" w:color="auto" w:fill="D6E3BC" w:themeFill="accent3" w:themeFillTint="66"/>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8,962</w:t>
            </w:r>
          </w:p>
        </w:tc>
      </w:tr>
      <w:tr w:rsidR="00F417AB" w:rsidRPr="005F120D" w:rsidTr="00F417AB">
        <w:trPr>
          <w:jc w:val="center"/>
        </w:trPr>
        <w:tc>
          <w:tcPr>
            <w:tcW w:w="754" w:type="pct"/>
            <w:tcBorders>
              <w:top w:val="single" w:sz="4" w:space="0" w:color="auto"/>
              <w:bottom w:val="single" w:sz="4" w:space="0" w:color="auto"/>
            </w:tcBorders>
            <w:shd w:val="clear" w:color="auto" w:fill="auto"/>
            <w:vAlign w:val="center"/>
            <w:hideMark/>
          </w:tcPr>
          <w:p w:rsidR="00F417AB" w:rsidRPr="005F120D" w:rsidRDefault="00F417AB" w:rsidP="00936D9E">
            <w:pPr>
              <w:pStyle w:val="NoSpacing"/>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 xml:space="preserve">MoPME Budget Total </w:t>
            </w:r>
          </w:p>
        </w:tc>
        <w:tc>
          <w:tcPr>
            <w:tcW w:w="403"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9,825</w:t>
            </w:r>
          </w:p>
        </w:tc>
        <w:tc>
          <w:tcPr>
            <w:tcW w:w="400"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9,457</w:t>
            </w:r>
          </w:p>
        </w:tc>
        <w:tc>
          <w:tcPr>
            <w:tcW w:w="456" w:type="pct"/>
            <w:tcBorders>
              <w:top w:val="single" w:sz="4" w:space="0" w:color="auto"/>
              <w:bottom w:val="single" w:sz="4" w:space="0" w:color="auto"/>
              <w:right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403" w:type="pct"/>
            <w:tcBorders>
              <w:top w:val="single" w:sz="4" w:space="0" w:color="auto"/>
              <w:left w:val="single" w:sz="4" w:space="0" w:color="auto"/>
              <w:bottom w:val="single" w:sz="4" w:space="0" w:color="auto"/>
            </w:tcBorders>
            <w:shd w:val="clear" w:color="000000" w:fill="FFFFFF"/>
            <w:vAlign w:val="center"/>
            <w:hideMark/>
          </w:tcPr>
          <w:p w:rsidR="00F417AB" w:rsidRPr="005F120D" w:rsidRDefault="00F417AB" w:rsidP="00936D9E">
            <w:pPr>
              <w:spacing w:after="0"/>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11,935</w:t>
            </w:r>
          </w:p>
        </w:tc>
        <w:tc>
          <w:tcPr>
            <w:tcW w:w="400" w:type="pct"/>
            <w:tcBorders>
              <w:top w:val="single" w:sz="4" w:space="0" w:color="auto"/>
              <w:bottom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11,966</w:t>
            </w:r>
          </w:p>
        </w:tc>
        <w:tc>
          <w:tcPr>
            <w:tcW w:w="457" w:type="pct"/>
            <w:tcBorders>
              <w:top w:val="single" w:sz="4" w:space="0" w:color="auto"/>
              <w:bottom w:val="single" w:sz="4" w:space="0" w:color="auto"/>
              <w:right w:val="single" w:sz="4" w:space="0" w:color="auto"/>
            </w:tcBorders>
            <w:shd w:val="clear" w:color="000000" w:fill="FFFFFF"/>
            <w:vAlign w:val="center"/>
            <w:hideMark/>
          </w:tcPr>
          <w:p w:rsidR="00F417AB" w:rsidRPr="005F120D" w:rsidRDefault="00F417AB" w:rsidP="00936D9E">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0.3%</w:t>
            </w:r>
          </w:p>
        </w:tc>
        <w:tc>
          <w:tcPr>
            <w:tcW w:w="403" w:type="pct"/>
            <w:tcBorders>
              <w:top w:val="single" w:sz="4" w:space="0" w:color="auto"/>
              <w:left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13,676</w:t>
            </w:r>
          </w:p>
        </w:tc>
        <w:tc>
          <w:tcPr>
            <w:tcW w:w="400" w:type="pct"/>
            <w:tcBorders>
              <w:top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12,420</w:t>
            </w:r>
          </w:p>
        </w:tc>
        <w:tc>
          <w:tcPr>
            <w:tcW w:w="458" w:type="pct"/>
            <w:tcBorders>
              <w:top w:val="single" w:sz="4" w:space="0" w:color="auto"/>
              <w:bottom w:val="single" w:sz="4" w:space="0" w:color="auto"/>
              <w:right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-9.20%</w:t>
            </w:r>
          </w:p>
        </w:tc>
        <w:tc>
          <w:tcPr>
            <w:tcW w:w="465" w:type="pct"/>
            <w:tcBorders>
              <w:top w:val="single" w:sz="4" w:space="0" w:color="auto"/>
              <w:left w:val="single" w:sz="4" w:space="0" w:color="auto"/>
              <w:bottom w:val="single" w:sz="4" w:space="0" w:color="auto"/>
            </w:tcBorders>
            <w:shd w:val="clear" w:color="000000" w:fill="FFFFFF"/>
            <w:vAlign w:val="center"/>
          </w:tcPr>
          <w:p w:rsidR="00F417AB" w:rsidRPr="005F120D" w:rsidRDefault="00F417AB" w:rsidP="00936D9E">
            <w:pPr>
              <w:spacing w:after="0"/>
              <w:jc w:val="center"/>
              <w:rPr>
                <w:rFonts w:asciiTheme="minorHAnsi" w:hAnsiTheme="minorHAnsi" w:cstheme="minorHAnsi"/>
                <w:sz w:val="18"/>
                <w:szCs w:val="18"/>
              </w:rPr>
            </w:pPr>
            <w:r w:rsidRPr="005F120D">
              <w:rPr>
                <w:rFonts w:asciiTheme="minorHAnsi" w:hAnsiTheme="minorHAnsi" w:cstheme="minorHAnsi"/>
                <w:sz w:val="18"/>
                <w:szCs w:val="18"/>
              </w:rPr>
              <w:t>14,503</w:t>
            </w:r>
            <w:r w:rsidR="006F2F01" w:rsidRPr="005F120D">
              <w:rPr>
                <w:rFonts w:asciiTheme="minorHAnsi" w:hAnsiTheme="minorHAnsi" w:cstheme="minorHAnsi"/>
                <w:sz w:val="18"/>
                <w:szCs w:val="18"/>
              </w:rPr>
              <w:t xml:space="preserve"> (16.8%)</w:t>
            </w:r>
          </w:p>
        </w:tc>
      </w:tr>
    </w:tbl>
    <w:p w:rsidR="00914359" w:rsidRPr="005F120D" w:rsidRDefault="00565770" w:rsidP="000A5B80">
      <w:pPr>
        <w:pStyle w:val="Tablenotes"/>
      </w:pPr>
      <w:r w:rsidRPr="005F120D">
        <w:t xml:space="preserve">Sources: </w:t>
      </w:r>
      <w:r w:rsidR="00127569" w:rsidRPr="005F120D">
        <w:t>MoPME PEDP3 AOP 2012/13 - 2014-</w:t>
      </w:r>
      <w:r w:rsidRPr="005F120D">
        <w:t>15</w:t>
      </w:r>
    </w:p>
    <w:p w:rsidR="00332BB3" w:rsidRPr="005F120D" w:rsidRDefault="00332BB3" w:rsidP="004E77B3">
      <w:pPr>
        <w:pStyle w:val="Heading3"/>
      </w:pPr>
      <w:bookmarkStart w:id="584" w:name="_Toc385245761"/>
      <w:r w:rsidRPr="005F120D">
        <w:t>Budget Execution</w:t>
      </w:r>
      <w:bookmarkEnd w:id="584"/>
      <w:r w:rsidRPr="005F120D">
        <w:tab/>
      </w:r>
    </w:p>
    <w:p w:rsidR="0025109C" w:rsidRPr="005F120D" w:rsidRDefault="0025109C" w:rsidP="0025109C">
      <w:pPr>
        <w:spacing w:line="276" w:lineRule="auto"/>
        <w:jc w:val="both"/>
        <w:rPr>
          <w:rFonts w:asciiTheme="minorHAnsi" w:hAnsiTheme="minorHAnsi" w:cstheme="minorHAnsi"/>
          <w:szCs w:val="22"/>
        </w:rPr>
      </w:pPr>
      <w:r w:rsidRPr="005F120D">
        <w:rPr>
          <w:rFonts w:asciiTheme="minorHAnsi" w:hAnsiTheme="minorHAnsi" w:cstheme="minorHAnsi"/>
          <w:szCs w:val="22"/>
        </w:rPr>
        <w:t>The 2015/16 budget implementation was unavailable at the time of this ASPR preparation.  The only figure available is PEDP3 disbursement up to, and for March 2016 (3 quarters) at only 45.1%.   The overall, budget execution has been robust over the past four years (see Table 6.6), consistently at above 95%.  The non-development budget had some slight overspending which is not surprising given that a high proportion of the budget is non-discretionary (e.g., remuneration). Spending on the development budget was more uneven, although the execution rate was much improved in 2015/16 compared to 2014/15 and 2013/14 (3 quarters).</w:t>
      </w:r>
    </w:p>
    <w:p w:rsidR="00332BB3" w:rsidRPr="005F120D" w:rsidRDefault="0025109C" w:rsidP="0025109C">
      <w:pPr>
        <w:spacing w:line="276" w:lineRule="auto"/>
        <w:jc w:val="both"/>
        <w:rPr>
          <w:rFonts w:asciiTheme="minorHAnsi" w:hAnsiTheme="minorHAnsi" w:cstheme="minorHAnsi"/>
        </w:rPr>
      </w:pPr>
      <w:r w:rsidRPr="005F120D">
        <w:rPr>
          <w:rFonts w:asciiTheme="minorHAnsi" w:hAnsiTheme="minorHAnsi" w:cstheme="minorHAnsi"/>
          <w:szCs w:val="22"/>
        </w:rPr>
        <w:t>The AOP planning process has been improving since FY 2012/13, resulting in an improved overall execution of the development budget</w:t>
      </w:r>
      <w:r w:rsidR="00332BB3" w:rsidRPr="005F120D">
        <w:rPr>
          <w:rFonts w:asciiTheme="minorHAnsi" w:hAnsiTheme="minorHAnsi" w:cstheme="minorHAnsi"/>
        </w:rPr>
        <w:t xml:space="preserve">.  </w:t>
      </w:r>
    </w:p>
    <w:p w:rsidR="00C4687C" w:rsidRPr="005F120D" w:rsidRDefault="00B0478D" w:rsidP="00C437AA">
      <w:pPr>
        <w:pStyle w:val="Caption"/>
        <w:spacing w:line="276" w:lineRule="auto"/>
        <w:rPr>
          <w:rFonts w:cstheme="minorHAnsi"/>
        </w:rPr>
      </w:pPr>
      <w:bookmarkStart w:id="585" w:name="_Toc385419613"/>
      <w:bookmarkStart w:id="586" w:name="_Toc462837309"/>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Pr="005F120D">
        <w:rPr>
          <w:rFonts w:cstheme="minorHAnsi"/>
        </w:rPr>
        <w:t>:  MoPME Budget Execution Rates for 2011/12</w:t>
      </w:r>
      <w:r w:rsidR="0096334E" w:rsidRPr="005F120D">
        <w:rPr>
          <w:rFonts w:cstheme="minorHAnsi"/>
        </w:rPr>
        <w:t xml:space="preserve"> - 2015/16</w:t>
      </w:r>
      <w:r w:rsidRPr="005F120D">
        <w:rPr>
          <w:rFonts w:cstheme="minorHAnsi"/>
        </w:rPr>
        <w:t xml:space="preserve"> (%)</w:t>
      </w:r>
      <w:bookmarkEnd w:id="585"/>
      <w:bookmarkEnd w:id="586"/>
    </w:p>
    <w:tbl>
      <w:tblPr>
        <w:tblW w:w="5085" w:type="pct"/>
        <w:tblBorders>
          <w:insideH w:val="single" w:sz="4" w:space="0" w:color="auto"/>
        </w:tblBorders>
        <w:tblLook w:val="04A0"/>
      </w:tblPr>
      <w:tblGrid>
        <w:gridCol w:w="1807"/>
        <w:gridCol w:w="802"/>
        <w:gridCol w:w="796"/>
        <w:gridCol w:w="804"/>
        <w:gridCol w:w="797"/>
        <w:gridCol w:w="805"/>
        <w:gridCol w:w="797"/>
        <w:gridCol w:w="805"/>
        <w:gridCol w:w="801"/>
        <w:gridCol w:w="1188"/>
      </w:tblGrid>
      <w:tr w:rsidR="0074414F" w:rsidRPr="005F120D" w:rsidTr="00A01B3D">
        <w:tc>
          <w:tcPr>
            <w:tcW w:w="941" w:type="pct"/>
            <w:tcBorders>
              <w:top w:val="single" w:sz="4" w:space="0" w:color="auto"/>
              <w:left w:val="single" w:sz="4" w:space="0" w:color="auto"/>
              <w:bottom w:val="single" w:sz="4" w:space="0" w:color="auto"/>
            </w:tcBorders>
            <w:shd w:val="clear" w:color="auto" w:fill="C2D69B" w:themeFill="accent3" w:themeFillTint="99"/>
            <w:hideMark/>
          </w:tcPr>
          <w:p w:rsidR="0074414F" w:rsidRPr="005F120D" w:rsidRDefault="0074414F" w:rsidP="00A01B3D">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 </w:t>
            </w:r>
          </w:p>
        </w:tc>
        <w:tc>
          <w:tcPr>
            <w:tcW w:w="854"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4414F" w:rsidRPr="005F120D" w:rsidRDefault="0074414F" w:rsidP="00A01B3D">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2011/12</w:t>
            </w:r>
          </w:p>
        </w:tc>
        <w:tc>
          <w:tcPr>
            <w:tcW w:w="855" w:type="pct"/>
            <w:gridSpan w:val="2"/>
            <w:tcBorders>
              <w:top w:val="single" w:sz="4" w:space="0" w:color="auto"/>
              <w:left w:val="single" w:sz="4" w:space="0" w:color="auto"/>
              <w:bottom w:val="single" w:sz="4" w:space="0" w:color="auto"/>
            </w:tcBorders>
            <w:shd w:val="clear" w:color="auto" w:fill="C2D69B" w:themeFill="accent3" w:themeFillTint="99"/>
            <w:noWrap/>
            <w:hideMark/>
          </w:tcPr>
          <w:p w:rsidR="0074414F" w:rsidRPr="005F120D" w:rsidRDefault="0074414F" w:rsidP="00A01B3D">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2012/13</w:t>
            </w:r>
          </w:p>
        </w:tc>
        <w:tc>
          <w:tcPr>
            <w:tcW w:w="855"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4414F" w:rsidRPr="005F120D" w:rsidRDefault="0074414F" w:rsidP="00A01B3D">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2013/14</w:t>
            </w:r>
          </w:p>
        </w:tc>
        <w:tc>
          <w:tcPr>
            <w:tcW w:w="857"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4414F" w:rsidRPr="005F120D" w:rsidRDefault="0074414F" w:rsidP="00A01B3D">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2014/15 </w:t>
            </w:r>
          </w:p>
        </w:tc>
        <w:tc>
          <w:tcPr>
            <w:tcW w:w="63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4414F" w:rsidRPr="005F120D" w:rsidRDefault="0074414F" w:rsidP="00A01B3D">
            <w:pPr>
              <w:pStyle w:val="NoSpacing"/>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2015/16 (up to March ‘16)</w:t>
            </w:r>
          </w:p>
        </w:tc>
      </w:tr>
      <w:tr w:rsidR="0074414F" w:rsidRPr="005F120D" w:rsidTr="00A01B3D">
        <w:tc>
          <w:tcPr>
            <w:tcW w:w="941" w:type="pct"/>
            <w:tcBorders>
              <w:top w:val="single" w:sz="4" w:space="0" w:color="auto"/>
              <w:left w:val="single" w:sz="4" w:space="0" w:color="auto"/>
              <w:right w:val="single" w:sz="4" w:space="0" w:color="auto"/>
            </w:tcBorders>
            <w:shd w:val="clear" w:color="auto" w:fill="auto"/>
            <w:hideMark/>
          </w:tcPr>
          <w:p w:rsidR="0074414F" w:rsidRPr="005F120D" w:rsidRDefault="0074414F" w:rsidP="00A01B3D">
            <w:pPr>
              <w:pStyle w:val="NoSpacing"/>
              <w:rPr>
                <w:rFonts w:asciiTheme="minorHAnsi" w:hAnsiTheme="minorHAnsi" w:cstheme="minorHAnsi"/>
                <w:sz w:val="18"/>
                <w:szCs w:val="18"/>
                <w:lang w:eastAsia="ja-JP"/>
              </w:rPr>
            </w:pPr>
            <w:r w:rsidRPr="005F120D">
              <w:rPr>
                <w:rFonts w:asciiTheme="minorHAnsi" w:hAnsiTheme="minorHAnsi" w:cstheme="minorHAnsi"/>
                <w:sz w:val="18"/>
                <w:szCs w:val="18"/>
                <w:lang w:eastAsia="ja-JP"/>
              </w:rPr>
              <w:t> </w:t>
            </w:r>
          </w:p>
        </w:tc>
        <w:tc>
          <w:tcPr>
            <w:tcW w:w="429" w:type="pct"/>
            <w:tcBorders>
              <w:top w:val="single" w:sz="4" w:space="0" w:color="auto"/>
              <w:left w:val="single" w:sz="4" w:space="0" w:color="auto"/>
            </w:tcBorders>
            <w:shd w:val="clear" w:color="auto" w:fill="EAF1DD" w:themeFill="accent3"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Original</w:t>
            </w:r>
          </w:p>
        </w:tc>
        <w:tc>
          <w:tcPr>
            <w:tcW w:w="426" w:type="pct"/>
            <w:tcBorders>
              <w:top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Revised</w:t>
            </w:r>
          </w:p>
        </w:tc>
        <w:tc>
          <w:tcPr>
            <w:tcW w:w="430" w:type="pct"/>
            <w:tcBorders>
              <w:top w:val="single" w:sz="4" w:space="0" w:color="auto"/>
              <w:left w:val="single" w:sz="4" w:space="0" w:color="auto"/>
            </w:tcBorders>
            <w:shd w:val="clear" w:color="auto" w:fill="EAF1DD" w:themeFill="accent3" w:themeFillTint="33"/>
            <w:hideMark/>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Original</w:t>
            </w:r>
          </w:p>
        </w:tc>
        <w:tc>
          <w:tcPr>
            <w:tcW w:w="426" w:type="pct"/>
            <w:tcBorders>
              <w:top w:val="single" w:sz="4" w:space="0" w:color="auto"/>
              <w:right w:val="single" w:sz="4" w:space="0" w:color="auto"/>
            </w:tcBorders>
            <w:shd w:val="clear" w:color="auto" w:fill="E5DFEC" w:themeFill="accent4" w:themeFillTint="33"/>
            <w:hideMark/>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Revised</w:t>
            </w:r>
          </w:p>
        </w:tc>
        <w:tc>
          <w:tcPr>
            <w:tcW w:w="430" w:type="pct"/>
            <w:tcBorders>
              <w:top w:val="single" w:sz="4" w:space="0" w:color="auto"/>
              <w:left w:val="single" w:sz="4" w:space="0" w:color="auto"/>
              <w:right w:val="nil"/>
            </w:tcBorders>
            <w:shd w:val="clear" w:color="auto" w:fill="EAF1DD" w:themeFill="accent3"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Original</w:t>
            </w:r>
          </w:p>
        </w:tc>
        <w:tc>
          <w:tcPr>
            <w:tcW w:w="426" w:type="pct"/>
            <w:tcBorders>
              <w:top w:val="single" w:sz="4" w:space="0" w:color="auto"/>
              <w:left w:val="nil"/>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Revised</w:t>
            </w:r>
          </w:p>
        </w:tc>
        <w:tc>
          <w:tcPr>
            <w:tcW w:w="430" w:type="pct"/>
            <w:tcBorders>
              <w:top w:val="single" w:sz="4" w:space="0" w:color="auto"/>
              <w:left w:val="nil"/>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Original</w:t>
            </w:r>
          </w:p>
        </w:tc>
        <w:tc>
          <w:tcPr>
            <w:tcW w:w="428" w:type="pct"/>
            <w:tcBorders>
              <w:top w:val="single" w:sz="4" w:space="0" w:color="auto"/>
              <w:left w:val="nil"/>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Revised</w:t>
            </w:r>
          </w:p>
        </w:tc>
        <w:tc>
          <w:tcPr>
            <w:tcW w:w="637" w:type="pct"/>
            <w:tcBorders>
              <w:top w:val="single" w:sz="4" w:space="0" w:color="auto"/>
              <w:left w:val="nil"/>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p>
        </w:tc>
      </w:tr>
      <w:tr w:rsidR="0074414F" w:rsidRPr="005F120D" w:rsidTr="00A01B3D">
        <w:tc>
          <w:tcPr>
            <w:tcW w:w="941" w:type="pct"/>
            <w:tcBorders>
              <w:left w:val="single" w:sz="4" w:space="0" w:color="auto"/>
              <w:bottom w:val="nil"/>
              <w:right w:val="single" w:sz="4" w:space="0" w:color="auto"/>
            </w:tcBorders>
            <w:shd w:val="clear" w:color="auto" w:fill="auto"/>
            <w:noWrap/>
            <w:hideMark/>
          </w:tcPr>
          <w:p w:rsidR="0074414F" w:rsidRPr="005F120D" w:rsidRDefault="0074414F" w:rsidP="00A01B3D">
            <w:pPr>
              <w:pStyle w:val="NoSpacing"/>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Development budget</w:t>
            </w:r>
          </w:p>
        </w:tc>
        <w:tc>
          <w:tcPr>
            <w:tcW w:w="429" w:type="pct"/>
            <w:tcBorders>
              <w:left w:val="single" w:sz="4" w:space="0" w:color="auto"/>
              <w:bottom w:val="nil"/>
            </w:tcBorders>
            <w:shd w:val="clear" w:color="auto" w:fill="EAF1DD" w:themeFill="accent3"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69%</w:t>
            </w:r>
          </w:p>
        </w:tc>
        <w:tc>
          <w:tcPr>
            <w:tcW w:w="426" w:type="pct"/>
            <w:tcBorders>
              <w:bottom w:val="nil"/>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98%</w:t>
            </w:r>
          </w:p>
        </w:tc>
        <w:tc>
          <w:tcPr>
            <w:tcW w:w="430" w:type="pct"/>
            <w:tcBorders>
              <w:left w:val="single" w:sz="4" w:space="0" w:color="auto"/>
              <w:bottom w:val="nil"/>
            </w:tcBorders>
            <w:shd w:val="clear" w:color="auto" w:fill="EAF1DD" w:themeFill="accent3" w:themeFillTint="33"/>
            <w:noWrap/>
            <w:hideMark/>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86%</w:t>
            </w:r>
          </w:p>
        </w:tc>
        <w:tc>
          <w:tcPr>
            <w:tcW w:w="426" w:type="pct"/>
            <w:tcBorders>
              <w:bottom w:val="nil"/>
              <w:right w:val="single" w:sz="4" w:space="0" w:color="auto"/>
            </w:tcBorders>
            <w:shd w:val="clear" w:color="auto" w:fill="E5DFEC" w:themeFill="accent4" w:themeFillTint="33"/>
            <w:noWrap/>
            <w:hideMark/>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96%</w:t>
            </w:r>
          </w:p>
        </w:tc>
        <w:tc>
          <w:tcPr>
            <w:tcW w:w="430" w:type="pct"/>
            <w:tcBorders>
              <w:left w:val="single" w:sz="4" w:space="0" w:color="auto"/>
              <w:bottom w:val="nil"/>
              <w:right w:val="nil"/>
            </w:tcBorders>
            <w:shd w:val="clear" w:color="auto" w:fill="EAF1DD" w:themeFill="accent3"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84%</w:t>
            </w:r>
          </w:p>
        </w:tc>
        <w:tc>
          <w:tcPr>
            <w:tcW w:w="426" w:type="pct"/>
            <w:tcBorders>
              <w:left w:val="nil"/>
              <w:bottom w:val="nil"/>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99%</w:t>
            </w:r>
          </w:p>
        </w:tc>
        <w:tc>
          <w:tcPr>
            <w:tcW w:w="430" w:type="pct"/>
            <w:tcBorders>
              <w:left w:val="nil"/>
              <w:bottom w:val="nil"/>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81%</w:t>
            </w:r>
          </w:p>
        </w:tc>
        <w:tc>
          <w:tcPr>
            <w:tcW w:w="428" w:type="pct"/>
            <w:tcBorders>
              <w:left w:val="nil"/>
              <w:bottom w:val="nil"/>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98.2%</w:t>
            </w:r>
          </w:p>
        </w:tc>
        <w:tc>
          <w:tcPr>
            <w:tcW w:w="637" w:type="pct"/>
            <w:tcBorders>
              <w:left w:val="nil"/>
              <w:bottom w:val="nil"/>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sz w:val="18"/>
                <w:szCs w:val="18"/>
                <w:lang w:eastAsia="ja-JP"/>
              </w:rPr>
            </w:pPr>
          </w:p>
        </w:tc>
      </w:tr>
      <w:tr w:rsidR="0074414F" w:rsidRPr="005F120D" w:rsidTr="00A01B3D">
        <w:tc>
          <w:tcPr>
            <w:tcW w:w="941" w:type="pct"/>
            <w:tcBorders>
              <w:top w:val="nil"/>
              <w:left w:val="single" w:sz="4" w:space="0" w:color="auto"/>
              <w:bottom w:val="single" w:sz="4" w:space="0" w:color="auto"/>
              <w:right w:val="single" w:sz="4" w:space="0" w:color="auto"/>
            </w:tcBorders>
            <w:shd w:val="clear" w:color="auto" w:fill="auto"/>
            <w:noWrap/>
            <w:hideMark/>
          </w:tcPr>
          <w:p w:rsidR="0074414F" w:rsidRPr="005F120D" w:rsidRDefault="0074414F" w:rsidP="00A01B3D">
            <w:pPr>
              <w:pStyle w:val="NoSpacing"/>
              <w:rPr>
                <w:rFonts w:asciiTheme="minorHAnsi" w:hAnsiTheme="minorHAnsi" w:cstheme="minorHAnsi"/>
                <w:i/>
                <w:iCs/>
                <w:sz w:val="18"/>
                <w:szCs w:val="18"/>
                <w:lang w:eastAsia="ja-JP"/>
              </w:rPr>
            </w:pPr>
            <w:r w:rsidRPr="005F120D">
              <w:rPr>
                <w:rFonts w:asciiTheme="minorHAnsi" w:hAnsiTheme="minorHAnsi" w:cstheme="minorHAnsi"/>
                <w:i/>
                <w:iCs/>
                <w:sz w:val="18"/>
                <w:szCs w:val="18"/>
                <w:lang w:eastAsia="ja-JP"/>
              </w:rPr>
              <w:t>PEDP3</w:t>
            </w:r>
          </w:p>
          <w:p w:rsidR="0074414F" w:rsidRPr="005F120D" w:rsidRDefault="0074414F" w:rsidP="00A01B3D">
            <w:pPr>
              <w:pStyle w:val="NoSpacing"/>
              <w:rPr>
                <w:rFonts w:asciiTheme="minorHAnsi" w:hAnsiTheme="minorHAnsi" w:cstheme="minorHAnsi"/>
                <w:i/>
                <w:color w:val="000000" w:themeColor="text1"/>
                <w:sz w:val="18"/>
                <w:szCs w:val="18"/>
              </w:rPr>
            </w:pPr>
            <w:r w:rsidRPr="005F120D">
              <w:rPr>
                <w:rFonts w:asciiTheme="minorHAnsi" w:hAnsiTheme="minorHAnsi" w:cstheme="minorHAnsi"/>
                <w:i/>
                <w:color w:val="000000" w:themeColor="text1"/>
                <w:sz w:val="18"/>
                <w:szCs w:val="18"/>
              </w:rPr>
              <w:t>Discrete projects</w:t>
            </w:r>
          </w:p>
          <w:p w:rsidR="0074414F" w:rsidRPr="005F120D" w:rsidRDefault="0074414F" w:rsidP="00A01B3D">
            <w:pPr>
              <w:pStyle w:val="NoSpacing"/>
              <w:rPr>
                <w:rFonts w:asciiTheme="minorHAnsi" w:hAnsiTheme="minorHAnsi" w:cstheme="minorHAnsi"/>
                <w:i/>
                <w:iCs/>
                <w:sz w:val="18"/>
                <w:szCs w:val="18"/>
                <w:lang w:eastAsia="ja-JP"/>
              </w:rPr>
            </w:pPr>
            <w:r w:rsidRPr="005F120D">
              <w:rPr>
                <w:rFonts w:asciiTheme="minorHAnsi" w:hAnsiTheme="minorHAnsi" w:cstheme="minorHAnsi"/>
                <w:i/>
                <w:color w:val="000000" w:themeColor="text1"/>
                <w:sz w:val="18"/>
                <w:szCs w:val="18"/>
              </w:rPr>
              <w:t>Block allocation</w:t>
            </w:r>
          </w:p>
        </w:tc>
        <w:tc>
          <w:tcPr>
            <w:tcW w:w="429" w:type="pct"/>
            <w:tcBorders>
              <w:top w:val="nil"/>
              <w:left w:val="single" w:sz="4" w:space="0" w:color="auto"/>
              <w:bottom w:val="single" w:sz="4" w:space="0" w:color="auto"/>
            </w:tcBorders>
            <w:shd w:val="clear" w:color="auto" w:fill="EAF1DD" w:themeFill="accent3"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91%</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c>
          <w:tcPr>
            <w:tcW w:w="426" w:type="pct"/>
            <w:tcBorders>
              <w:top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88%</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c>
          <w:tcPr>
            <w:tcW w:w="430" w:type="pct"/>
            <w:tcBorders>
              <w:top w:val="nil"/>
              <w:left w:val="single" w:sz="4" w:space="0" w:color="auto"/>
              <w:bottom w:val="single" w:sz="4" w:space="0" w:color="auto"/>
            </w:tcBorders>
            <w:shd w:val="clear" w:color="auto" w:fill="EAF1DD" w:themeFill="accent3" w:themeFillTint="33"/>
            <w:noWrap/>
            <w:hideMark/>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77%</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c>
          <w:tcPr>
            <w:tcW w:w="426" w:type="pct"/>
            <w:tcBorders>
              <w:top w:val="nil"/>
              <w:bottom w:val="single" w:sz="4" w:space="0" w:color="auto"/>
              <w:right w:val="single" w:sz="4" w:space="0" w:color="auto"/>
            </w:tcBorders>
            <w:shd w:val="clear" w:color="auto" w:fill="E5DFEC" w:themeFill="accent4" w:themeFillTint="33"/>
            <w:noWrap/>
            <w:hideMark/>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96%</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c>
          <w:tcPr>
            <w:tcW w:w="430" w:type="pct"/>
            <w:tcBorders>
              <w:top w:val="nil"/>
              <w:left w:val="single" w:sz="4" w:space="0" w:color="auto"/>
              <w:bottom w:val="single" w:sz="4" w:space="0" w:color="auto"/>
              <w:right w:val="nil"/>
            </w:tcBorders>
            <w:shd w:val="clear" w:color="auto" w:fill="EAF1DD" w:themeFill="accent3"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92%</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c>
          <w:tcPr>
            <w:tcW w:w="426" w:type="pct"/>
            <w:tcBorders>
              <w:top w:val="nil"/>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99%</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c>
          <w:tcPr>
            <w:tcW w:w="430" w:type="pct"/>
            <w:tcBorders>
              <w:top w:val="nil"/>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77%%</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c>
          <w:tcPr>
            <w:tcW w:w="428" w:type="pct"/>
            <w:tcBorders>
              <w:top w:val="nil"/>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98.1%</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c>
          <w:tcPr>
            <w:tcW w:w="637" w:type="pct"/>
            <w:tcBorders>
              <w:top w:val="nil"/>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45.1%</w:t>
            </w:r>
          </w:p>
        </w:tc>
      </w:tr>
      <w:tr w:rsidR="0074414F" w:rsidRPr="005F120D" w:rsidTr="00A01B3D">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rsidR="0074414F" w:rsidRPr="005F120D" w:rsidRDefault="0074414F" w:rsidP="00A01B3D">
            <w:pPr>
              <w:pStyle w:val="NoSpacing"/>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Non-development</w:t>
            </w:r>
          </w:p>
        </w:tc>
        <w:tc>
          <w:tcPr>
            <w:tcW w:w="429" w:type="pct"/>
            <w:tcBorders>
              <w:top w:val="single" w:sz="4" w:space="0" w:color="auto"/>
              <w:left w:val="single" w:sz="4" w:space="0" w:color="auto"/>
              <w:bottom w:val="single" w:sz="4" w:space="0" w:color="auto"/>
            </w:tcBorders>
            <w:shd w:val="clear" w:color="auto" w:fill="EAF1DD" w:themeFill="accent3"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106%</w:t>
            </w:r>
          </w:p>
        </w:tc>
        <w:tc>
          <w:tcPr>
            <w:tcW w:w="426" w:type="pct"/>
            <w:tcBorders>
              <w:top w:val="single" w:sz="4" w:space="0" w:color="auto"/>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109%</w:t>
            </w:r>
          </w:p>
        </w:tc>
        <w:tc>
          <w:tcPr>
            <w:tcW w:w="430" w:type="pct"/>
            <w:tcBorders>
              <w:top w:val="single" w:sz="4" w:space="0" w:color="auto"/>
              <w:left w:val="single" w:sz="4" w:space="0" w:color="auto"/>
              <w:bottom w:val="single" w:sz="4" w:space="0" w:color="auto"/>
            </w:tcBorders>
            <w:shd w:val="clear" w:color="auto" w:fill="EAF1DD" w:themeFill="accent3" w:themeFillTint="33"/>
            <w:noWrap/>
            <w:hideMark/>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104%</w:t>
            </w:r>
          </w:p>
        </w:tc>
        <w:tc>
          <w:tcPr>
            <w:tcW w:w="426" w:type="pct"/>
            <w:tcBorders>
              <w:top w:val="single" w:sz="4" w:space="0" w:color="auto"/>
              <w:bottom w:val="single" w:sz="4" w:space="0" w:color="auto"/>
              <w:right w:val="single" w:sz="4" w:space="0" w:color="auto"/>
            </w:tcBorders>
            <w:shd w:val="clear" w:color="auto" w:fill="E5DFEC" w:themeFill="accent4" w:themeFillTint="33"/>
            <w:noWrap/>
            <w:hideMark/>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102%</w:t>
            </w:r>
          </w:p>
        </w:tc>
        <w:tc>
          <w:tcPr>
            <w:tcW w:w="430" w:type="pct"/>
            <w:tcBorders>
              <w:top w:val="single" w:sz="4" w:space="0" w:color="auto"/>
              <w:left w:val="single" w:sz="4" w:space="0" w:color="auto"/>
              <w:bottom w:val="single" w:sz="4" w:space="0" w:color="auto"/>
              <w:right w:val="nil"/>
            </w:tcBorders>
            <w:shd w:val="clear" w:color="auto" w:fill="EAF1DD" w:themeFill="accent3"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98%</w:t>
            </w:r>
          </w:p>
        </w:tc>
        <w:tc>
          <w:tcPr>
            <w:tcW w:w="426" w:type="pct"/>
            <w:tcBorders>
              <w:top w:val="single" w:sz="4" w:space="0" w:color="auto"/>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100%</w:t>
            </w:r>
          </w:p>
        </w:tc>
        <w:tc>
          <w:tcPr>
            <w:tcW w:w="430" w:type="pct"/>
            <w:tcBorders>
              <w:top w:val="single" w:sz="4" w:space="0" w:color="auto"/>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88%</w:t>
            </w:r>
          </w:p>
        </w:tc>
        <w:tc>
          <w:tcPr>
            <w:tcW w:w="428" w:type="pct"/>
            <w:tcBorders>
              <w:top w:val="single" w:sz="4" w:space="0" w:color="auto"/>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100%</w:t>
            </w:r>
          </w:p>
        </w:tc>
        <w:tc>
          <w:tcPr>
            <w:tcW w:w="637" w:type="pct"/>
            <w:tcBorders>
              <w:top w:val="single" w:sz="4" w:space="0" w:color="auto"/>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sz w:val="18"/>
                <w:szCs w:val="18"/>
                <w:lang w:eastAsia="ja-JP"/>
              </w:rPr>
            </w:pPr>
          </w:p>
        </w:tc>
      </w:tr>
      <w:tr w:rsidR="0074414F" w:rsidRPr="005F120D" w:rsidTr="00A01B3D">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rsidR="0074414F" w:rsidRPr="005F120D" w:rsidRDefault="0074414F" w:rsidP="00A01B3D">
            <w:pPr>
              <w:pStyle w:val="NoSpacing"/>
              <w:rPr>
                <w:rFonts w:asciiTheme="minorHAnsi" w:hAnsiTheme="minorHAnsi" w:cstheme="minorHAnsi"/>
                <w:b/>
                <w:color w:val="3333FF"/>
                <w:sz w:val="18"/>
                <w:szCs w:val="18"/>
                <w:lang w:eastAsia="ja-JP"/>
              </w:rPr>
            </w:pPr>
            <w:r w:rsidRPr="005F120D">
              <w:rPr>
                <w:rFonts w:asciiTheme="minorHAnsi" w:hAnsiTheme="minorHAnsi" w:cstheme="minorHAnsi"/>
                <w:b/>
                <w:color w:val="3333FF"/>
                <w:sz w:val="18"/>
                <w:szCs w:val="18"/>
                <w:lang w:eastAsia="ja-JP"/>
              </w:rPr>
              <w:t>Total MoPME Budget</w:t>
            </w:r>
          </w:p>
        </w:tc>
        <w:tc>
          <w:tcPr>
            <w:tcW w:w="429" w:type="pct"/>
            <w:tcBorders>
              <w:top w:val="single" w:sz="4" w:space="0" w:color="auto"/>
              <w:left w:val="single" w:sz="4" w:space="0" w:color="auto"/>
              <w:bottom w:val="single" w:sz="4" w:space="0" w:color="auto"/>
            </w:tcBorders>
            <w:shd w:val="clear" w:color="auto" w:fill="EAF1DD" w:themeFill="accent3" w:themeFillTint="33"/>
          </w:tcPr>
          <w:p w:rsidR="0074414F" w:rsidRPr="005F120D" w:rsidRDefault="0074414F" w:rsidP="00A01B3D">
            <w:pPr>
              <w:pStyle w:val="NoSpacing"/>
              <w:jc w:val="right"/>
              <w:rPr>
                <w:rFonts w:asciiTheme="minorHAnsi" w:hAnsiTheme="minorHAnsi" w:cstheme="minorHAnsi"/>
                <w:b/>
                <w:color w:val="3333FF"/>
                <w:sz w:val="18"/>
                <w:szCs w:val="18"/>
                <w:lang w:eastAsia="ja-JP"/>
              </w:rPr>
            </w:pPr>
            <w:r w:rsidRPr="005F120D">
              <w:rPr>
                <w:rFonts w:asciiTheme="minorHAnsi" w:hAnsiTheme="minorHAnsi" w:cstheme="minorHAnsi"/>
                <w:b/>
                <w:color w:val="3333FF"/>
                <w:sz w:val="18"/>
                <w:szCs w:val="18"/>
                <w:lang w:eastAsia="ja-JP"/>
              </w:rPr>
              <w:t>91%</w:t>
            </w:r>
          </w:p>
        </w:tc>
        <w:tc>
          <w:tcPr>
            <w:tcW w:w="426" w:type="pct"/>
            <w:tcBorders>
              <w:top w:val="single" w:sz="4" w:space="0" w:color="auto"/>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color w:val="3333FF"/>
                <w:sz w:val="18"/>
                <w:szCs w:val="18"/>
                <w:lang w:eastAsia="ja-JP"/>
              </w:rPr>
            </w:pPr>
            <w:r w:rsidRPr="005F120D">
              <w:rPr>
                <w:rFonts w:asciiTheme="minorHAnsi" w:hAnsiTheme="minorHAnsi" w:cstheme="minorHAnsi"/>
                <w:b/>
                <w:color w:val="3333FF"/>
                <w:sz w:val="18"/>
                <w:szCs w:val="18"/>
                <w:lang w:eastAsia="ja-JP"/>
              </w:rPr>
              <w:t>106%</w:t>
            </w:r>
          </w:p>
        </w:tc>
        <w:tc>
          <w:tcPr>
            <w:tcW w:w="430" w:type="pct"/>
            <w:tcBorders>
              <w:top w:val="single" w:sz="4" w:space="0" w:color="auto"/>
              <w:left w:val="single" w:sz="4" w:space="0" w:color="auto"/>
              <w:bottom w:val="single" w:sz="4" w:space="0" w:color="auto"/>
            </w:tcBorders>
            <w:shd w:val="clear" w:color="auto" w:fill="EAF1DD" w:themeFill="accent3" w:themeFillTint="33"/>
            <w:noWrap/>
            <w:hideMark/>
          </w:tcPr>
          <w:p w:rsidR="0074414F" w:rsidRPr="005F120D" w:rsidRDefault="0074414F" w:rsidP="00A01B3D">
            <w:pPr>
              <w:pStyle w:val="NoSpacing"/>
              <w:jc w:val="right"/>
              <w:rPr>
                <w:rFonts w:asciiTheme="minorHAnsi" w:hAnsiTheme="minorHAnsi" w:cstheme="minorHAnsi"/>
                <w:b/>
                <w:color w:val="3333FF"/>
                <w:sz w:val="18"/>
                <w:szCs w:val="18"/>
                <w:lang w:eastAsia="ja-JP"/>
              </w:rPr>
            </w:pPr>
            <w:r w:rsidRPr="005F120D">
              <w:rPr>
                <w:rFonts w:asciiTheme="minorHAnsi" w:hAnsiTheme="minorHAnsi" w:cstheme="minorHAnsi"/>
                <w:b/>
                <w:color w:val="3333FF"/>
                <w:sz w:val="18"/>
                <w:szCs w:val="18"/>
                <w:lang w:eastAsia="ja-JP"/>
              </w:rPr>
              <w:t>96%</w:t>
            </w:r>
          </w:p>
        </w:tc>
        <w:tc>
          <w:tcPr>
            <w:tcW w:w="426" w:type="pct"/>
            <w:tcBorders>
              <w:top w:val="single" w:sz="4" w:space="0" w:color="auto"/>
              <w:bottom w:val="single" w:sz="4" w:space="0" w:color="auto"/>
              <w:right w:val="single" w:sz="4" w:space="0" w:color="auto"/>
            </w:tcBorders>
            <w:shd w:val="clear" w:color="auto" w:fill="E5DFEC" w:themeFill="accent4" w:themeFillTint="33"/>
            <w:noWrap/>
            <w:hideMark/>
          </w:tcPr>
          <w:p w:rsidR="0074414F" w:rsidRPr="005F120D" w:rsidRDefault="0074414F" w:rsidP="00A01B3D">
            <w:pPr>
              <w:pStyle w:val="NoSpacing"/>
              <w:jc w:val="right"/>
              <w:rPr>
                <w:rFonts w:asciiTheme="minorHAnsi" w:hAnsiTheme="minorHAnsi" w:cstheme="minorHAnsi"/>
                <w:b/>
                <w:color w:val="3333FF"/>
                <w:sz w:val="18"/>
                <w:szCs w:val="18"/>
                <w:lang w:eastAsia="ja-JP"/>
              </w:rPr>
            </w:pPr>
            <w:r w:rsidRPr="005F120D">
              <w:rPr>
                <w:rFonts w:asciiTheme="minorHAnsi" w:hAnsiTheme="minorHAnsi" w:cstheme="minorHAnsi"/>
                <w:b/>
                <w:color w:val="3333FF"/>
                <w:sz w:val="18"/>
                <w:szCs w:val="18"/>
                <w:lang w:eastAsia="ja-JP"/>
              </w:rPr>
              <w:t>99%</w:t>
            </w:r>
          </w:p>
        </w:tc>
        <w:tc>
          <w:tcPr>
            <w:tcW w:w="430" w:type="pct"/>
            <w:tcBorders>
              <w:top w:val="single" w:sz="4" w:space="0" w:color="auto"/>
              <w:left w:val="single" w:sz="4" w:space="0" w:color="auto"/>
              <w:bottom w:val="single" w:sz="4" w:space="0" w:color="auto"/>
              <w:right w:val="nil"/>
            </w:tcBorders>
            <w:shd w:val="clear" w:color="auto" w:fill="EAF1DD" w:themeFill="accent3" w:themeFillTint="33"/>
          </w:tcPr>
          <w:p w:rsidR="0074414F" w:rsidRPr="005F120D" w:rsidRDefault="0074414F" w:rsidP="00A01B3D">
            <w:pPr>
              <w:pStyle w:val="NoSpacing"/>
              <w:jc w:val="right"/>
              <w:rPr>
                <w:rFonts w:asciiTheme="minorHAnsi" w:hAnsiTheme="minorHAnsi" w:cstheme="minorHAnsi"/>
                <w:b/>
                <w:color w:val="3333FF"/>
                <w:sz w:val="18"/>
                <w:szCs w:val="18"/>
                <w:lang w:eastAsia="ja-JP"/>
              </w:rPr>
            </w:pPr>
            <w:r w:rsidRPr="005F120D">
              <w:rPr>
                <w:rFonts w:asciiTheme="minorHAnsi" w:hAnsiTheme="minorHAnsi" w:cstheme="minorHAnsi"/>
                <w:b/>
                <w:color w:val="3333FF"/>
                <w:sz w:val="18"/>
                <w:szCs w:val="18"/>
                <w:lang w:eastAsia="ja-JP"/>
              </w:rPr>
              <w:t>95%</w:t>
            </w:r>
          </w:p>
        </w:tc>
        <w:tc>
          <w:tcPr>
            <w:tcW w:w="426" w:type="pct"/>
            <w:tcBorders>
              <w:top w:val="single" w:sz="4" w:space="0" w:color="auto"/>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color w:val="3333FF"/>
                <w:sz w:val="18"/>
                <w:szCs w:val="18"/>
                <w:lang w:eastAsia="ja-JP"/>
              </w:rPr>
            </w:pPr>
            <w:r w:rsidRPr="005F120D">
              <w:rPr>
                <w:rFonts w:asciiTheme="minorHAnsi" w:hAnsiTheme="minorHAnsi" w:cstheme="minorHAnsi"/>
                <w:b/>
                <w:color w:val="3333FF"/>
                <w:sz w:val="18"/>
                <w:szCs w:val="18"/>
                <w:lang w:eastAsia="ja-JP"/>
              </w:rPr>
              <w:t>99%</w:t>
            </w:r>
          </w:p>
        </w:tc>
        <w:tc>
          <w:tcPr>
            <w:tcW w:w="430" w:type="pct"/>
            <w:tcBorders>
              <w:top w:val="single" w:sz="4" w:space="0" w:color="auto"/>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color w:val="3333FF"/>
                <w:sz w:val="18"/>
                <w:szCs w:val="18"/>
                <w:lang w:eastAsia="ja-JP"/>
              </w:rPr>
            </w:pPr>
            <w:r w:rsidRPr="005F120D">
              <w:rPr>
                <w:rFonts w:asciiTheme="minorHAnsi" w:hAnsiTheme="minorHAnsi" w:cstheme="minorHAnsi"/>
                <w:b/>
                <w:color w:val="3333FF"/>
                <w:sz w:val="18"/>
                <w:szCs w:val="18"/>
                <w:lang w:eastAsia="ja-JP"/>
              </w:rPr>
              <w:t>87%</w:t>
            </w:r>
          </w:p>
        </w:tc>
        <w:tc>
          <w:tcPr>
            <w:tcW w:w="428" w:type="pct"/>
            <w:tcBorders>
              <w:top w:val="single" w:sz="4" w:space="0" w:color="auto"/>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color w:val="3333FF"/>
                <w:sz w:val="18"/>
                <w:szCs w:val="18"/>
                <w:lang w:eastAsia="ja-JP"/>
              </w:rPr>
            </w:pPr>
            <w:r w:rsidRPr="005F120D">
              <w:rPr>
                <w:rFonts w:asciiTheme="minorHAnsi" w:hAnsiTheme="minorHAnsi" w:cstheme="minorHAnsi"/>
                <w:b/>
                <w:color w:val="3333FF"/>
                <w:sz w:val="18"/>
                <w:szCs w:val="18"/>
                <w:lang w:eastAsia="ja-JP"/>
              </w:rPr>
              <w:t>99%</w:t>
            </w:r>
          </w:p>
        </w:tc>
        <w:tc>
          <w:tcPr>
            <w:tcW w:w="637" w:type="pct"/>
            <w:tcBorders>
              <w:top w:val="single" w:sz="4" w:space="0" w:color="auto"/>
              <w:left w:val="nil"/>
              <w:bottom w:val="single" w:sz="4" w:space="0" w:color="auto"/>
              <w:right w:val="single" w:sz="4" w:space="0" w:color="auto"/>
            </w:tcBorders>
            <w:shd w:val="clear" w:color="auto" w:fill="E5DFEC" w:themeFill="accent4" w:themeFillTint="33"/>
          </w:tcPr>
          <w:p w:rsidR="0074414F" w:rsidRPr="005F120D" w:rsidRDefault="0074414F" w:rsidP="00A01B3D">
            <w:pPr>
              <w:pStyle w:val="NoSpacing"/>
              <w:jc w:val="right"/>
              <w:rPr>
                <w:rFonts w:asciiTheme="minorHAnsi" w:hAnsiTheme="minorHAnsi" w:cstheme="minorHAnsi"/>
                <w:b/>
                <w:color w:val="3333FF"/>
                <w:sz w:val="18"/>
                <w:szCs w:val="18"/>
                <w:lang w:eastAsia="ja-JP"/>
              </w:rPr>
            </w:pPr>
          </w:p>
        </w:tc>
      </w:tr>
    </w:tbl>
    <w:p w:rsidR="0074414F" w:rsidRPr="005F120D" w:rsidRDefault="0074414F" w:rsidP="0074414F">
      <w:pPr>
        <w:rPr>
          <w:rFonts w:asciiTheme="minorHAnsi" w:hAnsiTheme="minorHAnsi" w:cstheme="minorHAnsi"/>
        </w:rPr>
      </w:pPr>
    </w:p>
    <w:p w:rsidR="0074414F" w:rsidRPr="005F120D" w:rsidRDefault="0074414F" w:rsidP="0074414F">
      <w:pPr>
        <w:rPr>
          <w:rFonts w:asciiTheme="minorHAnsi" w:hAnsiTheme="minorHAnsi" w:cstheme="minorHAnsi"/>
        </w:rPr>
      </w:pPr>
    </w:p>
    <w:p w:rsidR="0074414F" w:rsidRPr="005F120D" w:rsidRDefault="0074414F" w:rsidP="0074414F">
      <w:pPr>
        <w:rPr>
          <w:rFonts w:asciiTheme="minorHAnsi" w:hAnsiTheme="minorHAnsi" w:cstheme="minorHAnsi"/>
        </w:rPr>
      </w:pPr>
    </w:p>
    <w:p w:rsidR="00E8048F" w:rsidRPr="005F120D" w:rsidRDefault="00E8048F" w:rsidP="0074414F">
      <w:pPr>
        <w:rPr>
          <w:rFonts w:asciiTheme="minorHAnsi" w:hAnsiTheme="minorHAnsi" w:cstheme="minorHAnsi"/>
        </w:rPr>
      </w:pPr>
    </w:p>
    <w:p w:rsidR="00B0478D" w:rsidRPr="005F120D" w:rsidRDefault="004E1326" w:rsidP="00C437AA">
      <w:pPr>
        <w:pStyle w:val="Heading2"/>
        <w:spacing w:line="276" w:lineRule="auto"/>
        <w:rPr>
          <w:rFonts w:cstheme="minorHAnsi"/>
        </w:rPr>
      </w:pPr>
      <w:bookmarkStart w:id="587" w:name="_Toc462837196"/>
      <w:r w:rsidRPr="005F120D">
        <w:rPr>
          <w:rFonts w:cstheme="minorHAnsi"/>
        </w:rPr>
        <w:lastRenderedPageBreak/>
        <w:t>PEDP3 Component Planned and Actual B</w:t>
      </w:r>
      <w:r w:rsidR="00C13DAB" w:rsidRPr="005F120D">
        <w:rPr>
          <w:rFonts w:cstheme="minorHAnsi"/>
        </w:rPr>
        <w:t>udget</w:t>
      </w:r>
      <w:bookmarkEnd w:id="587"/>
    </w:p>
    <w:p w:rsidR="0025109C" w:rsidRPr="005F120D" w:rsidRDefault="0025109C" w:rsidP="0025109C">
      <w:pPr>
        <w:spacing w:after="0" w:line="276" w:lineRule="auto"/>
        <w:jc w:val="both"/>
        <w:rPr>
          <w:rFonts w:asciiTheme="minorHAnsi" w:hAnsiTheme="minorHAnsi" w:cstheme="minorHAnsi"/>
          <w:szCs w:val="22"/>
        </w:rPr>
      </w:pPr>
      <w:r w:rsidRPr="005F120D">
        <w:rPr>
          <w:rFonts w:asciiTheme="minorHAnsi" w:hAnsiTheme="minorHAnsi" w:cstheme="minorHAnsi"/>
          <w:szCs w:val="22"/>
        </w:rPr>
        <w:t>Adjustments in budget allocation and expenditure are normal in very large programs and provide lessons for future planning. The reasons for such large changes are complex. They may be connected with capacity, changed needs, policies or price increases. In a challenging environment, it may have been pragmatic to increase spending on ‘big ticket’ items such as construction. However, Table 6.7 presents the PEDP3 budget allocation and expenditures by the four components in FY 2012/13, 2013/14, 2014/15 and 2015/16.  Overall, the composition of the PEDP3 budgets in the past two years was nearly identical and consistent with the overall PEDP3 financing framework.   In the AOP 2015/16, the first two results areas (e.g. Learning and Teaching, Participation and Disparities) altogether accounted for 84.5% of the planned costs. Component 2, Participation and Disparities, attracted the largest share, at nearly 72% due to its large civil works component.</w:t>
      </w:r>
    </w:p>
    <w:p w:rsidR="0025109C" w:rsidRPr="005F120D" w:rsidRDefault="0025109C" w:rsidP="0025109C">
      <w:pPr>
        <w:spacing w:after="0" w:line="276" w:lineRule="auto"/>
        <w:jc w:val="both"/>
        <w:rPr>
          <w:rFonts w:asciiTheme="minorHAnsi" w:hAnsiTheme="minorHAnsi" w:cstheme="minorHAnsi"/>
          <w:szCs w:val="22"/>
        </w:rPr>
      </w:pPr>
    </w:p>
    <w:p w:rsidR="00AD3D4F" w:rsidRPr="005F120D" w:rsidRDefault="0025109C" w:rsidP="0025109C">
      <w:pPr>
        <w:spacing w:line="276" w:lineRule="auto"/>
        <w:jc w:val="both"/>
        <w:rPr>
          <w:rFonts w:asciiTheme="minorHAnsi" w:hAnsiTheme="minorHAnsi" w:cstheme="minorHAnsi"/>
        </w:rPr>
      </w:pPr>
      <w:r w:rsidRPr="005F120D">
        <w:rPr>
          <w:rFonts w:asciiTheme="minorHAnsi" w:hAnsiTheme="minorHAnsi" w:cstheme="minorHAnsi"/>
          <w:szCs w:val="22"/>
        </w:rPr>
        <w:t>Volume-wise, the PEDP3 revised 2015/16 budget increased by 56% from the year before (revised 2014/15).  Component 2, Participation &amp; Disparities, had the largest increase at over 23.2%.  Based on the 9 month disbursement up to March 2015, 2015/16 spending also appeared to be similar to the actual expenditure rate of the revised 2014/15 allocation</w:t>
      </w:r>
      <w:r w:rsidR="00222984" w:rsidRPr="005F120D">
        <w:rPr>
          <w:rFonts w:asciiTheme="minorHAnsi" w:hAnsiTheme="minorHAnsi" w:cstheme="minorHAnsi"/>
        </w:rPr>
        <w:t>.</w:t>
      </w:r>
      <w:bookmarkStart w:id="588" w:name="_Ref387761801"/>
      <w:bookmarkStart w:id="589" w:name="_Toc385419614"/>
    </w:p>
    <w:p w:rsidR="00332BB3" w:rsidRPr="005F120D" w:rsidRDefault="00332BB3" w:rsidP="00C437AA">
      <w:pPr>
        <w:pStyle w:val="Caption"/>
        <w:spacing w:line="276" w:lineRule="auto"/>
        <w:rPr>
          <w:rFonts w:cstheme="minorHAnsi"/>
        </w:rPr>
      </w:pPr>
      <w:bookmarkStart w:id="590" w:name="_Toc462837310"/>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7</w:t>
      </w:r>
      <w:r w:rsidR="002E2ED5" w:rsidRPr="005F120D">
        <w:rPr>
          <w:rFonts w:cstheme="minorHAnsi"/>
        </w:rPr>
        <w:fldChar w:fldCharType="end"/>
      </w:r>
      <w:bookmarkEnd w:id="588"/>
      <w:r w:rsidRPr="005F120D">
        <w:rPr>
          <w:rFonts w:cstheme="minorHAnsi"/>
        </w:rPr>
        <w:t>:  PEDP3 component budget and expenditure FY 2012/13</w:t>
      </w:r>
      <w:bookmarkEnd w:id="589"/>
      <w:r w:rsidR="00EE63BD" w:rsidRPr="005F120D">
        <w:rPr>
          <w:rFonts w:cstheme="minorHAnsi"/>
        </w:rPr>
        <w:t>- 2014</w:t>
      </w:r>
      <w:r w:rsidR="004843E4" w:rsidRPr="005F120D">
        <w:rPr>
          <w:rFonts w:cstheme="minorHAnsi"/>
        </w:rPr>
        <w:t>/1</w:t>
      </w:r>
      <w:r w:rsidR="00EE63BD" w:rsidRPr="005F120D">
        <w:rPr>
          <w:rFonts w:cstheme="minorHAnsi"/>
        </w:rPr>
        <w:t>5</w:t>
      </w:r>
      <w:r w:rsidR="00DB75B1" w:rsidRPr="005F120D">
        <w:rPr>
          <w:rFonts w:cstheme="minorHAnsi"/>
        </w:rPr>
        <w:t xml:space="preserve"> and Disbursement 2015/16 as of March 2016</w:t>
      </w:r>
      <w:bookmarkEnd w:id="590"/>
    </w:p>
    <w:tbl>
      <w:tblPr>
        <w:tblW w:w="4944" w:type="pct"/>
        <w:jc w:val="right"/>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3"/>
        <w:gridCol w:w="717"/>
        <w:gridCol w:w="631"/>
        <w:gridCol w:w="673"/>
        <w:gridCol w:w="773"/>
        <w:gridCol w:w="773"/>
        <w:gridCol w:w="559"/>
        <w:gridCol w:w="576"/>
        <w:gridCol w:w="761"/>
        <w:gridCol w:w="1071"/>
        <w:gridCol w:w="1064"/>
      </w:tblGrid>
      <w:tr w:rsidR="004B40D5" w:rsidRPr="005F120D" w:rsidTr="00997048">
        <w:trPr>
          <w:trHeight w:val="240"/>
          <w:jc w:val="right"/>
        </w:trPr>
        <w:tc>
          <w:tcPr>
            <w:tcW w:w="844" w:type="pct"/>
            <w:vMerge w:val="restart"/>
            <w:shd w:val="clear" w:color="auto" w:fill="C2D69B" w:themeFill="accent3" w:themeFillTint="99"/>
            <w:noWrap/>
            <w:hideMark/>
          </w:tcPr>
          <w:p w:rsidR="004B40D5" w:rsidRPr="005F120D" w:rsidRDefault="004B40D5" w:rsidP="00936D9E">
            <w:pPr>
              <w:pStyle w:val="NoSpacing"/>
              <w:ind w:right="-106"/>
              <w:jc w:val="center"/>
              <w:rPr>
                <w:rFonts w:asciiTheme="minorHAnsi" w:hAnsiTheme="minorHAnsi" w:cstheme="minorHAnsi"/>
                <w:sz w:val="16"/>
                <w:szCs w:val="16"/>
                <w:lang w:eastAsia="ja-JP"/>
              </w:rPr>
            </w:pPr>
            <w:r w:rsidRPr="005F120D">
              <w:rPr>
                <w:rFonts w:asciiTheme="minorHAnsi" w:hAnsiTheme="minorHAnsi" w:cstheme="minorHAnsi"/>
                <w:i/>
                <w:sz w:val="16"/>
                <w:szCs w:val="16"/>
              </w:rPr>
              <w:t>(Crore Taka)</w:t>
            </w:r>
          </w:p>
        </w:tc>
        <w:tc>
          <w:tcPr>
            <w:tcW w:w="1105" w:type="pct"/>
            <w:gridSpan w:val="3"/>
            <w:shd w:val="clear" w:color="auto" w:fill="C2D69B" w:themeFill="accent3" w:themeFillTint="99"/>
            <w:noWrap/>
            <w:hideMark/>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2013/14</w:t>
            </w:r>
          </w:p>
        </w:tc>
        <w:tc>
          <w:tcPr>
            <w:tcW w:w="1467" w:type="pct"/>
            <w:gridSpan w:val="4"/>
            <w:shd w:val="clear" w:color="auto" w:fill="C2D69B" w:themeFill="accent3" w:themeFillTint="99"/>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2014/15</w:t>
            </w:r>
          </w:p>
        </w:tc>
        <w:tc>
          <w:tcPr>
            <w:tcW w:w="1584" w:type="pct"/>
            <w:gridSpan w:val="3"/>
            <w:shd w:val="clear" w:color="auto" w:fill="C2D69B" w:themeFill="accent3" w:themeFillTint="99"/>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2015/16</w:t>
            </w:r>
          </w:p>
        </w:tc>
      </w:tr>
      <w:tr w:rsidR="00997048" w:rsidRPr="005F120D" w:rsidTr="00997048">
        <w:trPr>
          <w:trHeight w:val="240"/>
          <w:jc w:val="right"/>
        </w:trPr>
        <w:tc>
          <w:tcPr>
            <w:tcW w:w="844" w:type="pct"/>
            <w:vMerge/>
            <w:shd w:val="clear" w:color="auto" w:fill="C2D69B" w:themeFill="accent3" w:themeFillTint="99"/>
            <w:noWrap/>
          </w:tcPr>
          <w:p w:rsidR="004B40D5" w:rsidRPr="005F120D" w:rsidRDefault="004B40D5" w:rsidP="00936D9E">
            <w:pPr>
              <w:pStyle w:val="NoSpacing"/>
              <w:jc w:val="center"/>
              <w:rPr>
                <w:rFonts w:asciiTheme="minorHAnsi" w:hAnsiTheme="minorHAnsi" w:cstheme="minorHAnsi"/>
                <w:i/>
                <w:sz w:val="16"/>
                <w:szCs w:val="16"/>
                <w:lang w:eastAsia="ja-JP"/>
              </w:rPr>
            </w:pPr>
          </w:p>
        </w:tc>
        <w:tc>
          <w:tcPr>
            <w:tcW w:w="392" w:type="pct"/>
            <w:shd w:val="clear" w:color="auto" w:fill="C2D69B" w:themeFill="accent3" w:themeFillTint="99"/>
            <w:noWrap/>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Budget (O)</w:t>
            </w:r>
          </w:p>
        </w:tc>
        <w:tc>
          <w:tcPr>
            <w:tcW w:w="713" w:type="pct"/>
            <w:gridSpan w:val="2"/>
            <w:shd w:val="clear" w:color="auto" w:fill="C2D69B" w:themeFill="accent3" w:themeFillTint="99"/>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Actual</w:t>
            </w:r>
          </w:p>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Expenditure</w:t>
            </w:r>
          </w:p>
        </w:tc>
        <w:tc>
          <w:tcPr>
            <w:tcW w:w="423" w:type="pct"/>
            <w:shd w:val="clear" w:color="auto" w:fill="C2D69B" w:themeFill="accent3" w:themeFillTint="99"/>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Budget</w:t>
            </w:r>
          </w:p>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(O)</w:t>
            </w:r>
          </w:p>
        </w:tc>
        <w:tc>
          <w:tcPr>
            <w:tcW w:w="423" w:type="pct"/>
            <w:shd w:val="clear" w:color="auto" w:fill="C2D69B" w:themeFill="accent3" w:themeFillTint="99"/>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Budget</w:t>
            </w:r>
          </w:p>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(R)</w:t>
            </w:r>
          </w:p>
        </w:tc>
        <w:tc>
          <w:tcPr>
            <w:tcW w:w="620" w:type="pct"/>
            <w:gridSpan w:val="2"/>
            <w:shd w:val="clear" w:color="auto" w:fill="C2D69B" w:themeFill="accent3" w:themeFillTint="99"/>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Actual</w:t>
            </w:r>
          </w:p>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Expenditure</w:t>
            </w:r>
          </w:p>
        </w:tc>
        <w:tc>
          <w:tcPr>
            <w:tcW w:w="416" w:type="pct"/>
            <w:shd w:val="clear" w:color="auto" w:fill="C2D69B" w:themeFill="accent3" w:themeFillTint="99"/>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Orig.</w:t>
            </w:r>
          </w:p>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Budget</w:t>
            </w:r>
          </w:p>
        </w:tc>
        <w:tc>
          <w:tcPr>
            <w:tcW w:w="586" w:type="pct"/>
            <w:shd w:val="clear" w:color="auto" w:fill="C2D69B" w:themeFill="accent3" w:themeFillTint="99"/>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Disbursement</w:t>
            </w:r>
            <w:r w:rsidR="00DB76EB" w:rsidRPr="005F120D">
              <w:rPr>
                <w:rFonts w:asciiTheme="minorHAnsi" w:hAnsiTheme="minorHAnsi" w:cstheme="minorHAnsi"/>
                <w:sz w:val="16"/>
                <w:szCs w:val="16"/>
                <w:lang w:eastAsia="ja-JP"/>
              </w:rPr>
              <w:t xml:space="preserve"> as of March’16</w:t>
            </w:r>
          </w:p>
        </w:tc>
        <w:tc>
          <w:tcPr>
            <w:tcW w:w="582" w:type="pct"/>
            <w:shd w:val="clear" w:color="auto" w:fill="C2D69B" w:themeFill="accent3" w:themeFillTint="99"/>
          </w:tcPr>
          <w:p w:rsidR="004B40D5" w:rsidRPr="005F120D" w:rsidRDefault="004B40D5" w:rsidP="00936D9E">
            <w:pPr>
              <w:pStyle w:val="NoSpacing"/>
              <w:jc w:val="center"/>
              <w:rPr>
                <w:rFonts w:asciiTheme="minorHAnsi" w:hAnsiTheme="minorHAnsi" w:cstheme="minorHAnsi"/>
                <w:sz w:val="16"/>
                <w:szCs w:val="16"/>
                <w:lang w:eastAsia="ja-JP"/>
              </w:rPr>
            </w:pPr>
            <w:r w:rsidRPr="005F120D">
              <w:rPr>
                <w:rFonts w:asciiTheme="minorHAnsi" w:hAnsiTheme="minorHAnsi" w:cstheme="minorHAnsi"/>
                <w:sz w:val="16"/>
                <w:szCs w:val="16"/>
                <w:lang w:eastAsia="ja-JP"/>
              </w:rPr>
              <w:t>% of Disbursement</w:t>
            </w:r>
          </w:p>
        </w:tc>
      </w:tr>
      <w:tr w:rsidR="00997048" w:rsidRPr="005F120D" w:rsidTr="00997048">
        <w:trPr>
          <w:trHeight w:val="240"/>
          <w:jc w:val="right"/>
        </w:trPr>
        <w:tc>
          <w:tcPr>
            <w:tcW w:w="844" w:type="pct"/>
            <w:tcBorders>
              <w:bottom w:val="single" w:sz="4" w:space="0" w:color="auto"/>
            </w:tcBorders>
            <w:shd w:val="clear" w:color="auto" w:fill="auto"/>
            <w:noWrap/>
            <w:hideMark/>
          </w:tcPr>
          <w:p w:rsidR="004B40D5" w:rsidRPr="005F120D" w:rsidRDefault="004B40D5" w:rsidP="00936D9E">
            <w:pPr>
              <w:pStyle w:val="NoSpacing"/>
              <w:rPr>
                <w:rFonts w:asciiTheme="minorHAnsi" w:hAnsiTheme="minorHAnsi" w:cstheme="minorHAnsi"/>
                <w:sz w:val="16"/>
                <w:szCs w:val="16"/>
                <w:lang w:eastAsia="ja-JP"/>
              </w:rPr>
            </w:pPr>
            <w:r w:rsidRPr="005F120D">
              <w:rPr>
                <w:rFonts w:asciiTheme="minorHAnsi" w:hAnsiTheme="minorHAnsi" w:cstheme="minorHAnsi"/>
                <w:sz w:val="16"/>
                <w:szCs w:val="16"/>
                <w:lang w:eastAsia="ja-JP"/>
              </w:rPr>
              <w:t>Teaching and Learning</w:t>
            </w:r>
          </w:p>
        </w:tc>
        <w:tc>
          <w:tcPr>
            <w:tcW w:w="392" w:type="pct"/>
            <w:tcBorders>
              <w:bottom w:val="single" w:sz="4" w:space="0" w:color="auto"/>
            </w:tcBorders>
            <w:shd w:val="clear" w:color="auto" w:fill="auto"/>
            <w:noWrap/>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467</w:t>
            </w:r>
          </w:p>
        </w:tc>
        <w:tc>
          <w:tcPr>
            <w:tcW w:w="345"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149</w:t>
            </w:r>
          </w:p>
        </w:tc>
        <w:tc>
          <w:tcPr>
            <w:tcW w:w="368"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i/>
                <w:sz w:val="16"/>
                <w:szCs w:val="16"/>
              </w:rPr>
            </w:pPr>
            <w:r w:rsidRPr="005F120D">
              <w:rPr>
                <w:rFonts w:asciiTheme="minorHAnsi" w:hAnsiTheme="minorHAnsi" w:cstheme="minorHAnsi"/>
                <w:i/>
                <w:sz w:val="16"/>
                <w:szCs w:val="16"/>
              </w:rPr>
              <w:t>32%</w:t>
            </w:r>
          </w:p>
        </w:tc>
        <w:tc>
          <w:tcPr>
            <w:tcW w:w="423"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584</w:t>
            </w:r>
          </w:p>
        </w:tc>
        <w:tc>
          <w:tcPr>
            <w:tcW w:w="423"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362</w:t>
            </w:r>
          </w:p>
        </w:tc>
        <w:tc>
          <w:tcPr>
            <w:tcW w:w="306"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90</w:t>
            </w:r>
          </w:p>
        </w:tc>
        <w:tc>
          <w:tcPr>
            <w:tcW w:w="315"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25%</w:t>
            </w:r>
          </w:p>
        </w:tc>
        <w:tc>
          <w:tcPr>
            <w:tcW w:w="416"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eastAsia="Calibri" w:hAnsiTheme="minorHAnsi" w:cstheme="minorHAnsi"/>
                <w:sz w:val="16"/>
                <w:szCs w:val="16"/>
              </w:rPr>
              <w:t>483</w:t>
            </w:r>
          </w:p>
        </w:tc>
        <w:tc>
          <w:tcPr>
            <w:tcW w:w="586"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142</w:t>
            </w:r>
          </w:p>
        </w:tc>
        <w:tc>
          <w:tcPr>
            <w:tcW w:w="582"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i/>
                <w:sz w:val="16"/>
                <w:szCs w:val="16"/>
              </w:rPr>
            </w:pPr>
            <w:r w:rsidRPr="005F120D">
              <w:rPr>
                <w:rFonts w:asciiTheme="minorHAnsi" w:hAnsiTheme="minorHAnsi" w:cstheme="minorHAnsi"/>
                <w:i/>
                <w:sz w:val="16"/>
                <w:szCs w:val="16"/>
              </w:rPr>
              <w:t>30%</w:t>
            </w:r>
          </w:p>
        </w:tc>
      </w:tr>
      <w:tr w:rsidR="00997048" w:rsidRPr="005F120D" w:rsidTr="00997048">
        <w:trPr>
          <w:trHeight w:val="240"/>
          <w:jc w:val="right"/>
        </w:trPr>
        <w:tc>
          <w:tcPr>
            <w:tcW w:w="844" w:type="pct"/>
            <w:shd w:val="clear" w:color="auto" w:fill="EAF1DD" w:themeFill="accent3" w:themeFillTint="33"/>
            <w:noWrap/>
            <w:hideMark/>
          </w:tcPr>
          <w:p w:rsidR="004B40D5" w:rsidRPr="005F120D" w:rsidRDefault="004B40D5" w:rsidP="00936D9E">
            <w:pPr>
              <w:pStyle w:val="NoSpacing"/>
              <w:rPr>
                <w:rFonts w:asciiTheme="minorHAnsi" w:hAnsiTheme="minorHAnsi" w:cstheme="minorHAnsi"/>
                <w:sz w:val="16"/>
                <w:szCs w:val="16"/>
                <w:lang w:eastAsia="ja-JP"/>
              </w:rPr>
            </w:pPr>
            <w:r w:rsidRPr="005F120D">
              <w:rPr>
                <w:rFonts w:asciiTheme="minorHAnsi" w:hAnsiTheme="minorHAnsi" w:cstheme="minorHAnsi"/>
                <w:sz w:val="16"/>
                <w:szCs w:val="16"/>
                <w:lang w:eastAsia="ja-JP"/>
              </w:rPr>
              <w:t>Participation &amp; Disparity</w:t>
            </w:r>
          </w:p>
        </w:tc>
        <w:tc>
          <w:tcPr>
            <w:tcW w:w="392" w:type="pct"/>
            <w:shd w:val="clear" w:color="auto" w:fill="EAF1DD" w:themeFill="accent3" w:themeFillTint="33"/>
            <w:noWrap/>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1,912</w:t>
            </w:r>
          </w:p>
        </w:tc>
        <w:tc>
          <w:tcPr>
            <w:tcW w:w="345"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1,529</w:t>
            </w:r>
          </w:p>
        </w:tc>
        <w:tc>
          <w:tcPr>
            <w:tcW w:w="368"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i/>
                <w:sz w:val="16"/>
                <w:szCs w:val="16"/>
              </w:rPr>
            </w:pPr>
            <w:r w:rsidRPr="005F120D">
              <w:rPr>
                <w:rFonts w:asciiTheme="minorHAnsi" w:hAnsiTheme="minorHAnsi" w:cstheme="minorHAnsi"/>
                <w:i/>
                <w:sz w:val="16"/>
                <w:szCs w:val="16"/>
              </w:rPr>
              <w:t>80%</w:t>
            </w:r>
          </w:p>
        </w:tc>
        <w:tc>
          <w:tcPr>
            <w:tcW w:w="423"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2,323</w:t>
            </w:r>
          </w:p>
        </w:tc>
        <w:tc>
          <w:tcPr>
            <w:tcW w:w="423"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2,154</w:t>
            </w:r>
          </w:p>
        </w:tc>
        <w:tc>
          <w:tcPr>
            <w:tcW w:w="306"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1,239</w:t>
            </w:r>
          </w:p>
        </w:tc>
        <w:tc>
          <w:tcPr>
            <w:tcW w:w="315"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58%</w:t>
            </w:r>
          </w:p>
        </w:tc>
        <w:tc>
          <w:tcPr>
            <w:tcW w:w="416"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eastAsia="Calibri" w:hAnsiTheme="minorHAnsi" w:cstheme="minorHAnsi"/>
                <w:sz w:val="16"/>
                <w:szCs w:val="16"/>
              </w:rPr>
              <w:t>2,669</w:t>
            </w:r>
          </w:p>
        </w:tc>
        <w:tc>
          <w:tcPr>
            <w:tcW w:w="586"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1,285</w:t>
            </w:r>
          </w:p>
        </w:tc>
        <w:tc>
          <w:tcPr>
            <w:tcW w:w="582"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i/>
                <w:sz w:val="16"/>
                <w:szCs w:val="16"/>
              </w:rPr>
            </w:pPr>
            <w:r w:rsidRPr="005F120D">
              <w:rPr>
                <w:rFonts w:asciiTheme="minorHAnsi" w:hAnsiTheme="minorHAnsi" w:cstheme="minorHAnsi"/>
                <w:i/>
                <w:sz w:val="16"/>
                <w:szCs w:val="16"/>
              </w:rPr>
              <w:t>48%</w:t>
            </w:r>
          </w:p>
        </w:tc>
      </w:tr>
      <w:tr w:rsidR="00997048" w:rsidRPr="005F120D" w:rsidTr="00997048">
        <w:trPr>
          <w:trHeight w:val="240"/>
          <w:jc w:val="right"/>
        </w:trPr>
        <w:tc>
          <w:tcPr>
            <w:tcW w:w="844" w:type="pct"/>
            <w:tcBorders>
              <w:bottom w:val="single" w:sz="4" w:space="0" w:color="auto"/>
            </w:tcBorders>
            <w:shd w:val="clear" w:color="auto" w:fill="auto"/>
            <w:noWrap/>
            <w:hideMark/>
          </w:tcPr>
          <w:p w:rsidR="004B40D5" w:rsidRPr="005F120D" w:rsidRDefault="004B40D5" w:rsidP="00936D9E">
            <w:pPr>
              <w:pStyle w:val="NoSpacing"/>
              <w:rPr>
                <w:rFonts w:asciiTheme="minorHAnsi" w:hAnsiTheme="minorHAnsi" w:cstheme="minorHAnsi"/>
                <w:sz w:val="16"/>
                <w:szCs w:val="16"/>
                <w:lang w:eastAsia="ja-JP"/>
              </w:rPr>
            </w:pPr>
            <w:r w:rsidRPr="005F120D">
              <w:rPr>
                <w:rFonts w:asciiTheme="minorHAnsi" w:hAnsiTheme="minorHAnsi" w:cstheme="minorHAnsi"/>
                <w:sz w:val="16"/>
                <w:szCs w:val="16"/>
                <w:lang w:eastAsia="ja-JP"/>
              </w:rPr>
              <w:t>Decentralization &amp; Effectiveness</w:t>
            </w:r>
          </w:p>
        </w:tc>
        <w:tc>
          <w:tcPr>
            <w:tcW w:w="392" w:type="pct"/>
            <w:tcBorders>
              <w:bottom w:val="single" w:sz="4" w:space="0" w:color="auto"/>
            </w:tcBorders>
            <w:shd w:val="clear" w:color="auto" w:fill="auto"/>
            <w:noWrap/>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229</w:t>
            </w:r>
          </w:p>
        </w:tc>
        <w:tc>
          <w:tcPr>
            <w:tcW w:w="345"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141</w:t>
            </w:r>
          </w:p>
        </w:tc>
        <w:tc>
          <w:tcPr>
            <w:tcW w:w="368"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i/>
                <w:sz w:val="16"/>
                <w:szCs w:val="16"/>
              </w:rPr>
            </w:pPr>
            <w:r w:rsidRPr="005F120D">
              <w:rPr>
                <w:rFonts w:asciiTheme="minorHAnsi" w:hAnsiTheme="minorHAnsi" w:cstheme="minorHAnsi"/>
                <w:i/>
                <w:sz w:val="16"/>
                <w:szCs w:val="16"/>
              </w:rPr>
              <w:t>62%</w:t>
            </w:r>
          </w:p>
        </w:tc>
        <w:tc>
          <w:tcPr>
            <w:tcW w:w="423"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372</w:t>
            </w:r>
          </w:p>
        </w:tc>
        <w:tc>
          <w:tcPr>
            <w:tcW w:w="423"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256</w:t>
            </w:r>
          </w:p>
        </w:tc>
        <w:tc>
          <w:tcPr>
            <w:tcW w:w="306"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90</w:t>
            </w:r>
          </w:p>
        </w:tc>
        <w:tc>
          <w:tcPr>
            <w:tcW w:w="315"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35%</w:t>
            </w:r>
          </w:p>
        </w:tc>
        <w:tc>
          <w:tcPr>
            <w:tcW w:w="416"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eastAsia="Calibri" w:hAnsiTheme="minorHAnsi" w:cstheme="minorHAnsi"/>
                <w:sz w:val="16"/>
                <w:szCs w:val="16"/>
              </w:rPr>
              <w:t>464</w:t>
            </w:r>
          </w:p>
        </w:tc>
        <w:tc>
          <w:tcPr>
            <w:tcW w:w="586"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eastAsia="Calibri" w:hAnsiTheme="minorHAnsi" w:cstheme="minorHAnsi"/>
                <w:sz w:val="16"/>
                <w:szCs w:val="16"/>
              </w:rPr>
              <w:t>206</w:t>
            </w:r>
          </w:p>
        </w:tc>
        <w:tc>
          <w:tcPr>
            <w:tcW w:w="582"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i/>
                <w:sz w:val="16"/>
                <w:szCs w:val="16"/>
              </w:rPr>
            </w:pPr>
            <w:r w:rsidRPr="005F120D">
              <w:rPr>
                <w:rFonts w:asciiTheme="minorHAnsi" w:hAnsiTheme="minorHAnsi" w:cstheme="minorHAnsi"/>
                <w:i/>
                <w:sz w:val="16"/>
                <w:szCs w:val="16"/>
              </w:rPr>
              <w:t>44%</w:t>
            </w:r>
          </w:p>
        </w:tc>
      </w:tr>
      <w:tr w:rsidR="00997048" w:rsidRPr="005F120D" w:rsidTr="00997048">
        <w:trPr>
          <w:trHeight w:val="240"/>
          <w:jc w:val="right"/>
        </w:trPr>
        <w:tc>
          <w:tcPr>
            <w:tcW w:w="844" w:type="pct"/>
            <w:shd w:val="clear" w:color="auto" w:fill="EAF1DD" w:themeFill="accent3" w:themeFillTint="33"/>
            <w:noWrap/>
            <w:hideMark/>
          </w:tcPr>
          <w:p w:rsidR="004B40D5" w:rsidRPr="005F120D" w:rsidRDefault="004B40D5" w:rsidP="00936D9E">
            <w:pPr>
              <w:pStyle w:val="NoSpacing"/>
              <w:rPr>
                <w:rFonts w:asciiTheme="minorHAnsi" w:hAnsiTheme="minorHAnsi" w:cstheme="minorHAnsi"/>
                <w:sz w:val="16"/>
                <w:szCs w:val="16"/>
                <w:lang w:eastAsia="ja-JP"/>
              </w:rPr>
            </w:pPr>
            <w:r w:rsidRPr="005F120D">
              <w:rPr>
                <w:rFonts w:asciiTheme="minorHAnsi" w:hAnsiTheme="minorHAnsi" w:cstheme="minorHAnsi"/>
                <w:sz w:val="16"/>
                <w:szCs w:val="16"/>
                <w:lang w:eastAsia="ja-JP"/>
              </w:rPr>
              <w:t>Planning and management</w:t>
            </w:r>
          </w:p>
        </w:tc>
        <w:tc>
          <w:tcPr>
            <w:tcW w:w="392" w:type="pct"/>
            <w:shd w:val="clear" w:color="auto" w:fill="EAF1DD" w:themeFill="accent3" w:themeFillTint="33"/>
            <w:noWrap/>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45</w:t>
            </w:r>
          </w:p>
        </w:tc>
        <w:tc>
          <w:tcPr>
            <w:tcW w:w="345"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18</w:t>
            </w:r>
          </w:p>
        </w:tc>
        <w:tc>
          <w:tcPr>
            <w:tcW w:w="368"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i/>
                <w:sz w:val="16"/>
                <w:szCs w:val="16"/>
              </w:rPr>
            </w:pPr>
            <w:r w:rsidRPr="005F120D">
              <w:rPr>
                <w:rFonts w:asciiTheme="minorHAnsi" w:hAnsiTheme="minorHAnsi" w:cstheme="minorHAnsi"/>
                <w:i/>
                <w:sz w:val="16"/>
                <w:szCs w:val="16"/>
              </w:rPr>
              <w:t>40%</w:t>
            </w:r>
          </w:p>
        </w:tc>
        <w:tc>
          <w:tcPr>
            <w:tcW w:w="423"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101</w:t>
            </w:r>
          </w:p>
        </w:tc>
        <w:tc>
          <w:tcPr>
            <w:tcW w:w="423"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54</w:t>
            </w:r>
          </w:p>
        </w:tc>
        <w:tc>
          <w:tcPr>
            <w:tcW w:w="306"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18</w:t>
            </w:r>
          </w:p>
        </w:tc>
        <w:tc>
          <w:tcPr>
            <w:tcW w:w="315"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33%</w:t>
            </w:r>
          </w:p>
        </w:tc>
        <w:tc>
          <w:tcPr>
            <w:tcW w:w="416"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93</w:t>
            </w:r>
          </w:p>
        </w:tc>
        <w:tc>
          <w:tcPr>
            <w:tcW w:w="586"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eastAsia="Calibri" w:hAnsiTheme="minorHAnsi" w:cstheme="minorHAnsi"/>
                <w:sz w:val="16"/>
                <w:szCs w:val="16"/>
              </w:rPr>
              <w:t>28</w:t>
            </w:r>
          </w:p>
        </w:tc>
        <w:tc>
          <w:tcPr>
            <w:tcW w:w="582"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i/>
                <w:sz w:val="16"/>
                <w:szCs w:val="16"/>
              </w:rPr>
            </w:pPr>
            <w:r w:rsidRPr="005F120D">
              <w:rPr>
                <w:rFonts w:asciiTheme="minorHAnsi" w:hAnsiTheme="minorHAnsi" w:cstheme="minorHAnsi"/>
                <w:i/>
                <w:sz w:val="16"/>
                <w:szCs w:val="16"/>
              </w:rPr>
              <w:t>30%</w:t>
            </w:r>
          </w:p>
        </w:tc>
      </w:tr>
      <w:tr w:rsidR="00997048" w:rsidRPr="005F120D" w:rsidTr="00997048">
        <w:trPr>
          <w:trHeight w:val="240"/>
          <w:jc w:val="right"/>
        </w:trPr>
        <w:tc>
          <w:tcPr>
            <w:tcW w:w="844" w:type="pct"/>
            <w:tcBorders>
              <w:bottom w:val="single" w:sz="4" w:space="0" w:color="auto"/>
            </w:tcBorders>
            <w:shd w:val="clear" w:color="auto" w:fill="auto"/>
            <w:noWrap/>
            <w:hideMark/>
          </w:tcPr>
          <w:p w:rsidR="004B40D5" w:rsidRPr="005F120D" w:rsidRDefault="004B40D5" w:rsidP="00936D9E">
            <w:pPr>
              <w:pStyle w:val="NoSpacing"/>
              <w:rPr>
                <w:rFonts w:asciiTheme="minorHAnsi" w:hAnsiTheme="minorHAnsi" w:cstheme="minorHAnsi"/>
                <w:i/>
                <w:iCs/>
                <w:sz w:val="16"/>
                <w:szCs w:val="16"/>
                <w:lang w:eastAsia="ja-JP"/>
              </w:rPr>
            </w:pPr>
            <w:r w:rsidRPr="005F120D">
              <w:rPr>
                <w:rFonts w:asciiTheme="minorHAnsi" w:hAnsiTheme="minorHAnsi" w:cstheme="minorHAnsi"/>
                <w:i/>
                <w:iCs/>
                <w:sz w:val="16"/>
                <w:szCs w:val="16"/>
                <w:lang w:eastAsia="ja-JP"/>
              </w:rPr>
              <w:t>Contingency/ CDVAT</w:t>
            </w:r>
          </w:p>
        </w:tc>
        <w:tc>
          <w:tcPr>
            <w:tcW w:w="392" w:type="pct"/>
            <w:tcBorders>
              <w:bottom w:val="single" w:sz="4" w:space="0" w:color="auto"/>
            </w:tcBorders>
            <w:shd w:val="clear" w:color="auto" w:fill="auto"/>
            <w:noWrap/>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20</w:t>
            </w:r>
          </w:p>
        </w:tc>
        <w:tc>
          <w:tcPr>
            <w:tcW w:w="345"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368"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i/>
                <w:sz w:val="16"/>
                <w:szCs w:val="16"/>
              </w:rPr>
            </w:pPr>
            <w:r w:rsidRPr="005F120D">
              <w:rPr>
                <w:rFonts w:asciiTheme="minorHAnsi" w:hAnsiTheme="minorHAnsi" w:cstheme="minorHAnsi"/>
                <w:i/>
                <w:sz w:val="16"/>
                <w:szCs w:val="16"/>
              </w:rPr>
              <w:t>0%</w:t>
            </w:r>
          </w:p>
        </w:tc>
        <w:tc>
          <w:tcPr>
            <w:tcW w:w="423"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20</w:t>
            </w:r>
          </w:p>
        </w:tc>
        <w:tc>
          <w:tcPr>
            <w:tcW w:w="423"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20</w:t>
            </w:r>
          </w:p>
        </w:tc>
        <w:tc>
          <w:tcPr>
            <w:tcW w:w="306"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315"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w:t>
            </w:r>
          </w:p>
        </w:tc>
        <w:tc>
          <w:tcPr>
            <w:tcW w:w="416"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bCs/>
                <w:sz w:val="16"/>
                <w:szCs w:val="16"/>
              </w:rPr>
            </w:pPr>
            <w:r w:rsidRPr="005F120D">
              <w:rPr>
                <w:rFonts w:asciiTheme="minorHAnsi" w:hAnsiTheme="minorHAnsi" w:cstheme="minorHAnsi"/>
                <w:bCs/>
                <w:sz w:val="16"/>
                <w:szCs w:val="16"/>
              </w:rPr>
              <w:t>30</w:t>
            </w:r>
          </w:p>
        </w:tc>
        <w:tc>
          <w:tcPr>
            <w:tcW w:w="586"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sz w:val="16"/>
                <w:szCs w:val="16"/>
              </w:rPr>
            </w:pPr>
            <w:r w:rsidRPr="005F120D">
              <w:rPr>
                <w:rFonts w:asciiTheme="minorHAnsi" w:hAnsiTheme="minorHAnsi" w:cstheme="minorHAnsi"/>
                <w:sz w:val="16"/>
                <w:szCs w:val="16"/>
              </w:rPr>
              <w:t>26</w:t>
            </w:r>
          </w:p>
        </w:tc>
        <w:tc>
          <w:tcPr>
            <w:tcW w:w="582" w:type="pct"/>
            <w:tcBorders>
              <w:bottom w:val="single" w:sz="4" w:space="0" w:color="auto"/>
            </w:tcBorders>
            <w:vAlign w:val="center"/>
          </w:tcPr>
          <w:p w:rsidR="004B40D5" w:rsidRPr="005F120D" w:rsidRDefault="004B40D5" w:rsidP="00936D9E">
            <w:pPr>
              <w:spacing w:after="0"/>
              <w:jc w:val="center"/>
              <w:rPr>
                <w:rFonts w:asciiTheme="minorHAnsi" w:hAnsiTheme="minorHAnsi" w:cstheme="minorHAnsi"/>
                <w:i/>
                <w:sz w:val="16"/>
                <w:szCs w:val="16"/>
              </w:rPr>
            </w:pPr>
            <w:r w:rsidRPr="005F120D">
              <w:rPr>
                <w:rFonts w:asciiTheme="minorHAnsi" w:hAnsiTheme="minorHAnsi" w:cstheme="minorHAnsi"/>
                <w:i/>
                <w:sz w:val="16"/>
                <w:szCs w:val="16"/>
              </w:rPr>
              <w:t>86%</w:t>
            </w:r>
          </w:p>
        </w:tc>
      </w:tr>
      <w:tr w:rsidR="00997048" w:rsidRPr="005F120D" w:rsidTr="00997048">
        <w:trPr>
          <w:trHeight w:val="240"/>
          <w:jc w:val="right"/>
        </w:trPr>
        <w:tc>
          <w:tcPr>
            <w:tcW w:w="844" w:type="pct"/>
            <w:shd w:val="clear" w:color="auto" w:fill="EAF1DD" w:themeFill="accent3" w:themeFillTint="33"/>
            <w:noWrap/>
            <w:vAlign w:val="center"/>
            <w:hideMark/>
          </w:tcPr>
          <w:p w:rsidR="004B40D5" w:rsidRPr="005F120D" w:rsidRDefault="004B40D5" w:rsidP="00936D9E">
            <w:pPr>
              <w:pStyle w:val="NoSpacing"/>
              <w:jc w:val="center"/>
              <w:rPr>
                <w:rFonts w:asciiTheme="minorHAnsi" w:hAnsiTheme="minorHAnsi" w:cstheme="minorHAnsi"/>
                <w:b/>
                <w:sz w:val="16"/>
                <w:szCs w:val="16"/>
                <w:lang w:eastAsia="ja-JP"/>
              </w:rPr>
            </w:pPr>
            <w:r w:rsidRPr="005F120D">
              <w:rPr>
                <w:rFonts w:asciiTheme="minorHAnsi" w:hAnsiTheme="minorHAnsi" w:cstheme="minorHAnsi"/>
                <w:b/>
                <w:sz w:val="16"/>
                <w:szCs w:val="16"/>
                <w:lang w:eastAsia="ja-JP"/>
              </w:rPr>
              <w:t>Total</w:t>
            </w:r>
          </w:p>
        </w:tc>
        <w:tc>
          <w:tcPr>
            <w:tcW w:w="392" w:type="pct"/>
            <w:shd w:val="clear" w:color="auto" w:fill="EAF1DD" w:themeFill="accent3" w:themeFillTint="33"/>
            <w:noWrap/>
            <w:vAlign w:val="center"/>
          </w:tcPr>
          <w:p w:rsidR="004B40D5" w:rsidRPr="005F120D" w:rsidRDefault="004B40D5" w:rsidP="00936D9E">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2,673</w:t>
            </w:r>
          </w:p>
        </w:tc>
        <w:tc>
          <w:tcPr>
            <w:tcW w:w="345"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1,836</w:t>
            </w:r>
          </w:p>
        </w:tc>
        <w:tc>
          <w:tcPr>
            <w:tcW w:w="368"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
                <w:i/>
                <w:sz w:val="16"/>
                <w:szCs w:val="16"/>
              </w:rPr>
            </w:pPr>
            <w:r w:rsidRPr="005F120D">
              <w:rPr>
                <w:rFonts w:asciiTheme="minorHAnsi" w:hAnsiTheme="minorHAnsi" w:cstheme="minorHAnsi"/>
                <w:b/>
                <w:i/>
                <w:sz w:val="16"/>
                <w:szCs w:val="16"/>
              </w:rPr>
              <w:t>69%</w:t>
            </w:r>
          </w:p>
        </w:tc>
        <w:tc>
          <w:tcPr>
            <w:tcW w:w="423" w:type="pct"/>
            <w:shd w:val="clear" w:color="auto" w:fill="EAF1DD" w:themeFill="accent3" w:themeFillTint="33"/>
            <w:vAlign w:val="center"/>
          </w:tcPr>
          <w:p w:rsidR="004B40D5" w:rsidRPr="005F120D" w:rsidRDefault="004B40D5" w:rsidP="00936D9E">
            <w:pPr>
              <w:spacing w:after="0"/>
              <w:rPr>
                <w:rFonts w:asciiTheme="minorHAnsi" w:hAnsiTheme="minorHAnsi" w:cstheme="minorHAnsi"/>
                <w:b/>
                <w:bCs/>
                <w:sz w:val="16"/>
                <w:szCs w:val="16"/>
              </w:rPr>
            </w:pPr>
            <w:r w:rsidRPr="005F120D">
              <w:rPr>
                <w:rFonts w:asciiTheme="minorHAnsi" w:hAnsiTheme="minorHAnsi" w:cstheme="minorHAnsi"/>
                <w:b/>
                <w:bCs/>
                <w:sz w:val="16"/>
                <w:szCs w:val="16"/>
              </w:rPr>
              <w:t>3,400</w:t>
            </w:r>
          </w:p>
        </w:tc>
        <w:tc>
          <w:tcPr>
            <w:tcW w:w="423"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2,846</w:t>
            </w:r>
          </w:p>
        </w:tc>
        <w:tc>
          <w:tcPr>
            <w:tcW w:w="306"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1,436</w:t>
            </w:r>
          </w:p>
        </w:tc>
        <w:tc>
          <w:tcPr>
            <w:tcW w:w="315"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51%</w:t>
            </w:r>
          </w:p>
        </w:tc>
        <w:tc>
          <w:tcPr>
            <w:tcW w:w="416"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
                <w:bCs/>
                <w:sz w:val="16"/>
                <w:szCs w:val="16"/>
              </w:rPr>
            </w:pPr>
            <w:r w:rsidRPr="005F120D">
              <w:rPr>
                <w:rFonts w:asciiTheme="minorHAnsi" w:hAnsiTheme="minorHAnsi" w:cstheme="minorHAnsi"/>
                <w:b/>
                <w:bCs/>
                <w:sz w:val="16"/>
                <w:szCs w:val="16"/>
              </w:rPr>
              <w:t>3,740</w:t>
            </w:r>
          </w:p>
        </w:tc>
        <w:tc>
          <w:tcPr>
            <w:tcW w:w="586"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
                <w:sz w:val="16"/>
                <w:szCs w:val="16"/>
              </w:rPr>
            </w:pPr>
            <w:r w:rsidRPr="005F120D">
              <w:rPr>
                <w:rFonts w:asciiTheme="minorHAnsi" w:hAnsiTheme="minorHAnsi" w:cstheme="minorHAnsi"/>
                <w:b/>
                <w:sz w:val="16"/>
                <w:szCs w:val="16"/>
              </w:rPr>
              <w:t>1,687</w:t>
            </w:r>
          </w:p>
        </w:tc>
        <w:tc>
          <w:tcPr>
            <w:tcW w:w="582" w:type="pct"/>
            <w:shd w:val="clear" w:color="auto" w:fill="EAF1DD" w:themeFill="accent3" w:themeFillTint="33"/>
            <w:vAlign w:val="center"/>
          </w:tcPr>
          <w:p w:rsidR="004B40D5" w:rsidRPr="005F120D" w:rsidRDefault="004B40D5" w:rsidP="00936D9E">
            <w:pPr>
              <w:spacing w:after="0"/>
              <w:jc w:val="center"/>
              <w:rPr>
                <w:rFonts w:asciiTheme="minorHAnsi" w:hAnsiTheme="minorHAnsi" w:cstheme="minorHAnsi"/>
                <w:b/>
                <w:i/>
                <w:sz w:val="16"/>
                <w:szCs w:val="16"/>
              </w:rPr>
            </w:pPr>
            <w:r w:rsidRPr="005F120D">
              <w:rPr>
                <w:rFonts w:asciiTheme="minorHAnsi" w:hAnsiTheme="minorHAnsi" w:cstheme="minorHAnsi"/>
                <w:b/>
                <w:i/>
                <w:sz w:val="16"/>
                <w:szCs w:val="16"/>
              </w:rPr>
              <w:t>45%</w:t>
            </w:r>
          </w:p>
        </w:tc>
      </w:tr>
    </w:tbl>
    <w:p w:rsidR="00AD3D4F" w:rsidRPr="005F120D" w:rsidRDefault="001E00CE" w:rsidP="00C437AA">
      <w:pPr>
        <w:spacing w:after="0" w:line="276" w:lineRule="auto"/>
        <w:rPr>
          <w:rFonts w:asciiTheme="minorHAnsi" w:hAnsiTheme="minorHAnsi" w:cstheme="minorHAnsi"/>
          <w:b/>
          <w:i/>
          <w:sz w:val="16"/>
          <w:szCs w:val="16"/>
        </w:rPr>
      </w:pPr>
      <w:r w:rsidRPr="005F120D">
        <w:rPr>
          <w:rFonts w:asciiTheme="minorHAnsi" w:hAnsiTheme="minorHAnsi" w:cstheme="minorHAnsi"/>
          <w:b/>
          <w:i/>
          <w:sz w:val="16"/>
          <w:szCs w:val="16"/>
        </w:rPr>
        <w:t>Sources: Revise</w:t>
      </w:r>
      <w:r w:rsidR="009B7C53" w:rsidRPr="005F120D">
        <w:rPr>
          <w:rFonts w:asciiTheme="minorHAnsi" w:hAnsiTheme="minorHAnsi" w:cstheme="minorHAnsi"/>
          <w:b/>
          <w:i/>
          <w:sz w:val="16"/>
          <w:szCs w:val="16"/>
        </w:rPr>
        <w:t>d AOP PED</w:t>
      </w:r>
      <w:r w:rsidR="00275F00" w:rsidRPr="005F120D">
        <w:rPr>
          <w:rFonts w:asciiTheme="minorHAnsi" w:hAnsiTheme="minorHAnsi" w:cstheme="minorHAnsi"/>
          <w:b/>
          <w:i/>
          <w:sz w:val="16"/>
          <w:szCs w:val="16"/>
        </w:rPr>
        <w:t>P3 (original/revised budget 2013-43 to 2015</w:t>
      </w:r>
      <w:r w:rsidR="009B7C53" w:rsidRPr="005F120D">
        <w:rPr>
          <w:rFonts w:asciiTheme="minorHAnsi" w:hAnsiTheme="minorHAnsi" w:cstheme="minorHAnsi"/>
          <w:b/>
          <w:i/>
          <w:sz w:val="16"/>
          <w:szCs w:val="16"/>
        </w:rPr>
        <w:t>/</w:t>
      </w:r>
      <w:r w:rsidR="00275F00" w:rsidRPr="005F120D">
        <w:rPr>
          <w:rFonts w:asciiTheme="minorHAnsi" w:hAnsiTheme="minorHAnsi" w:cstheme="minorHAnsi"/>
          <w:b/>
          <w:i/>
          <w:sz w:val="16"/>
          <w:szCs w:val="16"/>
        </w:rPr>
        <w:t>16</w:t>
      </w:r>
      <w:r w:rsidRPr="005F120D">
        <w:rPr>
          <w:rFonts w:asciiTheme="minorHAnsi" w:hAnsiTheme="minorHAnsi" w:cstheme="minorHAnsi"/>
          <w:b/>
          <w:i/>
          <w:sz w:val="16"/>
          <w:szCs w:val="16"/>
        </w:rPr>
        <w:t>)</w:t>
      </w:r>
      <w:r w:rsidR="001D20EE" w:rsidRPr="005F120D">
        <w:rPr>
          <w:rFonts w:asciiTheme="minorHAnsi" w:hAnsiTheme="minorHAnsi" w:cstheme="minorHAnsi"/>
          <w:b/>
          <w:i/>
          <w:sz w:val="16"/>
          <w:szCs w:val="16"/>
        </w:rPr>
        <w:t xml:space="preserve">. </w:t>
      </w:r>
      <w:r w:rsidR="00AD3D4F" w:rsidRPr="005F120D">
        <w:rPr>
          <w:rFonts w:asciiTheme="minorHAnsi" w:hAnsiTheme="minorHAnsi" w:cstheme="minorHAnsi"/>
          <w:b/>
          <w:i/>
          <w:sz w:val="16"/>
          <w:szCs w:val="16"/>
        </w:rPr>
        <w:t>Sources: Revised AOP PEDP3 (original/revised budget 2013-43 to 2015/16)</w:t>
      </w:r>
    </w:p>
    <w:p w:rsidR="00997048" w:rsidRPr="005F120D" w:rsidRDefault="0025109C" w:rsidP="0025109C">
      <w:pPr>
        <w:spacing w:before="120" w:after="120" w:line="276" w:lineRule="auto"/>
        <w:jc w:val="both"/>
        <w:rPr>
          <w:rFonts w:asciiTheme="minorHAnsi" w:hAnsiTheme="minorHAnsi" w:cstheme="minorHAnsi"/>
          <w:szCs w:val="22"/>
        </w:rPr>
      </w:pPr>
      <w:bookmarkStart w:id="591" w:name="_Toc385419615"/>
      <w:r w:rsidRPr="005F120D">
        <w:rPr>
          <w:rFonts w:asciiTheme="minorHAnsi" w:hAnsiTheme="minorHAnsi" w:cstheme="minorHAnsi"/>
          <w:b/>
          <w:i/>
          <w:szCs w:val="22"/>
        </w:rPr>
        <w:t xml:space="preserve">AOP Revision: </w:t>
      </w:r>
      <w:r w:rsidRPr="005F120D">
        <w:rPr>
          <w:rFonts w:asciiTheme="minorHAnsi" w:hAnsiTheme="minorHAnsi" w:cstheme="minorHAnsi"/>
          <w:szCs w:val="22"/>
        </w:rPr>
        <w:t xml:space="preserve">The AOP 2015/16 budget revision was in preparation during the writing of this report. In the mid-year of PEDP3 - 2014/15, the budget revision was very modest and was cut about 16%.  At the component level however, all components had a substantial budget cut.  Component 4, Planning/Management, was affected the most, losing 47%; followed by Component 1 Teaching and Learning by 38%; Component 3, Decentralization and Effectiveness, was cut by 31%; and Component 2 </w:t>
      </w:r>
      <w:r w:rsidRPr="005F120D">
        <w:rPr>
          <w:rFonts w:asciiTheme="minorHAnsi" w:hAnsiTheme="minorHAnsi" w:cstheme="minorHAnsi"/>
          <w:szCs w:val="22"/>
          <w:lang w:eastAsia="ja-JP"/>
        </w:rPr>
        <w:t>Participation and Disparities</w:t>
      </w:r>
      <w:r w:rsidRPr="005F120D">
        <w:rPr>
          <w:rFonts w:asciiTheme="minorHAnsi" w:hAnsiTheme="minorHAnsi" w:cstheme="minorHAnsi"/>
          <w:szCs w:val="22"/>
        </w:rPr>
        <w:t xml:space="preserve"> by 7%</w:t>
      </w:r>
      <w:r w:rsidR="009811E9" w:rsidRPr="005F120D">
        <w:rPr>
          <w:rFonts w:asciiTheme="minorHAnsi" w:hAnsiTheme="minorHAnsi" w:cstheme="minorHAnsi"/>
          <w:szCs w:val="22"/>
        </w:rPr>
        <w:t>.</w:t>
      </w:r>
    </w:p>
    <w:p w:rsidR="0074414F" w:rsidRPr="005F120D" w:rsidRDefault="0074414F" w:rsidP="0025109C">
      <w:pPr>
        <w:spacing w:before="120" w:after="120" w:line="276" w:lineRule="auto"/>
        <w:jc w:val="both"/>
        <w:rPr>
          <w:rFonts w:asciiTheme="minorHAnsi" w:hAnsiTheme="minorHAnsi" w:cstheme="minorHAnsi"/>
          <w:szCs w:val="22"/>
        </w:rPr>
      </w:pPr>
    </w:p>
    <w:p w:rsidR="0074414F" w:rsidRPr="005F120D" w:rsidRDefault="0074414F" w:rsidP="0025109C">
      <w:pPr>
        <w:spacing w:before="120" w:after="120" w:line="276" w:lineRule="auto"/>
        <w:jc w:val="both"/>
        <w:rPr>
          <w:rFonts w:asciiTheme="minorHAnsi" w:hAnsiTheme="minorHAnsi" w:cstheme="minorHAnsi"/>
          <w:szCs w:val="22"/>
        </w:rPr>
      </w:pPr>
    </w:p>
    <w:p w:rsidR="0074414F" w:rsidRPr="005F120D" w:rsidRDefault="0074414F" w:rsidP="0025109C">
      <w:pPr>
        <w:spacing w:before="120" w:after="120" w:line="276" w:lineRule="auto"/>
        <w:jc w:val="both"/>
        <w:rPr>
          <w:rFonts w:asciiTheme="minorHAnsi" w:hAnsiTheme="minorHAnsi" w:cstheme="minorHAnsi"/>
          <w:szCs w:val="22"/>
        </w:rPr>
      </w:pPr>
    </w:p>
    <w:p w:rsidR="00332BB3" w:rsidRPr="005F120D" w:rsidRDefault="00332BB3" w:rsidP="00B25E46">
      <w:pPr>
        <w:pStyle w:val="Caption"/>
        <w:spacing w:after="0" w:line="276" w:lineRule="auto"/>
        <w:rPr>
          <w:rFonts w:cstheme="minorHAnsi"/>
        </w:rPr>
      </w:pPr>
      <w:bookmarkStart w:id="592" w:name="_Toc462837311"/>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8</w:t>
      </w:r>
      <w:r w:rsidR="002E2ED5" w:rsidRPr="005F120D">
        <w:rPr>
          <w:rFonts w:cstheme="minorHAnsi"/>
        </w:rPr>
        <w:fldChar w:fldCharType="end"/>
      </w:r>
      <w:r w:rsidRPr="005F120D">
        <w:rPr>
          <w:rFonts w:cstheme="minorHAnsi"/>
        </w:rPr>
        <w:t>:  PEDP3 Component Budget Rev</w:t>
      </w:r>
      <w:r w:rsidR="00FE0875" w:rsidRPr="005F120D">
        <w:rPr>
          <w:rFonts w:cstheme="minorHAnsi"/>
        </w:rPr>
        <w:t>ision and Execution Rate FY 2014/15</w:t>
      </w:r>
      <w:r w:rsidRPr="005F120D">
        <w:rPr>
          <w:rFonts w:cstheme="minorHAnsi"/>
        </w:rPr>
        <w:t xml:space="preserve"> (%)</w:t>
      </w:r>
      <w:bookmarkEnd w:id="591"/>
      <w:bookmarkEnd w:id="592"/>
    </w:p>
    <w:p w:rsidR="00B25050" w:rsidRPr="005F120D" w:rsidRDefault="00B25050" w:rsidP="00B25E46">
      <w:pPr>
        <w:spacing w:after="0" w:line="276" w:lineRule="auto"/>
        <w:jc w:val="right"/>
        <w:rPr>
          <w:rFonts w:asciiTheme="minorHAnsi" w:hAnsiTheme="minorHAnsi" w:cstheme="minorHAnsi"/>
          <w:b/>
          <w:sz w:val="20"/>
        </w:rPr>
      </w:pPr>
      <w:r w:rsidRPr="005F120D">
        <w:rPr>
          <w:rFonts w:asciiTheme="minorHAnsi" w:hAnsiTheme="minorHAnsi" w:cstheme="minorHAnsi"/>
          <w:b/>
          <w:sz w:val="20"/>
        </w:rPr>
        <w:t xml:space="preserve">In </w:t>
      </w:r>
      <w:r w:rsidR="00F738CE" w:rsidRPr="005F120D">
        <w:rPr>
          <w:rFonts w:asciiTheme="minorHAnsi" w:hAnsiTheme="minorHAnsi" w:cstheme="minorHAnsi"/>
          <w:b/>
          <w:sz w:val="20"/>
        </w:rPr>
        <w:t>Lac</w:t>
      </w:r>
      <w:r w:rsidRPr="005F120D">
        <w:rPr>
          <w:rFonts w:asciiTheme="minorHAnsi" w:hAnsiTheme="minorHAnsi" w:cstheme="minorHAnsi"/>
          <w:b/>
          <w:sz w:val="20"/>
        </w:rPr>
        <w:t xml:space="preserve"> Taka</w:t>
      </w:r>
    </w:p>
    <w:tbl>
      <w:tblPr>
        <w:tblStyle w:val="LightList-Accent3"/>
        <w:tblW w:w="4975" w:type="pct"/>
        <w:tblLayout w:type="fixed"/>
        <w:tblLook w:val="04A0"/>
      </w:tblPr>
      <w:tblGrid>
        <w:gridCol w:w="2990"/>
        <w:gridCol w:w="1709"/>
        <w:gridCol w:w="1711"/>
        <w:gridCol w:w="988"/>
        <w:gridCol w:w="1801"/>
      </w:tblGrid>
      <w:tr w:rsidR="0074414F" w:rsidRPr="005F120D" w:rsidTr="0074414F">
        <w:trPr>
          <w:cnfStyle w:val="100000000000"/>
          <w:trHeight w:val="511"/>
        </w:trPr>
        <w:tc>
          <w:tcPr>
            <w:cnfStyle w:val="001000000000"/>
            <w:tcW w:w="1625" w:type="pct"/>
            <w:noWrap/>
          </w:tcPr>
          <w:p w:rsidR="00A32AA2" w:rsidRPr="005F120D" w:rsidRDefault="00A32AA2" w:rsidP="0074414F">
            <w:pPr>
              <w:pStyle w:val="NoSpacing"/>
              <w:jc w:val="center"/>
              <w:rPr>
                <w:rFonts w:asciiTheme="minorHAnsi" w:hAnsiTheme="minorHAnsi" w:cstheme="minorHAnsi"/>
                <w:b w:val="0"/>
                <w:color w:val="auto"/>
                <w:lang w:eastAsia="ja-JP"/>
              </w:rPr>
            </w:pPr>
            <w:r w:rsidRPr="005F120D">
              <w:rPr>
                <w:rFonts w:asciiTheme="minorHAnsi" w:hAnsiTheme="minorHAnsi" w:cstheme="minorHAnsi"/>
                <w:b w:val="0"/>
                <w:color w:val="auto"/>
                <w:lang w:eastAsia="ja-JP"/>
              </w:rPr>
              <w:t>PEPD 3 Components</w:t>
            </w:r>
          </w:p>
        </w:tc>
        <w:tc>
          <w:tcPr>
            <w:tcW w:w="929" w:type="pct"/>
            <w:noWrap/>
          </w:tcPr>
          <w:p w:rsidR="00A32AA2" w:rsidRPr="005F120D" w:rsidRDefault="00A32AA2" w:rsidP="0074414F">
            <w:pPr>
              <w:pStyle w:val="NoSpacing"/>
              <w:jc w:val="center"/>
              <w:cnfStyle w:val="100000000000"/>
              <w:rPr>
                <w:rFonts w:asciiTheme="minorHAnsi" w:hAnsiTheme="minorHAnsi" w:cstheme="minorHAnsi"/>
                <w:b w:val="0"/>
                <w:color w:val="auto"/>
                <w:lang w:eastAsia="ja-JP"/>
              </w:rPr>
            </w:pPr>
            <w:r w:rsidRPr="005F120D">
              <w:rPr>
                <w:rFonts w:asciiTheme="minorHAnsi" w:hAnsiTheme="minorHAnsi" w:cstheme="minorHAnsi"/>
                <w:b w:val="0"/>
                <w:color w:val="auto"/>
                <w:lang w:eastAsia="ja-JP"/>
              </w:rPr>
              <w:t>Original Budget</w:t>
            </w:r>
          </w:p>
          <w:p w:rsidR="00A32AA2" w:rsidRPr="005F120D" w:rsidRDefault="00A32AA2" w:rsidP="0074414F">
            <w:pPr>
              <w:pStyle w:val="NoSpacing"/>
              <w:jc w:val="center"/>
              <w:cnfStyle w:val="100000000000"/>
              <w:rPr>
                <w:rFonts w:asciiTheme="minorHAnsi" w:hAnsiTheme="minorHAnsi" w:cstheme="minorHAnsi"/>
                <w:b w:val="0"/>
                <w:color w:val="auto"/>
                <w:lang w:eastAsia="ja-JP"/>
              </w:rPr>
            </w:pPr>
            <w:r w:rsidRPr="005F120D">
              <w:rPr>
                <w:rFonts w:asciiTheme="minorHAnsi" w:hAnsiTheme="minorHAnsi" w:cstheme="minorHAnsi"/>
                <w:b w:val="0"/>
                <w:color w:val="auto"/>
                <w:lang w:eastAsia="ja-JP"/>
              </w:rPr>
              <w:t>2014/15</w:t>
            </w:r>
          </w:p>
        </w:tc>
        <w:tc>
          <w:tcPr>
            <w:tcW w:w="930" w:type="pct"/>
            <w:noWrap/>
          </w:tcPr>
          <w:p w:rsidR="00A32AA2" w:rsidRPr="005F120D" w:rsidRDefault="00A32AA2" w:rsidP="0074414F">
            <w:pPr>
              <w:pStyle w:val="NoSpacing"/>
              <w:jc w:val="center"/>
              <w:cnfStyle w:val="100000000000"/>
              <w:rPr>
                <w:rFonts w:asciiTheme="minorHAnsi" w:hAnsiTheme="minorHAnsi" w:cstheme="minorHAnsi"/>
                <w:b w:val="0"/>
                <w:color w:val="auto"/>
                <w:lang w:eastAsia="ja-JP"/>
              </w:rPr>
            </w:pPr>
            <w:r w:rsidRPr="005F120D">
              <w:rPr>
                <w:rFonts w:asciiTheme="minorHAnsi" w:hAnsiTheme="minorHAnsi" w:cstheme="minorHAnsi"/>
                <w:b w:val="0"/>
                <w:color w:val="auto"/>
                <w:lang w:eastAsia="ja-JP"/>
              </w:rPr>
              <w:t>Revised Budget</w:t>
            </w:r>
          </w:p>
          <w:p w:rsidR="00A32AA2" w:rsidRPr="005F120D" w:rsidRDefault="00A32AA2" w:rsidP="0074414F">
            <w:pPr>
              <w:pStyle w:val="NoSpacing"/>
              <w:jc w:val="center"/>
              <w:cnfStyle w:val="100000000000"/>
              <w:rPr>
                <w:rFonts w:asciiTheme="minorHAnsi" w:hAnsiTheme="minorHAnsi" w:cstheme="minorHAnsi"/>
                <w:b w:val="0"/>
                <w:color w:val="auto"/>
                <w:lang w:eastAsia="ja-JP"/>
              </w:rPr>
            </w:pPr>
            <w:r w:rsidRPr="005F120D">
              <w:rPr>
                <w:rFonts w:asciiTheme="minorHAnsi" w:hAnsiTheme="minorHAnsi" w:cstheme="minorHAnsi"/>
                <w:b w:val="0"/>
                <w:color w:val="auto"/>
                <w:lang w:eastAsia="ja-JP"/>
              </w:rPr>
              <w:t>2014/15</w:t>
            </w:r>
          </w:p>
        </w:tc>
        <w:tc>
          <w:tcPr>
            <w:tcW w:w="537" w:type="pct"/>
            <w:noWrap/>
          </w:tcPr>
          <w:p w:rsidR="00A32AA2" w:rsidRPr="005F120D" w:rsidRDefault="00A32AA2" w:rsidP="0074414F">
            <w:pPr>
              <w:pStyle w:val="NoSpacing"/>
              <w:jc w:val="center"/>
              <w:cnfStyle w:val="100000000000"/>
              <w:rPr>
                <w:rFonts w:asciiTheme="minorHAnsi" w:hAnsiTheme="minorHAnsi" w:cstheme="minorHAnsi"/>
                <w:b w:val="0"/>
                <w:color w:val="auto"/>
                <w:lang w:eastAsia="ja-JP"/>
              </w:rPr>
            </w:pPr>
            <w:r w:rsidRPr="005F120D">
              <w:rPr>
                <w:rFonts w:asciiTheme="minorHAnsi" w:hAnsiTheme="minorHAnsi" w:cstheme="minorHAnsi"/>
                <w:b w:val="0"/>
                <w:color w:val="auto"/>
                <w:lang w:eastAsia="ja-JP"/>
              </w:rPr>
              <w:t>% change</w:t>
            </w:r>
          </w:p>
        </w:tc>
        <w:tc>
          <w:tcPr>
            <w:tcW w:w="979" w:type="pct"/>
          </w:tcPr>
          <w:p w:rsidR="00A32AA2" w:rsidRPr="005F120D" w:rsidRDefault="00A32AA2" w:rsidP="0074414F">
            <w:pPr>
              <w:pStyle w:val="NoSpacing"/>
              <w:jc w:val="center"/>
              <w:cnfStyle w:val="100000000000"/>
              <w:rPr>
                <w:rFonts w:asciiTheme="minorHAnsi" w:hAnsiTheme="minorHAnsi" w:cstheme="minorHAnsi"/>
                <w:b w:val="0"/>
                <w:color w:val="auto"/>
                <w:lang w:eastAsia="ja-JP"/>
              </w:rPr>
            </w:pPr>
            <w:r w:rsidRPr="005F120D">
              <w:rPr>
                <w:rFonts w:asciiTheme="minorHAnsi" w:hAnsiTheme="minorHAnsi" w:cstheme="minorHAnsi"/>
                <w:b w:val="0"/>
                <w:color w:val="auto"/>
                <w:lang w:eastAsia="ja-JP"/>
              </w:rPr>
              <w:t>Original Budget</w:t>
            </w:r>
          </w:p>
          <w:p w:rsidR="00A32AA2" w:rsidRPr="005F120D" w:rsidRDefault="00A32AA2" w:rsidP="0074414F">
            <w:pPr>
              <w:pStyle w:val="NoSpacing"/>
              <w:jc w:val="center"/>
              <w:cnfStyle w:val="100000000000"/>
              <w:rPr>
                <w:rFonts w:asciiTheme="minorHAnsi" w:hAnsiTheme="minorHAnsi" w:cstheme="minorHAnsi"/>
                <w:b w:val="0"/>
                <w:color w:val="auto"/>
                <w:lang w:eastAsia="ja-JP"/>
              </w:rPr>
            </w:pPr>
            <w:r w:rsidRPr="005F120D">
              <w:rPr>
                <w:rFonts w:asciiTheme="minorHAnsi" w:hAnsiTheme="minorHAnsi" w:cstheme="minorHAnsi"/>
                <w:b w:val="0"/>
                <w:color w:val="auto"/>
                <w:lang w:eastAsia="ja-JP"/>
              </w:rPr>
              <w:t>2015/16</w:t>
            </w:r>
          </w:p>
        </w:tc>
      </w:tr>
      <w:tr w:rsidR="00A32AA2" w:rsidRPr="005F120D" w:rsidTr="0074414F">
        <w:trPr>
          <w:cnfStyle w:val="000000100000"/>
          <w:trHeight w:hRule="exact" w:val="245"/>
        </w:trPr>
        <w:tc>
          <w:tcPr>
            <w:cnfStyle w:val="001000000000"/>
            <w:tcW w:w="1625" w:type="pct"/>
            <w:noWrap/>
          </w:tcPr>
          <w:p w:rsidR="00A32AA2" w:rsidRPr="005F120D" w:rsidRDefault="00A32AA2" w:rsidP="00936D9E">
            <w:pPr>
              <w:spacing w:after="0"/>
              <w:rPr>
                <w:rFonts w:asciiTheme="minorHAnsi" w:hAnsiTheme="minorHAnsi" w:cstheme="minorHAnsi"/>
                <w:b w:val="0"/>
                <w:sz w:val="20"/>
                <w:lang w:eastAsia="ja-JP"/>
              </w:rPr>
            </w:pPr>
            <w:r w:rsidRPr="005F120D">
              <w:rPr>
                <w:rFonts w:asciiTheme="minorHAnsi" w:hAnsiTheme="minorHAnsi" w:cstheme="minorHAnsi"/>
                <w:b w:val="0"/>
                <w:sz w:val="20"/>
                <w:lang w:eastAsia="ja-JP"/>
              </w:rPr>
              <w:t>I  Learning and Teaching s</w:t>
            </w:r>
          </w:p>
        </w:tc>
        <w:tc>
          <w:tcPr>
            <w:tcW w:w="929" w:type="pct"/>
            <w:noWrap/>
          </w:tcPr>
          <w:p w:rsidR="00A32AA2" w:rsidRPr="005F120D" w:rsidRDefault="00A32AA2" w:rsidP="00936D9E">
            <w:pPr>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 xml:space="preserve">    58,337 </w:t>
            </w:r>
          </w:p>
        </w:tc>
        <w:tc>
          <w:tcPr>
            <w:tcW w:w="930" w:type="pct"/>
          </w:tcPr>
          <w:p w:rsidR="00A32AA2" w:rsidRPr="005F120D" w:rsidRDefault="00A32AA2" w:rsidP="00936D9E">
            <w:pPr>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 xml:space="preserve">   36,207 </w:t>
            </w:r>
          </w:p>
        </w:tc>
        <w:tc>
          <w:tcPr>
            <w:tcW w:w="537" w:type="pct"/>
            <w:noWrap/>
          </w:tcPr>
          <w:p w:rsidR="00A32AA2" w:rsidRPr="005F120D" w:rsidRDefault="00A32AA2" w:rsidP="00936D9E">
            <w:pPr>
              <w:spacing w:after="0"/>
              <w:jc w:val="right"/>
              <w:cnfStyle w:val="000000100000"/>
              <w:rPr>
                <w:rFonts w:asciiTheme="minorHAnsi" w:hAnsiTheme="minorHAnsi" w:cstheme="minorHAnsi"/>
                <w:sz w:val="20"/>
                <w:lang w:eastAsia="ja-JP"/>
              </w:rPr>
            </w:pPr>
            <w:r w:rsidRPr="005F120D">
              <w:rPr>
                <w:rFonts w:asciiTheme="minorHAnsi" w:hAnsiTheme="minorHAnsi" w:cstheme="minorHAnsi"/>
                <w:sz w:val="20"/>
                <w:lang w:eastAsia="ja-JP"/>
              </w:rPr>
              <w:t>-38%</w:t>
            </w:r>
          </w:p>
        </w:tc>
        <w:tc>
          <w:tcPr>
            <w:tcW w:w="979" w:type="pct"/>
          </w:tcPr>
          <w:p w:rsidR="00A32AA2" w:rsidRPr="005F120D" w:rsidRDefault="00B25050" w:rsidP="00936D9E">
            <w:pPr>
              <w:spacing w:after="0"/>
              <w:jc w:val="right"/>
              <w:cnfStyle w:val="000000100000"/>
              <w:rPr>
                <w:rFonts w:asciiTheme="minorHAnsi" w:hAnsiTheme="minorHAnsi" w:cstheme="minorHAnsi"/>
                <w:sz w:val="20"/>
                <w:lang w:eastAsia="ja-JP"/>
              </w:rPr>
            </w:pPr>
            <w:r w:rsidRPr="005F120D">
              <w:rPr>
                <w:rFonts w:asciiTheme="minorHAnsi" w:hAnsiTheme="minorHAnsi" w:cstheme="minorHAnsi"/>
                <w:sz w:val="20"/>
                <w:lang w:eastAsia="ja-JP"/>
              </w:rPr>
              <w:t>48,332</w:t>
            </w:r>
          </w:p>
        </w:tc>
      </w:tr>
      <w:tr w:rsidR="00A32AA2" w:rsidRPr="005F120D" w:rsidTr="0074414F">
        <w:trPr>
          <w:trHeight w:hRule="exact" w:val="245"/>
        </w:trPr>
        <w:tc>
          <w:tcPr>
            <w:cnfStyle w:val="001000000000"/>
            <w:tcW w:w="1625" w:type="pct"/>
            <w:noWrap/>
          </w:tcPr>
          <w:p w:rsidR="00A32AA2" w:rsidRPr="005F120D" w:rsidRDefault="00A32AA2" w:rsidP="00936D9E">
            <w:pPr>
              <w:spacing w:after="0"/>
              <w:rPr>
                <w:rFonts w:asciiTheme="minorHAnsi" w:hAnsiTheme="minorHAnsi" w:cstheme="minorHAnsi"/>
                <w:b w:val="0"/>
                <w:sz w:val="20"/>
                <w:lang w:eastAsia="ja-JP"/>
              </w:rPr>
            </w:pPr>
            <w:r w:rsidRPr="005F120D">
              <w:rPr>
                <w:rFonts w:asciiTheme="minorHAnsi" w:hAnsiTheme="minorHAnsi" w:cstheme="minorHAnsi"/>
                <w:b w:val="0"/>
                <w:sz w:val="20"/>
                <w:lang w:eastAsia="ja-JP"/>
              </w:rPr>
              <w:t>II Participation and Disparities</w:t>
            </w:r>
          </w:p>
        </w:tc>
        <w:tc>
          <w:tcPr>
            <w:tcW w:w="929" w:type="pct"/>
            <w:noWrap/>
          </w:tcPr>
          <w:p w:rsidR="00A32AA2" w:rsidRPr="005F120D" w:rsidRDefault="00A32AA2" w:rsidP="00936D9E">
            <w:pPr>
              <w:jc w:val="right"/>
              <w:cnfStyle w:val="000000000000"/>
              <w:rPr>
                <w:rFonts w:asciiTheme="minorHAnsi" w:hAnsiTheme="minorHAnsi" w:cstheme="minorHAnsi"/>
                <w:bCs/>
                <w:sz w:val="18"/>
                <w:szCs w:val="18"/>
              </w:rPr>
            </w:pPr>
            <w:r w:rsidRPr="005F120D">
              <w:rPr>
                <w:rFonts w:asciiTheme="minorHAnsi" w:hAnsiTheme="minorHAnsi" w:cstheme="minorHAnsi"/>
                <w:bCs/>
                <w:sz w:val="18"/>
                <w:szCs w:val="18"/>
              </w:rPr>
              <w:t xml:space="preserve">  232,294 </w:t>
            </w:r>
          </w:p>
        </w:tc>
        <w:tc>
          <w:tcPr>
            <w:tcW w:w="930" w:type="pct"/>
          </w:tcPr>
          <w:p w:rsidR="00A32AA2" w:rsidRPr="005F120D" w:rsidRDefault="00A32AA2" w:rsidP="00936D9E">
            <w:pPr>
              <w:jc w:val="right"/>
              <w:cnfStyle w:val="000000000000"/>
              <w:rPr>
                <w:rFonts w:asciiTheme="minorHAnsi" w:hAnsiTheme="minorHAnsi" w:cstheme="minorHAnsi"/>
                <w:bCs/>
                <w:sz w:val="18"/>
                <w:szCs w:val="18"/>
              </w:rPr>
            </w:pPr>
            <w:r w:rsidRPr="005F120D">
              <w:rPr>
                <w:rFonts w:asciiTheme="minorHAnsi" w:hAnsiTheme="minorHAnsi" w:cstheme="minorHAnsi"/>
                <w:bCs/>
                <w:sz w:val="18"/>
                <w:szCs w:val="18"/>
              </w:rPr>
              <w:t xml:space="preserve"> 215,416 </w:t>
            </w:r>
          </w:p>
        </w:tc>
        <w:tc>
          <w:tcPr>
            <w:tcW w:w="537" w:type="pct"/>
            <w:noWrap/>
          </w:tcPr>
          <w:p w:rsidR="00A32AA2" w:rsidRPr="005F120D" w:rsidRDefault="00A32AA2" w:rsidP="00936D9E">
            <w:pPr>
              <w:spacing w:after="0"/>
              <w:jc w:val="right"/>
              <w:cnfStyle w:val="000000000000"/>
              <w:rPr>
                <w:rFonts w:asciiTheme="minorHAnsi" w:hAnsiTheme="minorHAnsi" w:cstheme="minorHAnsi"/>
                <w:sz w:val="20"/>
                <w:lang w:eastAsia="ja-JP"/>
              </w:rPr>
            </w:pPr>
            <w:r w:rsidRPr="005F120D">
              <w:rPr>
                <w:rFonts w:asciiTheme="minorHAnsi" w:hAnsiTheme="minorHAnsi" w:cstheme="minorHAnsi"/>
                <w:sz w:val="20"/>
                <w:lang w:eastAsia="ja-JP"/>
              </w:rPr>
              <w:t>-7%</w:t>
            </w:r>
          </w:p>
        </w:tc>
        <w:tc>
          <w:tcPr>
            <w:tcW w:w="979" w:type="pct"/>
          </w:tcPr>
          <w:p w:rsidR="00A32AA2" w:rsidRPr="005F120D" w:rsidRDefault="00B25050" w:rsidP="00936D9E">
            <w:pPr>
              <w:spacing w:after="0"/>
              <w:jc w:val="right"/>
              <w:cnfStyle w:val="000000000000"/>
              <w:rPr>
                <w:rFonts w:asciiTheme="minorHAnsi" w:hAnsiTheme="minorHAnsi" w:cstheme="minorHAnsi"/>
                <w:sz w:val="20"/>
                <w:lang w:eastAsia="ja-JP"/>
              </w:rPr>
            </w:pPr>
            <w:r w:rsidRPr="005F120D">
              <w:rPr>
                <w:rFonts w:asciiTheme="minorHAnsi" w:hAnsiTheme="minorHAnsi" w:cstheme="minorHAnsi"/>
                <w:sz w:val="20"/>
                <w:lang w:eastAsia="ja-JP"/>
              </w:rPr>
              <w:t>266,906</w:t>
            </w:r>
          </w:p>
        </w:tc>
      </w:tr>
      <w:tr w:rsidR="00A32AA2" w:rsidRPr="005F120D" w:rsidTr="0074414F">
        <w:trPr>
          <w:cnfStyle w:val="000000100000"/>
          <w:trHeight w:hRule="exact" w:val="245"/>
        </w:trPr>
        <w:tc>
          <w:tcPr>
            <w:cnfStyle w:val="001000000000"/>
            <w:tcW w:w="1625" w:type="pct"/>
            <w:noWrap/>
          </w:tcPr>
          <w:p w:rsidR="00A32AA2" w:rsidRPr="005F120D" w:rsidRDefault="00A32AA2" w:rsidP="00936D9E">
            <w:pPr>
              <w:spacing w:after="0"/>
              <w:rPr>
                <w:rFonts w:asciiTheme="minorHAnsi" w:hAnsiTheme="minorHAnsi" w:cstheme="minorHAnsi"/>
                <w:b w:val="0"/>
                <w:sz w:val="20"/>
                <w:lang w:eastAsia="ja-JP"/>
              </w:rPr>
            </w:pPr>
            <w:r w:rsidRPr="005F120D">
              <w:rPr>
                <w:rFonts w:asciiTheme="minorHAnsi" w:hAnsiTheme="minorHAnsi" w:cstheme="minorHAnsi"/>
                <w:b w:val="0"/>
                <w:sz w:val="20"/>
                <w:lang w:eastAsia="ja-JP"/>
              </w:rPr>
              <w:t>III Decentralization and Effectiveness</w:t>
            </w:r>
          </w:p>
        </w:tc>
        <w:tc>
          <w:tcPr>
            <w:tcW w:w="929" w:type="pct"/>
            <w:noWrap/>
          </w:tcPr>
          <w:p w:rsidR="00A32AA2" w:rsidRPr="005F120D" w:rsidRDefault="00A32AA2" w:rsidP="00936D9E">
            <w:pPr>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 xml:space="preserve">    37,236 </w:t>
            </w:r>
          </w:p>
        </w:tc>
        <w:tc>
          <w:tcPr>
            <w:tcW w:w="930" w:type="pct"/>
          </w:tcPr>
          <w:p w:rsidR="00A32AA2" w:rsidRPr="005F120D" w:rsidRDefault="00A32AA2" w:rsidP="00936D9E">
            <w:pPr>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 xml:space="preserve">   25,587 </w:t>
            </w:r>
          </w:p>
        </w:tc>
        <w:tc>
          <w:tcPr>
            <w:tcW w:w="537" w:type="pct"/>
            <w:noWrap/>
          </w:tcPr>
          <w:p w:rsidR="00A32AA2" w:rsidRPr="005F120D" w:rsidRDefault="00A32AA2" w:rsidP="00936D9E">
            <w:pPr>
              <w:spacing w:after="0"/>
              <w:jc w:val="right"/>
              <w:cnfStyle w:val="000000100000"/>
              <w:rPr>
                <w:rFonts w:asciiTheme="minorHAnsi" w:hAnsiTheme="minorHAnsi" w:cstheme="minorHAnsi"/>
                <w:sz w:val="20"/>
                <w:lang w:eastAsia="ja-JP"/>
              </w:rPr>
            </w:pPr>
            <w:r w:rsidRPr="005F120D">
              <w:rPr>
                <w:rFonts w:asciiTheme="minorHAnsi" w:hAnsiTheme="minorHAnsi" w:cstheme="minorHAnsi"/>
                <w:sz w:val="20"/>
                <w:lang w:eastAsia="ja-JP"/>
              </w:rPr>
              <w:t>-31%</w:t>
            </w:r>
          </w:p>
        </w:tc>
        <w:tc>
          <w:tcPr>
            <w:tcW w:w="979" w:type="pct"/>
          </w:tcPr>
          <w:p w:rsidR="00A32AA2" w:rsidRPr="005F120D" w:rsidRDefault="00B25050" w:rsidP="00936D9E">
            <w:pPr>
              <w:spacing w:after="0"/>
              <w:jc w:val="right"/>
              <w:cnfStyle w:val="000000100000"/>
              <w:rPr>
                <w:rFonts w:asciiTheme="minorHAnsi" w:hAnsiTheme="minorHAnsi" w:cstheme="minorHAnsi"/>
                <w:sz w:val="20"/>
                <w:lang w:eastAsia="ja-JP"/>
              </w:rPr>
            </w:pPr>
            <w:r w:rsidRPr="005F120D">
              <w:rPr>
                <w:rFonts w:asciiTheme="minorHAnsi" w:hAnsiTheme="minorHAnsi" w:cstheme="minorHAnsi"/>
                <w:sz w:val="20"/>
                <w:lang w:eastAsia="ja-JP"/>
              </w:rPr>
              <w:t>46,441</w:t>
            </w:r>
          </w:p>
        </w:tc>
      </w:tr>
      <w:tr w:rsidR="00A32AA2" w:rsidRPr="005F120D" w:rsidTr="0074414F">
        <w:trPr>
          <w:trHeight w:hRule="exact" w:val="245"/>
        </w:trPr>
        <w:tc>
          <w:tcPr>
            <w:cnfStyle w:val="001000000000"/>
            <w:tcW w:w="1625" w:type="pct"/>
            <w:noWrap/>
          </w:tcPr>
          <w:p w:rsidR="00A32AA2" w:rsidRPr="005F120D" w:rsidRDefault="00A32AA2" w:rsidP="00936D9E">
            <w:pPr>
              <w:spacing w:after="0"/>
              <w:rPr>
                <w:rFonts w:asciiTheme="minorHAnsi" w:hAnsiTheme="minorHAnsi" w:cstheme="minorHAnsi"/>
                <w:b w:val="0"/>
                <w:sz w:val="20"/>
                <w:lang w:eastAsia="ja-JP"/>
              </w:rPr>
            </w:pPr>
            <w:r w:rsidRPr="005F120D">
              <w:rPr>
                <w:rFonts w:asciiTheme="minorHAnsi" w:hAnsiTheme="minorHAnsi" w:cstheme="minorHAnsi"/>
                <w:b w:val="0"/>
                <w:sz w:val="20"/>
                <w:lang w:eastAsia="ja-JP"/>
              </w:rPr>
              <w:t>IV. Planning and Management</w:t>
            </w:r>
          </w:p>
        </w:tc>
        <w:tc>
          <w:tcPr>
            <w:tcW w:w="929" w:type="pct"/>
            <w:noWrap/>
          </w:tcPr>
          <w:p w:rsidR="00A32AA2" w:rsidRPr="005F120D" w:rsidRDefault="00A32AA2" w:rsidP="00936D9E">
            <w:pPr>
              <w:jc w:val="right"/>
              <w:cnfStyle w:val="000000000000"/>
              <w:rPr>
                <w:rFonts w:asciiTheme="minorHAnsi" w:hAnsiTheme="minorHAnsi" w:cstheme="minorHAnsi"/>
                <w:bCs/>
                <w:sz w:val="18"/>
                <w:szCs w:val="18"/>
              </w:rPr>
            </w:pPr>
            <w:r w:rsidRPr="005F120D">
              <w:rPr>
                <w:rFonts w:asciiTheme="minorHAnsi" w:hAnsiTheme="minorHAnsi" w:cstheme="minorHAnsi"/>
                <w:bCs/>
                <w:sz w:val="18"/>
                <w:szCs w:val="18"/>
              </w:rPr>
              <w:t xml:space="preserve">    10,133 </w:t>
            </w:r>
          </w:p>
        </w:tc>
        <w:tc>
          <w:tcPr>
            <w:tcW w:w="930" w:type="pct"/>
          </w:tcPr>
          <w:p w:rsidR="00A32AA2" w:rsidRPr="005F120D" w:rsidRDefault="00A32AA2" w:rsidP="00936D9E">
            <w:pPr>
              <w:jc w:val="right"/>
              <w:cnfStyle w:val="000000000000"/>
              <w:rPr>
                <w:rFonts w:asciiTheme="minorHAnsi" w:hAnsiTheme="minorHAnsi" w:cstheme="minorHAnsi"/>
                <w:bCs/>
                <w:sz w:val="18"/>
                <w:szCs w:val="18"/>
              </w:rPr>
            </w:pPr>
            <w:r w:rsidRPr="005F120D">
              <w:rPr>
                <w:rFonts w:asciiTheme="minorHAnsi" w:hAnsiTheme="minorHAnsi" w:cstheme="minorHAnsi"/>
                <w:bCs/>
                <w:sz w:val="18"/>
                <w:szCs w:val="18"/>
              </w:rPr>
              <w:t xml:space="preserve">     5,389 </w:t>
            </w:r>
          </w:p>
        </w:tc>
        <w:tc>
          <w:tcPr>
            <w:tcW w:w="537" w:type="pct"/>
            <w:noWrap/>
          </w:tcPr>
          <w:p w:rsidR="00A32AA2" w:rsidRPr="005F120D" w:rsidRDefault="00A32AA2" w:rsidP="00936D9E">
            <w:pPr>
              <w:spacing w:after="0"/>
              <w:jc w:val="right"/>
              <w:cnfStyle w:val="000000000000"/>
              <w:rPr>
                <w:rFonts w:asciiTheme="minorHAnsi" w:hAnsiTheme="minorHAnsi" w:cstheme="minorHAnsi"/>
                <w:sz w:val="20"/>
                <w:lang w:eastAsia="ja-JP"/>
              </w:rPr>
            </w:pPr>
            <w:r w:rsidRPr="005F120D">
              <w:rPr>
                <w:rFonts w:asciiTheme="minorHAnsi" w:hAnsiTheme="minorHAnsi" w:cstheme="minorHAnsi"/>
                <w:sz w:val="20"/>
                <w:lang w:eastAsia="ja-JP"/>
              </w:rPr>
              <w:t>-47%</w:t>
            </w:r>
          </w:p>
        </w:tc>
        <w:tc>
          <w:tcPr>
            <w:tcW w:w="979" w:type="pct"/>
          </w:tcPr>
          <w:p w:rsidR="00A32AA2" w:rsidRPr="005F120D" w:rsidRDefault="00B25050" w:rsidP="00936D9E">
            <w:pPr>
              <w:spacing w:after="0"/>
              <w:jc w:val="right"/>
              <w:cnfStyle w:val="000000000000"/>
              <w:rPr>
                <w:rFonts w:asciiTheme="minorHAnsi" w:hAnsiTheme="minorHAnsi" w:cstheme="minorHAnsi"/>
                <w:sz w:val="20"/>
                <w:lang w:eastAsia="ja-JP"/>
              </w:rPr>
            </w:pPr>
            <w:r w:rsidRPr="005F120D">
              <w:rPr>
                <w:rFonts w:asciiTheme="minorHAnsi" w:hAnsiTheme="minorHAnsi" w:cstheme="minorHAnsi"/>
                <w:sz w:val="20"/>
                <w:lang w:eastAsia="ja-JP"/>
              </w:rPr>
              <w:t>9,330</w:t>
            </w:r>
          </w:p>
        </w:tc>
      </w:tr>
      <w:tr w:rsidR="00A32AA2" w:rsidRPr="005F120D" w:rsidTr="0074414F">
        <w:trPr>
          <w:cnfStyle w:val="000000100000"/>
          <w:trHeight w:hRule="exact" w:val="245"/>
        </w:trPr>
        <w:tc>
          <w:tcPr>
            <w:cnfStyle w:val="001000000000"/>
            <w:tcW w:w="1625" w:type="pct"/>
            <w:noWrap/>
          </w:tcPr>
          <w:p w:rsidR="00A32AA2" w:rsidRPr="005F120D" w:rsidRDefault="00A32AA2" w:rsidP="00936D9E">
            <w:pPr>
              <w:spacing w:after="0"/>
              <w:jc w:val="center"/>
              <w:rPr>
                <w:rFonts w:asciiTheme="minorHAnsi" w:hAnsiTheme="minorHAnsi" w:cstheme="minorHAnsi"/>
                <w:sz w:val="20"/>
                <w:lang w:eastAsia="ja-JP"/>
              </w:rPr>
            </w:pPr>
            <w:r w:rsidRPr="005F120D">
              <w:rPr>
                <w:rFonts w:asciiTheme="minorHAnsi" w:hAnsiTheme="minorHAnsi" w:cstheme="minorHAnsi"/>
                <w:sz w:val="20"/>
                <w:lang w:eastAsia="ja-JP"/>
              </w:rPr>
              <w:t>Total</w:t>
            </w:r>
          </w:p>
        </w:tc>
        <w:tc>
          <w:tcPr>
            <w:tcW w:w="929" w:type="pct"/>
            <w:noWrap/>
          </w:tcPr>
          <w:p w:rsidR="00A32AA2" w:rsidRPr="005F120D" w:rsidRDefault="00A32AA2" w:rsidP="00936D9E">
            <w:pPr>
              <w:jc w:val="right"/>
              <w:cnfStyle w:val="000000100000"/>
              <w:rPr>
                <w:rFonts w:asciiTheme="minorHAnsi" w:hAnsiTheme="minorHAnsi" w:cstheme="minorHAnsi"/>
                <w:b/>
                <w:bCs/>
                <w:sz w:val="18"/>
                <w:szCs w:val="18"/>
              </w:rPr>
            </w:pPr>
            <w:r w:rsidRPr="005F120D">
              <w:rPr>
                <w:rFonts w:asciiTheme="minorHAnsi" w:hAnsiTheme="minorHAnsi" w:cstheme="minorHAnsi"/>
                <w:b/>
                <w:bCs/>
                <w:sz w:val="18"/>
                <w:szCs w:val="18"/>
              </w:rPr>
              <w:t xml:space="preserve">  338,000 </w:t>
            </w:r>
          </w:p>
        </w:tc>
        <w:tc>
          <w:tcPr>
            <w:tcW w:w="930" w:type="pct"/>
          </w:tcPr>
          <w:p w:rsidR="00A32AA2" w:rsidRPr="005F120D" w:rsidRDefault="00A32AA2" w:rsidP="00936D9E">
            <w:pPr>
              <w:jc w:val="right"/>
              <w:cnfStyle w:val="000000100000"/>
              <w:rPr>
                <w:rFonts w:asciiTheme="minorHAnsi" w:hAnsiTheme="minorHAnsi" w:cstheme="minorHAnsi"/>
                <w:b/>
                <w:bCs/>
                <w:sz w:val="18"/>
                <w:szCs w:val="18"/>
              </w:rPr>
            </w:pPr>
            <w:r w:rsidRPr="005F120D">
              <w:rPr>
                <w:rFonts w:asciiTheme="minorHAnsi" w:hAnsiTheme="minorHAnsi" w:cstheme="minorHAnsi"/>
                <w:b/>
                <w:bCs/>
                <w:sz w:val="18"/>
                <w:szCs w:val="18"/>
              </w:rPr>
              <w:t xml:space="preserve"> 282,600 </w:t>
            </w:r>
          </w:p>
        </w:tc>
        <w:tc>
          <w:tcPr>
            <w:tcW w:w="537" w:type="pct"/>
            <w:noWrap/>
          </w:tcPr>
          <w:p w:rsidR="00A32AA2" w:rsidRPr="005F120D" w:rsidRDefault="00A32AA2" w:rsidP="00936D9E">
            <w:pPr>
              <w:spacing w:after="0"/>
              <w:jc w:val="right"/>
              <w:cnfStyle w:val="000000100000"/>
              <w:rPr>
                <w:rFonts w:asciiTheme="minorHAnsi" w:hAnsiTheme="minorHAnsi" w:cstheme="minorHAnsi"/>
                <w:sz w:val="20"/>
                <w:lang w:eastAsia="ja-JP"/>
              </w:rPr>
            </w:pPr>
            <w:r w:rsidRPr="005F120D">
              <w:rPr>
                <w:rFonts w:asciiTheme="minorHAnsi" w:hAnsiTheme="minorHAnsi" w:cstheme="minorHAnsi"/>
                <w:sz w:val="20"/>
                <w:lang w:eastAsia="ja-JP"/>
              </w:rPr>
              <w:t>-16%</w:t>
            </w:r>
          </w:p>
        </w:tc>
        <w:tc>
          <w:tcPr>
            <w:tcW w:w="979" w:type="pct"/>
          </w:tcPr>
          <w:p w:rsidR="00A32AA2" w:rsidRPr="005F120D" w:rsidRDefault="00B25050" w:rsidP="00936D9E">
            <w:pPr>
              <w:spacing w:after="0"/>
              <w:jc w:val="right"/>
              <w:cnfStyle w:val="000000100000"/>
              <w:rPr>
                <w:rFonts w:asciiTheme="minorHAnsi" w:hAnsiTheme="minorHAnsi" w:cstheme="minorHAnsi"/>
                <w:sz w:val="20"/>
                <w:lang w:eastAsia="ja-JP"/>
              </w:rPr>
            </w:pPr>
            <w:r w:rsidRPr="005F120D">
              <w:rPr>
                <w:rFonts w:asciiTheme="minorHAnsi" w:hAnsiTheme="minorHAnsi" w:cstheme="minorHAnsi"/>
                <w:sz w:val="20"/>
                <w:lang w:eastAsia="ja-JP"/>
              </w:rPr>
              <w:t>374,400</w:t>
            </w:r>
          </w:p>
        </w:tc>
      </w:tr>
    </w:tbl>
    <w:p w:rsidR="00332BB3" w:rsidRPr="005F120D" w:rsidRDefault="00332BB3" w:rsidP="00C437AA">
      <w:pPr>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 xml:space="preserve">Sources: </w:t>
      </w:r>
      <w:r w:rsidR="00FE0875" w:rsidRPr="005F120D">
        <w:rPr>
          <w:rFonts w:asciiTheme="minorHAnsi" w:hAnsiTheme="minorHAnsi" w:cstheme="minorHAnsi"/>
          <w:b/>
          <w:i/>
          <w:sz w:val="16"/>
          <w:szCs w:val="16"/>
        </w:rPr>
        <w:t xml:space="preserve">Original and </w:t>
      </w:r>
      <w:r w:rsidRPr="005F120D">
        <w:rPr>
          <w:rFonts w:asciiTheme="minorHAnsi" w:hAnsiTheme="minorHAnsi" w:cstheme="minorHAnsi"/>
          <w:b/>
          <w:i/>
          <w:sz w:val="16"/>
          <w:szCs w:val="16"/>
        </w:rPr>
        <w:t>Revise</w:t>
      </w:r>
      <w:r w:rsidR="00FE0875" w:rsidRPr="005F120D">
        <w:rPr>
          <w:rFonts w:asciiTheme="minorHAnsi" w:hAnsiTheme="minorHAnsi" w:cstheme="minorHAnsi"/>
          <w:b/>
          <w:i/>
          <w:sz w:val="16"/>
          <w:szCs w:val="16"/>
        </w:rPr>
        <w:t xml:space="preserve">d 2014/15 </w:t>
      </w:r>
      <w:r w:rsidR="00DB76EB" w:rsidRPr="005F120D">
        <w:rPr>
          <w:rFonts w:asciiTheme="minorHAnsi" w:hAnsiTheme="minorHAnsi" w:cstheme="minorHAnsi"/>
          <w:b/>
          <w:i/>
          <w:sz w:val="16"/>
          <w:szCs w:val="16"/>
        </w:rPr>
        <w:t xml:space="preserve">and AOP 2015/16 of </w:t>
      </w:r>
      <w:r w:rsidR="00FE0875" w:rsidRPr="005F120D">
        <w:rPr>
          <w:rFonts w:asciiTheme="minorHAnsi" w:hAnsiTheme="minorHAnsi" w:cstheme="minorHAnsi"/>
          <w:b/>
          <w:i/>
          <w:sz w:val="16"/>
          <w:szCs w:val="16"/>
        </w:rPr>
        <w:t xml:space="preserve">PEDP3 </w:t>
      </w:r>
    </w:p>
    <w:p w:rsidR="00E05316" w:rsidRPr="005F120D" w:rsidRDefault="0005294E" w:rsidP="00997048">
      <w:pPr>
        <w:jc w:val="both"/>
        <w:rPr>
          <w:rFonts w:asciiTheme="minorHAnsi" w:hAnsiTheme="minorHAnsi" w:cstheme="minorHAnsi"/>
          <w:b/>
          <w:color w:val="0000FF"/>
          <w:sz w:val="24"/>
          <w:szCs w:val="24"/>
        </w:rPr>
      </w:pPr>
      <w:r w:rsidRPr="005F120D">
        <w:rPr>
          <w:rFonts w:asciiTheme="minorHAnsi" w:hAnsiTheme="minorHAnsi" w:cstheme="minorHAnsi"/>
          <w:b/>
          <w:color w:val="0000FF"/>
          <w:sz w:val="24"/>
          <w:szCs w:val="24"/>
        </w:rPr>
        <w:t>Budget Implementation:</w:t>
      </w:r>
    </w:p>
    <w:p w:rsidR="003E5566" w:rsidRDefault="0025109C" w:rsidP="003E5566">
      <w:pPr>
        <w:pStyle w:val="BodyText1"/>
        <w:spacing w:line="240" w:lineRule="auto"/>
        <w:jc w:val="both"/>
        <w:rPr>
          <w:rFonts w:asciiTheme="minorHAnsi" w:hAnsiTheme="minorHAnsi" w:cstheme="minorHAnsi"/>
        </w:rPr>
      </w:pPr>
      <w:r w:rsidRPr="005F120D">
        <w:rPr>
          <w:rFonts w:asciiTheme="minorHAnsi" w:hAnsiTheme="minorHAnsi" w:cstheme="minorHAnsi"/>
          <w:b w:val="0"/>
          <w:color w:val="000000"/>
        </w:rPr>
        <w:t xml:space="preserve"> Based on eight months of spending figures (July to February), the execution rate would be 45% if spending was evenly spread. Non-development spending looks on track, which is </w:t>
      </w:r>
      <w:r w:rsidR="003E5566">
        <w:rPr>
          <w:rFonts w:asciiTheme="minorHAnsi" w:hAnsiTheme="minorHAnsi" w:cstheme="minorHAnsi"/>
          <w:b w:val="0"/>
          <w:color w:val="000000"/>
        </w:rPr>
        <w:t>a regular expenditure, such as, salary and other allowances, minor repairing of institutions, etc.</w:t>
      </w:r>
      <w:r w:rsidRPr="005F120D">
        <w:rPr>
          <w:rFonts w:asciiTheme="minorHAnsi" w:hAnsiTheme="minorHAnsi" w:cstheme="minorHAnsi"/>
          <w:b w:val="0"/>
          <w:color w:val="000000"/>
        </w:rPr>
        <w:t xml:space="preserve"> Spending on development is far behind expectations, even allowing for the ‘l</w:t>
      </w:r>
      <w:r w:rsidR="003E5566">
        <w:rPr>
          <w:rFonts w:asciiTheme="minorHAnsi" w:hAnsiTheme="minorHAnsi" w:cstheme="minorHAnsi"/>
          <w:b w:val="0"/>
          <w:color w:val="000000"/>
        </w:rPr>
        <w:t>umpy’ nature of capital expenditure</w:t>
      </w:r>
      <w:r w:rsidRPr="005F120D">
        <w:rPr>
          <w:rFonts w:asciiTheme="minorHAnsi" w:hAnsiTheme="minorHAnsi" w:cstheme="minorHAnsi"/>
          <w:b w:val="0"/>
          <w:color w:val="000000"/>
        </w:rPr>
        <w:t xml:space="preserve"> with less than half of the budget spent over eight months.</w:t>
      </w:r>
    </w:p>
    <w:p w:rsidR="0025109C" w:rsidRPr="00045BB9" w:rsidRDefault="0025109C" w:rsidP="003E5566">
      <w:pPr>
        <w:pStyle w:val="BodyText1"/>
        <w:spacing w:line="240" w:lineRule="auto"/>
        <w:jc w:val="both"/>
        <w:rPr>
          <w:rFonts w:asciiTheme="minorHAnsi" w:hAnsiTheme="minorHAnsi" w:cstheme="minorHAnsi"/>
          <w:b w:val="0"/>
          <w:i/>
          <w:color w:val="000000"/>
        </w:rPr>
      </w:pPr>
      <w:r w:rsidRPr="00045BB9">
        <w:rPr>
          <w:rFonts w:asciiTheme="minorHAnsi" w:hAnsiTheme="minorHAnsi" w:cstheme="minorHAnsi"/>
          <w:b w:val="0"/>
          <w:i/>
        </w:rPr>
        <w:t xml:space="preserve">Out of the 29 PEDP3 sub-components, DPE allocated funds against 27 sub-components (stipend and sector finance excluded). As of March 2015, funding allocated to 11 sub-components achieved a budget execution rate above 45%.  On the other hand, only 5 sub-components spent 20-45%; 4 sub-components spent 12-20%; 1 sub-component spent 5%; one sub-component spent less than 1%; and 5 did not disburse any funds to-date based on its 9 months disbursement of original 2015/16 AOP budget. </w:t>
      </w:r>
    </w:p>
    <w:p w:rsidR="0025109C" w:rsidRPr="005F120D" w:rsidRDefault="0025109C" w:rsidP="0025109C">
      <w:pPr>
        <w:jc w:val="both"/>
        <w:rPr>
          <w:rFonts w:asciiTheme="minorHAnsi" w:hAnsiTheme="minorHAnsi" w:cstheme="minorHAnsi"/>
          <w:szCs w:val="22"/>
        </w:rPr>
      </w:pPr>
      <w:r w:rsidRPr="005F120D">
        <w:rPr>
          <w:rFonts w:asciiTheme="minorHAnsi" w:hAnsiTheme="minorHAnsi" w:cstheme="minorHAnsi"/>
          <w:szCs w:val="22"/>
        </w:rPr>
        <w:t xml:space="preserve">Based on the 9-month disbursement, the spending pattern by sub-components in 2015/16 appears to be largely similar to that of the previous year. </w:t>
      </w:r>
    </w:p>
    <w:p w:rsidR="0025109C" w:rsidRPr="00045BB9" w:rsidRDefault="0025109C" w:rsidP="0025109C">
      <w:pPr>
        <w:spacing w:after="0"/>
        <w:rPr>
          <w:rFonts w:asciiTheme="minorHAnsi" w:hAnsiTheme="minorHAnsi" w:cstheme="minorHAnsi"/>
          <w:szCs w:val="22"/>
        </w:rPr>
      </w:pPr>
      <w:r w:rsidRPr="00045BB9">
        <w:rPr>
          <w:rFonts w:asciiTheme="minorHAnsi" w:hAnsiTheme="minorHAnsi" w:cstheme="minorHAnsi"/>
          <w:szCs w:val="22"/>
        </w:rPr>
        <w:t>The six top performing sub-components, in terms of budget execution, were:</w:t>
      </w:r>
    </w:p>
    <w:p w:rsidR="0025109C" w:rsidRPr="00045BB9" w:rsidRDefault="0025109C" w:rsidP="0025109C">
      <w:pPr>
        <w:numPr>
          <w:ilvl w:val="0"/>
          <w:numId w:val="16"/>
        </w:numPr>
        <w:spacing w:after="0"/>
        <w:contextualSpacing/>
        <w:rPr>
          <w:rFonts w:asciiTheme="minorHAnsi" w:hAnsiTheme="minorHAnsi" w:cstheme="minorHAnsi"/>
          <w:szCs w:val="22"/>
        </w:rPr>
      </w:pPr>
      <w:r w:rsidRPr="00045BB9">
        <w:rPr>
          <w:rFonts w:asciiTheme="minorHAnsi" w:hAnsiTheme="minorHAnsi" w:cstheme="minorHAnsi"/>
          <w:szCs w:val="22"/>
        </w:rPr>
        <w:t>Strengthen Monitoring Functions (202%</w:t>
      </w:r>
      <w:r w:rsidR="000B0977" w:rsidRPr="00045BB9">
        <w:rPr>
          <w:rFonts w:asciiTheme="minorHAnsi" w:hAnsiTheme="minorHAnsi" w:cstheme="minorHAnsi"/>
          <w:szCs w:val="22"/>
        </w:rPr>
        <w:t>)</w:t>
      </w:r>
      <w:r w:rsidR="003E5566" w:rsidRPr="00045BB9">
        <w:rPr>
          <w:rFonts w:asciiTheme="minorHAnsi" w:hAnsiTheme="minorHAnsi" w:cstheme="minorHAnsi"/>
          <w:szCs w:val="22"/>
        </w:rPr>
        <w:t xml:space="preserve"> inclu</w:t>
      </w:r>
      <w:r w:rsidRPr="00045BB9">
        <w:rPr>
          <w:rFonts w:asciiTheme="minorHAnsi" w:hAnsiTheme="minorHAnsi" w:cstheme="minorHAnsi"/>
          <w:szCs w:val="22"/>
        </w:rPr>
        <w:t>d</w:t>
      </w:r>
      <w:r w:rsidR="003E5566" w:rsidRPr="00045BB9">
        <w:rPr>
          <w:rFonts w:asciiTheme="minorHAnsi" w:hAnsiTheme="minorHAnsi" w:cstheme="minorHAnsi"/>
          <w:szCs w:val="22"/>
        </w:rPr>
        <w:t>ing</w:t>
      </w:r>
      <w:r w:rsidR="00045BB9" w:rsidRPr="00045BB9">
        <w:rPr>
          <w:rFonts w:asciiTheme="minorHAnsi" w:hAnsiTheme="minorHAnsi" w:cstheme="minorHAnsi"/>
          <w:szCs w:val="22"/>
        </w:rPr>
        <w:t xml:space="preserve"> </w:t>
      </w:r>
      <w:r w:rsidR="00090886" w:rsidRPr="00045BB9">
        <w:rPr>
          <w:rFonts w:asciiTheme="minorHAnsi" w:hAnsiTheme="minorHAnsi" w:cstheme="minorHAnsi"/>
          <w:szCs w:val="22"/>
        </w:rPr>
        <w:t xml:space="preserve">UNICEF </w:t>
      </w:r>
      <w:r w:rsidRPr="00045BB9">
        <w:rPr>
          <w:rFonts w:asciiTheme="minorHAnsi" w:hAnsiTheme="minorHAnsi" w:cstheme="minorHAnsi"/>
          <w:szCs w:val="22"/>
        </w:rPr>
        <w:t>parallel fund;</w:t>
      </w:r>
    </w:p>
    <w:p w:rsidR="0025109C" w:rsidRPr="00045BB9" w:rsidRDefault="0025109C" w:rsidP="0025109C">
      <w:pPr>
        <w:numPr>
          <w:ilvl w:val="0"/>
          <w:numId w:val="16"/>
        </w:numPr>
        <w:spacing w:after="0"/>
        <w:contextualSpacing/>
        <w:rPr>
          <w:rFonts w:asciiTheme="minorHAnsi" w:hAnsiTheme="minorHAnsi" w:cstheme="minorHAnsi"/>
          <w:szCs w:val="22"/>
        </w:rPr>
      </w:pPr>
      <w:r w:rsidRPr="00045BB9">
        <w:rPr>
          <w:rFonts w:asciiTheme="minorHAnsi" w:hAnsiTheme="minorHAnsi" w:cstheme="minorHAnsi"/>
          <w:szCs w:val="22"/>
        </w:rPr>
        <w:t>School Level Leadership and Development (98%);</w:t>
      </w:r>
    </w:p>
    <w:p w:rsidR="0025109C" w:rsidRPr="00045BB9" w:rsidRDefault="0025109C" w:rsidP="0025109C">
      <w:pPr>
        <w:numPr>
          <w:ilvl w:val="0"/>
          <w:numId w:val="16"/>
        </w:numPr>
        <w:spacing w:after="0"/>
        <w:contextualSpacing/>
        <w:rPr>
          <w:rFonts w:asciiTheme="minorHAnsi" w:hAnsiTheme="minorHAnsi" w:cstheme="minorHAnsi"/>
          <w:szCs w:val="22"/>
        </w:rPr>
      </w:pPr>
      <w:r w:rsidRPr="00045BB9">
        <w:rPr>
          <w:rFonts w:asciiTheme="minorHAnsi" w:hAnsiTheme="minorHAnsi" w:cstheme="minorHAnsi"/>
          <w:szCs w:val="22"/>
        </w:rPr>
        <w:t>National Assessment of Students (84%);</w:t>
      </w:r>
    </w:p>
    <w:p w:rsidR="0025109C" w:rsidRPr="00045BB9" w:rsidRDefault="0025109C" w:rsidP="0025109C">
      <w:pPr>
        <w:numPr>
          <w:ilvl w:val="0"/>
          <w:numId w:val="16"/>
        </w:numPr>
        <w:spacing w:after="0"/>
        <w:contextualSpacing/>
        <w:rPr>
          <w:rFonts w:asciiTheme="minorHAnsi" w:hAnsiTheme="minorHAnsi" w:cstheme="minorHAnsi"/>
          <w:szCs w:val="22"/>
        </w:rPr>
      </w:pPr>
      <w:r w:rsidRPr="00045BB9">
        <w:rPr>
          <w:rFonts w:asciiTheme="minorHAnsi" w:hAnsiTheme="minorHAnsi" w:cstheme="minorHAnsi"/>
          <w:szCs w:val="22"/>
        </w:rPr>
        <w:t>Annual School Census (69%);</w:t>
      </w:r>
    </w:p>
    <w:p w:rsidR="0025109C" w:rsidRPr="00045BB9" w:rsidRDefault="0025109C" w:rsidP="0025109C">
      <w:pPr>
        <w:numPr>
          <w:ilvl w:val="0"/>
          <w:numId w:val="16"/>
        </w:numPr>
        <w:spacing w:after="0"/>
        <w:contextualSpacing/>
        <w:rPr>
          <w:rFonts w:asciiTheme="minorHAnsi" w:hAnsiTheme="minorHAnsi" w:cstheme="minorHAnsi"/>
          <w:szCs w:val="22"/>
        </w:rPr>
      </w:pPr>
      <w:r w:rsidRPr="00045BB9">
        <w:rPr>
          <w:rFonts w:asciiTheme="minorHAnsi" w:hAnsiTheme="minorHAnsi" w:cstheme="minorHAnsi"/>
          <w:szCs w:val="22"/>
        </w:rPr>
        <w:t>Pre-primary Education (59%);</w:t>
      </w:r>
    </w:p>
    <w:p w:rsidR="0025109C" w:rsidRPr="00045BB9" w:rsidRDefault="0025109C" w:rsidP="0025109C">
      <w:pPr>
        <w:numPr>
          <w:ilvl w:val="0"/>
          <w:numId w:val="16"/>
        </w:numPr>
        <w:spacing w:after="0"/>
        <w:contextualSpacing/>
        <w:rPr>
          <w:rFonts w:asciiTheme="minorHAnsi" w:hAnsiTheme="minorHAnsi" w:cstheme="minorHAnsi"/>
          <w:szCs w:val="22"/>
        </w:rPr>
      </w:pPr>
      <w:r w:rsidRPr="00045BB9">
        <w:rPr>
          <w:rFonts w:asciiTheme="minorHAnsi" w:hAnsiTheme="minorHAnsi" w:cstheme="minorHAnsi"/>
          <w:szCs w:val="22"/>
        </w:rPr>
        <w:t>School Physical Environment (56%).</w:t>
      </w:r>
    </w:p>
    <w:p w:rsidR="0025109C" w:rsidRPr="00045BB9" w:rsidRDefault="0025109C" w:rsidP="0025109C">
      <w:pPr>
        <w:spacing w:after="0"/>
        <w:ind w:left="720"/>
        <w:rPr>
          <w:rFonts w:asciiTheme="minorHAnsi" w:hAnsiTheme="minorHAnsi" w:cstheme="minorHAnsi"/>
          <w:szCs w:val="22"/>
        </w:rPr>
      </w:pPr>
    </w:p>
    <w:p w:rsidR="0025109C" w:rsidRPr="00045BB9" w:rsidRDefault="0025109C" w:rsidP="0025109C">
      <w:pPr>
        <w:rPr>
          <w:rFonts w:asciiTheme="minorHAnsi" w:hAnsiTheme="minorHAnsi" w:cstheme="minorHAnsi"/>
          <w:szCs w:val="22"/>
        </w:rPr>
      </w:pPr>
      <w:r w:rsidRPr="00045BB9">
        <w:rPr>
          <w:rFonts w:asciiTheme="minorHAnsi" w:hAnsiTheme="minorHAnsi" w:cstheme="minorHAnsi"/>
          <w:szCs w:val="22"/>
        </w:rPr>
        <w:t>The five subcomponents with no budget disbursed up to March 2015 were:</w:t>
      </w:r>
    </w:p>
    <w:p w:rsidR="0025109C" w:rsidRPr="00045BB9" w:rsidRDefault="0025109C" w:rsidP="0025109C">
      <w:pPr>
        <w:numPr>
          <w:ilvl w:val="0"/>
          <w:numId w:val="77"/>
        </w:numPr>
        <w:spacing w:after="0"/>
        <w:contextualSpacing/>
        <w:rPr>
          <w:rFonts w:asciiTheme="minorHAnsi" w:hAnsiTheme="minorHAnsi" w:cstheme="minorHAnsi"/>
          <w:szCs w:val="22"/>
        </w:rPr>
      </w:pPr>
      <w:r w:rsidRPr="00045BB9">
        <w:rPr>
          <w:rFonts w:asciiTheme="minorHAnsi" w:hAnsiTheme="minorHAnsi" w:cstheme="minorHAnsi"/>
          <w:szCs w:val="22"/>
        </w:rPr>
        <w:t>School and Classroom Based Assessment;</w:t>
      </w:r>
    </w:p>
    <w:p w:rsidR="0025109C" w:rsidRPr="00045BB9" w:rsidRDefault="0025109C" w:rsidP="0025109C">
      <w:pPr>
        <w:numPr>
          <w:ilvl w:val="0"/>
          <w:numId w:val="77"/>
        </w:numPr>
        <w:spacing w:after="0"/>
        <w:contextualSpacing/>
        <w:rPr>
          <w:rFonts w:asciiTheme="minorHAnsi" w:hAnsiTheme="minorHAnsi" w:cstheme="minorHAnsi"/>
          <w:szCs w:val="22"/>
        </w:rPr>
      </w:pPr>
      <w:r w:rsidRPr="00045BB9">
        <w:rPr>
          <w:rFonts w:asciiTheme="minorHAnsi" w:hAnsiTheme="minorHAnsi" w:cstheme="minorHAnsi"/>
          <w:szCs w:val="22"/>
        </w:rPr>
        <w:t>Curriculum and Textbooks Strengthened;</w:t>
      </w:r>
    </w:p>
    <w:p w:rsidR="0025109C" w:rsidRPr="00045BB9" w:rsidRDefault="0025109C" w:rsidP="0025109C">
      <w:pPr>
        <w:numPr>
          <w:ilvl w:val="0"/>
          <w:numId w:val="77"/>
        </w:numPr>
        <w:spacing w:after="0"/>
        <w:contextualSpacing/>
        <w:rPr>
          <w:rFonts w:asciiTheme="minorHAnsi" w:hAnsiTheme="minorHAnsi" w:cstheme="minorHAnsi"/>
          <w:szCs w:val="22"/>
        </w:rPr>
      </w:pPr>
      <w:r w:rsidRPr="00045BB9">
        <w:rPr>
          <w:rFonts w:asciiTheme="minorHAnsi" w:hAnsiTheme="minorHAnsi" w:cstheme="minorHAnsi"/>
          <w:szCs w:val="22"/>
        </w:rPr>
        <w:t>Education in Emergencies;</w:t>
      </w:r>
    </w:p>
    <w:p w:rsidR="0025109C" w:rsidRPr="00045BB9" w:rsidRDefault="0025109C" w:rsidP="0025109C">
      <w:pPr>
        <w:numPr>
          <w:ilvl w:val="0"/>
          <w:numId w:val="77"/>
        </w:numPr>
        <w:spacing w:after="0"/>
        <w:contextualSpacing/>
        <w:rPr>
          <w:rFonts w:asciiTheme="minorHAnsi" w:hAnsiTheme="minorHAnsi" w:cstheme="minorHAnsi"/>
          <w:szCs w:val="22"/>
        </w:rPr>
      </w:pPr>
      <w:r w:rsidRPr="00045BB9">
        <w:rPr>
          <w:rFonts w:asciiTheme="minorHAnsi" w:hAnsiTheme="minorHAnsi" w:cstheme="minorHAnsi"/>
          <w:szCs w:val="22"/>
        </w:rPr>
        <w:t>School Health and School Feeding;</w:t>
      </w:r>
    </w:p>
    <w:p w:rsidR="0025109C" w:rsidRPr="00045BB9" w:rsidRDefault="0025109C" w:rsidP="0025109C">
      <w:pPr>
        <w:numPr>
          <w:ilvl w:val="0"/>
          <w:numId w:val="77"/>
        </w:numPr>
        <w:spacing w:after="0"/>
        <w:contextualSpacing/>
        <w:rPr>
          <w:rFonts w:asciiTheme="minorHAnsi" w:hAnsiTheme="minorHAnsi" w:cstheme="minorHAnsi"/>
          <w:szCs w:val="22"/>
        </w:rPr>
      </w:pPr>
      <w:r w:rsidRPr="00045BB9">
        <w:rPr>
          <w:rFonts w:asciiTheme="minorHAnsi" w:hAnsiTheme="minorHAnsi" w:cstheme="minorHAnsi"/>
          <w:szCs w:val="22"/>
        </w:rPr>
        <w:t>Public Private Partnership.</w:t>
      </w:r>
    </w:p>
    <w:p w:rsidR="0025109C" w:rsidRPr="00045BB9" w:rsidRDefault="0025109C" w:rsidP="0025109C">
      <w:pPr>
        <w:spacing w:after="0"/>
        <w:rPr>
          <w:rFonts w:asciiTheme="minorHAnsi" w:hAnsiTheme="minorHAnsi" w:cstheme="minorHAnsi"/>
          <w:szCs w:val="22"/>
        </w:rPr>
      </w:pPr>
    </w:p>
    <w:p w:rsidR="007561E8" w:rsidRPr="005F120D" w:rsidRDefault="0025109C" w:rsidP="0025109C">
      <w:pPr>
        <w:spacing w:after="0"/>
        <w:jc w:val="both"/>
        <w:rPr>
          <w:rFonts w:asciiTheme="minorHAnsi" w:hAnsiTheme="minorHAnsi" w:cstheme="minorHAnsi"/>
          <w:szCs w:val="22"/>
        </w:rPr>
      </w:pPr>
      <w:r w:rsidRPr="005F120D">
        <w:rPr>
          <w:rFonts w:asciiTheme="minorHAnsi" w:hAnsiTheme="minorHAnsi" w:cstheme="minorHAnsi"/>
          <w:szCs w:val="22"/>
        </w:rPr>
        <w:t>Chapter 5 summarizes the implementation of AOP 2015-16 as of March 2016 by PEDP3 subcomponents and activities as outlined in Annex E.   In addition, the Annex provides a short summary of the PEDP3 infrastructure: furniture, WASH Block construction and repair component, and JICA supported activities for PEDP3 through parallel financing</w:t>
      </w:r>
      <w:r w:rsidR="001D20EE" w:rsidRPr="005F120D">
        <w:rPr>
          <w:rFonts w:asciiTheme="minorHAnsi" w:hAnsiTheme="minorHAnsi" w:cstheme="minorHAnsi"/>
          <w:szCs w:val="22"/>
        </w:rPr>
        <w:t>.</w:t>
      </w:r>
    </w:p>
    <w:p w:rsidR="00EB0FDC" w:rsidRPr="005F120D" w:rsidRDefault="00037F65" w:rsidP="00C437AA">
      <w:pPr>
        <w:pStyle w:val="Heading2"/>
        <w:spacing w:line="276" w:lineRule="auto"/>
        <w:rPr>
          <w:rFonts w:cstheme="minorHAnsi"/>
          <w:color w:val="006600"/>
        </w:rPr>
      </w:pPr>
      <w:bookmarkStart w:id="593" w:name="_Toc385245744"/>
      <w:bookmarkStart w:id="594" w:name="_Toc385419523"/>
      <w:bookmarkStart w:id="595" w:name="_Toc462837197"/>
      <w:r w:rsidRPr="005F120D">
        <w:rPr>
          <w:rFonts w:cstheme="minorHAnsi"/>
          <w:color w:val="006600"/>
        </w:rPr>
        <w:lastRenderedPageBreak/>
        <w:t>Discrete P</w:t>
      </w:r>
      <w:r w:rsidR="00EB0FDC" w:rsidRPr="005F120D">
        <w:rPr>
          <w:rFonts w:cstheme="minorHAnsi"/>
          <w:color w:val="006600"/>
        </w:rPr>
        <w:t>roject</w:t>
      </w:r>
      <w:bookmarkEnd w:id="593"/>
      <w:bookmarkEnd w:id="594"/>
      <w:r w:rsidR="00D73B6C" w:rsidRPr="005F120D">
        <w:rPr>
          <w:rFonts w:cstheme="minorHAnsi"/>
          <w:color w:val="006600"/>
        </w:rPr>
        <w:t>s</w:t>
      </w:r>
      <w:bookmarkEnd w:id="595"/>
    </w:p>
    <w:p w:rsidR="0025109C" w:rsidRPr="005F120D" w:rsidRDefault="0025109C" w:rsidP="0025109C">
      <w:pPr>
        <w:spacing w:line="276" w:lineRule="auto"/>
        <w:jc w:val="both"/>
        <w:rPr>
          <w:rFonts w:asciiTheme="minorHAnsi" w:hAnsiTheme="minorHAnsi" w:cstheme="minorHAnsi"/>
          <w:szCs w:val="22"/>
        </w:rPr>
      </w:pPr>
      <w:r w:rsidRPr="005F120D">
        <w:rPr>
          <w:rFonts w:asciiTheme="minorHAnsi" w:hAnsiTheme="minorHAnsi" w:cstheme="minorHAnsi"/>
          <w:szCs w:val="22"/>
        </w:rPr>
        <w:t>As part of the effort to transform the ASPR into a comprehensive report on the primary education sector, ASPR has incorporated a new section on discrete projects in the primary education sub-sector since 2013. In the formal education sector of 2014-15, there were 10 projects and in the non-formal education sector there were 3 projects. The annual budget ranged from the highest amount Taka 97,000 Lac (stipend) to the lowest Taka 300 Lac (Cub-Scouting program). This ASPR includes the progress of the 13 discrete projects as of March 2015.</w:t>
      </w:r>
    </w:p>
    <w:p w:rsidR="0025109C" w:rsidRPr="005F120D" w:rsidRDefault="0025109C" w:rsidP="0025109C">
      <w:pPr>
        <w:spacing w:after="120" w:line="276" w:lineRule="auto"/>
        <w:jc w:val="both"/>
        <w:rPr>
          <w:rFonts w:asciiTheme="minorHAnsi" w:hAnsiTheme="minorHAnsi" w:cstheme="minorHAnsi"/>
          <w:szCs w:val="22"/>
        </w:rPr>
      </w:pPr>
      <w:r w:rsidRPr="005F120D">
        <w:rPr>
          <w:rFonts w:asciiTheme="minorHAnsi" w:hAnsiTheme="minorHAnsi" w:cstheme="minorHAnsi"/>
          <w:szCs w:val="22"/>
        </w:rPr>
        <w:t xml:space="preserve">Discrete projects play an important role in improving the access, participation, completion and overall quality of primary education.  In 2011, discrete projects represented 69% of MoPME’s development budget.  The share of discrete projects went down to 52% in 2012 due to the expansion of PEDP3 activities after the first year.  In 2013/14, the total budget of all discrete projects (Taka 2,479 crore) nearly matched PEDP3’s development budget (Taka 2,673 crore). </w:t>
      </w:r>
    </w:p>
    <w:p w:rsidR="009811E9" w:rsidRPr="005F120D" w:rsidRDefault="0025109C" w:rsidP="009811E9">
      <w:pPr>
        <w:spacing w:line="276" w:lineRule="auto"/>
        <w:jc w:val="both"/>
        <w:rPr>
          <w:rFonts w:asciiTheme="minorHAnsi" w:hAnsiTheme="minorHAnsi" w:cstheme="minorHAnsi"/>
        </w:rPr>
      </w:pPr>
      <w:r w:rsidRPr="005F120D">
        <w:rPr>
          <w:rFonts w:asciiTheme="minorHAnsi" w:hAnsiTheme="minorHAnsi" w:cstheme="minorHAnsi"/>
          <w:szCs w:val="22"/>
        </w:rPr>
        <w:t>The government is the main financing source of these projects except English in Action and ROSC projects.  In 2011-12, 87% of the total discrete projects budget was sourced by the Government at 83% in 2012-13 and 73% in 2013-14. In 2014/15, the total discrete project budget was Taka 213,517 lac (the government share was 79% a</w:t>
      </w:r>
      <w:r w:rsidR="0074414F" w:rsidRPr="005F120D">
        <w:rPr>
          <w:rFonts w:asciiTheme="minorHAnsi" w:hAnsiTheme="minorHAnsi" w:cstheme="minorHAnsi"/>
          <w:szCs w:val="22"/>
        </w:rPr>
        <w:t>nd external share was 21%) (see</w:t>
      </w:r>
      <w:r w:rsidR="00045BB9">
        <w:rPr>
          <w:rFonts w:asciiTheme="minorHAnsi" w:hAnsiTheme="minorHAnsi" w:cstheme="minorHAnsi"/>
          <w:szCs w:val="22"/>
        </w:rPr>
        <w:t xml:space="preserve"> </w:t>
      </w:r>
      <w:r w:rsidRPr="005F120D">
        <w:rPr>
          <w:rFonts w:asciiTheme="minorHAnsi" w:hAnsiTheme="minorHAnsi" w:cstheme="minorHAnsi"/>
          <w:szCs w:val="22"/>
        </w:rPr>
        <w:t>T</w:t>
      </w:r>
      <w:r w:rsidR="0074414F" w:rsidRPr="005F120D">
        <w:rPr>
          <w:rFonts w:asciiTheme="minorHAnsi" w:hAnsiTheme="minorHAnsi" w:cstheme="minorHAnsi"/>
          <w:szCs w:val="22"/>
        </w:rPr>
        <w:t>able 6.9</w:t>
      </w:r>
      <w:r w:rsidRPr="005F120D">
        <w:rPr>
          <w:rFonts w:asciiTheme="minorHAnsi" w:hAnsiTheme="minorHAnsi" w:cstheme="minorHAnsi"/>
          <w:szCs w:val="22"/>
        </w:rPr>
        <w:t>)</w:t>
      </w:r>
      <w:r w:rsidR="00AD77FA" w:rsidRPr="005F120D">
        <w:rPr>
          <w:rFonts w:asciiTheme="minorHAnsi" w:hAnsiTheme="minorHAnsi" w:cstheme="minorHAnsi"/>
        </w:rPr>
        <w:t xml:space="preserve">.  </w:t>
      </w:r>
      <w:bookmarkStart w:id="596" w:name="_Ref388004197"/>
    </w:p>
    <w:p w:rsidR="00F7286A" w:rsidRPr="005F120D" w:rsidRDefault="00F7286A" w:rsidP="0074414F">
      <w:pPr>
        <w:pStyle w:val="Caption"/>
        <w:rPr>
          <w:rFonts w:cstheme="minorHAnsi"/>
        </w:rPr>
      </w:pPr>
      <w:bookmarkStart w:id="597" w:name="_Toc462837312"/>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9</w:t>
      </w:r>
      <w:r w:rsidR="002E2ED5" w:rsidRPr="005F120D">
        <w:rPr>
          <w:rFonts w:cstheme="minorHAnsi"/>
        </w:rPr>
        <w:fldChar w:fldCharType="end"/>
      </w:r>
      <w:bookmarkEnd w:id="596"/>
      <w:r w:rsidRPr="005F120D">
        <w:rPr>
          <w:rFonts w:cstheme="minorHAnsi"/>
        </w:rPr>
        <w:t xml:space="preserve">: </w:t>
      </w:r>
      <w:r w:rsidR="00F96814" w:rsidRPr="005F120D">
        <w:rPr>
          <w:rFonts w:cstheme="minorHAnsi"/>
        </w:rPr>
        <w:t>Discrete</w:t>
      </w:r>
      <w:r w:rsidRPr="005F120D">
        <w:rPr>
          <w:rFonts w:cstheme="minorHAnsi"/>
        </w:rPr>
        <w:t xml:space="preserve"> Projects Finan</w:t>
      </w:r>
      <w:r w:rsidR="00A77058" w:rsidRPr="005F120D">
        <w:rPr>
          <w:rFonts w:cstheme="minorHAnsi"/>
        </w:rPr>
        <w:t xml:space="preserve">cing Sources </w:t>
      </w:r>
      <w:r w:rsidRPr="005F120D">
        <w:rPr>
          <w:rFonts w:cstheme="minorHAnsi"/>
        </w:rPr>
        <w:t>201</w:t>
      </w:r>
      <w:r w:rsidR="00D628CD" w:rsidRPr="005F120D">
        <w:rPr>
          <w:rFonts w:cstheme="minorHAnsi"/>
        </w:rPr>
        <w:t>5</w:t>
      </w:r>
      <w:bookmarkEnd w:id="597"/>
    </w:p>
    <w:tbl>
      <w:tblPr>
        <w:tblStyle w:val="LightGrid-Accent3"/>
        <w:tblW w:w="5000" w:type="pct"/>
        <w:tblLook w:val="04A0"/>
      </w:tblPr>
      <w:tblGrid>
        <w:gridCol w:w="441"/>
        <w:gridCol w:w="2706"/>
        <w:gridCol w:w="1265"/>
        <w:gridCol w:w="723"/>
        <w:gridCol w:w="1029"/>
        <w:gridCol w:w="724"/>
        <w:gridCol w:w="1131"/>
        <w:gridCol w:w="1226"/>
      </w:tblGrid>
      <w:tr w:rsidR="007C47C2" w:rsidRPr="005F120D" w:rsidTr="007C47C2">
        <w:trPr>
          <w:cnfStyle w:val="100000000000"/>
          <w:trHeight w:val="300"/>
          <w:tblHeader/>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i/>
                <w:sz w:val="20"/>
                <w:lang w:eastAsia="ja-JP"/>
              </w:rPr>
            </w:pPr>
            <w:r w:rsidRPr="005F120D">
              <w:rPr>
                <w:rFonts w:asciiTheme="minorHAnsi" w:hAnsiTheme="minorHAnsi" w:cstheme="minorHAnsi"/>
                <w:b w:val="0"/>
                <w:i/>
                <w:sz w:val="20"/>
                <w:lang w:eastAsia="ja-JP"/>
              </w:rPr>
              <w:t>SL.</w:t>
            </w:r>
          </w:p>
        </w:tc>
        <w:tc>
          <w:tcPr>
            <w:tcW w:w="1506" w:type="pct"/>
            <w:vAlign w:val="center"/>
          </w:tcPr>
          <w:p w:rsidR="007C47C2" w:rsidRPr="005F120D" w:rsidRDefault="007C47C2" w:rsidP="00B25E46">
            <w:pPr>
              <w:spacing w:after="0"/>
              <w:jc w:val="center"/>
              <w:cnfStyle w:val="100000000000"/>
              <w:rPr>
                <w:rFonts w:asciiTheme="minorHAnsi" w:hAnsiTheme="minorHAnsi" w:cstheme="minorHAnsi"/>
                <w:b w:val="0"/>
                <w:i/>
                <w:sz w:val="20"/>
                <w:lang w:eastAsia="ja-JP"/>
              </w:rPr>
            </w:pPr>
          </w:p>
        </w:tc>
        <w:tc>
          <w:tcPr>
            <w:tcW w:w="2065" w:type="pct"/>
            <w:gridSpan w:val="4"/>
            <w:vAlign w:val="center"/>
          </w:tcPr>
          <w:p w:rsidR="007C47C2" w:rsidRPr="005F120D" w:rsidRDefault="007C47C2" w:rsidP="00B25E46">
            <w:pPr>
              <w:spacing w:after="0"/>
              <w:jc w:val="center"/>
              <w:cnfStyle w:val="100000000000"/>
              <w:rPr>
                <w:rFonts w:asciiTheme="minorHAnsi" w:hAnsiTheme="minorHAnsi" w:cstheme="minorHAnsi"/>
                <w:sz w:val="20"/>
                <w:lang w:eastAsia="ja-JP"/>
              </w:rPr>
            </w:pPr>
            <w:r w:rsidRPr="005F120D">
              <w:rPr>
                <w:rFonts w:asciiTheme="minorHAnsi" w:hAnsiTheme="minorHAnsi" w:cstheme="minorHAnsi"/>
                <w:sz w:val="20"/>
                <w:lang w:eastAsia="ja-JP"/>
              </w:rPr>
              <w:t xml:space="preserve">FY 2015-16 </w:t>
            </w:r>
            <w:r w:rsidRPr="005F120D">
              <w:rPr>
                <w:rFonts w:asciiTheme="minorHAnsi" w:hAnsiTheme="minorHAnsi" w:cstheme="minorHAnsi"/>
                <w:b w:val="0"/>
                <w:i/>
                <w:sz w:val="20"/>
                <w:lang w:eastAsia="ja-JP"/>
              </w:rPr>
              <w:t>(taka thousand)</w:t>
            </w:r>
          </w:p>
        </w:tc>
        <w:tc>
          <w:tcPr>
            <w:tcW w:w="599" w:type="pct"/>
            <w:vAlign w:val="center"/>
          </w:tcPr>
          <w:p w:rsidR="007C47C2" w:rsidRPr="005F120D" w:rsidRDefault="007C47C2" w:rsidP="00B25E46">
            <w:pPr>
              <w:spacing w:after="0"/>
              <w:jc w:val="center"/>
              <w:cnfStyle w:val="100000000000"/>
              <w:rPr>
                <w:rFonts w:asciiTheme="minorHAnsi" w:hAnsiTheme="minorHAnsi" w:cstheme="minorHAnsi"/>
                <w:sz w:val="20"/>
                <w:lang w:eastAsia="ja-JP"/>
              </w:rPr>
            </w:pPr>
            <w:r w:rsidRPr="005F120D">
              <w:rPr>
                <w:rFonts w:asciiTheme="minorHAnsi" w:hAnsiTheme="minorHAnsi" w:cstheme="minorHAnsi"/>
                <w:sz w:val="20"/>
                <w:lang w:eastAsia="ja-JP"/>
              </w:rPr>
              <w:t>Total</w:t>
            </w:r>
          </w:p>
        </w:tc>
        <w:tc>
          <w:tcPr>
            <w:tcW w:w="599" w:type="pct"/>
            <w:vMerge w:val="restart"/>
          </w:tcPr>
          <w:p w:rsidR="007C47C2" w:rsidRPr="005F120D" w:rsidRDefault="007C47C2" w:rsidP="00B25E46">
            <w:pPr>
              <w:spacing w:after="0"/>
              <w:jc w:val="center"/>
              <w:cnfStyle w:val="100000000000"/>
              <w:rPr>
                <w:rFonts w:asciiTheme="minorHAnsi" w:hAnsiTheme="minorHAnsi" w:cstheme="minorHAnsi"/>
                <w:sz w:val="20"/>
                <w:lang w:eastAsia="ja-JP"/>
              </w:rPr>
            </w:pPr>
            <w:r w:rsidRPr="005F120D">
              <w:rPr>
                <w:rFonts w:asciiTheme="minorHAnsi" w:hAnsiTheme="minorHAnsi" w:cstheme="minorHAnsi"/>
                <w:sz w:val="20"/>
                <w:lang w:eastAsia="ja-JP"/>
              </w:rPr>
              <w:t>Expenditure as of March 201</w:t>
            </w:r>
            <w:r w:rsidR="003D7331" w:rsidRPr="005F120D">
              <w:rPr>
                <w:rFonts w:asciiTheme="minorHAnsi" w:hAnsiTheme="minorHAnsi" w:cstheme="minorHAnsi"/>
                <w:sz w:val="20"/>
                <w:lang w:eastAsia="ja-JP"/>
              </w:rPr>
              <w:t>6</w:t>
            </w:r>
          </w:p>
        </w:tc>
      </w:tr>
      <w:tr w:rsidR="007C47C2" w:rsidRPr="005F120D" w:rsidTr="007C47C2">
        <w:trPr>
          <w:cnfStyle w:val="100000000000"/>
          <w:trHeight w:val="300"/>
          <w:tblHeader/>
        </w:trPr>
        <w:tc>
          <w:tcPr>
            <w:cnfStyle w:val="001000000000"/>
            <w:tcW w:w="231" w:type="pct"/>
            <w:vAlign w:val="center"/>
          </w:tcPr>
          <w:p w:rsidR="007C47C2" w:rsidRPr="005F120D" w:rsidRDefault="007C47C2" w:rsidP="00B25E46">
            <w:pPr>
              <w:spacing w:after="0"/>
              <w:jc w:val="center"/>
              <w:rPr>
                <w:rFonts w:asciiTheme="minorHAnsi" w:hAnsiTheme="minorHAnsi" w:cstheme="minorHAnsi"/>
                <w:sz w:val="20"/>
                <w:lang w:eastAsia="ja-JP"/>
              </w:rPr>
            </w:pPr>
          </w:p>
        </w:tc>
        <w:tc>
          <w:tcPr>
            <w:tcW w:w="1506" w:type="pct"/>
            <w:vAlign w:val="center"/>
          </w:tcPr>
          <w:p w:rsidR="007C47C2" w:rsidRPr="005F120D" w:rsidRDefault="007C47C2" w:rsidP="00B25E46">
            <w:pPr>
              <w:spacing w:after="0"/>
              <w:jc w:val="center"/>
              <w:cnfStyle w:val="100000000000"/>
              <w:rPr>
                <w:rFonts w:asciiTheme="minorHAnsi" w:hAnsiTheme="minorHAnsi" w:cstheme="minorHAnsi"/>
                <w:sz w:val="20"/>
                <w:lang w:eastAsia="ja-JP"/>
              </w:rPr>
            </w:pPr>
            <w:r w:rsidRPr="005F120D">
              <w:rPr>
                <w:rFonts w:asciiTheme="minorHAnsi" w:hAnsiTheme="minorHAnsi" w:cstheme="minorHAnsi"/>
                <w:sz w:val="20"/>
                <w:lang w:eastAsia="ja-JP"/>
              </w:rPr>
              <w:t>Project</w:t>
            </w:r>
          </w:p>
        </w:tc>
        <w:tc>
          <w:tcPr>
            <w:tcW w:w="661" w:type="pct"/>
            <w:vAlign w:val="center"/>
          </w:tcPr>
          <w:p w:rsidR="007C47C2" w:rsidRPr="005F120D" w:rsidRDefault="007C47C2" w:rsidP="00B25E46">
            <w:pPr>
              <w:spacing w:after="0"/>
              <w:jc w:val="center"/>
              <w:cnfStyle w:val="100000000000"/>
              <w:rPr>
                <w:rFonts w:asciiTheme="minorHAnsi" w:hAnsiTheme="minorHAnsi" w:cstheme="minorHAnsi"/>
                <w:sz w:val="20"/>
                <w:lang w:eastAsia="ja-JP"/>
              </w:rPr>
            </w:pPr>
            <w:r w:rsidRPr="005F120D">
              <w:rPr>
                <w:rFonts w:asciiTheme="minorHAnsi" w:hAnsiTheme="minorHAnsi" w:cstheme="minorHAnsi"/>
                <w:sz w:val="20"/>
                <w:lang w:eastAsia="ja-JP"/>
              </w:rPr>
              <w:t>Government</w:t>
            </w:r>
          </w:p>
        </w:tc>
        <w:tc>
          <w:tcPr>
            <w:tcW w:w="433" w:type="pct"/>
            <w:vAlign w:val="center"/>
          </w:tcPr>
          <w:p w:rsidR="007C47C2" w:rsidRPr="005F120D" w:rsidRDefault="007C47C2" w:rsidP="00B25E46">
            <w:pPr>
              <w:spacing w:after="0"/>
              <w:jc w:val="center"/>
              <w:cnfStyle w:val="100000000000"/>
              <w:rPr>
                <w:rFonts w:asciiTheme="minorHAnsi" w:hAnsiTheme="minorHAnsi" w:cstheme="minorHAnsi"/>
                <w:sz w:val="20"/>
                <w:lang w:eastAsia="ja-JP"/>
              </w:rPr>
            </w:pPr>
            <w:r w:rsidRPr="005F120D">
              <w:rPr>
                <w:rFonts w:asciiTheme="minorHAnsi" w:hAnsiTheme="minorHAnsi" w:cstheme="minorHAnsi"/>
                <w:sz w:val="20"/>
                <w:lang w:eastAsia="ja-JP"/>
              </w:rPr>
              <w:t>Share %</w:t>
            </w:r>
          </w:p>
        </w:tc>
        <w:tc>
          <w:tcPr>
            <w:tcW w:w="537" w:type="pct"/>
            <w:vAlign w:val="center"/>
          </w:tcPr>
          <w:p w:rsidR="007C47C2" w:rsidRPr="005F120D" w:rsidRDefault="007C47C2" w:rsidP="00B25E46">
            <w:pPr>
              <w:spacing w:after="0"/>
              <w:jc w:val="center"/>
              <w:cnfStyle w:val="100000000000"/>
              <w:rPr>
                <w:rFonts w:asciiTheme="minorHAnsi" w:hAnsiTheme="minorHAnsi" w:cstheme="minorHAnsi"/>
                <w:sz w:val="20"/>
                <w:lang w:eastAsia="ja-JP"/>
              </w:rPr>
            </w:pPr>
            <w:r w:rsidRPr="005F120D">
              <w:rPr>
                <w:rFonts w:asciiTheme="minorHAnsi" w:hAnsiTheme="minorHAnsi" w:cstheme="minorHAnsi"/>
                <w:sz w:val="20"/>
                <w:lang w:eastAsia="ja-JP"/>
              </w:rPr>
              <w:t>External Sources</w:t>
            </w:r>
          </w:p>
        </w:tc>
        <w:tc>
          <w:tcPr>
            <w:tcW w:w="434" w:type="pct"/>
            <w:vAlign w:val="center"/>
          </w:tcPr>
          <w:p w:rsidR="007C47C2" w:rsidRPr="005F120D" w:rsidRDefault="007C47C2" w:rsidP="00B25E46">
            <w:pPr>
              <w:spacing w:after="0"/>
              <w:jc w:val="center"/>
              <w:cnfStyle w:val="100000000000"/>
              <w:rPr>
                <w:rFonts w:asciiTheme="minorHAnsi" w:hAnsiTheme="minorHAnsi" w:cstheme="minorHAnsi"/>
                <w:sz w:val="20"/>
                <w:lang w:eastAsia="ja-JP"/>
              </w:rPr>
            </w:pPr>
            <w:r w:rsidRPr="005F120D">
              <w:rPr>
                <w:rFonts w:asciiTheme="minorHAnsi" w:hAnsiTheme="minorHAnsi" w:cstheme="minorHAnsi"/>
                <w:sz w:val="20"/>
                <w:lang w:eastAsia="ja-JP"/>
              </w:rPr>
              <w:t>Share %</w:t>
            </w:r>
          </w:p>
        </w:tc>
        <w:tc>
          <w:tcPr>
            <w:tcW w:w="599" w:type="pct"/>
            <w:vAlign w:val="center"/>
          </w:tcPr>
          <w:p w:rsidR="007C47C2" w:rsidRPr="005F120D" w:rsidRDefault="007C47C2" w:rsidP="00B25E46">
            <w:pPr>
              <w:spacing w:after="0"/>
              <w:jc w:val="center"/>
              <w:cnfStyle w:val="100000000000"/>
              <w:rPr>
                <w:rFonts w:asciiTheme="minorHAnsi" w:hAnsiTheme="minorHAnsi" w:cstheme="minorHAnsi"/>
                <w:sz w:val="20"/>
                <w:lang w:eastAsia="ja-JP"/>
              </w:rPr>
            </w:pPr>
            <w:r w:rsidRPr="005F120D">
              <w:rPr>
                <w:rFonts w:asciiTheme="minorHAnsi" w:hAnsiTheme="minorHAnsi" w:cstheme="minorHAnsi"/>
                <w:b w:val="0"/>
                <w:i/>
                <w:sz w:val="20"/>
                <w:lang w:eastAsia="ja-JP"/>
              </w:rPr>
              <w:t>(taka thousand)</w:t>
            </w:r>
          </w:p>
        </w:tc>
        <w:tc>
          <w:tcPr>
            <w:tcW w:w="599" w:type="pct"/>
            <w:vMerge/>
          </w:tcPr>
          <w:p w:rsidR="007C47C2" w:rsidRPr="005F120D" w:rsidRDefault="007C47C2" w:rsidP="00B25E46">
            <w:pPr>
              <w:spacing w:after="0"/>
              <w:jc w:val="center"/>
              <w:cnfStyle w:val="100000000000"/>
              <w:rPr>
                <w:rFonts w:asciiTheme="minorHAnsi" w:hAnsiTheme="minorHAnsi" w:cstheme="minorHAnsi"/>
                <w:b w:val="0"/>
                <w:i/>
                <w:sz w:val="20"/>
                <w:lang w:eastAsia="ja-JP"/>
              </w:rPr>
            </w:pPr>
          </w:p>
        </w:tc>
      </w:tr>
      <w:tr w:rsidR="007C47C2" w:rsidRPr="005F120D" w:rsidTr="00E05316">
        <w:trPr>
          <w:cnfStyle w:val="000000100000"/>
          <w:trHeight w:hRule="exact" w:val="333"/>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1</w:t>
            </w:r>
          </w:p>
        </w:tc>
        <w:tc>
          <w:tcPr>
            <w:tcW w:w="1506" w:type="pct"/>
            <w:vAlign w:val="center"/>
            <w:hideMark/>
          </w:tcPr>
          <w:p w:rsidR="007C47C2" w:rsidRPr="005F120D" w:rsidRDefault="007C47C2" w:rsidP="00B25E46">
            <w:pPr>
              <w:spacing w:after="0"/>
              <w:cnfStyle w:val="000000100000"/>
              <w:rPr>
                <w:rFonts w:asciiTheme="minorHAnsi" w:hAnsiTheme="minorHAnsi" w:cstheme="minorHAnsi"/>
                <w:sz w:val="20"/>
              </w:rPr>
            </w:pPr>
            <w:r w:rsidRPr="005F120D">
              <w:rPr>
                <w:rFonts w:asciiTheme="minorHAnsi" w:hAnsiTheme="minorHAnsi" w:cstheme="minorHAnsi"/>
                <w:sz w:val="20"/>
              </w:rPr>
              <w:t>English in Action</w:t>
            </w:r>
          </w:p>
        </w:tc>
        <w:tc>
          <w:tcPr>
            <w:tcW w:w="661"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5,000</w:t>
            </w:r>
          </w:p>
        </w:tc>
        <w:tc>
          <w:tcPr>
            <w:tcW w:w="433"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2.7%</w:t>
            </w:r>
          </w:p>
        </w:tc>
        <w:tc>
          <w:tcPr>
            <w:tcW w:w="537"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182,600</w:t>
            </w:r>
          </w:p>
        </w:tc>
        <w:tc>
          <w:tcPr>
            <w:tcW w:w="434"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97.3%</w:t>
            </w:r>
          </w:p>
        </w:tc>
        <w:tc>
          <w:tcPr>
            <w:tcW w:w="599"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187,600</w:t>
            </w:r>
          </w:p>
        </w:tc>
        <w:tc>
          <w:tcPr>
            <w:tcW w:w="599" w:type="pct"/>
            <w:vAlign w:val="center"/>
          </w:tcPr>
          <w:p w:rsidR="007C47C2" w:rsidRPr="005F120D" w:rsidRDefault="00F0053C"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120,349</w:t>
            </w:r>
          </w:p>
        </w:tc>
      </w:tr>
      <w:tr w:rsidR="007C47C2" w:rsidRPr="005F120D" w:rsidTr="00E05316">
        <w:trPr>
          <w:cnfStyle w:val="000000010000"/>
          <w:trHeight w:hRule="exact" w:val="344"/>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2</w:t>
            </w:r>
          </w:p>
        </w:tc>
        <w:tc>
          <w:tcPr>
            <w:tcW w:w="1506" w:type="pct"/>
            <w:vAlign w:val="center"/>
            <w:hideMark/>
          </w:tcPr>
          <w:p w:rsidR="007C47C2" w:rsidRPr="005F120D" w:rsidRDefault="007C47C2" w:rsidP="00B25E46">
            <w:pPr>
              <w:spacing w:after="0"/>
              <w:cnfStyle w:val="000000010000"/>
              <w:rPr>
                <w:rFonts w:asciiTheme="minorHAnsi" w:hAnsiTheme="minorHAnsi" w:cstheme="minorHAnsi"/>
                <w:sz w:val="20"/>
              </w:rPr>
            </w:pPr>
            <w:r w:rsidRPr="005F120D">
              <w:rPr>
                <w:rFonts w:asciiTheme="minorHAnsi" w:hAnsiTheme="minorHAnsi" w:cstheme="minorHAnsi"/>
                <w:sz w:val="20"/>
              </w:rPr>
              <w:t>ROSC project</w:t>
            </w:r>
          </w:p>
        </w:tc>
        <w:tc>
          <w:tcPr>
            <w:tcW w:w="661"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100,000</w:t>
            </w:r>
          </w:p>
        </w:tc>
        <w:tc>
          <w:tcPr>
            <w:tcW w:w="433"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5.9%</w:t>
            </w:r>
          </w:p>
        </w:tc>
        <w:tc>
          <w:tcPr>
            <w:tcW w:w="537"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1,600,000</w:t>
            </w:r>
          </w:p>
        </w:tc>
        <w:tc>
          <w:tcPr>
            <w:tcW w:w="434"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94.1%</w:t>
            </w:r>
          </w:p>
        </w:tc>
        <w:tc>
          <w:tcPr>
            <w:tcW w:w="599"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1,700,000</w:t>
            </w:r>
          </w:p>
        </w:tc>
        <w:tc>
          <w:tcPr>
            <w:tcW w:w="599" w:type="pct"/>
            <w:vAlign w:val="center"/>
          </w:tcPr>
          <w:p w:rsidR="007C47C2" w:rsidRPr="005F120D" w:rsidRDefault="00EB40E3"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559,368</w:t>
            </w:r>
          </w:p>
        </w:tc>
      </w:tr>
      <w:tr w:rsidR="007C47C2" w:rsidRPr="005F120D" w:rsidTr="00F0053C">
        <w:trPr>
          <w:cnfStyle w:val="000000100000"/>
          <w:trHeight w:hRule="exact" w:val="488"/>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3</w:t>
            </w:r>
          </w:p>
        </w:tc>
        <w:tc>
          <w:tcPr>
            <w:tcW w:w="1506" w:type="pct"/>
            <w:vAlign w:val="center"/>
          </w:tcPr>
          <w:p w:rsidR="007C47C2" w:rsidRPr="005F120D" w:rsidRDefault="007C47C2" w:rsidP="00B25E46">
            <w:pPr>
              <w:spacing w:after="0"/>
              <w:cnfStyle w:val="000000100000"/>
              <w:rPr>
                <w:rFonts w:asciiTheme="minorHAnsi" w:hAnsiTheme="minorHAnsi" w:cstheme="minorHAnsi"/>
                <w:sz w:val="20"/>
              </w:rPr>
            </w:pPr>
            <w:r w:rsidRPr="005F120D">
              <w:rPr>
                <w:rFonts w:asciiTheme="minorHAnsi" w:hAnsiTheme="minorHAnsi" w:cstheme="minorHAnsi"/>
                <w:sz w:val="20"/>
              </w:rPr>
              <w:t>GPS re-construction and renovation project 2</w:t>
            </w:r>
            <w:r w:rsidRPr="005F120D">
              <w:rPr>
                <w:rFonts w:asciiTheme="minorHAnsi" w:hAnsiTheme="minorHAnsi" w:cstheme="minorHAnsi"/>
                <w:sz w:val="20"/>
                <w:vertAlign w:val="superscript"/>
              </w:rPr>
              <w:t>nd</w:t>
            </w:r>
            <w:r w:rsidRPr="005F120D">
              <w:rPr>
                <w:rFonts w:asciiTheme="minorHAnsi" w:hAnsiTheme="minorHAnsi" w:cstheme="minorHAnsi"/>
                <w:sz w:val="20"/>
              </w:rPr>
              <w:t xml:space="preserve"> phase (3</w:t>
            </w:r>
            <w:r w:rsidRPr="005F120D">
              <w:rPr>
                <w:rFonts w:asciiTheme="minorHAnsi" w:hAnsiTheme="minorHAnsi" w:cstheme="minorHAnsi"/>
                <w:sz w:val="20"/>
                <w:vertAlign w:val="superscript"/>
              </w:rPr>
              <w:t>rd</w:t>
            </w:r>
            <w:r w:rsidRPr="005F120D">
              <w:rPr>
                <w:rFonts w:asciiTheme="minorHAnsi" w:hAnsiTheme="minorHAnsi" w:cstheme="minorHAnsi"/>
                <w:sz w:val="20"/>
              </w:rPr>
              <w:t xml:space="preserve"> revised)</w:t>
            </w:r>
          </w:p>
          <w:p w:rsidR="007C47C2" w:rsidRPr="005F120D" w:rsidRDefault="007C47C2" w:rsidP="00B25E46">
            <w:pPr>
              <w:spacing w:after="0"/>
              <w:cnfStyle w:val="000000100000"/>
              <w:rPr>
                <w:rFonts w:asciiTheme="minorHAnsi" w:hAnsiTheme="minorHAnsi" w:cstheme="minorHAnsi"/>
                <w:sz w:val="20"/>
              </w:rPr>
            </w:pPr>
          </w:p>
          <w:p w:rsidR="007C47C2" w:rsidRPr="005F120D" w:rsidRDefault="007C47C2" w:rsidP="00B25E46">
            <w:pPr>
              <w:spacing w:after="0"/>
              <w:cnfStyle w:val="000000100000"/>
              <w:rPr>
                <w:rFonts w:asciiTheme="minorHAnsi" w:hAnsiTheme="minorHAnsi" w:cstheme="minorHAnsi"/>
                <w:sz w:val="20"/>
              </w:rPr>
            </w:pPr>
          </w:p>
          <w:p w:rsidR="007C47C2" w:rsidRPr="005F120D" w:rsidRDefault="007C47C2" w:rsidP="00B25E46">
            <w:pPr>
              <w:spacing w:after="0"/>
              <w:cnfStyle w:val="000000100000"/>
              <w:rPr>
                <w:rFonts w:asciiTheme="minorHAnsi" w:hAnsiTheme="minorHAnsi" w:cstheme="minorHAnsi"/>
                <w:sz w:val="20"/>
              </w:rPr>
            </w:pPr>
          </w:p>
          <w:p w:rsidR="007C47C2" w:rsidRPr="005F120D" w:rsidRDefault="007C47C2" w:rsidP="00B25E46">
            <w:pPr>
              <w:spacing w:after="0"/>
              <w:cnfStyle w:val="000000100000"/>
              <w:rPr>
                <w:rFonts w:asciiTheme="minorHAnsi" w:hAnsiTheme="minorHAnsi" w:cstheme="minorHAnsi"/>
                <w:sz w:val="20"/>
              </w:rPr>
            </w:pPr>
          </w:p>
          <w:p w:rsidR="007C47C2" w:rsidRPr="005F120D" w:rsidRDefault="007C47C2" w:rsidP="00B25E46">
            <w:pPr>
              <w:spacing w:after="0"/>
              <w:cnfStyle w:val="000000100000"/>
              <w:rPr>
                <w:rFonts w:asciiTheme="minorHAnsi" w:hAnsiTheme="minorHAnsi" w:cstheme="minorHAnsi"/>
                <w:sz w:val="20"/>
              </w:rPr>
            </w:pPr>
          </w:p>
          <w:p w:rsidR="007C47C2" w:rsidRPr="005F120D" w:rsidRDefault="007C47C2" w:rsidP="00B25E46">
            <w:pPr>
              <w:spacing w:after="0"/>
              <w:cnfStyle w:val="000000100000"/>
              <w:rPr>
                <w:rFonts w:asciiTheme="minorHAnsi" w:hAnsiTheme="minorHAnsi" w:cstheme="minorHAnsi"/>
                <w:sz w:val="20"/>
              </w:rPr>
            </w:pPr>
          </w:p>
          <w:p w:rsidR="007C47C2" w:rsidRPr="005F120D" w:rsidRDefault="007C47C2" w:rsidP="00B25E46">
            <w:pPr>
              <w:spacing w:after="0"/>
              <w:cnfStyle w:val="000000100000"/>
              <w:rPr>
                <w:rFonts w:asciiTheme="minorHAnsi" w:hAnsiTheme="minorHAnsi" w:cstheme="minorHAnsi"/>
                <w:sz w:val="20"/>
              </w:rPr>
            </w:pPr>
          </w:p>
          <w:p w:rsidR="007C47C2" w:rsidRPr="005F120D" w:rsidRDefault="007C47C2" w:rsidP="00B25E46">
            <w:pPr>
              <w:spacing w:after="0"/>
              <w:cnfStyle w:val="000000100000"/>
              <w:rPr>
                <w:rFonts w:asciiTheme="minorHAnsi" w:hAnsiTheme="minorHAnsi" w:cstheme="minorHAnsi"/>
                <w:sz w:val="20"/>
              </w:rPr>
            </w:pPr>
            <w:r w:rsidRPr="005F120D">
              <w:rPr>
                <w:rFonts w:asciiTheme="minorHAnsi" w:hAnsiTheme="minorHAnsi" w:cstheme="minorHAnsi"/>
                <w:sz w:val="20"/>
              </w:rPr>
              <w:t>3</w:t>
            </w:r>
            <w:r w:rsidRPr="005F120D">
              <w:rPr>
                <w:rFonts w:asciiTheme="minorHAnsi" w:hAnsiTheme="minorHAnsi" w:cstheme="minorHAnsi"/>
                <w:sz w:val="20"/>
                <w:vertAlign w:val="superscript"/>
              </w:rPr>
              <w:t>rd</w:t>
            </w:r>
            <w:r w:rsidRPr="005F120D">
              <w:rPr>
                <w:rFonts w:asciiTheme="minorHAnsi" w:hAnsiTheme="minorHAnsi" w:cstheme="minorHAnsi"/>
                <w:sz w:val="20"/>
              </w:rPr>
              <w:t xml:space="preserve"> revised</w:t>
            </w:r>
          </w:p>
        </w:tc>
        <w:tc>
          <w:tcPr>
            <w:tcW w:w="661"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2,004,500</w:t>
            </w:r>
          </w:p>
        </w:tc>
        <w:tc>
          <w:tcPr>
            <w:tcW w:w="433"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100%</w:t>
            </w:r>
          </w:p>
        </w:tc>
        <w:tc>
          <w:tcPr>
            <w:tcW w:w="537" w:type="pct"/>
            <w:vAlign w:val="center"/>
          </w:tcPr>
          <w:p w:rsidR="007C47C2" w:rsidRPr="005F120D" w:rsidRDefault="00E802BF"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w:t>
            </w:r>
          </w:p>
        </w:tc>
        <w:tc>
          <w:tcPr>
            <w:tcW w:w="434"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w:t>
            </w:r>
          </w:p>
        </w:tc>
        <w:tc>
          <w:tcPr>
            <w:tcW w:w="599"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2,004,500</w:t>
            </w:r>
          </w:p>
        </w:tc>
        <w:tc>
          <w:tcPr>
            <w:tcW w:w="599" w:type="pct"/>
            <w:vAlign w:val="center"/>
          </w:tcPr>
          <w:p w:rsidR="007C47C2" w:rsidRPr="005F120D" w:rsidRDefault="00EB40E3"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1,454,390</w:t>
            </w:r>
          </w:p>
        </w:tc>
      </w:tr>
      <w:tr w:rsidR="007C47C2" w:rsidRPr="005F120D" w:rsidTr="00F0053C">
        <w:trPr>
          <w:cnfStyle w:val="000000010000"/>
          <w:trHeight w:hRule="exact" w:val="344"/>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4</w:t>
            </w:r>
          </w:p>
        </w:tc>
        <w:tc>
          <w:tcPr>
            <w:tcW w:w="1506" w:type="pct"/>
            <w:vAlign w:val="center"/>
          </w:tcPr>
          <w:p w:rsidR="007C47C2" w:rsidRPr="005F120D" w:rsidRDefault="007C47C2" w:rsidP="00B25E46">
            <w:pPr>
              <w:spacing w:after="0"/>
              <w:cnfStyle w:val="000000010000"/>
              <w:rPr>
                <w:rFonts w:asciiTheme="minorHAnsi" w:hAnsiTheme="minorHAnsi" w:cstheme="minorHAnsi"/>
                <w:sz w:val="20"/>
              </w:rPr>
            </w:pPr>
            <w:r w:rsidRPr="005F120D">
              <w:rPr>
                <w:rFonts w:asciiTheme="minorHAnsi" w:hAnsiTheme="minorHAnsi" w:cstheme="minorHAnsi"/>
                <w:sz w:val="20"/>
              </w:rPr>
              <w:t>EC supported school feeding program</w:t>
            </w:r>
          </w:p>
        </w:tc>
        <w:tc>
          <w:tcPr>
            <w:tcW w:w="661"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160,000</w:t>
            </w:r>
          </w:p>
        </w:tc>
        <w:tc>
          <w:tcPr>
            <w:tcW w:w="433"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89.6%</w:t>
            </w:r>
          </w:p>
        </w:tc>
        <w:tc>
          <w:tcPr>
            <w:tcW w:w="537"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18,600</w:t>
            </w:r>
          </w:p>
        </w:tc>
        <w:tc>
          <w:tcPr>
            <w:tcW w:w="434"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10.4%</w:t>
            </w:r>
          </w:p>
        </w:tc>
        <w:tc>
          <w:tcPr>
            <w:tcW w:w="599"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178,600</w:t>
            </w:r>
          </w:p>
        </w:tc>
        <w:tc>
          <w:tcPr>
            <w:tcW w:w="599" w:type="pct"/>
            <w:vAlign w:val="center"/>
          </w:tcPr>
          <w:p w:rsidR="007C47C2" w:rsidRPr="005F120D" w:rsidRDefault="00EB40E3"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125,300</w:t>
            </w:r>
          </w:p>
        </w:tc>
      </w:tr>
      <w:tr w:rsidR="007C47C2" w:rsidRPr="005F120D" w:rsidTr="00F0053C">
        <w:trPr>
          <w:cnfStyle w:val="000000100000"/>
          <w:trHeight w:hRule="exact" w:val="542"/>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5</w:t>
            </w:r>
          </w:p>
        </w:tc>
        <w:tc>
          <w:tcPr>
            <w:tcW w:w="1506" w:type="pct"/>
            <w:vAlign w:val="center"/>
          </w:tcPr>
          <w:p w:rsidR="007C47C2" w:rsidRPr="005F120D" w:rsidRDefault="007C47C2" w:rsidP="00B25E46">
            <w:pPr>
              <w:spacing w:after="0"/>
              <w:cnfStyle w:val="000000100000"/>
              <w:rPr>
                <w:rFonts w:asciiTheme="minorHAnsi" w:hAnsiTheme="minorHAnsi" w:cstheme="minorHAnsi"/>
                <w:sz w:val="20"/>
              </w:rPr>
            </w:pPr>
            <w:r w:rsidRPr="005F120D">
              <w:rPr>
                <w:rFonts w:asciiTheme="minorHAnsi" w:hAnsiTheme="minorHAnsi" w:cstheme="minorHAnsi"/>
                <w:sz w:val="20"/>
              </w:rPr>
              <w:t>Establishment of 1500 primary school in the un-schooled areas</w:t>
            </w:r>
          </w:p>
        </w:tc>
        <w:tc>
          <w:tcPr>
            <w:tcW w:w="661"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2,000,000</w:t>
            </w:r>
          </w:p>
        </w:tc>
        <w:tc>
          <w:tcPr>
            <w:tcW w:w="433"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100%</w:t>
            </w:r>
          </w:p>
        </w:tc>
        <w:tc>
          <w:tcPr>
            <w:tcW w:w="537"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w:t>
            </w:r>
          </w:p>
        </w:tc>
        <w:tc>
          <w:tcPr>
            <w:tcW w:w="434"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w:t>
            </w:r>
          </w:p>
        </w:tc>
        <w:tc>
          <w:tcPr>
            <w:tcW w:w="599"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2,000,000</w:t>
            </w:r>
          </w:p>
        </w:tc>
        <w:tc>
          <w:tcPr>
            <w:tcW w:w="599" w:type="pct"/>
            <w:vAlign w:val="center"/>
          </w:tcPr>
          <w:p w:rsidR="007C47C2" w:rsidRPr="005F120D" w:rsidRDefault="00EB40E3"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451,352</w:t>
            </w:r>
          </w:p>
        </w:tc>
      </w:tr>
      <w:tr w:rsidR="007C47C2" w:rsidRPr="005F120D" w:rsidTr="00F0053C">
        <w:trPr>
          <w:cnfStyle w:val="000000010000"/>
          <w:trHeight w:hRule="exact" w:val="533"/>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6</w:t>
            </w:r>
          </w:p>
        </w:tc>
        <w:tc>
          <w:tcPr>
            <w:tcW w:w="1506" w:type="pct"/>
            <w:vAlign w:val="center"/>
          </w:tcPr>
          <w:p w:rsidR="007C47C2" w:rsidRPr="005F120D" w:rsidRDefault="007C47C2" w:rsidP="00B25E46">
            <w:pPr>
              <w:spacing w:after="0"/>
              <w:cnfStyle w:val="000000010000"/>
              <w:rPr>
                <w:rFonts w:asciiTheme="minorHAnsi" w:hAnsiTheme="minorHAnsi" w:cstheme="minorHAnsi"/>
                <w:sz w:val="20"/>
              </w:rPr>
            </w:pPr>
            <w:r w:rsidRPr="005F120D">
              <w:rPr>
                <w:rFonts w:asciiTheme="minorHAnsi" w:hAnsiTheme="minorHAnsi" w:cstheme="minorHAnsi"/>
                <w:sz w:val="20"/>
              </w:rPr>
              <w:t>School feeding program in the poorest areas (GoB/WFP)</w:t>
            </w:r>
          </w:p>
        </w:tc>
        <w:tc>
          <w:tcPr>
            <w:tcW w:w="661"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4,400,000</w:t>
            </w:r>
          </w:p>
        </w:tc>
        <w:tc>
          <w:tcPr>
            <w:tcW w:w="433"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78.6%</w:t>
            </w:r>
          </w:p>
        </w:tc>
        <w:tc>
          <w:tcPr>
            <w:tcW w:w="537"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1,200,000</w:t>
            </w:r>
          </w:p>
        </w:tc>
        <w:tc>
          <w:tcPr>
            <w:tcW w:w="434"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21.4%</w:t>
            </w:r>
          </w:p>
        </w:tc>
        <w:tc>
          <w:tcPr>
            <w:tcW w:w="599"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5,600,000</w:t>
            </w:r>
          </w:p>
        </w:tc>
        <w:tc>
          <w:tcPr>
            <w:tcW w:w="599" w:type="pct"/>
            <w:vAlign w:val="center"/>
          </w:tcPr>
          <w:p w:rsidR="007C47C2" w:rsidRPr="005F120D" w:rsidRDefault="00EB40E3"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3,038,054</w:t>
            </w:r>
          </w:p>
        </w:tc>
      </w:tr>
      <w:tr w:rsidR="007C47C2" w:rsidRPr="005F120D" w:rsidTr="00F0053C">
        <w:trPr>
          <w:cnfStyle w:val="000000100000"/>
          <w:trHeight w:hRule="exact" w:val="542"/>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7</w:t>
            </w:r>
          </w:p>
        </w:tc>
        <w:tc>
          <w:tcPr>
            <w:tcW w:w="1506" w:type="pct"/>
            <w:vAlign w:val="center"/>
          </w:tcPr>
          <w:p w:rsidR="007C47C2" w:rsidRPr="005F120D" w:rsidRDefault="007C47C2" w:rsidP="00B25E46">
            <w:pPr>
              <w:spacing w:after="0"/>
              <w:cnfStyle w:val="000000100000"/>
              <w:rPr>
                <w:rFonts w:asciiTheme="minorHAnsi" w:hAnsiTheme="minorHAnsi" w:cstheme="minorHAnsi"/>
                <w:sz w:val="20"/>
              </w:rPr>
            </w:pPr>
            <w:r w:rsidRPr="005F120D">
              <w:rPr>
                <w:rFonts w:asciiTheme="minorHAnsi" w:hAnsiTheme="minorHAnsi" w:cstheme="minorHAnsi"/>
                <w:sz w:val="20"/>
              </w:rPr>
              <w:t>Establishment of 12 PTIS in the 12 districts</w:t>
            </w:r>
          </w:p>
        </w:tc>
        <w:tc>
          <w:tcPr>
            <w:tcW w:w="661"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400,000</w:t>
            </w:r>
          </w:p>
        </w:tc>
        <w:tc>
          <w:tcPr>
            <w:tcW w:w="433"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100%</w:t>
            </w:r>
          </w:p>
        </w:tc>
        <w:tc>
          <w:tcPr>
            <w:tcW w:w="537"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w:t>
            </w:r>
          </w:p>
        </w:tc>
        <w:tc>
          <w:tcPr>
            <w:tcW w:w="434"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w:t>
            </w:r>
          </w:p>
        </w:tc>
        <w:tc>
          <w:tcPr>
            <w:tcW w:w="599"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400,000</w:t>
            </w:r>
          </w:p>
        </w:tc>
        <w:tc>
          <w:tcPr>
            <w:tcW w:w="599" w:type="pct"/>
            <w:vAlign w:val="center"/>
          </w:tcPr>
          <w:p w:rsidR="007C47C2" w:rsidRPr="005F120D" w:rsidRDefault="00EB40E3"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192,120</w:t>
            </w:r>
          </w:p>
        </w:tc>
      </w:tr>
      <w:tr w:rsidR="007C47C2" w:rsidRPr="005F120D" w:rsidTr="00F0053C">
        <w:trPr>
          <w:cnfStyle w:val="000000010000"/>
          <w:trHeight w:hRule="exact" w:val="641"/>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8</w:t>
            </w:r>
          </w:p>
        </w:tc>
        <w:tc>
          <w:tcPr>
            <w:tcW w:w="1506" w:type="pct"/>
            <w:vAlign w:val="center"/>
          </w:tcPr>
          <w:p w:rsidR="007C47C2" w:rsidRPr="005F120D" w:rsidRDefault="007C47C2" w:rsidP="00B25E46">
            <w:pPr>
              <w:spacing w:after="0"/>
              <w:cnfStyle w:val="000000010000"/>
              <w:rPr>
                <w:rFonts w:asciiTheme="minorHAnsi" w:hAnsiTheme="minorHAnsi" w:cstheme="minorHAnsi"/>
                <w:sz w:val="20"/>
              </w:rPr>
            </w:pPr>
            <w:r w:rsidRPr="005F120D">
              <w:rPr>
                <w:rFonts w:asciiTheme="minorHAnsi" w:hAnsiTheme="minorHAnsi" w:cstheme="minorHAnsi"/>
                <w:sz w:val="20"/>
              </w:rPr>
              <w:t>Primary education development project IDB</w:t>
            </w:r>
          </w:p>
        </w:tc>
        <w:tc>
          <w:tcPr>
            <w:tcW w:w="661"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170,000</w:t>
            </w:r>
          </w:p>
        </w:tc>
        <w:tc>
          <w:tcPr>
            <w:tcW w:w="433"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32.5%</w:t>
            </w:r>
          </w:p>
        </w:tc>
        <w:tc>
          <w:tcPr>
            <w:tcW w:w="537"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353,300</w:t>
            </w:r>
          </w:p>
        </w:tc>
        <w:tc>
          <w:tcPr>
            <w:tcW w:w="434"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67.5%</w:t>
            </w:r>
          </w:p>
        </w:tc>
        <w:tc>
          <w:tcPr>
            <w:tcW w:w="599"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523,300</w:t>
            </w:r>
          </w:p>
        </w:tc>
        <w:tc>
          <w:tcPr>
            <w:tcW w:w="599" w:type="pct"/>
            <w:vAlign w:val="center"/>
          </w:tcPr>
          <w:p w:rsidR="007C47C2" w:rsidRPr="005F120D" w:rsidRDefault="00F0053C"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218,776</w:t>
            </w:r>
          </w:p>
        </w:tc>
      </w:tr>
      <w:tr w:rsidR="007C47C2" w:rsidRPr="005F120D" w:rsidTr="00F0053C">
        <w:trPr>
          <w:cnfStyle w:val="000000100000"/>
          <w:trHeight w:hRule="exact" w:val="515"/>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9</w:t>
            </w:r>
          </w:p>
        </w:tc>
        <w:tc>
          <w:tcPr>
            <w:tcW w:w="1506" w:type="pct"/>
            <w:vAlign w:val="center"/>
          </w:tcPr>
          <w:p w:rsidR="007C47C2" w:rsidRPr="005F120D" w:rsidRDefault="007C47C2" w:rsidP="00B25E46">
            <w:pPr>
              <w:spacing w:after="0"/>
              <w:cnfStyle w:val="000000100000"/>
              <w:rPr>
                <w:rFonts w:asciiTheme="minorHAnsi" w:hAnsiTheme="minorHAnsi" w:cstheme="minorHAnsi"/>
                <w:sz w:val="20"/>
              </w:rPr>
            </w:pPr>
            <w:r w:rsidRPr="005F120D">
              <w:rPr>
                <w:rFonts w:asciiTheme="minorHAnsi" w:hAnsiTheme="minorHAnsi" w:cstheme="minorHAnsi"/>
                <w:sz w:val="20"/>
              </w:rPr>
              <w:t>Stipend program of primary education 2</w:t>
            </w:r>
            <w:r w:rsidRPr="005F120D">
              <w:rPr>
                <w:rFonts w:asciiTheme="minorHAnsi" w:hAnsiTheme="minorHAnsi" w:cstheme="minorHAnsi"/>
                <w:sz w:val="20"/>
                <w:vertAlign w:val="superscript"/>
              </w:rPr>
              <w:t>nd</w:t>
            </w:r>
            <w:r w:rsidRPr="005F120D">
              <w:rPr>
                <w:rFonts w:asciiTheme="minorHAnsi" w:hAnsiTheme="minorHAnsi" w:cstheme="minorHAnsi"/>
                <w:sz w:val="20"/>
              </w:rPr>
              <w:t xml:space="preserve"> phase</w:t>
            </w:r>
          </w:p>
        </w:tc>
        <w:tc>
          <w:tcPr>
            <w:tcW w:w="661"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p>
        </w:tc>
        <w:tc>
          <w:tcPr>
            <w:tcW w:w="433"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p>
        </w:tc>
        <w:tc>
          <w:tcPr>
            <w:tcW w:w="537"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w:t>
            </w:r>
          </w:p>
        </w:tc>
        <w:tc>
          <w:tcPr>
            <w:tcW w:w="434"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w:t>
            </w:r>
          </w:p>
        </w:tc>
        <w:tc>
          <w:tcPr>
            <w:tcW w:w="599" w:type="pct"/>
            <w:vAlign w:val="center"/>
          </w:tcPr>
          <w:p w:rsidR="007C47C2" w:rsidRPr="005F120D" w:rsidRDefault="007C47C2"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94,000</w:t>
            </w:r>
          </w:p>
        </w:tc>
        <w:tc>
          <w:tcPr>
            <w:tcW w:w="599" w:type="pct"/>
            <w:vAlign w:val="center"/>
          </w:tcPr>
          <w:p w:rsidR="007C47C2" w:rsidRPr="005F120D" w:rsidRDefault="00E802BF" w:rsidP="00B25E46">
            <w:pPr>
              <w:spacing w:after="0"/>
              <w:jc w:val="center"/>
              <w:cnfStyle w:val="000000100000"/>
              <w:rPr>
                <w:rFonts w:asciiTheme="minorHAnsi" w:hAnsiTheme="minorHAnsi" w:cstheme="minorHAnsi"/>
                <w:color w:val="000000"/>
                <w:sz w:val="20"/>
              </w:rPr>
            </w:pPr>
            <w:r w:rsidRPr="005F120D">
              <w:rPr>
                <w:rFonts w:asciiTheme="minorHAnsi" w:hAnsiTheme="minorHAnsi" w:cstheme="minorHAnsi"/>
                <w:color w:val="000000"/>
                <w:sz w:val="20"/>
              </w:rPr>
              <w:t>-</w:t>
            </w:r>
          </w:p>
        </w:tc>
      </w:tr>
      <w:tr w:rsidR="007C47C2" w:rsidRPr="005F120D" w:rsidTr="00F0053C">
        <w:trPr>
          <w:cnfStyle w:val="000000010000"/>
          <w:trHeight w:hRule="exact" w:val="542"/>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r w:rsidRPr="005F120D">
              <w:rPr>
                <w:rFonts w:asciiTheme="minorHAnsi" w:hAnsiTheme="minorHAnsi" w:cstheme="minorHAnsi"/>
                <w:b w:val="0"/>
                <w:sz w:val="20"/>
                <w:lang w:eastAsia="ja-JP"/>
              </w:rPr>
              <w:t>10</w:t>
            </w:r>
          </w:p>
        </w:tc>
        <w:tc>
          <w:tcPr>
            <w:tcW w:w="1506" w:type="pct"/>
            <w:vAlign w:val="center"/>
          </w:tcPr>
          <w:p w:rsidR="007C47C2" w:rsidRPr="005F120D" w:rsidRDefault="007C47C2" w:rsidP="00B25E46">
            <w:pPr>
              <w:spacing w:after="0"/>
              <w:cnfStyle w:val="000000010000"/>
              <w:rPr>
                <w:rFonts w:asciiTheme="minorHAnsi" w:hAnsiTheme="minorHAnsi" w:cstheme="minorHAnsi"/>
                <w:sz w:val="20"/>
              </w:rPr>
            </w:pPr>
            <w:r w:rsidRPr="005F120D">
              <w:rPr>
                <w:rFonts w:asciiTheme="minorHAnsi" w:hAnsiTheme="minorHAnsi" w:cstheme="minorHAnsi"/>
                <w:sz w:val="20"/>
              </w:rPr>
              <w:t>Expansion of Cub Scouting in primary school</w:t>
            </w:r>
          </w:p>
        </w:tc>
        <w:tc>
          <w:tcPr>
            <w:tcW w:w="661"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13,000</w:t>
            </w:r>
          </w:p>
        </w:tc>
        <w:tc>
          <w:tcPr>
            <w:tcW w:w="433"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100%</w:t>
            </w:r>
          </w:p>
        </w:tc>
        <w:tc>
          <w:tcPr>
            <w:tcW w:w="537"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w:t>
            </w:r>
          </w:p>
        </w:tc>
        <w:tc>
          <w:tcPr>
            <w:tcW w:w="434"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w:t>
            </w:r>
          </w:p>
        </w:tc>
        <w:tc>
          <w:tcPr>
            <w:tcW w:w="599" w:type="pct"/>
            <w:vAlign w:val="center"/>
          </w:tcPr>
          <w:p w:rsidR="007C47C2" w:rsidRPr="005F120D" w:rsidRDefault="007C47C2"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13,000</w:t>
            </w:r>
          </w:p>
        </w:tc>
        <w:tc>
          <w:tcPr>
            <w:tcW w:w="599" w:type="pct"/>
            <w:vAlign w:val="center"/>
          </w:tcPr>
          <w:p w:rsidR="007C47C2" w:rsidRPr="005F120D" w:rsidRDefault="00F0053C" w:rsidP="00B25E46">
            <w:pPr>
              <w:spacing w:after="0"/>
              <w:jc w:val="center"/>
              <w:cnfStyle w:val="000000010000"/>
              <w:rPr>
                <w:rFonts w:asciiTheme="minorHAnsi" w:hAnsiTheme="minorHAnsi" w:cstheme="minorHAnsi"/>
                <w:color w:val="000000"/>
                <w:sz w:val="20"/>
              </w:rPr>
            </w:pPr>
            <w:r w:rsidRPr="005F120D">
              <w:rPr>
                <w:rFonts w:asciiTheme="minorHAnsi" w:hAnsiTheme="minorHAnsi" w:cstheme="minorHAnsi"/>
                <w:color w:val="000000"/>
                <w:sz w:val="20"/>
              </w:rPr>
              <w:t>8,977</w:t>
            </w:r>
          </w:p>
        </w:tc>
      </w:tr>
      <w:tr w:rsidR="007C47C2" w:rsidRPr="005F120D" w:rsidTr="00E064EC">
        <w:trPr>
          <w:cnfStyle w:val="000000100000"/>
          <w:trHeight w:hRule="exact" w:val="524"/>
        </w:trPr>
        <w:tc>
          <w:tcPr>
            <w:cnfStyle w:val="001000000000"/>
            <w:tcW w:w="231" w:type="pct"/>
            <w:vAlign w:val="center"/>
          </w:tcPr>
          <w:p w:rsidR="007C47C2" w:rsidRPr="005F120D" w:rsidRDefault="007C47C2" w:rsidP="00B25E46">
            <w:pPr>
              <w:spacing w:after="0"/>
              <w:jc w:val="center"/>
              <w:rPr>
                <w:rFonts w:asciiTheme="minorHAnsi" w:hAnsiTheme="minorHAnsi" w:cstheme="minorHAnsi"/>
                <w:b w:val="0"/>
                <w:sz w:val="20"/>
                <w:lang w:eastAsia="ja-JP"/>
              </w:rPr>
            </w:pPr>
          </w:p>
        </w:tc>
        <w:tc>
          <w:tcPr>
            <w:tcW w:w="1506" w:type="pct"/>
            <w:vAlign w:val="center"/>
          </w:tcPr>
          <w:p w:rsidR="007C47C2" w:rsidRPr="005F120D" w:rsidRDefault="007C47C2" w:rsidP="00B25E46">
            <w:pPr>
              <w:spacing w:after="0"/>
              <w:jc w:val="center"/>
              <w:cnfStyle w:val="000000100000"/>
              <w:rPr>
                <w:rFonts w:asciiTheme="minorHAnsi" w:hAnsiTheme="minorHAnsi" w:cstheme="minorHAnsi"/>
                <w:b/>
                <w:sz w:val="20"/>
                <w:lang w:eastAsia="ja-JP"/>
              </w:rPr>
            </w:pPr>
            <w:r w:rsidRPr="005F120D">
              <w:rPr>
                <w:rFonts w:asciiTheme="minorHAnsi" w:hAnsiTheme="minorHAnsi" w:cstheme="minorHAnsi"/>
                <w:b/>
                <w:sz w:val="20"/>
                <w:lang w:eastAsia="ja-JP"/>
              </w:rPr>
              <w:t>Total</w:t>
            </w:r>
          </w:p>
        </w:tc>
        <w:tc>
          <w:tcPr>
            <w:tcW w:w="661" w:type="pct"/>
            <w:vAlign w:val="center"/>
          </w:tcPr>
          <w:p w:rsidR="007C47C2" w:rsidRPr="005F120D" w:rsidRDefault="007C47C2" w:rsidP="00B25E46">
            <w:pPr>
              <w:spacing w:after="0"/>
              <w:jc w:val="center"/>
              <w:cnfStyle w:val="000000100000"/>
              <w:rPr>
                <w:rFonts w:asciiTheme="minorHAnsi" w:hAnsiTheme="minorHAnsi" w:cstheme="minorHAnsi"/>
                <w:b/>
                <w:bCs/>
                <w:color w:val="000000"/>
                <w:sz w:val="20"/>
              </w:rPr>
            </w:pPr>
            <w:r w:rsidRPr="005F120D">
              <w:rPr>
                <w:rFonts w:asciiTheme="minorHAnsi" w:hAnsiTheme="minorHAnsi" w:cstheme="minorHAnsi"/>
                <w:b/>
                <w:bCs/>
                <w:color w:val="000000"/>
                <w:sz w:val="20"/>
              </w:rPr>
              <w:t>9,252,500</w:t>
            </w:r>
          </w:p>
        </w:tc>
        <w:tc>
          <w:tcPr>
            <w:tcW w:w="433" w:type="pct"/>
            <w:vAlign w:val="center"/>
          </w:tcPr>
          <w:p w:rsidR="007C47C2" w:rsidRPr="005F120D" w:rsidRDefault="007C47C2" w:rsidP="00B25E46">
            <w:pPr>
              <w:spacing w:after="0"/>
              <w:jc w:val="center"/>
              <w:cnfStyle w:val="000000100000"/>
              <w:rPr>
                <w:rFonts w:asciiTheme="minorHAnsi" w:hAnsiTheme="minorHAnsi" w:cstheme="minorHAnsi"/>
                <w:b/>
                <w:sz w:val="20"/>
                <w:lang w:eastAsia="ja-JP"/>
              </w:rPr>
            </w:pPr>
            <w:r w:rsidRPr="005F120D">
              <w:rPr>
                <w:rFonts w:asciiTheme="minorHAnsi" w:hAnsiTheme="minorHAnsi" w:cstheme="minorHAnsi"/>
                <w:b/>
                <w:sz w:val="20"/>
                <w:lang w:eastAsia="ja-JP"/>
              </w:rPr>
              <w:t>73.4%</w:t>
            </w:r>
          </w:p>
        </w:tc>
        <w:tc>
          <w:tcPr>
            <w:tcW w:w="537" w:type="pct"/>
            <w:vAlign w:val="center"/>
          </w:tcPr>
          <w:p w:rsidR="007C47C2" w:rsidRPr="005F120D" w:rsidRDefault="007C47C2" w:rsidP="00B25E46">
            <w:pPr>
              <w:spacing w:after="0"/>
              <w:jc w:val="center"/>
              <w:cnfStyle w:val="000000100000"/>
              <w:rPr>
                <w:rFonts w:asciiTheme="minorHAnsi" w:hAnsiTheme="minorHAnsi" w:cstheme="minorHAnsi"/>
                <w:b/>
                <w:color w:val="000000"/>
                <w:sz w:val="20"/>
              </w:rPr>
            </w:pPr>
            <w:r w:rsidRPr="005F120D">
              <w:rPr>
                <w:rFonts w:asciiTheme="minorHAnsi" w:hAnsiTheme="minorHAnsi" w:cstheme="minorHAnsi"/>
                <w:b/>
                <w:color w:val="000000"/>
                <w:sz w:val="20"/>
              </w:rPr>
              <w:t>3,354,500</w:t>
            </w:r>
          </w:p>
        </w:tc>
        <w:tc>
          <w:tcPr>
            <w:tcW w:w="434" w:type="pct"/>
            <w:vAlign w:val="center"/>
          </w:tcPr>
          <w:p w:rsidR="007C47C2" w:rsidRPr="005F120D" w:rsidRDefault="007C47C2" w:rsidP="00B25E46">
            <w:pPr>
              <w:spacing w:after="0"/>
              <w:jc w:val="center"/>
              <w:cnfStyle w:val="000000100000"/>
              <w:rPr>
                <w:rFonts w:asciiTheme="minorHAnsi" w:hAnsiTheme="minorHAnsi" w:cstheme="minorHAnsi"/>
                <w:b/>
                <w:bCs/>
                <w:color w:val="000000"/>
                <w:sz w:val="20"/>
              </w:rPr>
            </w:pPr>
            <w:r w:rsidRPr="005F120D">
              <w:rPr>
                <w:rFonts w:asciiTheme="minorHAnsi" w:hAnsiTheme="minorHAnsi" w:cstheme="minorHAnsi"/>
                <w:b/>
                <w:bCs/>
                <w:color w:val="000000"/>
                <w:sz w:val="20"/>
              </w:rPr>
              <w:t>26.6%</w:t>
            </w:r>
          </w:p>
        </w:tc>
        <w:tc>
          <w:tcPr>
            <w:tcW w:w="599" w:type="pct"/>
            <w:vAlign w:val="center"/>
          </w:tcPr>
          <w:p w:rsidR="007C47C2" w:rsidRPr="005F120D" w:rsidRDefault="007C47C2" w:rsidP="00B25E46">
            <w:pPr>
              <w:spacing w:after="0"/>
              <w:jc w:val="center"/>
              <w:cnfStyle w:val="000000100000"/>
              <w:rPr>
                <w:rFonts w:asciiTheme="minorHAnsi" w:hAnsiTheme="minorHAnsi" w:cstheme="minorHAnsi"/>
                <w:b/>
                <w:bCs/>
                <w:color w:val="000000"/>
                <w:sz w:val="20"/>
              </w:rPr>
            </w:pPr>
            <w:r w:rsidRPr="005F120D">
              <w:rPr>
                <w:rFonts w:asciiTheme="minorHAnsi" w:hAnsiTheme="minorHAnsi" w:cstheme="minorHAnsi"/>
                <w:b/>
                <w:bCs/>
                <w:color w:val="000000"/>
                <w:sz w:val="20"/>
              </w:rPr>
              <w:t>12,607,000</w:t>
            </w:r>
          </w:p>
        </w:tc>
        <w:tc>
          <w:tcPr>
            <w:tcW w:w="599" w:type="pct"/>
            <w:vAlign w:val="center"/>
          </w:tcPr>
          <w:p w:rsidR="007C47C2" w:rsidRPr="005F120D" w:rsidRDefault="00E064EC" w:rsidP="00B25E46">
            <w:pPr>
              <w:spacing w:after="0"/>
              <w:jc w:val="center"/>
              <w:cnfStyle w:val="000000100000"/>
              <w:rPr>
                <w:rFonts w:asciiTheme="minorHAnsi" w:hAnsiTheme="minorHAnsi" w:cstheme="minorHAnsi"/>
                <w:b/>
                <w:bCs/>
                <w:color w:val="000000"/>
                <w:sz w:val="20"/>
              </w:rPr>
            </w:pPr>
            <w:r w:rsidRPr="005F120D">
              <w:rPr>
                <w:rFonts w:asciiTheme="minorHAnsi" w:hAnsiTheme="minorHAnsi" w:cstheme="minorHAnsi"/>
                <w:b/>
                <w:bCs/>
                <w:color w:val="000000"/>
                <w:sz w:val="20"/>
              </w:rPr>
              <w:t>6,168,686</w:t>
            </w:r>
          </w:p>
          <w:p w:rsidR="00E064EC" w:rsidRPr="005F120D" w:rsidRDefault="00E064EC" w:rsidP="00B25E46">
            <w:pPr>
              <w:spacing w:after="0"/>
              <w:jc w:val="center"/>
              <w:cnfStyle w:val="000000100000"/>
              <w:rPr>
                <w:rFonts w:asciiTheme="minorHAnsi" w:hAnsiTheme="minorHAnsi" w:cstheme="minorHAnsi"/>
                <w:b/>
                <w:bCs/>
                <w:color w:val="000000"/>
                <w:sz w:val="20"/>
              </w:rPr>
            </w:pPr>
            <w:r w:rsidRPr="005F120D">
              <w:rPr>
                <w:rFonts w:asciiTheme="minorHAnsi" w:hAnsiTheme="minorHAnsi" w:cstheme="minorHAnsi"/>
                <w:b/>
                <w:bCs/>
                <w:color w:val="000000"/>
                <w:sz w:val="20"/>
              </w:rPr>
              <w:t>(48.9%)</w:t>
            </w:r>
          </w:p>
        </w:tc>
      </w:tr>
    </w:tbl>
    <w:p w:rsidR="0016764B" w:rsidRPr="005F120D" w:rsidRDefault="00914E0C" w:rsidP="00C437AA">
      <w:pPr>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 xml:space="preserve">Source:  Budget Documents, MOF  </w:t>
      </w:r>
    </w:p>
    <w:p w:rsidR="00D32FEC" w:rsidRPr="005F120D" w:rsidRDefault="00D32FEC" w:rsidP="00C437AA">
      <w:pPr>
        <w:spacing w:line="276" w:lineRule="auto"/>
        <w:rPr>
          <w:rFonts w:asciiTheme="minorHAnsi" w:hAnsiTheme="minorHAnsi" w:cstheme="minorHAnsi"/>
        </w:rPr>
      </w:pPr>
    </w:p>
    <w:p w:rsidR="00914359" w:rsidRPr="005F120D" w:rsidRDefault="007A6992" w:rsidP="00C437AA">
      <w:pPr>
        <w:spacing w:line="276" w:lineRule="auto"/>
        <w:rPr>
          <w:rFonts w:asciiTheme="minorHAnsi" w:hAnsiTheme="minorHAnsi" w:cstheme="minorHAnsi"/>
        </w:rPr>
      </w:pPr>
      <w:r w:rsidRPr="005F120D">
        <w:rPr>
          <w:rFonts w:asciiTheme="minorHAnsi" w:hAnsiTheme="minorHAnsi" w:cstheme="minorHAnsi"/>
        </w:rPr>
        <w:lastRenderedPageBreak/>
        <w:t xml:space="preserve">Thematically, the </w:t>
      </w:r>
      <w:r w:rsidR="00F96814" w:rsidRPr="005F120D">
        <w:rPr>
          <w:rFonts w:asciiTheme="minorHAnsi" w:hAnsiTheme="minorHAnsi" w:cstheme="minorHAnsi"/>
        </w:rPr>
        <w:t>discrete</w:t>
      </w:r>
      <w:r w:rsidRPr="005F120D">
        <w:rPr>
          <w:rFonts w:asciiTheme="minorHAnsi" w:hAnsiTheme="minorHAnsi" w:cstheme="minorHAnsi"/>
        </w:rPr>
        <w:t xml:space="preserve"> projects could be categorized according to PEDP3 result areas:</w:t>
      </w:r>
    </w:p>
    <w:p w:rsidR="00840BF3" w:rsidRPr="005F120D" w:rsidRDefault="00F85299" w:rsidP="00C437AA">
      <w:pPr>
        <w:pStyle w:val="Caption"/>
        <w:spacing w:line="276" w:lineRule="auto"/>
        <w:rPr>
          <w:rFonts w:cstheme="minorHAnsi"/>
        </w:rPr>
      </w:pPr>
      <w:bookmarkStart w:id="598" w:name="_Toc462837313"/>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10</w:t>
      </w:r>
      <w:r w:rsidR="002E2ED5" w:rsidRPr="005F120D">
        <w:rPr>
          <w:rFonts w:cstheme="minorHAnsi"/>
        </w:rPr>
        <w:fldChar w:fldCharType="end"/>
      </w:r>
      <w:r w:rsidRPr="005F120D">
        <w:rPr>
          <w:rFonts w:cstheme="minorHAnsi"/>
        </w:rPr>
        <w:t xml:space="preserve">: </w:t>
      </w:r>
      <w:r w:rsidR="00F96814" w:rsidRPr="005F120D">
        <w:rPr>
          <w:rFonts w:cstheme="minorHAnsi"/>
        </w:rPr>
        <w:t>Discrete</w:t>
      </w:r>
      <w:r w:rsidR="00840BF3" w:rsidRPr="005F120D">
        <w:rPr>
          <w:rFonts w:cstheme="minorHAnsi"/>
        </w:rPr>
        <w:t xml:space="preserve"> Projects by PEDP3 Result Areas:</w:t>
      </w:r>
      <w:bookmarkEnd w:id="598"/>
    </w:p>
    <w:tbl>
      <w:tblPr>
        <w:tblStyle w:val="MediumShading1-Accent3"/>
        <w:tblW w:w="9933" w:type="dxa"/>
        <w:tblLook w:val="04A0"/>
      </w:tblPr>
      <w:tblGrid>
        <w:gridCol w:w="2448"/>
        <w:gridCol w:w="7485"/>
      </w:tblGrid>
      <w:tr w:rsidR="00840BF3" w:rsidRPr="005F120D" w:rsidTr="00C34807">
        <w:trPr>
          <w:cnfStyle w:val="100000000000"/>
        </w:trPr>
        <w:tc>
          <w:tcPr>
            <w:cnfStyle w:val="001000000000"/>
            <w:tcW w:w="2448" w:type="dxa"/>
          </w:tcPr>
          <w:p w:rsidR="00840BF3" w:rsidRPr="005F120D" w:rsidRDefault="00840BF3" w:rsidP="00B25E46">
            <w:pPr>
              <w:spacing w:after="0"/>
              <w:rPr>
                <w:rFonts w:asciiTheme="minorHAnsi" w:hAnsiTheme="minorHAnsi" w:cstheme="minorHAnsi"/>
                <w:color w:val="auto"/>
                <w:sz w:val="20"/>
                <w:lang w:eastAsia="ja-JP"/>
              </w:rPr>
            </w:pPr>
            <w:r w:rsidRPr="005F120D">
              <w:rPr>
                <w:rFonts w:asciiTheme="minorHAnsi" w:hAnsiTheme="minorHAnsi" w:cstheme="minorHAnsi"/>
                <w:color w:val="auto"/>
                <w:sz w:val="20"/>
                <w:lang w:eastAsia="ja-JP"/>
              </w:rPr>
              <w:t>PEDP3 Results Area</w:t>
            </w:r>
          </w:p>
        </w:tc>
        <w:tc>
          <w:tcPr>
            <w:tcW w:w="7485" w:type="dxa"/>
          </w:tcPr>
          <w:p w:rsidR="00840BF3" w:rsidRPr="005F120D" w:rsidRDefault="00F96814" w:rsidP="00B25E46">
            <w:pPr>
              <w:spacing w:after="0"/>
              <w:cnfStyle w:val="100000000000"/>
              <w:rPr>
                <w:rFonts w:asciiTheme="minorHAnsi" w:hAnsiTheme="minorHAnsi" w:cstheme="minorHAnsi"/>
                <w:color w:val="auto"/>
                <w:sz w:val="20"/>
                <w:lang w:eastAsia="ja-JP"/>
              </w:rPr>
            </w:pPr>
            <w:r w:rsidRPr="005F120D">
              <w:rPr>
                <w:rFonts w:asciiTheme="minorHAnsi" w:hAnsiTheme="minorHAnsi" w:cstheme="minorHAnsi"/>
                <w:color w:val="auto"/>
                <w:sz w:val="20"/>
                <w:lang w:eastAsia="ja-JP"/>
              </w:rPr>
              <w:t>Discrete</w:t>
            </w:r>
            <w:r w:rsidR="00840BF3" w:rsidRPr="005F120D">
              <w:rPr>
                <w:rFonts w:asciiTheme="minorHAnsi" w:hAnsiTheme="minorHAnsi" w:cstheme="minorHAnsi"/>
                <w:color w:val="auto"/>
                <w:sz w:val="20"/>
                <w:lang w:eastAsia="ja-JP"/>
              </w:rPr>
              <w:t xml:space="preserve"> Projects</w:t>
            </w:r>
            <w:r w:rsidR="000D6670" w:rsidRPr="005F120D">
              <w:rPr>
                <w:rFonts w:asciiTheme="minorHAnsi" w:hAnsiTheme="minorHAnsi" w:cstheme="minorHAnsi"/>
                <w:color w:val="auto"/>
                <w:sz w:val="20"/>
                <w:lang w:eastAsia="ja-JP"/>
              </w:rPr>
              <w:t>(</w:t>
            </w:r>
            <w:r w:rsidR="00A24230" w:rsidRPr="005F120D">
              <w:rPr>
                <w:rFonts w:asciiTheme="minorHAnsi" w:hAnsiTheme="minorHAnsi" w:cstheme="minorHAnsi"/>
                <w:color w:val="auto"/>
                <w:sz w:val="20"/>
                <w:lang w:eastAsia="ja-JP"/>
              </w:rPr>
              <w:t>Formal</w:t>
            </w:r>
            <w:r w:rsidR="000D6670" w:rsidRPr="005F120D">
              <w:rPr>
                <w:rFonts w:asciiTheme="minorHAnsi" w:hAnsiTheme="minorHAnsi" w:cstheme="minorHAnsi"/>
                <w:color w:val="auto"/>
                <w:sz w:val="20"/>
                <w:lang w:eastAsia="ja-JP"/>
              </w:rPr>
              <w:t xml:space="preserve"> Education Sector)</w:t>
            </w:r>
          </w:p>
        </w:tc>
      </w:tr>
      <w:tr w:rsidR="00840BF3" w:rsidRPr="005F120D" w:rsidTr="00EA11A7">
        <w:trPr>
          <w:cnfStyle w:val="000000100000"/>
          <w:trHeight w:val="576"/>
        </w:trPr>
        <w:tc>
          <w:tcPr>
            <w:cnfStyle w:val="001000000000"/>
            <w:tcW w:w="2448" w:type="dxa"/>
          </w:tcPr>
          <w:p w:rsidR="00840BF3" w:rsidRPr="005F120D" w:rsidRDefault="00840BF3" w:rsidP="00B25E46">
            <w:pPr>
              <w:spacing w:after="0"/>
              <w:rPr>
                <w:rFonts w:asciiTheme="minorHAnsi" w:hAnsiTheme="minorHAnsi" w:cstheme="minorHAnsi"/>
                <w:sz w:val="20"/>
                <w:lang w:eastAsia="ja-JP"/>
              </w:rPr>
            </w:pPr>
            <w:r w:rsidRPr="005F120D">
              <w:rPr>
                <w:rFonts w:asciiTheme="minorHAnsi" w:hAnsiTheme="minorHAnsi" w:cstheme="minorHAnsi"/>
                <w:sz w:val="20"/>
                <w:lang w:eastAsia="ja-JP"/>
              </w:rPr>
              <w:t>Learning Outcomes</w:t>
            </w:r>
          </w:p>
        </w:tc>
        <w:tc>
          <w:tcPr>
            <w:tcW w:w="7485" w:type="dxa"/>
          </w:tcPr>
          <w:p w:rsidR="00840BF3" w:rsidRPr="005F120D" w:rsidRDefault="00840BF3" w:rsidP="00B25E46">
            <w:pPr>
              <w:pStyle w:val="ListParagraph"/>
              <w:numPr>
                <w:ilvl w:val="0"/>
                <w:numId w:val="34"/>
              </w:numPr>
              <w:spacing w:after="0"/>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Establishment of 12 PTIS in the 12 districts</w:t>
            </w:r>
          </w:p>
          <w:p w:rsidR="00840BF3" w:rsidRPr="005F120D" w:rsidRDefault="00840BF3" w:rsidP="00B25E46">
            <w:pPr>
              <w:pStyle w:val="ListParagraph"/>
              <w:numPr>
                <w:ilvl w:val="0"/>
                <w:numId w:val="34"/>
              </w:numPr>
              <w:spacing w:after="0"/>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English in Action</w:t>
            </w:r>
          </w:p>
          <w:p w:rsidR="00840BF3" w:rsidRPr="005F120D" w:rsidRDefault="00840BF3" w:rsidP="00B25E46">
            <w:pPr>
              <w:pStyle w:val="ListParagraph"/>
              <w:numPr>
                <w:ilvl w:val="0"/>
                <w:numId w:val="34"/>
              </w:numPr>
              <w:spacing w:after="0"/>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 xml:space="preserve">Expansion of </w:t>
            </w:r>
            <w:r w:rsidR="008971DA" w:rsidRPr="005F120D">
              <w:rPr>
                <w:rFonts w:asciiTheme="minorHAnsi" w:hAnsiTheme="minorHAnsi" w:cstheme="minorHAnsi"/>
                <w:sz w:val="20"/>
                <w:szCs w:val="20"/>
                <w:lang w:eastAsia="ja-JP"/>
              </w:rPr>
              <w:t>Cub</w:t>
            </w:r>
            <w:r w:rsidR="00850FCA" w:rsidRPr="005F120D">
              <w:rPr>
                <w:rFonts w:asciiTheme="minorHAnsi" w:hAnsiTheme="minorHAnsi" w:cstheme="minorHAnsi"/>
                <w:sz w:val="20"/>
                <w:szCs w:val="20"/>
                <w:lang w:eastAsia="ja-JP"/>
              </w:rPr>
              <w:t>Scouting</w:t>
            </w:r>
            <w:r w:rsidRPr="005F120D">
              <w:rPr>
                <w:rFonts w:asciiTheme="minorHAnsi" w:hAnsiTheme="minorHAnsi" w:cstheme="minorHAnsi"/>
                <w:sz w:val="20"/>
                <w:szCs w:val="20"/>
                <w:lang w:eastAsia="ja-JP"/>
              </w:rPr>
              <w:t xml:space="preserve"> in primary school</w:t>
            </w:r>
          </w:p>
        </w:tc>
      </w:tr>
      <w:tr w:rsidR="00840BF3" w:rsidRPr="005F120D" w:rsidTr="00716CFE">
        <w:trPr>
          <w:cnfStyle w:val="000000010000"/>
          <w:trHeight w:val="322"/>
        </w:trPr>
        <w:tc>
          <w:tcPr>
            <w:cnfStyle w:val="001000000000"/>
            <w:tcW w:w="2448" w:type="dxa"/>
            <w:hideMark/>
          </w:tcPr>
          <w:p w:rsidR="00840BF3" w:rsidRPr="005F120D" w:rsidRDefault="00840BF3" w:rsidP="00B25E46">
            <w:pPr>
              <w:spacing w:after="0"/>
              <w:rPr>
                <w:rFonts w:asciiTheme="minorHAnsi" w:hAnsiTheme="minorHAnsi" w:cstheme="minorHAnsi"/>
                <w:sz w:val="20"/>
                <w:lang w:eastAsia="ja-JP"/>
              </w:rPr>
            </w:pPr>
            <w:r w:rsidRPr="005F120D">
              <w:rPr>
                <w:rFonts w:asciiTheme="minorHAnsi" w:hAnsiTheme="minorHAnsi" w:cstheme="minorHAnsi"/>
                <w:sz w:val="20"/>
                <w:lang w:eastAsia="ja-JP"/>
              </w:rPr>
              <w:t>Participation</w:t>
            </w:r>
          </w:p>
        </w:tc>
        <w:tc>
          <w:tcPr>
            <w:tcW w:w="7485" w:type="dxa"/>
            <w:hideMark/>
          </w:tcPr>
          <w:p w:rsidR="00437A8B" w:rsidRPr="005F120D" w:rsidRDefault="00840BF3" w:rsidP="00B25E46">
            <w:pPr>
              <w:pStyle w:val="ListParagraph"/>
              <w:numPr>
                <w:ilvl w:val="0"/>
                <w:numId w:val="34"/>
              </w:numPr>
              <w:spacing w:after="0"/>
              <w:ind w:left="447"/>
              <w:cnfStyle w:val="00000001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ROSC projec</w:t>
            </w:r>
            <w:r w:rsidR="000D6670" w:rsidRPr="005F120D">
              <w:rPr>
                <w:rFonts w:asciiTheme="minorHAnsi" w:hAnsiTheme="minorHAnsi" w:cstheme="minorHAnsi"/>
                <w:sz w:val="20"/>
                <w:szCs w:val="20"/>
                <w:lang w:eastAsia="ja-JP"/>
              </w:rPr>
              <w:t>t</w:t>
            </w:r>
          </w:p>
        </w:tc>
      </w:tr>
      <w:tr w:rsidR="00840BF3" w:rsidRPr="005F120D" w:rsidTr="00E05316">
        <w:trPr>
          <w:cnfStyle w:val="000000100000"/>
          <w:trHeight w:val="250"/>
        </w:trPr>
        <w:tc>
          <w:tcPr>
            <w:cnfStyle w:val="001000000000"/>
            <w:tcW w:w="2448" w:type="dxa"/>
            <w:hideMark/>
          </w:tcPr>
          <w:p w:rsidR="00840BF3" w:rsidRPr="005F120D" w:rsidRDefault="00840BF3" w:rsidP="00B25E46">
            <w:pPr>
              <w:spacing w:after="0"/>
              <w:rPr>
                <w:rFonts w:asciiTheme="minorHAnsi" w:hAnsiTheme="minorHAnsi" w:cstheme="minorHAnsi"/>
                <w:sz w:val="20"/>
                <w:lang w:eastAsia="ja-JP"/>
              </w:rPr>
            </w:pPr>
            <w:r w:rsidRPr="005F120D">
              <w:rPr>
                <w:rFonts w:asciiTheme="minorHAnsi" w:hAnsiTheme="minorHAnsi" w:cstheme="minorHAnsi"/>
                <w:sz w:val="20"/>
                <w:lang w:eastAsia="ja-JP"/>
              </w:rPr>
              <w:t>Disparity</w:t>
            </w:r>
          </w:p>
        </w:tc>
        <w:tc>
          <w:tcPr>
            <w:tcW w:w="7485" w:type="dxa"/>
            <w:hideMark/>
          </w:tcPr>
          <w:p w:rsidR="00840BF3" w:rsidRPr="005F120D" w:rsidRDefault="00443E26" w:rsidP="00B25E46">
            <w:pPr>
              <w:pStyle w:val="ListParagraph"/>
              <w:numPr>
                <w:ilvl w:val="0"/>
                <w:numId w:val="34"/>
              </w:numPr>
              <w:spacing w:after="0"/>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 xml:space="preserve">Primary Education Stipend </w:t>
            </w:r>
            <w:r w:rsidR="00802B33" w:rsidRPr="005F120D">
              <w:rPr>
                <w:rFonts w:asciiTheme="minorHAnsi" w:hAnsiTheme="minorHAnsi" w:cstheme="minorHAnsi"/>
                <w:sz w:val="20"/>
                <w:szCs w:val="20"/>
                <w:lang w:eastAsia="ja-JP"/>
              </w:rPr>
              <w:t>program</w:t>
            </w:r>
            <w:r w:rsidRPr="005F120D">
              <w:rPr>
                <w:rFonts w:asciiTheme="minorHAnsi" w:hAnsiTheme="minorHAnsi" w:cstheme="minorHAnsi"/>
                <w:sz w:val="20"/>
                <w:szCs w:val="20"/>
                <w:lang w:eastAsia="ja-JP"/>
              </w:rPr>
              <w:t xml:space="preserve"> (PESP</w:t>
            </w:r>
            <w:r w:rsidR="000D6670" w:rsidRPr="005F120D">
              <w:rPr>
                <w:rFonts w:asciiTheme="minorHAnsi" w:hAnsiTheme="minorHAnsi" w:cstheme="minorHAnsi"/>
                <w:sz w:val="20"/>
                <w:szCs w:val="20"/>
                <w:lang w:eastAsia="ja-JP"/>
              </w:rPr>
              <w:t>)</w:t>
            </w:r>
          </w:p>
          <w:p w:rsidR="00C34807" w:rsidRPr="005F120D" w:rsidRDefault="00C34807" w:rsidP="00B25E46">
            <w:pPr>
              <w:pStyle w:val="ListParagraph"/>
              <w:numPr>
                <w:ilvl w:val="0"/>
                <w:numId w:val="34"/>
              </w:numPr>
              <w:spacing w:after="0"/>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 xml:space="preserve">School feeding </w:t>
            </w:r>
            <w:r w:rsidR="00802B33" w:rsidRPr="005F120D">
              <w:rPr>
                <w:rFonts w:asciiTheme="minorHAnsi" w:hAnsiTheme="minorHAnsi" w:cstheme="minorHAnsi"/>
                <w:sz w:val="20"/>
                <w:szCs w:val="20"/>
                <w:lang w:eastAsia="ja-JP"/>
              </w:rPr>
              <w:t>program</w:t>
            </w:r>
            <w:r w:rsidRPr="005F120D">
              <w:rPr>
                <w:rFonts w:asciiTheme="minorHAnsi" w:hAnsiTheme="minorHAnsi" w:cstheme="minorHAnsi"/>
                <w:sz w:val="20"/>
                <w:szCs w:val="20"/>
                <w:lang w:eastAsia="ja-JP"/>
              </w:rPr>
              <w:t xml:space="preserve"> in the poorest areas (GoB/WFP)</w:t>
            </w:r>
          </w:p>
          <w:p w:rsidR="00840BF3" w:rsidRPr="005F120D" w:rsidRDefault="00840BF3" w:rsidP="00B25E46">
            <w:pPr>
              <w:pStyle w:val="ListParagraph"/>
              <w:numPr>
                <w:ilvl w:val="0"/>
                <w:numId w:val="34"/>
              </w:numPr>
              <w:spacing w:after="0"/>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 xml:space="preserve">EC supported school feeding </w:t>
            </w:r>
            <w:r w:rsidR="00802B33" w:rsidRPr="005F120D">
              <w:rPr>
                <w:rFonts w:asciiTheme="minorHAnsi" w:hAnsiTheme="minorHAnsi" w:cstheme="minorHAnsi"/>
                <w:sz w:val="20"/>
                <w:szCs w:val="20"/>
                <w:lang w:eastAsia="ja-JP"/>
              </w:rPr>
              <w:t>program</w:t>
            </w:r>
          </w:p>
          <w:p w:rsidR="00F85299" w:rsidRPr="005F120D" w:rsidRDefault="00F85299" w:rsidP="00B25E46">
            <w:pPr>
              <w:pStyle w:val="ListParagraph"/>
              <w:numPr>
                <w:ilvl w:val="0"/>
                <w:numId w:val="34"/>
              </w:numPr>
              <w:spacing w:after="0"/>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Establishment of 1500 primary school in the un-schooled areas</w:t>
            </w:r>
          </w:p>
          <w:p w:rsidR="00F85299" w:rsidRPr="005F120D" w:rsidRDefault="00F85299" w:rsidP="00B25E46">
            <w:pPr>
              <w:pStyle w:val="ListParagraph"/>
              <w:numPr>
                <w:ilvl w:val="0"/>
                <w:numId w:val="34"/>
              </w:numPr>
              <w:spacing w:after="0"/>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GPS re-construction and renovation project</w:t>
            </w:r>
          </w:p>
          <w:p w:rsidR="00F85299" w:rsidRPr="005F120D" w:rsidRDefault="00F85299" w:rsidP="00B25E46">
            <w:pPr>
              <w:pStyle w:val="ListParagraph"/>
              <w:numPr>
                <w:ilvl w:val="0"/>
                <w:numId w:val="34"/>
              </w:numPr>
              <w:spacing w:after="0"/>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Primary education development project IDB</w:t>
            </w:r>
          </w:p>
        </w:tc>
      </w:tr>
    </w:tbl>
    <w:p w:rsidR="00EA11A7" w:rsidRPr="005F120D" w:rsidRDefault="001338E4" w:rsidP="00C437AA">
      <w:pPr>
        <w:spacing w:line="276" w:lineRule="auto"/>
        <w:rPr>
          <w:rFonts w:asciiTheme="minorHAnsi" w:hAnsiTheme="minorHAnsi" w:cstheme="minorHAnsi"/>
          <w:b/>
          <w:i/>
          <w:sz w:val="16"/>
          <w:szCs w:val="16"/>
        </w:rPr>
      </w:pPr>
      <w:r w:rsidRPr="005F120D">
        <w:rPr>
          <w:rFonts w:asciiTheme="minorHAnsi" w:hAnsiTheme="minorHAnsi" w:cstheme="minorHAnsi"/>
          <w:b/>
          <w:i/>
          <w:sz w:val="16"/>
          <w:szCs w:val="16"/>
        </w:rPr>
        <w:t>Source:  Discrete Project Document and ASPR assessment.</w:t>
      </w:r>
    </w:p>
    <w:p w:rsidR="000D6670" w:rsidRPr="005F120D" w:rsidRDefault="000D6670" w:rsidP="00C437AA">
      <w:pPr>
        <w:pStyle w:val="Caption"/>
        <w:spacing w:line="276" w:lineRule="auto"/>
        <w:rPr>
          <w:rFonts w:cstheme="minorHAnsi"/>
          <w:b w:val="0"/>
          <w:i/>
          <w:sz w:val="16"/>
          <w:szCs w:val="16"/>
        </w:rPr>
      </w:pPr>
      <w:bookmarkStart w:id="599" w:name="_Toc462837314"/>
      <w:r w:rsidRPr="005F120D">
        <w:rPr>
          <w:rFonts w:cstheme="minorHAnsi"/>
        </w:rPr>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11</w:t>
      </w:r>
      <w:r w:rsidR="002E2ED5" w:rsidRPr="005F120D">
        <w:rPr>
          <w:rFonts w:cstheme="minorHAnsi"/>
        </w:rPr>
        <w:fldChar w:fldCharType="end"/>
      </w:r>
      <w:r w:rsidRPr="005F120D">
        <w:rPr>
          <w:rFonts w:cstheme="minorHAnsi"/>
        </w:rPr>
        <w:t xml:space="preserve"> Discrete Projects managed by BNFE</w:t>
      </w:r>
      <w:bookmarkEnd w:id="599"/>
    </w:p>
    <w:tbl>
      <w:tblPr>
        <w:tblStyle w:val="MediumShading1-Accent3"/>
        <w:tblW w:w="9933" w:type="dxa"/>
        <w:tblLook w:val="04A0"/>
      </w:tblPr>
      <w:tblGrid>
        <w:gridCol w:w="2448"/>
        <w:gridCol w:w="7485"/>
      </w:tblGrid>
      <w:tr w:rsidR="000D6670" w:rsidRPr="005F120D" w:rsidTr="000D6670">
        <w:trPr>
          <w:cnfStyle w:val="100000000000"/>
        </w:trPr>
        <w:tc>
          <w:tcPr>
            <w:cnfStyle w:val="001000000000"/>
            <w:tcW w:w="2448" w:type="dxa"/>
          </w:tcPr>
          <w:p w:rsidR="000D6670" w:rsidRPr="005F120D" w:rsidRDefault="000D6670" w:rsidP="00C437AA">
            <w:pPr>
              <w:spacing w:after="0" w:line="276" w:lineRule="auto"/>
              <w:rPr>
                <w:rFonts w:asciiTheme="minorHAnsi" w:hAnsiTheme="minorHAnsi" w:cstheme="minorHAnsi"/>
                <w:color w:val="auto"/>
                <w:sz w:val="20"/>
                <w:lang w:eastAsia="ja-JP"/>
              </w:rPr>
            </w:pPr>
            <w:r w:rsidRPr="005F120D">
              <w:rPr>
                <w:rFonts w:asciiTheme="minorHAnsi" w:hAnsiTheme="minorHAnsi" w:cstheme="minorHAnsi"/>
                <w:color w:val="auto"/>
                <w:sz w:val="20"/>
                <w:lang w:eastAsia="ja-JP"/>
              </w:rPr>
              <w:t>PEDP3 Results Area</w:t>
            </w:r>
          </w:p>
        </w:tc>
        <w:tc>
          <w:tcPr>
            <w:tcW w:w="7485" w:type="dxa"/>
          </w:tcPr>
          <w:p w:rsidR="000D6670" w:rsidRPr="005F120D" w:rsidRDefault="000D6670" w:rsidP="00C437AA">
            <w:pPr>
              <w:spacing w:after="0" w:line="276" w:lineRule="auto"/>
              <w:cnfStyle w:val="100000000000"/>
              <w:rPr>
                <w:rFonts w:asciiTheme="minorHAnsi" w:hAnsiTheme="minorHAnsi" w:cstheme="minorHAnsi"/>
                <w:color w:val="auto"/>
                <w:sz w:val="20"/>
                <w:lang w:eastAsia="ja-JP"/>
              </w:rPr>
            </w:pPr>
            <w:r w:rsidRPr="005F120D">
              <w:rPr>
                <w:rFonts w:asciiTheme="minorHAnsi" w:hAnsiTheme="minorHAnsi" w:cstheme="minorHAnsi"/>
                <w:color w:val="auto"/>
                <w:sz w:val="20"/>
                <w:lang w:eastAsia="ja-JP"/>
              </w:rPr>
              <w:t>Discrete Projects (No-Formal Education Sector)</w:t>
            </w:r>
          </w:p>
        </w:tc>
      </w:tr>
      <w:tr w:rsidR="000D6670" w:rsidRPr="005F120D" w:rsidTr="000D6670">
        <w:trPr>
          <w:cnfStyle w:val="000000100000"/>
        </w:trPr>
        <w:tc>
          <w:tcPr>
            <w:cnfStyle w:val="001000000000"/>
            <w:tcW w:w="2448" w:type="dxa"/>
          </w:tcPr>
          <w:p w:rsidR="000D6670" w:rsidRPr="005F120D" w:rsidRDefault="000D6670" w:rsidP="00C437AA">
            <w:pPr>
              <w:spacing w:after="0" w:line="276" w:lineRule="auto"/>
              <w:rPr>
                <w:rFonts w:asciiTheme="minorHAnsi" w:hAnsiTheme="minorHAnsi" w:cstheme="minorHAnsi"/>
                <w:b w:val="0"/>
                <w:sz w:val="20"/>
                <w:lang w:eastAsia="ja-JP"/>
              </w:rPr>
            </w:pPr>
            <w:r w:rsidRPr="005F120D">
              <w:rPr>
                <w:rFonts w:asciiTheme="minorHAnsi" w:hAnsiTheme="minorHAnsi" w:cstheme="minorHAnsi"/>
                <w:b w:val="0"/>
                <w:sz w:val="20"/>
                <w:lang w:eastAsia="ja-JP"/>
              </w:rPr>
              <w:t>Learning Outcomes</w:t>
            </w:r>
          </w:p>
        </w:tc>
        <w:tc>
          <w:tcPr>
            <w:tcW w:w="7485" w:type="dxa"/>
          </w:tcPr>
          <w:p w:rsidR="000D6670" w:rsidRPr="005F120D" w:rsidRDefault="00716CFE" w:rsidP="00C437AA">
            <w:pPr>
              <w:pStyle w:val="ListParagraph"/>
              <w:numPr>
                <w:ilvl w:val="0"/>
                <w:numId w:val="68"/>
              </w:numPr>
              <w:spacing w:after="0" w:line="276" w:lineRule="auto"/>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rPr>
              <w:t>Ability Based Accelerated Learning (ABAL) for the Hard to Reach working Children</w:t>
            </w:r>
          </w:p>
        </w:tc>
      </w:tr>
      <w:tr w:rsidR="000D6670" w:rsidRPr="005F120D" w:rsidTr="00D52D39">
        <w:trPr>
          <w:cnfStyle w:val="000000010000"/>
          <w:trHeight w:val="367"/>
        </w:trPr>
        <w:tc>
          <w:tcPr>
            <w:cnfStyle w:val="001000000000"/>
            <w:tcW w:w="2448" w:type="dxa"/>
            <w:hideMark/>
          </w:tcPr>
          <w:p w:rsidR="000D6670" w:rsidRPr="005F120D" w:rsidRDefault="000D6670" w:rsidP="00C437AA">
            <w:pPr>
              <w:spacing w:after="0" w:line="276" w:lineRule="auto"/>
              <w:rPr>
                <w:rFonts w:asciiTheme="minorHAnsi" w:hAnsiTheme="minorHAnsi" w:cstheme="minorHAnsi"/>
                <w:b w:val="0"/>
                <w:sz w:val="20"/>
                <w:lang w:eastAsia="ja-JP"/>
              </w:rPr>
            </w:pPr>
            <w:r w:rsidRPr="005F120D">
              <w:rPr>
                <w:rFonts w:asciiTheme="minorHAnsi" w:hAnsiTheme="minorHAnsi" w:cstheme="minorHAnsi"/>
                <w:b w:val="0"/>
                <w:sz w:val="20"/>
                <w:lang w:eastAsia="ja-JP"/>
              </w:rPr>
              <w:t>Participation</w:t>
            </w:r>
          </w:p>
        </w:tc>
        <w:tc>
          <w:tcPr>
            <w:tcW w:w="7485" w:type="dxa"/>
            <w:hideMark/>
          </w:tcPr>
          <w:p w:rsidR="000D6670" w:rsidRPr="005F120D" w:rsidRDefault="00716CFE" w:rsidP="00C437AA">
            <w:pPr>
              <w:pStyle w:val="ListParagraph"/>
              <w:numPr>
                <w:ilvl w:val="0"/>
                <w:numId w:val="68"/>
              </w:numPr>
              <w:spacing w:after="0" w:line="276" w:lineRule="auto"/>
              <w:ind w:left="447"/>
              <w:cnfStyle w:val="000000010000"/>
              <w:rPr>
                <w:rFonts w:asciiTheme="minorHAnsi" w:hAnsiTheme="minorHAnsi" w:cstheme="minorHAnsi"/>
                <w:sz w:val="20"/>
                <w:szCs w:val="20"/>
                <w:lang w:eastAsia="ja-JP"/>
              </w:rPr>
            </w:pPr>
            <w:r w:rsidRPr="005F120D">
              <w:rPr>
                <w:rFonts w:asciiTheme="minorHAnsi" w:hAnsiTheme="minorHAnsi" w:cstheme="minorHAnsi"/>
                <w:sz w:val="20"/>
                <w:szCs w:val="20"/>
                <w:lang w:eastAsia="ja-JP"/>
              </w:rPr>
              <w:t xml:space="preserve">Basic Literacy </w:t>
            </w:r>
            <w:r w:rsidR="00802B33" w:rsidRPr="005F120D">
              <w:rPr>
                <w:rFonts w:asciiTheme="minorHAnsi" w:hAnsiTheme="minorHAnsi" w:cstheme="minorHAnsi"/>
                <w:sz w:val="20"/>
                <w:szCs w:val="20"/>
                <w:lang w:eastAsia="ja-JP"/>
              </w:rPr>
              <w:t>Program</w:t>
            </w:r>
          </w:p>
        </w:tc>
      </w:tr>
      <w:tr w:rsidR="000D6670" w:rsidRPr="005F120D" w:rsidTr="000D6670">
        <w:trPr>
          <w:cnfStyle w:val="000000100000"/>
        </w:trPr>
        <w:tc>
          <w:tcPr>
            <w:cnfStyle w:val="001000000000"/>
            <w:tcW w:w="2448" w:type="dxa"/>
            <w:hideMark/>
          </w:tcPr>
          <w:p w:rsidR="000D6670" w:rsidRPr="005F120D" w:rsidRDefault="000D6670" w:rsidP="00C437AA">
            <w:pPr>
              <w:spacing w:after="0" w:line="276" w:lineRule="auto"/>
              <w:rPr>
                <w:rFonts w:asciiTheme="minorHAnsi" w:hAnsiTheme="minorHAnsi" w:cstheme="minorHAnsi"/>
                <w:b w:val="0"/>
                <w:sz w:val="20"/>
                <w:lang w:eastAsia="ja-JP"/>
              </w:rPr>
            </w:pPr>
            <w:r w:rsidRPr="005F120D">
              <w:rPr>
                <w:rFonts w:asciiTheme="minorHAnsi" w:hAnsiTheme="minorHAnsi" w:cstheme="minorHAnsi"/>
                <w:b w:val="0"/>
                <w:sz w:val="20"/>
                <w:lang w:eastAsia="ja-JP"/>
              </w:rPr>
              <w:t>Disparity</w:t>
            </w:r>
          </w:p>
        </w:tc>
        <w:tc>
          <w:tcPr>
            <w:tcW w:w="7485" w:type="dxa"/>
            <w:hideMark/>
          </w:tcPr>
          <w:p w:rsidR="000D6670" w:rsidRPr="005F120D" w:rsidRDefault="00716CFE" w:rsidP="00C437AA">
            <w:pPr>
              <w:pStyle w:val="ListParagraph"/>
              <w:numPr>
                <w:ilvl w:val="0"/>
                <w:numId w:val="68"/>
              </w:numPr>
              <w:spacing w:after="0" w:line="276" w:lineRule="auto"/>
              <w:ind w:left="447"/>
              <w:cnfStyle w:val="000000100000"/>
              <w:rPr>
                <w:rFonts w:asciiTheme="minorHAnsi" w:hAnsiTheme="minorHAnsi" w:cstheme="minorHAnsi"/>
                <w:sz w:val="20"/>
                <w:szCs w:val="20"/>
                <w:lang w:eastAsia="ja-JP"/>
              </w:rPr>
            </w:pPr>
            <w:r w:rsidRPr="005F120D">
              <w:rPr>
                <w:rFonts w:asciiTheme="minorHAnsi" w:hAnsiTheme="minorHAnsi" w:cstheme="minorHAnsi"/>
                <w:sz w:val="20"/>
                <w:szCs w:val="20"/>
              </w:rPr>
              <w:t xml:space="preserve">SHARE Education </w:t>
            </w:r>
            <w:r w:rsidR="00802B33" w:rsidRPr="005F120D">
              <w:rPr>
                <w:rFonts w:asciiTheme="minorHAnsi" w:hAnsiTheme="minorHAnsi" w:cstheme="minorHAnsi"/>
                <w:sz w:val="20"/>
                <w:szCs w:val="20"/>
              </w:rPr>
              <w:t>Program</w:t>
            </w:r>
            <w:r w:rsidRPr="005F120D">
              <w:rPr>
                <w:rFonts w:asciiTheme="minorHAnsi" w:hAnsiTheme="minorHAnsi" w:cstheme="minorHAnsi"/>
                <w:sz w:val="20"/>
                <w:szCs w:val="20"/>
              </w:rPr>
              <w:t xml:space="preserve"> in Bangladesh: Reaching the Hardest to Reach Children</w:t>
            </w:r>
          </w:p>
        </w:tc>
      </w:tr>
    </w:tbl>
    <w:p w:rsidR="00140350" w:rsidRPr="005F120D" w:rsidRDefault="000D6670" w:rsidP="00C437AA">
      <w:pPr>
        <w:spacing w:line="276" w:lineRule="auto"/>
        <w:rPr>
          <w:rFonts w:asciiTheme="minorHAnsi" w:hAnsiTheme="minorHAnsi" w:cstheme="minorHAnsi"/>
          <w:i/>
          <w:sz w:val="16"/>
          <w:szCs w:val="16"/>
        </w:rPr>
      </w:pPr>
      <w:r w:rsidRPr="005F120D">
        <w:rPr>
          <w:rFonts w:asciiTheme="minorHAnsi" w:hAnsiTheme="minorHAnsi" w:cstheme="minorHAnsi"/>
          <w:i/>
          <w:sz w:val="16"/>
          <w:szCs w:val="16"/>
        </w:rPr>
        <w:t>Source:  Discrete Project Document and ASPR assessment.</w:t>
      </w:r>
    </w:p>
    <w:p w:rsidR="00914E0C" w:rsidRPr="005F120D" w:rsidRDefault="00914E0C" w:rsidP="00C437AA">
      <w:pPr>
        <w:pStyle w:val="Caption"/>
        <w:spacing w:line="276" w:lineRule="auto"/>
        <w:rPr>
          <w:rFonts w:cstheme="minorHAnsi"/>
          <w:i/>
          <w:sz w:val="18"/>
          <w:szCs w:val="18"/>
        </w:rPr>
      </w:pPr>
      <w:bookmarkStart w:id="600" w:name="_Toc462837461"/>
      <w:r w:rsidRPr="005F120D">
        <w:rPr>
          <w:rFonts w:cstheme="minorHAnsi"/>
        </w:rPr>
        <w:t xml:space="preserve">Figure </w:t>
      </w:r>
      <w:r w:rsidR="002E2ED5" w:rsidRPr="005F120D">
        <w:rPr>
          <w:rFonts w:cstheme="minorHAnsi"/>
        </w:rPr>
        <w:fldChar w:fldCharType="begin"/>
      </w:r>
      <w:r w:rsidR="000B4AB3"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0B4AB3" w:rsidRPr="005F120D">
        <w:rPr>
          <w:rFonts w:cstheme="minorHAnsi"/>
        </w:rPr>
        <w:t>.</w:t>
      </w:r>
      <w:r w:rsidR="002E2ED5" w:rsidRPr="005F120D">
        <w:rPr>
          <w:rFonts w:cstheme="minorHAnsi"/>
        </w:rPr>
        <w:fldChar w:fldCharType="begin"/>
      </w:r>
      <w:r w:rsidR="000B4AB3" w:rsidRPr="005F120D">
        <w:rPr>
          <w:rFonts w:cstheme="minorHAnsi"/>
        </w:rPr>
        <w:instrText xml:space="preserve"> SEQ Figure \* ARABIC \s 1 </w:instrText>
      </w:r>
      <w:r w:rsidR="002E2ED5" w:rsidRPr="005F120D">
        <w:rPr>
          <w:rFonts w:cstheme="minorHAnsi"/>
        </w:rPr>
        <w:fldChar w:fldCharType="separate"/>
      </w:r>
      <w:r w:rsidR="00810DA2">
        <w:rPr>
          <w:rFonts w:cstheme="minorHAnsi"/>
          <w:noProof/>
        </w:rPr>
        <w:t>3</w:t>
      </w:r>
      <w:r w:rsidR="002E2ED5" w:rsidRPr="005F120D">
        <w:rPr>
          <w:rFonts w:cstheme="minorHAnsi"/>
        </w:rPr>
        <w:fldChar w:fldCharType="end"/>
      </w:r>
      <w:r w:rsidRPr="005F120D">
        <w:rPr>
          <w:rFonts w:cstheme="minorHAnsi"/>
        </w:rPr>
        <w:t>:  Discret</w:t>
      </w:r>
      <w:r w:rsidR="001F3E3E" w:rsidRPr="005F120D">
        <w:rPr>
          <w:rFonts w:cstheme="minorHAnsi"/>
        </w:rPr>
        <w:t>e</w:t>
      </w:r>
      <w:r w:rsidRPr="005F120D">
        <w:rPr>
          <w:rFonts w:cstheme="minorHAnsi"/>
        </w:rPr>
        <w:t xml:space="preserve"> Projects B</w:t>
      </w:r>
      <w:r w:rsidR="000D6670" w:rsidRPr="005F120D">
        <w:rPr>
          <w:rFonts w:cstheme="minorHAnsi"/>
        </w:rPr>
        <w:t>udget by PEDP3 Components 201</w:t>
      </w:r>
      <w:r w:rsidR="00BA525B" w:rsidRPr="005F120D">
        <w:rPr>
          <w:rFonts w:cstheme="minorHAnsi"/>
        </w:rPr>
        <w:t>5</w:t>
      </w:r>
      <w:r w:rsidR="007B1484" w:rsidRPr="005F120D">
        <w:rPr>
          <w:rFonts w:cstheme="minorHAnsi"/>
        </w:rPr>
        <w:t>/16</w:t>
      </w:r>
      <w:bookmarkEnd w:id="600"/>
    </w:p>
    <w:p w:rsidR="001D20EE" w:rsidRPr="005F120D" w:rsidRDefault="006E06ED" w:rsidP="00C437AA">
      <w:pPr>
        <w:spacing w:line="276" w:lineRule="auto"/>
        <w:jc w:val="center"/>
        <w:rPr>
          <w:rFonts w:asciiTheme="minorHAnsi" w:hAnsiTheme="minorHAnsi" w:cstheme="minorHAnsi"/>
          <w:color w:val="FF0000"/>
        </w:rPr>
      </w:pPr>
      <w:r w:rsidRPr="005F120D">
        <w:rPr>
          <w:rFonts w:asciiTheme="minorHAnsi" w:hAnsiTheme="minorHAnsi" w:cstheme="minorHAnsi"/>
          <w:noProof/>
          <w:color w:val="FF0000"/>
          <w:lang w:eastAsia="en-US"/>
        </w:rPr>
        <w:drawing>
          <wp:inline distT="0" distB="0" distL="0" distR="0">
            <wp:extent cx="4402262" cy="2302731"/>
            <wp:effectExtent l="38100" t="19050" r="17338" b="2319"/>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5109C" w:rsidRPr="005F120D" w:rsidRDefault="0025109C" w:rsidP="0025109C">
      <w:pPr>
        <w:spacing w:line="276" w:lineRule="auto"/>
        <w:jc w:val="both"/>
        <w:rPr>
          <w:rFonts w:asciiTheme="minorHAnsi" w:hAnsiTheme="minorHAnsi" w:cstheme="minorHAnsi"/>
          <w:szCs w:val="22"/>
        </w:rPr>
      </w:pPr>
      <w:r w:rsidRPr="005F120D">
        <w:rPr>
          <w:rFonts w:asciiTheme="minorHAnsi" w:hAnsiTheme="minorHAnsi" w:cstheme="minorHAnsi"/>
          <w:szCs w:val="22"/>
        </w:rPr>
        <w:t xml:space="preserve">In 2015-6, the total budget allocation to the discrete projects amounted is Taka 2,135 crore.   Based on the above classification, it is evident that the bulk of the funding went to reducing disparity and improving participation at around 95% (e.g., stipend, school feeding, school construction etc.).   Hence, it is fair to say that discrete projects have contributed significantly to the improvement of education access and internal efficiency indicators (e.g., NER/GER, survival/dropout rates).  However, less priority has been given to quality related interventions as well as to system capacity building initiatives at only 5% (see Figure 5.3). </w:t>
      </w:r>
    </w:p>
    <w:p w:rsidR="0025109C" w:rsidRPr="005F120D" w:rsidRDefault="0025109C" w:rsidP="0025109C">
      <w:pPr>
        <w:spacing w:before="120" w:after="120" w:line="276" w:lineRule="auto"/>
        <w:jc w:val="both"/>
        <w:rPr>
          <w:rFonts w:asciiTheme="minorHAnsi" w:hAnsiTheme="minorHAnsi" w:cstheme="minorHAnsi"/>
          <w:szCs w:val="22"/>
        </w:rPr>
      </w:pPr>
      <w:r w:rsidRPr="005F120D">
        <w:rPr>
          <w:rFonts w:asciiTheme="minorHAnsi" w:hAnsiTheme="minorHAnsi" w:cstheme="minorHAnsi"/>
          <w:b/>
          <w:szCs w:val="22"/>
        </w:rPr>
        <w:lastRenderedPageBreak/>
        <w:t>Note: Summary descriptions of discrete projects are provided in Annex E including the following:</w:t>
      </w:r>
    </w:p>
    <w:p w:rsidR="0025109C" w:rsidRPr="005F120D" w:rsidRDefault="0025109C" w:rsidP="0025109C">
      <w:pPr>
        <w:pStyle w:val="Heading2NONUM"/>
        <w:numPr>
          <w:ilvl w:val="0"/>
          <w:numId w:val="109"/>
        </w:numPr>
        <w:spacing w:before="120" w:after="120" w:line="276" w:lineRule="auto"/>
        <w:rPr>
          <w:rFonts w:asciiTheme="minorHAnsi" w:hAnsiTheme="minorHAnsi" w:cstheme="minorHAnsi"/>
          <w:b w:val="0"/>
          <w:sz w:val="22"/>
          <w:szCs w:val="22"/>
        </w:rPr>
      </w:pPr>
      <w:r w:rsidRPr="005F120D">
        <w:rPr>
          <w:rFonts w:asciiTheme="minorHAnsi" w:hAnsiTheme="minorHAnsi" w:cstheme="minorHAnsi"/>
          <w:b w:val="0"/>
          <w:sz w:val="22"/>
          <w:szCs w:val="22"/>
        </w:rPr>
        <w:t>E-1:  PEDP3 Budget DPP and RDPP and Cumulative Expenditures as of March 2015;</w:t>
      </w:r>
    </w:p>
    <w:p w:rsidR="0025109C" w:rsidRPr="005F120D" w:rsidRDefault="0025109C" w:rsidP="0025109C">
      <w:pPr>
        <w:pStyle w:val="Heading2NONUM"/>
        <w:numPr>
          <w:ilvl w:val="0"/>
          <w:numId w:val="109"/>
        </w:numPr>
        <w:spacing w:before="120" w:after="120" w:line="276" w:lineRule="auto"/>
        <w:rPr>
          <w:rFonts w:asciiTheme="minorHAnsi" w:hAnsiTheme="minorHAnsi" w:cstheme="minorHAnsi"/>
          <w:b w:val="0"/>
          <w:sz w:val="22"/>
          <w:szCs w:val="22"/>
        </w:rPr>
      </w:pPr>
      <w:r w:rsidRPr="005F120D">
        <w:rPr>
          <w:rFonts w:asciiTheme="minorHAnsi" w:hAnsiTheme="minorHAnsi" w:cstheme="minorHAnsi"/>
          <w:b w:val="0"/>
          <w:sz w:val="22"/>
          <w:szCs w:val="22"/>
        </w:rPr>
        <w:t>E-2: PEDP3 budget RDPP and Expenditures as of March 2016 based on of 2015-16 AOP;</w:t>
      </w:r>
    </w:p>
    <w:p w:rsidR="0025109C" w:rsidRPr="005F120D" w:rsidRDefault="0025109C" w:rsidP="0025109C">
      <w:pPr>
        <w:numPr>
          <w:ilvl w:val="0"/>
          <w:numId w:val="109"/>
        </w:numPr>
        <w:spacing w:before="120" w:after="120" w:line="276" w:lineRule="auto"/>
        <w:contextualSpacing/>
        <w:rPr>
          <w:rFonts w:asciiTheme="minorHAnsi" w:hAnsiTheme="minorHAnsi" w:cstheme="minorHAnsi"/>
          <w:szCs w:val="22"/>
        </w:rPr>
      </w:pPr>
      <w:r w:rsidRPr="005F120D">
        <w:rPr>
          <w:rFonts w:asciiTheme="minorHAnsi" w:hAnsiTheme="minorHAnsi" w:cstheme="minorHAnsi"/>
          <w:szCs w:val="22"/>
        </w:rPr>
        <w:t>E-3: AOP 2015-16 Activity Implementation;</w:t>
      </w:r>
    </w:p>
    <w:p w:rsidR="0025109C" w:rsidRPr="005F120D" w:rsidRDefault="0025109C" w:rsidP="0025109C">
      <w:pPr>
        <w:numPr>
          <w:ilvl w:val="0"/>
          <w:numId w:val="109"/>
        </w:numPr>
        <w:spacing w:before="120" w:after="120" w:line="276" w:lineRule="auto"/>
        <w:contextualSpacing/>
        <w:rPr>
          <w:rFonts w:asciiTheme="minorHAnsi" w:hAnsiTheme="minorHAnsi" w:cstheme="minorHAnsi"/>
          <w:szCs w:val="22"/>
        </w:rPr>
      </w:pPr>
      <w:r w:rsidRPr="005F120D">
        <w:rPr>
          <w:rFonts w:asciiTheme="minorHAnsi" w:hAnsiTheme="minorHAnsi" w:cstheme="minorHAnsi"/>
          <w:szCs w:val="22"/>
        </w:rPr>
        <w:t>E-4:  A. Summary Description of Water &amp; Sanitation Activities under PEDP3 as of March 2016;</w:t>
      </w:r>
    </w:p>
    <w:p w:rsidR="0025109C" w:rsidRPr="005F120D" w:rsidRDefault="0025109C" w:rsidP="0025109C">
      <w:pPr>
        <w:pStyle w:val="Heading2NONUM"/>
        <w:numPr>
          <w:ilvl w:val="0"/>
          <w:numId w:val="109"/>
        </w:numPr>
        <w:spacing w:before="120" w:after="120" w:line="276" w:lineRule="auto"/>
        <w:rPr>
          <w:rFonts w:asciiTheme="minorHAnsi" w:hAnsiTheme="minorHAnsi" w:cstheme="minorHAnsi"/>
          <w:b w:val="0"/>
          <w:sz w:val="22"/>
          <w:szCs w:val="22"/>
        </w:rPr>
      </w:pPr>
      <w:r w:rsidRPr="005F120D">
        <w:rPr>
          <w:rFonts w:asciiTheme="minorHAnsi" w:hAnsiTheme="minorHAnsi" w:cstheme="minorHAnsi"/>
          <w:b w:val="0"/>
          <w:sz w:val="22"/>
          <w:szCs w:val="22"/>
        </w:rPr>
        <w:t>E-5:  B. Summary Description of Furniture and Repair Activities under PEDP3 as of March 2016;</w:t>
      </w:r>
    </w:p>
    <w:p w:rsidR="0025109C" w:rsidRPr="005F120D" w:rsidRDefault="0025109C" w:rsidP="0025109C">
      <w:pPr>
        <w:pStyle w:val="Heading2NONUM"/>
        <w:numPr>
          <w:ilvl w:val="0"/>
          <w:numId w:val="109"/>
        </w:numPr>
        <w:spacing w:before="120" w:after="120" w:line="276" w:lineRule="auto"/>
        <w:rPr>
          <w:rFonts w:asciiTheme="minorHAnsi" w:hAnsiTheme="minorHAnsi" w:cstheme="minorHAnsi"/>
          <w:b w:val="0"/>
          <w:sz w:val="22"/>
          <w:szCs w:val="22"/>
        </w:rPr>
      </w:pPr>
      <w:r w:rsidRPr="005F120D">
        <w:rPr>
          <w:rFonts w:asciiTheme="minorHAnsi" w:hAnsiTheme="minorHAnsi" w:cstheme="minorHAnsi"/>
          <w:b w:val="0"/>
          <w:sz w:val="22"/>
          <w:szCs w:val="22"/>
        </w:rPr>
        <w:t>E-6:  C. Summary Description of Construction &amp; Repair Activities under PEDP3 as of March 2016;</w:t>
      </w:r>
    </w:p>
    <w:p w:rsidR="0025109C" w:rsidRPr="005F120D" w:rsidRDefault="0025109C" w:rsidP="0025109C">
      <w:pPr>
        <w:pStyle w:val="Heading2NONUM"/>
        <w:numPr>
          <w:ilvl w:val="0"/>
          <w:numId w:val="109"/>
        </w:numPr>
        <w:spacing w:before="120" w:after="120" w:line="276" w:lineRule="auto"/>
        <w:rPr>
          <w:rFonts w:asciiTheme="minorHAnsi" w:hAnsiTheme="minorHAnsi" w:cstheme="minorHAnsi"/>
          <w:b w:val="0"/>
          <w:sz w:val="22"/>
          <w:szCs w:val="22"/>
        </w:rPr>
      </w:pPr>
      <w:r w:rsidRPr="005F120D">
        <w:rPr>
          <w:rFonts w:asciiTheme="minorHAnsi" w:hAnsiTheme="minorHAnsi" w:cstheme="minorHAnsi"/>
          <w:b w:val="0"/>
          <w:sz w:val="22"/>
          <w:szCs w:val="22"/>
        </w:rPr>
        <w:t>E-7:  D. Summary Description of Construction, Repair and Expansion under PEDP3 as of March 2016; and</w:t>
      </w:r>
    </w:p>
    <w:p w:rsidR="0003413C" w:rsidRPr="005F120D" w:rsidRDefault="0025109C" w:rsidP="0025109C">
      <w:pPr>
        <w:pStyle w:val="BodyText1"/>
        <w:numPr>
          <w:ilvl w:val="0"/>
          <w:numId w:val="109"/>
        </w:numPr>
        <w:spacing w:before="120" w:after="120"/>
        <w:rPr>
          <w:rFonts w:asciiTheme="minorHAnsi" w:hAnsiTheme="minorHAnsi" w:cstheme="minorHAnsi"/>
          <w:b w:val="0"/>
          <w:sz w:val="20"/>
          <w:szCs w:val="20"/>
        </w:rPr>
      </w:pPr>
      <w:r w:rsidRPr="005F120D">
        <w:rPr>
          <w:rFonts w:asciiTheme="minorHAnsi" w:hAnsiTheme="minorHAnsi" w:cstheme="minorHAnsi"/>
          <w:b w:val="0"/>
        </w:rPr>
        <w:t>E-8: Summary Description of JICA Supported Activities under PEDP3 2010-16</w:t>
      </w:r>
      <w:r w:rsidR="007B1484" w:rsidRPr="005F120D">
        <w:rPr>
          <w:rFonts w:asciiTheme="minorHAnsi" w:hAnsiTheme="minorHAnsi" w:cstheme="minorHAnsi"/>
          <w:b w:val="0"/>
          <w:sz w:val="20"/>
          <w:szCs w:val="20"/>
        </w:rPr>
        <w:t>.</w:t>
      </w:r>
    </w:p>
    <w:p w:rsidR="00840BF3" w:rsidRPr="005F120D" w:rsidRDefault="00840BF3" w:rsidP="00C437AA">
      <w:pPr>
        <w:spacing w:line="276" w:lineRule="auto"/>
        <w:rPr>
          <w:rFonts w:asciiTheme="minorHAnsi" w:hAnsiTheme="minorHAnsi" w:cstheme="minorHAnsi"/>
          <w:b/>
          <w:color w:val="006600"/>
        </w:rPr>
        <w:sectPr w:rsidR="00840BF3" w:rsidRPr="005F120D" w:rsidSect="00EA356A">
          <w:type w:val="nextColumn"/>
          <w:pgSz w:w="11909" w:h="16834" w:code="9"/>
          <w:pgMar w:top="1440" w:right="1440" w:bottom="1440" w:left="1440" w:header="720" w:footer="720" w:gutter="0"/>
          <w:cols w:space="720"/>
          <w:docGrid w:linePitch="360"/>
        </w:sectPr>
      </w:pPr>
    </w:p>
    <w:p w:rsidR="00D73B6C" w:rsidRPr="005F120D" w:rsidRDefault="0056272E" w:rsidP="00C437AA">
      <w:pPr>
        <w:pStyle w:val="Caption"/>
        <w:keepNext/>
        <w:spacing w:line="276" w:lineRule="auto"/>
        <w:rPr>
          <w:rFonts w:cstheme="minorHAnsi"/>
        </w:rPr>
      </w:pPr>
      <w:bookmarkStart w:id="601" w:name="_Toc462837315"/>
      <w:r w:rsidRPr="005F120D">
        <w:rPr>
          <w:rFonts w:cstheme="minorHAnsi"/>
        </w:rPr>
        <w:lastRenderedPageBreak/>
        <w:t xml:space="preserve">Table </w:t>
      </w:r>
      <w:r w:rsidR="002E2ED5" w:rsidRPr="005F120D">
        <w:rPr>
          <w:rFonts w:cstheme="minorHAnsi"/>
        </w:rPr>
        <w:fldChar w:fldCharType="begin"/>
      </w:r>
      <w:r w:rsidR="007112B6" w:rsidRPr="005F120D">
        <w:rPr>
          <w:rFonts w:cstheme="minorHAnsi"/>
        </w:rPr>
        <w:instrText xml:space="preserve"> STYLEREF 1 \s </w:instrText>
      </w:r>
      <w:r w:rsidR="002E2ED5" w:rsidRPr="005F120D">
        <w:rPr>
          <w:rFonts w:cstheme="minorHAnsi"/>
        </w:rPr>
        <w:fldChar w:fldCharType="separate"/>
      </w:r>
      <w:r w:rsidR="00810DA2">
        <w:rPr>
          <w:rFonts w:cstheme="minorHAnsi"/>
          <w:noProof/>
        </w:rPr>
        <w:t>6</w:t>
      </w:r>
      <w:r w:rsidR="002E2ED5" w:rsidRPr="005F120D">
        <w:rPr>
          <w:rFonts w:cstheme="minorHAnsi"/>
        </w:rPr>
        <w:fldChar w:fldCharType="end"/>
      </w:r>
      <w:r w:rsidR="007112B6" w:rsidRPr="005F120D">
        <w:rPr>
          <w:rFonts w:cstheme="minorHAnsi"/>
        </w:rPr>
        <w:t>.</w:t>
      </w:r>
      <w:r w:rsidR="002E2ED5" w:rsidRPr="005F120D">
        <w:rPr>
          <w:rFonts w:cstheme="minorHAnsi"/>
        </w:rPr>
        <w:fldChar w:fldCharType="begin"/>
      </w:r>
      <w:r w:rsidR="007112B6" w:rsidRPr="005F120D">
        <w:rPr>
          <w:rFonts w:cstheme="minorHAnsi"/>
        </w:rPr>
        <w:instrText xml:space="preserve"> SEQ Table \* ARABIC \s 1 </w:instrText>
      </w:r>
      <w:r w:rsidR="002E2ED5" w:rsidRPr="005F120D">
        <w:rPr>
          <w:rFonts w:cstheme="minorHAnsi"/>
        </w:rPr>
        <w:fldChar w:fldCharType="separate"/>
      </w:r>
      <w:r w:rsidR="00810DA2">
        <w:rPr>
          <w:rFonts w:cstheme="minorHAnsi"/>
          <w:noProof/>
        </w:rPr>
        <w:t>12</w:t>
      </w:r>
      <w:r w:rsidR="002E2ED5" w:rsidRPr="005F120D">
        <w:rPr>
          <w:rFonts w:cstheme="minorHAnsi"/>
        </w:rPr>
        <w:fldChar w:fldCharType="end"/>
      </w:r>
      <w:r w:rsidRPr="005F120D">
        <w:rPr>
          <w:rFonts w:cstheme="minorHAnsi"/>
        </w:rPr>
        <w:t xml:space="preserve">: </w:t>
      </w:r>
      <w:r w:rsidR="000D6627" w:rsidRPr="005F120D">
        <w:rPr>
          <w:rFonts w:cstheme="minorHAnsi"/>
        </w:rPr>
        <w:t xml:space="preserve">Budget Trend of </w:t>
      </w:r>
      <w:r w:rsidRPr="005F120D">
        <w:rPr>
          <w:rFonts w:cstheme="minorHAnsi"/>
        </w:rPr>
        <w:t xml:space="preserve">Primary Education </w:t>
      </w:r>
      <w:r w:rsidR="00F96814" w:rsidRPr="005F120D">
        <w:rPr>
          <w:rFonts w:cstheme="minorHAnsi"/>
        </w:rPr>
        <w:t>Discrete</w:t>
      </w:r>
      <w:r w:rsidR="00CF10A7" w:rsidRPr="005F120D">
        <w:rPr>
          <w:rFonts w:cstheme="minorHAnsi"/>
        </w:rPr>
        <w:t xml:space="preserve"> Projects 2011/12 – 2015</w:t>
      </w:r>
      <w:r w:rsidRPr="005F120D">
        <w:rPr>
          <w:rFonts w:cstheme="minorHAnsi"/>
        </w:rPr>
        <w:t>/1</w:t>
      </w:r>
      <w:r w:rsidR="00CF10A7" w:rsidRPr="005F120D">
        <w:rPr>
          <w:rFonts w:cstheme="minorHAnsi"/>
        </w:rPr>
        <w:t>6</w:t>
      </w:r>
      <w:bookmarkEnd w:id="601"/>
    </w:p>
    <w:tbl>
      <w:tblPr>
        <w:tblW w:w="5000" w:type="pct"/>
        <w:jc w:val="center"/>
        <w:tblLook w:val="04A0"/>
      </w:tblPr>
      <w:tblGrid>
        <w:gridCol w:w="444"/>
        <w:gridCol w:w="3905"/>
        <w:gridCol w:w="890"/>
        <w:gridCol w:w="938"/>
        <w:gridCol w:w="944"/>
        <w:gridCol w:w="947"/>
        <w:gridCol w:w="1108"/>
        <w:gridCol w:w="1046"/>
        <w:gridCol w:w="1046"/>
        <w:gridCol w:w="1043"/>
        <w:gridCol w:w="932"/>
        <w:gridCol w:w="927"/>
      </w:tblGrid>
      <w:tr w:rsidR="00C34838" w:rsidRPr="005F120D" w:rsidTr="009E29CC">
        <w:trPr>
          <w:jc w:val="center"/>
        </w:trPr>
        <w:tc>
          <w:tcPr>
            <w:tcW w:w="157"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601D3" w:rsidRPr="005F120D" w:rsidRDefault="009601D3" w:rsidP="00D9586F">
            <w:pPr>
              <w:spacing w:beforeLines="20" w:afterLines="2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SL #</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601D3" w:rsidRPr="005F120D" w:rsidRDefault="009601D3" w:rsidP="00D9586F">
            <w:pPr>
              <w:spacing w:beforeLines="20" w:afterLines="20"/>
              <w:jc w:val="center"/>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Program/Project</w:t>
            </w:r>
          </w:p>
        </w:tc>
        <w:tc>
          <w:tcPr>
            <w:tcW w:w="645" w:type="pct"/>
            <w:gridSpan w:val="2"/>
            <w:tcBorders>
              <w:top w:val="single" w:sz="4" w:space="0" w:color="auto"/>
              <w:left w:val="nil"/>
              <w:bottom w:val="single" w:sz="4" w:space="0" w:color="auto"/>
              <w:right w:val="single" w:sz="4" w:space="0" w:color="auto"/>
            </w:tcBorders>
            <w:shd w:val="clear" w:color="auto" w:fill="C2D69B" w:themeFill="accent3" w:themeFillTint="99"/>
            <w:hideMark/>
          </w:tcPr>
          <w:p w:rsidR="009601D3" w:rsidRPr="005F120D" w:rsidRDefault="009601D3" w:rsidP="00D9586F">
            <w:pPr>
              <w:spacing w:beforeLines="20" w:afterLines="20"/>
              <w:jc w:val="center"/>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2011-2012</w:t>
            </w:r>
          </w:p>
        </w:tc>
        <w:tc>
          <w:tcPr>
            <w:tcW w:w="667" w:type="pct"/>
            <w:gridSpan w:val="2"/>
            <w:tcBorders>
              <w:top w:val="single" w:sz="4" w:space="0" w:color="auto"/>
              <w:left w:val="nil"/>
              <w:bottom w:val="single" w:sz="4" w:space="0" w:color="auto"/>
              <w:right w:val="single" w:sz="4" w:space="0" w:color="auto"/>
            </w:tcBorders>
            <w:shd w:val="clear" w:color="auto" w:fill="C2D69B" w:themeFill="accent3" w:themeFillTint="99"/>
            <w:hideMark/>
          </w:tcPr>
          <w:p w:rsidR="009601D3" w:rsidRPr="005F120D" w:rsidRDefault="009601D3" w:rsidP="00D9586F">
            <w:pPr>
              <w:spacing w:beforeLines="20" w:afterLines="20"/>
              <w:jc w:val="center"/>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2012-2013</w:t>
            </w:r>
          </w:p>
        </w:tc>
        <w:tc>
          <w:tcPr>
            <w:tcW w:w="760" w:type="pct"/>
            <w:gridSpan w:val="2"/>
            <w:tcBorders>
              <w:top w:val="single" w:sz="4" w:space="0" w:color="auto"/>
              <w:left w:val="nil"/>
              <w:bottom w:val="single" w:sz="4" w:space="0" w:color="auto"/>
              <w:right w:val="single" w:sz="4" w:space="0" w:color="auto"/>
            </w:tcBorders>
            <w:shd w:val="clear" w:color="auto" w:fill="C2D69B" w:themeFill="accent3" w:themeFillTint="99"/>
            <w:hideMark/>
          </w:tcPr>
          <w:p w:rsidR="009601D3" w:rsidRPr="005F120D" w:rsidRDefault="009601D3" w:rsidP="00D9586F">
            <w:pPr>
              <w:spacing w:beforeLines="20" w:afterLines="20"/>
              <w:jc w:val="center"/>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2013-2014</w:t>
            </w:r>
          </w:p>
        </w:tc>
        <w:tc>
          <w:tcPr>
            <w:tcW w:w="737" w:type="pct"/>
            <w:gridSpan w:val="2"/>
            <w:tcBorders>
              <w:top w:val="single" w:sz="4" w:space="0" w:color="auto"/>
              <w:left w:val="nil"/>
              <w:bottom w:val="single" w:sz="4" w:space="0" w:color="auto"/>
              <w:right w:val="single" w:sz="4" w:space="0" w:color="auto"/>
            </w:tcBorders>
            <w:shd w:val="clear" w:color="auto" w:fill="C2D69B" w:themeFill="accent3" w:themeFillTint="99"/>
          </w:tcPr>
          <w:p w:rsidR="009601D3" w:rsidRPr="005F120D" w:rsidRDefault="009601D3" w:rsidP="00D9586F">
            <w:pPr>
              <w:spacing w:beforeLines="20" w:afterLines="20"/>
              <w:jc w:val="center"/>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2014-2015</w:t>
            </w:r>
          </w:p>
        </w:tc>
        <w:tc>
          <w:tcPr>
            <w:tcW w:w="656" w:type="pct"/>
            <w:gridSpan w:val="2"/>
            <w:tcBorders>
              <w:top w:val="single" w:sz="4" w:space="0" w:color="auto"/>
              <w:left w:val="nil"/>
              <w:bottom w:val="single" w:sz="4" w:space="0" w:color="auto"/>
              <w:right w:val="single" w:sz="4" w:space="0" w:color="auto"/>
            </w:tcBorders>
            <w:shd w:val="clear" w:color="auto" w:fill="C2D69B" w:themeFill="accent3" w:themeFillTint="99"/>
          </w:tcPr>
          <w:p w:rsidR="009601D3" w:rsidRPr="005F120D" w:rsidRDefault="009601D3" w:rsidP="00D9586F">
            <w:pPr>
              <w:spacing w:beforeLines="20" w:afterLines="20"/>
              <w:jc w:val="center"/>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2015-2016</w:t>
            </w:r>
          </w:p>
        </w:tc>
      </w:tr>
      <w:tr w:rsidR="009E29CC" w:rsidRPr="005F120D" w:rsidTr="009E29CC">
        <w:trPr>
          <w:jc w:val="center"/>
        </w:trPr>
        <w:tc>
          <w:tcPr>
            <w:tcW w:w="157" w:type="pct"/>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037F65" w:rsidRPr="005F120D" w:rsidRDefault="00037F65" w:rsidP="00D9586F">
            <w:pPr>
              <w:spacing w:beforeLines="20" w:afterLines="20"/>
              <w:rPr>
                <w:rFonts w:asciiTheme="minorHAnsi" w:hAnsiTheme="minorHAnsi" w:cstheme="minorHAnsi"/>
                <w:b/>
                <w:smallCaps/>
                <w:sz w:val="18"/>
                <w:szCs w:val="18"/>
                <w:lang w:eastAsia="ja-JP"/>
              </w:rPr>
            </w:pPr>
          </w:p>
        </w:tc>
        <w:tc>
          <w:tcPr>
            <w:tcW w:w="1378" w:type="pct"/>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037F65" w:rsidRPr="005F120D" w:rsidRDefault="00037F65" w:rsidP="00D9586F">
            <w:pPr>
              <w:spacing w:beforeLines="20" w:afterLines="20"/>
              <w:rPr>
                <w:rFonts w:asciiTheme="minorHAnsi" w:hAnsiTheme="minorHAnsi" w:cstheme="minorHAnsi"/>
                <w:b/>
                <w:smallCaps/>
                <w:sz w:val="18"/>
                <w:szCs w:val="18"/>
                <w:lang w:eastAsia="ja-JP"/>
              </w:rPr>
            </w:pPr>
          </w:p>
        </w:tc>
        <w:tc>
          <w:tcPr>
            <w:tcW w:w="314" w:type="pct"/>
            <w:tcBorders>
              <w:top w:val="nil"/>
              <w:left w:val="nil"/>
              <w:bottom w:val="single" w:sz="4" w:space="0" w:color="auto"/>
              <w:right w:val="single" w:sz="4" w:space="0" w:color="auto"/>
            </w:tcBorders>
            <w:shd w:val="clear" w:color="auto" w:fill="C2D69B" w:themeFill="accent3" w:themeFillTint="99"/>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 xml:space="preserve">Original Budget </w:t>
            </w:r>
          </w:p>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2011-12</w:t>
            </w:r>
          </w:p>
        </w:tc>
        <w:tc>
          <w:tcPr>
            <w:tcW w:w="331" w:type="pct"/>
            <w:tcBorders>
              <w:top w:val="nil"/>
              <w:left w:val="nil"/>
              <w:bottom w:val="single" w:sz="4" w:space="0" w:color="auto"/>
              <w:right w:val="single" w:sz="4" w:space="0" w:color="auto"/>
            </w:tcBorders>
            <w:shd w:val="clear" w:color="auto" w:fill="C2D69B" w:themeFill="accent3" w:themeFillTint="99"/>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Revised Budget 2011-12</w:t>
            </w:r>
          </w:p>
        </w:tc>
        <w:tc>
          <w:tcPr>
            <w:tcW w:w="333" w:type="pct"/>
            <w:tcBorders>
              <w:top w:val="nil"/>
              <w:left w:val="nil"/>
              <w:bottom w:val="single" w:sz="4" w:space="0" w:color="auto"/>
              <w:right w:val="single" w:sz="4" w:space="0" w:color="auto"/>
            </w:tcBorders>
            <w:shd w:val="clear" w:color="auto" w:fill="C2D69B" w:themeFill="accent3" w:themeFillTint="99"/>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Original Budget 2012-13</w:t>
            </w:r>
          </w:p>
        </w:tc>
        <w:tc>
          <w:tcPr>
            <w:tcW w:w="334" w:type="pct"/>
            <w:tcBorders>
              <w:top w:val="nil"/>
              <w:left w:val="nil"/>
              <w:bottom w:val="single" w:sz="4" w:space="0" w:color="auto"/>
              <w:right w:val="single" w:sz="4" w:space="0" w:color="auto"/>
            </w:tcBorders>
            <w:shd w:val="clear" w:color="auto" w:fill="C2D69B" w:themeFill="accent3" w:themeFillTint="99"/>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 xml:space="preserve">Revised Budget </w:t>
            </w:r>
          </w:p>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2012-13</w:t>
            </w:r>
          </w:p>
        </w:tc>
        <w:tc>
          <w:tcPr>
            <w:tcW w:w="391" w:type="pct"/>
            <w:tcBorders>
              <w:top w:val="nil"/>
              <w:left w:val="nil"/>
              <w:bottom w:val="single" w:sz="4" w:space="0" w:color="auto"/>
              <w:right w:val="single" w:sz="4" w:space="0" w:color="auto"/>
            </w:tcBorders>
            <w:shd w:val="clear" w:color="auto" w:fill="C2D69B" w:themeFill="accent3" w:themeFillTint="99"/>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 xml:space="preserve">Original Budget </w:t>
            </w:r>
          </w:p>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2013-14</w:t>
            </w:r>
          </w:p>
        </w:tc>
        <w:tc>
          <w:tcPr>
            <w:tcW w:w="369" w:type="pct"/>
            <w:tcBorders>
              <w:top w:val="nil"/>
              <w:left w:val="nil"/>
              <w:bottom w:val="single" w:sz="4" w:space="0" w:color="auto"/>
              <w:right w:val="single" w:sz="4" w:space="0" w:color="auto"/>
            </w:tcBorders>
            <w:shd w:val="clear" w:color="auto" w:fill="C2D69B" w:themeFill="accent3" w:themeFillTint="99"/>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Revised Budget 2013-14</w:t>
            </w:r>
          </w:p>
        </w:tc>
        <w:tc>
          <w:tcPr>
            <w:tcW w:w="369" w:type="pct"/>
            <w:tcBorders>
              <w:top w:val="nil"/>
              <w:left w:val="nil"/>
              <w:bottom w:val="single" w:sz="4" w:space="0" w:color="auto"/>
              <w:right w:val="single" w:sz="4" w:space="0" w:color="auto"/>
            </w:tcBorders>
            <w:shd w:val="clear" w:color="auto" w:fill="C2D69B" w:themeFill="accent3" w:themeFillTint="99"/>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 xml:space="preserve">Original Budget </w:t>
            </w:r>
          </w:p>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2014-15</w:t>
            </w:r>
          </w:p>
        </w:tc>
        <w:tc>
          <w:tcPr>
            <w:tcW w:w="368" w:type="pct"/>
            <w:tcBorders>
              <w:top w:val="nil"/>
              <w:left w:val="nil"/>
              <w:bottom w:val="single" w:sz="4" w:space="0" w:color="auto"/>
              <w:right w:val="single" w:sz="4" w:space="0" w:color="auto"/>
            </w:tcBorders>
            <w:shd w:val="clear" w:color="auto" w:fill="C2D69B" w:themeFill="accent3" w:themeFillTint="99"/>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Revised Budget 2014-15</w:t>
            </w:r>
          </w:p>
        </w:tc>
        <w:tc>
          <w:tcPr>
            <w:tcW w:w="329" w:type="pct"/>
            <w:tcBorders>
              <w:top w:val="nil"/>
              <w:left w:val="nil"/>
              <w:bottom w:val="single" w:sz="4" w:space="0" w:color="auto"/>
              <w:right w:val="single" w:sz="4" w:space="0" w:color="auto"/>
            </w:tcBorders>
            <w:shd w:val="clear" w:color="auto" w:fill="C2D69B" w:themeFill="accent3" w:themeFillTint="99"/>
          </w:tcPr>
          <w:p w:rsidR="009601D3" w:rsidRPr="005F120D" w:rsidRDefault="009601D3"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 xml:space="preserve">Original Budget </w:t>
            </w:r>
          </w:p>
          <w:p w:rsidR="00037F65" w:rsidRPr="005F120D" w:rsidRDefault="009601D3"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2015-16</w:t>
            </w:r>
          </w:p>
        </w:tc>
        <w:tc>
          <w:tcPr>
            <w:tcW w:w="327" w:type="pct"/>
            <w:tcBorders>
              <w:top w:val="nil"/>
              <w:left w:val="nil"/>
              <w:bottom w:val="single" w:sz="4" w:space="0" w:color="auto"/>
              <w:right w:val="single" w:sz="4" w:space="0" w:color="auto"/>
            </w:tcBorders>
            <w:shd w:val="clear" w:color="auto" w:fill="C2D69B" w:themeFill="accent3" w:themeFillTint="99"/>
          </w:tcPr>
          <w:p w:rsidR="00624F8B" w:rsidRPr="005F120D" w:rsidRDefault="00624F8B"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Revised Budget</w:t>
            </w:r>
          </w:p>
          <w:p w:rsidR="00037F65" w:rsidRPr="005F120D" w:rsidRDefault="00624F8B"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2015-16</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C34838" w:rsidRPr="005F120D" w:rsidRDefault="00C34838" w:rsidP="00D9586F">
            <w:pPr>
              <w:spacing w:beforeLines="20" w:afterLines="20"/>
              <w:jc w:val="center"/>
              <w:rPr>
                <w:rFonts w:asciiTheme="minorHAnsi" w:hAnsiTheme="minorHAnsi" w:cstheme="minorHAnsi"/>
                <w:color w:val="008000"/>
                <w:sz w:val="18"/>
                <w:szCs w:val="18"/>
                <w:lang w:eastAsia="ja-JP"/>
              </w:rPr>
            </w:pPr>
            <w:r w:rsidRPr="005F120D">
              <w:rPr>
                <w:rFonts w:asciiTheme="minorHAnsi" w:hAnsiTheme="minorHAnsi" w:cstheme="minorHAnsi"/>
                <w:color w:val="008000"/>
                <w:sz w:val="18"/>
                <w:szCs w:val="18"/>
                <w:lang w:eastAsia="ja-JP"/>
              </w:rPr>
              <w:t>1</w:t>
            </w:r>
          </w:p>
        </w:tc>
        <w:tc>
          <w:tcPr>
            <w:tcW w:w="1378" w:type="pct"/>
            <w:tcBorders>
              <w:top w:val="nil"/>
              <w:left w:val="nil"/>
              <w:bottom w:val="single" w:sz="4" w:space="0" w:color="auto"/>
              <w:right w:val="single" w:sz="4" w:space="0" w:color="auto"/>
            </w:tcBorders>
            <w:shd w:val="clear" w:color="000000" w:fill="FFFFFF"/>
            <w:hideMark/>
          </w:tcPr>
          <w:p w:rsidR="00C34838" w:rsidRPr="005F120D" w:rsidRDefault="00C34838"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Primary education stipend program</w:t>
            </w:r>
            <w:r w:rsidR="00D33C37" w:rsidRPr="005F120D">
              <w:rPr>
                <w:rFonts w:asciiTheme="minorHAnsi" w:hAnsiTheme="minorHAnsi" w:cstheme="minorHAnsi"/>
                <w:sz w:val="18"/>
                <w:szCs w:val="18"/>
                <w:lang w:eastAsia="ja-JP"/>
              </w:rPr>
              <w:t xml:space="preserve"> (6020)</w:t>
            </w:r>
          </w:p>
        </w:tc>
        <w:tc>
          <w:tcPr>
            <w:tcW w:w="314"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87,999</w:t>
            </w:r>
          </w:p>
        </w:tc>
        <w:tc>
          <w:tcPr>
            <w:tcW w:w="331"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90,000</w:t>
            </w:r>
          </w:p>
        </w:tc>
        <w:tc>
          <w:tcPr>
            <w:tcW w:w="333"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94,900</w:t>
            </w:r>
          </w:p>
        </w:tc>
        <w:tc>
          <w:tcPr>
            <w:tcW w:w="334"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94,900</w:t>
            </w:r>
          </w:p>
        </w:tc>
        <w:tc>
          <w:tcPr>
            <w:tcW w:w="391"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92,500</w:t>
            </w:r>
          </w:p>
        </w:tc>
        <w:tc>
          <w:tcPr>
            <w:tcW w:w="369"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85,250</w:t>
            </w:r>
          </w:p>
        </w:tc>
        <w:tc>
          <w:tcPr>
            <w:tcW w:w="369"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97,000</w:t>
            </w:r>
          </w:p>
        </w:tc>
        <w:tc>
          <w:tcPr>
            <w:tcW w:w="368" w:type="pct"/>
            <w:tcBorders>
              <w:top w:val="nil"/>
              <w:left w:val="nil"/>
              <w:bottom w:val="single" w:sz="4" w:space="0" w:color="auto"/>
              <w:right w:val="single" w:sz="4" w:space="0" w:color="auto"/>
            </w:tcBorders>
            <w:shd w:val="clear" w:color="000000" w:fill="FFFFFF"/>
          </w:tcPr>
          <w:p w:rsidR="00C34838" w:rsidRPr="005F120D" w:rsidRDefault="00D33C37"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w:t>
            </w:r>
            <w:r w:rsidR="009E29CC" w:rsidRPr="005F120D">
              <w:rPr>
                <w:rFonts w:asciiTheme="minorHAnsi" w:hAnsiTheme="minorHAnsi" w:cstheme="minorHAnsi"/>
                <w:sz w:val="18"/>
                <w:szCs w:val="18"/>
                <w:lang w:eastAsia="ja-JP"/>
              </w:rPr>
              <w:t>4</w:t>
            </w:r>
            <w:r w:rsidR="00C34838" w:rsidRPr="005F120D">
              <w:rPr>
                <w:rFonts w:asciiTheme="minorHAnsi" w:hAnsiTheme="minorHAnsi" w:cstheme="minorHAnsi"/>
                <w:sz w:val="18"/>
                <w:szCs w:val="18"/>
                <w:lang w:eastAsia="ja-JP"/>
              </w:rPr>
              <w:t>,000</w:t>
            </w:r>
          </w:p>
        </w:tc>
        <w:tc>
          <w:tcPr>
            <w:tcW w:w="329" w:type="pct"/>
            <w:tcBorders>
              <w:top w:val="nil"/>
              <w:left w:val="nil"/>
              <w:bottom w:val="single" w:sz="4" w:space="0" w:color="auto"/>
              <w:right w:val="single" w:sz="4" w:space="0" w:color="auto"/>
            </w:tcBorders>
            <w:shd w:val="clear" w:color="000000" w:fill="FFFFFF"/>
          </w:tcPr>
          <w:p w:rsidR="00C34838" w:rsidRPr="005F120D" w:rsidRDefault="00D33C37"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94,000</w:t>
            </w:r>
          </w:p>
        </w:tc>
        <w:tc>
          <w:tcPr>
            <w:tcW w:w="327" w:type="pct"/>
            <w:tcBorders>
              <w:top w:val="nil"/>
              <w:left w:val="nil"/>
              <w:bottom w:val="single" w:sz="4" w:space="0" w:color="auto"/>
              <w:right w:val="single" w:sz="4" w:space="0" w:color="auto"/>
            </w:tcBorders>
            <w:shd w:val="clear" w:color="000000" w:fill="FFFFFF"/>
          </w:tcPr>
          <w:p w:rsidR="00C34838" w:rsidRPr="005F120D" w:rsidRDefault="00C34838" w:rsidP="00B25E46">
            <w:pPr>
              <w:spacing w:after="0"/>
              <w:jc w:val="right"/>
              <w:rPr>
                <w:rFonts w:asciiTheme="minorHAnsi" w:hAnsiTheme="minorHAnsi" w:cstheme="minorHAnsi"/>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F21135" w:rsidRPr="005F120D" w:rsidRDefault="00F21135" w:rsidP="00D9586F">
            <w:pPr>
              <w:spacing w:beforeLines="20" w:afterLines="20"/>
              <w:jc w:val="center"/>
              <w:rPr>
                <w:rFonts w:asciiTheme="minorHAnsi" w:hAnsiTheme="minorHAnsi" w:cstheme="minorHAnsi"/>
                <w:color w:val="008000"/>
                <w:sz w:val="18"/>
                <w:szCs w:val="18"/>
                <w:lang w:eastAsia="ja-JP"/>
              </w:rPr>
            </w:pPr>
            <w:r w:rsidRPr="005F120D">
              <w:rPr>
                <w:rFonts w:asciiTheme="minorHAnsi" w:hAnsiTheme="minorHAnsi" w:cstheme="minorHAnsi"/>
                <w:color w:val="008000"/>
                <w:sz w:val="18"/>
                <w:szCs w:val="18"/>
                <w:lang w:eastAsia="ja-JP"/>
              </w:rPr>
              <w:t>2</w:t>
            </w:r>
          </w:p>
        </w:tc>
        <w:tc>
          <w:tcPr>
            <w:tcW w:w="1378" w:type="pct"/>
            <w:tcBorders>
              <w:top w:val="nil"/>
              <w:left w:val="nil"/>
              <w:bottom w:val="single" w:sz="4" w:space="0" w:color="auto"/>
              <w:right w:val="single" w:sz="4" w:space="0" w:color="auto"/>
            </w:tcBorders>
            <w:shd w:val="clear" w:color="000000" w:fill="FFFFFF"/>
            <w:hideMark/>
          </w:tcPr>
          <w:p w:rsidR="00F21135" w:rsidRPr="005F120D" w:rsidRDefault="00F21135"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rPr>
              <w:t>School feeding program in the poorest areas (GoB/WFP) (5200)</w:t>
            </w:r>
          </w:p>
        </w:tc>
        <w:tc>
          <w:tcPr>
            <w:tcW w:w="314" w:type="pct"/>
            <w:tcBorders>
              <w:top w:val="nil"/>
              <w:left w:val="nil"/>
              <w:bottom w:val="single" w:sz="4" w:space="0" w:color="auto"/>
              <w:right w:val="single" w:sz="4" w:space="0" w:color="auto"/>
            </w:tcBorders>
            <w:shd w:val="clear" w:color="000000" w:fill="FFFFFF"/>
            <w:noWrap/>
            <w:hideMark/>
          </w:tcPr>
          <w:p w:rsidR="00F21135"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28,350</w:t>
            </w:r>
          </w:p>
        </w:tc>
        <w:tc>
          <w:tcPr>
            <w:tcW w:w="331" w:type="pct"/>
            <w:tcBorders>
              <w:top w:val="nil"/>
              <w:left w:val="nil"/>
              <w:bottom w:val="single" w:sz="4" w:space="0" w:color="auto"/>
              <w:right w:val="single" w:sz="4" w:space="0" w:color="auto"/>
            </w:tcBorders>
            <w:shd w:val="clear" w:color="000000" w:fill="FFFFFF"/>
            <w:noWrap/>
            <w:hideMark/>
          </w:tcPr>
          <w:p w:rsidR="00F21135"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23,950</w:t>
            </w:r>
          </w:p>
        </w:tc>
        <w:tc>
          <w:tcPr>
            <w:tcW w:w="333" w:type="pct"/>
            <w:tcBorders>
              <w:top w:val="nil"/>
              <w:left w:val="nil"/>
              <w:bottom w:val="single" w:sz="4" w:space="0" w:color="auto"/>
              <w:right w:val="single" w:sz="4" w:space="0" w:color="auto"/>
            </w:tcBorders>
            <w:shd w:val="clear" w:color="000000" w:fill="FFFFFF"/>
            <w:noWrap/>
            <w:hideMark/>
          </w:tcPr>
          <w:p w:rsidR="00F21135"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47,700</w:t>
            </w:r>
          </w:p>
        </w:tc>
        <w:tc>
          <w:tcPr>
            <w:tcW w:w="334" w:type="pct"/>
            <w:tcBorders>
              <w:top w:val="nil"/>
              <w:left w:val="nil"/>
              <w:bottom w:val="single" w:sz="4" w:space="0" w:color="auto"/>
              <w:right w:val="single" w:sz="4" w:space="0" w:color="auto"/>
            </w:tcBorders>
            <w:shd w:val="clear" w:color="000000" w:fill="FFFFFF"/>
            <w:noWrap/>
            <w:hideMark/>
          </w:tcPr>
          <w:p w:rsidR="00F21135"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43,000</w:t>
            </w:r>
          </w:p>
        </w:tc>
        <w:tc>
          <w:tcPr>
            <w:tcW w:w="391" w:type="pct"/>
            <w:tcBorders>
              <w:top w:val="nil"/>
              <w:left w:val="nil"/>
              <w:bottom w:val="single" w:sz="4" w:space="0" w:color="auto"/>
              <w:right w:val="single" w:sz="4" w:space="0" w:color="auto"/>
            </w:tcBorders>
            <w:shd w:val="clear" w:color="000000" w:fill="FFFFFF"/>
            <w:noWrap/>
            <w:hideMark/>
          </w:tcPr>
          <w:p w:rsidR="00F21135"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49,300</w:t>
            </w:r>
          </w:p>
        </w:tc>
        <w:tc>
          <w:tcPr>
            <w:tcW w:w="369" w:type="pct"/>
            <w:tcBorders>
              <w:top w:val="nil"/>
              <w:left w:val="nil"/>
              <w:bottom w:val="single" w:sz="4" w:space="0" w:color="auto"/>
              <w:right w:val="single" w:sz="4" w:space="0" w:color="auto"/>
            </w:tcBorders>
            <w:shd w:val="clear" w:color="000000" w:fill="FFFFFF"/>
            <w:noWrap/>
            <w:hideMark/>
          </w:tcPr>
          <w:p w:rsidR="00F21135"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46,300</w:t>
            </w:r>
          </w:p>
        </w:tc>
        <w:tc>
          <w:tcPr>
            <w:tcW w:w="369" w:type="pct"/>
            <w:tcBorders>
              <w:top w:val="nil"/>
              <w:left w:val="nil"/>
              <w:bottom w:val="single" w:sz="4" w:space="0" w:color="auto"/>
              <w:right w:val="single" w:sz="4" w:space="0" w:color="auto"/>
            </w:tcBorders>
            <w:shd w:val="clear" w:color="000000" w:fill="FFFFFF"/>
          </w:tcPr>
          <w:p w:rsidR="00F21135"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35,992</w:t>
            </w:r>
          </w:p>
        </w:tc>
        <w:tc>
          <w:tcPr>
            <w:tcW w:w="368" w:type="pct"/>
            <w:tcBorders>
              <w:top w:val="nil"/>
              <w:left w:val="nil"/>
              <w:bottom w:val="single" w:sz="4" w:space="0" w:color="auto"/>
              <w:right w:val="single" w:sz="4" w:space="0" w:color="auto"/>
            </w:tcBorders>
            <w:shd w:val="clear" w:color="000000" w:fill="FFFFFF"/>
          </w:tcPr>
          <w:p w:rsidR="00F21135"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41,880</w:t>
            </w:r>
          </w:p>
        </w:tc>
        <w:tc>
          <w:tcPr>
            <w:tcW w:w="329" w:type="pct"/>
            <w:tcBorders>
              <w:top w:val="nil"/>
              <w:left w:val="nil"/>
              <w:bottom w:val="single" w:sz="4" w:space="0" w:color="auto"/>
              <w:right w:val="single" w:sz="4" w:space="0" w:color="auto"/>
            </w:tcBorders>
            <w:shd w:val="clear" w:color="000000" w:fill="FFFFFF"/>
          </w:tcPr>
          <w:p w:rsidR="00F21135"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56,000</w:t>
            </w:r>
          </w:p>
        </w:tc>
        <w:tc>
          <w:tcPr>
            <w:tcW w:w="327" w:type="pct"/>
            <w:tcBorders>
              <w:top w:val="nil"/>
              <w:left w:val="nil"/>
              <w:bottom w:val="single" w:sz="4" w:space="0" w:color="auto"/>
              <w:right w:val="single" w:sz="4" w:space="0" w:color="auto"/>
            </w:tcBorders>
            <w:shd w:val="clear" w:color="000000" w:fill="FFFFFF"/>
          </w:tcPr>
          <w:p w:rsidR="00F21135" w:rsidRPr="005F120D" w:rsidRDefault="00F21135" w:rsidP="00B25E46">
            <w:pPr>
              <w:spacing w:after="0"/>
              <w:jc w:val="right"/>
              <w:rPr>
                <w:rFonts w:asciiTheme="minorHAnsi" w:hAnsiTheme="minorHAnsi" w:cstheme="minorHAnsi"/>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037F65" w:rsidRPr="005F120D" w:rsidRDefault="00037F65" w:rsidP="00D9586F">
            <w:pPr>
              <w:spacing w:beforeLines="20" w:afterLines="20"/>
              <w:jc w:val="center"/>
              <w:rPr>
                <w:rFonts w:asciiTheme="minorHAnsi" w:hAnsiTheme="minorHAnsi" w:cstheme="minorHAnsi"/>
                <w:color w:val="008000"/>
                <w:sz w:val="18"/>
                <w:szCs w:val="18"/>
                <w:lang w:eastAsia="ja-JP"/>
              </w:rPr>
            </w:pPr>
            <w:r w:rsidRPr="005F120D">
              <w:rPr>
                <w:rFonts w:asciiTheme="minorHAnsi" w:hAnsiTheme="minorHAnsi" w:cstheme="minorHAnsi"/>
                <w:color w:val="008000"/>
                <w:sz w:val="18"/>
                <w:szCs w:val="18"/>
                <w:lang w:eastAsia="ja-JP"/>
              </w:rPr>
              <w:t>3</w:t>
            </w:r>
          </w:p>
        </w:tc>
        <w:tc>
          <w:tcPr>
            <w:tcW w:w="1378" w:type="pct"/>
            <w:tcBorders>
              <w:top w:val="nil"/>
              <w:left w:val="nil"/>
              <w:bottom w:val="single" w:sz="4" w:space="0" w:color="auto"/>
              <w:right w:val="single" w:sz="4" w:space="0" w:color="auto"/>
            </w:tcBorders>
            <w:shd w:val="clear" w:color="000000" w:fill="FFFFFF"/>
            <w:hideMark/>
          </w:tcPr>
          <w:p w:rsidR="00037F65" w:rsidRPr="005F120D" w:rsidRDefault="00037F65"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EC supported school feeding program</w:t>
            </w:r>
            <w:r w:rsidR="00A116A4" w:rsidRPr="005F120D">
              <w:rPr>
                <w:rFonts w:asciiTheme="minorHAnsi" w:hAnsiTheme="minorHAnsi" w:cstheme="minorHAnsi"/>
                <w:sz w:val="18"/>
                <w:szCs w:val="18"/>
                <w:lang w:eastAsia="ja-JP"/>
              </w:rPr>
              <w:t xml:space="preserve"> (5150)</w:t>
            </w:r>
          </w:p>
        </w:tc>
        <w:tc>
          <w:tcPr>
            <w:tcW w:w="31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3,250</w:t>
            </w:r>
          </w:p>
        </w:tc>
        <w:tc>
          <w:tcPr>
            <w:tcW w:w="33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6,750</w:t>
            </w:r>
          </w:p>
        </w:tc>
        <w:tc>
          <w:tcPr>
            <w:tcW w:w="333"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4,530</w:t>
            </w:r>
          </w:p>
        </w:tc>
        <w:tc>
          <w:tcPr>
            <w:tcW w:w="33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2,650</w:t>
            </w:r>
          </w:p>
        </w:tc>
        <w:tc>
          <w:tcPr>
            <w:tcW w:w="39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4,800</w:t>
            </w:r>
          </w:p>
        </w:tc>
        <w:tc>
          <w:tcPr>
            <w:tcW w:w="369"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5,250</w:t>
            </w:r>
          </w:p>
        </w:tc>
        <w:tc>
          <w:tcPr>
            <w:tcW w:w="369" w:type="pct"/>
            <w:tcBorders>
              <w:top w:val="nil"/>
              <w:left w:val="nil"/>
              <w:bottom w:val="single" w:sz="4" w:space="0" w:color="auto"/>
              <w:right w:val="single" w:sz="4" w:space="0" w:color="auto"/>
            </w:tcBorders>
            <w:shd w:val="clear" w:color="000000" w:fill="FFFFFF"/>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2,102</w:t>
            </w:r>
          </w:p>
        </w:tc>
        <w:tc>
          <w:tcPr>
            <w:tcW w:w="368" w:type="pct"/>
            <w:tcBorders>
              <w:top w:val="nil"/>
              <w:left w:val="nil"/>
              <w:bottom w:val="single" w:sz="4" w:space="0" w:color="auto"/>
              <w:right w:val="single" w:sz="4" w:space="0" w:color="auto"/>
            </w:tcBorders>
            <w:shd w:val="clear" w:color="000000" w:fill="FFFFFF"/>
          </w:tcPr>
          <w:p w:rsidR="00037F65" w:rsidRPr="005F120D" w:rsidRDefault="009D21FE"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3,600</w:t>
            </w:r>
          </w:p>
        </w:tc>
        <w:tc>
          <w:tcPr>
            <w:tcW w:w="329" w:type="pct"/>
            <w:tcBorders>
              <w:top w:val="nil"/>
              <w:left w:val="nil"/>
              <w:bottom w:val="single" w:sz="4" w:space="0" w:color="auto"/>
              <w:right w:val="single" w:sz="4" w:space="0" w:color="auto"/>
            </w:tcBorders>
            <w:shd w:val="clear" w:color="000000" w:fill="FFFFFF"/>
          </w:tcPr>
          <w:p w:rsidR="00037F65" w:rsidRPr="005F120D" w:rsidRDefault="009D21FE"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1,786</w:t>
            </w:r>
          </w:p>
        </w:tc>
        <w:tc>
          <w:tcPr>
            <w:tcW w:w="327" w:type="pct"/>
            <w:tcBorders>
              <w:top w:val="nil"/>
              <w:left w:val="nil"/>
              <w:bottom w:val="single" w:sz="4" w:space="0" w:color="auto"/>
              <w:right w:val="single" w:sz="4" w:space="0" w:color="auto"/>
            </w:tcBorders>
            <w:shd w:val="clear" w:color="000000" w:fill="FFFFFF"/>
          </w:tcPr>
          <w:p w:rsidR="00037F65" w:rsidRPr="005F120D" w:rsidRDefault="009D21FE"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037F65" w:rsidRPr="005F120D" w:rsidRDefault="00037F65" w:rsidP="00D9586F">
            <w:pPr>
              <w:spacing w:beforeLines="20" w:afterLines="20"/>
              <w:jc w:val="center"/>
              <w:rPr>
                <w:rFonts w:asciiTheme="minorHAnsi" w:hAnsiTheme="minorHAnsi" w:cstheme="minorHAnsi"/>
                <w:color w:val="008000"/>
                <w:sz w:val="18"/>
                <w:szCs w:val="18"/>
                <w:lang w:eastAsia="ja-JP"/>
              </w:rPr>
            </w:pPr>
            <w:r w:rsidRPr="005F120D">
              <w:rPr>
                <w:rFonts w:asciiTheme="minorHAnsi" w:hAnsiTheme="minorHAnsi" w:cstheme="minorHAnsi"/>
                <w:color w:val="008000"/>
                <w:sz w:val="18"/>
                <w:szCs w:val="18"/>
                <w:lang w:eastAsia="ja-JP"/>
              </w:rPr>
              <w:t>4</w:t>
            </w:r>
          </w:p>
        </w:tc>
        <w:tc>
          <w:tcPr>
            <w:tcW w:w="1378" w:type="pct"/>
            <w:tcBorders>
              <w:top w:val="nil"/>
              <w:left w:val="nil"/>
              <w:bottom w:val="single" w:sz="4" w:space="0" w:color="auto"/>
              <w:right w:val="single" w:sz="4" w:space="0" w:color="auto"/>
            </w:tcBorders>
            <w:shd w:val="clear" w:color="000000" w:fill="FFFFFF"/>
            <w:hideMark/>
          </w:tcPr>
          <w:p w:rsidR="00037F65" w:rsidRPr="005F120D" w:rsidRDefault="00037F65"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ROSC project</w:t>
            </w:r>
            <w:r w:rsidR="002E6227" w:rsidRPr="005F120D">
              <w:rPr>
                <w:rFonts w:asciiTheme="minorHAnsi" w:hAnsiTheme="minorHAnsi" w:cstheme="minorHAnsi"/>
                <w:sz w:val="18"/>
                <w:szCs w:val="18"/>
                <w:lang w:eastAsia="ja-JP"/>
              </w:rPr>
              <w:t xml:space="preserve"> (5014)</w:t>
            </w:r>
          </w:p>
        </w:tc>
        <w:tc>
          <w:tcPr>
            <w:tcW w:w="31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10,452</w:t>
            </w:r>
          </w:p>
        </w:tc>
        <w:tc>
          <w:tcPr>
            <w:tcW w:w="33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6,916</w:t>
            </w:r>
          </w:p>
        </w:tc>
        <w:tc>
          <w:tcPr>
            <w:tcW w:w="333"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4,578</w:t>
            </w:r>
          </w:p>
        </w:tc>
        <w:tc>
          <w:tcPr>
            <w:tcW w:w="33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9,401</w:t>
            </w:r>
          </w:p>
        </w:tc>
        <w:tc>
          <w:tcPr>
            <w:tcW w:w="39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24,899</w:t>
            </w:r>
          </w:p>
        </w:tc>
        <w:tc>
          <w:tcPr>
            <w:tcW w:w="369"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14,800</w:t>
            </w:r>
          </w:p>
        </w:tc>
        <w:tc>
          <w:tcPr>
            <w:tcW w:w="369" w:type="pct"/>
            <w:tcBorders>
              <w:top w:val="nil"/>
              <w:left w:val="nil"/>
              <w:bottom w:val="single" w:sz="4" w:space="0" w:color="auto"/>
              <w:right w:val="single" w:sz="4" w:space="0" w:color="auto"/>
            </w:tcBorders>
            <w:shd w:val="clear" w:color="000000" w:fill="FFFFFF"/>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22,400</w:t>
            </w:r>
          </w:p>
        </w:tc>
        <w:tc>
          <w:tcPr>
            <w:tcW w:w="368" w:type="pct"/>
            <w:tcBorders>
              <w:top w:val="nil"/>
              <w:left w:val="nil"/>
              <w:bottom w:val="single" w:sz="4" w:space="0" w:color="auto"/>
              <w:right w:val="single" w:sz="4" w:space="0" w:color="auto"/>
            </w:tcBorders>
            <w:shd w:val="clear" w:color="000000" w:fill="FFFFFF"/>
          </w:tcPr>
          <w:p w:rsidR="00037F65" w:rsidRPr="005F120D" w:rsidRDefault="002E6227"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16,550</w:t>
            </w:r>
          </w:p>
        </w:tc>
        <w:tc>
          <w:tcPr>
            <w:tcW w:w="329" w:type="pct"/>
            <w:tcBorders>
              <w:top w:val="nil"/>
              <w:left w:val="nil"/>
              <w:bottom w:val="single" w:sz="4" w:space="0" w:color="auto"/>
              <w:right w:val="single" w:sz="4" w:space="0" w:color="auto"/>
            </w:tcBorders>
            <w:shd w:val="clear" w:color="000000" w:fill="FFFFFF"/>
          </w:tcPr>
          <w:p w:rsidR="00037F65" w:rsidRPr="005F120D" w:rsidRDefault="002E6227"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17,000</w:t>
            </w:r>
          </w:p>
        </w:tc>
        <w:tc>
          <w:tcPr>
            <w:tcW w:w="327" w:type="pct"/>
            <w:tcBorders>
              <w:top w:val="nil"/>
              <w:left w:val="nil"/>
              <w:bottom w:val="single" w:sz="4" w:space="0" w:color="auto"/>
              <w:right w:val="single" w:sz="4" w:space="0" w:color="auto"/>
            </w:tcBorders>
            <w:shd w:val="clear" w:color="000000" w:fill="FFFFFF"/>
          </w:tcPr>
          <w:p w:rsidR="00037F65" w:rsidRPr="005F120D" w:rsidRDefault="002E6227"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037F65" w:rsidRPr="005F120D" w:rsidRDefault="00037F65" w:rsidP="00D9586F">
            <w:pPr>
              <w:spacing w:beforeLines="20" w:afterLines="20"/>
              <w:jc w:val="center"/>
              <w:rPr>
                <w:rFonts w:asciiTheme="minorHAnsi" w:hAnsiTheme="minorHAnsi" w:cstheme="minorHAnsi"/>
                <w:color w:val="008000"/>
                <w:sz w:val="18"/>
                <w:szCs w:val="18"/>
                <w:lang w:eastAsia="ja-JP"/>
              </w:rPr>
            </w:pPr>
            <w:r w:rsidRPr="005F120D">
              <w:rPr>
                <w:rFonts w:asciiTheme="minorHAnsi" w:hAnsiTheme="minorHAnsi" w:cstheme="minorHAnsi"/>
                <w:color w:val="008000"/>
                <w:sz w:val="18"/>
                <w:szCs w:val="18"/>
                <w:lang w:eastAsia="ja-JP"/>
              </w:rPr>
              <w:t>5</w:t>
            </w:r>
          </w:p>
        </w:tc>
        <w:tc>
          <w:tcPr>
            <w:tcW w:w="1378" w:type="pct"/>
            <w:tcBorders>
              <w:top w:val="nil"/>
              <w:left w:val="nil"/>
              <w:bottom w:val="single" w:sz="4" w:space="0" w:color="auto"/>
              <w:right w:val="single" w:sz="4" w:space="0" w:color="auto"/>
            </w:tcBorders>
            <w:shd w:val="clear" w:color="000000" w:fill="FFFFFF"/>
            <w:hideMark/>
          </w:tcPr>
          <w:p w:rsidR="00037F65" w:rsidRPr="005F120D" w:rsidRDefault="00037F65"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GPS re-construction and renovation project</w:t>
            </w:r>
            <w:r w:rsidR="00A116A4" w:rsidRPr="005F120D">
              <w:rPr>
                <w:rFonts w:asciiTheme="minorHAnsi" w:hAnsiTheme="minorHAnsi" w:cstheme="minorHAnsi"/>
                <w:sz w:val="18"/>
                <w:szCs w:val="18"/>
                <w:lang w:eastAsia="ja-JP"/>
              </w:rPr>
              <w:t xml:space="preserve"> (5110)</w:t>
            </w:r>
          </w:p>
        </w:tc>
        <w:tc>
          <w:tcPr>
            <w:tcW w:w="31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39,885</w:t>
            </w:r>
          </w:p>
        </w:tc>
        <w:tc>
          <w:tcPr>
            <w:tcW w:w="33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45,385</w:t>
            </w:r>
          </w:p>
        </w:tc>
        <w:tc>
          <w:tcPr>
            <w:tcW w:w="333"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20,000</w:t>
            </w:r>
          </w:p>
        </w:tc>
        <w:tc>
          <w:tcPr>
            <w:tcW w:w="33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19,000</w:t>
            </w:r>
          </w:p>
        </w:tc>
        <w:tc>
          <w:tcPr>
            <w:tcW w:w="39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17,000</w:t>
            </w:r>
          </w:p>
        </w:tc>
        <w:tc>
          <w:tcPr>
            <w:tcW w:w="369"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10,000</w:t>
            </w:r>
          </w:p>
        </w:tc>
        <w:tc>
          <w:tcPr>
            <w:tcW w:w="369" w:type="pct"/>
            <w:tcBorders>
              <w:top w:val="nil"/>
              <w:left w:val="nil"/>
              <w:bottom w:val="single" w:sz="4" w:space="0" w:color="auto"/>
              <w:right w:val="single" w:sz="4" w:space="0" w:color="auto"/>
            </w:tcBorders>
            <w:shd w:val="clear" w:color="000000" w:fill="FFFFFF"/>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7,714</w:t>
            </w:r>
          </w:p>
        </w:tc>
        <w:tc>
          <w:tcPr>
            <w:tcW w:w="368" w:type="pct"/>
            <w:tcBorders>
              <w:top w:val="nil"/>
              <w:left w:val="nil"/>
              <w:bottom w:val="single" w:sz="4" w:space="0" w:color="auto"/>
              <w:right w:val="single" w:sz="4" w:space="0" w:color="auto"/>
            </w:tcBorders>
            <w:shd w:val="clear" w:color="000000" w:fill="FFFFFF"/>
          </w:tcPr>
          <w:p w:rsidR="00037F65" w:rsidRPr="005F120D" w:rsidRDefault="009D21FE"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5,500</w:t>
            </w:r>
          </w:p>
        </w:tc>
        <w:tc>
          <w:tcPr>
            <w:tcW w:w="329" w:type="pct"/>
            <w:tcBorders>
              <w:top w:val="nil"/>
              <w:left w:val="nil"/>
              <w:bottom w:val="single" w:sz="4" w:space="0" w:color="auto"/>
              <w:right w:val="single" w:sz="4" w:space="0" w:color="auto"/>
            </w:tcBorders>
            <w:shd w:val="clear" w:color="000000" w:fill="FFFFFF"/>
          </w:tcPr>
          <w:p w:rsidR="00037F65" w:rsidRPr="005F120D" w:rsidRDefault="009D21FE"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20,045</w:t>
            </w:r>
          </w:p>
        </w:tc>
        <w:tc>
          <w:tcPr>
            <w:tcW w:w="327" w:type="pct"/>
            <w:tcBorders>
              <w:top w:val="nil"/>
              <w:left w:val="nil"/>
              <w:bottom w:val="single" w:sz="4" w:space="0" w:color="auto"/>
              <w:right w:val="single" w:sz="4" w:space="0" w:color="auto"/>
            </w:tcBorders>
            <w:shd w:val="clear" w:color="000000" w:fill="FFFFFF"/>
          </w:tcPr>
          <w:p w:rsidR="00037F65" w:rsidRPr="005F120D" w:rsidRDefault="009D21FE"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037F65" w:rsidRPr="005F120D" w:rsidRDefault="00037F65" w:rsidP="00D9586F">
            <w:pPr>
              <w:spacing w:beforeLines="20" w:afterLines="20"/>
              <w:jc w:val="center"/>
              <w:rPr>
                <w:rFonts w:asciiTheme="minorHAnsi" w:hAnsiTheme="minorHAnsi" w:cstheme="minorHAnsi"/>
                <w:color w:val="008000"/>
                <w:sz w:val="18"/>
                <w:szCs w:val="18"/>
                <w:lang w:eastAsia="ja-JP"/>
              </w:rPr>
            </w:pPr>
            <w:r w:rsidRPr="005F120D">
              <w:rPr>
                <w:rFonts w:asciiTheme="minorHAnsi" w:hAnsiTheme="minorHAnsi" w:cstheme="minorHAnsi"/>
                <w:color w:val="008000"/>
                <w:sz w:val="18"/>
                <w:szCs w:val="18"/>
                <w:lang w:eastAsia="ja-JP"/>
              </w:rPr>
              <w:t>6</w:t>
            </w:r>
          </w:p>
        </w:tc>
        <w:tc>
          <w:tcPr>
            <w:tcW w:w="1378" w:type="pct"/>
            <w:tcBorders>
              <w:top w:val="nil"/>
              <w:left w:val="nil"/>
              <w:bottom w:val="single" w:sz="4" w:space="0" w:color="auto"/>
              <w:right w:val="single" w:sz="4" w:space="0" w:color="auto"/>
            </w:tcBorders>
            <w:shd w:val="clear" w:color="000000" w:fill="FFFFFF"/>
            <w:hideMark/>
          </w:tcPr>
          <w:p w:rsidR="00037F65" w:rsidRPr="005F120D" w:rsidRDefault="00037F65"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Establishment of 1500 primary school in the school less areas</w:t>
            </w:r>
            <w:r w:rsidR="00A116A4" w:rsidRPr="005F120D">
              <w:rPr>
                <w:rFonts w:asciiTheme="minorHAnsi" w:hAnsiTheme="minorHAnsi" w:cstheme="minorHAnsi"/>
                <w:sz w:val="18"/>
                <w:szCs w:val="18"/>
                <w:lang w:eastAsia="ja-JP"/>
              </w:rPr>
              <w:t xml:space="preserve"> (5180)</w:t>
            </w:r>
          </w:p>
        </w:tc>
        <w:tc>
          <w:tcPr>
            <w:tcW w:w="31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15,000</w:t>
            </w:r>
          </w:p>
        </w:tc>
        <w:tc>
          <w:tcPr>
            <w:tcW w:w="33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7,955</w:t>
            </w:r>
          </w:p>
        </w:tc>
        <w:tc>
          <w:tcPr>
            <w:tcW w:w="333"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20,000</w:t>
            </w:r>
          </w:p>
        </w:tc>
        <w:tc>
          <w:tcPr>
            <w:tcW w:w="33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19,000</w:t>
            </w:r>
          </w:p>
        </w:tc>
        <w:tc>
          <w:tcPr>
            <w:tcW w:w="39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30,000</w:t>
            </w:r>
          </w:p>
        </w:tc>
        <w:tc>
          <w:tcPr>
            <w:tcW w:w="369"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20,000</w:t>
            </w:r>
          </w:p>
        </w:tc>
        <w:tc>
          <w:tcPr>
            <w:tcW w:w="369" w:type="pct"/>
            <w:tcBorders>
              <w:top w:val="nil"/>
              <w:left w:val="nil"/>
              <w:bottom w:val="single" w:sz="4" w:space="0" w:color="auto"/>
              <w:right w:val="single" w:sz="4" w:space="0" w:color="auto"/>
            </w:tcBorders>
            <w:shd w:val="clear" w:color="000000" w:fill="FFFFFF"/>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25,000</w:t>
            </w:r>
          </w:p>
        </w:tc>
        <w:tc>
          <w:tcPr>
            <w:tcW w:w="368" w:type="pct"/>
            <w:tcBorders>
              <w:top w:val="nil"/>
              <w:left w:val="nil"/>
              <w:bottom w:val="single" w:sz="4" w:space="0" w:color="auto"/>
              <w:right w:val="single" w:sz="4" w:space="0" w:color="auto"/>
            </w:tcBorders>
            <w:shd w:val="clear" w:color="000000" w:fill="FFFFFF"/>
          </w:tcPr>
          <w:p w:rsidR="00037F65" w:rsidRPr="005F120D" w:rsidRDefault="009D21FE"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15,000</w:t>
            </w:r>
          </w:p>
        </w:tc>
        <w:tc>
          <w:tcPr>
            <w:tcW w:w="329" w:type="pct"/>
            <w:tcBorders>
              <w:top w:val="nil"/>
              <w:left w:val="nil"/>
              <w:bottom w:val="single" w:sz="4" w:space="0" w:color="auto"/>
              <w:right w:val="single" w:sz="4" w:space="0" w:color="auto"/>
            </w:tcBorders>
            <w:shd w:val="clear" w:color="000000" w:fill="FFFFFF"/>
          </w:tcPr>
          <w:p w:rsidR="00037F65" w:rsidRPr="005F120D" w:rsidRDefault="009D21FE"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20,000</w:t>
            </w:r>
          </w:p>
        </w:tc>
        <w:tc>
          <w:tcPr>
            <w:tcW w:w="327" w:type="pct"/>
            <w:tcBorders>
              <w:top w:val="nil"/>
              <w:left w:val="nil"/>
              <w:bottom w:val="single" w:sz="4" w:space="0" w:color="auto"/>
              <w:right w:val="single" w:sz="4" w:space="0" w:color="auto"/>
            </w:tcBorders>
            <w:shd w:val="clear" w:color="000000" w:fill="FFFFFF"/>
          </w:tcPr>
          <w:p w:rsidR="00037F65" w:rsidRPr="005F120D" w:rsidRDefault="009D21FE"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C34838" w:rsidRPr="005F120D" w:rsidRDefault="00C34838" w:rsidP="00D9586F">
            <w:pPr>
              <w:spacing w:beforeLines="20" w:afterLines="20"/>
              <w:jc w:val="center"/>
              <w:rPr>
                <w:rFonts w:asciiTheme="minorHAnsi" w:hAnsiTheme="minorHAnsi" w:cstheme="minorHAnsi"/>
                <w:color w:val="008000"/>
                <w:sz w:val="18"/>
                <w:szCs w:val="18"/>
                <w:lang w:eastAsia="ja-JP"/>
              </w:rPr>
            </w:pPr>
            <w:r w:rsidRPr="005F120D">
              <w:rPr>
                <w:rFonts w:asciiTheme="minorHAnsi" w:hAnsiTheme="minorHAnsi" w:cstheme="minorHAnsi"/>
                <w:color w:val="008000"/>
                <w:sz w:val="18"/>
                <w:szCs w:val="18"/>
                <w:lang w:eastAsia="ja-JP"/>
              </w:rPr>
              <w:t>7</w:t>
            </w:r>
          </w:p>
        </w:tc>
        <w:tc>
          <w:tcPr>
            <w:tcW w:w="1378" w:type="pct"/>
            <w:tcBorders>
              <w:top w:val="nil"/>
              <w:left w:val="nil"/>
              <w:bottom w:val="single" w:sz="4" w:space="0" w:color="auto"/>
              <w:right w:val="single" w:sz="4" w:space="0" w:color="auto"/>
            </w:tcBorders>
            <w:shd w:val="clear" w:color="000000" w:fill="FFFFFF"/>
            <w:hideMark/>
          </w:tcPr>
          <w:p w:rsidR="00C34838" w:rsidRPr="005F120D" w:rsidRDefault="00C34838"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Establishment of 12 PTIS </w:t>
            </w:r>
            <w:r w:rsidR="00D33C37" w:rsidRPr="005F120D">
              <w:rPr>
                <w:rFonts w:asciiTheme="minorHAnsi" w:hAnsiTheme="minorHAnsi" w:cstheme="minorHAnsi"/>
                <w:sz w:val="18"/>
                <w:szCs w:val="18"/>
                <w:lang w:eastAsia="ja-JP"/>
              </w:rPr>
              <w:t xml:space="preserve"> (5260)</w:t>
            </w:r>
          </w:p>
        </w:tc>
        <w:tc>
          <w:tcPr>
            <w:tcW w:w="314"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8,355</w:t>
            </w:r>
          </w:p>
        </w:tc>
        <w:tc>
          <w:tcPr>
            <w:tcW w:w="331"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4,100</w:t>
            </w:r>
          </w:p>
        </w:tc>
        <w:tc>
          <w:tcPr>
            <w:tcW w:w="333"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5,000</w:t>
            </w:r>
          </w:p>
        </w:tc>
        <w:tc>
          <w:tcPr>
            <w:tcW w:w="334"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5,000</w:t>
            </w:r>
          </w:p>
        </w:tc>
        <w:tc>
          <w:tcPr>
            <w:tcW w:w="391"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10,000</w:t>
            </w:r>
          </w:p>
        </w:tc>
        <w:tc>
          <w:tcPr>
            <w:tcW w:w="369"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5,020</w:t>
            </w:r>
          </w:p>
        </w:tc>
        <w:tc>
          <w:tcPr>
            <w:tcW w:w="369"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7,500</w:t>
            </w:r>
          </w:p>
        </w:tc>
        <w:tc>
          <w:tcPr>
            <w:tcW w:w="368"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4,500</w:t>
            </w:r>
          </w:p>
        </w:tc>
        <w:tc>
          <w:tcPr>
            <w:tcW w:w="329" w:type="pct"/>
            <w:tcBorders>
              <w:top w:val="nil"/>
              <w:left w:val="nil"/>
              <w:bottom w:val="single" w:sz="4" w:space="0" w:color="auto"/>
              <w:right w:val="single" w:sz="4" w:space="0" w:color="auto"/>
            </w:tcBorders>
            <w:shd w:val="clear" w:color="000000" w:fill="FFFFFF"/>
          </w:tcPr>
          <w:p w:rsidR="00C34838" w:rsidRPr="005F120D" w:rsidRDefault="00D33C37"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4,000</w:t>
            </w:r>
          </w:p>
        </w:tc>
        <w:tc>
          <w:tcPr>
            <w:tcW w:w="327" w:type="pct"/>
            <w:tcBorders>
              <w:top w:val="nil"/>
              <w:left w:val="nil"/>
              <w:bottom w:val="single" w:sz="4" w:space="0" w:color="auto"/>
              <w:right w:val="single" w:sz="4" w:space="0" w:color="auto"/>
            </w:tcBorders>
            <w:shd w:val="clear" w:color="000000" w:fill="FFFFFF"/>
          </w:tcPr>
          <w:p w:rsidR="00C34838" w:rsidRPr="005F120D" w:rsidRDefault="00C34838" w:rsidP="00B25E46">
            <w:pPr>
              <w:spacing w:after="0"/>
              <w:jc w:val="right"/>
              <w:rPr>
                <w:rFonts w:asciiTheme="minorHAnsi" w:hAnsiTheme="minorHAnsi" w:cstheme="minorHAnsi"/>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C34838" w:rsidRPr="005F120D" w:rsidRDefault="00C34838" w:rsidP="00D9586F">
            <w:pPr>
              <w:spacing w:beforeLines="20" w:afterLines="20"/>
              <w:jc w:val="center"/>
              <w:rPr>
                <w:rFonts w:asciiTheme="minorHAnsi" w:hAnsiTheme="minorHAnsi" w:cstheme="minorHAnsi"/>
                <w:color w:val="008000"/>
                <w:sz w:val="18"/>
                <w:szCs w:val="18"/>
                <w:lang w:eastAsia="ja-JP"/>
              </w:rPr>
            </w:pPr>
            <w:r w:rsidRPr="005F120D">
              <w:rPr>
                <w:rFonts w:asciiTheme="minorHAnsi" w:hAnsiTheme="minorHAnsi" w:cstheme="minorHAnsi"/>
                <w:color w:val="008000"/>
                <w:sz w:val="18"/>
                <w:szCs w:val="18"/>
                <w:lang w:eastAsia="ja-JP"/>
              </w:rPr>
              <w:t>8</w:t>
            </w:r>
          </w:p>
        </w:tc>
        <w:tc>
          <w:tcPr>
            <w:tcW w:w="1378" w:type="pct"/>
            <w:tcBorders>
              <w:top w:val="nil"/>
              <w:left w:val="nil"/>
              <w:bottom w:val="single" w:sz="4" w:space="0" w:color="auto"/>
              <w:right w:val="single" w:sz="4" w:space="0" w:color="auto"/>
            </w:tcBorders>
            <w:shd w:val="clear" w:color="000000" w:fill="FFFFFF"/>
            <w:hideMark/>
          </w:tcPr>
          <w:p w:rsidR="00C34838" w:rsidRPr="005F120D" w:rsidRDefault="00C34838"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Expansion of Cub Scouting in primary school</w:t>
            </w:r>
            <w:r w:rsidR="009928E3" w:rsidRPr="005F120D">
              <w:rPr>
                <w:rFonts w:asciiTheme="minorHAnsi" w:hAnsiTheme="minorHAnsi" w:cstheme="minorHAnsi"/>
                <w:sz w:val="18"/>
                <w:szCs w:val="18"/>
                <w:lang w:eastAsia="ja-JP"/>
              </w:rPr>
              <w:t xml:space="preserve"> (9449)</w:t>
            </w:r>
          </w:p>
        </w:tc>
        <w:tc>
          <w:tcPr>
            <w:tcW w:w="314"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w:t>
            </w:r>
          </w:p>
        </w:tc>
        <w:tc>
          <w:tcPr>
            <w:tcW w:w="331"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233</w:t>
            </w:r>
          </w:p>
        </w:tc>
        <w:tc>
          <w:tcPr>
            <w:tcW w:w="333"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345</w:t>
            </w:r>
          </w:p>
        </w:tc>
        <w:tc>
          <w:tcPr>
            <w:tcW w:w="334"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315</w:t>
            </w:r>
          </w:p>
        </w:tc>
        <w:tc>
          <w:tcPr>
            <w:tcW w:w="391"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222</w:t>
            </w:r>
          </w:p>
        </w:tc>
        <w:tc>
          <w:tcPr>
            <w:tcW w:w="369"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217</w:t>
            </w:r>
          </w:p>
        </w:tc>
        <w:tc>
          <w:tcPr>
            <w:tcW w:w="369"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300</w:t>
            </w:r>
          </w:p>
        </w:tc>
        <w:tc>
          <w:tcPr>
            <w:tcW w:w="368"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294</w:t>
            </w:r>
          </w:p>
        </w:tc>
        <w:tc>
          <w:tcPr>
            <w:tcW w:w="329" w:type="pct"/>
            <w:tcBorders>
              <w:top w:val="nil"/>
              <w:left w:val="nil"/>
              <w:bottom w:val="single" w:sz="4" w:space="0" w:color="auto"/>
              <w:right w:val="single" w:sz="4" w:space="0" w:color="auto"/>
            </w:tcBorders>
            <w:shd w:val="clear" w:color="000000" w:fill="FFFFFF"/>
          </w:tcPr>
          <w:p w:rsidR="00C34838" w:rsidRPr="005F120D" w:rsidRDefault="009928E3"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130</w:t>
            </w:r>
          </w:p>
        </w:tc>
        <w:tc>
          <w:tcPr>
            <w:tcW w:w="327" w:type="pct"/>
            <w:tcBorders>
              <w:top w:val="nil"/>
              <w:left w:val="nil"/>
              <w:bottom w:val="single" w:sz="4" w:space="0" w:color="auto"/>
              <w:right w:val="single" w:sz="4" w:space="0" w:color="auto"/>
            </w:tcBorders>
            <w:shd w:val="clear" w:color="000000" w:fill="FFFFFF"/>
          </w:tcPr>
          <w:p w:rsidR="00C34838" w:rsidRPr="005F120D" w:rsidRDefault="00C34838" w:rsidP="00B25E46">
            <w:pPr>
              <w:spacing w:after="0"/>
              <w:jc w:val="right"/>
              <w:rPr>
                <w:rFonts w:asciiTheme="minorHAnsi" w:hAnsiTheme="minorHAnsi" w:cstheme="minorHAnsi"/>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C34838" w:rsidRPr="005F120D" w:rsidRDefault="00C34838" w:rsidP="00D9586F">
            <w:pPr>
              <w:spacing w:beforeLines="20" w:afterLines="20"/>
              <w:jc w:val="center"/>
              <w:rPr>
                <w:rFonts w:asciiTheme="minorHAnsi" w:hAnsiTheme="minorHAnsi" w:cstheme="minorHAnsi"/>
                <w:color w:val="008000"/>
                <w:sz w:val="18"/>
                <w:szCs w:val="18"/>
                <w:lang w:eastAsia="ja-JP"/>
              </w:rPr>
            </w:pPr>
            <w:r w:rsidRPr="005F120D">
              <w:rPr>
                <w:rFonts w:asciiTheme="minorHAnsi" w:hAnsiTheme="minorHAnsi" w:cstheme="minorHAnsi"/>
                <w:color w:val="008000"/>
                <w:sz w:val="18"/>
                <w:szCs w:val="18"/>
                <w:lang w:eastAsia="ja-JP"/>
              </w:rPr>
              <w:t>9</w:t>
            </w:r>
          </w:p>
        </w:tc>
        <w:tc>
          <w:tcPr>
            <w:tcW w:w="1378" w:type="pct"/>
            <w:tcBorders>
              <w:top w:val="nil"/>
              <w:left w:val="nil"/>
              <w:bottom w:val="single" w:sz="4" w:space="0" w:color="auto"/>
              <w:right w:val="single" w:sz="4" w:space="0" w:color="auto"/>
            </w:tcBorders>
            <w:shd w:val="clear" w:color="000000" w:fill="FFFFFF"/>
            <w:hideMark/>
          </w:tcPr>
          <w:p w:rsidR="00C34838" w:rsidRPr="005F120D" w:rsidRDefault="00C34838"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Primary education development project IDB</w:t>
            </w:r>
            <w:r w:rsidR="00D33C37" w:rsidRPr="005F120D">
              <w:rPr>
                <w:rFonts w:asciiTheme="minorHAnsi" w:hAnsiTheme="minorHAnsi" w:cstheme="minorHAnsi"/>
                <w:sz w:val="18"/>
                <w:szCs w:val="18"/>
                <w:lang w:eastAsia="ja-JP"/>
              </w:rPr>
              <w:t xml:space="preserve"> (5380)</w:t>
            </w:r>
          </w:p>
        </w:tc>
        <w:tc>
          <w:tcPr>
            <w:tcW w:w="314"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4,894</w:t>
            </w:r>
          </w:p>
        </w:tc>
        <w:tc>
          <w:tcPr>
            <w:tcW w:w="331"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1,095</w:t>
            </w:r>
          </w:p>
        </w:tc>
        <w:tc>
          <w:tcPr>
            <w:tcW w:w="333"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12,250</w:t>
            </w:r>
          </w:p>
        </w:tc>
        <w:tc>
          <w:tcPr>
            <w:tcW w:w="334"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1,280</w:t>
            </w:r>
          </w:p>
        </w:tc>
        <w:tc>
          <w:tcPr>
            <w:tcW w:w="391"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8,600</w:t>
            </w:r>
          </w:p>
        </w:tc>
        <w:tc>
          <w:tcPr>
            <w:tcW w:w="369"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4,000</w:t>
            </w:r>
          </w:p>
        </w:tc>
        <w:tc>
          <w:tcPr>
            <w:tcW w:w="369"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13,637</w:t>
            </w:r>
          </w:p>
        </w:tc>
        <w:tc>
          <w:tcPr>
            <w:tcW w:w="368"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9,400</w:t>
            </w:r>
          </w:p>
        </w:tc>
        <w:tc>
          <w:tcPr>
            <w:tcW w:w="329" w:type="pct"/>
            <w:tcBorders>
              <w:top w:val="nil"/>
              <w:left w:val="nil"/>
              <w:bottom w:val="single" w:sz="4" w:space="0" w:color="auto"/>
              <w:right w:val="single" w:sz="4" w:space="0" w:color="auto"/>
            </w:tcBorders>
            <w:shd w:val="clear" w:color="000000" w:fill="FFFFFF"/>
          </w:tcPr>
          <w:p w:rsidR="00C34838" w:rsidRPr="005F120D" w:rsidRDefault="00D33C37"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5,233</w:t>
            </w:r>
          </w:p>
        </w:tc>
        <w:tc>
          <w:tcPr>
            <w:tcW w:w="327" w:type="pct"/>
            <w:tcBorders>
              <w:top w:val="nil"/>
              <w:left w:val="nil"/>
              <w:bottom w:val="single" w:sz="4" w:space="0" w:color="auto"/>
              <w:right w:val="single" w:sz="4" w:space="0" w:color="auto"/>
            </w:tcBorders>
            <w:shd w:val="clear" w:color="000000" w:fill="FFFFFF"/>
          </w:tcPr>
          <w:p w:rsidR="00C34838" w:rsidRPr="005F120D" w:rsidRDefault="00C34838" w:rsidP="00B25E46">
            <w:pPr>
              <w:spacing w:after="0"/>
              <w:jc w:val="right"/>
              <w:rPr>
                <w:rFonts w:asciiTheme="minorHAnsi" w:hAnsiTheme="minorHAnsi" w:cstheme="minorHAnsi"/>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037F65" w:rsidRPr="005F120D" w:rsidRDefault="00BC5D94" w:rsidP="00D9586F">
            <w:pPr>
              <w:spacing w:beforeLines="20" w:afterLines="20"/>
              <w:jc w:val="center"/>
              <w:rPr>
                <w:rFonts w:asciiTheme="minorHAnsi" w:hAnsiTheme="minorHAnsi" w:cstheme="minorHAnsi"/>
                <w:color w:val="008000"/>
                <w:sz w:val="18"/>
                <w:szCs w:val="18"/>
                <w:lang w:eastAsia="ja-JP"/>
              </w:rPr>
            </w:pPr>
            <w:r w:rsidRPr="005F120D">
              <w:rPr>
                <w:rFonts w:asciiTheme="minorHAnsi" w:hAnsiTheme="minorHAnsi" w:cstheme="minorHAnsi"/>
                <w:color w:val="008000"/>
                <w:sz w:val="18"/>
                <w:szCs w:val="18"/>
                <w:lang w:eastAsia="ja-JP"/>
              </w:rPr>
              <w:t>10</w:t>
            </w:r>
          </w:p>
        </w:tc>
        <w:tc>
          <w:tcPr>
            <w:tcW w:w="1378" w:type="pct"/>
            <w:tcBorders>
              <w:top w:val="nil"/>
              <w:left w:val="nil"/>
              <w:bottom w:val="single" w:sz="4" w:space="0" w:color="auto"/>
              <w:right w:val="single" w:sz="4" w:space="0" w:color="auto"/>
            </w:tcBorders>
            <w:shd w:val="clear" w:color="000000" w:fill="FFFFFF"/>
            <w:hideMark/>
          </w:tcPr>
          <w:p w:rsidR="00037F65" w:rsidRPr="005F120D" w:rsidRDefault="00037F65"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English in Action</w:t>
            </w:r>
            <w:r w:rsidR="002E6227" w:rsidRPr="005F120D">
              <w:rPr>
                <w:rFonts w:asciiTheme="minorHAnsi" w:hAnsiTheme="minorHAnsi" w:cstheme="minorHAnsi"/>
                <w:sz w:val="18"/>
                <w:szCs w:val="18"/>
                <w:lang w:eastAsia="ja-JP"/>
              </w:rPr>
              <w:t xml:space="preserve"> (5011)</w:t>
            </w:r>
          </w:p>
        </w:tc>
        <w:tc>
          <w:tcPr>
            <w:tcW w:w="31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3,090</w:t>
            </w:r>
          </w:p>
        </w:tc>
        <w:tc>
          <w:tcPr>
            <w:tcW w:w="33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 -</w:t>
            </w:r>
          </w:p>
        </w:tc>
        <w:tc>
          <w:tcPr>
            <w:tcW w:w="333"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1,800</w:t>
            </w:r>
          </w:p>
        </w:tc>
        <w:tc>
          <w:tcPr>
            <w:tcW w:w="33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1,800</w:t>
            </w:r>
          </w:p>
        </w:tc>
        <w:tc>
          <w:tcPr>
            <w:tcW w:w="39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3,070</w:t>
            </w:r>
          </w:p>
        </w:tc>
        <w:tc>
          <w:tcPr>
            <w:tcW w:w="369"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7,400</w:t>
            </w:r>
          </w:p>
        </w:tc>
        <w:tc>
          <w:tcPr>
            <w:tcW w:w="369" w:type="pct"/>
            <w:tcBorders>
              <w:top w:val="nil"/>
              <w:left w:val="nil"/>
              <w:bottom w:val="single" w:sz="4" w:space="0" w:color="auto"/>
              <w:right w:val="single" w:sz="4" w:space="0" w:color="auto"/>
            </w:tcBorders>
            <w:shd w:val="clear" w:color="000000" w:fill="FFFFFF"/>
          </w:tcPr>
          <w:p w:rsidR="00037F65" w:rsidRPr="005F120D" w:rsidRDefault="00037F6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1,872</w:t>
            </w:r>
          </w:p>
        </w:tc>
        <w:tc>
          <w:tcPr>
            <w:tcW w:w="368" w:type="pct"/>
            <w:tcBorders>
              <w:top w:val="nil"/>
              <w:left w:val="nil"/>
              <w:bottom w:val="single" w:sz="4" w:space="0" w:color="auto"/>
              <w:right w:val="single" w:sz="4" w:space="0" w:color="auto"/>
            </w:tcBorders>
            <w:shd w:val="clear" w:color="000000" w:fill="FFFFFF"/>
          </w:tcPr>
          <w:p w:rsidR="00037F65" w:rsidRPr="005F120D" w:rsidRDefault="00624F8B"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1,872</w:t>
            </w:r>
          </w:p>
        </w:tc>
        <w:tc>
          <w:tcPr>
            <w:tcW w:w="329" w:type="pct"/>
            <w:tcBorders>
              <w:top w:val="nil"/>
              <w:left w:val="nil"/>
              <w:bottom w:val="single" w:sz="4" w:space="0" w:color="auto"/>
              <w:right w:val="single" w:sz="4" w:space="0" w:color="auto"/>
            </w:tcBorders>
            <w:shd w:val="clear" w:color="000000" w:fill="FFFFFF"/>
          </w:tcPr>
          <w:p w:rsidR="00037F65" w:rsidRPr="005F120D" w:rsidRDefault="00624F8B"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1,876</w:t>
            </w:r>
          </w:p>
        </w:tc>
        <w:tc>
          <w:tcPr>
            <w:tcW w:w="327" w:type="pct"/>
            <w:tcBorders>
              <w:top w:val="nil"/>
              <w:left w:val="nil"/>
              <w:bottom w:val="single" w:sz="4" w:space="0" w:color="auto"/>
              <w:right w:val="single" w:sz="4" w:space="0" w:color="auto"/>
            </w:tcBorders>
            <w:shd w:val="clear" w:color="000000" w:fill="FFFFFF"/>
          </w:tcPr>
          <w:p w:rsidR="00037F65" w:rsidRPr="005F120D" w:rsidRDefault="002E6227"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tcPr>
          <w:p w:rsidR="00C34838" w:rsidRPr="005F120D" w:rsidRDefault="00BC5D94" w:rsidP="00D9586F">
            <w:pPr>
              <w:spacing w:beforeLines="20" w:afterLines="2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11</w:t>
            </w:r>
          </w:p>
        </w:tc>
        <w:tc>
          <w:tcPr>
            <w:tcW w:w="1378"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Continuing Education for Human Development</w:t>
            </w:r>
          </w:p>
        </w:tc>
        <w:tc>
          <w:tcPr>
            <w:tcW w:w="314"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15,808</w:t>
            </w:r>
          </w:p>
        </w:tc>
        <w:tc>
          <w:tcPr>
            <w:tcW w:w="331"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9,500</w:t>
            </w:r>
          </w:p>
        </w:tc>
        <w:tc>
          <w:tcPr>
            <w:tcW w:w="333"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5,963</w:t>
            </w:r>
          </w:p>
        </w:tc>
        <w:tc>
          <w:tcPr>
            <w:tcW w:w="334"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5,963</w:t>
            </w:r>
          </w:p>
        </w:tc>
        <w:tc>
          <w:tcPr>
            <w:tcW w:w="391"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9,500</w:t>
            </w:r>
          </w:p>
        </w:tc>
        <w:tc>
          <w:tcPr>
            <w:tcW w:w="369"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950</w:t>
            </w:r>
          </w:p>
        </w:tc>
        <w:tc>
          <w:tcPr>
            <w:tcW w:w="369"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w:t>
            </w:r>
          </w:p>
        </w:tc>
        <w:tc>
          <w:tcPr>
            <w:tcW w:w="368"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w:t>
            </w:r>
          </w:p>
        </w:tc>
        <w:tc>
          <w:tcPr>
            <w:tcW w:w="329" w:type="pct"/>
            <w:tcBorders>
              <w:top w:val="nil"/>
              <w:left w:val="nil"/>
              <w:bottom w:val="single" w:sz="4" w:space="0" w:color="auto"/>
              <w:right w:val="single" w:sz="4" w:space="0" w:color="auto"/>
            </w:tcBorders>
            <w:shd w:val="clear" w:color="000000" w:fill="FFFFFF"/>
          </w:tcPr>
          <w:p w:rsidR="00C34838" w:rsidRPr="005F120D" w:rsidRDefault="00E735C1"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w:t>
            </w:r>
          </w:p>
        </w:tc>
        <w:tc>
          <w:tcPr>
            <w:tcW w:w="327" w:type="pct"/>
            <w:tcBorders>
              <w:top w:val="nil"/>
              <w:left w:val="nil"/>
              <w:bottom w:val="single" w:sz="4" w:space="0" w:color="auto"/>
              <w:right w:val="single" w:sz="4" w:space="0" w:color="auto"/>
            </w:tcBorders>
            <w:shd w:val="clear" w:color="000000" w:fill="FFFFFF"/>
          </w:tcPr>
          <w:p w:rsidR="00C34838" w:rsidRPr="005F120D" w:rsidRDefault="00C34838" w:rsidP="00B25E46">
            <w:pPr>
              <w:spacing w:after="0"/>
              <w:jc w:val="right"/>
              <w:rPr>
                <w:rFonts w:asciiTheme="minorHAnsi" w:hAnsiTheme="minorHAnsi" w:cstheme="minorHAnsi"/>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tcPr>
          <w:p w:rsidR="00C34838" w:rsidRPr="005F120D" w:rsidRDefault="00BC5D94" w:rsidP="00D9586F">
            <w:pPr>
              <w:spacing w:beforeLines="20" w:afterLines="2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12</w:t>
            </w:r>
          </w:p>
        </w:tc>
        <w:tc>
          <w:tcPr>
            <w:tcW w:w="1378"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Basic Education for hard to reach urban working children</w:t>
            </w:r>
            <w:r w:rsidR="00575D80" w:rsidRPr="005F120D">
              <w:rPr>
                <w:rFonts w:asciiTheme="minorHAnsi" w:hAnsiTheme="minorHAnsi" w:cstheme="minorHAnsi"/>
                <w:sz w:val="18"/>
                <w:szCs w:val="18"/>
                <w:lang w:eastAsia="ja-JP"/>
              </w:rPr>
              <w:t xml:space="preserve"> (5964)</w:t>
            </w:r>
          </w:p>
        </w:tc>
        <w:tc>
          <w:tcPr>
            <w:tcW w:w="314"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2,300</w:t>
            </w:r>
          </w:p>
        </w:tc>
        <w:tc>
          <w:tcPr>
            <w:tcW w:w="331"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3,000</w:t>
            </w:r>
          </w:p>
        </w:tc>
        <w:tc>
          <w:tcPr>
            <w:tcW w:w="333"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2,200</w:t>
            </w:r>
          </w:p>
        </w:tc>
        <w:tc>
          <w:tcPr>
            <w:tcW w:w="334"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2,200</w:t>
            </w:r>
          </w:p>
        </w:tc>
        <w:tc>
          <w:tcPr>
            <w:tcW w:w="391"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3,200</w:t>
            </w:r>
          </w:p>
        </w:tc>
        <w:tc>
          <w:tcPr>
            <w:tcW w:w="369"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2,545</w:t>
            </w:r>
          </w:p>
        </w:tc>
        <w:tc>
          <w:tcPr>
            <w:tcW w:w="369"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w:t>
            </w:r>
          </w:p>
        </w:tc>
        <w:tc>
          <w:tcPr>
            <w:tcW w:w="368" w:type="pct"/>
            <w:tcBorders>
              <w:top w:val="nil"/>
              <w:left w:val="nil"/>
              <w:bottom w:val="single" w:sz="4" w:space="0" w:color="auto"/>
              <w:right w:val="single" w:sz="4" w:space="0" w:color="auto"/>
            </w:tcBorders>
            <w:shd w:val="clear" w:color="000000" w:fill="FFFFFF"/>
          </w:tcPr>
          <w:p w:rsidR="00C34838" w:rsidRPr="005F120D" w:rsidRDefault="007A347A"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108</w:t>
            </w:r>
          </w:p>
        </w:tc>
        <w:tc>
          <w:tcPr>
            <w:tcW w:w="329" w:type="pct"/>
            <w:tcBorders>
              <w:top w:val="nil"/>
              <w:left w:val="nil"/>
              <w:bottom w:val="single" w:sz="4" w:space="0" w:color="auto"/>
              <w:right w:val="single" w:sz="4" w:space="0" w:color="auto"/>
            </w:tcBorders>
            <w:shd w:val="clear" w:color="000000" w:fill="FFFFFF"/>
          </w:tcPr>
          <w:p w:rsidR="00C34838" w:rsidRPr="005F120D" w:rsidRDefault="00E735C1"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w:t>
            </w:r>
          </w:p>
        </w:tc>
        <w:tc>
          <w:tcPr>
            <w:tcW w:w="327" w:type="pct"/>
            <w:tcBorders>
              <w:top w:val="nil"/>
              <w:left w:val="nil"/>
              <w:bottom w:val="single" w:sz="4" w:space="0" w:color="auto"/>
              <w:right w:val="single" w:sz="4" w:space="0" w:color="auto"/>
            </w:tcBorders>
            <w:shd w:val="clear" w:color="000000" w:fill="FFFFFF"/>
          </w:tcPr>
          <w:p w:rsidR="00C34838" w:rsidRPr="005F120D" w:rsidRDefault="00C34838" w:rsidP="00B25E46">
            <w:pPr>
              <w:spacing w:after="0"/>
              <w:jc w:val="right"/>
              <w:rPr>
                <w:rFonts w:asciiTheme="minorHAnsi" w:hAnsiTheme="minorHAnsi" w:cstheme="minorHAnsi"/>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tcPr>
          <w:p w:rsidR="00C34838" w:rsidRPr="005F120D" w:rsidRDefault="00BC5D94" w:rsidP="00D9586F">
            <w:pPr>
              <w:spacing w:beforeLines="20" w:afterLines="2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13</w:t>
            </w:r>
          </w:p>
        </w:tc>
        <w:tc>
          <w:tcPr>
            <w:tcW w:w="1378"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RNGPS development project</w:t>
            </w:r>
          </w:p>
        </w:tc>
        <w:tc>
          <w:tcPr>
            <w:tcW w:w="314"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30,217</w:t>
            </w:r>
          </w:p>
        </w:tc>
        <w:tc>
          <w:tcPr>
            <w:tcW w:w="331"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31,717</w:t>
            </w:r>
          </w:p>
        </w:tc>
        <w:tc>
          <w:tcPr>
            <w:tcW w:w="333"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19,933</w:t>
            </w:r>
          </w:p>
        </w:tc>
        <w:tc>
          <w:tcPr>
            <w:tcW w:w="334"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19,200</w:t>
            </w:r>
          </w:p>
        </w:tc>
        <w:tc>
          <w:tcPr>
            <w:tcW w:w="391" w:type="pct"/>
            <w:tcBorders>
              <w:top w:val="single" w:sz="4" w:space="0" w:color="auto"/>
              <w:left w:val="nil"/>
              <w:bottom w:val="single" w:sz="4" w:space="0" w:color="auto"/>
              <w:right w:val="single" w:sz="4" w:space="0" w:color="auto"/>
            </w:tcBorders>
            <w:shd w:val="clear" w:color="000000" w:fill="C4BC96" w:themeFill="background2" w:themeFillShade="BF"/>
            <w:noWrap/>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69" w:type="pct"/>
            <w:tcBorders>
              <w:top w:val="single" w:sz="4" w:space="0" w:color="auto"/>
              <w:left w:val="nil"/>
              <w:bottom w:val="single" w:sz="4" w:space="0" w:color="auto"/>
              <w:right w:val="single" w:sz="4" w:space="0" w:color="auto"/>
            </w:tcBorders>
            <w:shd w:val="clear" w:color="000000" w:fill="C4BC96" w:themeFill="background2" w:themeFillShade="BF"/>
            <w:noWrap/>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69" w:type="pct"/>
            <w:tcBorders>
              <w:top w:val="single" w:sz="4" w:space="0" w:color="auto"/>
              <w:left w:val="nil"/>
              <w:bottom w:val="single" w:sz="4" w:space="0" w:color="auto"/>
              <w:right w:val="single" w:sz="4" w:space="0" w:color="auto"/>
            </w:tcBorders>
            <w:shd w:val="clear" w:color="000000" w:fill="C4BC96" w:themeFill="background2" w:themeFillShade="BF"/>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68" w:type="pct"/>
            <w:tcBorders>
              <w:top w:val="single" w:sz="4" w:space="0" w:color="auto"/>
              <w:left w:val="nil"/>
              <w:bottom w:val="single" w:sz="4" w:space="0" w:color="auto"/>
              <w:right w:val="single" w:sz="4" w:space="0" w:color="auto"/>
            </w:tcBorders>
            <w:shd w:val="clear" w:color="000000" w:fill="C4BC96" w:themeFill="background2" w:themeFillShade="BF"/>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29" w:type="pct"/>
            <w:tcBorders>
              <w:top w:val="single" w:sz="4" w:space="0" w:color="auto"/>
              <w:left w:val="nil"/>
              <w:bottom w:val="single" w:sz="4" w:space="0" w:color="auto"/>
              <w:right w:val="single" w:sz="4" w:space="0" w:color="auto"/>
            </w:tcBorders>
            <w:shd w:val="clear" w:color="000000" w:fill="C4BC96" w:themeFill="background2" w:themeFillShade="BF"/>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27" w:type="pct"/>
            <w:tcBorders>
              <w:top w:val="single" w:sz="4" w:space="0" w:color="auto"/>
              <w:left w:val="nil"/>
              <w:bottom w:val="single" w:sz="4" w:space="0" w:color="auto"/>
              <w:right w:val="single" w:sz="4" w:space="0" w:color="auto"/>
            </w:tcBorders>
            <w:shd w:val="clear" w:color="000000" w:fill="C4BC96" w:themeFill="background2" w:themeFillShade="BF"/>
          </w:tcPr>
          <w:p w:rsidR="00C34838" w:rsidRPr="005F120D" w:rsidRDefault="00C34838" w:rsidP="00B25E46">
            <w:pPr>
              <w:spacing w:after="0"/>
              <w:jc w:val="right"/>
              <w:rPr>
                <w:rFonts w:asciiTheme="minorHAnsi" w:hAnsiTheme="minorHAnsi" w:cstheme="minorHAnsi"/>
              </w:rPr>
            </w:pP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C34838" w:rsidRPr="005F120D" w:rsidRDefault="00BC5D94" w:rsidP="00D9586F">
            <w:pPr>
              <w:spacing w:beforeLines="20" w:afterLines="2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14</w:t>
            </w:r>
          </w:p>
        </w:tc>
        <w:tc>
          <w:tcPr>
            <w:tcW w:w="1378" w:type="pct"/>
            <w:tcBorders>
              <w:top w:val="nil"/>
              <w:left w:val="nil"/>
              <w:bottom w:val="single" w:sz="4" w:space="0" w:color="auto"/>
              <w:right w:val="single" w:sz="4" w:space="0" w:color="auto"/>
            </w:tcBorders>
            <w:shd w:val="clear" w:color="000000" w:fill="FFFFFF"/>
          </w:tcPr>
          <w:p w:rsidR="00C34838" w:rsidRPr="005F120D" w:rsidRDefault="00C34838"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China supported construction of 2 Model GPS</w:t>
            </w:r>
          </w:p>
        </w:tc>
        <w:tc>
          <w:tcPr>
            <w:tcW w:w="314" w:type="pct"/>
            <w:tcBorders>
              <w:top w:val="nil"/>
              <w:left w:val="nil"/>
              <w:bottom w:val="single" w:sz="4" w:space="0" w:color="auto"/>
              <w:right w:val="single" w:sz="4" w:space="0" w:color="auto"/>
            </w:tcBorders>
            <w:shd w:val="clear" w:color="000000" w:fill="FFFFFF"/>
            <w:noWrap/>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822</w:t>
            </w:r>
          </w:p>
        </w:tc>
        <w:tc>
          <w:tcPr>
            <w:tcW w:w="331"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822</w:t>
            </w:r>
          </w:p>
        </w:tc>
        <w:tc>
          <w:tcPr>
            <w:tcW w:w="333"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w:t>
            </w:r>
          </w:p>
        </w:tc>
        <w:tc>
          <w:tcPr>
            <w:tcW w:w="334" w:type="pct"/>
            <w:tcBorders>
              <w:top w:val="nil"/>
              <w:left w:val="nil"/>
              <w:bottom w:val="single" w:sz="4" w:space="0" w:color="auto"/>
              <w:right w:val="single" w:sz="4" w:space="0" w:color="auto"/>
            </w:tcBorders>
            <w:shd w:val="clear" w:color="000000" w:fill="FFFFF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678</w:t>
            </w:r>
          </w:p>
        </w:tc>
        <w:tc>
          <w:tcPr>
            <w:tcW w:w="391" w:type="pct"/>
            <w:tcBorders>
              <w:top w:val="single" w:sz="4" w:space="0" w:color="auto"/>
              <w:left w:val="nil"/>
              <w:bottom w:val="single" w:sz="4" w:space="0" w:color="auto"/>
              <w:right w:val="single" w:sz="4" w:space="0" w:color="auto"/>
            </w:tcBorders>
            <w:shd w:val="clear" w:color="000000" w:fill="C4BC96" w:themeFill="background2" w:themeFillShade="BF"/>
            <w:noWrap/>
            <w:hideMark/>
          </w:tcPr>
          <w:p w:rsidR="00C34838" w:rsidRPr="005F120D" w:rsidRDefault="00C34838" w:rsidP="00D9586F">
            <w:pPr>
              <w:tabs>
                <w:tab w:val="center" w:pos="563"/>
                <w:tab w:val="right" w:pos="1126"/>
              </w:tabs>
              <w:spacing w:beforeLines="20" w:afterLines="20"/>
              <w:rPr>
                <w:rFonts w:asciiTheme="minorHAnsi" w:hAnsiTheme="minorHAnsi" w:cstheme="minorHAnsi"/>
                <w:sz w:val="18"/>
                <w:szCs w:val="18"/>
                <w:lang w:eastAsia="ja-JP"/>
              </w:rPr>
            </w:pPr>
          </w:p>
        </w:tc>
        <w:tc>
          <w:tcPr>
            <w:tcW w:w="369" w:type="pct"/>
            <w:tcBorders>
              <w:top w:val="single" w:sz="4" w:space="0" w:color="auto"/>
              <w:left w:val="nil"/>
              <w:bottom w:val="single" w:sz="4" w:space="0" w:color="auto"/>
              <w:right w:val="single" w:sz="4" w:space="0" w:color="auto"/>
            </w:tcBorders>
            <w:shd w:val="clear" w:color="000000" w:fill="C4BC96" w:themeFill="background2" w:themeFillShade="B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69" w:type="pct"/>
            <w:tcBorders>
              <w:top w:val="single" w:sz="4" w:space="0" w:color="auto"/>
              <w:left w:val="nil"/>
              <w:bottom w:val="single" w:sz="4" w:space="0" w:color="auto"/>
              <w:right w:val="single" w:sz="4" w:space="0" w:color="auto"/>
            </w:tcBorders>
            <w:shd w:val="clear" w:color="000000" w:fill="C4BC96" w:themeFill="background2" w:themeFillShade="BF"/>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68" w:type="pct"/>
            <w:tcBorders>
              <w:top w:val="single" w:sz="4" w:space="0" w:color="auto"/>
              <w:left w:val="nil"/>
              <w:bottom w:val="single" w:sz="4" w:space="0" w:color="auto"/>
              <w:right w:val="single" w:sz="4" w:space="0" w:color="auto"/>
            </w:tcBorders>
            <w:shd w:val="clear" w:color="000000" w:fill="C4BC96" w:themeFill="background2" w:themeFillShade="BF"/>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29" w:type="pct"/>
            <w:tcBorders>
              <w:top w:val="single" w:sz="4" w:space="0" w:color="auto"/>
              <w:left w:val="nil"/>
              <w:bottom w:val="single" w:sz="4" w:space="0" w:color="auto"/>
              <w:right w:val="single" w:sz="4" w:space="0" w:color="auto"/>
            </w:tcBorders>
            <w:shd w:val="clear" w:color="000000" w:fill="C4BC96" w:themeFill="background2" w:themeFillShade="BF"/>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27" w:type="pct"/>
            <w:tcBorders>
              <w:top w:val="single" w:sz="4" w:space="0" w:color="auto"/>
              <w:left w:val="nil"/>
              <w:bottom w:val="single" w:sz="4" w:space="0" w:color="auto"/>
              <w:right w:val="single" w:sz="4" w:space="0" w:color="auto"/>
            </w:tcBorders>
            <w:shd w:val="clear" w:color="000000" w:fill="C4BC96" w:themeFill="background2" w:themeFillShade="BF"/>
          </w:tcPr>
          <w:p w:rsidR="00C34838" w:rsidRPr="005F120D" w:rsidRDefault="00C34838" w:rsidP="00B25E46">
            <w:pPr>
              <w:spacing w:after="0"/>
              <w:jc w:val="right"/>
              <w:rPr>
                <w:rFonts w:asciiTheme="minorHAnsi" w:hAnsiTheme="minorHAnsi" w:cstheme="minorHAnsi"/>
              </w:rPr>
            </w:pPr>
          </w:p>
        </w:tc>
      </w:tr>
      <w:tr w:rsidR="00B916FF"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7A347A" w:rsidRPr="005F120D" w:rsidRDefault="00BC5D94" w:rsidP="00D9586F">
            <w:pPr>
              <w:spacing w:beforeLines="20" w:afterLines="2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15</w:t>
            </w:r>
          </w:p>
        </w:tc>
        <w:tc>
          <w:tcPr>
            <w:tcW w:w="1378" w:type="pct"/>
            <w:tcBorders>
              <w:top w:val="nil"/>
              <w:left w:val="nil"/>
              <w:bottom w:val="single" w:sz="4" w:space="0" w:color="auto"/>
              <w:right w:val="single" w:sz="4" w:space="0" w:color="auto"/>
            </w:tcBorders>
            <w:shd w:val="clear" w:color="000000" w:fill="FFFFFF"/>
          </w:tcPr>
          <w:p w:rsidR="007A347A" w:rsidRPr="005F120D" w:rsidRDefault="007A347A"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Basic Literacy Project (1.1.14-30.06.18) (5014)</w:t>
            </w:r>
          </w:p>
        </w:tc>
        <w:tc>
          <w:tcPr>
            <w:tcW w:w="314" w:type="pct"/>
            <w:tcBorders>
              <w:top w:val="nil"/>
              <w:left w:val="nil"/>
              <w:bottom w:val="single" w:sz="4" w:space="0" w:color="auto"/>
              <w:right w:val="single" w:sz="4" w:space="0" w:color="auto"/>
            </w:tcBorders>
            <w:shd w:val="clear" w:color="auto" w:fill="C4BC96" w:themeFill="background2" w:themeFillShade="BF"/>
          </w:tcPr>
          <w:p w:rsidR="007A347A" w:rsidRPr="005F120D" w:rsidRDefault="007A347A" w:rsidP="00D9586F">
            <w:pPr>
              <w:spacing w:beforeLines="20" w:afterLines="20"/>
              <w:jc w:val="right"/>
              <w:rPr>
                <w:rFonts w:asciiTheme="minorHAnsi" w:hAnsiTheme="minorHAnsi" w:cstheme="minorHAnsi"/>
                <w:sz w:val="18"/>
                <w:szCs w:val="18"/>
                <w:lang w:eastAsia="ja-JP"/>
              </w:rPr>
            </w:pPr>
          </w:p>
        </w:tc>
        <w:tc>
          <w:tcPr>
            <w:tcW w:w="331" w:type="pct"/>
            <w:tcBorders>
              <w:top w:val="nil"/>
              <w:left w:val="nil"/>
              <w:bottom w:val="single" w:sz="4" w:space="0" w:color="auto"/>
              <w:right w:val="single" w:sz="4" w:space="0" w:color="auto"/>
            </w:tcBorders>
            <w:shd w:val="clear" w:color="auto" w:fill="C4BC96" w:themeFill="background2" w:themeFillShade="BF"/>
          </w:tcPr>
          <w:p w:rsidR="007A347A" w:rsidRPr="005F120D" w:rsidRDefault="007A347A" w:rsidP="00D9586F">
            <w:pPr>
              <w:spacing w:beforeLines="20" w:afterLines="20"/>
              <w:jc w:val="right"/>
              <w:rPr>
                <w:rFonts w:asciiTheme="minorHAnsi" w:hAnsiTheme="minorHAnsi" w:cstheme="minorHAnsi"/>
                <w:sz w:val="18"/>
                <w:szCs w:val="18"/>
                <w:lang w:eastAsia="ja-JP"/>
              </w:rPr>
            </w:pPr>
          </w:p>
        </w:tc>
        <w:tc>
          <w:tcPr>
            <w:tcW w:w="333" w:type="pct"/>
            <w:tcBorders>
              <w:top w:val="nil"/>
              <w:left w:val="nil"/>
              <w:bottom w:val="single" w:sz="4" w:space="0" w:color="auto"/>
              <w:right w:val="single" w:sz="4" w:space="0" w:color="auto"/>
            </w:tcBorders>
            <w:shd w:val="clear" w:color="auto" w:fill="C4BC96" w:themeFill="background2" w:themeFillShade="BF"/>
          </w:tcPr>
          <w:p w:rsidR="007A347A" w:rsidRPr="005F120D" w:rsidRDefault="007A347A" w:rsidP="00D9586F">
            <w:pPr>
              <w:spacing w:beforeLines="20" w:afterLines="20"/>
              <w:jc w:val="right"/>
              <w:rPr>
                <w:rFonts w:asciiTheme="minorHAnsi" w:hAnsiTheme="minorHAnsi" w:cstheme="minorHAnsi"/>
                <w:sz w:val="18"/>
                <w:szCs w:val="18"/>
                <w:lang w:eastAsia="ja-JP"/>
              </w:rPr>
            </w:pPr>
          </w:p>
        </w:tc>
        <w:tc>
          <w:tcPr>
            <w:tcW w:w="334" w:type="pct"/>
            <w:tcBorders>
              <w:top w:val="nil"/>
              <w:left w:val="nil"/>
              <w:bottom w:val="single" w:sz="4" w:space="0" w:color="auto"/>
              <w:right w:val="single" w:sz="4" w:space="0" w:color="auto"/>
            </w:tcBorders>
            <w:shd w:val="clear" w:color="auto" w:fill="C4BC96" w:themeFill="background2" w:themeFillShade="BF"/>
          </w:tcPr>
          <w:p w:rsidR="007A347A" w:rsidRPr="005F120D" w:rsidRDefault="007A347A" w:rsidP="00D9586F">
            <w:pPr>
              <w:spacing w:beforeLines="20" w:afterLines="20"/>
              <w:jc w:val="right"/>
              <w:rPr>
                <w:rFonts w:asciiTheme="minorHAnsi" w:hAnsiTheme="minorHAnsi" w:cstheme="minorHAnsi"/>
                <w:sz w:val="18"/>
                <w:szCs w:val="18"/>
                <w:lang w:eastAsia="ja-JP"/>
              </w:rPr>
            </w:pPr>
          </w:p>
        </w:tc>
        <w:tc>
          <w:tcPr>
            <w:tcW w:w="391" w:type="pct"/>
            <w:tcBorders>
              <w:top w:val="single" w:sz="4" w:space="0" w:color="auto"/>
              <w:left w:val="nil"/>
              <w:bottom w:val="single" w:sz="4" w:space="0" w:color="auto"/>
              <w:right w:val="single" w:sz="4" w:space="0" w:color="auto"/>
            </w:tcBorders>
            <w:shd w:val="clear" w:color="auto" w:fill="C4BC96" w:themeFill="background2" w:themeFillShade="BF"/>
          </w:tcPr>
          <w:p w:rsidR="007A347A" w:rsidRPr="005F120D" w:rsidRDefault="007A347A" w:rsidP="00D9586F">
            <w:pPr>
              <w:spacing w:beforeLines="20" w:afterLines="20"/>
              <w:jc w:val="right"/>
              <w:rPr>
                <w:rFonts w:asciiTheme="minorHAnsi" w:hAnsiTheme="minorHAnsi" w:cstheme="minorHAnsi"/>
                <w:sz w:val="18"/>
                <w:szCs w:val="18"/>
                <w:lang w:eastAsia="ja-JP"/>
              </w:rPr>
            </w:pPr>
          </w:p>
        </w:tc>
        <w:tc>
          <w:tcPr>
            <w:tcW w:w="369" w:type="pct"/>
            <w:tcBorders>
              <w:top w:val="single" w:sz="4" w:space="0" w:color="auto"/>
              <w:left w:val="nil"/>
              <w:bottom w:val="single" w:sz="4" w:space="0" w:color="auto"/>
              <w:right w:val="single" w:sz="4" w:space="0" w:color="auto"/>
            </w:tcBorders>
            <w:shd w:val="clear" w:color="000000" w:fill="auto"/>
          </w:tcPr>
          <w:p w:rsidR="007A347A" w:rsidRPr="005F120D" w:rsidRDefault="007A347A"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50</w:t>
            </w:r>
          </w:p>
        </w:tc>
        <w:tc>
          <w:tcPr>
            <w:tcW w:w="369" w:type="pct"/>
            <w:tcBorders>
              <w:top w:val="single" w:sz="4" w:space="0" w:color="auto"/>
              <w:left w:val="nil"/>
              <w:bottom w:val="single" w:sz="4" w:space="0" w:color="auto"/>
              <w:right w:val="single" w:sz="4" w:space="0" w:color="auto"/>
            </w:tcBorders>
            <w:shd w:val="clear" w:color="000000" w:fill="auto"/>
          </w:tcPr>
          <w:p w:rsidR="007A347A" w:rsidRPr="005F120D" w:rsidRDefault="007A347A"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7,000</w:t>
            </w:r>
          </w:p>
        </w:tc>
        <w:tc>
          <w:tcPr>
            <w:tcW w:w="368" w:type="pct"/>
            <w:tcBorders>
              <w:top w:val="single" w:sz="4" w:space="0" w:color="auto"/>
              <w:left w:val="nil"/>
              <w:bottom w:val="single" w:sz="4" w:space="0" w:color="auto"/>
              <w:right w:val="single" w:sz="4" w:space="0" w:color="auto"/>
            </w:tcBorders>
            <w:shd w:val="clear" w:color="000000" w:fill="auto"/>
          </w:tcPr>
          <w:p w:rsidR="007A347A" w:rsidRPr="005F120D" w:rsidRDefault="007A347A"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184</w:t>
            </w:r>
          </w:p>
        </w:tc>
        <w:tc>
          <w:tcPr>
            <w:tcW w:w="329" w:type="pct"/>
            <w:tcBorders>
              <w:top w:val="single" w:sz="4" w:space="0" w:color="auto"/>
              <w:left w:val="nil"/>
              <w:bottom w:val="single" w:sz="4" w:space="0" w:color="auto"/>
              <w:right w:val="single" w:sz="4" w:space="0" w:color="auto"/>
            </w:tcBorders>
            <w:shd w:val="clear" w:color="000000" w:fill="auto"/>
          </w:tcPr>
          <w:p w:rsidR="007A347A" w:rsidRPr="005F120D" w:rsidRDefault="007A347A"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12,500</w:t>
            </w:r>
          </w:p>
        </w:tc>
        <w:tc>
          <w:tcPr>
            <w:tcW w:w="327" w:type="pct"/>
            <w:tcBorders>
              <w:top w:val="single" w:sz="4" w:space="0" w:color="auto"/>
              <w:left w:val="nil"/>
              <w:bottom w:val="single" w:sz="4" w:space="0" w:color="auto"/>
              <w:right w:val="single" w:sz="4" w:space="0" w:color="auto"/>
            </w:tcBorders>
            <w:shd w:val="clear" w:color="000000" w:fill="auto"/>
          </w:tcPr>
          <w:p w:rsidR="007A347A" w:rsidRPr="005F120D" w:rsidRDefault="007A347A" w:rsidP="00B25E46">
            <w:pPr>
              <w:spacing w:after="0"/>
              <w:jc w:val="right"/>
              <w:rPr>
                <w:rFonts w:asciiTheme="minorHAnsi" w:hAnsiTheme="minorHAnsi" w:cstheme="minorHAnsi"/>
              </w:rPr>
            </w:pPr>
            <w:r w:rsidRPr="005F120D">
              <w:rPr>
                <w:rFonts w:asciiTheme="minorHAnsi" w:hAnsiTheme="minorHAnsi" w:cstheme="minorHAnsi"/>
                <w:sz w:val="18"/>
                <w:szCs w:val="18"/>
                <w:lang w:eastAsia="ja-JP"/>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C34838" w:rsidRPr="005F120D" w:rsidRDefault="00BC5D94" w:rsidP="00D9586F">
            <w:pPr>
              <w:spacing w:beforeLines="20" w:afterLines="2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16</w:t>
            </w:r>
          </w:p>
        </w:tc>
        <w:tc>
          <w:tcPr>
            <w:tcW w:w="1378" w:type="pct"/>
            <w:tcBorders>
              <w:top w:val="nil"/>
              <w:left w:val="nil"/>
              <w:bottom w:val="single" w:sz="4" w:space="0" w:color="auto"/>
              <w:right w:val="single" w:sz="4" w:space="0" w:color="auto"/>
            </w:tcBorders>
            <w:shd w:val="clear" w:color="000000" w:fill="FFFFFF"/>
            <w:hideMark/>
          </w:tcPr>
          <w:p w:rsidR="00C34838" w:rsidRPr="005F120D" w:rsidRDefault="00F21135" w:rsidP="00D9586F">
            <w:pPr>
              <w:spacing w:beforeLines="20" w:afterLines="20"/>
              <w:rPr>
                <w:rFonts w:asciiTheme="minorHAnsi" w:hAnsiTheme="minorHAnsi" w:cstheme="minorHAnsi"/>
                <w:sz w:val="18"/>
                <w:szCs w:val="18"/>
                <w:lang w:eastAsia="ja-JP"/>
              </w:rPr>
            </w:pPr>
            <w:r w:rsidRPr="005F120D">
              <w:rPr>
                <w:rFonts w:asciiTheme="minorHAnsi" w:hAnsiTheme="minorHAnsi" w:cstheme="minorHAnsi"/>
                <w:sz w:val="18"/>
                <w:szCs w:val="18"/>
                <w:lang w:eastAsia="ja-JP"/>
              </w:rPr>
              <w:t>Block Allocation (5010)</w:t>
            </w:r>
          </w:p>
        </w:tc>
        <w:tc>
          <w:tcPr>
            <w:tcW w:w="314" w:type="pct"/>
            <w:tcBorders>
              <w:top w:val="single" w:sz="4" w:space="0" w:color="auto"/>
              <w:left w:val="nil"/>
              <w:bottom w:val="single" w:sz="4" w:space="0" w:color="auto"/>
              <w:right w:val="single" w:sz="4" w:space="0" w:color="auto"/>
            </w:tcBorders>
            <w:shd w:val="clear" w:color="auto" w:fill="C4BC96" w:themeFill="background2" w:themeFillShade="B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31" w:type="pct"/>
            <w:tcBorders>
              <w:top w:val="single" w:sz="4" w:space="0" w:color="auto"/>
              <w:left w:val="nil"/>
              <w:bottom w:val="single" w:sz="4" w:space="0" w:color="auto"/>
              <w:right w:val="single" w:sz="4" w:space="0" w:color="auto"/>
            </w:tcBorders>
            <w:shd w:val="clear" w:color="auto" w:fill="C4BC96" w:themeFill="background2" w:themeFillShade="B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33" w:type="pct"/>
            <w:tcBorders>
              <w:top w:val="single" w:sz="4" w:space="0" w:color="auto"/>
              <w:left w:val="nil"/>
              <w:bottom w:val="single" w:sz="4" w:space="0" w:color="auto"/>
              <w:right w:val="single" w:sz="4" w:space="0" w:color="auto"/>
            </w:tcBorders>
            <w:shd w:val="clear" w:color="auto" w:fill="C4BC96" w:themeFill="background2" w:themeFillShade="B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34" w:type="pct"/>
            <w:tcBorders>
              <w:top w:val="single" w:sz="4" w:space="0" w:color="auto"/>
              <w:left w:val="nil"/>
              <w:bottom w:val="single" w:sz="4" w:space="0" w:color="auto"/>
              <w:right w:val="single" w:sz="4" w:space="0" w:color="auto"/>
            </w:tcBorders>
            <w:shd w:val="clear" w:color="auto" w:fill="C4BC96" w:themeFill="background2" w:themeFillShade="B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91" w:type="pct"/>
            <w:tcBorders>
              <w:top w:val="single" w:sz="4" w:space="0" w:color="auto"/>
              <w:left w:val="nil"/>
              <w:bottom w:val="single" w:sz="4" w:space="0" w:color="auto"/>
              <w:right w:val="single" w:sz="4" w:space="0" w:color="auto"/>
            </w:tcBorders>
            <w:shd w:val="clear" w:color="auto" w:fill="C4BC96" w:themeFill="background2" w:themeFillShade="B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69" w:type="pct"/>
            <w:tcBorders>
              <w:top w:val="nil"/>
              <w:left w:val="nil"/>
              <w:bottom w:val="single" w:sz="4" w:space="0" w:color="auto"/>
              <w:right w:val="single" w:sz="4" w:space="0" w:color="auto"/>
            </w:tcBorders>
            <w:shd w:val="clear" w:color="auto" w:fill="C4BC96" w:themeFill="background2" w:themeFillShade="BF"/>
            <w:noWrap/>
            <w:hideMark/>
          </w:tcPr>
          <w:p w:rsidR="00C34838" w:rsidRPr="005F120D" w:rsidRDefault="00C34838" w:rsidP="00D9586F">
            <w:pPr>
              <w:spacing w:beforeLines="20" w:afterLines="20"/>
              <w:jc w:val="right"/>
              <w:rPr>
                <w:rFonts w:asciiTheme="minorHAnsi" w:hAnsiTheme="minorHAnsi" w:cstheme="minorHAnsi"/>
                <w:sz w:val="18"/>
                <w:szCs w:val="18"/>
                <w:lang w:eastAsia="ja-JP"/>
              </w:rPr>
            </w:pPr>
          </w:p>
        </w:tc>
        <w:tc>
          <w:tcPr>
            <w:tcW w:w="369" w:type="pct"/>
            <w:tcBorders>
              <w:top w:val="nil"/>
              <w:left w:val="nil"/>
              <w:bottom w:val="single" w:sz="4" w:space="0" w:color="auto"/>
              <w:right w:val="single" w:sz="4" w:space="0" w:color="auto"/>
            </w:tcBorders>
            <w:shd w:val="clear" w:color="000000" w:fill="FFFFFF"/>
          </w:tcPr>
          <w:p w:rsidR="00C34838"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17,292</w:t>
            </w:r>
          </w:p>
        </w:tc>
        <w:tc>
          <w:tcPr>
            <w:tcW w:w="368" w:type="pct"/>
            <w:tcBorders>
              <w:top w:val="nil"/>
              <w:left w:val="nil"/>
              <w:bottom w:val="single" w:sz="4" w:space="0" w:color="auto"/>
              <w:right w:val="single" w:sz="4" w:space="0" w:color="auto"/>
            </w:tcBorders>
            <w:shd w:val="clear" w:color="000000" w:fill="FFFFFF"/>
          </w:tcPr>
          <w:p w:rsidR="00C34838"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00</w:t>
            </w:r>
          </w:p>
        </w:tc>
        <w:tc>
          <w:tcPr>
            <w:tcW w:w="329" w:type="pct"/>
            <w:tcBorders>
              <w:top w:val="nil"/>
              <w:left w:val="nil"/>
              <w:bottom w:val="single" w:sz="4" w:space="0" w:color="auto"/>
              <w:right w:val="single" w:sz="4" w:space="0" w:color="auto"/>
            </w:tcBorders>
            <w:shd w:val="clear" w:color="000000" w:fill="FFFFFF"/>
          </w:tcPr>
          <w:p w:rsidR="00C34838" w:rsidRPr="005F120D" w:rsidRDefault="00F21135" w:rsidP="00D9586F">
            <w:pPr>
              <w:spacing w:beforeLines="20" w:afterLines="20"/>
              <w:jc w:val="right"/>
              <w:rPr>
                <w:rFonts w:asciiTheme="minorHAnsi" w:hAnsiTheme="minorHAnsi" w:cstheme="minorHAnsi"/>
                <w:sz w:val="18"/>
                <w:szCs w:val="18"/>
                <w:lang w:eastAsia="ja-JP"/>
              </w:rPr>
            </w:pPr>
            <w:r w:rsidRPr="005F120D">
              <w:rPr>
                <w:rFonts w:asciiTheme="minorHAnsi" w:hAnsiTheme="minorHAnsi" w:cstheme="minorHAnsi"/>
                <w:sz w:val="18"/>
                <w:szCs w:val="18"/>
                <w:lang w:eastAsia="ja-JP"/>
              </w:rPr>
              <w:t>41,600</w:t>
            </w:r>
          </w:p>
        </w:tc>
        <w:tc>
          <w:tcPr>
            <w:tcW w:w="327" w:type="pct"/>
            <w:tcBorders>
              <w:top w:val="nil"/>
              <w:left w:val="nil"/>
              <w:bottom w:val="single" w:sz="4" w:space="0" w:color="auto"/>
              <w:right w:val="single" w:sz="4" w:space="0" w:color="auto"/>
            </w:tcBorders>
            <w:shd w:val="clear" w:color="000000" w:fill="FFFFFF"/>
          </w:tcPr>
          <w:p w:rsidR="00C34838" w:rsidRPr="005F120D" w:rsidRDefault="00E735C1"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n/a</w:t>
            </w:r>
          </w:p>
        </w:tc>
      </w:tr>
      <w:tr w:rsidR="009E29CC" w:rsidRPr="005F120D" w:rsidTr="009E29CC">
        <w:trPr>
          <w:jc w:val="center"/>
        </w:trPr>
        <w:tc>
          <w:tcPr>
            <w:tcW w:w="157" w:type="pct"/>
            <w:tcBorders>
              <w:top w:val="nil"/>
              <w:left w:val="single" w:sz="4" w:space="0" w:color="auto"/>
              <w:bottom w:val="single" w:sz="4" w:space="0" w:color="auto"/>
              <w:right w:val="single" w:sz="4" w:space="0" w:color="auto"/>
            </w:tcBorders>
            <w:shd w:val="clear" w:color="000000" w:fill="FFFFFF"/>
            <w:hideMark/>
          </w:tcPr>
          <w:p w:rsidR="00037F65" w:rsidRPr="005F120D" w:rsidRDefault="00037F65" w:rsidP="00D9586F">
            <w:pPr>
              <w:spacing w:beforeLines="20" w:afterLines="20"/>
              <w:jc w:val="center"/>
              <w:rPr>
                <w:rFonts w:asciiTheme="minorHAnsi" w:hAnsiTheme="minorHAnsi" w:cstheme="minorHAnsi"/>
                <w:sz w:val="18"/>
                <w:szCs w:val="18"/>
                <w:lang w:eastAsia="ja-JP"/>
              </w:rPr>
            </w:pPr>
            <w:r w:rsidRPr="005F120D">
              <w:rPr>
                <w:rFonts w:asciiTheme="minorHAnsi" w:hAnsiTheme="minorHAnsi" w:cstheme="minorHAnsi"/>
                <w:sz w:val="18"/>
                <w:szCs w:val="18"/>
                <w:lang w:eastAsia="ja-JP"/>
              </w:rPr>
              <w:t> </w:t>
            </w:r>
          </w:p>
        </w:tc>
        <w:tc>
          <w:tcPr>
            <w:tcW w:w="1378" w:type="pct"/>
            <w:tcBorders>
              <w:top w:val="nil"/>
              <w:left w:val="nil"/>
              <w:bottom w:val="single" w:sz="4" w:space="0" w:color="auto"/>
              <w:right w:val="single" w:sz="4" w:space="0" w:color="auto"/>
            </w:tcBorders>
            <w:shd w:val="clear" w:color="000000" w:fill="FFFFFF"/>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Grand Total (Excluding PEDP3)</w:t>
            </w:r>
          </w:p>
        </w:tc>
        <w:tc>
          <w:tcPr>
            <w:tcW w:w="31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253,181</w:t>
            </w:r>
          </w:p>
        </w:tc>
        <w:tc>
          <w:tcPr>
            <w:tcW w:w="33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231,423</w:t>
            </w:r>
          </w:p>
        </w:tc>
        <w:tc>
          <w:tcPr>
            <w:tcW w:w="333"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239,199</w:t>
            </w:r>
          </w:p>
        </w:tc>
        <w:tc>
          <w:tcPr>
            <w:tcW w:w="334"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224,387</w:t>
            </w:r>
          </w:p>
        </w:tc>
        <w:tc>
          <w:tcPr>
            <w:tcW w:w="391"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261,691</w:t>
            </w:r>
          </w:p>
        </w:tc>
        <w:tc>
          <w:tcPr>
            <w:tcW w:w="369" w:type="pct"/>
            <w:tcBorders>
              <w:top w:val="nil"/>
              <w:left w:val="nil"/>
              <w:bottom w:val="single" w:sz="4" w:space="0" w:color="auto"/>
              <w:right w:val="single" w:sz="4" w:space="0" w:color="auto"/>
            </w:tcBorders>
            <w:shd w:val="clear" w:color="000000" w:fill="FFFFFF"/>
            <w:noWrap/>
            <w:hideMark/>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210,382</w:t>
            </w:r>
          </w:p>
        </w:tc>
        <w:tc>
          <w:tcPr>
            <w:tcW w:w="369" w:type="pct"/>
            <w:tcBorders>
              <w:top w:val="nil"/>
              <w:left w:val="nil"/>
              <w:bottom w:val="single" w:sz="4" w:space="0" w:color="auto"/>
              <w:right w:val="single" w:sz="4" w:space="0" w:color="auto"/>
            </w:tcBorders>
            <w:shd w:val="clear" w:color="000000" w:fill="FFFFFF"/>
          </w:tcPr>
          <w:p w:rsidR="00037F65" w:rsidRPr="005F120D" w:rsidRDefault="00037F65"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220,517</w:t>
            </w:r>
          </w:p>
        </w:tc>
        <w:tc>
          <w:tcPr>
            <w:tcW w:w="368" w:type="pct"/>
            <w:tcBorders>
              <w:top w:val="nil"/>
              <w:left w:val="nil"/>
              <w:bottom w:val="single" w:sz="4" w:space="0" w:color="auto"/>
              <w:right w:val="single" w:sz="4" w:space="0" w:color="auto"/>
            </w:tcBorders>
            <w:shd w:val="clear" w:color="000000" w:fill="FFFFFF"/>
          </w:tcPr>
          <w:p w:rsidR="00037F65" w:rsidRPr="005F120D" w:rsidRDefault="009E29CC"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195,888</w:t>
            </w:r>
          </w:p>
        </w:tc>
        <w:tc>
          <w:tcPr>
            <w:tcW w:w="329" w:type="pct"/>
            <w:tcBorders>
              <w:top w:val="nil"/>
              <w:left w:val="nil"/>
              <w:bottom w:val="single" w:sz="4" w:space="0" w:color="auto"/>
              <w:right w:val="single" w:sz="4" w:space="0" w:color="auto"/>
            </w:tcBorders>
            <w:shd w:val="clear" w:color="000000" w:fill="FFFFFF"/>
          </w:tcPr>
          <w:p w:rsidR="00037F65" w:rsidRPr="005F120D" w:rsidRDefault="009E29CC"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274,170</w:t>
            </w:r>
          </w:p>
        </w:tc>
        <w:tc>
          <w:tcPr>
            <w:tcW w:w="327" w:type="pct"/>
            <w:tcBorders>
              <w:top w:val="nil"/>
              <w:left w:val="nil"/>
              <w:bottom w:val="single" w:sz="4" w:space="0" w:color="auto"/>
              <w:right w:val="single" w:sz="4" w:space="0" w:color="auto"/>
            </w:tcBorders>
            <w:shd w:val="clear" w:color="000000" w:fill="FFFFFF"/>
          </w:tcPr>
          <w:p w:rsidR="00037F65" w:rsidRPr="005F120D" w:rsidRDefault="009E29CC" w:rsidP="00D9586F">
            <w:pPr>
              <w:spacing w:beforeLines="20" w:afterLines="20"/>
              <w:jc w:val="right"/>
              <w:rPr>
                <w:rFonts w:asciiTheme="minorHAnsi" w:hAnsiTheme="minorHAnsi" w:cstheme="minorHAnsi"/>
                <w:b/>
                <w:sz w:val="18"/>
                <w:szCs w:val="18"/>
                <w:lang w:eastAsia="ja-JP"/>
              </w:rPr>
            </w:pPr>
            <w:r w:rsidRPr="005F120D">
              <w:rPr>
                <w:rFonts w:asciiTheme="minorHAnsi" w:hAnsiTheme="minorHAnsi" w:cstheme="minorHAnsi"/>
                <w:b/>
                <w:sz w:val="18"/>
                <w:szCs w:val="18"/>
                <w:lang w:eastAsia="ja-JP"/>
              </w:rPr>
              <w:t>n/a</w:t>
            </w:r>
          </w:p>
        </w:tc>
      </w:tr>
    </w:tbl>
    <w:p w:rsidR="00AB2C84" w:rsidRPr="005F120D" w:rsidRDefault="00D73B6C" w:rsidP="00C437AA">
      <w:pPr>
        <w:pStyle w:val="NoSpacing"/>
        <w:spacing w:line="276" w:lineRule="auto"/>
        <w:rPr>
          <w:rFonts w:asciiTheme="minorHAnsi" w:hAnsiTheme="minorHAnsi" w:cstheme="minorHAnsi"/>
          <w:b/>
          <w:i/>
          <w:sz w:val="16"/>
          <w:szCs w:val="16"/>
        </w:rPr>
        <w:sectPr w:rsidR="00AB2C84" w:rsidRPr="005F120D" w:rsidSect="00EA356A">
          <w:type w:val="nextColumn"/>
          <w:pgSz w:w="16834" w:h="11909" w:orient="landscape" w:code="9"/>
          <w:pgMar w:top="1440" w:right="1440" w:bottom="1440" w:left="1440" w:header="720" w:footer="720" w:gutter="0"/>
          <w:cols w:space="720"/>
          <w:docGrid w:linePitch="360"/>
        </w:sectPr>
      </w:pPr>
      <w:r w:rsidRPr="005F120D">
        <w:rPr>
          <w:rFonts w:asciiTheme="minorHAnsi" w:hAnsiTheme="minorHAnsi" w:cstheme="minorHAnsi"/>
          <w:b/>
          <w:i/>
          <w:sz w:val="16"/>
          <w:szCs w:val="16"/>
        </w:rPr>
        <w:t>Source:  Budget Documents, MOF</w:t>
      </w:r>
    </w:p>
    <w:p w:rsidR="00AB2C84" w:rsidRPr="005F120D" w:rsidRDefault="00AB2C84" w:rsidP="00C437AA">
      <w:pPr>
        <w:pStyle w:val="BodyText1"/>
        <w:spacing w:after="0"/>
        <w:jc w:val="both"/>
        <w:rPr>
          <w:rFonts w:asciiTheme="minorHAnsi" w:hAnsiTheme="minorHAnsi" w:cstheme="minorHAnsi"/>
          <w:b w:val="0"/>
          <w:color w:val="000000" w:themeColor="text1"/>
        </w:rPr>
      </w:pPr>
      <w:bookmarkStart w:id="602" w:name="_Toc385245763"/>
      <w:bookmarkStart w:id="603" w:name="_Toc385419528"/>
    </w:p>
    <w:p w:rsidR="00AB2C84" w:rsidRPr="005F120D" w:rsidRDefault="00AB2C84" w:rsidP="00C437AA">
      <w:pPr>
        <w:pStyle w:val="Heading2"/>
        <w:spacing w:before="0" w:line="276" w:lineRule="auto"/>
        <w:rPr>
          <w:rFonts w:cstheme="minorHAnsi"/>
          <w:color w:val="006600"/>
        </w:rPr>
      </w:pPr>
      <w:bookmarkStart w:id="604" w:name="_Toc462837198"/>
      <w:r w:rsidRPr="005F120D">
        <w:rPr>
          <w:rFonts w:cstheme="minorHAnsi"/>
          <w:color w:val="006600"/>
        </w:rPr>
        <w:t>Training materials Developed by the DPE during PEDP3</w:t>
      </w:r>
      <w:bookmarkEnd w:id="604"/>
    </w:p>
    <w:p w:rsidR="00F30B77" w:rsidRPr="005F120D" w:rsidRDefault="00F30B77" w:rsidP="00F30B77">
      <w:pPr>
        <w:pStyle w:val="BodyText1"/>
        <w:spacing w:before="120" w:after="120"/>
        <w:jc w:val="both"/>
        <w:rPr>
          <w:rFonts w:asciiTheme="minorHAnsi" w:hAnsiTheme="minorHAnsi" w:cstheme="minorHAnsi"/>
          <w:b w:val="0"/>
          <w:color w:val="3333CC"/>
        </w:rPr>
      </w:pPr>
      <w:r w:rsidRPr="005F120D">
        <w:rPr>
          <w:rFonts w:asciiTheme="minorHAnsi" w:hAnsiTheme="minorHAnsi" w:cstheme="minorHAnsi"/>
          <w:b w:val="0"/>
          <w:color w:val="3333CC"/>
        </w:rPr>
        <w:t>The Training Division prepared the following training manual and resource books:</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Head Teachers’ Leadership Training Manual and Resource Books for Trainers and Trainees;</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Need based Sub-cluster Training Manual and Resource Books for Teachers;</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Bangla;</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English;</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Math;</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Primary Science;</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BGD;</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Arts and Crafts;</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Music;</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Physical Education;</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Islam;</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Hindu;</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Subject Based Training Manual and Resource Book for Teachers of Christian Religions;</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 xml:space="preserve">Subject Based Training Manual and Resource Book for Teachers of </w:t>
      </w:r>
      <w:r w:rsidR="00F81108" w:rsidRPr="005F120D">
        <w:rPr>
          <w:rFonts w:asciiTheme="minorHAnsi" w:hAnsiTheme="minorHAnsi" w:cstheme="minorHAnsi"/>
          <w:b w:val="0"/>
          <w:color w:val="000000"/>
        </w:rPr>
        <w:t>Buddhist</w:t>
      </w:r>
      <w:r w:rsidRPr="005F120D">
        <w:rPr>
          <w:rFonts w:asciiTheme="minorHAnsi" w:hAnsiTheme="minorHAnsi" w:cstheme="minorHAnsi"/>
          <w:b w:val="0"/>
          <w:color w:val="000000"/>
        </w:rPr>
        <w:t>;</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ICT in Education Training Manual;</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Teachers’ Support Network Training and Orientation Manual;</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Training Manual and Resource book on Professional Development of URC Instructors and Assistant Instructors;</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Training Manual and Resource book on Professional Development of PTI Officials;</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Training Manual and Resource book on Professional Development of NAPE Officials;</w:t>
      </w:r>
    </w:p>
    <w:p w:rsidR="00F30B77" w:rsidRPr="005F120D" w:rsidRDefault="00F30B77" w:rsidP="00F30B77">
      <w:pPr>
        <w:pStyle w:val="BodyText1"/>
        <w:numPr>
          <w:ilvl w:val="0"/>
          <w:numId w:val="123"/>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Training Manual and Resource book on Academic Supervision.</w:t>
      </w:r>
    </w:p>
    <w:p w:rsidR="00F30B77" w:rsidRPr="005F120D" w:rsidRDefault="00F30B77" w:rsidP="00F30B77">
      <w:pPr>
        <w:pStyle w:val="BodyText1"/>
        <w:spacing w:before="120" w:after="120"/>
        <w:ind w:left="360"/>
        <w:jc w:val="both"/>
        <w:rPr>
          <w:rFonts w:asciiTheme="minorHAnsi" w:hAnsiTheme="minorHAnsi" w:cstheme="minorHAnsi"/>
          <w:b w:val="0"/>
          <w:color w:val="3333CC"/>
        </w:rPr>
      </w:pPr>
      <w:r w:rsidRPr="005F120D">
        <w:rPr>
          <w:rFonts w:asciiTheme="minorHAnsi" w:hAnsiTheme="minorHAnsi" w:cstheme="minorHAnsi"/>
          <w:b w:val="0"/>
          <w:color w:val="3333CC"/>
        </w:rPr>
        <w:t>The Program Division developed the following training manual and resource books:</w:t>
      </w:r>
    </w:p>
    <w:p w:rsidR="00F30B77" w:rsidRPr="005F120D" w:rsidRDefault="00F30B77" w:rsidP="00F30B77">
      <w:pPr>
        <w:pStyle w:val="BodyText1"/>
        <w:numPr>
          <w:ilvl w:val="0"/>
          <w:numId w:val="124"/>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Each Child Learns: Training Manual;</w:t>
      </w:r>
    </w:p>
    <w:p w:rsidR="00F30B77" w:rsidRPr="005F120D" w:rsidRDefault="00F30B77" w:rsidP="00F30B77">
      <w:pPr>
        <w:pStyle w:val="BodyText1"/>
        <w:numPr>
          <w:ilvl w:val="0"/>
          <w:numId w:val="124"/>
        </w:numPr>
        <w:spacing w:after="0"/>
        <w:jc w:val="both"/>
        <w:rPr>
          <w:rFonts w:asciiTheme="minorHAnsi" w:hAnsiTheme="minorHAnsi" w:cstheme="minorHAnsi"/>
          <w:b w:val="0"/>
          <w:color w:val="000000"/>
        </w:rPr>
      </w:pPr>
      <w:r w:rsidRPr="005F120D">
        <w:rPr>
          <w:rFonts w:asciiTheme="minorHAnsi" w:hAnsiTheme="minorHAnsi" w:cstheme="minorHAnsi"/>
          <w:b w:val="0"/>
          <w:color w:val="000000"/>
        </w:rPr>
        <w:t>Each Child Learns: Resource Books for Teachers.</w:t>
      </w:r>
    </w:p>
    <w:p w:rsidR="00F30B77" w:rsidRPr="005F120D" w:rsidRDefault="00F30B77" w:rsidP="00F30B77">
      <w:pPr>
        <w:pStyle w:val="BodyText1"/>
        <w:spacing w:before="120" w:after="120"/>
        <w:jc w:val="both"/>
        <w:rPr>
          <w:rFonts w:asciiTheme="minorHAnsi" w:hAnsiTheme="minorHAnsi" w:cstheme="minorHAnsi"/>
          <w:b w:val="0"/>
          <w:color w:val="000000"/>
        </w:rPr>
      </w:pPr>
      <w:r w:rsidRPr="005F120D">
        <w:rPr>
          <w:rFonts w:asciiTheme="minorHAnsi" w:hAnsiTheme="minorHAnsi" w:cstheme="minorHAnsi"/>
          <w:b w:val="0"/>
          <w:color w:val="3333CC"/>
        </w:rPr>
        <w:t>The Planning and Development Division developed the following training manual and resource books:</w:t>
      </w:r>
    </w:p>
    <w:p w:rsidR="00F30B77" w:rsidRPr="005F120D" w:rsidRDefault="00F30B77" w:rsidP="00F30B77">
      <w:pPr>
        <w:numPr>
          <w:ilvl w:val="0"/>
          <w:numId w:val="125"/>
        </w:numPr>
        <w:spacing w:after="200" w:line="276" w:lineRule="auto"/>
        <w:contextualSpacing/>
        <w:rPr>
          <w:rFonts w:asciiTheme="minorHAnsi" w:hAnsiTheme="minorHAnsi" w:cstheme="minorHAnsi"/>
        </w:rPr>
      </w:pPr>
      <w:r w:rsidRPr="005F120D">
        <w:rPr>
          <w:rFonts w:asciiTheme="minorHAnsi" w:hAnsiTheme="minorHAnsi" w:cstheme="minorHAnsi"/>
        </w:rPr>
        <w:t>School Level Improvement Plan: SLIP Guidelines for Stakeholders’ Training;</w:t>
      </w:r>
    </w:p>
    <w:p w:rsidR="00F30B77" w:rsidRPr="005F120D" w:rsidRDefault="00F30B77" w:rsidP="00F30B77">
      <w:pPr>
        <w:numPr>
          <w:ilvl w:val="0"/>
          <w:numId w:val="125"/>
        </w:numPr>
        <w:spacing w:after="200" w:line="276" w:lineRule="auto"/>
        <w:contextualSpacing/>
        <w:rPr>
          <w:rFonts w:asciiTheme="minorHAnsi" w:hAnsiTheme="minorHAnsi" w:cstheme="minorHAnsi"/>
        </w:rPr>
      </w:pPr>
      <w:r w:rsidRPr="005F120D">
        <w:rPr>
          <w:rFonts w:asciiTheme="minorHAnsi" w:hAnsiTheme="minorHAnsi" w:cstheme="minorHAnsi"/>
        </w:rPr>
        <w:t>School Management Committee: SMC member’ Guidelines;</w:t>
      </w:r>
    </w:p>
    <w:p w:rsidR="00F30B77" w:rsidRPr="005F120D" w:rsidRDefault="00F30B77" w:rsidP="00F30B77">
      <w:pPr>
        <w:numPr>
          <w:ilvl w:val="0"/>
          <w:numId w:val="125"/>
        </w:numPr>
        <w:spacing w:after="200" w:line="276" w:lineRule="auto"/>
        <w:contextualSpacing/>
        <w:rPr>
          <w:rFonts w:asciiTheme="minorHAnsi" w:hAnsiTheme="minorHAnsi" w:cstheme="minorHAnsi"/>
        </w:rPr>
      </w:pPr>
      <w:r w:rsidRPr="005F120D">
        <w:rPr>
          <w:rFonts w:asciiTheme="minorHAnsi" w:hAnsiTheme="minorHAnsi" w:cstheme="minorHAnsi"/>
        </w:rPr>
        <w:t>Upazila Primary Education Plan (UPEP); Guidelines for UPEOs and AUPEOs.</w:t>
      </w:r>
    </w:p>
    <w:p w:rsidR="00F30B77" w:rsidRPr="005F120D" w:rsidRDefault="00F30B77" w:rsidP="00F30B77">
      <w:pPr>
        <w:spacing w:line="276" w:lineRule="auto"/>
        <w:rPr>
          <w:rFonts w:asciiTheme="minorHAnsi" w:hAnsiTheme="minorHAnsi" w:cstheme="minorHAnsi"/>
          <w:b/>
          <w:color w:val="3333CC"/>
        </w:rPr>
      </w:pPr>
      <w:r w:rsidRPr="005F120D">
        <w:rPr>
          <w:rFonts w:asciiTheme="minorHAnsi" w:hAnsiTheme="minorHAnsi" w:cstheme="minorHAnsi"/>
          <w:b/>
          <w:color w:val="3333CC"/>
        </w:rPr>
        <w:t>Policy and Operations Division developed the following training manual and resource material:</w:t>
      </w:r>
    </w:p>
    <w:p w:rsidR="00F30B77" w:rsidRPr="005F120D" w:rsidRDefault="00F30B77" w:rsidP="00F30B77">
      <w:pPr>
        <w:numPr>
          <w:ilvl w:val="0"/>
          <w:numId w:val="126"/>
        </w:numPr>
        <w:spacing w:after="200" w:line="276" w:lineRule="auto"/>
        <w:contextualSpacing/>
        <w:rPr>
          <w:rFonts w:asciiTheme="minorHAnsi" w:hAnsiTheme="minorHAnsi" w:cstheme="minorHAnsi"/>
        </w:rPr>
      </w:pPr>
      <w:r w:rsidRPr="005F120D">
        <w:rPr>
          <w:rFonts w:asciiTheme="minorHAnsi" w:hAnsiTheme="minorHAnsi" w:cstheme="minorHAnsi"/>
        </w:rPr>
        <w:t>Better Health, Better Education Manual and Resource Book;</w:t>
      </w:r>
    </w:p>
    <w:p w:rsidR="00F30B77" w:rsidRPr="005F120D" w:rsidRDefault="00F30B77" w:rsidP="00F30B77">
      <w:pPr>
        <w:numPr>
          <w:ilvl w:val="0"/>
          <w:numId w:val="126"/>
        </w:numPr>
        <w:spacing w:after="200" w:line="276" w:lineRule="auto"/>
        <w:contextualSpacing/>
        <w:rPr>
          <w:rFonts w:asciiTheme="minorHAnsi" w:hAnsiTheme="minorHAnsi" w:cstheme="minorHAnsi"/>
        </w:rPr>
      </w:pPr>
      <w:r w:rsidRPr="005F120D">
        <w:rPr>
          <w:rFonts w:asciiTheme="minorHAnsi" w:hAnsiTheme="minorHAnsi" w:cstheme="minorHAnsi"/>
        </w:rPr>
        <w:t>Gender Tool Kit</w:t>
      </w:r>
    </w:p>
    <w:p w:rsidR="00F30B77" w:rsidRPr="005F120D" w:rsidRDefault="00F30B77" w:rsidP="00F30B77">
      <w:pPr>
        <w:spacing w:before="120" w:after="120" w:line="276" w:lineRule="auto"/>
        <w:rPr>
          <w:rFonts w:asciiTheme="minorHAnsi" w:hAnsiTheme="minorHAnsi" w:cstheme="minorHAnsi"/>
          <w:color w:val="3333CC"/>
        </w:rPr>
      </w:pPr>
      <w:r w:rsidRPr="005F120D">
        <w:rPr>
          <w:rFonts w:asciiTheme="minorHAnsi" w:hAnsiTheme="minorHAnsi" w:cstheme="minorHAnsi"/>
          <w:color w:val="3333CC"/>
        </w:rPr>
        <w:t>Others</w:t>
      </w:r>
    </w:p>
    <w:p w:rsidR="00264D60" w:rsidRPr="005F120D" w:rsidRDefault="00F30B77" w:rsidP="00F30B77">
      <w:pPr>
        <w:pStyle w:val="BodyText1"/>
        <w:numPr>
          <w:ilvl w:val="0"/>
          <w:numId w:val="127"/>
        </w:numPr>
        <w:spacing w:after="0"/>
        <w:jc w:val="both"/>
        <w:rPr>
          <w:rFonts w:asciiTheme="minorHAnsi" w:hAnsiTheme="minorHAnsi" w:cstheme="minorHAnsi"/>
          <w:b w:val="0"/>
          <w:color w:val="000000" w:themeColor="text1"/>
        </w:rPr>
      </w:pPr>
      <w:r w:rsidRPr="005F120D">
        <w:rPr>
          <w:rFonts w:asciiTheme="minorHAnsi" w:hAnsiTheme="minorHAnsi" w:cstheme="minorHAnsi"/>
          <w:b w:val="0"/>
          <w:color w:val="000000"/>
        </w:rPr>
        <w:t>Instruction Manual for Primary School Teachers on effective Reading skills (Save the Children International)</w:t>
      </w:r>
    </w:p>
    <w:p w:rsidR="00264D60" w:rsidRPr="005F120D" w:rsidRDefault="00264D60" w:rsidP="00C437AA">
      <w:pPr>
        <w:spacing w:line="276" w:lineRule="auto"/>
        <w:rPr>
          <w:rFonts w:asciiTheme="minorHAnsi" w:hAnsiTheme="minorHAnsi" w:cstheme="minorHAnsi"/>
        </w:rPr>
      </w:pPr>
    </w:p>
    <w:p w:rsidR="00332BB3" w:rsidRPr="005F120D" w:rsidRDefault="00332BB3" w:rsidP="003F5F17">
      <w:pPr>
        <w:pStyle w:val="Heading1"/>
      </w:pPr>
      <w:bookmarkStart w:id="605" w:name="_Toc462837199"/>
      <w:r w:rsidRPr="005F120D">
        <w:lastRenderedPageBreak/>
        <w:t>Conclusion</w:t>
      </w:r>
      <w:bookmarkEnd w:id="602"/>
      <w:bookmarkEnd w:id="603"/>
      <w:bookmarkEnd w:id="605"/>
    </w:p>
    <w:p w:rsidR="00E52A3D" w:rsidRPr="005F120D" w:rsidRDefault="00F30B77" w:rsidP="00C437AA">
      <w:pPr>
        <w:spacing w:before="100" w:beforeAutospacing="1" w:after="100" w:afterAutospacing="1" w:line="276" w:lineRule="auto"/>
        <w:jc w:val="both"/>
        <w:rPr>
          <w:rFonts w:asciiTheme="minorHAnsi" w:hAnsiTheme="minorHAnsi" w:cstheme="minorHAnsi"/>
        </w:rPr>
      </w:pPr>
      <w:bookmarkStart w:id="606" w:name="_Toc338856201"/>
      <w:bookmarkStart w:id="607" w:name="_Toc385242137"/>
      <w:bookmarkStart w:id="608" w:name="_Toc385245767"/>
      <w:bookmarkStart w:id="609" w:name="_Toc385419533"/>
      <w:r w:rsidRPr="005F120D">
        <w:rPr>
          <w:rFonts w:asciiTheme="minorHAnsi" w:hAnsiTheme="minorHAnsi" w:cstheme="minorHAnsi"/>
        </w:rPr>
        <w:t>The concluding chapter contains four sections. The first section summarizes three main findings from the ASPR 2016. The second proposes some follow-up studies to feed into next year’s ASPR, based on key gaps in information and knowledge identified in ASPR 2016. The third highlights some of the key data issues and proposes follow-up action. The final section contains some concluding remarks on the ASPR preparation process</w:t>
      </w:r>
      <w:r w:rsidR="009A693D" w:rsidRPr="005F120D">
        <w:rPr>
          <w:rFonts w:asciiTheme="minorHAnsi" w:hAnsiTheme="minorHAnsi" w:cstheme="minorHAnsi"/>
        </w:rPr>
        <w:t>.</w:t>
      </w:r>
    </w:p>
    <w:p w:rsidR="008D11EE" w:rsidRPr="005F120D" w:rsidRDefault="006A14F7" w:rsidP="00C437AA">
      <w:pPr>
        <w:pStyle w:val="Heading2"/>
        <w:spacing w:before="100" w:beforeAutospacing="1" w:after="100" w:afterAutospacing="1" w:line="276" w:lineRule="auto"/>
        <w:rPr>
          <w:rFonts w:cstheme="minorHAnsi"/>
          <w:sz w:val="22"/>
          <w:szCs w:val="22"/>
        </w:rPr>
      </w:pPr>
      <w:bookmarkStart w:id="610" w:name="_Toc387926504"/>
      <w:bookmarkStart w:id="611" w:name="_Toc462837200"/>
      <w:r w:rsidRPr="005F120D">
        <w:rPr>
          <w:rFonts w:cstheme="minorHAnsi"/>
          <w:sz w:val="22"/>
          <w:szCs w:val="22"/>
        </w:rPr>
        <w:t xml:space="preserve">Summary of Key </w:t>
      </w:r>
      <w:bookmarkEnd w:id="610"/>
      <w:r w:rsidR="009E12FE" w:rsidRPr="005F120D">
        <w:rPr>
          <w:rFonts w:cstheme="minorHAnsi"/>
          <w:sz w:val="22"/>
          <w:szCs w:val="22"/>
        </w:rPr>
        <w:t>Achievement</w:t>
      </w:r>
      <w:bookmarkEnd w:id="611"/>
    </w:p>
    <w:p w:rsidR="00F30B77" w:rsidRPr="005F120D" w:rsidRDefault="00F30B77" w:rsidP="00F30B77">
      <w:pPr>
        <w:pStyle w:val="BodyText1"/>
        <w:spacing w:before="120" w:after="120"/>
        <w:jc w:val="both"/>
        <w:rPr>
          <w:rFonts w:asciiTheme="minorHAnsi" w:hAnsiTheme="minorHAnsi" w:cstheme="minorHAnsi"/>
          <w:b w:val="0"/>
        </w:rPr>
      </w:pPr>
      <w:r w:rsidRPr="005F120D">
        <w:rPr>
          <w:rFonts w:asciiTheme="minorHAnsi" w:hAnsiTheme="minorHAnsi" w:cstheme="minorHAnsi"/>
          <w:b w:val="0"/>
        </w:rPr>
        <w:t xml:space="preserve">PEDP3 has been largely successful in achieving its overall results. It has actually met or is close to meeting many of its expected outcome and output targets, as shown in Tables (2.2 and 2.3) for example:  </w:t>
      </w:r>
    </w:p>
    <w:p w:rsidR="00F30B77" w:rsidRPr="005F120D" w:rsidRDefault="00F30B77" w:rsidP="00F30B77">
      <w:pPr>
        <w:pStyle w:val="ListBullet3"/>
        <w:numPr>
          <w:ilvl w:val="0"/>
          <w:numId w:val="2"/>
        </w:numPr>
      </w:pPr>
      <w:r w:rsidRPr="005F120D">
        <w:t>Increased enrolment including PPE (GIR 109.2%, NIR 97.9</w:t>
      </w:r>
      <w:r w:rsidR="0091166C">
        <w:t>1</w:t>
      </w:r>
      <w:r w:rsidRPr="005F120D">
        <w:t>%, GER 109.2% and NER 97.9</w:t>
      </w:r>
      <w:r w:rsidR="0091166C">
        <w:t>4</w:t>
      </w:r>
      <w:r w:rsidRPr="005F120D">
        <w:t>%);</w:t>
      </w:r>
    </w:p>
    <w:p w:rsidR="00F30B77" w:rsidRPr="005F120D" w:rsidRDefault="00F30B77" w:rsidP="00F30B77">
      <w:pPr>
        <w:pStyle w:val="ListBullet3"/>
        <w:numPr>
          <w:ilvl w:val="0"/>
          <w:numId w:val="2"/>
        </w:numPr>
      </w:pPr>
      <w:r w:rsidRPr="005F120D">
        <w:t>Primary completion (79.6%), Survival to Grade 5 (81.3%), Coefficient of Efficiency (80.1%) improving;</w:t>
      </w:r>
    </w:p>
    <w:p w:rsidR="00F30B77" w:rsidRPr="005F120D" w:rsidRDefault="00F30B77" w:rsidP="00F30B77">
      <w:pPr>
        <w:pStyle w:val="ListBullet3"/>
        <w:numPr>
          <w:ilvl w:val="0"/>
          <w:numId w:val="2"/>
        </w:numPr>
      </w:pPr>
      <w:r w:rsidRPr="005F120D">
        <w:t xml:space="preserve">Reducing the net enrolment gap between richest (88%) and poorest quintiles (80%); </w:t>
      </w:r>
    </w:p>
    <w:p w:rsidR="00F30B77" w:rsidRPr="005F120D" w:rsidRDefault="00F30B77" w:rsidP="00F30B77">
      <w:pPr>
        <w:pStyle w:val="ListBullet3"/>
        <w:numPr>
          <w:ilvl w:val="0"/>
          <w:numId w:val="2"/>
        </w:numPr>
      </w:pPr>
      <w:r w:rsidRPr="005F120D">
        <w:t>Almost all (99.9%) children now get free textbooks in the first month of the school academic year (PSQL1), in particular 87% before starting the academic year;</w:t>
      </w:r>
    </w:p>
    <w:p w:rsidR="00F30B77" w:rsidRPr="005F120D" w:rsidRDefault="00F30B77" w:rsidP="00F30B77">
      <w:pPr>
        <w:pStyle w:val="ListBullet3"/>
        <w:numPr>
          <w:ilvl w:val="0"/>
          <w:numId w:val="2"/>
        </w:numPr>
      </w:pPr>
      <w:r w:rsidRPr="005F120D">
        <w:t>Majority of Head and Assistant teachers have achieved the required training qualification standard (PSQLs 2, 3, 4 &amp;13);</w:t>
      </w:r>
    </w:p>
    <w:p w:rsidR="00F30B77" w:rsidRPr="005F120D" w:rsidRDefault="00F30B77" w:rsidP="00F30B77">
      <w:pPr>
        <w:pStyle w:val="ListBullet3"/>
        <w:numPr>
          <w:ilvl w:val="0"/>
          <w:numId w:val="2"/>
        </w:numPr>
      </w:pPr>
      <w:r w:rsidRPr="005F120D">
        <w:t xml:space="preserve">School infrastructure has significantly improved (additional classrooms, WASH block, water supply, </w:t>
      </w:r>
      <w:r w:rsidR="00D32FEC" w:rsidRPr="005F120D">
        <w:t>and separate</w:t>
      </w:r>
      <w:r w:rsidRPr="005F120D">
        <w:t xml:space="preserve"> toilets for girls) (PSQLs7-10).</w:t>
      </w:r>
    </w:p>
    <w:p w:rsidR="00F30B77" w:rsidRPr="005F120D" w:rsidRDefault="00F30B77" w:rsidP="00F30B77">
      <w:pPr>
        <w:pStyle w:val="ListBullet3"/>
        <w:numPr>
          <w:ilvl w:val="0"/>
          <w:numId w:val="2"/>
        </w:numPr>
      </w:pPr>
      <w:r w:rsidRPr="005F120D">
        <w:t>The appointment of new teachers achieved the STR target (KPI 9/PSQL 14)</w:t>
      </w:r>
    </w:p>
    <w:p w:rsidR="00F30B77" w:rsidRPr="005F120D" w:rsidRDefault="00F30B77" w:rsidP="00F30B77">
      <w:pPr>
        <w:pStyle w:val="ListBullet3"/>
        <w:numPr>
          <w:ilvl w:val="0"/>
          <w:numId w:val="2"/>
        </w:numPr>
      </w:pPr>
      <w:r w:rsidRPr="005F120D">
        <w:t xml:space="preserve">Student absenteeism has been reducing gradually (Non-KPI 4). </w:t>
      </w:r>
    </w:p>
    <w:p w:rsidR="00F30B77" w:rsidRPr="005F120D" w:rsidRDefault="00F30B77" w:rsidP="00F30B77">
      <w:pPr>
        <w:pStyle w:val="ListBullet3"/>
        <w:numPr>
          <w:ilvl w:val="0"/>
          <w:numId w:val="2"/>
        </w:numPr>
      </w:pPr>
      <w:r w:rsidRPr="005F120D">
        <w:t>Gross and net enrolment rates show that more children are enrolled in schools than ever before (KPI 5 and 6);</w:t>
      </w:r>
    </w:p>
    <w:p w:rsidR="00F30B77" w:rsidRPr="005F120D" w:rsidRDefault="00F30B77" w:rsidP="00F30B77">
      <w:pPr>
        <w:pStyle w:val="ListBullet3"/>
        <w:numPr>
          <w:ilvl w:val="0"/>
          <w:numId w:val="2"/>
        </w:numPr>
      </w:pPr>
      <w:r w:rsidRPr="005F120D">
        <w:t>The enrolment of children with disabilities is also increasing in most types of schools, while the rate has slightly declined in GPS and NNPS (PSQL 6).</w:t>
      </w:r>
    </w:p>
    <w:p w:rsidR="00F30B77" w:rsidRPr="005F120D" w:rsidRDefault="003553C5" w:rsidP="00F30B77">
      <w:pPr>
        <w:pStyle w:val="BodyText1"/>
        <w:jc w:val="both"/>
        <w:rPr>
          <w:rFonts w:asciiTheme="minorHAnsi" w:hAnsiTheme="minorHAnsi" w:cstheme="minorHAnsi"/>
          <w:b w:val="0"/>
        </w:rPr>
      </w:pPr>
      <w:r>
        <w:rPr>
          <w:rFonts w:asciiTheme="minorHAnsi" w:hAnsiTheme="minorHAnsi" w:cstheme="minorHAnsi"/>
          <w:b w:val="0"/>
        </w:rPr>
        <w:t xml:space="preserve">Based on the above </w:t>
      </w:r>
      <w:r w:rsidR="00A45485">
        <w:rPr>
          <w:rFonts w:asciiTheme="minorHAnsi" w:hAnsiTheme="minorHAnsi" w:cstheme="minorHAnsi"/>
          <w:b w:val="0"/>
        </w:rPr>
        <w:t>achievements, a</w:t>
      </w:r>
      <w:r w:rsidR="00F30B77" w:rsidRPr="005F120D">
        <w:rPr>
          <w:rFonts w:asciiTheme="minorHAnsi" w:hAnsiTheme="minorHAnsi" w:cstheme="minorHAnsi"/>
          <w:b w:val="0"/>
        </w:rPr>
        <w:t xml:space="preserve"> plausible interpretation is that absenteeism and dropouts (KPI13) are </w:t>
      </w:r>
      <w:r w:rsidR="00A45485">
        <w:rPr>
          <w:rFonts w:asciiTheme="minorHAnsi" w:hAnsiTheme="minorHAnsi" w:cstheme="minorHAnsi"/>
          <w:b w:val="0"/>
        </w:rPr>
        <w:t>reduc</w:t>
      </w:r>
      <w:r w:rsidR="00F30B77" w:rsidRPr="005F120D">
        <w:rPr>
          <w:rFonts w:asciiTheme="minorHAnsi" w:hAnsiTheme="minorHAnsi" w:cstheme="minorHAnsi"/>
          <w:b w:val="0"/>
        </w:rPr>
        <w:t>ing and the survival to Grade 5 is increasing (improved outcomes) as a result of interventions that have been made under PEDP3 such as better infrastructures, teacher recruitment, allocation of SLIP grants, more widely disbursed stipends and school feeding programs</w:t>
      </w:r>
      <w:r w:rsidR="00A45485">
        <w:rPr>
          <w:rFonts w:asciiTheme="minorHAnsi" w:hAnsiTheme="minorHAnsi" w:cstheme="minorHAnsi"/>
          <w:b w:val="0"/>
        </w:rPr>
        <w:t>, more trained teachers and</w:t>
      </w:r>
      <w:r w:rsidR="00F30B77" w:rsidRPr="005F120D">
        <w:rPr>
          <w:rFonts w:asciiTheme="minorHAnsi" w:hAnsiTheme="minorHAnsi" w:cstheme="minorHAnsi"/>
          <w:b w:val="0"/>
        </w:rPr>
        <w:t xml:space="preserve"> textbooks in schools (improved short-term outputs)</w:t>
      </w:r>
      <w:r w:rsidR="00442BB7">
        <w:rPr>
          <w:rFonts w:asciiTheme="minorHAnsi" w:hAnsiTheme="minorHAnsi" w:cstheme="minorHAnsi"/>
          <w:b w:val="0"/>
        </w:rPr>
        <w:t xml:space="preserve"> in time</w:t>
      </w:r>
      <w:r w:rsidR="00F30B77" w:rsidRPr="005F120D">
        <w:rPr>
          <w:rFonts w:asciiTheme="minorHAnsi" w:hAnsiTheme="minorHAnsi" w:cstheme="minorHAnsi"/>
          <w:b w:val="0"/>
        </w:rPr>
        <w:t>.</w:t>
      </w:r>
    </w:p>
    <w:p w:rsidR="00F30B77" w:rsidRPr="005F120D" w:rsidRDefault="00F30B77" w:rsidP="00F30B77">
      <w:pPr>
        <w:pStyle w:val="BodyText1"/>
        <w:jc w:val="both"/>
        <w:rPr>
          <w:rFonts w:asciiTheme="minorHAnsi" w:hAnsiTheme="minorHAnsi" w:cstheme="minorHAnsi"/>
          <w:b w:val="0"/>
        </w:rPr>
      </w:pPr>
      <w:r w:rsidRPr="005F120D">
        <w:rPr>
          <w:rFonts w:asciiTheme="minorHAnsi" w:hAnsiTheme="minorHAnsi" w:cstheme="minorHAnsi"/>
          <w:b w:val="0"/>
        </w:rPr>
        <w:t xml:space="preserve">Some of the successes of the PEDP3 are likely from the stronger organisational capacity in upazilas and schools. This is partly a result of training for the staff of UEOs, URCs, and DPEOs. The SLIP </w:t>
      </w:r>
      <w:r w:rsidRPr="005F120D">
        <w:rPr>
          <w:rFonts w:asciiTheme="minorHAnsi" w:hAnsiTheme="minorHAnsi" w:cstheme="minorHAnsi"/>
          <w:b w:val="0"/>
        </w:rPr>
        <w:lastRenderedPageBreak/>
        <w:t xml:space="preserve">program has also provided training including SLIP grants for planning and development in all schools. DPE has a plan for expanding the SLIP program to cover all schools within this financial year (2015/16). The M&amp;E Division has provided training for 98% of district officers on results-based planning, and has distributed </w:t>
      </w:r>
      <w:r w:rsidR="00045BB9" w:rsidRPr="005F120D">
        <w:rPr>
          <w:rFonts w:asciiTheme="minorHAnsi" w:hAnsiTheme="minorHAnsi" w:cstheme="minorHAnsi"/>
          <w:b w:val="0"/>
        </w:rPr>
        <w:t>Upazila</w:t>
      </w:r>
      <w:r w:rsidRPr="005F120D">
        <w:rPr>
          <w:rFonts w:asciiTheme="minorHAnsi" w:hAnsiTheme="minorHAnsi" w:cstheme="minorHAnsi"/>
          <w:b w:val="0"/>
        </w:rPr>
        <w:t xml:space="preserve"> education performance profiles (UEPP) to all </w:t>
      </w:r>
      <w:r w:rsidR="00045BB9" w:rsidRPr="005F120D">
        <w:rPr>
          <w:rFonts w:asciiTheme="minorHAnsi" w:hAnsiTheme="minorHAnsi" w:cstheme="minorHAnsi"/>
          <w:b w:val="0"/>
        </w:rPr>
        <w:t>Upazilas</w:t>
      </w:r>
      <w:r w:rsidRPr="005F120D">
        <w:rPr>
          <w:rFonts w:asciiTheme="minorHAnsi" w:hAnsiTheme="minorHAnsi" w:cstheme="minorHAnsi"/>
          <w:b w:val="0"/>
        </w:rPr>
        <w:t xml:space="preserve"> in 2015 on which they can base their own planning. In 2016, M&amp;E</w:t>
      </w:r>
      <w:r w:rsidR="00B011F4">
        <w:rPr>
          <w:rFonts w:asciiTheme="minorHAnsi" w:hAnsiTheme="minorHAnsi" w:cstheme="minorHAnsi"/>
          <w:b w:val="0"/>
        </w:rPr>
        <w:t xml:space="preserve"> Division has a plan to provide </w:t>
      </w:r>
      <w:r w:rsidRPr="005F120D">
        <w:rPr>
          <w:rFonts w:asciiTheme="minorHAnsi" w:hAnsiTheme="minorHAnsi" w:cstheme="minorHAnsi"/>
          <w:b w:val="0"/>
        </w:rPr>
        <w:t>UEPP profiles through the ASPR 2016 dissemination workshop.</w:t>
      </w:r>
    </w:p>
    <w:p w:rsidR="00F30B77" w:rsidRPr="005F120D" w:rsidRDefault="00F30B77" w:rsidP="00F30B77">
      <w:pPr>
        <w:pStyle w:val="BodyText1"/>
        <w:jc w:val="both"/>
        <w:rPr>
          <w:rFonts w:asciiTheme="minorHAnsi" w:hAnsiTheme="minorHAnsi" w:cstheme="minorHAnsi"/>
          <w:b w:val="0"/>
        </w:rPr>
      </w:pPr>
      <w:r w:rsidRPr="005F120D">
        <w:rPr>
          <w:rFonts w:asciiTheme="minorHAnsi" w:hAnsiTheme="minorHAnsi" w:cstheme="minorHAnsi"/>
          <w:b w:val="0"/>
        </w:rPr>
        <w:t>The stipend program for poor students now provides a monthly sum of 100/125 taka to almost 13 million children who attend school regularly and have good results. This program has been targeted to improve enrolment and survival rates and it has had a positive impact to some extent.</w:t>
      </w:r>
    </w:p>
    <w:p w:rsidR="00F30B77" w:rsidRPr="005F120D" w:rsidRDefault="00F30B77" w:rsidP="00F30B77">
      <w:pPr>
        <w:pStyle w:val="BodyText1"/>
        <w:jc w:val="both"/>
        <w:rPr>
          <w:rFonts w:asciiTheme="minorHAnsi" w:hAnsiTheme="minorHAnsi" w:cstheme="minorHAnsi"/>
          <w:b w:val="0"/>
        </w:rPr>
      </w:pPr>
      <w:r w:rsidRPr="005F120D">
        <w:rPr>
          <w:rFonts w:asciiTheme="minorHAnsi" w:hAnsiTheme="minorHAnsi" w:cstheme="minorHAnsi"/>
        </w:rPr>
        <w:t>Learning achievement in Bangla and Mathematics:</w:t>
      </w:r>
      <w:r w:rsidRPr="005F120D">
        <w:rPr>
          <w:rFonts w:asciiTheme="minorHAnsi" w:hAnsiTheme="minorHAnsi" w:cstheme="minorHAnsi"/>
          <w:b w:val="0"/>
        </w:rPr>
        <w:t xml:space="preserve"> The result of the NSA 2013 shows the improved achievement of learning outcomes in Grade 3 students, especially in Bangla with 74% of the students meeting their grade-level or above competencies, compared with 68% in 2011. This demonstrates a strong growth in Bangla skills and understanding. The majority of Grade 5 students in Bangla however, are not achieving at their expected grade level of around 75%.   </w:t>
      </w:r>
    </w:p>
    <w:p w:rsidR="00F30B77" w:rsidRPr="005F120D" w:rsidRDefault="00F30B77" w:rsidP="00F30B77">
      <w:pPr>
        <w:pStyle w:val="BodyText1"/>
        <w:jc w:val="both"/>
        <w:rPr>
          <w:rFonts w:asciiTheme="minorHAnsi" w:hAnsiTheme="minorHAnsi" w:cstheme="minorHAnsi"/>
          <w:b w:val="0"/>
        </w:rPr>
      </w:pPr>
      <w:r w:rsidRPr="005F120D">
        <w:rPr>
          <w:rFonts w:asciiTheme="minorHAnsi" w:hAnsiTheme="minorHAnsi" w:cstheme="minorHAnsi"/>
          <w:b w:val="0"/>
        </w:rPr>
        <w:t>There has also been strong growth in Mathematics learning from Grade 3 to Grade 5, but about three-fourths of Grade 5 students and about 43% of Grade 3 students are achieving below their expected grade level. Some 24% of Grade 3 children are achieving far below their expected level in Mathematics. In NSA 2013, it was also reported that around 23% of the Grade 5 students achieved below Grade 4 level competencies in Bangla and 41% in Math (compared with 15% and 34% in 2011). Therefore, while the report identifies modest gains in skills and understanding, there is still much room for improvement. It is very important to identify the groups of children who are struggling the most. Although in Bangla and Mathematics, there is no significant difference in achieving scores by gender, but there is a large difference in performance between GPS and NNPS in case of scoring. The GPS students have scored higher in each subject at both levels than NNPS.</w:t>
      </w:r>
    </w:p>
    <w:p w:rsidR="00F30B77" w:rsidRPr="005F120D" w:rsidRDefault="00F30B77" w:rsidP="00F30B77">
      <w:pPr>
        <w:spacing w:line="276" w:lineRule="auto"/>
        <w:jc w:val="both"/>
        <w:rPr>
          <w:rFonts w:asciiTheme="minorHAnsi" w:hAnsiTheme="minorHAnsi" w:cstheme="minorHAnsi"/>
          <w:szCs w:val="22"/>
        </w:rPr>
      </w:pPr>
      <w:r w:rsidRPr="005F120D">
        <w:rPr>
          <w:rFonts w:asciiTheme="minorHAnsi" w:hAnsiTheme="minorHAnsi" w:cstheme="minorHAnsi"/>
          <w:szCs w:val="22"/>
        </w:rPr>
        <w:t xml:space="preserve">PEDP3 component 1 covers multiple interventions designed to strengthen teaching and learning, including school and classroom-based assessment. The design and roll-out of these interventions need to take account of the substantial proportion of children who have already lagged behind their grade level in Bangla and Mathematics.  It is clearly important that the teachers should be able to identify the groups of children who are struggling most, and provide remedial measures to help them to overcome the problems. </w:t>
      </w:r>
    </w:p>
    <w:p w:rsidR="00F30B77" w:rsidRPr="005F120D" w:rsidRDefault="00F30B77" w:rsidP="00F30B77">
      <w:pPr>
        <w:pStyle w:val="BodyText1"/>
        <w:jc w:val="both"/>
        <w:rPr>
          <w:rFonts w:asciiTheme="minorHAnsi" w:hAnsiTheme="minorHAnsi" w:cstheme="minorHAnsi"/>
          <w:b w:val="0"/>
        </w:rPr>
      </w:pPr>
      <w:r w:rsidRPr="005F120D">
        <w:rPr>
          <w:rFonts w:asciiTheme="minorHAnsi" w:hAnsiTheme="minorHAnsi" w:cstheme="minorHAnsi"/>
          <w:i/>
        </w:rPr>
        <w:t xml:space="preserve">Access, Participation and Disparity: </w:t>
      </w:r>
      <w:r w:rsidRPr="005F120D">
        <w:rPr>
          <w:rFonts w:asciiTheme="minorHAnsi" w:hAnsiTheme="minorHAnsi" w:cstheme="minorHAnsi"/>
          <w:b w:val="0"/>
        </w:rPr>
        <w:t>The primary education sector enrolment is increasing continuously, reaching around 19 million in 2016 who are students in 1, 22, 176 primary level educational institutes. As per APSC 2015, the GER is 10</w:t>
      </w:r>
      <w:r w:rsidR="0000253A">
        <w:rPr>
          <w:rFonts w:asciiTheme="minorHAnsi" w:hAnsiTheme="minorHAnsi" w:cstheme="minorHAnsi"/>
          <w:b w:val="0"/>
        </w:rPr>
        <w:t>9.2%</w:t>
      </w:r>
      <w:r w:rsidRPr="005F120D">
        <w:rPr>
          <w:rFonts w:asciiTheme="minorHAnsi" w:hAnsiTheme="minorHAnsi" w:cstheme="minorHAnsi"/>
          <w:b w:val="0"/>
        </w:rPr>
        <w:t xml:space="preserve"> and NER 9</w:t>
      </w:r>
      <w:r w:rsidR="0000253A">
        <w:rPr>
          <w:rFonts w:asciiTheme="minorHAnsi" w:hAnsiTheme="minorHAnsi" w:cstheme="minorHAnsi"/>
          <w:b w:val="0"/>
        </w:rPr>
        <w:t>7.94</w:t>
      </w:r>
      <w:r w:rsidRPr="005F120D">
        <w:rPr>
          <w:rFonts w:asciiTheme="minorHAnsi" w:hAnsiTheme="minorHAnsi" w:cstheme="minorHAnsi"/>
          <w:b w:val="0"/>
        </w:rPr>
        <w:t>%. However, there are some challenges as a whole in the primary education system. For instance, while internal efficiency has improved, still 21% of children (in GPS and NNPS) have dropped out before completing Grade 5. The EHS 2014 reported that around 18% of children aged 6–10 years are not participating in school.</w:t>
      </w:r>
    </w:p>
    <w:p w:rsidR="00F30B77" w:rsidRPr="005F120D" w:rsidRDefault="00F30B77" w:rsidP="00F30B77">
      <w:pPr>
        <w:pStyle w:val="BodyText1"/>
        <w:jc w:val="both"/>
        <w:rPr>
          <w:rFonts w:asciiTheme="minorHAnsi" w:hAnsiTheme="minorHAnsi" w:cstheme="minorHAnsi"/>
          <w:b w:val="0"/>
        </w:rPr>
      </w:pPr>
      <w:r w:rsidRPr="005F120D">
        <w:rPr>
          <w:rFonts w:asciiTheme="minorHAnsi" w:hAnsiTheme="minorHAnsi" w:cstheme="minorHAnsi"/>
          <w:b w:val="0"/>
        </w:rPr>
        <w:t>The disparity at the lower geographical units is even more marked. Household survey data from 2010 revealed that the gap between the NAR of the poorest and richest households is 11 percentage points, while the 2014 EHS reveal that the gap is 8 percentage points. This gap in N</w:t>
      </w:r>
      <w:r w:rsidR="00CA05E8">
        <w:rPr>
          <w:rFonts w:asciiTheme="minorHAnsi" w:hAnsiTheme="minorHAnsi" w:cstheme="minorHAnsi"/>
          <w:b w:val="0"/>
        </w:rPr>
        <w:t>I</w:t>
      </w:r>
      <w:r w:rsidRPr="005F120D">
        <w:rPr>
          <w:rFonts w:asciiTheme="minorHAnsi" w:hAnsiTheme="minorHAnsi" w:cstheme="minorHAnsi"/>
          <w:b w:val="0"/>
        </w:rPr>
        <w:t xml:space="preserve">R for the poorest </w:t>
      </w:r>
      <w:r w:rsidRPr="005F120D">
        <w:rPr>
          <w:rFonts w:asciiTheme="minorHAnsi" w:hAnsiTheme="minorHAnsi" w:cstheme="minorHAnsi"/>
          <w:b w:val="0"/>
        </w:rPr>
        <w:lastRenderedPageBreak/>
        <w:t xml:space="preserve">and richest households is much larger for boys (15 percentage points) than for girls (5 percentage points), suggesting that economic barriers to schooling may be more of a constraint for boys than girls. Overall, a lower proportion of boys than girls attend primary school. The gender parity index of GER and NER has been lowered to 1.08 and 1.02, compared with PEDP3 baseline of 1.09 and 1.06 in 2010. </w:t>
      </w:r>
    </w:p>
    <w:p w:rsidR="00F30B77" w:rsidRPr="005F120D" w:rsidRDefault="00F30B77" w:rsidP="00F30B77">
      <w:pPr>
        <w:pStyle w:val="BodyText1"/>
        <w:jc w:val="both"/>
        <w:rPr>
          <w:rFonts w:asciiTheme="minorHAnsi" w:hAnsiTheme="minorHAnsi" w:cstheme="minorHAnsi"/>
          <w:b w:val="0"/>
        </w:rPr>
      </w:pPr>
      <w:r w:rsidRPr="005F120D">
        <w:rPr>
          <w:rFonts w:asciiTheme="minorHAnsi" w:hAnsiTheme="minorHAnsi" w:cstheme="minorHAnsi"/>
          <w:b w:val="0"/>
        </w:rPr>
        <w:t xml:space="preserve">PEDP3 has identified specific demand and supply-side strategies for improving participation and reducing disparities (Component 2). It is important that these interventions are targeted at the children who are most likely to be out of school or at risk of dropping out based on evidence presented in this report, as well as in other studies. For example, specific strategies may be needed to target the participation of two different groups of out-of-school boys, both those who live in poorer households and those who live in particular </w:t>
      </w:r>
      <w:r w:rsidRPr="005F120D">
        <w:rPr>
          <w:rFonts w:asciiTheme="minorHAnsi" w:hAnsiTheme="minorHAnsi" w:cstheme="minorHAnsi"/>
          <w:b w:val="0"/>
          <w:i/>
        </w:rPr>
        <w:t>Upazilas</w:t>
      </w:r>
      <w:r w:rsidRPr="005F120D">
        <w:rPr>
          <w:rFonts w:asciiTheme="minorHAnsi" w:hAnsiTheme="minorHAnsi" w:cstheme="minorHAnsi"/>
          <w:b w:val="0"/>
        </w:rPr>
        <w:t xml:space="preserve"> in the eastern belt.</w:t>
      </w:r>
    </w:p>
    <w:p w:rsidR="00F30B77" w:rsidRPr="005F120D" w:rsidRDefault="00F30B77" w:rsidP="00F30B77">
      <w:pPr>
        <w:pStyle w:val="BodyText1"/>
        <w:spacing w:after="120"/>
        <w:jc w:val="both"/>
        <w:rPr>
          <w:rFonts w:asciiTheme="minorHAnsi" w:hAnsiTheme="minorHAnsi" w:cstheme="minorHAnsi"/>
          <w:b w:val="0"/>
          <w:i/>
        </w:rPr>
      </w:pPr>
      <w:r w:rsidRPr="005F120D">
        <w:rPr>
          <w:rFonts w:asciiTheme="minorHAnsi" w:hAnsiTheme="minorHAnsi" w:cstheme="minorHAnsi"/>
          <w:b w:val="0"/>
        </w:rPr>
        <w:t xml:space="preserve">Generally, the ASPR highlights a number of districts where increased attention is required to address poor outcomes. These include: </w:t>
      </w:r>
      <w:r w:rsidR="00045BB9" w:rsidRPr="005F120D">
        <w:rPr>
          <w:rFonts w:asciiTheme="minorHAnsi" w:hAnsiTheme="minorHAnsi" w:cstheme="minorHAnsi"/>
          <w:b w:val="0"/>
        </w:rPr>
        <w:t>hoar</w:t>
      </w:r>
      <w:r w:rsidRPr="005F120D">
        <w:rPr>
          <w:rFonts w:asciiTheme="minorHAnsi" w:hAnsiTheme="minorHAnsi" w:cstheme="minorHAnsi"/>
          <w:b w:val="0"/>
        </w:rPr>
        <w:t xml:space="preserve"> areas (Sylhet division and Netrokona), char areas (in Gaibandha, Kurigram and Sirajganj districts), north-western Bangladesh (Nilphamari), the drought zone (Nawabganj), the coastal zone (Bhola and Coxs’ Bazar), Dhaka and neighbouring districts/</w:t>
      </w:r>
      <w:r w:rsidR="00045BB9" w:rsidRPr="005F120D">
        <w:rPr>
          <w:rFonts w:asciiTheme="minorHAnsi" w:hAnsiTheme="minorHAnsi" w:cstheme="minorHAnsi"/>
          <w:b w:val="0"/>
        </w:rPr>
        <w:t>Upazilas</w:t>
      </w:r>
      <w:r w:rsidRPr="005F120D">
        <w:rPr>
          <w:rFonts w:asciiTheme="minorHAnsi" w:hAnsiTheme="minorHAnsi" w:cstheme="minorHAnsi"/>
          <w:b w:val="0"/>
        </w:rPr>
        <w:t xml:space="preserve"> areas</w:t>
      </w:r>
      <w:r w:rsidRPr="005F120D">
        <w:rPr>
          <w:rFonts w:asciiTheme="minorHAnsi" w:hAnsiTheme="minorHAnsi" w:cstheme="minorHAnsi"/>
          <w:b w:val="0"/>
          <w:i/>
        </w:rPr>
        <w:t>.</w:t>
      </w:r>
    </w:p>
    <w:p w:rsidR="00F30B77" w:rsidRPr="005F120D" w:rsidRDefault="00F30B77" w:rsidP="00F30B77">
      <w:pPr>
        <w:spacing w:after="120" w:line="276" w:lineRule="auto"/>
        <w:jc w:val="both"/>
        <w:rPr>
          <w:rFonts w:asciiTheme="minorHAnsi" w:hAnsiTheme="minorHAnsi" w:cstheme="minorHAnsi"/>
        </w:rPr>
      </w:pPr>
      <w:r w:rsidRPr="005F120D">
        <w:rPr>
          <w:rFonts w:asciiTheme="minorHAnsi" w:hAnsiTheme="minorHAnsi" w:cstheme="minorHAnsi"/>
          <w:b/>
          <w:i/>
        </w:rPr>
        <w:t>Schools Quality and Minimum Standards:</w:t>
      </w:r>
      <w:r w:rsidRPr="005F120D">
        <w:rPr>
          <w:rFonts w:asciiTheme="minorHAnsi" w:hAnsiTheme="minorHAnsi" w:cstheme="minorHAnsi"/>
        </w:rPr>
        <w:t xml:space="preserve">  In spite of the substantial progress made in the provision of basic school infrastructure and teacher recruitment and deployment, there is still an enormous need for investment in both educational hardware and software to enable the majority of schools to meet basic quality standards in school infrastructure and teaching and learning conditions.   The PEDP3 KPI15 on the percentage of the schools that meet three out of four key PSQL indicators helps monitor the overall condition on the quality of schooling.  In 2010, only 17% of schools (GPS and NNPS) meet three out of four key PSQL indicators.  The value of the indicators increased to 32% in 2015.  </w:t>
      </w:r>
    </w:p>
    <w:p w:rsidR="00957BF4" w:rsidRPr="005F120D" w:rsidRDefault="00F30B77" w:rsidP="00F30B77">
      <w:pPr>
        <w:spacing w:line="276" w:lineRule="auto"/>
        <w:jc w:val="both"/>
        <w:rPr>
          <w:rFonts w:asciiTheme="minorHAnsi" w:hAnsiTheme="minorHAnsi" w:cstheme="minorHAnsi"/>
        </w:rPr>
      </w:pPr>
      <w:r w:rsidRPr="005F120D">
        <w:rPr>
          <w:rFonts w:asciiTheme="minorHAnsi" w:hAnsiTheme="minorHAnsi" w:cstheme="minorHAnsi"/>
        </w:rPr>
        <w:t>Broadly speaking, progress on PSQLs has been quite uneven compared to KPIs.  The major achievements to-date under the PEDP3 was the timely delivery of textbooks (PSQL1) and the expansion of pre-primary education (PSQL5).  In 2015, almost all schools received their textbooks within the first month of the school year and over 99.9% of GPS and NNPS now providing pre-primary education.  However, there has been very modest improvement on PSQLs related to school infrastructure and water/sanitation as well as teacher qualifications and development</w:t>
      </w:r>
      <w:r w:rsidR="006A14F7" w:rsidRPr="005F120D">
        <w:rPr>
          <w:rFonts w:asciiTheme="minorHAnsi" w:hAnsiTheme="minorHAnsi" w:cstheme="minorHAnsi"/>
        </w:rPr>
        <w:t xml:space="preserve">. </w:t>
      </w:r>
    </w:p>
    <w:p w:rsidR="001568D1" w:rsidRPr="005F120D" w:rsidRDefault="006A14F7" w:rsidP="00C437AA">
      <w:pPr>
        <w:pStyle w:val="Heading2"/>
        <w:spacing w:line="276" w:lineRule="auto"/>
        <w:rPr>
          <w:rFonts w:cstheme="minorHAnsi"/>
        </w:rPr>
      </w:pPr>
      <w:bookmarkStart w:id="612" w:name="_Toc338856198"/>
      <w:bookmarkStart w:id="613" w:name="_Toc385242135"/>
      <w:bookmarkStart w:id="614" w:name="_Toc385245765"/>
      <w:bookmarkStart w:id="615" w:name="_Toc385419530"/>
      <w:bookmarkStart w:id="616" w:name="_Toc387926505"/>
      <w:bookmarkStart w:id="617" w:name="_Toc462837201"/>
      <w:r w:rsidRPr="005F120D">
        <w:rPr>
          <w:rFonts w:cstheme="minorHAnsi"/>
        </w:rPr>
        <w:t>Suggested areas for further research</w:t>
      </w:r>
      <w:bookmarkEnd w:id="612"/>
      <w:bookmarkEnd w:id="613"/>
      <w:bookmarkEnd w:id="614"/>
      <w:bookmarkEnd w:id="615"/>
      <w:bookmarkEnd w:id="616"/>
      <w:bookmarkEnd w:id="617"/>
    </w:p>
    <w:p w:rsidR="00F30B77" w:rsidRPr="005F120D" w:rsidRDefault="00F30B77" w:rsidP="00F30B77">
      <w:pPr>
        <w:pStyle w:val="BodyText1"/>
        <w:rPr>
          <w:rFonts w:asciiTheme="minorHAnsi" w:hAnsiTheme="minorHAnsi" w:cstheme="minorHAnsi"/>
          <w:b w:val="0"/>
        </w:rPr>
      </w:pPr>
      <w:r w:rsidRPr="005F120D">
        <w:rPr>
          <w:rFonts w:asciiTheme="minorHAnsi" w:hAnsiTheme="minorHAnsi" w:cstheme="minorHAnsi"/>
          <w:b w:val="0"/>
        </w:rPr>
        <w:t>A number of findings from this ASPR 2016 merit further research, to provide evidence which may require that adjustments be made to existing interventions, or that post PEDP3 interventions, are needed to ensure that PEDP3 reaches its goals. These include the following:</w:t>
      </w:r>
    </w:p>
    <w:p w:rsidR="00F30B77" w:rsidRPr="00045BB9" w:rsidRDefault="00F30B77" w:rsidP="00D9586F">
      <w:pPr>
        <w:numPr>
          <w:ilvl w:val="0"/>
          <w:numId w:val="67"/>
        </w:numPr>
        <w:spacing w:afterLines="200"/>
        <w:contextualSpacing/>
        <w:rPr>
          <w:rFonts w:asciiTheme="minorHAnsi" w:hAnsiTheme="minorHAnsi" w:cstheme="minorHAnsi"/>
        </w:rPr>
      </w:pPr>
      <w:r w:rsidRPr="00045BB9">
        <w:rPr>
          <w:rFonts w:asciiTheme="minorHAnsi" w:hAnsiTheme="minorHAnsi" w:cstheme="minorHAnsi"/>
          <w:b/>
          <w:color w:val="006600"/>
        </w:rPr>
        <w:t>Impact of in-service teacher training</w:t>
      </w:r>
      <w:r w:rsidRPr="00045BB9">
        <w:rPr>
          <w:rFonts w:asciiTheme="minorHAnsi" w:hAnsiTheme="minorHAnsi" w:cstheme="minorHAnsi"/>
        </w:rPr>
        <w:t xml:space="preserve"> – </w:t>
      </w:r>
      <w:r w:rsidR="00045BB9" w:rsidRPr="00045BB9">
        <w:rPr>
          <w:rFonts w:asciiTheme="minorHAnsi" w:hAnsiTheme="minorHAnsi" w:cstheme="minorHAnsi"/>
        </w:rPr>
        <w:t>(a) Q</w:t>
      </w:r>
      <w:r w:rsidRPr="00045BB9">
        <w:rPr>
          <w:rFonts w:asciiTheme="minorHAnsi" w:hAnsiTheme="minorHAnsi" w:cstheme="minorHAnsi"/>
        </w:rPr>
        <w:t xml:space="preserve">uality of designing the training, </w:t>
      </w:r>
      <w:r w:rsidR="00045BB9" w:rsidRPr="00045BB9">
        <w:rPr>
          <w:rFonts w:asciiTheme="minorHAnsi" w:hAnsiTheme="minorHAnsi" w:cstheme="minorHAnsi"/>
        </w:rPr>
        <w:t>(b). Delivery</w:t>
      </w:r>
      <w:r w:rsidRPr="00045BB9">
        <w:rPr>
          <w:rFonts w:asciiTheme="minorHAnsi" w:hAnsiTheme="minorHAnsi" w:cstheme="minorHAnsi"/>
        </w:rPr>
        <w:t xml:space="preserve"> of the training, and </w:t>
      </w:r>
      <w:r w:rsidR="00045BB9" w:rsidRPr="00045BB9">
        <w:rPr>
          <w:rFonts w:asciiTheme="minorHAnsi" w:hAnsiTheme="minorHAnsi" w:cstheme="minorHAnsi"/>
        </w:rPr>
        <w:t>(c). T</w:t>
      </w:r>
      <w:r w:rsidRPr="00045BB9">
        <w:rPr>
          <w:rFonts w:asciiTheme="minorHAnsi" w:hAnsiTheme="minorHAnsi" w:cstheme="minorHAnsi"/>
        </w:rPr>
        <w:t>he impact of training in classroom practices;</w:t>
      </w:r>
    </w:p>
    <w:p w:rsidR="00F30B77" w:rsidRPr="005F120D" w:rsidRDefault="00F30B77" w:rsidP="00D32FEC">
      <w:pPr>
        <w:spacing w:before="120" w:after="120"/>
        <w:ind w:left="720"/>
        <w:jc w:val="both"/>
        <w:rPr>
          <w:rFonts w:asciiTheme="minorHAnsi" w:hAnsiTheme="minorHAnsi" w:cstheme="minorHAnsi"/>
        </w:rPr>
      </w:pPr>
      <w:r w:rsidRPr="00045BB9">
        <w:rPr>
          <w:rFonts w:asciiTheme="minorHAnsi" w:hAnsiTheme="minorHAnsi" w:cstheme="minorHAnsi"/>
          <w:b/>
          <w:color w:val="006600"/>
        </w:rPr>
        <w:t>Outline:</w:t>
      </w:r>
      <w:r w:rsidRPr="00045BB9">
        <w:rPr>
          <w:rFonts w:asciiTheme="minorHAnsi" w:hAnsiTheme="minorHAnsi" w:cstheme="minorHAnsi"/>
        </w:rPr>
        <w:t xml:space="preserve"> PEDP3 harmonizes the provision of continuous professional</w:t>
      </w:r>
      <w:r w:rsidRPr="005F120D">
        <w:rPr>
          <w:rFonts w:asciiTheme="minorHAnsi" w:hAnsiTheme="minorHAnsi" w:cstheme="minorHAnsi"/>
        </w:rPr>
        <w:t xml:space="preserve"> development of teachers and staff. The </w:t>
      </w:r>
      <w:r w:rsidR="00045BB9">
        <w:rPr>
          <w:rFonts w:asciiTheme="minorHAnsi" w:hAnsiTheme="minorHAnsi" w:cstheme="minorHAnsi"/>
        </w:rPr>
        <w:t xml:space="preserve">quality of design of the training, delivery of the training and </w:t>
      </w:r>
      <w:r w:rsidRPr="005F120D">
        <w:rPr>
          <w:rFonts w:asciiTheme="minorHAnsi" w:hAnsiTheme="minorHAnsi" w:cstheme="minorHAnsi"/>
        </w:rPr>
        <w:t xml:space="preserve">impact of in-service training is yet to be seen, particularly in the behavioral change of the more </w:t>
      </w:r>
      <w:r w:rsidRPr="005F120D">
        <w:rPr>
          <w:rFonts w:asciiTheme="minorHAnsi" w:hAnsiTheme="minorHAnsi" w:cstheme="minorHAnsi"/>
        </w:rPr>
        <w:lastRenderedPageBreak/>
        <w:t>experienced teachers in adopting new practices. The study would examine the capacity or shortcomings which need to be addressed in the remaining period of PEDP3.</w:t>
      </w:r>
    </w:p>
    <w:p w:rsidR="00F30B77" w:rsidRPr="005F120D" w:rsidRDefault="00F30B77" w:rsidP="00F30B77">
      <w:pPr>
        <w:numPr>
          <w:ilvl w:val="0"/>
          <w:numId w:val="67"/>
        </w:numPr>
        <w:spacing w:after="0"/>
        <w:contextualSpacing/>
        <w:jc w:val="both"/>
        <w:rPr>
          <w:rFonts w:asciiTheme="minorHAnsi" w:hAnsiTheme="minorHAnsi" w:cstheme="minorHAnsi"/>
        </w:rPr>
      </w:pPr>
      <w:r w:rsidRPr="00045BB9">
        <w:rPr>
          <w:rFonts w:asciiTheme="minorHAnsi" w:hAnsiTheme="minorHAnsi" w:cstheme="minorHAnsi"/>
          <w:b/>
          <w:color w:val="006600"/>
        </w:rPr>
        <w:t>Impact on Climate Changes</w:t>
      </w:r>
      <w:r w:rsidRPr="005F120D">
        <w:rPr>
          <w:rFonts w:asciiTheme="minorHAnsi" w:hAnsiTheme="minorHAnsi" w:cstheme="minorHAnsi"/>
        </w:rPr>
        <w:t xml:space="preserve"> – School Awareness on disaster, school preparedness, present practice;</w:t>
      </w:r>
    </w:p>
    <w:p w:rsidR="00F30B77" w:rsidRPr="005F120D" w:rsidRDefault="00F30B77" w:rsidP="00F30B77">
      <w:pPr>
        <w:spacing w:after="0"/>
        <w:ind w:left="720"/>
        <w:jc w:val="both"/>
        <w:rPr>
          <w:rFonts w:asciiTheme="minorHAnsi" w:hAnsiTheme="minorHAnsi" w:cstheme="minorHAnsi"/>
        </w:rPr>
      </w:pPr>
      <w:r w:rsidRPr="00045BB9">
        <w:rPr>
          <w:rFonts w:asciiTheme="minorHAnsi" w:hAnsiTheme="minorHAnsi" w:cstheme="minorHAnsi"/>
          <w:b/>
          <w:color w:val="006600"/>
        </w:rPr>
        <w:t>Outline:</w:t>
      </w:r>
      <w:r w:rsidRPr="005F120D">
        <w:rPr>
          <w:rFonts w:asciiTheme="minorHAnsi" w:hAnsiTheme="minorHAnsi" w:cstheme="minorHAnsi"/>
        </w:rPr>
        <w:t xml:space="preserve"> PEDP3 harmonizes the provision of continuous support to the schools through Emergency in Education sub-components. The study would examine the capacity of schools and identify their future needs.</w:t>
      </w:r>
    </w:p>
    <w:p w:rsidR="00F30B77" w:rsidRPr="005F120D" w:rsidRDefault="00F30B77" w:rsidP="00F30B77">
      <w:pPr>
        <w:spacing w:after="0"/>
        <w:ind w:left="720"/>
        <w:jc w:val="both"/>
        <w:rPr>
          <w:rFonts w:asciiTheme="minorHAnsi" w:hAnsiTheme="minorHAnsi" w:cstheme="minorHAnsi"/>
          <w:sz w:val="12"/>
        </w:rPr>
      </w:pPr>
    </w:p>
    <w:p w:rsidR="00F30B77" w:rsidRPr="005F120D" w:rsidRDefault="00F30B77" w:rsidP="00F30B77">
      <w:pPr>
        <w:numPr>
          <w:ilvl w:val="0"/>
          <w:numId w:val="67"/>
        </w:numPr>
        <w:spacing w:after="0"/>
        <w:contextualSpacing/>
        <w:jc w:val="both"/>
        <w:rPr>
          <w:rFonts w:asciiTheme="minorHAnsi" w:hAnsiTheme="minorHAnsi" w:cstheme="minorHAnsi"/>
        </w:rPr>
      </w:pPr>
      <w:r w:rsidRPr="00045BB9">
        <w:rPr>
          <w:rFonts w:asciiTheme="minorHAnsi" w:hAnsiTheme="minorHAnsi" w:cstheme="minorHAnsi"/>
          <w:b/>
          <w:color w:val="006600"/>
        </w:rPr>
        <w:t>Infrastructure Study</w:t>
      </w:r>
      <w:r w:rsidRPr="005F120D">
        <w:rPr>
          <w:rFonts w:asciiTheme="minorHAnsi" w:hAnsiTheme="minorHAnsi" w:cstheme="minorHAnsi"/>
        </w:rPr>
        <w:t xml:space="preserve"> – Uniform school infrastructure and classrooms;</w:t>
      </w:r>
    </w:p>
    <w:p w:rsidR="00F30B77" w:rsidRPr="005F120D" w:rsidRDefault="00F30B77" w:rsidP="00F30B77">
      <w:pPr>
        <w:spacing w:after="0"/>
        <w:ind w:left="720"/>
        <w:jc w:val="both"/>
        <w:rPr>
          <w:rFonts w:asciiTheme="minorHAnsi" w:hAnsiTheme="minorHAnsi" w:cstheme="minorHAnsi"/>
        </w:rPr>
      </w:pPr>
      <w:r w:rsidRPr="005F120D">
        <w:rPr>
          <w:rFonts w:asciiTheme="minorHAnsi" w:hAnsiTheme="minorHAnsi" w:cstheme="minorHAnsi"/>
          <w:b/>
        </w:rPr>
        <w:t>Outline:</w:t>
      </w:r>
      <w:r w:rsidRPr="005F120D">
        <w:rPr>
          <w:rFonts w:asciiTheme="minorHAnsi" w:hAnsiTheme="minorHAnsi" w:cstheme="minorHAnsi"/>
        </w:rPr>
        <w:t xml:space="preserve"> The study would examine the criteria of standard schools, size of classrooms and propose a standard design for the Primary Schools of Bangladesh.</w:t>
      </w:r>
    </w:p>
    <w:p w:rsidR="00F30B77" w:rsidRPr="005F120D" w:rsidRDefault="00F30B77" w:rsidP="00F30B77">
      <w:pPr>
        <w:spacing w:after="0"/>
        <w:ind w:left="720"/>
        <w:jc w:val="both"/>
        <w:rPr>
          <w:rFonts w:asciiTheme="minorHAnsi" w:hAnsiTheme="minorHAnsi" w:cstheme="minorHAnsi"/>
          <w:sz w:val="8"/>
        </w:rPr>
      </w:pPr>
    </w:p>
    <w:p w:rsidR="00F30B77" w:rsidRPr="005F120D" w:rsidRDefault="00F30B77" w:rsidP="00F30B77">
      <w:pPr>
        <w:numPr>
          <w:ilvl w:val="0"/>
          <w:numId w:val="67"/>
        </w:numPr>
        <w:spacing w:after="0"/>
        <w:contextualSpacing/>
        <w:jc w:val="both"/>
        <w:rPr>
          <w:rFonts w:asciiTheme="minorHAnsi" w:hAnsiTheme="minorHAnsi" w:cstheme="minorHAnsi"/>
        </w:rPr>
      </w:pPr>
      <w:r w:rsidRPr="00045BB9">
        <w:rPr>
          <w:rFonts w:asciiTheme="minorHAnsi" w:hAnsiTheme="minorHAnsi" w:cstheme="minorHAnsi"/>
          <w:b/>
          <w:color w:val="006600"/>
        </w:rPr>
        <w:t>Financing in Education:</w:t>
      </w:r>
      <w:r w:rsidRPr="005F120D">
        <w:rPr>
          <w:rFonts w:asciiTheme="minorHAnsi" w:hAnsiTheme="minorHAnsi" w:cstheme="minorHAnsi"/>
        </w:rPr>
        <w:t xml:space="preserve"> Estimating the public and private spending for each student;</w:t>
      </w:r>
    </w:p>
    <w:p w:rsidR="00F30B77" w:rsidRPr="005F120D" w:rsidRDefault="00F30B77" w:rsidP="00D32FEC">
      <w:pPr>
        <w:spacing w:before="120" w:after="120"/>
        <w:ind w:left="720"/>
        <w:jc w:val="both"/>
        <w:rPr>
          <w:rFonts w:asciiTheme="minorHAnsi" w:hAnsiTheme="minorHAnsi" w:cstheme="minorHAnsi"/>
        </w:rPr>
      </w:pPr>
      <w:r w:rsidRPr="00045BB9">
        <w:rPr>
          <w:rFonts w:asciiTheme="minorHAnsi" w:hAnsiTheme="minorHAnsi" w:cstheme="minorHAnsi"/>
          <w:b/>
          <w:color w:val="006600"/>
        </w:rPr>
        <w:t>Outline:</w:t>
      </w:r>
      <w:r w:rsidRPr="005F120D">
        <w:rPr>
          <w:rFonts w:asciiTheme="minorHAnsi" w:hAnsiTheme="minorHAnsi" w:cstheme="minorHAnsi"/>
        </w:rPr>
        <w:t xml:space="preserve"> The study would examine the private cost per student by type of school compared to public spending per student.</w:t>
      </w:r>
    </w:p>
    <w:p w:rsidR="00F30B77" w:rsidRPr="005F120D" w:rsidRDefault="00F30B77" w:rsidP="00F30B77">
      <w:pPr>
        <w:numPr>
          <w:ilvl w:val="0"/>
          <w:numId w:val="67"/>
        </w:numPr>
        <w:spacing w:after="0"/>
        <w:contextualSpacing/>
        <w:jc w:val="both"/>
        <w:rPr>
          <w:rFonts w:asciiTheme="minorHAnsi" w:hAnsiTheme="minorHAnsi" w:cstheme="minorHAnsi"/>
        </w:rPr>
      </w:pPr>
      <w:r w:rsidRPr="00045BB9">
        <w:rPr>
          <w:rFonts w:asciiTheme="minorHAnsi" w:hAnsiTheme="minorHAnsi" w:cstheme="minorHAnsi"/>
          <w:b/>
          <w:color w:val="006600"/>
        </w:rPr>
        <w:t>Household Survey to validate the APSC data</w:t>
      </w:r>
      <w:r w:rsidRPr="005F120D">
        <w:rPr>
          <w:rFonts w:asciiTheme="minorHAnsi" w:hAnsiTheme="minorHAnsi" w:cstheme="minorHAnsi"/>
        </w:rPr>
        <w:t xml:space="preserve"> – a 3</w:t>
      </w:r>
      <w:r w:rsidRPr="005F120D">
        <w:rPr>
          <w:rFonts w:asciiTheme="minorHAnsi" w:hAnsiTheme="minorHAnsi" w:cstheme="minorHAnsi"/>
          <w:vertAlign w:val="superscript"/>
        </w:rPr>
        <w:t>rd</w:t>
      </w:r>
      <w:r w:rsidRPr="005F120D">
        <w:rPr>
          <w:rFonts w:asciiTheme="minorHAnsi" w:hAnsiTheme="minorHAnsi" w:cstheme="minorHAnsi"/>
        </w:rPr>
        <w:t xml:space="preserve"> Party validation exercise may not able to prove the accuracy of APSC data: a 3</w:t>
      </w:r>
      <w:r w:rsidRPr="005F120D">
        <w:rPr>
          <w:rFonts w:asciiTheme="minorHAnsi" w:hAnsiTheme="minorHAnsi" w:cstheme="minorHAnsi"/>
          <w:vertAlign w:val="superscript"/>
        </w:rPr>
        <w:t>rd</w:t>
      </w:r>
      <w:r w:rsidRPr="005F120D">
        <w:rPr>
          <w:rFonts w:asciiTheme="minorHAnsi" w:hAnsiTheme="minorHAnsi" w:cstheme="minorHAnsi"/>
        </w:rPr>
        <w:t xml:space="preserve"> party validation can check whether school provided data through the APSC questionnaire are matching or not;</w:t>
      </w:r>
    </w:p>
    <w:p w:rsidR="00F30B77" w:rsidRPr="005F120D" w:rsidRDefault="00F30B77" w:rsidP="00F30B77">
      <w:pPr>
        <w:spacing w:after="0"/>
        <w:ind w:left="720"/>
        <w:jc w:val="both"/>
        <w:rPr>
          <w:rFonts w:asciiTheme="minorHAnsi" w:hAnsiTheme="minorHAnsi" w:cstheme="minorHAnsi"/>
        </w:rPr>
      </w:pPr>
      <w:r w:rsidRPr="005F120D">
        <w:rPr>
          <w:rFonts w:asciiTheme="minorHAnsi" w:hAnsiTheme="minorHAnsi" w:cstheme="minorHAnsi"/>
          <w:b/>
        </w:rPr>
        <w:t>Outline:</w:t>
      </w:r>
      <w:r w:rsidRPr="005F120D">
        <w:rPr>
          <w:rFonts w:asciiTheme="minorHAnsi" w:hAnsiTheme="minorHAnsi" w:cstheme="minorHAnsi"/>
        </w:rPr>
        <w:t xml:space="preserve"> This household survey would explore the actual scenario in terms of enrollment, attendance, dropout, repetition, primary completion and participation of PECE or EECE etc.</w:t>
      </w:r>
    </w:p>
    <w:p w:rsidR="00F30B77" w:rsidRPr="005F120D" w:rsidRDefault="00F30B77" w:rsidP="00F30B77">
      <w:pPr>
        <w:spacing w:after="0"/>
        <w:ind w:left="720"/>
        <w:rPr>
          <w:rFonts w:asciiTheme="minorHAnsi" w:hAnsiTheme="minorHAnsi" w:cstheme="minorHAnsi"/>
          <w:sz w:val="8"/>
        </w:rPr>
      </w:pPr>
    </w:p>
    <w:p w:rsidR="00F30B77" w:rsidRPr="00045BB9" w:rsidRDefault="00F30B77" w:rsidP="00F30B77">
      <w:pPr>
        <w:numPr>
          <w:ilvl w:val="0"/>
          <w:numId w:val="67"/>
        </w:numPr>
        <w:spacing w:after="0"/>
        <w:contextualSpacing/>
        <w:jc w:val="both"/>
        <w:rPr>
          <w:rFonts w:asciiTheme="minorHAnsi" w:hAnsiTheme="minorHAnsi" w:cstheme="minorHAnsi"/>
          <w:color w:val="006600"/>
        </w:rPr>
      </w:pPr>
      <w:r w:rsidRPr="00045BB9">
        <w:rPr>
          <w:rFonts w:asciiTheme="minorHAnsi" w:hAnsiTheme="minorHAnsi" w:cstheme="minorHAnsi"/>
          <w:b/>
          <w:color w:val="006600"/>
        </w:rPr>
        <w:t>Finding the factors that contribute to the achievement of learning outcomes as well as the correlation between NSA and PECE performance</w:t>
      </w:r>
      <w:r w:rsidRPr="00045BB9">
        <w:rPr>
          <w:rFonts w:asciiTheme="minorHAnsi" w:hAnsiTheme="minorHAnsi" w:cstheme="minorHAnsi"/>
          <w:color w:val="006600"/>
        </w:rPr>
        <w:t>.</w:t>
      </w:r>
    </w:p>
    <w:p w:rsidR="00F30B77" w:rsidRPr="005F120D" w:rsidRDefault="00F30B77" w:rsidP="00F30B77">
      <w:pPr>
        <w:spacing w:after="0"/>
        <w:ind w:left="720"/>
        <w:jc w:val="both"/>
        <w:rPr>
          <w:rFonts w:asciiTheme="minorHAnsi" w:hAnsiTheme="minorHAnsi" w:cstheme="minorHAnsi"/>
        </w:rPr>
      </w:pPr>
      <w:r w:rsidRPr="00045BB9">
        <w:rPr>
          <w:rFonts w:asciiTheme="minorHAnsi" w:hAnsiTheme="minorHAnsi" w:cstheme="minorHAnsi"/>
          <w:b/>
          <w:color w:val="006600"/>
        </w:rPr>
        <w:t>Outline:</w:t>
      </w:r>
      <w:r w:rsidRPr="005F120D">
        <w:rPr>
          <w:rFonts w:asciiTheme="minorHAnsi" w:hAnsiTheme="minorHAnsi" w:cstheme="minorHAnsi"/>
        </w:rPr>
        <w:t xml:space="preserve">  The NSA 2013 results show that there is a wide gap in students’ learning outcomes in terms of significant over- and under-achievement.  For example, around 8% of Grade 3 pupils achieved Grade 5 level competency in Bangla, while 11% of Grade 5 pupils achieved only Grade 2 level or below in Math.  The study would investigate the main factors that would explain the performance gap in terms of both high and low performers. The study might also need to examine a link between PECE participation and basic competence achievement needs.</w:t>
      </w:r>
    </w:p>
    <w:p w:rsidR="00F30B77" w:rsidRPr="005F120D" w:rsidRDefault="00F30B77" w:rsidP="00F30B77">
      <w:pPr>
        <w:spacing w:after="0"/>
        <w:rPr>
          <w:rFonts w:asciiTheme="minorHAnsi" w:hAnsiTheme="minorHAnsi" w:cstheme="minorHAnsi"/>
          <w:sz w:val="8"/>
        </w:rPr>
      </w:pPr>
    </w:p>
    <w:p w:rsidR="00F30B77" w:rsidRPr="00045BB9" w:rsidRDefault="00F30B77" w:rsidP="00F30B77">
      <w:pPr>
        <w:numPr>
          <w:ilvl w:val="0"/>
          <w:numId w:val="67"/>
        </w:numPr>
        <w:spacing w:after="0"/>
        <w:contextualSpacing/>
        <w:rPr>
          <w:rFonts w:asciiTheme="minorHAnsi" w:hAnsiTheme="minorHAnsi" w:cstheme="minorHAnsi"/>
          <w:b/>
          <w:color w:val="006600"/>
        </w:rPr>
      </w:pPr>
      <w:r w:rsidRPr="00045BB9">
        <w:rPr>
          <w:rFonts w:asciiTheme="minorHAnsi" w:hAnsiTheme="minorHAnsi" w:cstheme="minorHAnsi"/>
          <w:b/>
          <w:color w:val="006600"/>
        </w:rPr>
        <w:t>Review of Grade V PECE and EECE (transparency, incentive for school based private tuition, quality of class teaching in lower classes etc)</w:t>
      </w:r>
    </w:p>
    <w:p w:rsidR="00F30B77" w:rsidRPr="005F120D" w:rsidRDefault="00F30B77" w:rsidP="00F30B77">
      <w:pPr>
        <w:spacing w:after="0"/>
        <w:ind w:left="720"/>
        <w:jc w:val="both"/>
        <w:rPr>
          <w:rFonts w:asciiTheme="minorHAnsi" w:hAnsiTheme="minorHAnsi" w:cstheme="minorHAnsi"/>
        </w:rPr>
      </w:pPr>
      <w:r w:rsidRPr="00045BB9">
        <w:rPr>
          <w:rFonts w:asciiTheme="minorHAnsi" w:hAnsiTheme="minorHAnsi" w:cstheme="minorHAnsi"/>
          <w:b/>
          <w:color w:val="006600"/>
        </w:rPr>
        <w:t>Outline:</w:t>
      </w:r>
      <w:r w:rsidRPr="005F120D">
        <w:rPr>
          <w:rFonts w:asciiTheme="minorHAnsi" w:hAnsiTheme="minorHAnsi" w:cstheme="minorHAnsi"/>
        </w:rPr>
        <w:t xml:space="preserve"> The pass rate of PECE has been increasing in recent years.  But it is uncertain what happens to students, who did not succeed in the exam, as well as those who are eligible but did not appear at the exam.  The study would examine whether these students dropped out or repeated Grade 5 including other determining factors.</w:t>
      </w:r>
    </w:p>
    <w:p w:rsidR="00F30B77" w:rsidRPr="00045BB9" w:rsidRDefault="00F30B77" w:rsidP="00F30B77">
      <w:pPr>
        <w:numPr>
          <w:ilvl w:val="0"/>
          <w:numId w:val="67"/>
        </w:numPr>
        <w:spacing w:after="0"/>
        <w:contextualSpacing/>
        <w:jc w:val="both"/>
        <w:rPr>
          <w:rFonts w:asciiTheme="minorHAnsi" w:hAnsiTheme="minorHAnsi" w:cstheme="minorHAnsi"/>
          <w:b/>
          <w:color w:val="006600"/>
        </w:rPr>
      </w:pPr>
      <w:r w:rsidRPr="00045BB9">
        <w:rPr>
          <w:rFonts w:asciiTheme="minorHAnsi" w:hAnsiTheme="minorHAnsi" w:cstheme="minorHAnsi"/>
          <w:b/>
          <w:color w:val="006600"/>
        </w:rPr>
        <w:t xml:space="preserve">The impact of KG schools on enrolment and student performance </w:t>
      </w:r>
    </w:p>
    <w:p w:rsidR="00F30B77" w:rsidRPr="005F120D" w:rsidRDefault="00F30B77" w:rsidP="00D32FEC">
      <w:pPr>
        <w:spacing w:before="120" w:after="120"/>
        <w:ind w:left="720"/>
        <w:jc w:val="both"/>
        <w:rPr>
          <w:rFonts w:asciiTheme="minorHAnsi" w:hAnsiTheme="minorHAnsi" w:cstheme="minorHAnsi"/>
          <w:color w:val="FF0000"/>
        </w:rPr>
      </w:pPr>
      <w:r w:rsidRPr="00045BB9">
        <w:rPr>
          <w:rFonts w:asciiTheme="minorHAnsi" w:hAnsiTheme="minorHAnsi" w:cstheme="minorHAnsi"/>
          <w:b/>
          <w:color w:val="006600"/>
        </w:rPr>
        <w:t>Outline:</w:t>
      </w:r>
      <w:r w:rsidRPr="005F120D">
        <w:rPr>
          <w:rFonts w:asciiTheme="minorHAnsi" w:hAnsiTheme="minorHAnsi" w:cstheme="minorHAnsi"/>
        </w:rPr>
        <w:t xml:space="preserve"> A large number of KG schools are currently providing primary education throughout the country. These schools charge high tuition fees, but it is unclear how far the education imparted by them is up to standard. Therefore, a study is needed to find the relationship between KG school growth and student performance in Bangladesh’s primary schools</w:t>
      </w:r>
      <w:r w:rsidRPr="005F120D">
        <w:rPr>
          <w:rFonts w:asciiTheme="minorHAnsi" w:hAnsiTheme="minorHAnsi" w:cstheme="minorHAnsi"/>
          <w:color w:val="FF0000"/>
        </w:rPr>
        <w:t>.</w:t>
      </w:r>
    </w:p>
    <w:p w:rsidR="00F30B77" w:rsidRPr="00045BB9" w:rsidRDefault="00F30B77" w:rsidP="00F30B77">
      <w:pPr>
        <w:numPr>
          <w:ilvl w:val="0"/>
          <w:numId w:val="67"/>
        </w:numPr>
        <w:spacing w:after="0"/>
        <w:contextualSpacing/>
        <w:jc w:val="both"/>
        <w:rPr>
          <w:rFonts w:asciiTheme="minorHAnsi" w:hAnsiTheme="minorHAnsi" w:cstheme="minorHAnsi"/>
          <w:b/>
          <w:color w:val="006600"/>
        </w:rPr>
      </w:pPr>
      <w:r w:rsidRPr="00045BB9">
        <w:rPr>
          <w:rFonts w:asciiTheme="minorHAnsi" w:hAnsiTheme="minorHAnsi" w:cstheme="minorHAnsi"/>
          <w:b/>
          <w:color w:val="006600"/>
        </w:rPr>
        <w:t>Governance of Schools, SMC and Upazila</w:t>
      </w:r>
    </w:p>
    <w:p w:rsidR="00F30B77" w:rsidRPr="005F120D" w:rsidRDefault="00F30B77" w:rsidP="00D32FEC">
      <w:pPr>
        <w:spacing w:before="120" w:after="120"/>
        <w:ind w:left="720"/>
        <w:jc w:val="both"/>
        <w:rPr>
          <w:rFonts w:asciiTheme="minorHAnsi" w:hAnsiTheme="minorHAnsi" w:cstheme="minorHAnsi"/>
        </w:rPr>
      </w:pPr>
      <w:r w:rsidRPr="00045BB9">
        <w:rPr>
          <w:rFonts w:asciiTheme="minorHAnsi" w:hAnsiTheme="minorHAnsi" w:cstheme="minorHAnsi"/>
          <w:b/>
          <w:color w:val="006600"/>
        </w:rPr>
        <w:t>Outline:</w:t>
      </w:r>
      <w:r w:rsidRPr="005F120D">
        <w:rPr>
          <w:rFonts w:asciiTheme="minorHAnsi" w:hAnsiTheme="minorHAnsi" w:cstheme="minorHAnsi"/>
          <w:b/>
        </w:rPr>
        <w:t xml:space="preserve"> </w:t>
      </w:r>
      <w:r w:rsidRPr="005F120D">
        <w:rPr>
          <w:rFonts w:asciiTheme="minorHAnsi" w:hAnsiTheme="minorHAnsi" w:cstheme="minorHAnsi"/>
        </w:rPr>
        <w:t>Identify the accountability mechanisms and show practices at the local level etc.</w:t>
      </w:r>
    </w:p>
    <w:p w:rsidR="00F30B77" w:rsidRPr="00045BB9" w:rsidRDefault="00F30B77" w:rsidP="00F30B77">
      <w:pPr>
        <w:numPr>
          <w:ilvl w:val="0"/>
          <w:numId w:val="67"/>
        </w:numPr>
        <w:spacing w:after="0"/>
        <w:contextualSpacing/>
        <w:jc w:val="both"/>
        <w:rPr>
          <w:rFonts w:asciiTheme="minorHAnsi" w:hAnsiTheme="minorHAnsi" w:cstheme="minorHAnsi"/>
          <w:b/>
          <w:color w:val="006600"/>
        </w:rPr>
      </w:pPr>
      <w:r w:rsidRPr="00045BB9">
        <w:rPr>
          <w:rFonts w:asciiTheme="minorHAnsi" w:hAnsiTheme="minorHAnsi" w:cstheme="minorHAnsi"/>
          <w:b/>
          <w:color w:val="006600"/>
        </w:rPr>
        <w:t xml:space="preserve">Quality of school inspection process </w:t>
      </w:r>
    </w:p>
    <w:p w:rsidR="007C0162" w:rsidRPr="005F120D" w:rsidRDefault="00F30B77" w:rsidP="00F30B77">
      <w:pPr>
        <w:pStyle w:val="ListParagraph"/>
        <w:numPr>
          <w:ilvl w:val="0"/>
          <w:numId w:val="0"/>
        </w:numPr>
        <w:spacing w:after="0"/>
        <w:ind w:left="720"/>
        <w:jc w:val="both"/>
        <w:rPr>
          <w:rFonts w:asciiTheme="minorHAnsi" w:hAnsiTheme="minorHAnsi" w:cstheme="minorHAnsi"/>
        </w:rPr>
      </w:pPr>
      <w:r w:rsidRPr="00045BB9">
        <w:rPr>
          <w:rFonts w:asciiTheme="minorHAnsi" w:hAnsiTheme="minorHAnsi" w:cstheme="minorHAnsi"/>
          <w:b/>
          <w:color w:val="006600"/>
        </w:rPr>
        <w:t>Outline</w:t>
      </w:r>
      <w:r w:rsidRPr="005F120D">
        <w:rPr>
          <w:rFonts w:asciiTheme="minorHAnsi" w:hAnsiTheme="minorHAnsi" w:cstheme="minorHAnsi"/>
          <w:b/>
        </w:rPr>
        <w:t>:</w:t>
      </w:r>
      <w:r w:rsidR="00045BB9">
        <w:rPr>
          <w:rFonts w:asciiTheme="minorHAnsi" w:hAnsiTheme="minorHAnsi" w:cstheme="minorHAnsi"/>
          <w:b/>
        </w:rPr>
        <w:t xml:space="preserve"> </w:t>
      </w:r>
      <w:r w:rsidRPr="005F120D">
        <w:rPr>
          <w:rFonts w:asciiTheme="minorHAnsi" w:eastAsia="Times New Roman" w:hAnsiTheme="minorHAnsi" w:cstheme="minorHAnsi"/>
        </w:rPr>
        <w:t xml:space="preserve">Identify the impact of School Inspection, feedback mechanism, and action against the visiting inspector’s recommendation at different levels </w:t>
      </w:r>
      <w:r w:rsidR="00594038" w:rsidRPr="005F120D">
        <w:rPr>
          <w:rFonts w:asciiTheme="minorHAnsi" w:eastAsia="Times New Roman" w:hAnsiTheme="minorHAnsi" w:cstheme="minorHAnsi"/>
        </w:rPr>
        <w:t>etc.</w:t>
      </w:r>
    </w:p>
    <w:p w:rsidR="001568D1" w:rsidRPr="005F120D" w:rsidRDefault="006A14F7" w:rsidP="00C437AA">
      <w:pPr>
        <w:pStyle w:val="Heading2"/>
        <w:spacing w:line="276" w:lineRule="auto"/>
        <w:rPr>
          <w:rFonts w:cstheme="minorHAnsi"/>
        </w:rPr>
      </w:pPr>
      <w:bookmarkStart w:id="618" w:name="_Toc338856199"/>
      <w:bookmarkStart w:id="619" w:name="_Toc385242136"/>
      <w:bookmarkStart w:id="620" w:name="_Toc385245766"/>
      <w:bookmarkStart w:id="621" w:name="_Toc385419531"/>
      <w:bookmarkStart w:id="622" w:name="_Toc387926506"/>
      <w:bookmarkStart w:id="623" w:name="_Toc462837202"/>
      <w:r w:rsidRPr="005F120D">
        <w:rPr>
          <w:rFonts w:cstheme="minorHAnsi"/>
        </w:rPr>
        <w:lastRenderedPageBreak/>
        <w:t>Data issues and suggested action</w:t>
      </w:r>
      <w:bookmarkEnd w:id="618"/>
      <w:bookmarkEnd w:id="619"/>
      <w:bookmarkEnd w:id="620"/>
      <w:bookmarkEnd w:id="621"/>
      <w:bookmarkEnd w:id="622"/>
      <w:r w:rsidR="00911929" w:rsidRPr="005F120D">
        <w:rPr>
          <w:rFonts w:cstheme="minorHAnsi"/>
        </w:rPr>
        <w:t>s</w:t>
      </w:r>
      <w:bookmarkEnd w:id="623"/>
    </w:p>
    <w:p w:rsidR="00F30B77" w:rsidRPr="005F120D" w:rsidRDefault="00F30B77" w:rsidP="00F30B77">
      <w:pPr>
        <w:pStyle w:val="BodyText1"/>
        <w:spacing w:before="120" w:after="120"/>
        <w:rPr>
          <w:rFonts w:asciiTheme="minorHAnsi" w:hAnsiTheme="minorHAnsi" w:cstheme="minorHAnsi"/>
          <w:b w:val="0"/>
          <w:color w:val="000000"/>
        </w:rPr>
      </w:pPr>
      <w:r w:rsidRPr="005F120D">
        <w:rPr>
          <w:rFonts w:asciiTheme="minorHAnsi" w:hAnsiTheme="minorHAnsi" w:cstheme="minorHAnsi"/>
          <w:b w:val="0"/>
          <w:color w:val="000000"/>
        </w:rPr>
        <w:t>The following are the main findings, which emerged from the 2016 ASPR:</w:t>
      </w:r>
    </w:p>
    <w:p w:rsidR="00F30B77" w:rsidRPr="005F120D" w:rsidRDefault="00F30B77" w:rsidP="00D32FEC">
      <w:pPr>
        <w:numPr>
          <w:ilvl w:val="0"/>
          <w:numId w:val="116"/>
        </w:numPr>
        <w:spacing w:before="120" w:after="120"/>
        <w:contextualSpacing/>
        <w:jc w:val="both"/>
        <w:rPr>
          <w:rFonts w:asciiTheme="minorHAnsi" w:hAnsiTheme="minorHAnsi" w:cstheme="minorHAnsi"/>
        </w:rPr>
      </w:pPr>
      <w:r w:rsidRPr="005F120D">
        <w:rPr>
          <w:rFonts w:asciiTheme="minorHAnsi" w:hAnsiTheme="minorHAnsi" w:cstheme="minorHAnsi"/>
          <w:i/>
        </w:rPr>
        <w:t>Addressing low participation rates:</w:t>
      </w:r>
      <w:r w:rsidRPr="005F120D">
        <w:rPr>
          <w:rFonts w:asciiTheme="minorHAnsi" w:hAnsiTheme="minorHAnsi" w:cstheme="minorHAnsi"/>
        </w:rPr>
        <w:t xml:space="preserve"> PEDP3 has identified specific demand- and supply-side strategies for improving participation and reducing disparities (Component 2). It is important that these interventions are targeted at primary school aged children who are most likely to be out of school based on the evidence in this report and other studies (EHS, Population Census, Education Watch and MICS). For example, specific strategies may be needed to target the participation of different groups of out-of-school children, both those who live in the poorer households and those who live in particular </w:t>
      </w:r>
      <w:r w:rsidRPr="005F120D">
        <w:rPr>
          <w:rFonts w:asciiTheme="minorHAnsi" w:hAnsiTheme="minorHAnsi" w:cstheme="minorHAnsi"/>
          <w:i/>
        </w:rPr>
        <w:t>Upazilas</w:t>
      </w:r>
      <w:r w:rsidRPr="005F120D">
        <w:rPr>
          <w:rFonts w:asciiTheme="minorHAnsi" w:hAnsiTheme="minorHAnsi" w:cstheme="minorHAnsi"/>
        </w:rPr>
        <w:t xml:space="preserve"> in the eastern belt;</w:t>
      </w:r>
    </w:p>
    <w:p w:rsidR="00F30B77" w:rsidRPr="005F120D" w:rsidRDefault="00F30B77" w:rsidP="00F30B77">
      <w:pPr>
        <w:numPr>
          <w:ilvl w:val="0"/>
          <w:numId w:val="116"/>
        </w:numPr>
        <w:spacing w:after="200"/>
        <w:contextualSpacing/>
        <w:jc w:val="both"/>
        <w:rPr>
          <w:rFonts w:asciiTheme="minorHAnsi" w:hAnsiTheme="minorHAnsi" w:cstheme="minorHAnsi"/>
        </w:rPr>
      </w:pPr>
      <w:r w:rsidRPr="005F120D">
        <w:rPr>
          <w:rFonts w:asciiTheme="minorHAnsi" w:hAnsiTheme="minorHAnsi" w:cstheme="minorHAnsi"/>
        </w:rPr>
        <w:t>The lower school participation of boys compared to girls in the economically</w:t>
      </w:r>
      <w:r w:rsidRPr="005F120D">
        <w:rPr>
          <w:rFonts w:asciiTheme="minorHAnsi" w:hAnsiTheme="minorHAnsi" w:cstheme="minorHAnsi"/>
          <w:color w:val="000000"/>
        </w:rPr>
        <w:t xml:space="preserve"> prosperous belt of Bangladesh suggests that there may be demand-side issues (e.g. greater industrial demand for child workers) that are holding boys behind relative to girls. Some evidence of this was gathered in the </w:t>
      </w:r>
      <w:r w:rsidRPr="005F120D">
        <w:rPr>
          <w:rFonts w:asciiTheme="minorHAnsi" w:hAnsiTheme="minorHAnsi" w:cstheme="minorHAnsi"/>
        </w:rPr>
        <w:t xml:space="preserve">Out-of-School Children </w:t>
      </w:r>
      <w:r w:rsidRPr="005F120D">
        <w:rPr>
          <w:rFonts w:asciiTheme="minorHAnsi" w:hAnsiTheme="minorHAnsi" w:cstheme="minorHAnsi"/>
          <w:color w:val="000000"/>
        </w:rPr>
        <w:t>reports, but more detailed follow-up work or a new study is needed;</w:t>
      </w:r>
    </w:p>
    <w:p w:rsidR="00F30B77" w:rsidRPr="005F120D" w:rsidRDefault="00F30B77" w:rsidP="00F30B77">
      <w:pPr>
        <w:numPr>
          <w:ilvl w:val="0"/>
          <w:numId w:val="116"/>
        </w:numPr>
        <w:spacing w:before="240"/>
        <w:contextualSpacing/>
        <w:jc w:val="both"/>
        <w:rPr>
          <w:rFonts w:asciiTheme="minorHAnsi" w:hAnsiTheme="minorHAnsi" w:cstheme="minorHAnsi"/>
        </w:rPr>
      </w:pPr>
      <w:r w:rsidRPr="005F120D">
        <w:rPr>
          <w:rFonts w:asciiTheme="minorHAnsi" w:hAnsiTheme="minorHAnsi" w:cstheme="minorHAnsi"/>
          <w:i/>
          <w:color w:val="000000"/>
        </w:rPr>
        <w:t>Targeting the group of children who are working below their grade level in Bangla and Mathematics:</w:t>
      </w:r>
      <w:r w:rsidRPr="005F120D">
        <w:rPr>
          <w:rFonts w:asciiTheme="minorHAnsi" w:hAnsiTheme="minorHAnsi" w:cstheme="minorHAnsi"/>
          <w:color w:val="000000"/>
        </w:rPr>
        <w:t xml:space="preserve"> PEDP3 Component 1 covers multiple interventions designed to strengthen teaching and learning including school- and classroom-based assessment. The design and roll-out of these interventions need to take account of the substantial proportion of children who have already fallen behind their grade level in Bangla and Mathematics. Children in NNPS are more likely to be behind than their peers in GPS. Providing a clear program of support to this group of children to enable them to ‘catch up’ should be a high priority of DPE;</w:t>
      </w:r>
    </w:p>
    <w:p w:rsidR="00F30B77" w:rsidRPr="005F120D" w:rsidRDefault="00F30B77" w:rsidP="00F30B77">
      <w:pPr>
        <w:numPr>
          <w:ilvl w:val="0"/>
          <w:numId w:val="116"/>
        </w:numPr>
        <w:spacing w:after="200"/>
        <w:contextualSpacing/>
        <w:jc w:val="both"/>
        <w:rPr>
          <w:rFonts w:asciiTheme="minorHAnsi" w:hAnsiTheme="minorHAnsi" w:cstheme="minorHAnsi"/>
          <w:color w:val="000000"/>
        </w:rPr>
      </w:pPr>
      <w:r w:rsidRPr="005F120D">
        <w:rPr>
          <w:rFonts w:asciiTheme="minorHAnsi" w:hAnsiTheme="minorHAnsi" w:cstheme="minorHAnsi"/>
          <w:color w:val="000000"/>
        </w:rPr>
        <w:t>What are the reasons for the far lower participation rate in the Grade 5</w:t>
      </w:r>
      <w:r w:rsidR="00045BB9">
        <w:rPr>
          <w:rFonts w:asciiTheme="minorHAnsi" w:hAnsiTheme="minorHAnsi" w:cstheme="minorHAnsi"/>
          <w:color w:val="000000"/>
        </w:rPr>
        <w:t xml:space="preserve"> PECE for students of Madrasha</w:t>
      </w:r>
      <w:r w:rsidRPr="005F120D">
        <w:rPr>
          <w:rFonts w:asciiTheme="minorHAnsi" w:hAnsiTheme="minorHAnsi" w:cstheme="minorHAnsi"/>
          <w:color w:val="000000"/>
        </w:rPr>
        <w:t>, at 86% compared to 96% in all other schools? What is the actual cause for the dropout rate from the DR list?</w:t>
      </w:r>
    </w:p>
    <w:p w:rsidR="00F30B77" w:rsidRPr="005F120D" w:rsidRDefault="00F30B77" w:rsidP="00F30B77">
      <w:pPr>
        <w:numPr>
          <w:ilvl w:val="0"/>
          <w:numId w:val="116"/>
        </w:numPr>
        <w:spacing w:after="200"/>
        <w:contextualSpacing/>
        <w:jc w:val="both"/>
        <w:rPr>
          <w:rFonts w:asciiTheme="minorHAnsi" w:hAnsiTheme="minorHAnsi" w:cstheme="minorHAnsi"/>
          <w:color w:val="000000"/>
        </w:rPr>
      </w:pPr>
      <w:r w:rsidRPr="005F120D">
        <w:rPr>
          <w:rFonts w:asciiTheme="minorHAnsi" w:hAnsiTheme="minorHAnsi" w:cstheme="minorHAnsi"/>
          <w:color w:val="000000"/>
        </w:rPr>
        <w:t>In the context of very high pass rates in the Grade 5 PECE, the link between PECE participation and basic competence achievement needs to be documented.</w:t>
      </w:r>
    </w:p>
    <w:p w:rsidR="00F30B77" w:rsidRPr="005F120D" w:rsidRDefault="00F30B77" w:rsidP="00F30B77">
      <w:pPr>
        <w:numPr>
          <w:ilvl w:val="0"/>
          <w:numId w:val="116"/>
        </w:numPr>
        <w:spacing w:after="200"/>
        <w:contextualSpacing/>
        <w:jc w:val="both"/>
        <w:rPr>
          <w:rFonts w:asciiTheme="minorHAnsi" w:hAnsiTheme="minorHAnsi" w:cstheme="minorHAnsi"/>
          <w:color w:val="000000"/>
        </w:rPr>
      </w:pPr>
      <w:r w:rsidRPr="005F120D">
        <w:rPr>
          <w:rFonts w:asciiTheme="minorHAnsi" w:hAnsiTheme="minorHAnsi" w:cstheme="minorHAnsi"/>
          <w:color w:val="000000"/>
        </w:rPr>
        <w:t>With regard to the teaching workforce, there appears to be a long-term trend in the smaller percentages of females receiving various types of training compared to males. Further analysis is necessary to discover the cause(s) of the disparities in order that they can be addressed.</w:t>
      </w:r>
    </w:p>
    <w:p w:rsidR="00F30B77" w:rsidRPr="005F120D" w:rsidRDefault="00F30B77" w:rsidP="00F30B77">
      <w:pPr>
        <w:numPr>
          <w:ilvl w:val="0"/>
          <w:numId w:val="116"/>
        </w:numPr>
        <w:spacing w:before="240"/>
        <w:contextualSpacing/>
        <w:jc w:val="both"/>
        <w:rPr>
          <w:rFonts w:asciiTheme="minorHAnsi" w:hAnsiTheme="minorHAnsi" w:cstheme="minorHAnsi"/>
          <w:color w:val="000000"/>
        </w:rPr>
      </w:pPr>
      <w:r w:rsidRPr="005F120D">
        <w:rPr>
          <w:rFonts w:asciiTheme="minorHAnsi" w:hAnsiTheme="minorHAnsi" w:cstheme="minorHAnsi"/>
        </w:rPr>
        <w:t xml:space="preserve">Better management and accountability, required in the local level especially in schools and </w:t>
      </w:r>
      <w:r w:rsidR="00045BB9" w:rsidRPr="005F120D">
        <w:rPr>
          <w:rFonts w:asciiTheme="minorHAnsi" w:hAnsiTheme="minorHAnsi" w:cstheme="minorHAnsi"/>
        </w:rPr>
        <w:t>Upazilas</w:t>
      </w:r>
      <w:r w:rsidRPr="005F120D">
        <w:rPr>
          <w:rFonts w:asciiTheme="minorHAnsi" w:hAnsiTheme="minorHAnsi" w:cstheme="minorHAnsi"/>
        </w:rPr>
        <w:t>, should result in the reduction of disparities. The SMCs and the SLIP program will receive greater support from PEDP3 but monitoring is absent. Field staff will have greater responsibility for monitoring the use of resources and accountability for results through the SLIP plan. Training and help in APSC data collection will be important.</w:t>
      </w:r>
    </w:p>
    <w:p w:rsidR="00F30B77" w:rsidRPr="005F120D" w:rsidRDefault="00F30B77" w:rsidP="00F30B77">
      <w:pPr>
        <w:spacing w:before="120" w:after="120"/>
        <w:jc w:val="both"/>
        <w:rPr>
          <w:rFonts w:asciiTheme="minorHAnsi" w:hAnsiTheme="minorHAnsi" w:cstheme="minorHAnsi"/>
          <w:szCs w:val="22"/>
        </w:rPr>
      </w:pPr>
    </w:p>
    <w:p w:rsidR="00F30B77" w:rsidRPr="005F120D" w:rsidRDefault="00F30B77" w:rsidP="00F30B77">
      <w:pPr>
        <w:spacing w:before="120" w:after="120"/>
        <w:jc w:val="both"/>
        <w:rPr>
          <w:rFonts w:asciiTheme="minorHAnsi" w:hAnsiTheme="minorHAnsi" w:cstheme="minorHAnsi"/>
          <w:szCs w:val="22"/>
        </w:rPr>
      </w:pPr>
      <w:r w:rsidRPr="005F120D">
        <w:rPr>
          <w:rFonts w:asciiTheme="minorHAnsi" w:hAnsiTheme="minorHAnsi" w:cstheme="minorHAnsi"/>
          <w:szCs w:val="22"/>
        </w:rPr>
        <w:t>Some underlying issues were identified in earlier ASPRs and are still valid. Some imply a continuation of existing strategies, while others imply that further work is needed in order to understand them and assist in determining necessary actions. These include the following:</w:t>
      </w:r>
    </w:p>
    <w:p w:rsidR="00F30B77" w:rsidRPr="005F120D" w:rsidRDefault="00F30B77" w:rsidP="00F30B77">
      <w:pPr>
        <w:numPr>
          <w:ilvl w:val="0"/>
          <w:numId w:val="47"/>
        </w:numPr>
        <w:spacing w:before="240"/>
        <w:contextualSpacing/>
        <w:rPr>
          <w:rFonts w:asciiTheme="minorHAnsi" w:hAnsiTheme="minorHAnsi" w:cstheme="minorHAnsi"/>
        </w:rPr>
      </w:pPr>
      <w:r w:rsidRPr="005F120D">
        <w:rPr>
          <w:rFonts w:asciiTheme="minorHAnsi" w:hAnsiTheme="minorHAnsi" w:cstheme="minorHAnsi"/>
        </w:rPr>
        <w:t xml:space="preserve">Some GPSs are currently not functioning due to school physical facilities damaged by river course change, or river erosion, or other administrative reasons.  A policy decision is required about the inclusion of the nonfunctioning GPS in the APSC dataset.  </w:t>
      </w:r>
    </w:p>
    <w:p w:rsidR="00F30B77" w:rsidRPr="005F120D" w:rsidRDefault="00F30B77" w:rsidP="00F30B77">
      <w:pPr>
        <w:numPr>
          <w:ilvl w:val="0"/>
          <w:numId w:val="47"/>
        </w:numPr>
        <w:spacing w:before="120" w:after="120"/>
        <w:contextualSpacing/>
        <w:jc w:val="both"/>
        <w:rPr>
          <w:rFonts w:asciiTheme="minorHAnsi" w:hAnsiTheme="minorHAnsi" w:cstheme="minorHAnsi"/>
        </w:rPr>
      </w:pPr>
      <w:r w:rsidRPr="005F120D">
        <w:rPr>
          <w:rFonts w:asciiTheme="minorHAnsi" w:hAnsiTheme="minorHAnsi" w:cstheme="minorHAnsi"/>
        </w:rPr>
        <w:t xml:space="preserve">The large differences in the estimates of key indicators derived from the APSC and household survey sources need to be better analyzed. Both measures of coverage (for example, Out-of-School children, NER vs. NAR) and internal efficiency (repetition, dropout, survival rates, etc.) </w:t>
      </w:r>
      <w:r w:rsidRPr="005F120D">
        <w:rPr>
          <w:rFonts w:asciiTheme="minorHAnsi" w:hAnsiTheme="minorHAnsi" w:cstheme="minorHAnsi"/>
        </w:rPr>
        <w:lastRenderedPageBreak/>
        <w:t xml:space="preserve">differ considerably between the two types of sources. A systematic review of the existing evidence and targeted follow-up work should be considered a priority. </w:t>
      </w:r>
    </w:p>
    <w:p w:rsidR="00F30B77" w:rsidRPr="005F120D" w:rsidRDefault="00F30B77" w:rsidP="00D9586F">
      <w:pPr>
        <w:numPr>
          <w:ilvl w:val="0"/>
          <w:numId w:val="47"/>
        </w:numPr>
        <w:spacing w:before="120" w:afterLines="200"/>
        <w:contextualSpacing/>
        <w:jc w:val="both"/>
        <w:rPr>
          <w:rFonts w:asciiTheme="minorHAnsi" w:hAnsiTheme="minorHAnsi" w:cstheme="minorHAnsi"/>
        </w:rPr>
      </w:pPr>
      <w:r w:rsidRPr="005F120D">
        <w:rPr>
          <w:rFonts w:asciiTheme="minorHAnsi" w:hAnsiTheme="minorHAnsi" w:cstheme="minorHAnsi"/>
        </w:rPr>
        <w:t>There are still challenges in collecting data from the school. The strategy of targeting complete institutional coverage of the APSC mitigates this to a large extent, but other institutes still collect vital data. For example, BANBEIS provides information on new entrants to secondary schools on an annual basis but it is not always possible to get this information in time for calculating transition rate between primary and secondary education. This needs to be followed up.</w:t>
      </w:r>
    </w:p>
    <w:p w:rsidR="00F30B77" w:rsidRPr="005F120D" w:rsidRDefault="00F30B77" w:rsidP="00D9586F">
      <w:pPr>
        <w:numPr>
          <w:ilvl w:val="0"/>
          <w:numId w:val="47"/>
        </w:numPr>
        <w:spacing w:before="120" w:afterLines="200"/>
        <w:contextualSpacing/>
        <w:jc w:val="both"/>
        <w:rPr>
          <w:rFonts w:asciiTheme="minorHAnsi" w:hAnsiTheme="minorHAnsi" w:cstheme="minorHAnsi"/>
        </w:rPr>
      </w:pPr>
      <w:r w:rsidRPr="005F120D">
        <w:rPr>
          <w:rFonts w:asciiTheme="minorHAnsi" w:hAnsiTheme="minorHAnsi" w:cstheme="minorHAnsi"/>
        </w:rPr>
        <w:t>The improvement in the institutional coverage of the APSC since 2012 has been a major achievement. The present APSC data are only complete enough to enable the calculation of internal efficiency statistics for GPS and NNPS. As such, the coverage of other</w:t>
      </w:r>
      <w:r w:rsidR="00045BB9">
        <w:rPr>
          <w:rFonts w:asciiTheme="minorHAnsi" w:hAnsiTheme="minorHAnsi" w:cstheme="minorHAnsi"/>
        </w:rPr>
        <w:t xml:space="preserve"> types of schools and Madrasha</w:t>
      </w:r>
      <w:r w:rsidRPr="005F120D">
        <w:rPr>
          <w:rFonts w:asciiTheme="minorHAnsi" w:hAnsiTheme="minorHAnsi" w:cstheme="minorHAnsi"/>
        </w:rPr>
        <w:t xml:space="preserve"> in the APSC e.g. KG schools, English Medium Schools, Quami</w:t>
      </w:r>
      <w:r w:rsidR="00045BB9">
        <w:rPr>
          <w:rFonts w:asciiTheme="minorHAnsi" w:hAnsiTheme="minorHAnsi" w:cstheme="minorHAnsi"/>
        </w:rPr>
        <w:t xml:space="preserve"> Madrasha</w:t>
      </w:r>
      <w:r w:rsidRPr="005F120D">
        <w:rPr>
          <w:rFonts w:asciiTheme="minorHAnsi" w:hAnsiTheme="minorHAnsi" w:cstheme="minorHAnsi"/>
        </w:rPr>
        <w:t xml:space="preserve"> etc. needs to be further improved.</w:t>
      </w:r>
    </w:p>
    <w:p w:rsidR="00F30B77" w:rsidRPr="005F120D" w:rsidRDefault="00F30B77" w:rsidP="00F30B77">
      <w:pPr>
        <w:numPr>
          <w:ilvl w:val="0"/>
          <w:numId w:val="47"/>
        </w:numPr>
        <w:spacing w:before="120" w:after="120"/>
        <w:contextualSpacing/>
        <w:jc w:val="both"/>
        <w:rPr>
          <w:rFonts w:asciiTheme="minorHAnsi" w:hAnsiTheme="minorHAnsi" w:cstheme="minorHAnsi"/>
        </w:rPr>
      </w:pPr>
      <w:r w:rsidRPr="005F120D">
        <w:rPr>
          <w:rFonts w:asciiTheme="minorHAnsi" w:hAnsiTheme="minorHAnsi" w:cstheme="minorHAnsi"/>
        </w:rPr>
        <w:t>The PECE data are an extremely useful administrative source to complement the APSC. In the past, the coding and classification of school types were not identical in the two sources, which created analytical difficulties. At present the coding system of the two data collection sources are using the same school codes. However, the school level online data input system need to be scaled up in all schools. Therefore, school level ICT facilities need to be improved.</w:t>
      </w:r>
    </w:p>
    <w:p w:rsidR="00F30B77" w:rsidRPr="005F120D" w:rsidRDefault="00F30B77" w:rsidP="00F30B77">
      <w:pPr>
        <w:pStyle w:val="Heading3NONUM"/>
        <w:spacing w:before="120" w:after="120"/>
        <w:rPr>
          <w:rFonts w:asciiTheme="minorHAnsi" w:hAnsiTheme="minorHAnsi" w:cstheme="minorHAnsi"/>
          <w:sz w:val="22"/>
          <w:szCs w:val="22"/>
        </w:rPr>
      </w:pPr>
      <w:r w:rsidRPr="005F120D">
        <w:rPr>
          <w:rFonts w:asciiTheme="minorHAnsi" w:hAnsiTheme="minorHAnsi" w:cstheme="minorHAnsi"/>
          <w:sz w:val="22"/>
          <w:szCs w:val="22"/>
        </w:rPr>
        <w:t>Summary of implications for data analysis</w:t>
      </w:r>
    </w:p>
    <w:p w:rsidR="00F30B77" w:rsidRPr="005F120D" w:rsidRDefault="00F30B77" w:rsidP="00F30B77">
      <w:pPr>
        <w:pStyle w:val="ListBullet1"/>
        <w:numPr>
          <w:ilvl w:val="0"/>
          <w:numId w:val="2"/>
        </w:numPr>
        <w:spacing w:before="120" w:after="120"/>
        <w:ind w:left="360" w:hanging="360"/>
        <w:jc w:val="both"/>
        <w:rPr>
          <w:rFonts w:asciiTheme="minorHAnsi" w:hAnsiTheme="minorHAnsi" w:cstheme="minorHAnsi"/>
          <w:szCs w:val="22"/>
        </w:rPr>
      </w:pPr>
      <w:r w:rsidRPr="005F120D">
        <w:rPr>
          <w:rFonts w:asciiTheme="minorHAnsi" w:hAnsiTheme="minorHAnsi" w:cstheme="minorHAnsi"/>
          <w:szCs w:val="22"/>
        </w:rPr>
        <w:t>The APSC questionnaire needs some adjustment considering the coding system. It is difficult to interpret some data for miss-coding, so it is necessary to revise certain codes in the questionnaire.</w:t>
      </w:r>
    </w:p>
    <w:p w:rsidR="00F30B77" w:rsidRPr="005F120D" w:rsidRDefault="00F30B77" w:rsidP="00F30B77">
      <w:pPr>
        <w:pStyle w:val="ListBullet1"/>
        <w:numPr>
          <w:ilvl w:val="0"/>
          <w:numId w:val="2"/>
        </w:numPr>
        <w:spacing w:before="120" w:after="120"/>
        <w:ind w:left="360" w:hanging="360"/>
        <w:jc w:val="both"/>
        <w:rPr>
          <w:rFonts w:asciiTheme="minorHAnsi" w:hAnsiTheme="minorHAnsi" w:cstheme="minorHAnsi"/>
          <w:szCs w:val="22"/>
        </w:rPr>
      </w:pPr>
      <w:r w:rsidRPr="005F120D">
        <w:rPr>
          <w:rFonts w:asciiTheme="minorHAnsi" w:hAnsiTheme="minorHAnsi" w:cstheme="minorHAnsi"/>
          <w:szCs w:val="22"/>
        </w:rPr>
        <w:t>School ID (EMIS code) should be identical in all the DPE survey and databases e.g. APSC, PECE, PEPMIS, Teacher database and Book Distribution.</w:t>
      </w:r>
    </w:p>
    <w:p w:rsidR="00F30B77" w:rsidRPr="005F120D" w:rsidRDefault="00F30B77" w:rsidP="00F30B77">
      <w:pPr>
        <w:pStyle w:val="ListBullet1"/>
        <w:numPr>
          <w:ilvl w:val="0"/>
          <w:numId w:val="2"/>
        </w:numPr>
        <w:spacing w:before="120" w:after="120"/>
        <w:ind w:left="360" w:hanging="360"/>
        <w:jc w:val="both"/>
        <w:rPr>
          <w:rFonts w:asciiTheme="minorHAnsi" w:hAnsiTheme="minorHAnsi" w:cstheme="minorHAnsi"/>
          <w:szCs w:val="22"/>
        </w:rPr>
      </w:pPr>
      <w:r w:rsidRPr="005F120D">
        <w:rPr>
          <w:rFonts w:asciiTheme="minorHAnsi" w:hAnsiTheme="minorHAnsi" w:cstheme="minorHAnsi"/>
          <w:szCs w:val="22"/>
        </w:rPr>
        <w:t xml:space="preserve">The numbers of GPS and NNPS that exist in the APSC databases have been mostly stable since 2010, which gives some confidence that the records are almost complete. </w:t>
      </w:r>
    </w:p>
    <w:p w:rsidR="00F30B77" w:rsidRPr="005F120D" w:rsidRDefault="00F30B77" w:rsidP="00F30B77">
      <w:pPr>
        <w:pStyle w:val="ListBullet1"/>
        <w:numPr>
          <w:ilvl w:val="0"/>
          <w:numId w:val="2"/>
        </w:numPr>
        <w:spacing w:before="120" w:after="120"/>
        <w:ind w:left="360" w:hanging="360"/>
        <w:jc w:val="both"/>
        <w:rPr>
          <w:rFonts w:asciiTheme="minorHAnsi" w:hAnsiTheme="minorHAnsi" w:cstheme="minorHAnsi"/>
          <w:szCs w:val="22"/>
        </w:rPr>
      </w:pPr>
      <w:r w:rsidRPr="005F120D">
        <w:rPr>
          <w:rFonts w:asciiTheme="minorHAnsi" w:hAnsiTheme="minorHAnsi" w:cstheme="minorHAnsi"/>
          <w:szCs w:val="22"/>
        </w:rPr>
        <w:t xml:space="preserve">For other types of schools, the numbers vary from year to year (in some cases by thousands). The APSC captured </w:t>
      </w:r>
      <w:r w:rsidR="00045BB9">
        <w:rPr>
          <w:rFonts w:asciiTheme="minorHAnsi" w:hAnsiTheme="minorHAnsi" w:cstheme="minorHAnsi"/>
          <w:szCs w:val="22"/>
        </w:rPr>
        <w:t>independent Ebtedayee Madrasha</w:t>
      </w:r>
      <w:r w:rsidRPr="005F120D">
        <w:rPr>
          <w:rFonts w:asciiTheme="minorHAnsi" w:hAnsiTheme="minorHAnsi" w:cstheme="minorHAnsi"/>
          <w:szCs w:val="22"/>
        </w:rPr>
        <w:t xml:space="preserve"> for the first t</w:t>
      </w:r>
      <w:r w:rsidR="00045BB9">
        <w:rPr>
          <w:rFonts w:asciiTheme="minorHAnsi" w:hAnsiTheme="minorHAnsi" w:cstheme="minorHAnsi"/>
          <w:szCs w:val="22"/>
        </w:rPr>
        <w:t>ime in 2011 and Quami Madrasha</w:t>
      </w:r>
      <w:r w:rsidRPr="005F120D">
        <w:rPr>
          <w:rFonts w:asciiTheme="minorHAnsi" w:hAnsiTheme="minorHAnsi" w:cstheme="minorHAnsi"/>
          <w:szCs w:val="22"/>
        </w:rPr>
        <w:t xml:space="preserve"> in 2015, though there was inconsistency found between PECE and APSC coverage of schools managed by other authorities. The 2015 APSC collected</w:t>
      </w:r>
      <w:r w:rsidR="00045BB9">
        <w:rPr>
          <w:rFonts w:asciiTheme="minorHAnsi" w:hAnsiTheme="minorHAnsi" w:cstheme="minorHAnsi"/>
          <w:szCs w:val="22"/>
        </w:rPr>
        <w:t xml:space="preserve"> data from 5,599 high Madrasha</w:t>
      </w:r>
      <w:r w:rsidRPr="005F120D">
        <w:rPr>
          <w:rFonts w:asciiTheme="minorHAnsi" w:hAnsiTheme="minorHAnsi" w:cstheme="minorHAnsi"/>
          <w:szCs w:val="22"/>
        </w:rPr>
        <w:t xml:space="preserve"> attached Ebtedayee whilst 9,071 participated in the PECE in the same year. It is necessary to investigate why there were differences in the coverage. In addition, the coverage could be cross-checked with book distribution database to see how m</w:t>
      </w:r>
      <w:r w:rsidR="00045BB9">
        <w:rPr>
          <w:rFonts w:asciiTheme="minorHAnsi" w:hAnsiTheme="minorHAnsi" w:cstheme="minorHAnsi"/>
          <w:szCs w:val="22"/>
        </w:rPr>
        <w:t>any Ebtedayee or High Madrasha</w:t>
      </w:r>
      <w:r w:rsidRPr="005F120D">
        <w:rPr>
          <w:rFonts w:asciiTheme="minorHAnsi" w:hAnsiTheme="minorHAnsi" w:cstheme="minorHAnsi"/>
          <w:szCs w:val="22"/>
        </w:rPr>
        <w:t xml:space="preserve"> attached Ebtedayee received textbooks, including textbooks received by other types of formal and non-formal educational institutes.   </w:t>
      </w:r>
    </w:p>
    <w:p w:rsidR="00F30B77" w:rsidRPr="005F120D" w:rsidRDefault="00F30B77" w:rsidP="00F30B77">
      <w:pPr>
        <w:pStyle w:val="ListBullet1"/>
        <w:numPr>
          <w:ilvl w:val="0"/>
          <w:numId w:val="2"/>
        </w:numPr>
        <w:spacing w:before="120" w:after="120"/>
        <w:jc w:val="both"/>
        <w:rPr>
          <w:rFonts w:asciiTheme="minorHAnsi" w:hAnsiTheme="minorHAnsi" w:cstheme="minorHAnsi"/>
        </w:rPr>
      </w:pPr>
      <w:r w:rsidRPr="005F120D">
        <w:rPr>
          <w:rFonts w:asciiTheme="minorHAnsi" w:hAnsiTheme="minorHAnsi" w:cstheme="minorHAnsi"/>
          <w:szCs w:val="22"/>
        </w:rPr>
        <w:t>Currently not many non-formal records are available, so there is no need for a separate non-formal section in ASPR. After the fully functio</w:t>
      </w:r>
      <w:r w:rsidR="00045BB9">
        <w:rPr>
          <w:rFonts w:asciiTheme="minorHAnsi" w:hAnsiTheme="minorHAnsi" w:cstheme="minorHAnsi"/>
          <w:szCs w:val="22"/>
        </w:rPr>
        <w:t>ning of the DPE-managed Second-</w:t>
      </w:r>
      <w:r w:rsidRPr="005F120D">
        <w:rPr>
          <w:rFonts w:asciiTheme="minorHAnsi" w:hAnsiTheme="minorHAnsi" w:cstheme="minorHAnsi"/>
          <w:szCs w:val="22"/>
        </w:rPr>
        <w:t>Chance Education, the progress of non-formal institutions should be included in the next ASPR</w:t>
      </w:r>
      <w:r w:rsidRPr="005F120D">
        <w:rPr>
          <w:rFonts w:asciiTheme="minorHAnsi" w:hAnsiTheme="minorHAnsi" w:cstheme="minorHAnsi"/>
        </w:rPr>
        <w:t>.</w:t>
      </w:r>
    </w:p>
    <w:p w:rsidR="005E128C" w:rsidRPr="005F120D" w:rsidRDefault="00F30B77" w:rsidP="00F30B77">
      <w:pPr>
        <w:pStyle w:val="ListBullet3"/>
        <w:spacing w:before="120" w:after="120"/>
      </w:pPr>
      <w:r w:rsidRPr="005F120D">
        <w:t>On the preparation of the Census, the cooperation and coordination that exists between the Monitoring and Evaluation Division and other relevant agencies need to be increased in order to obtain data from other institutes such as BBS, MOE/BANBEIS. These last two bodies collect data on Engli</w:t>
      </w:r>
      <w:r w:rsidR="00045BB9">
        <w:t>sh medium schools and Madrasha</w:t>
      </w:r>
      <w:r w:rsidRPr="005F120D">
        <w:t xml:space="preserve">.  The APSC’s institutional coverage </w:t>
      </w:r>
      <w:r w:rsidR="00E8048F" w:rsidRPr="005F120D">
        <w:t>was</w:t>
      </w:r>
      <w:r w:rsidRPr="005F120D">
        <w:t xml:space="preserve"> discussed in detail </w:t>
      </w:r>
      <w:r w:rsidR="00E8048F" w:rsidRPr="005F120D">
        <w:t>earlier</w:t>
      </w:r>
      <w:r w:rsidRPr="005F120D">
        <w:t xml:space="preserve"> in this report</w:t>
      </w:r>
      <w:r w:rsidR="005E128C" w:rsidRPr="005F120D">
        <w:t>.</w:t>
      </w:r>
    </w:p>
    <w:p w:rsidR="00AD32CD" w:rsidRPr="005F120D" w:rsidRDefault="002405F3" w:rsidP="00C437AA">
      <w:pPr>
        <w:pStyle w:val="Heading2"/>
        <w:spacing w:line="276" w:lineRule="auto"/>
        <w:rPr>
          <w:rFonts w:cstheme="minorHAnsi"/>
        </w:rPr>
      </w:pPr>
      <w:bookmarkStart w:id="624" w:name="_Toc338856200"/>
      <w:bookmarkStart w:id="625" w:name="_Toc462837203"/>
      <w:r w:rsidRPr="005F120D">
        <w:rPr>
          <w:rFonts w:cstheme="minorHAnsi"/>
        </w:rPr>
        <w:lastRenderedPageBreak/>
        <w:t>Conclu</w:t>
      </w:r>
      <w:bookmarkEnd w:id="624"/>
      <w:r w:rsidR="00D916E8" w:rsidRPr="005F120D">
        <w:rPr>
          <w:rFonts w:cstheme="minorHAnsi"/>
        </w:rPr>
        <w:t>sion:</w:t>
      </w:r>
      <w:bookmarkEnd w:id="625"/>
    </w:p>
    <w:p w:rsidR="00F30B77" w:rsidRPr="005F120D" w:rsidRDefault="00CA05E8" w:rsidP="00F30B77">
      <w:pPr>
        <w:spacing w:line="276" w:lineRule="auto"/>
        <w:jc w:val="both"/>
        <w:rPr>
          <w:rFonts w:asciiTheme="minorHAnsi" w:hAnsiTheme="minorHAnsi" w:cstheme="minorHAnsi"/>
        </w:rPr>
      </w:pPr>
      <w:r>
        <w:rPr>
          <w:rFonts w:asciiTheme="minorHAnsi" w:hAnsiTheme="minorHAnsi" w:cstheme="minorHAnsi"/>
        </w:rPr>
        <w:t>Since 2008, the DPE has be</w:t>
      </w:r>
      <w:r w:rsidR="00F30B77" w:rsidRPr="005F120D">
        <w:rPr>
          <w:rFonts w:asciiTheme="minorHAnsi" w:hAnsiTheme="minorHAnsi" w:cstheme="minorHAnsi"/>
        </w:rPr>
        <w:t>en producing, with the assistance of an RBM Team, the ASPR every year. Throughout this period there have been challenges both in</w:t>
      </w:r>
      <w:r w:rsidR="000C740E">
        <w:rPr>
          <w:rFonts w:asciiTheme="minorHAnsi" w:hAnsiTheme="minorHAnsi" w:cstheme="minorHAnsi"/>
        </w:rPr>
        <w:t xml:space="preserve"> data collection and analysis </w:t>
      </w:r>
      <w:r w:rsidR="00F30B77" w:rsidRPr="005F120D">
        <w:rPr>
          <w:rFonts w:asciiTheme="minorHAnsi" w:hAnsiTheme="minorHAnsi" w:cstheme="minorHAnsi"/>
        </w:rPr>
        <w:t>bas</w:t>
      </w:r>
      <w:r w:rsidR="000C740E">
        <w:rPr>
          <w:rFonts w:asciiTheme="minorHAnsi" w:hAnsiTheme="minorHAnsi" w:cstheme="minorHAnsi"/>
        </w:rPr>
        <w:t>ed on the report is generated.</w:t>
      </w:r>
      <w:r w:rsidR="00F30B77" w:rsidRPr="005F120D">
        <w:rPr>
          <w:rFonts w:asciiTheme="minorHAnsi" w:hAnsiTheme="minorHAnsi" w:cstheme="minorHAnsi"/>
        </w:rPr>
        <w:t xml:space="preserve"> There has also been ongoing difficulty in acquiring the relevant data early enough to enable the DPE to produce the ASPR in time for the JARM.</w:t>
      </w:r>
    </w:p>
    <w:p w:rsidR="00FE412F" w:rsidRDefault="00F30B77" w:rsidP="00F30B77">
      <w:pPr>
        <w:spacing w:line="276" w:lineRule="auto"/>
        <w:jc w:val="both"/>
        <w:rPr>
          <w:rFonts w:asciiTheme="minorHAnsi" w:hAnsiTheme="minorHAnsi" w:cstheme="minorHAnsi"/>
        </w:rPr>
      </w:pPr>
      <w:r w:rsidRPr="005F120D">
        <w:rPr>
          <w:rFonts w:asciiTheme="minorHAnsi" w:hAnsiTheme="minorHAnsi" w:cstheme="minorHAnsi"/>
        </w:rPr>
        <w:t>In order to improve th</w:t>
      </w:r>
      <w:r w:rsidR="008F1911">
        <w:rPr>
          <w:rFonts w:asciiTheme="minorHAnsi" w:hAnsiTheme="minorHAnsi" w:cstheme="minorHAnsi"/>
        </w:rPr>
        <w:t>e</w:t>
      </w:r>
      <w:r w:rsidRPr="005F120D">
        <w:rPr>
          <w:rFonts w:asciiTheme="minorHAnsi" w:hAnsiTheme="minorHAnsi" w:cstheme="minorHAnsi"/>
        </w:rPr>
        <w:t xml:space="preserve"> situation, the </w:t>
      </w:r>
      <w:r w:rsidR="00FE412F">
        <w:rPr>
          <w:rFonts w:asciiTheme="minorHAnsi" w:hAnsiTheme="minorHAnsi" w:cstheme="minorHAnsi"/>
        </w:rPr>
        <w:t>M&amp;E</w:t>
      </w:r>
      <w:r w:rsidR="000666EA">
        <w:rPr>
          <w:rFonts w:asciiTheme="minorHAnsi" w:hAnsiTheme="minorHAnsi" w:cstheme="minorHAnsi"/>
        </w:rPr>
        <w:t xml:space="preserve"> Division of </w:t>
      </w:r>
      <w:r w:rsidRPr="005F120D">
        <w:rPr>
          <w:rFonts w:asciiTheme="minorHAnsi" w:hAnsiTheme="minorHAnsi" w:cstheme="minorHAnsi"/>
        </w:rPr>
        <w:t xml:space="preserve">DPE </w:t>
      </w:r>
      <w:r w:rsidR="000666EA">
        <w:rPr>
          <w:rFonts w:asciiTheme="minorHAnsi" w:hAnsiTheme="minorHAnsi" w:cstheme="minorHAnsi"/>
        </w:rPr>
        <w:t>is</w:t>
      </w:r>
      <w:r w:rsidRPr="005F120D">
        <w:rPr>
          <w:rFonts w:asciiTheme="minorHAnsi" w:hAnsiTheme="minorHAnsi" w:cstheme="minorHAnsi"/>
        </w:rPr>
        <w:t xml:space="preserve"> work</w:t>
      </w:r>
      <w:r w:rsidR="000666EA">
        <w:rPr>
          <w:rFonts w:asciiTheme="minorHAnsi" w:hAnsiTheme="minorHAnsi" w:cstheme="minorHAnsi"/>
        </w:rPr>
        <w:t>ing</w:t>
      </w:r>
      <w:r w:rsidRPr="005F120D">
        <w:rPr>
          <w:rFonts w:asciiTheme="minorHAnsi" w:hAnsiTheme="minorHAnsi" w:cstheme="minorHAnsi"/>
        </w:rPr>
        <w:t xml:space="preserve"> with </w:t>
      </w:r>
      <w:r w:rsidR="000666EA">
        <w:rPr>
          <w:rFonts w:asciiTheme="minorHAnsi" w:hAnsiTheme="minorHAnsi" w:cstheme="minorHAnsi"/>
        </w:rPr>
        <w:t>DPs and AMWG</w:t>
      </w:r>
      <w:r w:rsidRPr="005F120D">
        <w:rPr>
          <w:rFonts w:asciiTheme="minorHAnsi" w:hAnsiTheme="minorHAnsi" w:cstheme="minorHAnsi"/>
        </w:rPr>
        <w:t xml:space="preserve"> to accelerate the process of producing and cleaning the data and making them available</w:t>
      </w:r>
      <w:r w:rsidR="00652646">
        <w:rPr>
          <w:rFonts w:asciiTheme="minorHAnsi" w:hAnsiTheme="minorHAnsi" w:cstheme="minorHAnsi"/>
        </w:rPr>
        <w:t>. T</w:t>
      </w:r>
      <w:r w:rsidRPr="005F120D">
        <w:rPr>
          <w:rFonts w:asciiTheme="minorHAnsi" w:hAnsiTheme="minorHAnsi" w:cstheme="minorHAnsi"/>
        </w:rPr>
        <w:t xml:space="preserve">he DPE is </w:t>
      </w:r>
      <w:r w:rsidR="00652646">
        <w:rPr>
          <w:rFonts w:asciiTheme="minorHAnsi" w:hAnsiTheme="minorHAnsi" w:cstheme="minorHAnsi"/>
        </w:rPr>
        <w:t xml:space="preserve">finding </w:t>
      </w:r>
      <w:r w:rsidRPr="005F120D">
        <w:rPr>
          <w:rFonts w:asciiTheme="minorHAnsi" w:hAnsiTheme="minorHAnsi" w:cstheme="minorHAnsi"/>
        </w:rPr>
        <w:t>a considerable way to bridge the capacity gap within the system</w:t>
      </w:r>
      <w:r w:rsidR="00CC06F0">
        <w:rPr>
          <w:rFonts w:asciiTheme="minorHAnsi" w:hAnsiTheme="minorHAnsi" w:cstheme="minorHAnsi"/>
        </w:rPr>
        <w:t>.</w:t>
      </w:r>
      <w:r w:rsidRPr="005F120D">
        <w:rPr>
          <w:rFonts w:asciiTheme="minorHAnsi" w:hAnsiTheme="minorHAnsi" w:cstheme="minorHAnsi"/>
        </w:rPr>
        <w:t xml:space="preserve"> The DPE</w:t>
      </w:r>
      <w:r w:rsidR="00CC06F0">
        <w:rPr>
          <w:rFonts w:asciiTheme="minorHAnsi" w:hAnsiTheme="minorHAnsi" w:cstheme="minorHAnsi"/>
        </w:rPr>
        <w:t xml:space="preserve"> is building capacity on </w:t>
      </w:r>
      <w:r w:rsidRPr="005F120D">
        <w:rPr>
          <w:rFonts w:asciiTheme="minorHAnsi" w:hAnsiTheme="minorHAnsi" w:cstheme="minorHAnsi"/>
        </w:rPr>
        <w:t xml:space="preserve">skills and knowledge </w:t>
      </w:r>
      <w:r w:rsidR="00CC06F0">
        <w:rPr>
          <w:rFonts w:asciiTheme="minorHAnsi" w:hAnsiTheme="minorHAnsi" w:cstheme="minorHAnsi"/>
        </w:rPr>
        <w:t xml:space="preserve">of respective officers to </w:t>
      </w:r>
      <w:r w:rsidRPr="005F120D">
        <w:rPr>
          <w:rFonts w:asciiTheme="minorHAnsi" w:hAnsiTheme="minorHAnsi" w:cstheme="minorHAnsi"/>
        </w:rPr>
        <w:t>carry out the cleaning and analysis</w:t>
      </w:r>
      <w:r w:rsidR="00FE412F">
        <w:rPr>
          <w:rFonts w:asciiTheme="minorHAnsi" w:hAnsiTheme="minorHAnsi" w:cstheme="minorHAnsi"/>
        </w:rPr>
        <w:t xml:space="preserve"> under PEDP3</w:t>
      </w:r>
      <w:r w:rsidRPr="005F120D">
        <w:rPr>
          <w:rFonts w:asciiTheme="minorHAnsi" w:hAnsiTheme="minorHAnsi" w:cstheme="minorHAnsi"/>
        </w:rPr>
        <w:t xml:space="preserve">. </w:t>
      </w:r>
    </w:p>
    <w:p w:rsidR="00012F66" w:rsidRDefault="00F30B77" w:rsidP="00F30B77">
      <w:pPr>
        <w:spacing w:line="276" w:lineRule="auto"/>
        <w:jc w:val="both"/>
        <w:rPr>
          <w:rFonts w:asciiTheme="minorHAnsi" w:hAnsiTheme="minorHAnsi" w:cstheme="minorHAnsi"/>
        </w:rPr>
      </w:pPr>
      <w:r w:rsidRPr="005F120D">
        <w:rPr>
          <w:rFonts w:asciiTheme="minorHAnsi" w:hAnsiTheme="minorHAnsi" w:cstheme="minorHAnsi"/>
        </w:rPr>
        <w:t xml:space="preserve">It is recognized that </w:t>
      </w:r>
      <w:r w:rsidR="00012F66">
        <w:rPr>
          <w:rFonts w:asciiTheme="minorHAnsi" w:hAnsiTheme="minorHAnsi" w:cstheme="minorHAnsi"/>
        </w:rPr>
        <w:t xml:space="preserve">there needs more cooperation among different agencies of the </w:t>
      </w:r>
      <w:r w:rsidRPr="005F120D">
        <w:rPr>
          <w:rFonts w:asciiTheme="minorHAnsi" w:hAnsiTheme="minorHAnsi" w:cstheme="minorHAnsi"/>
        </w:rPr>
        <w:t xml:space="preserve">government </w:t>
      </w:r>
      <w:r w:rsidR="00012F66">
        <w:rPr>
          <w:rFonts w:asciiTheme="minorHAnsi" w:hAnsiTheme="minorHAnsi" w:cstheme="minorHAnsi"/>
        </w:rPr>
        <w:t xml:space="preserve">for enabling </w:t>
      </w:r>
      <w:r w:rsidRPr="005F120D">
        <w:rPr>
          <w:rFonts w:asciiTheme="minorHAnsi" w:hAnsiTheme="minorHAnsi" w:cstheme="minorHAnsi"/>
        </w:rPr>
        <w:t xml:space="preserve">smooth transfer of data and statistical material necessary to produce the annual report. </w:t>
      </w:r>
      <w:r w:rsidR="00012F66">
        <w:rPr>
          <w:rFonts w:asciiTheme="minorHAnsi" w:hAnsiTheme="minorHAnsi" w:cstheme="minorHAnsi"/>
        </w:rPr>
        <w:t xml:space="preserve">Especially, </w:t>
      </w:r>
      <w:r w:rsidRPr="005F120D">
        <w:rPr>
          <w:rFonts w:asciiTheme="minorHAnsi" w:hAnsiTheme="minorHAnsi" w:cstheme="minorHAnsi"/>
        </w:rPr>
        <w:t xml:space="preserve">each agency </w:t>
      </w:r>
      <w:r w:rsidR="00012F66">
        <w:rPr>
          <w:rFonts w:asciiTheme="minorHAnsi" w:hAnsiTheme="minorHAnsi" w:cstheme="minorHAnsi"/>
        </w:rPr>
        <w:t xml:space="preserve">needs to understand </w:t>
      </w:r>
      <w:r w:rsidRPr="005F120D">
        <w:rPr>
          <w:rFonts w:asciiTheme="minorHAnsi" w:hAnsiTheme="minorHAnsi" w:cstheme="minorHAnsi"/>
        </w:rPr>
        <w:t>its role in facilitating the transparent and timely supply and transmission of required data</w:t>
      </w:r>
      <w:r w:rsidR="00012F66">
        <w:rPr>
          <w:rFonts w:asciiTheme="minorHAnsi" w:hAnsiTheme="minorHAnsi" w:cstheme="minorHAnsi"/>
        </w:rPr>
        <w:t xml:space="preserve"> clearly</w:t>
      </w:r>
      <w:r w:rsidRPr="005F120D">
        <w:rPr>
          <w:rFonts w:asciiTheme="minorHAnsi" w:hAnsiTheme="minorHAnsi" w:cstheme="minorHAnsi"/>
        </w:rPr>
        <w:t xml:space="preserve">. Key collaboration between the DPE and BBS and between the DPE and BANBEIS is needed in particular. </w:t>
      </w:r>
    </w:p>
    <w:p w:rsidR="00F30B77" w:rsidRPr="005F120D" w:rsidRDefault="00012F66" w:rsidP="00F30B77">
      <w:pPr>
        <w:spacing w:line="276" w:lineRule="auto"/>
        <w:jc w:val="both"/>
        <w:rPr>
          <w:rFonts w:asciiTheme="minorHAnsi" w:hAnsiTheme="minorHAnsi" w:cstheme="minorHAnsi"/>
        </w:rPr>
      </w:pPr>
      <w:r>
        <w:rPr>
          <w:rFonts w:asciiTheme="minorHAnsi" w:hAnsiTheme="minorHAnsi" w:cstheme="minorHAnsi"/>
        </w:rPr>
        <w:t xml:space="preserve">DPE is committed to fulfill </w:t>
      </w:r>
      <w:r w:rsidR="00F30B77" w:rsidRPr="005F120D">
        <w:rPr>
          <w:rFonts w:asciiTheme="minorHAnsi" w:hAnsiTheme="minorHAnsi" w:cstheme="minorHAnsi"/>
        </w:rPr>
        <w:t>its role in th</w:t>
      </w:r>
      <w:r>
        <w:rPr>
          <w:rFonts w:asciiTheme="minorHAnsi" w:hAnsiTheme="minorHAnsi" w:cstheme="minorHAnsi"/>
        </w:rPr>
        <w:t xml:space="preserve">e </w:t>
      </w:r>
      <w:r w:rsidR="00F30B77" w:rsidRPr="005F120D">
        <w:rPr>
          <w:rFonts w:asciiTheme="minorHAnsi" w:hAnsiTheme="minorHAnsi" w:cstheme="minorHAnsi"/>
        </w:rPr>
        <w:t xml:space="preserve">process </w:t>
      </w:r>
      <w:r>
        <w:rPr>
          <w:rFonts w:asciiTheme="minorHAnsi" w:hAnsiTheme="minorHAnsi" w:cstheme="minorHAnsi"/>
        </w:rPr>
        <w:t>of</w:t>
      </w:r>
      <w:r w:rsidR="00F30B77" w:rsidRPr="005F120D">
        <w:rPr>
          <w:rFonts w:asciiTheme="minorHAnsi" w:hAnsiTheme="minorHAnsi" w:cstheme="minorHAnsi"/>
        </w:rPr>
        <w:t xml:space="preserve"> achieving improved performance in the dimensions of data gathering, cleaning, sharing</w:t>
      </w:r>
      <w:r>
        <w:rPr>
          <w:rFonts w:asciiTheme="minorHAnsi" w:hAnsiTheme="minorHAnsi" w:cstheme="minorHAnsi"/>
        </w:rPr>
        <w:t>,</w:t>
      </w:r>
      <w:r w:rsidR="00F30B77" w:rsidRPr="005F120D">
        <w:rPr>
          <w:rFonts w:asciiTheme="minorHAnsi" w:hAnsiTheme="minorHAnsi" w:cstheme="minorHAnsi"/>
        </w:rPr>
        <w:t xml:space="preserve"> analysis and reporting.</w:t>
      </w:r>
    </w:p>
    <w:p w:rsidR="008541D1" w:rsidRPr="005F120D" w:rsidRDefault="00F30B77" w:rsidP="00F30B77">
      <w:pPr>
        <w:spacing w:line="276" w:lineRule="auto"/>
        <w:jc w:val="both"/>
        <w:rPr>
          <w:rFonts w:asciiTheme="minorHAnsi" w:hAnsiTheme="minorHAnsi" w:cstheme="minorHAnsi"/>
        </w:rPr>
      </w:pPr>
      <w:r w:rsidRPr="005F120D">
        <w:rPr>
          <w:rFonts w:asciiTheme="minorHAnsi" w:hAnsiTheme="minorHAnsi" w:cstheme="minorHAnsi"/>
        </w:rPr>
        <w:t>This report concludes that, to ensure ‘quality education for all our children’ – together with clearly defined results at the outcome level - it is necessary to monitor on an ongoing manner the progress of the different components under PEDP3 in order to ensure an efficient, inclusive and equitable primary education system delivering effective and relevant child friendly learning to our children from Pre-Primary to Grade 5</w:t>
      </w:r>
      <w:r w:rsidR="00862761" w:rsidRPr="005F120D">
        <w:rPr>
          <w:rFonts w:asciiTheme="minorHAnsi" w:hAnsiTheme="minorHAnsi" w:cstheme="minorHAnsi"/>
        </w:rPr>
        <w:t>.</w:t>
      </w:r>
    </w:p>
    <w:p w:rsidR="00332BB3" w:rsidRPr="005F120D" w:rsidRDefault="00332BB3" w:rsidP="003F5F17">
      <w:pPr>
        <w:pStyle w:val="Heading1"/>
      </w:pPr>
      <w:bookmarkStart w:id="626" w:name="_Toc462837204"/>
      <w:r w:rsidRPr="005F120D">
        <w:lastRenderedPageBreak/>
        <w:t>References</w:t>
      </w:r>
      <w:bookmarkEnd w:id="606"/>
      <w:bookmarkEnd w:id="607"/>
      <w:bookmarkEnd w:id="608"/>
      <w:bookmarkEnd w:id="609"/>
      <w:bookmarkEnd w:id="626"/>
    </w:p>
    <w:p w:rsidR="00A873CA" w:rsidRPr="005F120D" w:rsidRDefault="00045BB9" w:rsidP="00C437AA">
      <w:pPr>
        <w:spacing w:line="276" w:lineRule="auto"/>
        <w:rPr>
          <w:rFonts w:asciiTheme="minorHAnsi" w:hAnsiTheme="minorHAnsi" w:cstheme="minorHAnsi"/>
          <w:sz w:val="20"/>
        </w:rPr>
      </w:pPr>
      <w:r>
        <w:rPr>
          <w:rFonts w:asciiTheme="minorHAnsi" w:hAnsiTheme="minorHAnsi" w:cstheme="minorHAnsi"/>
          <w:sz w:val="20"/>
        </w:rPr>
        <w:t>ADB Madrasha</w:t>
      </w:r>
      <w:r w:rsidR="00A873CA" w:rsidRPr="005F120D">
        <w:rPr>
          <w:rFonts w:asciiTheme="minorHAnsi" w:hAnsiTheme="minorHAnsi" w:cstheme="minorHAnsi"/>
          <w:sz w:val="20"/>
        </w:rPr>
        <w:t xml:space="preserve"> study, 2011</w:t>
      </w:r>
    </w:p>
    <w:p w:rsidR="00BC6AE8" w:rsidRPr="005F120D" w:rsidRDefault="006769DF" w:rsidP="00C437AA">
      <w:pPr>
        <w:spacing w:line="276" w:lineRule="auto"/>
        <w:rPr>
          <w:rFonts w:asciiTheme="minorHAnsi" w:hAnsiTheme="minorHAnsi" w:cstheme="minorHAnsi"/>
          <w:sz w:val="20"/>
        </w:rPr>
      </w:pPr>
      <w:r w:rsidRPr="005F120D">
        <w:rPr>
          <w:rFonts w:asciiTheme="minorHAnsi" w:hAnsiTheme="minorHAnsi" w:cstheme="minorHAnsi"/>
          <w:sz w:val="20"/>
        </w:rPr>
        <w:t xml:space="preserve">Antoninis, </w:t>
      </w:r>
      <w:r w:rsidR="00BC6AE8" w:rsidRPr="005F120D">
        <w:rPr>
          <w:rFonts w:asciiTheme="minorHAnsi" w:hAnsiTheme="minorHAnsi" w:cstheme="minorHAnsi"/>
          <w:sz w:val="20"/>
        </w:rPr>
        <w:t>M and M. Ahmadullah (2012). Bangladesh Country Study: Global Initiative on Out of School Children.  UNICEF, Dhaka.</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Al Samarrai, S</w:t>
      </w:r>
      <w:r w:rsidR="00BA005B" w:rsidRPr="005F120D">
        <w:rPr>
          <w:rFonts w:asciiTheme="minorHAnsi" w:hAnsiTheme="minorHAnsi" w:cstheme="minorHAnsi"/>
          <w:sz w:val="20"/>
        </w:rPr>
        <w:t>amer</w:t>
      </w:r>
      <w:r w:rsidRPr="005F120D">
        <w:rPr>
          <w:rFonts w:asciiTheme="minorHAnsi" w:hAnsiTheme="minorHAnsi" w:cstheme="minorHAnsi"/>
          <w:sz w:val="20"/>
        </w:rPr>
        <w:t xml:space="preserve"> (2007). Education spending and equity in Bangladesh, Background paper to the Public Expenditure Review.</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Asadullah, M Niaz (2012). Understanding learning outcome changes in primary schools in Bangladesh: 2000–2008 (mimeo).</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ACER (June 2012). 2011 National Student Assessment Grade 3 and 5: Revised Report.</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ACER (May 2013). 2013 National Student Assessment Grade 3 and 5: Public Report.</w:t>
      </w:r>
    </w:p>
    <w:p w:rsidR="00813B23" w:rsidRPr="005F120D" w:rsidRDefault="00813B23" w:rsidP="00C437AA">
      <w:pPr>
        <w:spacing w:line="276" w:lineRule="auto"/>
        <w:rPr>
          <w:rFonts w:asciiTheme="minorHAnsi" w:hAnsiTheme="minorHAnsi" w:cstheme="minorHAnsi"/>
          <w:sz w:val="20"/>
        </w:rPr>
      </w:pPr>
      <w:r w:rsidRPr="005F120D">
        <w:rPr>
          <w:rFonts w:asciiTheme="minorHAnsi" w:hAnsiTheme="minorHAnsi" w:cstheme="minorHAnsi"/>
          <w:sz w:val="20"/>
        </w:rPr>
        <w:t>Bangladesh Economic Review Reports 2012, 2013.</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Baulch B (2010). The medium-term impact of the primary education stipend in rural Bangladesh, International Food Policy Research Institute Discussion Paper 00976.</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BRAC Pro</w:t>
      </w:r>
      <w:r w:rsidR="00341EB9" w:rsidRPr="005F120D">
        <w:rPr>
          <w:rFonts w:asciiTheme="minorHAnsi" w:hAnsiTheme="minorHAnsi" w:cstheme="minorHAnsi"/>
          <w:sz w:val="20"/>
        </w:rPr>
        <w:t>gress report as of December 2015</w:t>
      </w:r>
    </w:p>
    <w:p w:rsidR="00B30EE2" w:rsidRPr="005F120D" w:rsidRDefault="00B30EE2" w:rsidP="00C437AA">
      <w:pPr>
        <w:spacing w:line="276" w:lineRule="auto"/>
        <w:rPr>
          <w:rFonts w:asciiTheme="minorHAnsi" w:hAnsiTheme="minorHAnsi" w:cstheme="minorHAnsi"/>
          <w:sz w:val="20"/>
        </w:rPr>
      </w:pPr>
      <w:r w:rsidRPr="005F120D">
        <w:rPr>
          <w:rFonts w:asciiTheme="minorHAnsi" w:hAnsiTheme="minorHAnsi" w:cstheme="minorHAnsi"/>
          <w:sz w:val="20"/>
        </w:rPr>
        <w:t>BRAC University Institute of Education Development (2011), Use of Contact Hours of Primary Schools in Bangladesh</w:t>
      </w:r>
      <w:r w:rsidR="00341EB9" w:rsidRPr="005F120D">
        <w:rPr>
          <w:rFonts w:asciiTheme="minorHAnsi" w:hAnsiTheme="minorHAnsi" w:cstheme="minorHAnsi"/>
          <w:sz w:val="20"/>
        </w:rPr>
        <w:t>.</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BBS and UNICEF (2007). Multiple Indicator Cluster Survey 2006, Volume 1: Technical report.</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BBS and UNICEF (2010). Multiple Indicator Cluster Survey 2009, Volume 1: Technical report.</w:t>
      </w:r>
    </w:p>
    <w:p w:rsidR="00341EB9" w:rsidRPr="005F120D" w:rsidRDefault="00341EB9" w:rsidP="00C437AA">
      <w:pPr>
        <w:spacing w:line="276" w:lineRule="auto"/>
        <w:rPr>
          <w:rFonts w:asciiTheme="minorHAnsi" w:hAnsiTheme="minorHAnsi" w:cstheme="minorHAnsi"/>
          <w:sz w:val="20"/>
        </w:rPr>
      </w:pPr>
      <w:r w:rsidRPr="005F120D">
        <w:rPr>
          <w:rFonts w:asciiTheme="minorHAnsi" w:hAnsiTheme="minorHAnsi" w:cstheme="minorHAnsi"/>
          <w:sz w:val="20"/>
        </w:rPr>
        <w:t>BBS and UNICEF (2014).Multiple Indicator Cluster Survey 20012-13 report.</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BNFE (2009).Non-formal education mapping.</w:t>
      </w:r>
    </w:p>
    <w:p w:rsidR="00401F64" w:rsidRPr="005F120D" w:rsidRDefault="00401F64" w:rsidP="00C437AA">
      <w:pPr>
        <w:spacing w:line="276" w:lineRule="auto"/>
        <w:rPr>
          <w:rFonts w:asciiTheme="minorHAnsi" w:hAnsiTheme="minorHAnsi" w:cstheme="minorHAnsi"/>
          <w:bCs/>
          <w:sz w:val="20"/>
          <w:lang w:bidi="bn-IN"/>
        </w:rPr>
      </w:pPr>
      <w:r w:rsidRPr="005F120D">
        <w:rPr>
          <w:rFonts w:asciiTheme="minorHAnsi" w:hAnsiTheme="minorHAnsi" w:cstheme="minorHAnsi"/>
          <w:sz w:val="20"/>
        </w:rPr>
        <w:t>Campaign for Popular Education (</w:t>
      </w:r>
      <w:r w:rsidR="00BC6AE8" w:rsidRPr="005F120D">
        <w:rPr>
          <w:rFonts w:asciiTheme="minorHAnsi" w:hAnsiTheme="minorHAnsi" w:cstheme="minorHAnsi"/>
          <w:sz w:val="20"/>
        </w:rPr>
        <w:t>CAMPE</w:t>
      </w:r>
      <w:r w:rsidRPr="005F120D">
        <w:rPr>
          <w:rFonts w:asciiTheme="minorHAnsi" w:hAnsiTheme="minorHAnsi" w:cstheme="minorHAnsi"/>
          <w:sz w:val="20"/>
        </w:rPr>
        <w:t xml:space="preserve">): </w:t>
      </w:r>
      <w:r w:rsidRPr="005F120D">
        <w:rPr>
          <w:rFonts w:asciiTheme="minorHAnsi" w:hAnsiTheme="minorHAnsi" w:cstheme="minorHAnsi"/>
          <w:bCs/>
          <w:sz w:val="20"/>
          <w:lang w:bidi="bn-IN"/>
        </w:rPr>
        <w:t>Education Watch 2014 – Whither Grade 5 Examination</w:t>
      </w:r>
    </w:p>
    <w:p w:rsidR="00BC6AE8" w:rsidRPr="005F120D" w:rsidRDefault="00401F64" w:rsidP="00C437AA">
      <w:pPr>
        <w:spacing w:line="276" w:lineRule="auto"/>
        <w:rPr>
          <w:rFonts w:asciiTheme="minorHAnsi" w:hAnsiTheme="minorHAnsi" w:cstheme="minorHAnsi"/>
          <w:bCs/>
          <w:sz w:val="20"/>
          <w:lang w:bidi="bn-IN"/>
        </w:rPr>
      </w:pPr>
      <w:r w:rsidRPr="005F120D">
        <w:rPr>
          <w:rFonts w:asciiTheme="minorHAnsi" w:hAnsiTheme="minorHAnsi" w:cstheme="minorHAnsi"/>
          <w:sz w:val="20"/>
        </w:rPr>
        <w:t xml:space="preserve">Campaign for Popular Education (CAMPE): </w:t>
      </w:r>
      <w:r w:rsidRPr="005F120D">
        <w:rPr>
          <w:rFonts w:asciiTheme="minorHAnsi" w:hAnsiTheme="minorHAnsi" w:cstheme="minorHAnsi"/>
          <w:bCs/>
          <w:sz w:val="20"/>
          <w:lang w:bidi="bn-IN"/>
        </w:rPr>
        <w:t>Education Watch 2015 – Moving from MDG to SDG</w:t>
      </w:r>
    </w:p>
    <w:p w:rsidR="00BC6AE8" w:rsidRPr="005F120D" w:rsidRDefault="00341EB9" w:rsidP="00C437AA">
      <w:pPr>
        <w:spacing w:line="276" w:lineRule="auto"/>
        <w:rPr>
          <w:rFonts w:asciiTheme="minorHAnsi" w:hAnsiTheme="minorHAnsi" w:cstheme="minorHAnsi"/>
          <w:sz w:val="20"/>
        </w:rPr>
      </w:pPr>
      <w:r w:rsidRPr="005F120D">
        <w:rPr>
          <w:rFonts w:asciiTheme="minorHAnsi" w:hAnsiTheme="minorHAnsi" w:cstheme="minorHAnsi"/>
          <w:sz w:val="20"/>
        </w:rPr>
        <w:t>DPE (2009</w:t>
      </w:r>
      <w:r w:rsidR="00813B23" w:rsidRPr="005F120D">
        <w:rPr>
          <w:rFonts w:asciiTheme="minorHAnsi" w:hAnsiTheme="minorHAnsi" w:cstheme="minorHAnsi"/>
          <w:sz w:val="20"/>
        </w:rPr>
        <w:t>-</w:t>
      </w:r>
      <w:r w:rsidRPr="005F120D">
        <w:rPr>
          <w:rFonts w:asciiTheme="minorHAnsi" w:hAnsiTheme="minorHAnsi" w:cstheme="minorHAnsi"/>
          <w:sz w:val="20"/>
        </w:rPr>
        <w:t>15</w:t>
      </w:r>
      <w:r w:rsidR="00BC6AE8" w:rsidRPr="005F120D">
        <w:rPr>
          <w:rFonts w:asciiTheme="minorHAnsi" w:hAnsiTheme="minorHAnsi" w:cstheme="minorHAnsi"/>
          <w:sz w:val="20"/>
        </w:rPr>
        <w:t xml:space="preserve">). Primary </w:t>
      </w:r>
      <w:r w:rsidR="00813B23" w:rsidRPr="005F120D">
        <w:rPr>
          <w:rFonts w:asciiTheme="minorHAnsi" w:hAnsiTheme="minorHAnsi" w:cstheme="minorHAnsi"/>
          <w:sz w:val="20"/>
        </w:rPr>
        <w:t xml:space="preserve">and Madrashah </w:t>
      </w:r>
      <w:r w:rsidR="00BC6AE8" w:rsidRPr="005F120D">
        <w:rPr>
          <w:rFonts w:asciiTheme="minorHAnsi" w:hAnsiTheme="minorHAnsi" w:cstheme="minorHAnsi"/>
          <w:sz w:val="20"/>
        </w:rPr>
        <w:t>Education Completion Examination (</w:t>
      </w:r>
      <w:r w:rsidR="00813B23" w:rsidRPr="005F120D">
        <w:rPr>
          <w:rFonts w:asciiTheme="minorHAnsi" w:hAnsiTheme="minorHAnsi" w:cstheme="minorHAnsi"/>
          <w:sz w:val="20"/>
        </w:rPr>
        <w:t>PECE/EECE) Results 2009-2015</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DPE (20</w:t>
      </w:r>
      <w:r w:rsidR="00813B23" w:rsidRPr="005F120D">
        <w:rPr>
          <w:rFonts w:asciiTheme="minorHAnsi" w:hAnsiTheme="minorHAnsi" w:cstheme="minorHAnsi"/>
          <w:sz w:val="20"/>
        </w:rPr>
        <w:t>05-15</w:t>
      </w:r>
      <w:r w:rsidRPr="005F120D">
        <w:rPr>
          <w:rFonts w:asciiTheme="minorHAnsi" w:hAnsiTheme="minorHAnsi" w:cstheme="minorHAnsi"/>
          <w:sz w:val="20"/>
        </w:rPr>
        <w:t>) Annual Primar</w:t>
      </w:r>
      <w:r w:rsidR="00341EB9" w:rsidRPr="005F120D">
        <w:rPr>
          <w:rFonts w:asciiTheme="minorHAnsi" w:hAnsiTheme="minorHAnsi" w:cstheme="minorHAnsi"/>
          <w:sz w:val="20"/>
        </w:rPr>
        <w:t>y School Census Report 2005-2015</w:t>
      </w:r>
      <w:r w:rsidRPr="005F120D">
        <w:rPr>
          <w:rFonts w:asciiTheme="minorHAnsi" w:hAnsiTheme="minorHAnsi" w:cstheme="minorHAnsi"/>
          <w:sz w:val="20"/>
        </w:rPr>
        <w:t>.</w:t>
      </w:r>
    </w:p>
    <w:p w:rsidR="00BC6AE8" w:rsidRPr="005F120D" w:rsidRDefault="00625A27" w:rsidP="00C437AA">
      <w:pPr>
        <w:spacing w:line="276" w:lineRule="auto"/>
        <w:rPr>
          <w:rFonts w:asciiTheme="minorHAnsi" w:hAnsiTheme="minorHAnsi" w:cstheme="minorHAnsi"/>
          <w:sz w:val="20"/>
        </w:rPr>
      </w:pPr>
      <w:r w:rsidRPr="005F120D">
        <w:rPr>
          <w:rFonts w:asciiTheme="minorHAnsi" w:hAnsiTheme="minorHAnsi" w:cstheme="minorHAnsi"/>
          <w:sz w:val="20"/>
        </w:rPr>
        <w:t>DPE (20</w:t>
      </w:r>
      <w:r w:rsidR="00813B23" w:rsidRPr="005F120D">
        <w:rPr>
          <w:rFonts w:asciiTheme="minorHAnsi" w:hAnsiTheme="minorHAnsi" w:cstheme="minorHAnsi"/>
          <w:sz w:val="20"/>
        </w:rPr>
        <w:t>10 and 20</w:t>
      </w:r>
      <w:r w:rsidRPr="005F120D">
        <w:rPr>
          <w:rFonts w:asciiTheme="minorHAnsi" w:hAnsiTheme="minorHAnsi" w:cstheme="minorHAnsi"/>
          <w:sz w:val="20"/>
        </w:rPr>
        <w:t>14</w:t>
      </w:r>
      <w:r w:rsidR="00BC6AE8" w:rsidRPr="005F120D">
        <w:rPr>
          <w:rFonts w:asciiTheme="minorHAnsi" w:hAnsiTheme="minorHAnsi" w:cstheme="minorHAnsi"/>
          <w:sz w:val="20"/>
        </w:rPr>
        <w:t>). Report on validation o</w:t>
      </w:r>
      <w:r w:rsidR="00BA005B" w:rsidRPr="005F120D">
        <w:rPr>
          <w:rFonts w:asciiTheme="minorHAnsi" w:hAnsiTheme="minorHAnsi" w:cstheme="minorHAnsi"/>
          <w:sz w:val="20"/>
        </w:rPr>
        <w:t xml:space="preserve">f Annual </w:t>
      </w:r>
      <w:r w:rsidR="00813B23" w:rsidRPr="005F120D">
        <w:rPr>
          <w:rFonts w:asciiTheme="minorHAnsi" w:hAnsiTheme="minorHAnsi" w:cstheme="minorHAnsi"/>
          <w:sz w:val="20"/>
        </w:rPr>
        <w:t xml:space="preserve">Primary </w:t>
      </w:r>
      <w:r w:rsidR="00BA005B" w:rsidRPr="005F120D">
        <w:rPr>
          <w:rFonts w:asciiTheme="minorHAnsi" w:hAnsiTheme="minorHAnsi" w:cstheme="minorHAnsi"/>
          <w:sz w:val="20"/>
        </w:rPr>
        <w:t>School Census 2010-2014</w:t>
      </w:r>
      <w:r w:rsidR="00BC6AE8" w:rsidRPr="005F120D">
        <w:rPr>
          <w:rFonts w:asciiTheme="minorHAnsi" w:hAnsiTheme="minorHAnsi" w:cstheme="minorHAnsi"/>
          <w:sz w:val="20"/>
        </w:rPr>
        <w:t>.</w:t>
      </w:r>
    </w:p>
    <w:p w:rsidR="00BC6AE8" w:rsidRPr="005F120D" w:rsidRDefault="00BA005B" w:rsidP="00C437AA">
      <w:pPr>
        <w:spacing w:line="276" w:lineRule="auto"/>
        <w:rPr>
          <w:rFonts w:asciiTheme="minorHAnsi" w:hAnsiTheme="minorHAnsi" w:cstheme="minorHAnsi"/>
          <w:sz w:val="20"/>
        </w:rPr>
      </w:pPr>
      <w:r w:rsidRPr="005F120D">
        <w:rPr>
          <w:rFonts w:asciiTheme="minorHAnsi" w:hAnsiTheme="minorHAnsi" w:cstheme="minorHAnsi"/>
          <w:sz w:val="20"/>
        </w:rPr>
        <w:t>DPE (2014</w:t>
      </w:r>
      <w:r w:rsidR="00BC6AE8" w:rsidRPr="005F120D">
        <w:rPr>
          <w:rFonts w:asciiTheme="minorHAnsi" w:hAnsiTheme="minorHAnsi" w:cstheme="minorHAnsi"/>
          <w:sz w:val="20"/>
        </w:rPr>
        <w:t xml:space="preserve">). Third Primary Education Development </w:t>
      </w:r>
      <w:r w:rsidR="00802B33" w:rsidRPr="005F120D">
        <w:rPr>
          <w:rFonts w:asciiTheme="minorHAnsi" w:hAnsiTheme="minorHAnsi" w:cstheme="minorHAnsi"/>
          <w:sz w:val="20"/>
        </w:rPr>
        <w:t>Program</w:t>
      </w:r>
      <w:r w:rsidR="00BC6AE8" w:rsidRPr="005F120D">
        <w:rPr>
          <w:rFonts w:asciiTheme="minorHAnsi" w:hAnsiTheme="minorHAnsi" w:cstheme="minorHAnsi"/>
          <w:sz w:val="20"/>
        </w:rPr>
        <w:t xml:space="preserve"> (PEDP3) – </w:t>
      </w:r>
      <w:r w:rsidR="00625A27" w:rsidRPr="005F120D">
        <w:rPr>
          <w:rFonts w:asciiTheme="minorHAnsi" w:hAnsiTheme="minorHAnsi" w:cstheme="minorHAnsi"/>
          <w:sz w:val="20"/>
        </w:rPr>
        <w:t xml:space="preserve">Revised </w:t>
      </w:r>
      <w:r w:rsidR="00BC6AE8" w:rsidRPr="005F120D">
        <w:rPr>
          <w:rFonts w:asciiTheme="minorHAnsi" w:hAnsiTheme="minorHAnsi" w:cstheme="minorHAnsi"/>
          <w:sz w:val="20"/>
        </w:rPr>
        <w:t>Main document, Implementation Guide and Annexes.</w:t>
      </w:r>
    </w:p>
    <w:p w:rsidR="00BC6AE8" w:rsidRPr="005F120D" w:rsidRDefault="00BC6AE8" w:rsidP="00C437AA">
      <w:pPr>
        <w:spacing w:line="276" w:lineRule="auto"/>
        <w:rPr>
          <w:rFonts w:asciiTheme="minorHAnsi" w:hAnsiTheme="minorHAnsi" w:cstheme="minorHAnsi"/>
          <w:bCs/>
          <w:sz w:val="20"/>
          <w:lang w:bidi="bn-IN"/>
        </w:rPr>
      </w:pPr>
      <w:r w:rsidRPr="005F120D">
        <w:rPr>
          <w:rFonts w:asciiTheme="minorHAnsi" w:hAnsiTheme="minorHAnsi" w:cstheme="minorHAnsi"/>
          <w:sz w:val="20"/>
        </w:rPr>
        <w:t>DPE (2012).</w:t>
      </w:r>
      <w:r w:rsidRPr="005F120D">
        <w:rPr>
          <w:rFonts w:asciiTheme="minorHAnsi" w:hAnsiTheme="minorHAnsi" w:cstheme="minorHAnsi"/>
          <w:bCs/>
          <w:sz w:val="20"/>
          <w:lang w:bidi="bn-IN"/>
        </w:rPr>
        <w:t>Fifth Child Education and Literacy Survey (CELS) 2010.</w:t>
      </w:r>
    </w:p>
    <w:p w:rsidR="00A67B61" w:rsidRPr="005F120D" w:rsidRDefault="00A67B61" w:rsidP="00C437AA">
      <w:pPr>
        <w:spacing w:line="276" w:lineRule="auto"/>
        <w:rPr>
          <w:rFonts w:asciiTheme="minorHAnsi" w:hAnsiTheme="minorHAnsi" w:cstheme="minorHAnsi"/>
          <w:bCs/>
          <w:sz w:val="20"/>
          <w:lang w:bidi="bn-IN"/>
        </w:rPr>
      </w:pPr>
      <w:r w:rsidRPr="005F120D">
        <w:rPr>
          <w:rFonts w:asciiTheme="minorHAnsi" w:hAnsiTheme="minorHAnsi" w:cstheme="minorHAnsi"/>
          <w:bCs/>
          <w:sz w:val="20"/>
          <w:lang w:bidi="bn-IN"/>
        </w:rPr>
        <w:t>EHS (2014). Education Household Survey conducted by BBS</w:t>
      </w:r>
      <w:r w:rsidR="008F09D8" w:rsidRPr="005F120D">
        <w:rPr>
          <w:rFonts w:asciiTheme="minorHAnsi" w:hAnsiTheme="minorHAnsi" w:cstheme="minorHAnsi"/>
          <w:bCs/>
          <w:sz w:val="20"/>
          <w:lang w:bidi="bn-IN"/>
        </w:rPr>
        <w:t>, preliminary report</w:t>
      </w:r>
    </w:p>
    <w:p w:rsidR="00A873CA" w:rsidRPr="005F120D" w:rsidRDefault="00A873CA" w:rsidP="00C437AA">
      <w:pPr>
        <w:spacing w:line="276" w:lineRule="auto"/>
        <w:rPr>
          <w:rFonts w:asciiTheme="minorHAnsi" w:hAnsiTheme="minorHAnsi" w:cstheme="minorHAnsi"/>
          <w:bCs/>
          <w:sz w:val="20"/>
          <w:lang w:bidi="bn-IN"/>
        </w:rPr>
      </w:pPr>
      <w:r w:rsidRPr="005F120D">
        <w:rPr>
          <w:rFonts w:asciiTheme="minorHAnsi" w:hAnsiTheme="minorHAnsi" w:cstheme="minorHAnsi"/>
          <w:bCs/>
          <w:sz w:val="20"/>
          <w:lang w:bidi="bn-IN"/>
        </w:rPr>
        <w:lastRenderedPageBreak/>
        <w:t>ESR (2012). Education Sector Report of World Bank</w:t>
      </w:r>
    </w:p>
    <w:p w:rsidR="00401F64" w:rsidRPr="005F120D" w:rsidRDefault="00401F64" w:rsidP="00C437AA">
      <w:pPr>
        <w:spacing w:line="276" w:lineRule="auto"/>
        <w:rPr>
          <w:rFonts w:asciiTheme="minorHAnsi" w:hAnsiTheme="minorHAnsi" w:cstheme="minorHAnsi"/>
          <w:bCs/>
          <w:sz w:val="20"/>
          <w:lang w:bidi="bn-IN"/>
        </w:rPr>
      </w:pPr>
      <w:r w:rsidRPr="005F120D">
        <w:rPr>
          <w:rFonts w:asciiTheme="minorHAnsi" w:hAnsiTheme="minorHAnsi" w:cstheme="minorHAnsi"/>
          <w:bCs/>
          <w:sz w:val="20"/>
          <w:lang w:bidi="bn-IN"/>
        </w:rPr>
        <w:t>Mid-Term Review 2013-14 of PEDP3 report</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Ministry of Education (2009). National Education Policy (final draft).</w:t>
      </w:r>
    </w:p>
    <w:p w:rsidR="00813B23"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 xml:space="preserve">Ministry of Finance </w:t>
      </w:r>
      <w:r w:rsidR="00813B23" w:rsidRPr="005F120D">
        <w:rPr>
          <w:rFonts w:asciiTheme="minorHAnsi" w:hAnsiTheme="minorHAnsi" w:cstheme="minorHAnsi"/>
          <w:sz w:val="20"/>
        </w:rPr>
        <w:t xml:space="preserve">MTBF </w:t>
      </w:r>
      <w:r w:rsidRPr="005F120D">
        <w:rPr>
          <w:rFonts w:asciiTheme="minorHAnsi" w:hAnsiTheme="minorHAnsi" w:cstheme="minorHAnsi"/>
          <w:sz w:val="20"/>
        </w:rPr>
        <w:t>(2012</w:t>
      </w:r>
      <w:r w:rsidR="00A67B61" w:rsidRPr="005F120D">
        <w:rPr>
          <w:rFonts w:asciiTheme="minorHAnsi" w:hAnsiTheme="minorHAnsi" w:cstheme="minorHAnsi"/>
          <w:sz w:val="20"/>
        </w:rPr>
        <w:t>, 2013, 2014</w:t>
      </w:r>
      <w:r w:rsidR="00813B23" w:rsidRPr="005F120D">
        <w:rPr>
          <w:rFonts w:asciiTheme="minorHAnsi" w:hAnsiTheme="minorHAnsi" w:cstheme="minorHAnsi"/>
          <w:sz w:val="20"/>
        </w:rPr>
        <w:t xml:space="preserve"> and 2015</w:t>
      </w:r>
      <w:r w:rsidRPr="005F120D">
        <w:rPr>
          <w:rFonts w:asciiTheme="minorHAnsi" w:hAnsiTheme="minorHAnsi" w:cstheme="minorHAnsi"/>
          <w:sz w:val="20"/>
        </w:rPr>
        <w:t>).</w:t>
      </w:r>
    </w:p>
    <w:p w:rsidR="00B30EE2" w:rsidRPr="005F120D" w:rsidRDefault="00B30EE2" w:rsidP="00C437AA">
      <w:pPr>
        <w:spacing w:line="276" w:lineRule="auto"/>
        <w:rPr>
          <w:rFonts w:asciiTheme="minorHAnsi" w:hAnsiTheme="minorHAnsi" w:cstheme="minorHAnsi"/>
          <w:sz w:val="20"/>
        </w:rPr>
      </w:pPr>
      <w:r w:rsidRPr="005F120D">
        <w:rPr>
          <w:rFonts w:asciiTheme="minorHAnsi" w:hAnsiTheme="minorHAnsi" w:cstheme="minorHAnsi"/>
          <w:sz w:val="20"/>
        </w:rPr>
        <w:t>Mohammad NiazAsadullah</w:t>
      </w:r>
      <w:r w:rsidR="00045BB9">
        <w:rPr>
          <w:rFonts w:asciiTheme="minorHAnsi" w:hAnsiTheme="minorHAnsi" w:cstheme="minorHAnsi"/>
          <w:sz w:val="20"/>
        </w:rPr>
        <w:t xml:space="preserve"> </w:t>
      </w:r>
      <w:r w:rsidRPr="005F120D">
        <w:rPr>
          <w:rFonts w:asciiTheme="minorHAnsi" w:hAnsiTheme="minorHAnsi" w:cstheme="minorHAnsi"/>
          <w:sz w:val="20"/>
        </w:rPr>
        <w:t>&amp;</w:t>
      </w:r>
      <w:r w:rsidR="00045BB9">
        <w:rPr>
          <w:rFonts w:asciiTheme="minorHAnsi" w:hAnsiTheme="minorHAnsi" w:cstheme="minorHAnsi"/>
          <w:sz w:val="20"/>
        </w:rPr>
        <w:t xml:space="preserve"> </w:t>
      </w:r>
      <w:r w:rsidRPr="005F120D">
        <w:rPr>
          <w:rFonts w:asciiTheme="minorHAnsi" w:hAnsiTheme="minorHAnsi" w:cstheme="minorHAnsi"/>
          <w:sz w:val="20"/>
        </w:rPr>
        <w:t xml:space="preserve">NazmulChaudhury (2013), Primary Schooling, Student Learning, and School Quality </w:t>
      </w:r>
      <w:r w:rsidR="00E61B10" w:rsidRPr="005F120D">
        <w:rPr>
          <w:rFonts w:asciiTheme="minorHAnsi" w:hAnsiTheme="minorHAnsi" w:cstheme="minorHAnsi"/>
          <w:sz w:val="20"/>
        </w:rPr>
        <w:t>in</w:t>
      </w:r>
      <w:r w:rsidRPr="005F120D">
        <w:rPr>
          <w:rFonts w:asciiTheme="minorHAnsi" w:hAnsiTheme="minorHAnsi" w:cstheme="minorHAnsi"/>
          <w:sz w:val="20"/>
        </w:rPr>
        <w:t xml:space="preserve"> Rural Bangladesh</w:t>
      </w:r>
    </w:p>
    <w:p w:rsidR="00A873CA" w:rsidRPr="005F120D" w:rsidRDefault="00A873CA" w:rsidP="00C437AA">
      <w:pPr>
        <w:spacing w:line="276" w:lineRule="auto"/>
        <w:rPr>
          <w:rFonts w:asciiTheme="minorHAnsi" w:hAnsiTheme="minorHAnsi" w:cstheme="minorHAnsi"/>
          <w:sz w:val="20"/>
        </w:rPr>
      </w:pPr>
      <w:r w:rsidRPr="005F120D">
        <w:rPr>
          <w:rFonts w:asciiTheme="minorHAnsi" w:hAnsiTheme="minorHAnsi" w:cstheme="minorHAnsi"/>
          <w:sz w:val="20"/>
        </w:rPr>
        <w:t>PESP2010, Primary Educati</w:t>
      </w:r>
      <w:r w:rsidR="00BA005B" w:rsidRPr="005F120D">
        <w:rPr>
          <w:rFonts w:asciiTheme="minorHAnsi" w:hAnsiTheme="minorHAnsi" w:cstheme="minorHAnsi"/>
          <w:sz w:val="20"/>
        </w:rPr>
        <w:t xml:space="preserve">on Stipend </w:t>
      </w:r>
      <w:r w:rsidR="00802B33" w:rsidRPr="005F120D">
        <w:rPr>
          <w:rFonts w:asciiTheme="minorHAnsi" w:hAnsiTheme="minorHAnsi" w:cstheme="minorHAnsi"/>
          <w:sz w:val="20"/>
        </w:rPr>
        <w:t>program</w:t>
      </w:r>
      <w:r w:rsidR="00341EB9" w:rsidRPr="005F120D">
        <w:rPr>
          <w:rFonts w:asciiTheme="minorHAnsi" w:hAnsiTheme="minorHAnsi" w:cstheme="minorHAnsi"/>
          <w:sz w:val="20"/>
        </w:rPr>
        <w:t xml:space="preserve"> report 2015</w:t>
      </w:r>
    </w:p>
    <w:p w:rsidR="00BC6AE8" w:rsidRPr="005F120D" w:rsidRDefault="00341EB9" w:rsidP="00C437AA">
      <w:pPr>
        <w:spacing w:line="276" w:lineRule="auto"/>
        <w:rPr>
          <w:rFonts w:asciiTheme="minorHAnsi" w:hAnsiTheme="minorHAnsi" w:cstheme="minorHAnsi"/>
          <w:sz w:val="20"/>
        </w:rPr>
      </w:pPr>
      <w:r w:rsidRPr="005F120D">
        <w:rPr>
          <w:rFonts w:asciiTheme="minorHAnsi" w:hAnsiTheme="minorHAnsi" w:cstheme="minorHAnsi"/>
          <w:sz w:val="20"/>
        </w:rPr>
        <w:t>ROSC (2015</w:t>
      </w:r>
      <w:r w:rsidR="00BC6AE8" w:rsidRPr="005F120D">
        <w:rPr>
          <w:rFonts w:asciiTheme="minorHAnsi" w:hAnsiTheme="minorHAnsi" w:cstheme="minorHAnsi"/>
          <w:sz w:val="20"/>
        </w:rPr>
        <w:t>). ROSC progress report and future plans, April 2</w:t>
      </w:r>
      <w:r w:rsidRPr="005F120D">
        <w:rPr>
          <w:rFonts w:asciiTheme="minorHAnsi" w:hAnsiTheme="minorHAnsi" w:cstheme="minorHAnsi"/>
          <w:sz w:val="20"/>
        </w:rPr>
        <w:t>015</w:t>
      </w:r>
      <w:r w:rsidR="00BC6AE8" w:rsidRPr="005F120D">
        <w:rPr>
          <w:rFonts w:asciiTheme="minorHAnsi" w:hAnsiTheme="minorHAnsi" w:cstheme="minorHAnsi"/>
          <w:sz w:val="20"/>
        </w:rPr>
        <w:t>.</w:t>
      </w:r>
    </w:p>
    <w:p w:rsidR="00813B23" w:rsidRPr="005F120D" w:rsidRDefault="00813B23" w:rsidP="00C437AA">
      <w:pPr>
        <w:spacing w:line="276" w:lineRule="auto"/>
        <w:rPr>
          <w:rFonts w:asciiTheme="minorHAnsi" w:hAnsiTheme="minorHAnsi" w:cstheme="minorHAnsi"/>
          <w:sz w:val="20"/>
        </w:rPr>
      </w:pPr>
      <w:r w:rsidRPr="005F120D">
        <w:rPr>
          <w:rFonts w:asciiTheme="minorHAnsi" w:hAnsiTheme="minorHAnsi" w:cstheme="minorHAnsi"/>
          <w:sz w:val="20"/>
          <w:lang w:eastAsia="ja-JP"/>
        </w:rPr>
        <w:t>Schooling and Learning: Evidence from Rural Bangladesh by M Niaz Asadullah and Nazmul Chaudhury</w:t>
      </w:r>
    </w:p>
    <w:p w:rsidR="00B30EE2" w:rsidRPr="005F120D" w:rsidRDefault="00B30EE2" w:rsidP="00C437AA">
      <w:pPr>
        <w:spacing w:line="276" w:lineRule="auto"/>
        <w:rPr>
          <w:rFonts w:asciiTheme="minorHAnsi" w:hAnsiTheme="minorHAnsi" w:cstheme="minorHAnsi"/>
          <w:sz w:val="20"/>
        </w:rPr>
      </w:pPr>
      <w:r w:rsidRPr="005F120D">
        <w:rPr>
          <w:rFonts w:asciiTheme="minorHAnsi" w:hAnsiTheme="minorHAnsi" w:cstheme="minorHAnsi"/>
          <w:sz w:val="20"/>
        </w:rPr>
        <w:t xml:space="preserve">Selim Rahim &amp; Mansur Ahmed (2014), Education Development Index (EDI) for Primary Education </w:t>
      </w:r>
      <w:r w:rsidR="00A25AAD" w:rsidRPr="005F120D">
        <w:rPr>
          <w:rFonts w:asciiTheme="minorHAnsi" w:hAnsiTheme="minorHAnsi" w:cstheme="minorHAnsi"/>
          <w:sz w:val="20"/>
        </w:rPr>
        <w:t>in</w:t>
      </w:r>
      <w:r w:rsidRPr="005F120D">
        <w:rPr>
          <w:rFonts w:asciiTheme="minorHAnsi" w:hAnsiTheme="minorHAnsi" w:cstheme="minorHAnsi"/>
          <w:sz w:val="20"/>
        </w:rPr>
        <w:t xml:space="preserve"> Bangladesh</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 xml:space="preserve">SSPS (2006). Social Sector Performance Surveys: Primary education – Final report, Financial Management Reform </w:t>
      </w:r>
      <w:r w:rsidR="00802B33" w:rsidRPr="005F120D">
        <w:rPr>
          <w:rFonts w:asciiTheme="minorHAnsi" w:hAnsiTheme="minorHAnsi" w:cstheme="minorHAnsi"/>
          <w:sz w:val="20"/>
        </w:rPr>
        <w:t>Program</w:t>
      </w:r>
      <w:r w:rsidRPr="005F120D">
        <w:rPr>
          <w:rFonts w:asciiTheme="minorHAnsi" w:hAnsiTheme="minorHAnsi" w:cstheme="minorHAnsi"/>
          <w:sz w:val="20"/>
        </w:rPr>
        <w:t>, Oxford Policy Management.</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 xml:space="preserve">UNESCO (2011). Results-Based </w:t>
      </w:r>
      <w:r w:rsidR="002E4B78" w:rsidRPr="005F120D">
        <w:rPr>
          <w:rFonts w:asciiTheme="minorHAnsi" w:hAnsiTheme="minorHAnsi" w:cstheme="minorHAnsi"/>
          <w:sz w:val="20"/>
        </w:rPr>
        <w:t>Programming</w:t>
      </w:r>
      <w:r w:rsidRPr="005F120D">
        <w:rPr>
          <w:rFonts w:asciiTheme="minorHAnsi" w:hAnsiTheme="minorHAnsi" w:cstheme="minorHAnsi"/>
          <w:sz w:val="20"/>
        </w:rPr>
        <w:t>, Management and Monitoring (RBM) approach as applied at UNESCO – Guiding Principles. Paris, June 2011</w:t>
      </w:r>
    </w:p>
    <w:p w:rsidR="00BC6AE8" w:rsidRPr="005F120D" w:rsidRDefault="00BC6AE8" w:rsidP="00C437AA">
      <w:pPr>
        <w:spacing w:line="276" w:lineRule="auto"/>
        <w:rPr>
          <w:rFonts w:asciiTheme="minorHAnsi" w:hAnsiTheme="minorHAnsi" w:cstheme="minorHAnsi"/>
          <w:i/>
          <w:sz w:val="20"/>
        </w:rPr>
      </w:pPr>
      <w:r w:rsidRPr="005F120D">
        <w:rPr>
          <w:rFonts w:asciiTheme="minorHAnsi" w:hAnsiTheme="minorHAnsi" w:cstheme="minorHAnsi"/>
          <w:sz w:val="20"/>
        </w:rPr>
        <w:t>World Bank “Seeding Fertile Ground: Education That Works for Bangladesh” 2014</w:t>
      </w:r>
    </w:p>
    <w:p w:rsidR="00BC6AE8" w:rsidRPr="005F120D" w:rsidRDefault="002E2ED5" w:rsidP="00C437AA">
      <w:pPr>
        <w:spacing w:line="276" w:lineRule="auto"/>
        <w:rPr>
          <w:rStyle w:val="Hyperlink"/>
          <w:rFonts w:asciiTheme="minorHAnsi" w:hAnsiTheme="minorHAnsi" w:cstheme="minorHAnsi"/>
          <w:b/>
          <w:i/>
          <w:color w:val="auto"/>
          <w:sz w:val="20"/>
        </w:rPr>
      </w:pPr>
      <w:hyperlink r:id="rId76" w:history="1">
        <w:r w:rsidR="00BC6AE8" w:rsidRPr="005F120D">
          <w:rPr>
            <w:rStyle w:val="Hyperlink"/>
            <w:rFonts w:asciiTheme="minorHAnsi" w:hAnsiTheme="minorHAnsi" w:cstheme="minorHAnsi"/>
            <w:b/>
            <w:color w:val="auto"/>
            <w:sz w:val="20"/>
          </w:rPr>
          <w:t>http://unesdoc.unesco.org/images/0017/001775/177568e.pdf[</w:t>
        </w:r>
        <w:r w:rsidR="00BC6AE8" w:rsidRPr="005F120D">
          <w:rPr>
            <w:rStyle w:val="Hyperlink"/>
            <w:rFonts w:asciiTheme="minorHAnsi" w:hAnsiTheme="minorHAnsi" w:cstheme="minorHAnsi"/>
            <w:b/>
            <w:i/>
            <w:color w:val="auto"/>
            <w:sz w:val="20"/>
          </w:rPr>
          <w:t>accessed 15 January 2012</w:t>
        </w:r>
      </w:hyperlink>
      <w:r w:rsidR="00BC6AE8" w:rsidRPr="005F120D">
        <w:rPr>
          <w:rStyle w:val="Hyperlink"/>
          <w:rFonts w:asciiTheme="minorHAnsi" w:hAnsiTheme="minorHAnsi" w:cstheme="minorHAnsi"/>
          <w:b/>
          <w:color w:val="auto"/>
          <w:sz w:val="20"/>
        </w:rPr>
        <w:t>].</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 xml:space="preserve">UNESCO (2006). National Education Sector Development Plan: A result-based planning handbook Education Policies and Strategies, 13 </w:t>
      </w:r>
      <w:hyperlink r:id="rId77" w:history="1">
        <w:r w:rsidRPr="005F120D">
          <w:rPr>
            <w:rStyle w:val="Hyperlink"/>
            <w:rFonts w:asciiTheme="minorHAnsi" w:hAnsiTheme="minorHAnsi" w:cstheme="minorHAnsi"/>
            <w:b/>
            <w:color w:val="auto"/>
            <w:sz w:val="20"/>
          </w:rPr>
          <w:t>http://unesdoc.unesco.org/images/0014/001447/144783e.pdf</w:t>
        </w:r>
      </w:hyperlink>
      <w:r w:rsidRPr="005F120D">
        <w:rPr>
          <w:rStyle w:val="Hyperlink"/>
          <w:rFonts w:asciiTheme="minorHAnsi" w:hAnsiTheme="minorHAnsi" w:cstheme="minorHAnsi"/>
          <w:b/>
          <w:color w:val="auto"/>
          <w:sz w:val="20"/>
        </w:rPr>
        <w:t>[</w:t>
      </w:r>
      <w:r w:rsidRPr="005F120D">
        <w:rPr>
          <w:rFonts w:asciiTheme="minorHAnsi" w:hAnsiTheme="minorHAnsi" w:cstheme="minorHAnsi"/>
          <w:i/>
          <w:sz w:val="20"/>
        </w:rPr>
        <w:t>accessed 15 January 2012</w:t>
      </w:r>
      <w:r w:rsidRPr="005F120D">
        <w:rPr>
          <w:rFonts w:asciiTheme="minorHAnsi" w:hAnsiTheme="minorHAnsi" w:cstheme="minorHAnsi"/>
          <w:sz w:val="20"/>
        </w:rPr>
        <w:t>].</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UNICEF (April 2010). ‘Formative evaluation of the school-level improvement plan’.</w:t>
      </w:r>
      <w:r w:rsidR="00045BB9">
        <w:rPr>
          <w:rFonts w:asciiTheme="minorHAnsi" w:hAnsiTheme="minorHAnsi" w:cstheme="minorHAnsi"/>
          <w:sz w:val="20"/>
        </w:rPr>
        <w:t xml:space="preserve"> </w:t>
      </w:r>
      <w:r w:rsidRPr="005F120D">
        <w:rPr>
          <w:rFonts w:asciiTheme="minorHAnsi" w:hAnsiTheme="minorHAnsi" w:cstheme="minorHAnsi"/>
          <w:sz w:val="20"/>
        </w:rPr>
        <w:t>UNICEF Dhaka.</w:t>
      </w:r>
    </w:p>
    <w:p w:rsidR="00BC6AE8" w:rsidRPr="005F120D" w:rsidRDefault="00BC6AE8" w:rsidP="00C437AA">
      <w:pPr>
        <w:spacing w:line="276" w:lineRule="auto"/>
        <w:rPr>
          <w:rFonts w:asciiTheme="minorHAnsi" w:hAnsiTheme="minorHAnsi" w:cstheme="minorHAnsi"/>
          <w:sz w:val="20"/>
        </w:rPr>
      </w:pPr>
      <w:r w:rsidRPr="005F120D">
        <w:rPr>
          <w:rFonts w:asciiTheme="minorHAnsi" w:hAnsiTheme="minorHAnsi" w:cstheme="minorHAnsi"/>
          <w:sz w:val="20"/>
        </w:rPr>
        <w:t xml:space="preserve">World Bank (2004). Ten Steps to a Results Based Monitoring and Evaluation System – A Handbook for Development Practitioners. </w:t>
      </w:r>
    </w:p>
    <w:p w:rsidR="00332BB3" w:rsidRPr="005F120D" w:rsidRDefault="00332BB3" w:rsidP="00C437AA">
      <w:pPr>
        <w:spacing w:line="276" w:lineRule="auto"/>
        <w:rPr>
          <w:rFonts w:asciiTheme="minorHAnsi" w:hAnsiTheme="minorHAnsi" w:cstheme="minorHAnsi"/>
          <w:color w:val="FF0000"/>
        </w:rPr>
        <w:sectPr w:rsidR="00332BB3" w:rsidRPr="005F120D" w:rsidSect="00EA356A">
          <w:type w:val="nextColumn"/>
          <w:pgSz w:w="11909" w:h="16834" w:code="9"/>
          <w:pgMar w:top="1440" w:right="1440" w:bottom="1440" w:left="1440" w:header="720" w:footer="720" w:gutter="0"/>
          <w:cols w:space="720"/>
          <w:docGrid w:linePitch="360"/>
        </w:sectPr>
      </w:pPr>
    </w:p>
    <w:p w:rsidR="00332BB3" w:rsidRPr="005F120D" w:rsidRDefault="00332BB3" w:rsidP="003F5F17">
      <w:pPr>
        <w:pStyle w:val="Heading1"/>
      </w:pPr>
      <w:bookmarkStart w:id="627" w:name="_Toc385419534"/>
      <w:bookmarkStart w:id="628" w:name="_Toc385245768"/>
      <w:bookmarkStart w:id="629" w:name="_Toc462837205"/>
      <w:r w:rsidRPr="005F120D">
        <w:lastRenderedPageBreak/>
        <w:t>Annexes</w:t>
      </w:r>
      <w:bookmarkEnd w:id="627"/>
      <w:bookmarkEnd w:id="629"/>
    </w:p>
    <w:p w:rsidR="00332BB3" w:rsidRPr="005F120D" w:rsidRDefault="00332BB3" w:rsidP="00B25E46">
      <w:pPr>
        <w:pStyle w:val="Heading1NONUM"/>
        <w:spacing w:before="120" w:after="120"/>
        <w:rPr>
          <w:rFonts w:cstheme="minorHAnsi"/>
          <w:color w:val="008000"/>
        </w:rPr>
      </w:pPr>
      <w:bookmarkStart w:id="630" w:name="_Toc385419535"/>
      <w:bookmarkStart w:id="631" w:name="_Toc462837206"/>
      <w:r w:rsidRPr="005F120D">
        <w:rPr>
          <w:rFonts w:cstheme="minorHAnsi"/>
          <w:color w:val="008000"/>
        </w:rPr>
        <w:t xml:space="preserve">Annex A. PEDP3 </w:t>
      </w:r>
      <w:r w:rsidR="000B14A5" w:rsidRPr="005F120D">
        <w:rPr>
          <w:rFonts w:cstheme="minorHAnsi"/>
          <w:color w:val="008000"/>
        </w:rPr>
        <w:t>Result Cha</w:t>
      </w:r>
      <w:bookmarkEnd w:id="628"/>
      <w:bookmarkEnd w:id="630"/>
      <w:r w:rsidR="000B14A5" w:rsidRPr="005F120D">
        <w:rPr>
          <w:rFonts w:cstheme="minorHAnsi"/>
          <w:color w:val="008000"/>
        </w:rPr>
        <w:t>in</w:t>
      </w:r>
      <w:bookmarkEnd w:id="631"/>
    </w:p>
    <w:p w:rsidR="00DE6495" w:rsidRPr="005F120D" w:rsidRDefault="00DE6495" w:rsidP="00B25E46">
      <w:pPr>
        <w:pStyle w:val="BodyText1"/>
        <w:spacing w:before="120" w:after="120" w:line="240" w:lineRule="auto"/>
        <w:rPr>
          <w:rFonts w:asciiTheme="minorHAnsi" w:hAnsiTheme="minorHAnsi" w:cstheme="minorHAnsi"/>
          <w:bCs/>
          <w:color w:val="008000"/>
          <w:sz w:val="20"/>
          <w:szCs w:val="20"/>
        </w:rPr>
      </w:pPr>
      <w:r w:rsidRPr="005F120D">
        <w:rPr>
          <w:rFonts w:asciiTheme="minorHAnsi" w:hAnsiTheme="minorHAnsi" w:cstheme="minorHAnsi"/>
          <w:color w:val="008000"/>
          <w:sz w:val="20"/>
          <w:szCs w:val="20"/>
        </w:rPr>
        <w:t xml:space="preserve">PEDP3 </w:t>
      </w:r>
      <w:r w:rsidRPr="005F120D">
        <w:rPr>
          <w:rFonts w:asciiTheme="minorHAnsi" w:hAnsiTheme="minorHAnsi" w:cstheme="minorHAnsi"/>
          <w:bCs/>
          <w:i/>
          <w:iCs/>
          <w:color w:val="008000"/>
          <w:sz w:val="20"/>
          <w:szCs w:val="20"/>
        </w:rPr>
        <w:t xml:space="preserve">Component 1: </w:t>
      </w:r>
      <w:r w:rsidRPr="005F120D">
        <w:rPr>
          <w:rFonts w:asciiTheme="minorHAnsi" w:hAnsiTheme="minorHAnsi" w:cstheme="minorHAnsi"/>
          <w:bCs/>
          <w:color w:val="008000"/>
          <w:sz w:val="20"/>
          <w:szCs w:val="20"/>
        </w:rPr>
        <w:t>Learning and teaching</w:t>
      </w:r>
    </w:p>
    <w:p w:rsidR="00AF10C9" w:rsidRPr="005F120D" w:rsidRDefault="00AF10C9" w:rsidP="00B25E46">
      <w:pPr>
        <w:spacing w:after="0"/>
        <w:jc w:val="both"/>
        <w:rPr>
          <w:rFonts w:asciiTheme="minorHAnsi" w:hAnsiTheme="minorHAnsi" w:cstheme="minorHAnsi"/>
          <w:sz w:val="20"/>
        </w:rPr>
      </w:pPr>
      <w:r w:rsidRPr="005F120D">
        <w:rPr>
          <w:rFonts w:asciiTheme="minorHAnsi" w:hAnsiTheme="minorHAnsi" w:cstheme="minorHAnsi"/>
          <w:sz w:val="20"/>
        </w:rPr>
        <w:t>Improving learning outcomes and cycle completion are two of the major objectives of PEDP3. Accordingly, the Program framework of PEDP3 prioritizes both objectives</w:t>
      </w:r>
      <w:r w:rsidR="00045BB9">
        <w:rPr>
          <w:rFonts w:asciiTheme="minorHAnsi" w:hAnsiTheme="minorHAnsi" w:cstheme="minorHAnsi"/>
          <w:sz w:val="20"/>
        </w:rPr>
        <w:t xml:space="preserve"> </w:t>
      </w:r>
      <w:r w:rsidRPr="005F120D">
        <w:rPr>
          <w:rFonts w:asciiTheme="minorHAnsi" w:hAnsiTheme="minorHAnsi" w:cstheme="minorHAnsi"/>
          <w:sz w:val="20"/>
        </w:rPr>
        <w:t xml:space="preserve">as the key for improving learning and teaching.  </w:t>
      </w:r>
      <w:r w:rsidRPr="005F120D">
        <w:rPr>
          <w:rFonts w:asciiTheme="minorHAnsi" w:hAnsiTheme="minorHAnsi" w:cstheme="minorHAnsi"/>
          <w:b/>
          <w:sz w:val="20"/>
        </w:rPr>
        <w:t>Component-1</w:t>
      </w:r>
      <w:r w:rsidRPr="005F120D">
        <w:rPr>
          <w:rFonts w:asciiTheme="minorHAnsi" w:hAnsiTheme="minorHAnsi" w:cstheme="minorHAnsi"/>
          <w:sz w:val="20"/>
        </w:rPr>
        <w:t xml:space="preserve"> aims to strengthen the inter-relationship between curriculum, textbooks and materials, teacher training and student learning assessment. PEDP3 will use several mechanisms for collaboration and quality assurance. The expectations are that an improvement in quality of the curriculum, textbooks, teacher training (pre-service, upgraded Dip-in Ed) and other teaching learning materials including e-learning materials, plus classroom teaching and various forms of assessment, will lead to the</w:t>
      </w:r>
      <w:r w:rsidR="00045BB9">
        <w:rPr>
          <w:rFonts w:asciiTheme="minorHAnsi" w:hAnsiTheme="minorHAnsi" w:cstheme="minorHAnsi"/>
          <w:sz w:val="20"/>
        </w:rPr>
        <w:t xml:space="preserve"> </w:t>
      </w:r>
      <w:r w:rsidRPr="005F120D">
        <w:rPr>
          <w:rFonts w:asciiTheme="minorHAnsi" w:hAnsiTheme="minorHAnsi" w:cstheme="minorHAnsi"/>
          <w:sz w:val="20"/>
        </w:rPr>
        <w:t>better achievement of learning outcomes by all children.</w:t>
      </w:r>
    </w:p>
    <w:p w:rsidR="00AF10C9" w:rsidRPr="005F120D" w:rsidRDefault="00AF10C9" w:rsidP="00B25E46">
      <w:pPr>
        <w:spacing w:after="0"/>
        <w:jc w:val="both"/>
        <w:rPr>
          <w:rFonts w:asciiTheme="minorHAnsi" w:hAnsiTheme="minorHAnsi" w:cstheme="minorHAnsi"/>
          <w:bCs/>
          <w:sz w:val="6"/>
        </w:rPr>
      </w:pPr>
    </w:p>
    <w:p w:rsidR="00AF10C9" w:rsidRPr="005F120D" w:rsidRDefault="00AF10C9" w:rsidP="00B25E46">
      <w:pPr>
        <w:jc w:val="both"/>
        <w:rPr>
          <w:rFonts w:asciiTheme="minorHAnsi" w:hAnsiTheme="minorHAnsi" w:cstheme="minorHAnsi"/>
          <w:sz w:val="20"/>
        </w:rPr>
      </w:pPr>
      <w:r w:rsidRPr="005F120D">
        <w:rPr>
          <w:rFonts w:asciiTheme="minorHAnsi" w:hAnsiTheme="minorHAnsi" w:cstheme="minorHAnsi"/>
          <w:sz w:val="20"/>
        </w:rPr>
        <w:t xml:space="preserve">The component is also linked to the strengthening of the student assessment system as measured in the NSA surveys, as well as to classroom-based assessment and the competency-based Grade 5 Primary Education Completion Examination. The overall assessment system reforms are part of Component 3 (effectiveness) but their implications for classroom-based assessment feed into Component-1. The strong focus on competency-based assessment will have a significant positive effect on what and how teachers teach and children learn, as it will encourage and reward the development of a range of important skills and abilities. </w:t>
      </w:r>
    </w:p>
    <w:p w:rsidR="00AF10C9" w:rsidRPr="005F120D" w:rsidRDefault="00AF10C9" w:rsidP="00B25E46">
      <w:pPr>
        <w:pStyle w:val="BodyText1"/>
        <w:spacing w:before="120" w:line="240" w:lineRule="auto"/>
        <w:jc w:val="both"/>
        <w:rPr>
          <w:rFonts w:asciiTheme="minorHAnsi" w:hAnsiTheme="minorHAnsi" w:cstheme="minorHAnsi"/>
          <w:i/>
          <w:color w:val="008000"/>
          <w:sz w:val="20"/>
          <w:szCs w:val="20"/>
        </w:rPr>
      </w:pPr>
      <w:r w:rsidRPr="005F120D">
        <w:rPr>
          <w:rFonts w:asciiTheme="minorHAnsi" w:hAnsiTheme="minorHAnsi" w:cstheme="minorHAnsi"/>
          <w:i/>
          <w:color w:val="008000"/>
          <w:sz w:val="20"/>
          <w:szCs w:val="20"/>
        </w:rPr>
        <w:t>Results Area: 1 Learning Outcomes</w:t>
      </w:r>
    </w:p>
    <w:p w:rsidR="00AF10C9" w:rsidRPr="005F120D" w:rsidRDefault="00AF10C9" w:rsidP="00B25E46">
      <w:pPr>
        <w:pStyle w:val="BodyText1"/>
        <w:spacing w:after="0" w:line="240" w:lineRule="auto"/>
        <w:jc w:val="both"/>
        <w:rPr>
          <w:rFonts w:asciiTheme="minorHAnsi" w:hAnsiTheme="minorHAnsi" w:cstheme="minorHAnsi"/>
          <w:color w:val="008000"/>
          <w:sz w:val="20"/>
          <w:szCs w:val="20"/>
        </w:rPr>
      </w:pPr>
      <w:r w:rsidRPr="005F120D">
        <w:rPr>
          <w:rFonts w:asciiTheme="minorHAnsi" w:hAnsiTheme="minorHAnsi" w:cstheme="minorHAnsi"/>
          <w:color w:val="008000"/>
          <w:sz w:val="20"/>
          <w:szCs w:val="20"/>
        </w:rPr>
        <w:t>Expected outcome:</w:t>
      </w:r>
    </w:p>
    <w:p w:rsidR="00AF10C9" w:rsidRPr="005F120D" w:rsidRDefault="00AF10C9" w:rsidP="00B25E46">
      <w:pPr>
        <w:pStyle w:val="BodyText1"/>
        <w:numPr>
          <w:ilvl w:val="0"/>
          <w:numId w:val="25"/>
        </w:numPr>
        <w:spacing w:after="0" w:line="240" w:lineRule="auto"/>
        <w:jc w:val="both"/>
        <w:rPr>
          <w:rFonts w:asciiTheme="minorHAnsi" w:hAnsiTheme="minorHAnsi" w:cstheme="minorHAnsi"/>
          <w:b w:val="0"/>
          <w:color w:val="008000"/>
          <w:sz w:val="20"/>
          <w:szCs w:val="20"/>
        </w:rPr>
      </w:pPr>
      <w:r w:rsidRPr="005F120D">
        <w:rPr>
          <w:rFonts w:asciiTheme="minorHAnsi" w:hAnsiTheme="minorHAnsi" w:cstheme="minorHAnsi"/>
          <w:b w:val="0"/>
          <w:color w:val="008000"/>
          <w:sz w:val="20"/>
          <w:szCs w:val="20"/>
        </w:rPr>
        <w:t>All children acquire grade-wise and subject-wise expected learning outcomes or competencies in the classroom.</w:t>
      </w:r>
    </w:p>
    <w:p w:rsidR="00AF10C9" w:rsidRPr="005F120D" w:rsidRDefault="00AF10C9" w:rsidP="00EC3044">
      <w:pPr>
        <w:autoSpaceDE w:val="0"/>
        <w:autoSpaceDN w:val="0"/>
        <w:adjustRightInd w:val="0"/>
        <w:spacing w:before="120" w:after="120"/>
        <w:jc w:val="both"/>
        <w:rPr>
          <w:rFonts w:asciiTheme="minorHAnsi" w:hAnsiTheme="minorHAnsi" w:cstheme="minorHAnsi"/>
          <w:sz w:val="20"/>
        </w:rPr>
      </w:pPr>
      <w:r w:rsidRPr="005F120D">
        <w:rPr>
          <w:rFonts w:asciiTheme="minorHAnsi" w:hAnsiTheme="minorHAnsi" w:cstheme="minorHAnsi"/>
          <w:sz w:val="20"/>
        </w:rPr>
        <w:t>The selected KPIs are used for measuring the performance of learning outcomes in addition to sub-component indicators (see the list of KPIs, PSQLs, DL</w:t>
      </w:r>
      <w:r w:rsidR="00832B96" w:rsidRPr="005F120D">
        <w:rPr>
          <w:rFonts w:asciiTheme="minorHAnsi" w:hAnsiTheme="minorHAnsi" w:cstheme="minorHAnsi"/>
          <w:sz w:val="20"/>
        </w:rPr>
        <w:t>Is and subcomponents as Annex I</w:t>
      </w:r>
      <w:r w:rsidRPr="005F120D">
        <w:rPr>
          <w:rFonts w:asciiTheme="minorHAnsi" w:hAnsiTheme="minorHAnsi" w:cstheme="minorHAnsi"/>
          <w:sz w:val="20"/>
        </w:rPr>
        <w:t>):</w:t>
      </w:r>
    </w:p>
    <w:p w:rsidR="00AF10C9" w:rsidRPr="005F120D" w:rsidRDefault="00AF10C9" w:rsidP="00B25E46">
      <w:pPr>
        <w:pStyle w:val="BodyText1"/>
        <w:spacing w:line="240" w:lineRule="auto"/>
        <w:rPr>
          <w:rFonts w:asciiTheme="minorHAnsi" w:hAnsiTheme="minorHAnsi" w:cstheme="minorHAnsi"/>
          <w:sz w:val="20"/>
          <w:szCs w:val="20"/>
        </w:rPr>
      </w:pPr>
      <w:r w:rsidRPr="005F120D">
        <w:rPr>
          <w:rFonts w:asciiTheme="minorHAnsi" w:hAnsiTheme="minorHAnsi" w:cstheme="minorHAnsi"/>
          <w:sz w:val="20"/>
          <w:szCs w:val="20"/>
        </w:rPr>
        <w:t>In summary, the Component 1 results chain is as follows:</w:t>
      </w:r>
    </w:p>
    <w:tbl>
      <w:tblPr>
        <w:tblW w:w="5000" w:type="pct"/>
        <w:jc w:val="center"/>
        <w:tblLook w:val="04A0"/>
      </w:tblPr>
      <w:tblGrid>
        <w:gridCol w:w="2638"/>
        <w:gridCol w:w="581"/>
        <w:gridCol w:w="2666"/>
        <w:gridCol w:w="703"/>
        <w:gridCol w:w="2657"/>
      </w:tblGrid>
      <w:tr w:rsidR="00AF10C9" w:rsidRPr="005F120D" w:rsidTr="00BD53B7">
        <w:trPr>
          <w:jc w:val="center"/>
        </w:trPr>
        <w:tc>
          <w:tcPr>
            <w:tcW w:w="1427" w:type="pct"/>
            <w:tcBorders>
              <w:top w:val="double" w:sz="4" w:space="0" w:color="4F6228"/>
              <w:left w:val="double" w:sz="4" w:space="0" w:color="4F6228"/>
              <w:bottom w:val="double" w:sz="4" w:space="0" w:color="4F6228"/>
              <w:right w:val="double" w:sz="4" w:space="0" w:color="4F6228"/>
            </w:tcBorders>
            <w:shd w:val="clear" w:color="auto" w:fill="EAF1DD"/>
          </w:tcPr>
          <w:p w:rsidR="00AF10C9" w:rsidRPr="005F120D" w:rsidRDefault="00AF10C9" w:rsidP="00B25E46">
            <w:pPr>
              <w:pStyle w:val="NoSpacing"/>
              <w:jc w:val="center"/>
              <w:rPr>
                <w:rFonts w:asciiTheme="minorHAnsi" w:eastAsia="Calibri" w:hAnsiTheme="minorHAnsi" w:cstheme="minorHAnsi"/>
                <w:b/>
                <w:color w:val="008000"/>
                <w:sz w:val="18"/>
              </w:rPr>
            </w:pPr>
            <w:r w:rsidRPr="005F120D">
              <w:rPr>
                <w:rFonts w:asciiTheme="minorHAnsi" w:eastAsia="Calibri" w:hAnsiTheme="minorHAnsi" w:cstheme="minorHAnsi"/>
                <w:b/>
                <w:color w:val="008000"/>
                <w:sz w:val="18"/>
              </w:rPr>
              <w:t>ACTIVITIES</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Pilot activities to determine effective learning strategies in line with ‘Every child learns’</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Competency-based curriculum, teaching and learning and assessment materials developed, piloted and produced</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b/>
                <w:sz w:val="18"/>
              </w:rPr>
            </w:pPr>
            <w:r w:rsidRPr="005F120D">
              <w:rPr>
                <w:rFonts w:asciiTheme="minorHAnsi" w:eastAsia="Calibri" w:hAnsiTheme="minorHAnsi" w:cstheme="minorHAnsi"/>
                <w:sz w:val="18"/>
              </w:rPr>
              <w:t>Provision of teacher and head teacher training targeted at ‘Every child learns’ and the teaching of competency-based skills</w:t>
            </w:r>
          </w:p>
        </w:tc>
        <w:tc>
          <w:tcPr>
            <w:tcW w:w="314" w:type="pct"/>
            <w:tcBorders>
              <w:left w:val="double" w:sz="4" w:space="0" w:color="4F6228"/>
              <w:right w:val="double" w:sz="4" w:space="0" w:color="4F6228"/>
            </w:tcBorders>
            <w:shd w:val="clear" w:color="auto" w:fill="auto"/>
          </w:tcPr>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p>
          <w:p w:rsidR="00AF10C9" w:rsidRPr="005F120D" w:rsidRDefault="002E2ED5" w:rsidP="00B25E46">
            <w:pPr>
              <w:pStyle w:val="NoSpacing"/>
              <w:rPr>
                <w:rFonts w:asciiTheme="minorHAnsi" w:eastAsia="Calibri" w:hAnsiTheme="minorHAnsi" w:cstheme="minorHAnsi"/>
                <w:sz w:val="18"/>
              </w:rPr>
            </w:pPr>
            <w:r>
              <w:rPr>
                <w:rFonts w:asciiTheme="minorHAnsi" w:eastAsia="Calibri" w:hAnsiTheme="minorHAnsi" w:cstheme="minorHAnsi"/>
                <w:noProof/>
                <w:sz w:val="18"/>
                <w:lang w:eastAsia="en-US"/>
              </w:rPr>
              <w:pict>
                <v:shape id="AutoShape 52" o:spid="_x0000_s1076" type="#_x0000_t68" style="position:absolute;margin-left:-8.1pt;margin-top:35.9pt;width:34.4pt;height:23.95pt;rotation:9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" fillcolor="#c2d69b" strokecolor="#00c">
                  <v:textbox style="layout-flow:vertical-ideographic"/>
                </v:shape>
              </w:pict>
            </w:r>
          </w:p>
        </w:tc>
        <w:tc>
          <w:tcPr>
            <w:tcW w:w="1442" w:type="pct"/>
            <w:tcBorders>
              <w:top w:val="double" w:sz="4" w:space="0" w:color="4F6228"/>
              <w:left w:val="double" w:sz="4" w:space="0" w:color="4F6228"/>
              <w:bottom w:val="double" w:sz="4" w:space="0" w:color="4F6228"/>
              <w:right w:val="double" w:sz="4" w:space="0" w:color="4F6228"/>
            </w:tcBorders>
            <w:shd w:val="clear" w:color="auto" w:fill="D6E3BC"/>
          </w:tcPr>
          <w:p w:rsidR="00AF10C9" w:rsidRPr="005F120D" w:rsidRDefault="00AF10C9" w:rsidP="00B25E46">
            <w:pPr>
              <w:pStyle w:val="NoSpacing"/>
              <w:jc w:val="center"/>
              <w:rPr>
                <w:rFonts w:asciiTheme="minorHAnsi" w:eastAsia="Calibri" w:hAnsiTheme="minorHAnsi" w:cstheme="minorHAnsi"/>
                <w:b/>
                <w:color w:val="008000"/>
                <w:sz w:val="18"/>
              </w:rPr>
            </w:pPr>
            <w:r w:rsidRPr="005F120D">
              <w:rPr>
                <w:rFonts w:asciiTheme="minorHAnsi" w:eastAsia="Calibri" w:hAnsiTheme="minorHAnsi" w:cstheme="minorHAnsi"/>
                <w:b/>
                <w:color w:val="008000"/>
                <w:sz w:val="18"/>
              </w:rPr>
              <w:t>OUTPUTS</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Effective classroom learning strategies identified</w:t>
            </w:r>
          </w:p>
          <w:p w:rsidR="00AF10C9" w:rsidRPr="005F120D" w:rsidRDefault="00AF10C9" w:rsidP="00B25E46">
            <w:pPr>
              <w:pStyle w:val="NoSpacing"/>
              <w:rPr>
                <w:rFonts w:asciiTheme="minorHAnsi" w:eastAsia="Calibri" w:hAnsiTheme="minorHAnsi" w:cstheme="minorHAnsi"/>
                <w:sz w:val="6"/>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 xml:space="preserve">Introduction of competency-based curriculum </w:t>
            </w:r>
          </w:p>
          <w:p w:rsidR="00AF10C9" w:rsidRPr="005F120D" w:rsidRDefault="00AF10C9" w:rsidP="00B25E46">
            <w:pPr>
              <w:pStyle w:val="NoSpacing"/>
              <w:rPr>
                <w:rFonts w:asciiTheme="minorHAnsi" w:eastAsia="Calibri" w:hAnsiTheme="minorHAnsi" w:cstheme="minorHAnsi"/>
                <w:sz w:val="10"/>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Sufficient quantities of appropriate teaching and learning materials available</w:t>
            </w:r>
          </w:p>
          <w:p w:rsidR="00AF10C9" w:rsidRPr="005F120D" w:rsidRDefault="00AF10C9" w:rsidP="00B25E46">
            <w:pPr>
              <w:pStyle w:val="NoSpacing"/>
              <w:rPr>
                <w:rFonts w:asciiTheme="minorHAnsi" w:eastAsia="Calibri" w:hAnsiTheme="minorHAnsi" w:cstheme="minorHAnsi"/>
                <w:sz w:val="12"/>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 xml:space="preserve">Appropriately trained and qualified teachers and head teachers in schools </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Classroom and terminal assessment and exams based on competencies</w:t>
            </w:r>
          </w:p>
        </w:tc>
        <w:tc>
          <w:tcPr>
            <w:tcW w:w="380" w:type="pct"/>
            <w:tcBorders>
              <w:left w:val="double" w:sz="4" w:space="0" w:color="4F6228"/>
              <w:right w:val="double" w:sz="4" w:space="0" w:color="4F6228"/>
            </w:tcBorders>
            <w:shd w:val="clear" w:color="auto" w:fill="auto"/>
          </w:tcPr>
          <w:p w:rsidR="00AF10C9" w:rsidRPr="005F120D" w:rsidRDefault="002E2ED5" w:rsidP="00B25E46">
            <w:pPr>
              <w:pStyle w:val="NoSpacing"/>
              <w:rPr>
                <w:rFonts w:asciiTheme="minorHAnsi" w:eastAsia="Calibri" w:hAnsiTheme="minorHAnsi" w:cstheme="minorHAnsi"/>
                <w:sz w:val="20"/>
              </w:rPr>
            </w:pPr>
            <w:r>
              <w:rPr>
                <w:rFonts w:asciiTheme="minorHAnsi" w:eastAsia="Calibri" w:hAnsiTheme="minorHAnsi" w:cstheme="minorHAnsi"/>
                <w:noProof/>
                <w:sz w:val="20"/>
                <w:lang w:eastAsia="en-US"/>
              </w:rPr>
              <w:pict>
                <v:shape id="AutoShape 51" o:spid="_x0000_s1075" type="#_x0000_t68" style="position:absolute;margin-left:-4.1pt;margin-top:78.1pt;width:34.4pt;height:23.95pt;rotation:90;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" fillcolor="#4e6128" strokecolor="#00c">
                  <v:textbox style="layout-flow:vertical-ideographic"/>
                </v:shape>
              </w:pict>
            </w:r>
          </w:p>
        </w:tc>
        <w:tc>
          <w:tcPr>
            <w:tcW w:w="1437" w:type="pct"/>
            <w:tcBorders>
              <w:top w:val="double" w:sz="4" w:space="0" w:color="4F6228"/>
              <w:left w:val="double" w:sz="4" w:space="0" w:color="4F6228"/>
              <w:bottom w:val="double" w:sz="4" w:space="0" w:color="4F6228"/>
              <w:right w:val="double" w:sz="4" w:space="0" w:color="4F6228"/>
            </w:tcBorders>
            <w:shd w:val="clear" w:color="auto" w:fill="C2D69B"/>
          </w:tcPr>
          <w:p w:rsidR="00AF10C9" w:rsidRPr="005F120D" w:rsidRDefault="00AF10C9" w:rsidP="00B25E46">
            <w:pPr>
              <w:pStyle w:val="NoSpacing"/>
              <w:jc w:val="center"/>
              <w:rPr>
                <w:rFonts w:asciiTheme="minorHAnsi" w:eastAsia="Calibri" w:hAnsiTheme="minorHAnsi" w:cstheme="minorHAnsi"/>
                <w:b/>
                <w:color w:val="008000"/>
                <w:sz w:val="18"/>
              </w:rPr>
            </w:pPr>
            <w:r w:rsidRPr="005F120D">
              <w:rPr>
                <w:rFonts w:asciiTheme="minorHAnsi" w:eastAsia="Calibri" w:hAnsiTheme="minorHAnsi" w:cstheme="minorHAnsi"/>
                <w:b/>
                <w:color w:val="008000"/>
                <w:sz w:val="20"/>
              </w:rPr>
              <w:t xml:space="preserve">EARLY </w:t>
            </w:r>
            <w:r w:rsidRPr="005F120D">
              <w:rPr>
                <w:rFonts w:asciiTheme="minorHAnsi" w:eastAsia="Calibri" w:hAnsiTheme="minorHAnsi" w:cstheme="minorHAnsi"/>
                <w:b/>
                <w:color w:val="008000"/>
                <w:sz w:val="18"/>
              </w:rPr>
              <w:t>OUTCOMES</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Teacher capacity to provide a competency-based learning experience for all children developed</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Teachers held accountable for each child’s learning</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 xml:space="preserve">Head teachers and other supervisors able to provide support to classroom teachers </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20"/>
              </w:rPr>
            </w:pPr>
            <w:r w:rsidRPr="005F120D">
              <w:rPr>
                <w:rFonts w:asciiTheme="minorHAnsi" w:eastAsia="Calibri" w:hAnsiTheme="minorHAnsi" w:cstheme="minorHAnsi"/>
                <w:sz w:val="18"/>
              </w:rPr>
              <w:t>Children develop a range of competencies especially in Bangla and Mathematics</w:t>
            </w:r>
          </w:p>
        </w:tc>
      </w:tr>
    </w:tbl>
    <w:p w:rsidR="00AF10C9" w:rsidRPr="005F120D" w:rsidRDefault="00AF10C9" w:rsidP="00B25E46">
      <w:pPr>
        <w:pStyle w:val="BodyText1"/>
        <w:keepNext/>
        <w:spacing w:line="240" w:lineRule="auto"/>
        <w:rPr>
          <w:rFonts w:asciiTheme="minorHAnsi" w:hAnsiTheme="minorHAnsi" w:cstheme="minorHAnsi"/>
          <w:b w:val="0"/>
          <w:sz w:val="20"/>
          <w:szCs w:val="20"/>
        </w:rPr>
      </w:pPr>
      <w:r w:rsidRPr="005F120D">
        <w:rPr>
          <w:rFonts w:asciiTheme="minorHAnsi" w:hAnsiTheme="minorHAnsi" w:cstheme="minorHAnsi"/>
          <w:b w:val="0"/>
          <w:sz w:val="20"/>
          <w:szCs w:val="20"/>
        </w:rPr>
        <w:lastRenderedPageBreak/>
        <w:t>It is expected that early outcomes result in both medium- and long-term outcomes:</w:t>
      </w:r>
    </w:p>
    <w:tbl>
      <w:tblPr>
        <w:tblW w:w="5000" w:type="pct"/>
        <w:jc w:val="center"/>
        <w:tblLook w:val="04A0"/>
      </w:tblPr>
      <w:tblGrid>
        <w:gridCol w:w="2637"/>
        <w:gridCol w:w="527"/>
        <w:gridCol w:w="2812"/>
        <w:gridCol w:w="616"/>
        <w:gridCol w:w="2653"/>
      </w:tblGrid>
      <w:tr w:rsidR="00AF10C9" w:rsidRPr="005F120D" w:rsidTr="00BD53B7">
        <w:trPr>
          <w:trHeight w:val="1916"/>
          <w:jc w:val="center"/>
        </w:trPr>
        <w:tc>
          <w:tcPr>
            <w:tcW w:w="1426" w:type="pct"/>
            <w:tcBorders>
              <w:top w:val="double" w:sz="4" w:space="0" w:color="76923C"/>
              <w:left w:val="double" w:sz="4" w:space="0" w:color="76923C"/>
              <w:bottom w:val="double" w:sz="4" w:space="0" w:color="76923C"/>
              <w:right w:val="double" w:sz="4" w:space="0" w:color="76923C"/>
            </w:tcBorders>
            <w:shd w:val="clear" w:color="auto" w:fill="C2D69B"/>
          </w:tcPr>
          <w:p w:rsidR="00AF10C9" w:rsidRPr="005F120D" w:rsidRDefault="00AF10C9" w:rsidP="00B25E46">
            <w:pPr>
              <w:pStyle w:val="NoSpacing"/>
              <w:jc w:val="center"/>
              <w:rPr>
                <w:rFonts w:asciiTheme="minorHAnsi" w:eastAsia="Calibri" w:hAnsiTheme="minorHAnsi" w:cstheme="minorHAnsi"/>
                <w:b/>
                <w:color w:val="008000"/>
                <w:sz w:val="18"/>
              </w:rPr>
            </w:pPr>
            <w:r w:rsidRPr="005F120D">
              <w:rPr>
                <w:rFonts w:asciiTheme="minorHAnsi" w:eastAsia="Calibri" w:hAnsiTheme="minorHAnsi" w:cstheme="minorHAnsi"/>
                <w:b/>
                <w:color w:val="008000"/>
                <w:sz w:val="18"/>
              </w:rPr>
              <w:t>EARLY OUTCOMES</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 xml:space="preserve">Teacher capacity </w:t>
            </w:r>
            <w:r w:rsidRPr="005F120D">
              <w:rPr>
                <w:rFonts w:asciiTheme="minorHAnsi" w:eastAsia="Calibri" w:hAnsiTheme="minorHAnsi" w:cstheme="minorHAnsi"/>
                <w:b/>
                <w:sz w:val="18"/>
              </w:rPr>
              <w:t xml:space="preserve">developed </w:t>
            </w:r>
            <w:r w:rsidRPr="005F120D">
              <w:rPr>
                <w:rFonts w:asciiTheme="minorHAnsi" w:eastAsia="Calibri" w:hAnsiTheme="minorHAnsi" w:cstheme="minorHAnsi"/>
                <w:sz w:val="18"/>
              </w:rPr>
              <w:t>to provide a competency-based learning experience for all children</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Teachers held accountable for each child’s learning</w:t>
            </w:r>
          </w:p>
        </w:tc>
        <w:tc>
          <w:tcPr>
            <w:tcW w:w="285" w:type="pct"/>
            <w:tcBorders>
              <w:left w:val="double" w:sz="4" w:space="0" w:color="76923C"/>
              <w:right w:val="double" w:sz="4" w:space="0" w:color="5F497A"/>
            </w:tcBorders>
            <w:shd w:val="clear" w:color="auto" w:fill="auto"/>
          </w:tcPr>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p>
          <w:p w:rsidR="00AF10C9" w:rsidRPr="005F120D" w:rsidRDefault="002E2ED5" w:rsidP="00B25E46">
            <w:pPr>
              <w:pStyle w:val="NoSpacing"/>
              <w:rPr>
                <w:rFonts w:asciiTheme="minorHAnsi" w:eastAsia="Calibri" w:hAnsiTheme="minorHAnsi" w:cstheme="minorHAnsi"/>
                <w:sz w:val="18"/>
              </w:rPr>
            </w:pPr>
            <w:r>
              <w:rPr>
                <w:rFonts w:asciiTheme="minorHAnsi" w:eastAsia="Calibri" w:hAnsiTheme="minorHAnsi" w:cstheme="minorHAnsi"/>
                <w:noProof/>
                <w:sz w:val="18"/>
                <w:lang w:eastAsia="en-US"/>
              </w:rPr>
              <w:pict>
                <v:shape id="AutoShape 54" o:spid="_x0000_s1074" type="#_x0000_t68" style="position:absolute;margin-left:-8.1pt;margin-top:16.4pt;width:34.4pt;height:23.95pt;rotation:9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" fillcolor="#5f497a" strokecolor="#92cddc">
                  <v:textbox style="layout-flow:vertical-ideographic"/>
                </v:shape>
              </w:pic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p>
        </w:tc>
        <w:tc>
          <w:tcPr>
            <w:tcW w:w="1521" w:type="pct"/>
            <w:tcBorders>
              <w:top w:val="double" w:sz="4" w:space="0" w:color="5F497A"/>
              <w:left w:val="double" w:sz="4" w:space="0" w:color="5F497A"/>
              <w:bottom w:val="double" w:sz="4" w:space="0" w:color="5F497A"/>
              <w:right w:val="double" w:sz="4" w:space="0" w:color="5F497A"/>
            </w:tcBorders>
            <w:shd w:val="clear" w:color="auto" w:fill="CCC0D9"/>
          </w:tcPr>
          <w:p w:rsidR="00AF10C9" w:rsidRPr="005F120D" w:rsidRDefault="00AF10C9" w:rsidP="00B25E46">
            <w:pPr>
              <w:pStyle w:val="NoSpacing"/>
              <w:jc w:val="center"/>
              <w:rPr>
                <w:rFonts w:asciiTheme="minorHAnsi" w:eastAsia="Calibri" w:hAnsiTheme="minorHAnsi" w:cstheme="minorHAnsi"/>
                <w:b/>
                <w:color w:val="008000"/>
                <w:sz w:val="18"/>
              </w:rPr>
            </w:pPr>
            <w:r w:rsidRPr="005F120D">
              <w:rPr>
                <w:rFonts w:asciiTheme="minorHAnsi" w:eastAsia="Calibri" w:hAnsiTheme="minorHAnsi" w:cstheme="minorHAnsi"/>
                <w:b/>
                <w:color w:val="008000"/>
                <w:sz w:val="18"/>
              </w:rPr>
              <w:t>MEDIUM-TERM OUTCOMES</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 xml:space="preserve">All children in grades 1 to 3 in participating schools acquire planned levels of competencies especially in Bangla and Mathematics  </w:t>
            </w:r>
          </w:p>
          <w:p w:rsidR="00AF10C9" w:rsidRPr="005F120D" w:rsidRDefault="00AF10C9" w:rsidP="00B25E46">
            <w:pPr>
              <w:pStyle w:val="NoSpacing"/>
              <w:rPr>
                <w:rFonts w:asciiTheme="minorHAnsi" w:eastAsia="Calibri" w:hAnsiTheme="minorHAnsi" w:cstheme="minorHAnsi"/>
                <w:sz w:val="18"/>
              </w:rPr>
            </w:pPr>
          </w:p>
        </w:tc>
        <w:tc>
          <w:tcPr>
            <w:tcW w:w="333" w:type="pct"/>
            <w:tcBorders>
              <w:left w:val="double" w:sz="4" w:space="0" w:color="5F497A"/>
              <w:right w:val="double" w:sz="4" w:space="0" w:color="E36C0A"/>
            </w:tcBorders>
            <w:shd w:val="clear" w:color="auto" w:fill="auto"/>
          </w:tcPr>
          <w:p w:rsidR="00AF10C9" w:rsidRPr="005F120D" w:rsidRDefault="002E2ED5" w:rsidP="00B25E46">
            <w:pPr>
              <w:pStyle w:val="NoSpacing"/>
              <w:rPr>
                <w:rFonts w:asciiTheme="minorHAnsi" w:eastAsia="Calibri" w:hAnsiTheme="minorHAnsi" w:cstheme="minorHAnsi"/>
                <w:sz w:val="18"/>
              </w:rPr>
            </w:pPr>
            <w:r>
              <w:rPr>
                <w:rFonts w:asciiTheme="minorHAnsi" w:eastAsia="Calibri" w:hAnsiTheme="minorHAnsi" w:cstheme="minorHAnsi"/>
                <w:noProof/>
                <w:sz w:val="18"/>
                <w:lang w:eastAsia="en-US"/>
              </w:rPr>
              <w:pict>
                <v:shape id="AutoShape 53" o:spid="_x0000_s1073" type="#_x0000_t68" style="position:absolute;margin-left:-5.75pt;margin-top:44.5pt;width:34.4pt;height:23.95pt;rotation:90;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" fillcolor="#fbd4b4" strokecolor="#00c">
                  <v:textbox style="layout-flow:vertical-ideographic"/>
                </v:shape>
              </w:pict>
            </w:r>
          </w:p>
        </w:tc>
        <w:tc>
          <w:tcPr>
            <w:tcW w:w="1435" w:type="pct"/>
            <w:tcBorders>
              <w:top w:val="double" w:sz="4" w:space="0" w:color="E36C0A"/>
              <w:left w:val="double" w:sz="4" w:space="0" w:color="E36C0A"/>
              <w:bottom w:val="double" w:sz="4" w:space="0" w:color="E36C0A"/>
              <w:right w:val="double" w:sz="4" w:space="0" w:color="E36C0A"/>
            </w:tcBorders>
            <w:shd w:val="clear" w:color="auto" w:fill="FBD4B4"/>
          </w:tcPr>
          <w:p w:rsidR="00AF10C9" w:rsidRPr="005F120D" w:rsidRDefault="00AF10C9" w:rsidP="00B25E46">
            <w:pPr>
              <w:pStyle w:val="NoSpacing"/>
              <w:jc w:val="center"/>
              <w:rPr>
                <w:rFonts w:asciiTheme="minorHAnsi" w:eastAsia="Calibri" w:hAnsiTheme="minorHAnsi" w:cstheme="minorHAnsi"/>
                <w:b/>
                <w:color w:val="008000"/>
                <w:sz w:val="18"/>
              </w:rPr>
            </w:pPr>
            <w:r w:rsidRPr="005F120D">
              <w:rPr>
                <w:rFonts w:asciiTheme="minorHAnsi" w:eastAsia="Calibri" w:hAnsiTheme="minorHAnsi" w:cstheme="minorHAnsi"/>
                <w:b/>
                <w:color w:val="008000"/>
                <w:sz w:val="18"/>
              </w:rPr>
              <w:t>LONG-TERM OUTCOMES</w:t>
            </w:r>
          </w:p>
          <w:p w:rsidR="00AF10C9" w:rsidRPr="005F120D" w:rsidRDefault="00AF10C9" w:rsidP="00B25E46">
            <w:pPr>
              <w:pStyle w:val="NoSpacing"/>
              <w:rPr>
                <w:rFonts w:asciiTheme="minorHAnsi" w:eastAsia="Calibri" w:hAnsiTheme="minorHAnsi" w:cstheme="minorHAnsi"/>
                <w:sz w:val="18"/>
              </w:rPr>
            </w:pPr>
          </w:p>
          <w:p w:rsidR="00AF10C9" w:rsidRPr="005F120D" w:rsidRDefault="00AF10C9" w:rsidP="00B25E46">
            <w:pPr>
              <w:pStyle w:val="NoSpacing"/>
              <w:rPr>
                <w:rFonts w:asciiTheme="minorHAnsi" w:eastAsia="Calibri" w:hAnsiTheme="minorHAnsi" w:cstheme="minorHAnsi"/>
                <w:sz w:val="18"/>
              </w:rPr>
            </w:pPr>
            <w:r w:rsidRPr="005F120D">
              <w:rPr>
                <w:rFonts w:asciiTheme="minorHAnsi" w:eastAsia="Calibri" w:hAnsiTheme="minorHAnsi" w:cstheme="minorHAnsi"/>
                <w:sz w:val="18"/>
              </w:rPr>
              <w:t>All children acquire grade-wise and subject-wise expected learning outcomes, or competencies</w:t>
            </w:r>
          </w:p>
        </w:tc>
      </w:tr>
    </w:tbl>
    <w:p w:rsidR="00AF10C9" w:rsidRPr="005F120D" w:rsidRDefault="00AF10C9" w:rsidP="00B25E46">
      <w:pPr>
        <w:autoSpaceDE w:val="0"/>
        <w:autoSpaceDN w:val="0"/>
        <w:adjustRightInd w:val="0"/>
        <w:rPr>
          <w:rFonts w:asciiTheme="minorHAnsi" w:hAnsiTheme="minorHAnsi" w:cstheme="minorHAnsi"/>
          <w:b/>
          <w:bCs/>
          <w:sz w:val="2"/>
        </w:rPr>
      </w:pPr>
    </w:p>
    <w:p w:rsidR="00AF10C9" w:rsidRPr="005F120D" w:rsidRDefault="00AF10C9" w:rsidP="00B25E46">
      <w:pPr>
        <w:autoSpaceDE w:val="0"/>
        <w:autoSpaceDN w:val="0"/>
        <w:adjustRightInd w:val="0"/>
        <w:rPr>
          <w:rFonts w:asciiTheme="minorHAnsi" w:hAnsiTheme="minorHAnsi" w:cstheme="minorHAnsi"/>
          <w:b/>
          <w:bCs/>
          <w:color w:val="008000"/>
          <w:sz w:val="20"/>
        </w:rPr>
      </w:pPr>
      <w:r w:rsidRPr="005F120D">
        <w:rPr>
          <w:rFonts w:asciiTheme="minorHAnsi" w:hAnsiTheme="minorHAnsi" w:cstheme="minorHAnsi"/>
          <w:b/>
          <w:bCs/>
          <w:color w:val="008000"/>
          <w:sz w:val="20"/>
        </w:rPr>
        <w:t>Component 2: Participation and Disparities</w:t>
      </w:r>
    </w:p>
    <w:p w:rsidR="00AF10C9" w:rsidRPr="005F120D" w:rsidRDefault="00AF10C9" w:rsidP="00B25E46">
      <w:pPr>
        <w:jc w:val="both"/>
        <w:rPr>
          <w:rFonts w:asciiTheme="minorHAnsi" w:hAnsiTheme="minorHAnsi" w:cstheme="minorHAnsi"/>
          <w:sz w:val="20"/>
        </w:rPr>
      </w:pPr>
      <w:r w:rsidRPr="005F120D">
        <w:rPr>
          <w:rFonts w:asciiTheme="minorHAnsi" w:hAnsiTheme="minorHAnsi" w:cstheme="minorHAnsi"/>
          <w:b/>
          <w:sz w:val="20"/>
        </w:rPr>
        <w:t>Component-2 aims to provide:</w:t>
      </w:r>
      <w:r w:rsidRPr="005F120D">
        <w:rPr>
          <w:rFonts w:asciiTheme="minorHAnsi" w:hAnsiTheme="minorHAnsi" w:cstheme="minorHAnsi"/>
          <w:sz w:val="20"/>
        </w:rPr>
        <w:t xml:space="preserve"> one year of PPE through all types of schools; opportunities for all children to benefit from primary-level education (equitable access means that all children have the same opportunity to go to school, even if they are poor, disabled or from minorities); equivalency of formal and non-formal education; broadening the concept of, and mainstreaming inclusive education; providing education in emergencies and disasters; improving communications; reducing overcrowded classrooms through needs-based infrastructure development; providing sanitation and water facilities to schools; providing school health and school feeding programs; and providing stipends to the poorest children.</w:t>
      </w:r>
    </w:p>
    <w:p w:rsidR="00AF10C9" w:rsidRPr="005F120D" w:rsidRDefault="00AF10C9" w:rsidP="00B25E46">
      <w:pPr>
        <w:autoSpaceDE w:val="0"/>
        <w:autoSpaceDN w:val="0"/>
        <w:adjustRightInd w:val="0"/>
        <w:spacing w:after="0"/>
        <w:jc w:val="both"/>
        <w:rPr>
          <w:rFonts w:asciiTheme="minorHAnsi" w:hAnsiTheme="minorHAnsi" w:cstheme="minorHAnsi"/>
          <w:b/>
          <w:bCs/>
          <w:i/>
          <w:iCs/>
          <w:color w:val="008000"/>
          <w:sz w:val="20"/>
        </w:rPr>
      </w:pPr>
      <w:r w:rsidRPr="005F120D">
        <w:rPr>
          <w:rFonts w:asciiTheme="minorHAnsi" w:hAnsiTheme="minorHAnsi" w:cstheme="minorHAnsi"/>
          <w:b/>
          <w:bCs/>
          <w:i/>
          <w:iCs/>
          <w:color w:val="008000"/>
          <w:sz w:val="20"/>
        </w:rPr>
        <w:t xml:space="preserve">Results Areas: </w:t>
      </w:r>
      <w:r w:rsidRPr="005F120D">
        <w:rPr>
          <w:rFonts w:asciiTheme="minorHAnsi" w:hAnsiTheme="minorHAnsi" w:cstheme="minorHAnsi"/>
          <w:b/>
          <w:bCs/>
          <w:i/>
          <w:iCs/>
          <w:color w:val="008000"/>
          <w:sz w:val="20"/>
        </w:rPr>
        <w:tab/>
      </w:r>
    </w:p>
    <w:p w:rsidR="00AF10C9" w:rsidRPr="005F120D" w:rsidRDefault="00AF10C9" w:rsidP="00B25E46">
      <w:pPr>
        <w:autoSpaceDE w:val="0"/>
        <w:autoSpaceDN w:val="0"/>
        <w:adjustRightInd w:val="0"/>
        <w:spacing w:after="0"/>
        <w:ind w:firstLine="720"/>
        <w:jc w:val="both"/>
        <w:rPr>
          <w:rFonts w:asciiTheme="minorHAnsi" w:hAnsiTheme="minorHAnsi" w:cstheme="minorHAnsi"/>
          <w:b/>
          <w:bCs/>
          <w:i/>
          <w:iCs/>
          <w:color w:val="008000"/>
          <w:sz w:val="20"/>
        </w:rPr>
      </w:pPr>
      <w:r w:rsidRPr="005F120D">
        <w:rPr>
          <w:rFonts w:asciiTheme="minorHAnsi" w:hAnsiTheme="minorHAnsi" w:cstheme="minorHAnsi"/>
          <w:b/>
          <w:bCs/>
          <w:i/>
          <w:iCs/>
          <w:color w:val="008000"/>
          <w:sz w:val="20"/>
        </w:rPr>
        <w:t xml:space="preserve"> (2.1): Universal Access and Participation and </w:t>
      </w:r>
    </w:p>
    <w:p w:rsidR="00AF10C9" w:rsidRPr="005F120D" w:rsidRDefault="00AF10C9" w:rsidP="00B25E46">
      <w:pPr>
        <w:autoSpaceDE w:val="0"/>
        <w:autoSpaceDN w:val="0"/>
        <w:adjustRightInd w:val="0"/>
        <w:spacing w:after="0"/>
        <w:ind w:firstLine="720"/>
        <w:jc w:val="both"/>
        <w:rPr>
          <w:rFonts w:asciiTheme="minorHAnsi" w:hAnsiTheme="minorHAnsi" w:cstheme="minorHAnsi"/>
          <w:b/>
          <w:bCs/>
          <w:i/>
          <w:iCs/>
          <w:color w:val="008000"/>
          <w:sz w:val="20"/>
        </w:rPr>
      </w:pPr>
      <w:r w:rsidRPr="005F120D">
        <w:rPr>
          <w:rFonts w:asciiTheme="minorHAnsi" w:hAnsiTheme="minorHAnsi" w:cstheme="minorHAnsi"/>
          <w:b/>
          <w:bCs/>
          <w:i/>
          <w:iCs/>
          <w:color w:val="008000"/>
          <w:sz w:val="20"/>
        </w:rPr>
        <w:t xml:space="preserve"> (2.2): Reducing Disparities</w:t>
      </w:r>
    </w:p>
    <w:p w:rsidR="00AF10C9" w:rsidRPr="005F120D" w:rsidRDefault="00AF10C9" w:rsidP="00B25E46">
      <w:pPr>
        <w:spacing w:before="240" w:after="0"/>
        <w:jc w:val="both"/>
        <w:rPr>
          <w:rFonts w:asciiTheme="minorHAnsi" w:hAnsiTheme="minorHAnsi" w:cstheme="minorHAnsi"/>
          <w:b/>
          <w:bCs/>
          <w:i/>
          <w:iCs/>
          <w:color w:val="008000"/>
          <w:sz w:val="20"/>
        </w:rPr>
      </w:pPr>
      <w:r w:rsidRPr="005F120D">
        <w:rPr>
          <w:rFonts w:asciiTheme="minorHAnsi" w:hAnsiTheme="minorHAnsi" w:cstheme="minorHAnsi"/>
          <w:b/>
          <w:color w:val="008000"/>
          <w:sz w:val="20"/>
        </w:rPr>
        <w:t xml:space="preserve">Expected outcome: </w:t>
      </w:r>
    </w:p>
    <w:p w:rsidR="00AF10C9" w:rsidRPr="005F120D" w:rsidRDefault="00AF10C9" w:rsidP="00B25E46">
      <w:pPr>
        <w:numPr>
          <w:ilvl w:val="0"/>
          <w:numId w:val="33"/>
        </w:numPr>
        <w:autoSpaceDE w:val="0"/>
        <w:autoSpaceDN w:val="0"/>
        <w:adjustRightInd w:val="0"/>
        <w:spacing w:after="0"/>
        <w:contextualSpacing/>
        <w:jc w:val="both"/>
        <w:rPr>
          <w:rFonts w:asciiTheme="minorHAnsi" w:hAnsiTheme="minorHAnsi" w:cstheme="minorHAnsi"/>
          <w:color w:val="008000"/>
          <w:sz w:val="20"/>
        </w:rPr>
      </w:pPr>
      <w:r w:rsidRPr="005F120D">
        <w:rPr>
          <w:rFonts w:asciiTheme="minorHAnsi" w:hAnsiTheme="minorHAnsi" w:cstheme="minorHAnsi"/>
          <w:color w:val="008000"/>
          <w:sz w:val="20"/>
        </w:rPr>
        <w:t xml:space="preserve">Participation of all children in PPE and primary education in all types of schools </w:t>
      </w:r>
    </w:p>
    <w:p w:rsidR="00AF10C9" w:rsidRPr="005F120D" w:rsidRDefault="00AF10C9" w:rsidP="00B25E46">
      <w:pPr>
        <w:numPr>
          <w:ilvl w:val="0"/>
          <w:numId w:val="33"/>
        </w:numPr>
        <w:autoSpaceDE w:val="0"/>
        <w:autoSpaceDN w:val="0"/>
        <w:adjustRightInd w:val="0"/>
        <w:spacing w:after="0"/>
        <w:contextualSpacing/>
        <w:jc w:val="both"/>
        <w:rPr>
          <w:rFonts w:asciiTheme="minorHAnsi" w:hAnsiTheme="minorHAnsi" w:cstheme="minorHAnsi"/>
          <w:color w:val="008000"/>
          <w:sz w:val="20"/>
        </w:rPr>
      </w:pPr>
      <w:r w:rsidRPr="005F120D">
        <w:rPr>
          <w:rFonts w:asciiTheme="minorHAnsi" w:hAnsiTheme="minorHAnsi" w:cstheme="minorHAnsi"/>
          <w:color w:val="008000"/>
          <w:sz w:val="20"/>
        </w:rPr>
        <w:t>Regional and other disparities reduced in terms of participation, completion and learning outcomes.</w:t>
      </w:r>
    </w:p>
    <w:p w:rsidR="00AF10C9" w:rsidRPr="005F120D" w:rsidRDefault="00AF10C9" w:rsidP="00B25E46">
      <w:pPr>
        <w:autoSpaceDE w:val="0"/>
        <w:autoSpaceDN w:val="0"/>
        <w:adjustRightInd w:val="0"/>
        <w:spacing w:after="0"/>
        <w:jc w:val="both"/>
        <w:rPr>
          <w:rFonts w:asciiTheme="minorHAnsi" w:hAnsiTheme="minorHAnsi" w:cstheme="minorHAnsi"/>
          <w:sz w:val="20"/>
        </w:rPr>
      </w:pPr>
    </w:p>
    <w:p w:rsidR="009811E9" w:rsidRPr="005F120D" w:rsidRDefault="009811E9" w:rsidP="00B25E46">
      <w:pPr>
        <w:autoSpaceDE w:val="0"/>
        <w:autoSpaceDN w:val="0"/>
        <w:adjustRightInd w:val="0"/>
        <w:spacing w:after="0"/>
        <w:rPr>
          <w:rFonts w:asciiTheme="minorHAnsi" w:hAnsiTheme="minorHAnsi" w:cstheme="minorHAnsi"/>
          <w:sz w:val="20"/>
        </w:rPr>
      </w:pPr>
    </w:p>
    <w:p w:rsidR="00AF10C9" w:rsidRPr="005F120D" w:rsidRDefault="00AF10C9" w:rsidP="00B25E46">
      <w:pPr>
        <w:autoSpaceDE w:val="0"/>
        <w:autoSpaceDN w:val="0"/>
        <w:adjustRightInd w:val="0"/>
        <w:spacing w:after="0"/>
        <w:rPr>
          <w:rFonts w:asciiTheme="minorHAnsi" w:hAnsiTheme="minorHAnsi" w:cstheme="minorHAnsi"/>
          <w:sz w:val="20"/>
        </w:rPr>
      </w:pPr>
      <w:r w:rsidRPr="005F120D">
        <w:rPr>
          <w:rFonts w:asciiTheme="minorHAnsi" w:hAnsiTheme="minorHAnsi" w:cstheme="minorHAnsi"/>
          <w:sz w:val="20"/>
        </w:rPr>
        <w:t>In summary, the results chain of Component 2 expectations has the following shape:</w:t>
      </w:r>
    </w:p>
    <w:p w:rsidR="00AF10C9" w:rsidRPr="005F120D" w:rsidRDefault="00AF10C9" w:rsidP="00B25E46">
      <w:pPr>
        <w:autoSpaceDE w:val="0"/>
        <w:autoSpaceDN w:val="0"/>
        <w:adjustRightInd w:val="0"/>
        <w:spacing w:after="0"/>
        <w:rPr>
          <w:rFonts w:asciiTheme="minorHAnsi" w:hAnsiTheme="minorHAnsi" w:cstheme="minorHAnsi"/>
          <w:sz w:val="20"/>
        </w:rPr>
      </w:pPr>
    </w:p>
    <w:tbl>
      <w:tblPr>
        <w:tblW w:w="5000" w:type="pct"/>
        <w:tblLook w:val="01E0"/>
      </w:tblPr>
      <w:tblGrid>
        <w:gridCol w:w="2718"/>
        <w:gridCol w:w="660"/>
        <w:gridCol w:w="2844"/>
        <w:gridCol w:w="712"/>
        <w:gridCol w:w="2311"/>
      </w:tblGrid>
      <w:tr w:rsidR="00AF10C9" w:rsidRPr="005F120D" w:rsidTr="00BD53B7">
        <w:trPr>
          <w:trHeight w:val="170"/>
        </w:trPr>
        <w:tc>
          <w:tcPr>
            <w:tcW w:w="1470" w:type="pct"/>
            <w:tcBorders>
              <w:top w:val="single" w:sz="4" w:space="0" w:color="auto"/>
              <w:left w:val="single" w:sz="4" w:space="0" w:color="auto"/>
              <w:bottom w:val="single" w:sz="4" w:space="0" w:color="auto"/>
              <w:right w:val="single" w:sz="4" w:space="0" w:color="auto"/>
            </w:tcBorders>
            <w:shd w:val="clear" w:color="auto" w:fill="EAF1DD"/>
          </w:tcPr>
          <w:p w:rsidR="00AF10C9" w:rsidRPr="005F120D" w:rsidRDefault="00AF10C9" w:rsidP="00B25E46">
            <w:pPr>
              <w:pStyle w:val="NoSpacing"/>
              <w:jc w:val="center"/>
              <w:rPr>
                <w:rFonts w:asciiTheme="minorHAnsi" w:hAnsiTheme="minorHAnsi" w:cstheme="minorHAnsi"/>
                <w:b/>
                <w:color w:val="008000"/>
                <w:sz w:val="16"/>
                <w:szCs w:val="16"/>
              </w:rPr>
            </w:pPr>
            <w:r w:rsidRPr="005F120D">
              <w:rPr>
                <w:rFonts w:asciiTheme="minorHAnsi" w:hAnsiTheme="minorHAnsi" w:cstheme="minorHAnsi"/>
                <w:b/>
                <w:color w:val="008000"/>
                <w:sz w:val="16"/>
                <w:szCs w:val="16"/>
              </w:rPr>
              <w:t>ACTIVITIES</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Needs-based infrastructure development –</w:t>
            </w:r>
            <w:r w:rsidRPr="005F120D">
              <w:rPr>
                <w:rFonts w:asciiTheme="minorHAnsi" w:hAnsiTheme="minorHAnsi" w:cstheme="minorHAnsi"/>
                <w:i/>
                <w:sz w:val="16"/>
                <w:szCs w:val="16"/>
              </w:rPr>
              <w:t>Upazila</w:t>
            </w:r>
            <w:r w:rsidRPr="005F120D">
              <w:rPr>
                <w:rFonts w:asciiTheme="minorHAnsi" w:hAnsiTheme="minorHAnsi" w:cstheme="minorHAnsi"/>
                <w:sz w:val="16"/>
                <w:szCs w:val="16"/>
              </w:rPr>
              <w:t xml:space="preserve"> Resource Centre (URC), </w:t>
            </w:r>
            <w:r w:rsidRPr="005F120D">
              <w:rPr>
                <w:rFonts w:asciiTheme="minorHAnsi" w:hAnsiTheme="minorHAnsi" w:cstheme="minorHAnsi"/>
                <w:i/>
                <w:sz w:val="16"/>
                <w:szCs w:val="16"/>
              </w:rPr>
              <w:t xml:space="preserve">Upazila </w:t>
            </w:r>
            <w:r w:rsidRPr="005F120D">
              <w:rPr>
                <w:rFonts w:asciiTheme="minorHAnsi" w:hAnsiTheme="minorHAnsi" w:cstheme="minorHAnsi"/>
                <w:sz w:val="16"/>
                <w:szCs w:val="16"/>
              </w:rPr>
              <w:t>Education Office</w:t>
            </w:r>
            <w:r w:rsidRPr="005F120D">
              <w:rPr>
                <w:rFonts w:asciiTheme="minorHAnsi" w:hAnsiTheme="minorHAnsi" w:cstheme="minorHAnsi"/>
                <w:i/>
                <w:sz w:val="16"/>
                <w:szCs w:val="16"/>
              </w:rPr>
              <w:t xml:space="preserve"> (</w:t>
            </w:r>
            <w:r w:rsidRPr="005F120D">
              <w:rPr>
                <w:rFonts w:asciiTheme="minorHAnsi" w:hAnsiTheme="minorHAnsi" w:cstheme="minorHAnsi"/>
                <w:sz w:val="16"/>
                <w:szCs w:val="16"/>
              </w:rPr>
              <w:t>UEO), PTI buildings and classroom construction</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Safe water and toilet facilities provided</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Development of curriculum and books for PPE</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Recruitment and training of pre-primary teachers</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Stipends Program reviewed to improve targeting of needy children</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School health and feeding Programs</w:t>
            </w:r>
          </w:p>
        </w:tc>
        <w:tc>
          <w:tcPr>
            <w:tcW w:w="357" w:type="pct"/>
            <w:tcBorders>
              <w:left w:val="single" w:sz="4" w:space="0" w:color="auto"/>
              <w:right w:val="single" w:sz="4" w:space="0" w:color="auto"/>
            </w:tcBorders>
          </w:tcPr>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noProof/>
                <w:sz w:val="16"/>
                <w:szCs w:val="16"/>
                <w:lang w:eastAsia="en-US"/>
              </w:rPr>
              <w:drawing>
                <wp:anchor distT="0" distB="0" distL="114300" distR="114300" simplePos="0" relativeHeight="251715584" behindDoc="0" locked="0" layoutInCell="1" allowOverlap="1">
                  <wp:simplePos x="0" y="0"/>
                  <wp:positionH relativeFrom="column">
                    <wp:posOffset>-48895</wp:posOffset>
                  </wp:positionH>
                  <wp:positionV relativeFrom="paragraph">
                    <wp:posOffset>1088390</wp:posOffset>
                  </wp:positionV>
                  <wp:extent cx="415925" cy="641350"/>
                  <wp:effectExtent l="19050" t="0" r="3175" b="0"/>
                  <wp:wrapNone/>
                  <wp:docPr id="3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srcRect/>
                          <a:stretch>
                            <a:fillRect/>
                          </a:stretch>
                        </pic:blipFill>
                        <pic:spPr bwMode="auto">
                          <a:xfrm>
                            <a:off x="0" y="0"/>
                            <a:ext cx="415925" cy="641350"/>
                          </a:xfrm>
                          <a:prstGeom prst="rect">
                            <a:avLst/>
                          </a:prstGeom>
                          <a:noFill/>
                          <a:ln w="9525">
                            <a:noFill/>
                            <a:miter lim="800000"/>
                            <a:headEnd/>
                            <a:tailEnd/>
                          </a:ln>
                        </pic:spPr>
                      </pic:pic>
                    </a:graphicData>
                  </a:graphic>
                </wp:anchor>
              </w:drawing>
            </w:r>
          </w:p>
        </w:tc>
        <w:tc>
          <w:tcPr>
            <w:tcW w:w="1538" w:type="pct"/>
            <w:tcBorders>
              <w:top w:val="single" w:sz="4" w:space="0" w:color="auto"/>
              <w:left w:val="single" w:sz="4" w:space="0" w:color="auto"/>
              <w:bottom w:val="single" w:sz="4" w:space="0" w:color="auto"/>
              <w:right w:val="single" w:sz="4" w:space="0" w:color="auto"/>
            </w:tcBorders>
            <w:shd w:val="clear" w:color="auto" w:fill="D6E3BC"/>
          </w:tcPr>
          <w:p w:rsidR="00AF10C9" w:rsidRPr="005F120D" w:rsidRDefault="00AF10C9" w:rsidP="00B25E46">
            <w:pPr>
              <w:pStyle w:val="NoSpacing"/>
              <w:jc w:val="center"/>
              <w:rPr>
                <w:rFonts w:asciiTheme="minorHAnsi" w:hAnsiTheme="minorHAnsi" w:cstheme="minorHAnsi"/>
                <w:b/>
                <w:color w:val="008000"/>
                <w:sz w:val="16"/>
                <w:szCs w:val="16"/>
              </w:rPr>
            </w:pPr>
            <w:r w:rsidRPr="005F120D">
              <w:rPr>
                <w:rFonts w:asciiTheme="minorHAnsi" w:hAnsiTheme="minorHAnsi" w:cstheme="minorHAnsi"/>
                <w:b/>
                <w:color w:val="008000"/>
                <w:sz w:val="16"/>
                <w:szCs w:val="16"/>
              </w:rPr>
              <w:t>OUTPUTS</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URC, UEO, Primary Teacher Institute (PTI) buildings and schools constructed</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Well-maintained classrooms</w:t>
            </w:r>
          </w:p>
          <w:p w:rsidR="00AF10C9" w:rsidRPr="005F120D" w:rsidRDefault="00AF10C9" w:rsidP="00B25E46">
            <w:pPr>
              <w:pStyle w:val="NoSpacing"/>
              <w:rPr>
                <w:rFonts w:asciiTheme="minorHAnsi" w:hAnsiTheme="minorHAnsi" w:cstheme="minorHAnsi"/>
                <w:sz w:val="10"/>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Functional and safe tube wells</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Sufficient, separate, working toilets for boys and girls</w:t>
            </w:r>
            <w:r w:rsidRPr="005F120D">
              <w:rPr>
                <w:rFonts w:asciiTheme="minorHAnsi" w:hAnsiTheme="minorHAnsi" w:cstheme="minorHAnsi"/>
                <w:sz w:val="16"/>
                <w:szCs w:val="16"/>
              </w:rPr>
              <w:tab/>
            </w:r>
          </w:p>
          <w:p w:rsidR="00AF10C9" w:rsidRPr="005F120D" w:rsidRDefault="00AF10C9" w:rsidP="00B25E46">
            <w:pPr>
              <w:pStyle w:val="NoSpacing"/>
              <w:rPr>
                <w:rFonts w:asciiTheme="minorHAnsi" w:hAnsiTheme="minorHAnsi" w:cstheme="minorHAnsi"/>
                <w:sz w:val="10"/>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 xml:space="preserve">Facilities sustainably managed </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Provision of PPE</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NFE services aligned with formal schools</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Well-targeted functioning of the stipend Program</w:t>
            </w:r>
          </w:p>
          <w:p w:rsidR="00AF10C9" w:rsidRPr="005F120D" w:rsidRDefault="00AF10C9" w:rsidP="00B25E46">
            <w:pPr>
              <w:pStyle w:val="NoSpacing"/>
              <w:rPr>
                <w:rFonts w:asciiTheme="minorHAnsi" w:hAnsiTheme="minorHAnsi" w:cstheme="minorHAnsi"/>
                <w:sz w:val="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Needy children receive health and feeding inputs</w:t>
            </w:r>
          </w:p>
        </w:tc>
        <w:tc>
          <w:tcPr>
            <w:tcW w:w="385" w:type="pct"/>
            <w:tcBorders>
              <w:left w:val="single" w:sz="4" w:space="0" w:color="auto"/>
              <w:right w:val="single" w:sz="4" w:space="0" w:color="auto"/>
            </w:tcBorders>
          </w:tcPr>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noProof/>
                <w:sz w:val="16"/>
                <w:szCs w:val="16"/>
                <w:lang w:eastAsia="en-US"/>
              </w:rPr>
              <w:drawing>
                <wp:anchor distT="0" distB="0" distL="114300" distR="114300" simplePos="0" relativeHeight="251716608" behindDoc="0" locked="0" layoutInCell="1" allowOverlap="1">
                  <wp:simplePos x="0" y="0"/>
                  <wp:positionH relativeFrom="page">
                    <wp:posOffset>29845</wp:posOffset>
                  </wp:positionH>
                  <wp:positionV relativeFrom="page">
                    <wp:posOffset>1021715</wp:posOffset>
                  </wp:positionV>
                  <wp:extent cx="448310" cy="643890"/>
                  <wp:effectExtent l="19050" t="0" r="8890" b="0"/>
                  <wp:wrapNone/>
                  <wp:docPr id="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srcRect/>
                          <a:stretch>
                            <a:fillRect/>
                          </a:stretch>
                        </pic:blipFill>
                        <pic:spPr bwMode="auto">
                          <a:xfrm>
                            <a:off x="0" y="0"/>
                            <a:ext cx="448310" cy="643890"/>
                          </a:xfrm>
                          <a:prstGeom prst="rect">
                            <a:avLst/>
                          </a:prstGeom>
                          <a:noFill/>
                          <a:ln w="9525">
                            <a:noFill/>
                            <a:miter lim="800000"/>
                            <a:headEnd/>
                            <a:tailEnd/>
                          </a:ln>
                        </pic:spPr>
                      </pic:pic>
                    </a:graphicData>
                  </a:graphic>
                </wp:anchor>
              </w:drawing>
            </w:r>
          </w:p>
        </w:tc>
        <w:tc>
          <w:tcPr>
            <w:tcW w:w="1250" w:type="pct"/>
            <w:tcBorders>
              <w:top w:val="single" w:sz="4" w:space="0" w:color="auto"/>
              <w:left w:val="single" w:sz="4" w:space="0" w:color="auto"/>
              <w:bottom w:val="single" w:sz="4" w:space="0" w:color="auto"/>
              <w:right w:val="single" w:sz="4" w:space="0" w:color="auto"/>
            </w:tcBorders>
            <w:shd w:val="clear" w:color="auto" w:fill="C2D69B"/>
          </w:tcPr>
          <w:p w:rsidR="00AF10C9" w:rsidRPr="005F120D" w:rsidRDefault="00AF10C9" w:rsidP="00B25E46">
            <w:pPr>
              <w:pStyle w:val="NoSpacing"/>
              <w:jc w:val="center"/>
              <w:rPr>
                <w:rFonts w:asciiTheme="minorHAnsi" w:hAnsiTheme="minorHAnsi" w:cstheme="minorHAnsi"/>
                <w:b/>
                <w:color w:val="008000"/>
                <w:sz w:val="16"/>
                <w:szCs w:val="16"/>
              </w:rPr>
            </w:pPr>
            <w:r w:rsidRPr="005F120D">
              <w:rPr>
                <w:rFonts w:asciiTheme="minorHAnsi" w:hAnsiTheme="minorHAnsi" w:cstheme="minorHAnsi"/>
                <w:b/>
                <w:color w:val="008000"/>
                <w:sz w:val="16"/>
                <w:szCs w:val="16"/>
              </w:rPr>
              <w:t>EARLY OUTCOMES</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SCR improved</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 xml:space="preserve">Pre-primary-age children receive a head start in their education  </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Children from marginalized families receive stipends, health and food benefits and remain in school</w:t>
            </w:r>
          </w:p>
          <w:p w:rsidR="00AF10C9" w:rsidRPr="005F120D" w:rsidRDefault="00AF10C9" w:rsidP="00B25E46">
            <w:pPr>
              <w:pStyle w:val="NoSpacing"/>
              <w:rPr>
                <w:rFonts w:asciiTheme="minorHAnsi" w:hAnsiTheme="minorHAnsi" w:cstheme="minorHAnsi"/>
                <w:sz w:val="16"/>
                <w:szCs w:val="16"/>
              </w:rPr>
            </w:pPr>
          </w:p>
          <w:p w:rsidR="00AF10C9" w:rsidRPr="005F120D" w:rsidRDefault="00AF10C9" w:rsidP="00B25E46">
            <w:pPr>
              <w:pStyle w:val="NoSpacing"/>
              <w:rPr>
                <w:rFonts w:asciiTheme="minorHAnsi" w:hAnsiTheme="minorHAnsi" w:cstheme="minorHAnsi"/>
                <w:sz w:val="16"/>
                <w:szCs w:val="16"/>
              </w:rPr>
            </w:pPr>
            <w:r w:rsidRPr="005F120D">
              <w:rPr>
                <w:rFonts w:asciiTheme="minorHAnsi" w:hAnsiTheme="minorHAnsi" w:cstheme="minorHAnsi"/>
                <w:sz w:val="16"/>
                <w:szCs w:val="16"/>
              </w:rPr>
              <w:t>School environment improved</w:t>
            </w:r>
          </w:p>
        </w:tc>
      </w:tr>
    </w:tbl>
    <w:p w:rsidR="00AF10C9" w:rsidRPr="005F120D" w:rsidRDefault="00AF10C9" w:rsidP="00B25E46">
      <w:pPr>
        <w:spacing w:before="240"/>
        <w:jc w:val="both"/>
        <w:rPr>
          <w:rFonts w:asciiTheme="minorHAnsi" w:hAnsiTheme="minorHAnsi" w:cstheme="minorHAnsi"/>
          <w:sz w:val="20"/>
        </w:rPr>
      </w:pPr>
      <w:r w:rsidRPr="005F120D">
        <w:rPr>
          <w:rFonts w:asciiTheme="minorHAnsi" w:hAnsiTheme="minorHAnsi" w:cstheme="minorHAnsi"/>
          <w:sz w:val="20"/>
        </w:rPr>
        <w:t>It is expected that early outcomes in terms of an improved school environment and well-targeted support will ultimately lead to all children, including those from marginalized families, benefitting from, and completing pre-primary and primary education.</w:t>
      </w:r>
    </w:p>
    <w:tbl>
      <w:tblPr>
        <w:tblW w:w="5132" w:type="pct"/>
        <w:tblLook w:val="01E0"/>
      </w:tblPr>
      <w:tblGrid>
        <w:gridCol w:w="2627"/>
        <w:gridCol w:w="784"/>
        <w:gridCol w:w="2516"/>
        <w:gridCol w:w="696"/>
        <w:gridCol w:w="2866"/>
      </w:tblGrid>
      <w:tr w:rsidR="00AF10C9" w:rsidRPr="005F120D" w:rsidTr="00BD53B7">
        <w:trPr>
          <w:trHeight w:val="2834"/>
        </w:trPr>
        <w:tc>
          <w:tcPr>
            <w:tcW w:w="1384" w:type="pct"/>
            <w:tcBorders>
              <w:top w:val="double" w:sz="4" w:space="0" w:color="4F6228"/>
              <w:left w:val="double" w:sz="4" w:space="0" w:color="4F6228"/>
              <w:bottom w:val="double" w:sz="4" w:space="0" w:color="4F6228"/>
              <w:right w:val="double" w:sz="4" w:space="0" w:color="4F6228"/>
            </w:tcBorders>
            <w:shd w:val="clear" w:color="auto" w:fill="C2D69B"/>
          </w:tcPr>
          <w:p w:rsidR="00AF10C9" w:rsidRPr="005F120D" w:rsidRDefault="00AF10C9" w:rsidP="00B25E46">
            <w:pPr>
              <w:pStyle w:val="Tabletext"/>
              <w:spacing w:before="0" w:after="0"/>
              <w:jc w:val="center"/>
              <w:rPr>
                <w:rFonts w:asciiTheme="minorHAnsi" w:hAnsiTheme="minorHAnsi" w:cstheme="minorHAnsi"/>
                <w:b/>
                <w:color w:val="008000"/>
                <w:sz w:val="18"/>
              </w:rPr>
            </w:pPr>
            <w:r w:rsidRPr="005F120D">
              <w:rPr>
                <w:rFonts w:asciiTheme="minorHAnsi" w:hAnsiTheme="minorHAnsi" w:cstheme="minorHAnsi"/>
                <w:b/>
                <w:color w:val="008000"/>
                <w:sz w:val="18"/>
              </w:rPr>
              <w:lastRenderedPageBreak/>
              <w:t>EARLY OUTCOMES</w:t>
            </w: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SCR improved</w:t>
            </w:r>
          </w:p>
          <w:p w:rsidR="00AF10C9" w:rsidRPr="005F120D" w:rsidRDefault="00AF10C9" w:rsidP="00B25E46">
            <w:pPr>
              <w:pStyle w:val="Tabletext"/>
              <w:spacing w:before="0" w:after="0"/>
              <w:rPr>
                <w:rFonts w:asciiTheme="minorHAnsi" w:hAnsiTheme="minorHAnsi" w:cstheme="minorHAnsi"/>
                <w:sz w:val="12"/>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Children from marginalised families receive stipends, health and food benefits and remain in school</w:t>
            </w:r>
          </w:p>
          <w:p w:rsidR="00AF10C9" w:rsidRPr="005F120D" w:rsidRDefault="00AF10C9" w:rsidP="00B25E46">
            <w:pPr>
              <w:pStyle w:val="Tabletext"/>
              <w:spacing w:before="0" w:after="0"/>
              <w:rPr>
                <w:rFonts w:asciiTheme="minorHAnsi" w:hAnsiTheme="minorHAnsi" w:cstheme="minorHAnsi"/>
                <w:sz w:val="1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 xml:space="preserve">Pre-primary-age children receive a head start in their education  </w:t>
            </w:r>
          </w:p>
          <w:p w:rsidR="00AF10C9" w:rsidRPr="005F120D" w:rsidRDefault="00AF10C9" w:rsidP="00B25E46">
            <w:pPr>
              <w:pStyle w:val="Tabletext"/>
              <w:spacing w:before="0" w:after="0"/>
              <w:rPr>
                <w:rFonts w:asciiTheme="minorHAnsi" w:hAnsiTheme="minorHAnsi" w:cstheme="minorHAnsi"/>
                <w:sz w:val="12"/>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School environment improved</w:t>
            </w:r>
          </w:p>
        </w:tc>
        <w:tc>
          <w:tcPr>
            <w:tcW w:w="413" w:type="pct"/>
            <w:tcBorders>
              <w:left w:val="double" w:sz="4" w:space="0" w:color="4F6228"/>
              <w:right w:val="double" w:sz="4" w:space="0" w:color="5F497A"/>
            </w:tcBorders>
          </w:tcPr>
          <w:p w:rsidR="00AF10C9" w:rsidRPr="005F120D" w:rsidRDefault="002E2ED5" w:rsidP="00B25E46">
            <w:pPr>
              <w:pStyle w:val="Tabletext"/>
              <w:spacing w:before="0" w:after="0"/>
              <w:rPr>
                <w:rFonts w:asciiTheme="minorHAnsi" w:hAnsiTheme="minorHAnsi" w:cstheme="minorHAnsi"/>
                <w:sz w:val="18"/>
              </w:rPr>
            </w:pPr>
            <w:r>
              <w:rPr>
                <w:rFonts w:asciiTheme="minorHAnsi" w:hAnsiTheme="minorHAnsi" w:cstheme="minorHAnsi"/>
                <w:noProof/>
                <w:sz w:val="18"/>
                <w:lang w:val="en-US" w:eastAsia="en-US"/>
              </w:rPr>
              <w:pict>
                <v:shape id="AutoShape 370" o:spid="_x0000_s1072" type="#_x0000_t68" style="position:absolute;margin-left:-1pt;margin-top:55.45pt;width:34.4pt;height:35.5pt;rotation:90;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" fillcolor="#5f497a" strokecolor="#92cddc">
                  <v:textbox style="layout-flow:vertical-ideographic"/>
                </v:shape>
              </w:pict>
            </w:r>
          </w:p>
        </w:tc>
        <w:tc>
          <w:tcPr>
            <w:tcW w:w="1326" w:type="pct"/>
            <w:tcBorders>
              <w:top w:val="double" w:sz="4" w:space="0" w:color="5F497A"/>
              <w:left w:val="double" w:sz="4" w:space="0" w:color="5F497A"/>
              <w:bottom w:val="double" w:sz="4" w:space="0" w:color="5F497A"/>
              <w:right w:val="double" w:sz="4" w:space="0" w:color="5F497A"/>
            </w:tcBorders>
            <w:shd w:val="clear" w:color="auto" w:fill="CCC0D9"/>
          </w:tcPr>
          <w:p w:rsidR="00AF10C9" w:rsidRPr="005F120D" w:rsidRDefault="00AF10C9" w:rsidP="00B25E46">
            <w:pPr>
              <w:pStyle w:val="Tabletext"/>
              <w:spacing w:before="0" w:after="0"/>
              <w:jc w:val="center"/>
              <w:rPr>
                <w:rFonts w:asciiTheme="minorHAnsi" w:hAnsiTheme="minorHAnsi" w:cstheme="minorHAnsi"/>
                <w:b/>
                <w:color w:val="008000"/>
                <w:sz w:val="18"/>
              </w:rPr>
            </w:pPr>
            <w:r w:rsidRPr="005F120D">
              <w:rPr>
                <w:rFonts w:asciiTheme="minorHAnsi" w:hAnsiTheme="minorHAnsi" w:cstheme="minorHAnsi"/>
                <w:b/>
                <w:color w:val="008000"/>
                <w:sz w:val="18"/>
              </w:rPr>
              <w:t>MEDIUM-TERM OUTCOMES</w:t>
            </w:r>
          </w:p>
          <w:p w:rsidR="00AF10C9" w:rsidRPr="005F120D" w:rsidRDefault="00AF10C9" w:rsidP="00B25E46">
            <w:pPr>
              <w:pStyle w:val="Tabletext"/>
              <w:spacing w:before="0" w:after="0"/>
              <w:rPr>
                <w:rFonts w:asciiTheme="minorHAnsi" w:hAnsiTheme="minorHAnsi" w:cstheme="minorHAnsi"/>
                <w:sz w:val="18"/>
              </w:rPr>
            </w:pPr>
          </w:p>
          <w:p w:rsidR="00AF10C9" w:rsidRPr="005F120D" w:rsidRDefault="00570223"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Enrolment</w:t>
            </w:r>
            <w:r w:rsidR="00AF10C9" w:rsidRPr="005F120D">
              <w:rPr>
                <w:rFonts w:asciiTheme="minorHAnsi" w:hAnsiTheme="minorHAnsi" w:cstheme="minorHAnsi"/>
                <w:sz w:val="18"/>
              </w:rPr>
              <w:t xml:space="preserve"> increasing</w:t>
            </w:r>
          </w:p>
          <w:p w:rsidR="00AF10C9" w:rsidRPr="005F120D" w:rsidRDefault="00AF10C9" w:rsidP="00B25E46">
            <w:pPr>
              <w:pStyle w:val="Tabletext"/>
              <w:spacing w:before="0" w:after="0"/>
              <w:rPr>
                <w:rFonts w:asciiTheme="minorHAnsi" w:hAnsiTheme="minorHAnsi" w:cstheme="minorHAnsi"/>
                <w:sz w:val="1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Dropout and repetition decreasing</w:t>
            </w:r>
          </w:p>
          <w:p w:rsidR="00AF10C9" w:rsidRPr="005F120D" w:rsidRDefault="00AF10C9" w:rsidP="00B25E46">
            <w:pPr>
              <w:pStyle w:val="Tabletext"/>
              <w:spacing w:before="0" w:after="0"/>
              <w:rPr>
                <w:rFonts w:asciiTheme="minorHAnsi" w:hAnsiTheme="minorHAnsi" w:cstheme="minorHAnsi"/>
                <w:sz w:val="1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Completion increasing</w:t>
            </w:r>
          </w:p>
          <w:p w:rsidR="00AF10C9" w:rsidRPr="005F120D" w:rsidRDefault="00AF10C9" w:rsidP="00B25E46">
            <w:pPr>
              <w:pStyle w:val="Tabletext"/>
              <w:spacing w:before="0" w:after="0"/>
              <w:rPr>
                <w:rFonts w:asciiTheme="minorHAnsi" w:hAnsiTheme="minorHAnsi" w:cstheme="minorHAnsi"/>
                <w:sz w:val="1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Grade 1 pupils benefit from a year’s PPE</w:t>
            </w:r>
          </w:p>
        </w:tc>
        <w:tc>
          <w:tcPr>
            <w:tcW w:w="367" w:type="pct"/>
            <w:tcBorders>
              <w:left w:val="double" w:sz="4" w:space="0" w:color="5F497A"/>
              <w:right w:val="double" w:sz="4" w:space="0" w:color="984806"/>
            </w:tcBorders>
          </w:tcPr>
          <w:p w:rsidR="00AF10C9" w:rsidRPr="005F120D" w:rsidRDefault="002E2ED5" w:rsidP="00B25E46">
            <w:pPr>
              <w:pStyle w:val="Tabletext"/>
              <w:spacing w:before="0" w:after="0"/>
              <w:rPr>
                <w:rFonts w:asciiTheme="minorHAnsi" w:hAnsiTheme="minorHAnsi" w:cstheme="minorHAnsi"/>
                <w:sz w:val="18"/>
              </w:rPr>
            </w:pPr>
            <w:r>
              <w:rPr>
                <w:rFonts w:asciiTheme="minorHAnsi" w:hAnsiTheme="minorHAnsi" w:cstheme="minorHAnsi"/>
                <w:noProof/>
                <w:sz w:val="18"/>
                <w:lang w:val="en-US" w:eastAsia="en-US"/>
              </w:rPr>
              <w:pict>
                <v:shape id="_x0000_s1071" type="#_x0000_t68" style="position:absolute;margin-left:-2.95pt;margin-top:64.05pt;width:34.4pt;height:30.55pt;rotation:90;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" fillcolor="#fbd4b4" strokecolor="#00c">
                  <v:textbox style="layout-flow:vertical-ideographic"/>
                </v:shape>
              </w:pict>
            </w:r>
          </w:p>
        </w:tc>
        <w:tc>
          <w:tcPr>
            <w:tcW w:w="1510" w:type="pct"/>
            <w:tcBorders>
              <w:top w:val="double" w:sz="4" w:space="0" w:color="984806"/>
              <w:left w:val="double" w:sz="4" w:space="0" w:color="984806"/>
              <w:bottom w:val="double" w:sz="4" w:space="0" w:color="984806"/>
              <w:right w:val="double" w:sz="4" w:space="0" w:color="984806"/>
            </w:tcBorders>
            <w:shd w:val="clear" w:color="auto" w:fill="FBD4B4"/>
          </w:tcPr>
          <w:p w:rsidR="00AF10C9" w:rsidRPr="005F120D" w:rsidRDefault="00AF10C9" w:rsidP="00B25E46">
            <w:pPr>
              <w:pStyle w:val="Tabletext"/>
              <w:spacing w:before="0" w:after="0"/>
              <w:jc w:val="center"/>
              <w:rPr>
                <w:rFonts w:asciiTheme="minorHAnsi" w:hAnsiTheme="minorHAnsi" w:cstheme="minorHAnsi"/>
                <w:b/>
                <w:color w:val="008000"/>
                <w:sz w:val="18"/>
              </w:rPr>
            </w:pPr>
            <w:r w:rsidRPr="005F120D">
              <w:rPr>
                <w:rFonts w:asciiTheme="minorHAnsi" w:hAnsiTheme="minorHAnsi" w:cstheme="minorHAnsi"/>
                <w:b/>
                <w:color w:val="008000"/>
                <w:sz w:val="18"/>
              </w:rPr>
              <w:t>LONG-TERM OUTCOMES</w:t>
            </w:r>
          </w:p>
          <w:p w:rsidR="00AF10C9" w:rsidRPr="005F120D" w:rsidRDefault="00AF10C9" w:rsidP="00B25E46">
            <w:pPr>
              <w:pStyle w:val="Tabletext"/>
              <w:spacing w:before="0" w:after="0"/>
              <w:rPr>
                <w:rFonts w:asciiTheme="minorHAnsi" w:hAnsiTheme="minorHAnsi" w:cstheme="minorHAnsi"/>
                <w:sz w:val="12"/>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All children participate in pre- and primary education in all types of schools (formal, non-formal, madrashahs)</w:t>
            </w:r>
          </w:p>
          <w:p w:rsidR="00AF10C9" w:rsidRPr="005F120D" w:rsidRDefault="00AF10C9" w:rsidP="00B25E46">
            <w:pPr>
              <w:pStyle w:val="Tabletext"/>
              <w:spacing w:before="0" w:after="0"/>
              <w:rPr>
                <w:rFonts w:asciiTheme="minorHAnsi" w:hAnsiTheme="minorHAnsi" w:cstheme="minorHAnsi"/>
                <w:sz w:val="6"/>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Regional and other disparities in facilities, participation, completion and learning outcomes reduced</w:t>
            </w:r>
          </w:p>
          <w:p w:rsidR="00AF10C9" w:rsidRPr="005F120D" w:rsidRDefault="00AF10C9" w:rsidP="00B25E46">
            <w:pPr>
              <w:pStyle w:val="Tabletext"/>
              <w:spacing w:before="0" w:after="0"/>
              <w:rPr>
                <w:rFonts w:asciiTheme="minorHAnsi" w:hAnsiTheme="minorHAnsi" w:cstheme="minorHAnsi"/>
                <w:sz w:val="2"/>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Increased primary completion</w:t>
            </w:r>
          </w:p>
          <w:p w:rsidR="00AF10C9" w:rsidRPr="005F120D" w:rsidRDefault="00AF10C9" w:rsidP="00B25E46">
            <w:pPr>
              <w:pStyle w:val="Tabletext"/>
              <w:spacing w:before="0" w:after="0"/>
              <w:rPr>
                <w:rFonts w:asciiTheme="minorHAnsi" w:hAnsiTheme="minorHAnsi" w:cstheme="minorHAnsi"/>
                <w:sz w:val="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 xml:space="preserve">Increased transition to secondary </w:t>
            </w:r>
          </w:p>
        </w:tc>
      </w:tr>
    </w:tbl>
    <w:p w:rsidR="00AF10C9" w:rsidRPr="005F120D" w:rsidRDefault="00AF10C9" w:rsidP="00B25E46">
      <w:pPr>
        <w:autoSpaceDE w:val="0"/>
        <w:autoSpaceDN w:val="0"/>
        <w:adjustRightInd w:val="0"/>
        <w:spacing w:after="0"/>
        <w:rPr>
          <w:rFonts w:asciiTheme="minorHAnsi" w:hAnsiTheme="minorHAnsi" w:cstheme="minorHAnsi"/>
          <w:b/>
          <w:bCs/>
          <w:sz w:val="2"/>
        </w:rPr>
      </w:pPr>
    </w:p>
    <w:p w:rsidR="00AF10C9" w:rsidRPr="005F120D" w:rsidRDefault="00AF10C9" w:rsidP="00B25E46">
      <w:pPr>
        <w:autoSpaceDE w:val="0"/>
        <w:autoSpaceDN w:val="0"/>
        <w:adjustRightInd w:val="0"/>
        <w:spacing w:before="120" w:after="120"/>
        <w:rPr>
          <w:rFonts w:asciiTheme="minorHAnsi" w:hAnsiTheme="minorHAnsi" w:cstheme="minorHAnsi"/>
          <w:b/>
          <w:bCs/>
          <w:color w:val="008000"/>
          <w:sz w:val="20"/>
        </w:rPr>
      </w:pPr>
      <w:r w:rsidRPr="005F120D">
        <w:rPr>
          <w:rFonts w:asciiTheme="minorHAnsi" w:hAnsiTheme="minorHAnsi" w:cstheme="minorHAnsi"/>
          <w:b/>
          <w:bCs/>
          <w:color w:val="008000"/>
          <w:sz w:val="20"/>
        </w:rPr>
        <w:t>Component 3: Decentralization and effectiveness</w:t>
      </w:r>
    </w:p>
    <w:p w:rsidR="00AF10C9" w:rsidRPr="005F120D" w:rsidRDefault="00AF10C9" w:rsidP="00B25E46">
      <w:pPr>
        <w:jc w:val="both"/>
        <w:rPr>
          <w:rFonts w:asciiTheme="minorHAnsi" w:hAnsiTheme="minorHAnsi" w:cstheme="minorHAnsi"/>
          <w:sz w:val="20"/>
        </w:rPr>
      </w:pPr>
      <w:r w:rsidRPr="005F120D">
        <w:rPr>
          <w:rFonts w:asciiTheme="minorHAnsi" w:hAnsiTheme="minorHAnsi" w:cstheme="minorHAnsi"/>
          <w:b/>
          <w:sz w:val="20"/>
        </w:rPr>
        <w:t>Component-3</w:t>
      </w:r>
      <w:r w:rsidRPr="005F120D">
        <w:rPr>
          <w:rFonts w:asciiTheme="minorHAnsi" w:hAnsiTheme="minorHAnsi" w:cstheme="minorHAnsi"/>
          <w:sz w:val="20"/>
        </w:rPr>
        <w:t xml:space="preserve"> aims to decentralize the primary education management system through capacity building, e.g. school-level leadership development; field offices strengthened; increased decentralization of school, Upazila and district management; mainstreaming school, Upazila and district grant initiatives; and strengthening capacity at central level institutes, etc. This capacity building enables the system to meet the needs of children who have never attended formal primary school, or who are at risk of dropping out of school due to poverty, disability or for any other reason. This component also aims to reform key education systems, e.g. teacher management, student assessment (e.g. Grade 5 Primary Education Completion Examination (Terminal Exam)), and M&amp;E (e.g. strengthening the APSC).</w:t>
      </w:r>
    </w:p>
    <w:p w:rsidR="00AF10C9" w:rsidRPr="005F120D" w:rsidRDefault="00AF10C9" w:rsidP="00B25E46">
      <w:pPr>
        <w:autoSpaceDE w:val="0"/>
        <w:autoSpaceDN w:val="0"/>
        <w:adjustRightInd w:val="0"/>
        <w:spacing w:after="0"/>
        <w:rPr>
          <w:rFonts w:asciiTheme="minorHAnsi" w:hAnsiTheme="minorHAnsi" w:cstheme="minorHAnsi"/>
          <w:b/>
          <w:bCs/>
          <w:color w:val="008000"/>
          <w:sz w:val="20"/>
        </w:rPr>
      </w:pPr>
      <w:r w:rsidRPr="005F120D">
        <w:rPr>
          <w:rFonts w:asciiTheme="minorHAnsi" w:hAnsiTheme="minorHAnsi" w:cstheme="minorHAnsi"/>
          <w:b/>
          <w:bCs/>
          <w:i/>
          <w:iCs/>
          <w:color w:val="008000"/>
          <w:sz w:val="20"/>
        </w:rPr>
        <w:t xml:space="preserve">Results Area </w:t>
      </w:r>
      <w:r w:rsidRPr="005F120D">
        <w:rPr>
          <w:rFonts w:asciiTheme="minorHAnsi" w:hAnsiTheme="minorHAnsi" w:cstheme="minorHAnsi"/>
          <w:b/>
          <w:bCs/>
          <w:i/>
          <w:iCs/>
          <w:color w:val="008000"/>
          <w:sz w:val="20"/>
        </w:rPr>
        <w:tab/>
        <w:t>4 (3.1): Decentralization</w:t>
      </w:r>
    </w:p>
    <w:p w:rsidR="00AF10C9" w:rsidRPr="005F120D" w:rsidRDefault="00AF10C9" w:rsidP="00B25E46">
      <w:pPr>
        <w:autoSpaceDE w:val="0"/>
        <w:autoSpaceDN w:val="0"/>
        <w:adjustRightInd w:val="0"/>
        <w:spacing w:after="0"/>
        <w:ind w:left="720" w:firstLine="720"/>
        <w:rPr>
          <w:rFonts w:asciiTheme="minorHAnsi" w:hAnsiTheme="minorHAnsi" w:cstheme="minorHAnsi"/>
          <w:b/>
          <w:bCs/>
          <w:color w:val="008000"/>
          <w:sz w:val="20"/>
        </w:rPr>
      </w:pPr>
      <w:r w:rsidRPr="005F120D">
        <w:rPr>
          <w:rFonts w:asciiTheme="minorHAnsi" w:hAnsiTheme="minorHAnsi" w:cstheme="minorHAnsi"/>
          <w:b/>
          <w:bCs/>
          <w:i/>
          <w:iCs/>
          <w:color w:val="008000"/>
          <w:sz w:val="20"/>
        </w:rPr>
        <w:t>5 (3.2): Effectiveness</w:t>
      </w:r>
    </w:p>
    <w:p w:rsidR="00AF10C9" w:rsidRPr="005F120D" w:rsidRDefault="00AF10C9" w:rsidP="00B25E46">
      <w:pPr>
        <w:autoSpaceDE w:val="0"/>
        <w:autoSpaceDN w:val="0"/>
        <w:adjustRightInd w:val="0"/>
        <w:spacing w:before="120" w:after="0"/>
        <w:rPr>
          <w:rFonts w:asciiTheme="minorHAnsi" w:hAnsiTheme="minorHAnsi" w:cstheme="minorHAnsi"/>
          <w:b/>
          <w:color w:val="008000"/>
          <w:sz w:val="20"/>
        </w:rPr>
      </w:pPr>
      <w:r w:rsidRPr="005F120D">
        <w:rPr>
          <w:rFonts w:asciiTheme="minorHAnsi" w:hAnsiTheme="minorHAnsi" w:cstheme="minorHAnsi"/>
          <w:b/>
          <w:color w:val="008000"/>
          <w:sz w:val="20"/>
        </w:rPr>
        <w:t xml:space="preserve">Expected outcome: </w:t>
      </w:r>
    </w:p>
    <w:p w:rsidR="00AF10C9" w:rsidRPr="005F120D" w:rsidRDefault="00AF10C9" w:rsidP="00B25E46">
      <w:pPr>
        <w:numPr>
          <w:ilvl w:val="0"/>
          <w:numId w:val="11"/>
        </w:numPr>
        <w:autoSpaceDE w:val="0"/>
        <w:autoSpaceDN w:val="0"/>
        <w:adjustRightInd w:val="0"/>
        <w:spacing w:after="0"/>
        <w:contextualSpacing/>
        <w:rPr>
          <w:rFonts w:asciiTheme="minorHAnsi" w:hAnsiTheme="minorHAnsi" w:cstheme="minorHAnsi"/>
          <w:color w:val="008000"/>
          <w:sz w:val="20"/>
        </w:rPr>
      </w:pPr>
      <w:r w:rsidRPr="005F120D">
        <w:rPr>
          <w:rFonts w:asciiTheme="minorHAnsi" w:hAnsiTheme="minorHAnsi" w:cstheme="minorHAnsi"/>
          <w:i/>
          <w:color w:val="008000"/>
          <w:sz w:val="20"/>
        </w:rPr>
        <w:t>Upazila-</w:t>
      </w:r>
      <w:r w:rsidRPr="005F120D">
        <w:rPr>
          <w:rFonts w:asciiTheme="minorHAnsi" w:hAnsiTheme="minorHAnsi" w:cstheme="minorHAnsi"/>
          <w:color w:val="008000"/>
          <w:sz w:val="20"/>
        </w:rPr>
        <w:t xml:space="preserve"> and school-level planning decentralized</w:t>
      </w:r>
    </w:p>
    <w:p w:rsidR="00AF10C9" w:rsidRPr="005F120D" w:rsidRDefault="00AF10C9" w:rsidP="00B25E46">
      <w:pPr>
        <w:numPr>
          <w:ilvl w:val="0"/>
          <w:numId w:val="11"/>
        </w:numPr>
        <w:autoSpaceDE w:val="0"/>
        <w:autoSpaceDN w:val="0"/>
        <w:adjustRightInd w:val="0"/>
        <w:contextualSpacing/>
        <w:rPr>
          <w:rFonts w:asciiTheme="minorHAnsi" w:hAnsiTheme="minorHAnsi" w:cstheme="minorHAnsi"/>
          <w:color w:val="008000"/>
          <w:sz w:val="20"/>
        </w:rPr>
      </w:pPr>
      <w:r w:rsidRPr="005F120D">
        <w:rPr>
          <w:rFonts w:asciiTheme="minorHAnsi" w:hAnsiTheme="minorHAnsi" w:cstheme="minorHAnsi"/>
          <w:color w:val="008000"/>
          <w:sz w:val="20"/>
        </w:rPr>
        <w:t>Increased effectiveness of budget allocation. In summary, the results chain of Component 3 expectations takes the following shape:</w:t>
      </w:r>
    </w:p>
    <w:p w:rsidR="009811E9" w:rsidRPr="005F120D" w:rsidRDefault="009811E9" w:rsidP="009811E9">
      <w:pPr>
        <w:autoSpaceDE w:val="0"/>
        <w:autoSpaceDN w:val="0"/>
        <w:adjustRightInd w:val="0"/>
        <w:ind w:left="360"/>
        <w:contextualSpacing/>
        <w:rPr>
          <w:rFonts w:asciiTheme="minorHAnsi" w:hAnsiTheme="minorHAnsi" w:cstheme="minorHAnsi"/>
          <w:color w:val="008000"/>
          <w:sz w:val="20"/>
        </w:rPr>
      </w:pPr>
    </w:p>
    <w:tbl>
      <w:tblPr>
        <w:tblW w:w="5000" w:type="pct"/>
        <w:tblLook w:val="01E0"/>
      </w:tblPr>
      <w:tblGrid>
        <w:gridCol w:w="3058"/>
        <w:gridCol w:w="608"/>
        <w:gridCol w:w="2023"/>
        <w:gridCol w:w="712"/>
        <w:gridCol w:w="2844"/>
      </w:tblGrid>
      <w:tr w:rsidR="00AF10C9" w:rsidRPr="005F120D" w:rsidTr="00BD53B7">
        <w:trPr>
          <w:trHeight w:val="150"/>
        </w:trPr>
        <w:tc>
          <w:tcPr>
            <w:tcW w:w="1654" w:type="pct"/>
            <w:tcBorders>
              <w:top w:val="double" w:sz="4" w:space="0" w:color="4F6228"/>
              <w:left w:val="double" w:sz="4" w:space="0" w:color="4F6228"/>
              <w:bottom w:val="double" w:sz="4" w:space="0" w:color="4F6228"/>
              <w:right w:val="double" w:sz="4" w:space="0" w:color="4F6228"/>
            </w:tcBorders>
            <w:shd w:val="clear" w:color="auto" w:fill="EAF1DD"/>
          </w:tcPr>
          <w:p w:rsidR="00AF10C9" w:rsidRPr="005F120D" w:rsidRDefault="00AF10C9" w:rsidP="00B25E46">
            <w:pPr>
              <w:pStyle w:val="Tabletext"/>
              <w:spacing w:before="0" w:after="0"/>
              <w:jc w:val="center"/>
              <w:rPr>
                <w:rFonts w:asciiTheme="minorHAnsi" w:hAnsiTheme="minorHAnsi" w:cstheme="minorHAnsi"/>
                <w:b/>
                <w:color w:val="008000"/>
                <w:sz w:val="18"/>
              </w:rPr>
            </w:pPr>
            <w:r w:rsidRPr="005F120D">
              <w:rPr>
                <w:rFonts w:asciiTheme="minorHAnsi" w:hAnsiTheme="minorHAnsi" w:cstheme="minorHAnsi"/>
                <w:b/>
                <w:color w:val="008000"/>
                <w:sz w:val="18"/>
              </w:rPr>
              <w:t>ACTIVITIES</w:t>
            </w: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 xml:space="preserve">Head teachers, teachers, </w:t>
            </w:r>
            <w:r w:rsidRPr="005F120D">
              <w:rPr>
                <w:rFonts w:asciiTheme="minorHAnsi" w:hAnsiTheme="minorHAnsi" w:cstheme="minorHAnsi"/>
                <w:i/>
                <w:sz w:val="18"/>
              </w:rPr>
              <w:t>Upazila</w:t>
            </w:r>
            <w:r w:rsidRPr="005F120D">
              <w:rPr>
                <w:rFonts w:asciiTheme="minorHAnsi" w:hAnsiTheme="minorHAnsi" w:cstheme="minorHAnsi"/>
                <w:sz w:val="18"/>
              </w:rPr>
              <w:t xml:space="preserve"> and district officials trained in managing School-Level Improvement Plans (SLIPs), </w:t>
            </w:r>
            <w:r w:rsidRPr="005F120D">
              <w:rPr>
                <w:rFonts w:asciiTheme="minorHAnsi" w:hAnsiTheme="minorHAnsi" w:cstheme="minorHAnsi"/>
                <w:i/>
                <w:sz w:val="18"/>
              </w:rPr>
              <w:t>Upazila</w:t>
            </w:r>
            <w:r w:rsidRPr="005F120D">
              <w:rPr>
                <w:rFonts w:asciiTheme="minorHAnsi" w:hAnsiTheme="minorHAnsi" w:cstheme="minorHAnsi"/>
                <w:sz w:val="18"/>
              </w:rPr>
              <w:t xml:space="preserve"> Primary Education Plans (UPEPs) and District Primary Education Plans (DPEPs)</w:t>
            </w:r>
          </w:p>
          <w:p w:rsidR="00AF10C9" w:rsidRPr="005F120D" w:rsidRDefault="00AF10C9" w:rsidP="00B25E46">
            <w:pPr>
              <w:pStyle w:val="Tabletext"/>
              <w:spacing w:before="0" w:after="0"/>
              <w:rPr>
                <w:rFonts w:asciiTheme="minorHAnsi" w:hAnsiTheme="minorHAnsi" w:cstheme="minorHAnsi"/>
                <w:sz w:val="10"/>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DPE and UEO offices, professional staff recruited and trained</w:t>
            </w:r>
          </w:p>
          <w:p w:rsidR="00AF10C9" w:rsidRPr="005F120D" w:rsidRDefault="00AF10C9" w:rsidP="00B25E46">
            <w:pPr>
              <w:pStyle w:val="Tabletext"/>
              <w:spacing w:before="0" w:after="0"/>
              <w:rPr>
                <w:rFonts w:asciiTheme="minorHAnsi" w:hAnsiTheme="minorHAnsi" w:cstheme="minorHAnsi"/>
                <w:sz w:val="6"/>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Head teachers trained in school management and leadership</w:t>
            </w:r>
          </w:p>
          <w:p w:rsidR="00AF10C9" w:rsidRPr="005F120D" w:rsidRDefault="00AF10C9" w:rsidP="00B25E46">
            <w:pPr>
              <w:pStyle w:val="Tabletext"/>
              <w:spacing w:before="0" w:after="0"/>
              <w:rPr>
                <w:rFonts w:asciiTheme="minorHAnsi" w:hAnsiTheme="minorHAnsi" w:cstheme="minorHAnsi"/>
                <w:sz w:val="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 xml:space="preserve">Grade 5 Primary Education Completion Examination (Terminal Exam) orientated towards assessment of competencies </w:t>
            </w:r>
          </w:p>
          <w:p w:rsidR="00AF10C9" w:rsidRPr="005F120D" w:rsidRDefault="00AF10C9" w:rsidP="00B25E46">
            <w:pPr>
              <w:pStyle w:val="Tabletext"/>
              <w:spacing w:before="0" w:after="0"/>
              <w:rPr>
                <w:rFonts w:asciiTheme="minorHAnsi" w:hAnsiTheme="minorHAnsi" w:cstheme="minorHAnsi"/>
                <w:sz w:val="4"/>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APSC reviewed</w:t>
            </w:r>
          </w:p>
        </w:tc>
        <w:tc>
          <w:tcPr>
            <w:tcW w:w="329" w:type="pct"/>
            <w:tcBorders>
              <w:left w:val="double" w:sz="4" w:space="0" w:color="4F6228"/>
              <w:right w:val="double" w:sz="4" w:space="0" w:color="4F6228"/>
            </w:tcBorders>
          </w:tcPr>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noProof/>
                <w:sz w:val="18"/>
                <w:lang w:val="en-US" w:eastAsia="en-US"/>
              </w:rPr>
              <w:drawing>
                <wp:anchor distT="0" distB="0" distL="114300" distR="114300" simplePos="0" relativeHeight="251717632" behindDoc="0" locked="0" layoutInCell="1" allowOverlap="1">
                  <wp:simplePos x="0" y="0"/>
                  <wp:positionH relativeFrom="column">
                    <wp:posOffset>-55245</wp:posOffset>
                  </wp:positionH>
                  <wp:positionV relativeFrom="paragraph">
                    <wp:posOffset>912495</wp:posOffset>
                  </wp:positionV>
                  <wp:extent cx="387350" cy="654050"/>
                  <wp:effectExtent l="19050" t="0" r="0" b="0"/>
                  <wp:wrapNone/>
                  <wp:docPr id="3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srcRect/>
                          <a:stretch>
                            <a:fillRect/>
                          </a:stretch>
                        </pic:blipFill>
                        <pic:spPr bwMode="auto">
                          <a:xfrm>
                            <a:off x="0" y="0"/>
                            <a:ext cx="387350" cy="654050"/>
                          </a:xfrm>
                          <a:prstGeom prst="rect">
                            <a:avLst/>
                          </a:prstGeom>
                          <a:noFill/>
                          <a:ln w="9525">
                            <a:noFill/>
                            <a:miter lim="800000"/>
                            <a:headEnd/>
                            <a:tailEnd/>
                          </a:ln>
                        </pic:spPr>
                      </pic:pic>
                    </a:graphicData>
                  </a:graphic>
                </wp:anchor>
              </w:drawing>
            </w:r>
          </w:p>
        </w:tc>
        <w:tc>
          <w:tcPr>
            <w:tcW w:w="1094" w:type="pct"/>
            <w:tcBorders>
              <w:top w:val="double" w:sz="4" w:space="0" w:color="4F6228"/>
              <w:left w:val="double" w:sz="4" w:space="0" w:color="4F6228"/>
              <w:bottom w:val="double" w:sz="4" w:space="0" w:color="4F6228"/>
              <w:right w:val="double" w:sz="4" w:space="0" w:color="4F6228"/>
            </w:tcBorders>
            <w:shd w:val="clear" w:color="auto" w:fill="D6E3BC"/>
          </w:tcPr>
          <w:p w:rsidR="00AF10C9" w:rsidRPr="005F120D" w:rsidRDefault="00AF10C9" w:rsidP="00B25E46">
            <w:pPr>
              <w:pStyle w:val="Tabletext"/>
              <w:spacing w:before="0" w:after="0"/>
              <w:jc w:val="center"/>
              <w:rPr>
                <w:rFonts w:asciiTheme="minorHAnsi" w:hAnsiTheme="minorHAnsi" w:cstheme="minorHAnsi"/>
                <w:b/>
                <w:color w:val="008000"/>
                <w:sz w:val="18"/>
              </w:rPr>
            </w:pPr>
            <w:r w:rsidRPr="005F120D">
              <w:rPr>
                <w:rFonts w:asciiTheme="minorHAnsi" w:hAnsiTheme="minorHAnsi" w:cstheme="minorHAnsi"/>
                <w:b/>
                <w:color w:val="008000"/>
                <w:sz w:val="18"/>
              </w:rPr>
              <w:t>OUTPUTS</w:t>
            </w:r>
          </w:p>
          <w:p w:rsidR="00AF10C9" w:rsidRPr="005F120D" w:rsidRDefault="00AF10C9" w:rsidP="00B25E46">
            <w:pPr>
              <w:pStyle w:val="Tabletext"/>
              <w:spacing w:before="0" w:after="0"/>
              <w:rPr>
                <w:rFonts w:asciiTheme="minorHAnsi" w:hAnsiTheme="minorHAnsi" w:cstheme="minorHAnsi"/>
                <w:sz w:val="1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 xml:space="preserve">Competent DPEP Officers and UEO professional staff in </w:t>
            </w:r>
            <w:r w:rsidR="00570223" w:rsidRPr="005F120D">
              <w:rPr>
                <w:rFonts w:asciiTheme="minorHAnsi" w:hAnsiTheme="minorHAnsi" w:cstheme="minorHAnsi"/>
                <w:sz w:val="18"/>
              </w:rPr>
              <w:t>place</w:t>
            </w:r>
          </w:p>
          <w:p w:rsidR="00AF10C9" w:rsidRPr="005F120D" w:rsidRDefault="00AF10C9" w:rsidP="00B25E46">
            <w:pPr>
              <w:pStyle w:val="Tabletext"/>
              <w:spacing w:before="0" w:after="0"/>
              <w:rPr>
                <w:rFonts w:asciiTheme="minorHAnsi" w:hAnsiTheme="minorHAnsi" w:cstheme="minorHAnsi"/>
                <w:sz w:val="1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Head teachers are competent managers and leaders</w:t>
            </w:r>
          </w:p>
          <w:p w:rsidR="00AF10C9" w:rsidRPr="005F120D" w:rsidRDefault="00AF10C9" w:rsidP="00B25E46">
            <w:pPr>
              <w:pStyle w:val="Tabletext"/>
              <w:spacing w:before="0" w:after="0"/>
              <w:rPr>
                <w:rFonts w:asciiTheme="minorHAnsi" w:hAnsiTheme="minorHAnsi" w:cstheme="minorHAnsi"/>
                <w:sz w:val="1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Competency-based Grade 5 examination progressively introduced</w:t>
            </w:r>
          </w:p>
          <w:p w:rsidR="00AF10C9" w:rsidRPr="005F120D" w:rsidRDefault="00AF10C9" w:rsidP="00B25E46">
            <w:pPr>
              <w:pStyle w:val="Tabletext"/>
              <w:spacing w:before="0" w:after="0"/>
              <w:rPr>
                <w:rFonts w:asciiTheme="minorHAnsi" w:hAnsiTheme="minorHAnsi" w:cstheme="minorHAnsi"/>
                <w:sz w:val="10"/>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APSC improved</w:t>
            </w:r>
          </w:p>
        </w:tc>
        <w:tc>
          <w:tcPr>
            <w:tcW w:w="385" w:type="pct"/>
            <w:tcBorders>
              <w:left w:val="double" w:sz="4" w:space="0" w:color="4F6228"/>
              <w:right w:val="double" w:sz="4" w:space="0" w:color="4F6228"/>
            </w:tcBorders>
          </w:tcPr>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noProof/>
                <w:sz w:val="18"/>
                <w:lang w:val="en-US" w:eastAsia="en-US"/>
              </w:rPr>
              <w:drawing>
                <wp:anchor distT="0" distB="0" distL="114300" distR="114300" simplePos="0" relativeHeight="251718656" behindDoc="0" locked="0" layoutInCell="1" allowOverlap="1">
                  <wp:simplePos x="0" y="0"/>
                  <wp:positionH relativeFrom="page">
                    <wp:posOffset>17145</wp:posOffset>
                  </wp:positionH>
                  <wp:positionV relativeFrom="page">
                    <wp:posOffset>911860</wp:posOffset>
                  </wp:positionV>
                  <wp:extent cx="431165" cy="655320"/>
                  <wp:effectExtent l="19050" t="0" r="6985" b="0"/>
                  <wp:wrapNone/>
                  <wp:docPr id="3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srcRect/>
                          <a:stretch>
                            <a:fillRect/>
                          </a:stretch>
                        </pic:blipFill>
                        <pic:spPr bwMode="auto">
                          <a:xfrm>
                            <a:off x="0" y="0"/>
                            <a:ext cx="431165" cy="655320"/>
                          </a:xfrm>
                          <a:prstGeom prst="rect">
                            <a:avLst/>
                          </a:prstGeom>
                          <a:noFill/>
                          <a:ln w="9525">
                            <a:noFill/>
                            <a:miter lim="800000"/>
                            <a:headEnd/>
                            <a:tailEnd/>
                          </a:ln>
                        </pic:spPr>
                      </pic:pic>
                    </a:graphicData>
                  </a:graphic>
                </wp:anchor>
              </w:drawing>
            </w:r>
          </w:p>
        </w:tc>
        <w:tc>
          <w:tcPr>
            <w:tcW w:w="1538" w:type="pct"/>
            <w:tcBorders>
              <w:top w:val="double" w:sz="4" w:space="0" w:color="4F6228"/>
              <w:left w:val="double" w:sz="4" w:space="0" w:color="4F6228"/>
              <w:bottom w:val="double" w:sz="4" w:space="0" w:color="4F6228"/>
              <w:right w:val="double" w:sz="4" w:space="0" w:color="4F6228"/>
            </w:tcBorders>
            <w:shd w:val="clear" w:color="auto" w:fill="C2D69B"/>
          </w:tcPr>
          <w:p w:rsidR="00AF10C9" w:rsidRPr="005F120D" w:rsidRDefault="00AF10C9" w:rsidP="00B25E46">
            <w:pPr>
              <w:pStyle w:val="Tabletext"/>
              <w:spacing w:before="0" w:after="0"/>
              <w:jc w:val="center"/>
              <w:rPr>
                <w:rFonts w:asciiTheme="minorHAnsi" w:hAnsiTheme="minorHAnsi" w:cstheme="minorHAnsi"/>
                <w:b/>
                <w:color w:val="008000"/>
                <w:sz w:val="18"/>
              </w:rPr>
            </w:pPr>
            <w:r w:rsidRPr="005F120D">
              <w:rPr>
                <w:rFonts w:asciiTheme="minorHAnsi" w:hAnsiTheme="minorHAnsi" w:cstheme="minorHAnsi"/>
                <w:b/>
                <w:color w:val="008000"/>
                <w:sz w:val="18"/>
              </w:rPr>
              <w:t>EARLY OUTCOMES</w:t>
            </w:r>
          </w:p>
          <w:p w:rsidR="00AF10C9" w:rsidRPr="005F120D" w:rsidRDefault="00AF10C9" w:rsidP="00B25E46">
            <w:pPr>
              <w:pStyle w:val="Tabletext"/>
              <w:spacing w:before="0" w:after="0"/>
              <w:rPr>
                <w:rFonts w:asciiTheme="minorHAnsi" w:hAnsiTheme="minorHAnsi" w:cstheme="minorHAnsi"/>
                <w:sz w:val="1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Improved SLIPs, UPEPs and DPEPs produced, which contribute to better management</w:t>
            </w:r>
          </w:p>
          <w:p w:rsidR="00AF10C9" w:rsidRPr="005F120D" w:rsidRDefault="00AF10C9" w:rsidP="00B25E46">
            <w:pPr>
              <w:pStyle w:val="Tabletext"/>
              <w:spacing w:before="0" w:after="0"/>
              <w:rPr>
                <w:rFonts w:asciiTheme="minorHAnsi" w:hAnsiTheme="minorHAnsi" w:cstheme="minorHAnsi"/>
                <w:sz w:val="6"/>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Head teachers manage effectively</w:t>
            </w:r>
          </w:p>
          <w:p w:rsidR="00AF10C9" w:rsidRPr="005F120D" w:rsidRDefault="00AF10C9" w:rsidP="00B25E46">
            <w:pPr>
              <w:pStyle w:val="Tabletext"/>
              <w:spacing w:before="0" w:after="0"/>
              <w:rPr>
                <w:rFonts w:asciiTheme="minorHAnsi" w:hAnsiTheme="minorHAnsi" w:cstheme="minorHAnsi"/>
                <w:sz w:val="6"/>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Improved productivity in schools and offices</w:t>
            </w:r>
          </w:p>
          <w:p w:rsidR="00AF10C9" w:rsidRPr="005F120D" w:rsidRDefault="00AF10C9" w:rsidP="00B25E46">
            <w:pPr>
              <w:pStyle w:val="Tabletext"/>
              <w:spacing w:before="0" w:after="0"/>
              <w:rPr>
                <w:rFonts w:asciiTheme="minorHAnsi" w:hAnsiTheme="minorHAnsi" w:cstheme="minorHAnsi"/>
                <w:sz w:val="4"/>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Dropout decreasing</w:t>
            </w:r>
          </w:p>
          <w:p w:rsidR="00AF10C9" w:rsidRPr="005F120D" w:rsidRDefault="00AF10C9" w:rsidP="00B25E46">
            <w:pPr>
              <w:pStyle w:val="Tabletext"/>
              <w:spacing w:before="0" w:after="0"/>
              <w:rPr>
                <w:rFonts w:asciiTheme="minorHAnsi" w:hAnsiTheme="minorHAnsi" w:cstheme="minorHAnsi"/>
                <w:sz w:val="4"/>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Repetition decreasing</w:t>
            </w:r>
          </w:p>
          <w:p w:rsidR="00AF10C9" w:rsidRPr="005F120D" w:rsidRDefault="00AF10C9" w:rsidP="00B25E46">
            <w:pPr>
              <w:pStyle w:val="Tabletext"/>
              <w:spacing w:before="0" w:after="0"/>
              <w:rPr>
                <w:rFonts w:asciiTheme="minorHAnsi" w:hAnsiTheme="minorHAnsi" w:cstheme="minorHAnsi"/>
                <w:sz w:val="4"/>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More appropriate examination stimulates mastery of essential competencies</w:t>
            </w:r>
          </w:p>
          <w:p w:rsidR="00AF10C9" w:rsidRPr="005F120D" w:rsidRDefault="00AF10C9" w:rsidP="00B25E46">
            <w:pPr>
              <w:pStyle w:val="Tabletext"/>
              <w:spacing w:before="0" w:after="0"/>
              <w:rPr>
                <w:rFonts w:asciiTheme="minorHAnsi" w:hAnsiTheme="minorHAnsi" w:cstheme="minorHAnsi"/>
                <w:sz w:val="8"/>
              </w:rPr>
            </w:pPr>
          </w:p>
          <w:p w:rsidR="00AF10C9" w:rsidRPr="005F120D" w:rsidRDefault="00AF10C9" w:rsidP="00B25E46">
            <w:pPr>
              <w:pStyle w:val="Tabletext"/>
              <w:spacing w:before="0" w:after="0"/>
              <w:rPr>
                <w:rFonts w:asciiTheme="minorHAnsi" w:hAnsiTheme="minorHAnsi" w:cstheme="minorHAnsi"/>
                <w:sz w:val="18"/>
              </w:rPr>
            </w:pPr>
            <w:r w:rsidRPr="005F120D">
              <w:rPr>
                <w:rFonts w:asciiTheme="minorHAnsi" w:hAnsiTheme="minorHAnsi" w:cstheme="minorHAnsi"/>
                <w:sz w:val="18"/>
              </w:rPr>
              <w:t>Better statistical information available to assist decision-making</w:t>
            </w:r>
          </w:p>
        </w:tc>
      </w:tr>
    </w:tbl>
    <w:p w:rsidR="00AF10C9" w:rsidRPr="005F120D" w:rsidRDefault="00AF10C9" w:rsidP="00B25E46">
      <w:pPr>
        <w:spacing w:after="0"/>
        <w:rPr>
          <w:rFonts w:asciiTheme="minorHAnsi" w:hAnsiTheme="minorHAnsi" w:cstheme="minorHAnsi"/>
          <w:sz w:val="20"/>
        </w:rPr>
      </w:pPr>
    </w:p>
    <w:p w:rsidR="00EC3044" w:rsidRPr="005F120D" w:rsidRDefault="00EC3044" w:rsidP="00B25E46">
      <w:pPr>
        <w:spacing w:after="0"/>
        <w:rPr>
          <w:rFonts w:asciiTheme="minorHAnsi" w:hAnsiTheme="minorHAnsi" w:cstheme="minorHAnsi"/>
          <w:sz w:val="20"/>
        </w:rPr>
      </w:pPr>
    </w:p>
    <w:p w:rsidR="00EC3044" w:rsidRPr="005F120D" w:rsidRDefault="00EC3044" w:rsidP="00B25E46">
      <w:pPr>
        <w:spacing w:after="0"/>
        <w:rPr>
          <w:rFonts w:asciiTheme="minorHAnsi" w:hAnsiTheme="minorHAnsi" w:cstheme="minorHAnsi"/>
          <w:sz w:val="20"/>
        </w:rPr>
      </w:pPr>
    </w:p>
    <w:p w:rsidR="00EC3044" w:rsidRPr="005F120D" w:rsidRDefault="00EC3044" w:rsidP="00B25E46">
      <w:pPr>
        <w:spacing w:after="0"/>
        <w:rPr>
          <w:rFonts w:asciiTheme="minorHAnsi" w:hAnsiTheme="minorHAnsi" w:cstheme="minorHAnsi"/>
          <w:sz w:val="20"/>
        </w:rPr>
      </w:pPr>
    </w:p>
    <w:p w:rsidR="00EC3044" w:rsidRPr="005F120D" w:rsidRDefault="00EC3044" w:rsidP="00B25E46">
      <w:pPr>
        <w:spacing w:after="0"/>
        <w:rPr>
          <w:rFonts w:asciiTheme="minorHAnsi" w:hAnsiTheme="minorHAnsi" w:cstheme="minorHAnsi"/>
          <w:sz w:val="20"/>
        </w:rPr>
      </w:pPr>
    </w:p>
    <w:p w:rsidR="00EC3044" w:rsidRPr="005F120D" w:rsidRDefault="00EC3044" w:rsidP="00B25E46">
      <w:pPr>
        <w:spacing w:after="0"/>
        <w:rPr>
          <w:rFonts w:asciiTheme="minorHAnsi" w:hAnsiTheme="minorHAnsi" w:cstheme="minorHAnsi"/>
          <w:sz w:val="20"/>
        </w:rPr>
      </w:pPr>
    </w:p>
    <w:p w:rsidR="00EC3044" w:rsidRPr="005F120D" w:rsidRDefault="00EC3044" w:rsidP="00B25E46">
      <w:pPr>
        <w:spacing w:after="0"/>
        <w:rPr>
          <w:rFonts w:asciiTheme="minorHAnsi" w:hAnsiTheme="minorHAnsi" w:cstheme="minorHAnsi"/>
          <w:sz w:val="20"/>
        </w:rPr>
      </w:pPr>
    </w:p>
    <w:p w:rsidR="00AF10C9" w:rsidRPr="005F120D" w:rsidRDefault="00AF10C9" w:rsidP="00B25E46">
      <w:pPr>
        <w:spacing w:after="0"/>
        <w:rPr>
          <w:rFonts w:asciiTheme="minorHAnsi" w:hAnsiTheme="minorHAnsi" w:cstheme="minorHAnsi"/>
          <w:sz w:val="20"/>
        </w:rPr>
      </w:pPr>
      <w:r w:rsidRPr="005F120D">
        <w:rPr>
          <w:rFonts w:asciiTheme="minorHAnsi" w:hAnsiTheme="minorHAnsi" w:cstheme="minorHAnsi"/>
          <w:sz w:val="20"/>
        </w:rPr>
        <w:lastRenderedPageBreak/>
        <w:t>It is expected that early outcomes will contribute to both medium- and long-term outcomes.  Outcome expectations for Component 3 can be described as follows:</w:t>
      </w:r>
    </w:p>
    <w:p w:rsidR="00AF10C9" w:rsidRPr="005F120D" w:rsidRDefault="00AF10C9" w:rsidP="00B25E46">
      <w:pPr>
        <w:spacing w:after="0"/>
        <w:rPr>
          <w:rFonts w:asciiTheme="minorHAnsi" w:hAnsiTheme="minorHAnsi" w:cstheme="minorHAnsi"/>
          <w:sz w:val="20"/>
        </w:rPr>
      </w:pPr>
    </w:p>
    <w:tbl>
      <w:tblPr>
        <w:tblW w:w="5000" w:type="pct"/>
        <w:tblLook w:val="01E0"/>
      </w:tblPr>
      <w:tblGrid>
        <w:gridCol w:w="3148"/>
        <w:gridCol w:w="606"/>
        <w:gridCol w:w="2291"/>
        <w:gridCol w:w="682"/>
        <w:gridCol w:w="2518"/>
      </w:tblGrid>
      <w:tr w:rsidR="00AF10C9" w:rsidRPr="005F120D" w:rsidTr="00BD53B7">
        <w:trPr>
          <w:trHeight w:val="2841"/>
        </w:trPr>
        <w:tc>
          <w:tcPr>
            <w:tcW w:w="1702" w:type="pct"/>
            <w:tcBorders>
              <w:top w:val="double" w:sz="4" w:space="0" w:color="4F6228"/>
              <w:left w:val="double" w:sz="4" w:space="0" w:color="4F6228"/>
              <w:bottom w:val="double" w:sz="4" w:space="0" w:color="4F6228"/>
              <w:right w:val="double" w:sz="4" w:space="0" w:color="4F6228"/>
            </w:tcBorders>
            <w:shd w:val="clear" w:color="auto" w:fill="C2D69B"/>
          </w:tcPr>
          <w:p w:rsidR="00AF10C9" w:rsidRPr="005F120D" w:rsidRDefault="00AF10C9" w:rsidP="00B25E46">
            <w:pPr>
              <w:pStyle w:val="Tabletext"/>
              <w:jc w:val="center"/>
              <w:rPr>
                <w:rFonts w:asciiTheme="minorHAnsi" w:hAnsiTheme="minorHAnsi" w:cstheme="minorHAnsi"/>
                <w:b/>
                <w:color w:val="008000"/>
                <w:sz w:val="18"/>
              </w:rPr>
            </w:pPr>
            <w:r w:rsidRPr="005F120D">
              <w:rPr>
                <w:rFonts w:asciiTheme="minorHAnsi" w:hAnsiTheme="minorHAnsi" w:cstheme="minorHAnsi"/>
                <w:b/>
                <w:color w:val="008000"/>
                <w:sz w:val="18"/>
              </w:rPr>
              <w:t>EARLY OUTCOMES</w:t>
            </w:r>
          </w:p>
          <w:p w:rsidR="00AF10C9" w:rsidRPr="005F120D" w:rsidRDefault="00AF10C9" w:rsidP="00B25E46">
            <w:pPr>
              <w:pStyle w:val="Tabletext"/>
              <w:rPr>
                <w:rFonts w:asciiTheme="minorHAnsi" w:hAnsiTheme="minorHAnsi" w:cstheme="minorHAnsi"/>
                <w:sz w:val="2"/>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Improved SLIPs, UPEPs and DPEPs produced, which contribute to better management</w:t>
            </w:r>
          </w:p>
          <w:p w:rsidR="00AF10C9" w:rsidRPr="005F120D" w:rsidRDefault="00AF10C9" w:rsidP="00B25E46">
            <w:pPr>
              <w:pStyle w:val="Tabletext"/>
              <w:rPr>
                <w:rFonts w:asciiTheme="minorHAnsi" w:hAnsiTheme="minorHAnsi" w:cstheme="minorHAnsi"/>
                <w:sz w:val="6"/>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Head teachers manage effectively</w:t>
            </w:r>
          </w:p>
          <w:p w:rsidR="00AF10C9" w:rsidRPr="005F120D" w:rsidRDefault="00AF10C9" w:rsidP="00B25E46">
            <w:pPr>
              <w:pStyle w:val="Tabletext"/>
              <w:rPr>
                <w:rFonts w:asciiTheme="minorHAnsi" w:hAnsiTheme="minorHAnsi" w:cstheme="minorHAnsi"/>
                <w:sz w:val="2"/>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Improved productivity in schools and offices</w:t>
            </w:r>
          </w:p>
          <w:p w:rsidR="00AF10C9" w:rsidRPr="005F120D" w:rsidRDefault="00AF10C9" w:rsidP="00B25E46">
            <w:pPr>
              <w:pStyle w:val="Tabletext"/>
              <w:rPr>
                <w:rFonts w:asciiTheme="minorHAnsi" w:hAnsiTheme="minorHAnsi" w:cstheme="minorHAnsi"/>
                <w:sz w:val="4"/>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b/>
                <w:sz w:val="18"/>
              </w:rPr>
              <w:t>A m</w:t>
            </w:r>
            <w:r w:rsidRPr="005F120D">
              <w:rPr>
                <w:rFonts w:asciiTheme="minorHAnsi" w:hAnsiTheme="minorHAnsi" w:cstheme="minorHAnsi"/>
                <w:sz w:val="18"/>
              </w:rPr>
              <w:t>ore appropriate examination stimulates mastery of essential competencies</w:t>
            </w:r>
          </w:p>
          <w:p w:rsidR="00AF10C9" w:rsidRPr="005F120D" w:rsidRDefault="00AF10C9" w:rsidP="00B25E46">
            <w:pPr>
              <w:pStyle w:val="Tabletext"/>
              <w:rPr>
                <w:rFonts w:asciiTheme="minorHAnsi" w:hAnsiTheme="minorHAnsi" w:cstheme="minorHAnsi"/>
                <w:sz w:val="2"/>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Better statistical information available to assist decision-making</w:t>
            </w:r>
          </w:p>
        </w:tc>
        <w:tc>
          <w:tcPr>
            <w:tcW w:w="328" w:type="pct"/>
            <w:tcBorders>
              <w:left w:val="double" w:sz="4" w:space="0" w:color="4F6228"/>
              <w:right w:val="double" w:sz="4" w:space="0" w:color="5F497A"/>
            </w:tcBorders>
          </w:tcPr>
          <w:p w:rsidR="00AF10C9" w:rsidRPr="005F120D" w:rsidRDefault="002E2ED5" w:rsidP="00B25E46">
            <w:pPr>
              <w:pStyle w:val="Tabletext"/>
              <w:rPr>
                <w:rFonts w:asciiTheme="minorHAnsi" w:hAnsiTheme="minorHAnsi" w:cstheme="minorHAnsi"/>
                <w:sz w:val="18"/>
              </w:rPr>
            </w:pPr>
            <w:r>
              <w:rPr>
                <w:rFonts w:asciiTheme="minorHAnsi" w:hAnsiTheme="minorHAnsi" w:cstheme="minorHAnsi"/>
                <w:noProof/>
                <w:sz w:val="18"/>
                <w:lang w:val="en-US" w:eastAsia="en-US"/>
              </w:rPr>
              <w:pict>
                <v:shape id="AutoShape 371" o:spid="_x0000_s1070" type="#_x0000_t68" style="position:absolute;margin-left:-6.6pt;margin-top:82.75pt;width:34.4pt;height:27.1pt;rotation:90;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" fillcolor="#5f497a" strokecolor="#92cddc">
                  <v:textbox style="layout-flow:vertical-ideographic"/>
                </v:shape>
              </w:pict>
            </w:r>
          </w:p>
        </w:tc>
        <w:tc>
          <w:tcPr>
            <w:tcW w:w="1239" w:type="pct"/>
            <w:tcBorders>
              <w:top w:val="double" w:sz="4" w:space="0" w:color="5F497A"/>
              <w:left w:val="double" w:sz="4" w:space="0" w:color="5F497A"/>
              <w:bottom w:val="double" w:sz="4" w:space="0" w:color="5F497A"/>
              <w:right w:val="double" w:sz="4" w:space="0" w:color="5F497A"/>
            </w:tcBorders>
            <w:shd w:val="clear" w:color="auto" w:fill="CCC0D9"/>
          </w:tcPr>
          <w:p w:rsidR="00AF10C9" w:rsidRPr="005F120D" w:rsidRDefault="00AF10C9" w:rsidP="00B25E46">
            <w:pPr>
              <w:pStyle w:val="Tabletext"/>
              <w:jc w:val="center"/>
              <w:rPr>
                <w:rFonts w:asciiTheme="minorHAnsi" w:hAnsiTheme="minorHAnsi" w:cstheme="minorHAnsi"/>
                <w:b/>
                <w:color w:val="008000"/>
                <w:sz w:val="18"/>
              </w:rPr>
            </w:pPr>
            <w:r w:rsidRPr="005F120D">
              <w:rPr>
                <w:rFonts w:asciiTheme="minorHAnsi" w:hAnsiTheme="minorHAnsi" w:cstheme="minorHAnsi"/>
                <w:b/>
                <w:color w:val="008000"/>
                <w:sz w:val="18"/>
              </w:rPr>
              <w:t>MEDIUM-TERM OUTCOMES</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More effective and efficient management at school, </w:t>
            </w:r>
            <w:r w:rsidRPr="005F120D">
              <w:rPr>
                <w:rFonts w:asciiTheme="minorHAnsi" w:hAnsiTheme="minorHAnsi" w:cstheme="minorHAnsi"/>
                <w:i/>
                <w:sz w:val="18"/>
              </w:rPr>
              <w:t>Upazila</w:t>
            </w:r>
            <w:r w:rsidRPr="005F120D">
              <w:rPr>
                <w:rFonts w:asciiTheme="minorHAnsi" w:hAnsiTheme="minorHAnsi" w:cstheme="minorHAnsi"/>
                <w:sz w:val="18"/>
              </w:rPr>
              <w:t xml:space="preserve"> and district levels</w:t>
            </w:r>
          </w:p>
          <w:p w:rsidR="00AF10C9" w:rsidRPr="005F120D" w:rsidRDefault="00AF10C9" w:rsidP="00B25E46">
            <w:pPr>
              <w:pStyle w:val="Tabletext"/>
              <w:rPr>
                <w:rFonts w:asciiTheme="minorHAnsi" w:hAnsiTheme="minorHAnsi" w:cstheme="minorHAnsi"/>
                <w:sz w:val="18"/>
              </w:rPr>
            </w:pPr>
          </w:p>
        </w:tc>
        <w:tc>
          <w:tcPr>
            <w:tcW w:w="369" w:type="pct"/>
            <w:tcBorders>
              <w:left w:val="double" w:sz="4" w:space="0" w:color="5F497A"/>
              <w:right w:val="double" w:sz="4" w:space="0" w:color="E36C0A"/>
            </w:tcBorders>
          </w:tcPr>
          <w:p w:rsidR="00AF10C9" w:rsidRPr="005F120D" w:rsidRDefault="002E2ED5" w:rsidP="00B25E46">
            <w:pPr>
              <w:pStyle w:val="Tabletext"/>
              <w:rPr>
                <w:rFonts w:asciiTheme="minorHAnsi" w:hAnsiTheme="minorHAnsi" w:cstheme="minorHAnsi"/>
                <w:sz w:val="18"/>
              </w:rPr>
            </w:pPr>
            <w:r>
              <w:rPr>
                <w:rFonts w:asciiTheme="minorHAnsi" w:hAnsiTheme="minorHAnsi" w:cstheme="minorHAnsi"/>
                <w:noProof/>
                <w:sz w:val="18"/>
                <w:lang w:val="en-US" w:eastAsia="en-US"/>
              </w:rPr>
              <w:pict>
                <v:shape id="_x0000_s1069" type="#_x0000_t68" style="position:absolute;margin-left:-4.95pt;margin-top:81pt;width:34.4pt;height:30.55pt;rotation:90;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" fillcolor="#fbd4b4" strokecolor="#00c">
                  <v:textbox style="layout-flow:vertical-ideographic"/>
                </v:shape>
              </w:pict>
            </w:r>
          </w:p>
        </w:tc>
        <w:tc>
          <w:tcPr>
            <w:tcW w:w="1362" w:type="pct"/>
            <w:tcBorders>
              <w:top w:val="double" w:sz="4" w:space="0" w:color="E36C0A"/>
              <w:left w:val="double" w:sz="4" w:space="0" w:color="E36C0A"/>
              <w:bottom w:val="double" w:sz="4" w:space="0" w:color="E36C0A"/>
              <w:right w:val="double" w:sz="4" w:space="0" w:color="E36C0A"/>
            </w:tcBorders>
            <w:shd w:val="clear" w:color="auto" w:fill="FBD4B4"/>
          </w:tcPr>
          <w:p w:rsidR="00AF10C9" w:rsidRPr="005F120D" w:rsidRDefault="00AF10C9" w:rsidP="00B25E46">
            <w:pPr>
              <w:pStyle w:val="Tabletext"/>
              <w:jc w:val="center"/>
              <w:rPr>
                <w:rFonts w:asciiTheme="minorHAnsi" w:hAnsiTheme="minorHAnsi" w:cstheme="minorHAnsi"/>
                <w:b/>
                <w:color w:val="008000"/>
                <w:sz w:val="18"/>
              </w:rPr>
            </w:pPr>
            <w:r w:rsidRPr="005F120D">
              <w:rPr>
                <w:rFonts w:asciiTheme="minorHAnsi" w:hAnsiTheme="minorHAnsi" w:cstheme="minorHAnsi"/>
                <w:b/>
                <w:color w:val="008000"/>
                <w:sz w:val="18"/>
              </w:rPr>
              <w:t>LONG-TERM OUTCOMES</w:t>
            </w:r>
          </w:p>
          <w:p w:rsidR="00AF10C9" w:rsidRPr="005F120D" w:rsidRDefault="00AF10C9" w:rsidP="00B25E46">
            <w:pPr>
              <w:pStyle w:val="Tabletext"/>
              <w:ind w:firstLine="720"/>
              <w:rPr>
                <w:rFonts w:asciiTheme="minorHAnsi" w:hAnsiTheme="minorHAnsi" w:cstheme="minorHAnsi"/>
                <w:iCs/>
                <w:sz w:val="18"/>
              </w:rPr>
            </w:pPr>
          </w:p>
          <w:p w:rsidR="00AF10C9" w:rsidRPr="005F120D" w:rsidRDefault="00AF10C9" w:rsidP="00B25E46">
            <w:pPr>
              <w:pStyle w:val="Tabletext"/>
              <w:rPr>
                <w:rFonts w:asciiTheme="minorHAnsi" w:hAnsiTheme="minorHAnsi" w:cstheme="minorHAnsi"/>
                <w:iCs/>
                <w:sz w:val="18"/>
              </w:rPr>
            </w:pPr>
          </w:p>
          <w:p w:rsidR="00AF10C9" w:rsidRPr="005F120D" w:rsidRDefault="00AF10C9" w:rsidP="00B25E46">
            <w:pPr>
              <w:pStyle w:val="Tabletext"/>
              <w:rPr>
                <w:rFonts w:asciiTheme="minorHAnsi" w:hAnsiTheme="minorHAnsi" w:cstheme="minorHAnsi"/>
                <w:iCs/>
                <w:sz w:val="18"/>
              </w:rPr>
            </w:pPr>
          </w:p>
          <w:p w:rsidR="00AF10C9" w:rsidRPr="005F120D" w:rsidRDefault="00AF10C9" w:rsidP="00B25E46">
            <w:pPr>
              <w:pStyle w:val="Tabletext"/>
              <w:rPr>
                <w:rFonts w:asciiTheme="minorHAnsi" w:hAnsiTheme="minorHAnsi" w:cstheme="minorHAnsi"/>
                <w:iCs/>
                <w:sz w:val="18"/>
              </w:rPr>
            </w:pPr>
            <w:r w:rsidRPr="005F120D">
              <w:rPr>
                <w:rFonts w:asciiTheme="minorHAnsi" w:hAnsiTheme="minorHAnsi" w:cstheme="minorHAnsi"/>
                <w:i/>
                <w:iCs/>
                <w:sz w:val="18"/>
              </w:rPr>
              <w:t>Upazila-</w:t>
            </w:r>
            <w:r w:rsidRPr="005F120D">
              <w:rPr>
                <w:rFonts w:asciiTheme="minorHAnsi" w:hAnsiTheme="minorHAnsi" w:cstheme="minorHAnsi"/>
                <w:iCs/>
                <w:sz w:val="18"/>
              </w:rPr>
              <w:t xml:space="preserve"> and school-level management decentralised </w:t>
            </w:r>
          </w:p>
          <w:p w:rsidR="00AF10C9" w:rsidRPr="005F120D" w:rsidRDefault="00AF10C9" w:rsidP="00B25E46">
            <w:pPr>
              <w:pStyle w:val="Tabletext"/>
              <w:rPr>
                <w:rFonts w:asciiTheme="minorHAnsi" w:hAnsiTheme="minorHAnsi" w:cstheme="minorHAnsi"/>
                <w:iCs/>
                <w:sz w:val="18"/>
              </w:rPr>
            </w:pPr>
          </w:p>
          <w:p w:rsidR="00AF10C9" w:rsidRPr="005F120D" w:rsidRDefault="00AF10C9" w:rsidP="00B25E46">
            <w:pPr>
              <w:pStyle w:val="Tabletext"/>
              <w:rPr>
                <w:rFonts w:asciiTheme="minorHAnsi" w:hAnsiTheme="minorHAnsi" w:cstheme="minorHAnsi"/>
                <w:iCs/>
                <w:sz w:val="18"/>
              </w:rPr>
            </w:pPr>
            <w:r w:rsidRPr="005F120D">
              <w:rPr>
                <w:rFonts w:asciiTheme="minorHAnsi" w:hAnsiTheme="minorHAnsi" w:cstheme="minorHAnsi"/>
                <w:iCs/>
                <w:sz w:val="18"/>
              </w:rPr>
              <w:t>Increased effectiveness of Program and budget allocation</w:t>
            </w:r>
          </w:p>
        </w:tc>
      </w:tr>
    </w:tbl>
    <w:p w:rsidR="00AF10C9" w:rsidRPr="005F120D" w:rsidRDefault="00AF10C9" w:rsidP="00B25E46">
      <w:pPr>
        <w:autoSpaceDE w:val="0"/>
        <w:autoSpaceDN w:val="0"/>
        <w:adjustRightInd w:val="0"/>
        <w:spacing w:before="240"/>
        <w:rPr>
          <w:rFonts w:asciiTheme="minorHAnsi" w:hAnsiTheme="minorHAnsi" w:cstheme="minorHAnsi"/>
          <w:b/>
          <w:bCs/>
          <w:color w:val="008000"/>
          <w:sz w:val="20"/>
        </w:rPr>
      </w:pPr>
      <w:r w:rsidRPr="005F120D">
        <w:rPr>
          <w:rFonts w:asciiTheme="minorHAnsi" w:hAnsiTheme="minorHAnsi" w:cstheme="minorHAnsi"/>
          <w:b/>
          <w:bCs/>
          <w:color w:val="008000"/>
          <w:sz w:val="20"/>
        </w:rPr>
        <w:t xml:space="preserve">Component 4: Planning and </w:t>
      </w:r>
      <w:r w:rsidRPr="005F120D">
        <w:rPr>
          <w:rFonts w:asciiTheme="minorHAnsi" w:hAnsiTheme="minorHAnsi" w:cstheme="minorHAnsi"/>
          <w:bCs/>
          <w:color w:val="008000"/>
          <w:sz w:val="20"/>
        </w:rPr>
        <w:t>M</w:t>
      </w:r>
      <w:r w:rsidRPr="005F120D">
        <w:rPr>
          <w:rFonts w:asciiTheme="minorHAnsi" w:hAnsiTheme="minorHAnsi" w:cstheme="minorHAnsi"/>
          <w:b/>
          <w:bCs/>
          <w:color w:val="008000"/>
          <w:sz w:val="20"/>
        </w:rPr>
        <w:t>anagement</w:t>
      </w:r>
    </w:p>
    <w:p w:rsidR="00AF10C9" w:rsidRPr="005F120D" w:rsidRDefault="00AF10C9" w:rsidP="00B25E46">
      <w:pPr>
        <w:jc w:val="both"/>
        <w:rPr>
          <w:rFonts w:asciiTheme="minorHAnsi" w:hAnsiTheme="minorHAnsi" w:cstheme="minorHAnsi"/>
          <w:sz w:val="20"/>
        </w:rPr>
      </w:pPr>
      <w:r w:rsidRPr="005F120D">
        <w:rPr>
          <w:rFonts w:asciiTheme="minorHAnsi" w:hAnsiTheme="minorHAnsi" w:cstheme="minorHAnsi"/>
          <w:b/>
          <w:sz w:val="20"/>
        </w:rPr>
        <w:t>Component-4</w:t>
      </w:r>
      <w:r w:rsidRPr="005F120D">
        <w:rPr>
          <w:rFonts w:asciiTheme="minorHAnsi" w:hAnsiTheme="minorHAnsi" w:cstheme="minorHAnsi"/>
          <w:sz w:val="20"/>
        </w:rPr>
        <w:t xml:space="preserve"> aims to strengthen RBM through such measures as evidence and performance-based planning and outcome-level reporting. It also focuses on improved financial management and reporting systems, planning and management issues, staff development, sector finance and partnerships with NGOs and the private sector.</w:t>
      </w:r>
    </w:p>
    <w:p w:rsidR="00AF10C9" w:rsidRPr="005F120D" w:rsidRDefault="00AF10C9" w:rsidP="00B25E46">
      <w:pPr>
        <w:jc w:val="both"/>
        <w:rPr>
          <w:rFonts w:asciiTheme="minorHAnsi" w:hAnsiTheme="minorHAnsi" w:cstheme="minorHAnsi"/>
          <w:sz w:val="20"/>
        </w:rPr>
      </w:pPr>
      <w:r w:rsidRPr="005F120D">
        <w:rPr>
          <w:rFonts w:asciiTheme="minorHAnsi" w:hAnsiTheme="minorHAnsi" w:cstheme="minorHAnsi"/>
          <w:sz w:val="20"/>
        </w:rPr>
        <w:t xml:space="preserve">This component addresses management issues, </w:t>
      </w:r>
      <w:r w:rsidRPr="005F120D">
        <w:rPr>
          <w:rFonts w:asciiTheme="minorHAnsi" w:hAnsiTheme="minorHAnsi" w:cstheme="minorHAnsi"/>
          <w:bCs/>
          <w:sz w:val="20"/>
        </w:rPr>
        <w:t xml:space="preserve">e.g. </w:t>
      </w:r>
      <w:r w:rsidRPr="005F120D">
        <w:rPr>
          <w:rFonts w:asciiTheme="minorHAnsi" w:hAnsiTheme="minorHAnsi" w:cstheme="minorHAnsi"/>
          <w:sz w:val="20"/>
        </w:rPr>
        <w:t>PEDP3 is governed by an inter-ministerial steering committee. Day-to-day management of the Program is undertaken by the line divisions of DPE and other agencies such as BNFE, National Academy for Primary Education (NAPE) and the National Curriculum and Textbook Board (NCTB) as part of their routine tasks. The coordination of activities between ministries, agencies under MoPME or divisions within DPE is managed by a new unit at MoPME and a new division of DPE. It is a key feature of PEDP3 that the Government’s own routine system for financial management will be used for the first time for a large proportion of donor funding, an approach known as the ‘Treasury model’. The Ministry of Finance has undertaken to ensure adequate financing for PEDP3.</w:t>
      </w:r>
    </w:p>
    <w:p w:rsidR="009811E9" w:rsidRPr="005F120D" w:rsidRDefault="00AF10C9" w:rsidP="009811E9">
      <w:pPr>
        <w:autoSpaceDE w:val="0"/>
        <w:autoSpaceDN w:val="0"/>
        <w:adjustRightInd w:val="0"/>
        <w:jc w:val="both"/>
        <w:rPr>
          <w:rFonts w:asciiTheme="minorHAnsi" w:hAnsiTheme="minorHAnsi" w:cstheme="minorHAnsi"/>
          <w:sz w:val="20"/>
        </w:rPr>
      </w:pPr>
      <w:r w:rsidRPr="005F120D">
        <w:rPr>
          <w:rFonts w:asciiTheme="minorHAnsi" w:hAnsiTheme="minorHAnsi" w:cstheme="minorHAnsi"/>
          <w:sz w:val="20"/>
        </w:rPr>
        <w:t xml:space="preserve">The component also covers the institutional aspects of M&amp;E, including strengthening of MIS through the establishment of a new IMD Division of DPE to support and encourage evidence-based planning in PEDP3 at central levels – the AOP, and at local level – the SLIP and UPEP. The M&amp;E Division will be strengthened to improve the APSC and ASPR. The new Information Management Division hosts the education MIS and provides IT support. With a stronger M&amp;E, better planning and implementation can be expected, both centrally and locally, assuming that these are genuinely results based. </w:t>
      </w:r>
    </w:p>
    <w:p w:rsidR="00AF10C9" w:rsidRPr="005F120D" w:rsidRDefault="00AF10C9" w:rsidP="009811E9">
      <w:pPr>
        <w:autoSpaceDE w:val="0"/>
        <w:autoSpaceDN w:val="0"/>
        <w:adjustRightInd w:val="0"/>
        <w:jc w:val="both"/>
        <w:rPr>
          <w:rFonts w:asciiTheme="minorHAnsi" w:hAnsiTheme="minorHAnsi" w:cstheme="minorHAnsi"/>
          <w:sz w:val="20"/>
        </w:rPr>
      </w:pPr>
      <w:r w:rsidRPr="005F120D">
        <w:rPr>
          <w:rFonts w:asciiTheme="minorHAnsi" w:hAnsiTheme="minorHAnsi" w:cstheme="minorHAnsi"/>
          <w:b/>
          <w:sz w:val="20"/>
        </w:rPr>
        <w:t>The expected outputs and early outcomes from Component 4 are that:</w:t>
      </w:r>
    </w:p>
    <w:p w:rsidR="00AF10C9" w:rsidRPr="005F120D" w:rsidRDefault="00AF10C9" w:rsidP="00B25E46">
      <w:pPr>
        <w:pStyle w:val="ListBullet1"/>
        <w:numPr>
          <w:ilvl w:val="0"/>
          <w:numId w:val="45"/>
        </w:numPr>
        <w:spacing w:after="0"/>
        <w:rPr>
          <w:rFonts w:asciiTheme="minorHAnsi" w:hAnsiTheme="minorHAnsi" w:cstheme="minorHAnsi"/>
          <w:sz w:val="20"/>
        </w:rPr>
      </w:pPr>
      <w:r w:rsidRPr="005F120D">
        <w:rPr>
          <w:rFonts w:asciiTheme="minorHAnsi" w:hAnsiTheme="minorHAnsi" w:cstheme="minorHAnsi"/>
          <w:sz w:val="20"/>
        </w:rPr>
        <w:t>Strengthened governance systems will result in improved management and greater ownership of the developmental objectives of PEDP3;</w:t>
      </w:r>
    </w:p>
    <w:p w:rsidR="00AF10C9" w:rsidRPr="005F120D" w:rsidRDefault="00AF10C9" w:rsidP="00B25E46">
      <w:pPr>
        <w:pStyle w:val="ListBullet1"/>
        <w:numPr>
          <w:ilvl w:val="0"/>
          <w:numId w:val="45"/>
        </w:numPr>
        <w:spacing w:after="0"/>
        <w:rPr>
          <w:rFonts w:asciiTheme="minorHAnsi" w:hAnsiTheme="minorHAnsi" w:cstheme="minorHAnsi"/>
          <w:sz w:val="20"/>
        </w:rPr>
      </w:pPr>
      <w:r w:rsidRPr="005F120D">
        <w:rPr>
          <w:rFonts w:asciiTheme="minorHAnsi" w:hAnsiTheme="minorHAnsi" w:cstheme="minorHAnsi"/>
          <w:sz w:val="20"/>
        </w:rPr>
        <w:t>Performance-based financing, linked to a strengthened monitoring system, will raise the level of evidence-based planning and ensure that a strong focus is maintained on the achievement of agreed indicators;</w:t>
      </w:r>
    </w:p>
    <w:p w:rsidR="00AF10C9" w:rsidRPr="005F120D" w:rsidRDefault="00AF10C9" w:rsidP="00B25E46">
      <w:pPr>
        <w:pStyle w:val="ListBullet1"/>
        <w:numPr>
          <w:ilvl w:val="0"/>
          <w:numId w:val="45"/>
        </w:numPr>
        <w:spacing w:after="0"/>
        <w:rPr>
          <w:rFonts w:asciiTheme="minorHAnsi" w:hAnsiTheme="minorHAnsi" w:cstheme="minorHAnsi"/>
          <w:sz w:val="20"/>
        </w:rPr>
      </w:pPr>
      <w:r w:rsidRPr="005F120D">
        <w:rPr>
          <w:rFonts w:asciiTheme="minorHAnsi" w:hAnsiTheme="minorHAnsi" w:cstheme="minorHAnsi"/>
          <w:sz w:val="20"/>
        </w:rPr>
        <w:t>The Human Resources' Development Program, HRDP, will result in officials at all levels increasing their competence to manage for results; and</w:t>
      </w:r>
    </w:p>
    <w:p w:rsidR="00AF10C9" w:rsidRPr="005F120D" w:rsidRDefault="00AF10C9" w:rsidP="00B25E46">
      <w:pPr>
        <w:pStyle w:val="ListBullet1"/>
        <w:numPr>
          <w:ilvl w:val="0"/>
          <w:numId w:val="45"/>
        </w:numPr>
        <w:rPr>
          <w:rFonts w:asciiTheme="minorHAnsi" w:hAnsiTheme="minorHAnsi" w:cstheme="minorHAnsi"/>
          <w:sz w:val="20"/>
        </w:rPr>
      </w:pPr>
      <w:r w:rsidRPr="005F120D">
        <w:rPr>
          <w:rFonts w:asciiTheme="minorHAnsi" w:hAnsiTheme="minorHAnsi" w:cstheme="minorHAnsi"/>
          <w:sz w:val="20"/>
        </w:rPr>
        <w:t xml:space="preserve">The Involvement of NGOs and other partners will provide pre-primary, non-formal and some formal primary education and the new Diploma in Education program. </w:t>
      </w:r>
    </w:p>
    <w:p w:rsidR="00A01B3D" w:rsidRPr="005F120D" w:rsidRDefault="00A01B3D" w:rsidP="00A01B3D">
      <w:pPr>
        <w:pStyle w:val="ListBullet1"/>
        <w:rPr>
          <w:rFonts w:asciiTheme="minorHAnsi" w:hAnsiTheme="minorHAnsi" w:cstheme="minorHAnsi"/>
          <w:sz w:val="20"/>
        </w:rPr>
      </w:pPr>
    </w:p>
    <w:p w:rsidR="00A01B3D" w:rsidRPr="005F120D" w:rsidRDefault="00A01B3D" w:rsidP="00A01B3D">
      <w:pPr>
        <w:pStyle w:val="ListBullet1"/>
        <w:rPr>
          <w:rFonts w:asciiTheme="minorHAnsi" w:hAnsiTheme="minorHAnsi" w:cstheme="minorHAnsi"/>
          <w:sz w:val="20"/>
        </w:rPr>
      </w:pPr>
    </w:p>
    <w:p w:rsidR="00A01B3D" w:rsidRPr="005F120D" w:rsidRDefault="00A01B3D" w:rsidP="00A01B3D">
      <w:pPr>
        <w:pStyle w:val="ListBullet1"/>
        <w:rPr>
          <w:rFonts w:asciiTheme="minorHAnsi" w:hAnsiTheme="minorHAnsi" w:cstheme="minorHAnsi"/>
          <w:sz w:val="20"/>
        </w:rPr>
      </w:pPr>
    </w:p>
    <w:p w:rsidR="00A01B3D" w:rsidRPr="005F120D" w:rsidRDefault="00A01B3D" w:rsidP="00A01B3D">
      <w:pPr>
        <w:pStyle w:val="ListBullet1"/>
        <w:rPr>
          <w:rFonts w:asciiTheme="minorHAnsi" w:hAnsiTheme="minorHAnsi" w:cstheme="minorHAnsi"/>
          <w:sz w:val="20"/>
        </w:rPr>
      </w:pPr>
    </w:p>
    <w:p w:rsidR="00EC3044" w:rsidRPr="005F120D" w:rsidRDefault="00AF10C9" w:rsidP="00A01B3D">
      <w:pPr>
        <w:autoSpaceDE w:val="0"/>
        <w:autoSpaceDN w:val="0"/>
        <w:adjustRightInd w:val="0"/>
        <w:rPr>
          <w:rFonts w:asciiTheme="minorHAnsi" w:hAnsiTheme="minorHAnsi" w:cstheme="minorHAnsi"/>
          <w:b/>
          <w:bCs/>
          <w:color w:val="339933"/>
          <w:sz w:val="20"/>
        </w:rPr>
      </w:pPr>
      <w:r w:rsidRPr="005F120D">
        <w:rPr>
          <w:rFonts w:asciiTheme="minorHAnsi" w:hAnsiTheme="minorHAnsi" w:cstheme="minorHAnsi"/>
          <w:b/>
          <w:bCs/>
          <w:i/>
          <w:iCs/>
          <w:color w:val="339933"/>
          <w:sz w:val="20"/>
        </w:rPr>
        <w:lastRenderedPageBreak/>
        <w:t>Results Area 6 (4): Program Planning and Managemen</w:t>
      </w:r>
      <w:r w:rsidR="00A01B3D" w:rsidRPr="005F120D">
        <w:rPr>
          <w:rFonts w:asciiTheme="minorHAnsi" w:hAnsiTheme="minorHAnsi" w:cstheme="minorHAnsi"/>
          <w:b/>
          <w:bCs/>
          <w:i/>
          <w:iCs/>
          <w:color w:val="339933"/>
          <w:sz w:val="20"/>
        </w:rPr>
        <w:t>t</w:t>
      </w:r>
    </w:p>
    <w:p w:rsidR="00AF10C9" w:rsidRPr="005F120D" w:rsidRDefault="00AF10C9" w:rsidP="00B25E46">
      <w:pPr>
        <w:autoSpaceDE w:val="0"/>
        <w:autoSpaceDN w:val="0"/>
        <w:adjustRightInd w:val="0"/>
        <w:spacing w:after="0"/>
        <w:rPr>
          <w:rFonts w:asciiTheme="minorHAnsi" w:hAnsiTheme="minorHAnsi" w:cstheme="minorHAnsi"/>
          <w:color w:val="339933"/>
          <w:sz w:val="20"/>
        </w:rPr>
      </w:pPr>
      <w:r w:rsidRPr="005F120D">
        <w:rPr>
          <w:rFonts w:asciiTheme="minorHAnsi" w:hAnsiTheme="minorHAnsi" w:cstheme="minorHAnsi"/>
          <w:b/>
          <w:color w:val="339933"/>
          <w:sz w:val="20"/>
        </w:rPr>
        <w:t>Expected Outcome:</w:t>
      </w:r>
    </w:p>
    <w:p w:rsidR="009811E9" w:rsidRPr="005F120D" w:rsidRDefault="00AF10C9" w:rsidP="009811E9">
      <w:pPr>
        <w:numPr>
          <w:ilvl w:val="0"/>
          <w:numId w:val="12"/>
        </w:numPr>
        <w:autoSpaceDE w:val="0"/>
        <w:autoSpaceDN w:val="0"/>
        <w:adjustRightInd w:val="0"/>
        <w:rPr>
          <w:rFonts w:asciiTheme="minorHAnsi" w:hAnsiTheme="minorHAnsi" w:cstheme="minorHAnsi"/>
          <w:color w:val="339933"/>
          <w:sz w:val="20"/>
        </w:rPr>
      </w:pPr>
      <w:r w:rsidRPr="005F120D">
        <w:rPr>
          <w:rFonts w:asciiTheme="minorHAnsi" w:hAnsiTheme="minorHAnsi" w:cstheme="minorHAnsi"/>
          <w:color w:val="339933"/>
          <w:sz w:val="20"/>
        </w:rPr>
        <w:t>Improved sector planning and RBM.</w:t>
      </w:r>
    </w:p>
    <w:p w:rsidR="00AF10C9" w:rsidRPr="005F120D" w:rsidRDefault="00AF10C9" w:rsidP="009811E9">
      <w:pPr>
        <w:numPr>
          <w:ilvl w:val="0"/>
          <w:numId w:val="12"/>
        </w:numPr>
        <w:autoSpaceDE w:val="0"/>
        <w:autoSpaceDN w:val="0"/>
        <w:adjustRightInd w:val="0"/>
        <w:rPr>
          <w:rFonts w:asciiTheme="minorHAnsi" w:hAnsiTheme="minorHAnsi" w:cstheme="minorHAnsi"/>
          <w:color w:val="339933"/>
          <w:sz w:val="20"/>
        </w:rPr>
      </w:pPr>
      <w:r w:rsidRPr="005F120D">
        <w:rPr>
          <w:rFonts w:asciiTheme="minorHAnsi" w:hAnsiTheme="minorHAnsi" w:cstheme="minorHAnsi"/>
          <w:b/>
          <w:sz w:val="20"/>
        </w:rPr>
        <w:t>In summary, the Component 4 results chain is as follows:</w:t>
      </w:r>
    </w:p>
    <w:tbl>
      <w:tblPr>
        <w:tblW w:w="5000" w:type="pct"/>
        <w:tblLook w:val="01E0"/>
      </w:tblPr>
      <w:tblGrid>
        <w:gridCol w:w="2972"/>
        <w:gridCol w:w="608"/>
        <w:gridCol w:w="2345"/>
        <w:gridCol w:w="717"/>
        <w:gridCol w:w="2603"/>
      </w:tblGrid>
      <w:tr w:rsidR="00AF10C9" w:rsidRPr="005F120D" w:rsidTr="00BD53B7">
        <w:trPr>
          <w:trHeight w:val="188"/>
        </w:trPr>
        <w:tc>
          <w:tcPr>
            <w:tcW w:w="1607" w:type="pct"/>
            <w:tcBorders>
              <w:top w:val="double" w:sz="4" w:space="0" w:color="4F6228"/>
              <w:left w:val="double" w:sz="4" w:space="0" w:color="4F6228"/>
              <w:bottom w:val="double" w:sz="4" w:space="0" w:color="4F6228"/>
              <w:right w:val="double" w:sz="4" w:space="0" w:color="4F6228"/>
            </w:tcBorders>
            <w:shd w:val="clear" w:color="auto" w:fill="EAF1DD"/>
          </w:tcPr>
          <w:p w:rsidR="00AF10C9" w:rsidRPr="005F120D" w:rsidRDefault="00AF10C9" w:rsidP="00B25E46">
            <w:pPr>
              <w:pStyle w:val="Tabletext"/>
              <w:spacing w:after="0"/>
              <w:jc w:val="center"/>
              <w:rPr>
                <w:rFonts w:asciiTheme="minorHAnsi" w:hAnsiTheme="minorHAnsi" w:cstheme="minorHAnsi"/>
                <w:b/>
                <w:color w:val="008000"/>
                <w:sz w:val="18"/>
              </w:rPr>
            </w:pPr>
            <w:r w:rsidRPr="005F120D">
              <w:rPr>
                <w:rFonts w:asciiTheme="minorHAnsi" w:hAnsiTheme="minorHAnsi" w:cstheme="minorHAnsi"/>
                <w:b/>
                <w:color w:val="008000"/>
                <w:sz w:val="18"/>
              </w:rPr>
              <w:t>ACTIVITES</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Governance and management structures established and staff recruited </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Appropria</w:t>
            </w:r>
            <w:r w:rsidR="00A01B3D" w:rsidRPr="005F120D">
              <w:rPr>
                <w:rFonts w:asciiTheme="minorHAnsi" w:hAnsiTheme="minorHAnsi" w:cstheme="minorHAnsi"/>
                <w:sz w:val="18"/>
              </w:rPr>
              <w:t>te human resources development p</w:t>
            </w:r>
            <w:r w:rsidRPr="005F120D">
              <w:rPr>
                <w:rFonts w:asciiTheme="minorHAnsi" w:hAnsiTheme="minorHAnsi" w:cstheme="minorHAnsi"/>
                <w:sz w:val="18"/>
              </w:rPr>
              <w:t>rogram designed and training implemented</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Financial management capacity and systems developed</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Opportunities for public–private partnerships identified and engaged</w:t>
            </w:r>
          </w:p>
        </w:tc>
        <w:tc>
          <w:tcPr>
            <w:tcW w:w="329" w:type="pct"/>
            <w:tcBorders>
              <w:left w:val="double" w:sz="4" w:space="0" w:color="4F6228"/>
              <w:right w:val="double" w:sz="4" w:space="0" w:color="4F6228"/>
            </w:tcBorders>
          </w:tcPr>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noProof/>
                <w:sz w:val="18"/>
                <w:lang w:val="en-US" w:eastAsia="en-US"/>
              </w:rPr>
              <w:drawing>
                <wp:anchor distT="0" distB="0" distL="114300" distR="114300" simplePos="0" relativeHeight="251719680" behindDoc="0" locked="0" layoutInCell="1" allowOverlap="1">
                  <wp:simplePos x="0" y="0"/>
                  <wp:positionH relativeFrom="column">
                    <wp:posOffset>-58420</wp:posOffset>
                  </wp:positionH>
                  <wp:positionV relativeFrom="paragraph">
                    <wp:posOffset>829310</wp:posOffset>
                  </wp:positionV>
                  <wp:extent cx="383540" cy="648335"/>
                  <wp:effectExtent l="19050" t="0" r="0" b="0"/>
                  <wp:wrapNone/>
                  <wp:docPr id="3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srcRect/>
                          <a:stretch>
                            <a:fillRect/>
                          </a:stretch>
                        </pic:blipFill>
                        <pic:spPr bwMode="auto">
                          <a:xfrm>
                            <a:off x="0" y="0"/>
                            <a:ext cx="383540" cy="648335"/>
                          </a:xfrm>
                          <a:prstGeom prst="rect">
                            <a:avLst/>
                          </a:prstGeom>
                          <a:noFill/>
                          <a:ln w="9525">
                            <a:noFill/>
                            <a:miter lim="800000"/>
                            <a:headEnd/>
                            <a:tailEnd/>
                          </a:ln>
                        </pic:spPr>
                      </pic:pic>
                    </a:graphicData>
                  </a:graphic>
                </wp:anchor>
              </w:drawing>
            </w:r>
          </w:p>
        </w:tc>
        <w:tc>
          <w:tcPr>
            <w:tcW w:w="1268" w:type="pct"/>
            <w:tcBorders>
              <w:top w:val="double" w:sz="4" w:space="0" w:color="4F6228"/>
              <w:left w:val="double" w:sz="4" w:space="0" w:color="4F6228"/>
              <w:bottom w:val="double" w:sz="4" w:space="0" w:color="4F6228"/>
              <w:right w:val="double" w:sz="4" w:space="0" w:color="4F6228"/>
            </w:tcBorders>
            <w:shd w:val="clear" w:color="auto" w:fill="D6E3BC"/>
          </w:tcPr>
          <w:p w:rsidR="00AF10C9" w:rsidRPr="005F120D" w:rsidRDefault="00AF10C9" w:rsidP="00B25E46">
            <w:pPr>
              <w:pStyle w:val="Tabletext"/>
              <w:jc w:val="center"/>
              <w:rPr>
                <w:rFonts w:asciiTheme="minorHAnsi" w:hAnsiTheme="minorHAnsi" w:cstheme="minorHAnsi"/>
                <w:b/>
                <w:color w:val="008000"/>
                <w:sz w:val="18"/>
              </w:rPr>
            </w:pPr>
            <w:r w:rsidRPr="005F120D">
              <w:rPr>
                <w:rFonts w:asciiTheme="minorHAnsi" w:hAnsiTheme="minorHAnsi" w:cstheme="minorHAnsi"/>
                <w:b/>
                <w:color w:val="008000"/>
                <w:sz w:val="18"/>
              </w:rPr>
              <w:t>OUTPUTS</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More trained staff in </w:t>
            </w:r>
            <w:r w:rsidR="00570223" w:rsidRPr="005F120D">
              <w:rPr>
                <w:rFonts w:asciiTheme="minorHAnsi" w:hAnsiTheme="minorHAnsi" w:cstheme="minorHAnsi"/>
                <w:sz w:val="18"/>
              </w:rPr>
              <w:t>place</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Governance and management strengthened </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Strengthened monitoring functions</w:t>
            </w:r>
            <w:r w:rsidRPr="005F120D">
              <w:rPr>
                <w:rFonts w:asciiTheme="minorHAnsi" w:hAnsiTheme="minorHAnsi" w:cstheme="minorHAnsi"/>
                <w:sz w:val="18"/>
              </w:rPr>
              <w:tab/>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NGO and other agencies able to contribute</w:t>
            </w:r>
          </w:p>
        </w:tc>
        <w:tc>
          <w:tcPr>
            <w:tcW w:w="388" w:type="pct"/>
            <w:tcBorders>
              <w:left w:val="double" w:sz="4" w:space="0" w:color="4F6228"/>
              <w:right w:val="double" w:sz="4" w:space="0" w:color="4F6228"/>
            </w:tcBorders>
          </w:tcPr>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noProof/>
                <w:sz w:val="18"/>
                <w:lang w:val="en-US" w:eastAsia="en-US"/>
              </w:rPr>
              <w:drawing>
                <wp:anchor distT="0" distB="0" distL="114300" distR="114300" simplePos="0" relativeHeight="251720704" behindDoc="0" locked="0" layoutInCell="1" allowOverlap="1">
                  <wp:simplePos x="0" y="0"/>
                  <wp:positionH relativeFrom="page">
                    <wp:posOffset>31115</wp:posOffset>
                  </wp:positionH>
                  <wp:positionV relativeFrom="page">
                    <wp:posOffset>829310</wp:posOffset>
                  </wp:positionV>
                  <wp:extent cx="429895" cy="648335"/>
                  <wp:effectExtent l="19050" t="0" r="8255" b="0"/>
                  <wp:wrapNone/>
                  <wp:docPr id="3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srcRect/>
                          <a:stretch>
                            <a:fillRect/>
                          </a:stretch>
                        </pic:blipFill>
                        <pic:spPr bwMode="auto">
                          <a:xfrm>
                            <a:off x="0" y="0"/>
                            <a:ext cx="429895" cy="648335"/>
                          </a:xfrm>
                          <a:prstGeom prst="rect">
                            <a:avLst/>
                          </a:prstGeom>
                          <a:noFill/>
                          <a:ln w="9525">
                            <a:noFill/>
                            <a:miter lim="800000"/>
                            <a:headEnd/>
                            <a:tailEnd/>
                          </a:ln>
                        </pic:spPr>
                      </pic:pic>
                    </a:graphicData>
                  </a:graphic>
                </wp:anchor>
              </w:drawing>
            </w:r>
          </w:p>
        </w:tc>
        <w:tc>
          <w:tcPr>
            <w:tcW w:w="1408" w:type="pct"/>
            <w:tcBorders>
              <w:top w:val="double" w:sz="4" w:space="0" w:color="4F6228"/>
              <w:left w:val="double" w:sz="4" w:space="0" w:color="4F6228"/>
              <w:bottom w:val="double" w:sz="4" w:space="0" w:color="4F6228"/>
              <w:right w:val="double" w:sz="4" w:space="0" w:color="4F6228"/>
            </w:tcBorders>
            <w:shd w:val="clear" w:color="auto" w:fill="C2D69B"/>
          </w:tcPr>
          <w:p w:rsidR="00AF10C9" w:rsidRPr="005F120D" w:rsidRDefault="00AF10C9" w:rsidP="00B25E46">
            <w:pPr>
              <w:pStyle w:val="Tabletext"/>
              <w:jc w:val="center"/>
              <w:rPr>
                <w:rFonts w:asciiTheme="minorHAnsi" w:hAnsiTheme="minorHAnsi" w:cstheme="minorHAnsi"/>
                <w:b/>
                <w:color w:val="008000"/>
                <w:sz w:val="18"/>
              </w:rPr>
            </w:pPr>
            <w:r w:rsidRPr="005F120D">
              <w:rPr>
                <w:rFonts w:asciiTheme="minorHAnsi" w:hAnsiTheme="minorHAnsi" w:cstheme="minorHAnsi"/>
                <w:b/>
                <w:color w:val="008000"/>
                <w:sz w:val="18"/>
              </w:rPr>
              <w:t>EARLY OUTCOMES</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Organisational capacity </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Increased use of monitoring mechanisms and reporting for performance-based management </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Financial systems and management in line with government systems</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More pre-primary, primary and non-formal primary education </w:t>
            </w:r>
          </w:p>
        </w:tc>
      </w:tr>
    </w:tbl>
    <w:p w:rsidR="00AF10C9" w:rsidRPr="005F120D" w:rsidRDefault="00AF10C9" w:rsidP="00B25E46">
      <w:pPr>
        <w:pStyle w:val="BodyText1"/>
        <w:spacing w:line="240" w:lineRule="auto"/>
        <w:rPr>
          <w:rFonts w:asciiTheme="minorHAnsi" w:hAnsiTheme="minorHAnsi" w:cstheme="minorHAnsi"/>
          <w:b w:val="0"/>
          <w:sz w:val="20"/>
          <w:szCs w:val="20"/>
        </w:rPr>
      </w:pPr>
      <w:r w:rsidRPr="005F120D">
        <w:rPr>
          <w:rFonts w:asciiTheme="minorHAnsi" w:hAnsiTheme="minorHAnsi" w:cstheme="minorHAnsi"/>
          <w:sz w:val="20"/>
          <w:szCs w:val="20"/>
        </w:rPr>
        <w:t>It is expected that</w:t>
      </w:r>
      <w:r w:rsidRPr="005F120D">
        <w:rPr>
          <w:rFonts w:asciiTheme="minorHAnsi" w:hAnsiTheme="minorHAnsi" w:cstheme="minorHAnsi"/>
          <w:b w:val="0"/>
          <w:sz w:val="20"/>
          <w:szCs w:val="20"/>
        </w:rPr>
        <w:t xml:space="preserve"> early outcomes </w:t>
      </w:r>
      <w:r w:rsidRPr="005F120D">
        <w:rPr>
          <w:rFonts w:asciiTheme="minorHAnsi" w:hAnsiTheme="minorHAnsi" w:cstheme="minorHAnsi"/>
          <w:sz w:val="20"/>
          <w:szCs w:val="20"/>
        </w:rPr>
        <w:t>will</w:t>
      </w:r>
      <w:r w:rsidRPr="005F120D">
        <w:rPr>
          <w:rFonts w:asciiTheme="minorHAnsi" w:hAnsiTheme="minorHAnsi" w:cstheme="minorHAnsi"/>
          <w:b w:val="0"/>
          <w:sz w:val="20"/>
          <w:szCs w:val="20"/>
        </w:rPr>
        <w:t xml:space="preserve"> result in both medium- and long-term outcomes as follows:</w:t>
      </w:r>
    </w:p>
    <w:tbl>
      <w:tblPr>
        <w:tblW w:w="5000" w:type="pct"/>
        <w:jc w:val="center"/>
        <w:tblLook w:val="01E0"/>
      </w:tblPr>
      <w:tblGrid>
        <w:gridCol w:w="2805"/>
        <w:gridCol w:w="727"/>
        <w:gridCol w:w="2546"/>
        <w:gridCol w:w="817"/>
        <w:gridCol w:w="2350"/>
      </w:tblGrid>
      <w:tr w:rsidR="00AF10C9" w:rsidRPr="005F120D" w:rsidTr="00AF10C9">
        <w:trPr>
          <w:trHeight w:val="3489"/>
          <w:jc w:val="center"/>
        </w:trPr>
        <w:tc>
          <w:tcPr>
            <w:tcW w:w="1517" w:type="pct"/>
            <w:tcBorders>
              <w:top w:val="double" w:sz="4" w:space="0" w:color="4F6228"/>
              <w:left w:val="double" w:sz="4" w:space="0" w:color="4F6228"/>
              <w:bottom w:val="double" w:sz="4" w:space="0" w:color="4F6228"/>
              <w:right w:val="double" w:sz="4" w:space="0" w:color="4F6228"/>
            </w:tcBorders>
            <w:shd w:val="clear" w:color="auto" w:fill="C2D69B"/>
          </w:tcPr>
          <w:p w:rsidR="00AF10C9" w:rsidRPr="005F120D" w:rsidRDefault="00AF10C9" w:rsidP="00B25E46">
            <w:pPr>
              <w:pStyle w:val="Tabletext"/>
              <w:jc w:val="center"/>
              <w:rPr>
                <w:rFonts w:asciiTheme="minorHAnsi" w:hAnsiTheme="minorHAnsi" w:cstheme="minorHAnsi"/>
                <w:b/>
                <w:color w:val="008000"/>
                <w:sz w:val="18"/>
              </w:rPr>
            </w:pPr>
            <w:r w:rsidRPr="005F120D">
              <w:rPr>
                <w:rFonts w:asciiTheme="minorHAnsi" w:hAnsiTheme="minorHAnsi" w:cstheme="minorHAnsi"/>
                <w:b/>
                <w:color w:val="008000"/>
                <w:sz w:val="18"/>
              </w:rPr>
              <w:t>EARLY OUTCOMES</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Organisational capacity </w:t>
            </w: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Increased use of monitoring mechanisms and reporting for performance-based management </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Financial systems and management increasingly in line with government systems</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More pre-primary, primary and non-formal primary education  </w:t>
            </w:r>
          </w:p>
        </w:tc>
        <w:tc>
          <w:tcPr>
            <w:tcW w:w="393" w:type="pct"/>
            <w:tcBorders>
              <w:left w:val="double" w:sz="4" w:space="0" w:color="4F6228"/>
              <w:right w:val="double" w:sz="4" w:space="0" w:color="943634"/>
            </w:tcBorders>
          </w:tcPr>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noProof/>
                <w:sz w:val="18"/>
                <w:lang w:val="en-US" w:eastAsia="en-US"/>
              </w:rPr>
              <w:drawing>
                <wp:anchor distT="0" distB="0" distL="114300" distR="114300" simplePos="0" relativeHeight="251721728" behindDoc="0" locked="0" layoutInCell="1" allowOverlap="1">
                  <wp:simplePos x="0" y="0"/>
                  <wp:positionH relativeFrom="column">
                    <wp:posOffset>-38735</wp:posOffset>
                  </wp:positionH>
                  <wp:positionV relativeFrom="paragraph">
                    <wp:posOffset>883285</wp:posOffset>
                  </wp:positionV>
                  <wp:extent cx="384810" cy="648335"/>
                  <wp:effectExtent l="19050" t="0" r="0" b="0"/>
                  <wp:wrapNone/>
                  <wp:docPr id="3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srcRect/>
                          <a:stretch>
                            <a:fillRect/>
                          </a:stretch>
                        </pic:blipFill>
                        <pic:spPr bwMode="auto">
                          <a:xfrm>
                            <a:off x="0" y="0"/>
                            <a:ext cx="384810" cy="648335"/>
                          </a:xfrm>
                          <a:prstGeom prst="rect">
                            <a:avLst/>
                          </a:prstGeom>
                          <a:noFill/>
                          <a:ln w="9525">
                            <a:noFill/>
                            <a:miter lim="800000"/>
                            <a:headEnd/>
                            <a:tailEnd/>
                          </a:ln>
                        </pic:spPr>
                      </pic:pic>
                    </a:graphicData>
                  </a:graphic>
                </wp:anchor>
              </w:drawing>
            </w:r>
          </w:p>
        </w:tc>
        <w:tc>
          <w:tcPr>
            <w:tcW w:w="1377" w:type="pct"/>
            <w:tcBorders>
              <w:top w:val="double" w:sz="4" w:space="0" w:color="943634"/>
              <w:left w:val="double" w:sz="4" w:space="0" w:color="943634"/>
              <w:bottom w:val="double" w:sz="4" w:space="0" w:color="943634"/>
              <w:right w:val="double" w:sz="4" w:space="0" w:color="943634"/>
            </w:tcBorders>
            <w:shd w:val="clear" w:color="auto" w:fill="CCC0D9"/>
          </w:tcPr>
          <w:p w:rsidR="00AF10C9" w:rsidRPr="005F120D" w:rsidRDefault="00AF10C9" w:rsidP="00B25E46">
            <w:pPr>
              <w:pStyle w:val="Tabletext"/>
              <w:shd w:val="clear" w:color="auto" w:fill="CCC0D9"/>
              <w:jc w:val="center"/>
              <w:rPr>
                <w:rFonts w:asciiTheme="minorHAnsi" w:hAnsiTheme="minorHAnsi" w:cstheme="minorHAnsi"/>
                <w:b/>
                <w:color w:val="008000"/>
                <w:sz w:val="18"/>
              </w:rPr>
            </w:pPr>
            <w:r w:rsidRPr="005F120D">
              <w:rPr>
                <w:rFonts w:asciiTheme="minorHAnsi" w:hAnsiTheme="minorHAnsi" w:cstheme="minorHAnsi"/>
                <w:b/>
                <w:color w:val="008000"/>
                <w:sz w:val="18"/>
              </w:rPr>
              <w:t>MEDIUM-TERM OUTCOMES</w:t>
            </w:r>
          </w:p>
          <w:p w:rsidR="00AF10C9" w:rsidRPr="005F120D" w:rsidRDefault="00AF10C9" w:rsidP="00B25E46">
            <w:pPr>
              <w:pStyle w:val="Tabletext"/>
              <w:shd w:val="clear" w:color="auto" w:fill="CCC0D9"/>
              <w:rPr>
                <w:rFonts w:asciiTheme="minorHAnsi" w:hAnsiTheme="minorHAnsi" w:cstheme="minorHAnsi"/>
                <w:sz w:val="18"/>
              </w:rPr>
            </w:pPr>
          </w:p>
          <w:p w:rsidR="00AF10C9" w:rsidRPr="005F120D" w:rsidRDefault="00AF10C9" w:rsidP="00B25E46">
            <w:pPr>
              <w:pStyle w:val="Tabletext"/>
              <w:shd w:val="clear" w:color="auto" w:fill="CCC0D9"/>
              <w:rPr>
                <w:rFonts w:asciiTheme="minorHAnsi" w:hAnsiTheme="minorHAnsi" w:cstheme="minorHAnsi"/>
                <w:sz w:val="18"/>
              </w:rPr>
            </w:pPr>
            <w:r w:rsidRPr="005F120D">
              <w:rPr>
                <w:rFonts w:asciiTheme="minorHAnsi" w:hAnsiTheme="minorHAnsi" w:cstheme="minorHAnsi"/>
                <w:sz w:val="18"/>
              </w:rPr>
              <w:t>Evidence- and performance-based planning fully operational</w:t>
            </w:r>
          </w:p>
          <w:p w:rsidR="00AF10C9" w:rsidRPr="005F120D" w:rsidRDefault="00AF10C9" w:rsidP="00B25E46">
            <w:pPr>
              <w:pStyle w:val="Tabletext"/>
              <w:shd w:val="clear" w:color="auto" w:fill="CCC0D9"/>
              <w:rPr>
                <w:rFonts w:asciiTheme="minorHAnsi" w:hAnsiTheme="minorHAnsi" w:cstheme="minorHAnsi"/>
                <w:sz w:val="18"/>
              </w:rPr>
            </w:pPr>
          </w:p>
          <w:p w:rsidR="00AF10C9" w:rsidRPr="005F120D" w:rsidRDefault="00AF10C9" w:rsidP="00B25E46">
            <w:pPr>
              <w:pStyle w:val="Tabletext"/>
              <w:shd w:val="clear" w:color="auto" w:fill="CCC0D9"/>
              <w:rPr>
                <w:rFonts w:asciiTheme="minorHAnsi" w:hAnsiTheme="minorHAnsi" w:cstheme="minorHAnsi"/>
                <w:sz w:val="18"/>
              </w:rPr>
            </w:pPr>
            <w:r w:rsidRPr="005F120D">
              <w:rPr>
                <w:rFonts w:asciiTheme="minorHAnsi" w:hAnsiTheme="minorHAnsi" w:cstheme="minorHAnsi"/>
                <w:sz w:val="18"/>
              </w:rPr>
              <w:t xml:space="preserve">Government financial and management systems deliver more effective and efficient resources and programming  </w:t>
            </w:r>
          </w:p>
          <w:p w:rsidR="00AF10C9" w:rsidRPr="005F120D" w:rsidRDefault="00AF10C9" w:rsidP="00B25E46">
            <w:pPr>
              <w:pStyle w:val="Tabletext"/>
              <w:shd w:val="clear" w:color="auto" w:fill="CCC0D9"/>
              <w:rPr>
                <w:rFonts w:asciiTheme="minorHAnsi" w:hAnsiTheme="minorHAnsi" w:cstheme="minorHAnsi"/>
                <w:sz w:val="18"/>
              </w:rPr>
            </w:pPr>
          </w:p>
          <w:p w:rsidR="00AF10C9" w:rsidRPr="005F120D" w:rsidRDefault="00AF10C9" w:rsidP="00B25E46">
            <w:pPr>
              <w:pStyle w:val="Tabletext"/>
              <w:shd w:val="clear" w:color="auto" w:fill="CCC0D9"/>
              <w:rPr>
                <w:rFonts w:asciiTheme="minorHAnsi" w:hAnsiTheme="minorHAnsi" w:cstheme="minorHAnsi"/>
                <w:sz w:val="18"/>
              </w:rPr>
            </w:pPr>
          </w:p>
          <w:p w:rsidR="00AF10C9" w:rsidRPr="005F120D" w:rsidRDefault="00AF10C9" w:rsidP="00B25E46">
            <w:pPr>
              <w:pStyle w:val="Tabletext"/>
              <w:shd w:val="clear" w:color="auto" w:fill="CCC0D9"/>
              <w:rPr>
                <w:rFonts w:asciiTheme="minorHAnsi" w:hAnsiTheme="minorHAnsi" w:cstheme="minorHAnsi"/>
                <w:sz w:val="18"/>
              </w:rPr>
            </w:pPr>
          </w:p>
        </w:tc>
        <w:tc>
          <w:tcPr>
            <w:tcW w:w="442" w:type="pct"/>
            <w:tcBorders>
              <w:left w:val="double" w:sz="4" w:space="0" w:color="943634"/>
              <w:right w:val="double" w:sz="4" w:space="0" w:color="E36C0A"/>
            </w:tcBorders>
          </w:tcPr>
          <w:p w:rsidR="00AF10C9" w:rsidRPr="005F120D" w:rsidRDefault="002E2ED5" w:rsidP="00B25E46">
            <w:pPr>
              <w:pStyle w:val="Tabletext"/>
              <w:rPr>
                <w:rFonts w:asciiTheme="minorHAnsi" w:hAnsiTheme="minorHAnsi" w:cstheme="minorHAnsi"/>
                <w:sz w:val="18"/>
              </w:rPr>
            </w:pPr>
            <w:r>
              <w:rPr>
                <w:rFonts w:asciiTheme="minorHAnsi" w:hAnsiTheme="minorHAnsi" w:cstheme="minorHAnsi"/>
                <w:noProof/>
                <w:sz w:val="18"/>
                <w:lang w:val="en-US" w:eastAsia="en-US"/>
              </w:rPr>
              <w:pict>
                <v:shape id="_x0000_s1068" type="#_x0000_t68" style="position:absolute;margin-left:-1.7pt;margin-top:75.1pt;width:34.4pt;height:30.55pt;rotation:90;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" fillcolor="#fbd4b4" strokecolor="#00c">
                  <v:textbox style="layout-flow:vertical-ideographic"/>
                </v:shape>
              </w:pict>
            </w:r>
          </w:p>
        </w:tc>
        <w:tc>
          <w:tcPr>
            <w:tcW w:w="1271" w:type="pct"/>
            <w:tcBorders>
              <w:top w:val="double" w:sz="4" w:space="0" w:color="E36C0A"/>
              <w:left w:val="double" w:sz="4" w:space="0" w:color="E36C0A"/>
              <w:bottom w:val="double" w:sz="4" w:space="0" w:color="E36C0A"/>
              <w:right w:val="double" w:sz="4" w:space="0" w:color="E36C0A"/>
            </w:tcBorders>
            <w:shd w:val="clear" w:color="auto" w:fill="FBD4B4"/>
          </w:tcPr>
          <w:p w:rsidR="00AF10C9" w:rsidRPr="005F120D" w:rsidRDefault="00AF10C9" w:rsidP="00B25E46">
            <w:pPr>
              <w:pStyle w:val="Tabletext"/>
              <w:jc w:val="center"/>
              <w:rPr>
                <w:rFonts w:asciiTheme="minorHAnsi" w:hAnsiTheme="minorHAnsi" w:cstheme="minorHAnsi"/>
                <w:b/>
                <w:color w:val="008000"/>
                <w:sz w:val="18"/>
              </w:rPr>
            </w:pPr>
            <w:r w:rsidRPr="005F120D">
              <w:rPr>
                <w:rFonts w:asciiTheme="minorHAnsi" w:hAnsiTheme="minorHAnsi" w:cstheme="minorHAnsi"/>
                <w:b/>
                <w:color w:val="008000"/>
                <w:sz w:val="18"/>
              </w:rPr>
              <w:t>LONG-TERM OUTCOMES</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Effective Program planning and management </w:t>
            </w:r>
          </w:p>
          <w:p w:rsidR="00AF10C9" w:rsidRPr="005F120D" w:rsidRDefault="00AF10C9" w:rsidP="00B25E46">
            <w:pPr>
              <w:pStyle w:val="Tabletext"/>
              <w:rPr>
                <w:rFonts w:asciiTheme="minorHAnsi" w:hAnsiTheme="minorHAnsi" w:cstheme="minorHAnsi"/>
                <w:sz w:val="18"/>
              </w:rPr>
            </w:pPr>
          </w:p>
          <w:p w:rsidR="00AF10C9" w:rsidRPr="005F120D" w:rsidRDefault="00AF10C9" w:rsidP="00B25E46">
            <w:pPr>
              <w:pStyle w:val="Tabletext"/>
              <w:rPr>
                <w:rFonts w:asciiTheme="minorHAnsi" w:hAnsiTheme="minorHAnsi" w:cstheme="minorHAnsi"/>
                <w:sz w:val="18"/>
              </w:rPr>
            </w:pPr>
            <w:r w:rsidRPr="005F120D">
              <w:rPr>
                <w:rFonts w:asciiTheme="minorHAnsi" w:hAnsiTheme="minorHAnsi" w:cstheme="minorHAnsi"/>
                <w:sz w:val="18"/>
              </w:rPr>
              <w:t xml:space="preserve">Increased effectiveness of budget allocation </w:t>
            </w:r>
          </w:p>
        </w:tc>
      </w:tr>
    </w:tbl>
    <w:p w:rsidR="00AF10C9" w:rsidRPr="005F120D" w:rsidRDefault="00AF10C9" w:rsidP="00B25E46">
      <w:pPr>
        <w:rPr>
          <w:rFonts w:asciiTheme="minorHAnsi" w:hAnsiTheme="minorHAnsi" w:cstheme="minorHAnsi"/>
          <w:i/>
          <w:sz w:val="20"/>
        </w:rPr>
      </w:pPr>
    </w:p>
    <w:p w:rsidR="00B25E46" w:rsidRPr="005F120D" w:rsidRDefault="00AF10C9" w:rsidP="00B25E46">
      <w:pPr>
        <w:rPr>
          <w:rFonts w:asciiTheme="minorHAnsi" w:hAnsiTheme="minorHAnsi" w:cstheme="minorHAnsi"/>
          <w:b/>
          <w:i/>
          <w:color w:val="008000"/>
          <w:sz w:val="20"/>
        </w:rPr>
      </w:pPr>
      <w:r w:rsidRPr="005F120D">
        <w:rPr>
          <w:rFonts w:asciiTheme="minorHAnsi" w:hAnsiTheme="minorHAnsi" w:cstheme="minorHAnsi"/>
          <w:b/>
          <w:i/>
          <w:color w:val="008000"/>
          <w:sz w:val="20"/>
        </w:rPr>
        <w:t>Note: The PEDP3 results web for 29 sub-components presents in above Table 2.1</w:t>
      </w:r>
    </w:p>
    <w:p w:rsidR="00EC3044" w:rsidRPr="005F120D" w:rsidRDefault="00EC3044" w:rsidP="00B25E46">
      <w:pPr>
        <w:pStyle w:val="Heading1NONUM"/>
        <w:rPr>
          <w:rFonts w:cstheme="minorHAnsi"/>
          <w:color w:val="008000"/>
        </w:rPr>
      </w:pPr>
      <w:bookmarkStart w:id="632" w:name="_Toc338856204"/>
      <w:bookmarkStart w:id="633" w:name="_Toc385242139"/>
      <w:bookmarkStart w:id="634" w:name="_Toc385245770"/>
      <w:bookmarkStart w:id="635" w:name="_Toc385419537"/>
    </w:p>
    <w:p w:rsidR="00EC3044" w:rsidRPr="005F120D" w:rsidRDefault="00EC3044" w:rsidP="00B25E46">
      <w:pPr>
        <w:pStyle w:val="Heading1NONUM"/>
        <w:rPr>
          <w:rFonts w:cstheme="minorHAnsi"/>
          <w:color w:val="008000"/>
        </w:rPr>
      </w:pPr>
    </w:p>
    <w:p w:rsidR="00EC3044" w:rsidRPr="005F120D" w:rsidRDefault="00EC3044" w:rsidP="00B25E46">
      <w:pPr>
        <w:pStyle w:val="Heading1NONUM"/>
        <w:rPr>
          <w:rFonts w:cstheme="minorHAnsi"/>
          <w:color w:val="008000"/>
        </w:rPr>
      </w:pPr>
    </w:p>
    <w:p w:rsidR="00EC3044" w:rsidRPr="005F120D" w:rsidRDefault="00EC3044" w:rsidP="00EC3044">
      <w:pPr>
        <w:pStyle w:val="BodyText1"/>
        <w:rPr>
          <w:rFonts w:asciiTheme="minorHAnsi" w:hAnsiTheme="minorHAnsi" w:cstheme="minorHAnsi"/>
        </w:rPr>
      </w:pPr>
    </w:p>
    <w:p w:rsidR="00332BB3" w:rsidRPr="005F120D" w:rsidRDefault="00A75660" w:rsidP="00B25E46">
      <w:pPr>
        <w:pStyle w:val="Heading1NONUM"/>
        <w:rPr>
          <w:rFonts w:cstheme="minorHAnsi"/>
          <w:color w:val="008000"/>
        </w:rPr>
      </w:pPr>
      <w:bookmarkStart w:id="636" w:name="_Toc462837207"/>
      <w:r w:rsidRPr="005F120D">
        <w:rPr>
          <w:rFonts w:cstheme="minorHAnsi"/>
          <w:color w:val="008000"/>
        </w:rPr>
        <w:lastRenderedPageBreak/>
        <w:t>Annex B</w:t>
      </w:r>
      <w:r w:rsidR="00332BB3" w:rsidRPr="005F120D">
        <w:rPr>
          <w:rFonts w:cstheme="minorHAnsi"/>
          <w:color w:val="008000"/>
        </w:rPr>
        <w:t>: Upazila composite performance indicator</w:t>
      </w:r>
      <w:bookmarkEnd w:id="632"/>
      <w:bookmarkEnd w:id="633"/>
      <w:bookmarkEnd w:id="634"/>
      <w:bookmarkEnd w:id="635"/>
      <w:bookmarkEnd w:id="636"/>
    </w:p>
    <w:p w:rsidR="00332BB3" w:rsidRPr="005F120D" w:rsidRDefault="00A75660" w:rsidP="00B25E46">
      <w:pPr>
        <w:pStyle w:val="Heading2NONUM"/>
        <w:spacing w:after="0"/>
        <w:rPr>
          <w:rFonts w:asciiTheme="minorHAnsi" w:hAnsiTheme="minorHAnsi" w:cstheme="minorHAnsi"/>
          <w:color w:val="0000FF"/>
        </w:rPr>
      </w:pPr>
      <w:bookmarkStart w:id="637" w:name="_Toc385242140"/>
      <w:bookmarkStart w:id="638" w:name="_Toc385245771"/>
      <w:bookmarkStart w:id="639" w:name="_Toc338856206"/>
      <w:r w:rsidRPr="005F120D">
        <w:rPr>
          <w:rFonts w:asciiTheme="minorHAnsi" w:hAnsiTheme="minorHAnsi" w:cstheme="minorHAnsi"/>
          <w:color w:val="0000FF"/>
        </w:rPr>
        <w:t>B</w:t>
      </w:r>
      <w:r w:rsidR="00332BB3" w:rsidRPr="005F120D">
        <w:rPr>
          <w:rFonts w:asciiTheme="minorHAnsi" w:hAnsiTheme="minorHAnsi" w:cstheme="minorHAnsi"/>
          <w:color w:val="0000FF"/>
        </w:rPr>
        <w:t>1</w:t>
      </w:r>
      <w:r w:rsidR="00FA5163" w:rsidRPr="005F120D">
        <w:rPr>
          <w:rFonts w:asciiTheme="minorHAnsi" w:hAnsiTheme="minorHAnsi" w:cstheme="minorHAnsi"/>
          <w:color w:val="0000FF"/>
        </w:rPr>
        <w:t>. Further</w:t>
      </w:r>
      <w:r w:rsidR="00332BB3" w:rsidRPr="005F120D">
        <w:rPr>
          <w:rFonts w:asciiTheme="minorHAnsi" w:hAnsiTheme="minorHAnsi" w:cstheme="minorHAnsi"/>
          <w:color w:val="0000FF"/>
        </w:rPr>
        <w:t xml:space="preserve"> details on the </w:t>
      </w:r>
      <w:r w:rsidR="00045BB9" w:rsidRPr="005F120D">
        <w:rPr>
          <w:rFonts w:asciiTheme="minorHAnsi" w:hAnsiTheme="minorHAnsi" w:cstheme="minorHAnsi"/>
          <w:color w:val="0000FF"/>
        </w:rPr>
        <w:t>Upazila</w:t>
      </w:r>
      <w:r w:rsidR="00332BB3" w:rsidRPr="005F120D">
        <w:rPr>
          <w:rFonts w:asciiTheme="minorHAnsi" w:hAnsiTheme="minorHAnsi" w:cstheme="minorHAnsi"/>
          <w:color w:val="0000FF"/>
        </w:rPr>
        <w:t xml:space="preserve"> composite performance indicator</w:t>
      </w:r>
      <w:bookmarkEnd w:id="637"/>
      <w:bookmarkEnd w:id="638"/>
    </w:p>
    <w:p w:rsidR="00332BB3" w:rsidRPr="005F120D" w:rsidRDefault="00A75660" w:rsidP="00B25E46">
      <w:pPr>
        <w:pStyle w:val="Heading3NONUM"/>
        <w:spacing w:after="0"/>
        <w:rPr>
          <w:rFonts w:asciiTheme="minorHAnsi" w:hAnsiTheme="minorHAnsi" w:cstheme="minorHAnsi"/>
          <w:color w:val="0000FF"/>
        </w:rPr>
      </w:pPr>
      <w:bookmarkStart w:id="640" w:name="_Toc385242141"/>
      <w:r w:rsidRPr="005F120D">
        <w:rPr>
          <w:rFonts w:asciiTheme="minorHAnsi" w:hAnsiTheme="minorHAnsi" w:cstheme="minorHAnsi"/>
          <w:color w:val="0000FF"/>
        </w:rPr>
        <w:t>B</w:t>
      </w:r>
      <w:r w:rsidR="00332BB3" w:rsidRPr="005F120D">
        <w:rPr>
          <w:rFonts w:asciiTheme="minorHAnsi" w:hAnsiTheme="minorHAnsi" w:cstheme="minorHAnsi"/>
          <w:color w:val="0000FF"/>
        </w:rPr>
        <w:t>1.1 Rationale for selection of component indicators</w:t>
      </w:r>
      <w:bookmarkEnd w:id="639"/>
      <w:bookmarkEnd w:id="640"/>
    </w:p>
    <w:p w:rsidR="002E72B8" w:rsidRPr="005F120D" w:rsidRDefault="002E72B8" w:rsidP="00B25E46">
      <w:pPr>
        <w:spacing w:before="240"/>
        <w:rPr>
          <w:rFonts w:asciiTheme="minorHAnsi" w:hAnsiTheme="minorHAnsi" w:cstheme="minorHAnsi"/>
        </w:rPr>
      </w:pPr>
      <w:r w:rsidRPr="005F120D">
        <w:rPr>
          <w:rFonts w:asciiTheme="minorHAnsi" w:hAnsiTheme="minorHAnsi" w:cstheme="minorHAnsi"/>
        </w:rPr>
        <w:t>The following principles were considered in selecting component indicators:</w:t>
      </w:r>
    </w:p>
    <w:p w:rsidR="002E72B8" w:rsidRPr="005F120D" w:rsidRDefault="002E72B8" w:rsidP="00B25E46">
      <w:pPr>
        <w:pStyle w:val="ListBullet11"/>
        <w:numPr>
          <w:ilvl w:val="0"/>
          <w:numId w:val="17"/>
        </w:numPr>
        <w:rPr>
          <w:rFonts w:asciiTheme="minorHAnsi" w:hAnsiTheme="minorHAnsi" w:cstheme="minorHAnsi"/>
        </w:rPr>
      </w:pPr>
      <w:r w:rsidRPr="005F120D">
        <w:rPr>
          <w:rFonts w:asciiTheme="minorHAnsi" w:hAnsiTheme="minorHAnsi" w:cstheme="minorHAnsi"/>
        </w:rPr>
        <w:t>The data should be available every year and be of reliable quality to reflect true conditions at the Upazila level. It is often the case that some critical pieces of information may not be available on an annual basis or some critical information may not be of good quality.</w:t>
      </w:r>
    </w:p>
    <w:p w:rsidR="002E72B8" w:rsidRPr="005F120D" w:rsidRDefault="002E72B8" w:rsidP="00B25E46">
      <w:pPr>
        <w:pStyle w:val="ListBullet11"/>
        <w:numPr>
          <w:ilvl w:val="0"/>
          <w:numId w:val="17"/>
        </w:numPr>
        <w:rPr>
          <w:rFonts w:asciiTheme="minorHAnsi" w:hAnsiTheme="minorHAnsi" w:cstheme="minorHAnsi"/>
        </w:rPr>
      </w:pPr>
      <w:r w:rsidRPr="005F120D">
        <w:rPr>
          <w:rFonts w:asciiTheme="minorHAnsi" w:hAnsiTheme="minorHAnsi" w:cstheme="minorHAnsi"/>
        </w:rPr>
        <w:t>There should be at least one component indicator for each of the three dimensions of disparity: participation, completion and learning outcomes.</w:t>
      </w:r>
    </w:p>
    <w:p w:rsidR="002E72B8" w:rsidRPr="005F120D" w:rsidRDefault="002E72B8" w:rsidP="00B25E46">
      <w:pPr>
        <w:pStyle w:val="ListBullet11"/>
        <w:numPr>
          <w:ilvl w:val="0"/>
          <w:numId w:val="17"/>
        </w:numPr>
        <w:rPr>
          <w:rFonts w:asciiTheme="minorHAnsi" w:hAnsiTheme="minorHAnsi" w:cstheme="minorHAnsi"/>
        </w:rPr>
      </w:pPr>
      <w:r w:rsidRPr="005F120D">
        <w:rPr>
          <w:rFonts w:asciiTheme="minorHAnsi" w:hAnsiTheme="minorHAnsi" w:cstheme="minorHAnsi"/>
        </w:rPr>
        <w:t xml:space="preserve">To the extent possible, the indicators should be part of a regular reporting system and avoid imposing additional calculation requirements on the DPE: the first three indicators below are already included in the Upazila education performance profile. </w:t>
      </w:r>
    </w:p>
    <w:p w:rsidR="002E72B8" w:rsidRPr="005F120D" w:rsidRDefault="002E72B8" w:rsidP="00B25E46">
      <w:pPr>
        <w:numPr>
          <w:ilvl w:val="0"/>
          <w:numId w:val="94"/>
        </w:numPr>
        <w:spacing w:before="240" w:after="200"/>
        <w:contextualSpacing/>
        <w:rPr>
          <w:rFonts w:asciiTheme="minorHAnsi" w:hAnsiTheme="minorHAnsi" w:cstheme="minorHAnsi"/>
          <w:b/>
          <w:color w:val="0033CC"/>
        </w:rPr>
      </w:pPr>
      <w:r w:rsidRPr="005F120D">
        <w:rPr>
          <w:rFonts w:asciiTheme="minorHAnsi" w:hAnsiTheme="minorHAnsi" w:cstheme="minorHAnsi"/>
          <w:b/>
          <w:color w:val="0033CC"/>
        </w:rPr>
        <w:t>Participation: Gender disparity in enrolment</w:t>
      </w:r>
    </w:p>
    <w:p w:rsidR="002E72B8" w:rsidRPr="005F120D" w:rsidRDefault="002E72B8" w:rsidP="00B25E46">
      <w:pPr>
        <w:spacing w:before="240" w:after="200"/>
        <w:ind w:left="360"/>
        <w:contextualSpacing/>
        <w:rPr>
          <w:rFonts w:asciiTheme="minorHAnsi" w:hAnsiTheme="minorHAnsi" w:cstheme="minorHAnsi"/>
          <w:b/>
          <w:color w:val="0033CC"/>
        </w:rPr>
      </w:pPr>
    </w:p>
    <w:p w:rsidR="002E72B8" w:rsidRPr="005F120D" w:rsidRDefault="002E72B8" w:rsidP="00B25E46">
      <w:pPr>
        <w:jc w:val="both"/>
        <w:rPr>
          <w:rFonts w:asciiTheme="minorHAnsi" w:hAnsiTheme="minorHAnsi" w:cstheme="minorHAnsi"/>
        </w:rPr>
      </w:pPr>
      <w:r w:rsidRPr="005F120D">
        <w:rPr>
          <w:rFonts w:asciiTheme="minorHAnsi" w:hAnsiTheme="minorHAnsi" w:cstheme="minorHAnsi"/>
        </w:rPr>
        <w:t xml:space="preserve">The most appropriate measure of participation should be the (gross or net) enrolment rate. However, it is currently not possible to calculate enrolment rates because the population is not projected at </w:t>
      </w:r>
      <w:r w:rsidR="00045BB9" w:rsidRPr="005F120D">
        <w:rPr>
          <w:rFonts w:asciiTheme="minorHAnsi" w:hAnsiTheme="minorHAnsi" w:cstheme="minorHAnsi"/>
        </w:rPr>
        <w:t>Upazila</w:t>
      </w:r>
      <w:r w:rsidRPr="005F120D">
        <w:rPr>
          <w:rFonts w:asciiTheme="minorHAnsi" w:hAnsiTheme="minorHAnsi" w:cstheme="minorHAnsi"/>
        </w:rPr>
        <w:t xml:space="preserve"> level. The population census of 2011 could provide </w:t>
      </w:r>
      <w:r w:rsidR="00045BB9" w:rsidRPr="005F120D">
        <w:rPr>
          <w:rFonts w:asciiTheme="minorHAnsi" w:hAnsiTheme="minorHAnsi" w:cstheme="minorHAnsi"/>
        </w:rPr>
        <w:t>Upazila</w:t>
      </w:r>
      <w:r w:rsidRPr="005F120D">
        <w:rPr>
          <w:rFonts w:asciiTheme="minorHAnsi" w:hAnsiTheme="minorHAnsi" w:cstheme="minorHAnsi"/>
        </w:rPr>
        <w:t xml:space="preserve"> enrolment rates for 2012 and 2013, but again it is not expected that there would be a reliable mechanism of population projections at the </w:t>
      </w:r>
      <w:r w:rsidR="00045BB9" w:rsidRPr="005F120D">
        <w:rPr>
          <w:rFonts w:asciiTheme="minorHAnsi" w:hAnsiTheme="minorHAnsi" w:cstheme="minorHAnsi"/>
        </w:rPr>
        <w:t>Upazila</w:t>
      </w:r>
      <w:r w:rsidRPr="005F120D">
        <w:rPr>
          <w:rFonts w:asciiTheme="minorHAnsi" w:hAnsiTheme="minorHAnsi" w:cstheme="minorHAnsi"/>
        </w:rPr>
        <w:t xml:space="preserve"> level thereafter. It is therefore necessary to develop an alternative indicator that captures a dimension of education participation.</w:t>
      </w:r>
    </w:p>
    <w:p w:rsidR="002E72B8" w:rsidRPr="005F120D" w:rsidRDefault="002E72B8" w:rsidP="00B25E46">
      <w:pPr>
        <w:jc w:val="both"/>
        <w:rPr>
          <w:rFonts w:asciiTheme="minorHAnsi" w:hAnsiTheme="minorHAnsi" w:cstheme="minorHAnsi"/>
        </w:rPr>
      </w:pPr>
      <w:r w:rsidRPr="005F120D">
        <w:rPr>
          <w:rFonts w:asciiTheme="minorHAnsi" w:hAnsiTheme="minorHAnsi" w:cstheme="minorHAnsi"/>
        </w:rPr>
        <w:t>It is proposed that a measure of enrolment inequality between boys and girls be used instead. The obvious indicator is the gender parity index but this is not possible either because it is the ratio of female to male enrolment rates.  It is proposed instead to consider the following alternative. The ratio of girls in the population of children aged 6-10 is 48.5%. Ideally, the ratio of girls in the total number of children enrolled should therefore also be in the range o</w:t>
      </w:r>
      <w:r w:rsidR="00A01B3D" w:rsidRPr="005F120D">
        <w:rPr>
          <w:rFonts w:asciiTheme="minorHAnsi" w:hAnsiTheme="minorHAnsi" w:cstheme="minorHAnsi"/>
        </w:rPr>
        <w:t>f 48.5%. The disadvantage of this</w:t>
      </w:r>
      <w:r w:rsidRPr="005F120D">
        <w:rPr>
          <w:rFonts w:asciiTheme="minorHAnsi" w:hAnsiTheme="minorHAnsi" w:cstheme="minorHAnsi"/>
        </w:rPr>
        <w:t xml:space="preserve"> indicator is that the ratio of girls in the population may differ across </w:t>
      </w:r>
      <w:r w:rsidR="00045BB9" w:rsidRPr="005F120D">
        <w:rPr>
          <w:rFonts w:asciiTheme="minorHAnsi" w:hAnsiTheme="minorHAnsi" w:cstheme="minorHAnsi"/>
        </w:rPr>
        <w:t>Upazilas</w:t>
      </w:r>
      <w:r w:rsidRPr="005F120D">
        <w:rPr>
          <w:rFonts w:asciiTheme="minorHAnsi" w:hAnsiTheme="minorHAnsi" w:cstheme="minorHAnsi"/>
        </w:rPr>
        <w:t>. However, such differences are expected to be small and not to bias the indicator.</w:t>
      </w:r>
    </w:p>
    <w:p w:rsidR="002E72B8" w:rsidRPr="005F120D" w:rsidRDefault="002E72B8" w:rsidP="00B25E46">
      <w:pPr>
        <w:numPr>
          <w:ilvl w:val="0"/>
          <w:numId w:val="94"/>
        </w:numPr>
        <w:spacing w:after="200"/>
        <w:contextualSpacing/>
        <w:jc w:val="both"/>
        <w:rPr>
          <w:rFonts w:asciiTheme="minorHAnsi" w:hAnsiTheme="minorHAnsi" w:cstheme="minorHAnsi"/>
          <w:color w:val="0033CC"/>
        </w:rPr>
      </w:pPr>
      <w:r w:rsidRPr="005F120D">
        <w:rPr>
          <w:rFonts w:asciiTheme="minorHAnsi" w:hAnsiTheme="minorHAnsi" w:cstheme="minorHAnsi"/>
          <w:b/>
          <w:color w:val="0033CC"/>
        </w:rPr>
        <w:t>Completion: Survival rate to Grade 5</w:t>
      </w:r>
    </w:p>
    <w:p w:rsidR="002E72B8" w:rsidRPr="005F120D" w:rsidRDefault="002E72B8" w:rsidP="00B25E46">
      <w:pPr>
        <w:jc w:val="both"/>
        <w:rPr>
          <w:rFonts w:asciiTheme="minorHAnsi" w:hAnsiTheme="minorHAnsi" w:cstheme="minorHAnsi"/>
        </w:rPr>
      </w:pPr>
      <w:r w:rsidRPr="005F120D">
        <w:rPr>
          <w:rFonts w:asciiTheme="minorHAnsi" w:hAnsiTheme="minorHAnsi" w:cstheme="minorHAnsi"/>
        </w:rPr>
        <w:t xml:space="preserve">The most appropriate measure of participation would be the cohort completion rate or the population-based proxy measure of completion, which is calculated as the number of children who complete the primary education cycle as a proportion of children aged </w:t>
      </w:r>
      <w:r w:rsidR="00A01B3D" w:rsidRPr="005F120D">
        <w:rPr>
          <w:rFonts w:asciiTheme="minorHAnsi" w:hAnsiTheme="minorHAnsi" w:cstheme="minorHAnsi"/>
        </w:rPr>
        <w:t>10 years. Data constraints mean</w:t>
      </w:r>
      <w:r w:rsidRPr="005F120D">
        <w:rPr>
          <w:rFonts w:asciiTheme="minorHAnsi" w:hAnsiTheme="minorHAnsi" w:cstheme="minorHAnsi"/>
        </w:rPr>
        <w:t xml:space="preserve"> that an alternative proposal is necessary. </w:t>
      </w:r>
    </w:p>
    <w:p w:rsidR="002E72B8" w:rsidRPr="005F120D" w:rsidRDefault="002E72B8" w:rsidP="00B25E46">
      <w:pPr>
        <w:jc w:val="both"/>
        <w:rPr>
          <w:rFonts w:asciiTheme="minorHAnsi" w:hAnsiTheme="minorHAnsi" w:cstheme="minorHAnsi"/>
        </w:rPr>
      </w:pPr>
      <w:r w:rsidRPr="005F120D">
        <w:rPr>
          <w:rFonts w:asciiTheme="minorHAnsi" w:hAnsiTheme="minorHAnsi" w:cstheme="minorHAnsi"/>
        </w:rPr>
        <w:t>It is proposed instead to use the survival rate to Grade 5. The advantage of the survival rate is that it is conceptually very similar to the completion rate and is not dependent on population figures. The survival rate is calculated using the reconstructed cohort model.</w:t>
      </w:r>
    </w:p>
    <w:p w:rsidR="002E72B8" w:rsidRPr="005F120D" w:rsidRDefault="002E72B8" w:rsidP="00B25E46">
      <w:pPr>
        <w:numPr>
          <w:ilvl w:val="0"/>
          <w:numId w:val="94"/>
        </w:numPr>
        <w:spacing w:after="200"/>
        <w:contextualSpacing/>
        <w:rPr>
          <w:rFonts w:asciiTheme="minorHAnsi" w:hAnsiTheme="minorHAnsi" w:cstheme="minorHAnsi"/>
          <w:b/>
          <w:color w:val="0033CC"/>
        </w:rPr>
      </w:pPr>
      <w:r w:rsidRPr="005F120D">
        <w:rPr>
          <w:rFonts w:asciiTheme="minorHAnsi" w:hAnsiTheme="minorHAnsi" w:cstheme="minorHAnsi"/>
          <w:b/>
          <w:color w:val="0033CC"/>
        </w:rPr>
        <w:t>Learning: Combined participation and pass rate in Grade 5 Primary Education Completion Examination (PECE)</w:t>
      </w:r>
    </w:p>
    <w:p w:rsidR="002E72B8" w:rsidRPr="005F120D" w:rsidRDefault="002E72B8" w:rsidP="00B25E46">
      <w:pPr>
        <w:spacing w:after="200"/>
        <w:ind w:left="360"/>
        <w:contextualSpacing/>
        <w:rPr>
          <w:rFonts w:asciiTheme="minorHAnsi" w:hAnsiTheme="minorHAnsi" w:cstheme="minorHAnsi"/>
          <w:b/>
          <w:color w:val="0033CC"/>
        </w:rPr>
      </w:pPr>
    </w:p>
    <w:p w:rsidR="002E72B8" w:rsidRPr="005F120D" w:rsidRDefault="002E72B8" w:rsidP="00B25E46">
      <w:pPr>
        <w:jc w:val="both"/>
        <w:rPr>
          <w:rFonts w:asciiTheme="minorHAnsi" w:hAnsiTheme="minorHAnsi" w:cstheme="minorHAnsi"/>
        </w:rPr>
      </w:pPr>
      <w:r w:rsidRPr="005F120D">
        <w:rPr>
          <w:rFonts w:asciiTheme="minorHAnsi" w:hAnsiTheme="minorHAnsi" w:cstheme="minorHAnsi"/>
        </w:rPr>
        <w:t xml:space="preserve">It is not easy to obtain measures of learning across the country. However, as of 2009, the Grade 5 Primary Education Completion Examination (Terminal Exam) provides a proxy measure. It is proposed that the following indicator is used: the percentage of children who passed the exam among those that were eligible to sit for the exam. In other words, this combines the participation </w:t>
      </w:r>
      <w:r w:rsidRPr="005F120D">
        <w:rPr>
          <w:rFonts w:asciiTheme="minorHAnsi" w:hAnsiTheme="minorHAnsi" w:cstheme="minorHAnsi"/>
        </w:rPr>
        <w:lastRenderedPageBreak/>
        <w:t>and the pass rate. This variant is more interesting because (i) it has a wider variation than the simple pass rate and (ii) it takes into account that a considerable number of children do not actually take the exam largely because their learning achievement had not reached the stage that would have allowed them to pass.</w:t>
      </w:r>
    </w:p>
    <w:p w:rsidR="002E72B8" w:rsidRPr="005F120D" w:rsidRDefault="002E72B8" w:rsidP="00B25E46">
      <w:pPr>
        <w:pStyle w:val="Heading3NONUM"/>
        <w:rPr>
          <w:rFonts w:asciiTheme="minorHAnsi" w:hAnsiTheme="minorHAnsi" w:cstheme="minorHAnsi"/>
          <w:color w:val="0000FF"/>
        </w:rPr>
      </w:pPr>
      <w:bookmarkStart w:id="641" w:name="_Toc338856207"/>
      <w:bookmarkStart w:id="642" w:name="_Toc385242142"/>
      <w:r w:rsidRPr="005F120D">
        <w:rPr>
          <w:rFonts w:asciiTheme="minorHAnsi" w:hAnsiTheme="minorHAnsi" w:cstheme="minorHAnsi"/>
          <w:color w:val="0000FF"/>
        </w:rPr>
        <w:t>B1.2 Calculation of Upazila composite performance indicator</w:t>
      </w:r>
      <w:bookmarkEnd w:id="641"/>
      <w:bookmarkEnd w:id="642"/>
    </w:p>
    <w:p w:rsidR="002E72B8" w:rsidRPr="005F120D" w:rsidRDefault="002E72B8" w:rsidP="00B25E46">
      <w:pPr>
        <w:rPr>
          <w:rFonts w:asciiTheme="minorHAnsi" w:hAnsiTheme="minorHAnsi" w:cstheme="minorHAnsi"/>
        </w:rPr>
      </w:pPr>
      <w:r w:rsidRPr="005F120D">
        <w:rPr>
          <w:rFonts w:asciiTheme="minorHAnsi" w:hAnsiTheme="minorHAnsi" w:cstheme="minorHAnsi"/>
        </w:rPr>
        <w:t>To develop the composite indicator, the following steps have been taken, in line with the method used for the calculation of the United Nations Human Development Index.</w:t>
      </w:r>
    </w:p>
    <w:p w:rsidR="002E72B8" w:rsidRPr="005F120D" w:rsidRDefault="002E72B8" w:rsidP="00B25E46">
      <w:pPr>
        <w:pStyle w:val="ListBullet11"/>
        <w:numPr>
          <w:ilvl w:val="0"/>
          <w:numId w:val="18"/>
        </w:numPr>
        <w:rPr>
          <w:rFonts w:asciiTheme="minorHAnsi" w:hAnsiTheme="minorHAnsi" w:cstheme="minorHAnsi"/>
        </w:rPr>
      </w:pPr>
      <w:r w:rsidRPr="005F120D">
        <w:rPr>
          <w:rFonts w:asciiTheme="minorHAnsi" w:hAnsiTheme="minorHAnsi" w:cstheme="minorHAnsi"/>
        </w:rPr>
        <w:t xml:space="preserve">Minimum and maximum values were set for each component indicator to transform the indicators into indices between 0 and 1. </w:t>
      </w:r>
    </w:p>
    <w:p w:rsidR="002E72B8" w:rsidRPr="005F120D" w:rsidRDefault="002E72B8" w:rsidP="00B25E46">
      <w:pPr>
        <w:rPr>
          <w:rFonts w:asciiTheme="minorHAnsi" w:hAnsiTheme="minorHAnsi" w:cstheme="minorHAnsi"/>
        </w:rPr>
      </w:pPr>
      <w:r w:rsidRPr="005F120D">
        <w:rPr>
          <w:rFonts w:asciiTheme="minorHAnsi" w:hAnsiTheme="minorHAnsi" w:cstheme="minorHAnsi"/>
        </w:rPr>
        <w:t>­</w:t>
      </w:r>
      <w:r w:rsidRPr="005F120D">
        <w:rPr>
          <w:rFonts w:asciiTheme="minorHAnsi" w:hAnsiTheme="minorHAnsi" w:cstheme="minorHAnsi"/>
        </w:rPr>
        <w:tab/>
        <w:t>Maximum values were set at or near the actual observed maximum</w:t>
      </w:r>
    </w:p>
    <w:p w:rsidR="002E72B8" w:rsidRPr="005F120D" w:rsidRDefault="002E72B8" w:rsidP="00B25E46">
      <w:pPr>
        <w:rPr>
          <w:rFonts w:asciiTheme="minorHAnsi" w:hAnsiTheme="minorHAnsi" w:cstheme="minorHAnsi"/>
        </w:rPr>
      </w:pPr>
      <w:r w:rsidRPr="005F120D">
        <w:rPr>
          <w:rFonts w:asciiTheme="minorHAnsi" w:hAnsiTheme="minorHAnsi" w:cstheme="minorHAnsi"/>
        </w:rPr>
        <w:t>­</w:t>
      </w:r>
      <w:r w:rsidRPr="005F120D">
        <w:rPr>
          <w:rFonts w:asciiTheme="minorHAnsi" w:hAnsiTheme="minorHAnsi" w:cstheme="minorHAnsi"/>
        </w:rPr>
        <w:tab/>
        <w:t>Minimum values were similarly set at or near the actual observed minimum: progress would</w:t>
      </w:r>
      <w:r w:rsidR="00EC1F70">
        <w:rPr>
          <w:rFonts w:asciiTheme="minorHAnsi" w:hAnsiTheme="minorHAnsi" w:cstheme="minorHAnsi"/>
        </w:rPr>
        <w:t xml:space="preserve"> </w:t>
      </w:r>
      <w:r w:rsidRPr="005F120D">
        <w:rPr>
          <w:rFonts w:asciiTheme="minorHAnsi" w:hAnsiTheme="minorHAnsi" w:cstheme="minorHAnsi"/>
        </w:rPr>
        <w:t>therefore be measured against minimum levels at the closing stages of PEDP II</w:t>
      </w:r>
    </w:p>
    <w:p w:rsidR="002E72B8" w:rsidRPr="005F120D" w:rsidRDefault="002E72B8" w:rsidP="00B25E46">
      <w:pPr>
        <w:pStyle w:val="ListBullet11"/>
        <w:numPr>
          <w:ilvl w:val="0"/>
          <w:numId w:val="18"/>
        </w:numPr>
        <w:rPr>
          <w:rFonts w:asciiTheme="minorHAnsi" w:hAnsiTheme="minorHAnsi" w:cstheme="minorHAnsi"/>
        </w:rPr>
      </w:pPr>
      <w:r w:rsidRPr="005F120D">
        <w:rPr>
          <w:rFonts w:asciiTheme="minorHAnsi" w:hAnsiTheme="minorHAnsi" w:cstheme="minorHAnsi"/>
        </w:rPr>
        <w:t>The formula for the calculation of the contribution of each component indicator to the composite indicator is the following:</w:t>
      </w:r>
    </w:p>
    <w:p w:rsidR="002E72B8" w:rsidRPr="005F120D" w:rsidRDefault="002E72B8" w:rsidP="00B25E46">
      <w:pPr>
        <w:pStyle w:val="ListBullet11"/>
        <w:tabs>
          <w:tab w:val="clear" w:pos="357"/>
        </w:tabs>
        <w:ind w:left="0" w:firstLine="0"/>
        <w:rPr>
          <w:rFonts w:asciiTheme="minorHAnsi" w:hAnsiTheme="minorHAnsi" w:cstheme="minorHAnsi"/>
        </w:rPr>
      </w:pPr>
    </w:p>
    <w:tbl>
      <w:tblPr>
        <w:tblW w:w="0" w:type="auto"/>
        <w:tblLook w:val="04A0"/>
      </w:tblPr>
      <w:tblGrid>
        <w:gridCol w:w="3528"/>
        <w:gridCol w:w="4950"/>
      </w:tblGrid>
      <w:tr w:rsidR="002E72B8" w:rsidRPr="005F120D" w:rsidTr="00BD53B7">
        <w:tc>
          <w:tcPr>
            <w:tcW w:w="3528" w:type="dxa"/>
            <w:vMerge w:val="restart"/>
            <w:vAlign w:val="center"/>
          </w:tcPr>
          <w:p w:rsidR="002E72B8" w:rsidRPr="005F120D" w:rsidRDefault="002E72B8" w:rsidP="00B25E46">
            <w:pPr>
              <w:jc w:val="right"/>
              <w:rPr>
                <w:rFonts w:asciiTheme="minorHAnsi" w:eastAsia="Calibri" w:hAnsiTheme="minorHAnsi" w:cstheme="minorHAnsi"/>
                <w:color w:val="0033CC"/>
                <w:szCs w:val="22"/>
              </w:rPr>
            </w:pPr>
            <w:r w:rsidRPr="005F120D">
              <w:rPr>
                <w:rFonts w:asciiTheme="minorHAnsi" w:eastAsia="Calibri" w:hAnsiTheme="minorHAnsi" w:cstheme="minorHAnsi"/>
                <w:color w:val="0033CC"/>
                <w:szCs w:val="22"/>
              </w:rPr>
              <w:t xml:space="preserve">Component indicator </w:t>
            </w:r>
            <w:r w:rsidR="00EC1F70" w:rsidRPr="005F120D">
              <w:rPr>
                <w:rFonts w:asciiTheme="minorHAnsi" w:eastAsia="Calibri" w:hAnsiTheme="minorHAnsi" w:cstheme="minorHAnsi"/>
                <w:color w:val="0033CC"/>
                <w:vertAlign w:val="subscript"/>
              </w:rPr>
              <w:t>Upazila</w:t>
            </w:r>
            <w:r w:rsidRPr="005F120D">
              <w:rPr>
                <w:rFonts w:asciiTheme="minorHAnsi" w:eastAsia="Calibri" w:hAnsiTheme="minorHAnsi" w:cstheme="minorHAnsi"/>
                <w:color w:val="0033CC"/>
                <w:vertAlign w:val="subscript"/>
              </w:rPr>
              <w:t xml:space="preserve"> i =</w:t>
            </w:r>
          </w:p>
        </w:tc>
        <w:tc>
          <w:tcPr>
            <w:tcW w:w="4950" w:type="dxa"/>
            <w:tcBorders>
              <w:bottom w:val="single" w:sz="4" w:space="0" w:color="auto"/>
            </w:tcBorders>
            <w:vAlign w:val="center"/>
          </w:tcPr>
          <w:p w:rsidR="002E72B8" w:rsidRPr="005F120D" w:rsidRDefault="002E72B8" w:rsidP="00B25E46">
            <w:pPr>
              <w:spacing w:after="0"/>
              <w:jc w:val="center"/>
              <w:rPr>
                <w:rFonts w:asciiTheme="minorHAnsi" w:eastAsia="Calibri" w:hAnsiTheme="minorHAnsi" w:cstheme="minorHAnsi"/>
                <w:color w:val="0033CC"/>
                <w:szCs w:val="22"/>
              </w:rPr>
            </w:pPr>
            <w:r w:rsidRPr="005F120D">
              <w:rPr>
                <w:rFonts w:asciiTheme="minorHAnsi" w:eastAsia="Calibri" w:hAnsiTheme="minorHAnsi" w:cstheme="minorHAnsi"/>
                <w:color w:val="0033CC"/>
                <w:szCs w:val="22"/>
              </w:rPr>
              <w:t xml:space="preserve">Actual value </w:t>
            </w:r>
            <w:r w:rsidR="00EC1F70" w:rsidRPr="005F120D">
              <w:rPr>
                <w:rFonts w:asciiTheme="minorHAnsi" w:eastAsia="Calibri" w:hAnsiTheme="minorHAnsi" w:cstheme="minorHAnsi"/>
                <w:i/>
                <w:color w:val="0033CC"/>
                <w:vertAlign w:val="subscript"/>
              </w:rPr>
              <w:t>Upazila</w:t>
            </w:r>
            <w:r w:rsidRPr="005F120D">
              <w:rPr>
                <w:rFonts w:asciiTheme="minorHAnsi" w:eastAsia="Calibri" w:hAnsiTheme="minorHAnsi" w:cstheme="minorHAnsi"/>
                <w:i/>
                <w:color w:val="0033CC"/>
                <w:vertAlign w:val="subscript"/>
              </w:rPr>
              <w:t xml:space="preserve"> i </w:t>
            </w:r>
            <w:r w:rsidRPr="005F120D">
              <w:rPr>
                <w:rFonts w:asciiTheme="minorHAnsi" w:eastAsia="Calibri" w:hAnsiTheme="minorHAnsi" w:cstheme="minorHAnsi"/>
                <w:color w:val="0033CC"/>
                <w:szCs w:val="22"/>
              </w:rPr>
              <w:t>– Minimum value</w:t>
            </w:r>
          </w:p>
        </w:tc>
      </w:tr>
      <w:tr w:rsidR="002E72B8" w:rsidRPr="005F120D" w:rsidTr="00BD53B7">
        <w:tc>
          <w:tcPr>
            <w:tcW w:w="3528" w:type="dxa"/>
            <w:vMerge/>
            <w:vAlign w:val="center"/>
          </w:tcPr>
          <w:p w:rsidR="002E72B8" w:rsidRPr="005F120D" w:rsidRDefault="002E72B8" w:rsidP="00B25E46">
            <w:pPr>
              <w:jc w:val="center"/>
              <w:rPr>
                <w:rFonts w:asciiTheme="minorHAnsi" w:eastAsia="Calibri" w:hAnsiTheme="minorHAnsi" w:cstheme="minorHAnsi"/>
                <w:color w:val="0033CC"/>
                <w:szCs w:val="22"/>
              </w:rPr>
            </w:pPr>
          </w:p>
        </w:tc>
        <w:tc>
          <w:tcPr>
            <w:tcW w:w="4950" w:type="dxa"/>
            <w:tcBorders>
              <w:top w:val="single" w:sz="4" w:space="0" w:color="auto"/>
            </w:tcBorders>
            <w:vAlign w:val="center"/>
          </w:tcPr>
          <w:p w:rsidR="002E72B8" w:rsidRPr="005F120D" w:rsidRDefault="002E72B8" w:rsidP="00B25E46">
            <w:pPr>
              <w:jc w:val="center"/>
              <w:rPr>
                <w:rFonts w:asciiTheme="minorHAnsi" w:eastAsia="Calibri" w:hAnsiTheme="minorHAnsi" w:cstheme="minorHAnsi"/>
                <w:color w:val="0033CC"/>
                <w:szCs w:val="22"/>
              </w:rPr>
            </w:pPr>
            <w:r w:rsidRPr="005F120D">
              <w:rPr>
                <w:rFonts w:asciiTheme="minorHAnsi" w:eastAsia="Calibri" w:hAnsiTheme="minorHAnsi" w:cstheme="minorHAnsi"/>
                <w:color w:val="0033CC"/>
                <w:szCs w:val="22"/>
              </w:rPr>
              <w:t>Maximum value – Minimum value</w:t>
            </w:r>
          </w:p>
        </w:tc>
      </w:tr>
    </w:tbl>
    <w:p w:rsidR="002E72B8" w:rsidRPr="005F120D" w:rsidRDefault="002E72B8" w:rsidP="00B25E46">
      <w:pPr>
        <w:rPr>
          <w:rFonts w:asciiTheme="minorHAnsi" w:hAnsiTheme="minorHAnsi" w:cstheme="minorHAnsi"/>
        </w:rPr>
      </w:pPr>
      <w:r w:rsidRPr="005F120D">
        <w:rPr>
          <w:rFonts w:asciiTheme="minorHAnsi" w:hAnsiTheme="minorHAnsi" w:cstheme="minorHAnsi"/>
        </w:rPr>
        <w:t xml:space="preserve">In this way, each component indicator in a particular </w:t>
      </w:r>
      <w:r w:rsidR="00EC1F70" w:rsidRPr="005F120D">
        <w:rPr>
          <w:rFonts w:asciiTheme="minorHAnsi" w:hAnsiTheme="minorHAnsi" w:cstheme="minorHAnsi"/>
        </w:rPr>
        <w:t>Upazila</w:t>
      </w:r>
      <w:r w:rsidRPr="005F120D">
        <w:rPr>
          <w:rFonts w:asciiTheme="minorHAnsi" w:hAnsiTheme="minorHAnsi" w:cstheme="minorHAnsi"/>
        </w:rPr>
        <w:t xml:space="preserve"> ranges: </w:t>
      </w:r>
    </w:p>
    <w:p w:rsidR="004A14B8" w:rsidRPr="005F120D" w:rsidRDefault="002E72B8" w:rsidP="00B25E46">
      <w:pPr>
        <w:pStyle w:val="ListParagraph"/>
        <w:numPr>
          <w:ilvl w:val="0"/>
          <w:numId w:val="135"/>
        </w:numPr>
        <w:rPr>
          <w:rFonts w:asciiTheme="minorHAnsi" w:hAnsiTheme="minorHAnsi" w:cstheme="minorHAnsi"/>
        </w:rPr>
      </w:pPr>
      <w:r w:rsidRPr="005F120D">
        <w:rPr>
          <w:rFonts w:asciiTheme="minorHAnsi" w:hAnsiTheme="minorHAnsi" w:cstheme="minorHAnsi"/>
        </w:rPr>
        <w:t>from zero, if the value of a component indicator is equal to the minimum value;</w:t>
      </w:r>
    </w:p>
    <w:p w:rsidR="002E72B8" w:rsidRPr="005F120D" w:rsidRDefault="002E72B8" w:rsidP="00B25E46">
      <w:pPr>
        <w:pStyle w:val="ListParagraph"/>
        <w:numPr>
          <w:ilvl w:val="0"/>
          <w:numId w:val="135"/>
        </w:numPr>
        <w:rPr>
          <w:rFonts w:asciiTheme="minorHAnsi" w:hAnsiTheme="minorHAnsi" w:cstheme="minorHAnsi"/>
        </w:rPr>
      </w:pPr>
      <w:r w:rsidRPr="005F120D">
        <w:rPr>
          <w:rFonts w:asciiTheme="minorHAnsi" w:hAnsiTheme="minorHAnsi" w:cstheme="minorHAnsi"/>
        </w:rPr>
        <w:t xml:space="preserve">to one, if the value of a component indicator is equal to the maximum value. </w:t>
      </w:r>
    </w:p>
    <w:p w:rsidR="002E72B8" w:rsidRPr="005F120D" w:rsidRDefault="002E72B8" w:rsidP="00B25E46">
      <w:pPr>
        <w:pStyle w:val="ListBullet11"/>
        <w:numPr>
          <w:ilvl w:val="0"/>
          <w:numId w:val="18"/>
        </w:numPr>
        <w:jc w:val="both"/>
        <w:rPr>
          <w:rFonts w:asciiTheme="minorHAnsi" w:hAnsiTheme="minorHAnsi" w:cstheme="minorHAnsi"/>
        </w:rPr>
      </w:pPr>
      <w:r w:rsidRPr="005F120D">
        <w:rPr>
          <w:rFonts w:asciiTheme="minorHAnsi" w:hAnsiTheme="minorHAnsi" w:cstheme="minorHAnsi"/>
        </w:rPr>
        <w:t xml:space="preserve">In order to aggregate the component indicators into a single figure, the Human Development Index has recently adopted the geometric mean approach. This was intended to highlight the fact that the components cannot be substituted for each other. However, this does not apply in the case of the </w:t>
      </w:r>
      <w:r w:rsidR="00EC1F70" w:rsidRPr="005F120D">
        <w:rPr>
          <w:rFonts w:asciiTheme="minorHAnsi" w:hAnsiTheme="minorHAnsi" w:cstheme="minorHAnsi"/>
        </w:rPr>
        <w:t>Upazila</w:t>
      </w:r>
      <w:r w:rsidRPr="005F120D">
        <w:rPr>
          <w:rFonts w:asciiTheme="minorHAnsi" w:hAnsiTheme="minorHAnsi" w:cstheme="minorHAnsi"/>
        </w:rPr>
        <w:t xml:space="preserve"> indicator. Therefore, it is more appropriate to calculate the composite indicator as the sum of the values of the four component indicators:</w:t>
      </w:r>
    </w:p>
    <w:p w:rsidR="002E72B8" w:rsidRPr="005F120D" w:rsidRDefault="002E72B8" w:rsidP="00B25E46">
      <w:pPr>
        <w:rPr>
          <w:rFonts w:asciiTheme="minorHAnsi" w:hAnsiTheme="minorHAnsi" w:cstheme="minorHAnsi"/>
          <w:color w:val="0033CC"/>
        </w:rPr>
      </w:pPr>
      <w:r w:rsidRPr="005F120D">
        <w:rPr>
          <w:rFonts w:asciiTheme="minorHAnsi" w:hAnsiTheme="minorHAnsi" w:cstheme="minorHAnsi"/>
          <w:color w:val="0033CC"/>
          <w:sz w:val="20"/>
        </w:rPr>
        <w:t xml:space="preserve">Composite indicator </w:t>
      </w:r>
      <w:r w:rsidR="00EC1F70" w:rsidRPr="005F120D">
        <w:rPr>
          <w:rFonts w:asciiTheme="minorHAnsi" w:hAnsiTheme="minorHAnsi" w:cstheme="minorHAnsi"/>
          <w:color w:val="0033CC"/>
          <w:sz w:val="24"/>
          <w:szCs w:val="24"/>
          <w:vertAlign w:val="subscript"/>
        </w:rPr>
        <w:t>Upazila</w:t>
      </w:r>
      <w:r w:rsidRPr="005F120D">
        <w:rPr>
          <w:rFonts w:asciiTheme="minorHAnsi" w:hAnsiTheme="minorHAnsi" w:cstheme="minorHAnsi"/>
          <w:color w:val="0033CC"/>
          <w:sz w:val="20"/>
        </w:rPr>
        <w:t>=Component 1</w:t>
      </w:r>
      <w:r w:rsidRPr="005F120D">
        <w:rPr>
          <w:rFonts w:asciiTheme="minorHAnsi" w:hAnsiTheme="minorHAnsi" w:cstheme="minorHAnsi"/>
          <w:color w:val="0033CC"/>
          <w:sz w:val="24"/>
          <w:szCs w:val="24"/>
          <w:vertAlign w:val="subscript"/>
        </w:rPr>
        <w:t>upazila i</w:t>
      </w:r>
      <w:r w:rsidRPr="005F120D">
        <w:rPr>
          <w:rFonts w:asciiTheme="minorHAnsi" w:hAnsiTheme="minorHAnsi" w:cstheme="minorHAnsi"/>
          <w:color w:val="0033CC"/>
          <w:sz w:val="20"/>
        </w:rPr>
        <w:t>+ Component 2</w:t>
      </w:r>
      <w:r w:rsidRPr="005F120D">
        <w:rPr>
          <w:rFonts w:asciiTheme="minorHAnsi" w:hAnsiTheme="minorHAnsi" w:cstheme="minorHAnsi"/>
          <w:color w:val="0033CC"/>
          <w:sz w:val="24"/>
          <w:szCs w:val="24"/>
          <w:vertAlign w:val="subscript"/>
        </w:rPr>
        <w:t>upazila i</w:t>
      </w:r>
      <w:r w:rsidRPr="005F120D">
        <w:rPr>
          <w:rFonts w:asciiTheme="minorHAnsi" w:hAnsiTheme="minorHAnsi" w:cstheme="minorHAnsi"/>
          <w:color w:val="0033CC"/>
        </w:rPr>
        <w:t xml:space="preserve"> + </w:t>
      </w:r>
      <w:r w:rsidRPr="005F120D">
        <w:rPr>
          <w:rFonts w:asciiTheme="minorHAnsi" w:hAnsiTheme="minorHAnsi" w:cstheme="minorHAnsi"/>
          <w:color w:val="0033CC"/>
          <w:sz w:val="20"/>
        </w:rPr>
        <w:t>Component 3</w:t>
      </w:r>
      <w:r w:rsidRPr="005F120D">
        <w:rPr>
          <w:rFonts w:asciiTheme="minorHAnsi" w:hAnsiTheme="minorHAnsi" w:cstheme="minorHAnsi"/>
          <w:color w:val="0033CC"/>
          <w:sz w:val="24"/>
          <w:szCs w:val="24"/>
          <w:vertAlign w:val="subscript"/>
        </w:rPr>
        <w:t>upazila i</w:t>
      </w:r>
    </w:p>
    <w:p w:rsidR="00332BB3" w:rsidRPr="005F120D" w:rsidRDefault="002E72B8" w:rsidP="00B25E46">
      <w:pPr>
        <w:rPr>
          <w:rFonts w:asciiTheme="minorHAnsi" w:hAnsiTheme="minorHAnsi" w:cstheme="minorHAnsi"/>
        </w:rPr>
      </w:pPr>
      <w:r w:rsidRPr="005F120D">
        <w:rPr>
          <w:rFonts w:asciiTheme="minorHAnsi" w:hAnsiTheme="minorHAnsi" w:cstheme="minorHAnsi"/>
        </w:rPr>
        <w:t xml:space="preserve">In this way, the composite indicator in a particular </w:t>
      </w:r>
      <w:r w:rsidR="00EC1F70" w:rsidRPr="005F120D">
        <w:rPr>
          <w:rFonts w:asciiTheme="minorHAnsi" w:hAnsiTheme="minorHAnsi" w:cstheme="minorHAnsi"/>
        </w:rPr>
        <w:t>Upazila</w:t>
      </w:r>
      <w:r w:rsidRPr="005F120D">
        <w:rPr>
          <w:rFonts w:asciiTheme="minorHAnsi" w:hAnsiTheme="minorHAnsi" w:cstheme="minorHAnsi"/>
        </w:rPr>
        <w:t xml:space="preserve"> ranges from 0 to 3</w:t>
      </w:r>
      <w:r w:rsidR="00332BB3" w:rsidRPr="005F120D">
        <w:rPr>
          <w:rFonts w:asciiTheme="minorHAnsi" w:hAnsiTheme="minorHAnsi" w:cstheme="minorHAnsi"/>
        </w:rPr>
        <w:t>.</w:t>
      </w:r>
    </w:p>
    <w:p w:rsidR="002E72B8" w:rsidRPr="005F120D" w:rsidRDefault="002E72B8" w:rsidP="00B25E46">
      <w:pPr>
        <w:rPr>
          <w:rFonts w:asciiTheme="minorHAnsi" w:hAnsiTheme="minorHAnsi" w:cstheme="minorHAnsi"/>
        </w:rPr>
      </w:pPr>
    </w:p>
    <w:p w:rsidR="002E72B8" w:rsidRPr="005F120D" w:rsidRDefault="002E72B8" w:rsidP="00B25E46">
      <w:pPr>
        <w:rPr>
          <w:rFonts w:asciiTheme="minorHAnsi" w:hAnsiTheme="minorHAnsi" w:cstheme="minorHAnsi"/>
        </w:rPr>
      </w:pPr>
    </w:p>
    <w:p w:rsidR="002E72B8" w:rsidRPr="005F120D" w:rsidRDefault="002E72B8" w:rsidP="00B25E46">
      <w:pPr>
        <w:rPr>
          <w:rFonts w:asciiTheme="minorHAnsi" w:hAnsiTheme="minorHAnsi" w:cstheme="minorHAnsi"/>
        </w:rPr>
      </w:pPr>
    </w:p>
    <w:p w:rsidR="002E72B8" w:rsidRPr="005F120D" w:rsidRDefault="002E72B8" w:rsidP="00B25E46">
      <w:pPr>
        <w:rPr>
          <w:rFonts w:asciiTheme="minorHAnsi" w:hAnsiTheme="minorHAnsi" w:cstheme="minorHAnsi"/>
        </w:rPr>
      </w:pPr>
    </w:p>
    <w:p w:rsidR="002E72B8" w:rsidRPr="005F120D" w:rsidRDefault="002E72B8" w:rsidP="00B25E46">
      <w:pPr>
        <w:rPr>
          <w:rFonts w:asciiTheme="minorHAnsi" w:hAnsiTheme="minorHAnsi" w:cstheme="minorHAnsi"/>
        </w:rPr>
      </w:pPr>
    </w:p>
    <w:p w:rsidR="002E72B8" w:rsidRPr="005F120D" w:rsidRDefault="002E72B8" w:rsidP="00B25E46">
      <w:pPr>
        <w:rPr>
          <w:rFonts w:asciiTheme="minorHAnsi" w:hAnsiTheme="minorHAnsi" w:cstheme="minorHAnsi"/>
        </w:rPr>
      </w:pPr>
    </w:p>
    <w:p w:rsidR="00F54AF8" w:rsidRPr="005F120D" w:rsidRDefault="00F54AF8" w:rsidP="00B25E46">
      <w:pPr>
        <w:pStyle w:val="Heading1NONUM"/>
        <w:rPr>
          <w:rFonts w:cstheme="minorHAnsi"/>
          <w:color w:val="339933"/>
        </w:rPr>
      </w:pPr>
      <w:bookmarkStart w:id="643" w:name="_Toc338856208"/>
      <w:bookmarkStart w:id="644" w:name="_Toc385242143"/>
      <w:bookmarkStart w:id="645" w:name="_Toc385245772"/>
      <w:bookmarkStart w:id="646" w:name="_Toc462837208"/>
      <w:r w:rsidRPr="005F120D">
        <w:rPr>
          <w:rFonts w:cstheme="minorHAnsi"/>
          <w:color w:val="339933"/>
        </w:rPr>
        <w:lastRenderedPageBreak/>
        <w:t xml:space="preserve">Annex C: Upazila performance on </w:t>
      </w:r>
      <w:r w:rsidR="00D66F36" w:rsidRPr="005F120D">
        <w:rPr>
          <w:rFonts w:cstheme="minorHAnsi"/>
          <w:color w:val="339933"/>
        </w:rPr>
        <w:t xml:space="preserve">selected </w:t>
      </w:r>
      <w:r w:rsidR="00D011E9" w:rsidRPr="005F120D">
        <w:rPr>
          <w:rFonts w:cstheme="minorHAnsi"/>
          <w:color w:val="339933"/>
        </w:rPr>
        <w:t>KPI and Non-KPI</w:t>
      </w:r>
      <w:r w:rsidR="00D66F36" w:rsidRPr="005F120D">
        <w:rPr>
          <w:rFonts w:cstheme="minorHAnsi"/>
          <w:color w:val="339933"/>
        </w:rPr>
        <w:t xml:space="preserve"> indicators in 201</w:t>
      </w:r>
      <w:r w:rsidR="00191706" w:rsidRPr="005F120D">
        <w:rPr>
          <w:rFonts w:cstheme="minorHAnsi"/>
          <w:color w:val="339933"/>
        </w:rPr>
        <w:t>5</w:t>
      </w:r>
      <w:bookmarkEnd w:id="646"/>
    </w:p>
    <w:p w:rsidR="00F54AF8" w:rsidRPr="005F120D" w:rsidRDefault="00332BB3" w:rsidP="00B25E46">
      <w:pPr>
        <w:pStyle w:val="Caption"/>
        <w:jc w:val="left"/>
        <w:rPr>
          <w:rFonts w:cstheme="minorHAnsi"/>
        </w:rPr>
      </w:pPr>
      <w:bookmarkStart w:id="647" w:name="_Toc385242144"/>
      <w:bookmarkEnd w:id="643"/>
      <w:bookmarkEnd w:id="644"/>
      <w:bookmarkEnd w:id="645"/>
      <w:r w:rsidRPr="005F120D">
        <w:rPr>
          <w:rFonts w:cstheme="minorHAnsi"/>
        </w:rPr>
        <w:t>Table</w:t>
      </w:r>
      <w:r w:rsidR="00865470" w:rsidRPr="005F120D">
        <w:rPr>
          <w:rFonts w:cstheme="minorHAnsi"/>
        </w:rPr>
        <w:t xml:space="preserve"> C</w:t>
      </w:r>
      <w:r w:rsidR="00A75660" w:rsidRPr="005F120D">
        <w:rPr>
          <w:rFonts w:cstheme="minorHAnsi"/>
        </w:rPr>
        <w:t xml:space="preserve">: </w:t>
      </w:r>
      <w:r w:rsidRPr="005F120D">
        <w:rPr>
          <w:rFonts w:cstheme="minorHAnsi"/>
        </w:rPr>
        <w:t xml:space="preserve">List of 10% of the highest and </w:t>
      </w:r>
      <w:r w:rsidR="00947421" w:rsidRPr="005F120D">
        <w:rPr>
          <w:rFonts w:cstheme="minorHAnsi"/>
        </w:rPr>
        <w:t xml:space="preserve">10% </w:t>
      </w:r>
      <w:r w:rsidRPr="005F120D">
        <w:rPr>
          <w:rFonts w:cstheme="minorHAnsi"/>
        </w:rPr>
        <w:t>lowest performing Upazilas based on composite performance index 201</w:t>
      </w:r>
      <w:bookmarkEnd w:id="647"/>
      <w:r w:rsidR="00947421" w:rsidRPr="005F120D">
        <w:rPr>
          <w:rFonts w:cstheme="minorHAnsi"/>
        </w:rPr>
        <w:t>5</w:t>
      </w:r>
    </w:p>
    <w:tbl>
      <w:tblPr>
        <w:tblStyle w:val="TableGrid"/>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631"/>
        <w:gridCol w:w="1287"/>
        <w:gridCol w:w="2208"/>
        <w:gridCol w:w="727"/>
        <w:gridCol w:w="2197"/>
        <w:gridCol w:w="2195"/>
      </w:tblGrid>
      <w:tr w:rsidR="00191706" w:rsidRPr="005F120D" w:rsidTr="007214BD">
        <w:trPr>
          <w:trHeight w:hRule="exact" w:val="550"/>
          <w:tblHeader/>
        </w:trPr>
        <w:tc>
          <w:tcPr>
            <w:tcW w:w="341" w:type="pct"/>
            <w:shd w:val="clear" w:color="auto" w:fill="76923C" w:themeFill="accent3" w:themeFillShade="BF"/>
          </w:tcPr>
          <w:p w:rsidR="00191706" w:rsidRPr="00C77C3A" w:rsidRDefault="00191706" w:rsidP="00B25E46">
            <w:pPr>
              <w:spacing w:after="0"/>
              <w:jc w:val="center"/>
              <w:rPr>
                <w:rFonts w:asciiTheme="minorHAnsi" w:hAnsiTheme="minorHAnsi" w:cstheme="minorHAnsi"/>
                <w:b/>
                <w:color w:val="FFFFFF" w:themeColor="background1"/>
              </w:rPr>
            </w:pPr>
            <w:r w:rsidRPr="00C77C3A">
              <w:rPr>
                <w:rFonts w:asciiTheme="minorHAnsi" w:hAnsiTheme="minorHAnsi" w:cstheme="minorHAnsi"/>
                <w:b/>
                <w:color w:val="FFFFFF" w:themeColor="background1"/>
              </w:rPr>
              <w:t>SL. #</w:t>
            </w:r>
          </w:p>
        </w:tc>
        <w:tc>
          <w:tcPr>
            <w:tcW w:w="696" w:type="pct"/>
            <w:shd w:val="clear" w:color="auto" w:fill="76923C" w:themeFill="accent3" w:themeFillShade="BF"/>
          </w:tcPr>
          <w:p w:rsidR="00191706" w:rsidRPr="00C77C3A" w:rsidRDefault="00191706" w:rsidP="00B25E46">
            <w:pPr>
              <w:spacing w:after="0"/>
              <w:jc w:val="center"/>
              <w:rPr>
                <w:rFonts w:asciiTheme="minorHAnsi" w:hAnsiTheme="minorHAnsi" w:cstheme="minorHAnsi"/>
                <w:b/>
                <w:color w:val="FFFFFF" w:themeColor="background1"/>
              </w:rPr>
            </w:pPr>
            <w:r w:rsidRPr="00C77C3A">
              <w:rPr>
                <w:rFonts w:asciiTheme="minorHAnsi" w:hAnsiTheme="minorHAnsi" w:cstheme="minorHAnsi"/>
                <w:b/>
                <w:color w:val="FFFFFF" w:themeColor="background1"/>
              </w:rPr>
              <w:t>District</w:t>
            </w:r>
          </w:p>
        </w:tc>
        <w:tc>
          <w:tcPr>
            <w:tcW w:w="1194" w:type="pct"/>
            <w:shd w:val="clear" w:color="auto" w:fill="76923C" w:themeFill="accent3" w:themeFillShade="BF"/>
          </w:tcPr>
          <w:p w:rsidR="00191706" w:rsidRPr="00C77C3A" w:rsidRDefault="00191706" w:rsidP="00B25E46">
            <w:pPr>
              <w:spacing w:after="0"/>
              <w:jc w:val="center"/>
              <w:rPr>
                <w:rFonts w:asciiTheme="minorHAnsi" w:hAnsiTheme="minorHAnsi" w:cstheme="minorHAnsi"/>
                <w:b/>
                <w:color w:val="FFFFFF" w:themeColor="background1"/>
              </w:rPr>
            </w:pPr>
            <w:r w:rsidRPr="00C77C3A">
              <w:rPr>
                <w:rFonts w:asciiTheme="minorHAnsi" w:hAnsiTheme="minorHAnsi" w:cstheme="minorHAnsi"/>
                <w:b/>
                <w:color w:val="FFFFFF" w:themeColor="background1"/>
              </w:rPr>
              <w:t>Bottom 10% Upazilas</w:t>
            </w:r>
          </w:p>
        </w:tc>
        <w:tc>
          <w:tcPr>
            <w:tcW w:w="393" w:type="pct"/>
            <w:shd w:val="clear" w:color="auto" w:fill="76923C" w:themeFill="accent3" w:themeFillShade="BF"/>
          </w:tcPr>
          <w:p w:rsidR="00191706" w:rsidRPr="00C77C3A" w:rsidRDefault="00191706" w:rsidP="00B25E46">
            <w:pPr>
              <w:spacing w:after="0"/>
              <w:jc w:val="center"/>
              <w:rPr>
                <w:rFonts w:asciiTheme="minorHAnsi" w:hAnsiTheme="minorHAnsi" w:cstheme="minorHAnsi"/>
                <w:b/>
                <w:color w:val="FFFFFF" w:themeColor="background1"/>
                <w:lang w:eastAsia="ja-JP"/>
              </w:rPr>
            </w:pPr>
            <w:r w:rsidRPr="00C77C3A">
              <w:rPr>
                <w:rFonts w:asciiTheme="minorHAnsi" w:hAnsiTheme="minorHAnsi" w:cstheme="minorHAnsi"/>
                <w:b/>
                <w:color w:val="FFFFFF" w:themeColor="background1"/>
              </w:rPr>
              <w:t>SL. #</w:t>
            </w:r>
          </w:p>
        </w:tc>
        <w:tc>
          <w:tcPr>
            <w:tcW w:w="1188" w:type="pct"/>
            <w:shd w:val="clear" w:color="auto" w:fill="76923C" w:themeFill="accent3" w:themeFillShade="BF"/>
          </w:tcPr>
          <w:p w:rsidR="00191706" w:rsidRPr="00C77C3A" w:rsidRDefault="007214BD" w:rsidP="00B25E46">
            <w:pPr>
              <w:spacing w:after="0"/>
              <w:jc w:val="center"/>
              <w:rPr>
                <w:rFonts w:asciiTheme="minorHAnsi" w:hAnsiTheme="minorHAnsi" w:cstheme="minorHAnsi"/>
                <w:b/>
                <w:color w:val="FFFFFF" w:themeColor="background1"/>
                <w:lang w:eastAsia="ja-JP"/>
              </w:rPr>
            </w:pPr>
            <w:r>
              <w:rPr>
                <w:rFonts w:asciiTheme="minorHAnsi" w:hAnsiTheme="minorHAnsi" w:cstheme="minorHAnsi"/>
                <w:b/>
                <w:color w:val="FFFFFF" w:themeColor="background1"/>
                <w:lang w:eastAsia="ja-JP"/>
              </w:rPr>
              <w:t>District</w:t>
            </w:r>
          </w:p>
        </w:tc>
        <w:tc>
          <w:tcPr>
            <w:tcW w:w="1187" w:type="pct"/>
            <w:shd w:val="clear" w:color="auto" w:fill="76923C" w:themeFill="accent3" w:themeFillShade="BF"/>
          </w:tcPr>
          <w:p w:rsidR="00191706" w:rsidRPr="00C77C3A" w:rsidRDefault="00191706" w:rsidP="00B25E46">
            <w:pPr>
              <w:spacing w:after="0"/>
              <w:jc w:val="center"/>
              <w:rPr>
                <w:rFonts w:asciiTheme="minorHAnsi" w:hAnsiTheme="minorHAnsi" w:cstheme="minorHAnsi"/>
                <w:b/>
                <w:color w:val="FFFFFF" w:themeColor="background1"/>
              </w:rPr>
            </w:pPr>
            <w:r w:rsidRPr="00C77C3A">
              <w:rPr>
                <w:rFonts w:asciiTheme="minorHAnsi" w:hAnsiTheme="minorHAnsi" w:cstheme="minorHAnsi"/>
                <w:b/>
                <w:color w:val="FFFFFF" w:themeColor="background1"/>
                <w:lang w:eastAsia="ja-JP"/>
              </w:rPr>
              <w:t>Top 10% Upazilas</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Bhola</w:t>
            </w:r>
          </w:p>
        </w:tc>
        <w:tc>
          <w:tcPr>
            <w:tcW w:w="1194" w:type="pct"/>
          </w:tcPr>
          <w:p w:rsidR="003A2650" w:rsidRDefault="003A2650">
            <w:pPr>
              <w:rPr>
                <w:rFonts w:ascii="Calibri" w:hAnsi="Calibri"/>
                <w:sz w:val="18"/>
                <w:szCs w:val="18"/>
              </w:rPr>
            </w:pPr>
            <w:r>
              <w:rPr>
                <w:rFonts w:ascii="Calibri" w:hAnsi="Calibri"/>
                <w:sz w:val="18"/>
                <w:szCs w:val="18"/>
              </w:rPr>
              <w:t>Monpura</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1188" w:type="pct"/>
          </w:tcPr>
          <w:p w:rsidR="003A2650" w:rsidRDefault="003A2650">
            <w:pPr>
              <w:rPr>
                <w:rFonts w:ascii="Calibri" w:hAnsi="Calibri"/>
                <w:sz w:val="18"/>
                <w:szCs w:val="18"/>
              </w:rPr>
            </w:pPr>
            <w:r>
              <w:rPr>
                <w:rFonts w:ascii="Calibri" w:hAnsi="Calibri"/>
                <w:sz w:val="18"/>
                <w:szCs w:val="18"/>
              </w:rPr>
              <w:t>Rajshahi</w:t>
            </w:r>
          </w:p>
        </w:tc>
        <w:tc>
          <w:tcPr>
            <w:tcW w:w="1187" w:type="pct"/>
          </w:tcPr>
          <w:p w:rsidR="003A2650" w:rsidRDefault="003A2650">
            <w:pPr>
              <w:rPr>
                <w:rFonts w:ascii="Calibri" w:hAnsi="Calibri"/>
                <w:sz w:val="18"/>
                <w:szCs w:val="18"/>
              </w:rPr>
            </w:pPr>
            <w:r>
              <w:rPr>
                <w:rFonts w:ascii="Calibri" w:hAnsi="Calibri"/>
                <w:sz w:val="18"/>
                <w:szCs w:val="18"/>
              </w:rPr>
              <w:t>Mohonpur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Bhola</w:t>
            </w:r>
          </w:p>
        </w:tc>
        <w:tc>
          <w:tcPr>
            <w:tcW w:w="1194" w:type="pct"/>
          </w:tcPr>
          <w:p w:rsidR="003A2650" w:rsidRDefault="003A2650">
            <w:pPr>
              <w:rPr>
                <w:rFonts w:ascii="Calibri" w:hAnsi="Calibri"/>
                <w:sz w:val="18"/>
                <w:szCs w:val="18"/>
              </w:rPr>
            </w:pPr>
            <w:r>
              <w:rPr>
                <w:rFonts w:ascii="Calibri" w:hAnsi="Calibri"/>
                <w:sz w:val="18"/>
                <w:szCs w:val="18"/>
              </w:rPr>
              <w:t>Tazumuddin</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1188" w:type="pct"/>
          </w:tcPr>
          <w:p w:rsidR="003A2650" w:rsidRDefault="003A2650">
            <w:pPr>
              <w:rPr>
                <w:rFonts w:ascii="Calibri" w:hAnsi="Calibri"/>
                <w:sz w:val="18"/>
                <w:szCs w:val="18"/>
              </w:rPr>
            </w:pPr>
            <w:r>
              <w:rPr>
                <w:rFonts w:ascii="Calibri" w:hAnsi="Calibri"/>
                <w:sz w:val="18"/>
                <w:szCs w:val="18"/>
              </w:rPr>
              <w:t>Rajshahi</w:t>
            </w:r>
          </w:p>
        </w:tc>
        <w:tc>
          <w:tcPr>
            <w:tcW w:w="1187" w:type="pct"/>
          </w:tcPr>
          <w:p w:rsidR="003A2650" w:rsidRDefault="003A2650">
            <w:pPr>
              <w:rPr>
                <w:rFonts w:ascii="Calibri" w:hAnsi="Calibri"/>
                <w:sz w:val="18"/>
                <w:szCs w:val="18"/>
              </w:rPr>
            </w:pPr>
            <w:r>
              <w:rPr>
                <w:rFonts w:ascii="Calibri" w:hAnsi="Calibri"/>
                <w:sz w:val="18"/>
                <w:szCs w:val="18"/>
              </w:rPr>
              <w:t>Durgapur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Kishoregonj</w:t>
            </w:r>
          </w:p>
        </w:tc>
        <w:tc>
          <w:tcPr>
            <w:tcW w:w="1194" w:type="pct"/>
          </w:tcPr>
          <w:p w:rsidR="003A2650" w:rsidRDefault="003A2650">
            <w:pPr>
              <w:rPr>
                <w:rFonts w:ascii="Calibri" w:hAnsi="Calibri"/>
                <w:sz w:val="18"/>
                <w:szCs w:val="18"/>
              </w:rPr>
            </w:pPr>
            <w:r>
              <w:rPr>
                <w:rFonts w:ascii="Calibri" w:hAnsi="Calibri"/>
                <w:sz w:val="18"/>
                <w:szCs w:val="18"/>
              </w:rPr>
              <w:t>Astagram</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1188" w:type="pct"/>
          </w:tcPr>
          <w:p w:rsidR="003A2650" w:rsidRDefault="003A2650">
            <w:pPr>
              <w:rPr>
                <w:rFonts w:ascii="Calibri" w:hAnsi="Calibri"/>
                <w:sz w:val="18"/>
                <w:szCs w:val="18"/>
              </w:rPr>
            </w:pPr>
            <w:r>
              <w:rPr>
                <w:rFonts w:ascii="Calibri" w:hAnsi="Calibri"/>
                <w:sz w:val="18"/>
                <w:szCs w:val="18"/>
              </w:rPr>
              <w:t>Rangamati</w:t>
            </w:r>
          </w:p>
        </w:tc>
        <w:tc>
          <w:tcPr>
            <w:tcW w:w="1187" w:type="pct"/>
          </w:tcPr>
          <w:p w:rsidR="003A2650" w:rsidRDefault="003A2650">
            <w:pPr>
              <w:rPr>
                <w:rFonts w:ascii="Calibri" w:hAnsi="Calibri"/>
                <w:sz w:val="18"/>
                <w:szCs w:val="18"/>
              </w:rPr>
            </w:pPr>
            <w:r>
              <w:rPr>
                <w:rFonts w:ascii="Calibri" w:hAnsi="Calibri"/>
                <w:sz w:val="18"/>
                <w:szCs w:val="18"/>
              </w:rPr>
              <w:t>Bagaichhari</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Dhaka</w:t>
            </w:r>
          </w:p>
        </w:tc>
        <w:tc>
          <w:tcPr>
            <w:tcW w:w="1194" w:type="pct"/>
          </w:tcPr>
          <w:p w:rsidR="003A2650" w:rsidRDefault="003A2650">
            <w:pPr>
              <w:rPr>
                <w:rFonts w:ascii="Calibri" w:hAnsi="Calibri"/>
                <w:sz w:val="18"/>
                <w:szCs w:val="18"/>
              </w:rPr>
            </w:pPr>
            <w:r>
              <w:rPr>
                <w:rFonts w:ascii="Calibri" w:hAnsi="Calibri"/>
                <w:sz w:val="18"/>
                <w:szCs w:val="18"/>
              </w:rPr>
              <w:t>Cantonment</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1188" w:type="pct"/>
          </w:tcPr>
          <w:p w:rsidR="003A2650" w:rsidRPr="004914EA" w:rsidRDefault="003A2650">
            <w:pPr>
              <w:rPr>
                <w:rFonts w:ascii="Calibri" w:hAnsi="Calibri"/>
                <w:sz w:val="18"/>
                <w:szCs w:val="18"/>
              </w:rPr>
            </w:pPr>
            <w:r w:rsidRPr="004914EA">
              <w:rPr>
                <w:rFonts w:ascii="Calibri" w:hAnsi="Calibri"/>
                <w:sz w:val="18"/>
                <w:szCs w:val="18"/>
              </w:rPr>
              <w:t>Natore</w:t>
            </w:r>
          </w:p>
        </w:tc>
        <w:tc>
          <w:tcPr>
            <w:tcW w:w="1187" w:type="pct"/>
          </w:tcPr>
          <w:p w:rsidR="003A2650" w:rsidRPr="004914EA" w:rsidRDefault="003A2650">
            <w:pPr>
              <w:rPr>
                <w:rFonts w:ascii="Calibri" w:hAnsi="Calibri"/>
                <w:sz w:val="18"/>
                <w:szCs w:val="18"/>
              </w:rPr>
            </w:pPr>
            <w:r w:rsidRPr="004914EA">
              <w:rPr>
                <w:rFonts w:ascii="Calibri" w:hAnsi="Calibri"/>
                <w:sz w:val="18"/>
                <w:szCs w:val="18"/>
              </w:rPr>
              <w:t>Naldangha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5</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Cox’s Bazar</w:t>
            </w:r>
          </w:p>
        </w:tc>
        <w:tc>
          <w:tcPr>
            <w:tcW w:w="1194" w:type="pct"/>
          </w:tcPr>
          <w:p w:rsidR="003A2650" w:rsidRDefault="003A2650">
            <w:pPr>
              <w:rPr>
                <w:rFonts w:ascii="Calibri" w:hAnsi="Calibri"/>
                <w:sz w:val="18"/>
                <w:szCs w:val="18"/>
              </w:rPr>
            </w:pPr>
            <w:r>
              <w:rPr>
                <w:rFonts w:ascii="Calibri" w:hAnsi="Calibri"/>
                <w:sz w:val="18"/>
                <w:szCs w:val="18"/>
              </w:rPr>
              <w:t>Pekua</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5</w:t>
            </w:r>
          </w:p>
        </w:tc>
        <w:tc>
          <w:tcPr>
            <w:tcW w:w="1188" w:type="pct"/>
          </w:tcPr>
          <w:p w:rsidR="003A2650" w:rsidRDefault="003A2650">
            <w:pPr>
              <w:rPr>
                <w:rFonts w:ascii="Calibri" w:hAnsi="Calibri"/>
                <w:sz w:val="18"/>
                <w:szCs w:val="18"/>
              </w:rPr>
            </w:pPr>
            <w:r>
              <w:rPr>
                <w:rFonts w:ascii="Calibri" w:hAnsi="Calibri"/>
                <w:sz w:val="18"/>
                <w:szCs w:val="18"/>
              </w:rPr>
              <w:t>Jessore</w:t>
            </w:r>
          </w:p>
        </w:tc>
        <w:tc>
          <w:tcPr>
            <w:tcW w:w="1187" w:type="pct"/>
          </w:tcPr>
          <w:p w:rsidR="003A2650" w:rsidRDefault="003A2650">
            <w:pPr>
              <w:rPr>
                <w:rFonts w:ascii="Calibri" w:hAnsi="Calibri"/>
                <w:sz w:val="18"/>
                <w:szCs w:val="18"/>
              </w:rPr>
            </w:pPr>
            <w:r>
              <w:rPr>
                <w:rFonts w:ascii="Calibri" w:hAnsi="Calibri"/>
                <w:sz w:val="18"/>
                <w:szCs w:val="18"/>
              </w:rPr>
              <w:t>Chougacha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Hobigonj</w:t>
            </w:r>
          </w:p>
        </w:tc>
        <w:tc>
          <w:tcPr>
            <w:tcW w:w="1194" w:type="pct"/>
          </w:tcPr>
          <w:p w:rsidR="003A2650" w:rsidRDefault="003A2650">
            <w:pPr>
              <w:rPr>
                <w:rFonts w:ascii="Calibri" w:hAnsi="Calibri"/>
                <w:sz w:val="18"/>
                <w:szCs w:val="18"/>
              </w:rPr>
            </w:pPr>
            <w:r>
              <w:rPr>
                <w:rFonts w:ascii="Calibri" w:hAnsi="Calibri"/>
                <w:sz w:val="18"/>
                <w:szCs w:val="18"/>
              </w:rPr>
              <w:t>Lakhai</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6</w:t>
            </w:r>
          </w:p>
        </w:tc>
        <w:tc>
          <w:tcPr>
            <w:tcW w:w="1188" w:type="pct"/>
          </w:tcPr>
          <w:p w:rsidR="003A2650" w:rsidRDefault="003A2650">
            <w:pPr>
              <w:rPr>
                <w:rFonts w:ascii="Calibri" w:hAnsi="Calibri"/>
                <w:sz w:val="18"/>
                <w:szCs w:val="18"/>
              </w:rPr>
            </w:pPr>
            <w:r>
              <w:rPr>
                <w:rFonts w:ascii="Calibri" w:hAnsi="Calibri"/>
                <w:sz w:val="18"/>
                <w:szCs w:val="18"/>
              </w:rPr>
              <w:t>Jhenidah</w:t>
            </w:r>
          </w:p>
        </w:tc>
        <w:tc>
          <w:tcPr>
            <w:tcW w:w="1187" w:type="pct"/>
          </w:tcPr>
          <w:p w:rsidR="003A2650" w:rsidRDefault="003A2650">
            <w:pPr>
              <w:rPr>
                <w:rFonts w:ascii="Calibri" w:hAnsi="Calibri"/>
                <w:sz w:val="18"/>
                <w:szCs w:val="18"/>
              </w:rPr>
            </w:pPr>
            <w:r>
              <w:rPr>
                <w:rFonts w:ascii="Calibri" w:hAnsi="Calibri"/>
                <w:sz w:val="18"/>
                <w:szCs w:val="18"/>
              </w:rPr>
              <w:t>Horinakundu</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7</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Kishoregonj</w:t>
            </w:r>
          </w:p>
        </w:tc>
        <w:tc>
          <w:tcPr>
            <w:tcW w:w="1194" w:type="pct"/>
          </w:tcPr>
          <w:p w:rsidR="003A2650" w:rsidRDefault="003A2650">
            <w:pPr>
              <w:rPr>
                <w:rFonts w:ascii="Calibri" w:hAnsi="Calibri"/>
                <w:sz w:val="18"/>
                <w:szCs w:val="18"/>
              </w:rPr>
            </w:pPr>
            <w:r>
              <w:rPr>
                <w:rFonts w:ascii="Calibri" w:hAnsi="Calibri"/>
                <w:sz w:val="18"/>
                <w:szCs w:val="18"/>
              </w:rPr>
              <w:t>Itna</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7</w:t>
            </w:r>
          </w:p>
        </w:tc>
        <w:tc>
          <w:tcPr>
            <w:tcW w:w="1188" w:type="pct"/>
          </w:tcPr>
          <w:p w:rsidR="003A2650" w:rsidRDefault="003A2650">
            <w:pPr>
              <w:rPr>
                <w:rFonts w:ascii="Calibri" w:hAnsi="Calibri"/>
                <w:sz w:val="18"/>
                <w:szCs w:val="18"/>
              </w:rPr>
            </w:pPr>
            <w:r>
              <w:rPr>
                <w:rFonts w:ascii="Calibri" w:hAnsi="Calibri"/>
                <w:sz w:val="18"/>
                <w:szCs w:val="18"/>
              </w:rPr>
              <w:t>Manikganj</w:t>
            </w:r>
          </w:p>
        </w:tc>
        <w:tc>
          <w:tcPr>
            <w:tcW w:w="1187" w:type="pct"/>
          </w:tcPr>
          <w:p w:rsidR="003A2650" w:rsidRDefault="003A2650">
            <w:pPr>
              <w:rPr>
                <w:rFonts w:ascii="Calibri" w:hAnsi="Calibri"/>
                <w:sz w:val="18"/>
                <w:szCs w:val="18"/>
              </w:rPr>
            </w:pPr>
            <w:r>
              <w:rPr>
                <w:rFonts w:ascii="Calibri" w:hAnsi="Calibri"/>
                <w:sz w:val="18"/>
                <w:szCs w:val="18"/>
              </w:rPr>
              <w:t>Manikganj Sadar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8</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Cox’s Bazar</w:t>
            </w:r>
          </w:p>
        </w:tc>
        <w:tc>
          <w:tcPr>
            <w:tcW w:w="1194" w:type="pct"/>
          </w:tcPr>
          <w:p w:rsidR="003A2650" w:rsidRDefault="003A2650">
            <w:pPr>
              <w:rPr>
                <w:rFonts w:ascii="Calibri" w:hAnsi="Calibri"/>
                <w:sz w:val="18"/>
                <w:szCs w:val="18"/>
              </w:rPr>
            </w:pPr>
            <w:r>
              <w:rPr>
                <w:rFonts w:ascii="Calibri" w:hAnsi="Calibri"/>
                <w:sz w:val="18"/>
                <w:szCs w:val="18"/>
              </w:rPr>
              <w:t>Kutubdia</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8</w:t>
            </w:r>
          </w:p>
        </w:tc>
        <w:tc>
          <w:tcPr>
            <w:tcW w:w="1188" w:type="pct"/>
          </w:tcPr>
          <w:p w:rsidR="003A2650" w:rsidRDefault="003A2650">
            <w:pPr>
              <w:rPr>
                <w:rFonts w:ascii="Calibri" w:hAnsi="Calibri"/>
                <w:sz w:val="18"/>
                <w:szCs w:val="18"/>
              </w:rPr>
            </w:pPr>
            <w:r>
              <w:rPr>
                <w:rFonts w:ascii="Calibri" w:hAnsi="Calibri"/>
                <w:sz w:val="18"/>
                <w:szCs w:val="18"/>
              </w:rPr>
              <w:t>Jhenidah</w:t>
            </w:r>
          </w:p>
        </w:tc>
        <w:tc>
          <w:tcPr>
            <w:tcW w:w="1187" w:type="pct"/>
          </w:tcPr>
          <w:p w:rsidR="003A2650" w:rsidRDefault="003A2650">
            <w:pPr>
              <w:rPr>
                <w:rFonts w:ascii="Calibri" w:hAnsi="Calibri"/>
                <w:sz w:val="18"/>
                <w:szCs w:val="18"/>
              </w:rPr>
            </w:pPr>
            <w:r>
              <w:rPr>
                <w:rFonts w:ascii="Calibri" w:hAnsi="Calibri"/>
                <w:sz w:val="18"/>
                <w:szCs w:val="18"/>
              </w:rPr>
              <w:t>Kotchandpur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Gazipur</w:t>
            </w:r>
          </w:p>
        </w:tc>
        <w:tc>
          <w:tcPr>
            <w:tcW w:w="1194" w:type="pct"/>
          </w:tcPr>
          <w:p w:rsidR="003A2650" w:rsidRDefault="003A2650">
            <w:pPr>
              <w:rPr>
                <w:rFonts w:ascii="Calibri" w:hAnsi="Calibri"/>
                <w:sz w:val="18"/>
                <w:szCs w:val="18"/>
              </w:rPr>
            </w:pPr>
            <w:r>
              <w:rPr>
                <w:rFonts w:ascii="Calibri" w:hAnsi="Calibri"/>
                <w:sz w:val="18"/>
                <w:szCs w:val="18"/>
              </w:rPr>
              <w:t>Tongi</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9</w:t>
            </w:r>
          </w:p>
        </w:tc>
        <w:tc>
          <w:tcPr>
            <w:tcW w:w="1188" w:type="pct"/>
          </w:tcPr>
          <w:p w:rsidR="003A2650" w:rsidRDefault="003A2650">
            <w:pPr>
              <w:rPr>
                <w:rFonts w:ascii="Calibri" w:hAnsi="Calibri"/>
                <w:sz w:val="18"/>
                <w:szCs w:val="18"/>
              </w:rPr>
            </w:pPr>
            <w:r>
              <w:rPr>
                <w:rFonts w:ascii="Calibri" w:hAnsi="Calibri"/>
                <w:sz w:val="18"/>
                <w:szCs w:val="18"/>
              </w:rPr>
              <w:t>Bandarban</w:t>
            </w:r>
          </w:p>
        </w:tc>
        <w:tc>
          <w:tcPr>
            <w:tcW w:w="1187" w:type="pct"/>
          </w:tcPr>
          <w:p w:rsidR="003A2650" w:rsidRDefault="003A2650">
            <w:pPr>
              <w:rPr>
                <w:rFonts w:ascii="Calibri" w:hAnsi="Calibri"/>
                <w:sz w:val="18"/>
                <w:szCs w:val="18"/>
              </w:rPr>
            </w:pPr>
            <w:r>
              <w:rPr>
                <w:rFonts w:ascii="Calibri" w:hAnsi="Calibri"/>
                <w:sz w:val="18"/>
                <w:szCs w:val="18"/>
              </w:rPr>
              <w:t>Thanchi</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10</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Calibri" w:hAnsi="Calibri"/>
                <w:sz w:val="18"/>
                <w:szCs w:val="18"/>
              </w:rPr>
              <w:t>Sunamganj</w:t>
            </w:r>
          </w:p>
        </w:tc>
        <w:tc>
          <w:tcPr>
            <w:tcW w:w="1194" w:type="pct"/>
          </w:tcPr>
          <w:p w:rsidR="003A2650" w:rsidRDefault="003A2650">
            <w:pPr>
              <w:rPr>
                <w:rFonts w:ascii="Calibri" w:hAnsi="Calibri"/>
                <w:sz w:val="18"/>
                <w:szCs w:val="18"/>
              </w:rPr>
            </w:pPr>
            <w:r>
              <w:rPr>
                <w:rFonts w:ascii="Calibri" w:hAnsi="Calibri"/>
                <w:sz w:val="18"/>
                <w:szCs w:val="18"/>
              </w:rPr>
              <w:t>Dowarabazar</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10</w:t>
            </w:r>
          </w:p>
        </w:tc>
        <w:tc>
          <w:tcPr>
            <w:tcW w:w="1188" w:type="pct"/>
          </w:tcPr>
          <w:p w:rsidR="003A2650" w:rsidRDefault="003A2650">
            <w:pPr>
              <w:rPr>
                <w:rFonts w:ascii="Calibri" w:hAnsi="Calibri"/>
                <w:sz w:val="18"/>
                <w:szCs w:val="18"/>
              </w:rPr>
            </w:pPr>
            <w:r>
              <w:rPr>
                <w:rFonts w:ascii="Calibri" w:hAnsi="Calibri"/>
                <w:sz w:val="18"/>
                <w:szCs w:val="18"/>
              </w:rPr>
              <w:t>Munshiganj</w:t>
            </w:r>
          </w:p>
        </w:tc>
        <w:tc>
          <w:tcPr>
            <w:tcW w:w="1187" w:type="pct"/>
          </w:tcPr>
          <w:p w:rsidR="003A2650" w:rsidRDefault="003A2650">
            <w:pPr>
              <w:rPr>
                <w:rFonts w:ascii="Calibri" w:hAnsi="Calibri"/>
                <w:sz w:val="18"/>
                <w:szCs w:val="18"/>
              </w:rPr>
            </w:pPr>
            <w:r>
              <w:rPr>
                <w:rFonts w:ascii="Calibri" w:hAnsi="Calibri"/>
                <w:sz w:val="18"/>
                <w:szCs w:val="18"/>
              </w:rPr>
              <w:t>Tongibari</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11</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Kishoregonj</w:t>
            </w:r>
          </w:p>
        </w:tc>
        <w:tc>
          <w:tcPr>
            <w:tcW w:w="1194" w:type="pct"/>
          </w:tcPr>
          <w:p w:rsidR="003A2650" w:rsidRDefault="003A2650">
            <w:pPr>
              <w:rPr>
                <w:rFonts w:ascii="Calibri" w:hAnsi="Calibri"/>
                <w:sz w:val="18"/>
                <w:szCs w:val="18"/>
              </w:rPr>
            </w:pPr>
            <w:r>
              <w:rPr>
                <w:rFonts w:ascii="Calibri" w:hAnsi="Calibri"/>
                <w:sz w:val="18"/>
                <w:szCs w:val="18"/>
              </w:rPr>
              <w:t>Tarail</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11</w:t>
            </w:r>
          </w:p>
        </w:tc>
        <w:tc>
          <w:tcPr>
            <w:tcW w:w="1188" w:type="pct"/>
          </w:tcPr>
          <w:p w:rsidR="003A2650" w:rsidRDefault="003A2650">
            <w:pPr>
              <w:rPr>
                <w:rFonts w:ascii="Calibri" w:hAnsi="Calibri"/>
                <w:sz w:val="18"/>
                <w:szCs w:val="18"/>
              </w:rPr>
            </w:pPr>
            <w:r>
              <w:rPr>
                <w:rFonts w:ascii="Calibri" w:hAnsi="Calibri"/>
                <w:sz w:val="18"/>
                <w:szCs w:val="18"/>
              </w:rPr>
              <w:t>Rajshahi</w:t>
            </w:r>
          </w:p>
        </w:tc>
        <w:tc>
          <w:tcPr>
            <w:tcW w:w="1187" w:type="pct"/>
          </w:tcPr>
          <w:p w:rsidR="003A2650" w:rsidRDefault="003A2650">
            <w:pPr>
              <w:rPr>
                <w:rFonts w:ascii="Calibri" w:hAnsi="Calibri"/>
                <w:sz w:val="18"/>
                <w:szCs w:val="18"/>
              </w:rPr>
            </w:pPr>
            <w:r>
              <w:rPr>
                <w:rFonts w:ascii="Calibri" w:hAnsi="Calibri"/>
                <w:sz w:val="18"/>
                <w:szCs w:val="18"/>
              </w:rPr>
              <w:t>Puthiya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12</w:t>
            </w:r>
          </w:p>
        </w:tc>
        <w:tc>
          <w:tcPr>
            <w:tcW w:w="696" w:type="pct"/>
            <w:vAlign w:val="bottom"/>
          </w:tcPr>
          <w:p w:rsidR="003A2650" w:rsidRPr="005F120D" w:rsidRDefault="003A2650" w:rsidP="00B25E46">
            <w:pPr>
              <w:spacing w:after="0"/>
              <w:rPr>
                <w:rFonts w:asciiTheme="minorHAnsi" w:hAnsiTheme="minorHAnsi" w:cstheme="minorHAnsi"/>
                <w:sz w:val="18"/>
                <w:szCs w:val="18"/>
              </w:rPr>
            </w:pPr>
            <w:r w:rsidRPr="003854D9">
              <w:rPr>
                <w:rFonts w:asciiTheme="minorHAnsi" w:hAnsiTheme="minorHAnsi" w:cstheme="minorHAnsi"/>
                <w:sz w:val="18"/>
                <w:szCs w:val="18"/>
              </w:rPr>
              <w:t>Sunamganj</w:t>
            </w:r>
          </w:p>
        </w:tc>
        <w:tc>
          <w:tcPr>
            <w:tcW w:w="1194" w:type="pct"/>
          </w:tcPr>
          <w:p w:rsidR="003A2650" w:rsidRDefault="003A2650">
            <w:pPr>
              <w:rPr>
                <w:rFonts w:ascii="Calibri" w:hAnsi="Calibri"/>
                <w:sz w:val="18"/>
                <w:szCs w:val="18"/>
              </w:rPr>
            </w:pPr>
            <w:r>
              <w:rPr>
                <w:rFonts w:ascii="Calibri" w:hAnsi="Calibri"/>
                <w:sz w:val="18"/>
                <w:szCs w:val="18"/>
              </w:rPr>
              <w:t>Tahirpur</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12</w:t>
            </w:r>
          </w:p>
        </w:tc>
        <w:tc>
          <w:tcPr>
            <w:tcW w:w="1188" w:type="pct"/>
          </w:tcPr>
          <w:p w:rsidR="003A2650" w:rsidRDefault="003A2650">
            <w:pPr>
              <w:rPr>
                <w:rFonts w:ascii="Calibri" w:hAnsi="Calibri"/>
                <w:sz w:val="18"/>
                <w:szCs w:val="18"/>
              </w:rPr>
            </w:pPr>
            <w:r>
              <w:rPr>
                <w:rFonts w:ascii="Calibri" w:hAnsi="Calibri"/>
                <w:sz w:val="18"/>
                <w:szCs w:val="18"/>
              </w:rPr>
              <w:t>Narail</w:t>
            </w:r>
          </w:p>
        </w:tc>
        <w:tc>
          <w:tcPr>
            <w:tcW w:w="1187" w:type="pct"/>
          </w:tcPr>
          <w:p w:rsidR="003A2650" w:rsidRDefault="003A2650">
            <w:pPr>
              <w:rPr>
                <w:rFonts w:ascii="Calibri" w:hAnsi="Calibri"/>
                <w:sz w:val="18"/>
                <w:szCs w:val="18"/>
              </w:rPr>
            </w:pPr>
            <w:r>
              <w:rPr>
                <w:rFonts w:ascii="Calibri" w:hAnsi="Calibri"/>
                <w:sz w:val="18"/>
                <w:szCs w:val="18"/>
              </w:rPr>
              <w:t>Narail Sadar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13</w:t>
            </w:r>
          </w:p>
        </w:tc>
        <w:tc>
          <w:tcPr>
            <w:tcW w:w="696" w:type="pct"/>
            <w:vAlign w:val="bottom"/>
          </w:tcPr>
          <w:p w:rsidR="003A2650" w:rsidRPr="005F120D" w:rsidRDefault="003A2650" w:rsidP="00B25E46">
            <w:pPr>
              <w:spacing w:after="0"/>
              <w:rPr>
                <w:rFonts w:asciiTheme="minorHAnsi" w:hAnsiTheme="minorHAnsi" w:cstheme="minorHAnsi"/>
                <w:sz w:val="18"/>
                <w:szCs w:val="18"/>
              </w:rPr>
            </w:pPr>
            <w:r w:rsidRPr="003854D9">
              <w:rPr>
                <w:rFonts w:asciiTheme="minorHAnsi" w:hAnsiTheme="minorHAnsi" w:cstheme="minorHAnsi"/>
                <w:sz w:val="18"/>
                <w:szCs w:val="18"/>
              </w:rPr>
              <w:t>Netrokona</w:t>
            </w:r>
          </w:p>
        </w:tc>
        <w:tc>
          <w:tcPr>
            <w:tcW w:w="1194" w:type="pct"/>
          </w:tcPr>
          <w:p w:rsidR="003A2650" w:rsidRDefault="003A2650">
            <w:pPr>
              <w:rPr>
                <w:rFonts w:ascii="Calibri" w:hAnsi="Calibri"/>
                <w:sz w:val="18"/>
                <w:szCs w:val="18"/>
              </w:rPr>
            </w:pPr>
            <w:r>
              <w:rPr>
                <w:rFonts w:ascii="Calibri" w:hAnsi="Calibri"/>
                <w:sz w:val="18"/>
                <w:szCs w:val="18"/>
              </w:rPr>
              <w:t>Durgapur</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13</w:t>
            </w:r>
          </w:p>
        </w:tc>
        <w:tc>
          <w:tcPr>
            <w:tcW w:w="1188" w:type="pct"/>
          </w:tcPr>
          <w:p w:rsidR="003A2650" w:rsidRDefault="003A2650">
            <w:pPr>
              <w:rPr>
                <w:rFonts w:ascii="Calibri" w:hAnsi="Calibri"/>
                <w:sz w:val="18"/>
                <w:szCs w:val="18"/>
              </w:rPr>
            </w:pPr>
            <w:r>
              <w:rPr>
                <w:rFonts w:ascii="Calibri" w:hAnsi="Calibri"/>
                <w:sz w:val="18"/>
                <w:szCs w:val="18"/>
              </w:rPr>
              <w:t>Jessore</w:t>
            </w:r>
          </w:p>
        </w:tc>
        <w:tc>
          <w:tcPr>
            <w:tcW w:w="1187" w:type="pct"/>
          </w:tcPr>
          <w:p w:rsidR="003A2650" w:rsidRDefault="003A2650">
            <w:pPr>
              <w:rPr>
                <w:rFonts w:ascii="Calibri" w:hAnsi="Calibri"/>
                <w:sz w:val="18"/>
                <w:szCs w:val="18"/>
              </w:rPr>
            </w:pPr>
            <w:r>
              <w:rPr>
                <w:rFonts w:ascii="Calibri" w:hAnsi="Calibri"/>
                <w:sz w:val="18"/>
                <w:szCs w:val="18"/>
              </w:rPr>
              <w:t>Keshabpur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14</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Hobigonj</w:t>
            </w:r>
          </w:p>
        </w:tc>
        <w:tc>
          <w:tcPr>
            <w:tcW w:w="1194" w:type="pct"/>
          </w:tcPr>
          <w:p w:rsidR="003A2650" w:rsidRDefault="003A2650">
            <w:pPr>
              <w:rPr>
                <w:rFonts w:ascii="Calibri" w:hAnsi="Calibri"/>
                <w:sz w:val="18"/>
                <w:szCs w:val="18"/>
              </w:rPr>
            </w:pPr>
            <w:r>
              <w:rPr>
                <w:rFonts w:ascii="Calibri" w:hAnsi="Calibri"/>
                <w:sz w:val="18"/>
                <w:szCs w:val="18"/>
              </w:rPr>
              <w:t>Ajmirigang</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14</w:t>
            </w:r>
          </w:p>
        </w:tc>
        <w:tc>
          <w:tcPr>
            <w:tcW w:w="1188" w:type="pct"/>
          </w:tcPr>
          <w:p w:rsidR="003A2650" w:rsidRDefault="003A2650">
            <w:pPr>
              <w:rPr>
                <w:rFonts w:ascii="Calibri" w:hAnsi="Calibri"/>
                <w:sz w:val="18"/>
                <w:szCs w:val="18"/>
              </w:rPr>
            </w:pPr>
            <w:r>
              <w:rPr>
                <w:rFonts w:ascii="Calibri" w:hAnsi="Calibri"/>
                <w:sz w:val="18"/>
                <w:szCs w:val="18"/>
              </w:rPr>
              <w:t>Rajbari</w:t>
            </w:r>
          </w:p>
        </w:tc>
        <w:tc>
          <w:tcPr>
            <w:tcW w:w="1187" w:type="pct"/>
          </w:tcPr>
          <w:p w:rsidR="003A2650" w:rsidRDefault="003A2650">
            <w:pPr>
              <w:rPr>
                <w:rFonts w:ascii="Calibri" w:hAnsi="Calibri"/>
                <w:sz w:val="18"/>
                <w:szCs w:val="18"/>
              </w:rPr>
            </w:pPr>
            <w:r>
              <w:rPr>
                <w:rFonts w:ascii="Calibri" w:hAnsi="Calibri"/>
                <w:sz w:val="18"/>
                <w:szCs w:val="18"/>
              </w:rPr>
              <w:t>Pangsha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15</w:t>
            </w:r>
          </w:p>
        </w:tc>
        <w:tc>
          <w:tcPr>
            <w:tcW w:w="696" w:type="pct"/>
            <w:vAlign w:val="bottom"/>
          </w:tcPr>
          <w:p w:rsidR="003A2650" w:rsidRPr="005F120D" w:rsidRDefault="003A2650" w:rsidP="00B25E46">
            <w:pPr>
              <w:spacing w:after="0"/>
              <w:rPr>
                <w:rFonts w:asciiTheme="minorHAnsi" w:hAnsiTheme="minorHAnsi" w:cstheme="minorHAnsi"/>
                <w:sz w:val="18"/>
                <w:szCs w:val="18"/>
              </w:rPr>
            </w:pPr>
            <w:r w:rsidRPr="002606C1">
              <w:rPr>
                <w:rFonts w:asciiTheme="minorHAnsi" w:hAnsiTheme="minorHAnsi" w:cstheme="minorHAnsi"/>
                <w:sz w:val="18"/>
                <w:szCs w:val="18"/>
              </w:rPr>
              <w:t>Gaibandha</w:t>
            </w:r>
          </w:p>
        </w:tc>
        <w:tc>
          <w:tcPr>
            <w:tcW w:w="1194" w:type="pct"/>
          </w:tcPr>
          <w:p w:rsidR="003A2650" w:rsidRDefault="003A2650">
            <w:pPr>
              <w:rPr>
                <w:rFonts w:ascii="Calibri" w:hAnsi="Calibri"/>
                <w:sz w:val="18"/>
                <w:szCs w:val="18"/>
              </w:rPr>
            </w:pPr>
            <w:r>
              <w:rPr>
                <w:rFonts w:ascii="Calibri" w:hAnsi="Calibri"/>
                <w:sz w:val="18"/>
                <w:szCs w:val="18"/>
              </w:rPr>
              <w:t>Shaghata</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15</w:t>
            </w:r>
          </w:p>
        </w:tc>
        <w:tc>
          <w:tcPr>
            <w:tcW w:w="1188" w:type="pct"/>
          </w:tcPr>
          <w:p w:rsidR="003A2650" w:rsidRDefault="003A2650">
            <w:pPr>
              <w:rPr>
                <w:rFonts w:ascii="Calibri" w:hAnsi="Calibri"/>
                <w:sz w:val="18"/>
                <w:szCs w:val="18"/>
              </w:rPr>
            </w:pPr>
            <w:r>
              <w:rPr>
                <w:rFonts w:ascii="Calibri" w:hAnsi="Calibri"/>
                <w:sz w:val="18"/>
                <w:szCs w:val="18"/>
              </w:rPr>
              <w:t>Manikganj</w:t>
            </w:r>
          </w:p>
        </w:tc>
        <w:tc>
          <w:tcPr>
            <w:tcW w:w="1187" w:type="pct"/>
          </w:tcPr>
          <w:p w:rsidR="003A2650" w:rsidRDefault="003A2650">
            <w:pPr>
              <w:rPr>
                <w:rFonts w:ascii="Calibri" w:hAnsi="Calibri"/>
                <w:sz w:val="18"/>
                <w:szCs w:val="18"/>
              </w:rPr>
            </w:pPr>
            <w:r>
              <w:rPr>
                <w:rFonts w:ascii="Calibri" w:hAnsi="Calibri"/>
                <w:sz w:val="18"/>
                <w:szCs w:val="18"/>
              </w:rPr>
              <w:t>Ghior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16</w:t>
            </w:r>
          </w:p>
        </w:tc>
        <w:tc>
          <w:tcPr>
            <w:tcW w:w="696" w:type="pct"/>
            <w:vAlign w:val="bottom"/>
          </w:tcPr>
          <w:p w:rsidR="003A2650" w:rsidRPr="005F120D" w:rsidRDefault="003A2650" w:rsidP="00B25E46">
            <w:pPr>
              <w:spacing w:after="0"/>
              <w:rPr>
                <w:rFonts w:asciiTheme="minorHAnsi" w:hAnsiTheme="minorHAnsi" w:cstheme="minorHAnsi"/>
                <w:sz w:val="18"/>
                <w:szCs w:val="18"/>
              </w:rPr>
            </w:pPr>
            <w:r w:rsidRPr="003854D9">
              <w:rPr>
                <w:rFonts w:asciiTheme="minorHAnsi" w:hAnsiTheme="minorHAnsi" w:cstheme="minorHAnsi"/>
                <w:sz w:val="18"/>
                <w:szCs w:val="18"/>
              </w:rPr>
              <w:t>Netrokona</w:t>
            </w:r>
          </w:p>
        </w:tc>
        <w:tc>
          <w:tcPr>
            <w:tcW w:w="1194" w:type="pct"/>
          </w:tcPr>
          <w:p w:rsidR="003A2650" w:rsidRDefault="003A2650">
            <w:pPr>
              <w:rPr>
                <w:rFonts w:ascii="Calibri" w:hAnsi="Calibri"/>
                <w:sz w:val="18"/>
                <w:szCs w:val="18"/>
              </w:rPr>
            </w:pPr>
            <w:r>
              <w:rPr>
                <w:rFonts w:ascii="Calibri" w:hAnsi="Calibri"/>
                <w:sz w:val="18"/>
                <w:szCs w:val="18"/>
              </w:rPr>
              <w:t>Khaliajhuri</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16</w:t>
            </w:r>
          </w:p>
        </w:tc>
        <w:tc>
          <w:tcPr>
            <w:tcW w:w="1188" w:type="pct"/>
          </w:tcPr>
          <w:p w:rsidR="003A2650" w:rsidRDefault="003A2650">
            <w:pPr>
              <w:rPr>
                <w:rFonts w:ascii="Calibri" w:hAnsi="Calibri"/>
                <w:sz w:val="18"/>
                <w:szCs w:val="18"/>
              </w:rPr>
            </w:pPr>
            <w:r>
              <w:rPr>
                <w:rFonts w:ascii="Calibri" w:hAnsi="Calibri"/>
                <w:sz w:val="18"/>
                <w:szCs w:val="18"/>
              </w:rPr>
              <w:t>Magura</w:t>
            </w:r>
          </w:p>
        </w:tc>
        <w:tc>
          <w:tcPr>
            <w:tcW w:w="1187" w:type="pct"/>
          </w:tcPr>
          <w:p w:rsidR="003A2650" w:rsidRDefault="003A2650">
            <w:pPr>
              <w:rPr>
                <w:rFonts w:ascii="Calibri" w:hAnsi="Calibri"/>
                <w:sz w:val="18"/>
                <w:szCs w:val="18"/>
              </w:rPr>
            </w:pPr>
            <w:r>
              <w:rPr>
                <w:rFonts w:ascii="Calibri" w:hAnsi="Calibri"/>
                <w:sz w:val="18"/>
                <w:szCs w:val="18"/>
              </w:rPr>
              <w:t>Shalikha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17</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Calibri" w:hAnsi="Calibri"/>
                <w:sz w:val="18"/>
                <w:szCs w:val="18"/>
              </w:rPr>
              <w:t>Sunamganj</w:t>
            </w:r>
          </w:p>
        </w:tc>
        <w:tc>
          <w:tcPr>
            <w:tcW w:w="1194" w:type="pct"/>
          </w:tcPr>
          <w:p w:rsidR="003A2650" w:rsidRDefault="003A2650">
            <w:pPr>
              <w:rPr>
                <w:rFonts w:ascii="Calibri" w:hAnsi="Calibri"/>
                <w:sz w:val="18"/>
                <w:szCs w:val="18"/>
              </w:rPr>
            </w:pPr>
            <w:r>
              <w:rPr>
                <w:rFonts w:ascii="Calibri" w:hAnsi="Calibri"/>
                <w:sz w:val="18"/>
                <w:szCs w:val="18"/>
              </w:rPr>
              <w:t>Daxin Sunamganj</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17</w:t>
            </w:r>
          </w:p>
        </w:tc>
        <w:tc>
          <w:tcPr>
            <w:tcW w:w="1188" w:type="pct"/>
          </w:tcPr>
          <w:p w:rsidR="003A2650" w:rsidRDefault="003A2650">
            <w:pPr>
              <w:rPr>
                <w:rFonts w:ascii="Calibri" w:hAnsi="Calibri"/>
                <w:sz w:val="18"/>
                <w:szCs w:val="18"/>
              </w:rPr>
            </w:pPr>
            <w:r>
              <w:rPr>
                <w:rFonts w:ascii="Calibri" w:hAnsi="Calibri"/>
                <w:sz w:val="18"/>
                <w:szCs w:val="18"/>
              </w:rPr>
              <w:t>Rangamati</w:t>
            </w:r>
          </w:p>
        </w:tc>
        <w:tc>
          <w:tcPr>
            <w:tcW w:w="1187" w:type="pct"/>
          </w:tcPr>
          <w:p w:rsidR="003A2650" w:rsidRDefault="003A2650">
            <w:pPr>
              <w:rPr>
                <w:rFonts w:ascii="Calibri" w:hAnsi="Calibri"/>
                <w:sz w:val="18"/>
                <w:szCs w:val="18"/>
              </w:rPr>
            </w:pPr>
            <w:r>
              <w:rPr>
                <w:rFonts w:ascii="Calibri" w:hAnsi="Calibri"/>
                <w:sz w:val="18"/>
                <w:szCs w:val="18"/>
              </w:rPr>
              <w:t>Juraichhari</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18</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Dhaka</w:t>
            </w:r>
          </w:p>
        </w:tc>
        <w:tc>
          <w:tcPr>
            <w:tcW w:w="1194" w:type="pct"/>
          </w:tcPr>
          <w:p w:rsidR="003A2650" w:rsidRDefault="003A2650">
            <w:pPr>
              <w:rPr>
                <w:rFonts w:ascii="Calibri" w:hAnsi="Calibri"/>
                <w:sz w:val="18"/>
                <w:szCs w:val="18"/>
              </w:rPr>
            </w:pPr>
            <w:r>
              <w:rPr>
                <w:rFonts w:ascii="Calibri" w:hAnsi="Calibri"/>
                <w:sz w:val="18"/>
                <w:szCs w:val="18"/>
              </w:rPr>
              <w:t>Mohammadpur</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18</w:t>
            </w:r>
          </w:p>
        </w:tc>
        <w:tc>
          <w:tcPr>
            <w:tcW w:w="1188" w:type="pct"/>
          </w:tcPr>
          <w:p w:rsidR="003A2650" w:rsidRDefault="003A2650">
            <w:pPr>
              <w:rPr>
                <w:rFonts w:ascii="Calibri" w:hAnsi="Calibri"/>
                <w:sz w:val="18"/>
                <w:szCs w:val="18"/>
              </w:rPr>
            </w:pPr>
            <w:r>
              <w:rPr>
                <w:rFonts w:ascii="Calibri" w:hAnsi="Calibri"/>
                <w:sz w:val="18"/>
                <w:szCs w:val="18"/>
              </w:rPr>
              <w:t>Jessore</w:t>
            </w:r>
          </w:p>
        </w:tc>
        <w:tc>
          <w:tcPr>
            <w:tcW w:w="1187" w:type="pct"/>
          </w:tcPr>
          <w:p w:rsidR="003A2650" w:rsidRDefault="003A2650">
            <w:pPr>
              <w:rPr>
                <w:rFonts w:ascii="Calibri" w:hAnsi="Calibri"/>
                <w:sz w:val="18"/>
                <w:szCs w:val="18"/>
              </w:rPr>
            </w:pPr>
            <w:r>
              <w:rPr>
                <w:rFonts w:ascii="Calibri" w:hAnsi="Calibri"/>
                <w:sz w:val="18"/>
                <w:szCs w:val="18"/>
              </w:rPr>
              <w:t>Jhikargacha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19</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Hobigonj</w:t>
            </w:r>
          </w:p>
        </w:tc>
        <w:tc>
          <w:tcPr>
            <w:tcW w:w="1194" w:type="pct"/>
          </w:tcPr>
          <w:p w:rsidR="003A2650" w:rsidRDefault="003A2650">
            <w:pPr>
              <w:rPr>
                <w:rFonts w:ascii="Calibri" w:hAnsi="Calibri"/>
                <w:sz w:val="18"/>
                <w:szCs w:val="18"/>
              </w:rPr>
            </w:pPr>
            <w:r>
              <w:rPr>
                <w:rFonts w:ascii="Calibri" w:hAnsi="Calibri"/>
                <w:sz w:val="18"/>
                <w:szCs w:val="18"/>
              </w:rPr>
              <w:t>Baniachong</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19</w:t>
            </w:r>
          </w:p>
        </w:tc>
        <w:tc>
          <w:tcPr>
            <w:tcW w:w="1188" w:type="pct"/>
          </w:tcPr>
          <w:p w:rsidR="003A2650" w:rsidRDefault="003A2650">
            <w:pPr>
              <w:rPr>
                <w:rFonts w:ascii="Calibri" w:hAnsi="Calibri"/>
                <w:sz w:val="18"/>
                <w:szCs w:val="18"/>
              </w:rPr>
            </w:pPr>
            <w:r>
              <w:rPr>
                <w:rFonts w:ascii="Calibri" w:hAnsi="Calibri"/>
                <w:sz w:val="18"/>
                <w:szCs w:val="18"/>
              </w:rPr>
              <w:t>Jhenidah</w:t>
            </w:r>
          </w:p>
        </w:tc>
        <w:tc>
          <w:tcPr>
            <w:tcW w:w="1187" w:type="pct"/>
          </w:tcPr>
          <w:p w:rsidR="003A2650" w:rsidRDefault="003A2650">
            <w:pPr>
              <w:rPr>
                <w:rFonts w:ascii="Calibri" w:hAnsi="Calibri"/>
                <w:sz w:val="18"/>
                <w:szCs w:val="18"/>
              </w:rPr>
            </w:pPr>
            <w:r>
              <w:rPr>
                <w:rFonts w:ascii="Calibri" w:hAnsi="Calibri"/>
                <w:sz w:val="18"/>
                <w:szCs w:val="18"/>
              </w:rPr>
              <w:t>Kaliganj</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20</w:t>
            </w:r>
          </w:p>
        </w:tc>
        <w:tc>
          <w:tcPr>
            <w:tcW w:w="696" w:type="pct"/>
            <w:vAlign w:val="bottom"/>
          </w:tcPr>
          <w:p w:rsidR="003A2650" w:rsidRPr="005F120D" w:rsidRDefault="00900253" w:rsidP="00B25E46">
            <w:pPr>
              <w:spacing w:after="0"/>
              <w:rPr>
                <w:rFonts w:asciiTheme="minorHAnsi" w:hAnsiTheme="minorHAnsi" w:cstheme="minorHAnsi"/>
                <w:sz w:val="18"/>
                <w:szCs w:val="18"/>
              </w:rPr>
            </w:pPr>
            <w:r>
              <w:rPr>
                <w:rFonts w:asciiTheme="minorHAnsi" w:hAnsiTheme="minorHAnsi" w:cstheme="minorHAnsi"/>
                <w:sz w:val="18"/>
                <w:szCs w:val="18"/>
              </w:rPr>
              <w:t>Jamalpur</w:t>
            </w:r>
          </w:p>
        </w:tc>
        <w:tc>
          <w:tcPr>
            <w:tcW w:w="1194" w:type="pct"/>
          </w:tcPr>
          <w:p w:rsidR="003A2650" w:rsidRDefault="003A2650">
            <w:pPr>
              <w:rPr>
                <w:rFonts w:ascii="Calibri" w:hAnsi="Calibri"/>
                <w:sz w:val="18"/>
                <w:szCs w:val="18"/>
              </w:rPr>
            </w:pPr>
            <w:r>
              <w:rPr>
                <w:rFonts w:ascii="Calibri" w:hAnsi="Calibri"/>
                <w:sz w:val="18"/>
                <w:szCs w:val="18"/>
              </w:rPr>
              <w:t>Bakshiganj</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20</w:t>
            </w:r>
          </w:p>
        </w:tc>
        <w:tc>
          <w:tcPr>
            <w:tcW w:w="1188" w:type="pct"/>
          </w:tcPr>
          <w:p w:rsidR="003A2650" w:rsidRDefault="003A2650">
            <w:pPr>
              <w:rPr>
                <w:rFonts w:ascii="Calibri" w:hAnsi="Calibri"/>
                <w:sz w:val="18"/>
                <w:szCs w:val="18"/>
              </w:rPr>
            </w:pPr>
            <w:r>
              <w:rPr>
                <w:rFonts w:ascii="Calibri" w:hAnsi="Calibri"/>
                <w:sz w:val="18"/>
                <w:szCs w:val="18"/>
              </w:rPr>
              <w:t>Rajshahi</w:t>
            </w:r>
          </w:p>
        </w:tc>
        <w:tc>
          <w:tcPr>
            <w:tcW w:w="1187" w:type="pct"/>
          </w:tcPr>
          <w:p w:rsidR="003A2650" w:rsidRDefault="003A2650">
            <w:pPr>
              <w:rPr>
                <w:rFonts w:ascii="Calibri" w:hAnsi="Calibri"/>
                <w:sz w:val="18"/>
                <w:szCs w:val="18"/>
              </w:rPr>
            </w:pPr>
            <w:r>
              <w:rPr>
                <w:rFonts w:ascii="Calibri" w:hAnsi="Calibri"/>
                <w:sz w:val="18"/>
                <w:szCs w:val="18"/>
              </w:rPr>
              <w:t>Bagha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21</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Mymensingh</w:t>
            </w:r>
          </w:p>
        </w:tc>
        <w:tc>
          <w:tcPr>
            <w:tcW w:w="1194" w:type="pct"/>
          </w:tcPr>
          <w:p w:rsidR="003A2650" w:rsidRDefault="003A2650">
            <w:pPr>
              <w:rPr>
                <w:rFonts w:ascii="Calibri" w:hAnsi="Calibri"/>
                <w:sz w:val="18"/>
                <w:szCs w:val="18"/>
              </w:rPr>
            </w:pPr>
            <w:r>
              <w:rPr>
                <w:rFonts w:ascii="Calibri" w:hAnsi="Calibri"/>
                <w:sz w:val="18"/>
                <w:szCs w:val="18"/>
              </w:rPr>
              <w:t>Dhubaura</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21</w:t>
            </w:r>
          </w:p>
        </w:tc>
        <w:tc>
          <w:tcPr>
            <w:tcW w:w="1188" w:type="pct"/>
          </w:tcPr>
          <w:p w:rsidR="003A2650" w:rsidRDefault="003A2650">
            <w:pPr>
              <w:rPr>
                <w:rFonts w:ascii="Calibri" w:hAnsi="Calibri"/>
                <w:sz w:val="18"/>
                <w:szCs w:val="18"/>
              </w:rPr>
            </w:pPr>
            <w:r>
              <w:rPr>
                <w:rFonts w:ascii="Calibri" w:hAnsi="Calibri"/>
                <w:sz w:val="18"/>
                <w:szCs w:val="18"/>
              </w:rPr>
              <w:t>Jessore</w:t>
            </w:r>
          </w:p>
        </w:tc>
        <w:tc>
          <w:tcPr>
            <w:tcW w:w="1187" w:type="pct"/>
          </w:tcPr>
          <w:p w:rsidR="003A2650" w:rsidRDefault="003A2650">
            <w:pPr>
              <w:rPr>
                <w:rFonts w:ascii="Calibri" w:hAnsi="Calibri"/>
                <w:sz w:val="18"/>
                <w:szCs w:val="18"/>
              </w:rPr>
            </w:pPr>
            <w:r>
              <w:rPr>
                <w:rFonts w:ascii="Calibri" w:hAnsi="Calibri"/>
                <w:sz w:val="18"/>
                <w:szCs w:val="18"/>
              </w:rPr>
              <w:t>Monirampur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22</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Sirajgonj</w:t>
            </w:r>
          </w:p>
        </w:tc>
        <w:tc>
          <w:tcPr>
            <w:tcW w:w="1194" w:type="pct"/>
          </w:tcPr>
          <w:p w:rsidR="003A2650" w:rsidRDefault="003A2650">
            <w:pPr>
              <w:rPr>
                <w:rFonts w:ascii="Calibri" w:hAnsi="Calibri"/>
                <w:sz w:val="18"/>
                <w:szCs w:val="18"/>
              </w:rPr>
            </w:pPr>
            <w:r>
              <w:rPr>
                <w:rFonts w:ascii="Calibri" w:hAnsi="Calibri"/>
                <w:sz w:val="18"/>
                <w:szCs w:val="18"/>
              </w:rPr>
              <w:t>Chowhali</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22</w:t>
            </w:r>
          </w:p>
        </w:tc>
        <w:tc>
          <w:tcPr>
            <w:tcW w:w="1188" w:type="pct"/>
          </w:tcPr>
          <w:p w:rsidR="003A2650" w:rsidRDefault="003A2650">
            <w:pPr>
              <w:rPr>
                <w:rFonts w:ascii="Calibri" w:hAnsi="Calibri"/>
                <w:sz w:val="18"/>
                <w:szCs w:val="18"/>
              </w:rPr>
            </w:pPr>
            <w:r>
              <w:rPr>
                <w:rFonts w:ascii="Calibri" w:hAnsi="Calibri"/>
                <w:sz w:val="18"/>
                <w:szCs w:val="18"/>
              </w:rPr>
              <w:t>Satkhira</w:t>
            </w:r>
          </w:p>
        </w:tc>
        <w:tc>
          <w:tcPr>
            <w:tcW w:w="1187" w:type="pct"/>
          </w:tcPr>
          <w:p w:rsidR="003A2650" w:rsidRDefault="003A2650">
            <w:pPr>
              <w:rPr>
                <w:rFonts w:ascii="Calibri" w:hAnsi="Calibri"/>
                <w:sz w:val="18"/>
                <w:szCs w:val="18"/>
              </w:rPr>
            </w:pPr>
            <w:r>
              <w:rPr>
                <w:rFonts w:ascii="Calibri" w:hAnsi="Calibri"/>
                <w:sz w:val="18"/>
                <w:szCs w:val="18"/>
              </w:rPr>
              <w:t>Kolaroa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23</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Sylhet</w:t>
            </w:r>
          </w:p>
        </w:tc>
        <w:tc>
          <w:tcPr>
            <w:tcW w:w="1194" w:type="pct"/>
          </w:tcPr>
          <w:p w:rsidR="003A2650" w:rsidRDefault="003A2650">
            <w:pPr>
              <w:rPr>
                <w:rFonts w:ascii="Calibri" w:hAnsi="Calibri"/>
                <w:sz w:val="18"/>
                <w:szCs w:val="18"/>
              </w:rPr>
            </w:pPr>
            <w:r>
              <w:rPr>
                <w:rFonts w:ascii="Calibri" w:hAnsi="Calibri"/>
                <w:sz w:val="18"/>
                <w:szCs w:val="18"/>
              </w:rPr>
              <w:t>Gowainghat</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23</w:t>
            </w:r>
          </w:p>
        </w:tc>
        <w:tc>
          <w:tcPr>
            <w:tcW w:w="1188" w:type="pct"/>
          </w:tcPr>
          <w:p w:rsidR="003A2650" w:rsidRDefault="003A2650">
            <w:pPr>
              <w:rPr>
                <w:rFonts w:ascii="Calibri" w:hAnsi="Calibri"/>
                <w:sz w:val="18"/>
                <w:szCs w:val="18"/>
              </w:rPr>
            </w:pPr>
            <w:r>
              <w:rPr>
                <w:rFonts w:ascii="Calibri" w:hAnsi="Calibri"/>
                <w:sz w:val="18"/>
                <w:szCs w:val="18"/>
              </w:rPr>
              <w:t>Dinajpur</w:t>
            </w:r>
          </w:p>
        </w:tc>
        <w:tc>
          <w:tcPr>
            <w:tcW w:w="1187" w:type="pct"/>
          </w:tcPr>
          <w:p w:rsidR="003A2650" w:rsidRDefault="003A2650">
            <w:pPr>
              <w:rPr>
                <w:rFonts w:ascii="Calibri" w:hAnsi="Calibri"/>
                <w:sz w:val="18"/>
                <w:szCs w:val="18"/>
              </w:rPr>
            </w:pPr>
            <w:r>
              <w:rPr>
                <w:rFonts w:ascii="Calibri" w:hAnsi="Calibri"/>
                <w:sz w:val="18"/>
                <w:szCs w:val="18"/>
              </w:rPr>
              <w:t>Kaharole</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24</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Kishoregonj</w:t>
            </w:r>
          </w:p>
        </w:tc>
        <w:tc>
          <w:tcPr>
            <w:tcW w:w="1194" w:type="pct"/>
          </w:tcPr>
          <w:p w:rsidR="003A2650" w:rsidRDefault="003A2650">
            <w:pPr>
              <w:rPr>
                <w:rFonts w:ascii="Calibri" w:hAnsi="Calibri"/>
                <w:sz w:val="18"/>
                <w:szCs w:val="18"/>
              </w:rPr>
            </w:pPr>
            <w:r>
              <w:rPr>
                <w:rFonts w:ascii="Calibri" w:hAnsi="Calibri"/>
                <w:sz w:val="18"/>
                <w:szCs w:val="18"/>
              </w:rPr>
              <w:t>Bajitpur</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24</w:t>
            </w:r>
          </w:p>
        </w:tc>
        <w:tc>
          <w:tcPr>
            <w:tcW w:w="1188" w:type="pct"/>
          </w:tcPr>
          <w:p w:rsidR="003A2650" w:rsidRDefault="003A2650">
            <w:pPr>
              <w:rPr>
                <w:rFonts w:ascii="Calibri" w:hAnsi="Calibri"/>
                <w:sz w:val="18"/>
                <w:szCs w:val="18"/>
              </w:rPr>
            </w:pPr>
            <w:r>
              <w:rPr>
                <w:rFonts w:ascii="Calibri" w:hAnsi="Calibri"/>
                <w:sz w:val="18"/>
                <w:szCs w:val="18"/>
              </w:rPr>
              <w:t>Dinajpur</w:t>
            </w:r>
          </w:p>
        </w:tc>
        <w:tc>
          <w:tcPr>
            <w:tcW w:w="1187" w:type="pct"/>
          </w:tcPr>
          <w:p w:rsidR="003A2650" w:rsidRDefault="003A2650">
            <w:pPr>
              <w:rPr>
                <w:rFonts w:ascii="Calibri" w:hAnsi="Calibri"/>
                <w:sz w:val="18"/>
                <w:szCs w:val="18"/>
              </w:rPr>
            </w:pPr>
            <w:r>
              <w:rPr>
                <w:rFonts w:ascii="Calibri" w:hAnsi="Calibri"/>
                <w:sz w:val="18"/>
                <w:szCs w:val="18"/>
              </w:rPr>
              <w:t>Chirirbandar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Lalmonirhat</w:t>
            </w:r>
          </w:p>
        </w:tc>
        <w:tc>
          <w:tcPr>
            <w:tcW w:w="1194" w:type="pct"/>
          </w:tcPr>
          <w:p w:rsidR="003A2650" w:rsidRDefault="003A2650">
            <w:pPr>
              <w:rPr>
                <w:rFonts w:ascii="Calibri" w:hAnsi="Calibri"/>
                <w:sz w:val="18"/>
                <w:szCs w:val="18"/>
              </w:rPr>
            </w:pPr>
            <w:r>
              <w:rPr>
                <w:rFonts w:ascii="Calibri" w:hAnsi="Calibri"/>
                <w:sz w:val="18"/>
                <w:szCs w:val="18"/>
              </w:rPr>
              <w:t>Aditmari</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1188" w:type="pct"/>
          </w:tcPr>
          <w:p w:rsidR="003A2650" w:rsidRDefault="003A2650">
            <w:pPr>
              <w:rPr>
                <w:rFonts w:ascii="Calibri" w:hAnsi="Calibri"/>
                <w:sz w:val="18"/>
                <w:szCs w:val="18"/>
              </w:rPr>
            </w:pPr>
            <w:r>
              <w:rPr>
                <w:rFonts w:ascii="Calibri" w:hAnsi="Calibri"/>
                <w:sz w:val="18"/>
                <w:szCs w:val="18"/>
              </w:rPr>
              <w:t>Jhenidah</w:t>
            </w:r>
          </w:p>
        </w:tc>
        <w:tc>
          <w:tcPr>
            <w:tcW w:w="1187" w:type="pct"/>
          </w:tcPr>
          <w:p w:rsidR="003A2650" w:rsidRDefault="003A2650">
            <w:pPr>
              <w:rPr>
                <w:rFonts w:ascii="Calibri" w:hAnsi="Calibri"/>
                <w:sz w:val="18"/>
                <w:szCs w:val="18"/>
              </w:rPr>
            </w:pPr>
            <w:r>
              <w:rPr>
                <w:rFonts w:ascii="Calibri" w:hAnsi="Calibri"/>
                <w:sz w:val="18"/>
                <w:szCs w:val="18"/>
              </w:rPr>
              <w:t>Soilkupa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26</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Calibri" w:hAnsi="Calibri"/>
                <w:sz w:val="18"/>
                <w:szCs w:val="18"/>
              </w:rPr>
              <w:t>Narsingdi</w:t>
            </w:r>
          </w:p>
        </w:tc>
        <w:tc>
          <w:tcPr>
            <w:tcW w:w="1194" w:type="pct"/>
          </w:tcPr>
          <w:p w:rsidR="003A2650" w:rsidRDefault="003A2650">
            <w:pPr>
              <w:rPr>
                <w:rFonts w:ascii="Calibri" w:hAnsi="Calibri"/>
                <w:sz w:val="18"/>
                <w:szCs w:val="18"/>
              </w:rPr>
            </w:pPr>
            <w:r>
              <w:rPr>
                <w:rFonts w:ascii="Calibri" w:hAnsi="Calibri"/>
                <w:sz w:val="18"/>
                <w:szCs w:val="18"/>
              </w:rPr>
              <w:t>Narsingdi Sadar</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26</w:t>
            </w:r>
          </w:p>
        </w:tc>
        <w:tc>
          <w:tcPr>
            <w:tcW w:w="1188" w:type="pct"/>
          </w:tcPr>
          <w:p w:rsidR="003A2650" w:rsidRDefault="003A2650">
            <w:pPr>
              <w:rPr>
                <w:rFonts w:ascii="Calibri" w:hAnsi="Calibri"/>
                <w:sz w:val="18"/>
                <w:szCs w:val="18"/>
              </w:rPr>
            </w:pPr>
            <w:r>
              <w:rPr>
                <w:rFonts w:ascii="Calibri" w:hAnsi="Calibri"/>
                <w:sz w:val="18"/>
                <w:szCs w:val="18"/>
              </w:rPr>
              <w:t>Jessore</w:t>
            </w:r>
          </w:p>
        </w:tc>
        <w:tc>
          <w:tcPr>
            <w:tcW w:w="1187" w:type="pct"/>
          </w:tcPr>
          <w:p w:rsidR="003A2650" w:rsidRDefault="003A2650">
            <w:pPr>
              <w:rPr>
                <w:rFonts w:ascii="Calibri" w:hAnsi="Calibri"/>
                <w:sz w:val="18"/>
                <w:szCs w:val="18"/>
              </w:rPr>
            </w:pPr>
            <w:r>
              <w:rPr>
                <w:rFonts w:ascii="Calibri" w:hAnsi="Calibri"/>
                <w:sz w:val="18"/>
                <w:szCs w:val="18"/>
              </w:rPr>
              <w:t>Jessore Sadar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27</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Moulavbazar</w:t>
            </w:r>
          </w:p>
        </w:tc>
        <w:tc>
          <w:tcPr>
            <w:tcW w:w="1194" w:type="pct"/>
          </w:tcPr>
          <w:p w:rsidR="003A2650" w:rsidRDefault="003A2650">
            <w:pPr>
              <w:rPr>
                <w:rFonts w:ascii="Calibri" w:hAnsi="Calibri"/>
                <w:sz w:val="18"/>
                <w:szCs w:val="18"/>
              </w:rPr>
            </w:pPr>
            <w:r>
              <w:rPr>
                <w:rFonts w:ascii="Calibri" w:hAnsi="Calibri"/>
                <w:sz w:val="18"/>
                <w:szCs w:val="18"/>
              </w:rPr>
              <w:t xml:space="preserve">Kamalnagar </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27</w:t>
            </w:r>
          </w:p>
        </w:tc>
        <w:tc>
          <w:tcPr>
            <w:tcW w:w="1188" w:type="pct"/>
          </w:tcPr>
          <w:p w:rsidR="003A2650" w:rsidRDefault="003A2650">
            <w:pPr>
              <w:rPr>
                <w:rFonts w:ascii="Calibri" w:hAnsi="Calibri"/>
                <w:sz w:val="18"/>
                <w:szCs w:val="18"/>
              </w:rPr>
            </w:pPr>
            <w:r>
              <w:rPr>
                <w:rFonts w:ascii="Calibri" w:hAnsi="Calibri"/>
                <w:sz w:val="18"/>
                <w:szCs w:val="18"/>
              </w:rPr>
              <w:t>Chandpur</w:t>
            </w:r>
          </w:p>
        </w:tc>
        <w:tc>
          <w:tcPr>
            <w:tcW w:w="1187" w:type="pct"/>
          </w:tcPr>
          <w:p w:rsidR="003A2650" w:rsidRDefault="003A2650">
            <w:pPr>
              <w:rPr>
                <w:rFonts w:ascii="Calibri" w:hAnsi="Calibri"/>
                <w:sz w:val="18"/>
                <w:szCs w:val="18"/>
              </w:rPr>
            </w:pPr>
            <w:r>
              <w:rPr>
                <w:rFonts w:ascii="Calibri" w:hAnsi="Calibri"/>
                <w:sz w:val="18"/>
                <w:szCs w:val="18"/>
              </w:rPr>
              <w:t>Matlab Uttar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28</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Bhola</w:t>
            </w:r>
          </w:p>
        </w:tc>
        <w:tc>
          <w:tcPr>
            <w:tcW w:w="1194" w:type="pct"/>
          </w:tcPr>
          <w:p w:rsidR="003A2650" w:rsidRDefault="003A2650">
            <w:pPr>
              <w:rPr>
                <w:rFonts w:ascii="Calibri" w:hAnsi="Calibri"/>
                <w:sz w:val="18"/>
                <w:szCs w:val="18"/>
              </w:rPr>
            </w:pPr>
            <w:r>
              <w:rPr>
                <w:rFonts w:ascii="Calibri" w:hAnsi="Calibri"/>
                <w:sz w:val="18"/>
                <w:szCs w:val="18"/>
              </w:rPr>
              <w:t>Daulatkhan</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28</w:t>
            </w:r>
          </w:p>
        </w:tc>
        <w:tc>
          <w:tcPr>
            <w:tcW w:w="1188" w:type="pct"/>
          </w:tcPr>
          <w:p w:rsidR="003A2650" w:rsidRDefault="003A2650">
            <w:pPr>
              <w:rPr>
                <w:rFonts w:ascii="Calibri" w:hAnsi="Calibri"/>
                <w:sz w:val="18"/>
                <w:szCs w:val="18"/>
              </w:rPr>
            </w:pPr>
            <w:r>
              <w:rPr>
                <w:rFonts w:ascii="Calibri" w:hAnsi="Calibri"/>
                <w:sz w:val="18"/>
                <w:szCs w:val="18"/>
              </w:rPr>
              <w:t>Meherpur</w:t>
            </w:r>
          </w:p>
        </w:tc>
        <w:tc>
          <w:tcPr>
            <w:tcW w:w="1187" w:type="pct"/>
          </w:tcPr>
          <w:p w:rsidR="003A2650" w:rsidRDefault="003A2650">
            <w:pPr>
              <w:rPr>
                <w:rFonts w:ascii="Calibri" w:hAnsi="Calibri"/>
                <w:sz w:val="18"/>
                <w:szCs w:val="18"/>
              </w:rPr>
            </w:pPr>
            <w:r>
              <w:rPr>
                <w:rFonts w:ascii="Calibri" w:hAnsi="Calibri"/>
                <w:sz w:val="18"/>
                <w:szCs w:val="18"/>
              </w:rPr>
              <w:t>Meherpur Sadar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29</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Barisal</w:t>
            </w:r>
          </w:p>
        </w:tc>
        <w:tc>
          <w:tcPr>
            <w:tcW w:w="1194" w:type="pct"/>
          </w:tcPr>
          <w:p w:rsidR="003A2650" w:rsidRDefault="003A2650">
            <w:pPr>
              <w:rPr>
                <w:rFonts w:ascii="Calibri" w:hAnsi="Calibri"/>
                <w:sz w:val="18"/>
                <w:szCs w:val="18"/>
              </w:rPr>
            </w:pPr>
            <w:r>
              <w:rPr>
                <w:rFonts w:ascii="Calibri" w:hAnsi="Calibri"/>
                <w:sz w:val="18"/>
                <w:szCs w:val="18"/>
              </w:rPr>
              <w:t>Hizla</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29</w:t>
            </w:r>
          </w:p>
        </w:tc>
        <w:tc>
          <w:tcPr>
            <w:tcW w:w="1188" w:type="pct"/>
          </w:tcPr>
          <w:p w:rsidR="003A2650" w:rsidRDefault="003A2650">
            <w:pPr>
              <w:rPr>
                <w:rFonts w:ascii="Calibri" w:hAnsi="Calibri"/>
                <w:sz w:val="18"/>
                <w:szCs w:val="18"/>
              </w:rPr>
            </w:pPr>
            <w:r>
              <w:rPr>
                <w:rFonts w:ascii="Calibri" w:hAnsi="Calibri"/>
                <w:sz w:val="18"/>
                <w:szCs w:val="18"/>
              </w:rPr>
              <w:t>Bandarban</w:t>
            </w:r>
          </w:p>
        </w:tc>
        <w:tc>
          <w:tcPr>
            <w:tcW w:w="1187" w:type="pct"/>
          </w:tcPr>
          <w:p w:rsidR="003A2650" w:rsidRDefault="003A2650">
            <w:pPr>
              <w:rPr>
                <w:rFonts w:ascii="Calibri" w:hAnsi="Calibri"/>
                <w:sz w:val="18"/>
                <w:szCs w:val="18"/>
              </w:rPr>
            </w:pPr>
            <w:r>
              <w:rPr>
                <w:rFonts w:ascii="Calibri" w:hAnsi="Calibri"/>
                <w:sz w:val="18"/>
                <w:szCs w:val="18"/>
              </w:rPr>
              <w:t>Bandarban Sadar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30</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Bhola</w:t>
            </w:r>
          </w:p>
        </w:tc>
        <w:tc>
          <w:tcPr>
            <w:tcW w:w="1194" w:type="pct"/>
          </w:tcPr>
          <w:p w:rsidR="003A2650" w:rsidRDefault="003A2650">
            <w:pPr>
              <w:rPr>
                <w:rFonts w:ascii="Calibri" w:hAnsi="Calibri"/>
                <w:sz w:val="18"/>
                <w:szCs w:val="18"/>
              </w:rPr>
            </w:pPr>
            <w:r>
              <w:rPr>
                <w:rFonts w:ascii="Calibri" w:hAnsi="Calibri"/>
                <w:sz w:val="18"/>
                <w:szCs w:val="18"/>
              </w:rPr>
              <w:t>Lalmohan</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30</w:t>
            </w:r>
          </w:p>
        </w:tc>
        <w:tc>
          <w:tcPr>
            <w:tcW w:w="1188" w:type="pct"/>
          </w:tcPr>
          <w:p w:rsidR="003A2650" w:rsidRDefault="003A2650">
            <w:pPr>
              <w:rPr>
                <w:rFonts w:ascii="Calibri" w:hAnsi="Calibri"/>
                <w:sz w:val="18"/>
                <w:szCs w:val="18"/>
              </w:rPr>
            </w:pPr>
            <w:r>
              <w:rPr>
                <w:rFonts w:ascii="Calibri" w:hAnsi="Calibri"/>
                <w:sz w:val="18"/>
                <w:szCs w:val="18"/>
              </w:rPr>
              <w:t>Satkhira</w:t>
            </w:r>
          </w:p>
        </w:tc>
        <w:tc>
          <w:tcPr>
            <w:tcW w:w="1187" w:type="pct"/>
          </w:tcPr>
          <w:p w:rsidR="003A2650" w:rsidRDefault="003A2650">
            <w:pPr>
              <w:rPr>
                <w:rFonts w:ascii="Calibri" w:hAnsi="Calibri"/>
                <w:sz w:val="18"/>
                <w:szCs w:val="18"/>
              </w:rPr>
            </w:pPr>
            <w:r>
              <w:rPr>
                <w:rFonts w:ascii="Calibri" w:hAnsi="Calibri"/>
                <w:sz w:val="18"/>
                <w:szCs w:val="18"/>
              </w:rPr>
              <w:t>Satkhira Sadar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31</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Kishoregonj</w:t>
            </w:r>
          </w:p>
        </w:tc>
        <w:tc>
          <w:tcPr>
            <w:tcW w:w="1194" w:type="pct"/>
          </w:tcPr>
          <w:p w:rsidR="003A2650" w:rsidRDefault="003A2650">
            <w:pPr>
              <w:rPr>
                <w:rFonts w:ascii="Calibri" w:hAnsi="Calibri"/>
                <w:sz w:val="18"/>
                <w:szCs w:val="18"/>
              </w:rPr>
            </w:pPr>
            <w:r>
              <w:rPr>
                <w:rFonts w:ascii="Calibri" w:hAnsi="Calibri"/>
                <w:sz w:val="18"/>
                <w:szCs w:val="18"/>
              </w:rPr>
              <w:t>Mithamoin</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31</w:t>
            </w:r>
          </w:p>
        </w:tc>
        <w:tc>
          <w:tcPr>
            <w:tcW w:w="1188" w:type="pct"/>
          </w:tcPr>
          <w:p w:rsidR="003A2650" w:rsidRDefault="003A2650">
            <w:pPr>
              <w:rPr>
                <w:rFonts w:ascii="Calibri" w:hAnsi="Calibri"/>
                <w:sz w:val="18"/>
                <w:szCs w:val="18"/>
              </w:rPr>
            </w:pPr>
            <w:r>
              <w:rPr>
                <w:rFonts w:ascii="Calibri" w:hAnsi="Calibri"/>
                <w:sz w:val="18"/>
                <w:szCs w:val="18"/>
              </w:rPr>
              <w:t>Dhaka</w:t>
            </w:r>
          </w:p>
        </w:tc>
        <w:tc>
          <w:tcPr>
            <w:tcW w:w="1187" w:type="pct"/>
          </w:tcPr>
          <w:p w:rsidR="003A2650" w:rsidRDefault="003A2650">
            <w:pPr>
              <w:rPr>
                <w:rFonts w:ascii="Calibri" w:hAnsi="Calibri"/>
                <w:sz w:val="18"/>
                <w:szCs w:val="18"/>
              </w:rPr>
            </w:pPr>
            <w:r>
              <w:rPr>
                <w:rFonts w:ascii="Calibri" w:hAnsi="Calibri"/>
                <w:sz w:val="18"/>
                <w:szCs w:val="18"/>
              </w:rPr>
              <w:t>Nawabganj</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32</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Hobigonj</w:t>
            </w:r>
          </w:p>
        </w:tc>
        <w:tc>
          <w:tcPr>
            <w:tcW w:w="1194" w:type="pct"/>
          </w:tcPr>
          <w:p w:rsidR="003A2650" w:rsidRDefault="003A2650">
            <w:pPr>
              <w:rPr>
                <w:rFonts w:ascii="Calibri" w:hAnsi="Calibri"/>
                <w:sz w:val="18"/>
                <w:szCs w:val="18"/>
              </w:rPr>
            </w:pPr>
            <w:r>
              <w:rPr>
                <w:rFonts w:ascii="Calibri" w:hAnsi="Calibri"/>
                <w:sz w:val="18"/>
                <w:szCs w:val="18"/>
              </w:rPr>
              <w:t>Bahubal</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32</w:t>
            </w:r>
          </w:p>
        </w:tc>
        <w:tc>
          <w:tcPr>
            <w:tcW w:w="1188" w:type="pct"/>
          </w:tcPr>
          <w:p w:rsidR="003A2650" w:rsidRDefault="003A2650">
            <w:pPr>
              <w:rPr>
                <w:rFonts w:ascii="Calibri" w:hAnsi="Calibri"/>
                <w:sz w:val="18"/>
                <w:szCs w:val="18"/>
              </w:rPr>
            </w:pPr>
            <w:r>
              <w:rPr>
                <w:rFonts w:ascii="Calibri" w:hAnsi="Calibri"/>
                <w:sz w:val="18"/>
                <w:szCs w:val="18"/>
              </w:rPr>
              <w:t>Rangamati</w:t>
            </w:r>
          </w:p>
        </w:tc>
        <w:tc>
          <w:tcPr>
            <w:tcW w:w="1187" w:type="pct"/>
          </w:tcPr>
          <w:p w:rsidR="003A2650" w:rsidRDefault="003A2650">
            <w:pPr>
              <w:rPr>
                <w:rFonts w:ascii="Calibri" w:hAnsi="Calibri"/>
                <w:sz w:val="18"/>
                <w:szCs w:val="18"/>
              </w:rPr>
            </w:pPr>
            <w:r>
              <w:rPr>
                <w:rFonts w:ascii="Calibri" w:hAnsi="Calibri"/>
                <w:sz w:val="18"/>
                <w:szCs w:val="18"/>
              </w:rPr>
              <w:t>Belaichhari</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33</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Sylhet</w:t>
            </w:r>
          </w:p>
        </w:tc>
        <w:tc>
          <w:tcPr>
            <w:tcW w:w="1194" w:type="pct"/>
          </w:tcPr>
          <w:p w:rsidR="003A2650" w:rsidRDefault="003A2650">
            <w:pPr>
              <w:rPr>
                <w:rFonts w:ascii="Calibri" w:hAnsi="Calibri"/>
                <w:sz w:val="18"/>
                <w:szCs w:val="18"/>
              </w:rPr>
            </w:pPr>
            <w:r>
              <w:rPr>
                <w:rFonts w:ascii="Calibri" w:hAnsi="Calibri"/>
                <w:sz w:val="18"/>
                <w:szCs w:val="18"/>
              </w:rPr>
              <w:t>Companiganj</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33</w:t>
            </w:r>
          </w:p>
        </w:tc>
        <w:tc>
          <w:tcPr>
            <w:tcW w:w="1188" w:type="pct"/>
          </w:tcPr>
          <w:p w:rsidR="003A2650" w:rsidRDefault="003A2650">
            <w:pPr>
              <w:rPr>
                <w:rFonts w:ascii="Calibri" w:hAnsi="Calibri"/>
                <w:sz w:val="18"/>
                <w:szCs w:val="18"/>
              </w:rPr>
            </w:pPr>
            <w:r>
              <w:rPr>
                <w:rFonts w:ascii="Calibri" w:hAnsi="Calibri"/>
                <w:sz w:val="18"/>
                <w:szCs w:val="18"/>
              </w:rPr>
              <w:t>Barisal</w:t>
            </w:r>
          </w:p>
        </w:tc>
        <w:tc>
          <w:tcPr>
            <w:tcW w:w="1187" w:type="pct"/>
          </w:tcPr>
          <w:p w:rsidR="003A2650" w:rsidRDefault="003A2650">
            <w:pPr>
              <w:rPr>
                <w:rFonts w:ascii="Calibri" w:hAnsi="Calibri"/>
                <w:sz w:val="18"/>
                <w:szCs w:val="18"/>
              </w:rPr>
            </w:pPr>
            <w:r>
              <w:rPr>
                <w:rFonts w:ascii="Calibri" w:hAnsi="Calibri"/>
                <w:sz w:val="18"/>
                <w:szCs w:val="18"/>
              </w:rPr>
              <w:t>Agailjhara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34</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Cox’s Bazar</w:t>
            </w:r>
          </w:p>
        </w:tc>
        <w:tc>
          <w:tcPr>
            <w:tcW w:w="1194" w:type="pct"/>
          </w:tcPr>
          <w:p w:rsidR="003A2650" w:rsidRDefault="003A2650">
            <w:pPr>
              <w:rPr>
                <w:rFonts w:ascii="Calibri" w:hAnsi="Calibri"/>
                <w:sz w:val="18"/>
                <w:szCs w:val="18"/>
              </w:rPr>
            </w:pPr>
            <w:r>
              <w:rPr>
                <w:rFonts w:ascii="Calibri" w:hAnsi="Calibri"/>
                <w:sz w:val="18"/>
                <w:szCs w:val="18"/>
              </w:rPr>
              <w:t>Ramu</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34</w:t>
            </w:r>
          </w:p>
        </w:tc>
        <w:tc>
          <w:tcPr>
            <w:tcW w:w="1188" w:type="pct"/>
          </w:tcPr>
          <w:p w:rsidR="003A2650" w:rsidRDefault="003A2650">
            <w:pPr>
              <w:rPr>
                <w:rFonts w:ascii="Calibri" w:hAnsi="Calibri"/>
                <w:sz w:val="18"/>
                <w:szCs w:val="18"/>
              </w:rPr>
            </w:pPr>
            <w:r>
              <w:rPr>
                <w:rFonts w:ascii="Calibri" w:hAnsi="Calibri"/>
                <w:sz w:val="18"/>
                <w:szCs w:val="18"/>
              </w:rPr>
              <w:t>Naogaon</w:t>
            </w:r>
          </w:p>
        </w:tc>
        <w:tc>
          <w:tcPr>
            <w:tcW w:w="1187" w:type="pct"/>
          </w:tcPr>
          <w:p w:rsidR="003A2650" w:rsidRDefault="003A2650">
            <w:pPr>
              <w:rPr>
                <w:rFonts w:ascii="Calibri" w:hAnsi="Calibri"/>
                <w:sz w:val="18"/>
                <w:szCs w:val="18"/>
              </w:rPr>
            </w:pPr>
            <w:r>
              <w:rPr>
                <w:rFonts w:ascii="Calibri" w:hAnsi="Calibri"/>
                <w:sz w:val="18"/>
                <w:szCs w:val="18"/>
              </w:rPr>
              <w:t>Badalgachi</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35</w:t>
            </w:r>
          </w:p>
        </w:tc>
        <w:tc>
          <w:tcPr>
            <w:tcW w:w="696" w:type="pct"/>
            <w:vAlign w:val="bottom"/>
          </w:tcPr>
          <w:p w:rsidR="003A2650" w:rsidRPr="005F120D" w:rsidRDefault="003A2650" w:rsidP="00B25E46">
            <w:pPr>
              <w:spacing w:after="0"/>
              <w:rPr>
                <w:rFonts w:asciiTheme="minorHAnsi" w:hAnsiTheme="minorHAnsi" w:cstheme="minorHAnsi"/>
                <w:sz w:val="18"/>
                <w:szCs w:val="18"/>
              </w:rPr>
            </w:pPr>
            <w:r w:rsidRPr="002606C1">
              <w:rPr>
                <w:rFonts w:asciiTheme="minorHAnsi" w:hAnsiTheme="minorHAnsi" w:cstheme="minorHAnsi"/>
                <w:sz w:val="18"/>
                <w:szCs w:val="18"/>
              </w:rPr>
              <w:t>Gaibandha</w:t>
            </w:r>
          </w:p>
        </w:tc>
        <w:tc>
          <w:tcPr>
            <w:tcW w:w="1194" w:type="pct"/>
          </w:tcPr>
          <w:p w:rsidR="003A2650" w:rsidRDefault="003A2650">
            <w:pPr>
              <w:rPr>
                <w:rFonts w:ascii="Calibri" w:hAnsi="Calibri"/>
                <w:sz w:val="18"/>
                <w:szCs w:val="18"/>
              </w:rPr>
            </w:pPr>
            <w:r>
              <w:rPr>
                <w:rFonts w:ascii="Calibri" w:hAnsi="Calibri"/>
                <w:sz w:val="18"/>
                <w:szCs w:val="18"/>
              </w:rPr>
              <w:t>Fulchari</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35</w:t>
            </w:r>
          </w:p>
        </w:tc>
        <w:tc>
          <w:tcPr>
            <w:tcW w:w="1188" w:type="pct"/>
          </w:tcPr>
          <w:p w:rsidR="003A2650" w:rsidRDefault="003A2650">
            <w:pPr>
              <w:rPr>
                <w:rFonts w:ascii="Calibri" w:hAnsi="Calibri"/>
                <w:sz w:val="18"/>
                <w:szCs w:val="18"/>
              </w:rPr>
            </w:pPr>
            <w:r>
              <w:rPr>
                <w:rFonts w:ascii="Calibri" w:hAnsi="Calibri"/>
                <w:sz w:val="18"/>
                <w:szCs w:val="18"/>
              </w:rPr>
              <w:t>Jessore</w:t>
            </w:r>
          </w:p>
        </w:tc>
        <w:tc>
          <w:tcPr>
            <w:tcW w:w="1187" w:type="pct"/>
          </w:tcPr>
          <w:p w:rsidR="003A2650" w:rsidRDefault="003A2650">
            <w:pPr>
              <w:rPr>
                <w:rFonts w:ascii="Calibri" w:hAnsi="Calibri"/>
                <w:sz w:val="18"/>
                <w:szCs w:val="18"/>
              </w:rPr>
            </w:pPr>
            <w:r>
              <w:rPr>
                <w:rFonts w:ascii="Calibri" w:hAnsi="Calibri"/>
                <w:sz w:val="18"/>
                <w:szCs w:val="18"/>
              </w:rPr>
              <w:t>Sharsha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36</w:t>
            </w:r>
          </w:p>
        </w:tc>
        <w:tc>
          <w:tcPr>
            <w:tcW w:w="696" w:type="pct"/>
            <w:vAlign w:val="bottom"/>
          </w:tcPr>
          <w:p w:rsidR="003A2650" w:rsidRPr="005F120D" w:rsidRDefault="003A2650" w:rsidP="00B25E46">
            <w:pPr>
              <w:spacing w:after="0"/>
              <w:rPr>
                <w:rFonts w:asciiTheme="minorHAnsi" w:hAnsiTheme="minorHAnsi" w:cstheme="minorHAnsi"/>
                <w:sz w:val="18"/>
                <w:szCs w:val="18"/>
              </w:rPr>
            </w:pPr>
            <w:r w:rsidRPr="003854D9">
              <w:rPr>
                <w:rFonts w:asciiTheme="minorHAnsi" w:hAnsiTheme="minorHAnsi" w:cstheme="minorHAnsi"/>
                <w:sz w:val="18"/>
                <w:szCs w:val="18"/>
              </w:rPr>
              <w:t>Sylhet</w:t>
            </w:r>
          </w:p>
        </w:tc>
        <w:tc>
          <w:tcPr>
            <w:tcW w:w="1194" w:type="pct"/>
          </w:tcPr>
          <w:p w:rsidR="003A2650" w:rsidRDefault="003A2650">
            <w:pPr>
              <w:rPr>
                <w:rFonts w:ascii="Calibri" w:hAnsi="Calibri"/>
                <w:sz w:val="18"/>
                <w:szCs w:val="18"/>
              </w:rPr>
            </w:pPr>
            <w:r>
              <w:rPr>
                <w:rFonts w:ascii="Calibri" w:hAnsi="Calibri"/>
                <w:sz w:val="18"/>
                <w:szCs w:val="18"/>
              </w:rPr>
              <w:t>Kanaighat</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36</w:t>
            </w:r>
          </w:p>
        </w:tc>
        <w:tc>
          <w:tcPr>
            <w:tcW w:w="1188" w:type="pct"/>
          </w:tcPr>
          <w:p w:rsidR="003A2650" w:rsidRDefault="003A2650">
            <w:pPr>
              <w:rPr>
                <w:rFonts w:ascii="Calibri" w:hAnsi="Calibri"/>
                <w:sz w:val="18"/>
                <w:szCs w:val="18"/>
              </w:rPr>
            </w:pPr>
            <w:r>
              <w:rPr>
                <w:rFonts w:ascii="Calibri" w:hAnsi="Calibri"/>
                <w:sz w:val="18"/>
                <w:szCs w:val="18"/>
              </w:rPr>
              <w:t>Rangamati</w:t>
            </w:r>
          </w:p>
        </w:tc>
        <w:tc>
          <w:tcPr>
            <w:tcW w:w="1187" w:type="pct"/>
          </w:tcPr>
          <w:p w:rsidR="003A2650" w:rsidRDefault="003A2650">
            <w:pPr>
              <w:rPr>
                <w:rFonts w:ascii="Calibri" w:hAnsi="Calibri"/>
                <w:sz w:val="18"/>
                <w:szCs w:val="18"/>
              </w:rPr>
            </w:pPr>
            <w:r>
              <w:rPr>
                <w:rFonts w:ascii="Calibri" w:hAnsi="Calibri"/>
                <w:sz w:val="18"/>
                <w:szCs w:val="18"/>
              </w:rPr>
              <w:t>Kaptai</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37</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Hobigonj</w:t>
            </w:r>
          </w:p>
        </w:tc>
        <w:tc>
          <w:tcPr>
            <w:tcW w:w="1194" w:type="pct"/>
          </w:tcPr>
          <w:p w:rsidR="003A2650" w:rsidRDefault="003A2650">
            <w:pPr>
              <w:rPr>
                <w:rFonts w:ascii="Calibri" w:hAnsi="Calibri"/>
                <w:sz w:val="18"/>
                <w:szCs w:val="18"/>
              </w:rPr>
            </w:pPr>
            <w:r>
              <w:rPr>
                <w:rFonts w:ascii="Calibri" w:hAnsi="Calibri"/>
                <w:sz w:val="18"/>
                <w:szCs w:val="18"/>
              </w:rPr>
              <w:t>Madhabpur</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37</w:t>
            </w:r>
          </w:p>
        </w:tc>
        <w:tc>
          <w:tcPr>
            <w:tcW w:w="1188" w:type="pct"/>
          </w:tcPr>
          <w:p w:rsidR="003A2650" w:rsidRDefault="003A2650">
            <w:pPr>
              <w:rPr>
                <w:rFonts w:ascii="Calibri" w:hAnsi="Calibri"/>
                <w:sz w:val="18"/>
                <w:szCs w:val="18"/>
              </w:rPr>
            </w:pPr>
            <w:r>
              <w:rPr>
                <w:rFonts w:ascii="Calibri" w:hAnsi="Calibri"/>
                <w:sz w:val="18"/>
                <w:szCs w:val="18"/>
              </w:rPr>
              <w:t>Thakurgaon</w:t>
            </w:r>
          </w:p>
        </w:tc>
        <w:tc>
          <w:tcPr>
            <w:tcW w:w="1187" w:type="pct"/>
            <w:vAlign w:val="bottom"/>
          </w:tcPr>
          <w:p w:rsidR="003A2650" w:rsidRDefault="003A2650">
            <w:pPr>
              <w:rPr>
                <w:rFonts w:ascii="Calibri" w:hAnsi="Calibri"/>
                <w:sz w:val="18"/>
                <w:szCs w:val="18"/>
              </w:rPr>
            </w:pPr>
            <w:r>
              <w:rPr>
                <w:rFonts w:ascii="Calibri" w:hAnsi="Calibri"/>
                <w:sz w:val="18"/>
                <w:szCs w:val="18"/>
              </w:rPr>
              <w:t>Pirganj</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38</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Calibri" w:hAnsi="Calibri"/>
                <w:sz w:val="18"/>
                <w:szCs w:val="18"/>
              </w:rPr>
              <w:t>Mymensingh</w:t>
            </w:r>
          </w:p>
        </w:tc>
        <w:tc>
          <w:tcPr>
            <w:tcW w:w="1194" w:type="pct"/>
          </w:tcPr>
          <w:p w:rsidR="003A2650" w:rsidRDefault="003A2650">
            <w:pPr>
              <w:rPr>
                <w:rFonts w:ascii="Calibri" w:hAnsi="Calibri"/>
                <w:sz w:val="18"/>
                <w:szCs w:val="18"/>
              </w:rPr>
            </w:pPr>
            <w:r>
              <w:rPr>
                <w:rFonts w:ascii="Calibri" w:hAnsi="Calibri"/>
                <w:sz w:val="18"/>
                <w:szCs w:val="18"/>
              </w:rPr>
              <w:t>Mymensingh Sadar</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38</w:t>
            </w:r>
          </w:p>
        </w:tc>
        <w:tc>
          <w:tcPr>
            <w:tcW w:w="1188" w:type="pct"/>
          </w:tcPr>
          <w:p w:rsidR="003A2650" w:rsidRDefault="003A2650">
            <w:pPr>
              <w:rPr>
                <w:rFonts w:ascii="Calibri" w:hAnsi="Calibri"/>
                <w:sz w:val="18"/>
                <w:szCs w:val="18"/>
              </w:rPr>
            </w:pPr>
            <w:r>
              <w:rPr>
                <w:rFonts w:ascii="Calibri" w:hAnsi="Calibri"/>
                <w:sz w:val="18"/>
                <w:szCs w:val="18"/>
              </w:rPr>
              <w:t>Khulna</w:t>
            </w:r>
          </w:p>
        </w:tc>
        <w:tc>
          <w:tcPr>
            <w:tcW w:w="1187" w:type="pct"/>
          </w:tcPr>
          <w:p w:rsidR="003A2650" w:rsidRDefault="003A2650">
            <w:pPr>
              <w:rPr>
                <w:rFonts w:ascii="Calibri" w:hAnsi="Calibri"/>
                <w:sz w:val="18"/>
                <w:szCs w:val="18"/>
              </w:rPr>
            </w:pPr>
            <w:r>
              <w:rPr>
                <w:rFonts w:ascii="Calibri" w:hAnsi="Calibri"/>
                <w:sz w:val="18"/>
                <w:szCs w:val="18"/>
              </w:rPr>
              <w:t>Koyra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39</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Kishoregonj</w:t>
            </w:r>
          </w:p>
        </w:tc>
        <w:tc>
          <w:tcPr>
            <w:tcW w:w="1194" w:type="pct"/>
          </w:tcPr>
          <w:p w:rsidR="003A2650" w:rsidRDefault="003A2650">
            <w:pPr>
              <w:rPr>
                <w:rFonts w:ascii="Calibri" w:hAnsi="Calibri"/>
                <w:sz w:val="18"/>
                <w:szCs w:val="18"/>
              </w:rPr>
            </w:pPr>
            <w:r>
              <w:rPr>
                <w:rFonts w:ascii="Calibri" w:hAnsi="Calibri"/>
                <w:sz w:val="18"/>
                <w:szCs w:val="18"/>
              </w:rPr>
              <w:t>Pakundia</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39</w:t>
            </w:r>
          </w:p>
        </w:tc>
        <w:tc>
          <w:tcPr>
            <w:tcW w:w="1188" w:type="pct"/>
          </w:tcPr>
          <w:p w:rsidR="003A2650" w:rsidRDefault="003A2650">
            <w:pPr>
              <w:rPr>
                <w:rFonts w:ascii="Calibri" w:hAnsi="Calibri"/>
                <w:sz w:val="18"/>
                <w:szCs w:val="18"/>
              </w:rPr>
            </w:pPr>
            <w:r>
              <w:rPr>
                <w:rFonts w:ascii="Calibri" w:hAnsi="Calibri"/>
                <w:sz w:val="18"/>
                <w:szCs w:val="18"/>
              </w:rPr>
              <w:t>Dinajpur</w:t>
            </w:r>
          </w:p>
        </w:tc>
        <w:tc>
          <w:tcPr>
            <w:tcW w:w="1187" w:type="pct"/>
          </w:tcPr>
          <w:p w:rsidR="003A2650" w:rsidRDefault="003A2650">
            <w:pPr>
              <w:rPr>
                <w:rFonts w:ascii="Calibri" w:hAnsi="Calibri"/>
                <w:sz w:val="18"/>
                <w:szCs w:val="18"/>
              </w:rPr>
            </w:pPr>
            <w:r>
              <w:rPr>
                <w:rFonts w:ascii="Calibri" w:hAnsi="Calibri"/>
                <w:sz w:val="18"/>
                <w:szCs w:val="18"/>
              </w:rPr>
              <w:t>Bochaganj</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lastRenderedPageBreak/>
              <w:t>40</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Kishoregonj</w:t>
            </w:r>
          </w:p>
        </w:tc>
        <w:tc>
          <w:tcPr>
            <w:tcW w:w="1194" w:type="pct"/>
          </w:tcPr>
          <w:p w:rsidR="003A2650" w:rsidRDefault="003A2650">
            <w:pPr>
              <w:rPr>
                <w:rFonts w:ascii="Calibri" w:hAnsi="Calibri"/>
                <w:sz w:val="18"/>
                <w:szCs w:val="18"/>
              </w:rPr>
            </w:pPr>
            <w:r>
              <w:rPr>
                <w:rFonts w:ascii="Calibri" w:hAnsi="Calibri"/>
                <w:sz w:val="18"/>
                <w:szCs w:val="18"/>
              </w:rPr>
              <w:t>Hossainpur</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40</w:t>
            </w:r>
          </w:p>
        </w:tc>
        <w:tc>
          <w:tcPr>
            <w:tcW w:w="1188" w:type="pct"/>
          </w:tcPr>
          <w:p w:rsidR="003A2650" w:rsidRDefault="003A2650">
            <w:pPr>
              <w:rPr>
                <w:rFonts w:ascii="Calibri" w:hAnsi="Calibri"/>
                <w:sz w:val="18"/>
                <w:szCs w:val="18"/>
              </w:rPr>
            </w:pPr>
            <w:r>
              <w:rPr>
                <w:rFonts w:ascii="Calibri" w:hAnsi="Calibri"/>
                <w:sz w:val="18"/>
                <w:szCs w:val="18"/>
              </w:rPr>
              <w:t>Barisal</w:t>
            </w:r>
          </w:p>
        </w:tc>
        <w:tc>
          <w:tcPr>
            <w:tcW w:w="1187" w:type="pct"/>
          </w:tcPr>
          <w:p w:rsidR="003A2650" w:rsidRDefault="003A2650">
            <w:pPr>
              <w:rPr>
                <w:rFonts w:ascii="Calibri" w:hAnsi="Calibri"/>
                <w:sz w:val="18"/>
                <w:szCs w:val="18"/>
              </w:rPr>
            </w:pPr>
            <w:r>
              <w:rPr>
                <w:rFonts w:ascii="Calibri" w:hAnsi="Calibri"/>
                <w:sz w:val="18"/>
                <w:szCs w:val="18"/>
              </w:rPr>
              <w:t>Wazirpur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41</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Kishoregonj</w:t>
            </w:r>
          </w:p>
        </w:tc>
        <w:tc>
          <w:tcPr>
            <w:tcW w:w="1194" w:type="pct"/>
          </w:tcPr>
          <w:p w:rsidR="003A2650" w:rsidRDefault="003A2650">
            <w:pPr>
              <w:rPr>
                <w:rFonts w:ascii="Calibri" w:hAnsi="Calibri"/>
                <w:sz w:val="18"/>
                <w:szCs w:val="18"/>
              </w:rPr>
            </w:pPr>
            <w:r>
              <w:rPr>
                <w:rFonts w:ascii="Calibri" w:hAnsi="Calibri"/>
                <w:sz w:val="18"/>
                <w:szCs w:val="18"/>
              </w:rPr>
              <w:t>Nikli</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41</w:t>
            </w:r>
          </w:p>
        </w:tc>
        <w:tc>
          <w:tcPr>
            <w:tcW w:w="1188" w:type="pct"/>
          </w:tcPr>
          <w:p w:rsidR="003A2650" w:rsidRDefault="003A2650">
            <w:pPr>
              <w:rPr>
                <w:rFonts w:ascii="Calibri" w:hAnsi="Calibri"/>
                <w:sz w:val="18"/>
                <w:szCs w:val="18"/>
              </w:rPr>
            </w:pPr>
            <w:r>
              <w:rPr>
                <w:rFonts w:ascii="Calibri" w:hAnsi="Calibri"/>
                <w:sz w:val="18"/>
                <w:szCs w:val="18"/>
              </w:rPr>
              <w:t>Brahmonbaria</w:t>
            </w:r>
          </w:p>
        </w:tc>
        <w:tc>
          <w:tcPr>
            <w:tcW w:w="1187" w:type="pct"/>
          </w:tcPr>
          <w:p w:rsidR="003A2650" w:rsidRDefault="003A2650">
            <w:pPr>
              <w:rPr>
                <w:rFonts w:ascii="Calibri" w:hAnsi="Calibri"/>
                <w:sz w:val="18"/>
                <w:szCs w:val="18"/>
              </w:rPr>
            </w:pPr>
            <w:r>
              <w:rPr>
                <w:rFonts w:ascii="Calibri" w:hAnsi="Calibri"/>
                <w:sz w:val="18"/>
                <w:szCs w:val="18"/>
              </w:rPr>
              <w:t>Bancharampur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42</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Brahmonbaria</w:t>
            </w:r>
          </w:p>
        </w:tc>
        <w:tc>
          <w:tcPr>
            <w:tcW w:w="1194" w:type="pct"/>
          </w:tcPr>
          <w:p w:rsidR="003A2650" w:rsidRDefault="003A2650">
            <w:pPr>
              <w:rPr>
                <w:rFonts w:ascii="Calibri" w:hAnsi="Calibri"/>
                <w:sz w:val="18"/>
                <w:szCs w:val="18"/>
              </w:rPr>
            </w:pPr>
            <w:r>
              <w:rPr>
                <w:rFonts w:ascii="Calibri" w:hAnsi="Calibri"/>
                <w:sz w:val="18"/>
                <w:szCs w:val="18"/>
              </w:rPr>
              <w:t>Sarial</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42</w:t>
            </w:r>
          </w:p>
        </w:tc>
        <w:tc>
          <w:tcPr>
            <w:tcW w:w="1188" w:type="pct"/>
          </w:tcPr>
          <w:p w:rsidR="003A2650" w:rsidRDefault="003A2650">
            <w:pPr>
              <w:rPr>
                <w:rFonts w:ascii="Calibri" w:hAnsi="Calibri"/>
                <w:sz w:val="18"/>
                <w:szCs w:val="18"/>
              </w:rPr>
            </w:pPr>
            <w:r>
              <w:rPr>
                <w:rFonts w:ascii="Calibri" w:hAnsi="Calibri"/>
                <w:sz w:val="18"/>
                <w:szCs w:val="18"/>
              </w:rPr>
              <w:t>Rajshahi</w:t>
            </w:r>
          </w:p>
        </w:tc>
        <w:tc>
          <w:tcPr>
            <w:tcW w:w="1187" w:type="pct"/>
          </w:tcPr>
          <w:p w:rsidR="003A2650" w:rsidRDefault="003A2650">
            <w:pPr>
              <w:rPr>
                <w:rFonts w:ascii="Calibri" w:hAnsi="Calibri"/>
                <w:sz w:val="18"/>
                <w:szCs w:val="18"/>
              </w:rPr>
            </w:pPr>
            <w:r>
              <w:rPr>
                <w:rFonts w:ascii="Calibri" w:hAnsi="Calibri"/>
                <w:sz w:val="18"/>
                <w:szCs w:val="18"/>
              </w:rPr>
              <w:t>Tanore</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43</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Netrokuna</w:t>
            </w:r>
          </w:p>
        </w:tc>
        <w:tc>
          <w:tcPr>
            <w:tcW w:w="1194" w:type="pct"/>
          </w:tcPr>
          <w:p w:rsidR="003A2650" w:rsidRDefault="003A2650">
            <w:pPr>
              <w:rPr>
                <w:rFonts w:ascii="Calibri" w:hAnsi="Calibri"/>
                <w:sz w:val="18"/>
                <w:szCs w:val="18"/>
              </w:rPr>
            </w:pPr>
            <w:r>
              <w:rPr>
                <w:rFonts w:ascii="Calibri" w:hAnsi="Calibri"/>
                <w:sz w:val="18"/>
                <w:szCs w:val="18"/>
              </w:rPr>
              <w:t>Nalitabari</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43</w:t>
            </w:r>
          </w:p>
        </w:tc>
        <w:tc>
          <w:tcPr>
            <w:tcW w:w="1188" w:type="pct"/>
          </w:tcPr>
          <w:p w:rsidR="003A2650" w:rsidRDefault="003A2650">
            <w:pPr>
              <w:rPr>
                <w:rFonts w:ascii="Calibri" w:hAnsi="Calibri"/>
                <w:sz w:val="18"/>
                <w:szCs w:val="18"/>
              </w:rPr>
            </w:pPr>
            <w:r>
              <w:rPr>
                <w:rFonts w:ascii="Calibri" w:hAnsi="Calibri"/>
                <w:sz w:val="18"/>
                <w:szCs w:val="18"/>
              </w:rPr>
              <w:t>Magura</w:t>
            </w:r>
          </w:p>
        </w:tc>
        <w:tc>
          <w:tcPr>
            <w:tcW w:w="1187" w:type="pct"/>
          </w:tcPr>
          <w:p w:rsidR="003A2650" w:rsidRDefault="003A2650">
            <w:pPr>
              <w:rPr>
                <w:rFonts w:ascii="Calibri" w:hAnsi="Calibri"/>
                <w:sz w:val="18"/>
                <w:szCs w:val="18"/>
              </w:rPr>
            </w:pPr>
            <w:r>
              <w:rPr>
                <w:rFonts w:ascii="Calibri" w:hAnsi="Calibri"/>
                <w:sz w:val="18"/>
                <w:szCs w:val="18"/>
              </w:rPr>
              <w:t>Sreepur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44</w:t>
            </w:r>
          </w:p>
        </w:tc>
        <w:tc>
          <w:tcPr>
            <w:tcW w:w="696" w:type="pct"/>
            <w:vAlign w:val="bottom"/>
          </w:tcPr>
          <w:p w:rsidR="003A2650" w:rsidRPr="005F120D" w:rsidRDefault="003A2650" w:rsidP="003854D9">
            <w:pPr>
              <w:spacing w:after="0"/>
              <w:rPr>
                <w:rFonts w:asciiTheme="minorHAnsi" w:hAnsiTheme="minorHAnsi" w:cstheme="minorHAnsi"/>
                <w:sz w:val="18"/>
                <w:szCs w:val="18"/>
              </w:rPr>
            </w:pPr>
            <w:r w:rsidRPr="005F120D">
              <w:rPr>
                <w:rFonts w:asciiTheme="minorHAnsi" w:hAnsiTheme="minorHAnsi" w:cstheme="minorHAnsi"/>
                <w:sz w:val="18"/>
                <w:szCs w:val="18"/>
              </w:rPr>
              <w:t>S</w:t>
            </w:r>
            <w:r>
              <w:rPr>
                <w:rFonts w:asciiTheme="minorHAnsi" w:hAnsiTheme="minorHAnsi" w:cstheme="minorHAnsi"/>
                <w:sz w:val="18"/>
                <w:szCs w:val="18"/>
              </w:rPr>
              <w:t>hariatpur</w:t>
            </w:r>
          </w:p>
        </w:tc>
        <w:tc>
          <w:tcPr>
            <w:tcW w:w="1194" w:type="pct"/>
          </w:tcPr>
          <w:p w:rsidR="003A2650" w:rsidRDefault="003A2650">
            <w:pPr>
              <w:rPr>
                <w:rFonts w:ascii="Calibri" w:hAnsi="Calibri"/>
                <w:sz w:val="18"/>
                <w:szCs w:val="18"/>
              </w:rPr>
            </w:pPr>
            <w:r>
              <w:rPr>
                <w:rFonts w:ascii="Calibri" w:hAnsi="Calibri"/>
                <w:sz w:val="18"/>
                <w:szCs w:val="18"/>
              </w:rPr>
              <w:t>Goshairhat</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44</w:t>
            </w:r>
          </w:p>
        </w:tc>
        <w:tc>
          <w:tcPr>
            <w:tcW w:w="1188" w:type="pct"/>
          </w:tcPr>
          <w:p w:rsidR="003A2650" w:rsidRDefault="003A2650">
            <w:pPr>
              <w:rPr>
                <w:rFonts w:ascii="Calibri" w:hAnsi="Calibri"/>
                <w:sz w:val="18"/>
                <w:szCs w:val="18"/>
              </w:rPr>
            </w:pPr>
            <w:r>
              <w:rPr>
                <w:rFonts w:ascii="Calibri" w:hAnsi="Calibri"/>
                <w:sz w:val="18"/>
                <w:szCs w:val="18"/>
              </w:rPr>
              <w:t>Rajshahi</w:t>
            </w:r>
          </w:p>
        </w:tc>
        <w:tc>
          <w:tcPr>
            <w:tcW w:w="1187" w:type="pct"/>
          </w:tcPr>
          <w:p w:rsidR="003A2650" w:rsidRDefault="003A2650">
            <w:pPr>
              <w:rPr>
                <w:rFonts w:ascii="Calibri" w:hAnsi="Calibri"/>
                <w:sz w:val="18"/>
                <w:szCs w:val="18"/>
              </w:rPr>
            </w:pPr>
            <w:r>
              <w:rPr>
                <w:rFonts w:ascii="Calibri" w:hAnsi="Calibri"/>
                <w:sz w:val="18"/>
                <w:szCs w:val="18"/>
              </w:rPr>
              <w:t>Godagari</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45</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Sylhet</w:t>
            </w:r>
          </w:p>
        </w:tc>
        <w:tc>
          <w:tcPr>
            <w:tcW w:w="1194" w:type="pct"/>
          </w:tcPr>
          <w:p w:rsidR="003A2650" w:rsidRDefault="003A2650">
            <w:pPr>
              <w:rPr>
                <w:rFonts w:ascii="Calibri" w:hAnsi="Calibri"/>
                <w:sz w:val="18"/>
                <w:szCs w:val="18"/>
              </w:rPr>
            </w:pPr>
            <w:r>
              <w:rPr>
                <w:rFonts w:ascii="Calibri" w:hAnsi="Calibri"/>
                <w:sz w:val="18"/>
                <w:szCs w:val="18"/>
              </w:rPr>
              <w:t>Sylhet Sadar</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45</w:t>
            </w:r>
          </w:p>
        </w:tc>
        <w:tc>
          <w:tcPr>
            <w:tcW w:w="1188" w:type="pct"/>
          </w:tcPr>
          <w:p w:rsidR="003A2650" w:rsidRDefault="003A2650">
            <w:pPr>
              <w:rPr>
                <w:rFonts w:ascii="Calibri" w:hAnsi="Calibri"/>
                <w:sz w:val="18"/>
                <w:szCs w:val="18"/>
              </w:rPr>
            </w:pPr>
            <w:r>
              <w:rPr>
                <w:rFonts w:ascii="Calibri" w:hAnsi="Calibri"/>
                <w:sz w:val="18"/>
                <w:szCs w:val="18"/>
              </w:rPr>
              <w:t>Natore</w:t>
            </w:r>
          </w:p>
        </w:tc>
        <w:tc>
          <w:tcPr>
            <w:tcW w:w="1187" w:type="pct"/>
          </w:tcPr>
          <w:p w:rsidR="003A2650" w:rsidRDefault="003A2650">
            <w:pPr>
              <w:rPr>
                <w:rFonts w:ascii="Calibri" w:hAnsi="Calibri"/>
                <w:sz w:val="18"/>
                <w:szCs w:val="18"/>
              </w:rPr>
            </w:pPr>
            <w:r>
              <w:rPr>
                <w:rFonts w:ascii="Calibri" w:hAnsi="Calibri"/>
                <w:sz w:val="18"/>
                <w:szCs w:val="18"/>
              </w:rPr>
              <w:t>Bagatipara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46</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Sherpur</w:t>
            </w:r>
          </w:p>
        </w:tc>
        <w:tc>
          <w:tcPr>
            <w:tcW w:w="1194" w:type="pct"/>
          </w:tcPr>
          <w:p w:rsidR="003A2650" w:rsidRDefault="003A2650">
            <w:pPr>
              <w:rPr>
                <w:rFonts w:ascii="Calibri" w:hAnsi="Calibri"/>
                <w:sz w:val="18"/>
                <w:szCs w:val="18"/>
              </w:rPr>
            </w:pPr>
            <w:r>
              <w:rPr>
                <w:rFonts w:ascii="Calibri" w:hAnsi="Calibri"/>
                <w:sz w:val="18"/>
                <w:szCs w:val="18"/>
              </w:rPr>
              <w:t>Sreebordi</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46</w:t>
            </w:r>
          </w:p>
        </w:tc>
        <w:tc>
          <w:tcPr>
            <w:tcW w:w="1188" w:type="pct"/>
          </w:tcPr>
          <w:p w:rsidR="003A2650" w:rsidRDefault="003A2650">
            <w:pPr>
              <w:rPr>
                <w:rFonts w:ascii="Calibri" w:hAnsi="Calibri"/>
                <w:sz w:val="18"/>
                <w:szCs w:val="18"/>
              </w:rPr>
            </w:pPr>
            <w:r>
              <w:rPr>
                <w:rFonts w:ascii="Calibri" w:hAnsi="Calibri"/>
                <w:sz w:val="18"/>
                <w:szCs w:val="18"/>
              </w:rPr>
              <w:t>Munshiganj</w:t>
            </w:r>
          </w:p>
        </w:tc>
        <w:tc>
          <w:tcPr>
            <w:tcW w:w="1187" w:type="pct"/>
          </w:tcPr>
          <w:p w:rsidR="003A2650" w:rsidRDefault="003A2650">
            <w:pPr>
              <w:rPr>
                <w:rFonts w:ascii="Calibri" w:hAnsi="Calibri"/>
                <w:sz w:val="18"/>
                <w:szCs w:val="18"/>
              </w:rPr>
            </w:pPr>
            <w:r>
              <w:rPr>
                <w:rFonts w:ascii="Calibri" w:hAnsi="Calibri"/>
                <w:sz w:val="18"/>
                <w:szCs w:val="18"/>
              </w:rPr>
              <w:t>Gazaria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47</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Gaibandha</w:t>
            </w:r>
          </w:p>
        </w:tc>
        <w:tc>
          <w:tcPr>
            <w:tcW w:w="1194" w:type="pct"/>
          </w:tcPr>
          <w:p w:rsidR="003A2650" w:rsidRDefault="003A2650">
            <w:pPr>
              <w:rPr>
                <w:rFonts w:ascii="Calibri" w:hAnsi="Calibri"/>
                <w:sz w:val="18"/>
                <w:szCs w:val="18"/>
              </w:rPr>
            </w:pPr>
            <w:r>
              <w:rPr>
                <w:rFonts w:ascii="Calibri" w:hAnsi="Calibri"/>
                <w:sz w:val="18"/>
                <w:szCs w:val="18"/>
              </w:rPr>
              <w:t>Shundargonj</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47</w:t>
            </w:r>
          </w:p>
        </w:tc>
        <w:tc>
          <w:tcPr>
            <w:tcW w:w="1188" w:type="pct"/>
          </w:tcPr>
          <w:p w:rsidR="003A2650" w:rsidRDefault="003A2650">
            <w:pPr>
              <w:rPr>
                <w:rFonts w:ascii="Calibri" w:hAnsi="Calibri"/>
                <w:sz w:val="18"/>
                <w:szCs w:val="18"/>
              </w:rPr>
            </w:pPr>
            <w:r>
              <w:rPr>
                <w:rFonts w:ascii="Calibri" w:hAnsi="Calibri"/>
                <w:sz w:val="18"/>
                <w:szCs w:val="18"/>
              </w:rPr>
              <w:t>Natore</w:t>
            </w:r>
          </w:p>
        </w:tc>
        <w:tc>
          <w:tcPr>
            <w:tcW w:w="1187" w:type="pct"/>
          </w:tcPr>
          <w:p w:rsidR="003A2650" w:rsidRDefault="003A2650">
            <w:pPr>
              <w:rPr>
                <w:rFonts w:ascii="Calibri" w:hAnsi="Calibri"/>
                <w:sz w:val="18"/>
                <w:szCs w:val="18"/>
              </w:rPr>
            </w:pPr>
            <w:r>
              <w:rPr>
                <w:rFonts w:ascii="Calibri" w:hAnsi="Calibri"/>
                <w:sz w:val="18"/>
                <w:szCs w:val="18"/>
              </w:rPr>
              <w:t>Lalpur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48</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Comilla</w:t>
            </w:r>
          </w:p>
        </w:tc>
        <w:tc>
          <w:tcPr>
            <w:tcW w:w="1194" w:type="pct"/>
          </w:tcPr>
          <w:p w:rsidR="003A2650" w:rsidRDefault="003A2650">
            <w:pPr>
              <w:rPr>
                <w:rFonts w:ascii="Calibri" w:hAnsi="Calibri"/>
                <w:sz w:val="18"/>
                <w:szCs w:val="18"/>
              </w:rPr>
            </w:pPr>
            <w:r>
              <w:rPr>
                <w:rFonts w:ascii="Calibri" w:hAnsi="Calibri"/>
                <w:sz w:val="18"/>
                <w:szCs w:val="18"/>
              </w:rPr>
              <w:t>Nangalkot</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48</w:t>
            </w:r>
          </w:p>
        </w:tc>
        <w:tc>
          <w:tcPr>
            <w:tcW w:w="1188" w:type="pct"/>
          </w:tcPr>
          <w:p w:rsidR="003A2650" w:rsidRDefault="003A2650">
            <w:pPr>
              <w:rPr>
                <w:rFonts w:ascii="Calibri" w:hAnsi="Calibri"/>
                <w:sz w:val="18"/>
                <w:szCs w:val="18"/>
              </w:rPr>
            </w:pPr>
            <w:r>
              <w:rPr>
                <w:rFonts w:ascii="Calibri" w:hAnsi="Calibri"/>
                <w:sz w:val="18"/>
                <w:szCs w:val="18"/>
              </w:rPr>
              <w:t>Chittagong</w:t>
            </w:r>
          </w:p>
        </w:tc>
        <w:tc>
          <w:tcPr>
            <w:tcW w:w="1187" w:type="pct"/>
          </w:tcPr>
          <w:p w:rsidR="003A2650" w:rsidRDefault="003A2650">
            <w:pPr>
              <w:rPr>
                <w:rFonts w:ascii="Calibri" w:hAnsi="Calibri"/>
                <w:sz w:val="18"/>
                <w:szCs w:val="18"/>
              </w:rPr>
            </w:pPr>
            <w:r>
              <w:rPr>
                <w:rFonts w:ascii="Calibri" w:hAnsi="Calibri"/>
                <w:sz w:val="18"/>
                <w:szCs w:val="18"/>
              </w:rPr>
              <w:t>Patiya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49</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Nipphamari</w:t>
            </w:r>
          </w:p>
        </w:tc>
        <w:tc>
          <w:tcPr>
            <w:tcW w:w="1194" w:type="pct"/>
          </w:tcPr>
          <w:p w:rsidR="003A2650" w:rsidRDefault="003A2650">
            <w:pPr>
              <w:rPr>
                <w:rFonts w:ascii="Calibri" w:hAnsi="Calibri"/>
                <w:sz w:val="18"/>
                <w:szCs w:val="18"/>
              </w:rPr>
            </w:pPr>
            <w:r>
              <w:rPr>
                <w:rFonts w:ascii="Calibri" w:hAnsi="Calibri"/>
                <w:sz w:val="18"/>
                <w:szCs w:val="18"/>
              </w:rPr>
              <w:t>Kishoregonj</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49</w:t>
            </w:r>
          </w:p>
        </w:tc>
        <w:tc>
          <w:tcPr>
            <w:tcW w:w="1188" w:type="pct"/>
          </w:tcPr>
          <w:p w:rsidR="003A2650" w:rsidRDefault="003A2650">
            <w:pPr>
              <w:rPr>
                <w:rFonts w:ascii="Calibri" w:hAnsi="Calibri"/>
                <w:sz w:val="18"/>
                <w:szCs w:val="18"/>
              </w:rPr>
            </w:pPr>
            <w:r>
              <w:rPr>
                <w:rFonts w:ascii="Calibri" w:hAnsi="Calibri"/>
                <w:sz w:val="18"/>
                <w:szCs w:val="18"/>
              </w:rPr>
              <w:t>Jessore</w:t>
            </w:r>
          </w:p>
        </w:tc>
        <w:tc>
          <w:tcPr>
            <w:tcW w:w="1187" w:type="pct"/>
          </w:tcPr>
          <w:p w:rsidR="003A2650" w:rsidRDefault="003A2650">
            <w:pPr>
              <w:rPr>
                <w:rFonts w:ascii="Calibri" w:hAnsi="Calibri"/>
                <w:sz w:val="18"/>
                <w:szCs w:val="18"/>
              </w:rPr>
            </w:pPr>
            <w:r>
              <w:rPr>
                <w:rFonts w:ascii="Calibri" w:hAnsi="Calibri"/>
                <w:sz w:val="18"/>
                <w:szCs w:val="18"/>
              </w:rPr>
              <w:t>Avoynagar</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50</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Theme="minorHAnsi" w:hAnsiTheme="minorHAnsi" w:cstheme="minorHAnsi"/>
                <w:sz w:val="18"/>
                <w:szCs w:val="18"/>
              </w:rPr>
              <w:t>Comilla</w:t>
            </w:r>
          </w:p>
        </w:tc>
        <w:tc>
          <w:tcPr>
            <w:tcW w:w="1194" w:type="pct"/>
          </w:tcPr>
          <w:p w:rsidR="003A2650" w:rsidRDefault="003A2650">
            <w:pPr>
              <w:rPr>
                <w:rFonts w:ascii="Calibri" w:hAnsi="Calibri"/>
                <w:sz w:val="18"/>
                <w:szCs w:val="18"/>
              </w:rPr>
            </w:pPr>
            <w:r>
              <w:rPr>
                <w:rFonts w:ascii="Calibri" w:hAnsi="Calibri"/>
                <w:sz w:val="18"/>
                <w:szCs w:val="18"/>
              </w:rPr>
              <w:t>Monohorganj</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50</w:t>
            </w:r>
          </w:p>
        </w:tc>
        <w:tc>
          <w:tcPr>
            <w:tcW w:w="1188" w:type="pct"/>
          </w:tcPr>
          <w:p w:rsidR="003A2650" w:rsidRDefault="003A2650">
            <w:pPr>
              <w:rPr>
                <w:rFonts w:ascii="Calibri" w:hAnsi="Calibri"/>
                <w:sz w:val="18"/>
                <w:szCs w:val="18"/>
              </w:rPr>
            </w:pPr>
            <w:r>
              <w:rPr>
                <w:rFonts w:ascii="Calibri" w:hAnsi="Calibri"/>
                <w:sz w:val="18"/>
                <w:szCs w:val="18"/>
              </w:rPr>
              <w:t>Brahmonbaria</w:t>
            </w:r>
          </w:p>
        </w:tc>
        <w:tc>
          <w:tcPr>
            <w:tcW w:w="1187" w:type="pct"/>
          </w:tcPr>
          <w:p w:rsidR="003A2650" w:rsidRDefault="003A2650">
            <w:pPr>
              <w:rPr>
                <w:rFonts w:ascii="Calibri" w:hAnsi="Calibri"/>
                <w:sz w:val="18"/>
                <w:szCs w:val="18"/>
              </w:rPr>
            </w:pPr>
            <w:r>
              <w:rPr>
                <w:rFonts w:ascii="Calibri" w:hAnsi="Calibri"/>
                <w:sz w:val="18"/>
                <w:szCs w:val="18"/>
              </w:rPr>
              <w:t>Akhaura</w:t>
            </w:r>
          </w:p>
        </w:tc>
      </w:tr>
      <w:tr w:rsidR="003A2650" w:rsidRPr="005F120D" w:rsidTr="008720BA">
        <w:trPr>
          <w:trHeight w:hRule="exact" w:val="288"/>
        </w:trPr>
        <w:tc>
          <w:tcPr>
            <w:tcW w:w="341"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51</w:t>
            </w:r>
          </w:p>
        </w:tc>
        <w:tc>
          <w:tcPr>
            <w:tcW w:w="696" w:type="pct"/>
            <w:vAlign w:val="bottom"/>
          </w:tcPr>
          <w:p w:rsidR="003A2650" w:rsidRPr="005F120D" w:rsidRDefault="003A2650" w:rsidP="00B25E46">
            <w:pPr>
              <w:spacing w:after="0"/>
              <w:rPr>
                <w:rFonts w:asciiTheme="minorHAnsi" w:hAnsiTheme="minorHAnsi" w:cstheme="minorHAnsi"/>
                <w:sz w:val="18"/>
                <w:szCs w:val="18"/>
              </w:rPr>
            </w:pPr>
            <w:r>
              <w:rPr>
                <w:rFonts w:ascii="Calibri" w:hAnsi="Calibri"/>
                <w:sz w:val="18"/>
                <w:szCs w:val="18"/>
              </w:rPr>
              <w:t>Mymensingh</w:t>
            </w:r>
          </w:p>
        </w:tc>
        <w:tc>
          <w:tcPr>
            <w:tcW w:w="1194" w:type="pct"/>
          </w:tcPr>
          <w:p w:rsidR="003A2650" w:rsidRDefault="003A2650">
            <w:pPr>
              <w:rPr>
                <w:rFonts w:ascii="Calibri" w:hAnsi="Calibri"/>
                <w:sz w:val="18"/>
                <w:szCs w:val="18"/>
              </w:rPr>
            </w:pPr>
            <w:r>
              <w:rPr>
                <w:rFonts w:ascii="Calibri" w:hAnsi="Calibri"/>
                <w:sz w:val="18"/>
                <w:szCs w:val="18"/>
              </w:rPr>
              <w:t>Trishal</w:t>
            </w:r>
          </w:p>
        </w:tc>
        <w:tc>
          <w:tcPr>
            <w:tcW w:w="393" w:type="pct"/>
          </w:tcPr>
          <w:p w:rsidR="003A2650" w:rsidRPr="005F120D" w:rsidRDefault="003A2650"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51</w:t>
            </w:r>
          </w:p>
        </w:tc>
        <w:tc>
          <w:tcPr>
            <w:tcW w:w="1188" w:type="pct"/>
          </w:tcPr>
          <w:p w:rsidR="003A2650" w:rsidRDefault="003A2650">
            <w:pPr>
              <w:rPr>
                <w:rFonts w:ascii="Calibri" w:hAnsi="Calibri"/>
                <w:sz w:val="18"/>
                <w:szCs w:val="18"/>
              </w:rPr>
            </w:pPr>
            <w:r>
              <w:rPr>
                <w:rFonts w:ascii="Calibri" w:hAnsi="Calibri"/>
                <w:sz w:val="18"/>
                <w:szCs w:val="18"/>
              </w:rPr>
              <w:t>Faridpur</w:t>
            </w:r>
          </w:p>
        </w:tc>
        <w:tc>
          <w:tcPr>
            <w:tcW w:w="1187" w:type="pct"/>
          </w:tcPr>
          <w:p w:rsidR="003A2650" w:rsidRDefault="003A2650">
            <w:pPr>
              <w:rPr>
                <w:rFonts w:ascii="Calibri" w:hAnsi="Calibri"/>
                <w:sz w:val="18"/>
                <w:szCs w:val="18"/>
              </w:rPr>
            </w:pPr>
            <w:r>
              <w:rPr>
                <w:rFonts w:ascii="Calibri" w:hAnsi="Calibri"/>
                <w:sz w:val="18"/>
                <w:szCs w:val="18"/>
              </w:rPr>
              <w:t>Madhukhali</w:t>
            </w:r>
          </w:p>
        </w:tc>
      </w:tr>
    </w:tbl>
    <w:p w:rsidR="00D66F36" w:rsidRPr="005F120D" w:rsidRDefault="00865470" w:rsidP="00B25E46">
      <w:pPr>
        <w:spacing w:after="0"/>
        <w:rPr>
          <w:rFonts w:asciiTheme="minorHAnsi" w:hAnsiTheme="minorHAnsi" w:cstheme="minorHAnsi"/>
          <w:b/>
          <w:sz w:val="16"/>
          <w:szCs w:val="16"/>
        </w:rPr>
      </w:pPr>
      <w:r w:rsidRPr="005F120D">
        <w:rPr>
          <w:rFonts w:asciiTheme="minorHAnsi" w:hAnsiTheme="minorHAnsi" w:cstheme="minorHAnsi"/>
          <w:b/>
          <w:sz w:val="16"/>
          <w:szCs w:val="16"/>
        </w:rPr>
        <w:t>Source: APSC 2015</w:t>
      </w:r>
    </w:p>
    <w:p w:rsidR="00A75660" w:rsidRPr="005F120D" w:rsidRDefault="00A75660" w:rsidP="00B25E46">
      <w:pPr>
        <w:spacing w:after="0"/>
        <w:rPr>
          <w:rFonts w:asciiTheme="minorHAnsi" w:hAnsiTheme="minorHAnsi" w:cstheme="minorHAnsi"/>
          <w:color w:val="FF0000"/>
        </w:rPr>
      </w:pPr>
      <w:bookmarkStart w:id="648" w:name="_Toc338856209"/>
      <w:bookmarkStart w:id="649" w:name="_Toc385242145"/>
      <w:bookmarkStart w:id="650" w:name="_Toc385245773"/>
    </w:p>
    <w:p w:rsidR="00A75660" w:rsidRPr="005F120D" w:rsidRDefault="00A75660" w:rsidP="00B25E46">
      <w:pPr>
        <w:spacing w:after="0"/>
        <w:rPr>
          <w:rFonts w:asciiTheme="minorHAnsi" w:hAnsiTheme="minorHAnsi" w:cstheme="minorHAnsi"/>
          <w:color w:val="FF0000"/>
        </w:rPr>
      </w:pPr>
    </w:p>
    <w:p w:rsidR="00A75660" w:rsidRPr="005F120D" w:rsidRDefault="00A75660" w:rsidP="00B25E46">
      <w:pPr>
        <w:spacing w:after="0"/>
        <w:rPr>
          <w:rFonts w:asciiTheme="minorHAnsi" w:hAnsiTheme="minorHAnsi" w:cstheme="minorHAnsi"/>
          <w:b/>
          <w:color w:val="FF0000"/>
          <w:sz w:val="32"/>
          <w:lang w:val="en-GB"/>
        </w:rPr>
      </w:pPr>
      <w:bookmarkStart w:id="651" w:name="_Toc338856203"/>
      <w:bookmarkStart w:id="652" w:name="_Toc385242138"/>
      <w:bookmarkStart w:id="653" w:name="_Toc385245769"/>
      <w:bookmarkStart w:id="654" w:name="_Toc385419536"/>
      <w:r w:rsidRPr="005F120D">
        <w:rPr>
          <w:rFonts w:asciiTheme="minorHAnsi" w:hAnsiTheme="minorHAnsi" w:cstheme="minorHAnsi"/>
          <w:color w:val="FF0000"/>
        </w:rPr>
        <w:br w:type="page"/>
      </w:r>
    </w:p>
    <w:p w:rsidR="00A75660" w:rsidRPr="005F120D" w:rsidRDefault="00A75660" w:rsidP="00B25E46">
      <w:pPr>
        <w:pStyle w:val="Heading1NONUM"/>
        <w:rPr>
          <w:rFonts w:cstheme="minorHAnsi"/>
          <w:color w:val="008000"/>
        </w:rPr>
      </w:pPr>
      <w:bookmarkStart w:id="655" w:name="_Toc462837209"/>
      <w:r w:rsidRPr="005F120D">
        <w:rPr>
          <w:rFonts w:cstheme="minorHAnsi"/>
          <w:color w:val="008000"/>
        </w:rPr>
        <w:lastRenderedPageBreak/>
        <w:t xml:space="preserve">Annex </w:t>
      </w:r>
      <w:r w:rsidR="00D011E9" w:rsidRPr="005F120D">
        <w:rPr>
          <w:rFonts w:cstheme="minorHAnsi"/>
          <w:color w:val="008000"/>
        </w:rPr>
        <w:t>D</w:t>
      </w:r>
      <w:r w:rsidRPr="005F120D">
        <w:rPr>
          <w:rFonts w:cstheme="minorHAnsi"/>
          <w:color w:val="008000"/>
        </w:rPr>
        <w:t>: Upazila performance on selected PSQL indicators in 201</w:t>
      </w:r>
      <w:bookmarkEnd w:id="651"/>
      <w:bookmarkEnd w:id="652"/>
      <w:bookmarkEnd w:id="653"/>
      <w:bookmarkEnd w:id="654"/>
      <w:r w:rsidR="00191706" w:rsidRPr="005F120D">
        <w:rPr>
          <w:rFonts w:cstheme="minorHAnsi"/>
          <w:color w:val="008000"/>
        </w:rPr>
        <w:t>5</w:t>
      </w:r>
      <w:bookmarkEnd w:id="655"/>
    </w:p>
    <w:p w:rsidR="00A75660" w:rsidRPr="005F120D" w:rsidRDefault="00E84BCD" w:rsidP="00B25E46">
      <w:pPr>
        <w:rPr>
          <w:rFonts w:asciiTheme="minorHAnsi" w:hAnsiTheme="minorHAnsi" w:cstheme="minorHAnsi"/>
        </w:rPr>
      </w:pPr>
      <w:r w:rsidRPr="005F120D">
        <w:rPr>
          <w:rFonts w:asciiTheme="minorHAnsi" w:hAnsiTheme="minorHAnsi" w:cstheme="minorHAnsi"/>
        </w:rPr>
        <w:t xml:space="preserve">The following </w:t>
      </w:r>
      <w:r w:rsidR="00E410D7" w:rsidRPr="005F120D">
        <w:rPr>
          <w:rFonts w:asciiTheme="minorHAnsi" w:hAnsiTheme="minorHAnsi" w:cstheme="minorHAnsi"/>
        </w:rPr>
        <w:t>Table l</w:t>
      </w:r>
      <w:r w:rsidR="00376227" w:rsidRPr="005F120D">
        <w:rPr>
          <w:rFonts w:asciiTheme="minorHAnsi" w:hAnsiTheme="minorHAnsi" w:cstheme="minorHAnsi"/>
        </w:rPr>
        <w:t>ists</w:t>
      </w:r>
      <w:r w:rsidR="00A75660" w:rsidRPr="005F120D">
        <w:rPr>
          <w:rFonts w:asciiTheme="minorHAnsi" w:hAnsiTheme="minorHAnsi" w:cstheme="minorHAnsi"/>
        </w:rPr>
        <w:t xml:space="preserve"> the 10% highest and 10% lowest performing Upazilas based on average percentage of schools meeting 3 out 4 PSQL Indicators</w:t>
      </w:r>
    </w:p>
    <w:tbl>
      <w:tblPr>
        <w:tblStyle w:val="TableGrid"/>
        <w:tblW w:w="5000" w:type="pct"/>
        <w:tblLook w:val="04A0"/>
      </w:tblPr>
      <w:tblGrid>
        <w:gridCol w:w="576"/>
        <w:gridCol w:w="1180"/>
        <w:gridCol w:w="2328"/>
        <w:gridCol w:w="581"/>
        <w:gridCol w:w="2293"/>
        <w:gridCol w:w="2287"/>
      </w:tblGrid>
      <w:tr w:rsidR="007217B1" w:rsidRPr="005F120D" w:rsidTr="00CF6665">
        <w:trPr>
          <w:trHeight w:hRule="exact" w:val="550"/>
          <w:tblHeader/>
        </w:trPr>
        <w:tc>
          <w:tcPr>
            <w:tcW w:w="312" w:type="pct"/>
            <w:shd w:val="clear" w:color="auto" w:fill="76923C" w:themeFill="accent3" w:themeFillShade="BF"/>
          </w:tcPr>
          <w:p w:rsidR="007217B1" w:rsidRPr="00C77C3A" w:rsidRDefault="007217B1" w:rsidP="00B25E46">
            <w:pPr>
              <w:jc w:val="center"/>
              <w:rPr>
                <w:rFonts w:asciiTheme="minorHAnsi" w:hAnsiTheme="minorHAnsi" w:cstheme="minorHAnsi"/>
                <w:b/>
                <w:color w:val="FFFFFF" w:themeColor="background1"/>
                <w:sz w:val="20"/>
                <w:szCs w:val="20"/>
              </w:rPr>
            </w:pPr>
            <w:r w:rsidRPr="00C77C3A">
              <w:rPr>
                <w:rFonts w:asciiTheme="minorHAnsi" w:hAnsiTheme="minorHAnsi" w:cstheme="minorHAnsi"/>
                <w:b/>
                <w:color w:val="FFFFFF" w:themeColor="background1"/>
                <w:sz w:val="20"/>
                <w:szCs w:val="20"/>
              </w:rPr>
              <w:t>SL. #</w:t>
            </w:r>
          </w:p>
        </w:tc>
        <w:tc>
          <w:tcPr>
            <w:tcW w:w="638" w:type="pct"/>
            <w:shd w:val="clear" w:color="auto" w:fill="76923C" w:themeFill="accent3" w:themeFillShade="BF"/>
          </w:tcPr>
          <w:p w:rsidR="007217B1" w:rsidRPr="00C77C3A" w:rsidRDefault="007217B1" w:rsidP="00B25E46">
            <w:pPr>
              <w:jc w:val="center"/>
              <w:rPr>
                <w:rFonts w:asciiTheme="minorHAnsi" w:hAnsiTheme="minorHAnsi" w:cstheme="minorHAnsi"/>
                <w:b/>
                <w:color w:val="FFFFFF" w:themeColor="background1"/>
                <w:sz w:val="20"/>
                <w:szCs w:val="20"/>
              </w:rPr>
            </w:pPr>
            <w:r w:rsidRPr="00C77C3A">
              <w:rPr>
                <w:rFonts w:asciiTheme="minorHAnsi" w:hAnsiTheme="minorHAnsi" w:cstheme="minorHAnsi"/>
                <w:b/>
                <w:color w:val="FFFFFF" w:themeColor="background1"/>
                <w:sz w:val="20"/>
                <w:szCs w:val="20"/>
              </w:rPr>
              <w:t>District</w:t>
            </w:r>
          </w:p>
        </w:tc>
        <w:tc>
          <w:tcPr>
            <w:tcW w:w="1259" w:type="pct"/>
            <w:shd w:val="clear" w:color="auto" w:fill="76923C" w:themeFill="accent3" w:themeFillShade="BF"/>
          </w:tcPr>
          <w:p w:rsidR="007217B1" w:rsidRPr="00C77C3A" w:rsidRDefault="007217B1" w:rsidP="00B25E46">
            <w:pPr>
              <w:jc w:val="center"/>
              <w:rPr>
                <w:rFonts w:asciiTheme="minorHAnsi" w:hAnsiTheme="minorHAnsi" w:cstheme="minorHAnsi"/>
                <w:b/>
                <w:color w:val="FFFFFF" w:themeColor="background1"/>
                <w:sz w:val="20"/>
                <w:szCs w:val="20"/>
              </w:rPr>
            </w:pPr>
            <w:r w:rsidRPr="00C77C3A">
              <w:rPr>
                <w:rFonts w:asciiTheme="minorHAnsi" w:hAnsiTheme="minorHAnsi" w:cstheme="minorHAnsi"/>
                <w:b/>
                <w:color w:val="FFFFFF" w:themeColor="background1"/>
                <w:sz w:val="20"/>
                <w:szCs w:val="20"/>
              </w:rPr>
              <w:t>Top 10% Upazilas</w:t>
            </w:r>
          </w:p>
        </w:tc>
        <w:tc>
          <w:tcPr>
            <w:tcW w:w="314" w:type="pct"/>
            <w:shd w:val="clear" w:color="auto" w:fill="76923C" w:themeFill="accent3" w:themeFillShade="BF"/>
          </w:tcPr>
          <w:p w:rsidR="007217B1" w:rsidRPr="00C77C3A" w:rsidRDefault="007217B1" w:rsidP="00B25E46">
            <w:pPr>
              <w:jc w:val="center"/>
              <w:rPr>
                <w:rFonts w:asciiTheme="minorHAnsi" w:hAnsiTheme="minorHAnsi" w:cstheme="minorHAnsi"/>
                <w:b/>
                <w:color w:val="FFFFFF" w:themeColor="background1"/>
                <w:sz w:val="20"/>
                <w:szCs w:val="20"/>
                <w:lang w:eastAsia="ja-JP"/>
              </w:rPr>
            </w:pPr>
            <w:r w:rsidRPr="00C77C3A">
              <w:rPr>
                <w:rFonts w:asciiTheme="minorHAnsi" w:hAnsiTheme="minorHAnsi" w:cstheme="minorHAnsi"/>
                <w:b/>
                <w:color w:val="FFFFFF" w:themeColor="background1"/>
                <w:sz w:val="20"/>
                <w:szCs w:val="20"/>
              </w:rPr>
              <w:t>SL. #</w:t>
            </w:r>
          </w:p>
        </w:tc>
        <w:tc>
          <w:tcPr>
            <w:tcW w:w="1240" w:type="pct"/>
            <w:shd w:val="clear" w:color="auto" w:fill="76923C" w:themeFill="accent3" w:themeFillShade="BF"/>
          </w:tcPr>
          <w:p w:rsidR="007217B1" w:rsidRPr="00C77C3A" w:rsidRDefault="007217B1" w:rsidP="00B25E46">
            <w:pPr>
              <w:jc w:val="center"/>
              <w:rPr>
                <w:rFonts w:asciiTheme="minorHAnsi" w:hAnsiTheme="minorHAnsi" w:cstheme="minorHAnsi"/>
                <w:b/>
                <w:color w:val="FFFFFF" w:themeColor="background1"/>
                <w:sz w:val="20"/>
                <w:szCs w:val="20"/>
              </w:rPr>
            </w:pPr>
            <w:r w:rsidRPr="00C77C3A">
              <w:rPr>
                <w:rFonts w:asciiTheme="minorHAnsi" w:hAnsiTheme="minorHAnsi" w:cstheme="minorHAnsi"/>
                <w:b/>
                <w:color w:val="FFFFFF" w:themeColor="background1"/>
                <w:sz w:val="20"/>
                <w:szCs w:val="20"/>
              </w:rPr>
              <w:t>District</w:t>
            </w:r>
          </w:p>
        </w:tc>
        <w:tc>
          <w:tcPr>
            <w:tcW w:w="1237" w:type="pct"/>
            <w:shd w:val="clear" w:color="auto" w:fill="76923C" w:themeFill="accent3" w:themeFillShade="BF"/>
          </w:tcPr>
          <w:p w:rsidR="007217B1" w:rsidRPr="00C77C3A" w:rsidRDefault="007217B1" w:rsidP="00B25E46">
            <w:pPr>
              <w:jc w:val="center"/>
              <w:rPr>
                <w:rFonts w:asciiTheme="minorHAnsi" w:hAnsiTheme="minorHAnsi" w:cstheme="minorHAnsi"/>
                <w:b/>
                <w:color w:val="FFFFFF" w:themeColor="background1"/>
                <w:sz w:val="20"/>
                <w:szCs w:val="20"/>
              </w:rPr>
            </w:pPr>
            <w:r w:rsidRPr="00C77C3A">
              <w:rPr>
                <w:rFonts w:asciiTheme="minorHAnsi" w:hAnsiTheme="minorHAnsi" w:cstheme="minorHAnsi"/>
                <w:b/>
                <w:color w:val="FFFFFF" w:themeColor="background1"/>
                <w:sz w:val="20"/>
                <w:szCs w:val="20"/>
                <w:lang w:eastAsia="ja-JP"/>
              </w:rPr>
              <w:t>Bottom 10% Upazilas</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w:t>
            </w:r>
          </w:p>
        </w:tc>
        <w:tc>
          <w:tcPr>
            <w:tcW w:w="638" w:type="pct"/>
          </w:tcPr>
          <w:p w:rsidR="00C4327A" w:rsidRDefault="00C4327A">
            <w:pPr>
              <w:rPr>
                <w:rFonts w:ascii="Calibri" w:hAnsi="Calibri"/>
                <w:sz w:val="18"/>
                <w:szCs w:val="18"/>
              </w:rPr>
            </w:pPr>
            <w:r>
              <w:rPr>
                <w:rFonts w:ascii="Calibri" w:hAnsi="Calibri"/>
                <w:sz w:val="18"/>
                <w:szCs w:val="18"/>
              </w:rPr>
              <w:t>Cox's Bazar</w:t>
            </w:r>
          </w:p>
        </w:tc>
        <w:tc>
          <w:tcPr>
            <w:tcW w:w="1259" w:type="pct"/>
          </w:tcPr>
          <w:p w:rsidR="00C4327A" w:rsidRDefault="00C4327A">
            <w:pPr>
              <w:rPr>
                <w:rFonts w:ascii="Calibri" w:hAnsi="Calibri"/>
                <w:sz w:val="18"/>
                <w:szCs w:val="18"/>
              </w:rPr>
            </w:pPr>
            <w:r>
              <w:rPr>
                <w:rFonts w:ascii="Calibri" w:hAnsi="Calibri"/>
                <w:sz w:val="18"/>
                <w:szCs w:val="18"/>
              </w:rPr>
              <w:t>Ramu</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w:t>
            </w:r>
          </w:p>
        </w:tc>
        <w:tc>
          <w:tcPr>
            <w:tcW w:w="1240" w:type="pct"/>
          </w:tcPr>
          <w:p w:rsidR="00C4327A" w:rsidRDefault="00C4327A">
            <w:pPr>
              <w:rPr>
                <w:rFonts w:ascii="Calibri" w:hAnsi="Calibri"/>
                <w:sz w:val="18"/>
                <w:szCs w:val="18"/>
              </w:rPr>
            </w:pPr>
            <w:r>
              <w:rPr>
                <w:rFonts w:ascii="Calibri" w:hAnsi="Calibri"/>
                <w:sz w:val="18"/>
                <w:szCs w:val="18"/>
              </w:rPr>
              <w:t>Nilphamari</w:t>
            </w:r>
          </w:p>
        </w:tc>
        <w:tc>
          <w:tcPr>
            <w:tcW w:w="1237" w:type="pct"/>
          </w:tcPr>
          <w:p w:rsidR="00C4327A" w:rsidRDefault="00C4327A">
            <w:pPr>
              <w:rPr>
                <w:rFonts w:ascii="Calibri" w:hAnsi="Calibri"/>
                <w:sz w:val="18"/>
                <w:szCs w:val="18"/>
              </w:rPr>
            </w:pPr>
            <w:r>
              <w:rPr>
                <w:rFonts w:ascii="Calibri" w:hAnsi="Calibri"/>
                <w:sz w:val="18"/>
                <w:szCs w:val="18"/>
              </w:rPr>
              <w:t>Jhaldhaka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w:t>
            </w:r>
          </w:p>
        </w:tc>
        <w:tc>
          <w:tcPr>
            <w:tcW w:w="638" w:type="pct"/>
          </w:tcPr>
          <w:p w:rsidR="00C4327A" w:rsidRDefault="00C4327A">
            <w:pPr>
              <w:rPr>
                <w:rFonts w:ascii="Calibri" w:hAnsi="Calibri"/>
                <w:sz w:val="18"/>
                <w:szCs w:val="18"/>
              </w:rPr>
            </w:pPr>
            <w:r>
              <w:rPr>
                <w:rFonts w:ascii="Calibri" w:hAnsi="Calibri"/>
                <w:sz w:val="18"/>
                <w:szCs w:val="18"/>
              </w:rPr>
              <w:t>Thakurgaon</w:t>
            </w:r>
          </w:p>
        </w:tc>
        <w:tc>
          <w:tcPr>
            <w:tcW w:w="1259" w:type="pct"/>
            <w:vAlign w:val="bottom"/>
          </w:tcPr>
          <w:p w:rsidR="00C4327A" w:rsidRDefault="00C4327A">
            <w:pPr>
              <w:rPr>
                <w:rFonts w:ascii="Calibri" w:hAnsi="Calibri"/>
                <w:sz w:val="18"/>
                <w:szCs w:val="18"/>
              </w:rPr>
            </w:pPr>
            <w:r>
              <w:rPr>
                <w:rFonts w:ascii="Calibri" w:hAnsi="Calibri"/>
                <w:sz w:val="18"/>
                <w:szCs w:val="18"/>
              </w:rPr>
              <w:t>Pirganj</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w:t>
            </w:r>
          </w:p>
        </w:tc>
        <w:tc>
          <w:tcPr>
            <w:tcW w:w="1240" w:type="pct"/>
          </w:tcPr>
          <w:p w:rsidR="00C4327A" w:rsidRDefault="00C4327A">
            <w:pPr>
              <w:rPr>
                <w:rFonts w:ascii="Calibri" w:hAnsi="Calibri"/>
                <w:sz w:val="18"/>
                <w:szCs w:val="18"/>
              </w:rPr>
            </w:pPr>
            <w:r>
              <w:rPr>
                <w:rFonts w:ascii="Calibri" w:hAnsi="Calibri"/>
                <w:sz w:val="18"/>
                <w:szCs w:val="18"/>
              </w:rPr>
              <w:t>Dinajpur</w:t>
            </w:r>
          </w:p>
        </w:tc>
        <w:tc>
          <w:tcPr>
            <w:tcW w:w="1237" w:type="pct"/>
          </w:tcPr>
          <w:p w:rsidR="00C4327A" w:rsidRDefault="00C4327A">
            <w:pPr>
              <w:rPr>
                <w:rFonts w:ascii="Calibri" w:hAnsi="Calibri"/>
                <w:sz w:val="18"/>
                <w:szCs w:val="18"/>
              </w:rPr>
            </w:pPr>
            <w:r>
              <w:rPr>
                <w:rFonts w:ascii="Calibri" w:hAnsi="Calibri"/>
                <w:sz w:val="18"/>
                <w:szCs w:val="18"/>
              </w:rPr>
              <w:t>Dinajpur Sadar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w:t>
            </w:r>
          </w:p>
        </w:tc>
        <w:tc>
          <w:tcPr>
            <w:tcW w:w="638" w:type="pct"/>
          </w:tcPr>
          <w:p w:rsidR="00C4327A" w:rsidRDefault="00C4327A">
            <w:pPr>
              <w:rPr>
                <w:rFonts w:ascii="Calibri" w:hAnsi="Calibri"/>
                <w:sz w:val="18"/>
                <w:szCs w:val="18"/>
              </w:rPr>
            </w:pPr>
            <w:r>
              <w:rPr>
                <w:rFonts w:ascii="Calibri" w:hAnsi="Calibri"/>
                <w:sz w:val="18"/>
                <w:szCs w:val="18"/>
              </w:rPr>
              <w:t>Patuakhali</w:t>
            </w:r>
          </w:p>
        </w:tc>
        <w:tc>
          <w:tcPr>
            <w:tcW w:w="1259" w:type="pct"/>
          </w:tcPr>
          <w:p w:rsidR="00C4327A" w:rsidRDefault="00C4327A">
            <w:pPr>
              <w:rPr>
                <w:rFonts w:ascii="Calibri" w:hAnsi="Calibri"/>
                <w:sz w:val="18"/>
                <w:szCs w:val="18"/>
              </w:rPr>
            </w:pPr>
            <w:r>
              <w:rPr>
                <w:rFonts w:ascii="Calibri" w:hAnsi="Calibri"/>
                <w:sz w:val="18"/>
                <w:szCs w:val="18"/>
              </w:rPr>
              <w:t>Galachipa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w:t>
            </w:r>
          </w:p>
        </w:tc>
        <w:tc>
          <w:tcPr>
            <w:tcW w:w="1240" w:type="pct"/>
          </w:tcPr>
          <w:p w:rsidR="00C4327A" w:rsidRDefault="00C4327A">
            <w:pPr>
              <w:rPr>
                <w:rFonts w:ascii="Calibri" w:hAnsi="Calibri"/>
                <w:sz w:val="18"/>
                <w:szCs w:val="18"/>
              </w:rPr>
            </w:pPr>
            <w:r>
              <w:rPr>
                <w:rFonts w:ascii="Calibri" w:hAnsi="Calibri"/>
                <w:sz w:val="18"/>
                <w:szCs w:val="18"/>
              </w:rPr>
              <w:t>Thakurgaon</w:t>
            </w:r>
          </w:p>
        </w:tc>
        <w:tc>
          <w:tcPr>
            <w:tcW w:w="1237" w:type="pct"/>
            <w:vAlign w:val="bottom"/>
          </w:tcPr>
          <w:p w:rsidR="00C4327A" w:rsidRDefault="00C4327A">
            <w:pPr>
              <w:rPr>
                <w:rFonts w:ascii="Calibri" w:hAnsi="Calibri"/>
                <w:sz w:val="18"/>
                <w:szCs w:val="18"/>
              </w:rPr>
            </w:pPr>
            <w:r>
              <w:rPr>
                <w:rFonts w:ascii="Calibri" w:hAnsi="Calibri"/>
                <w:sz w:val="18"/>
                <w:szCs w:val="18"/>
              </w:rPr>
              <w:t>Thakurgaon Sadar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w:t>
            </w:r>
          </w:p>
        </w:tc>
        <w:tc>
          <w:tcPr>
            <w:tcW w:w="638" w:type="pct"/>
          </w:tcPr>
          <w:p w:rsidR="00C4327A" w:rsidRDefault="00C4327A">
            <w:pPr>
              <w:rPr>
                <w:rFonts w:ascii="Calibri" w:hAnsi="Calibri"/>
                <w:sz w:val="18"/>
                <w:szCs w:val="18"/>
              </w:rPr>
            </w:pPr>
            <w:r>
              <w:rPr>
                <w:rFonts w:ascii="Calibri" w:hAnsi="Calibri"/>
                <w:sz w:val="18"/>
                <w:szCs w:val="18"/>
              </w:rPr>
              <w:t>Khagrachhari</w:t>
            </w:r>
          </w:p>
        </w:tc>
        <w:tc>
          <w:tcPr>
            <w:tcW w:w="1259" w:type="pct"/>
          </w:tcPr>
          <w:p w:rsidR="00C4327A" w:rsidRDefault="00C4327A">
            <w:pPr>
              <w:rPr>
                <w:rFonts w:ascii="Calibri" w:hAnsi="Calibri"/>
                <w:sz w:val="18"/>
                <w:szCs w:val="18"/>
              </w:rPr>
            </w:pPr>
            <w:r>
              <w:rPr>
                <w:rFonts w:ascii="Calibri" w:hAnsi="Calibri"/>
                <w:sz w:val="18"/>
                <w:szCs w:val="18"/>
              </w:rPr>
              <w:t>Panchari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w:t>
            </w:r>
          </w:p>
        </w:tc>
        <w:tc>
          <w:tcPr>
            <w:tcW w:w="1240" w:type="pct"/>
          </w:tcPr>
          <w:p w:rsidR="00C4327A" w:rsidRDefault="00C4327A">
            <w:pPr>
              <w:rPr>
                <w:rFonts w:ascii="Calibri" w:hAnsi="Calibri"/>
                <w:sz w:val="18"/>
                <w:szCs w:val="18"/>
              </w:rPr>
            </w:pPr>
            <w:r>
              <w:rPr>
                <w:rFonts w:ascii="Calibri" w:hAnsi="Calibri"/>
                <w:sz w:val="18"/>
                <w:szCs w:val="18"/>
              </w:rPr>
              <w:t>Moulvibazar</w:t>
            </w:r>
          </w:p>
        </w:tc>
        <w:tc>
          <w:tcPr>
            <w:tcW w:w="1237" w:type="pct"/>
          </w:tcPr>
          <w:p w:rsidR="00C4327A" w:rsidRDefault="00C4327A">
            <w:pPr>
              <w:rPr>
                <w:rFonts w:ascii="Calibri" w:hAnsi="Calibri"/>
                <w:sz w:val="18"/>
                <w:szCs w:val="18"/>
              </w:rPr>
            </w:pPr>
            <w:r>
              <w:rPr>
                <w:rFonts w:ascii="Calibri" w:hAnsi="Calibri"/>
                <w:sz w:val="18"/>
                <w:szCs w:val="18"/>
              </w:rPr>
              <w:t>Kulaura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5</w:t>
            </w:r>
          </w:p>
        </w:tc>
        <w:tc>
          <w:tcPr>
            <w:tcW w:w="638" w:type="pct"/>
          </w:tcPr>
          <w:p w:rsidR="00C4327A" w:rsidRDefault="00C4327A">
            <w:pPr>
              <w:rPr>
                <w:rFonts w:ascii="Calibri" w:hAnsi="Calibri"/>
                <w:sz w:val="18"/>
                <w:szCs w:val="18"/>
              </w:rPr>
            </w:pPr>
            <w:r>
              <w:rPr>
                <w:rFonts w:ascii="Calibri" w:hAnsi="Calibri"/>
                <w:sz w:val="18"/>
                <w:szCs w:val="18"/>
              </w:rPr>
              <w:t>Dinajpur</w:t>
            </w:r>
          </w:p>
        </w:tc>
        <w:tc>
          <w:tcPr>
            <w:tcW w:w="1259" w:type="pct"/>
          </w:tcPr>
          <w:p w:rsidR="00C4327A" w:rsidRDefault="00C4327A">
            <w:pPr>
              <w:rPr>
                <w:rFonts w:ascii="Calibri" w:hAnsi="Calibri"/>
                <w:sz w:val="18"/>
                <w:szCs w:val="18"/>
              </w:rPr>
            </w:pPr>
            <w:r>
              <w:rPr>
                <w:rFonts w:ascii="Calibri" w:hAnsi="Calibri"/>
                <w:sz w:val="18"/>
                <w:szCs w:val="18"/>
              </w:rPr>
              <w:t>Fulbari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5</w:t>
            </w:r>
          </w:p>
        </w:tc>
        <w:tc>
          <w:tcPr>
            <w:tcW w:w="1240" w:type="pct"/>
          </w:tcPr>
          <w:p w:rsidR="00C4327A" w:rsidRDefault="00C4327A">
            <w:pPr>
              <w:rPr>
                <w:rFonts w:ascii="Calibri" w:hAnsi="Calibri"/>
                <w:sz w:val="18"/>
                <w:szCs w:val="18"/>
              </w:rPr>
            </w:pPr>
            <w:r>
              <w:rPr>
                <w:rFonts w:ascii="Calibri" w:hAnsi="Calibri"/>
                <w:sz w:val="18"/>
                <w:szCs w:val="18"/>
              </w:rPr>
              <w:t>Habiganj</w:t>
            </w:r>
          </w:p>
        </w:tc>
        <w:tc>
          <w:tcPr>
            <w:tcW w:w="1237" w:type="pct"/>
          </w:tcPr>
          <w:p w:rsidR="00C4327A" w:rsidRDefault="00C4327A">
            <w:pPr>
              <w:rPr>
                <w:rFonts w:ascii="Calibri" w:hAnsi="Calibri"/>
                <w:sz w:val="18"/>
                <w:szCs w:val="18"/>
              </w:rPr>
            </w:pPr>
            <w:r>
              <w:rPr>
                <w:rFonts w:ascii="Calibri" w:hAnsi="Calibri"/>
                <w:sz w:val="18"/>
                <w:szCs w:val="18"/>
              </w:rPr>
              <w:t>Bahubal</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6</w:t>
            </w:r>
          </w:p>
        </w:tc>
        <w:tc>
          <w:tcPr>
            <w:tcW w:w="638" w:type="pct"/>
          </w:tcPr>
          <w:p w:rsidR="00C4327A" w:rsidRDefault="00C4327A">
            <w:pPr>
              <w:rPr>
                <w:rFonts w:ascii="Calibri" w:hAnsi="Calibri"/>
                <w:sz w:val="18"/>
                <w:szCs w:val="18"/>
              </w:rPr>
            </w:pPr>
            <w:r>
              <w:rPr>
                <w:rFonts w:ascii="Calibri" w:hAnsi="Calibri"/>
                <w:sz w:val="18"/>
                <w:szCs w:val="18"/>
              </w:rPr>
              <w:t>Naogaon</w:t>
            </w:r>
          </w:p>
        </w:tc>
        <w:tc>
          <w:tcPr>
            <w:tcW w:w="1259" w:type="pct"/>
          </w:tcPr>
          <w:p w:rsidR="00C4327A" w:rsidRDefault="00C4327A">
            <w:pPr>
              <w:rPr>
                <w:rFonts w:ascii="Calibri" w:hAnsi="Calibri"/>
                <w:sz w:val="18"/>
                <w:szCs w:val="18"/>
              </w:rPr>
            </w:pPr>
            <w:r>
              <w:rPr>
                <w:rFonts w:ascii="Calibri" w:hAnsi="Calibri"/>
                <w:sz w:val="18"/>
                <w:szCs w:val="18"/>
              </w:rPr>
              <w:t>Badalgachi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6</w:t>
            </w:r>
          </w:p>
        </w:tc>
        <w:tc>
          <w:tcPr>
            <w:tcW w:w="1240" w:type="pct"/>
          </w:tcPr>
          <w:p w:rsidR="00C4327A" w:rsidRDefault="00C4327A">
            <w:pPr>
              <w:rPr>
                <w:rFonts w:ascii="Calibri" w:hAnsi="Calibri"/>
                <w:sz w:val="18"/>
                <w:szCs w:val="18"/>
              </w:rPr>
            </w:pPr>
            <w:r>
              <w:rPr>
                <w:rFonts w:ascii="Calibri" w:hAnsi="Calibri"/>
                <w:sz w:val="18"/>
                <w:szCs w:val="18"/>
              </w:rPr>
              <w:t>Sunamganj</w:t>
            </w:r>
          </w:p>
        </w:tc>
        <w:tc>
          <w:tcPr>
            <w:tcW w:w="1237" w:type="pct"/>
          </w:tcPr>
          <w:p w:rsidR="00C4327A" w:rsidRDefault="00C4327A">
            <w:pPr>
              <w:rPr>
                <w:rFonts w:ascii="Calibri" w:hAnsi="Calibri"/>
                <w:sz w:val="18"/>
                <w:szCs w:val="18"/>
              </w:rPr>
            </w:pPr>
            <w:r>
              <w:rPr>
                <w:rFonts w:ascii="Calibri" w:hAnsi="Calibri"/>
                <w:sz w:val="18"/>
                <w:szCs w:val="18"/>
              </w:rPr>
              <w:t>Sunamganj Sadar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7</w:t>
            </w:r>
          </w:p>
        </w:tc>
        <w:tc>
          <w:tcPr>
            <w:tcW w:w="638" w:type="pct"/>
          </w:tcPr>
          <w:p w:rsidR="00C4327A" w:rsidRDefault="00C4327A">
            <w:pPr>
              <w:rPr>
                <w:rFonts w:ascii="Calibri" w:hAnsi="Calibri"/>
                <w:sz w:val="18"/>
                <w:szCs w:val="18"/>
              </w:rPr>
            </w:pPr>
            <w:r>
              <w:rPr>
                <w:rFonts w:ascii="Calibri" w:hAnsi="Calibri"/>
                <w:sz w:val="18"/>
                <w:szCs w:val="18"/>
              </w:rPr>
              <w:t>Dinajpur</w:t>
            </w:r>
          </w:p>
        </w:tc>
        <w:tc>
          <w:tcPr>
            <w:tcW w:w="1259" w:type="pct"/>
          </w:tcPr>
          <w:p w:rsidR="00C4327A" w:rsidRDefault="00C4327A">
            <w:pPr>
              <w:rPr>
                <w:rFonts w:ascii="Calibri" w:hAnsi="Calibri"/>
                <w:sz w:val="18"/>
                <w:szCs w:val="18"/>
              </w:rPr>
            </w:pPr>
            <w:r>
              <w:rPr>
                <w:rFonts w:ascii="Calibri" w:hAnsi="Calibri"/>
                <w:sz w:val="18"/>
                <w:szCs w:val="18"/>
              </w:rPr>
              <w:t>Kaharole</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7</w:t>
            </w:r>
          </w:p>
        </w:tc>
        <w:tc>
          <w:tcPr>
            <w:tcW w:w="1240" w:type="pct"/>
          </w:tcPr>
          <w:p w:rsidR="00C4327A" w:rsidRDefault="00C4327A">
            <w:pPr>
              <w:rPr>
                <w:rFonts w:ascii="Calibri" w:hAnsi="Calibri"/>
                <w:sz w:val="18"/>
                <w:szCs w:val="18"/>
              </w:rPr>
            </w:pPr>
            <w:r>
              <w:rPr>
                <w:rFonts w:ascii="Calibri" w:hAnsi="Calibri"/>
                <w:sz w:val="18"/>
                <w:szCs w:val="18"/>
              </w:rPr>
              <w:t>Cox's Bazar</w:t>
            </w:r>
          </w:p>
        </w:tc>
        <w:tc>
          <w:tcPr>
            <w:tcW w:w="1237" w:type="pct"/>
          </w:tcPr>
          <w:p w:rsidR="00C4327A" w:rsidRDefault="00C4327A">
            <w:pPr>
              <w:rPr>
                <w:rFonts w:ascii="Calibri" w:hAnsi="Calibri"/>
                <w:sz w:val="18"/>
                <w:szCs w:val="18"/>
              </w:rPr>
            </w:pPr>
            <w:r>
              <w:rPr>
                <w:rFonts w:ascii="Calibri" w:hAnsi="Calibri"/>
                <w:sz w:val="18"/>
                <w:szCs w:val="18"/>
              </w:rPr>
              <w:t>Teknaf</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8</w:t>
            </w:r>
          </w:p>
        </w:tc>
        <w:tc>
          <w:tcPr>
            <w:tcW w:w="638" w:type="pct"/>
          </w:tcPr>
          <w:p w:rsidR="00C4327A" w:rsidRDefault="00C4327A">
            <w:pPr>
              <w:rPr>
                <w:rFonts w:ascii="Calibri" w:hAnsi="Calibri"/>
                <w:sz w:val="18"/>
                <w:szCs w:val="18"/>
              </w:rPr>
            </w:pPr>
            <w:r>
              <w:rPr>
                <w:rFonts w:ascii="Calibri" w:hAnsi="Calibri"/>
                <w:sz w:val="18"/>
                <w:szCs w:val="18"/>
              </w:rPr>
              <w:t>Naogaon</w:t>
            </w:r>
          </w:p>
        </w:tc>
        <w:tc>
          <w:tcPr>
            <w:tcW w:w="1259" w:type="pct"/>
          </w:tcPr>
          <w:p w:rsidR="00C4327A" w:rsidRDefault="00C4327A">
            <w:pPr>
              <w:rPr>
                <w:rFonts w:ascii="Calibri" w:hAnsi="Calibri"/>
                <w:sz w:val="18"/>
                <w:szCs w:val="18"/>
              </w:rPr>
            </w:pPr>
            <w:r>
              <w:rPr>
                <w:rFonts w:ascii="Calibri" w:hAnsi="Calibri"/>
                <w:sz w:val="18"/>
                <w:szCs w:val="18"/>
              </w:rPr>
              <w:t>Potnitala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8</w:t>
            </w:r>
          </w:p>
        </w:tc>
        <w:tc>
          <w:tcPr>
            <w:tcW w:w="1240" w:type="pct"/>
          </w:tcPr>
          <w:p w:rsidR="00C4327A" w:rsidRDefault="00C4327A">
            <w:pPr>
              <w:rPr>
                <w:rFonts w:ascii="Calibri" w:hAnsi="Calibri"/>
                <w:sz w:val="18"/>
                <w:szCs w:val="18"/>
              </w:rPr>
            </w:pPr>
            <w:r>
              <w:rPr>
                <w:rFonts w:ascii="Calibri" w:hAnsi="Calibri"/>
                <w:sz w:val="18"/>
                <w:szCs w:val="18"/>
              </w:rPr>
              <w:t>Cox's Bazar</w:t>
            </w:r>
          </w:p>
        </w:tc>
        <w:tc>
          <w:tcPr>
            <w:tcW w:w="1237" w:type="pct"/>
          </w:tcPr>
          <w:p w:rsidR="00C4327A" w:rsidRDefault="00C4327A">
            <w:pPr>
              <w:rPr>
                <w:rFonts w:ascii="Calibri" w:hAnsi="Calibri"/>
                <w:sz w:val="18"/>
                <w:szCs w:val="18"/>
              </w:rPr>
            </w:pPr>
            <w:r>
              <w:rPr>
                <w:rFonts w:ascii="Calibri" w:hAnsi="Calibri"/>
                <w:sz w:val="18"/>
                <w:szCs w:val="18"/>
              </w:rPr>
              <w:t>Maheshkhali</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9</w:t>
            </w:r>
          </w:p>
        </w:tc>
        <w:tc>
          <w:tcPr>
            <w:tcW w:w="638" w:type="pct"/>
          </w:tcPr>
          <w:p w:rsidR="00C4327A" w:rsidRDefault="00C4327A">
            <w:pPr>
              <w:rPr>
                <w:rFonts w:ascii="Calibri" w:hAnsi="Calibri"/>
                <w:sz w:val="18"/>
                <w:szCs w:val="18"/>
              </w:rPr>
            </w:pPr>
            <w:r>
              <w:rPr>
                <w:rFonts w:ascii="Calibri" w:hAnsi="Calibri"/>
                <w:sz w:val="18"/>
                <w:szCs w:val="18"/>
              </w:rPr>
              <w:t>Panchagar</w:t>
            </w:r>
          </w:p>
        </w:tc>
        <w:tc>
          <w:tcPr>
            <w:tcW w:w="1259" w:type="pct"/>
            <w:vAlign w:val="bottom"/>
          </w:tcPr>
          <w:p w:rsidR="00C4327A" w:rsidRDefault="00C4327A">
            <w:pPr>
              <w:rPr>
                <w:rFonts w:ascii="Calibri" w:hAnsi="Calibri"/>
                <w:sz w:val="18"/>
                <w:szCs w:val="18"/>
              </w:rPr>
            </w:pPr>
            <w:r>
              <w:rPr>
                <w:rFonts w:ascii="Calibri" w:hAnsi="Calibri"/>
                <w:sz w:val="18"/>
                <w:szCs w:val="18"/>
              </w:rPr>
              <w:t>Boda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9</w:t>
            </w:r>
          </w:p>
        </w:tc>
        <w:tc>
          <w:tcPr>
            <w:tcW w:w="1240" w:type="pct"/>
          </w:tcPr>
          <w:p w:rsidR="00C4327A" w:rsidRDefault="00C4327A">
            <w:pPr>
              <w:rPr>
                <w:rFonts w:ascii="Calibri" w:hAnsi="Calibri"/>
                <w:sz w:val="18"/>
                <w:szCs w:val="18"/>
              </w:rPr>
            </w:pPr>
            <w:r>
              <w:rPr>
                <w:rFonts w:ascii="Calibri" w:hAnsi="Calibri"/>
                <w:sz w:val="18"/>
                <w:szCs w:val="18"/>
              </w:rPr>
              <w:t>Chittagong</w:t>
            </w:r>
          </w:p>
        </w:tc>
        <w:tc>
          <w:tcPr>
            <w:tcW w:w="1237" w:type="pct"/>
          </w:tcPr>
          <w:p w:rsidR="00C4327A" w:rsidRDefault="00C4327A">
            <w:pPr>
              <w:rPr>
                <w:rFonts w:ascii="Calibri" w:hAnsi="Calibri"/>
                <w:sz w:val="18"/>
                <w:szCs w:val="18"/>
              </w:rPr>
            </w:pPr>
            <w:r>
              <w:rPr>
                <w:rFonts w:ascii="Calibri" w:hAnsi="Calibri"/>
                <w:sz w:val="18"/>
                <w:szCs w:val="18"/>
              </w:rPr>
              <w:t>Pahartali</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10</w:t>
            </w:r>
          </w:p>
        </w:tc>
        <w:tc>
          <w:tcPr>
            <w:tcW w:w="638" w:type="pct"/>
          </w:tcPr>
          <w:p w:rsidR="00C4327A" w:rsidRDefault="00C4327A">
            <w:pPr>
              <w:rPr>
                <w:rFonts w:ascii="Calibri" w:hAnsi="Calibri"/>
                <w:sz w:val="18"/>
                <w:szCs w:val="18"/>
              </w:rPr>
            </w:pPr>
            <w:r>
              <w:rPr>
                <w:rFonts w:ascii="Calibri" w:hAnsi="Calibri"/>
                <w:sz w:val="18"/>
                <w:szCs w:val="18"/>
              </w:rPr>
              <w:t>Moulvibazar</w:t>
            </w:r>
          </w:p>
        </w:tc>
        <w:tc>
          <w:tcPr>
            <w:tcW w:w="1259" w:type="pct"/>
          </w:tcPr>
          <w:p w:rsidR="00C4327A" w:rsidRDefault="00C4327A">
            <w:pPr>
              <w:rPr>
                <w:rFonts w:ascii="Calibri" w:hAnsi="Calibri"/>
                <w:sz w:val="18"/>
                <w:szCs w:val="18"/>
              </w:rPr>
            </w:pPr>
            <w:r>
              <w:rPr>
                <w:rFonts w:ascii="Calibri" w:hAnsi="Calibri"/>
                <w:sz w:val="18"/>
                <w:szCs w:val="18"/>
              </w:rPr>
              <w:t>Joree</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10</w:t>
            </w:r>
          </w:p>
        </w:tc>
        <w:tc>
          <w:tcPr>
            <w:tcW w:w="1240" w:type="pct"/>
          </w:tcPr>
          <w:p w:rsidR="00C4327A" w:rsidRDefault="00C4327A">
            <w:pPr>
              <w:rPr>
                <w:rFonts w:ascii="Calibri" w:hAnsi="Calibri"/>
                <w:sz w:val="18"/>
                <w:szCs w:val="18"/>
              </w:rPr>
            </w:pPr>
            <w:r>
              <w:rPr>
                <w:rFonts w:ascii="Calibri" w:hAnsi="Calibri"/>
                <w:sz w:val="18"/>
                <w:szCs w:val="18"/>
              </w:rPr>
              <w:t>Chittagong</w:t>
            </w:r>
          </w:p>
        </w:tc>
        <w:tc>
          <w:tcPr>
            <w:tcW w:w="1237" w:type="pct"/>
          </w:tcPr>
          <w:p w:rsidR="00C4327A" w:rsidRDefault="00C4327A">
            <w:pPr>
              <w:rPr>
                <w:rFonts w:ascii="Calibri" w:hAnsi="Calibri"/>
                <w:sz w:val="18"/>
                <w:szCs w:val="18"/>
              </w:rPr>
            </w:pPr>
            <w:r>
              <w:rPr>
                <w:rFonts w:ascii="Calibri" w:hAnsi="Calibri"/>
                <w:sz w:val="18"/>
                <w:szCs w:val="18"/>
              </w:rPr>
              <w:t>Double Mooring</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11</w:t>
            </w:r>
          </w:p>
        </w:tc>
        <w:tc>
          <w:tcPr>
            <w:tcW w:w="638" w:type="pct"/>
          </w:tcPr>
          <w:p w:rsidR="00C4327A" w:rsidRDefault="00C4327A">
            <w:pPr>
              <w:rPr>
                <w:rFonts w:ascii="Calibri" w:hAnsi="Calibri"/>
                <w:sz w:val="18"/>
                <w:szCs w:val="18"/>
              </w:rPr>
            </w:pPr>
            <w:r>
              <w:rPr>
                <w:rFonts w:ascii="Calibri" w:hAnsi="Calibri"/>
                <w:sz w:val="18"/>
                <w:szCs w:val="18"/>
              </w:rPr>
              <w:t>Bogra</w:t>
            </w:r>
          </w:p>
        </w:tc>
        <w:tc>
          <w:tcPr>
            <w:tcW w:w="1259" w:type="pct"/>
          </w:tcPr>
          <w:p w:rsidR="00C4327A" w:rsidRDefault="00C4327A">
            <w:pPr>
              <w:rPr>
                <w:rFonts w:ascii="Calibri" w:hAnsi="Calibri"/>
                <w:sz w:val="18"/>
                <w:szCs w:val="18"/>
              </w:rPr>
            </w:pPr>
            <w:r>
              <w:rPr>
                <w:rFonts w:ascii="Calibri" w:hAnsi="Calibri"/>
                <w:sz w:val="18"/>
                <w:szCs w:val="18"/>
              </w:rPr>
              <w:t>Nandigram</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11</w:t>
            </w:r>
          </w:p>
        </w:tc>
        <w:tc>
          <w:tcPr>
            <w:tcW w:w="1240" w:type="pct"/>
          </w:tcPr>
          <w:p w:rsidR="00C4327A" w:rsidRDefault="00C4327A">
            <w:pPr>
              <w:rPr>
                <w:rFonts w:ascii="Calibri" w:hAnsi="Calibri"/>
                <w:sz w:val="18"/>
                <w:szCs w:val="18"/>
              </w:rPr>
            </w:pPr>
            <w:r>
              <w:rPr>
                <w:rFonts w:ascii="Calibri" w:hAnsi="Calibri"/>
                <w:sz w:val="18"/>
                <w:szCs w:val="18"/>
              </w:rPr>
              <w:t>Laksmipur</w:t>
            </w:r>
          </w:p>
        </w:tc>
        <w:tc>
          <w:tcPr>
            <w:tcW w:w="1237" w:type="pct"/>
          </w:tcPr>
          <w:p w:rsidR="00C4327A" w:rsidRDefault="00C4327A">
            <w:pPr>
              <w:rPr>
                <w:rFonts w:ascii="Calibri" w:hAnsi="Calibri"/>
                <w:sz w:val="18"/>
                <w:szCs w:val="18"/>
              </w:rPr>
            </w:pPr>
            <w:r>
              <w:rPr>
                <w:rFonts w:ascii="Calibri" w:hAnsi="Calibri"/>
                <w:sz w:val="18"/>
                <w:szCs w:val="18"/>
              </w:rPr>
              <w:t>Ramgati</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12</w:t>
            </w:r>
          </w:p>
        </w:tc>
        <w:tc>
          <w:tcPr>
            <w:tcW w:w="638" w:type="pct"/>
          </w:tcPr>
          <w:p w:rsidR="00C4327A" w:rsidRDefault="00C4327A">
            <w:pPr>
              <w:rPr>
                <w:rFonts w:ascii="Calibri" w:hAnsi="Calibri"/>
                <w:sz w:val="18"/>
                <w:szCs w:val="18"/>
              </w:rPr>
            </w:pPr>
            <w:r>
              <w:rPr>
                <w:rFonts w:ascii="Calibri" w:hAnsi="Calibri"/>
                <w:sz w:val="18"/>
                <w:szCs w:val="18"/>
              </w:rPr>
              <w:t>Panchagar</w:t>
            </w:r>
          </w:p>
        </w:tc>
        <w:tc>
          <w:tcPr>
            <w:tcW w:w="1259" w:type="pct"/>
            <w:vAlign w:val="bottom"/>
          </w:tcPr>
          <w:p w:rsidR="00C4327A" w:rsidRDefault="00C4327A">
            <w:pPr>
              <w:rPr>
                <w:rFonts w:ascii="Calibri" w:hAnsi="Calibri"/>
                <w:sz w:val="18"/>
                <w:szCs w:val="18"/>
              </w:rPr>
            </w:pPr>
            <w:r>
              <w:rPr>
                <w:rFonts w:ascii="Calibri" w:hAnsi="Calibri"/>
                <w:sz w:val="18"/>
                <w:szCs w:val="18"/>
              </w:rPr>
              <w:t>Atwari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12</w:t>
            </w:r>
          </w:p>
        </w:tc>
        <w:tc>
          <w:tcPr>
            <w:tcW w:w="1240" w:type="pct"/>
          </w:tcPr>
          <w:p w:rsidR="00C4327A" w:rsidRDefault="00C4327A">
            <w:pPr>
              <w:rPr>
                <w:rFonts w:ascii="Calibri" w:hAnsi="Calibri"/>
                <w:sz w:val="18"/>
                <w:szCs w:val="18"/>
              </w:rPr>
            </w:pPr>
            <w:r>
              <w:rPr>
                <w:rFonts w:ascii="Calibri" w:hAnsi="Calibri"/>
                <w:sz w:val="18"/>
                <w:szCs w:val="18"/>
              </w:rPr>
              <w:t>Brahmonbaria</w:t>
            </w:r>
          </w:p>
        </w:tc>
        <w:tc>
          <w:tcPr>
            <w:tcW w:w="1237" w:type="pct"/>
          </w:tcPr>
          <w:p w:rsidR="00C4327A" w:rsidRDefault="00C4327A">
            <w:pPr>
              <w:rPr>
                <w:rFonts w:ascii="Calibri" w:hAnsi="Calibri"/>
                <w:sz w:val="18"/>
                <w:szCs w:val="18"/>
              </w:rPr>
            </w:pPr>
            <w:r>
              <w:rPr>
                <w:rFonts w:ascii="Calibri" w:hAnsi="Calibri"/>
                <w:sz w:val="18"/>
                <w:szCs w:val="18"/>
              </w:rPr>
              <w:t>Brahmonbaria Sadar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13</w:t>
            </w:r>
          </w:p>
        </w:tc>
        <w:tc>
          <w:tcPr>
            <w:tcW w:w="638" w:type="pct"/>
          </w:tcPr>
          <w:p w:rsidR="00C4327A" w:rsidRDefault="00C4327A">
            <w:pPr>
              <w:rPr>
                <w:rFonts w:ascii="Calibri" w:hAnsi="Calibri"/>
                <w:sz w:val="18"/>
                <w:szCs w:val="18"/>
              </w:rPr>
            </w:pPr>
            <w:r>
              <w:rPr>
                <w:rFonts w:ascii="Calibri" w:hAnsi="Calibri"/>
                <w:sz w:val="18"/>
                <w:szCs w:val="18"/>
              </w:rPr>
              <w:t>Sunamganj</w:t>
            </w:r>
          </w:p>
        </w:tc>
        <w:tc>
          <w:tcPr>
            <w:tcW w:w="1259" w:type="pct"/>
          </w:tcPr>
          <w:p w:rsidR="00C4327A" w:rsidRDefault="00C4327A">
            <w:pPr>
              <w:rPr>
                <w:rFonts w:ascii="Calibri" w:hAnsi="Calibri"/>
                <w:sz w:val="18"/>
                <w:szCs w:val="18"/>
              </w:rPr>
            </w:pPr>
            <w:r>
              <w:rPr>
                <w:rFonts w:ascii="Calibri" w:hAnsi="Calibri"/>
                <w:sz w:val="18"/>
                <w:szCs w:val="18"/>
              </w:rPr>
              <w:t>Sulla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13</w:t>
            </w:r>
          </w:p>
        </w:tc>
        <w:tc>
          <w:tcPr>
            <w:tcW w:w="1240" w:type="pct"/>
          </w:tcPr>
          <w:p w:rsidR="00C4327A" w:rsidRDefault="00C4327A">
            <w:pPr>
              <w:rPr>
                <w:rFonts w:ascii="Calibri" w:hAnsi="Calibri"/>
                <w:sz w:val="18"/>
                <w:szCs w:val="18"/>
              </w:rPr>
            </w:pPr>
            <w:r>
              <w:rPr>
                <w:rFonts w:ascii="Calibri" w:hAnsi="Calibri"/>
                <w:sz w:val="18"/>
                <w:szCs w:val="18"/>
              </w:rPr>
              <w:t>Gopalganj</w:t>
            </w:r>
          </w:p>
        </w:tc>
        <w:tc>
          <w:tcPr>
            <w:tcW w:w="1237" w:type="pct"/>
          </w:tcPr>
          <w:p w:rsidR="00C4327A" w:rsidRDefault="00C4327A">
            <w:pPr>
              <w:rPr>
                <w:rFonts w:ascii="Calibri" w:hAnsi="Calibri"/>
                <w:sz w:val="18"/>
                <w:szCs w:val="18"/>
              </w:rPr>
            </w:pPr>
            <w:r>
              <w:rPr>
                <w:rFonts w:ascii="Calibri" w:hAnsi="Calibri"/>
                <w:sz w:val="18"/>
                <w:szCs w:val="18"/>
              </w:rPr>
              <w:t>Kashiani</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14</w:t>
            </w:r>
          </w:p>
        </w:tc>
        <w:tc>
          <w:tcPr>
            <w:tcW w:w="638" w:type="pct"/>
          </w:tcPr>
          <w:p w:rsidR="00C4327A" w:rsidRDefault="00C4327A">
            <w:pPr>
              <w:rPr>
                <w:rFonts w:ascii="Calibri" w:hAnsi="Calibri"/>
                <w:sz w:val="18"/>
                <w:szCs w:val="18"/>
              </w:rPr>
            </w:pPr>
            <w:r>
              <w:rPr>
                <w:rFonts w:ascii="Calibri" w:hAnsi="Calibri"/>
                <w:sz w:val="18"/>
                <w:szCs w:val="18"/>
              </w:rPr>
              <w:t>Khulna</w:t>
            </w:r>
          </w:p>
        </w:tc>
        <w:tc>
          <w:tcPr>
            <w:tcW w:w="1259" w:type="pct"/>
          </w:tcPr>
          <w:p w:rsidR="00C4327A" w:rsidRDefault="00C4327A">
            <w:pPr>
              <w:rPr>
                <w:rFonts w:ascii="Calibri" w:hAnsi="Calibri"/>
                <w:sz w:val="18"/>
                <w:szCs w:val="18"/>
              </w:rPr>
            </w:pPr>
            <w:r>
              <w:rPr>
                <w:rFonts w:ascii="Calibri" w:hAnsi="Calibri"/>
                <w:sz w:val="18"/>
                <w:szCs w:val="18"/>
              </w:rPr>
              <w:t>Khulna sadar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14</w:t>
            </w:r>
          </w:p>
        </w:tc>
        <w:tc>
          <w:tcPr>
            <w:tcW w:w="1240" w:type="pct"/>
          </w:tcPr>
          <w:p w:rsidR="00C4327A" w:rsidRDefault="00C4327A">
            <w:pPr>
              <w:rPr>
                <w:rFonts w:ascii="Calibri" w:hAnsi="Calibri"/>
                <w:sz w:val="18"/>
                <w:szCs w:val="18"/>
              </w:rPr>
            </w:pPr>
            <w:r>
              <w:rPr>
                <w:rFonts w:ascii="Calibri" w:hAnsi="Calibri"/>
                <w:sz w:val="18"/>
                <w:szCs w:val="18"/>
              </w:rPr>
              <w:t>Narsingdi</w:t>
            </w:r>
          </w:p>
        </w:tc>
        <w:tc>
          <w:tcPr>
            <w:tcW w:w="1237" w:type="pct"/>
          </w:tcPr>
          <w:p w:rsidR="00C4327A" w:rsidRDefault="00C4327A">
            <w:pPr>
              <w:rPr>
                <w:rFonts w:ascii="Calibri" w:hAnsi="Calibri"/>
                <w:sz w:val="18"/>
                <w:szCs w:val="18"/>
              </w:rPr>
            </w:pPr>
            <w:r>
              <w:rPr>
                <w:rFonts w:ascii="Calibri" w:hAnsi="Calibri"/>
                <w:sz w:val="18"/>
                <w:szCs w:val="18"/>
              </w:rPr>
              <w:t>Narsingdi Sadar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15</w:t>
            </w:r>
          </w:p>
        </w:tc>
        <w:tc>
          <w:tcPr>
            <w:tcW w:w="638" w:type="pct"/>
          </w:tcPr>
          <w:p w:rsidR="00C4327A" w:rsidRDefault="00C4327A">
            <w:pPr>
              <w:rPr>
                <w:rFonts w:ascii="Calibri" w:hAnsi="Calibri"/>
                <w:sz w:val="18"/>
                <w:szCs w:val="18"/>
              </w:rPr>
            </w:pPr>
            <w:r>
              <w:rPr>
                <w:rFonts w:ascii="Calibri" w:hAnsi="Calibri"/>
                <w:sz w:val="18"/>
                <w:szCs w:val="18"/>
              </w:rPr>
              <w:t>Kurigram</w:t>
            </w:r>
          </w:p>
        </w:tc>
        <w:tc>
          <w:tcPr>
            <w:tcW w:w="1259" w:type="pct"/>
          </w:tcPr>
          <w:p w:rsidR="00C4327A" w:rsidRDefault="00C4327A">
            <w:pPr>
              <w:rPr>
                <w:rFonts w:ascii="Calibri" w:hAnsi="Calibri"/>
                <w:sz w:val="18"/>
                <w:szCs w:val="18"/>
              </w:rPr>
            </w:pPr>
            <w:r>
              <w:rPr>
                <w:rFonts w:ascii="Calibri" w:hAnsi="Calibri"/>
                <w:sz w:val="18"/>
                <w:szCs w:val="18"/>
              </w:rPr>
              <w:t>Fulbari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15</w:t>
            </w:r>
          </w:p>
        </w:tc>
        <w:tc>
          <w:tcPr>
            <w:tcW w:w="1240" w:type="pct"/>
          </w:tcPr>
          <w:p w:rsidR="00C4327A" w:rsidRDefault="00C4327A">
            <w:pPr>
              <w:rPr>
                <w:rFonts w:ascii="Calibri" w:hAnsi="Calibri"/>
                <w:sz w:val="18"/>
                <w:szCs w:val="18"/>
              </w:rPr>
            </w:pPr>
            <w:r>
              <w:rPr>
                <w:rFonts w:ascii="Calibri" w:hAnsi="Calibri"/>
                <w:sz w:val="18"/>
                <w:szCs w:val="18"/>
              </w:rPr>
              <w:t>Mymensingh</w:t>
            </w:r>
          </w:p>
        </w:tc>
        <w:tc>
          <w:tcPr>
            <w:tcW w:w="1237" w:type="pct"/>
          </w:tcPr>
          <w:p w:rsidR="00C4327A" w:rsidRDefault="00C4327A">
            <w:pPr>
              <w:rPr>
                <w:rFonts w:ascii="Calibri" w:hAnsi="Calibri"/>
                <w:sz w:val="18"/>
                <w:szCs w:val="18"/>
              </w:rPr>
            </w:pPr>
            <w:r>
              <w:rPr>
                <w:rFonts w:ascii="Calibri" w:hAnsi="Calibri"/>
                <w:sz w:val="18"/>
                <w:szCs w:val="18"/>
              </w:rPr>
              <w:t>Dhubaura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16</w:t>
            </w:r>
          </w:p>
        </w:tc>
        <w:tc>
          <w:tcPr>
            <w:tcW w:w="638" w:type="pct"/>
          </w:tcPr>
          <w:p w:rsidR="00C4327A" w:rsidRDefault="00C4327A">
            <w:pPr>
              <w:rPr>
                <w:rFonts w:ascii="Calibri" w:hAnsi="Calibri"/>
                <w:sz w:val="18"/>
                <w:szCs w:val="18"/>
              </w:rPr>
            </w:pPr>
            <w:r>
              <w:rPr>
                <w:rFonts w:ascii="Calibri" w:hAnsi="Calibri"/>
                <w:sz w:val="18"/>
                <w:szCs w:val="18"/>
              </w:rPr>
              <w:t>Barguna</w:t>
            </w:r>
          </w:p>
        </w:tc>
        <w:tc>
          <w:tcPr>
            <w:tcW w:w="1259" w:type="pct"/>
          </w:tcPr>
          <w:p w:rsidR="00C4327A" w:rsidRDefault="00C4327A">
            <w:pPr>
              <w:rPr>
                <w:rFonts w:ascii="Calibri" w:hAnsi="Calibri"/>
                <w:sz w:val="18"/>
                <w:szCs w:val="18"/>
              </w:rPr>
            </w:pPr>
            <w:r>
              <w:rPr>
                <w:rFonts w:ascii="Calibri" w:hAnsi="Calibri"/>
                <w:sz w:val="18"/>
                <w:szCs w:val="18"/>
              </w:rPr>
              <w:t>Betagi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16</w:t>
            </w:r>
          </w:p>
        </w:tc>
        <w:tc>
          <w:tcPr>
            <w:tcW w:w="1240" w:type="pct"/>
          </w:tcPr>
          <w:p w:rsidR="00C4327A" w:rsidRDefault="00C4327A">
            <w:pPr>
              <w:rPr>
                <w:rFonts w:ascii="Calibri" w:hAnsi="Calibri"/>
                <w:sz w:val="18"/>
                <w:szCs w:val="18"/>
              </w:rPr>
            </w:pPr>
            <w:r>
              <w:rPr>
                <w:rFonts w:ascii="Calibri" w:hAnsi="Calibri"/>
                <w:sz w:val="18"/>
                <w:szCs w:val="18"/>
              </w:rPr>
              <w:t>Jessore</w:t>
            </w:r>
          </w:p>
        </w:tc>
        <w:tc>
          <w:tcPr>
            <w:tcW w:w="1237" w:type="pct"/>
          </w:tcPr>
          <w:p w:rsidR="00C4327A" w:rsidRDefault="00C4327A">
            <w:pPr>
              <w:rPr>
                <w:rFonts w:ascii="Calibri" w:hAnsi="Calibri"/>
                <w:sz w:val="18"/>
                <w:szCs w:val="18"/>
              </w:rPr>
            </w:pPr>
            <w:r>
              <w:rPr>
                <w:rFonts w:ascii="Calibri" w:hAnsi="Calibri"/>
                <w:sz w:val="18"/>
                <w:szCs w:val="18"/>
              </w:rPr>
              <w:t>Monirampur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17</w:t>
            </w:r>
          </w:p>
        </w:tc>
        <w:tc>
          <w:tcPr>
            <w:tcW w:w="638" w:type="pct"/>
          </w:tcPr>
          <w:p w:rsidR="00C4327A" w:rsidRDefault="00C4327A">
            <w:pPr>
              <w:rPr>
                <w:rFonts w:ascii="Calibri" w:hAnsi="Calibri"/>
                <w:sz w:val="18"/>
                <w:szCs w:val="18"/>
              </w:rPr>
            </w:pPr>
            <w:r>
              <w:rPr>
                <w:rFonts w:ascii="Calibri" w:hAnsi="Calibri"/>
                <w:sz w:val="18"/>
                <w:szCs w:val="18"/>
              </w:rPr>
              <w:t>Naogaon</w:t>
            </w:r>
          </w:p>
        </w:tc>
        <w:tc>
          <w:tcPr>
            <w:tcW w:w="1259" w:type="pct"/>
          </w:tcPr>
          <w:p w:rsidR="00C4327A" w:rsidRDefault="00C4327A">
            <w:pPr>
              <w:rPr>
                <w:rFonts w:ascii="Calibri" w:hAnsi="Calibri"/>
                <w:sz w:val="18"/>
                <w:szCs w:val="18"/>
              </w:rPr>
            </w:pPr>
            <w:r>
              <w:rPr>
                <w:rFonts w:ascii="Calibri" w:hAnsi="Calibri"/>
                <w:sz w:val="18"/>
                <w:szCs w:val="18"/>
              </w:rPr>
              <w:t>Dhamurhat</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17</w:t>
            </w:r>
          </w:p>
        </w:tc>
        <w:tc>
          <w:tcPr>
            <w:tcW w:w="1240" w:type="pct"/>
          </w:tcPr>
          <w:p w:rsidR="00C4327A" w:rsidRDefault="00C4327A">
            <w:pPr>
              <w:rPr>
                <w:rFonts w:ascii="Calibri" w:hAnsi="Calibri"/>
                <w:sz w:val="18"/>
                <w:szCs w:val="18"/>
              </w:rPr>
            </w:pPr>
            <w:r>
              <w:rPr>
                <w:rFonts w:ascii="Calibri" w:hAnsi="Calibri"/>
                <w:sz w:val="18"/>
                <w:szCs w:val="18"/>
              </w:rPr>
              <w:t>Kushtia</w:t>
            </w:r>
          </w:p>
        </w:tc>
        <w:tc>
          <w:tcPr>
            <w:tcW w:w="1237" w:type="pct"/>
          </w:tcPr>
          <w:p w:rsidR="00C4327A" w:rsidRDefault="00C4327A">
            <w:pPr>
              <w:rPr>
                <w:rFonts w:ascii="Calibri" w:hAnsi="Calibri"/>
                <w:sz w:val="18"/>
                <w:szCs w:val="18"/>
              </w:rPr>
            </w:pPr>
            <w:r>
              <w:rPr>
                <w:rFonts w:ascii="Calibri" w:hAnsi="Calibri"/>
                <w:sz w:val="18"/>
                <w:szCs w:val="18"/>
              </w:rPr>
              <w:t>Kushtia Sadar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18</w:t>
            </w:r>
          </w:p>
        </w:tc>
        <w:tc>
          <w:tcPr>
            <w:tcW w:w="638" w:type="pct"/>
          </w:tcPr>
          <w:p w:rsidR="00C4327A" w:rsidRDefault="00C4327A">
            <w:pPr>
              <w:rPr>
                <w:rFonts w:ascii="Calibri" w:hAnsi="Calibri"/>
                <w:sz w:val="18"/>
                <w:szCs w:val="18"/>
              </w:rPr>
            </w:pPr>
            <w:r>
              <w:rPr>
                <w:rFonts w:ascii="Calibri" w:hAnsi="Calibri"/>
                <w:sz w:val="18"/>
                <w:szCs w:val="18"/>
              </w:rPr>
              <w:t>Dinajpur</w:t>
            </w:r>
          </w:p>
        </w:tc>
        <w:tc>
          <w:tcPr>
            <w:tcW w:w="1259" w:type="pct"/>
          </w:tcPr>
          <w:p w:rsidR="00C4327A" w:rsidRDefault="00C4327A">
            <w:pPr>
              <w:rPr>
                <w:rFonts w:ascii="Calibri" w:hAnsi="Calibri"/>
                <w:sz w:val="18"/>
                <w:szCs w:val="18"/>
              </w:rPr>
            </w:pPr>
            <w:r>
              <w:rPr>
                <w:rFonts w:ascii="Calibri" w:hAnsi="Calibri"/>
                <w:sz w:val="18"/>
                <w:szCs w:val="18"/>
              </w:rPr>
              <w:t>Ghoraghat</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18</w:t>
            </w:r>
          </w:p>
        </w:tc>
        <w:tc>
          <w:tcPr>
            <w:tcW w:w="1240" w:type="pct"/>
          </w:tcPr>
          <w:p w:rsidR="00C4327A" w:rsidRDefault="00C4327A">
            <w:pPr>
              <w:rPr>
                <w:rFonts w:ascii="Calibri" w:hAnsi="Calibri"/>
                <w:sz w:val="18"/>
                <w:szCs w:val="18"/>
              </w:rPr>
            </w:pPr>
            <w:r>
              <w:rPr>
                <w:rFonts w:ascii="Calibri" w:hAnsi="Calibri"/>
                <w:sz w:val="18"/>
                <w:szCs w:val="18"/>
              </w:rPr>
              <w:t>Brahmonbaria</w:t>
            </w:r>
          </w:p>
        </w:tc>
        <w:tc>
          <w:tcPr>
            <w:tcW w:w="1237" w:type="pct"/>
          </w:tcPr>
          <w:p w:rsidR="00C4327A" w:rsidRDefault="00C4327A">
            <w:pPr>
              <w:rPr>
                <w:rFonts w:ascii="Calibri" w:hAnsi="Calibri"/>
                <w:sz w:val="18"/>
                <w:szCs w:val="18"/>
              </w:rPr>
            </w:pPr>
            <w:r>
              <w:rPr>
                <w:rFonts w:ascii="Calibri" w:hAnsi="Calibri"/>
                <w:sz w:val="18"/>
                <w:szCs w:val="18"/>
              </w:rPr>
              <w:t>Nasirnagar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19</w:t>
            </w:r>
          </w:p>
        </w:tc>
        <w:tc>
          <w:tcPr>
            <w:tcW w:w="638" w:type="pct"/>
          </w:tcPr>
          <w:p w:rsidR="00C4327A" w:rsidRDefault="00C4327A">
            <w:pPr>
              <w:rPr>
                <w:rFonts w:ascii="Calibri" w:hAnsi="Calibri"/>
                <w:sz w:val="18"/>
                <w:szCs w:val="18"/>
              </w:rPr>
            </w:pPr>
            <w:r>
              <w:rPr>
                <w:rFonts w:ascii="Calibri" w:hAnsi="Calibri"/>
                <w:sz w:val="18"/>
                <w:szCs w:val="18"/>
              </w:rPr>
              <w:t>Dinajpur</w:t>
            </w:r>
          </w:p>
        </w:tc>
        <w:tc>
          <w:tcPr>
            <w:tcW w:w="1259" w:type="pct"/>
          </w:tcPr>
          <w:p w:rsidR="00C4327A" w:rsidRDefault="00C4327A">
            <w:pPr>
              <w:rPr>
                <w:rFonts w:ascii="Calibri" w:hAnsi="Calibri"/>
                <w:sz w:val="18"/>
                <w:szCs w:val="18"/>
              </w:rPr>
            </w:pPr>
            <w:r>
              <w:rPr>
                <w:rFonts w:ascii="Calibri" w:hAnsi="Calibri"/>
                <w:sz w:val="18"/>
                <w:szCs w:val="18"/>
              </w:rPr>
              <w:t>Birol</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19</w:t>
            </w:r>
          </w:p>
        </w:tc>
        <w:tc>
          <w:tcPr>
            <w:tcW w:w="1240" w:type="pct"/>
          </w:tcPr>
          <w:p w:rsidR="00C4327A" w:rsidRDefault="00C4327A">
            <w:pPr>
              <w:rPr>
                <w:rFonts w:ascii="Calibri" w:hAnsi="Calibri"/>
                <w:sz w:val="18"/>
                <w:szCs w:val="18"/>
              </w:rPr>
            </w:pPr>
            <w:r>
              <w:rPr>
                <w:rFonts w:ascii="Calibri" w:hAnsi="Calibri"/>
                <w:sz w:val="18"/>
                <w:szCs w:val="18"/>
              </w:rPr>
              <w:t>Sunamganj</w:t>
            </w:r>
          </w:p>
        </w:tc>
        <w:tc>
          <w:tcPr>
            <w:tcW w:w="1237" w:type="pct"/>
          </w:tcPr>
          <w:p w:rsidR="00C4327A" w:rsidRDefault="00C4327A">
            <w:pPr>
              <w:rPr>
                <w:rFonts w:ascii="Calibri" w:hAnsi="Calibri"/>
                <w:sz w:val="18"/>
                <w:szCs w:val="18"/>
              </w:rPr>
            </w:pPr>
            <w:r>
              <w:rPr>
                <w:rFonts w:ascii="Calibri" w:hAnsi="Calibri"/>
                <w:sz w:val="18"/>
                <w:szCs w:val="18"/>
              </w:rPr>
              <w:t>Dowarabazar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20</w:t>
            </w:r>
          </w:p>
        </w:tc>
        <w:tc>
          <w:tcPr>
            <w:tcW w:w="638" w:type="pct"/>
          </w:tcPr>
          <w:p w:rsidR="00C4327A" w:rsidRDefault="00C4327A">
            <w:pPr>
              <w:rPr>
                <w:rFonts w:ascii="Calibri" w:hAnsi="Calibri"/>
                <w:sz w:val="18"/>
                <w:szCs w:val="18"/>
              </w:rPr>
            </w:pPr>
            <w:r>
              <w:rPr>
                <w:rFonts w:ascii="Calibri" w:hAnsi="Calibri"/>
                <w:sz w:val="18"/>
                <w:szCs w:val="18"/>
              </w:rPr>
              <w:t>Bogra</w:t>
            </w:r>
          </w:p>
        </w:tc>
        <w:tc>
          <w:tcPr>
            <w:tcW w:w="1259" w:type="pct"/>
          </w:tcPr>
          <w:p w:rsidR="00C4327A" w:rsidRDefault="00C4327A">
            <w:pPr>
              <w:rPr>
                <w:rFonts w:ascii="Calibri" w:hAnsi="Calibri"/>
                <w:sz w:val="18"/>
                <w:szCs w:val="18"/>
              </w:rPr>
            </w:pPr>
            <w:r>
              <w:rPr>
                <w:rFonts w:ascii="Calibri" w:hAnsi="Calibri"/>
                <w:sz w:val="18"/>
                <w:szCs w:val="18"/>
              </w:rPr>
              <w:t>Shahjahanpur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20</w:t>
            </w:r>
          </w:p>
        </w:tc>
        <w:tc>
          <w:tcPr>
            <w:tcW w:w="1240" w:type="pct"/>
          </w:tcPr>
          <w:p w:rsidR="00C4327A" w:rsidRDefault="00C4327A">
            <w:pPr>
              <w:rPr>
                <w:rFonts w:ascii="Calibri" w:hAnsi="Calibri"/>
                <w:sz w:val="18"/>
                <w:szCs w:val="18"/>
              </w:rPr>
            </w:pPr>
            <w:r>
              <w:rPr>
                <w:rFonts w:ascii="Calibri" w:hAnsi="Calibri"/>
                <w:sz w:val="18"/>
                <w:szCs w:val="18"/>
              </w:rPr>
              <w:t>Kishoreganj</w:t>
            </w:r>
          </w:p>
        </w:tc>
        <w:tc>
          <w:tcPr>
            <w:tcW w:w="1237" w:type="pct"/>
          </w:tcPr>
          <w:p w:rsidR="00C4327A" w:rsidRDefault="00C4327A">
            <w:pPr>
              <w:rPr>
                <w:rFonts w:ascii="Calibri" w:hAnsi="Calibri"/>
                <w:sz w:val="18"/>
                <w:szCs w:val="18"/>
              </w:rPr>
            </w:pPr>
            <w:r>
              <w:rPr>
                <w:rFonts w:ascii="Calibri" w:hAnsi="Calibri"/>
                <w:sz w:val="18"/>
                <w:szCs w:val="18"/>
              </w:rPr>
              <w:t>Bhairab</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21</w:t>
            </w:r>
          </w:p>
        </w:tc>
        <w:tc>
          <w:tcPr>
            <w:tcW w:w="638" w:type="pct"/>
          </w:tcPr>
          <w:p w:rsidR="00C4327A" w:rsidRDefault="00C4327A">
            <w:pPr>
              <w:rPr>
                <w:rFonts w:ascii="Calibri" w:hAnsi="Calibri"/>
                <w:sz w:val="18"/>
                <w:szCs w:val="18"/>
              </w:rPr>
            </w:pPr>
            <w:r>
              <w:rPr>
                <w:rFonts w:ascii="Calibri" w:hAnsi="Calibri"/>
                <w:sz w:val="18"/>
                <w:szCs w:val="18"/>
              </w:rPr>
              <w:t>Rangamati</w:t>
            </w:r>
          </w:p>
        </w:tc>
        <w:tc>
          <w:tcPr>
            <w:tcW w:w="1259" w:type="pct"/>
          </w:tcPr>
          <w:p w:rsidR="00C4327A" w:rsidRDefault="00C4327A">
            <w:pPr>
              <w:rPr>
                <w:rFonts w:ascii="Calibri" w:hAnsi="Calibri"/>
                <w:sz w:val="18"/>
                <w:szCs w:val="18"/>
              </w:rPr>
            </w:pPr>
            <w:r>
              <w:rPr>
                <w:rFonts w:ascii="Calibri" w:hAnsi="Calibri"/>
                <w:sz w:val="18"/>
                <w:szCs w:val="18"/>
              </w:rPr>
              <w:t>Belaichhari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21</w:t>
            </w:r>
          </w:p>
        </w:tc>
        <w:tc>
          <w:tcPr>
            <w:tcW w:w="1240" w:type="pct"/>
          </w:tcPr>
          <w:p w:rsidR="00C4327A" w:rsidRDefault="00C4327A">
            <w:pPr>
              <w:rPr>
                <w:rFonts w:ascii="Calibri" w:hAnsi="Calibri"/>
                <w:sz w:val="18"/>
                <w:szCs w:val="18"/>
              </w:rPr>
            </w:pPr>
            <w:r>
              <w:rPr>
                <w:rFonts w:ascii="Calibri" w:hAnsi="Calibri"/>
                <w:sz w:val="18"/>
                <w:szCs w:val="18"/>
              </w:rPr>
              <w:t>Sylhet</w:t>
            </w:r>
          </w:p>
        </w:tc>
        <w:tc>
          <w:tcPr>
            <w:tcW w:w="1237" w:type="pct"/>
          </w:tcPr>
          <w:p w:rsidR="00C4327A" w:rsidRDefault="00C4327A">
            <w:pPr>
              <w:rPr>
                <w:rFonts w:ascii="Calibri" w:hAnsi="Calibri"/>
                <w:sz w:val="18"/>
                <w:szCs w:val="18"/>
              </w:rPr>
            </w:pPr>
            <w:r>
              <w:rPr>
                <w:rFonts w:ascii="Calibri" w:hAnsi="Calibri"/>
                <w:sz w:val="18"/>
                <w:szCs w:val="18"/>
              </w:rPr>
              <w:t>Kanaighat</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22</w:t>
            </w:r>
          </w:p>
        </w:tc>
        <w:tc>
          <w:tcPr>
            <w:tcW w:w="638" w:type="pct"/>
          </w:tcPr>
          <w:p w:rsidR="00C4327A" w:rsidRDefault="00C4327A">
            <w:pPr>
              <w:rPr>
                <w:rFonts w:ascii="Calibri" w:hAnsi="Calibri"/>
                <w:sz w:val="18"/>
                <w:szCs w:val="18"/>
              </w:rPr>
            </w:pPr>
            <w:r>
              <w:rPr>
                <w:rFonts w:ascii="Calibri" w:hAnsi="Calibri"/>
                <w:sz w:val="18"/>
                <w:szCs w:val="18"/>
              </w:rPr>
              <w:t>Khulna</w:t>
            </w:r>
          </w:p>
        </w:tc>
        <w:tc>
          <w:tcPr>
            <w:tcW w:w="1259" w:type="pct"/>
          </w:tcPr>
          <w:p w:rsidR="00C4327A" w:rsidRDefault="00C4327A">
            <w:pPr>
              <w:rPr>
                <w:rFonts w:ascii="Calibri" w:hAnsi="Calibri"/>
                <w:sz w:val="18"/>
                <w:szCs w:val="18"/>
              </w:rPr>
            </w:pPr>
            <w:r>
              <w:rPr>
                <w:rFonts w:ascii="Calibri" w:hAnsi="Calibri"/>
                <w:sz w:val="18"/>
                <w:szCs w:val="18"/>
              </w:rPr>
              <w:t>Phultala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22</w:t>
            </w:r>
          </w:p>
        </w:tc>
        <w:tc>
          <w:tcPr>
            <w:tcW w:w="1240" w:type="pct"/>
          </w:tcPr>
          <w:p w:rsidR="00C4327A" w:rsidRDefault="00C4327A">
            <w:pPr>
              <w:rPr>
                <w:rFonts w:ascii="Calibri" w:hAnsi="Calibri"/>
                <w:sz w:val="18"/>
                <w:szCs w:val="18"/>
              </w:rPr>
            </w:pPr>
            <w:r>
              <w:rPr>
                <w:rFonts w:ascii="Calibri" w:hAnsi="Calibri"/>
                <w:sz w:val="18"/>
                <w:szCs w:val="18"/>
              </w:rPr>
              <w:t>Dhaka</w:t>
            </w:r>
          </w:p>
        </w:tc>
        <w:tc>
          <w:tcPr>
            <w:tcW w:w="1237" w:type="pct"/>
          </w:tcPr>
          <w:p w:rsidR="00C4327A" w:rsidRDefault="00C4327A">
            <w:pPr>
              <w:rPr>
                <w:rFonts w:ascii="Calibri" w:hAnsi="Calibri"/>
                <w:sz w:val="18"/>
                <w:szCs w:val="18"/>
              </w:rPr>
            </w:pPr>
            <w:r>
              <w:rPr>
                <w:rFonts w:ascii="Calibri" w:hAnsi="Calibri"/>
                <w:sz w:val="18"/>
                <w:szCs w:val="18"/>
              </w:rPr>
              <w:t>Dohar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23</w:t>
            </w:r>
          </w:p>
        </w:tc>
        <w:tc>
          <w:tcPr>
            <w:tcW w:w="638" w:type="pct"/>
          </w:tcPr>
          <w:p w:rsidR="00C4327A" w:rsidRDefault="00C4327A">
            <w:pPr>
              <w:rPr>
                <w:rFonts w:ascii="Calibri" w:hAnsi="Calibri"/>
                <w:sz w:val="18"/>
                <w:szCs w:val="18"/>
              </w:rPr>
            </w:pPr>
            <w:r>
              <w:rPr>
                <w:rFonts w:ascii="Calibri" w:hAnsi="Calibri"/>
                <w:sz w:val="18"/>
                <w:szCs w:val="18"/>
              </w:rPr>
              <w:t>Jhalakathi</w:t>
            </w:r>
          </w:p>
        </w:tc>
        <w:tc>
          <w:tcPr>
            <w:tcW w:w="1259" w:type="pct"/>
          </w:tcPr>
          <w:p w:rsidR="00C4327A" w:rsidRDefault="00C4327A">
            <w:pPr>
              <w:rPr>
                <w:rFonts w:ascii="Calibri" w:hAnsi="Calibri"/>
                <w:sz w:val="18"/>
                <w:szCs w:val="18"/>
              </w:rPr>
            </w:pPr>
            <w:r>
              <w:rPr>
                <w:rFonts w:ascii="Calibri" w:hAnsi="Calibri"/>
                <w:sz w:val="18"/>
                <w:szCs w:val="18"/>
              </w:rPr>
              <w:t>Nalchity</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23</w:t>
            </w:r>
          </w:p>
        </w:tc>
        <w:tc>
          <w:tcPr>
            <w:tcW w:w="1240" w:type="pct"/>
          </w:tcPr>
          <w:p w:rsidR="00C4327A" w:rsidRDefault="00C4327A">
            <w:pPr>
              <w:rPr>
                <w:rFonts w:ascii="Calibri" w:hAnsi="Calibri"/>
                <w:sz w:val="18"/>
                <w:szCs w:val="18"/>
              </w:rPr>
            </w:pPr>
            <w:r>
              <w:rPr>
                <w:rFonts w:ascii="Calibri" w:hAnsi="Calibri"/>
                <w:sz w:val="18"/>
                <w:szCs w:val="18"/>
              </w:rPr>
              <w:t>Mymensingh</w:t>
            </w:r>
          </w:p>
        </w:tc>
        <w:tc>
          <w:tcPr>
            <w:tcW w:w="1237" w:type="pct"/>
          </w:tcPr>
          <w:p w:rsidR="00C4327A" w:rsidRDefault="00C4327A">
            <w:pPr>
              <w:rPr>
                <w:rFonts w:ascii="Calibri" w:hAnsi="Calibri"/>
                <w:sz w:val="18"/>
                <w:szCs w:val="18"/>
              </w:rPr>
            </w:pPr>
            <w:r>
              <w:rPr>
                <w:rFonts w:ascii="Calibri" w:hAnsi="Calibri"/>
                <w:sz w:val="18"/>
                <w:szCs w:val="18"/>
              </w:rPr>
              <w:t>Nandail</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24</w:t>
            </w:r>
          </w:p>
        </w:tc>
        <w:tc>
          <w:tcPr>
            <w:tcW w:w="638" w:type="pct"/>
          </w:tcPr>
          <w:p w:rsidR="00C4327A" w:rsidRDefault="00C4327A">
            <w:pPr>
              <w:rPr>
                <w:rFonts w:ascii="Calibri" w:hAnsi="Calibri"/>
                <w:sz w:val="18"/>
                <w:szCs w:val="18"/>
              </w:rPr>
            </w:pPr>
            <w:r>
              <w:rPr>
                <w:rFonts w:ascii="Calibri" w:hAnsi="Calibri"/>
                <w:sz w:val="18"/>
                <w:szCs w:val="18"/>
              </w:rPr>
              <w:t>Pirojpur</w:t>
            </w:r>
          </w:p>
        </w:tc>
        <w:tc>
          <w:tcPr>
            <w:tcW w:w="1259" w:type="pct"/>
          </w:tcPr>
          <w:p w:rsidR="00C4327A" w:rsidRDefault="00C4327A">
            <w:pPr>
              <w:rPr>
                <w:rFonts w:ascii="Calibri" w:hAnsi="Calibri"/>
                <w:sz w:val="18"/>
                <w:szCs w:val="18"/>
              </w:rPr>
            </w:pPr>
            <w:r>
              <w:rPr>
                <w:rFonts w:ascii="Calibri" w:hAnsi="Calibri"/>
                <w:sz w:val="18"/>
                <w:szCs w:val="18"/>
              </w:rPr>
              <w:t>Kawkhali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24</w:t>
            </w:r>
          </w:p>
        </w:tc>
        <w:tc>
          <w:tcPr>
            <w:tcW w:w="1240" w:type="pct"/>
          </w:tcPr>
          <w:p w:rsidR="00C4327A" w:rsidRDefault="00C4327A">
            <w:pPr>
              <w:rPr>
                <w:rFonts w:ascii="Calibri" w:hAnsi="Calibri"/>
                <w:sz w:val="18"/>
                <w:szCs w:val="18"/>
              </w:rPr>
            </w:pPr>
            <w:r>
              <w:rPr>
                <w:rFonts w:ascii="Calibri" w:hAnsi="Calibri"/>
                <w:sz w:val="18"/>
                <w:szCs w:val="18"/>
              </w:rPr>
              <w:t>Mymensingh</w:t>
            </w:r>
          </w:p>
        </w:tc>
        <w:tc>
          <w:tcPr>
            <w:tcW w:w="1237" w:type="pct"/>
          </w:tcPr>
          <w:p w:rsidR="00C4327A" w:rsidRDefault="00C4327A">
            <w:pPr>
              <w:rPr>
                <w:rFonts w:ascii="Calibri" w:hAnsi="Calibri"/>
                <w:sz w:val="18"/>
                <w:szCs w:val="18"/>
              </w:rPr>
            </w:pPr>
            <w:r>
              <w:rPr>
                <w:rFonts w:ascii="Calibri" w:hAnsi="Calibri"/>
                <w:sz w:val="18"/>
                <w:szCs w:val="18"/>
              </w:rPr>
              <w:t>Tarakandha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25</w:t>
            </w:r>
          </w:p>
        </w:tc>
        <w:tc>
          <w:tcPr>
            <w:tcW w:w="638" w:type="pct"/>
          </w:tcPr>
          <w:p w:rsidR="00C4327A" w:rsidRDefault="00C4327A">
            <w:pPr>
              <w:rPr>
                <w:rFonts w:ascii="Calibri" w:hAnsi="Calibri"/>
                <w:sz w:val="18"/>
                <w:szCs w:val="18"/>
              </w:rPr>
            </w:pPr>
            <w:r>
              <w:rPr>
                <w:rFonts w:ascii="Calibri" w:hAnsi="Calibri"/>
                <w:sz w:val="18"/>
                <w:szCs w:val="18"/>
              </w:rPr>
              <w:t>Bogra</w:t>
            </w:r>
          </w:p>
        </w:tc>
        <w:tc>
          <w:tcPr>
            <w:tcW w:w="1259" w:type="pct"/>
          </w:tcPr>
          <w:p w:rsidR="00C4327A" w:rsidRDefault="00C4327A">
            <w:pPr>
              <w:rPr>
                <w:rFonts w:ascii="Calibri" w:hAnsi="Calibri"/>
                <w:sz w:val="18"/>
                <w:szCs w:val="18"/>
              </w:rPr>
            </w:pPr>
            <w:r>
              <w:rPr>
                <w:rFonts w:ascii="Calibri" w:hAnsi="Calibri"/>
                <w:sz w:val="18"/>
                <w:szCs w:val="18"/>
              </w:rPr>
              <w:t>Dhupchachia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25</w:t>
            </w:r>
          </w:p>
        </w:tc>
        <w:tc>
          <w:tcPr>
            <w:tcW w:w="1240" w:type="pct"/>
          </w:tcPr>
          <w:p w:rsidR="00C4327A" w:rsidRDefault="00C4327A">
            <w:pPr>
              <w:rPr>
                <w:rFonts w:ascii="Calibri" w:hAnsi="Calibri"/>
                <w:sz w:val="18"/>
                <w:szCs w:val="18"/>
              </w:rPr>
            </w:pPr>
            <w:r>
              <w:rPr>
                <w:rFonts w:ascii="Calibri" w:hAnsi="Calibri"/>
                <w:sz w:val="18"/>
                <w:szCs w:val="18"/>
              </w:rPr>
              <w:t>Mymensingh</w:t>
            </w:r>
          </w:p>
        </w:tc>
        <w:tc>
          <w:tcPr>
            <w:tcW w:w="1237" w:type="pct"/>
          </w:tcPr>
          <w:p w:rsidR="00C4327A" w:rsidRDefault="00C4327A">
            <w:pPr>
              <w:rPr>
                <w:rFonts w:ascii="Calibri" w:hAnsi="Calibri"/>
                <w:sz w:val="18"/>
                <w:szCs w:val="18"/>
              </w:rPr>
            </w:pPr>
            <w:r>
              <w:rPr>
                <w:rFonts w:ascii="Calibri" w:hAnsi="Calibri"/>
                <w:sz w:val="18"/>
                <w:szCs w:val="18"/>
              </w:rPr>
              <w:t>Ishwargonj</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26</w:t>
            </w:r>
          </w:p>
        </w:tc>
        <w:tc>
          <w:tcPr>
            <w:tcW w:w="638" w:type="pct"/>
          </w:tcPr>
          <w:p w:rsidR="00C4327A" w:rsidRDefault="00C4327A">
            <w:pPr>
              <w:rPr>
                <w:rFonts w:ascii="Calibri" w:hAnsi="Calibri"/>
                <w:sz w:val="18"/>
                <w:szCs w:val="18"/>
              </w:rPr>
            </w:pPr>
            <w:r>
              <w:rPr>
                <w:rFonts w:ascii="Calibri" w:hAnsi="Calibri"/>
                <w:sz w:val="18"/>
                <w:szCs w:val="18"/>
              </w:rPr>
              <w:t>Rangamati</w:t>
            </w:r>
          </w:p>
        </w:tc>
        <w:tc>
          <w:tcPr>
            <w:tcW w:w="1259" w:type="pct"/>
          </w:tcPr>
          <w:p w:rsidR="00C4327A" w:rsidRDefault="00C4327A">
            <w:pPr>
              <w:rPr>
                <w:rFonts w:ascii="Calibri" w:hAnsi="Calibri"/>
                <w:sz w:val="18"/>
                <w:szCs w:val="18"/>
              </w:rPr>
            </w:pPr>
            <w:r>
              <w:rPr>
                <w:rFonts w:ascii="Calibri" w:hAnsi="Calibri"/>
                <w:sz w:val="18"/>
                <w:szCs w:val="18"/>
              </w:rPr>
              <w:t>Juraichhari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26</w:t>
            </w:r>
          </w:p>
        </w:tc>
        <w:tc>
          <w:tcPr>
            <w:tcW w:w="1240" w:type="pct"/>
          </w:tcPr>
          <w:p w:rsidR="00C4327A" w:rsidRDefault="00C4327A">
            <w:pPr>
              <w:rPr>
                <w:rFonts w:ascii="Calibri" w:hAnsi="Calibri"/>
                <w:sz w:val="18"/>
                <w:szCs w:val="18"/>
              </w:rPr>
            </w:pPr>
            <w:r>
              <w:rPr>
                <w:rFonts w:ascii="Calibri" w:hAnsi="Calibri"/>
                <w:sz w:val="18"/>
                <w:szCs w:val="18"/>
              </w:rPr>
              <w:t>Bhola</w:t>
            </w:r>
          </w:p>
        </w:tc>
        <w:tc>
          <w:tcPr>
            <w:tcW w:w="1237" w:type="pct"/>
          </w:tcPr>
          <w:p w:rsidR="00C4327A" w:rsidRDefault="00C4327A">
            <w:pPr>
              <w:rPr>
                <w:rFonts w:ascii="Calibri" w:hAnsi="Calibri"/>
                <w:sz w:val="18"/>
                <w:szCs w:val="18"/>
              </w:rPr>
            </w:pPr>
            <w:r>
              <w:rPr>
                <w:rFonts w:ascii="Calibri" w:hAnsi="Calibri"/>
                <w:sz w:val="18"/>
                <w:szCs w:val="18"/>
              </w:rPr>
              <w:t>Monpura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27</w:t>
            </w:r>
          </w:p>
        </w:tc>
        <w:tc>
          <w:tcPr>
            <w:tcW w:w="638" w:type="pct"/>
          </w:tcPr>
          <w:p w:rsidR="00C4327A" w:rsidRDefault="00C4327A">
            <w:pPr>
              <w:rPr>
                <w:rFonts w:ascii="Calibri" w:hAnsi="Calibri"/>
                <w:sz w:val="18"/>
                <w:szCs w:val="18"/>
              </w:rPr>
            </w:pPr>
            <w:r>
              <w:rPr>
                <w:rFonts w:ascii="Calibri" w:hAnsi="Calibri"/>
                <w:sz w:val="18"/>
                <w:szCs w:val="18"/>
              </w:rPr>
              <w:t>Rangamati</w:t>
            </w:r>
          </w:p>
        </w:tc>
        <w:tc>
          <w:tcPr>
            <w:tcW w:w="1259" w:type="pct"/>
          </w:tcPr>
          <w:p w:rsidR="00C4327A" w:rsidRDefault="00C4327A">
            <w:pPr>
              <w:rPr>
                <w:rFonts w:ascii="Calibri" w:hAnsi="Calibri"/>
                <w:sz w:val="18"/>
                <w:szCs w:val="18"/>
              </w:rPr>
            </w:pPr>
            <w:r>
              <w:rPr>
                <w:rFonts w:ascii="Calibri" w:hAnsi="Calibri"/>
                <w:sz w:val="18"/>
                <w:szCs w:val="18"/>
              </w:rPr>
              <w:t>Rangamati Sadar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27</w:t>
            </w:r>
          </w:p>
        </w:tc>
        <w:tc>
          <w:tcPr>
            <w:tcW w:w="1240" w:type="pct"/>
          </w:tcPr>
          <w:p w:rsidR="00C4327A" w:rsidRDefault="00C4327A">
            <w:pPr>
              <w:rPr>
                <w:rFonts w:ascii="Calibri" w:hAnsi="Calibri"/>
                <w:sz w:val="18"/>
                <w:szCs w:val="18"/>
              </w:rPr>
            </w:pPr>
            <w:r>
              <w:rPr>
                <w:rFonts w:ascii="Calibri" w:hAnsi="Calibri"/>
                <w:sz w:val="18"/>
                <w:szCs w:val="18"/>
              </w:rPr>
              <w:t>Mymensingh</w:t>
            </w:r>
          </w:p>
        </w:tc>
        <w:tc>
          <w:tcPr>
            <w:tcW w:w="1237" w:type="pct"/>
          </w:tcPr>
          <w:p w:rsidR="00C4327A" w:rsidRDefault="00C4327A">
            <w:pPr>
              <w:rPr>
                <w:rFonts w:ascii="Calibri" w:hAnsi="Calibri"/>
                <w:sz w:val="18"/>
                <w:szCs w:val="18"/>
              </w:rPr>
            </w:pPr>
            <w:r>
              <w:rPr>
                <w:rFonts w:ascii="Calibri" w:hAnsi="Calibri"/>
                <w:sz w:val="18"/>
                <w:szCs w:val="18"/>
              </w:rPr>
              <w:t>Pholpur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28</w:t>
            </w:r>
          </w:p>
        </w:tc>
        <w:tc>
          <w:tcPr>
            <w:tcW w:w="638" w:type="pct"/>
          </w:tcPr>
          <w:p w:rsidR="00C4327A" w:rsidRDefault="00C4327A">
            <w:pPr>
              <w:rPr>
                <w:rFonts w:ascii="Calibri" w:hAnsi="Calibri"/>
                <w:sz w:val="18"/>
                <w:szCs w:val="18"/>
              </w:rPr>
            </w:pPr>
            <w:r>
              <w:rPr>
                <w:rFonts w:ascii="Calibri" w:hAnsi="Calibri"/>
                <w:sz w:val="18"/>
                <w:szCs w:val="18"/>
              </w:rPr>
              <w:t>Jhalakathi</w:t>
            </w:r>
          </w:p>
        </w:tc>
        <w:tc>
          <w:tcPr>
            <w:tcW w:w="1259" w:type="pct"/>
          </w:tcPr>
          <w:p w:rsidR="00C4327A" w:rsidRDefault="00C4327A">
            <w:pPr>
              <w:rPr>
                <w:rFonts w:ascii="Calibri" w:hAnsi="Calibri"/>
                <w:sz w:val="18"/>
                <w:szCs w:val="18"/>
              </w:rPr>
            </w:pPr>
            <w:r>
              <w:rPr>
                <w:rFonts w:ascii="Calibri" w:hAnsi="Calibri"/>
                <w:sz w:val="18"/>
                <w:szCs w:val="18"/>
              </w:rPr>
              <w:t>Kathalia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28</w:t>
            </w:r>
          </w:p>
        </w:tc>
        <w:tc>
          <w:tcPr>
            <w:tcW w:w="1240" w:type="pct"/>
          </w:tcPr>
          <w:p w:rsidR="00C4327A" w:rsidRDefault="00C4327A">
            <w:pPr>
              <w:rPr>
                <w:rFonts w:ascii="Calibri" w:hAnsi="Calibri"/>
                <w:sz w:val="18"/>
                <w:szCs w:val="18"/>
              </w:rPr>
            </w:pPr>
            <w:r>
              <w:rPr>
                <w:rFonts w:ascii="Calibri" w:hAnsi="Calibri"/>
                <w:sz w:val="18"/>
                <w:szCs w:val="18"/>
              </w:rPr>
              <w:t>Faridpur</w:t>
            </w:r>
          </w:p>
        </w:tc>
        <w:tc>
          <w:tcPr>
            <w:tcW w:w="1237" w:type="pct"/>
          </w:tcPr>
          <w:p w:rsidR="00C4327A" w:rsidRDefault="00C4327A">
            <w:pPr>
              <w:rPr>
                <w:rFonts w:ascii="Calibri" w:hAnsi="Calibri"/>
                <w:sz w:val="18"/>
                <w:szCs w:val="18"/>
              </w:rPr>
            </w:pPr>
            <w:r>
              <w:rPr>
                <w:rFonts w:ascii="Calibri" w:hAnsi="Calibri"/>
                <w:sz w:val="18"/>
                <w:szCs w:val="18"/>
              </w:rPr>
              <w:t>Shalta (New)</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29</w:t>
            </w:r>
          </w:p>
        </w:tc>
        <w:tc>
          <w:tcPr>
            <w:tcW w:w="638" w:type="pct"/>
          </w:tcPr>
          <w:p w:rsidR="00C4327A" w:rsidRDefault="00C4327A">
            <w:pPr>
              <w:rPr>
                <w:rFonts w:ascii="Calibri" w:hAnsi="Calibri"/>
                <w:sz w:val="18"/>
                <w:szCs w:val="18"/>
              </w:rPr>
            </w:pPr>
            <w:r>
              <w:rPr>
                <w:rFonts w:ascii="Calibri" w:hAnsi="Calibri"/>
                <w:sz w:val="18"/>
                <w:szCs w:val="18"/>
              </w:rPr>
              <w:t>Barisal</w:t>
            </w:r>
          </w:p>
        </w:tc>
        <w:tc>
          <w:tcPr>
            <w:tcW w:w="1259" w:type="pct"/>
          </w:tcPr>
          <w:p w:rsidR="00C4327A" w:rsidRDefault="00C4327A">
            <w:pPr>
              <w:rPr>
                <w:rFonts w:ascii="Calibri" w:hAnsi="Calibri"/>
                <w:sz w:val="18"/>
                <w:szCs w:val="18"/>
              </w:rPr>
            </w:pPr>
            <w:r>
              <w:rPr>
                <w:rFonts w:ascii="Calibri" w:hAnsi="Calibri"/>
                <w:sz w:val="18"/>
                <w:szCs w:val="18"/>
              </w:rPr>
              <w:t>Banaripara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29</w:t>
            </w:r>
          </w:p>
        </w:tc>
        <w:tc>
          <w:tcPr>
            <w:tcW w:w="1240" w:type="pct"/>
          </w:tcPr>
          <w:p w:rsidR="00C4327A" w:rsidRDefault="00C4327A">
            <w:pPr>
              <w:rPr>
                <w:rFonts w:ascii="Calibri" w:hAnsi="Calibri"/>
                <w:sz w:val="18"/>
                <w:szCs w:val="18"/>
              </w:rPr>
            </w:pPr>
            <w:r>
              <w:rPr>
                <w:rFonts w:ascii="Calibri" w:hAnsi="Calibri"/>
                <w:sz w:val="18"/>
                <w:szCs w:val="18"/>
              </w:rPr>
              <w:t>Habiganj</w:t>
            </w:r>
          </w:p>
        </w:tc>
        <w:tc>
          <w:tcPr>
            <w:tcW w:w="1237" w:type="pct"/>
          </w:tcPr>
          <w:p w:rsidR="00C4327A" w:rsidRDefault="00C4327A">
            <w:pPr>
              <w:rPr>
                <w:rFonts w:ascii="Calibri" w:hAnsi="Calibri"/>
                <w:sz w:val="18"/>
                <w:szCs w:val="18"/>
              </w:rPr>
            </w:pPr>
            <w:r>
              <w:rPr>
                <w:rFonts w:ascii="Calibri" w:hAnsi="Calibri"/>
                <w:sz w:val="18"/>
                <w:szCs w:val="18"/>
              </w:rPr>
              <w:t>Lakhai</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30</w:t>
            </w:r>
          </w:p>
        </w:tc>
        <w:tc>
          <w:tcPr>
            <w:tcW w:w="638" w:type="pct"/>
          </w:tcPr>
          <w:p w:rsidR="00C4327A" w:rsidRDefault="00C4327A">
            <w:pPr>
              <w:rPr>
                <w:rFonts w:ascii="Calibri" w:hAnsi="Calibri"/>
                <w:sz w:val="18"/>
                <w:szCs w:val="18"/>
              </w:rPr>
            </w:pPr>
            <w:r>
              <w:rPr>
                <w:rFonts w:ascii="Calibri" w:hAnsi="Calibri"/>
                <w:sz w:val="18"/>
                <w:szCs w:val="18"/>
              </w:rPr>
              <w:t>Patuakhali</w:t>
            </w:r>
          </w:p>
        </w:tc>
        <w:tc>
          <w:tcPr>
            <w:tcW w:w="1259" w:type="pct"/>
          </w:tcPr>
          <w:p w:rsidR="00C4327A" w:rsidRDefault="00C4327A">
            <w:pPr>
              <w:rPr>
                <w:rFonts w:ascii="Calibri" w:hAnsi="Calibri"/>
                <w:sz w:val="18"/>
                <w:szCs w:val="18"/>
              </w:rPr>
            </w:pPr>
            <w:r>
              <w:rPr>
                <w:rFonts w:ascii="Calibri" w:hAnsi="Calibri"/>
                <w:sz w:val="18"/>
                <w:szCs w:val="18"/>
              </w:rPr>
              <w:t>Dasmina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30</w:t>
            </w:r>
          </w:p>
        </w:tc>
        <w:tc>
          <w:tcPr>
            <w:tcW w:w="1240" w:type="pct"/>
          </w:tcPr>
          <w:p w:rsidR="00C4327A" w:rsidRDefault="00C4327A">
            <w:pPr>
              <w:rPr>
                <w:rFonts w:ascii="Calibri" w:hAnsi="Calibri"/>
                <w:sz w:val="18"/>
                <w:szCs w:val="18"/>
              </w:rPr>
            </w:pPr>
            <w:r>
              <w:rPr>
                <w:rFonts w:ascii="Calibri" w:hAnsi="Calibri"/>
                <w:sz w:val="18"/>
                <w:szCs w:val="18"/>
              </w:rPr>
              <w:t>Brahmonbaria</w:t>
            </w:r>
          </w:p>
        </w:tc>
        <w:tc>
          <w:tcPr>
            <w:tcW w:w="1237" w:type="pct"/>
          </w:tcPr>
          <w:p w:rsidR="00C4327A" w:rsidRDefault="00C4327A">
            <w:pPr>
              <w:rPr>
                <w:rFonts w:ascii="Calibri" w:hAnsi="Calibri"/>
                <w:sz w:val="18"/>
                <w:szCs w:val="18"/>
              </w:rPr>
            </w:pPr>
            <w:r>
              <w:rPr>
                <w:rFonts w:ascii="Calibri" w:hAnsi="Calibri"/>
                <w:sz w:val="18"/>
                <w:szCs w:val="18"/>
              </w:rPr>
              <w:t>Bijoynagar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31</w:t>
            </w:r>
          </w:p>
        </w:tc>
        <w:tc>
          <w:tcPr>
            <w:tcW w:w="638" w:type="pct"/>
          </w:tcPr>
          <w:p w:rsidR="00C4327A" w:rsidRDefault="00C4327A">
            <w:pPr>
              <w:rPr>
                <w:rFonts w:ascii="Calibri" w:hAnsi="Calibri"/>
                <w:sz w:val="18"/>
                <w:szCs w:val="18"/>
              </w:rPr>
            </w:pPr>
            <w:r>
              <w:rPr>
                <w:rFonts w:ascii="Calibri" w:hAnsi="Calibri"/>
                <w:sz w:val="18"/>
                <w:szCs w:val="18"/>
              </w:rPr>
              <w:t>Rangamati</w:t>
            </w:r>
          </w:p>
        </w:tc>
        <w:tc>
          <w:tcPr>
            <w:tcW w:w="1259" w:type="pct"/>
          </w:tcPr>
          <w:p w:rsidR="00C4327A" w:rsidRDefault="00C4327A">
            <w:pPr>
              <w:rPr>
                <w:rFonts w:ascii="Calibri" w:hAnsi="Calibri"/>
                <w:sz w:val="18"/>
                <w:szCs w:val="18"/>
              </w:rPr>
            </w:pPr>
            <w:r>
              <w:rPr>
                <w:rFonts w:ascii="Calibri" w:hAnsi="Calibri"/>
                <w:sz w:val="18"/>
                <w:szCs w:val="18"/>
              </w:rPr>
              <w:t>Bagaichhari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31</w:t>
            </w:r>
          </w:p>
        </w:tc>
        <w:tc>
          <w:tcPr>
            <w:tcW w:w="1240" w:type="pct"/>
          </w:tcPr>
          <w:p w:rsidR="00C4327A" w:rsidRDefault="00C4327A">
            <w:pPr>
              <w:rPr>
                <w:rFonts w:ascii="Calibri" w:hAnsi="Calibri"/>
                <w:sz w:val="18"/>
                <w:szCs w:val="18"/>
              </w:rPr>
            </w:pPr>
            <w:r>
              <w:rPr>
                <w:rFonts w:ascii="Calibri" w:hAnsi="Calibri"/>
                <w:sz w:val="18"/>
                <w:szCs w:val="18"/>
              </w:rPr>
              <w:t>Chittagong</w:t>
            </w:r>
          </w:p>
        </w:tc>
        <w:tc>
          <w:tcPr>
            <w:tcW w:w="1237" w:type="pct"/>
          </w:tcPr>
          <w:p w:rsidR="00C4327A" w:rsidRDefault="00C4327A">
            <w:pPr>
              <w:rPr>
                <w:rFonts w:ascii="Calibri" w:hAnsi="Calibri"/>
                <w:sz w:val="18"/>
                <w:szCs w:val="18"/>
              </w:rPr>
            </w:pPr>
            <w:r>
              <w:rPr>
                <w:rFonts w:ascii="Calibri" w:hAnsi="Calibri"/>
                <w:sz w:val="18"/>
                <w:szCs w:val="18"/>
              </w:rPr>
              <w:t>Bandar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32</w:t>
            </w:r>
          </w:p>
        </w:tc>
        <w:tc>
          <w:tcPr>
            <w:tcW w:w="638" w:type="pct"/>
          </w:tcPr>
          <w:p w:rsidR="00C4327A" w:rsidRDefault="00C4327A">
            <w:pPr>
              <w:rPr>
                <w:rFonts w:ascii="Calibri" w:hAnsi="Calibri"/>
                <w:sz w:val="18"/>
                <w:szCs w:val="18"/>
              </w:rPr>
            </w:pPr>
            <w:r>
              <w:rPr>
                <w:rFonts w:ascii="Calibri" w:hAnsi="Calibri"/>
                <w:sz w:val="18"/>
                <w:szCs w:val="18"/>
              </w:rPr>
              <w:t>Barisal</w:t>
            </w:r>
          </w:p>
        </w:tc>
        <w:tc>
          <w:tcPr>
            <w:tcW w:w="1259" w:type="pct"/>
          </w:tcPr>
          <w:p w:rsidR="00C4327A" w:rsidRDefault="00C4327A">
            <w:pPr>
              <w:rPr>
                <w:rFonts w:ascii="Calibri" w:hAnsi="Calibri"/>
                <w:sz w:val="18"/>
                <w:szCs w:val="18"/>
              </w:rPr>
            </w:pPr>
            <w:r>
              <w:rPr>
                <w:rFonts w:ascii="Calibri" w:hAnsi="Calibri"/>
                <w:sz w:val="18"/>
                <w:szCs w:val="18"/>
              </w:rPr>
              <w:t>Agailjhara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32</w:t>
            </w:r>
          </w:p>
        </w:tc>
        <w:tc>
          <w:tcPr>
            <w:tcW w:w="1240" w:type="pct"/>
          </w:tcPr>
          <w:p w:rsidR="00C4327A" w:rsidRDefault="00C4327A">
            <w:pPr>
              <w:rPr>
                <w:rFonts w:ascii="Calibri" w:hAnsi="Calibri"/>
                <w:sz w:val="18"/>
                <w:szCs w:val="18"/>
              </w:rPr>
            </w:pPr>
            <w:r>
              <w:rPr>
                <w:rFonts w:ascii="Calibri" w:hAnsi="Calibri"/>
                <w:sz w:val="18"/>
                <w:szCs w:val="18"/>
              </w:rPr>
              <w:t>Patuakhali</w:t>
            </w:r>
          </w:p>
        </w:tc>
        <w:tc>
          <w:tcPr>
            <w:tcW w:w="1237" w:type="pct"/>
          </w:tcPr>
          <w:p w:rsidR="00C4327A" w:rsidRDefault="00C4327A">
            <w:pPr>
              <w:rPr>
                <w:rFonts w:ascii="Calibri" w:hAnsi="Calibri"/>
                <w:sz w:val="18"/>
                <w:szCs w:val="18"/>
              </w:rPr>
            </w:pPr>
            <w:r>
              <w:rPr>
                <w:rFonts w:ascii="Calibri" w:hAnsi="Calibri"/>
                <w:sz w:val="18"/>
                <w:szCs w:val="18"/>
              </w:rPr>
              <w:t>Rangabali</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33</w:t>
            </w:r>
          </w:p>
        </w:tc>
        <w:tc>
          <w:tcPr>
            <w:tcW w:w="638" w:type="pct"/>
          </w:tcPr>
          <w:p w:rsidR="00C4327A" w:rsidRDefault="00C4327A">
            <w:pPr>
              <w:rPr>
                <w:rFonts w:ascii="Calibri" w:hAnsi="Calibri"/>
                <w:sz w:val="18"/>
                <w:szCs w:val="18"/>
              </w:rPr>
            </w:pPr>
            <w:r>
              <w:rPr>
                <w:rFonts w:ascii="Calibri" w:hAnsi="Calibri"/>
                <w:sz w:val="18"/>
                <w:szCs w:val="18"/>
              </w:rPr>
              <w:t>Sirajganj</w:t>
            </w:r>
          </w:p>
        </w:tc>
        <w:tc>
          <w:tcPr>
            <w:tcW w:w="1259" w:type="pct"/>
          </w:tcPr>
          <w:p w:rsidR="00C4327A" w:rsidRDefault="00C4327A">
            <w:pPr>
              <w:rPr>
                <w:rFonts w:ascii="Calibri" w:hAnsi="Calibri"/>
                <w:sz w:val="18"/>
                <w:szCs w:val="18"/>
              </w:rPr>
            </w:pPr>
            <w:r>
              <w:rPr>
                <w:rFonts w:ascii="Calibri" w:hAnsi="Calibri"/>
                <w:sz w:val="18"/>
                <w:szCs w:val="18"/>
              </w:rPr>
              <w:t>Kamarkhand</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33</w:t>
            </w:r>
          </w:p>
        </w:tc>
        <w:tc>
          <w:tcPr>
            <w:tcW w:w="1240" w:type="pct"/>
          </w:tcPr>
          <w:p w:rsidR="00C4327A" w:rsidRDefault="00C4327A">
            <w:pPr>
              <w:rPr>
                <w:rFonts w:ascii="Calibri" w:hAnsi="Calibri"/>
                <w:sz w:val="18"/>
                <w:szCs w:val="18"/>
              </w:rPr>
            </w:pPr>
            <w:r>
              <w:rPr>
                <w:rFonts w:ascii="Calibri" w:hAnsi="Calibri"/>
                <w:sz w:val="18"/>
                <w:szCs w:val="18"/>
              </w:rPr>
              <w:t>Bhola</w:t>
            </w:r>
          </w:p>
        </w:tc>
        <w:tc>
          <w:tcPr>
            <w:tcW w:w="1237" w:type="pct"/>
          </w:tcPr>
          <w:p w:rsidR="00C4327A" w:rsidRDefault="00C4327A">
            <w:pPr>
              <w:rPr>
                <w:rFonts w:ascii="Calibri" w:hAnsi="Calibri"/>
                <w:sz w:val="18"/>
                <w:szCs w:val="18"/>
              </w:rPr>
            </w:pPr>
            <w:r>
              <w:rPr>
                <w:rFonts w:ascii="Calibri" w:hAnsi="Calibri"/>
                <w:sz w:val="18"/>
                <w:szCs w:val="18"/>
              </w:rPr>
              <w:t>Char Fasson</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34</w:t>
            </w:r>
          </w:p>
        </w:tc>
        <w:tc>
          <w:tcPr>
            <w:tcW w:w="638" w:type="pct"/>
          </w:tcPr>
          <w:p w:rsidR="00C4327A" w:rsidRDefault="00C4327A">
            <w:pPr>
              <w:rPr>
                <w:rFonts w:ascii="Calibri" w:hAnsi="Calibri"/>
                <w:sz w:val="18"/>
                <w:szCs w:val="18"/>
              </w:rPr>
            </w:pPr>
            <w:r>
              <w:rPr>
                <w:rFonts w:ascii="Calibri" w:hAnsi="Calibri"/>
                <w:sz w:val="18"/>
                <w:szCs w:val="18"/>
              </w:rPr>
              <w:t>Pirojpur</w:t>
            </w:r>
          </w:p>
        </w:tc>
        <w:tc>
          <w:tcPr>
            <w:tcW w:w="1259" w:type="pct"/>
          </w:tcPr>
          <w:p w:rsidR="00C4327A" w:rsidRDefault="00C4327A">
            <w:pPr>
              <w:rPr>
                <w:rFonts w:ascii="Calibri" w:hAnsi="Calibri"/>
                <w:sz w:val="18"/>
                <w:szCs w:val="18"/>
              </w:rPr>
            </w:pPr>
            <w:r>
              <w:rPr>
                <w:rFonts w:ascii="Calibri" w:hAnsi="Calibri"/>
                <w:sz w:val="18"/>
                <w:szCs w:val="18"/>
              </w:rPr>
              <w:t>Pirojpur Sadar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34</w:t>
            </w:r>
          </w:p>
        </w:tc>
        <w:tc>
          <w:tcPr>
            <w:tcW w:w="1240" w:type="pct"/>
          </w:tcPr>
          <w:p w:rsidR="00C4327A" w:rsidRDefault="00C4327A">
            <w:pPr>
              <w:rPr>
                <w:rFonts w:ascii="Calibri" w:hAnsi="Calibri"/>
                <w:sz w:val="18"/>
                <w:szCs w:val="18"/>
              </w:rPr>
            </w:pPr>
            <w:r>
              <w:rPr>
                <w:rFonts w:ascii="Calibri" w:hAnsi="Calibri"/>
                <w:sz w:val="18"/>
                <w:szCs w:val="18"/>
              </w:rPr>
              <w:t>Laksmipur</w:t>
            </w:r>
          </w:p>
        </w:tc>
        <w:tc>
          <w:tcPr>
            <w:tcW w:w="1237" w:type="pct"/>
          </w:tcPr>
          <w:p w:rsidR="00C4327A" w:rsidRDefault="00C4327A">
            <w:pPr>
              <w:rPr>
                <w:rFonts w:ascii="Calibri" w:hAnsi="Calibri"/>
                <w:sz w:val="18"/>
                <w:szCs w:val="18"/>
              </w:rPr>
            </w:pPr>
            <w:r>
              <w:rPr>
                <w:rFonts w:ascii="Calibri" w:hAnsi="Calibri"/>
                <w:sz w:val="18"/>
                <w:szCs w:val="18"/>
              </w:rPr>
              <w:t>Kamalnagar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35</w:t>
            </w:r>
          </w:p>
        </w:tc>
        <w:tc>
          <w:tcPr>
            <w:tcW w:w="638" w:type="pct"/>
          </w:tcPr>
          <w:p w:rsidR="00C4327A" w:rsidRDefault="00C4327A">
            <w:pPr>
              <w:rPr>
                <w:rFonts w:ascii="Calibri" w:hAnsi="Calibri"/>
                <w:sz w:val="18"/>
                <w:szCs w:val="18"/>
              </w:rPr>
            </w:pPr>
            <w:r>
              <w:rPr>
                <w:rFonts w:ascii="Calibri" w:hAnsi="Calibri"/>
                <w:sz w:val="18"/>
                <w:szCs w:val="18"/>
              </w:rPr>
              <w:t>Dinajpur</w:t>
            </w:r>
          </w:p>
        </w:tc>
        <w:tc>
          <w:tcPr>
            <w:tcW w:w="1259" w:type="pct"/>
          </w:tcPr>
          <w:p w:rsidR="00C4327A" w:rsidRDefault="00C4327A">
            <w:pPr>
              <w:rPr>
                <w:rFonts w:ascii="Calibri" w:hAnsi="Calibri"/>
                <w:sz w:val="18"/>
                <w:szCs w:val="18"/>
              </w:rPr>
            </w:pPr>
            <w:r>
              <w:rPr>
                <w:rFonts w:ascii="Calibri" w:hAnsi="Calibri"/>
                <w:sz w:val="18"/>
                <w:szCs w:val="18"/>
              </w:rPr>
              <w:t>Bochaganj</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35</w:t>
            </w:r>
          </w:p>
        </w:tc>
        <w:tc>
          <w:tcPr>
            <w:tcW w:w="1240" w:type="pct"/>
          </w:tcPr>
          <w:p w:rsidR="00C4327A" w:rsidRDefault="00C4327A">
            <w:pPr>
              <w:rPr>
                <w:rFonts w:ascii="Calibri" w:hAnsi="Calibri"/>
                <w:sz w:val="18"/>
                <w:szCs w:val="18"/>
              </w:rPr>
            </w:pPr>
            <w:r>
              <w:rPr>
                <w:rFonts w:ascii="Calibri" w:hAnsi="Calibri"/>
                <w:sz w:val="18"/>
                <w:szCs w:val="18"/>
              </w:rPr>
              <w:t>Noakhali</w:t>
            </w:r>
          </w:p>
        </w:tc>
        <w:tc>
          <w:tcPr>
            <w:tcW w:w="1237" w:type="pct"/>
          </w:tcPr>
          <w:p w:rsidR="00C4327A" w:rsidRDefault="00C4327A">
            <w:pPr>
              <w:rPr>
                <w:rFonts w:ascii="Calibri" w:hAnsi="Calibri"/>
                <w:sz w:val="18"/>
                <w:szCs w:val="18"/>
              </w:rPr>
            </w:pPr>
            <w:r>
              <w:rPr>
                <w:rFonts w:ascii="Calibri" w:hAnsi="Calibri"/>
                <w:sz w:val="18"/>
                <w:szCs w:val="18"/>
              </w:rPr>
              <w:t>Subarna Char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36</w:t>
            </w:r>
          </w:p>
        </w:tc>
        <w:tc>
          <w:tcPr>
            <w:tcW w:w="638" w:type="pct"/>
          </w:tcPr>
          <w:p w:rsidR="00C4327A" w:rsidRDefault="00C4327A">
            <w:pPr>
              <w:rPr>
                <w:rFonts w:ascii="Calibri" w:hAnsi="Calibri"/>
                <w:sz w:val="18"/>
                <w:szCs w:val="18"/>
              </w:rPr>
            </w:pPr>
            <w:r>
              <w:rPr>
                <w:rFonts w:ascii="Calibri" w:hAnsi="Calibri"/>
                <w:sz w:val="18"/>
                <w:szCs w:val="18"/>
              </w:rPr>
              <w:t>Joypurhat</w:t>
            </w:r>
          </w:p>
        </w:tc>
        <w:tc>
          <w:tcPr>
            <w:tcW w:w="1259" w:type="pct"/>
          </w:tcPr>
          <w:p w:rsidR="00C4327A" w:rsidRDefault="00C4327A">
            <w:pPr>
              <w:rPr>
                <w:rFonts w:ascii="Calibri" w:hAnsi="Calibri"/>
                <w:sz w:val="18"/>
                <w:szCs w:val="18"/>
              </w:rPr>
            </w:pPr>
            <w:r>
              <w:rPr>
                <w:rFonts w:ascii="Calibri" w:hAnsi="Calibri"/>
                <w:sz w:val="18"/>
                <w:szCs w:val="18"/>
              </w:rPr>
              <w:t>Khetlal</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36</w:t>
            </w:r>
          </w:p>
        </w:tc>
        <w:tc>
          <w:tcPr>
            <w:tcW w:w="1240" w:type="pct"/>
          </w:tcPr>
          <w:p w:rsidR="00C4327A" w:rsidRDefault="00C4327A">
            <w:pPr>
              <w:rPr>
                <w:rFonts w:ascii="Calibri" w:hAnsi="Calibri"/>
                <w:sz w:val="18"/>
                <w:szCs w:val="18"/>
              </w:rPr>
            </w:pPr>
            <w:r>
              <w:rPr>
                <w:rFonts w:ascii="Calibri" w:hAnsi="Calibri"/>
                <w:sz w:val="18"/>
                <w:szCs w:val="18"/>
              </w:rPr>
              <w:t>Brahmonbaria</w:t>
            </w:r>
          </w:p>
        </w:tc>
        <w:tc>
          <w:tcPr>
            <w:tcW w:w="1237" w:type="pct"/>
          </w:tcPr>
          <w:p w:rsidR="00C4327A" w:rsidRDefault="00C4327A">
            <w:pPr>
              <w:rPr>
                <w:rFonts w:ascii="Calibri" w:hAnsi="Calibri"/>
                <w:sz w:val="18"/>
                <w:szCs w:val="18"/>
              </w:rPr>
            </w:pPr>
            <w:r>
              <w:rPr>
                <w:rFonts w:ascii="Calibri" w:hAnsi="Calibri"/>
                <w:sz w:val="18"/>
                <w:szCs w:val="18"/>
              </w:rPr>
              <w:t xml:space="preserve">Ashoganj </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37</w:t>
            </w:r>
          </w:p>
        </w:tc>
        <w:tc>
          <w:tcPr>
            <w:tcW w:w="638" w:type="pct"/>
          </w:tcPr>
          <w:p w:rsidR="00C4327A" w:rsidRDefault="00C4327A">
            <w:pPr>
              <w:rPr>
                <w:rFonts w:ascii="Calibri" w:hAnsi="Calibri"/>
                <w:sz w:val="18"/>
                <w:szCs w:val="18"/>
              </w:rPr>
            </w:pPr>
            <w:r>
              <w:rPr>
                <w:rFonts w:ascii="Calibri" w:hAnsi="Calibri"/>
                <w:sz w:val="18"/>
                <w:szCs w:val="18"/>
              </w:rPr>
              <w:t>Rangamati</w:t>
            </w:r>
          </w:p>
        </w:tc>
        <w:tc>
          <w:tcPr>
            <w:tcW w:w="1259" w:type="pct"/>
          </w:tcPr>
          <w:p w:rsidR="00C4327A" w:rsidRDefault="00C4327A">
            <w:pPr>
              <w:rPr>
                <w:rFonts w:ascii="Calibri" w:hAnsi="Calibri"/>
                <w:sz w:val="18"/>
                <w:szCs w:val="18"/>
              </w:rPr>
            </w:pPr>
            <w:r>
              <w:rPr>
                <w:rFonts w:ascii="Calibri" w:hAnsi="Calibri"/>
                <w:sz w:val="18"/>
                <w:szCs w:val="18"/>
              </w:rPr>
              <w:t>Kaptai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37</w:t>
            </w:r>
          </w:p>
        </w:tc>
        <w:tc>
          <w:tcPr>
            <w:tcW w:w="1240" w:type="pct"/>
          </w:tcPr>
          <w:p w:rsidR="00C4327A" w:rsidRDefault="00C4327A">
            <w:pPr>
              <w:rPr>
                <w:rFonts w:ascii="Calibri" w:hAnsi="Calibri"/>
                <w:sz w:val="18"/>
                <w:szCs w:val="18"/>
              </w:rPr>
            </w:pPr>
            <w:r>
              <w:rPr>
                <w:rFonts w:ascii="Calibri" w:hAnsi="Calibri"/>
                <w:sz w:val="18"/>
                <w:szCs w:val="18"/>
              </w:rPr>
              <w:t>Mymensingh</w:t>
            </w:r>
          </w:p>
        </w:tc>
        <w:tc>
          <w:tcPr>
            <w:tcW w:w="1237" w:type="pct"/>
          </w:tcPr>
          <w:p w:rsidR="00C4327A" w:rsidRDefault="00C4327A">
            <w:pPr>
              <w:rPr>
                <w:rFonts w:ascii="Calibri" w:hAnsi="Calibri"/>
                <w:sz w:val="18"/>
                <w:szCs w:val="18"/>
              </w:rPr>
            </w:pPr>
            <w:r>
              <w:rPr>
                <w:rFonts w:ascii="Calibri" w:hAnsi="Calibri"/>
                <w:sz w:val="18"/>
                <w:szCs w:val="18"/>
              </w:rPr>
              <w:t>Fulbaria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38</w:t>
            </w:r>
          </w:p>
        </w:tc>
        <w:tc>
          <w:tcPr>
            <w:tcW w:w="638" w:type="pct"/>
          </w:tcPr>
          <w:p w:rsidR="00C4327A" w:rsidRDefault="00C4327A">
            <w:pPr>
              <w:rPr>
                <w:rFonts w:ascii="Calibri" w:hAnsi="Calibri"/>
                <w:sz w:val="18"/>
                <w:szCs w:val="18"/>
              </w:rPr>
            </w:pPr>
            <w:r>
              <w:rPr>
                <w:rFonts w:ascii="Calibri" w:hAnsi="Calibri"/>
                <w:sz w:val="18"/>
                <w:szCs w:val="18"/>
              </w:rPr>
              <w:t>Naogaon</w:t>
            </w:r>
          </w:p>
        </w:tc>
        <w:tc>
          <w:tcPr>
            <w:tcW w:w="1259" w:type="pct"/>
          </w:tcPr>
          <w:p w:rsidR="00C4327A" w:rsidRDefault="00C4327A">
            <w:pPr>
              <w:rPr>
                <w:rFonts w:ascii="Calibri" w:hAnsi="Calibri"/>
                <w:sz w:val="18"/>
                <w:szCs w:val="18"/>
              </w:rPr>
            </w:pPr>
            <w:r>
              <w:rPr>
                <w:rFonts w:ascii="Calibri" w:hAnsi="Calibri"/>
                <w:sz w:val="18"/>
                <w:szCs w:val="18"/>
              </w:rPr>
              <w:t>Mohadebpur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38</w:t>
            </w:r>
          </w:p>
        </w:tc>
        <w:tc>
          <w:tcPr>
            <w:tcW w:w="1240" w:type="pct"/>
          </w:tcPr>
          <w:p w:rsidR="00C4327A" w:rsidRDefault="00C4327A">
            <w:pPr>
              <w:rPr>
                <w:rFonts w:ascii="Calibri" w:hAnsi="Calibri"/>
                <w:sz w:val="18"/>
                <w:szCs w:val="18"/>
              </w:rPr>
            </w:pPr>
            <w:r>
              <w:rPr>
                <w:rFonts w:ascii="Calibri" w:hAnsi="Calibri"/>
                <w:sz w:val="18"/>
                <w:szCs w:val="18"/>
              </w:rPr>
              <w:t>Dhaka</w:t>
            </w:r>
          </w:p>
        </w:tc>
        <w:tc>
          <w:tcPr>
            <w:tcW w:w="1237" w:type="pct"/>
          </w:tcPr>
          <w:p w:rsidR="00C4327A" w:rsidRDefault="00C4327A">
            <w:pPr>
              <w:rPr>
                <w:rFonts w:ascii="Calibri" w:hAnsi="Calibri"/>
                <w:sz w:val="18"/>
                <w:szCs w:val="18"/>
              </w:rPr>
            </w:pPr>
            <w:r>
              <w:rPr>
                <w:rFonts w:ascii="Calibri" w:hAnsi="Calibri"/>
                <w:sz w:val="18"/>
                <w:szCs w:val="18"/>
              </w:rPr>
              <w:t>Demra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39</w:t>
            </w:r>
          </w:p>
        </w:tc>
        <w:tc>
          <w:tcPr>
            <w:tcW w:w="638" w:type="pct"/>
          </w:tcPr>
          <w:p w:rsidR="00C4327A" w:rsidRDefault="00C4327A">
            <w:pPr>
              <w:rPr>
                <w:rFonts w:ascii="Calibri" w:hAnsi="Calibri"/>
                <w:sz w:val="18"/>
                <w:szCs w:val="18"/>
              </w:rPr>
            </w:pPr>
            <w:r>
              <w:rPr>
                <w:rFonts w:ascii="Calibri" w:hAnsi="Calibri"/>
                <w:sz w:val="18"/>
                <w:szCs w:val="18"/>
              </w:rPr>
              <w:t>Bogra</w:t>
            </w:r>
          </w:p>
        </w:tc>
        <w:tc>
          <w:tcPr>
            <w:tcW w:w="1259" w:type="pct"/>
          </w:tcPr>
          <w:p w:rsidR="00C4327A" w:rsidRDefault="00C4327A">
            <w:pPr>
              <w:rPr>
                <w:rFonts w:ascii="Calibri" w:hAnsi="Calibri"/>
                <w:sz w:val="18"/>
                <w:szCs w:val="18"/>
              </w:rPr>
            </w:pPr>
            <w:r>
              <w:rPr>
                <w:rFonts w:ascii="Calibri" w:hAnsi="Calibri"/>
                <w:sz w:val="18"/>
                <w:szCs w:val="18"/>
              </w:rPr>
              <w:t>Kahalo</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39</w:t>
            </w:r>
          </w:p>
        </w:tc>
        <w:tc>
          <w:tcPr>
            <w:tcW w:w="1240" w:type="pct"/>
          </w:tcPr>
          <w:p w:rsidR="00C4327A" w:rsidRDefault="00C4327A">
            <w:pPr>
              <w:rPr>
                <w:rFonts w:ascii="Calibri" w:hAnsi="Calibri"/>
                <w:sz w:val="18"/>
                <w:szCs w:val="18"/>
              </w:rPr>
            </w:pPr>
            <w:r>
              <w:rPr>
                <w:rFonts w:ascii="Calibri" w:hAnsi="Calibri"/>
                <w:sz w:val="18"/>
                <w:szCs w:val="18"/>
              </w:rPr>
              <w:t>Sirajganj</w:t>
            </w:r>
          </w:p>
        </w:tc>
        <w:tc>
          <w:tcPr>
            <w:tcW w:w="1237" w:type="pct"/>
          </w:tcPr>
          <w:p w:rsidR="00C4327A" w:rsidRDefault="00C4327A">
            <w:pPr>
              <w:rPr>
                <w:rFonts w:ascii="Calibri" w:hAnsi="Calibri"/>
                <w:sz w:val="18"/>
                <w:szCs w:val="18"/>
              </w:rPr>
            </w:pPr>
            <w:r>
              <w:rPr>
                <w:rFonts w:ascii="Calibri" w:hAnsi="Calibri"/>
                <w:sz w:val="18"/>
                <w:szCs w:val="18"/>
              </w:rPr>
              <w:t>Chowhali</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40</w:t>
            </w:r>
          </w:p>
        </w:tc>
        <w:tc>
          <w:tcPr>
            <w:tcW w:w="638" w:type="pct"/>
          </w:tcPr>
          <w:p w:rsidR="00C4327A" w:rsidRDefault="00C4327A">
            <w:pPr>
              <w:rPr>
                <w:rFonts w:ascii="Calibri" w:hAnsi="Calibri"/>
                <w:sz w:val="18"/>
                <w:szCs w:val="18"/>
              </w:rPr>
            </w:pPr>
            <w:r>
              <w:rPr>
                <w:rFonts w:ascii="Calibri" w:hAnsi="Calibri"/>
                <w:sz w:val="18"/>
                <w:szCs w:val="18"/>
              </w:rPr>
              <w:t>Dinajpur</w:t>
            </w:r>
          </w:p>
        </w:tc>
        <w:tc>
          <w:tcPr>
            <w:tcW w:w="1259" w:type="pct"/>
          </w:tcPr>
          <w:p w:rsidR="00C4327A" w:rsidRDefault="00C4327A">
            <w:pPr>
              <w:rPr>
                <w:rFonts w:ascii="Calibri" w:hAnsi="Calibri"/>
                <w:sz w:val="18"/>
                <w:szCs w:val="18"/>
              </w:rPr>
            </w:pPr>
            <w:r>
              <w:rPr>
                <w:rFonts w:ascii="Calibri" w:hAnsi="Calibri"/>
                <w:sz w:val="18"/>
                <w:szCs w:val="18"/>
              </w:rPr>
              <w:t>Chirirbandar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40</w:t>
            </w:r>
          </w:p>
        </w:tc>
        <w:tc>
          <w:tcPr>
            <w:tcW w:w="1240" w:type="pct"/>
          </w:tcPr>
          <w:p w:rsidR="00C4327A" w:rsidRDefault="00C4327A">
            <w:pPr>
              <w:rPr>
                <w:rFonts w:ascii="Calibri" w:hAnsi="Calibri"/>
                <w:sz w:val="18"/>
                <w:szCs w:val="18"/>
              </w:rPr>
            </w:pPr>
            <w:r>
              <w:rPr>
                <w:rFonts w:ascii="Calibri" w:hAnsi="Calibri"/>
                <w:sz w:val="18"/>
                <w:szCs w:val="18"/>
              </w:rPr>
              <w:t>Cox's Bazar</w:t>
            </w:r>
          </w:p>
        </w:tc>
        <w:tc>
          <w:tcPr>
            <w:tcW w:w="1237" w:type="pct"/>
          </w:tcPr>
          <w:p w:rsidR="00C4327A" w:rsidRDefault="00C4327A">
            <w:pPr>
              <w:rPr>
                <w:rFonts w:ascii="Calibri" w:hAnsi="Calibri"/>
                <w:sz w:val="18"/>
                <w:szCs w:val="18"/>
              </w:rPr>
            </w:pPr>
            <w:r>
              <w:rPr>
                <w:rFonts w:ascii="Calibri" w:hAnsi="Calibri"/>
                <w:sz w:val="18"/>
                <w:szCs w:val="18"/>
              </w:rPr>
              <w:t>Ukhia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lastRenderedPageBreak/>
              <w:t>41</w:t>
            </w:r>
          </w:p>
        </w:tc>
        <w:tc>
          <w:tcPr>
            <w:tcW w:w="638" w:type="pct"/>
          </w:tcPr>
          <w:p w:rsidR="00C4327A" w:rsidRDefault="00C4327A">
            <w:pPr>
              <w:rPr>
                <w:rFonts w:ascii="Calibri" w:hAnsi="Calibri"/>
                <w:sz w:val="18"/>
                <w:szCs w:val="18"/>
              </w:rPr>
            </w:pPr>
            <w:r>
              <w:rPr>
                <w:rFonts w:ascii="Calibri" w:hAnsi="Calibri"/>
                <w:sz w:val="18"/>
                <w:szCs w:val="18"/>
              </w:rPr>
              <w:t>Joypurhat</w:t>
            </w:r>
          </w:p>
        </w:tc>
        <w:tc>
          <w:tcPr>
            <w:tcW w:w="1259" w:type="pct"/>
          </w:tcPr>
          <w:p w:rsidR="00C4327A" w:rsidRDefault="00C4327A">
            <w:pPr>
              <w:rPr>
                <w:rFonts w:ascii="Calibri" w:hAnsi="Calibri"/>
                <w:sz w:val="18"/>
                <w:szCs w:val="18"/>
              </w:rPr>
            </w:pPr>
            <w:r>
              <w:rPr>
                <w:rFonts w:ascii="Calibri" w:hAnsi="Calibri"/>
                <w:sz w:val="18"/>
                <w:szCs w:val="18"/>
              </w:rPr>
              <w:t>Joypurhat Sadar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41</w:t>
            </w:r>
          </w:p>
        </w:tc>
        <w:tc>
          <w:tcPr>
            <w:tcW w:w="1240" w:type="pct"/>
          </w:tcPr>
          <w:p w:rsidR="00C4327A" w:rsidRDefault="00C4327A">
            <w:pPr>
              <w:rPr>
                <w:rFonts w:ascii="Calibri" w:hAnsi="Calibri"/>
                <w:sz w:val="18"/>
                <w:szCs w:val="18"/>
              </w:rPr>
            </w:pPr>
            <w:r>
              <w:rPr>
                <w:rFonts w:ascii="Calibri" w:hAnsi="Calibri"/>
                <w:sz w:val="18"/>
                <w:szCs w:val="18"/>
              </w:rPr>
              <w:t>Brahmonbaria</w:t>
            </w:r>
          </w:p>
        </w:tc>
        <w:tc>
          <w:tcPr>
            <w:tcW w:w="1237" w:type="pct"/>
          </w:tcPr>
          <w:p w:rsidR="00C4327A" w:rsidRDefault="00C4327A">
            <w:pPr>
              <w:rPr>
                <w:rFonts w:ascii="Calibri" w:hAnsi="Calibri"/>
                <w:sz w:val="18"/>
                <w:szCs w:val="18"/>
              </w:rPr>
            </w:pPr>
            <w:r>
              <w:rPr>
                <w:rFonts w:ascii="Calibri" w:hAnsi="Calibri"/>
                <w:sz w:val="18"/>
                <w:szCs w:val="18"/>
              </w:rPr>
              <w:t>Sarial</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42</w:t>
            </w:r>
          </w:p>
        </w:tc>
        <w:tc>
          <w:tcPr>
            <w:tcW w:w="638" w:type="pct"/>
          </w:tcPr>
          <w:p w:rsidR="00C4327A" w:rsidRDefault="00C4327A">
            <w:pPr>
              <w:rPr>
                <w:rFonts w:ascii="Calibri" w:hAnsi="Calibri"/>
                <w:sz w:val="18"/>
                <w:szCs w:val="18"/>
              </w:rPr>
            </w:pPr>
            <w:r>
              <w:rPr>
                <w:rFonts w:ascii="Calibri" w:hAnsi="Calibri"/>
                <w:sz w:val="18"/>
                <w:szCs w:val="18"/>
              </w:rPr>
              <w:t>Barisal</w:t>
            </w:r>
          </w:p>
        </w:tc>
        <w:tc>
          <w:tcPr>
            <w:tcW w:w="1259" w:type="pct"/>
          </w:tcPr>
          <w:p w:rsidR="00C4327A" w:rsidRDefault="00C4327A">
            <w:pPr>
              <w:rPr>
                <w:rFonts w:ascii="Calibri" w:hAnsi="Calibri"/>
                <w:sz w:val="18"/>
                <w:szCs w:val="18"/>
              </w:rPr>
            </w:pPr>
            <w:r>
              <w:rPr>
                <w:rFonts w:ascii="Calibri" w:hAnsi="Calibri"/>
                <w:sz w:val="18"/>
                <w:szCs w:val="18"/>
              </w:rPr>
              <w:t>Wazirpur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42</w:t>
            </w:r>
          </w:p>
        </w:tc>
        <w:tc>
          <w:tcPr>
            <w:tcW w:w="1240" w:type="pct"/>
          </w:tcPr>
          <w:p w:rsidR="00C4327A" w:rsidRDefault="00C4327A">
            <w:pPr>
              <w:rPr>
                <w:rFonts w:ascii="Calibri" w:hAnsi="Calibri"/>
                <w:sz w:val="18"/>
                <w:szCs w:val="18"/>
              </w:rPr>
            </w:pPr>
            <w:r>
              <w:rPr>
                <w:rFonts w:ascii="Calibri" w:hAnsi="Calibri"/>
                <w:sz w:val="18"/>
                <w:szCs w:val="18"/>
              </w:rPr>
              <w:t>Faridpur</w:t>
            </w:r>
          </w:p>
        </w:tc>
        <w:tc>
          <w:tcPr>
            <w:tcW w:w="1237" w:type="pct"/>
          </w:tcPr>
          <w:p w:rsidR="00C4327A" w:rsidRDefault="00C4327A">
            <w:pPr>
              <w:rPr>
                <w:rFonts w:ascii="Calibri" w:hAnsi="Calibri"/>
                <w:sz w:val="18"/>
                <w:szCs w:val="18"/>
              </w:rPr>
            </w:pPr>
            <w:r>
              <w:rPr>
                <w:rFonts w:ascii="Calibri" w:hAnsi="Calibri"/>
                <w:sz w:val="18"/>
                <w:szCs w:val="18"/>
              </w:rPr>
              <w:t>Nagarkanda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43</w:t>
            </w:r>
          </w:p>
        </w:tc>
        <w:tc>
          <w:tcPr>
            <w:tcW w:w="638" w:type="pct"/>
          </w:tcPr>
          <w:p w:rsidR="00C4327A" w:rsidRDefault="00C4327A">
            <w:pPr>
              <w:rPr>
                <w:rFonts w:ascii="Calibri" w:hAnsi="Calibri"/>
                <w:sz w:val="18"/>
                <w:szCs w:val="18"/>
              </w:rPr>
            </w:pPr>
            <w:r>
              <w:rPr>
                <w:rFonts w:ascii="Calibri" w:hAnsi="Calibri"/>
                <w:sz w:val="18"/>
                <w:szCs w:val="18"/>
              </w:rPr>
              <w:t>Barisal</w:t>
            </w:r>
          </w:p>
        </w:tc>
        <w:tc>
          <w:tcPr>
            <w:tcW w:w="1259" w:type="pct"/>
          </w:tcPr>
          <w:p w:rsidR="00C4327A" w:rsidRDefault="00C4327A">
            <w:pPr>
              <w:rPr>
                <w:rFonts w:ascii="Calibri" w:hAnsi="Calibri"/>
                <w:sz w:val="18"/>
                <w:szCs w:val="18"/>
              </w:rPr>
            </w:pPr>
            <w:r>
              <w:rPr>
                <w:rFonts w:ascii="Calibri" w:hAnsi="Calibri"/>
                <w:sz w:val="18"/>
                <w:szCs w:val="18"/>
              </w:rPr>
              <w:t>Babuganj</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43</w:t>
            </w:r>
          </w:p>
        </w:tc>
        <w:tc>
          <w:tcPr>
            <w:tcW w:w="1240" w:type="pct"/>
          </w:tcPr>
          <w:p w:rsidR="00C4327A" w:rsidRDefault="00C4327A">
            <w:pPr>
              <w:rPr>
                <w:rFonts w:ascii="Calibri" w:hAnsi="Calibri"/>
                <w:sz w:val="18"/>
                <w:szCs w:val="18"/>
              </w:rPr>
            </w:pPr>
            <w:r>
              <w:rPr>
                <w:rFonts w:ascii="Calibri" w:hAnsi="Calibri"/>
                <w:sz w:val="18"/>
                <w:szCs w:val="18"/>
              </w:rPr>
              <w:t>Netrokona</w:t>
            </w:r>
          </w:p>
        </w:tc>
        <w:tc>
          <w:tcPr>
            <w:tcW w:w="1237" w:type="pct"/>
          </w:tcPr>
          <w:p w:rsidR="00C4327A" w:rsidRDefault="00C4327A">
            <w:pPr>
              <w:rPr>
                <w:rFonts w:ascii="Calibri" w:hAnsi="Calibri"/>
                <w:sz w:val="18"/>
                <w:szCs w:val="18"/>
              </w:rPr>
            </w:pPr>
            <w:r>
              <w:rPr>
                <w:rFonts w:ascii="Calibri" w:hAnsi="Calibri"/>
                <w:sz w:val="18"/>
                <w:szCs w:val="18"/>
              </w:rPr>
              <w:t>Kandua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44</w:t>
            </w:r>
          </w:p>
        </w:tc>
        <w:tc>
          <w:tcPr>
            <w:tcW w:w="638" w:type="pct"/>
          </w:tcPr>
          <w:p w:rsidR="00C4327A" w:rsidRDefault="00C4327A">
            <w:pPr>
              <w:rPr>
                <w:rFonts w:ascii="Calibri" w:hAnsi="Calibri"/>
                <w:sz w:val="18"/>
                <w:szCs w:val="18"/>
              </w:rPr>
            </w:pPr>
            <w:r>
              <w:rPr>
                <w:rFonts w:ascii="Calibri" w:hAnsi="Calibri"/>
                <w:sz w:val="18"/>
                <w:szCs w:val="18"/>
              </w:rPr>
              <w:t>Chittagong</w:t>
            </w:r>
          </w:p>
        </w:tc>
        <w:tc>
          <w:tcPr>
            <w:tcW w:w="1259" w:type="pct"/>
          </w:tcPr>
          <w:p w:rsidR="00C4327A" w:rsidRDefault="00C4327A">
            <w:pPr>
              <w:rPr>
                <w:rFonts w:ascii="Calibri" w:hAnsi="Calibri"/>
                <w:sz w:val="18"/>
                <w:szCs w:val="18"/>
              </w:rPr>
            </w:pPr>
            <w:r>
              <w:rPr>
                <w:rFonts w:ascii="Calibri" w:hAnsi="Calibri"/>
                <w:sz w:val="18"/>
                <w:szCs w:val="18"/>
              </w:rPr>
              <w:t>Raozan</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44</w:t>
            </w:r>
          </w:p>
        </w:tc>
        <w:tc>
          <w:tcPr>
            <w:tcW w:w="1240" w:type="pct"/>
          </w:tcPr>
          <w:p w:rsidR="00C4327A" w:rsidRDefault="00C4327A">
            <w:pPr>
              <w:rPr>
                <w:rFonts w:ascii="Calibri" w:hAnsi="Calibri"/>
                <w:sz w:val="18"/>
                <w:szCs w:val="18"/>
              </w:rPr>
            </w:pPr>
            <w:r>
              <w:rPr>
                <w:rFonts w:ascii="Calibri" w:hAnsi="Calibri"/>
                <w:sz w:val="18"/>
                <w:szCs w:val="18"/>
              </w:rPr>
              <w:t>Satkhira</w:t>
            </w:r>
          </w:p>
        </w:tc>
        <w:tc>
          <w:tcPr>
            <w:tcW w:w="1237" w:type="pct"/>
          </w:tcPr>
          <w:p w:rsidR="00C4327A" w:rsidRDefault="00C4327A">
            <w:pPr>
              <w:rPr>
                <w:rFonts w:ascii="Calibri" w:hAnsi="Calibri"/>
                <w:sz w:val="18"/>
                <w:szCs w:val="18"/>
              </w:rPr>
            </w:pPr>
            <w:r>
              <w:rPr>
                <w:rFonts w:ascii="Calibri" w:hAnsi="Calibri"/>
                <w:sz w:val="18"/>
                <w:szCs w:val="18"/>
              </w:rPr>
              <w:t>Tala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45</w:t>
            </w:r>
          </w:p>
        </w:tc>
        <w:tc>
          <w:tcPr>
            <w:tcW w:w="638" w:type="pct"/>
          </w:tcPr>
          <w:p w:rsidR="00C4327A" w:rsidRDefault="00C4327A">
            <w:pPr>
              <w:rPr>
                <w:rFonts w:ascii="Calibri" w:hAnsi="Calibri"/>
                <w:sz w:val="18"/>
                <w:szCs w:val="18"/>
              </w:rPr>
            </w:pPr>
            <w:r>
              <w:rPr>
                <w:rFonts w:ascii="Calibri" w:hAnsi="Calibri"/>
                <w:sz w:val="18"/>
                <w:szCs w:val="18"/>
              </w:rPr>
              <w:t>Khulna</w:t>
            </w:r>
          </w:p>
        </w:tc>
        <w:tc>
          <w:tcPr>
            <w:tcW w:w="1259" w:type="pct"/>
          </w:tcPr>
          <w:p w:rsidR="00C4327A" w:rsidRDefault="00C4327A">
            <w:pPr>
              <w:rPr>
                <w:rFonts w:ascii="Calibri" w:hAnsi="Calibri"/>
                <w:sz w:val="18"/>
                <w:szCs w:val="18"/>
              </w:rPr>
            </w:pPr>
            <w:r>
              <w:rPr>
                <w:rFonts w:ascii="Calibri" w:hAnsi="Calibri"/>
                <w:sz w:val="18"/>
                <w:szCs w:val="18"/>
              </w:rPr>
              <w:t>Batiaghata</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45</w:t>
            </w:r>
          </w:p>
        </w:tc>
        <w:tc>
          <w:tcPr>
            <w:tcW w:w="1240" w:type="pct"/>
          </w:tcPr>
          <w:p w:rsidR="00C4327A" w:rsidRDefault="00C4327A">
            <w:pPr>
              <w:rPr>
                <w:rFonts w:ascii="Calibri" w:hAnsi="Calibri"/>
                <w:sz w:val="18"/>
                <w:szCs w:val="18"/>
              </w:rPr>
            </w:pPr>
            <w:r>
              <w:rPr>
                <w:rFonts w:ascii="Calibri" w:hAnsi="Calibri"/>
                <w:sz w:val="18"/>
                <w:szCs w:val="18"/>
              </w:rPr>
              <w:t>Netrokona</w:t>
            </w:r>
          </w:p>
        </w:tc>
        <w:tc>
          <w:tcPr>
            <w:tcW w:w="1237" w:type="pct"/>
          </w:tcPr>
          <w:p w:rsidR="00C4327A" w:rsidRDefault="00C4327A">
            <w:pPr>
              <w:rPr>
                <w:rFonts w:ascii="Calibri" w:hAnsi="Calibri"/>
                <w:sz w:val="18"/>
                <w:szCs w:val="18"/>
              </w:rPr>
            </w:pPr>
            <w:r>
              <w:rPr>
                <w:rFonts w:ascii="Calibri" w:hAnsi="Calibri"/>
                <w:sz w:val="18"/>
                <w:szCs w:val="18"/>
              </w:rPr>
              <w:t>Purbadhala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46</w:t>
            </w:r>
          </w:p>
        </w:tc>
        <w:tc>
          <w:tcPr>
            <w:tcW w:w="638" w:type="pct"/>
          </w:tcPr>
          <w:p w:rsidR="00C4327A" w:rsidRDefault="00C4327A">
            <w:pPr>
              <w:rPr>
                <w:rFonts w:ascii="Calibri" w:hAnsi="Calibri"/>
                <w:sz w:val="18"/>
                <w:szCs w:val="18"/>
              </w:rPr>
            </w:pPr>
            <w:r>
              <w:rPr>
                <w:rFonts w:ascii="Calibri" w:hAnsi="Calibri"/>
                <w:sz w:val="18"/>
                <w:szCs w:val="18"/>
              </w:rPr>
              <w:t>Feni</w:t>
            </w:r>
          </w:p>
        </w:tc>
        <w:tc>
          <w:tcPr>
            <w:tcW w:w="1259" w:type="pct"/>
          </w:tcPr>
          <w:p w:rsidR="00C4327A" w:rsidRDefault="00C4327A">
            <w:pPr>
              <w:rPr>
                <w:rFonts w:ascii="Calibri" w:hAnsi="Calibri"/>
                <w:sz w:val="18"/>
                <w:szCs w:val="18"/>
              </w:rPr>
            </w:pPr>
            <w:r>
              <w:rPr>
                <w:rFonts w:ascii="Calibri" w:hAnsi="Calibri"/>
                <w:sz w:val="18"/>
                <w:szCs w:val="18"/>
              </w:rPr>
              <w:t>Fulgazi</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46</w:t>
            </w:r>
          </w:p>
        </w:tc>
        <w:tc>
          <w:tcPr>
            <w:tcW w:w="1240" w:type="pct"/>
          </w:tcPr>
          <w:p w:rsidR="00C4327A" w:rsidRDefault="00C4327A">
            <w:pPr>
              <w:rPr>
                <w:rFonts w:ascii="Calibri" w:hAnsi="Calibri"/>
                <w:sz w:val="18"/>
                <w:szCs w:val="18"/>
              </w:rPr>
            </w:pPr>
            <w:r>
              <w:rPr>
                <w:rFonts w:ascii="Calibri" w:hAnsi="Calibri"/>
                <w:sz w:val="18"/>
                <w:szCs w:val="18"/>
              </w:rPr>
              <w:t>Sylhet</w:t>
            </w:r>
          </w:p>
        </w:tc>
        <w:tc>
          <w:tcPr>
            <w:tcW w:w="1237" w:type="pct"/>
          </w:tcPr>
          <w:p w:rsidR="00C4327A" w:rsidRDefault="00C4327A">
            <w:pPr>
              <w:rPr>
                <w:rFonts w:ascii="Calibri" w:hAnsi="Calibri"/>
                <w:sz w:val="18"/>
                <w:szCs w:val="18"/>
              </w:rPr>
            </w:pPr>
            <w:r>
              <w:rPr>
                <w:rFonts w:ascii="Calibri" w:hAnsi="Calibri"/>
                <w:sz w:val="18"/>
                <w:szCs w:val="18"/>
              </w:rPr>
              <w:t>Gowainghat</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47</w:t>
            </w:r>
          </w:p>
        </w:tc>
        <w:tc>
          <w:tcPr>
            <w:tcW w:w="638" w:type="pct"/>
          </w:tcPr>
          <w:p w:rsidR="00C4327A" w:rsidRDefault="00C4327A">
            <w:pPr>
              <w:rPr>
                <w:rFonts w:ascii="Calibri" w:hAnsi="Calibri"/>
                <w:sz w:val="18"/>
                <w:szCs w:val="18"/>
              </w:rPr>
            </w:pPr>
            <w:r>
              <w:rPr>
                <w:rFonts w:ascii="Calibri" w:hAnsi="Calibri"/>
                <w:sz w:val="18"/>
                <w:szCs w:val="18"/>
              </w:rPr>
              <w:t>Dinajpur</w:t>
            </w:r>
          </w:p>
        </w:tc>
        <w:tc>
          <w:tcPr>
            <w:tcW w:w="1259" w:type="pct"/>
          </w:tcPr>
          <w:p w:rsidR="00C4327A" w:rsidRDefault="00C4327A">
            <w:pPr>
              <w:rPr>
                <w:rFonts w:ascii="Calibri" w:hAnsi="Calibri"/>
                <w:sz w:val="18"/>
                <w:szCs w:val="18"/>
              </w:rPr>
            </w:pPr>
            <w:r>
              <w:rPr>
                <w:rFonts w:ascii="Calibri" w:hAnsi="Calibri"/>
                <w:sz w:val="18"/>
                <w:szCs w:val="18"/>
              </w:rPr>
              <w:t>Hakimpur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47</w:t>
            </w:r>
          </w:p>
        </w:tc>
        <w:tc>
          <w:tcPr>
            <w:tcW w:w="1240" w:type="pct"/>
          </w:tcPr>
          <w:p w:rsidR="00C4327A" w:rsidRDefault="00C4327A">
            <w:pPr>
              <w:rPr>
                <w:rFonts w:ascii="Calibri" w:hAnsi="Calibri"/>
                <w:sz w:val="18"/>
                <w:szCs w:val="18"/>
              </w:rPr>
            </w:pPr>
            <w:r>
              <w:rPr>
                <w:rFonts w:ascii="Calibri" w:hAnsi="Calibri"/>
                <w:sz w:val="18"/>
                <w:szCs w:val="18"/>
              </w:rPr>
              <w:t>Jamalpur</w:t>
            </w:r>
          </w:p>
        </w:tc>
        <w:tc>
          <w:tcPr>
            <w:tcW w:w="1237" w:type="pct"/>
          </w:tcPr>
          <w:p w:rsidR="00C4327A" w:rsidRDefault="00C4327A">
            <w:pPr>
              <w:rPr>
                <w:rFonts w:ascii="Calibri" w:hAnsi="Calibri"/>
                <w:sz w:val="18"/>
                <w:szCs w:val="18"/>
              </w:rPr>
            </w:pPr>
            <w:r>
              <w:rPr>
                <w:rFonts w:ascii="Calibri" w:hAnsi="Calibri"/>
                <w:sz w:val="18"/>
                <w:szCs w:val="18"/>
              </w:rPr>
              <w:t>Dewanganj</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48</w:t>
            </w:r>
          </w:p>
        </w:tc>
        <w:tc>
          <w:tcPr>
            <w:tcW w:w="638" w:type="pct"/>
          </w:tcPr>
          <w:p w:rsidR="00C4327A" w:rsidRDefault="00C4327A">
            <w:pPr>
              <w:rPr>
                <w:rFonts w:ascii="Calibri" w:hAnsi="Calibri"/>
                <w:sz w:val="18"/>
                <w:szCs w:val="18"/>
              </w:rPr>
            </w:pPr>
            <w:r>
              <w:rPr>
                <w:rFonts w:ascii="Calibri" w:hAnsi="Calibri"/>
                <w:sz w:val="18"/>
                <w:szCs w:val="18"/>
              </w:rPr>
              <w:t>Bandarban</w:t>
            </w:r>
          </w:p>
        </w:tc>
        <w:tc>
          <w:tcPr>
            <w:tcW w:w="1259" w:type="pct"/>
          </w:tcPr>
          <w:p w:rsidR="00C4327A" w:rsidRDefault="00C4327A">
            <w:pPr>
              <w:rPr>
                <w:rFonts w:ascii="Calibri" w:hAnsi="Calibri"/>
                <w:sz w:val="18"/>
                <w:szCs w:val="18"/>
              </w:rPr>
            </w:pPr>
            <w:r>
              <w:rPr>
                <w:rFonts w:ascii="Calibri" w:hAnsi="Calibri"/>
                <w:sz w:val="18"/>
                <w:szCs w:val="18"/>
              </w:rPr>
              <w:t>Bandarban Sadar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48</w:t>
            </w:r>
          </w:p>
        </w:tc>
        <w:tc>
          <w:tcPr>
            <w:tcW w:w="1240" w:type="pct"/>
          </w:tcPr>
          <w:p w:rsidR="00C4327A" w:rsidRDefault="00C4327A">
            <w:pPr>
              <w:rPr>
                <w:rFonts w:ascii="Calibri" w:hAnsi="Calibri"/>
                <w:sz w:val="18"/>
                <w:szCs w:val="18"/>
              </w:rPr>
            </w:pPr>
            <w:r>
              <w:rPr>
                <w:rFonts w:ascii="Calibri" w:hAnsi="Calibri"/>
                <w:sz w:val="18"/>
                <w:szCs w:val="18"/>
              </w:rPr>
              <w:t>Chittagong</w:t>
            </w:r>
          </w:p>
        </w:tc>
        <w:tc>
          <w:tcPr>
            <w:tcW w:w="1237" w:type="pct"/>
          </w:tcPr>
          <w:p w:rsidR="00C4327A" w:rsidRDefault="00C4327A">
            <w:pPr>
              <w:rPr>
                <w:rFonts w:ascii="Calibri" w:hAnsi="Calibri"/>
                <w:sz w:val="18"/>
                <w:szCs w:val="18"/>
              </w:rPr>
            </w:pPr>
            <w:r>
              <w:rPr>
                <w:rFonts w:ascii="Calibri" w:hAnsi="Calibri"/>
                <w:sz w:val="18"/>
                <w:szCs w:val="18"/>
              </w:rPr>
              <w:t>Banshkhali</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49</w:t>
            </w:r>
          </w:p>
        </w:tc>
        <w:tc>
          <w:tcPr>
            <w:tcW w:w="638" w:type="pct"/>
          </w:tcPr>
          <w:p w:rsidR="00C4327A" w:rsidRDefault="00C4327A">
            <w:pPr>
              <w:rPr>
                <w:rFonts w:ascii="Calibri" w:hAnsi="Calibri"/>
                <w:sz w:val="18"/>
                <w:szCs w:val="18"/>
              </w:rPr>
            </w:pPr>
            <w:r>
              <w:rPr>
                <w:rFonts w:ascii="Calibri" w:hAnsi="Calibri"/>
                <w:sz w:val="18"/>
                <w:szCs w:val="18"/>
              </w:rPr>
              <w:t>Rajshahi</w:t>
            </w:r>
          </w:p>
        </w:tc>
        <w:tc>
          <w:tcPr>
            <w:tcW w:w="1259" w:type="pct"/>
          </w:tcPr>
          <w:p w:rsidR="00C4327A" w:rsidRDefault="00C4327A">
            <w:pPr>
              <w:rPr>
                <w:rFonts w:ascii="Calibri" w:hAnsi="Calibri"/>
                <w:sz w:val="18"/>
                <w:szCs w:val="18"/>
              </w:rPr>
            </w:pPr>
            <w:r>
              <w:rPr>
                <w:rFonts w:ascii="Calibri" w:hAnsi="Calibri"/>
                <w:sz w:val="18"/>
                <w:szCs w:val="18"/>
              </w:rPr>
              <w:t>Tanore</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49</w:t>
            </w:r>
          </w:p>
        </w:tc>
        <w:tc>
          <w:tcPr>
            <w:tcW w:w="1240" w:type="pct"/>
          </w:tcPr>
          <w:p w:rsidR="00C4327A" w:rsidRDefault="00C4327A">
            <w:pPr>
              <w:rPr>
                <w:rFonts w:ascii="Calibri" w:hAnsi="Calibri"/>
                <w:sz w:val="18"/>
                <w:szCs w:val="18"/>
              </w:rPr>
            </w:pPr>
            <w:r>
              <w:rPr>
                <w:rFonts w:ascii="Calibri" w:hAnsi="Calibri"/>
                <w:sz w:val="18"/>
                <w:szCs w:val="18"/>
              </w:rPr>
              <w:t>Comilla</w:t>
            </w:r>
          </w:p>
        </w:tc>
        <w:tc>
          <w:tcPr>
            <w:tcW w:w="1237" w:type="pct"/>
          </w:tcPr>
          <w:p w:rsidR="00C4327A" w:rsidRDefault="00C4327A">
            <w:pPr>
              <w:rPr>
                <w:rFonts w:ascii="Calibri" w:hAnsi="Calibri"/>
                <w:sz w:val="18"/>
                <w:szCs w:val="18"/>
              </w:rPr>
            </w:pPr>
            <w:r>
              <w:rPr>
                <w:rFonts w:ascii="Calibri" w:hAnsi="Calibri"/>
                <w:sz w:val="18"/>
                <w:szCs w:val="18"/>
              </w:rPr>
              <w:t>Meghna</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50</w:t>
            </w:r>
          </w:p>
        </w:tc>
        <w:tc>
          <w:tcPr>
            <w:tcW w:w="638" w:type="pct"/>
          </w:tcPr>
          <w:p w:rsidR="00C4327A" w:rsidRDefault="00C4327A">
            <w:pPr>
              <w:rPr>
                <w:rFonts w:ascii="Calibri" w:hAnsi="Calibri"/>
                <w:sz w:val="18"/>
                <w:szCs w:val="18"/>
              </w:rPr>
            </w:pPr>
            <w:r>
              <w:rPr>
                <w:rFonts w:ascii="Calibri" w:hAnsi="Calibri"/>
                <w:sz w:val="18"/>
                <w:szCs w:val="18"/>
              </w:rPr>
              <w:t>Khagrachhari</w:t>
            </w:r>
          </w:p>
        </w:tc>
        <w:tc>
          <w:tcPr>
            <w:tcW w:w="1259" w:type="pct"/>
          </w:tcPr>
          <w:p w:rsidR="00C4327A" w:rsidRDefault="00C4327A">
            <w:pPr>
              <w:rPr>
                <w:rFonts w:ascii="Calibri" w:hAnsi="Calibri"/>
                <w:sz w:val="18"/>
                <w:szCs w:val="18"/>
              </w:rPr>
            </w:pPr>
            <w:r>
              <w:rPr>
                <w:rFonts w:ascii="Calibri" w:hAnsi="Calibri"/>
                <w:sz w:val="18"/>
                <w:szCs w:val="18"/>
              </w:rPr>
              <w:t>Khagrachhari Sadar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50</w:t>
            </w:r>
          </w:p>
        </w:tc>
        <w:tc>
          <w:tcPr>
            <w:tcW w:w="1240" w:type="pct"/>
          </w:tcPr>
          <w:p w:rsidR="00C4327A" w:rsidRDefault="00C4327A">
            <w:pPr>
              <w:rPr>
                <w:rFonts w:ascii="Calibri" w:hAnsi="Calibri"/>
                <w:sz w:val="18"/>
                <w:szCs w:val="18"/>
              </w:rPr>
            </w:pPr>
            <w:r>
              <w:rPr>
                <w:rFonts w:ascii="Calibri" w:hAnsi="Calibri"/>
                <w:sz w:val="18"/>
                <w:szCs w:val="18"/>
              </w:rPr>
              <w:t>Kishoreganj</w:t>
            </w:r>
          </w:p>
        </w:tc>
        <w:tc>
          <w:tcPr>
            <w:tcW w:w="1237" w:type="pct"/>
          </w:tcPr>
          <w:p w:rsidR="00C4327A" w:rsidRDefault="00C4327A">
            <w:pPr>
              <w:rPr>
                <w:rFonts w:ascii="Calibri" w:hAnsi="Calibri"/>
                <w:sz w:val="18"/>
                <w:szCs w:val="18"/>
              </w:rPr>
            </w:pPr>
            <w:r>
              <w:rPr>
                <w:rFonts w:ascii="Calibri" w:hAnsi="Calibri"/>
                <w:sz w:val="18"/>
                <w:szCs w:val="18"/>
              </w:rPr>
              <w:t>Hossainpur</w:t>
            </w:r>
          </w:p>
        </w:tc>
      </w:tr>
      <w:tr w:rsidR="00C4327A" w:rsidRPr="005F120D" w:rsidTr="008720BA">
        <w:trPr>
          <w:trHeight w:hRule="exact" w:val="288"/>
        </w:trPr>
        <w:tc>
          <w:tcPr>
            <w:tcW w:w="312"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51</w:t>
            </w:r>
          </w:p>
        </w:tc>
        <w:tc>
          <w:tcPr>
            <w:tcW w:w="638" w:type="pct"/>
          </w:tcPr>
          <w:p w:rsidR="00C4327A" w:rsidRDefault="00C4327A">
            <w:pPr>
              <w:rPr>
                <w:rFonts w:ascii="Calibri" w:hAnsi="Calibri"/>
                <w:sz w:val="18"/>
                <w:szCs w:val="18"/>
              </w:rPr>
            </w:pPr>
            <w:r>
              <w:rPr>
                <w:rFonts w:ascii="Calibri" w:hAnsi="Calibri"/>
                <w:sz w:val="18"/>
                <w:szCs w:val="18"/>
              </w:rPr>
              <w:t>Jhenidah</w:t>
            </w:r>
          </w:p>
        </w:tc>
        <w:tc>
          <w:tcPr>
            <w:tcW w:w="1259" w:type="pct"/>
          </w:tcPr>
          <w:p w:rsidR="00C4327A" w:rsidRDefault="00C4327A">
            <w:pPr>
              <w:rPr>
                <w:rFonts w:ascii="Calibri" w:hAnsi="Calibri"/>
                <w:sz w:val="18"/>
                <w:szCs w:val="18"/>
              </w:rPr>
            </w:pPr>
            <w:r>
              <w:rPr>
                <w:rFonts w:ascii="Calibri" w:hAnsi="Calibri"/>
                <w:sz w:val="18"/>
                <w:szCs w:val="18"/>
              </w:rPr>
              <w:t>Kotchandpur</w:t>
            </w:r>
          </w:p>
        </w:tc>
        <w:tc>
          <w:tcPr>
            <w:tcW w:w="314" w:type="pct"/>
          </w:tcPr>
          <w:p w:rsidR="00C4327A" w:rsidRPr="005F120D" w:rsidRDefault="00C4327A" w:rsidP="00B25E46">
            <w:pPr>
              <w:jc w:val="center"/>
              <w:rPr>
                <w:rFonts w:asciiTheme="minorHAnsi" w:hAnsiTheme="minorHAnsi" w:cstheme="minorHAnsi"/>
                <w:color w:val="244061" w:themeColor="accent1" w:themeShade="80"/>
                <w:sz w:val="18"/>
                <w:szCs w:val="18"/>
              </w:rPr>
            </w:pPr>
            <w:r w:rsidRPr="005F120D">
              <w:rPr>
                <w:rFonts w:asciiTheme="minorHAnsi" w:hAnsiTheme="minorHAnsi" w:cstheme="minorHAnsi"/>
                <w:color w:val="244061" w:themeColor="accent1" w:themeShade="80"/>
                <w:sz w:val="18"/>
                <w:szCs w:val="18"/>
              </w:rPr>
              <w:t>51</w:t>
            </w:r>
          </w:p>
        </w:tc>
        <w:tc>
          <w:tcPr>
            <w:tcW w:w="1240" w:type="pct"/>
          </w:tcPr>
          <w:p w:rsidR="00C4327A" w:rsidRDefault="00C4327A">
            <w:pPr>
              <w:rPr>
                <w:rFonts w:ascii="Calibri" w:hAnsi="Calibri"/>
                <w:sz w:val="18"/>
                <w:szCs w:val="18"/>
              </w:rPr>
            </w:pPr>
            <w:r>
              <w:rPr>
                <w:rFonts w:ascii="Calibri" w:hAnsi="Calibri"/>
                <w:sz w:val="18"/>
                <w:szCs w:val="18"/>
              </w:rPr>
              <w:t>Noakhali</w:t>
            </w:r>
          </w:p>
        </w:tc>
        <w:tc>
          <w:tcPr>
            <w:tcW w:w="1237" w:type="pct"/>
          </w:tcPr>
          <w:p w:rsidR="00C4327A" w:rsidRDefault="00C4327A">
            <w:pPr>
              <w:rPr>
                <w:rFonts w:ascii="Calibri" w:hAnsi="Calibri"/>
                <w:sz w:val="18"/>
                <w:szCs w:val="18"/>
              </w:rPr>
            </w:pPr>
            <w:r>
              <w:rPr>
                <w:rFonts w:ascii="Calibri" w:hAnsi="Calibri"/>
                <w:sz w:val="18"/>
                <w:szCs w:val="18"/>
              </w:rPr>
              <w:t>Kabirhat</w:t>
            </w:r>
          </w:p>
        </w:tc>
      </w:tr>
    </w:tbl>
    <w:p w:rsidR="00A75660" w:rsidRPr="005F120D" w:rsidRDefault="00A75660" w:rsidP="00B25E46">
      <w:pPr>
        <w:rPr>
          <w:rFonts w:asciiTheme="minorHAnsi" w:hAnsiTheme="minorHAnsi" w:cstheme="minorHAnsi"/>
          <w:b/>
          <w:i/>
          <w:sz w:val="16"/>
          <w:szCs w:val="16"/>
        </w:rPr>
      </w:pPr>
      <w:r w:rsidRPr="005F120D">
        <w:rPr>
          <w:rFonts w:asciiTheme="minorHAnsi" w:hAnsiTheme="minorHAnsi" w:cstheme="minorHAnsi"/>
          <w:b/>
          <w:i/>
          <w:sz w:val="16"/>
          <w:szCs w:val="16"/>
        </w:rPr>
        <w:t>Note:  (i)</w:t>
      </w:r>
      <w:r w:rsidR="004654BC" w:rsidRPr="005F120D">
        <w:rPr>
          <w:rFonts w:asciiTheme="minorHAnsi" w:hAnsiTheme="minorHAnsi" w:cstheme="minorHAnsi"/>
          <w:b/>
          <w:i/>
          <w:sz w:val="16"/>
          <w:szCs w:val="16"/>
        </w:rPr>
        <w:t>.</w:t>
      </w:r>
      <w:r w:rsidRPr="005F120D">
        <w:rPr>
          <w:rFonts w:asciiTheme="minorHAnsi" w:hAnsiTheme="minorHAnsi" w:cstheme="minorHAnsi"/>
          <w:b/>
          <w:i/>
          <w:sz w:val="16"/>
          <w:szCs w:val="16"/>
        </w:rPr>
        <w:t>This composite indicator is KPI 15.  The four PSQL indicato</w:t>
      </w:r>
      <w:r w:rsidR="00E14D24" w:rsidRPr="005F120D">
        <w:rPr>
          <w:rFonts w:asciiTheme="minorHAnsi" w:hAnsiTheme="minorHAnsi" w:cstheme="minorHAnsi"/>
          <w:b/>
          <w:i/>
          <w:sz w:val="16"/>
          <w:szCs w:val="16"/>
        </w:rPr>
        <w:t>rs are: (i) girl</w:t>
      </w:r>
      <w:r w:rsidR="00376227" w:rsidRPr="005F120D">
        <w:rPr>
          <w:rFonts w:asciiTheme="minorHAnsi" w:hAnsiTheme="minorHAnsi" w:cstheme="minorHAnsi"/>
          <w:b/>
          <w:i/>
          <w:sz w:val="16"/>
          <w:szCs w:val="16"/>
        </w:rPr>
        <w:t>’</w:t>
      </w:r>
      <w:r w:rsidR="00C4327A">
        <w:rPr>
          <w:rFonts w:asciiTheme="minorHAnsi" w:hAnsiTheme="minorHAnsi" w:cstheme="minorHAnsi"/>
          <w:b/>
          <w:i/>
          <w:sz w:val="16"/>
          <w:szCs w:val="16"/>
        </w:rPr>
        <w:t>s</w:t>
      </w:r>
      <w:r w:rsidR="00E14D24" w:rsidRPr="005F120D">
        <w:rPr>
          <w:rFonts w:asciiTheme="minorHAnsi" w:hAnsiTheme="minorHAnsi" w:cstheme="minorHAnsi"/>
          <w:b/>
          <w:i/>
          <w:sz w:val="16"/>
          <w:szCs w:val="16"/>
        </w:rPr>
        <w:t xml:space="preserve"> toilet (PSQL 7</w:t>
      </w:r>
      <w:r w:rsidRPr="005F120D">
        <w:rPr>
          <w:rFonts w:asciiTheme="minorHAnsi" w:hAnsiTheme="minorHAnsi" w:cstheme="minorHAnsi"/>
          <w:b/>
          <w:i/>
          <w:sz w:val="16"/>
          <w:szCs w:val="16"/>
        </w:rPr>
        <w:t xml:space="preserve">); (ii) potable water (PSQL 7); (iii) SCR </w:t>
      </w:r>
      <w:r w:rsidR="00E14D24" w:rsidRPr="005F120D">
        <w:rPr>
          <w:rFonts w:asciiTheme="minorHAnsi" w:hAnsiTheme="minorHAnsi" w:cstheme="minorHAnsi"/>
          <w:b/>
          <w:i/>
          <w:sz w:val="16"/>
          <w:szCs w:val="16"/>
        </w:rPr>
        <w:t>(PSQR 11); and (iv) STR (PSQL 14</w:t>
      </w:r>
      <w:r w:rsidRPr="005F120D">
        <w:rPr>
          <w:rFonts w:asciiTheme="minorHAnsi" w:hAnsiTheme="minorHAnsi" w:cstheme="minorHAnsi"/>
          <w:b/>
          <w:i/>
          <w:sz w:val="16"/>
          <w:szCs w:val="16"/>
        </w:rPr>
        <w:t>).</w:t>
      </w:r>
    </w:p>
    <w:p w:rsidR="00A75660" w:rsidRPr="005F120D" w:rsidRDefault="00A75660" w:rsidP="00B25E46">
      <w:pPr>
        <w:rPr>
          <w:rFonts w:asciiTheme="minorHAnsi" w:hAnsiTheme="minorHAnsi" w:cstheme="minorHAnsi"/>
          <w:color w:val="FF0000"/>
        </w:rPr>
      </w:pPr>
    </w:p>
    <w:p w:rsidR="00332BB3" w:rsidRPr="005F120D" w:rsidRDefault="00332BB3" w:rsidP="00B25E46">
      <w:pPr>
        <w:spacing w:after="0"/>
        <w:rPr>
          <w:rFonts w:asciiTheme="minorHAnsi" w:hAnsiTheme="minorHAnsi" w:cstheme="minorHAnsi"/>
          <w:b/>
          <w:color w:val="FF0000"/>
          <w:sz w:val="32"/>
          <w:lang w:val="en-GB"/>
        </w:rPr>
      </w:pPr>
      <w:r w:rsidRPr="005F120D">
        <w:rPr>
          <w:rFonts w:asciiTheme="minorHAnsi" w:hAnsiTheme="minorHAnsi" w:cstheme="minorHAnsi"/>
          <w:color w:val="FF0000"/>
        </w:rPr>
        <w:br w:type="page"/>
      </w:r>
    </w:p>
    <w:p w:rsidR="002E6124" w:rsidRPr="005F120D" w:rsidRDefault="00C7174A" w:rsidP="00B25E46">
      <w:pPr>
        <w:pStyle w:val="Heading1NONUM"/>
        <w:rPr>
          <w:rFonts w:cstheme="minorHAnsi"/>
        </w:rPr>
      </w:pPr>
      <w:bookmarkStart w:id="656" w:name="_Toc385419527"/>
      <w:bookmarkStart w:id="657" w:name="_Toc385419538"/>
      <w:bookmarkStart w:id="658" w:name="_Toc462837210"/>
      <w:r w:rsidRPr="005F120D">
        <w:rPr>
          <w:rFonts w:cstheme="minorHAnsi"/>
        </w:rPr>
        <w:lastRenderedPageBreak/>
        <w:t xml:space="preserve">Annex </w:t>
      </w:r>
      <w:r w:rsidR="00D011E9" w:rsidRPr="005F120D">
        <w:rPr>
          <w:rFonts w:cstheme="minorHAnsi"/>
        </w:rPr>
        <w:t>E</w:t>
      </w:r>
      <w:r w:rsidRPr="005F120D">
        <w:rPr>
          <w:rFonts w:cstheme="minorHAnsi"/>
        </w:rPr>
        <w:t>:  AOP 2014-15</w:t>
      </w:r>
      <w:r w:rsidR="002E6124" w:rsidRPr="005F120D">
        <w:rPr>
          <w:rFonts w:cstheme="minorHAnsi"/>
        </w:rPr>
        <w:t xml:space="preserve"> Implementation</w:t>
      </w:r>
      <w:bookmarkEnd w:id="656"/>
      <w:bookmarkEnd w:id="658"/>
    </w:p>
    <w:p w:rsidR="00C77FB5" w:rsidRPr="005F120D" w:rsidRDefault="00DE2502" w:rsidP="00B25E46">
      <w:pPr>
        <w:rPr>
          <w:rFonts w:asciiTheme="minorHAnsi" w:hAnsiTheme="minorHAnsi" w:cstheme="minorHAnsi"/>
          <w:bCs/>
          <w:szCs w:val="22"/>
        </w:rPr>
      </w:pPr>
      <w:r w:rsidRPr="005F120D">
        <w:rPr>
          <w:rFonts w:asciiTheme="minorHAnsi" w:hAnsiTheme="minorHAnsi" w:cstheme="minorHAnsi"/>
          <w:szCs w:val="22"/>
        </w:rPr>
        <w:t>Sub-componen</w:t>
      </w:r>
      <w:r w:rsidR="00376227" w:rsidRPr="005F120D">
        <w:rPr>
          <w:rFonts w:asciiTheme="minorHAnsi" w:hAnsiTheme="minorHAnsi" w:cstheme="minorHAnsi"/>
          <w:szCs w:val="22"/>
        </w:rPr>
        <w:t>t cost and expenditure until</w:t>
      </w:r>
      <w:r w:rsidRPr="005F120D">
        <w:rPr>
          <w:rFonts w:asciiTheme="minorHAnsi" w:hAnsiTheme="minorHAnsi" w:cstheme="minorHAnsi"/>
          <w:szCs w:val="22"/>
        </w:rPr>
        <w:t xml:space="preserve"> June 2015 and balance amount for July 2015 – December 2017 given below (in </w:t>
      </w:r>
      <w:r w:rsidR="00F738CE" w:rsidRPr="005F120D">
        <w:rPr>
          <w:rFonts w:asciiTheme="minorHAnsi" w:hAnsiTheme="minorHAnsi" w:cstheme="minorHAnsi"/>
          <w:szCs w:val="22"/>
        </w:rPr>
        <w:t>Lac</w:t>
      </w:r>
      <w:r w:rsidRPr="005F120D">
        <w:rPr>
          <w:rFonts w:asciiTheme="minorHAnsi" w:hAnsiTheme="minorHAnsi" w:cstheme="minorHAnsi"/>
          <w:szCs w:val="22"/>
        </w:rPr>
        <w:t xml:space="preserve"> Taka): A total of Tk. </w:t>
      </w:r>
      <w:r w:rsidRPr="005F120D">
        <w:rPr>
          <w:rFonts w:asciiTheme="minorHAnsi" w:hAnsiTheme="minorHAnsi" w:cstheme="minorHAnsi"/>
          <w:bCs/>
          <w:szCs w:val="22"/>
        </w:rPr>
        <w:t xml:space="preserve">641,054.61 </w:t>
      </w:r>
      <w:r w:rsidR="00F738CE" w:rsidRPr="005F120D">
        <w:rPr>
          <w:rFonts w:asciiTheme="minorHAnsi" w:hAnsiTheme="minorHAnsi" w:cstheme="minorHAnsi"/>
          <w:bCs/>
          <w:szCs w:val="22"/>
        </w:rPr>
        <w:t>Lac</w:t>
      </w:r>
      <w:r w:rsidRPr="005F120D">
        <w:rPr>
          <w:rFonts w:asciiTheme="minorHAnsi" w:hAnsiTheme="minorHAnsi" w:cstheme="minorHAnsi"/>
          <w:bCs/>
          <w:szCs w:val="22"/>
        </w:rPr>
        <w:t xml:space="preserve"> was spent up to June 2015</w:t>
      </w:r>
    </w:p>
    <w:p w:rsidR="00C77FB5" w:rsidRPr="005F120D" w:rsidRDefault="00D011E9" w:rsidP="00B25E46">
      <w:pPr>
        <w:pStyle w:val="Heading2NONUM"/>
        <w:rPr>
          <w:rFonts w:asciiTheme="minorHAnsi" w:hAnsiTheme="minorHAnsi" w:cstheme="minorHAnsi"/>
        </w:rPr>
      </w:pPr>
      <w:r w:rsidRPr="005F120D">
        <w:rPr>
          <w:rFonts w:asciiTheme="minorHAnsi" w:hAnsiTheme="minorHAnsi" w:cstheme="minorHAnsi"/>
        </w:rPr>
        <w:t>E</w:t>
      </w:r>
      <w:r w:rsidR="00FA5163" w:rsidRPr="005F120D">
        <w:rPr>
          <w:rFonts w:asciiTheme="minorHAnsi" w:hAnsiTheme="minorHAnsi" w:cstheme="minorHAnsi"/>
        </w:rPr>
        <w:t xml:space="preserve">-1:  </w:t>
      </w:r>
      <w:r w:rsidR="002A7A36" w:rsidRPr="005F120D">
        <w:rPr>
          <w:rFonts w:asciiTheme="minorHAnsi" w:hAnsiTheme="minorHAnsi" w:cstheme="minorHAnsi"/>
        </w:rPr>
        <w:t>PEDP3</w:t>
      </w:r>
      <w:r w:rsidR="005000E7" w:rsidRPr="005F120D">
        <w:rPr>
          <w:rFonts w:asciiTheme="minorHAnsi" w:hAnsiTheme="minorHAnsi" w:cstheme="minorHAnsi"/>
        </w:rPr>
        <w:t xml:space="preserve"> Budget </w:t>
      </w:r>
      <w:r w:rsidR="002A7A36" w:rsidRPr="005F120D">
        <w:rPr>
          <w:rFonts w:asciiTheme="minorHAnsi" w:hAnsiTheme="minorHAnsi" w:cstheme="minorHAnsi"/>
        </w:rPr>
        <w:t>DPP, RDPP and Expenditures as of March 2015</w:t>
      </w:r>
    </w:p>
    <w:tbl>
      <w:tblPr>
        <w:tblStyle w:val="TableGrid"/>
        <w:tblW w:w="5000" w:type="pct"/>
        <w:tbl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insideH w:val="single" w:sz="6" w:space="0" w:color="76923C" w:themeColor="accent3" w:themeShade="BF"/>
          <w:insideV w:val="single" w:sz="6" w:space="0" w:color="76923C" w:themeColor="accent3" w:themeShade="BF"/>
        </w:tblBorders>
        <w:tblLook w:val="04A0"/>
      </w:tblPr>
      <w:tblGrid>
        <w:gridCol w:w="597"/>
        <w:gridCol w:w="2330"/>
        <w:gridCol w:w="1178"/>
        <w:gridCol w:w="1178"/>
        <w:gridCol w:w="1606"/>
        <w:gridCol w:w="1178"/>
        <w:gridCol w:w="1178"/>
      </w:tblGrid>
      <w:tr w:rsidR="00FE6C95" w:rsidRPr="005F120D" w:rsidTr="00B26655">
        <w:trPr>
          <w:trHeight w:val="288"/>
          <w:tblHeader/>
        </w:trPr>
        <w:tc>
          <w:tcPr>
            <w:tcW w:w="312" w:type="pct"/>
            <w:vMerge w:val="restart"/>
            <w:tcBorders>
              <w:top w:val="double" w:sz="4" w:space="0" w:color="76923C" w:themeColor="accent3" w:themeShade="BF"/>
            </w:tcBorders>
            <w:shd w:val="clear" w:color="auto" w:fill="D6E3BC" w:themeFill="accent3" w:themeFillTint="66"/>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bCs/>
                <w:sz w:val="18"/>
                <w:szCs w:val="18"/>
              </w:rPr>
              <w:t>Sub-Com.</w:t>
            </w:r>
          </w:p>
        </w:tc>
        <w:tc>
          <w:tcPr>
            <w:tcW w:w="1389" w:type="pct"/>
            <w:vMerge w:val="restart"/>
            <w:tcBorders>
              <w:top w:val="double" w:sz="4" w:space="0" w:color="76923C" w:themeColor="accent3" w:themeShade="BF"/>
            </w:tcBorders>
            <w:shd w:val="clear" w:color="auto" w:fill="D6E3BC" w:themeFill="accent3" w:themeFillTint="66"/>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bCs/>
                <w:sz w:val="18"/>
                <w:szCs w:val="18"/>
              </w:rPr>
              <w:t>Sub-component</w:t>
            </w:r>
          </w:p>
        </w:tc>
        <w:tc>
          <w:tcPr>
            <w:tcW w:w="615" w:type="pct"/>
            <w:vMerge w:val="restart"/>
            <w:tcBorders>
              <w:top w:val="double" w:sz="4" w:space="0" w:color="76923C" w:themeColor="accent3" w:themeShade="BF"/>
            </w:tcBorders>
            <w:shd w:val="clear" w:color="auto" w:fill="D6E3BC" w:themeFill="accent3" w:themeFillTint="66"/>
          </w:tcPr>
          <w:p w:rsidR="00FE6C95" w:rsidRPr="005F120D" w:rsidRDefault="00FE6C95" w:rsidP="00B25E46">
            <w:pPr>
              <w:spacing w:after="0"/>
              <w:contextualSpacing/>
              <w:jc w:val="center"/>
              <w:rPr>
                <w:rFonts w:asciiTheme="minorHAnsi" w:hAnsiTheme="minorHAnsi" w:cstheme="minorHAnsi"/>
                <w:bCs/>
                <w:sz w:val="18"/>
                <w:szCs w:val="18"/>
              </w:rPr>
            </w:pPr>
            <w:r w:rsidRPr="005F120D">
              <w:rPr>
                <w:rFonts w:asciiTheme="minorHAnsi" w:hAnsiTheme="minorHAnsi" w:cstheme="minorHAnsi"/>
                <w:bCs/>
                <w:sz w:val="18"/>
                <w:szCs w:val="18"/>
              </w:rPr>
              <w:t>DPP Cost (Jul 2011-Jun 2016)</w:t>
            </w:r>
          </w:p>
        </w:tc>
        <w:tc>
          <w:tcPr>
            <w:tcW w:w="615" w:type="pct"/>
            <w:vMerge w:val="restart"/>
            <w:tcBorders>
              <w:top w:val="double" w:sz="4" w:space="0" w:color="76923C" w:themeColor="accent3" w:themeShade="BF"/>
            </w:tcBorders>
            <w:shd w:val="clear" w:color="auto" w:fill="D6E3BC" w:themeFill="accent3" w:themeFillTint="66"/>
          </w:tcPr>
          <w:p w:rsidR="00FE6C95" w:rsidRPr="005F120D" w:rsidRDefault="00FE6C95" w:rsidP="00B25E46">
            <w:pPr>
              <w:spacing w:after="0"/>
              <w:contextualSpacing/>
              <w:jc w:val="center"/>
              <w:rPr>
                <w:rFonts w:asciiTheme="minorHAnsi" w:hAnsiTheme="minorHAnsi" w:cstheme="minorHAnsi"/>
                <w:bCs/>
                <w:sz w:val="18"/>
                <w:szCs w:val="18"/>
              </w:rPr>
            </w:pPr>
            <w:r w:rsidRPr="005F120D">
              <w:rPr>
                <w:rFonts w:asciiTheme="minorHAnsi" w:hAnsiTheme="minorHAnsi" w:cstheme="minorHAnsi"/>
                <w:bCs/>
                <w:sz w:val="18"/>
                <w:szCs w:val="18"/>
              </w:rPr>
              <w:t>RDPP cost (Jul 2011-Dec 2017)</w:t>
            </w:r>
          </w:p>
        </w:tc>
        <w:tc>
          <w:tcPr>
            <w:tcW w:w="839" w:type="pct"/>
            <w:vMerge w:val="restart"/>
            <w:tcBorders>
              <w:top w:val="double" w:sz="4" w:space="0" w:color="76923C" w:themeColor="accent3" w:themeShade="BF"/>
            </w:tcBorders>
            <w:shd w:val="clear" w:color="auto" w:fill="D6E3BC" w:themeFill="accent3" w:themeFillTint="66"/>
          </w:tcPr>
          <w:p w:rsidR="00FE6C95" w:rsidRPr="005F120D" w:rsidRDefault="00FE6C95" w:rsidP="00B25E46">
            <w:pPr>
              <w:spacing w:after="0"/>
              <w:contextualSpacing/>
              <w:jc w:val="center"/>
              <w:rPr>
                <w:rFonts w:asciiTheme="minorHAnsi" w:hAnsiTheme="minorHAnsi" w:cstheme="minorHAnsi"/>
                <w:bCs/>
                <w:sz w:val="18"/>
                <w:szCs w:val="18"/>
              </w:rPr>
            </w:pPr>
            <w:r w:rsidRPr="005F120D">
              <w:rPr>
                <w:rFonts w:asciiTheme="minorHAnsi" w:hAnsiTheme="minorHAnsi" w:cstheme="minorHAnsi"/>
                <w:bCs/>
                <w:sz w:val="18"/>
                <w:szCs w:val="18"/>
              </w:rPr>
              <w:t>Cumulative Expenditure (Jul 2011- Jun 2015)</w:t>
            </w:r>
          </w:p>
        </w:tc>
        <w:tc>
          <w:tcPr>
            <w:tcW w:w="1230" w:type="pct"/>
            <w:gridSpan w:val="2"/>
            <w:tcBorders>
              <w:top w:val="double" w:sz="4" w:space="0" w:color="76923C" w:themeColor="accent3" w:themeShade="BF"/>
              <w:bottom w:val="double" w:sz="4" w:space="0" w:color="76923C" w:themeColor="accent3" w:themeShade="BF"/>
            </w:tcBorders>
            <w:shd w:val="clear" w:color="auto" w:fill="D6E3BC" w:themeFill="accent3" w:themeFillTint="66"/>
          </w:tcPr>
          <w:p w:rsidR="00FE6C95" w:rsidRPr="005F120D" w:rsidRDefault="00FE6C95" w:rsidP="00B25E46">
            <w:pPr>
              <w:spacing w:after="0"/>
              <w:contextualSpacing/>
              <w:jc w:val="center"/>
              <w:rPr>
                <w:rFonts w:asciiTheme="minorHAnsi" w:hAnsiTheme="minorHAnsi" w:cstheme="minorHAnsi"/>
                <w:bCs/>
                <w:sz w:val="18"/>
                <w:szCs w:val="18"/>
              </w:rPr>
            </w:pPr>
            <w:r w:rsidRPr="005F120D">
              <w:rPr>
                <w:rFonts w:asciiTheme="minorHAnsi" w:hAnsiTheme="minorHAnsi" w:cstheme="minorHAnsi"/>
                <w:bCs/>
                <w:sz w:val="18"/>
                <w:szCs w:val="18"/>
              </w:rPr>
              <w:t>Unspent as of June 2015</w:t>
            </w:r>
          </w:p>
        </w:tc>
      </w:tr>
      <w:tr w:rsidR="00FE6C95" w:rsidRPr="005F120D" w:rsidTr="00B26655">
        <w:trPr>
          <w:trHeight w:hRule="exact" w:val="462"/>
        </w:trPr>
        <w:tc>
          <w:tcPr>
            <w:tcW w:w="312" w:type="pct"/>
            <w:vMerge/>
            <w:tcBorders>
              <w:bottom w:val="single" w:sz="6"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sz w:val="18"/>
                <w:szCs w:val="18"/>
              </w:rPr>
            </w:pPr>
          </w:p>
        </w:tc>
        <w:tc>
          <w:tcPr>
            <w:tcW w:w="1389" w:type="pct"/>
            <w:vMerge/>
            <w:tcBorders>
              <w:bottom w:val="single" w:sz="6"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b/>
                <w:bCs/>
                <w:sz w:val="18"/>
                <w:szCs w:val="18"/>
              </w:rPr>
            </w:pPr>
          </w:p>
        </w:tc>
        <w:tc>
          <w:tcPr>
            <w:tcW w:w="615" w:type="pct"/>
            <w:vMerge/>
            <w:tcBorders>
              <w:bottom w:val="single" w:sz="6"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sz w:val="18"/>
                <w:szCs w:val="18"/>
              </w:rPr>
            </w:pPr>
          </w:p>
        </w:tc>
        <w:tc>
          <w:tcPr>
            <w:tcW w:w="615" w:type="pct"/>
            <w:vMerge/>
            <w:tcBorders>
              <w:bottom w:val="single" w:sz="6"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sz w:val="18"/>
                <w:szCs w:val="18"/>
              </w:rPr>
            </w:pPr>
          </w:p>
        </w:tc>
        <w:tc>
          <w:tcPr>
            <w:tcW w:w="839" w:type="pct"/>
            <w:vMerge/>
            <w:tcBorders>
              <w:bottom w:val="single" w:sz="6"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Total</w:t>
            </w:r>
          </w:p>
        </w:tc>
        <w:tc>
          <w:tcPr>
            <w:tcW w:w="615" w:type="pct"/>
            <w:tcBorders>
              <w:top w:val="double" w:sz="4" w:space="0" w:color="76923C" w:themeColor="accent3" w:themeShade="BF"/>
              <w:bottom w:val="single" w:sz="6"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 xml:space="preserve">% </w:t>
            </w:r>
          </w:p>
        </w:tc>
      </w:tr>
      <w:tr w:rsidR="00FE6C95" w:rsidRPr="005F120D" w:rsidTr="00B26655">
        <w:trPr>
          <w:trHeight w:hRule="exact" w:val="453"/>
        </w:trPr>
        <w:tc>
          <w:tcPr>
            <w:tcW w:w="312" w:type="pct"/>
            <w:tcBorders>
              <w:top w:val="double" w:sz="4" w:space="0" w:color="76923C" w:themeColor="accent3" w:themeShade="BF"/>
              <w:bottom w:val="single" w:sz="6" w:space="0" w:color="76923C" w:themeColor="accent3" w:themeShade="BF"/>
            </w:tcBorders>
            <w:shd w:val="clear" w:color="auto" w:fill="EAF1DD" w:themeFill="accent3" w:themeFillTint="33"/>
            <w:vAlign w:val="center"/>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1389" w:type="pct"/>
            <w:tcBorders>
              <w:top w:val="double" w:sz="4" w:space="0" w:color="76923C" w:themeColor="accent3" w:themeShade="BF"/>
              <w:bottom w:val="single" w:sz="6" w:space="0" w:color="76923C" w:themeColor="accent3" w:themeShade="BF"/>
            </w:tcBorders>
            <w:shd w:val="clear" w:color="auto" w:fill="EAF1DD" w:themeFill="accent3" w:themeFillTint="33"/>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b/>
                <w:bCs/>
                <w:sz w:val="18"/>
                <w:szCs w:val="18"/>
              </w:rPr>
              <w:t>Component 1: Learning and Teaching</w:t>
            </w:r>
          </w:p>
        </w:tc>
        <w:tc>
          <w:tcPr>
            <w:tcW w:w="615" w:type="pct"/>
            <w:tcBorders>
              <w:top w:val="double" w:sz="4" w:space="0" w:color="76923C" w:themeColor="accent3" w:themeShade="BF"/>
              <w:bottom w:val="single" w:sz="6" w:space="0" w:color="76923C" w:themeColor="accent3" w:themeShade="BF"/>
            </w:tcBorders>
            <w:shd w:val="clear" w:color="auto" w:fill="EAF1DD" w:themeFill="accent3" w:themeFillTint="33"/>
            <w:vAlign w:val="center"/>
          </w:tcPr>
          <w:p w:rsidR="00FE6C95" w:rsidRPr="005F120D" w:rsidRDefault="00FE6C95" w:rsidP="00B25E46">
            <w:pPr>
              <w:spacing w:after="0"/>
              <w:jc w:val="center"/>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shd w:val="clear" w:color="auto" w:fill="EAF1DD" w:themeFill="accent3" w:themeFillTint="33"/>
            <w:vAlign w:val="center"/>
          </w:tcPr>
          <w:p w:rsidR="00FE6C95" w:rsidRPr="005F120D" w:rsidRDefault="00FE6C95" w:rsidP="00B25E46">
            <w:pPr>
              <w:spacing w:after="0"/>
              <w:jc w:val="center"/>
              <w:rPr>
                <w:rFonts w:asciiTheme="minorHAnsi" w:hAnsiTheme="minorHAnsi" w:cstheme="minorHAnsi"/>
                <w:sz w:val="18"/>
                <w:szCs w:val="18"/>
              </w:rPr>
            </w:pPr>
          </w:p>
        </w:tc>
        <w:tc>
          <w:tcPr>
            <w:tcW w:w="839" w:type="pct"/>
            <w:tcBorders>
              <w:top w:val="double" w:sz="4" w:space="0" w:color="76923C" w:themeColor="accent3" w:themeShade="BF"/>
              <w:bottom w:val="single" w:sz="6" w:space="0" w:color="76923C" w:themeColor="accent3" w:themeShade="BF"/>
            </w:tcBorders>
            <w:shd w:val="clear" w:color="auto" w:fill="EAF1DD" w:themeFill="accent3" w:themeFillTint="33"/>
            <w:vAlign w:val="center"/>
          </w:tcPr>
          <w:p w:rsidR="00FE6C95" w:rsidRPr="005F120D" w:rsidRDefault="00FE6C95" w:rsidP="00B25E46">
            <w:pPr>
              <w:spacing w:after="0"/>
              <w:jc w:val="center"/>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shd w:val="clear" w:color="auto" w:fill="EAF1DD" w:themeFill="accent3" w:themeFillTint="33"/>
            <w:vAlign w:val="center"/>
          </w:tcPr>
          <w:p w:rsidR="00FE6C95" w:rsidRPr="005F120D" w:rsidRDefault="00FE6C95" w:rsidP="00B25E46">
            <w:pPr>
              <w:spacing w:after="0"/>
              <w:jc w:val="center"/>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shd w:val="clear" w:color="auto" w:fill="EAF1DD" w:themeFill="accent3" w:themeFillTint="33"/>
            <w:vAlign w:val="center"/>
          </w:tcPr>
          <w:p w:rsidR="00FE6C95" w:rsidRPr="005F120D" w:rsidRDefault="00FE6C95" w:rsidP="00B25E46">
            <w:pPr>
              <w:spacing w:after="0"/>
              <w:jc w:val="center"/>
              <w:rPr>
                <w:rFonts w:asciiTheme="minorHAnsi" w:hAnsiTheme="minorHAnsi" w:cstheme="minorHAnsi"/>
                <w:sz w:val="18"/>
                <w:szCs w:val="18"/>
              </w:rPr>
            </w:pP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1.1</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Each Child Learns (ECL/SPS)</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10,720.00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9,047.20</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1,796.35</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7,250.85</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80.14</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1.2</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School and Classroom-based Assessment</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130.00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420.36</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176.64</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243.72</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57.98</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1.3</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Curriculum and Textbooks Strengthened</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32,170.00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26,288.42</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632.81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25,655.61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97.59</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1.4</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Production and Distribution of Textbooks</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141,027.34</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8,002.53</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245.02</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7,757.51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96.94</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1.5</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ICT in Education</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33,826.51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97,762.66</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9,854.38</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87,908.28</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89.92</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1.6</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Teacher Education and Development</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85,702.00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115,219.74</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59,770.21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55,449.53</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48.13</w:t>
            </w:r>
          </w:p>
        </w:tc>
      </w:tr>
      <w:tr w:rsidR="00FE6C95" w:rsidRPr="005F120D" w:rsidTr="00B26655">
        <w:trPr>
          <w:trHeight w:hRule="exact" w:val="258"/>
        </w:trPr>
        <w:tc>
          <w:tcPr>
            <w:tcW w:w="312" w:type="pct"/>
            <w:tcBorders>
              <w:top w:val="single" w:sz="6" w:space="0" w:color="76923C" w:themeColor="accent3" w:themeShade="BF"/>
              <w:bottom w:val="double" w:sz="4" w:space="0" w:color="76923C" w:themeColor="accent3" w:themeShade="BF"/>
            </w:tcBorders>
            <w:shd w:val="clear" w:color="auto" w:fill="EAF1DD" w:themeFill="accent3" w:themeFillTint="33"/>
            <w:vAlign w:val="center"/>
          </w:tcPr>
          <w:p w:rsidR="00FE6C95" w:rsidRPr="005F120D" w:rsidRDefault="00FE6C95" w:rsidP="00B25E46">
            <w:pPr>
              <w:spacing w:after="0"/>
              <w:contextualSpacing/>
              <w:jc w:val="center"/>
              <w:rPr>
                <w:rFonts w:asciiTheme="minorHAnsi" w:hAnsiTheme="minorHAnsi" w:cstheme="minorHAnsi"/>
                <w:sz w:val="18"/>
                <w:szCs w:val="18"/>
              </w:rPr>
            </w:pPr>
          </w:p>
        </w:tc>
        <w:tc>
          <w:tcPr>
            <w:tcW w:w="1389"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contextualSpacing/>
              <w:jc w:val="center"/>
              <w:rPr>
                <w:rFonts w:asciiTheme="minorHAnsi" w:hAnsiTheme="minorHAnsi" w:cstheme="minorHAnsi"/>
                <w:b/>
                <w:bCs/>
                <w:color w:val="0000FF"/>
                <w:sz w:val="17"/>
                <w:szCs w:val="17"/>
              </w:rPr>
            </w:pPr>
            <w:r w:rsidRPr="005F120D">
              <w:rPr>
                <w:rFonts w:asciiTheme="minorHAnsi" w:hAnsiTheme="minorHAnsi" w:cstheme="minorHAnsi"/>
                <w:b/>
                <w:bCs/>
                <w:color w:val="0000FF"/>
                <w:sz w:val="17"/>
                <w:szCs w:val="17"/>
              </w:rPr>
              <w:t>Total of Component 1</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7"/>
                <w:szCs w:val="17"/>
              </w:rPr>
            </w:pPr>
            <w:r w:rsidRPr="005F120D">
              <w:rPr>
                <w:rFonts w:asciiTheme="minorHAnsi" w:hAnsiTheme="minorHAnsi" w:cstheme="minorHAnsi"/>
                <w:b/>
                <w:bCs/>
                <w:color w:val="0000FF"/>
                <w:sz w:val="17"/>
                <w:szCs w:val="17"/>
              </w:rPr>
              <w:t>303,575.85</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7"/>
                <w:szCs w:val="17"/>
              </w:rPr>
            </w:pPr>
            <w:r w:rsidRPr="005F120D">
              <w:rPr>
                <w:rFonts w:asciiTheme="minorHAnsi" w:hAnsiTheme="minorHAnsi" w:cstheme="minorHAnsi"/>
                <w:b/>
                <w:bCs/>
                <w:color w:val="0000FF"/>
                <w:sz w:val="17"/>
                <w:szCs w:val="17"/>
              </w:rPr>
              <w:t>256,740.91</w:t>
            </w:r>
          </w:p>
        </w:tc>
        <w:tc>
          <w:tcPr>
            <w:tcW w:w="839"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7"/>
                <w:szCs w:val="17"/>
              </w:rPr>
            </w:pPr>
            <w:r w:rsidRPr="005F120D">
              <w:rPr>
                <w:rFonts w:asciiTheme="minorHAnsi" w:hAnsiTheme="minorHAnsi" w:cstheme="minorHAnsi"/>
                <w:b/>
                <w:bCs/>
                <w:color w:val="0000FF"/>
                <w:sz w:val="17"/>
                <w:szCs w:val="17"/>
              </w:rPr>
              <w:t>72,475.41 (28.2%)</w:t>
            </w:r>
          </w:p>
          <w:p w:rsidR="00FE6C95" w:rsidRPr="005F120D" w:rsidRDefault="00FE6C95" w:rsidP="00B25E46">
            <w:pPr>
              <w:spacing w:after="0"/>
              <w:jc w:val="right"/>
              <w:rPr>
                <w:rFonts w:asciiTheme="minorHAnsi" w:hAnsiTheme="minorHAnsi" w:cstheme="minorHAnsi"/>
                <w:b/>
                <w:bCs/>
                <w:color w:val="0000FF"/>
                <w:sz w:val="17"/>
                <w:szCs w:val="17"/>
              </w:rPr>
            </w:pPr>
          </w:p>
          <w:p w:rsidR="00FE6C95" w:rsidRPr="005F120D" w:rsidRDefault="00FE6C95" w:rsidP="00B25E46">
            <w:pPr>
              <w:spacing w:after="0"/>
              <w:jc w:val="right"/>
              <w:rPr>
                <w:rFonts w:asciiTheme="minorHAnsi" w:hAnsiTheme="minorHAnsi" w:cstheme="minorHAnsi"/>
                <w:b/>
                <w:bCs/>
                <w:color w:val="0000FF"/>
                <w:sz w:val="17"/>
                <w:szCs w:val="17"/>
              </w:rPr>
            </w:pPr>
          </w:p>
          <w:p w:rsidR="00FE6C95" w:rsidRPr="005F120D" w:rsidRDefault="00FE6C95" w:rsidP="00B25E46">
            <w:pPr>
              <w:spacing w:after="0"/>
              <w:jc w:val="right"/>
              <w:rPr>
                <w:rFonts w:asciiTheme="minorHAnsi" w:hAnsiTheme="minorHAnsi" w:cstheme="minorHAnsi"/>
                <w:b/>
                <w:bCs/>
                <w:color w:val="0000FF"/>
                <w:sz w:val="17"/>
                <w:szCs w:val="17"/>
              </w:rPr>
            </w:pP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color w:val="0000FF"/>
                <w:sz w:val="17"/>
                <w:szCs w:val="17"/>
              </w:rPr>
            </w:pPr>
            <w:r w:rsidRPr="005F120D">
              <w:rPr>
                <w:rFonts w:asciiTheme="minorHAnsi" w:hAnsiTheme="minorHAnsi" w:cstheme="minorHAnsi"/>
                <w:b/>
                <w:color w:val="0000FF"/>
                <w:sz w:val="17"/>
                <w:szCs w:val="17"/>
              </w:rPr>
              <w:t>184,265.50</w:t>
            </w:r>
          </w:p>
          <w:p w:rsidR="00FE6C95" w:rsidRPr="005F120D" w:rsidRDefault="00FE6C95" w:rsidP="00B25E46">
            <w:pPr>
              <w:spacing w:after="0"/>
              <w:jc w:val="right"/>
              <w:rPr>
                <w:rFonts w:asciiTheme="minorHAnsi" w:hAnsiTheme="minorHAnsi" w:cstheme="minorHAnsi"/>
                <w:b/>
                <w:color w:val="0000FF"/>
                <w:sz w:val="17"/>
                <w:szCs w:val="17"/>
              </w:rPr>
            </w:pP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b/>
                <w:color w:val="0000FF"/>
                <w:sz w:val="17"/>
                <w:szCs w:val="17"/>
              </w:rPr>
            </w:pPr>
            <w:r w:rsidRPr="005F120D">
              <w:rPr>
                <w:rFonts w:asciiTheme="minorHAnsi" w:hAnsiTheme="minorHAnsi" w:cstheme="minorHAnsi"/>
                <w:b/>
                <w:color w:val="0000FF"/>
                <w:sz w:val="17"/>
                <w:szCs w:val="17"/>
              </w:rPr>
              <w:t>71.8%</w:t>
            </w:r>
          </w:p>
        </w:tc>
      </w:tr>
      <w:tr w:rsidR="00FE6C95" w:rsidRPr="005F120D" w:rsidTr="00B26655">
        <w:trPr>
          <w:trHeight w:hRule="exact" w:val="216"/>
        </w:trPr>
        <w:tc>
          <w:tcPr>
            <w:tcW w:w="312"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1389"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rPr>
                <w:rFonts w:asciiTheme="minorHAnsi" w:hAnsiTheme="minorHAnsi" w:cstheme="minorHAnsi"/>
                <w:b/>
                <w:bCs/>
                <w:sz w:val="18"/>
                <w:szCs w:val="18"/>
              </w:rPr>
            </w:pPr>
            <w:r w:rsidRPr="005F120D">
              <w:rPr>
                <w:rFonts w:asciiTheme="minorHAnsi" w:hAnsiTheme="minorHAnsi" w:cstheme="minorHAnsi"/>
                <w:b/>
                <w:bCs/>
                <w:sz w:val="18"/>
                <w:szCs w:val="18"/>
              </w:rPr>
              <w:t>Component 2: Participation and Disparities</w:t>
            </w: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839"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2.1.1</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Second chance and Alternative Education (NFE)</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69,995.46</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18,827.62</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260.01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18,567.61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98.62</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2.1.2</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Pre-Primary Education</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223,325.30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195,425.84</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42,900.14</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152,525.70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78.05</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2.1.3</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Mainstreaming Gender and Inclusive Education</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502.00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2,500.84</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1,274.82</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1,226.02</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49.02</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2.1.4</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Education in Emergencies</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2,500.00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156,122.20</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326</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155,796.20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99.79</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2.1.5</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Communications and social mobilization</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4,800.00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14,610.16</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7,360.58</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7,249.58</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49.62</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2.2.1</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Targeted Stipends</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335,149.03</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2.2.2</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School Health and School Feeding</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207,647.47</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1,545.45</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1,220.37</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325.08</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21.03</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2.2.3</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Needs based School Environment Improvement</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120,984.05</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187,783.34</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73,735.64</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114,047.70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60.73</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2.2.4</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Needs based Infrastructure Development</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615,073.05</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700,726.89</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377,738.98</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322,987.91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46.09</w:t>
            </w:r>
          </w:p>
        </w:tc>
      </w:tr>
      <w:tr w:rsidR="00FE6C95" w:rsidRPr="005F120D" w:rsidTr="00B26655">
        <w:trPr>
          <w:trHeight w:hRule="exact" w:val="249"/>
        </w:trPr>
        <w:tc>
          <w:tcPr>
            <w:tcW w:w="312" w:type="pct"/>
            <w:tcBorders>
              <w:top w:val="single" w:sz="6" w:space="0" w:color="76923C" w:themeColor="accent3" w:themeShade="BF"/>
              <w:bottom w:val="double" w:sz="4" w:space="0" w:color="76923C" w:themeColor="accent3" w:themeShade="BF"/>
            </w:tcBorders>
            <w:shd w:val="clear" w:color="auto" w:fill="EAF1DD" w:themeFill="accent3" w:themeFillTint="33"/>
            <w:vAlign w:val="center"/>
          </w:tcPr>
          <w:p w:rsidR="00FE6C95" w:rsidRPr="005F120D" w:rsidRDefault="00FE6C95" w:rsidP="00B25E46">
            <w:pPr>
              <w:spacing w:after="0"/>
              <w:contextualSpacing/>
              <w:jc w:val="center"/>
              <w:rPr>
                <w:rFonts w:asciiTheme="minorHAnsi" w:hAnsiTheme="minorHAnsi" w:cstheme="minorHAnsi"/>
                <w:color w:val="0000FF"/>
                <w:sz w:val="18"/>
                <w:szCs w:val="18"/>
              </w:rPr>
            </w:pPr>
          </w:p>
        </w:tc>
        <w:tc>
          <w:tcPr>
            <w:tcW w:w="1389"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contextualSpacing/>
              <w:jc w:val="center"/>
              <w:rPr>
                <w:rFonts w:asciiTheme="minorHAnsi" w:hAnsiTheme="minorHAnsi" w:cstheme="minorHAnsi"/>
                <w:b/>
                <w:bCs/>
                <w:color w:val="0000FF"/>
                <w:sz w:val="17"/>
                <w:szCs w:val="17"/>
              </w:rPr>
            </w:pPr>
            <w:r w:rsidRPr="005F120D">
              <w:rPr>
                <w:rFonts w:asciiTheme="minorHAnsi" w:hAnsiTheme="minorHAnsi" w:cstheme="minorHAnsi"/>
                <w:b/>
                <w:bCs/>
                <w:color w:val="0000FF"/>
                <w:sz w:val="17"/>
                <w:szCs w:val="17"/>
              </w:rPr>
              <w:t>Total of Component 2</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7"/>
                <w:szCs w:val="17"/>
              </w:rPr>
            </w:pPr>
            <w:r w:rsidRPr="005F120D">
              <w:rPr>
                <w:rFonts w:asciiTheme="minorHAnsi" w:hAnsiTheme="minorHAnsi" w:cstheme="minorHAnsi"/>
                <w:b/>
                <w:bCs/>
                <w:color w:val="0000FF"/>
                <w:sz w:val="17"/>
                <w:szCs w:val="17"/>
              </w:rPr>
              <w:t>1,579,976.36</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7"/>
                <w:szCs w:val="17"/>
              </w:rPr>
            </w:pPr>
            <w:r w:rsidRPr="005F120D">
              <w:rPr>
                <w:rFonts w:asciiTheme="minorHAnsi" w:hAnsiTheme="minorHAnsi" w:cstheme="minorHAnsi"/>
                <w:b/>
                <w:bCs/>
                <w:color w:val="0000FF"/>
                <w:sz w:val="17"/>
                <w:szCs w:val="17"/>
              </w:rPr>
              <w:t>127,7542.34</w:t>
            </w:r>
          </w:p>
        </w:tc>
        <w:tc>
          <w:tcPr>
            <w:tcW w:w="839"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7"/>
                <w:szCs w:val="17"/>
              </w:rPr>
            </w:pPr>
            <w:r w:rsidRPr="005F120D">
              <w:rPr>
                <w:rFonts w:asciiTheme="minorHAnsi" w:hAnsiTheme="minorHAnsi" w:cstheme="minorHAnsi"/>
                <w:b/>
                <w:bCs/>
                <w:color w:val="0000FF"/>
                <w:sz w:val="17"/>
                <w:szCs w:val="17"/>
              </w:rPr>
              <w:t>504,816.54(39.5%)</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7"/>
                <w:szCs w:val="17"/>
              </w:rPr>
            </w:pPr>
            <w:r w:rsidRPr="005F120D">
              <w:rPr>
                <w:rFonts w:asciiTheme="minorHAnsi" w:hAnsiTheme="minorHAnsi" w:cstheme="minorHAnsi"/>
                <w:b/>
                <w:bCs/>
                <w:color w:val="0000FF"/>
                <w:sz w:val="17"/>
                <w:szCs w:val="17"/>
              </w:rPr>
              <w:t>772,725.80</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b/>
                <w:color w:val="0000FF"/>
                <w:sz w:val="17"/>
                <w:szCs w:val="17"/>
              </w:rPr>
            </w:pPr>
            <w:r w:rsidRPr="005F120D">
              <w:rPr>
                <w:rFonts w:asciiTheme="minorHAnsi" w:hAnsiTheme="minorHAnsi" w:cstheme="minorHAnsi"/>
                <w:b/>
                <w:color w:val="0000FF"/>
                <w:sz w:val="17"/>
                <w:szCs w:val="17"/>
              </w:rPr>
              <w:t>60.5%</w:t>
            </w:r>
          </w:p>
        </w:tc>
      </w:tr>
      <w:tr w:rsidR="00FE6C95" w:rsidRPr="005F120D" w:rsidTr="00B26655">
        <w:trPr>
          <w:trHeight w:hRule="exact" w:val="216"/>
        </w:trPr>
        <w:tc>
          <w:tcPr>
            <w:tcW w:w="312"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3</w:t>
            </w:r>
          </w:p>
        </w:tc>
        <w:tc>
          <w:tcPr>
            <w:tcW w:w="1389"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b/>
                <w:bCs/>
                <w:sz w:val="18"/>
                <w:szCs w:val="18"/>
              </w:rPr>
              <w:t xml:space="preserve">Component 3: </w:t>
            </w:r>
            <w:r w:rsidRPr="005F120D">
              <w:rPr>
                <w:rFonts w:asciiTheme="minorHAnsi" w:hAnsiTheme="minorHAnsi" w:cstheme="minorHAnsi"/>
                <w:sz w:val="18"/>
                <w:szCs w:val="18"/>
              </w:rPr>
              <w:t>Decentralization and Effectiveness</w:t>
            </w: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839"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3.1.1</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Field Level Offices Strengthened</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35,068.12</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54,956.42</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7,325.04</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47,631.38</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86.67</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3.1.2</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Decentralized School Management and Governance</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136,948.87</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106,323.67</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37,404.02</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68,919.65</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64.82</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3.1.3</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School Level Leadership Development</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6,450.00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7,923.94</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4,381.03</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3542.91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44.71</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3.1.4</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Organizational Review and Strengthening</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21,114.07</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19,410.79</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2,131.93</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17,278.86</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89.02</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3.2.1</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Grade 5 PECE Strengthened</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375.00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1,807.99</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392.91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1,415.08</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78.27</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3.2.2</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Teacher Recruitment and Deployment</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30,390.00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21,003.50</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27.8</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20,975.70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99.87</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3.2.3</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Annual Primary School Census (APSC)</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3,000.00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2,547.72</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429.71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2,118.01</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83.13</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3.2.4</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National Student Assessment (NSA)</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2,450.00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949.25</w:t>
            </w:r>
          </w:p>
        </w:tc>
        <w:tc>
          <w:tcPr>
            <w:tcW w:w="83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217.79</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bCs/>
                <w:color w:val="000000"/>
                <w:sz w:val="18"/>
                <w:szCs w:val="18"/>
              </w:rPr>
            </w:pPr>
            <w:r w:rsidRPr="005F120D">
              <w:rPr>
                <w:rFonts w:asciiTheme="minorHAnsi" w:hAnsiTheme="minorHAnsi" w:cstheme="minorHAnsi"/>
                <w:bCs/>
                <w:color w:val="000000"/>
                <w:sz w:val="18"/>
                <w:szCs w:val="18"/>
              </w:rPr>
              <w:t>731.46</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77.06</w:t>
            </w:r>
          </w:p>
        </w:tc>
      </w:tr>
      <w:tr w:rsidR="00FE6C95" w:rsidRPr="005F120D" w:rsidTr="00B26655">
        <w:trPr>
          <w:trHeight w:hRule="exact" w:val="276"/>
        </w:trPr>
        <w:tc>
          <w:tcPr>
            <w:tcW w:w="312" w:type="pct"/>
            <w:tcBorders>
              <w:top w:val="single" w:sz="6" w:space="0" w:color="76923C" w:themeColor="accent3" w:themeShade="BF"/>
              <w:bottom w:val="double" w:sz="4" w:space="0" w:color="76923C" w:themeColor="accent3" w:themeShade="BF"/>
            </w:tcBorders>
            <w:shd w:val="clear" w:color="auto" w:fill="EAF1DD" w:themeFill="accent3" w:themeFillTint="33"/>
            <w:vAlign w:val="center"/>
          </w:tcPr>
          <w:p w:rsidR="00FE6C95" w:rsidRPr="005F120D" w:rsidRDefault="00FE6C95" w:rsidP="00B25E46">
            <w:pPr>
              <w:spacing w:after="0"/>
              <w:contextualSpacing/>
              <w:jc w:val="center"/>
              <w:rPr>
                <w:rFonts w:asciiTheme="minorHAnsi" w:hAnsiTheme="minorHAnsi" w:cstheme="minorHAnsi"/>
                <w:color w:val="0000FF"/>
                <w:sz w:val="18"/>
                <w:szCs w:val="18"/>
              </w:rPr>
            </w:pPr>
          </w:p>
        </w:tc>
        <w:tc>
          <w:tcPr>
            <w:tcW w:w="1389"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b/>
                <w:color w:val="0000FF"/>
                <w:sz w:val="18"/>
                <w:szCs w:val="18"/>
              </w:rPr>
            </w:pPr>
            <w:r w:rsidRPr="005F120D">
              <w:rPr>
                <w:rFonts w:asciiTheme="minorHAnsi" w:hAnsiTheme="minorHAnsi" w:cstheme="minorHAnsi"/>
                <w:b/>
                <w:bCs/>
                <w:color w:val="0000FF"/>
                <w:sz w:val="18"/>
                <w:szCs w:val="18"/>
              </w:rPr>
              <w:t>Total of Component 3</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8"/>
                <w:szCs w:val="18"/>
              </w:rPr>
            </w:pPr>
            <w:r w:rsidRPr="005F120D">
              <w:rPr>
                <w:rFonts w:asciiTheme="minorHAnsi" w:hAnsiTheme="minorHAnsi" w:cstheme="minorHAnsi"/>
                <w:b/>
                <w:bCs/>
                <w:color w:val="0000FF"/>
                <w:sz w:val="18"/>
                <w:szCs w:val="18"/>
              </w:rPr>
              <w:t>235,796.06</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8"/>
                <w:szCs w:val="18"/>
              </w:rPr>
            </w:pPr>
            <w:r w:rsidRPr="005F120D">
              <w:rPr>
                <w:rFonts w:asciiTheme="minorHAnsi" w:hAnsiTheme="minorHAnsi" w:cstheme="minorHAnsi"/>
                <w:b/>
                <w:bCs/>
                <w:color w:val="0000FF"/>
                <w:sz w:val="18"/>
                <w:szCs w:val="18"/>
              </w:rPr>
              <w:t>214,923.28</w:t>
            </w:r>
          </w:p>
        </w:tc>
        <w:tc>
          <w:tcPr>
            <w:tcW w:w="839"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color w:val="0000FF"/>
                <w:sz w:val="18"/>
                <w:szCs w:val="18"/>
              </w:rPr>
            </w:pPr>
            <w:r w:rsidRPr="005F120D">
              <w:rPr>
                <w:rFonts w:asciiTheme="minorHAnsi" w:hAnsiTheme="minorHAnsi" w:cstheme="minorHAnsi"/>
                <w:b/>
                <w:color w:val="0000FF"/>
                <w:sz w:val="18"/>
                <w:szCs w:val="18"/>
              </w:rPr>
              <w:t>52,310.23(24.3%)</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color w:val="0000FF"/>
                <w:sz w:val="18"/>
                <w:szCs w:val="18"/>
              </w:rPr>
            </w:pPr>
            <w:r w:rsidRPr="005F120D">
              <w:rPr>
                <w:rFonts w:asciiTheme="minorHAnsi" w:hAnsiTheme="minorHAnsi" w:cstheme="minorHAnsi"/>
                <w:b/>
                <w:color w:val="0000FF"/>
                <w:sz w:val="18"/>
                <w:szCs w:val="18"/>
              </w:rPr>
              <w:t>162,613.05</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b/>
                <w:color w:val="0000FF"/>
                <w:sz w:val="18"/>
                <w:szCs w:val="18"/>
              </w:rPr>
            </w:pPr>
            <w:r w:rsidRPr="005F120D">
              <w:rPr>
                <w:rFonts w:asciiTheme="minorHAnsi" w:hAnsiTheme="minorHAnsi" w:cstheme="minorHAnsi"/>
                <w:b/>
                <w:color w:val="0000FF"/>
                <w:sz w:val="18"/>
                <w:szCs w:val="18"/>
              </w:rPr>
              <w:t>75.7%</w:t>
            </w:r>
          </w:p>
        </w:tc>
      </w:tr>
      <w:tr w:rsidR="00FE6C95" w:rsidRPr="005F120D" w:rsidTr="00B26655">
        <w:trPr>
          <w:trHeight w:hRule="exact" w:val="216"/>
        </w:trPr>
        <w:tc>
          <w:tcPr>
            <w:tcW w:w="312"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4</w:t>
            </w:r>
          </w:p>
        </w:tc>
        <w:tc>
          <w:tcPr>
            <w:tcW w:w="1389"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b/>
                <w:sz w:val="18"/>
                <w:szCs w:val="18"/>
              </w:rPr>
              <w:t>Component 4:</w:t>
            </w:r>
            <w:r w:rsidRPr="005F120D">
              <w:rPr>
                <w:rFonts w:asciiTheme="minorHAnsi" w:hAnsiTheme="minorHAnsi" w:cstheme="minorHAnsi"/>
                <w:sz w:val="18"/>
                <w:szCs w:val="18"/>
              </w:rPr>
              <w:t xml:space="preserve"> Planning and Management</w:t>
            </w: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839"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p>
        </w:tc>
        <w:tc>
          <w:tcPr>
            <w:tcW w:w="615" w:type="pct"/>
            <w:tcBorders>
              <w:top w:val="double" w:sz="4" w:space="0" w:color="76923C" w:themeColor="accent3" w:themeShade="BF"/>
              <w:bottom w:val="single" w:sz="6"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4.1</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PEDP3 Management and Governance</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36,584.88</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20,650.84</w:t>
            </w:r>
          </w:p>
        </w:tc>
        <w:tc>
          <w:tcPr>
            <w:tcW w:w="839"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8,465.29</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12,185.55</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59.01</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4.2</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PEDP3 Financial Management</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493.36</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431.58</w:t>
            </w:r>
          </w:p>
        </w:tc>
        <w:tc>
          <w:tcPr>
            <w:tcW w:w="839"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135.76</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295.82</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68.54</w:t>
            </w:r>
          </w:p>
        </w:tc>
      </w:tr>
      <w:tr w:rsidR="00FE6C95" w:rsidRPr="005F120D" w:rsidTr="00B26655">
        <w:trPr>
          <w:trHeight w:hRule="exact" w:val="213"/>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4.3</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Sector Finance</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0.00</w:t>
            </w:r>
          </w:p>
        </w:tc>
        <w:tc>
          <w:tcPr>
            <w:tcW w:w="839"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0.00</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0.00</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0.00</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4.4</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Strengthening Monitoring Functions</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5,800.00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1,369.13</w:t>
            </w:r>
          </w:p>
        </w:tc>
        <w:tc>
          <w:tcPr>
            <w:tcW w:w="839"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719.43</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649.7</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47.45</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4.5</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Human Resource Development</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7,344.80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8,353.31</w:t>
            </w:r>
          </w:p>
        </w:tc>
        <w:tc>
          <w:tcPr>
            <w:tcW w:w="839"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1,861.66</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6,491.65</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77.71</w:t>
            </w:r>
          </w:p>
        </w:tc>
      </w:tr>
      <w:tr w:rsidR="00FE6C95" w:rsidRPr="005F120D" w:rsidTr="00B26655">
        <w:trPr>
          <w:trHeight w:hRule="exact" w:val="216"/>
        </w:trPr>
        <w:tc>
          <w:tcPr>
            <w:tcW w:w="312"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r w:rsidRPr="005F120D">
              <w:rPr>
                <w:rFonts w:asciiTheme="minorHAnsi" w:hAnsiTheme="minorHAnsi" w:cstheme="minorHAnsi"/>
                <w:sz w:val="18"/>
                <w:szCs w:val="18"/>
              </w:rPr>
              <w:t>4.6</w:t>
            </w:r>
          </w:p>
        </w:tc>
        <w:tc>
          <w:tcPr>
            <w:tcW w:w="1389"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rPr>
                <w:rFonts w:asciiTheme="minorHAnsi" w:hAnsiTheme="minorHAnsi" w:cstheme="minorHAnsi"/>
                <w:sz w:val="18"/>
                <w:szCs w:val="18"/>
              </w:rPr>
            </w:pPr>
            <w:r w:rsidRPr="005F120D">
              <w:rPr>
                <w:rFonts w:asciiTheme="minorHAnsi" w:hAnsiTheme="minorHAnsi" w:cstheme="minorHAnsi"/>
                <w:sz w:val="18"/>
                <w:szCs w:val="18"/>
              </w:rPr>
              <w:t>Public Private Partnerships</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102.00</w:t>
            </w:r>
          </w:p>
        </w:tc>
        <w:tc>
          <w:tcPr>
            <w:tcW w:w="615" w:type="pct"/>
            <w:tcBorders>
              <w:top w:val="single" w:sz="6" w:space="0" w:color="76923C" w:themeColor="accent3" w:themeShade="BF"/>
              <w:bottom w:val="single" w:sz="6"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2,505.00</w:t>
            </w:r>
          </w:p>
        </w:tc>
        <w:tc>
          <w:tcPr>
            <w:tcW w:w="839"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0.00</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2,505.00</w:t>
            </w:r>
          </w:p>
        </w:tc>
        <w:tc>
          <w:tcPr>
            <w:tcW w:w="615" w:type="pct"/>
            <w:tcBorders>
              <w:top w:val="single" w:sz="6" w:space="0" w:color="76923C" w:themeColor="accent3" w:themeShade="BF"/>
              <w:bottom w:val="single" w:sz="6" w:space="0" w:color="76923C" w:themeColor="accent3" w:themeShade="BF"/>
            </w:tcBorders>
            <w:vAlign w:val="bottom"/>
          </w:tcPr>
          <w:p w:rsidR="00FE6C95" w:rsidRPr="005F120D" w:rsidRDefault="00FE6C95" w:rsidP="00B25E46">
            <w:pPr>
              <w:spacing w:after="0"/>
              <w:jc w:val="center"/>
              <w:rPr>
                <w:rFonts w:asciiTheme="minorHAnsi" w:hAnsiTheme="minorHAnsi" w:cstheme="minorHAnsi"/>
                <w:color w:val="000000"/>
                <w:sz w:val="18"/>
                <w:szCs w:val="18"/>
              </w:rPr>
            </w:pPr>
            <w:r w:rsidRPr="005F120D">
              <w:rPr>
                <w:rFonts w:asciiTheme="minorHAnsi" w:hAnsiTheme="minorHAnsi" w:cstheme="minorHAnsi"/>
                <w:color w:val="000000"/>
                <w:sz w:val="18"/>
                <w:szCs w:val="18"/>
              </w:rPr>
              <w:t>100</w:t>
            </w:r>
          </w:p>
        </w:tc>
      </w:tr>
      <w:tr w:rsidR="00FE6C95" w:rsidRPr="005F120D" w:rsidTr="00B26655">
        <w:trPr>
          <w:trHeight w:hRule="exact" w:val="438"/>
        </w:trPr>
        <w:tc>
          <w:tcPr>
            <w:tcW w:w="312" w:type="pct"/>
            <w:tcBorders>
              <w:top w:val="single" w:sz="6" w:space="0" w:color="76923C" w:themeColor="accent3" w:themeShade="BF"/>
              <w:bottom w:val="double" w:sz="4" w:space="0" w:color="76923C" w:themeColor="accent3" w:themeShade="BF"/>
            </w:tcBorders>
            <w:shd w:val="clear" w:color="auto" w:fill="EAF1DD" w:themeFill="accent3" w:themeFillTint="33"/>
            <w:vAlign w:val="center"/>
          </w:tcPr>
          <w:p w:rsidR="00FE6C95" w:rsidRPr="005F120D" w:rsidRDefault="00FE6C95" w:rsidP="00B25E46">
            <w:pPr>
              <w:spacing w:after="0"/>
              <w:contextualSpacing/>
              <w:jc w:val="center"/>
              <w:rPr>
                <w:rFonts w:asciiTheme="minorHAnsi" w:hAnsiTheme="minorHAnsi" w:cstheme="minorHAnsi"/>
                <w:color w:val="0000FF"/>
                <w:sz w:val="18"/>
                <w:szCs w:val="18"/>
              </w:rPr>
            </w:pPr>
          </w:p>
        </w:tc>
        <w:tc>
          <w:tcPr>
            <w:tcW w:w="1389"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color w:val="0000FF"/>
                <w:sz w:val="18"/>
                <w:szCs w:val="18"/>
              </w:rPr>
            </w:pPr>
            <w:r w:rsidRPr="005F120D">
              <w:rPr>
                <w:rFonts w:asciiTheme="minorHAnsi" w:hAnsiTheme="minorHAnsi" w:cstheme="minorHAnsi"/>
                <w:b/>
                <w:bCs/>
                <w:color w:val="0000FF"/>
                <w:sz w:val="18"/>
                <w:szCs w:val="18"/>
              </w:rPr>
              <w:t>Total of Component 4</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8"/>
                <w:szCs w:val="18"/>
              </w:rPr>
            </w:pPr>
            <w:r w:rsidRPr="005F120D">
              <w:rPr>
                <w:rFonts w:asciiTheme="minorHAnsi" w:hAnsiTheme="minorHAnsi" w:cstheme="minorHAnsi"/>
                <w:b/>
                <w:bCs/>
                <w:color w:val="0000FF"/>
                <w:sz w:val="18"/>
                <w:szCs w:val="18"/>
              </w:rPr>
              <w:t>50,325.04</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8"/>
                <w:szCs w:val="18"/>
              </w:rPr>
            </w:pPr>
            <w:r w:rsidRPr="005F120D">
              <w:rPr>
                <w:rFonts w:asciiTheme="minorHAnsi" w:hAnsiTheme="minorHAnsi" w:cstheme="minorHAnsi"/>
                <w:b/>
                <w:bCs/>
                <w:color w:val="0000FF"/>
                <w:sz w:val="18"/>
                <w:szCs w:val="18"/>
              </w:rPr>
              <w:t>33,309.86</w:t>
            </w:r>
          </w:p>
        </w:tc>
        <w:tc>
          <w:tcPr>
            <w:tcW w:w="839"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8"/>
                <w:szCs w:val="18"/>
              </w:rPr>
            </w:pPr>
            <w:r w:rsidRPr="005F120D">
              <w:rPr>
                <w:rFonts w:asciiTheme="minorHAnsi" w:hAnsiTheme="minorHAnsi" w:cstheme="minorHAnsi"/>
                <w:b/>
                <w:bCs/>
                <w:color w:val="0000FF"/>
                <w:sz w:val="18"/>
                <w:szCs w:val="18"/>
              </w:rPr>
              <w:t>11,182.14 (33.6%)</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right"/>
              <w:rPr>
                <w:rFonts w:asciiTheme="minorHAnsi" w:hAnsiTheme="minorHAnsi" w:cstheme="minorHAnsi"/>
                <w:b/>
                <w:bCs/>
                <w:color w:val="0000FF"/>
                <w:sz w:val="18"/>
                <w:szCs w:val="18"/>
              </w:rPr>
            </w:pPr>
            <w:r w:rsidRPr="005F120D">
              <w:rPr>
                <w:rFonts w:asciiTheme="minorHAnsi" w:hAnsiTheme="minorHAnsi" w:cstheme="minorHAnsi"/>
                <w:b/>
                <w:bCs/>
                <w:color w:val="0000FF"/>
                <w:sz w:val="18"/>
                <w:szCs w:val="18"/>
              </w:rPr>
              <w:t>22,127.72</w:t>
            </w:r>
          </w:p>
        </w:tc>
        <w:tc>
          <w:tcPr>
            <w:tcW w:w="615" w:type="pct"/>
            <w:tcBorders>
              <w:top w:val="single" w:sz="6" w:space="0" w:color="76923C" w:themeColor="accent3" w:themeShade="BF"/>
              <w:bottom w:val="double" w:sz="4" w:space="0" w:color="76923C" w:themeColor="accent3" w:themeShade="BF"/>
            </w:tcBorders>
            <w:shd w:val="clear" w:color="auto" w:fill="EAF1DD" w:themeFill="accent3" w:themeFillTint="33"/>
          </w:tcPr>
          <w:p w:rsidR="00FE6C95" w:rsidRPr="005F120D" w:rsidRDefault="00FE6C95" w:rsidP="00B25E46">
            <w:pPr>
              <w:spacing w:after="0"/>
              <w:jc w:val="center"/>
              <w:rPr>
                <w:rFonts w:asciiTheme="minorHAnsi" w:hAnsiTheme="minorHAnsi" w:cstheme="minorHAnsi"/>
                <w:b/>
                <w:bCs/>
                <w:color w:val="0000FF"/>
                <w:sz w:val="18"/>
                <w:szCs w:val="18"/>
              </w:rPr>
            </w:pPr>
            <w:r w:rsidRPr="005F120D">
              <w:rPr>
                <w:rFonts w:asciiTheme="minorHAnsi" w:hAnsiTheme="minorHAnsi" w:cstheme="minorHAnsi"/>
                <w:b/>
                <w:bCs/>
                <w:color w:val="0000FF"/>
                <w:sz w:val="18"/>
                <w:szCs w:val="18"/>
              </w:rPr>
              <w:t>66.4%</w:t>
            </w:r>
          </w:p>
        </w:tc>
      </w:tr>
      <w:tr w:rsidR="00FE6C95" w:rsidRPr="005F120D" w:rsidTr="00B26655">
        <w:trPr>
          <w:trHeight w:hRule="exact" w:val="471"/>
        </w:trPr>
        <w:tc>
          <w:tcPr>
            <w:tcW w:w="312" w:type="pct"/>
            <w:tcBorders>
              <w:top w:val="double" w:sz="4" w:space="0" w:color="76923C" w:themeColor="accent3" w:themeShade="BF"/>
              <w:bottom w:val="double" w:sz="4" w:space="0" w:color="76923C" w:themeColor="accent3" w:themeShade="BF"/>
            </w:tcBorders>
            <w:shd w:val="clear" w:color="auto" w:fill="F2DBDB" w:themeFill="accent2" w:themeFillTint="33"/>
            <w:vAlign w:val="center"/>
          </w:tcPr>
          <w:p w:rsidR="00FE6C95" w:rsidRPr="005F120D" w:rsidRDefault="00FE6C95" w:rsidP="00B25E46">
            <w:pPr>
              <w:spacing w:after="0"/>
              <w:contextualSpacing/>
              <w:jc w:val="center"/>
              <w:rPr>
                <w:rFonts w:asciiTheme="minorHAnsi" w:hAnsiTheme="minorHAnsi" w:cstheme="minorHAnsi"/>
                <w:sz w:val="18"/>
                <w:szCs w:val="18"/>
              </w:rPr>
            </w:pPr>
          </w:p>
        </w:tc>
        <w:tc>
          <w:tcPr>
            <w:tcW w:w="1389" w:type="pct"/>
            <w:tcBorders>
              <w:top w:val="double" w:sz="4" w:space="0" w:color="76923C" w:themeColor="accent3" w:themeShade="BF"/>
              <w:bottom w:val="double" w:sz="4" w:space="0" w:color="76923C" w:themeColor="accent3" w:themeShade="BF"/>
            </w:tcBorders>
            <w:shd w:val="clear" w:color="auto" w:fill="F2DBDB" w:themeFill="accent2" w:themeFillTint="33"/>
          </w:tcPr>
          <w:p w:rsidR="00FE6C95" w:rsidRPr="005F120D" w:rsidRDefault="00FE6C95" w:rsidP="00B25E46">
            <w:pPr>
              <w:spacing w:after="0"/>
              <w:contextualSpacing/>
              <w:jc w:val="center"/>
              <w:rPr>
                <w:rFonts w:asciiTheme="minorHAnsi" w:hAnsiTheme="minorHAnsi" w:cstheme="minorHAnsi"/>
                <w:b/>
                <w:bCs/>
                <w:sz w:val="18"/>
                <w:szCs w:val="18"/>
              </w:rPr>
            </w:pPr>
            <w:r w:rsidRPr="005F120D">
              <w:rPr>
                <w:rFonts w:asciiTheme="minorHAnsi" w:hAnsiTheme="minorHAnsi" w:cstheme="minorHAnsi"/>
                <w:b/>
                <w:bCs/>
                <w:sz w:val="18"/>
                <w:szCs w:val="18"/>
              </w:rPr>
              <w:t>Base Cost (Comp. 1-4)</w:t>
            </w:r>
          </w:p>
        </w:tc>
        <w:tc>
          <w:tcPr>
            <w:tcW w:w="615" w:type="pct"/>
            <w:tcBorders>
              <w:top w:val="double" w:sz="4" w:space="0" w:color="76923C" w:themeColor="accent3" w:themeShade="BF"/>
              <w:bottom w:val="double" w:sz="4" w:space="0" w:color="76923C" w:themeColor="accent3" w:themeShade="BF"/>
            </w:tcBorders>
            <w:shd w:val="clear" w:color="auto" w:fill="F2DBDB" w:themeFill="accent2" w:themeFillTint="33"/>
          </w:tcPr>
          <w:p w:rsidR="00FE6C95" w:rsidRPr="005F120D" w:rsidRDefault="00FE6C95" w:rsidP="00B25E46">
            <w:pPr>
              <w:spacing w:after="0"/>
              <w:jc w:val="center"/>
              <w:rPr>
                <w:rFonts w:asciiTheme="minorHAnsi" w:hAnsiTheme="minorHAnsi" w:cstheme="minorHAnsi"/>
                <w:b/>
                <w:color w:val="000000"/>
                <w:sz w:val="18"/>
                <w:szCs w:val="18"/>
              </w:rPr>
            </w:pPr>
            <w:r w:rsidRPr="005F120D">
              <w:rPr>
                <w:rFonts w:asciiTheme="minorHAnsi" w:hAnsiTheme="minorHAnsi" w:cstheme="minorHAnsi"/>
                <w:b/>
                <w:color w:val="000000"/>
                <w:sz w:val="18"/>
                <w:szCs w:val="18"/>
              </w:rPr>
              <w:t>2,169,673.28</w:t>
            </w:r>
          </w:p>
        </w:tc>
        <w:tc>
          <w:tcPr>
            <w:tcW w:w="615" w:type="pct"/>
            <w:tcBorders>
              <w:top w:val="double" w:sz="4" w:space="0" w:color="76923C" w:themeColor="accent3" w:themeShade="BF"/>
              <w:bottom w:val="double" w:sz="4" w:space="0" w:color="76923C" w:themeColor="accent3" w:themeShade="BF"/>
            </w:tcBorders>
            <w:shd w:val="clear" w:color="auto" w:fill="F2DBDB" w:themeFill="accent2" w:themeFillTint="33"/>
          </w:tcPr>
          <w:p w:rsidR="00FE6C95" w:rsidRPr="005F120D" w:rsidRDefault="00FE6C95" w:rsidP="00B25E46">
            <w:pPr>
              <w:spacing w:after="0"/>
              <w:jc w:val="center"/>
              <w:rPr>
                <w:rFonts w:asciiTheme="minorHAnsi" w:hAnsiTheme="minorHAnsi" w:cstheme="minorHAnsi"/>
                <w:b/>
                <w:color w:val="000000"/>
                <w:sz w:val="18"/>
                <w:szCs w:val="18"/>
              </w:rPr>
            </w:pPr>
            <w:r w:rsidRPr="005F120D">
              <w:rPr>
                <w:rFonts w:asciiTheme="minorHAnsi" w:hAnsiTheme="minorHAnsi" w:cstheme="minorHAnsi"/>
                <w:b/>
                <w:color w:val="000000"/>
                <w:sz w:val="18"/>
                <w:szCs w:val="18"/>
              </w:rPr>
              <w:t>1,782,516.39</w:t>
            </w:r>
          </w:p>
        </w:tc>
        <w:tc>
          <w:tcPr>
            <w:tcW w:w="839" w:type="pct"/>
            <w:tcBorders>
              <w:top w:val="double" w:sz="4" w:space="0" w:color="76923C" w:themeColor="accent3" w:themeShade="BF"/>
              <w:bottom w:val="double" w:sz="4" w:space="0" w:color="76923C" w:themeColor="accent3" w:themeShade="BF"/>
            </w:tcBorders>
            <w:shd w:val="clear" w:color="auto" w:fill="F2DBDB" w:themeFill="accent2" w:themeFillTint="33"/>
          </w:tcPr>
          <w:p w:rsidR="00FE6C95" w:rsidRPr="005F120D" w:rsidRDefault="00FE6C95" w:rsidP="00B25E46">
            <w:pPr>
              <w:spacing w:after="0"/>
              <w:jc w:val="center"/>
              <w:rPr>
                <w:rFonts w:asciiTheme="minorHAnsi" w:hAnsiTheme="minorHAnsi" w:cstheme="minorHAnsi"/>
                <w:b/>
                <w:color w:val="000000"/>
                <w:sz w:val="18"/>
                <w:szCs w:val="18"/>
              </w:rPr>
            </w:pPr>
            <w:r w:rsidRPr="005F120D">
              <w:rPr>
                <w:rFonts w:asciiTheme="minorHAnsi" w:hAnsiTheme="minorHAnsi" w:cstheme="minorHAnsi"/>
                <w:b/>
                <w:color w:val="000000"/>
                <w:sz w:val="18"/>
                <w:szCs w:val="18"/>
              </w:rPr>
              <w:t xml:space="preserve">640,784.32 </w:t>
            </w:r>
            <w:r w:rsidRPr="005F120D">
              <w:rPr>
                <w:rFonts w:asciiTheme="minorHAnsi" w:hAnsiTheme="minorHAnsi" w:cstheme="minorHAnsi"/>
                <w:b/>
                <w:bCs/>
                <w:sz w:val="18"/>
                <w:szCs w:val="18"/>
              </w:rPr>
              <w:t>(35.9%)</w:t>
            </w:r>
          </w:p>
        </w:tc>
        <w:tc>
          <w:tcPr>
            <w:tcW w:w="615" w:type="pct"/>
            <w:tcBorders>
              <w:top w:val="double" w:sz="4" w:space="0" w:color="76923C" w:themeColor="accent3" w:themeShade="BF"/>
              <w:bottom w:val="double" w:sz="4" w:space="0" w:color="76923C" w:themeColor="accent3" w:themeShade="BF"/>
            </w:tcBorders>
            <w:shd w:val="clear" w:color="auto" w:fill="F2DBDB" w:themeFill="accent2" w:themeFillTint="33"/>
          </w:tcPr>
          <w:p w:rsidR="00FE6C95" w:rsidRPr="005F120D" w:rsidRDefault="00FE6C95" w:rsidP="00B25E46">
            <w:pPr>
              <w:spacing w:after="0"/>
              <w:jc w:val="center"/>
              <w:rPr>
                <w:rFonts w:asciiTheme="minorHAnsi" w:hAnsiTheme="minorHAnsi" w:cstheme="minorHAnsi"/>
                <w:b/>
                <w:color w:val="000000"/>
                <w:sz w:val="18"/>
                <w:szCs w:val="18"/>
              </w:rPr>
            </w:pPr>
            <w:r w:rsidRPr="005F120D">
              <w:rPr>
                <w:rFonts w:asciiTheme="minorHAnsi" w:hAnsiTheme="minorHAnsi" w:cstheme="minorHAnsi"/>
                <w:b/>
                <w:color w:val="000000"/>
                <w:sz w:val="18"/>
                <w:szCs w:val="18"/>
              </w:rPr>
              <w:t>1,141,732.07</w:t>
            </w:r>
          </w:p>
        </w:tc>
        <w:tc>
          <w:tcPr>
            <w:tcW w:w="615" w:type="pct"/>
            <w:tcBorders>
              <w:top w:val="double" w:sz="4" w:space="0" w:color="76923C" w:themeColor="accent3" w:themeShade="BF"/>
              <w:bottom w:val="double" w:sz="4" w:space="0" w:color="76923C" w:themeColor="accent3" w:themeShade="BF"/>
            </w:tcBorders>
            <w:shd w:val="clear" w:color="auto" w:fill="F2DBDB" w:themeFill="accent2" w:themeFillTint="33"/>
          </w:tcPr>
          <w:p w:rsidR="00FE6C95" w:rsidRPr="005F120D" w:rsidRDefault="00FE6C95" w:rsidP="00B25E46">
            <w:pPr>
              <w:spacing w:after="0"/>
              <w:jc w:val="center"/>
              <w:rPr>
                <w:rFonts w:asciiTheme="minorHAnsi" w:hAnsiTheme="minorHAnsi" w:cstheme="minorHAnsi"/>
                <w:b/>
                <w:bCs/>
                <w:sz w:val="18"/>
                <w:szCs w:val="18"/>
              </w:rPr>
            </w:pPr>
            <w:r w:rsidRPr="005F120D">
              <w:rPr>
                <w:rFonts w:asciiTheme="minorHAnsi" w:hAnsiTheme="minorHAnsi" w:cstheme="minorHAnsi"/>
                <w:b/>
                <w:bCs/>
                <w:sz w:val="18"/>
                <w:szCs w:val="18"/>
              </w:rPr>
              <w:t>1,141,490.65 (64.1%)</w:t>
            </w:r>
          </w:p>
        </w:tc>
      </w:tr>
      <w:tr w:rsidR="00FE6C95" w:rsidRPr="005F120D" w:rsidTr="00B26655">
        <w:trPr>
          <w:trHeight w:hRule="exact" w:val="216"/>
        </w:trPr>
        <w:tc>
          <w:tcPr>
            <w:tcW w:w="312" w:type="pct"/>
            <w:tcBorders>
              <w:top w:val="double" w:sz="4" w:space="0" w:color="76923C" w:themeColor="accent3" w:themeShade="BF"/>
              <w:left w:val="double" w:sz="4" w:space="0" w:color="76923C" w:themeColor="accent3" w:themeShade="BF"/>
              <w:bottom w:val="nil"/>
              <w:right w:val="double" w:sz="4"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p>
        </w:tc>
        <w:tc>
          <w:tcPr>
            <w:tcW w:w="1389" w:type="pct"/>
            <w:tcBorders>
              <w:top w:val="double" w:sz="4" w:space="0" w:color="76923C" w:themeColor="accent3" w:themeShade="BF"/>
              <w:left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contextualSpacing/>
              <w:rPr>
                <w:rFonts w:asciiTheme="minorHAnsi" w:hAnsiTheme="minorHAnsi" w:cstheme="minorHAnsi"/>
                <w:sz w:val="18"/>
                <w:szCs w:val="18"/>
              </w:rPr>
            </w:pPr>
            <w:r w:rsidRPr="005F120D">
              <w:rPr>
                <w:rFonts w:asciiTheme="minorHAnsi" w:hAnsiTheme="minorHAnsi" w:cstheme="minorHAnsi"/>
                <w:sz w:val="18"/>
                <w:szCs w:val="18"/>
              </w:rPr>
              <w:t>Unforeseen</w:t>
            </w:r>
          </w:p>
        </w:tc>
        <w:tc>
          <w:tcPr>
            <w:tcW w:w="615" w:type="pct"/>
            <w:tcBorders>
              <w:top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7,500.00</w:t>
            </w:r>
          </w:p>
        </w:tc>
        <w:tc>
          <w:tcPr>
            <w:tcW w:w="615" w:type="pct"/>
            <w:tcBorders>
              <w:top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5,000.00</w:t>
            </w:r>
          </w:p>
        </w:tc>
        <w:tc>
          <w:tcPr>
            <w:tcW w:w="839" w:type="pct"/>
            <w:tcBorders>
              <w:top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615" w:type="pct"/>
            <w:tcBorders>
              <w:top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p>
        </w:tc>
        <w:tc>
          <w:tcPr>
            <w:tcW w:w="615" w:type="pct"/>
            <w:tcBorders>
              <w:top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100</w:t>
            </w:r>
          </w:p>
        </w:tc>
      </w:tr>
      <w:tr w:rsidR="00FE6C95" w:rsidRPr="005F120D" w:rsidTr="00B26655">
        <w:trPr>
          <w:trHeight w:hRule="exact" w:val="216"/>
        </w:trPr>
        <w:tc>
          <w:tcPr>
            <w:tcW w:w="312" w:type="pct"/>
            <w:tcBorders>
              <w:top w:val="nil"/>
              <w:left w:val="double" w:sz="4" w:space="0" w:color="76923C" w:themeColor="accent3" w:themeShade="BF"/>
              <w:bottom w:val="nil"/>
              <w:right w:val="double" w:sz="4"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p>
        </w:tc>
        <w:tc>
          <w:tcPr>
            <w:tcW w:w="1389" w:type="pct"/>
            <w:tcBorders>
              <w:top w:val="double" w:sz="4" w:space="0" w:color="76923C" w:themeColor="accent3" w:themeShade="BF"/>
              <w:left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contextualSpacing/>
              <w:rPr>
                <w:rFonts w:asciiTheme="minorHAnsi" w:hAnsiTheme="minorHAnsi" w:cstheme="minorHAnsi"/>
                <w:sz w:val="18"/>
                <w:szCs w:val="18"/>
              </w:rPr>
            </w:pPr>
            <w:r w:rsidRPr="005F120D">
              <w:rPr>
                <w:rFonts w:asciiTheme="minorHAnsi" w:hAnsiTheme="minorHAnsi" w:cstheme="minorHAnsi"/>
                <w:sz w:val="18"/>
                <w:szCs w:val="18"/>
              </w:rPr>
              <w:t>CDVAT for Textbook, Computer, Vehicle and others</w:t>
            </w:r>
          </w:p>
        </w:tc>
        <w:tc>
          <w:tcPr>
            <w:tcW w:w="615" w:type="pct"/>
            <w:tcBorders>
              <w:top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4,883.40</w:t>
            </w:r>
          </w:p>
        </w:tc>
        <w:tc>
          <w:tcPr>
            <w:tcW w:w="615" w:type="pct"/>
            <w:tcBorders>
              <w:top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7,028.87</w:t>
            </w:r>
          </w:p>
        </w:tc>
        <w:tc>
          <w:tcPr>
            <w:tcW w:w="839" w:type="pct"/>
            <w:tcBorders>
              <w:top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28.87</w:t>
            </w:r>
          </w:p>
        </w:tc>
        <w:tc>
          <w:tcPr>
            <w:tcW w:w="615" w:type="pct"/>
            <w:tcBorders>
              <w:top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p>
        </w:tc>
        <w:tc>
          <w:tcPr>
            <w:tcW w:w="615" w:type="pct"/>
            <w:tcBorders>
              <w:top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0.41</w:t>
            </w:r>
          </w:p>
        </w:tc>
      </w:tr>
      <w:tr w:rsidR="00FE6C95" w:rsidRPr="005F120D" w:rsidTr="00B26655">
        <w:trPr>
          <w:trHeight w:hRule="exact" w:val="216"/>
        </w:trPr>
        <w:tc>
          <w:tcPr>
            <w:tcW w:w="312" w:type="pct"/>
            <w:tcBorders>
              <w:top w:val="nil"/>
              <w:left w:val="double" w:sz="4" w:space="0" w:color="76923C" w:themeColor="accent3" w:themeShade="BF"/>
              <w:bottom w:val="nil"/>
              <w:right w:val="double" w:sz="4"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p>
        </w:tc>
        <w:tc>
          <w:tcPr>
            <w:tcW w:w="1389" w:type="pct"/>
            <w:tcBorders>
              <w:top w:val="double" w:sz="4" w:space="0" w:color="76923C" w:themeColor="accent3" w:themeShade="BF"/>
              <w:left w:val="double" w:sz="4" w:space="0" w:color="76923C" w:themeColor="accent3" w:themeShade="BF"/>
            </w:tcBorders>
            <w:vAlign w:val="center"/>
          </w:tcPr>
          <w:p w:rsidR="00FE6C95" w:rsidRPr="005F120D" w:rsidRDefault="00FE6C95" w:rsidP="00B25E46">
            <w:pPr>
              <w:spacing w:after="0"/>
              <w:contextualSpacing/>
              <w:rPr>
                <w:rFonts w:asciiTheme="minorHAnsi" w:hAnsiTheme="minorHAnsi" w:cstheme="minorHAnsi"/>
                <w:sz w:val="18"/>
                <w:szCs w:val="18"/>
              </w:rPr>
            </w:pPr>
            <w:r w:rsidRPr="005F120D">
              <w:rPr>
                <w:rFonts w:asciiTheme="minorHAnsi" w:hAnsiTheme="minorHAnsi" w:cstheme="minorHAnsi"/>
                <w:sz w:val="18"/>
                <w:szCs w:val="18"/>
              </w:rPr>
              <w:t>Physical Contingency</w:t>
            </w:r>
          </w:p>
        </w:tc>
        <w:tc>
          <w:tcPr>
            <w:tcW w:w="615" w:type="pct"/>
            <w:tcBorders>
              <w:top w:val="double" w:sz="4"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16,072.54</w:t>
            </w:r>
          </w:p>
        </w:tc>
        <w:tc>
          <w:tcPr>
            <w:tcW w:w="615" w:type="pct"/>
            <w:tcBorders>
              <w:top w:val="double" w:sz="4"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10,541.86</w:t>
            </w:r>
          </w:p>
        </w:tc>
        <w:tc>
          <w:tcPr>
            <w:tcW w:w="839" w:type="pct"/>
            <w:tcBorders>
              <w:top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615" w:type="pct"/>
            <w:tcBorders>
              <w:top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p>
        </w:tc>
        <w:tc>
          <w:tcPr>
            <w:tcW w:w="615" w:type="pct"/>
            <w:tcBorders>
              <w:top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100</w:t>
            </w:r>
          </w:p>
        </w:tc>
      </w:tr>
      <w:tr w:rsidR="00FE6C95" w:rsidRPr="005F120D" w:rsidTr="00B26655">
        <w:trPr>
          <w:trHeight w:hRule="exact" w:val="216"/>
        </w:trPr>
        <w:tc>
          <w:tcPr>
            <w:tcW w:w="312" w:type="pct"/>
            <w:tcBorders>
              <w:top w:val="nil"/>
              <w:left w:val="double" w:sz="4" w:space="0" w:color="76923C" w:themeColor="accent3" w:themeShade="BF"/>
              <w:bottom w:val="double" w:sz="4" w:space="0" w:color="76923C" w:themeColor="accent3" w:themeShade="BF"/>
              <w:right w:val="double" w:sz="4" w:space="0" w:color="76923C" w:themeColor="accent3" w:themeShade="BF"/>
            </w:tcBorders>
            <w:vAlign w:val="center"/>
          </w:tcPr>
          <w:p w:rsidR="00FE6C95" w:rsidRPr="005F120D" w:rsidRDefault="00FE6C95" w:rsidP="00B25E46">
            <w:pPr>
              <w:spacing w:after="0"/>
              <w:contextualSpacing/>
              <w:jc w:val="center"/>
              <w:rPr>
                <w:rFonts w:asciiTheme="minorHAnsi" w:hAnsiTheme="minorHAnsi" w:cstheme="minorHAnsi"/>
                <w:sz w:val="18"/>
                <w:szCs w:val="18"/>
              </w:rPr>
            </w:pPr>
          </w:p>
        </w:tc>
        <w:tc>
          <w:tcPr>
            <w:tcW w:w="1389" w:type="pct"/>
            <w:tcBorders>
              <w:left w:val="double" w:sz="4" w:space="0" w:color="76923C" w:themeColor="accent3" w:themeShade="BF"/>
              <w:bottom w:val="double" w:sz="4" w:space="0" w:color="76923C" w:themeColor="accent3" w:themeShade="BF"/>
            </w:tcBorders>
            <w:vAlign w:val="center"/>
          </w:tcPr>
          <w:p w:rsidR="00FE6C95" w:rsidRPr="005F120D" w:rsidRDefault="00FE6C95" w:rsidP="00B25E46">
            <w:pPr>
              <w:spacing w:after="0"/>
              <w:contextualSpacing/>
              <w:rPr>
                <w:rFonts w:asciiTheme="minorHAnsi" w:hAnsiTheme="minorHAnsi" w:cstheme="minorHAnsi"/>
                <w:sz w:val="18"/>
                <w:szCs w:val="18"/>
              </w:rPr>
            </w:pPr>
            <w:r w:rsidRPr="005F120D">
              <w:rPr>
                <w:rFonts w:asciiTheme="minorHAnsi" w:hAnsiTheme="minorHAnsi" w:cstheme="minorHAnsi"/>
                <w:sz w:val="18"/>
                <w:szCs w:val="18"/>
              </w:rPr>
              <w:t>Price Contingency</w:t>
            </w:r>
          </w:p>
        </w:tc>
        <w:tc>
          <w:tcPr>
            <w:tcW w:w="615" w:type="pct"/>
            <w:tcBorders>
              <w:bottom w:val="double" w:sz="4"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21,535.50</w:t>
            </w:r>
          </w:p>
        </w:tc>
        <w:tc>
          <w:tcPr>
            <w:tcW w:w="615" w:type="pct"/>
            <w:tcBorders>
              <w:bottom w:val="double" w:sz="4" w:space="0" w:color="76923C" w:themeColor="accent3" w:themeShade="BF"/>
            </w:tcBorders>
            <w:vAlign w:val="center"/>
          </w:tcPr>
          <w:p w:rsidR="00FE6C95" w:rsidRPr="005F120D" w:rsidRDefault="00FE6C95" w:rsidP="00B25E46">
            <w:pPr>
              <w:spacing w:after="0"/>
              <w:jc w:val="right"/>
              <w:rPr>
                <w:rFonts w:asciiTheme="minorHAnsi" w:hAnsiTheme="minorHAnsi" w:cstheme="minorHAnsi"/>
                <w:sz w:val="18"/>
                <w:szCs w:val="18"/>
              </w:rPr>
            </w:pPr>
            <w:r w:rsidRPr="005F120D">
              <w:rPr>
                <w:rFonts w:asciiTheme="minorHAnsi" w:hAnsiTheme="minorHAnsi" w:cstheme="minorHAnsi"/>
                <w:sz w:val="18"/>
                <w:szCs w:val="18"/>
              </w:rPr>
              <w:t>10,301.24</w:t>
            </w:r>
          </w:p>
        </w:tc>
        <w:tc>
          <w:tcPr>
            <w:tcW w:w="839" w:type="pct"/>
            <w:tcBorders>
              <w:bottom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615" w:type="pct"/>
            <w:tcBorders>
              <w:bottom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p>
        </w:tc>
        <w:tc>
          <w:tcPr>
            <w:tcW w:w="615" w:type="pct"/>
            <w:tcBorders>
              <w:bottom w:val="double" w:sz="4" w:space="0" w:color="76923C" w:themeColor="accent3" w:themeShade="BF"/>
            </w:tcBorders>
            <w:vAlign w:val="center"/>
          </w:tcPr>
          <w:p w:rsidR="00FE6C95" w:rsidRPr="005F120D" w:rsidRDefault="00FE6C95" w:rsidP="00B25E46">
            <w:pPr>
              <w:spacing w:after="0"/>
              <w:jc w:val="center"/>
              <w:rPr>
                <w:rFonts w:asciiTheme="minorHAnsi" w:hAnsiTheme="minorHAnsi" w:cstheme="minorHAnsi"/>
                <w:sz w:val="18"/>
                <w:szCs w:val="18"/>
              </w:rPr>
            </w:pPr>
            <w:r w:rsidRPr="005F120D">
              <w:rPr>
                <w:rFonts w:asciiTheme="minorHAnsi" w:hAnsiTheme="minorHAnsi" w:cstheme="minorHAnsi"/>
                <w:sz w:val="18"/>
                <w:szCs w:val="18"/>
              </w:rPr>
              <w:t>100</w:t>
            </w:r>
          </w:p>
        </w:tc>
      </w:tr>
      <w:tr w:rsidR="00FE6C95" w:rsidRPr="005F120D" w:rsidTr="00B26655">
        <w:trPr>
          <w:trHeight w:hRule="exact" w:val="471"/>
        </w:trPr>
        <w:tc>
          <w:tcPr>
            <w:tcW w:w="312" w:type="pct"/>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E5B8B7" w:themeFill="accent2" w:themeFillTint="66"/>
            <w:vAlign w:val="center"/>
          </w:tcPr>
          <w:p w:rsidR="00FE6C95" w:rsidRPr="005F120D" w:rsidRDefault="00FE6C95" w:rsidP="00B25E46">
            <w:pPr>
              <w:spacing w:after="0"/>
              <w:contextualSpacing/>
              <w:jc w:val="center"/>
              <w:rPr>
                <w:rFonts w:asciiTheme="minorHAnsi" w:hAnsiTheme="minorHAnsi" w:cstheme="minorHAnsi"/>
                <w:sz w:val="18"/>
                <w:szCs w:val="18"/>
              </w:rPr>
            </w:pPr>
          </w:p>
        </w:tc>
        <w:tc>
          <w:tcPr>
            <w:tcW w:w="1389" w:type="pct"/>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E5B8B7" w:themeFill="accent2" w:themeFillTint="66"/>
            <w:vAlign w:val="center"/>
          </w:tcPr>
          <w:p w:rsidR="00FE6C95" w:rsidRPr="005F120D" w:rsidRDefault="00FE6C95" w:rsidP="00B25E46">
            <w:pPr>
              <w:spacing w:after="0"/>
              <w:jc w:val="center"/>
              <w:rPr>
                <w:rFonts w:asciiTheme="minorHAnsi" w:hAnsiTheme="minorHAnsi" w:cstheme="minorHAnsi"/>
                <w:b/>
                <w:bCs/>
                <w:color w:val="000000"/>
                <w:sz w:val="18"/>
                <w:szCs w:val="18"/>
              </w:rPr>
            </w:pPr>
            <w:r w:rsidRPr="005F120D">
              <w:rPr>
                <w:rFonts w:asciiTheme="minorHAnsi" w:hAnsiTheme="minorHAnsi" w:cstheme="minorHAnsi"/>
                <w:b/>
                <w:bCs/>
                <w:color w:val="000000"/>
                <w:sz w:val="18"/>
                <w:szCs w:val="18"/>
              </w:rPr>
              <w:t>Total PEDP3</w:t>
            </w:r>
          </w:p>
        </w:tc>
        <w:tc>
          <w:tcPr>
            <w:tcW w:w="615" w:type="pct"/>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E5B8B7" w:themeFill="accent2" w:themeFillTint="66"/>
            <w:vAlign w:val="center"/>
          </w:tcPr>
          <w:p w:rsidR="00FE6C95" w:rsidRPr="005F120D" w:rsidRDefault="00FE6C95" w:rsidP="00B25E46">
            <w:pPr>
              <w:spacing w:after="0"/>
              <w:jc w:val="center"/>
              <w:rPr>
                <w:rFonts w:asciiTheme="minorHAnsi" w:hAnsiTheme="minorHAnsi" w:cstheme="minorHAnsi"/>
                <w:b/>
                <w:bCs/>
                <w:color w:val="000000"/>
                <w:sz w:val="18"/>
                <w:szCs w:val="18"/>
              </w:rPr>
            </w:pPr>
            <w:r w:rsidRPr="005F120D">
              <w:rPr>
                <w:rFonts w:asciiTheme="minorHAnsi" w:hAnsiTheme="minorHAnsi" w:cstheme="minorHAnsi"/>
                <w:b/>
                <w:bCs/>
                <w:color w:val="000000"/>
                <w:sz w:val="18"/>
                <w:szCs w:val="18"/>
              </w:rPr>
              <w:t>2,219,664.72</w:t>
            </w:r>
          </w:p>
        </w:tc>
        <w:tc>
          <w:tcPr>
            <w:tcW w:w="615" w:type="pct"/>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E5B8B7" w:themeFill="accent2" w:themeFillTint="66"/>
            <w:vAlign w:val="center"/>
          </w:tcPr>
          <w:p w:rsidR="00FE6C95" w:rsidRPr="005F120D" w:rsidRDefault="00FE6C95" w:rsidP="00B25E46">
            <w:pPr>
              <w:spacing w:after="0"/>
              <w:jc w:val="center"/>
              <w:rPr>
                <w:rFonts w:asciiTheme="minorHAnsi" w:hAnsiTheme="minorHAnsi" w:cstheme="minorHAnsi"/>
                <w:b/>
                <w:bCs/>
                <w:color w:val="000000"/>
                <w:sz w:val="18"/>
                <w:szCs w:val="18"/>
              </w:rPr>
            </w:pPr>
            <w:r w:rsidRPr="005F120D">
              <w:rPr>
                <w:rFonts w:asciiTheme="minorHAnsi" w:hAnsiTheme="minorHAnsi" w:cstheme="minorHAnsi"/>
                <w:b/>
                <w:bCs/>
                <w:color w:val="000000"/>
                <w:sz w:val="18"/>
                <w:szCs w:val="18"/>
              </w:rPr>
              <w:t>1,815,388.36</w:t>
            </w:r>
          </w:p>
        </w:tc>
        <w:tc>
          <w:tcPr>
            <w:tcW w:w="839" w:type="pct"/>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E5B8B7" w:themeFill="accent2" w:themeFillTint="66"/>
            <w:vAlign w:val="center"/>
          </w:tcPr>
          <w:p w:rsidR="00FE6C95" w:rsidRPr="005F120D" w:rsidRDefault="00FE6C95" w:rsidP="00B25E46">
            <w:pPr>
              <w:spacing w:after="0"/>
              <w:jc w:val="center"/>
              <w:rPr>
                <w:rFonts w:asciiTheme="minorHAnsi" w:hAnsiTheme="minorHAnsi" w:cstheme="minorHAnsi"/>
                <w:b/>
                <w:bCs/>
                <w:color w:val="000000"/>
                <w:sz w:val="18"/>
                <w:szCs w:val="18"/>
              </w:rPr>
            </w:pPr>
            <w:r w:rsidRPr="005F120D">
              <w:rPr>
                <w:rFonts w:asciiTheme="minorHAnsi" w:hAnsiTheme="minorHAnsi" w:cstheme="minorHAnsi"/>
                <w:b/>
                <w:bCs/>
                <w:color w:val="000000"/>
                <w:sz w:val="18"/>
                <w:szCs w:val="18"/>
              </w:rPr>
              <w:t>640,384.42(35.3%)</w:t>
            </w:r>
          </w:p>
        </w:tc>
        <w:tc>
          <w:tcPr>
            <w:tcW w:w="615" w:type="pct"/>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E5B8B7" w:themeFill="accent2" w:themeFillTint="66"/>
            <w:vAlign w:val="center"/>
          </w:tcPr>
          <w:p w:rsidR="00FE6C95" w:rsidRPr="005F120D" w:rsidRDefault="00FE6C95" w:rsidP="00B25E46">
            <w:pPr>
              <w:spacing w:after="0"/>
              <w:jc w:val="center"/>
              <w:rPr>
                <w:rFonts w:asciiTheme="minorHAnsi" w:hAnsiTheme="minorHAnsi" w:cstheme="minorHAnsi"/>
                <w:b/>
                <w:color w:val="000000"/>
                <w:sz w:val="18"/>
                <w:szCs w:val="18"/>
              </w:rPr>
            </w:pPr>
            <w:r w:rsidRPr="005F120D">
              <w:rPr>
                <w:rFonts w:asciiTheme="minorHAnsi" w:hAnsiTheme="minorHAnsi" w:cstheme="minorHAnsi"/>
                <w:b/>
                <w:color w:val="000000"/>
                <w:sz w:val="18"/>
                <w:szCs w:val="18"/>
              </w:rPr>
              <w:t>1,175,003.94</w:t>
            </w:r>
          </w:p>
        </w:tc>
        <w:tc>
          <w:tcPr>
            <w:tcW w:w="615" w:type="pct"/>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E5B8B7" w:themeFill="accent2" w:themeFillTint="66"/>
            <w:vAlign w:val="center"/>
          </w:tcPr>
          <w:p w:rsidR="00FE6C95" w:rsidRPr="005F120D" w:rsidRDefault="00FE6C95" w:rsidP="00B25E46">
            <w:pPr>
              <w:spacing w:after="0"/>
              <w:jc w:val="center"/>
              <w:rPr>
                <w:rFonts w:asciiTheme="minorHAnsi" w:hAnsiTheme="minorHAnsi" w:cstheme="minorHAnsi"/>
                <w:b/>
                <w:bCs/>
                <w:color w:val="000000"/>
                <w:sz w:val="18"/>
                <w:szCs w:val="18"/>
              </w:rPr>
            </w:pPr>
            <w:r w:rsidRPr="005F120D">
              <w:rPr>
                <w:rFonts w:asciiTheme="minorHAnsi" w:hAnsiTheme="minorHAnsi" w:cstheme="minorHAnsi"/>
                <w:b/>
                <w:bCs/>
                <w:color w:val="000000"/>
                <w:sz w:val="18"/>
                <w:szCs w:val="18"/>
              </w:rPr>
              <w:t>64.7%</w:t>
            </w:r>
          </w:p>
        </w:tc>
      </w:tr>
    </w:tbl>
    <w:p w:rsidR="00713C68" w:rsidRPr="005F120D" w:rsidRDefault="00713C68" w:rsidP="00B25E46">
      <w:pPr>
        <w:pStyle w:val="BodyText1"/>
        <w:spacing w:line="240" w:lineRule="auto"/>
        <w:rPr>
          <w:rFonts w:asciiTheme="minorHAnsi" w:hAnsiTheme="minorHAnsi" w:cstheme="minorHAnsi"/>
          <w:color w:val="FF0000"/>
        </w:rPr>
      </w:pPr>
    </w:p>
    <w:p w:rsidR="00FE6C95" w:rsidRPr="005F120D" w:rsidRDefault="00FE6C95" w:rsidP="00B25E46">
      <w:pPr>
        <w:pStyle w:val="Heading2NONUM"/>
        <w:rPr>
          <w:rFonts w:asciiTheme="minorHAnsi" w:hAnsiTheme="minorHAnsi" w:cstheme="minorHAnsi"/>
        </w:rPr>
      </w:pPr>
      <w:r w:rsidRPr="005F120D">
        <w:rPr>
          <w:rFonts w:asciiTheme="minorHAnsi" w:hAnsiTheme="minorHAnsi" w:cstheme="minorHAnsi"/>
        </w:rPr>
        <w:lastRenderedPageBreak/>
        <w:t>E-2:  PEDP3</w:t>
      </w:r>
      <w:r w:rsidR="002A7A36" w:rsidRPr="005F120D">
        <w:rPr>
          <w:rFonts w:asciiTheme="minorHAnsi" w:hAnsiTheme="minorHAnsi" w:cstheme="minorHAnsi"/>
        </w:rPr>
        <w:t xml:space="preserve"> budget (RDPP and </w:t>
      </w:r>
      <w:r w:rsidR="005000E7" w:rsidRPr="005F120D">
        <w:rPr>
          <w:rFonts w:asciiTheme="minorHAnsi" w:hAnsiTheme="minorHAnsi" w:cstheme="minorHAnsi"/>
        </w:rPr>
        <w:t>AOP 2015/16</w:t>
      </w:r>
      <w:r w:rsidR="002A7A36" w:rsidRPr="005F120D">
        <w:rPr>
          <w:rFonts w:asciiTheme="minorHAnsi" w:hAnsiTheme="minorHAnsi" w:cstheme="minorHAnsi"/>
        </w:rPr>
        <w:t>) and Expenditures of 2015-16 AOP</w:t>
      </w:r>
    </w:p>
    <w:p w:rsidR="00DE2502" w:rsidRPr="005F120D" w:rsidRDefault="00DE2502" w:rsidP="00B25E46">
      <w:pPr>
        <w:pStyle w:val="BodyText1"/>
        <w:spacing w:line="240" w:lineRule="auto"/>
        <w:rPr>
          <w:rFonts w:asciiTheme="minorHAnsi" w:hAnsiTheme="minorHAnsi" w:cstheme="minorHAnsi"/>
          <w:b w:val="0"/>
          <w:sz w:val="20"/>
          <w:szCs w:val="20"/>
        </w:rPr>
      </w:pPr>
      <w:r w:rsidRPr="005F120D">
        <w:rPr>
          <w:rFonts w:asciiTheme="minorHAnsi" w:hAnsiTheme="minorHAnsi" w:cstheme="minorHAnsi"/>
          <w:b w:val="0"/>
          <w:sz w:val="20"/>
          <w:szCs w:val="20"/>
        </w:rPr>
        <w:t>The PEDP3 revised Program Framework consists of 29 sub-components and their activity indicators. This annex summarizes, in table form, the progress as of March 2016 with respect to PEDP3 activities based on original AOP 2015–16, and which were not covered in the main sections.</w:t>
      </w:r>
    </w:p>
    <w:tbl>
      <w:tblPr>
        <w:tblStyle w:val="LightList-Accent3"/>
        <w:tblW w:w="5128" w:type="pct"/>
        <w:tblLook w:val="04A0"/>
      </w:tblPr>
      <w:tblGrid>
        <w:gridCol w:w="581"/>
        <w:gridCol w:w="4013"/>
        <w:gridCol w:w="1178"/>
        <w:gridCol w:w="945"/>
        <w:gridCol w:w="1041"/>
        <w:gridCol w:w="994"/>
        <w:gridCol w:w="756"/>
      </w:tblGrid>
      <w:tr w:rsidR="003F04EE" w:rsidRPr="005F120D" w:rsidTr="00F738CE">
        <w:trPr>
          <w:cnfStyle w:val="100000000000"/>
          <w:trHeight w:hRule="exact" w:val="1190"/>
          <w:tblHeader/>
        </w:trPr>
        <w:tc>
          <w:tcPr>
            <w:cnfStyle w:val="001000000000"/>
            <w:tcW w:w="2445" w:type="pct"/>
            <w:gridSpan w:val="2"/>
            <w:tcBorders>
              <w:top w:val="single" w:sz="8" w:space="0" w:color="9BBB59" w:themeColor="accent3"/>
              <w:bottom w:val="nil"/>
            </w:tcBorders>
            <w:shd w:val="clear" w:color="auto" w:fill="D6E3BC" w:themeFill="accent3" w:themeFillTint="66"/>
            <w:hideMark/>
          </w:tcPr>
          <w:p w:rsidR="003F04EE" w:rsidRPr="005F120D" w:rsidRDefault="003F04EE" w:rsidP="00B25E46">
            <w:pPr>
              <w:spacing w:after="0"/>
              <w:jc w:val="center"/>
              <w:rPr>
                <w:rFonts w:asciiTheme="minorHAnsi" w:hAnsiTheme="minorHAnsi" w:cstheme="minorHAnsi"/>
                <w:b w:val="0"/>
                <w:color w:val="auto"/>
                <w:sz w:val="18"/>
                <w:szCs w:val="18"/>
                <w:lang w:eastAsia="ja-JP"/>
              </w:rPr>
            </w:pPr>
            <w:r w:rsidRPr="005F120D">
              <w:rPr>
                <w:rFonts w:asciiTheme="minorHAnsi" w:hAnsiTheme="minorHAnsi" w:cstheme="minorHAnsi"/>
                <w:b w:val="0"/>
                <w:bCs w:val="0"/>
                <w:color w:val="auto"/>
                <w:sz w:val="18"/>
                <w:szCs w:val="18"/>
                <w:lang w:eastAsia="ja-JP"/>
              </w:rPr>
              <w:t xml:space="preserve">PEDP3 </w:t>
            </w:r>
            <w:r w:rsidRPr="005F120D">
              <w:rPr>
                <w:rFonts w:asciiTheme="minorHAnsi" w:hAnsiTheme="minorHAnsi" w:cstheme="minorHAnsi"/>
                <w:b w:val="0"/>
                <w:color w:val="auto"/>
                <w:sz w:val="18"/>
                <w:szCs w:val="18"/>
                <w:lang w:eastAsia="ja-JP"/>
              </w:rPr>
              <w:t>Sub-</w:t>
            </w:r>
            <w:r w:rsidRPr="005F120D">
              <w:rPr>
                <w:rFonts w:asciiTheme="minorHAnsi" w:hAnsiTheme="minorHAnsi" w:cstheme="minorHAnsi"/>
                <w:b w:val="0"/>
                <w:bCs w:val="0"/>
                <w:color w:val="auto"/>
                <w:sz w:val="18"/>
                <w:szCs w:val="18"/>
                <w:lang w:eastAsia="ja-JP"/>
              </w:rPr>
              <w:t>components</w:t>
            </w:r>
          </w:p>
        </w:tc>
        <w:tc>
          <w:tcPr>
            <w:tcW w:w="572" w:type="pct"/>
            <w:tcBorders>
              <w:top w:val="single" w:sz="8" w:space="0" w:color="9BBB59" w:themeColor="accent3"/>
              <w:bottom w:val="nil"/>
            </w:tcBorders>
            <w:shd w:val="clear" w:color="auto" w:fill="D6E3BC" w:themeFill="accent3" w:themeFillTint="66"/>
          </w:tcPr>
          <w:p w:rsidR="003F04EE" w:rsidRPr="005F120D" w:rsidRDefault="003F04EE" w:rsidP="00B25E46">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 xml:space="preserve">Total RDPP Cost (2011-2017) (Taka </w:t>
            </w:r>
            <w:r w:rsidR="00F738CE" w:rsidRPr="005F120D">
              <w:rPr>
                <w:rFonts w:asciiTheme="minorHAnsi" w:hAnsiTheme="minorHAnsi" w:cstheme="minorHAnsi"/>
                <w:b w:val="0"/>
                <w:color w:val="auto"/>
                <w:sz w:val="18"/>
                <w:szCs w:val="18"/>
                <w:lang w:eastAsia="ja-JP"/>
              </w:rPr>
              <w:t>Lac</w:t>
            </w:r>
            <w:r w:rsidRPr="005F120D">
              <w:rPr>
                <w:rFonts w:asciiTheme="minorHAnsi" w:hAnsiTheme="minorHAnsi" w:cstheme="minorHAnsi"/>
                <w:b w:val="0"/>
                <w:color w:val="auto"/>
                <w:sz w:val="18"/>
                <w:szCs w:val="18"/>
                <w:lang w:eastAsia="ja-JP"/>
              </w:rPr>
              <w:t>)</w:t>
            </w:r>
          </w:p>
        </w:tc>
        <w:tc>
          <w:tcPr>
            <w:tcW w:w="503" w:type="pct"/>
            <w:tcBorders>
              <w:top w:val="single" w:sz="8" w:space="0" w:color="9BBB59" w:themeColor="accent3"/>
              <w:bottom w:val="nil"/>
            </w:tcBorders>
            <w:shd w:val="clear" w:color="auto" w:fill="D6E3BC" w:themeFill="accent3" w:themeFillTint="66"/>
          </w:tcPr>
          <w:p w:rsidR="003F04EE" w:rsidRPr="005F120D" w:rsidRDefault="003F04EE" w:rsidP="00B25E46">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Revised AOP</w:t>
            </w:r>
          </w:p>
          <w:p w:rsidR="003F04EE" w:rsidRPr="005F120D" w:rsidRDefault="003F04EE" w:rsidP="00B25E46">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2014-15</w:t>
            </w:r>
          </w:p>
          <w:p w:rsidR="003F04EE" w:rsidRPr="005F120D" w:rsidRDefault="003F04EE" w:rsidP="00B25E46">
            <w:pPr>
              <w:spacing w:after="0"/>
              <w:jc w:val="center"/>
              <w:cnfStyle w:val="100000000000"/>
              <w:rPr>
                <w:rFonts w:asciiTheme="minorHAnsi" w:hAnsiTheme="minorHAnsi" w:cstheme="minorHAnsi"/>
                <w:color w:val="auto"/>
                <w:sz w:val="18"/>
                <w:szCs w:val="18"/>
                <w:lang w:eastAsia="ja-JP"/>
              </w:rPr>
            </w:pPr>
            <w:r w:rsidRPr="005F120D">
              <w:rPr>
                <w:rFonts w:asciiTheme="minorHAnsi" w:hAnsiTheme="minorHAnsi" w:cstheme="minorHAnsi"/>
                <w:b w:val="0"/>
                <w:color w:val="auto"/>
                <w:sz w:val="18"/>
                <w:szCs w:val="18"/>
                <w:lang w:eastAsia="ja-JP"/>
              </w:rPr>
              <w:t xml:space="preserve">(Taka </w:t>
            </w:r>
            <w:r w:rsidR="00F738CE" w:rsidRPr="005F120D">
              <w:rPr>
                <w:rFonts w:asciiTheme="minorHAnsi" w:hAnsiTheme="minorHAnsi" w:cstheme="minorHAnsi"/>
                <w:b w:val="0"/>
                <w:color w:val="auto"/>
                <w:sz w:val="18"/>
                <w:szCs w:val="18"/>
                <w:lang w:eastAsia="ja-JP"/>
              </w:rPr>
              <w:t>Lac</w:t>
            </w:r>
            <w:r w:rsidRPr="005F120D">
              <w:rPr>
                <w:rFonts w:asciiTheme="minorHAnsi" w:hAnsiTheme="minorHAnsi" w:cstheme="minorHAnsi"/>
                <w:b w:val="0"/>
                <w:color w:val="auto"/>
                <w:sz w:val="18"/>
                <w:szCs w:val="18"/>
                <w:lang w:eastAsia="ja-JP"/>
              </w:rPr>
              <w:t>)</w:t>
            </w:r>
          </w:p>
        </w:tc>
        <w:tc>
          <w:tcPr>
            <w:tcW w:w="547" w:type="pct"/>
            <w:tcBorders>
              <w:top w:val="single" w:sz="8" w:space="0" w:color="9BBB59" w:themeColor="accent3"/>
              <w:bottom w:val="nil"/>
            </w:tcBorders>
            <w:shd w:val="clear" w:color="auto" w:fill="D6E3BC" w:themeFill="accent3" w:themeFillTint="66"/>
          </w:tcPr>
          <w:p w:rsidR="003F04EE" w:rsidRPr="005F120D" w:rsidRDefault="003F04EE" w:rsidP="00B25E46">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Original AOP</w:t>
            </w:r>
          </w:p>
          <w:p w:rsidR="003F04EE" w:rsidRPr="005F120D" w:rsidRDefault="00C66430" w:rsidP="00B25E46">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2015-16</w:t>
            </w:r>
          </w:p>
          <w:p w:rsidR="003F04EE" w:rsidRPr="005F120D" w:rsidRDefault="003F04EE" w:rsidP="00B25E46">
            <w:pPr>
              <w:spacing w:after="0"/>
              <w:jc w:val="center"/>
              <w:cnfStyle w:val="100000000000"/>
              <w:rPr>
                <w:rFonts w:asciiTheme="minorHAnsi" w:hAnsiTheme="minorHAnsi" w:cstheme="minorHAnsi"/>
                <w:b w:val="0"/>
                <w:bCs w:val="0"/>
                <w:color w:val="auto"/>
                <w:sz w:val="18"/>
                <w:szCs w:val="18"/>
                <w:lang w:eastAsia="ja-JP"/>
              </w:rPr>
            </w:pPr>
            <w:r w:rsidRPr="005F120D">
              <w:rPr>
                <w:rFonts w:asciiTheme="minorHAnsi" w:hAnsiTheme="minorHAnsi" w:cstheme="minorHAnsi"/>
                <w:b w:val="0"/>
                <w:color w:val="auto"/>
                <w:sz w:val="18"/>
                <w:szCs w:val="18"/>
                <w:lang w:eastAsia="ja-JP"/>
              </w:rPr>
              <w:t xml:space="preserve">(Taka </w:t>
            </w:r>
            <w:r w:rsidR="00F738CE" w:rsidRPr="005F120D">
              <w:rPr>
                <w:rFonts w:asciiTheme="minorHAnsi" w:hAnsiTheme="minorHAnsi" w:cstheme="minorHAnsi"/>
                <w:b w:val="0"/>
                <w:color w:val="auto"/>
                <w:sz w:val="18"/>
                <w:szCs w:val="18"/>
                <w:lang w:eastAsia="ja-JP"/>
              </w:rPr>
              <w:t>Lac</w:t>
            </w:r>
            <w:r w:rsidRPr="005F120D">
              <w:rPr>
                <w:rFonts w:asciiTheme="minorHAnsi" w:hAnsiTheme="minorHAnsi" w:cstheme="minorHAnsi"/>
                <w:b w:val="0"/>
                <w:color w:val="auto"/>
                <w:sz w:val="18"/>
                <w:szCs w:val="18"/>
                <w:lang w:eastAsia="ja-JP"/>
              </w:rPr>
              <w:t>)</w:t>
            </w:r>
          </w:p>
        </w:tc>
        <w:tc>
          <w:tcPr>
            <w:tcW w:w="933" w:type="pct"/>
            <w:gridSpan w:val="2"/>
            <w:tcBorders>
              <w:top w:val="single" w:sz="8" w:space="0" w:color="9BBB59" w:themeColor="accent3"/>
              <w:bottom w:val="nil"/>
            </w:tcBorders>
            <w:shd w:val="clear" w:color="auto" w:fill="D6E3BC" w:themeFill="accent3" w:themeFillTint="66"/>
            <w:hideMark/>
          </w:tcPr>
          <w:p w:rsidR="003F04EE" w:rsidRPr="005F120D" w:rsidRDefault="00C66430" w:rsidP="00B25E46">
            <w:pPr>
              <w:spacing w:after="0"/>
              <w:jc w:val="center"/>
              <w:cnfStyle w:val="100000000000"/>
              <w:rPr>
                <w:rFonts w:asciiTheme="minorHAnsi" w:hAnsiTheme="minorHAnsi" w:cstheme="minorHAnsi"/>
                <w:b w:val="0"/>
                <w:bCs w:val="0"/>
                <w:color w:val="auto"/>
                <w:sz w:val="18"/>
                <w:szCs w:val="18"/>
                <w:lang w:eastAsia="ja-JP"/>
              </w:rPr>
            </w:pPr>
            <w:r w:rsidRPr="005F120D">
              <w:rPr>
                <w:rFonts w:asciiTheme="minorHAnsi" w:hAnsiTheme="minorHAnsi" w:cstheme="minorHAnsi"/>
                <w:b w:val="0"/>
                <w:bCs w:val="0"/>
                <w:color w:val="auto"/>
                <w:sz w:val="18"/>
                <w:szCs w:val="18"/>
                <w:lang w:eastAsia="ja-JP"/>
              </w:rPr>
              <w:t xml:space="preserve">Disbursement based on </w:t>
            </w:r>
            <w:r w:rsidR="003F04EE" w:rsidRPr="005F120D">
              <w:rPr>
                <w:rFonts w:asciiTheme="minorHAnsi" w:hAnsiTheme="minorHAnsi" w:cstheme="minorHAnsi"/>
                <w:b w:val="0"/>
                <w:bCs w:val="0"/>
                <w:color w:val="auto"/>
                <w:sz w:val="18"/>
                <w:szCs w:val="18"/>
                <w:lang w:eastAsia="ja-JP"/>
              </w:rPr>
              <w:t xml:space="preserve">AOP </w:t>
            </w:r>
            <w:r w:rsidRPr="005F120D">
              <w:rPr>
                <w:rFonts w:asciiTheme="minorHAnsi" w:hAnsiTheme="minorHAnsi" w:cstheme="minorHAnsi"/>
                <w:b w:val="0"/>
                <w:bCs w:val="0"/>
                <w:color w:val="auto"/>
                <w:sz w:val="18"/>
                <w:szCs w:val="18"/>
                <w:lang w:eastAsia="ja-JP"/>
              </w:rPr>
              <w:t>(Total &amp;</w:t>
            </w:r>
            <w:r w:rsidR="003F04EE" w:rsidRPr="005F120D">
              <w:rPr>
                <w:rFonts w:asciiTheme="minorHAnsi" w:hAnsiTheme="minorHAnsi" w:cstheme="minorHAnsi"/>
                <w:b w:val="0"/>
                <w:bCs w:val="0"/>
                <w:color w:val="auto"/>
                <w:sz w:val="18"/>
                <w:szCs w:val="18"/>
                <w:lang w:eastAsia="ja-JP"/>
              </w:rPr>
              <w:t>%</w:t>
            </w:r>
            <w:r w:rsidRPr="005F120D">
              <w:rPr>
                <w:rFonts w:asciiTheme="minorHAnsi" w:hAnsiTheme="minorHAnsi" w:cstheme="minorHAnsi"/>
                <w:b w:val="0"/>
                <w:bCs w:val="0"/>
                <w:color w:val="auto"/>
                <w:sz w:val="18"/>
                <w:szCs w:val="18"/>
                <w:lang w:eastAsia="ja-JP"/>
              </w:rPr>
              <w:t>)</w:t>
            </w:r>
          </w:p>
          <w:p w:rsidR="003F04EE" w:rsidRPr="005F120D" w:rsidRDefault="00C66430" w:rsidP="00B25E46">
            <w:pPr>
              <w:spacing w:after="0"/>
              <w:jc w:val="center"/>
              <w:cnfStyle w:val="100000000000"/>
              <w:rPr>
                <w:rFonts w:asciiTheme="minorHAnsi" w:hAnsiTheme="minorHAnsi" w:cstheme="minorHAnsi"/>
                <w:b w:val="0"/>
                <w:color w:val="auto"/>
                <w:sz w:val="18"/>
                <w:szCs w:val="18"/>
                <w:lang w:eastAsia="ja-JP"/>
              </w:rPr>
            </w:pPr>
            <w:r w:rsidRPr="005F120D">
              <w:rPr>
                <w:rFonts w:asciiTheme="minorHAnsi" w:hAnsiTheme="minorHAnsi" w:cstheme="minorHAnsi"/>
                <w:b w:val="0"/>
                <w:color w:val="auto"/>
                <w:sz w:val="18"/>
                <w:szCs w:val="18"/>
                <w:lang w:eastAsia="ja-JP"/>
              </w:rPr>
              <w:t>( up to March 2016</w:t>
            </w:r>
            <w:r w:rsidR="003F04EE" w:rsidRPr="005F120D">
              <w:rPr>
                <w:rFonts w:asciiTheme="minorHAnsi" w:hAnsiTheme="minorHAnsi" w:cstheme="minorHAnsi"/>
                <w:b w:val="0"/>
                <w:color w:val="auto"/>
                <w:sz w:val="18"/>
                <w:szCs w:val="18"/>
                <w:lang w:eastAsia="ja-JP"/>
              </w:rPr>
              <w:t>)</w:t>
            </w:r>
          </w:p>
        </w:tc>
      </w:tr>
      <w:tr w:rsidR="00C66430" w:rsidRPr="005F120D" w:rsidTr="00C66430">
        <w:trPr>
          <w:cnfStyle w:val="000000100000"/>
          <w:trHeight w:hRule="exact" w:val="234"/>
        </w:trPr>
        <w:tc>
          <w:tcPr>
            <w:cnfStyle w:val="001000000000"/>
            <w:tcW w:w="306" w:type="pct"/>
            <w:tcBorders>
              <w:top w:val="nil"/>
            </w:tcBorders>
            <w:noWrap/>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1.1</w:t>
            </w:r>
          </w:p>
        </w:tc>
        <w:tc>
          <w:tcPr>
            <w:tcW w:w="2138" w:type="pct"/>
            <w:tcBorders>
              <w:top w:val="nil"/>
            </w:tcBorders>
            <w:noWrap/>
            <w:hideMark/>
          </w:tcPr>
          <w:p w:rsidR="00C66430" w:rsidRPr="005F120D" w:rsidRDefault="00C66430"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Each Child Learns</w:t>
            </w:r>
          </w:p>
        </w:tc>
        <w:tc>
          <w:tcPr>
            <w:tcW w:w="572" w:type="pct"/>
            <w:tcBorders>
              <w:top w:val="nil"/>
            </w:tcBorders>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9,047.2</w:t>
            </w:r>
          </w:p>
        </w:tc>
        <w:tc>
          <w:tcPr>
            <w:tcW w:w="503" w:type="pct"/>
            <w:tcBorders>
              <w:top w:val="nil"/>
            </w:tcBorders>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1,100.02</w:t>
            </w:r>
          </w:p>
        </w:tc>
        <w:tc>
          <w:tcPr>
            <w:tcW w:w="547" w:type="pct"/>
            <w:tcBorders>
              <w:top w:val="nil"/>
            </w:tcBorders>
          </w:tcPr>
          <w:p w:rsidR="00C66430" w:rsidRPr="005F120D" w:rsidRDefault="00C66430" w:rsidP="00B25E46">
            <w:pPr>
              <w:spacing w:after="0"/>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1,186.61</w:t>
            </w:r>
          </w:p>
        </w:tc>
        <w:tc>
          <w:tcPr>
            <w:tcW w:w="552" w:type="pct"/>
            <w:tcBorders>
              <w:top w:val="nil"/>
            </w:tcBorders>
            <w:hideMark/>
          </w:tcPr>
          <w:p w:rsidR="00C66430" w:rsidRPr="005F120D" w:rsidRDefault="00C66430" w:rsidP="00B25E46">
            <w:pPr>
              <w:spacing w:after="0"/>
              <w:jc w:val="right"/>
              <w:cnfStyle w:val="000000100000"/>
              <w:rPr>
                <w:rFonts w:asciiTheme="minorHAnsi" w:hAnsiTheme="minorHAnsi" w:cstheme="minorHAnsi"/>
                <w:bCs/>
                <w:sz w:val="18"/>
                <w:szCs w:val="18"/>
              </w:rPr>
            </w:pPr>
            <w:r w:rsidRPr="005F120D">
              <w:rPr>
                <w:rFonts w:asciiTheme="minorHAnsi" w:hAnsiTheme="minorHAnsi" w:cstheme="minorHAnsi"/>
                <w:sz w:val="18"/>
                <w:szCs w:val="18"/>
                <w:lang w:eastAsia="ja-JP"/>
              </w:rPr>
              <w:t>268.79</w:t>
            </w:r>
          </w:p>
        </w:tc>
        <w:tc>
          <w:tcPr>
            <w:tcW w:w="381" w:type="pct"/>
            <w:tcBorders>
              <w:top w:val="nil"/>
            </w:tcBorders>
            <w:vAlign w:val="bottom"/>
            <w:hideMark/>
          </w:tcPr>
          <w:p w:rsidR="00C66430" w:rsidRPr="005F120D" w:rsidRDefault="001B4715"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22.7%</w:t>
            </w:r>
          </w:p>
        </w:tc>
      </w:tr>
      <w:tr w:rsidR="00C66430" w:rsidRPr="005F120D" w:rsidTr="00C66430">
        <w:trPr>
          <w:trHeight w:hRule="exact" w:val="432"/>
        </w:trPr>
        <w:tc>
          <w:tcPr>
            <w:cnfStyle w:val="001000000000"/>
            <w:tcW w:w="306" w:type="pct"/>
            <w:noWrap/>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1.2</w:t>
            </w:r>
          </w:p>
        </w:tc>
        <w:tc>
          <w:tcPr>
            <w:tcW w:w="2138" w:type="pct"/>
            <w:hideMark/>
          </w:tcPr>
          <w:p w:rsidR="00C66430" w:rsidRPr="005F120D" w:rsidRDefault="00C66430"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School and Classroom Based Assessment</w:t>
            </w:r>
          </w:p>
        </w:tc>
        <w:tc>
          <w:tcPr>
            <w:tcW w:w="572"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4,20.36</w:t>
            </w:r>
          </w:p>
        </w:tc>
        <w:tc>
          <w:tcPr>
            <w:tcW w:w="503"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115.00</w:t>
            </w:r>
          </w:p>
        </w:tc>
        <w:tc>
          <w:tcPr>
            <w:tcW w:w="547" w:type="pct"/>
          </w:tcPr>
          <w:p w:rsidR="00C66430" w:rsidRPr="005F120D" w:rsidRDefault="00C66430"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112.00</w:t>
            </w:r>
          </w:p>
        </w:tc>
        <w:tc>
          <w:tcPr>
            <w:tcW w:w="552" w:type="pct"/>
            <w:noWrap/>
            <w:hideMark/>
          </w:tcPr>
          <w:p w:rsidR="00C66430" w:rsidRPr="005F120D" w:rsidRDefault="00C66430"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381" w:type="pct"/>
            <w:vAlign w:val="bottom"/>
            <w:hideMark/>
          </w:tcPr>
          <w:p w:rsidR="00C66430" w:rsidRPr="005F120D" w:rsidRDefault="001B4715"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r>
      <w:tr w:rsidR="00C66430" w:rsidRPr="005F120D" w:rsidTr="00C66430">
        <w:trPr>
          <w:cnfStyle w:val="000000100000"/>
          <w:trHeight w:hRule="exact" w:val="432"/>
        </w:trPr>
        <w:tc>
          <w:tcPr>
            <w:cnfStyle w:val="001000000000"/>
            <w:tcW w:w="306" w:type="pct"/>
            <w:noWrap/>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1.3</w:t>
            </w:r>
          </w:p>
        </w:tc>
        <w:tc>
          <w:tcPr>
            <w:tcW w:w="2138" w:type="pct"/>
            <w:noWrap/>
            <w:hideMark/>
          </w:tcPr>
          <w:p w:rsidR="00C66430" w:rsidRPr="005F120D" w:rsidRDefault="00C66430"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Curriculum and Textbooks Strengthened</w:t>
            </w:r>
          </w:p>
        </w:tc>
        <w:tc>
          <w:tcPr>
            <w:tcW w:w="572"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26,288.42</w:t>
            </w:r>
          </w:p>
        </w:tc>
        <w:tc>
          <w:tcPr>
            <w:tcW w:w="503"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400.38</w:t>
            </w:r>
          </w:p>
        </w:tc>
        <w:tc>
          <w:tcPr>
            <w:tcW w:w="547" w:type="pct"/>
          </w:tcPr>
          <w:p w:rsidR="00C66430" w:rsidRPr="005F120D" w:rsidRDefault="00C66430"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rPr>
              <w:t>5,042.00</w:t>
            </w:r>
          </w:p>
        </w:tc>
        <w:tc>
          <w:tcPr>
            <w:tcW w:w="552" w:type="pct"/>
            <w:noWrap/>
            <w:hideMark/>
          </w:tcPr>
          <w:p w:rsidR="00C66430" w:rsidRPr="005F120D" w:rsidRDefault="00C66430"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lang w:eastAsia="ja-JP"/>
              </w:rPr>
              <w:t>2,771.80</w:t>
            </w:r>
          </w:p>
        </w:tc>
        <w:tc>
          <w:tcPr>
            <w:tcW w:w="381" w:type="pct"/>
            <w:vAlign w:val="bottom"/>
            <w:hideMark/>
          </w:tcPr>
          <w:p w:rsidR="00C66430" w:rsidRPr="005F120D" w:rsidRDefault="001B4715"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55%</w:t>
            </w:r>
          </w:p>
        </w:tc>
      </w:tr>
      <w:tr w:rsidR="00C66430" w:rsidRPr="005F120D" w:rsidTr="00C66430">
        <w:trPr>
          <w:trHeight w:hRule="exact" w:val="432"/>
        </w:trPr>
        <w:tc>
          <w:tcPr>
            <w:cnfStyle w:val="001000000000"/>
            <w:tcW w:w="306" w:type="pct"/>
            <w:noWrap/>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1.4</w:t>
            </w:r>
          </w:p>
        </w:tc>
        <w:tc>
          <w:tcPr>
            <w:tcW w:w="2138" w:type="pct"/>
            <w:noWrap/>
            <w:hideMark/>
          </w:tcPr>
          <w:p w:rsidR="00C66430" w:rsidRPr="005F120D" w:rsidRDefault="00C66430"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Production and Distribution of Textbooks</w:t>
            </w:r>
          </w:p>
        </w:tc>
        <w:tc>
          <w:tcPr>
            <w:tcW w:w="572"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8,002.53</w:t>
            </w:r>
          </w:p>
        </w:tc>
        <w:tc>
          <w:tcPr>
            <w:tcW w:w="503"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2,652.50</w:t>
            </w:r>
          </w:p>
        </w:tc>
        <w:tc>
          <w:tcPr>
            <w:tcW w:w="547" w:type="pct"/>
          </w:tcPr>
          <w:p w:rsidR="00C66430" w:rsidRPr="005F120D" w:rsidRDefault="00C66430"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3,550.00</w:t>
            </w:r>
          </w:p>
        </w:tc>
        <w:tc>
          <w:tcPr>
            <w:tcW w:w="552" w:type="pct"/>
            <w:noWrap/>
            <w:hideMark/>
          </w:tcPr>
          <w:p w:rsidR="00C66430" w:rsidRPr="005F120D" w:rsidRDefault="00C66430"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381" w:type="pct"/>
            <w:vAlign w:val="bottom"/>
            <w:hideMark/>
          </w:tcPr>
          <w:p w:rsidR="00C66430" w:rsidRPr="005F120D" w:rsidRDefault="001B4715"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r>
      <w:tr w:rsidR="00C66430" w:rsidRPr="005F120D" w:rsidTr="00C66430">
        <w:trPr>
          <w:cnfStyle w:val="000000100000"/>
          <w:trHeight w:hRule="exact" w:val="254"/>
        </w:trPr>
        <w:tc>
          <w:tcPr>
            <w:cnfStyle w:val="001000000000"/>
            <w:tcW w:w="306" w:type="pct"/>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1.5</w:t>
            </w:r>
          </w:p>
        </w:tc>
        <w:tc>
          <w:tcPr>
            <w:tcW w:w="2138" w:type="pct"/>
            <w:noWrap/>
            <w:hideMark/>
          </w:tcPr>
          <w:p w:rsidR="00C66430" w:rsidRPr="005F120D" w:rsidRDefault="00C66430"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ICT in Education</w:t>
            </w:r>
          </w:p>
        </w:tc>
        <w:tc>
          <w:tcPr>
            <w:tcW w:w="572"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97,762.66</w:t>
            </w:r>
          </w:p>
        </w:tc>
        <w:tc>
          <w:tcPr>
            <w:tcW w:w="503"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7,129.04</w:t>
            </w:r>
          </w:p>
        </w:tc>
        <w:tc>
          <w:tcPr>
            <w:tcW w:w="547" w:type="pct"/>
          </w:tcPr>
          <w:p w:rsidR="00C66430" w:rsidRPr="005F120D" w:rsidRDefault="00C66430"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18,011.44</w:t>
            </w:r>
          </w:p>
        </w:tc>
        <w:tc>
          <w:tcPr>
            <w:tcW w:w="552" w:type="pct"/>
            <w:hideMark/>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2726.45</w:t>
            </w:r>
          </w:p>
          <w:p w:rsidR="00C66430" w:rsidRPr="005F120D" w:rsidRDefault="00C66430" w:rsidP="00B25E46">
            <w:pPr>
              <w:spacing w:after="0"/>
              <w:jc w:val="right"/>
              <w:cnfStyle w:val="000000100000"/>
              <w:rPr>
                <w:rFonts w:asciiTheme="minorHAnsi" w:hAnsiTheme="minorHAnsi" w:cstheme="minorHAnsi"/>
                <w:sz w:val="18"/>
                <w:szCs w:val="18"/>
              </w:rPr>
            </w:pPr>
          </w:p>
        </w:tc>
        <w:tc>
          <w:tcPr>
            <w:tcW w:w="381" w:type="pct"/>
            <w:vAlign w:val="bottom"/>
            <w:hideMark/>
          </w:tcPr>
          <w:p w:rsidR="00C66430" w:rsidRPr="005F120D" w:rsidRDefault="001B4715"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15.1%</w:t>
            </w:r>
          </w:p>
        </w:tc>
      </w:tr>
      <w:tr w:rsidR="00C66430" w:rsidRPr="005F120D" w:rsidTr="00C21DC6">
        <w:trPr>
          <w:trHeight w:hRule="exact" w:val="344"/>
        </w:trPr>
        <w:tc>
          <w:tcPr>
            <w:cnfStyle w:val="001000000000"/>
            <w:tcW w:w="306" w:type="pct"/>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1.6</w:t>
            </w:r>
          </w:p>
        </w:tc>
        <w:tc>
          <w:tcPr>
            <w:tcW w:w="2138" w:type="pct"/>
            <w:hideMark/>
          </w:tcPr>
          <w:p w:rsidR="00C66430" w:rsidRPr="005F120D" w:rsidRDefault="00C66430"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Teacher education &amp; professional development</w:t>
            </w:r>
          </w:p>
        </w:tc>
        <w:tc>
          <w:tcPr>
            <w:tcW w:w="572"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115,219.74</w:t>
            </w:r>
          </w:p>
        </w:tc>
        <w:tc>
          <w:tcPr>
            <w:tcW w:w="503"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24,810.55</w:t>
            </w:r>
          </w:p>
        </w:tc>
        <w:tc>
          <w:tcPr>
            <w:tcW w:w="547" w:type="pct"/>
          </w:tcPr>
          <w:p w:rsidR="00C66430" w:rsidRPr="005F120D" w:rsidRDefault="00C66430"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bCs/>
                <w:sz w:val="18"/>
                <w:szCs w:val="18"/>
              </w:rPr>
              <w:t>20,430.51</w:t>
            </w:r>
          </w:p>
        </w:tc>
        <w:tc>
          <w:tcPr>
            <w:tcW w:w="552" w:type="pct"/>
            <w:hideMark/>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8,471.86</w:t>
            </w:r>
          </w:p>
          <w:p w:rsidR="00C66430" w:rsidRPr="005F120D" w:rsidRDefault="00C66430" w:rsidP="00B25E46">
            <w:pPr>
              <w:spacing w:after="0"/>
              <w:jc w:val="right"/>
              <w:cnfStyle w:val="000000000000"/>
              <w:rPr>
                <w:rFonts w:asciiTheme="minorHAnsi" w:hAnsiTheme="minorHAnsi" w:cstheme="minorHAnsi"/>
                <w:bCs/>
                <w:sz w:val="18"/>
                <w:szCs w:val="18"/>
              </w:rPr>
            </w:pPr>
          </w:p>
        </w:tc>
        <w:tc>
          <w:tcPr>
            <w:tcW w:w="381" w:type="pct"/>
            <w:vAlign w:val="bottom"/>
            <w:hideMark/>
          </w:tcPr>
          <w:p w:rsidR="00C66430" w:rsidRPr="005F120D" w:rsidRDefault="001B4715"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41.5%</w:t>
            </w:r>
          </w:p>
        </w:tc>
      </w:tr>
      <w:tr w:rsidR="00C66430" w:rsidRPr="005F120D" w:rsidTr="00C66430">
        <w:trPr>
          <w:cnfStyle w:val="000000100000"/>
          <w:trHeight w:hRule="exact" w:val="432"/>
        </w:trPr>
        <w:tc>
          <w:tcPr>
            <w:cnfStyle w:val="001000000000"/>
            <w:tcW w:w="306" w:type="pct"/>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2.1.1</w:t>
            </w:r>
          </w:p>
        </w:tc>
        <w:tc>
          <w:tcPr>
            <w:tcW w:w="2138" w:type="pct"/>
            <w:noWrap/>
            <w:hideMark/>
          </w:tcPr>
          <w:p w:rsidR="00C66430" w:rsidRPr="005F120D" w:rsidRDefault="00C66430"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Second Chance and Alternative Education</w:t>
            </w:r>
          </w:p>
        </w:tc>
        <w:tc>
          <w:tcPr>
            <w:tcW w:w="572"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18,827.62</w:t>
            </w:r>
          </w:p>
        </w:tc>
        <w:tc>
          <w:tcPr>
            <w:tcW w:w="503"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30.00</w:t>
            </w:r>
          </w:p>
        </w:tc>
        <w:tc>
          <w:tcPr>
            <w:tcW w:w="547" w:type="pct"/>
          </w:tcPr>
          <w:p w:rsidR="00C66430" w:rsidRPr="005F120D" w:rsidRDefault="00C66430" w:rsidP="00B25E46">
            <w:pPr>
              <w:spacing w:after="0"/>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2</w:t>
            </w:r>
            <w:r w:rsidR="001B4715" w:rsidRPr="005F120D">
              <w:rPr>
                <w:rFonts w:asciiTheme="minorHAnsi" w:hAnsiTheme="minorHAnsi" w:cstheme="minorHAnsi"/>
                <w:bCs/>
                <w:sz w:val="18"/>
                <w:szCs w:val="18"/>
              </w:rPr>
              <w:t>,</w:t>
            </w:r>
            <w:r w:rsidRPr="005F120D">
              <w:rPr>
                <w:rFonts w:asciiTheme="minorHAnsi" w:hAnsiTheme="minorHAnsi" w:cstheme="minorHAnsi"/>
                <w:bCs/>
                <w:sz w:val="18"/>
                <w:szCs w:val="18"/>
              </w:rPr>
              <w:t>958.62</w:t>
            </w:r>
          </w:p>
        </w:tc>
        <w:tc>
          <w:tcPr>
            <w:tcW w:w="552" w:type="pct"/>
            <w:hideMark/>
          </w:tcPr>
          <w:p w:rsidR="00C66430" w:rsidRPr="005F120D" w:rsidRDefault="00C66430"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lang w:eastAsia="ja-JP"/>
              </w:rPr>
              <w:t>25.63</w:t>
            </w:r>
          </w:p>
        </w:tc>
        <w:tc>
          <w:tcPr>
            <w:tcW w:w="381" w:type="pct"/>
            <w:vAlign w:val="bottom"/>
            <w:hideMark/>
          </w:tcPr>
          <w:p w:rsidR="00C66430" w:rsidRPr="005F120D" w:rsidRDefault="001B4715"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0.9%</w:t>
            </w:r>
          </w:p>
        </w:tc>
      </w:tr>
      <w:tr w:rsidR="00C66430" w:rsidRPr="005F120D" w:rsidTr="00C66430">
        <w:trPr>
          <w:trHeight w:hRule="exact" w:val="299"/>
        </w:trPr>
        <w:tc>
          <w:tcPr>
            <w:cnfStyle w:val="001000000000"/>
            <w:tcW w:w="306" w:type="pct"/>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2.1.2</w:t>
            </w:r>
          </w:p>
        </w:tc>
        <w:tc>
          <w:tcPr>
            <w:tcW w:w="2138" w:type="pct"/>
            <w:noWrap/>
            <w:hideMark/>
          </w:tcPr>
          <w:p w:rsidR="00C66430" w:rsidRPr="005F120D" w:rsidRDefault="00C66430"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Pre-Primary Education</w:t>
            </w:r>
          </w:p>
        </w:tc>
        <w:tc>
          <w:tcPr>
            <w:tcW w:w="572"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195,425.84</w:t>
            </w:r>
          </w:p>
        </w:tc>
        <w:tc>
          <w:tcPr>
            <w:tcW w:w="503"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53,372.16</w:t>
            </w:r>
          </w:p>
        </w:tc>
        <w:tc>
          <w:tcPr>
            <w:tcW w:w="547" w:type="pct"/>
          </w:tcPr>
          <w:p w:rsidR="00C66430" w:rsidRPr="005F120D" w:rsidRDefault="00C66430" w:rsidP="00B25E46">
            <w:pPr>
              <w:spacing w:after="0"/>
              <w:jc w:val="right"/>
              <w:cnfStyle w:val="000000000000"/>
              <w:rPr>
                <w:rFonts w:asciiTheme="minorHAnsi" w:hAnsiTheme="minorHAnsi" w:cstheme="minorHAnsi"/>
                <w:bCs/>
                <w:sz w:val="18"/>
                <w:szCs w:val="18"/>
              </w:rPr>
            </w:pPr>
            <w:r w:rsidRPr="005F120D">
              <w:rPr>
                <w:rFonts w:asciiTheme="minorHAnsi" w:hAnsiTheme="minorHAnsi" w:cstheme="minorHAnsi"/>
                <w:bCs/>
                <w:sz w:val="18"/>
                <w:szCs w:val="18"/>
              </w:rPr>
              <w:t>53,306.48</w:t>
            </w:r>
          </w:p>
          <w:p w:rsidR="00C66430" w:rsidRPr="005F120D" w:rsidRDefault="00C66430" w:rsidP="00B25E46">
            <w:pPr>
              <w:spacing w:after="0"/>
              <w:jc w:val="right"/>
              <w:cnfStyle w:val="000000000000"/>
              <w:rPr>
                <w:rFonts w:asciiTheme="minorHAnsi" w:hAnsiTheme="minorHAnsi" w:cstheme="minorHAnsi"/>
                <w:sz w:val="18"/>
                <w:szCs w:val="18"/>
              </w:rPr>
            </w:pPr>
          </w:p>
        </w:tc>
        <w:tc>
          <w:tcPr>
            <w:tcW w:w="552" w:type="pct"/>
            <w:hideMark/>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31,505.74</w:t>
            </w:r>
          </w:p>
          <w:p w:rsidR="00C66430" w:rsidRPr="005F120D" w:rsidRDefault="00C66430" w:rsidP="00B25E46">
            <w:pPr>
              <w:spacing w:after="0"/>
              <w:jc w:val="right"/>
              <w:cnfStyle w:val="000000000000"/>
              <w:rPr>
                <w:rFonts w:asciiTheme="minorHAnsi" w:hAnsiTheme="minorHAnsi" w:cstheme="minorHAnsi"/>
                <w:sz w:val="18"/>
                <w:szCs w:val="18"/>
              </w:rPr>
            </w:pPr>
          </w:p>
        </w:tc>
        <w:tc>
          <w:tcPr>
            <w:tcW w:w="381" w:type="pct"/>
            <w:vAlign w:val="bottom"/>
            <w:hideMark/>
          </w:tcPr>
          <w:p w:rsidR="00C66430" w:rsidRPr="005F120D" w:rsidRDefault="00392F0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59.1%</w:t>
            </w:r>
          </w:p>
        </w:tc>
      </w:tr>
      <w:tr w:rsidR="00C66430" w:rsidRPr="005F120D" w:rsidTr="00C66430">
        <w:trPr>
          <w:cnfStyle w:val="000000100000"/>
          <w:trHeight w:hRule="exact" w:val="272"/>
        </w:trPr>
        <w:tc>
          <w:tcPr>
            <w:cnfStyle w:val="001000000000"/>
            <w:tcW w:w="306" w:type="pct"/>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2.1.3</w:t>
            </w:r>
          </w:p>
        </w:tc>
        <w:tc>
          <w:tcPr>
            <w:tcW w:w="2138" w:type="pct"/>
            <w:noWrap/>
            <w:hideMark/>
          </w:tcPr>
          <w:p w:rsidR="00C66430" w:rsidRPr="005F120D" w:rsidRDefault="00C66430"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Mainstreaming Inclusive Education</w:t>
            </w:r>
          </w:p>
        </w:tc>
        <w:tc>
          <w:tcPr>
            <w:tcW w:w="572"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2,500.84</w:t>
            </w:r>
          </w:p>
        </w:tc>
        <w:tc>
          <w:tcPr>
            <w:tcW w:w="503"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1,178.48</w:t>
            </w:r>
          </w:p>
        </w:tc>
        <w:tc>
          <w:tcPr>
            <w:tcW w:w="547" w:type="pct"/>
          </w:tcPr>
          <w:p w:rsidR="00C66430" w:rsidRPr="005F120D" w:rsidRDefault="00C66430" w:rsidP="00B25E46">
            <w:pPr>
              <w:spacing w:after="0"/>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1,226.02</w:t>
            </w:r>
          </w:p>
          <w:p w:rsidR="00C66430" w:rsidRPr="005F120D" w:rsidRDefault="00C66430" w:rsidP="00B25E46">
            <w:pPr>
              <w:spacing w:after="0"/>
              <w:jc w:val="right"/>
              <w:cnfStyle w:val="000000100000"/>
              <w:rPr>
                <w:rFonts w:asciiTheme="minorHAnsi" w:hAnsiTheme="minorHAnsi" w:cstheme="minorHAnsi"/>
                <w:sz w:val="18"/>
                <w:szCs w:val="18"/>
              </w:rPr>
            </w:pPr>
          </w:p>
        </w:tc>
        <w:tc>
          <w:tcPr>
            <w:tcW w:w="552" w:type="pct"/>
            <w:hideMark/>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64.86</w:t>
            </w:r>
          </w:p>
        </w:tc>
        <w:tc>
          <w:tcPr>
            <w:tcW w:w="381" w:type="pct"/>
            <w:vAlign w:val="bottom"/>
            <w:hideMark/>
          </w:tcPr>
          <w:p w:rsidR="00C66430" w:rsidRPr="005F120D" w:rsidRDefault="00392F09"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5.3%</w:t>
            </w:r>
          </w:p>
        </w:tc>
      </w:tr>
      <w:tr w:rsidR="00C66430" w:rsidRPr="005F120D" w:rsidTr="00C66430">
        <w:trPr>
          <w:trHeight w:hRule="exact" w:val="272"/>
        </w:trPr>
        <w:tc>
          <w:tcPr>
            <w:cnfStyle w:val="001000000000"/>
            <w:tcW w:w="306" w:type="pct"/>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2.1.4</w:t>
            </w:r>
          </w:p>
        </w:tc>
        <w:tc>
          <w:tcPr>
            <w:tcW w:w="2138" w:type="pct"/>
            <w:noWrap/>
            <w:hideMark/>
          </w:tcPr>
          <w:p w:rsidR="00C66430" w:rsidRPr="005F120D" w:rsidRDefault="00C66430"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Education in Emergencies</w:t>
            </w:r>
          </w:p>
        </w:tc>
        <w:tc>
          <w:tcPr>
            <w:tcW w:w="572"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156,122.20</w:t>
            </w:r>
          </w:p>
        </w:tc>
        <w:tc>
          <w:tcPr>
            <w:tcW w:w="503"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500.43</w:t>
            </w:r>
          </w:p>
        </w:tc>
        <w:tc>
          <w:tcPr>
            <w:tcW w:w="547" w:type="pct"/>
          </w:tcPr>
          <w:p w:rsidR="00C66430" w:rsidRPr="005F120D" w:rsidRDefault="00C66430"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10,866.39</w:t>
            </w:r>
          </w:p>
        </w:tc>
        <w:tc>
          <w:tcPr>
            <w:tcW w:w="552" w:type="pct"/>
            <w:hideMark/>
          </w:tcPr>
          <w:p w:rsidR="00C66430" w:rsidRPr="005F120D" w:rsidRDefault="00392F09"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381" w:type="pct"/>
            <w:vAlign w:val="bottom"/>
            <w:hideMark/>
          </w:tcPr>
          <w:p w:rsidR="00C66430" w:rsidRPr="005F120D" w:rsidRDefault="00392F0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r>
      <w:tr w:rsidR="00C66430" w:rsidRPr="005F120D" w:rsidTr="00C66430">
        <w:trPr>
          <w:cnfStyle w:val="000000100000"/>
          <w:trHeight w:hRule="exact" w:val="432"/>
        </w:trPr>
        <w:tc>
          <w:tcPr>
            <w:cnfStyle w:val="001000000000"/>
            <w:tcW w:w="306" w:type="pct"/>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2.1.5</w:t>
            </w:r>
          </w:p>
        </w:tc>
        <w:tc>
          <w:tcPr>
            <w:tcW w:w="2138" w:type="pct"/>
            <w:noWrap/>
            <w:hideMark/>
          </w:tcPr>
          <w:p w:rsidR="00C66430" w:rsidRPr="005F120D" w:rsidRDefault="00C66430"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Communication and Social Mobilization</w:t>
            </w:r>
          </w:p>
        </w:tc>
        <w:tc>
          <w:tcPr>
            <w:tcW w:w="572"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14,610.16</w:t>
            </w:r>
          </w:p>
        </w:tc>
        <w:tc>
          <w:tcPr>
            <w:tcW w:w="503"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2,509.75</w:t>
            </w:r>
          </w:p>
        </w:tc>
        <w:tc>
          <w:tcPr>
            <w:tcW w:w="547" w:type="pct"/>
          </w:tcPr>
          <w:p w:rsidR="00C66430" w:rsidRPr="005F120D" w:rsidRDefault="00C66430" w:rsidP="00B25E46">
            <w:pPr>
              <w:spacing w:after="0"/>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2,926.27</w:t>
            </w:r>
          </w:p>
          <w:p w:rsidR="00C66430" w:rsidRPr="005F120D" w:rsidRDefault="00C66430" w:rsidP="00B25E46">
            <w:pPr>
              <w:spacing w:after="0"/>
              <w:jc w:val="right"/>
              <w:cnfStyle w:val="000000100000"/>
              <w:rPr>
                <w:rFonts w:asciiTheme="minorHAnsi" w:hAnsiTheme="minorHAnsi" w:cstheme="minorHAnsi"/>
                <w:sz w:val="18"/>
                <w:szCs w:val="18"/>
              </w:rPr>
            </w:pPr>
          </w:p>
        </w:tc>
        <w:tc>
          <w:tcPr>
            <w:tcW w:w="552" w:type="pct"/>
            <w:hideMark/>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475.52</w:t>
            </w:r>
          </w:p>
          <w:p w:rsidR="00C66430" w:rsidRPr="005F120D" w:rsidRDefault="00C66430" w:rsidP="00B25E46">
            <w:pPr>
              <w:spacing w:after="0"/>
              <w:jc w:val="right"/>
              <w:cnfStyle w:val="000000100000"/>
              <w:rPr>
                <w:rFonts w:asciiTheme="minorHAnsi" w:hAnsiTheme="minorHAnsi" w:cstheme="minorHAnsi"/>
                <w:sz w:val="18"/>
                <w:szCs w:val="18"/>
              </w:rPr>
            </w:pPr>
          </w:p>
        </w:tc>
        <w:tc>
          <w:tcPr>
            <w:tcW w:w="381" w:type="pct"/>
            <w:vAlign w:val="bottom"/>
            <w:hideMark/>
          </w:tcPr>
          <w:p w:rsidR="00C66430" w:rsidRPr="005F120D" w:rsidRDefault="00392F09"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16.3%</w:t>
            </w:r>
          </w:p>
        </w:tc>
      </w:tr>
      <w:tr w:rsidR="00C66430" w:rsidRPr="005F120D" w:rsidTr="00C66430">
        <w:trPr>
          <w:trHeight w:hRule="exact" w:val="290"/>
        </w:trPr>
        <w:tc>
          <w:tcPr>
            <w:cnfStyle w:val="001000000000"/>
            <w:tcW w:w="306" w:type="pct"/>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2.2.1</w:t>
            </w:r>
          </w:p>
        </w:tc>
        <w:tc>
          <w:tcPr>
            <w:tcW w:w="2138" w:type="pct"/>
            <w:noWrap/>
            <w:hideMark/>
          </w:tcPr>
          <w:p w:rsidR="00C66430" w:rsidRPr="005F120D" w:rsidRDefault="00C66430"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Targeted Stipend</w:t>
            </w:r>
          </w:p>
        </w:tc>
        <w:tc>
          <w:tcPr>
            <w:tcW w:w="572"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503"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547"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552" w:type="pct"/>
            <w:hideMark/>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381" w:type="pct"/>
            <w:vAlign w:val="bottom"/>
            <w:hideMark/>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r>
      <w:tr w:rsidR="00C66430" w:rsidRPr="005F120D" w:rsidTr="00C66430">
        <w:trPr>
          <w:cnfStyle w:val="000000100000"/>
          <w:trHeight w:hRule="exact" w:val="272"/>
        </w:trPr>
        <w:tc>
          <w:tcPr>
            <w:cnfStyle w:val="001000000000"/>
            <w:tcW w:w="306" w:type="pct"/>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2.2.2</w:t>
            </w:r>
          </w:p>
        </w:tc>
        <w:tc>
          <w:tcPr>
            <w:tcW w:w="2138" w:type="pct"/>
            <w:noWrap/>
            <w:hideMark/>
          </w:tcPr>
          <w:p w:rsidR="00C66430" w:rsidRPr="005F120D" w:rsidRDefault="00C66430"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School Health &amp; School Feeding</w:t>
            </w:r>
          </w:p>
        </w:tc>
        <w:tc>
          <w:tcPr>
            <w:tcW w:w="572"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1,545.45</w:t>
            </w:r>
          </w:p>
        </w:tc>
        <w:tc>
          <w:tcPr>
            <w:tcW w:w="503" w:type="pct"/>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528.07</w:t>
            </w:r>
          </w:p>
        </w:tc>
        <w:tc>
          <w:tcPr>
            <w:tcW w:w="547" w:type="pct"/>
          </w:tcPr>
          <w:p w:rsidR="00C66430" w:rsidRPr="005F120D" w:rsidRDefault="00C66430"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270.00</w:t>
            </w:r>
          </w:p>
        </w:tc>
        <w:tc>
          <w:tcPr>
            <w:tcW w:w="552" w:type="pct"/>
            <w:hideMark/>
          </w:tcPr>
          <w:p w:rsidR="00C66430" w:rsidRPr="005F120D" w:rsidRDefault="00392F09"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rPr>
              <w:t>-</w:t>
            </w:r>
          </w:p>
        </w:tc>
        <w:tc>
          <w:tcPr>
            <w:tcW w:w="381" w:type="pct"/>
            <w:vAlign w:val="bottom"/>
            <w:hideMark/>
          </w:tcPr>
          <w:p w:rsidR="00C66430" w:rsidRPr="005F120D" w:rsidRDefault="00392F09"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w:t>
            </w:r>
          </w:p>
        </w:tc>
      </w:tr>
      <w:tr w:rsidR="00C66430" w:rsidRPr="005F120D" w:rsidTr="00C66430">
        <w:trPr>
          <w:trHeight w:hRule="exact" w:val="272"/>
        </w:trPr>
        <w:tc>
          <w:tcPr>
            <w:cnfStyle w:val="001000000000"/>
            <w:tcW w:w="306" w:type="pct"/>
            <w:hideMark/>
          </w:tcPr>
          <w:p w:rsidR="00C66430" w:rsidRPr="005F120D" w:rsidRDefault="00C66430"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2.2.3</w:t>
            </w:r>
          </w:p>
        </w:tc>
        <w:tc>
          <w:tcPr>
            <w:tcW w:w="2138" w:type="pct"/>
            <w:noWrap/>
            <w:hideMark/>
          </w:tcPr>
          <w:p w:rsidR="00C66430" w:rsidRPr="005F120D" w:rsidRDefault="00C66430"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School Physical Environment</w:t>
            </w:r>
          </w:p>
        </w:tc>
        <w:tc>
          <w:tcPr>
            <w:tcW w:w="572"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187,783.34</w:t>
            </w:r>
          </w:p>
        </w:tc>
        <w:tc>
          <w:tcPr>
            <w:tcW w:w="503" w:type="pct"/>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46,686.61</w:t>
            </w:r>
          </w:p>
        </w:tc>
        <w:tc>
          <w:tcPr>
            <w:tcW w:w="547" w:type="pct"/>
          </w:tcPr>
          <w:p w:rsidR="00C66430" w:rsidRPr="005F120D" w:rsidRDefault="00C66430" w:rsidP="00B25E46">
            <w:pPr>
              <w:spacing w:after="0"/>
              <w:jc w:val="right"/>
              <w:cnfStyle w:val="000000000000"/>
              <w:rPr>
                <w:rFonts w:asciiTheme="minorHAnsi" w:hAnsiTheme="minorHAnsi" w:cstheme="minorHAnsi"/>
                <w:bCs/>
                <w:sz w:val="18"/>
                <w:szCs w:val="18"/>
              </w:rPr>
            </w:pPr>
            <w:r w:rsidRPr="005F120D">
              <w:rPr>
                <w:rFonts w:asciiTheme="minorHAnsi" w:hAnsiTheme="minorHAnsi" w:cstheme="minorHAnsi"/>
                <w:bCs/>
                <w:sz w:val="18"/>
                <w:szCs w:val="18"/>
              </w:rPr>
              <w:t>60,594.70</w:t>
            </w:r>
          </w:p>
          <w:p w:rsidR="00C66430" w:rsidRPr="005F120D" w:rsidRDefault="00C66430" w:rsidP="00B25E46">
            <w:pPr>
              <w:spacing w:after="0"/>
              <w:jc w:val="right"/>
              <w:cnfStyle w:val="000000000000"/>
              <w:rPr>
                <w:rFonts w:asciiTheme="minorHAnsi" w:hAnsiTheme="minorHAnsi" w:cstheme="minorHAnsi"/>
                <w:sz w:val="18"/>
                <w:szCs w:val="18"/>
              </w:rPr>
            </w:pPr>
          </w:p>
        </w:tc>
        <w:tc>
          <w:tcPr>
            <w:tcW w:w="552" w:type="pct"/>
            <w:hideMark/>
          </w:tcPr>
          <w:p w:rsidR="00C66430" w:rsidRPr="005F120D" w:rsidRDefault="00C66430"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34,100.00</w:t>
            </w:r>
          </w:p>
          <w:p w:rsidR="00C66430" w:rsidRPr="005F120D" w:rsidRDefault="00C66430" w:rsidP="00B25E46">
            <w:pPr>
              <w:spacing w:after="0"/>
              <w:jc w:val="right"/>
              <w:cnfStyle w:val="000000000000"/>
              <w:rPr>
                <w:rFonts w:asciiTheme="minorHAnsi" w:hAnsiTheme="minorHAnsi" w:cstheme="minorHAnsi"/>
                <w:sz w:val="18"/>
                <w:szCs w:val="18"/>
              </w:rPr>
            </w:pPr>
          </w:p>
        </w:tc>
        <w:tc>
          <w:tcPr>
            <w:tcW w:w="381" w:type="pct"/>
            <w:vAlign w:val="bottom"/>
            <w:hideMark/>
          </w:tcPr>
          <w:p w:rsidR="00C66430" w:rsidRPr="005F120D" w:rsidRDefault="00392F0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56.3%</w:t>
            </w:r>
          </w:p>
        </w:tc>
      </w:tr>
      <w:tr w:rsidR="00C66430" w:rsidRPr="005F120D" w:rsidTr="00C66430">
        <w:trPr>
          <w:cnfStyle w:val="000000100000"/>
          <w:trHeight w:hRule="exact" w:val="432"/>
        </w:trPr>
        <w:tc>
          <w:tcPr>
            <w:cnfStyle w:val="001000000000"/>
            <w:tcW w:w="306" w:type="pct"/>
            <w:hideMark/>
          </w:tcPr>
          <w:p w:rsidR="00C66430" w:rsidRPr="005F120D" w:rsidRDefault="00C66430" w:rsidP="00B25E46">
            <w:pPr>
              <w:spacing w:after="0"/>
              <w:jc w:val="center"/>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2.2.4</w:t>
            </w:r>
          </w:p>
        </w:tc>
        <w:tc>
          <w:tcPr>
            <w:tcW w:w="2138" w:type="pct"/>
            <w:noWrap/>
            <w:hideMark/>
          </w:tcPr>
          <w:p w:rsidR="00C66430" w:rsidRPr="005F120D" w:rsidRDefault="00C66430"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Need Based Infrastructure Development</w:t>
            </w:r>
          </w:p>
        </w:tc>
        <w:tc>
          <w:tcPr>
            <w:tcW w:w="572" w:type="pct"/>
          </w:tcPr>
          <w:p w:rsidR="00C66430" w:rsidRPr="005F120D" w:rsidRDefault="00C66430" w:rsidP="00B25E46">
            <w:pPr>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700,726.89</w:t>
            </w:r>
          </w:p>
        </w:tc>
        <w:tc>
          <w:tcPr>
            <w:tcW w:w="503" w:type="pct"/>
          </w:tcPr>
          <w:p w:rsidR="00C66430" w:rsidRPr="005F120D" w:rsidRDefault="00C66430" w:rsidP="00B25E46">
            <w:pPr>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110,610.8</w:t>
            </w:r>
          </w:p>
        </w:tc>
        <w:tc>
          <w:tcPr>
            <w:tcW w:w="547" w:type="pct"/>
          </w:tcPr>
          <w:p w:rsidR="00C66430" w:rsidRPr="005F120D" w:rsidRDefault="00C66430" w:rsidP="00B25E46">
            <w:pPr>
              <w:spacing w:after="0"/>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134,757.90</w:t>
            </w:r>
          </w:p>
          <w:p w:rsidR="00C66430" w:rsidRPr="005F120D" w:rsidRDefault="00C66430" w:rsidP="00B25E46">
            <w:pPr>
              <w:spacing w:after="0"/>
              <w:jc w:val="right"/>
              <w:cnfStyle w:val="000000100000"/>
              <w:rPr>
                <w:rFonts w:asciiTheme="minorHAnsi" w:hAnsiTheme="minorHAnsi" w:cstheme="minorHAnsi"/>
                <w:sz w:val="18"/>
                <w:szCs w:val="18"/>
              </w:rPr>
            </w:pPr>
          </w:p>
        </w:tc>
        <w:tc>
          <w:tcPr>
            <w:tcW w:w="552" w:type="pct"/>
            <w:hideMark/>
          </w:tcPr>
          <w:p w:rsidR="00C66430" w:rsidRPr="005F120D" w:rsidRDefault="00C66430"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62,350.00</w:t>
            </w:r>
          </w:p>
          <w:p w:rsidR="00C66430" w:rsidRPr="005F120D" w:rsidRDefault="00C66430" w:rsidP="00B25E46">
            <w:pPr>
              <w:spacing w:after="0"/>
              <w:jc w:val="right"/>
              <w:cnfStyle w:val="000000100000"/>
              <w:rPr>
                <w:rFonts w:asciiTheme="minorHAnsi" w:hAnsiTheme="minorHAnsi" w:cstheme="minorHAnsi"/>
                <w:sz w:val="18"/>
                <w:szCs w:val="18"/>
              </w:rPr>
            </w:pPr>
          </w:p>
        </w:tc>
        <w:tc>
          <w:tcPr>
            <w:tcW w:w="381" w:type="pct"/>
            <w:hideMark/>
          </w:tcPr>
          <w:p w:rsidR="00C66430" w:rsidRPr="005F120D" w:rsidRDefault="00392F09" w:rsidP="00B25E46">
            <w:pPr>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46.3%</w:t>
            </w:r>
          </w:p>
        </w:tc>
      </w:tr>
      <w:tr w:rsidR="00647F58" w:rsidRPr="005F120D" w:rsidTr="00647F58">
        <w:trPr>
          <w:trHeight w:hRule="exact" w:val="281"/>
        </w:trPr>
        <w:tc>
          <w:tcPr>
            <w:cnfStyle w:val="001000000000"/>
            <w:tcW w:w="306" w:type="pct"/>
            <w:hideMark/>
          </w:tcPr>
          <w:p w:rsidR="00647F58" w:rsidRPr="005F120D" w:rsidRDefault="00647F58"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3.1.1</w:t>
            </w:r>
          </w:p>
        </w:tc>
        <w:tc>
          <w:tcPr>
            <w:tcW w:w="2138" w:type="pct"/>
            <w:noWrap/>
            <w:hideMark/>
          </w:tcPr>
          <w:p w:rsidR="00647F58" w:rsidRPr="005F120D" w:rsidRDefault="00647F58"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Field- Level Offices Strengthened</w:t>
            </w:r>
          </w:p>
        </w:tc>
        <w:tc>
          <w:tcPr>
            <w:tcW w:w="572" w:type="pct"/>
          </w:tcPr>
          <w:p w:rsidR="00647F58" w:rsidRPr="005F120D" w:rsidRDefault="00647F58"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54,956.42</w:t>
            </w:r>
          </w:p>
        </w:tc>
        <w:tc>
          <w:tcPr>
            <w:tcW w:w="503" w:type="pct"/>
          </w:tcPr>
          <w:p w:rsidR="00647F58" w:rsidRPr="005F120D" w:rsidRDefault="00647F58"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5,650.31</w:t>
            </w:r>
          </w:p>
        </w:tc>
        <w:tc>
          <w:tcPr>
            <w:tcW w:w="547" w:type="pct"/>
          </w:tcPr>
          <w:p w:rsidR="00647F58" w:rsidRPr="005F120D" w:rsidRDefault="00647F58" w:rsidP="00B25E46">
            <w:pPr>
              <w:jc w:val="right"/>
              <w:cnfStyle w:val="000000000000"/>
              <w:rPr>
                <w:rFonts w:asciiTheme="minorHAnsi" w:hAnsiTheme="minorHAnsi" w:cstheme="minorHAnsi"/>
                <w:bCs/>
                <w:sz w:val="18"/>
                <w:szCs w:val="18"/>
              </w:rPr>
            </w:pPr>
            <w:r w:rsidRPr="005F120D">
              <w:rPr>
                <w:rFonts w:asciiTheme="minorHAnsi" w:hAnsiTheme="minorHAnsi" w:cstheme="minorHAnsi"/>
                <w:bCs/>
                <w:sz w:val="18"/>
                <w:szCs w:val="18"/>
              </w:rPr>
              <w:t>10,976.07</w:t>
            </w:r>
          </w:p>
          <w:p w:rsidR="00647F58" w:rsidRPr="005F120D" w:rsidRDefault="00647F58" w:rsidP="00B25E46">
            <w:pPr>
              <w:spacing w:after="0"/>
              <w:jc w:val="right"/>
              <w:cnfStyle w:val="000000000000"/>
              <w:rPr>
                <w:rFonts w:asciiTheme="minorHAnsi" w:hAnsiTheme="minorHAnsi" w:cstheme="minorHAnsi"/>
                <w:sz w:val="18"/>
                <w:szCs w:val="18"/>
              </w:rPr>
            </w:pPr>
          </w:p>
        </w:tc>
        <w:tc>
          <w:tcPr>
            <w:tcW w:w="552" w:type="pct"/>
            <w:hideMark/>
          </w:tcPr>
          <w:p w:rsidR="00647F58" w:rsidRPr="005F120D" w:rsidRDefault="00647F58"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2,354.56</w:t>
            </w:r>
          </w:p>
          <w:p w:rsidR="00647F58" w:rsidRPr="005F120D" w:rsidRDefault="00647F58" w:rsidP="00B25E46">
            <w:pPr>
              <w:spacing w:after="0"/>
              <w:jc w:val="right"/>
              <w:cnfStyle w:val="000000000000"/>
              <w:rPr>
                <w:rFonts w:asciiTheme="minorHAnsi" w:hAnsiTheme="minorHAnsi" w:cstheme="minorHAnsi"/>
                <w:sz w:val="18"/>
                <w:szCs w:val="18"/>
              </w:rPr>
            </w:pPr>
          </w:p>
        </w:tc>
        <w:tc>
          <w:tcPr>
            <w:tcW w:w="381" w:type="pct"/>
            <w:vAlign w:val="bottom"/>
            <w:hideMark/>
          </w:tcPr>
          <w:p w:rsidR="00647F58" w:rsidRPr="005F120D" w:rsidRDefault="00C66FCE"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21.5%</w:t>
            </w:r>
          </w:p>
        </w:tc>
      </w:tr>
      <w:tr w:rsidR="00647F58" w:rsidRPr="005F120D" w:rsidTr="00647F58">
        <w:trPr>
          <w:cnfStyle w:val="000000100000"/>
          <w:trHeight w:hRule="exact" w:val="432"/>
        </w:trPr>
        <w:tc>
          <w:tcPr>
            <w:cnfStyle w:val="001000000000"/>
            <w:tcW w:w="306" w:type="pct"/>
            <w:hideMark/>
          </w:tcPr>
          <w:p w:rsidR="00647F58" w:rsidRPr="005F120D" w:rsidRDefault="00647F58"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3.1.2</w:t>
            </w:r>
          </w:p>
        </w:tc>
        <w:tc>
          <w:tcPr>
            <w:tcW w:w="2138" w:type="pct"/>
            <w:noWrap/>
            <w:hideMark/>
          </w:tcPr>
          <w:p w:rsidR="00647F58" w:rsidRPr="005F120D" w:rsidRDefault="00647F58"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Decentralized School Management and Governance</w:t>
            </w:r>
          </w:p>
        </w:tc>
        <w:tc>
          <w:tcPr>
            <w:tcW w:w="572" w:type="pct"/>
          </w:tcPr>
          <w:p w:rsidR="00647F58" w:rsidRPr="005F120D" w:rsidRDefault="00647F58"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106,323.67</w:t>
            </w:r>
          </w:p>
        </w:tc>
        <w:tc>
          <w:tcPr>
            <w:tcW w:w="503" w:type="pct"/>
          </w:tcPr>
          <w:p w:rsidR="00647F58" w:rsidRPr="005F120D" w:rsidRDefault="00647F58"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14,925.60</w:t>
            </w:r>
          </w:p>
        </w:tc>
        <w:tc>
          <w:tcPr>
            <w:tcW w:w="547" w:type="pct"/>
          </w:tcPr>
          <w:p w:rsidR="00647F58" w:rsidRPr="005F120D" w:rsidRDefault="00647F58" w:rsidP="00B25E46">
            <w:pPr>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28,172.30</w:t>
            </w:r>
          </w:p>
          <w:p w:rsidR="00647F58" w:rsidRPr="005F120D" w:rsidRDefault="00647F58" w:rsidP="00B25E46">
            <w:pPr>
              <w:spacing w:after="0"/>
              <w:jc w:val="right"/>
              <w:cnfStyle w:val="000000100000"/>
              <w:rPr>
                <w:rFonts w:asciiTheme="minorHAnsi" w:hAnsiTheme="minorHAnsi" w:cstheme="minorHAnsi"/>
                <w:sz w:val="18"/>
                <w:szCs w:val="18"/>
              </w:rPr>
            </w:pPr>
          </w:p>
        </w:tc>
        <w:tc>
          <w:tcPr>
            <w:tcW w:w="552" w:type="pct"/>
            <w:hideMark/>
          </w:tcPr>
          <w:p w:rsidR="00647F58" w:rsidRPr="005F120D" w:rsidRDefault="00647F58"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lang w:eastAsia="ja-JP"/>
              </w:rPr>
              <w:t>14,524.00</w:t>
            </w:r>
          </w:p>
        </w:tc>
        <w:tc>
          <w:tcPr>
            <w:tcW w:w="381" w:type="pct"/>
            <w:vAlign w:val="bottom"/>
            <w:hideMark/>
          </w:tcPr>
          <w:p w:rsidR="00647F58" w:rsidRPr="005F120D" w:rsidRDefault="001E7243"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51.6%</w:t>
            </w:r>
          </w:p>
        </w:tc>
      </w:tr>
      <w:tr w:rsidR="00647F58" w:rsidRPr="005F120D" w:rsidTr="00647F58">
        <w:trPr>
          <w:trHeight w:hRule="exact" w:val="432"/>
        </w:trPr>
        <w:tc>
          <w:tcPr>
            <w:cnfStyle w:val="001000000000"/>
            <w:tcW w:w="306" w:type="pct"/>
            <w:hideMark/>
          </w:tcPr>
          <w:p w:rsidR="00647F58" w:rsidRPr="005F120D" w:rsidRDefault="00647F58"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3.1.3</w:t>
            </w:r>
          </w:p>
        </w:tc>
        <w:tc>
          <w:tcPr>
            <w:tcW w:w="2138" w:type="pct"/>
            <w:noWrap/>
            <w:hideMark/>
          </w:tcPr>
          <w:p w:rsidR="00647F58" w:rsidRPr="005F120D" w:rsidRDefault="00647F58"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School Level Leadership and Development</w:t>
            </w:r>
          </w:p>
        </w:tc>
        <w:tc>
          <w:tcPr>
            <w:tcW w:w="572" w:type="pct"/>
          </w:tcPr>
          <w:p w:rsidR="00647F58" w:rsidRPr="005F120D" w:rsidRDefault="00647F58"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7,923.94</w:t>
            </w:r>
          </w:p>
        </w:tc>
        <w:tc>
          <w:tcPr>
            <w:tcW w:w="503" w:type="pct"/>
          </w:tcPr>
          <w:p w:rsidR="00647F58" w:rsidRPr="005F120D" w:rsidRDefault="00647F58"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2,804.10</w:t>
            </w:r>
          </w:p>
        </w:tc>
        <w:tc>
          <w:tcPr>
            <w:tcW w:w="547" w:type="pct"/>
          </w:tcPr>
          <w:p w:rsidR="00647F58" w:rsidRPr="005F120D" w:rsidRDefault="00647F58"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2,600.00</w:t>
            </w:r>
          </w:p>
        </w:tc>
        <w:tc>
          <w:tcPr>
            <w:tcW w:w="552" w:type="pct"/>
            <w:hideMark/>
          </w:tcPr>
          <w:p w:rsidR="00647F58" w:rsidRPr="005F120D" w:rsidRDefault="00647F58"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lang w:eastAsia="ja-JP"/>
              </w:rPr>
              <w:t>2,558.38</w:t>
            </w:r>
          </w:p>
        </w:tc>
        <w:tc>
          <w:tcPr>
            <w:tcW w:w="381" w:type="pct"/>
            <w:vAlign w:val="bottom"/>
            <w:hideMark/>
          </w:tcPr>
          <w:p w:rsidR="00647F58" w:rsidRPr="005F120D" w:rsidRDefault="001E7243"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98.4%</w:t>
            </w:r>
          </w:p>
        </w:tc>
      </w:tr>
      <w:tr w:rsidR="00647F58" w:rsidRPr="005F120D" w:rsidTr="00647F58">
        <w:trPr>
          <w:cnfStyle w:val="000000100000"/>
          <w:trHeight w:hRule="exact" w:val="432"/>
        </w:trPr>
        <w:tc>
          <w:tcPr>
            <w:cnfStyle w:val="001000000000"/>
            <w:tcW w:w="306" w:type="pct"/>
            <w:hideMark/>
          </w:tcPr>
          <w:p w:rsidR="00647F58" w:rsidRPr="005F120D" w:rsidRDefault="00647F58"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3.1.4</w:t>
            </w:r>
          </w:p>
        </w:tc>
        <w:tc>
          <w:tcPr>
            <w:tcW w:w="2138" w:type="pct"/>
            <w:noWrap/>
            <w:hideMark/>
          </w:tcPr>
          <w:p w:rsidR="00647F58" w:rsidRPr="005F120D" w:rsidRDefault="00647F58"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Organizational Review and Strengthening</w:t>
            </w:r>
          </w:p>
        </w:tc>
        <w:tc>
          <w:tcPr>
            <w:tcW w:w="572" w:type="pct"/>
          </w:tcPr>
          <w:p w:rsidR="00647F58" w:rsidRPr="005F120D" w:rsidRDefault="00647F58"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19,410.79</w:t>
            </w:r>
          </w:p>
        </w:tc>
        <w:tc>
          <w:tcPr>
            <w:tcW w:w="503" w:type="pct"/>
          </w:tcPr>
          <w:p w:rsidR="00647F58" w:rsidRPr="005F120D" w:rsidRDefault="00647F58"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1,424.20</w:t>
            </w:r>
          </w:p>
        </w:tc>
        <w:tc>
          <w:tcPr>
            <w:tcW w:w="547" w:type="pct"/>
          </w:tcPr>
          <w:p w:rsidR="00647F58" w:rsidRPr="005F120D" w:rsidRDefault="00647F58" w:rsidP="00B25E46">
            <w:pPr>
              <w:jc w:val="right"/>
              <w:cnfStyle w:val="000000100000"/>
              <w:rPr>
                <w:rFonts w:asciiTheme="minorHAnsi" w:hAnsiTheme="minorHAnsi" w:cstheme="minorHAnsi"/>
                <w:bCs/>
                <w:sz w:val="18"/>
                <w:szCs w:val="18"/>
              </w:rPr>
            </w:pPr>
            <w:r w:rsidRPr="005F120D">
              <w:rPr>
                <w:rFonts w:asciiTheme="minorHAnsi" w:hAnsiTheme="minorHAnsi" w:cstheme="minorHAnsi"/>
                <w:bCs/>
                <w:sz w:val="18"/>
                <w:szCs w:val="18"/>
              </w:rPr>
              <w:t>3,578.00</w:t>
            </w:r>
          </w:p>
          <w:p w:rsidR="00647F58" w:rsidRPr="005F120D" w:rsidRDefault="00647F58" w:rsidP="00B25E46">
            <w:pPr>
              <w:spacing w:after="0"/>
              <w:jc w:val="right"/>
              <w:cnfStyle w:val="000000100000"/>
              <w:rPr>
                <w:rFonts w:asciiTheme="minorHAnsi" w:hAnsiTheme="minorHAnsi" w:cstheme="minorHAnsi"/>
                <w:sz w:val="18"/>
                <w:szCs w:val="18"/>
              </w:rPr>
            </w:pPr>
          </w:p>
        </w:tc>
        <w:tc>
          <w:tcPr>
            <w:tcW w:w="552" w:type="pct"/>
            <w:hideMark/>
          </w:tcPr>
          <w:p w:rsidR="00647F58" w:rsidRPr="005F120D" w:rsidRDefault="00647F58"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lang w:eastAsia="ja-JP"/>
              </w:rPr>
              <w:t>551.90</w:t>
            </w:r>
          </w:p>
        </w:tc>
        <w:tc>
          <w:tcPr>
            <w:tcW w:w="381" w:type="pct"/>
            <w:vAlign w:val="bottom"/>
            <w:hideMark/>
          </w:tcPr>
          <w:p w:rsidR="00647F58" w:rsidRPr="005F120D" w:rsidRDefault="001E7243"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15.4%</w:t>
            </w:r>
          </w:p>
        </w:tc>
      </w:tr>
      <w:tr w:rsidR="00647F58" w:rsidRPr="005F120D" w:rsidTr="00647F58">
        <w:trPr>
          <w:trHeight w:hRule="exact" w:val="308"/>
        </w:trPr>
        <w:tc>
          <w:tcPr>
            <w:cnfStyle w:val="001000000000"/>
            <w:tcW w:w="306" w:type="pct"/>
            <w:hideMark/>
          </w:tcPr>
          <w:p w:rsidR="00647F58" w:rsidRPr="005F120D" w:rsidRDefault="00647F58"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3.2.1</w:t>
            </w:r>
          </w:p>
        </w:tc>
        <w:tc>
          <w:tcPr>
            <w:tcW w:w="2138" w:type="pct"/>
            <w:noWrap/>
            <w:hideMark/>
          </w:tcPr>
          <w:p w:rsidR="00647F58" w:rsidRPr="005F120D" w:rsidRDefault="00647F58"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Grade 5 Terminal Examination</w:t>
            </w:r>
          </w:p>
        </w:tc>
        <w:tc>
          <w:tcPr>
            <w:tcW w:w="572" w:type="pct"/>
          </w:tcPr>
          <w:p w:rsidR="00647F58" w:rsidRPr="005F120D" w:rsidRDefault="00647F58"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1,807.99</w:t>
            </w:r>
          </w:p>
        </w:tc>
        <w:tc>
          <w:tcPr>
            <w:tcW w:w="503" w:type="pct"/>
          </w:tcPr>
          <w:p w:rsidR="00647F58" w:rsidRPr="005F120D" w:rsidRDefault="00647F58"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350.00</w:t>
            </w:r>
          </w:p>
        </w:tc>
        <w:tc>
          <w:tcPr>
            <w:tcW w:w="547" w:type="pct"/>
          </w:tcPr>
          <w:p w:rsidR="00647F58" w:rsidRPr="005F120D" w:rsidRDefault="00647F58"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350.00</w:t>
            </w:r>
          </w:p>
        </w:tc>
        <w:tc>
          <w:tcPr>
            <w:tcW w:w="552" w:type="pct"/>
            <w:hideMark/>
          </w:tcPr>
          <w:p w:rsidR="00647F58" w:rsidRPr="005F120D" w:rsidRDefault="00647F58"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lang w:eastAsia="ja-JP"/>
              </w:rPr>
              <w:t>61.22</w:t>
            </w:r>
          </w:p>
        </w:tc>
        <w:tc>
          <w:tcPr>
            <w:tcW w:w="381" w:type="pct"/>
            <w:vAlign w:val="bottom"/>
            <w:hideMark/>
          </w:tcPr>
          <w:p w:rsidR="00647F58" w:rsidRPr="005F120D" w:rsidRDefault="00F5214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17.5%</w:t>
            </w:r>
          </w:p>
        </w:tc>
      </w:tr>
      <w:tr w:rsidR="00647F58" w:rsidRPr="005F120D" w:rsidTr="00647F58">
        <w:trPr>
          <w:cnfStyle w:val="000000100000"/>
          <w:trHeight w:hRule="exact" w:val="432"/>
        </w:trPr>
        <w:tc>
          <w:tcPr>
            <w:cnfStyle w:val="001000000000"/>
            <w:tcW w:w="306" w:type="pct"/>
            <w:hideMark/>
          </w:tcPr>
          <w:p w:rsidR="00647F58" w:rsidRPr="005F120D" w:rsidRDefault="00647F58"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3.2.2</w:t>
            </w:r>
          </w:p>
        </w:tc>
        <w:tc>
          <w:tcPr>
            <w:tcW w:w="2138" w:type="pct"/>
            <w:noWrap/>
            <w:hideMark/>
          </w:tcPr>
          <w:p w:rsidR="00647F58" w:rsidRPr="005F120D" w:rsidRDefault="00647F58"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Teacher Recruitment and Deployment</w:t>
            </w:r>
          </w:p>
        </w:tc>
        <w:tc>
          <w:tcPr>
            <w:tcW w:w="572" w:type="pct"/>
          </w:tcPr>
          <w:p w:rsidR="00647F58" w:rsidRPr="005F120D" w:rsidRDefault="00647F58"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21,003.50</w:t>
            </w:r>
          </w:p>
        </w:tc>
        <w:tc>
          <w:tcPr>
            <w:tcW w:w="503" w:type="pct"/>
          </w:tcPr>
          <w:p w:rsidR="00647F58" w:rsidRPr="005F120D" w:rsidRDefault="00647F58"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13.00</w:t>
            </w:r>
          </w:p>
        </w:tc>
        <w:tc>
          <w:tcPr>
            <w:tcW w:w="547" w:type="pct"/>
          </w:tcPr>
          <w:p w:rsidR="00647F58" w:rsidRPr="005F120D" w:rsidRDefault="00647F58"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13.00</w:t>
            </w:r>
          </w:p>
        </w:tc>
        <w:tc>
          <w:tcPr>
            <w:tcW w:w="552" w:type="pct"/>
            <w:hideMark/>
          </w:tcPr>
          <w:p w:rsidR="00647F58" w:rsidRPr="005F120D" w:rsidRDefault="00647F58"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lang w:eastAsia="ja-JP"/>
              </w:rPr>
              <w:t>6.84</w:t>
            </w:r>
          </w:p>
        </w:tc>
        <w:tc>
          <w:tcPr>
            <w:tcW w:w="381" w:type="pct"/>
            <w:vAlign w:val="bottom"/>
            <w:hideMark/>
          </w:tcPr>
          <w:p w:rsidR="00647F58" w:rsidRPr="005F120D" w:rsidRDefault="00F52149"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52.6%</w:t>
            </w:r>
          </w:p>
        </w:tc>
      </w:tr>
      <w:tr w:rsidR="00647F58" w:rsidRPr="005F120D" w:rsidTr="00647F58">
        <w:trPr>
          <w:trHeight w:hRule="exact" w:val="263"/>
        </w:trPr>
        <w:tc>
          <w:tcPr>
            <w:cnfStyle w:val="001000000000"/>
            <w:tcW w:w="306" w:type="pct"/>
            <w:hideMark/>
          </w:tcPr>
          <w:p w:rsidR="00647F58" w:rsidRPr="005F120D" w:rsidRDefault="00647F58"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3.2.3</w:t>
            </w:r>
          </w:p>
        </w:tc>
        <w:tc>
          <w:tcPr>
            <w:tcW w:w="2138" w:type="pct"/>
            <w:noWrap/>
            <w:hideMark/>
          </w:tcPr>
          <w:p w:rsidR="00647F58" w:rsidRPr="005F120D" w:rsidRDefault="00647F58"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Annual School Census</w:t>
            </w:r>
          </w:p>
        </w:tc>
        <w:tc>
          <w:tcPr>
            <w:tcW w:w="572" w:type="pct"/>
          </w:tcPr>
          <w:p w:rsidR="00647F58" w:rsidRPr="005F120D" w:rsidRDefault="00647F58"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2,547.72</w:t>
            </w:r>
          </w:p>
        </w:tc>
        <w:tc>
          <w:tcPr>
            <w:tcW w:w="503" w:type="pct"/>
          </w:tcPr>
          <w:p w:rsidR="00647F58" w:rsidRPr="005F120D" w:rsidRDefault="00647F58"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295.00</w:t>
            </w:r>
          </w:p>
        </w:tc>
        <w:tc>
          <w:tcPr>
            <w:tcW w:w="547" w:type="pct"/>
          </w:tcPr>
          <w:p w:rsidR="00647F58" w:rsidRPr="005F120D" w:rsidRDefault="00647F58"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499.40</w:t>
            </w:r>
          </w:p>
        </w:tc>
        <w:tc>
          <w:tcPr>
            <w:tcW w:w="552" w:type="pct"/>
            <w:hideMark/>
          </w:tcPr>
          <w:p w:rsidR="00647F58" w:rsidRPr="005F120D" w:rsidRDefault="00647F58"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345.17</w:t>
            </w:r>
          </w:p>
          <w:p w:rsidR="00647F58" w:rsidRPr="005F120D" w:rsidRDefault="00647F58" w:rsidP="00B25E46">
            <w:pPr>
              <w:spacing w:after="0"/>
              <w:jc w:val="right"/>
              <w:cnfStyle w:val="000000000000"/>
              <w:rPr>
                <w:rFonts w:asciiTheme="minorHAnsi" w:hAnsiTheme="minorHAnsi" w:cstheme="minorHAnsi"/>
                <w:sz w:val="18"/>
                <w:szCs w:val="18"/>
              </w:rPr>
            </w:pPr>
          </w:p>
        </w:tc>
        <w:tc>
          <w:tcPr>
            <w:tcW w:w="381" w:type="pct"/>
            <w:vAlign w:val="bottom"/>
            <w:hideMark/>
          </w:tcPr>
          <w:p w:rsidR="00647F58" w:rsidRPr="005F120D" w:rsidRDefault="00F5214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69.1%</w:t>
            </w:r>
          </w:p>
        </w:tc>
      </w:tr>
      <w:tr w:rsidR="00647F58" w:rsidRPr="005F120D" w:rsidTr="00647F58">
        <w:trPr>
          <w:cnfStyle w:val="000000100000"/>
          <w:trHeight w:hRule="exact" w:val="290"/>
        </w:trPr>
        <w:tc>
          <w:tcPr>
            <w:cnfStyle w:val="001000000000"/>
            <w:tcW w:w="306" w:type="pct"/>
            <w:hideMark/>
          </w:tcPr>
          <w:p w:rsidR="00647F58" w:rsidRPr="005F120D" w:rsidRDefault="00647F58"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3.2.4</w:t>
            </w:r>
          </w:p>
        </w:tc>
        <w:tc>
          <w:tcPr>
            <w:tcW w:w="2138" w:type="pct"/>
            <w:noWrap/>
            <w:hideMark/>
          </w:tcPr>
          <w:p w:rsidR="00647F58" w:rsidRPr="005F120D" w:rsidRDefault="00647F58"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National Assessment of Students</w:t>
            </w:r>
          </w:p>
        </w:tc>
        <w:tc>
          <w:tcPr>
            <w:tcW w:w="572" w:type="pct"/>
          </w:tcPr>
          <w:p w:rsidR="00647F58" w:rsidRPr="005F120D" w:rsidRDefault="00647F58"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949.25</w:t>
            </w:r>
          </w:p>
        </w:tc>
        <w:tc>
          <w:tcPr>
            <w:tcW w:w="503" w:type="pct"/>
          </w:tcPr>
          <w:p w:rsidR="00647F58" w:rsidRPr="005F120D" w:rsidRDefault="00647F58"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125.00</w:t>
            </w:r>
          </w:p>
        </w:tc>
        <w:tc>
          <w:tcPr>
            <w:tcW w:w="547" w:type="pct"/>
          </w:tcPr>
          <w:p w:rsidR="00647F58" w:rsidRPr="005F120D" w:rsidRDefault="00647F58"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242.00</w:t>
            </w:r>
          </w:p>
        </w:tc>
        <w:tc>
          <w:tcPr>
            <w:tcW w:w="552" w:type="pct"/>
            <w:hideMark/>
          </w:tcPr>
          <w:p w:rsidR="00647F58" w:rsidRPr="005F120D" w:rsidRDefault="00647F58"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lang w:eastAsia="ja-JP"/>
              </w:rPr>
              <w:t>203.04</w:t>
            </w:r>
          </w:p>
        </w:tc>
        <w:tc>
          <w:tcPr>
            <w:tcW w:w="381" w:type="pct"/>
            <w:vAlign w:val="bottom"/>
            <w:hideMark/>
          </w:tcPr>
          <w:p w:rsidR="00647F58" w:rsidRPr="005F120D" w:rsidRDefault="00F52149"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83.9%</w:t>
            </w:r>
          </w:p>
        </w:tc>
      </w:tr>
      <w:tr w:rsidR="00C21DC6" w:rsidRPr="005F120D" w:rsidTr="00C21DC6">
        <w:trPr>
          <w:trHeight w:hRule="exact" w:val="362"/>
        </w:trPr>
        <w:tc>
          <w:tcPr>
            <w:cnfStyle w:val="001000000000"/>
            <w:tcW w:w="306" w:type="pct"/>
            <w:hideMark/>
          </w:tcPr>
          <w:p w:rsidR="00C21DC6" w:rsidRPr="005F120D" w:rsidRDefault="00C21DC6"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4.1</w:t>
            </w:r>
          </w:p>
        </w:tc>
        <w:tc>
          <w:tcPr>
            <w:tcW w:w="2138" w:type="pct"/>
            <w:noWrap/>
            <w:hideMark/>
          </w:tcPr>
          <w:p w:rsidR="00C21DC6" w:rsidRPr="005F120D" w:rsidRDefault="00C21DC6"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PEDP3 Management and Governance</w:t>
            </w:r>
          </w:p>
        </w:tc>
        <w:tc>
          <w:tcPr>
            <w:tcW w:w="572" w:type="pct"/>
          </w:tcPr>
          <w:p w:rsidR="00C21DC6" w:rsidRPr="005F120D" w:rsidRDefault="00C21DC6"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20,650.84</w:t>
            </w:r>
          </w:p>
        </w:tc>
        <w:tc>
          <w:tcPr>
            <w:tcW w:w="503" w:type="pct"/>
          </w:tcPr>
          <w:p w:rsidR="00C21DC6" w:rsidRPr="005F120D" w:rsidRDefault="00C21DC6"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3,128.35</w:t>
            </w:r>
          </w:p>
        </w:tc>
        <w:tc>
          <w:tcPr>
            <w:tcW w:w="547" w:type="pct"/>
          </w:tcPr>
          <w:p w:rsidR="00C21DC6" w:rsidRPr="005F120D" w:rsidRDefault="00C21DC6" w:rsidP="00B25E46">
            <w:pPr>
              <w:jc w:val="right"/>
              <w:cnfStyle w:val="000000000000"/>
              <w:rPr>
                <w:rFonts w:asciiTheme="minorHAnsi" w:hAnsiTheme="minorHAnsi" w:cstheme="minorHAnsi"/>
                <w:bCs/>
                <w:sz w:val="18"/>
                <w:szCs w:val="18"/>
              </w:rPr>
            </w:pPr>
            <w:r w:rsidRPr="005F120D">
              <w:rPr>
                <w:rFonts w:asciiTheme="minorHAnsi" w:hAnsiTheme="minorHAnsi" w:cstheme="minorHAnsi"/>
                <w:bCs/>
                <w:sz w:val="18"/>
                <w:szCs w:val="18"/>
              </w:rPr>
              <w:t>5,674.76</w:t>
            </w:r>
          </w:p>
          <w:p w:rsidR="00C21DC6" w:rsidRPr="005F120D" w:rsidRDefault="00C21DC6" w:rsidP="00B25E46">
            <w:pPr>
              <w:spacing w:after="0"/>
              <w:jc w:val="right"/>
              <w:cnfStyle w:val="000000000000"/>
              <w:rPr>
                <w:rFonts w:asciiTheme="minorHAnsi" w:hAnsiTheme="minorHAnsi" w:cstheme="minorHAnsi"/>
                <w:sz w:val="18"/>
                <w:szCs w:val="18"/>
              </w:rPr>
            </w:pPr>
          </w:p>
        </w:tc>
        <w:tc>
          <w:tcPr>
            <w:tcW w:w="552" w:type="pct"/>
            <w:hideMark/>
          </w:tcPr>
          <w:p w:rsidR="00C21DC6" w:rsidRPr="005F120D" w:rsidRDefault="00C21DC6"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1,884.94</w:t>
            </w:r>
          </w:p>
          <w:p w:rsidR="00C21DC6" w:rsidRPr="005F120D" w:rsidRDefault="00C21DC6" w:rsidP="00B25E46">
            <w:pPr>
              <w:spacing w:after="0"/>
              <w:jc w:val="right"/>
              <w:cnfStyle w:val="000000000000"/>
              <w:rPr>
                <w:rFonts w:asciiTheme="minorHAnsi" w:hAnsiTheme="minorHAnsi" w:cstheme="minorHAnsi"/>
                <w:sz w:val="18"/>
                <w:szCs w:val="18"/>
              </w:rPr>
            </w:pPr>
          </w:p>
        </w:tc>
        <w:tc>
          <w:tcPr>
            <w:tcW w:w="381" w:type="pct"/>
            <w:vAlign w:val="bottom"/>
            <w:hideMark/>
          </w:tcPr>
          <w:p w:rsidR="00C21DC6" w:rsidRPr="005F120D" w:rsidRDefault="00F5214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33.2%</w:t>
            </w:r>
          </w:p>
        </w:tc>
      </w:tr>
      <w:tr w:rsidR="00C21DC6" w:rsidRPr="005F120D" w:rsidTr="00C21DC6">
        <w:trPr>
          <w:cnfStyle w:val="000000100000"/>
          <w:trHeight w:hRule="exact" w:val="227"/>
        </w:trPr>
        <w:tc>
          <w:tcPr>
            <w:cnfStyle w:val="001000000000"/>
            <w:tcW w:w="306" w:type="pct"/>
            <w:hideMark/>
          </w:tcPr>
          <w:p w:rsidR="00C21DC6" w:rsidRPr="005F120D" w:rsidRDefault="00C21DC6"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4.2</w:t>
            </w:r>
          </w:p>
        </w:tc>
        <w:tc>
          <w:tcPr>
            <w:tcW w:w="2138" w:type="pct"/>
            <w:noWrap/>
            <w:hideMark/>
          </w:tcPr>
          <w:p w:rsidR="00C21DC6" w:rsidRPr="005F120D" w:rsidRDefault="00C21DC6"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PEDP3 Financial Management </w:t>
            </w:r>
          </w:p>
        </w:tc>
        <w:tc>
          <w:tcPr>
            <w:tcW w:w="572" w:type="pct"/>
          </w:tcPr>
          <w:p w:rsidR="00C21DC6" w:rsidRPr="005F120D" w:rsidRDefault="00C21DC6"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431.58</w:t>
            </w:r>
          </w:p>
        </w:tc>
        <w:tc>
          <w:tcPr>
            <w:tcW w:w="503" w:type="pct"/>
          </w:tcPr>
          <w:p w:rsidR="00C21DC6" w:rsidRPr="005F120D" w:rsidRDefault="00C21DC6"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90.00</w:t>
            </w:r>
          </w:p>
        </w:tc>
        <w:tc>
          <w:tcPr>
            <w:tcW w:w="547" w:type="pct"/>
          </w:tcPr>
          <w:p w:rsidR="00C21DC6" w:rsidRPr="005F120D" w:rsidRDefault="00C21DC6"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190.00</w:t>
            </w:r>
          </w:p>
        </w:tc>
        <w:tc>
          <w:tcPr>
            <w:tcW w:w="552" w:type="pct"/>
            <w:hideMark/>
          </w:tcPr>
          <w:p w:rsidR="00C21DC6" w:rsidRPr="005F120D" w:rsidRDefault="00C21DC6"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lang w:eastAsia="ja-JP"/>
              </w:rPr>
              <w:t>45.65</w:t>
            </w:r>
          </w:p>
        </w:tc>
        <w:tc>
          <w:tcPr>
            <w:tcW w:w="381" w:type="pct"/>
            <w:vAlign w:val="bottom"/>
            <w:hideMark/>
          </w:tcPr>
          <w:p w:rsidR="00C21DC6" w:rsidRPr="005F120D" w:rsidRDefault="00F52149"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24%</w:t>
            </w:r>
          </w:p>
        </w:tc>
      </w:tr>
      <w:tr w:rsidR="00C21DC6" w:rsidRPr="005F120D" w:rsidTr="00C21DC6">
        <w:trPr>
          <w:trHeight w:hRule="exact" w:val="254"/>
        </w:trPr>
        <w:tc>
          <w:tcPr>
            <w:cnfStyle w:val="001000000000"/>
            <w:tcW w:w="306" w:type="pct"/>
            <w:hideMark/>
          </w:tcPr>
          <w:p w:rsidR="00C21DC6" w:rsidRPr="005F120D" w:rsidRDefault="00C21DC6"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4.3</w:t>
            </w:r>
          </w:p>
        </w:tc>
        <w:tc>
          <w:tcPr>
            <w:tcW w:w="2138" w:type="pct"/>
            <w:noWrap/>
            <w:hideMark/>
          </w:tcPr>
          <w:p w:rsidR="00C21DC6" w:rsidRPr="005F120D" w:rsidRDefault="00C21DC6"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 xml:space="preserve">Sector Finance </w:t>
            </w:r>
          </w:p>
        </w:tc>
        <w:tc>
          <w:tcPr>
            <w:tcW w:w="572" w:type="pct"/>
          </w:tcPr>
          <w:p w:rsidR="00C21DC6" w:rsidRPr="005F120D" w:rsidRDefault="00F5214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503" w:type="pct"/>
          </w:tcPr>
          <w:p w:rsidR="00C21DC6" w:rsidRPr="005F120D" w:rsidRDefault="00F5214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547" w:type="pct"/>
          </w:tcPr>
          <w:p w:rsidR="00C21DC6" w:rsidRPr="005F120D" w:rsidRDefault="00F52149"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552" w:type="pct"/>
            <w:hideMark/>
          </w:tcPr>
          <w:p w:rsidR="00C21DC6" w:rsidRPr="005F120D" w:rsidRDefault="00F52149"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c>
          <w:tcPr>
            <w:tcW w:w="381" w:type="pct"/>
            <w:vAlign w:val="bottom"/>
            <w:hideMark/>
          </w:tcPr>
          <w:p w:rsidR="00C21DC6" w:rsidRPr="005F120D" w:rsidRDefault="00F5214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w:t>
            </w:r>
          </w:p>
        </w:tc>
      </w:tr>
      <w:tr w:rsidR="00C21DC6" w:rsidRPr="005F120D" w:rsidTr="00C21DC6">
        <w:trPr>
          <w:cnfStyle w:val="000000100000"/>
          <w:trHeight w:hRule="exact" w:val="272"/>
        </w:trPr>
        <w:tc>
          <w:tcPr>
            <w:cnfStyle w:val="001000000000"/>
            <w:tcW w:w="306" w:type="pct"/>
            <w:hideMark/>
          </w:tcPr>
          <w:p w:rsidR="00C21DC6" w:rsidRPr="005F120D" w:rsidRDefault="00C21DC6"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4.4</w:t>
            </w:r>
          </w:p>
        </w:tc>
        <w:tc>
          <w:tcPr>
            <w:tcW w:w="2138" w:type="pct"/>
            <w:noWrap/>
            <w:hideMark/>
          </w:tcPr>
          <w:p w:rsidR="00C21DC6" w:rsidRPr="005F120D" w:rsidRDefault="00C21DC6"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Strengthen Monitoring Functions</w:t>
            </w:r>
            <w:r w:rsidR="00F52149" w:rsidRPr="005F120D">
              <w:rPr>
                <w:rFonts w:asciiTheme="minorHAnsi" w:hAnsiTheme="minorHAnsi" w:cstheme="minorHAnsi"/>
                <w:sz w:val="18"/>
                <w:szCs w:val="18"/>
                <w:lang w:eastAsia="ja-JP"/>
              </w:rPr>
              <w:t xml:space="preserve"> DPE</w:t>
            </w:r>
            <w:r w:rsidR="00EC1F70">
              <w:rPr>
                <w:rFonts w:asciiTheme="minorHAnsi" w:hAnsiTheme="minorHAnsi" w:cstheme="minorHAnsi"/>
                <w:sz w:val="18"/>
                <w:szCs w:val="18"/>
                <w:lang w:eastAsia="ja-JP"/>
              </w:rPr>
              <w:t xml:space="preserve"> </w:t>
            </w:r>
            <w:r w:rsidR="00F52149" w:rsidRPr="005F120D">
              <w:rPr>
                <w:rFonts w:asciiTheme="minorHAnsi" w:hAnsiTheme="minorHAnsi" w:cstheme="minorHAnsi"/>
                <w:sz w:val="18"/>
                <w:szCs w:val="18"/>
                <w:lang w:eastAsia="ja-JP"/>
              </w:rPr>
              <w:t>+</w:t>
            </w:r>
            <w:r w:rsidR="00EC1F70">
              <w:rPr>
                <w:rFonts w:asciiTheme="minorHAnsi" w:hAnsiTheme="minorHAnsi" w:cstheme="minorHAnsi"/>
                <w:sz w:val="18"/>
                <w:szCs w:val="18"/>
                <w:lang w:eastAsia="ja-JP"/>
              </w:rPr>
              <w:t xml:space="preserve"> </w:t>
            </w:r>
            <w:r w:rsidR="00F52149" w:rsidRPr="005F120D">
              <w:rPr>
                <w:rFonts w:asciiTheme="minorHAnsi" w:hAnsiTheme="minorHAnsi" w:cstheme="minorHAnsi"/>
                <w:sz w:val="18"/>
                <w:szCs w:val="18"/>
                <w:lang w:eastAsia="ja-JP"/>
              </w:rPr>
              <w:t>Unicef</w:t>
            </w:r>
          </w:p>
        </w:tc>
        <w:tc>
          <w:tcPr>
            <w:tcW w:w="572" w:type="pct"/>
          </w:tcPr>
          <w:p w:rsidR="00C21DC6" w:rsidRPr="005F120D" w:rsidRDefault="00C21DC6"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1,369.13</w:t>
            </w:r>
          </w:p>
        </w:tc>
        <w:tc>
          <w:tcPr>
            <w:tcW w:w="503" w:type="pct"/>
          </w:tcPr>
          <w:p w:rsidR="00C21DC6" w:rsidRPr="005F120D" w:rsidRDefault="00C21DC6"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739.45</w:t>
            </w:r>
          </w:p>
        </w:tc>
        <w:tc>
          <w:tcPr>
            <w:tcW w:w="547" w:type="pct"/>
          </w:tcPr>
          <w:p w:rsidR="00C21DC6" w:rsidRPr="005F120D" w:rsidRDefault="00C21DC6"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243.50</w:t>
            </w:r>
          </w:p>
        </w:tc>
        <w:tc>
          <w:tcPr>
            <w:tcW w:w="552" w:type="pct"/>
            <w:hideMark/>
          </w:tcPr>
          <w:p w:rsidR="00C21DC6" w:rsidRPr="005F120D" w:rsidRDefault="00C21DC6"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492.22</w:t>
            </w:r>
          </w:p>
          <w:p w:rsidR="00C21DC6" w:rsidRPr="005F120D" w:rsidRDefault="00C21DC6" w:rsidP="00B25E46">
            <w:pPr>
              <w:spacing w:after="0"/>
              <w:jc w:val="right"/>
              <w:cnfStyle w:val="000000100000"/>
              <w:rPr>
                <w:rFonts w:asciiTheme="minorHAnsi" w:hAnsiTheme="minorHAnsi" w:cstheme="minorHAnsi"/>
                <w:sz w:val="18"/>
                <w:szCs w:val="18"/>
              </w:rPr>
            </w:pPr>
          </w:p>
        </w:tc>
        <w:tc>
          <w:tcPr>
            <w:tcW w:w="381" w:type="pct"/>
            <w:vAlign w:val="bottom"/>
            <w:hideMark/>
          </w:tcPr>
          <w:p w:rsidR="00C21DC6" w:rsidRPr="005F120D" w:rsidRDefault="00F52149"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202.1%</w:t>
            </w:r>
          </w:p>
        </w:tc>
      </w:tr>
      <w:tr w:rsidR="00C21DC6" w:rsidRPr="005F120D" w:rsidTr="00C21DC6">
        <w:trPr>
          <w:trHeight w:hRule="exact" w:val="290"/>
        </w:trPr>
        <w:tc>
          <w:tcPr>
            <w:cnfStyle w:val="001000000000"/>
            <w:tcW w:w="306" w:type="pct"/>
            <w:hideMark/>
          </w:tcPr>
          <w:p w:rsidR="00C21DC6" w:rsidRPr="005F120D" w:rsidRDefault="00C21DC6"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4.5</w:t>
            </w:r>
          </w:p>
        </w:tc>
        <w:tc>
          <w:tcPr>
            <w:tcW w:w="2138" w:type="pct"/>
            <w:noWrap/>
            <w:hideMark/>
          </w:tcPr>
          <w:p w:rsidR="00C21DC6" w:rsidRPr="005F120D" w:rsidRDefault="00C21DC6" w:rsidP="00B25E46">
            <w:pPr>
              <w:spacing w:after="0"/>
              <w:cnfStyle w:val="0000000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Human Resources Development</w:t>
            </w:r>
          </w:p>
        </w:tc>
        <w:tc>
          <w:tcPr>
            <w:tcW w:w="572" w:type="pct"/>
          </w:tcPr>
          <w:p w:rsidR="00C21DC6" w:rsidRPr="005F120D" w:rsidRDefault="00C21DC6"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8,353.31</w:t>
            </w:r>
          </w:p>
        </w:tc>
        <w:tc>
          <w:tcPr>
            <w:tcW w:w="503" w:type="pct"/>
          </w:tcPr>
          <w:p w:rsidR="00C21DC6" w:rsidRPr="005F120D" w:rsidRDefault="00C21DC6"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1,426.20</w:t>
            </w:r>
          </w:p>
        </w:tc>
        <w:tc>
          <w:tcPr>
            <w:tcW w:w="547" w:type="pct"/>
          </w:tcPr>
          <w:p w:rsidR="00C21DC6" w:rsidRPr="005F120D" w:rsidRDefault="00C21DC6" w:rsidP="00B25E46">
            <w:pPr>
              <w:spacing w:after="0"/>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3,122.03</w:t>
            </w:r>
          </w:p>
        </w:tc>
        <w:tc>
          <w:tcPr>
            <w:tcW w:w="552" w:type="pct"/>
            <w:hideMark/>
          </w:tcPr>
          <w:p w:rsidR="00C21DC6" w:rsidRPr="005F120D" w:rsidRDefault="00C21DC6"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382.71</w:t>
            </w:r>
          </w:p>
        </w:tc>
        <w:tc>
          <w:tcPr>
            <w:tcW w:w="381" w:type="pct"/>
            <w:vAlign w:val="bottom"/>
            <w:hideMark/>
          </w:tcPr>
          <w:p w:rsidR="00C21DC6" w:rsidRPr="005F120D" w:rsidRDefault="00F5214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12.3%</w:t>
            </w:r>
          </w:p>
        </w:tc>
      </w:tr>
      <w:tr w:rsidR="00C21DC6" w:rsidRPr="005F120D" w:rsidTr="00C21DC6">
        <w:trPr>
          <w:cnfStyle w:val="000000100000"/>
          <w:trHeight w:hRule="exact" w:val="308"/>
        </w:trPr>
        <w:tc>
          <w:tcPr>
            <w:cnfStyle w:val="001000000000"/>
            <w:tcW w:w="306" w:type="pct"/>
            <w:noWrap/>
            <w:hideMark/>
          </w:tcPr>
          <w:p w:rsidR="00C21DC6" w:rsidRPr="005F120D" w:rsidRDefault="00C21DC6"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4.6</w:t>
            </w:r>
          </w:p>
        </w:tc>
        <w:tc>
          <w:tcPr>
            <w:tcW w:w="2138" w:type="pct"/>
            <w:noWrap/>
            <w:hideMark/>
          </w:tcPr>
          <w:p w:rsidR="00C21DC6" w:rsidRPr="005F120D" w:rsidRDefault="00C21DC6" w:rsidP="00B25E46">
            <w:pPr>
              <w:spacing w:after="0"/>
              <w:cnfStyle w:val="000000100000"/>
              <w:rPr>
                <w:rFonts w:asciiTheme="minorHAnsi" w:hAnsiTheme="minorHAnsi" w:cstheme="minorHAnsi"/>
                <w:sz w:val="18"/>
                <w:szCs w:val="18"/>
                <w:lang w:eastAsia="ja-JP"/>
              </w:rPr>
            </w:pPr>
            <w:r w:rsidRPr="005F120D">
              <w:rPr>
                <w:rFonts w:asciiTheme="minorHAnsi" w:hAnsiTheme="minorHAnsi" w:cstheme="minorHAnsi"/>
                <w:sz w:val="18"/>
                <w:szCs w:val="18"/>
                <w:lang w:eastAsia="ja-JP"/>
              </w:rPr>
              <w:t>Public Private Partnership</w:t>
            </w:r>
          </w:p>
        </w:tc>
        <w:tc>
          <w:tcPr>
            <w:tcW w:w="572" w:type="pct"/>
          </w:tcPr>
          <w:p w:rsidR="00C21DC6" w:rsidRPr="005F120D" w:rsidRDefault="00C21DC6"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2,505.00</w:t>
            </w:r>
          </w:p>
        </w:tc>
        <w:tc>
          <w:tcPr>
            <w:tcW w:w="503" w:type="pct"/>
          </w:tcPr>
          <w:p w:rsidR="00C21DC6" w:rsidRPr="005F120D" w:rsidRDefault="00C21DC6"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5</w:t>
            </w:r>
          </w:p>
        </w:tc>
        <w:tc>
          <w:tcPr>
            <w:tcW w:w="547" w:type="pct"/>
          </w:tcPr>
          <w:p w:rsidR="00C21DC6" w:rsidRPr="005F120D" w:rsidRDefault="00C21DC6"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100.00</w:t>
            </w:r>
          </w:p>
        </w:tc>
        <w:tc>
          <w:tcPr>
            <w:tcW w:w="552" w:type="pct"/>
            <w:hideMark/>
          </w:tcPr>
          <w:p w:rsidR="00C21DC6" w:rsidRPr="005F120D" w:rsidRDefault="00F52149" w:rsidP="00B25E46">
            <w:pPr>
              <w:spacing w:after="0"/>
              <w:jc w:val="right"/>
              <w:cnfStyle w:val="000000100000"/>
              <w:rPr>
                <w:rFonts w:asciiTheme="minorHAnsi" w:hAnsiTheme="minorHAnsi" w:cstheme="minorHAnsi"/>
                <w:sz w:val="18"/>
                <w:szCs w:val="18"/>
              </w:rPr>
            </w:pPr>
            <w:r w:rsidRPr="005F120D">
              <w:rPr>
                <w:rFonts w:asciiTheme="minorHAnsi" w:hAnsiTheme="minorHAnsi" w:cstheme="minorHAnsi"/>
                <w:sz w:val="18"/>
                <w:szCs w:val="18"/>
              </w:rPr>
              <w:t>-</w:t>
            </w:r>
          </w:p>
        </w:tc>
        <w:tc>
          <w:tcPr>
            <w:tcW w:w="381" w:type="pct"/>
            <w:vAlign w:val="bottom"/>
            <w:hideMark/>
          </w:tcPr>
          <w:p w:rsidR="00C21DC6" w:rsidRPr="005F120D" w:rsidRDefault="00F52149"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w:t>
            </w:r>
          </w:p>
        </w:tc>
      </w:tr>
      <w:tr w:rsidR="003F04EE" w:rsidRPr="005F120D" w:rsidTr="00C66430">
        <w:trPr>
          <w:trHeight w:hRule="exact" w:val="432"/>
        </w:trPr>
        <w:tc>
          <w:tcPr>
            <w:cnfStyle w:val="001000000000"/>
            <w:tcW w:w="306" w:type="pct"/>
            <w:noWrap/>
            <w:hideMark/>
          </w:tcPr>
          <w:p w:rsidR="003F04EE" w:rsidRPr="005F120D" w:rsidRDefault="003F04EE" w:rsidP="00B25E46">
            <w:pPr>
              <w:spacing w:after="0"/>
              <w:jc w:val="right"/>
              <w:rPr>
                <w:rFonts w:asciiTheme="minorHAnsi" w:hAnsiTheme="minorHAnsi" w:cstheme="minorHAnsi"/>
                <w:b w:val="0"/>
                <w:sz w:val="18"/>
                <w:szCs w:val="18"/>
                <w:lang w:eastAsia="ja-JP"/>
              </w:rPr>
            </w:pPr>
          </w:p>
        </w:tc>
        <w:tc>
          <w:tcPr>
            <w:tcW w:w="2138" w:type="pct"/>
            <w:noWrap/>
            <w:hideMark/>
          </w:tcPr>
          <w:p w:rsidR="003F04EE" w:rsidRPr="005F120D" w:rsidRDefault="003F04EE" w:rsidP="00B25E46">
            <w:pPr>
              <w:spacing w:after="0"/>
              <w:jc w:val="right"/>
              <w:cnfStyle w:val="000000000000"/>
              <w:rPr>
                <w:rFonts w:asciiTheme="minorHAnsi" w:hAnsiTheme="minorHAnsi" w:cstheme="minorHAnsi"/>
                <w:bCs/>
                <w:sz w:val="18"/>
                <w:szCs w:val="18"/>
                <w:lang w:eastAsia="ja-JP"/>
              </w:rPr>
            </w:pPr>
            <w:r w:rsidRPr="005F120D">
              <w:rPr>
                <w:rFonts w:asciiTheme="minorHAnsi" w:hAnsiTheme="minorHAnsi" w:cstheme="minorHAnsi"/>
                <w:bCs/>
                <w:sz w:val="18"/>
                <w:szCs w:val="18"/>
                <w:lang w:eastAsia="ja-JP"/>
              </w:rPr>
              <w:t>CDVAT, contingency, etc</w:t>
            </w:r>
          </w:p>
        </w:tc>
        <w:tc>
          <w:tcPr>
            <w:tcW w:w="572" w:type="pct"/>
          </w:tcPr>
          <w:p w:rsidR="003F04EE" w:rsidRPr="005F120D" w:rsidRDefault="003F04EE" w:rsidP="00B25E46">
            <w:pPr>
              <w:jc w:val="right"/>
              <w:cnfStyle w:val="000000000000"/>
              <w:rPr>
                <w:rFonts w:asciiTheme="minorHAnsi" w:hAnsiTheme="minorHAnsi" w:cstheme="minorHAnsi"/>
                <w:bCs/>
                <w:sz w:val="18"/>
                <w:szCs w:val="18"/>
              </w:rPr>
            </w:pPr>
            <w:r w:rsidRPr="005F120D">
              <w:rPr>
                <w:rFonts w:asciiTheme="minorHAnsi" w:hAnsiTheme="minorHAnsi" w:cstheme="minorHAnsi"/>
                <w:bCs/>
                <w:sz w:val="18"/>
                <w:szCs w:val="18"/>
              </w:rPr>
              <w:t>32,871.97</w:t>
            </w:r>
          </w:p>
        </w:tc>
        <w:tc>
          <w:tcPr>
            <w:tcW w:w="503" w:type="pct"/>
          </w:tcPr>
          <w:p w:rsidR="003F04EE" w:rsidRPr="005F120D" w:rsidRDefault="003F04EE"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2,000</w:t>
            </w:r>
          </w:p>
        </w:tc>
        <w:tc>
          <w:tcPr>
            <w:tcW w:w="547" w:type="pct"/>
          </w:tcPr>
          <w:p w:rsidR="003F04EE" w:rsidRPr="005F120D" w:rsidRDefault="00C21DC6"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3,000.00</w:t>
            </w:r>
          </w:p>
        </w:tc>
        <w:tc>
          <w:tcPr>
            <w:tcW w:w="552" w:type="pct"/>
            <w:noWrap/>
            <w:hideMark/>
          </w:tcPr>
          <w:p w:rsidR="003F04EE" w:rsidRPr="005F120D" w:rsidRDefault="00C21DC6"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2575.72</w:t>
            </w:r>
          </w:p>
        </w:tc>
        <w:tc>
          <w:tcPr>
            <w:tcW w:w="381" w:type="pct"/>
            <w:vAlign w:val="bottom"/>
            <w:hideMark/>
          </w:tcPr>
          <w:p w:rsidR="003F04EE" w:rsidRPr="005F120D" w:rsidRDefault="00F52149" w:rsidP="00B25E46">
            <w:pPr>
              <w:jc w:val="right"/>
              <w:cnfStyle w:val="000000000000"/>
              <w:rPr>
                <w:rFonts w:asciiTheme="minorHAnsi" w:hAnsiTheme="minorHAnsi" w:cstheme="minorHAnsi"/>
                <w:sz w:val="18"/>
                <w:szCs w:val="18"/>
              </w:rPr>
            </w:pPr>
            <w:r w:rsidRPr="005F120D">
              <w:rPr>
                <w:rFonts w:asciiTheme="minorHAnsi" w:hAnsiTheme="minorHAnsi" w:cstheme="minorHAnsi"/>
                <w:sz w:val="18"/>
                <w:szCs w:val="18"/>
              </w:rPr>
              <w:t>85.9%</w:t>
            </w:r>
          </w:p>
        </w:tc>
      </w:tr>
      <w:tr w:rsidR="003F04EE" w:rsidRPr="005F120D" w:rsidTr="00C66430">
        <w:trPr>
          <w:cnfStyle w:val="000000100000"/>
          <w:trHeight w:hRule="exact" w:val="432"/>
        </w:trPr>
        <w:tc>
          <w:tcPr>
            <w:cnfStyle w:val="001000000000"/>
            <w:tcW w:w="306" w:type="pct"/>
            <w:noWrap/>
            <w:hideMark/>
          </w:tcPr>
          <w:p w:rsidR="003F04EE" w:rsidRPr="005F120D" w:rsidRDefault="003F04EE" w:rsidP="00B25E46">
            <w:pPr>
              <w:spacing w:after="0"/>
              <w:jc w:val="right"/>
              <w:rPr>
                <w:rFonts w:asciiTheme="minorHAnsi" w:hAnsiTheme="minorHAnsi" w:cstheme="minorHAnsi"/>
                <w:b w:val="0"/>
                <w:sz w:val="18"/>
                <w:szCs w:val="18"/>
                <w:lang w:eastAsia="ja-JP"/>
              </w:rPr>
            </w:pPr>
            <w:r w:rsidRPr="005F120D">
              <w:rPr>
                <w:rFonts w:asciiTheme="minorHAnsi" w:hAnsiTheme="minorHAnsi" w:cstheme="minorHAnsi"/>
                <w:b w:val="0"/>
                <w:sz w:val="18"/>
                <w:szCs w:val="18"/>
                <w:lang w:eastAsia="ja-JP"/>
              </w:rPr>
              <w:t> </w:t>
            </w:r>
          </w:p>
        </w:tc>
        <w:tc>
          <w:tcPr>
            <w:tcW w:w="2138" w:type="pct"/>
            <w:noWrap/>
            <w:hideMark/>
          </w:tcPr>
          <w:p w:rsidR="003F04EE" w:rsidRPr="005F120D" w:rsidRDefault="003F04EE" w:rsidP="00B25E46">
            <w:pPr>
              <w:spacing w:after="0"/>
              <w:jc w:val="right"/>
              <w:cnfStyle w:val="000000100000"/>
              <w:rPr>
                <w:rFonts w:asciiTheme="minorHAnsi" w:hAnsiTheme="minorHAnsi" w:cstheme="minorHAnsi"/>
                <w:b/>
                <w:bCs/>
                <w:sz w:val="18"/>
                <w:szCs w:val="18"/>
                <w:lang w:eastAsia="ja-JP"/>
              </w:rPr>
            </w:pPr>
            <w:r w:rsidRPr="005F120D">
              <w:rPr>
                <w:rFonts w:asciiTheme="minorHAnsi" w:hAnsiTheme="minorHAnsi" w:cstheme="minorHAnsi"/>
                <w:b/>
                <w:bCs/>
                <w:sz w:val="18"/>
                <w:szCs w:val="18"/>
                <w:lang w:eastAsia="ja-JP"/>
              </w:rPr>
              <w:t>Total</w:t>
            </w:r>
          </w:p>
        </w:tc>
        <w:tc>
          <w:tcPr>
            <w:tcW w:w="572" w:type="pct"/>
          </w:tcPr>
          <w:p w:rsidR="003F04EE" w:rsidRPr="005F120D" w:rsidRDefault="003F04EE" w:rsidP="00B25E46">
            <w:pPr>
              <w:jc w:val="right"/>
              <w:cnfStyle w:val="000000100000"/>
              <w:rPr>
                <w:rFonts w:asciiTheme="minorHAnsi" w:hAnsiTheme="minorHAnsi" w:cstheme="minorHAnsi"/>
                <w:b/>
                <w:bCs/>
                <w:sz w:val="18"/>
                <w:szCs w:val="18"/>
              </w:rPr>
            </w:pPr>
            <w:r w:rsidRPr="005F120D">
              <w:rPr>
                <w:rFonts w:asciiTheme="minorHAnsi" w:hAnsiTheme="minorHAnsi" w:cstheme="minorHAnsi"/>
                <w:b/>
                <w:bCs/>
                <w:sz w:val="18"/>
                <w:szCs w:val="18"/>
              </w:rPr>
              <w:t>1,815,388.36</w:t>
            </w:r>
          </w:p>
        </w:tc>
        <w:tc>
          <w:tcPr>
            <w:tcW w:w="503" w:type="pct"/>
          </w:tcPr>
          <w:p w:rsidR="003F04EE" w:rsidRPr="005F120D" w:rsidRDefault="003F04EE" w:rsidP="00B25E46">
            <w:pPr>
              <w:jc w:val="right"/>
              <w:cnfStyle w:val="000000100000"/>
              <w:rPr>
                <w:rFonts w:asciiTheme="minorHAnsi" w:hAnsiTheme="minorHAnsi" w:cstheme="minorHAnsi"/>
                <w:b/>
                <w:sz w:val="18"/>
                <w:szCs w:val="18"/>
              </w:rPr>
            </w:pPr>
            <w:r w:rsidRPr="005F120D">
              <w:rPr>
                <w:rFonts w:asciiTheme="minorHAnsi" w:hAnsiTheme="minorHAnsi" w:cstheme="minorHAnsi"/>
                <w:b/>
                <w:sz w:val="18"/>
                <w:szCs w:val="18"/>
              </w:rPr>
              <w:t>284,600</w:t>
            </w:r>
          </w:p>
        </w:tc>
        <w:tc>
          <w:tcPr>
            <w:tcW w:w="547" w:type="pct"/>
          </w:tcPr>
          <w:p w:rsidR="003F04EE" w:rsidRPr="005F120D" w:rsidRDefault="00C21DC6" w:rsidP="00B25E46">
            <w:pPr>
              <w:jc w:val="right"/>
              <w:cnfStyle w:val="000000100000"/>
              <w:rPr>
                <w:rFonts w:asciiTheme="minorHAnsi" w:hAnsiTheme="minorHAnsi" w:cstheme="minorHAnsi"/>
                <w:b/>
                <w:sz w:val="18"/>
                <w:szCs w:val="18"/>
              </w:rPr>
            </w:pPr>
            <w:r w:rsidRPr="005F120D">
              <w:rPr>
                <w:rFonts w:asciiTheme="minorHAnsi" w:hAnsiTheme="minorHAnsi" w:cstheme="minorHAnsi"/>
                <w:b/>
                <w:sz w:val="18"/>
                <w:szCs w:val="18"/>
              </w:rPr>
              <w:t>374,000.00</w:t>
            </w:r>
          </w:p>
        </w:tc>
        <w:tc>
          <w:tcPr>
            <w:tcW w:w="552" w:type="pct"/>
            <w:noWrap/>
            <w:hideMark/>
          </w:tcPr>
          <w:p w:rsidR="003F04EE" w:rsidRPr="005F120D" w:rsidRDefault="00C21DC6" w:rsidP="00B25E46">
            <w:pPr>
              <w:jc w:val="right"/>
              <w:cnfStyle w:val="000000100000"/>
              <w:rPr>
                <w:rFonts w:asciiTheme="minorHAnsi" w:hAnsiTheme="minorHAnsi" w:cstheme="minorHAnsi"/>
                <w:b/>
                <w:sz w:val="18"/>
                <w:szCs w:val="18"/>
              </w:rPr>
            </w:pPr>
            <w:r w:rsidRPr="005F120D">
              <w:rPr>
                <w:rFonts w:asciiTheme="minorHAnsi" w:hAnsiTheme="minorHAnsi" w:cstheme="minorHAnsi"/>
                <w:b/>
                <w:sz w:val="18"/>
                <w:szCs w:val="18"/>
              </w:rPr>
              <w:t>168806.83</w:t>
            </w:r>
          </w:p>
        </w:tc>
        <w:tc>
          <w:tcPr>
            <w:tcW w:w="381" w:type="pct"/>
            <w:vAlign w:val="bottom"/>
            <w:hideMark/>
          </w:tcPr>
          <w:p w:rsidR="003F04EE" w:rsidRPr="005F120D" w:rsidRDefault="00C21DC6" w:rsidP="00B25E46">
            <w:pPr>
              <w:jc w:val="right"/>
              <w:cnfStyle w:val="000000100000"/>
              <w:rPr>
                <w:rFonts w:asciiTheme="minorHAnsi" w:hAnsiTheme="minorHAnsi" w:cstheme="minorHAnsi"/>
                <w:sz w:val="18"/>
                <w:szCs w:val="18"/>
              </w:rPr>
            </w:pPr>
            <w:r w:rsidRPr="005F120D">
              <w:rPr>
                <w:rFonts w:asciiTheme="minorHAnsi" w:hAnsiTheme="minorHAnsi" w:cstheme="minorHAnsi"/>
                <w:sz w:val="18"/>
                <w:szCs w:val="18"/>
              </w:rPr>
              <w:t>45.1%</w:t>
            </w:r>
          </w:p>
        </w:tc>
      </w:tr>
    </w:tbl>
    <w:p w:rsidR="00C21DC6" w:rsidRPr="005F120D" w:rsidRDefault="00D011E9" w:rsidP="00B25E46">
      <w:pPr>
        <w:pStyle w:val="Heading2NONUM"/>
        <w:rPr>
          <w:rFonts w:asciiTheme="minorHAnsi" w:hAnsiTheme="minorHAnsi" w:cstheme="minorHAnsi"/>
        </w:rPr>
      </w:pPr>
      <w:r w:rsidRPr="005F120D">
        <w:rPr>
          <w:rFonts w:asciiTheme="minorHAnsi" w:hAnsiTheme="minorHAnsi" w:cstheme="minorHAnsi"/>
        </w:rPr>
        <w:lastRenderedPageBreak/>
        <w:t>E</w:t>
      </w:r>
      <w:r w:rsidR="00DE2502" w:rsidRPr="005F120D">
        <w:rPr>
          <w:rFonts w:asciiTheme="minorHAnsi" w:hAnsiTheme="minorHAnsi" w:cstheme="minorHAnsi"/>
        </w:rPr>
        <w:t>-3</w:t>
      </w:r>
      <w:r w:rsidR="00E410D7" w:rsidRPr="005F120D">
        <w:rPr>
          <w:rFonts w:asciiTheme="minorHAnsi" w:hAnsiTheme="minorHAnsi" w:cstheme="minorHAnsi"/>
        </w:rPr>
        <w:t xml:space="preserve">: </w:t>
      </w:r>
      <w:r w:rsidR="00961843" w:rsidRPr="005F120D">
        <w:rPr>
          <w:rFonts w:asciiTheme="minorHAnsi" w:hAnsiTheme="minorHAnsi" w:cstheme="minorHAnsi"/>
        </w:rPr>
        <w:t xml:space="preserve">AOP 2015-16 </w:t>
      </w:r>
      <w:r w:rsidR="00C77FB5" w:rsidRPr="005F120D">
        <w:rPr>
          <w:rFonts w:asciiTheme="minorHAnsi" w:hAnsiTheme="minorHAnsi" w:cstheme="minorHAnsi"/>
        </w:rPr>
        <w:t xml:space="preserve">Activity </w:t>
      </w:r>
      <w:r w:rsidR="002E6124" w:rsidRPr="005F120D">
        <w:rPr>
          <w:rFonts w:asciiTheme="minorHAnsi" w:hAnsiTheme="minorHAnsi" w:cstheme="minorHAnsi"/>
        </w:rPr>
        <w:t>Implementation</w:t>
      </w:r>
    </w:p>
    <w:p w:rsidR="00487364" w:rsidRPr="005F120D" w:rsidRDefault="00961843" w:rsidP="00B25E46">
      <w:pPr>
        <w:pStyle w:val="BodyText1"/>
        <w:spacing w:line="240" w:lineRule="auto"/>
        <w:jc w:val="both"/>
        <w:rPr>
          <w:rFonts w:asciiTheme="minorHAnsi" w:hAnsiTheme="minorHAnsi" w:cstheme="minorHAnsi"/>
          <w:b w:val="0"/>
          <w:sz w:val="20"/>
          <w:szCs w:val="20"/>
        </w:rPr>
      </w:pPr>
      <w:r w:rsidRPr="005F120D">
        <w:rPr>
          <w:rFonts w:asciiTheme="minorHAnsi" w:hAnsiTheme="minorHAnsi" w:cstheme="minorHAnsi"/>
          <w:b w:val="0"/>
          <w:sz w:val="20"/>
          <w:szCs w:val="20"/>
        </w:rPr>
        <w:t>The</w:t>
      </w:r>
      <w:r w:rsidR="00F52867" w:rsidRPr="005F120D">
        <w:rPr>
          <w:rFonts w:asciiTheme="minorHAnsi" w:hAnsiTheme="minorHAnsi" w:cstheme="minorHAnsi"/>
          <w:b w:val="0"/>
          <w:sz w:val="20"/>
          <w:szCs w:val="20"/>
        </w:rPr>
        <w:t xml:space="preserve"> PEDP3 </w:t>
      </w:r>
      <w:r w:rsidRPr="005F120D">
        <w:rPr>
          <w:rFonts w:asciiTheme="minorHAnsi" w:hAnsiTheme="minorHAnsi" w:cstheme="minorHAnsi"/>
          <w:b w:val="0"/>
          <w:sz w:val="20"/>
          <w:szCs w:val="20"/>
        </w:rPr>
        <w:t xml:space="preserve">revised </w:t>
      </w:r>
      <w:r w:rsidR="00F52867" w:rsidRPr="005F120D">
        <w:rPr>
          <w:rFonts w:asciiTheme="minorHAnsi" w:hAnsiTheme="minorHAnsi" w:cstheme="minorHAnsi"/>
          <w:b w:val="0"/>
          <w:sz w:val="20"/>
          <w:szCs w:val="20"/>
        </w:rPr>
        <w:t>Program Framework also includes a number of sub-component activity indicators. The results chain analysis considers activities that will produce expected outputs leading to outcomes. This short chapter summarises</w:t>
      </w:r>
      <w:r w:rsidR="00376227" w:rsidRPr="005F120D">
        <w:rPr>
          <w:rFonts w:asciiTheme="minorHAnsi" w:hAnsiTheme="minorHAnsi" w:cstheme="minorHAnsi"/>
          <w:b w:val="0"/>
          <w:sz w:val="20"/>
          <w:szCs w:val="20"/>
        </w:rPr>
        <w:t>,</w:t>
      </w:r>
      <w:r w:rsidR="00F52867" w:rsidRPr="005F120D">
        <w:rPr>
          <w:rFonts w:asciiTheme="minorHAnsi" w:hAnsiTheme="minorHAnsi" w:cstheme="minorHAnsi"/>
          <w:b w:val="0"/>
          <w:sz w:val="20"/>
          <w:szCs w:val="20"/>
        </w:rPr>
        <w:t xml:space="preserve"> in table form</w:t>
      </w:r>
      <w:r w:rsidR="00376227" w:rsidRPr="005F120D">
        <w:rPr>
          <w:rFonts w:asciiTheme="minorHAnsi" w:hAnsiTheme="minorHAnsi" w:cstheme="minorHAnsi"/>
          <w:b w:val="0"/>
          <w:sz w:val="20"/>
          <w:szCs w:val="20"/>
        </w:rPr>
        <w:t>,</w:t>
      </w:r>
      <w:r w:rsidR="00F52867" w:rsidRPr="005F120D">
        <w:rPr>
          <w:rFonts w:asciiTheme="minorHAnsi" w:hAnsiTheme="minorHAnsi" w:cstheme="minorHAnsi"/>
          <w:b w:val="0"/>
          <w:sz w:val="20"/>
          <w:szCs w:val="20"/>
        </w:rPr>
        <w:t xml:space="preserve"> the progress with respect to PE</w:t>
      </w:r>
      <w:r w:rsidR="0000264B" w:rsidRPr="005F120D">
        <w:rPr>
          <w:rFonts w:asciiTheme="minorHAnsi" w:hAnsiTheme="minorHAnsi" w:cstheme="minorHAnsi"/>
          <w:b w:val="0"/>
          <w:sz w:val="20"/>
          <w:szCs w:val="20"/>
        </w:rPr>
        <w:t>DP3 activities based on AOP 2015–16</w:t>
      </w:r>
      <w:r w:rsidR="00F52867" w:rsidRPr="005F120D">
        <w:rPr>
          <w:rFonts w:asciiTheme="minorHAnsi" w:hAnsiTheme="minorHAnsi" w:cstheme="minorHAnsi"/>
          <w:b w:val="0"/>
          <w:sz w:val="20"/>
          <w:szCs w:val="20"/>
        </w:rPr>
        <w:t>. In the 201</w:t>
      </w:r>
      <w:r w:rsidR="0000264B" w:rsidRPr="005F120D">
        <w:rPr>
          <w:rFonts w:asciiTheme="minorHAnsi" w:hAnsiTheme="minorHAnsi" w:cstheme="minorHAnsi"/>
          <w:b w:val="0"/>
          <w:sz w:val="20"/>
          <w:szCs w:val="20"/>
        </w:rPr>
        <w:t>5/16</w:t>
      </w:r>
      <w:r w:rsidR="00F52867" w:rsidRPr="005F120D">
        <w:rPr>
          <w:rFonts w:asciiTheme="minorHAnsi" w:hAnsiTheme="minorHAnsi" w:cstheme="minorHAnsi"/>
          <w:b w:val="0"/>
          <w:sz w:val="20"/>
          <w:szCs w:val="20"/>
        </w:rPr>
        <w:t xml:space="preserve"> AOP, there are 351 activitie</w:t>
      </w:r>
      <w:r w:rsidR="0000264B" w:rsidRPr="005F120D">
        <w:rPr>
          <w:rFonts w:asciiTheme="minorHAnsi" w:hAnsiTheme="minorHAnsi" w:cstheme="minorHAnsi"/>
          <w:b w:val="0"/>
          <w:sz w:val="20"/>
          <w:szCs w:val="20"/>
        </w:rPr>
        <w:t>s and fund</w:t>
      </w:r>
      <w:r w:rsidR="00376227" w:rsidRPr="005F120D">
        <w:rPr>
          <w:rFonts w:asciiTheme="minorHAnsi" w:hAnsiTheme="minorHAnsi" w:cstheme="minorHAnsi"/>
          <w:b w:val="0"/>
          <w:sz w:val="20"/>
          <w:szCs w:val="20"/>
        </w:rPr>
        <w:t>s</w:t>
      </w:r>
      <w:r w:rsidR="0000264B" w:rsidRPr="005F120D">
        <w:rPr>
          <w:rFonts w:asciiTheme="minorHAnsi" w:hAnsiTheme="minorHAnsi" w:cstheme="minorHAnsi"/>
          <w:b w:val="0"/>
          <w:sz w:val="20"/>
          <w:szCs w:val="20"/>
        </w:rPr>
        <w:t xml:space="preserve"> allocated against </w:t>
      </w:r>
      <w:r w:rsidR="00A209DD" w:rsidRPr="005F120D">
        <w:rPr>
          <w:rFonts w:asciiTheme="minorHAnsi" w:hAnsiTheme="minorHAnsi" w:cstheme="minorHAnsi"/>
          <w:b w:val="0"/>
          <w:sz w:val="20"/>
          <w:szCs w:val="20"/>
        </w:rPr>
        <w:t>1</w:t>
      </w:r>
      <w:r w:rsidR="007C47C2" w:rsidRPr="005F120D">
        <w:rPr>
          <w:rFonts w:asciiTheme="minorHAnsi" w:hAnsiTheme="minorHAnsi" w:cstheme="minorHAnsi"/>
          <w:b w:val="0"/>
          <w:sz w:val="20"/>
          <w:szCs w:val="20"/>
        </w:rPr>
        <w:t>89</w:t>
      </w:r>
      <w:r w:rsidR="0000264B" w:rsidRPr="005F120D">
        <w:rPr>
          <w:rFonts w:asciiTheme="minorHAnsi" w:hAnsiTheme="minorHAnsi" w:cstheme="minorHAnsi"/>
          <w:b w:val="0"/>
          <w:sz w:val="20"/>
          <w:szCs w:val="20"/>
        </w:rPr>
        <w:t xml:space="preserve"> activities as of </w:t>
      </w:r>
      <w:r w:rsidR="00A209DD" w:rsidRPr="005F120D">
        <w:rPr>
          <w:rFonts w:asciiTheme="minorHAnsi" w:hAnsiTheme="minorHAnsi" w:cstheme="minorHAnsi"/>
          <w:b w:val="0"/>
          <w:sz w:val="20"/>
          <w:szCs w:val="20"/>
        </w:rPr>
        <w:t>March</w:t>
      </w:r>
      <w:r w:rsidR="0000264B" w:rsidRPr="005F120D">
        <w:rPr>
          <w:rFonts w:asciiTheme="minorHAnsi" w:hAnsiTheme="minorHAnsi" w:cstheme="minorHAnsi"/>
          <w:b w:val="0"/>
          <w:sz w:val="20"/>
          <w:szCs w:val="20"/>
        </w:rPr>
        <w:t xml:space="preserve"> 2016</w:t>
      </w:r>
      <w:r w:rsidR="00F52867" w:rsidRPr="005F120D">
        <w:rPr>
          <w:rFonts w:asciiTheme="minorHAnsi" w:hAnsiTheme="minorHAnsi" w:cstheme="minorHAnsi"/>
          <w:b w:val="0"/>
          <w:sz w:val="20"/>
          <w:szCs w:val="20"/>
        </w:rPr>
        <w:t>. The following table summarize</w:t>
      </w:r>
      <w:r w:rsidR="00F52867" w:rsidRPr="005F120D">
        <w:rPr>
          <w:rFonts w:asciiTheme="minorHAnsi" w:hAnsiTheme="minorHAnsi" w:cstheme="minorHAnsi"/>
          <w:sz w:val="20"/>
          <w:szCs w:val="20"/>
        </w:rPr>
        <w:t>s</w:t>
      </w:r>
      <w:r w:rsidR="00F52867" w:rsidRPr="005F120D">
        <w:rPr>
          <w:rFonts w:asciiTheme="minorHAnsi" w:hAnsiTheme="minorHAnsi" w:cstheme="minorHAnsi"/>
          <w:b w:val="0"/>
          <w:sz w:val="20"/>
          <w:szCs w:val="20"/>
        </w:rPr>
        <w:t xml:space="preserve"> the key activi</w:t>
      </w:r>
      <w:r w:rsidR="00376227" w:rsidRPr="005F120D">
        <w:rPr>
          <w:rFonts w:asciiTheme="minorHAnsi" w:hAnsiTheme="minorHAnsi" w:cstheme="minorHAnsi"/>
          <w:b w:val="0"/>
          <w:sz w:val="20"/>
          <w:szCs w:val="20"/>
        </w:rPr>
        <w:t>ties, including budget disbursement</w:t>
      </w:r>
      <w:r w:rsidR="00F52867" w:rsidRPr="005F120D">
        <w:rPr>
          <w:rFonts w:asciiTheme="minorHAnsi" w:hAnsiTheme="minorHAnsi" w:cstheme="minorHAnsi"/>
          <w:b w:val="0"/>
          <w:sz w:val="20"/>
          <w:szCs w:val="20"/>
        </w:rPr>
        <w:t xml:space="preserve"> to implement the planned activities</w:t>
      </w:r>
      <w:r w:rsidR="00487364" w:rsidRPr="005F120D">
        <w:rPr>
          <w:rFonts w:asciiTheme="minorHAnsi" w:hAnsiTheme="minorHAnsi" w:cstheme="minorHAnsi"/>
          <w:b w:val="0"/>
          <w:sz w:val="20"/>
          <w:szCs w:val="2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
        <w:gridCol w:w="5573"/>
        <w:gridCol w:w="1466"/>
        <w:gridCol w:w="1553"/>
      </w:tblGrid>
      <w:tr w:rsidR="002E6124" w:rsidRPr="005F120D" w:rsidTr="007C47C2">
        <w:trPr>
          <w:tblHeader/>
        </w:trPr>
        <w:tc>
          <w:tcPr>
            <w:tcW w:w="353" w:type="pct"/>
            <w:tcBorders>
              <w:top w:val="nil"/>
              <w:left w:val="nil"/>
              <w:bottom w:val="single" w:sz="4" w:space="0" w:color="auto"/>
              <w:right w:val="nil"/>
            </w:tcBorders>
            <w:shd w:val="clear" w:color="auto" w:fill="auto"/>
          </w:tcPr>
          <w:p w:rsidR="002E6124" w:rsidRPr="005F120D" w:rsidRDefault="002E6124" w:rsidP="00B25E46">
            <w:pPr>
              <w:pStyle w:val="NoSpacing"/>
              <w:rPr>
                <w:rFonts w:asciiTheme="minorHAnsi" w:eastAsia="Calibri" w:hAnsiTheme="minorHAnsi" w:cstheme="minorHAnsi"/>
                <w:sz w:val="18"/>
                <w:szCs w:val="18"/>
              </w:rPr>
            </w:pPr>
          </w:p>
        </w:tc>
        <w:tc>
          <w:tcPr>
            <w:tcW w:w="3014" w:type="pct"/>
            <w:tcBorders>
              <w:top w:val="nil"/>
              <w:left w:val="nil"/>
              <w:bottom w:val="single" w:sz="4" w:space="0" w:color="auto"/>
              <w:right w:val="nil"/>
            </w:tcBorders>
            <w:shd w:val="clear" w:color="auto" w:fill="auto"/>
          </w:tcPr>
          <w:p w:rsidR="002E6124" w:rsidRPr="005F120D" w:rsidRDefault="002E6124" w:rsidP="00B25E46">
            <w:pPr>
              <w:pStyle w:val="NoSpacing"/>
              <w:rPr>
                <w:rFonts w:asciiTheme="minorHAnsi" w:eastAsia="Calibri" w:hAnsiTheme="minorHAnsi" w:cstheme="minorHAnsi"/>
                <w:sz w:val="18"/>
                <w:szCs w:val="18"/>
              </w:rPr>
            </w:pPr>
          </w:p>
        </w:tc>
        <w:tc>
          <w:tcPr>
            <w:tcW w:w="793" w:type="pct"/>
            <w:tcBorders>
              <w:top w:val="nil"/>
              <w:left w:val="nil"/>
              <w:bottom w:val="single" w:sz="4" w:space="0" w:color="auto"/>
              <w:right w:val="single" w:sz="4" w:space="0" w:color="auto"/>
            </w:tcBorders>
            <w:shd w:val="clear" w:color="auto" w:fill="auto"/>
          </w:tcPr>
          <w:p w:rsidR="002E6124" w:rsidRPr="005F120D" w:rsidRDefault="002E6124" w:rsidP="00B25E46">
            <w:pPr>
              <w:pStyle w:val="NoSpacing"/>
              <w:rPr>
                <w:rFonts w:asciiTheme="minorHAnsi" w:eastAsia="Calibri" w:hAnsiTheme="minorHAnsi" w:cstheme="minorHAnsi"/>
                <w:sz w:val="18"/>
                <w:szCs w:val="18"/>
              </w:rPr>
            </w:pPr>
          </w:p>
        </w:tc>
        <w:tc>
          <w:tcPr>
            <w:tcW w:w="840" w:type="pct"/>
            <w:tcBorders>
              <w:top w:val="single" w:sz="4" w:space="0" w:color="auto"/>
              <w:left w:val="single" w:sz="4" w:space="0" w:color="auto"/>
              <w:bottom w:val="single" w:sz="4" w:space="0" w:color="auto"/>
              <w:right w:val="nil"/>
            </w:tcBorders>
            <w:shd w:val="clear" w:color="auto" w:fill="auto"/>
          </w:tcPr>
          <w:p w:rsidR="002E6124" w:rsidRPr="005F120D" w:rsidRDefault="002E6124"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In </w:t>
            </w:r>
            <w:r w:rsidR="00F738CE" w:rsidRPr="005F120D">
              <w:rPr>
                <w:rFonts w:asciiTheme="minorHAnsi" w:eastAsia="Calibri" w:hAnsiTheme="minorHAnsi" w:cstheme="minorHAnsi"/>
                <w:sz w:val="18"/>
                <w:szCs w:val="18"/>
              </w:rPr>
              <w:t>Lac</w:t>
            </w:r>
            <w:r w:rsidRPr="005F120D">
              <w:rPr>
                <w:rFonts w:asciiTheme="minorHAnsi" w:eastAsia="Calibri" w:hAnsiTheme="minorHAnsi" w:cstheme="minorHAnsi"/>
                <w:sz w:val="18"/>
                <w:szCs w:val="18"/>
              </w:rPr>
              <w:t xml:space="preserve"> Taka</w:t>
            </w:r>
          </w:p>
        </w:tc>
      </w:tr>
      <w:tr w:rsidR="002E6124" w:rsidRPr="005F120D" w:rsidTr="007C47C2">
        <w:trPr>
          <w:tblHeader/>
        </w:trPr>
        <w:tc>
          <w:tcPr>
            <w:tcW w:w="353" w:type="pct"/>
            <w:tcBorders>
              <w:top w:val="single" w:sz="4" w:space="0" w:color="auto"/>
              <w:left w:val="nil"/>
              <w:bottom w:val="single" w:sz="4" w:space="0" w:color="auto"/>
              <w:right w:val="single" w:sz="4" w:space="0" w:color="auto"/>
            </w:tcBorders>
            <w:shd w:val="clear" w:color="auto" w:fill="C2D69B" w:themeFill="accent3" w:themeFillTint="99"/>
          </w:tcPr>
          <w:p w:rsidR="002E6124" w:rsidRPr="005F120D" w:rsidRDefault="002E6124"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SL #</w:t>
            </w:r>
          </w:p>
        </w:tc>
        <w:tc>
          <w:tcPr>
            <w:tcW w:w="30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E6124" w:rsidRPr="005F120D" w:rsidRDefault="002E6124"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Activity</w:t>
            </w:r>
          </w:p>
        </w:tc>
        <w:tc>
          <w:tcPr>
            <w:tcW w:w="79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E6124" w:rsidRPr="005F120D" w:rsidRDefault="002E6124"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Responsible Division</w:t>
            </w:r>
          </w:p>
        </w:tc>
        <w:tc>
          <w:tcPr>
            <w:tcW w:w="840" w:type="pct"/>
            <w:tcBorders>
              <w:top w:val="single" w:sz="4" w:space="0" w:color="auto"/>
              <w:left w:val="single" w:sz="4" w:space="0" w:color="auto"/>
              <w:bottom w:val="single" w:sz="4" w:space="0" w:color="auto"/>
              <w:right w:val="nil"/>
            </w:tcBorders>
            <w:shd w:val="clear" w:color="auto" w:fill="C2D69B" w:themeFill="accent3" w:themeFillTint="99"/>
          </w:tcPr>
          <w:p w:rsidR="002E6124" w:rsidRPr="005F120D" w:rsidRDefault="00EB0FDC"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Expenditure as of March 2014</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Study (Unicef Fund)</w:t>
            </w:r>
          </w:p>
        </w:tc>
        <w:tc>
          <w:tcPr>
            <w:tcW w:w="793" w:type="pct"/>
            <w:tcBorders>
              <w:top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Workshops (Unicef Fund)</w:t>
            </w:r>
          </w:p>
        </w:tc>
        <w:tc>
          <w:tcPr>
            <w:tcW w:w="793" w:type="pct"/>
            <w:tcBorders>
              <w:top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570223" w:rsidP="00B25E46">
            <w:pPr>
              <w:rPr>
                <w:rFonts w:asciiTheme="minorHAnsi" w:hAnsiTheme="minorHAnsi" w:cstheme="minorHAnsi"/>
                <w:sz w:val="18"/>
                <w:szCs w:val="18"/>
              </w:rPr>
            </w:pPr>
            <w:r w:rsidRPr="005F120D">
              <w:rPr>
                <w:rFonts w:asciiTheme="minorHAnsi" w:hAnsiTheme="minorHAnsi" w:cstheme="minorHAnsi"/>
                <w:sz w:val="18"/>
                <w:szCs w:val="18"/>
              </w:rPr>
              <w:t>Pilot Program</w:t>
            </w:r>
            <w:r w:rsidR="009F12C9" w:rsidRPr="005F120D">
              <w:rPr>
                <w:rFonts w:asciiTheme="minorHAnsi" w:hAnsiTheme="minorHAnsi" w:cstheme="minorHAnsi"/>
                <w:sz w:val="18"/>
                <w:szCs w:val="18"/>
              </w:rPr>
              <w:t xml:space="preserve"> (ECL)</w:t>
            </w:r>
          </w:p>
        </w:tc>
        <w:tc>
          <w:tcPr>
            <w:tcW w:w="793" w:type="pct"/>
            <w:tcBorders>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753.81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570223" w:rsidP="00B25E46">
            <w:pPr>
              <w:rPr>
                <w:rFonts w:asciiTheme="minorHAnsi" w:hAnsiTheme="minorHAnsi" w:cstheme="minorHAnsi"/>
                <w:sz w:val="18"/>
                <w:szCs w:val="18"/>
              </w:rPr>
            </w:pPr>
            <w:r w:rsidRPr="005F120D">
              <w:rPr>
                <w:rFonts w:asciiTheme="minorHAnsi" w:hAnsiTheme="minorHAnsi" w:cstheme="minorHAnsi"/>
                <w:sz w:val="18"/>
                <w:szCs w:val="18"/>
              </w:rPr>
              <w:t>Pilot Program</w:t>
            </w:r>
            <w:r w:rsidR="009F12C9" w:rsidRPr="005F120D">
              <w:rPr>
                <w:rFonts w:asciiTheme="minorHAnsi" w:hAnsiTheme="minorHAnsi" w:cstheme="minorHAnsi"/>
                <w:sz w:val="18"/>
                <w:szCs w:val="18"/>
              </w:rPr>
              <w:t xml:space="preserve"> (ECL) (Unicef Fund)</w:t>
            </w:r>
          </w:p>
        </w:tc>
        <w:tc>
          <w:tcPr>
            <w:tcW w:w="793" w:type="pct"/>
            <w:tcBorders>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Teaching Learning Materials for ECL</w:t>
            </w:r>
          </w:p>
        </w:tc>
        <w:tc>
          <w:tcPr>
            <w:tcW w:w="793" w:type="pct"/>
            <w:tcBorders>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62.80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School and Classroom Based Assessment </w:t>
            </w:r>
            <w:r w:rsidRPr="005F120D">
              <w:rPr>
                <w:rFonts w:asciiTheme="minorHAnsi" w:hAnsiTheme="minorHAnsi" w:cstheme="minorHAnsi"/>
                <w:sz w:val="18"/>
                <w:szCs w:val="18"/>
              </w:rPr>
              <w:br/>
              <w:t>(Unicef Fund)</w:t>
            </w:r>
          </w:p>
        </w:tc>
        <w:tc>
          <w:tcPr>
            <w:tcW w:w="793" w:type="pct"/>
            <w:tcBorders>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92.00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Printing of assessment tools &amp; methods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School based assessment pilot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Curriculum Revision Gr 1-5</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 </w:t>
            </w:r>
          </w:p>
        </w:tc>
      </w:tr>
      <w:tr w:rsidR="009F12C9" w:rsidRPr="005F120D" w:rsidTr="007C47C2">
        <w:trPr>
          <w:trHeight w:hRule="exact" w:val="478"/>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Development of Prototype flipcharts on Environmental Studies (Science &amp; Social Studies integrated)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 </w:t>
            </w:r>
          </w:p>
        </w:tc>
      </w:tr>
      <w:tr w:rsidR="009F12C9" w:rsidRPr="005F120D" w:rsidTr="007C47C2">
        <w:trPr>
          <w:trHeight w:hRule="exact" w:val="451"/>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Development of Annual Scheme of Work with class routine for grades 1 to 5 = 5 booklet</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Development of test item booklets for major subject of grades 1 to 5</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670.00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Continuation of tryout of remaining TB and TG including  English workbook</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32.00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CRM Dissemination dev &amp; printing of training materials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Curriculum dissemination (training of teachers)- 10 days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Distribution experiences from field level officers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Teachers' Guide - Gr 1-5  no colour</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2,500.00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Supplementary</w:t>
            </w:r>
            <w:r w:rsidR="009F12C9" w:rsidRPr="005F120D">
              <w:rPr>
                <w:rFonts w:asciiTheme="minorHAnsi" w:hAnsiTheme="minorHAnsi" w:cstheme="minorHAnsi"/>
                <w:sz w:val="18"/>
                <w:szCs w:val="18"/>
              </w:rPr>
              <w:t xml:space="preserve"> reading materials Gr 1-5</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ICT in Education - implementation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ICT  training for officials &amp; teachers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2,058.00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ICT Education-Trouble shooting training of UEO, URC</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80.25 </w:t>
            </w:r>
          </w:p>
        </w:tc>
      </w:tr>
      <w:tr w:rsidR="009F12C9" w:rsidRPr="005F120D" w:rsidTr="007C47C2">
        <w:trPr>
          <w:trHeight w:hRule="exact" w:val="487"/>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 on MS Access, W</w:t>
            </w:r>
            <w:r w:rsidR="00376227" w:rsidRPr="005F120D">
              <w:rPr>
                <w:rFonts w:asciiTheme="minorHAnsi" w:hAnsiTheme="minorHAnsi" w:cstheme="minorHAnsi"/>
                <w:sz w:val="18"/>
                <w:szCs w:val="18"/>
              </w:rPr>
              <w:t>iFi, Online system, Internet etc.</w:t>
            </w:r>
            <w:r w:rsidRPr="005F120D">
              <w:rPr>
                <w:rFonts w:asciiTheme="minorHAnsi" w:hAnsiTheme="minorHAnsi" w:cstheme="minorHAnsi"/>
                <w:sz w:val="18"/>
                <w:szCs w:val="18"/>
              </w:rPr>
              <w:t xml:space="preserve"> for CO, DEO, LDA, UDA  for HQ</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 </w:t>
            </w:r>
          </w:p>
        </w:tc>
      </w:tr>
      <w:tr w:rsidR="009F12C9" w:rsidRPr="005F120D" w:rsidTr="007C47C2">
        <w:trPr>
          <w:trHeight w:hRule="exact" w:val="451"/>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 on Network Operation and Hardware trouble shooting for DPEO, PTI officials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32.00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 on infrastructure software and guidelines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 </w:t>
            </w:r>
          </w:p>
        </w:tc>
      </w:tr>
      <w:tr w:rsidR="009F12C9" w:rsidRPr="005F120D" w:rsidTr="007C47C2">
        <w:trPr>
          <w:trHeight w:hRule="exact" w:val="397"/>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ICT- Training on online </w:t>
            </w:r>
            <w:r w:rsidR="00BD348E" w:rsidRPr="005F120D">
              <w:rPr>
                <w:rFonts w:asciiTheme="minorHAnsi" w:hAnsiTheme="minorHAnsi" w:cstheme="minorHAnsi"/>
                <w:sz w:val="18"/>
                <w:szCs w:val="18"/>
              </w:rPr>
              <w:t>database</w:t>
            </w:r>
            <w:r w:rsidRPr="005F120D">
              <w:rPr>
                <w:rFonts w:asciiTheme="minorHAnsi" w:hAnsiTheme="minorHAnsi" w:cstheme="minorHAnsi"/>
                <w:sz w:val="18"/>
                <w:szCs w:val="18"/>
              </w:rPr>
              <w:t>,</w:t>
            </w:r>
            <w:r w:rsidR="00A61F5E">
              <w:rPr>
                <w:rFonts w:asciiTheme="minorHAnsi" w:hAnsiTheme="minorHAnsi" w:cstheme="minorHAnsi"/>
                <w:sz w:val="18"/>
                <w:szCs w:val="18"/>
              </w:rPr>
              <w:t xml:space="preserve"> </w:t>
            </w:r>
            <w:r w:rsidRPr="005F120D">
              <w:rPr>
                <w:rFonts w:asciiTheme="minorHAnsi" w:hAnsiTheme="minorHAnsi" w:cstheme="minorHAnsi"/>
                <w:sz w:val="18"/>
                <w:szCs w:val="18"/>
              </w:rPr>
              <w:t xml:space="preserve">network and server security mgt  for IMD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7.00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ICT - internet modem for  schools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357.00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ICT - Networking &amp; internet </w:t>
            </w:r>
            <w:r w:rsidR="00BD348E" w:rsidRPr="005F120D">
              <w:rPr>
                <w:rFonts w:asciiTheme="minorHAnsi" w:hAnsiTheme="minorHAnsi" w:cstheme="minorHAnsi"/>
                <w:sz w:val="18"/>
                <w:szCs w:val="18"/>
              </w:rPr>
              <w:t>renovating</w:t>
            </w:r>
            <w:r w:rsidRPr="005F120D">
              <w:rPr>
                <w:rFonts w:asciiTheme="minorHAnsi" w:hAnsiTheme="minorHAnsi" w:cstheme="minorHAnsi"/>
                <w:sz w:val="18"/>
                <w:szCs w:val="18"/>
              </w:rPr>
              <w:t xml:space="preserve"> for 55 PTIs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93.00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color w:val="000000"/>
                <w:sz w:val="18"/>
                <w:szCs w:val="18"/>
              </w:rPr>
            </w:pPr>
            <w:r w:rsidRPr="005F120D">
              <w:rPr>
                <w:rFonts w:asciiTheme="minorHAnsi" w:hAnsiTheme="minorHAnsi" w:cstheme="minorHAnsi"/>
                <w:color w:val="000000"/>
                <w:sz w:val="18"/>
                <w:szCs w:val="18"/>
              </w:rPr>
              <w:t>ICT -Server based Anti-virus for 55 PTIs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29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ICT - Single user Anti-virus for schools &amp; Offices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24.19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ICT - UPS repair &amp; battery rep</w:t>
            </w:r>
            <w:r w:rsidR="00376227" w:rsidRPr="005F120D">
              <w:rPr>
                <w:rFonts w:asciiTheme="minorHAnsi" w:hAnsiTheme="minorHAnsi" w:cstheme="minorHAnsi"/>
                <w:sz w:val="18"/>
                <w:szCs w:val="18"/>
              </w:rPr>
              <w:t xml:space="preserve">lacements </w:t>
            </w:r>
            <w:r w:rsidRPr="005F120D">
              <w:rPr>
                <w:rFonts w:asciiTheme="minorHAnsi" w:hAnsiTheme="minorHAnsi" w:cstheme="minorHAnsi"/>
                <w:sz w:val="18"/>
                <w:szCs w:val="18"/>
              </w:rPr>
              <w:t xml:space="preserve"> for PTIs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color w:val="000000"/>
                <w:sz w:val="18"/>
                <w:szCs w:val="18"/>
              </w:rPr>
            </w:pPr>
            <w:r w:rsidRPr="005F120D">
              <w:rPr>
                <w:rFonts w:asciiTheme="minorHAnsi" w:hAnsiTheme="minorHAnsi" w:cstheme="minorHAnsi"/>
                <w:color w:val="000000"/>
                <w:sz w:val="18"/>
                <w:szCs w:val="18"/>
              </w:rPr>
              <w:t>ICT- UPS repair  for 20 PTIs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ICT - Internet   &amp; LAN for 64 DPEOs &amp; 7 DDs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ICT - computers (laptop)- for GPS (including multimedia, screen &amp; sound system)</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15,000.00 </w:t>
            </w:r>
          </w:p>
        </w:tc>
      </w:tr>
      <w:tr w:rsidR="009F12C9" w:rsidRPr="005F120D" w:rsidTr="007C47C2">
        <w:trPr>
          <w:trHeight w:hRule="exact" w:val="487"/>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Diploma in Education- implementation (materials development, piloting, dissemination, printing, distribution)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1,200.00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Printing of DPEd materials (books)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800.00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TA for Diploma in Education (Unicef Fund)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200.85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color w:val="000000"/>
                <w:sz w:val="18"/>
                <w:szCs w:val="18"/>
              </w:rPr>
            </w:pPr>
            <w:r w:rsidRPr="005F120D">
              <w:rPr>
                <w:rFonts w:asciiTheme="minorHAnsi" w:hAnsiTheme="minorHAnsi" w:cstheme="minorHAnsi"/>
                <w:color w:val="000000"/>
                <w:sz w:val="18"/>
                <w:szCs w:val="18"/>
              </w:rPr>
              <w:t>Support for DPEd Awarding Body</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38</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Diploma in Pry.</w:t>
            </w:r>
            <w:r w:rsidR="00A61F5E">
              <w:rPr>
                <w:rFonts w:asciiTheme="minorHAnsi" w:hAnsiTheme="minorHAnsi" w:cstheme="minorHAnsi"/>
                <w:sz w:val="18"/>
                <w:szCs w:val="18"/>
              </w:rPr>
              <w:t xml:space="preserve"> </w:t>
            </w:r>
            <w:r w:rsidRPr="005F120D">
              <w:rPr>
                <w:rFonts w:asciiTheme="minorHAnsi" w:hAnsiTheme="minorHAnsi" w:cstheme="minorHAnsi"/>
                <w:sz w:val="18"/>
                <w:szCs w:val="18"/>
              </w:rPr>
              <w:t>Education- implementation (stipend &amp; allowance)</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39</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Certificate- in-Education for assistant teachers</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680.00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40</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Sub-cluster training- training in 12000 (app) cluster</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4,096.00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lastRenderedPageBreak/>
              <w:t>41</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Orientation on competency based test  of field level officials</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2,185.00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42</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Subject based  refresher training</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4,200.00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43</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Subject based training other than 5 subjects </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3,140.00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44</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Teacher network </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401.00 </w:t>
            </w:r>
          </w:p>
        </w:tc>
      </w:tr>
      <w:tr w:rsidR="009F12C9" w:rsidRPr="005F120D" w:rsidTr="007C47C2">
        <w:trPr>
          <w:trHeight w:hRule="exact" w:val="487"/>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45</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Technical support for the introduction/ establishment    of PTI network (mechanism) for improved teacher education</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223.00 </w:t>
            </w:r>
          </w:p>
        </w:tc>
      </w:tr>
      <w:tr w:rsidR="009F12C9" w:rsidRPr="005F120D" w:rsidTr="007C47C2">
        <w:trPr>
          <w:trHeight w:hRule="exact" w:val="442"/>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46</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Technical support for the introduction/ establishment    of PTI network (mechanism) for improved teacher education </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280.20 </w:t>
            </w:r>
          </w:p>
        </w:tc>
      </w:tr>
      <w:tr w:rsidR="009F12C9" w:rsidRPr="005F120D" w:rsidTr="007C47C2">
        <w:trPr>
          <w:trHeight w:hRule="exact" w:val="676"/>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47</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Technical</w:t>
            </w:r>
            <w:r w:rsidR="009F12C9" w:rsidRPr="005F120D">
              <w:rPr>
                <w:rFonts w:asciiTheme="minorHAnsi" w:hAnsiTheme="minorHAnsi" w:cstheme="minorHAnsi"/>
                <w:sz w:val="18"/>
                <w:szCs w:val="18"/>
              </w:rPr>
              <w:t xml:space="preserve"> support f or the introduction of demand based teacher training and improved class room </w:t>
            </w:r>
            <w:r w:rsidRPr="005F120D">
              <w:rPr>
                <w:rFonts w:asciiTheme="minorHAnsi" w:hAnsiTheme="minorHAnsi" w:cstheme="minorHAnsi"/>
                <w:sz w:val="18"/>
                <w:szCs w:val="18"/>
              </w:rPr>
              <w:t>teaching</w:t>
            </w:r>
            <w:r w:rsidR="009F12C9" w:rsidRPr="005F120D">
              <w:rPr>
                <w:rFonts w:asciiTheme="minorHAnsi" w:hAnsiTheme="minorHAnsi" w:cstheme="minorHAnsi"/>
                <w:sz w:val="18"/>
                <w:szCs w:val="18"/>
              </w:rPr>
              <w:t xml:space="preserve"> through the </w:t>
            </w:r>
            <w:r w:rsidRPr="005F120D">
              <w:rPr>
                <w:rFonts w:asciiTheme="minorHAnsi" w:hAnsiTheme="minorHAnsi" w:cstheme="minorHAnsi"/>
                <w:sz w:val="18"/>
                <w:szCs w:val="18"/>
              </w:rPr>
              <w:t>dissemination</w:t>
            </w:r>
            <w:r w:rsidR="009F12C9" w:rsidRPr="005F120D">
              <w:rPr>
                <w:rFonts w:asciiTheme="minorHAnsi" w:hAnsiTheme="minorHAnsi" w:cstheme="minorHAnsi"/>
                <w:sz w:val="18"/>
                <w:szCs w:val="18"/>
              </w:rPr>
              <w:t xml:space="preserve">  of TPs (Jica Fund)</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214.00 </w:t>
            </w:r>
          </w:p>
        </w:tc>
      </w:tr>
      <w:tr w:rsidR="009F12C9" w:rsidRPr="005F120D" w:rsidTr="007C47C2">
        <w:trPr>
          <w:trHeight w:hRule="exact" w:val="433"/>
        </w:trPr>
        <w:tc>
          <w:tcPr>
            <w:tcW w:w="353" w:type="pct"/>
            <w:tcBorders>
              <w:top w:val="single" w:sz="4" w:space="0" w:color="auto"/>
              <w:left w:val="nil"/>
              <w:bottom w:val="single" w:sz="4" w:space="0" w:color="auto"/>
              <w:right w:val="single" w:sz="4" w:space="0" w:color="auto"/>
            </w:tcBorders>
            <w:shd w:val="clear" w:color="auto" w:fill="FFFFFF"/>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48</w:t>
            </w:r>
          </w:p>
        </w:tc>
        <w:tc>
          <w:tcPr>
            <w:tcW w:w="3014" w:type="pct"/>
            <w:tcBorders>
              <w:top w:val="single" w:sz="4" w:space="0" w:color="auto"/>
              <w:left w:val="single" w:sz="4" w:space="0" w:color="auto"/>
              <w:bottom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Need based technical support for development of DIP in ED curriculum and related </w:t>
            </w:r>
            <w:r w:rsidR="00BD348E" w:rsidRPr="005F120D">
              <w:rPr>
                <w:rFonts w:asciiTheme="minorHAnsi" w:hAnsiTheme="minorHAnsi" w:cstheme="minorHAnsi"/>
                <w:sz w:val="18"/>
                <w:szCs w:val="18"/>
              </w:rPr>
              <w:t>teaching</w:t>
            </w:r>
            <w:r w:rsidRPr="005F120D">
              <w:rPr>
                <w:rFonts w:asciiTheme="minorHAnsi" w:hAnsiTheme="minorHAnsi" w:cstheme="minorHAnsi"/>
                <w:sz w:val="18"/>
                <w:szCs w:val="18"/>
              </w:rPr>
              <w:t xml:space="preserve"> materials (Jica Fund)</w:t>
            </w:r>
          </w:p>
        </w:tc>
        <w:tc>
          <w:tcPr>
            <w:tcW w:w="793" w:type="pct"/>
            <w:tcBorders>
              <w:top w:val="single" w:sz="4" w:space="0" w:color="auto"/>
              <w:bottom w:val="single" w:sz="4" w:space="0" w:color="auto"/>
              <w:right w:val="single" w:sz="4" w:space="0" w:color="auto"/>
            </w:tcBorders>
            <w:shd w:val="clear" w:color="auto" w:fill="FFFFFF"/>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FFFFFF"/>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200.46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49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Second chance education </w:t>
            </w:r>
            <w:r w:rsidR="00E1394D" w:rsidRPr="005F120D">
              <w:rPr>
                <w:rFonts w:asciiTheme="minorHAnsi" w:hAnsiTheme="minorHAnsi" w:cstheme="minorHAnsi"/>
                <w:sz w:val="18"/>
                <w:szCs w:val="18"/>
              </w:rPr>
              <w:t xml:space="preserve">- </w:t>
            </w:r>
            <w:r w:rsidRPr="005F120D">
              <w:rPr>
                <w:rFonts w:asciiTheme="minorHAnsi" w:hAnsiTheme="minorHAnsi" w:cstheme="minorHAnsi"/>
                <w:sz w:val="18"/>
                <w:szCs w:val="18"/>
              </w:rPr>
              <w:t>never in school</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Second chance education- never in school </w:t>
            </w:r>
            <w:r w:rsidRPr="005F120D">
              <w:rPr>
                <w:rFonts w:asciiTheme="minorHAnsi" w:hAnsiTheme="minorHAnsi" w:cstheme="minorHAnsi"/>
                <w:sz w:val="18"/>
                <w:szCs w:val="18"/>
              </w:rPr>
              <w:br/>
              <w:t>(Unicef Fund)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448.62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Second Chance Education- school drop-out</w:t>
            </w:r>
            <w:r w:rsidR="00E1394D" w:rsidRPr="005F120D">
              <w:rPr>
                <w:rFonts w:asciiTheme="minorHAnsi" w:hAnsiTheme="minorHAnsi" w:cstheme="minorHAnsi"/>
                <w:sz w:val="18"/>
                <w:szCs w:val="18"/>
              </w:rPr>
              <w:t>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Second chance Education Division (Salary)</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PPE curriculum development</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PPE Materials development</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34.76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PPE database and mapping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6.18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PPE expansion plan </w:t>
            </w:r>
            <w:r w:rsidRPr="005F120D">
              <w:rPr>
                <w:rFonts w:asciiTheme="minorHAnsi" w:hAnsiTheme="minorHAnsi" w:cstheme="minorHAnsi"/>
                <w:sz w:val="18"/>
                <w:szCs w:val="18"/>
              </w:rPr>
              <w:br/>
              <w:t>(Unicef Fund)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61.80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Tryout of PPE materials (Unicef Fund)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393.97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Reporting on the complete database, mapping &amp; expansion plan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 </w:t>
            </w:r>
          </w:p>
        </w:tc>
      </w:tr>
      <w:tr w:rsidR="009F12C9" w:rsidRPr="005F120D" w:rsidTr="007C47C2">
        <w:trPr>
          <w:trHeight w:hRule="exact" w:val="424"/>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59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Teachers Training on newly developed PPE curriculum </w:t>
            </w:r>
            <w:r w:rsidR="00BD348E" w:rsidRPr="005F120D">
              <w:rPr>
                <w:rFonts w:asciiTheme="minorHAnsi" w:hAnsiTheme="minorHAnsi" w:cstheme="minorHAnsi"/>
                <w:sz w:val="18"/>
                <w:szCs w:val="18"/>
              </w:rPr>
              <w:t>until</w:t>
            </w:r>
            <w:r w:rsidRPr="005F120D">
              <w:rPr>
                <w:rFonts w:asciiTheme="minorHAnsi" w:hAnsiTheme="minorHAnsi" w:cstheme="minorHAnsi"/>
                <w:sz w:val="18"/>
                <w:szCs w:val="18"/>
              </w:rPr>
              <w:t xml:space="preserve"> the launching of the Dip-in-Ed. Course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1,800.00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PPE GPS salary: recruitment as per DLI protocol</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45,846.54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PPE NNGPS salary &amp; allowances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2,500.00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PPE operation cost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3,268.25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Block grants </w:t>
            </w:r>
            <w:r w:rsidR="004C6ED7" w:rsidRPr="005F120D">
              <w:rPr>
                <w:rFonts w:asciiTheme="minorHAnsi" w:hAnsiTheme="minorHAnsi" w:cstheme="minorHAnsi"/>
                <w:sz w:val="18"/>
                <w:szCs w:val="18"/>
              </w:rPr>
              <w:t xml:space="preserve">for </w:t>
            </w:r>
            <w:r w:rsidRPr="005F120D">
              <w:rPr>
                <w:rFonts w:asciiTheme="minorHAnsi" w:hAnsiTheme="minorHAnsi" w:cstheme="minorHAnsi"/>
                <w:sz w:val="18"/>
                <w:szCs w:val="18"/>
              </w:rPr>
              <w:t>UPEP</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254.00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Implementation of Gender &amp; IE action plan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Training activities on inclusive education for teachers (with </w:t>
            </w:r>
            <w:r w:rsidR="00825821" w:rsidRPr="005F120D">
              <w:rPr>
                <w:rFonts w:asciiTheme="minorHAnsi" w:hAnsiTheme="minorHAnsi" w:cstheme="minorHAnsi"/>
                <w:sz w:val="18"/>
                <w:szCs w:val="18"/>
              </w:rPr>
              <w:t>dissemination</w:t>
            </w:r>
            <w:r w:rsidRPr="005F120D">
              <w:rPr>
                <w:rFonts w:asciiTheme="minorHAnsi" w:hAnsiTheme="minorHAnsi" w:cstheme="minorHAnsi"/>
                <w:sz w:val="18"/>
                <w:szCs w:val="18"/>
              </w:rPr>
              <w:t xml:space="preserve"> of Gender tool kits)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38.00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Ensuring all children are in learning process &amp; action to ensure corporal punishment is abolished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Professional skill development of IE focal persons at all levels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8.00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Develop the Gender and Inclusive Education implementation through TA Support </w:t>
            </w:r>
            <w:r w:rsidRPr="005F120D">
              <w:rPr>
                <w:rFonts w:asciiTheme="minorHAnsi" w:hAnsiTheme="minorHAnsi" w:cstheme="minorHAnsi"/>
                <w:sz w:val="18"/>
                <w:szCs w:val="18"/>
              </w:rPr>
              <w:br/>
              <w:t>(Unicef Fund)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312.80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69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Implementation of </w:t>
            </w:r>
            <w:r w:rsidR="00825821" w:rsidRPr="005F120D">
              <w:rPr>
                <w:rFonts w:asciiTheme="minorHAnsi" w:hAnsiTheme="minorHAnsi" w:cstheme="minorHAnsi"/>
                <w:sz w:val="18"/>
                <w:szCs w:val="18"/>
              </w:rPr>
              <w:t>multilingual</w:t>
            </w:r>
            <w:r w:rsidRPr="005F120D">
              <w:rPr>
                <w:rFonts w:asciiTheme="minorHAnsi" w:hAnsiTheme="minorHAnsi" w:cstheme="minorHAnsi"/>
                <w:sz w:val="18"/>
                <w:szCs w:val="18"/>
              </w:rPr>
              <w:t xml:space="preserve"> education for the ethnic tribal children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NCTB</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Teacher training on IE for Autism</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Education in Emergency (Unicef TA support)</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56.39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Education in emergency - fund for reconstruction &amp; rehabilitation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800.00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825821" w:rsidP="00B25E46">
            <w:pPr>
              <w:rPr>
                <w:rFonts w:asciiTheme="minorHAnsi" w:hAnsiTheme="minorHAnsi" w:cstheme="minorHAnsi"/>
                <w:color w:val="000000"/>
                <w:sz w:val="18"/>
                <w:szCs w:val="18"/>
              </w:rPr>
            </w:pPr>
            <w:r w:rsidRPr="005F120D">
              <w:rPr>
                <w:rFonts w:asciiTheme="minorHAnsi" w:hAnsiTheme="minorHAnsi" w:cstheme="minorHAnsi"/>
                <w:color w:val="000000"/>
                <w:sz w:val="18"/>
                <w:szCs w:val="18"/>
              </w:rPr>
              <w:t>need based</w:t>
            </w:r>
            <w:r w:rsidR="009F12C9" w:rsidRPr="005F120D">
              <w:rPr>
                <w:rFonts w:asciiTheme="minorHAnsi" w:hAnsiTheme="minorHAnsi" w:cstheme="minorHAnsi"/>
                <w:color w:val="000000"/>
                <w:sz w:val="18"/>
                <w:szCs w:val="18"/>
              </w:rPr>
              <w:t xml:space="preserve"> support for EiE schools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EiE module of PEPMIS Software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sz w:val="18"/>
                <w:szCs w:val="18"/>
              </w:rPr>
            </w:pPr>
            <w:r w:rsidRPr="005F120D">
              <w:rPr>
                <w:rFonts w:asciiTheme="minorHAnsi" w:hAnsiTheme="minorHAnsi" w:cstheme="minorHAnsi"/>
                <w:sz w:val="18"/>
                <w:szCs w:val="18"/>
              </w:rPr>
              <w:t xml:space="preserve">                   8.00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Communication and Social Mobilization (Unicef support)</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57.93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Workshop on Communication and Social Mobilization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Implementation of communication for development strategy (Mass media, Traditional, Innovative &amp; print media) </w:t>
            </w:r>
            <w:r w:rsidRPr="005F120D">
              <w:rPr>
                <w:rFonts w:asciiTheme="minorHAnsi" w:hAnsiTheme="minorHAnsi" w:cstheme="minorHAnsi"/>
                <w:sz w:val="18"/>
                <w:szCs w:val="18"/>
              </w:rPr>
              <w:br/>
              <w:t>(Unicef Fud)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15.45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Media for Soc Mob (TV drama, </w:t>
            </w:r>
            <w:r w:rsidR="00825821" w:rsidRPr="005F120D">
              <w:rPr>
                <w:rFonts w:asciiTheme="minorHAnsi" w:hAnsiTheme="minorHAnsi" w:cstheme="minorHAnsi"/>
                <w:sz w:val="18"/>
                <w:szCs w:val="18"/>
              </w:rPr>
              <w:t xml:space="preserve">Meena cartoon, </w:t>
            </w:r>
            <w:r w:rsidRPr="005F120D">
              <w:rPr>
                <w:rFonts w:asciiTheme="minorHAnsi" w:hAnsiTheme="minorHAnsi" w:cstheme="minorHAnsi"/>
                <w:sz w:val="18"/>
                <w:szCs w:val="18"/>
              </w:rPr>
              <w:t>TV spot &amp; other mat dev.)</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180.00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79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Media for Soc Mob (TV drama, </w:t>
            </w:r>
            <w:r w:rsidR="00825821" w:rsidRPr="005F120D">
              <w:rPr>
                <w:rFonts w:asciiTheme="minorHAnsi" w:hAnsiTheme="minorHAnsi" w:cstheme="minorHAnsi"/>
                <w:sz w:val="18"/>
                <w:szCs w:val="18"/>
              </w:rPr>
              <w:t xml:space="preserve">Meena cartoon, </w:t>
            </w:r>
            <w:r w:rsidRPr="005F120D">
              <w:rPr>
                <w:rFonts w:asciiTheme="minorHAnsi" w:hAnsiTheme="minorHAnsi" w:cstheme="minorHAnsi"/>
                <w:sz w:val="18"/>
                <w:szCs w:val="18"/>
              </w:rPr>
              <w:t xml:space="preserve">TV spot &amp; other mat dev.) </w:t>
            </w:r>
            <w:r w:rsidRPr="005F120D">
              <w:rPr>
                <w:rFonts w:asciiTheme="minorHAnsi" w:hAnsiTheme="minorHAnsi" w:cstheme="minorHAnsi"/>
                <w:sz w:val="18"/>
                <w:szCs w:val="18"/>
              </w:rPr>
              <w:br/>
              <w:t>(Unicef Fund)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7.72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Printing- comm</w:t>
            </w:r>
            <w:r w:rsidR="00825821" w:rsidRPr="005F120D">
              <w:rPr>
                <w:rFonts w:asciiTheme="minorHAnsi" w:hAnsiTheme="minorHAnsi" w:cstheme="minorHAnsi"/>
                <w:sz w:val="18"/>
                <w:szCs w:val="18"/>
              </w:rPr>
              <w:t>unication</w:t>
            </w:r>
            <w:r w:rsidRPr="005F120D">
              <w:rPr>
                <w:rFonts w:asciiTheme="minorHAnsi" w:hAnsiTheme="minorHAnsi" w:cstheme="minorHAnsi"/>
                <w:sz w:val="18"/>
                <w:szCs w:val="18"/>
              </w:rPr>
              <w:t>&amp; soc mob materials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Broadcasting for Soc Mob (in TV &amp; Radio)</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Bangabandhu gold-cup football tournament</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Bangamata Begum Fazilatunnesa Mujib gold-cup football tournament</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E1394D" w:rsidP="00B25E46">
            <w:pPr>
              <w:rPr>
                <w:rFonts w:asciiTheme="minorHAnsi" w:hAnsiTheme="minorHAnsi" w:cstheme="minorHAnsi"/>
                <w:sz w:val="18"/>
                <w:szCs w:val="18"/>
              </w:rPr>
            </w:pPr>
            <w:r w:rsidRPr="005F120D">
              <w:rPr>
                <w:rFonts w:asciiTheme="minorHAnsi" w:hAnsiTheme="minorHAnsi" w:cstheme="minorHAnsi"/>
                <w:sz w:val="18"/>
                <w:szCs w:val="18"/>
              </w:rPr>
              <w:t>National Events (E</w:t>
            </w:r>
            <w:r w:rsidR="009F12C9" w:rsidRPr="005F120D">
              <w:rPr>
                <w:rFonts w:asciiTheme="minorHAnsi" w:hAnsiTheme="minorHAnsi" w:cstheme="minorHAnsi"/>
                <w:sz w:val="18"/>
                <w:szCs w:val="18"/>
              </w:rPr>
              <w:t>ducation week, EFA, ICT Fair, national days &amp; others)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52.00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National Events (Education week, EFA, Meena day, </w:t>
            </w:r>
            <w:r w:rsidR="00825821" w:rsidRPr="005F120D">
              <w:rPr>
                <w:rFonts w:asciiTheme="minorHAnsi" w:hAnsiTheme="minorHAnsi" w:cstheme="minorHAnsi"/>
                <w:sz w:val="18"/>
                <w:szCs w:val="18"/>
              </w:rPr>
              <w:t>Education</w:t>
            </w:r>
            <w:r w:rsidRPr="005F120D">
              <w:rPr>
                <w:rFonts w:asciiTheme="minorHAnsi" w:hAnsiTheme="minorHAnsi" w:cstheme="minorHAnsi"/>
                <w:sz w:val="18"/>
                <w:szCs w:val="18"/>
              </w:rPr>
              <w:t xml:space="preserve"> Fair, National </w:t>
            </w:r>
            <w:r w:rsidR="00570223" w:rsidRPr="005F120D">
              <w:rPr>
                <w:rFonts w:asciiTheme="minorHAnsi" w:hAnsiTheme="minorHAnsi" w:cstheme="minorHAnsi"/>
                <w:sz w:val="18"/>
                <w:szCs w:val="18"/>
              </w:rPr>
              <w:t>days, IPT</w:t>
            </w:r>
            <w:r w:rsidRPr="005F120D">
              <w:rPr>
                <w:rFonts w:asciiTheme="minorHAnsi" w:hAnsiTheme="minorHAnsi" w:cstheme="minorHAnsi"/>
                <w:sz w:val="18"/>
                <w:szCs w:val="18"/>
              </w:rPr>
              <w:t>&amp; others) (Unicef Fund)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23.17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54458" w:rsidP="00B25E46">
            <w:pPr>
              <w:rPr>
                <w:rFonts w:asciiTheme="minorHAnsi" w:hAnsiTheme="minorHAnsi" w:cstheme="minorHAnsi"/>
                <w:sz w:val="18"/>
                <w:szCs w:val="18"/>
              </w:rPr>
            </w:pPr>
            <w:r w:rsidRPr="005F120D">
              <w:rPr>
                <w:rFonts w:asciiTheme="minorHAnsi" w:hAnsiTheme="minorHAnsi" w:cstheme="minorHAnsi"/>
                <w:sz w:val="18"/>
                <w:szCs w:val="18"/>
              </w:rPr>
              <w:t>National Events (E</w:t>
            </w:r>
            <w:r w:rsidR="009F12C9" w:rsidRPr="005F120D">
              <w:rPr>
                <w:rFonts w:asciiTheme="minorHAnsi" w:hAnsiTheme="minorHAnsi" w:cstheme="minorHAnsi"/>
                <w:sz w:val="18"/>
                <w:szCs w:val="18"/>
              </w:rPr>
              <w:t xml:space="preserve">ducation week, EFA, Meena day, </w:t>
            </w:r>
            <w:r w:rsidR="00825821" w:rsidRPr="005F120D">
              <w:rPr>
                <w:rFonts w:asciiTheme="minorHAnsi" w:hAnsiTheme="minorHAnsi" w:cstheme="minorHAnsi"/>
                <w:sz w:val="18"/>
                <w:szCs w:val="18"/>
              </w:rPr>
              <w:t>Education</w:t>
            </w:r>
            <w:r w:rsidR="009F12C9" w:rsidRPr="005F120D">
              <w:rPr>
                <w:rFonts w:asciiTheme="minorHAnsi" w:hAnsiTheme="minorHAnsi" w:cstheme="minorHAnsi"/>
                <w:sz w:val="18"/>
                <w:szCs w:val="18"/>
              </w:rPr>
              <w:t xml:space="preserve"> Fair, National days &amp; others)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Inter-school cultural &amp; sports competition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P&amp;O</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Inter-PTI cultural competition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89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54458" w:rsidP="00B25E46">
            <w:pPr>
              <w:rPr>
                <w:rFonts w:asciiTheme="minorHAnsi" w:hAnsiTheme="minorHAnsi" w:cstheme="minorHAnsi"/>
                <w:sz w:val="18"/>
                <w:szCs w:val="18"/>
              </w:rPr>
            </w:pPr>
            <w:r w:rsidRPr="005F120D">
              <w:rPr>
                <w:rFonts w:asciiTheme="minorHAnsi" w:hAnsiTheme="minorHAnsi" w:cstheme="minorHAnsi"/>
                <w:sz w:val="18"/>
                <w:szCs w:val="18"/>
              </w:rPr>
              <w:t xml:space="preserve">School Health </w:t>
            </w:r>
            <w:r w:rsidR="009F12C9" w:rsidRPr="005F120D">
              <w:rPr>
                <w:rFonts w:asciiTheme="minorHAnsi" w:hAnsiTheme="minorHAnsi" w:cstheme="minorHAnsi"/>
                <w:sz w:val="18"/>
                <w:szCs w:val="18"/>
              </w:rPr>
              <w:t xml:space="preserve">Education &amp; Check-up </w:t>
            </w:r>
            <w:r w:rsidR="009F12C9" w:rsidRPr="005F120D">
              <w:rPr>
                <w:rFonts w:asciiTheme="minorHAnsi" w:hAnsiTheme="minorHAnsi" w:cstheme="minorHAnsi"/>
                <w:sz w:val="18"/>
                <w:szCs w:val="18"/>
              </w:rPr>
              <w:br/>
              <w:t>(Unicef Fund)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220.00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First Aid Box to GPS with training</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lastRenderedPageBreak/>
              <w:t>91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Toilet for male teachers and boys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Toilet for female teachers and girls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Sinking of Deep Tube Well</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Sinking of Shallow Tube Well</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Sinking of Tara Pump</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750.00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Sinking of tube well - other options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Test for Arsenic Contamination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230.00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Professional fee for DPHE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900.00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99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Furniture for school</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7,400.00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Repair of toilet for male teachers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Boundary wall/ green/ play ground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Improvement of classroom environment including provision of book corner and materials </w:t>
            </w:r>
            <w:r w:rsidRPr="005F120D">
              <w:rPr>
                <w:rFonts w:asciiTheme="minorHAnsi" w:hAnsiTheme="minorHAnsi" w:cstheme="minorHAnsi"/>
                <w:sz w:val="18"/>
                <w:szCs w:val="18"/>
              </w:rPr>
              <w:br/>
              <w:t>(Unicef Fund)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714.70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Construction of schools - GPS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Construction of additional classrooms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119,408.41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Major maintenance of schools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Professional Fee for LGED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2,800.00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Repair and maintenance of schools- major cat. 2</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Routine maintenance of schools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109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PTI expansion works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Construction of Auditorium</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URC (new) construction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Repair works of URCs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Furniture for URCs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315.00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UEO expansion works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Construction of TEO offices in Dhaka and Chittagong city</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Computers/ Laptops, UPS, volt stabilizer for PTI, UEO, URC</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609.60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Laptop for 29 PTIs for DPEd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182.40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Printers (laser &amp; colour) &amp; scanner for PTI, UEO, URC</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103.00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119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825821" w:rsidP="00B25E46">
            <w:pPr>
              <w:rPr>
                <w:rFonts w:asciiTheme="minorHAnsi" w:hAnsiTheme="minorHAnsi" w:cstheme="minorHAnsi"/>
                <w:sz w:val="18"/>
                <w:szCs w:val="18"/>
              </w:rPr>
            </w:pPr>
            <w:r w:rsidRPr="005F120D">
              <w:rPr>
                <w:rFonts w:asciiTheme="minorHAnsi" w:hAnsiTheme="minorHAnsi" w:cstheme="minorHAnsi"/>
                <w:sz w:val="18"/>
                <w:szCs w:val="18"/>
              </w:rPr>
              <w:t>Multimedia</w:t>
            </w:r>
            <w:r w:rsidR="009F12C9" w:rsidRPr="005F120D">
              <w:rPr>
                <w:rFonts w:asciiTheme="minorHAnsi" w:hAnsiTheme="minorHAnsi" w:cstheme="minorHAnsi"/>
                <w:sz w:val="18"/>
                <w:szCs w:val="18"/>
              </w:rPr>
              <w:t xml:space="preserve"> projector for PTI, UEO, URC</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323.40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Photocopier for PTIs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24.00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Microbus for PTIs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900.00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Motorbikes for UEO, AUEO, AMO</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1,927.00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Additional PTI officer</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261.67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Additional PTI staff</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85.00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Additional UEO staff</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Additional URC officer</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Additional URC staff</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SLIP stakeholder training</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2,500.00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129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SLIP master training refresher</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52.00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SLIP school funding</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25,600.00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UPEP master training</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UPEP Upazila Funding</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5.30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Head teacher training on school level leadership</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2,600.00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Construction works - DPE HO expansion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Construction works - Div office rest house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Construction works - DPEO  expansion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Construction works - leadership training centre at Cox's Bazar</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Construction works - NAPE expansion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139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Computers/ Laptops, UPS, volt stabilizer for DPE, DD, DPEO</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139.20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140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825821" w:rsidP="00B25E46">
            <w:pPr>
              <w:rPr>
                <w:rFonts w:asciiTheme="minorHAnsi" w:hAnsiTheme="minorHAnsi" w:cstheme="minorHAnsi"/>
                <w:sz w:val="18"/>
                <w:szCs w:val="18"/>
              </w:rPr>
            </w:pPr>
            <w:r w:rsidRPr="005F120D">
              <w:rPr>
                <w:rFonts w:asciiTheme="minorHAnsi" w:hAnsiTheme="minorHAnsi" w:cstheme="minorHAnsi"/>
                <w:sz w:val="18"/>
                <w:szCs w:val="18"/>
              </w:rPr>
              <w:t>Established</w:t>
            </w:r>
            <w:r w:rsidR="00EC1F70">
              <w:rPr>
                <w:rFonts w:asciiTheme="minorHAnsi" w:hAnsiTheme="minorHAnsi" w:cstheme="minorHAnsi"/>
                <w:sz w:val="18"/>
                <w:szCs w:val="18"/>
              </w:rPr>
              <w:t xml:space="preserve"> </w:t>
            </w:r>
            <w:r w:rsidRPr="005F120D">
              <w:rPr>
                <w:rFonts w:asciiTheme="minorHAnsi" w:hAnsiTheme="minorHAnsi" w:cstheme="minorHAnsi"/>
                <w:sz w:val="18"/>
                <w:szCs w:val="18"/>
              </w:rPr>
              <w:t>maintenance</w:t>
            </w:r>
            <w:r w:rsidR="009F12C9" w:rsidRPr="005F120D">
              <w:rPr>
                <w:rFonts w:asciiTheme="minorHAnsi" w:hAnsiTheme="minorHAnsi" w:cstheme="minorHAnsi"/>
                <w:sz w:val="18"/>
                <w:szCs w:val="18"/>
              </w:rPr>
              <w:t xml:space="preserve"> data center and WiFi system</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141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Hardware &amp; software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142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Maintenance of computers, accessories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IMD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143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Printers (laser &amp; colour) &amp; scanner for DPE, DD, DPEO</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28.80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144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4C6ED7" w:rsidP="00B25E46">
            <w:pPr>
              <w:rPr>
                <w:rFonts w:asciiTheme="minorHAnsi" w:hAnsiTheme="minorHAnsi" w:cstheme="minorHAnsi"/>
                <w:sz w:val="18"/>
                <w:szCs w:val="18"/>
              </w:rPr>
            </w:pPr>
            <w:r w:rsidRPr="005F120D">
              <w:rPr>
                <w:rFonts w:asciiTheme="minorHAnsi" w:hAnsiTheme="minorHAnsi" w:cstheme="minorHAnsi"/>
                <w:sz w:val="18"/>
                <w:szCs w:val="18"/>
              </w:rPr>
              <w:t>Multimedia</w:t>
            </w:r>
            <w:r w:rsidR="009F12C9" w:rsidRPr="005F120D">
              <w:rPr>
                <w:rFonts w:asciiTheme="minorHAnsi" w:hAnsiTheme="minorHAnsi" w:cstheme="minorHAnsi"/>
                <w:sz w:val="18"/>
                <w:szCs w:val="18"/>
              </w:rPr>
              <w:t xml:space="preserve"> projector for DPE, DD, DPEO</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145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Photocopier for DPE, DD, DPEO</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21.00 </w:t>
            </w:r>
          </w:p>
        </w:tc>
      </w:tr>
      <w:tr w:rsidR="009F12C9" w:rsidRPr="005F120D" w:rsidTr="007C47C2">
        <w:trPr>
          <w:trHeight w:hRule="exact" w:val="424"/>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lastRenderedPageBreak/>
              <w:t>146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Equipment - </w:t>
            </w:r>
            <w:r w:rsidR="00825821" w:rsidRPr="005F120D">
              <w:rPr>
                <w:rFonts w:asciiTheme="minorHAnsi" w:hAnsiTheme="minorHAnsi" w:cstheme="minorHAnsi"/>
                <w:sz w:val="18"/>
                <w:szCs w:val="18"/>
              </w:rPr>
              <w:t>isograph</w:t>
            </w:r>
            <w:r w:rsidRPr="005F120D">
              <w:rPr>
                <w:rFonts w:asciiTheme="minorHAnsi" w:hAnsiTheme="minorHAnsi" w:cstheme="minorHAnsi"/>
                <w:sz w:val="18"/>
                <w:szCs w:val="18"/>
              </w:rPr>
              <w:t>, fire alarm &amp; extinguisher, PABX, CC TV, water refiner machine, floor cleaner, scanner (for vehicle and bag), drinking water purification kits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106.00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147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Jeep, for DPE, DD, DPEO</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870.00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148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Microbus for DPE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149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Additional manpower DPE officer</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Additional manpower DPE staff</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Additional manpower DD Office- officer</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Additional manpower DD Office- staff</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Study on Gr 5 terminal examination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Additional Manpower for Hostel in Hill-tract</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13.00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Annual School Census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M&amp;E</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317.00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Orientation &amp; Workshop on ASC</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174.40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National Assessment of Students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M&amp;E</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52.00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color w:val="000000"/>
                <w:sz w:val="18"/>
                <w:szCs w:val="18"/>
              </w:rPr>
            </w:pPr>
            <w:r w:rsidRPr="005F120D">
              <w:rPr>
                <w:rFonts w:asciiTheme="minorHAnsi" w:hAnsiTheme="minorHAnsi" w:cstheme="minorHAnsi"/>
                <w:color w:val="000000"/>
                <w:sz w:val="18"/>
                <w:szCs w:val="18"/>
              </w:rPr>
              <w:t>Workshop for subject teachers for NSA</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M&amp;E</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159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Dissemination workshop on NSA report 2013 &amp; 2015</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M&amp;E</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70.00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Jeep-1 and microbus-1 for PSO</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122.00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Jeep- 1 and microbus-1 for Program Division</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47.00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Furniture for DPE and field offices, PSO &amp; PSU</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125.00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Study (t.b.d) managed by </w:t>
            </w:r>
            <w:r w:rsidR="00BD348E" w:rsidRPr="005F120D">
              <w:rPr>
                <w:rFonts w:asciiTheme="minorHAnsi" w:hAnsiTheme="minorHAnsi" w:cstheme="minorHAnsi"/>
                <w:sz w:val="18"/>
                <w:szCs w:val="18"/>
              </w:rPr>
              <w:t>Program</w:t>
            </w:r>
            <w:r w:rsidRPr="005F120D">
              <w:rPr>
                <w:rFonts w:asciiTheme="minorHAnsi" w:hAnsiTheme="minorHAnsi" w:cstheme="minorHAnsi"/>
                <w:sz w:val="18"/>
                <w:szCs w:val="18"/>
              </w:rPr>
              <w:t xml:space="preserve"> Div</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Workshop/ seminar (t.b.d) managed by </w:t>
            </w:r>
            <w:r w:rsidR="00BD348E" w:rsidRPr="005F120D">
              <w:rPr>
                <w:rFonts w:asciiTheme="minorHAnsi" w:hAnsiTheme="minorHAnsi" w:cstheme="minorHAnsi"/>
                <w:sz w:val="18"/>
                <w:szCs w:val="18"/>
              </w:rPr>
              <w:t>Program</w:t>
            </w:r>
            <w:r w:rsidRPr="005F120D">
              <w:rPr>
                <w:rFonts w:asciiTheme="minorHAnsi" w:hAnsiTheme="minorHAnsi" w:cstheme="minorHAnsi"/>
                <w:sz w:val="18"/>
                <w:szCs w:val="18"/>
              </w:rPr>
              <w:t xml:space="preserve"> Div</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International consultant through package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International consultant (pool) individual</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National consultant through package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500.00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National consultant (pool) individual</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 </w:t>
            </w:r>
          </w:p>
        </w:tc>
      </w:tr>
      <w:tr w:rsidR="009F12C9" w:rsidRPr="005F120D" w:rsidTr="007C47C2">
        <w:trPr>
          <w:trHeight w:hRule="exact" w:val="451"/>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169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National consultant (pool) individual - FM, procurement and IT specialist for CAS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BD348E" w:rsidP="00B25E46">
            <w:pPr>
              <w:rPr>
                <w:rFonts w:asciiTheme="minorHAnsi" w:hAnsiTheme="minorHAnsi" w:cstheme="minorHAnsi"/>
                <w:sz w:val="18"/>
                <w:szCs w:val="18"/>
              </w:rPr>
            </w:pPr>
            <w:r w:rsidRPr="005F120D">
              <w:rPr>
                <w:rFonts w:asciiTheme="minorHAnsi" w:hAnsiTheme="minorHAnsi" w:cstheme="minorHAnsi"/>
                <w:sz w:val="18"/>
                <w:szCs w:val="18"/>
              </w:rPr>
              <w:t>Program</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70.00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National consultant (pool) individual - CR and TED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65.00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PSO at MOPME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Program Div Officer</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Program Div Staff</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16.00 </w:t>
            </w:r>
          </w:p>
        </w:tc>
      </w:tr>
      <w:tr w:rsidR="009F12C9" w:rsidRPr="005F120D" w:rsidTr="007C47C2">
        <w:trPr>
          <w:trHeight w:hRule="exact" w:val="289"/>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Operational Cost of PEDP3 (supplies &amp;</w:t>
            </w:r>
            <w:r w:rsidR="00825821" w:rsidRPr="005F120D">
              <w:rPr>
                <w:rFonts w:asciiTheme="minorHAnsi" w:hAnsiTheme="minorHAnsi" w:cstheme="minorHAnsi"/>
                <w:sz w:val="18"/>
                <w:szCs w:val="18"/>
              </w:rPr>
              <w:t>services</w:t>
            </w:r>
            <w:r w:rsidRPr="005F120D">
              <w:rPr>
                <w:rFonts w:asciiTheme="minorHAnsi" w:hAnsiTheme="minorHAnsi" w:cstheme="minorHAnsi"/>
                <w:sz w:val="18"/>
                <w:szCs w:val="18"/>
              </w:rPr>
              <w:t xml:space="preserve"> and repair and maintenance)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FPD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2,519.25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DPE office maintenance</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Admin</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171.00 </w:t>
            </w:r>
          </w:p>
        </w:tc>
      </w:tr>
      <w:tr w:rsidR="009F12C9" w:rsidRPr="005F120D" w:rsidTr="007C47C2">
        <w:trPr>
          <w:trHeight w:hRule="exact" w:val="307"/>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 Developing computerized accounting system (Hardware and Software)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FPD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 on  financial management</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Workshop &amp; Seminar</w:t>
            </w:r>
            <w:r w:rsidRPr="005F120D">
              <w:rPr>
                <w:rFonts w:asciiTheme="minorHAnsi" w:hAnsiTheme="minorHAnsi" w:cstheme="minorHAnsi"/>
                <w:sz w:val="18"/>
                <w:szCs w:val="18"/>
              </w:rPr>
              <w:br/>
              <w:t>QSTF</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M&amp;E</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28.00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179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Workshop &amp; Seminar</w:t>
            </w:r>
            <w:r w:rsidRPr="005F120D">
              <w:rPr>
                <w:rFonts w:asciiTheme="minorHAnsi" w:hAnsiTheme="minorHAnsi" w:cstheme="minorHAnsi"/>
                <w:sz w:val="18"/>
                <w:szCs w:val="18"/>
              </w:rPr>
              <w:br/>
              <w:t>QSTF</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M&amp;E</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66.00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180</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Progress review meeting Divisional level</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M&amp;E</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72.50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181</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ASPR</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M&amp;E</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70.20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182</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Academic supervision for AUEOs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408.03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183</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 of URC Instructor and Ass</w:t>
            </w:r>
            <w:r w:rsidR="00825821" w:rsidRPr="005F120D">
              <w:rPr>
                <w:rFonts w:asciiTheme="minorHAnsi" w:hAnsiTheme="minorHAnsi" w:cstheme="minorHAnsi"/>
                <w:sz w:val="18"/>
                <w:szCs w:val="18"/>
              </w:rPr>
              <w:t>is</w:t>
            </w:r>
            <w:r w:rsidRPr="005F120D">
              <w:rPr>
                <w:rFonts w:asciiTheme="minorHAnsi" w:hAnsiTheme="minorHAnsi" w:cstheme="minorHAnsi"/>
                <w:sz w:val="18"/>
                <w:szCs w:val="18"/>
              </w:rPr>
              <w:t>t</w:t>
            </w:r>
            <w:r w:rsidR="00825821" w:rsidRPr="005F120D">
              <w:rPr>
                <w:rFonts w:asciiTheme="minorHAnsi" w:hAnsiTheme="minorHAnsi" w:cstheme="minorHAnsi"/>
                <w:sz w:val="18"/>
                <w:szCs w:val="18"/>
              </w:rPr>
              <w:t>ant</w:t>
            </w:r>
            <w:r w:rsidRPr="005F120D">
              <w:rPr>
                <w:rFonts w:asciiTheme="minorHAnsi" w:hAnsiTheme="minorHAnsi" w:cstheme="minorHAnsi"/>
                <w:sz w:val="18"/>
                <w:szCs w:val="18"/>
              </w:rPr>
              <w:t xml:space="preserve"> Instructor (1 month Training)</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60.00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184</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Dev. of course &amp; content for NAPE &amp; PTI incl. workshops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230.00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185</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 of management and staff - central level, DPEO, ADPEO, AD</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24.00 </w:t>
            </w:r>
          </w:p>
        </w:tc>
      </w:tr>
      <w:tr w:rsidR="009F12C9" w:rsidRPr="005F120D" w:rsidTr="007C47C2">
        <w:trPr>
          <w:trHeight w:hRule="exact" w:val="451"/>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186</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 of management and staff -DPE and field level (office management and computer)</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187</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 xml:space="preserve">Overseas training </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1,900.00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188</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  and Higher studies (Local &amp; overseas)</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Training</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350.00 </w:t>
            </w:r>
          </w:p>
        </w:tc>
      </w:tr>
      <w:tr w:rsidR="009F12C9" w:rsidRPr="005F120D" w:rsidTr="007C47C2">
        <w:trPr>
          <w:trHeight w:hRule="exact" w:val="230"/>
        </w:trPr>
        <w:tc>
          <w:tcPr>
            <w:tcW w:w="353" w:type="pct"/>
            <w:tcBorders>
              <w:top w:val="single" w:sz="4" w:space="0" w:color="auto"/>
              <w:left w:val="nil"/>
              <w:bottom w:val="single" w:sz="4" w:space="0" w:color="auto"/>
              <w:right w:val="single" w:sz="4" w:space="0" w:color="auto"/>
            </w:tcBorders>
            <w:shd w:val="clear" w:color="auto" w:fill="auto"/>
          </w:tcPr>
          <w:p w:rsidR="009F12C9" w:rsidRPr="005F120D" w:rsidRDefault="009F12C9" w:rsidP="00B25E46">
            <w:pPr>
              <w:pStyle w:val="NoSpacing"/>
              <w:rPr>
                <w:rFonts w:asciiTheme="minorHAnsi" w:eastAsia="Calibri" w:hAnsiTheme="minorHAnsi" w:cstheme="minorHAnsi"/>
                <w:sz w:val="18"/>
                <w:szCs w:val="18"/>
              </w:rPr>
            </w:pPr>
            <w:r w:rsidRPr="005F120D">
              <w:rPr>
                <w:rFonts w:asciiTheme="minorHAnsi" w:eastAsia="Calibri" w:hAnsiTheme="minorHAnsi" w:cstheme="minorHAnsi"/>
                <w:sz w:val="18"/>
                <w:szCs w:val="18"/>
              </w:rPr>
              <w:t>189</w:t>
            </w:r>
          </w:p>
        </w:tc>
        <w:tc>
          <w:tcPr>
            <w:tcW w:w="3014" w:type="pct"/>
            <w:tcBorders>
              <w:top w:val="single" w:sz="4" w:space="0" w:color="auto"/>
              <w:left w:val="single" w:sz="4" w:space="0" w:color="auto"/>
              <w:bottom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Public Private Partnership</w:t>
            </w:r>
          </w:p>
        </w:tc>
        <w:tc>
          <w:tcPr>
            <w:tcW w:w="793" w:type="pct"/>
            <w:tcBorders>
              <w:top w:val="single" w:sz="4" w:space="0" w:color="auto"/>
              <w:bottom w:val="single" w:sz="4" w:space="0" w:color="auto"/>
              <w:right w:val="single" w:sz="4" w:space="0" w:color="auto"/>
            </w:tcBorders>
            <w:shd w:val="clear" w:color="auto" w:fill="auto"/>
          </w:tcPr>
          <w:p w:rsidR="009F12C9" w:rsidRPr="005F120D" w:rsidRDefault="009F12C9" w:rsidP="00B25E46">
            <w:pPr>
              <w:rPr>
                <w:rFonts w:asciiTheme="minorHAnsi" w:hAnsiTheme="minorHAnsi" w:cstheme="minorHAnsi"/>
                <w:sz w:val="18"/>
                <w:szCs w:val="18"/>
              </w:rPr>
            </w:pPr>
            <w:r w:rsidRPr="005F120D">
              <w:rPr>
                <w:rFonts w:asciiTheme="minorHAnsi" w:hAnsiTheme="minorHAnsi" w:cstheme="minorHAnsi"/>
                <w:sz w:val="18"/>
                <w:szCs w:val="18"/>
              </w:rPr>
              <w:t>P&amp;D</w:t>
            </w:r>
          </w:p>
        </w:tc>
        <w:tc>
          <w:tcPr>
            <w:tcW w:w="840" w:type="pct"/>
            <w:tcBorders>
              <w:top w:val="single" w:sz="4" w:space="0" w:color="auto"/>
              <w:left w:val="single" w:sz="4" w:space="0" w:color="auto"/>
              <w:bottom w:val="single" w:sz="4" w:space="0" w:color="auto"/>
              <w:right w:val="nil"/>
            </w:tcBorders>
            <w:shd w:val="clear" w:color="auto" w:fill="auto"/>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 xml:space="preserve">               100.00 </w:t>
            </w:r>
          </w:p>
        </w:tc>
      </w:tr>
      <w:tr w:rsidR="009F12C9" w:rsidRPr="005F120D" w:rsidTr="007C47C2">
        <w:tc>
          <w:tcPr>
            <w:tcW w:w="353" w:type="pct"/>
            <w:tcBorders>
              <w:top w:val="single" w:sz="4" w:space="0" w:color="auto"/>
              <w:left w:val="nil"/>
              <w:bottom w:val="single" w:sz="4" w:space="0" w:color="auto"/>
              <w:right w:val="single" w:sz="4" w:space="0" w:color="auto"/>
            </w:tcBorders>
            <w:shd w:val="clear" w:color="auto" w:fill="DDD9C3" w:themeFill="background2" w:themeFillShade="E6"/>
          </w:tcPr>
          <w:p w:rsidR="009F12C9" w:rsidRPr="005F120D" w:rsidRDefault="009F12C9" w:rsidP="00B25E46">
            <w:pPr>
              <w:pStyle w:val="NoSpacing"/>
              <w:rPr>
                <w:rFonts w:asciiTheme="minorHAnsi" w:eastAsia="Calibri" w:hAnsiTheme="minorHAnsi" w:cstheme="minorHAnsi"/>
                <w:sz w:val="18"/>
                <w:szCs w:val="18"/>
              </w:rPr>
            </w:pPr>
          </w:p>
        </w:tc>
        <w:tc>
          <w:tcPr>
            <w:tcW w:w="3014" w:type="pct"/>
            <w:tcBorders>
              <w:top w:val="single" w:sz="4" w:space="0" w:color="auto"/>
              <w:left w:val="single" w:sz="4" w:space="0" w:color="auto"/>
              <w:bottom w:val="single" w:sz="4" w:space="0" w:color="auto"/>
            </w:tcBorders>
            <w:shd w:val="clear" w:color="auto" w:fill="DDD9C3" w:themeFill="background2" w:themeFillShade="E6"/>
          </w:tcPr>
          <w:p w:rsidR="009F12C9" w:rsidRPr="005F120D" w:rsidRDefault="009F12C9" w:rsidP="00B25E46">
            <w:pPr>
              <w:pStyle w:val="NoSpacing"/>
              <w:jc w:val="right"/>
              <w:rPr>
                <w:rFonts w:asciiTheme="minorHAnsi" w:eastAsia="Calibri" w:hAnsiTheme="minorHAnsi" w:cstheme="minorHAnsi"/>
                <w:b/>
                <w:sz w:val="18"/>
                <w:szCs w:val="18"/>
              </w:rPr>
            </w:pPr>
            <w:r w:rsidRPr="005F120D">
              <w:rPr>
                <w:rFonts w:asciiTheme="minorHAnsi" w:eastAsia="Calibri" w:hAnsiTheme="minorHAnsi" w:cstheme="minorHAnsi"/>
                <w:b/>
                <w:sz w:val="18"/>
                <w:szCs w:val="18"/>
              </w:rPr>
              <w:t>CDVAT for Textbook, computer, vehicle and others</w:t>
            </w:r>
          </w:p>
        </w:tc>
        <w:tc>
          <w:tcPr>
            <w:tcW w:w="793" w:type="pct"/>
            <w:tcBorders>
              <w:top w:val="single" w:sz="4" w:space="0" w:color="auto"/>
              <w:bottom w:val="single" w:sz="4" w:space="0" w:color="auto"/>
              <w:right w:val="single" w:sz="4" w:space="0" w:color="auto"/>
            </w:tcBorders>
            <w:shd w:val="clear" w:color="auto" w:fill="DDD9C3" w:themeFill="background2" w:themeFillShade="E6"/>
          </w:tcPr>
          <w:p w:rsidR="009F12C9" w:rsidRPr="005F120D" w:rsidRDefault="009F12C9" w:rsidP="00B25E46">
            <w:pPr>
              <w:pStyle w:val="NoSpacing"/>
              <w:rPr>
                <w:rFonts w:asciiTheme="minorHAnsi" w:eastAsia="Calibri" w:hAnsiTheme="minorHAnsi" w:cstheme="minorHAnsi"/>
                <w:b/>
                <w:sz w:val="18"/>
                <w:szCs w:val="18"/>
              </w:rPr>
            </w:pPr>
          </w:p>
        </w:tc>
        <w:tc>
          <w:tcPr>
            <w:tcW w:w="840" w:type="pct"/>
            <w:tcBorders>
              <w:top w:val="single" w:sz="4" w:space="0" w:color="auto"/>
              <w:left w:val="single" w:sz="4" w:space="0" w:color="auto"/>
              <w:bottom w:val="single" w:sz="4" w:space="0" w:color="auto"/>
              <w:right w:val="nil"/>
            </w:tcBorders>
            <w:shd w:val="clear" w:color="auto" w:fill="DDD9C3" w:themeFill="background2" w:themeFillShade="E6"/>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3,000.00</w:t>
            </w:r>
          </w:p>
        </w:tc>
      </w:tr>
      <w:tr w:rsidR="009F12C9" w:rsidRPr="005F120D" w:rsidTr="007C47C2">
        <w:tc>
          <w:tcPr>
            <w:tcW w:w="353" w:type="pct"/>
            <w:tcBorders>
              <w:top w:val="single" w:sz="4" w:space="0" w:color="auto"/>
              <w:left w:val="nil"/>
              <w:bottom w:val="single" w:sz="4" w:space="0" w:color="auto"/>
              <w:right w:val="single" w:sz="4" w:space="0" w:color="auto"/>
            </w:tcBorders>
            <w:shd w:val="clear" w:color="auto" w:fill="C2D69B" w:themeFill="accent3" w:themeFillTint="99"/>
          </w:tcPr>
          <w:p w:rsidR="009F12C9" w:rsidRPr="005F120D" w:rsidRDefault="009F12C9" w:rsidP="00B25E46">
            <w:pPr>
              <w:pStyle w:val="NoSpacing"/>
              <w:rPr>
                <w:rFonts w:asciiTheme="minorHAnsi" w:eastAsia="Calibri" w:hAnsiTheme="minorHAnsi" w:cstheme="minorHAnsi"/>
                <w:sz w:val="18"/>
                <w:szCs w:val="18"/>
              </w:rPr>
            </w:pPr>
          </w:p>
        </w:tc>
        <w:tc>
          <w:tcPr>
            <w:tcW w:w="3014" w:type="pct"/>
            <w:tcBorders>
              <w:top w:val="single" w:sz="4" w:space="0" w:color="auto"/>
              <w:left w:val="single" w:sz="4" w:space="0" w:color="auto"/>
              <w:bottom w:val="single" w:sz="4" w:space="0" w:color="auto"/>
            </w:tcBorders>
            <w:shd w:val="clear" w:color="auto" w:fill="C2D69B" w:themeFill="accent3" w:themeFillTint="99"/>
          </w:tcPr>
          <w:p w:rsidR="009F12C9" w:rsidRPr="005F120D" w:rsidRDefault="009F12C9" w:rsidP="00B25E46">
            <w:pPr>
              <w:pStyle w:val="NoSpacing"/>
              <w:jc w:val="right"/>
              <w:rPr>
                <w:rFonts w:asciiTheme="minorHAnsi" w:eastAsia="Calibri" w:hAnsiTheme="minorHAnsi" w:cstheme="minorHAnsi"/>
                <w:b/>
                <w:sz w:val="18"/>
                <w:szCs w:val="18"/>
              </w:rPr>
            </w:pPr>
            <w:r w:rsidRPr="005F120D">
              <w:rPr>
                <w:rFonts w:asciiTheme="minorHAnsi" w:eastAsia="Calibri" w:hAnsiTheme="minorHAnsi" w:cstheme="minorHAnsi"/>
                <w:b/>
                <w:sz w:val="18"/>
                <w:szCs w:val="18"/>
              </w:rPr>
              <w:t>Total of PEDP3 DPP (excluding discrete projects and non-development)</w:t>
            </w:r>
          </w:p>
        </w:tc>
        <w:tc>
          <w:tcPr>
            <w:tcW w:w="793" w:type="pct"/>
            <w:tcBorders>
              <w:top w:val="single" w:sz="4" w:space="0" w:color="auto"/>
              <w:bottom w:val="single" w:sz="4" w:space="0" w:color="auto"/>
              <w:right w:val="single" w:sz="4" w:space="0" w:color="auto"/>
            </w:tcBorders>
            <w:shd w:val="clear" w:color="auto" w:fill="C2D69B" w:themeFill="accent3" w:themeFillTint="99"/>
          </w:tcPr>
          <w:p w:rsidR="009F12C9" w:rsidRPr="005F120D" w:rsidRDefault="009F12C9" w:rsidP="00B25E46">
            <w:pPr>
              <w:pStyle w:val="NoSpacing"/>
              <w:rPr>
                <w:rFonts w:asciiTheme="minorHAnsi" w:eastAsia="Calibri" w:hAnsiTheme="minorHAnsi" w:cstheme="minorHAnsi"/>
                <w:b/>
                <w:sz w:val="18"/>
                <w:szCs w:val="18"/>
              </w:rPr>
            </w:pPr>
          </w:p>
        </w:tc>
        <w:tc>
          <w:tcPr>
            <w:tcW w:w="840" w:type="pct"/>
            <w:tcBorders>
              <w:top w:val="single" w:sz="4" w:space="0" w:color="auto"/>
              <w:left w:val="single" w:sz="4" w:space="0" w:color="auto"/>
              <w:bottom w:val="single" w:sz="4" w:space="0" w:color="auto"/>
              <w:right w:val="nil"/>
            </w:tcBorders>
            <w:shd w:val="clear" w:color="auto" w:fill="C2D69B" w:themeFill="accent3" w:themeFillTint="99"/>
          </w:tcPr>
          <w:p w:rsidR="009F12C9" w:rsidRPr="005F120D" w:rsidRDefault="009F12C9" w:rsidP="00B25E46">
            <w:pPr>
              <w:jc w:val="right"/>
              <w:rPr>
                <w:rFonts w:asciiTheme="minorHAnsi" w:hAnsiTheme="minorHAnsi" w:cstheme="minorHAnsi"/>
                <w:color w:val="000000"/>
                <w:sz w:val="18"/>
                <w:szCs w:val="18"/>
              </w:rPr>
            </w:pPr>
            <w:r w:rsidRPr="005F120D">
              <w:rPr>
                <w:rFonts w:asciiTheme="minorHAnsi" w:hAnsiTheme="minorHAnsi" w:cstheme="minorHAnsi"/>
                <w:color w:val="000000"/>
                <w:sz w:val="18"/>
                <w:szCs w:val="18"/>
              </w:rPr>
              <w:t>374,000.00</w:t>
            </w:r>
          </w:p>
        </w:tc>
      </w:tr>
    </w:tbl>
    <w:p w:rsidR="002E6124" w:rsidRPr="005F120D" w:rsidRDefault="002E6124" w:rsidP="00B25E46">
      <w:pPr>
        <w:pStyle w:val="NoSpacing"/>
        <w:rPr>
          <w:rFonts w:asciiTheme="minorHAnsi" w:hAnsiTheme="minorHAnsi" w:cstheme="minorHAnsi"/>
          <w:color w:val="FF0000"/>
        </w:rPr>
      </w:pPr>
    </w:p>
    <w:p w:rsidR="002E6124" w:rsidRPr="005F120D" w:rsidRDefault="002E6124" w:rsidP="00B25E46">
      <w:pPr>
        <w:pStyle w:val="NoSpacing"/>
        <w:rPr>
          <w:rFonts w:asciiTheme="minorHAnsi" w:hAnsiTheme="minorHAnsi" w:cstheme="minorHAnsi"/>
          <w:color w:val="FF0000"/>
        </w:rPr>
      </w:pPr>
    </w:p>
    <w:p w:rsidR="000A7856" w:rsidRPr="005F120D" w:rsidRDefault="000A7856" w:rsidP="00B25E46">
      <w:pPr>
        <w:pStyle w:val="NoSpacing"/>
        <w:rPr>
          <w:rFonts w:asciiTheme="minorHAnsi" w:hAnsiTheme="minorHAnsi" w:cstheme="minorHAnsi"/>
          <w:color w:val="FF0000"/>
        </w:rPr>
      </w:pPr>
    </w:p>
    <w:p w:rsidR="000A7856" w:rsidRPr="005F120D" w:rsidRDefault="000A7856" w:rsidP="00B25E46">
      <w:pPr>
        <w:pStyle w:val="NoSpacing"/>
        <w:rPr>
          <w:rFonts w:asciiTheme="minorHAnsi" w:hAnsiTheme="minorHAnsi" w:cstheme="minorHAnsi"/>
          <w:color w:val="FF0000"/>
        </w:rPr>
      </w:pPr>
    </w:p>
    <w:p w:rsidR="00630487" w:rsidRPr="005F120D" w:rsidRDefault="00630487" w:rsidP="00B25E46">
      <w:pPr>
        <w:pStyle w:val="NoSpacing"/>
        <w:rPr>
          <w:rFonts w:asciiTheme="minorHAnsi" w:hAnsiTheme="minorHAnsi" w:cstheme="minorHAnsi"/>
          <w:color w:val="FF0000"/>
        </w:rPr>
      </w:pPr>
    </w:p>
    <w:p w:rsidR="002E6124" w:rsidRPr="005F120D" w:rsidRDefault="00D011E9" w:rsidP="00B25E46">
      <w:pPr>
        <w:pStyle w:val="Heading2NONUM"/>
        <w:rPr>
          <w:rFonts w:asciiTheme="minorHAnsi" w:hAnsiTheme="minorHAnsi" w:cstheme="minorHAnsi"/>
        </w:rPr>
      </w:pPr>
      <w:r w:rsidRPr="005F120D">
        <w:rPr>
          <w:rFonts w:asciiTheme="minorHAnsi" w:hAnsiTheme="minorHAnsi" w:cstheme="minorHAnsi"/>
        </w:rPr>
        <w:t>E</w:t>
      </w:r>
      <w:r w:rsidR="0003413C" w:rsidRPr="005F120D">
        <w:rPr>
          <w:rFonts w:asciiTheme="minorHAnsi" w:hAnsiTheme="minorHAnsi" w:cstheme="minorHAnsi"/>
        </w:rPr>
        <w:t>-4</w:t>
      </w:r>
      <w:r w:rsidR="002E6124" w:rsidRPr="005F120D">
        <w:rPr>
          <w:rFonts w:asciiTheme="minorHAnsi" w:hAnsiTheme="minorHAnsi" w:cstheme="minorHAnsi"/>
        </w:rPr>
        <w:t xml:space="preserve">:  Summary Description of </w:t>
      </w:r>
      <w:r w:rsidR="00863B08" w:rsidRPr="005F120D">
        <w:rPr>
          <w:rFonts w:asciiTheme="minorHAnsi" w:hAnsiTheme="minorHAnsi" w:cstheme="minorHAnsi"/>
        </w:rPr>
        <w:t>Water &amp; S</w:t>
      </w:r>
      <w:r w:rsidR="00B877A0" w:rsidRPr="005F120D">
        <w:rPr>
          <w:rFonts w:asciiTheme="minorHAnsi" w:hAnsiTheme="minorHAnsi" w:cstheme="minorHAnsi"/>
        </w:rPr>
        <w:t xml:space="preserve">anitation </w:t>
      </w:r>
      <w:r w:rsidR="002E6124" w:rsidRPr="005F120D">
        <w:rPr>
          <w:rFonts w:asciiTheme="minorHAnsi" w:hAnsiTheme="minorHAnsi" w:cstheme="minorHAnsi"/>
        </w:rPr>
        <w:t>Activities under PEDP3</w:t>
      </w:r>
      <w:r w:rsidR="007C47C2" w:rsidRPr="005F120D">
        <w:rPr>
          <w:rFonts w:asciiTheme="minorHAnsi" w:hAnsiTheme="minorHAnsi" w:cstheme="minorHAnsi"/>
        </w:rPr>
        <w:t xml:space="preserve"> 2016</w:t>
      </w:r>
    </w:p>
    <w:tbl>
      <w:tblPr>
        <w:tblStyle w:val="LightGrid-Accent2"/>
        <w:tblW w:w="5000" w:type="pct"/>
        <w:tblLook w:val="04A0"/>
      </w:tblPr>
      <w:tblGrid>
        <w:gridCol w:w="445"/>
        <w:gridCol w:w="1397"/>
        <w:gridCol w:w="666"/>
        <w:gridCol w:w="940"/>
        <w:gridCol w:w="1121"/>
        <w:gridCol w:w="864"/>
        <w:gridCol w:w="1023"/>
        <w:gridCol w:w="957"/>
        <w:gridCol w:w="1029"/>
        <w:gridCol w:w="803"/>
      </w:tblGrid>
      <w:tr w:rsidR="0030731D" w:rsidRPr="005F120D" w:rsidTr="00B25E46">
        <w:trPr>
          <w:cnfStyle w:val="100000000000"/>
        </w:trPr>
        <w:tc>
          <w:tcPr>
            <w:cnfStyle w:val="001000000000"/>
            <w:tcW w:w="235" w:type="pct"/>
            <w:vMerge w:val="restart"/>
          </w:tcPr>
          <w:p w:rsidR="009B65EB" w:rsidRPr="005F120D" w:rsidRDefault="009B65EB"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SL. No.</w:t>
            </w:r>
          </w:p>
        </w:tc>
        <w:tc>
          <w:tcPr>
            <w:tcW w:w="765" w:type="pct"/>
            <w:vMerge w:val="restart"/>
          </w:tcPr>
          <w:p w:rsidR="009B65EB" w:rsidRPr="005F120D" w:rsidRDefault="009B65EB"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Activities</w:t>
            </w:r>
          </w:p>
        </w:tc>
        <w:tc>
          <w:tcPr>
            <w:tcW w:w="886" w:type="pct"/>
            <w:gridSpan w:val="2"/>
          </w:tcPr>
          <w:p w:rsidR="009B65EB" w:rsidRPr="005F120D" w:rsidRDefault="009B65EB"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Original as DPP</w:t>
            </w:r>
          </w:p>
        </w:tc>
        <w:tc>
          <w:tcPr>
            <w:tcW w:w="1018" w:type="pct"/>
            <w:gridSpan w:val="2"/>
          </w:tcPr>
          <w:p w:rsidR="009B65EB" w:rsidRPr="005F120D" w:rsidRDefault="009B65EB"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Revised as RDPP</w:t>
            </w:r>
          </w:p>
        </w:tc>
        <w:tc>
          <w:tcPr>
            <w:tcW w:w="562" w:type="pct"/>
          </w:tcPr>
          <w:p w:rsidR="009B65EB" w:rsidRPr="005F120D" w:rsidRDefault="008D0E68"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Contracted</w:t>
            </w:r>
          </w:p>
        </w:tc>
        <w:tc>
          <w:tcPr>
            <w:tcW w:w="1091" w:type="pct"/>
            <w:gridSpan w:val="2"/>
          </w:tcPr>
          <w:p w:rsidR="009B65EB" w:rsidRPr="005F120D" w:rsidRDefault="009B65EB"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Cumulat</w:t>
            </w:r>
            <w:r w:rsidR="00215548" w:rsidRPr="005F120D">
              <w:rPr>
                <w:rFonts w:asciiTheme="minorHAnsi" w:hAnsiTheme="minorHAnsi" w:cstheme="minorHAnsi"/>
                <w:b w:val="0"/>
                <w:sz w:val="16"/>
                <w:szCs w:val="16"/>
              </w:rPr>
              <w:t>ive Achievement as of March 2016</w:t>
            </w:r>
          </w:p>
        </w:tc>
        <w:tc>
          <w:tcPr>
            <w:tcW w:w="443" w:type="pct"/>
            <w:vMerge w:val="restart"/>
          </w:tcPr>
          <w:p w:rsidR="009B65EB" w:rsidRPr="005F120D" w:rsidRDefault="009B65EB" w:rsidP="00B25E46">
            <w:pPr>
              <w:pStyle w:val="NoSpacing"/>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Remarks</w:t>
            </w:r>
          </w:p>
        </w:tc>
      </w:tr>
      <w:tr w:rsidR="0030731D" w:rsidRPr="005F120D" w:rsidTr="00B25E46">
        <w:trPr>
          <w:cnfStyle w:val="000000100000"/>
        </w:trPr>
        <w:tc>
          <w:tcPr>
            <w:cnfStyle w:val="001000000000"/>
            <w:tcW w:w="235" w:type="pct"/>
            <w:vMerge/>
          </w:tcPr>
          <w:p w:rsidR="009B65EB" w:rsidRPr="005F120D" w:rsidRDefault="009B65EB" w:rsidP="00B25E46">
            <w:pPr>
              <w:pStyle w:val="NoSpacing"/>
              <w:jc w:val="center"/>
              <w:rPr>
                <w:rFonts w:asciiTheme="minorHAnsi" w:hAnsiTheme="minorHAnsi" w:cstheme="minorHAnsi"/>
                <w:b w:val="0"/>
                <w:sz w:val="16"/>
                <w:szCs w:val="16"/>
              </w:rPr>
            </w:pPr>
          </w:p>
        </w:tc>
        <w:tc>
          <w:tcPr>
            <w:tcW w:w="765" w:type="pct"/>
            <w:vMerge/>
          </w:tcPr>
          <w:p w:rsidR="009B65EB" w:rsidRPr="005F120D" w:rsidRDefault="009B65EB" w:rsidP="00B25E46">
            <w:pPr>
              <w:pStyle w:val="NoSpacing"/>
              <w:jc w:val="center"/>
              <w:cnfStyle w:val="000000100000"/>
              <w:rPr>
                <w:rFonts w:asciiTheme="minorHAnsi" w:hAnsiTheme="minorHAnsi" w:cstheme="minorHAnsi"/>
                <w:sz w:val="16"/>
                <w:szCs w:val="16"/>
              </w:rPr>
            </w:pPr>
          </w:p>
        </w:tc>
        <w:tc>
          <w:tcPr>
            <w:tcW w:w="369" w:type="pct"/>
          </w:tcPr>
          <w:p w:rsidR="009B65EB" w:rsidRPr="005F120D" w:rsidRDefault="009B65EB" w:rsidP="00B25E46">
            <w:pPr>
              <w:pStyle w:val="NoSpacing"/>
              <w:jc w:val="center"/>
              <w:cnfStyle w:val="000000100000"/>
              <w:rPr>
                <w:rFonts w:asciiTheme="minorHAnsi" w:hAnsiTheme="minorHAnsi" w:cstheme="minorHAnsi"/>
                <w:sz w:val="16"/>
                <w:szCs w:val="16"/>
              </w:rPr>
            </w:pPr>
            <w:r w:rsidRPr="005F120D">
              <w:rPr>
                <w:rFonts w:asciiTheme="minorHAnsi" w:hAnsiTheme="minorHAnsi" w:cstheme="minorHAnsi"/>
                <w:sz w:val="16"/>
                <w:szCs w:val="16"/>
              </w:rPr>
              <w:t>Qty.</w:t>
            </w:r>
          </w:p>
        </w:tc>
        <w:tc>
          <w:tcPr>
            <w:tcW w:w="517" w:type="pct"/>
          </w:tcPr>
          <w:p w:rsidR="009B65EB" w:rsidRPr="005F120D" w:rsidRDefault="009B65EB" w:rsidP="00B25E46">
            <w:pPr>
              <w:pStyle w:val="NoSpacing"/>
              <w:jc w:val="center"/>
              <w:cnfStyle w:val="000000100000"/>
              <w:rPr>
                <w:rFonts w:asciiTheme="minorHAnsi" w:hAnsiTheme="minorHAnsi" w:cstheme="minorHAnsi"/>
                <w:sz w:val="16"/>
                <w:szCs w:val="16"/>
              </w:rPr>
            </w:pPr>
            <w:r w:rsidRPr="005F120D">
              <w:rPr>
                <w:rFonts w:asciiTheme="minorHAnsi" w:hAnsiTheme="minorHAnsi" w:cstheme="minorHAnsi"/>
                <w:sz w:val="16"/>
                <w:szCs w:val="16"/>
              </w:rPr>
              <w:t xml:space="preserve">Cost in </w:t>
            </w:r>
            <w:r w:rsidR="00F738CE" w:rsidRPr="005F120D">
              <w:rPr>
                <w:rFonts w:asciiTheme="minorHAnsi" w:hAnsiTheme="minorHAnsi" w:cstheme="minorHAnsi"/>
                <w:sz w:val="16"/>
                <w:szCs w:val="16"/>
              </w:rPr>
              <w:t>Lac</w:t>
            </w:r>
            <w:r w:rsidRPr="005F120D">
              <w:rPr>
                <w:rFonts w:asciiTheme="minorHAnsi" w:hAnsiTheme="minorHAnsi" w:cstheme="minorHAnsi"/>
                <w:sz w:val="16"/>
                <w:szCs w:val="16"/>
              </w:rPr>
              <w:t xml:space="preserve"> Taka</w:t>
            </w:r>
          </w:p>
        </w:tc>
        <w:tc>
          <w:tcPr>
            <w:tcW w:w="615" w:type="pct"/>
          </w:tcPr>
          <w:p w:rsidR="009B65EB" w:rsidRPr="005F120D" w:rsidRDefault="009B65EB" w:rsidP="00B25E46">
            <w:pPr>
              <w:pStyle w:val="NoSpacing"/>
              <w:jc w:val="center"/>
              <w:cnfStyle w:val="000000100000"/>
              <w:rPr>
                <w:rFonts w:asciiTheme="minorHAnsi" w:hAnsiTheme="minorHAnsi" w:cstheme="minorHAnsi"/>
                <w:sz w:val="16"/>
                <w:szCs w:val="16"/>
              </w:rPr>
            </w:pPr>
            <w:r w:rsidRPr="005F120D">
              <w:rPr>
                <w:rFonts w:asciiTheme="minorHAnsi" w:hAnsiTheme="minorHAnsi" w:cstheme="minorHAnsi"/>
                <w:sz w:val="16"/>
                <w:szCs w:val="16"/>
              </w:rPr>
              <w:t xml:space="preserve">  Qty.</w:t>
            </w:r>
          </w:p>
        </w:tc>
        <w:tc>
          <w:tcPr>
            <w:tcW w:w="403" w:type="pct"/>
          </w:tcPr>
          <w:p w:rsidR="009B65EB" w:rsidRPr="005F120D" w:rsidRDefault="009B65EB" w:rsidP="00B25E46">
            <w:pPr>
              <w:pStyle w:val="NoSpacing"/>
              <w:jc w:val="center"/>
              <w:cnfStyle w:val="000000100000"/>
              <w:rPr>
                <w:rFonts w:asciiTheme="minorHAnsi" w:hAnsiTheme="minorHAnsi" w:cstheme="minorHAnsi"/>
                <w:sz w:val="16"/>
                <w:szCs w:val="16"/>
              </w:rPr>
            </w:pPr>
            <w:r w:rsidRPr="005F120D">
              <w:rPr>
                <w:rFonts w:asciiTheme="minorHAnsi" w:hAnsiTheme="minorHAnsi" w:cstheme="minorHAnsi"/>
                <w:sz w:val="16"/>
                <w:szCs w:val="16"/>
              </w:rPr>
              <w:t>Cost</w:t>
            </w:r>
          </w:p>
        </w:tc>
        <w:tc>
          <w:tcPr>
            <w:tcW w:w="562" w:type="pct"/>
          </w:tcPr>
          <w:p w:rsidR="009B65EB" w:rsidRPr="005F120D" w:rsidRDefault="008D0E68" w:rsidP="00B25E46">
            <w:pPr>
              <w:pStyle w:val="NoSpacing"/>
              <w:jc w:val="center"/>
              <w:cnfStyle w:val="000000100000"/>
              <w:rPr>
                <w:rFonts w:asciiTheme="minorHAnsi" w:hAnsiTheme="minorHAnsi" w:cstheme="minorHAnsi"/>
                <w:sz w:val="16"/>
                <w:szCs w:val="16"/>
              </w:rPr>
            </w:pPr>
            <w:r w:rsidRPr="005F120D">
              <w:rPr>
                <w:rFonts w:asciiTheme="minorHAnsi" w:hAnsiTheme="minorHAnsi" w:cstheme="minorHAnsi"/>
                <w:b/>
                <w:sz w:val="16"/>
                <w:szCs w:val="16"/>
              </w:rPr>
              <w:t>F/Y 2015/16</w:t>
            </w:r>
          </w:p>
        </w:tc>
        <w:tc>
          <w:tcPr>
            <w:tcW w:w="526" w:type="pct"/>
          </w:tcPr>
          <w:p w:rsidR="009B65EB" w:rsidRPr="005F120D" w:rsidRDefault="009B65EB" w:rsidP="00B25E46">
            <w:pPr>
              <w:pStyle w:val="NoSpacing"/>
              <w:jc w:val="center"/>
              <w:cnfStyle w:val="000000100000"/>
              <w:rPr>
                <w:rFonts w:asciiTheme="minorHAnsi" w:hAnsiTheme="minorHAnsi" w:cstheme="minorHAnsi"/>
                <w:sz w:val="16"/>
                <w:szCs w:val="16"/>
              </w:rPr>
            </w:pPr>
            <w:r w:rsidRPr="005F120D">
              <w:rPr>
                <w:rFonts w:asciiTheme="minorHAnsi" w:hAnsiTheme="minorHAnsi" w:cstheme="minorHAnsi"/>
                <w:sz w:val="16"/>
                <w:szCs w:val="16"/>
              </w:rPr>
              <w:t>Physical</w:t>
            </w:r>
          </w:p>
        </w:tc>
        <w:tc>
          <w:tcPr>
            <w:tcW w:w="565" w:type="pct"/>
          </w:tcPr>
          <w:p w:rsidR="009B65EB" w:rsidRPr="005F120D" w:rsidRDefault="009B65EB" w:rsidP="00B25E46">
            <w:pPr>
              <w:pStyle w:val="NoSpacing"/>
              <w:jc w:val="center"/>
              <w:cnfStyle w:val="000000100000"/>
              <w:rPr>
                <w:rFonts w:asciiTheme="minorHAnsi" w:hAnsiTheme="minorHAnsi" w:cstheme="minorHAnsi"/>
                <w:sz w:val="16"/>
                <w:szCs w:val="16"/>
              </w:rPr>
            </w:pPr>
            <w:r w:rsidRPr="005F120D">
              <w:rPr>
                <w:rFonts w:asciiTheme="minorHAnsi" w:hAnsiTheme="minorHAnsi" w:cstheme="minorHAnsi"/>
                <w:sz w:val="16"/>
                <w:szCs w:val="16"/>
              </w:rPr>
              <w:t>Expend</w:t>
            </w:r>
            <w:r w:rsidR="0030731D" w:rsidRPr="005F120D">
              <w:rPr>
                <w:rFonts w:asciiTheme="minorHAnsi" w:hAnsiTheme="minorHAnsi" w:cstheme="minorHAnsi"/>
                <w:sz w:val="16"/>
                <w:szCs w:val="16"/>
              </w:rPr>
              <w:t>.</w:t>
            </w:r>
          </w:p>
        </w:tc>
        <w:tc>
          <w:tcPr>
            <w:tcW w:w="443" w:type="pct"/>
            <w:vMerge/>
          </w:tcPr>
          <w:p w:rsidR="009B65EB" w:rsidRPr="005F120D" w:rsidRDefault="009B65EB" w:rsidP="00B25E46">
            <w:pPr>
              <w:pStyle w:val="NoSpacing"/>
              <w:cnfStyle w:val="000000100000"/>
              <w:rPr>
                <w:rFonts w:asciiTheme="minorHAnsi" w:hAnsiTheme="minorHAnsi" w:cstheme="minorHAnsi"/>
                <w:sz w:val="16"/>
                <w:szCs w:val="16"/>
              </w:rPr>
            </w:pPr>
          </w:p>
        </w:tc>
      </w:tr>
      <w:tr w:rsidR="0030731D" w:rsidRPr="005F120D" w:rsidTr="00B25E46">
        <w:trPr>
          <w:cnfStyle w:val="000000010000"/>
        </w:trPr>
        <w:tc>
          <w:tcPr>
            <w:cnfStyle w:val="001000000000"/>
            <w:tcW w:w="235" w:type="pct"/>
          </w:tcPr>
          <w:p w:rsidR="009B65EB" w:rsidRPr="005F120D" w:rsidRDefault="009B65EB"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1</w:t>
            </w:r>
          </w:p>
        </w:tc>
        <w:tc>
          <w:tcPr>
            <w:tcW w:w="765" w:type="pct"/>
          </w:tcPr>
          <w:p w:rsidR="009B65EB" w:rsidRPr="005F120D" w:rsidRDefault="009B65EB" w:rsidP="00B25E46">
            <w:pPr>
              <w:pStyle w:val="NoSpacing"/>
              <w:cnfStyle w:val="000000010000"/>
              <w:rPr>
                <w:rFonts w:asciiTheme="minorHAnsi" w:hAnsiTheme="minorHAnsi" w:cstheme="minorHAnsi"/>
                <w:sz w:val="16"/>
                <w:szCs w:val="16"/>
              </w:rPr>
            </w:pPr>
            <w:r w:rsidRPr="005F120D">
              <w:rPr>
                <w:rFonts w:asciiTheme="minorHAnsi" w:hAnsiTheme="minorHAnsi" w:cstheme="minorHAnsi"/>
                <w:sz w:val="16"/>
                <w:szCs w:val="16"/>
              </w:rPr>
              <w:t>Toilets</w:t>
            </w:r>
          </w:p>
        </w:tc>
        <w:tc>
          <w:tcPr>
            <w:tcW w:w="369" w:type="pct"/>
          </w:tcPr>
          <w:p w:rsidR="009B65EB" w:rsidRPr="005F120D" w:rsidRDefault="009B65EB" w:rsidP="00B25E46">
            <w:pPr>
              <w:pStyle w:val="NoSpacing"/>
              <w:jc w:val="right"/>
              <w:cnfStyle w:val="000000010000"/>
              <w:rPr>
                <w:rFonts w:asciiTheme="minorHAnsi" w:hAnsiTheme="minorHAnsi" w:cstheme="minorHAnsi"/>
                <w:sz w:val="16"/>
                <w:szCs w:val="16"/>
              </w:rPr>
            </w:pPr>
          </w:p>
        </w:tc>
        <w:tc>
          <w:tcPr>
            <w:tcW w:w="517" w:type="pct"/>
          </w:tcPr>
          <w:p w:rsidR="009B65EB" w:rsidRPr="005F120D" w:rsidRDefault="009B65EB" w:rsidP="00B25E46">
            <w:pPr>
              <w:pStyle w:val="NoSpacing"/>
              <w:jc w:val="right"/>
              <w:cnfStyle w:val="000000010000"/>
              <w:rPr>
                <w:rFonts w:asciiTheme="minorHAnsi" w:hAnsiTheme="minorHAnsi" w:cstheme="minorHAnsi"/>
                <w:sz w:val="16"/>
                <w:szCs w:val="16"/>
              </w:rPr>
            </w:pPr>
          </w:p>
        </w:tc>
        <w:tc>
          <w:tcPr>
            <w:tcW w:w="615" w:type="pct"/>
          </w:tcPr>
          <w:p w:rsidR="009B65EB" w:rsidRPr="005F120D" w:rsidRDefault="009B65EB" w:rsidP="00B25E46">
            <w:pPr>
              <w:pStyle w:val="NoSpacing"/>
              <w:jc w:val="right"/>
              <w:cnfStyle w:val="000000010000"/>
              <w:rPr>
                <w:rFonts w:asciiTheme="minorHAnsi" w:hAnsiTheme="minorHAnsi" w:cstheme="minorHAnsi"/>
                <w:sz w:val="16"/>
                <w:szCs w:val="16"/>
              </w:rPr>
            </w:pPr>
          </w:p>
        </w:tc>
        <w:tc>
          <w:tcPr>
            <w:tcW w:w="403" w:type="pct"/>
          </w:tcPr>
          <w:p w:rsidR="009B65EB" w:rsidRPr="005F120D" w:rsidRDefault="009B65EB" w:rsidP="00B25E46">
            <w:pPr>
              <w:pStyle w:val="NoSpacing"/>
              <w:jc w:val="right"/>
              <w:cnfStyle w:val="000000010000"/>
              <w:rPr>
                <w:rFonts w:asciiTheme="minorHAnsi" w:hAnsiTheme="minorHAnsi" w:cstheme="minorHAnsi"/>
                <w:sz w:val="16"/>
                <w:szCs w:val="16"/>
              </w:rPr>
            </w:pPr>
          </w:p>
        </w:tc>
        <w:tc>
          <w:tcPr>
            <w:tcW w:w="562" w:type="pct"/>
          </w:tcPr>
          <w:p w:rsidR="009B65EB" w:rsidRPr="005F120D" w:rsidRDefault="009B65EB" w:rsidP="00B25E46">
            <w:pPr>
              <w:pStyle w:val="NoSpacing"/>
              <w:jc w:val="right"/>
              <w:cnfStyle w:val="000000010000"/>
              <w:rPr>
                <w:rFonts w:asciiTheme="minorHAnsi" w:hAnsiTheme="minorHAnsi" w:cstheme="minorHAnsi"/>
                <w:color w:val="008000"/>
                <w:sz w:val="16"/>
                <w:szCs w:val="16"/>
              </w:rPr>
            </w:pPr>
          </w:p>
        </w:tc>
        <w:tc>
          <w:tcPr>
            <w:tcW w:w="526" w:type="pct"/>
          </w:tcPr>
          <w:p w:rsidR="009B65EB" w:rsidRPr="005F120D" w:rsidRDefault="009B65EB" w:rsidP="00B25E46">
            <w:pPr>
              <w:pStyle w:val="NoSpacing"/>
              <w:jc w:val="right"/>
              <w:cnfStyle w:val="000000010000"/>
              <w:rPr>
                <w:rFonts w:asciiTheme="minorHAnsi" w:hAnsiTheme="minorHAnsi" w:cstheme="minorHAnsi"/>
                <w:color w:val="008000"/>
                <w:sz w:val="16"/>
                <w:szCs w:val="16"/>
              </w:rPr>
            </w:pPr>
          </w:p>
        </w:tc>
        <w:tc>
          <w:tcPr>
            <w:tcW w:w="565" w:type="pct"/>
          </w:tcPr>
          <w:p w:rsidR="009B65EB" w:rsidRPr="005F120D" w:rsidRDefault="009B65EB" w:rsidP="00B25E46">
            <w:pPr>
              <w:pStyle w:val="NoSpacing"/>
              <w:jc w:val="right"/>
              <w:cnfStyle w:val="000000010000"/>
              <w:rPr>
                <w:rFonts w:asciiTheme="minorHAnsi" w:hAnsiTheme="minorHAnsi" w:cstheme="minorHAnsi"/>
                <w:color w:val="008000"/>
                <w:sz w:val="16"/>
                <w:szCs w:val="16"/>
              </w:rPr>
            </w:pPr>
          </w:p>
        </w:tc>
        <w:tc>
          <w:tcPr>
            <w:tcW w:w="443" w:type="pct"/>
          </w:tcPr>
          <w:p w:rsidR="009B65EB" w:rsidRPr="005F120D" w:rsidRDefault="009B65EB" w:rsidP="00B25E46">
            <w:pPr>
              <w:pStyle w:val="NoSpacing"/>
              <w:cnfStyle w:val="000000010000"/>
              <w:rPr>
                <w:rFonts w:asciiTheme="minorHAnsi" w:hAnsiTheme="minorHAnsi" w:cstheme="minorHAnsi"/>
                <w:color w:val="008000"/>
                <w:sz w:val="16"/>
                <w:szCs w:val="16"/>
              </w:rPr>
            </w:pPr>
          </w:p>
        </w:tc>
      </w:tr>
      <w:tr w:rsidR="0030731D" w:rsidRPr="005F120D" w:rsidTr="00B25E46">
        <w:trPr>
          <w:cnfStyle w:val="000000100000"/>
        </w:trPr>
        <w:tc>
          <w:tcPr>
            <w:cnfStyle w:val="001000000000"/>
            <w:tcW w:w="235" w:type="pct"/>
          </w:tcPr>
          <w:p w:rsidR="009B65EB" w:rsidRPr="005F120D" w:rsidRDefault="009B65EB"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1.1</w:t>
            </w:r>
          </w:p>
        </w:tc>
        <w:tc>
          <w:tcPr>
            <w:tcW w:w="765" w:type="pct"/>
          </w:tcPr>
          <w:p w:rsidR="009B65EB" w:rsidRPr="005F120D" w:rsidRDefault="009B65EB" w:rsidP="00B25E46">
            <w:pPr>
              <w:pStyle w:val="NoSpacing"/>
              <w:cnfStyle w:val="000000100000"/>
              <w:rPr>
                <w:rFonts w:asciiTheme="minorHAnsi" w:hAnsiTheme="minorHAnsi" w:cstheme="minorHAnsi"/>
                <w:sz w:val="16"/>
                <w:szCs w:val="16"/>
              </w:rPr>
            </w:pPr>
            <w:r w:rsidRPr="005F120D">
              <w:rPr>
                <w:rFonts w:asciiTheme="minorHAnsi" w:hAnsiTheme="minorHAnsi" w:cstheme="minorHAnsi"/>
                <w:sz w:val="16"/>
                <w:szCs w:val="16"/>
              </w:rPr>
              <w:t>Toilets for male teachers and boys</w:t>
            </w:r>
          </w:p>
        </w:tc>
        <w:tc>
          <w:tcPr>
            <w:tcW w:w="369" w:type="pct"/>
          </w:tcPr>
          <w:p w:rsidR="009B65EB" w:rsidRPr="005F120D" w:rsidRDefault="009B65EB"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21,955</w:t>
            </w:r>
          </w:p>
        </w:tc>
        <w:tc>
          <w:tcPr>
            <w:tcW w:w="517" w:type="pct"/>
          </w:tcPr>
          <w:p w:rsidR="009B65EB" w:rsidRPr="005F120D" w:rsidRDefault="009B65EB"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16,466.25</w:t>
            </w:r>
          </w:p>
        </w:tc>
        <w:tc>
          <w:tcPr>
            <w:tcW w:w="615" w:type="pct"/>
          </w:tcPr>
          <w:p w:rsidR="0030731D" w:rsidRPr="005F120D" w:rsidRDefault="005D145A"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10</w:t>
            </w:r>
            <w:r w:rsidR="009B65EB" w:rsidRPr="005F120D">
              <w:rPr>
                <w:rFonts w:asciiTheme="minorHAnsi" w:hAnsiTheme="minorHAnsi" w:cstheme="minorHAnsi"/>
                <w:sz w:val="16"/>
                <w:szCs w:val="16"/>
              </w:rPr>
              <w:t xml:space="preserve">, 550 </w:t>
            </w:r>
          </w:p>
          <w:p w:rsidR="009B65EB" w:rsidRPr="005F120D" w:rsidRDefault="009B65EB"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WASH</w:t>
            </w:r>
            <w:r w:rsidR="00EC1F70">
              <w:rPr>
                <w:rFonts w:asciiTheme="minorHAnsi" w:hAnsiTheme="minorHAnsi" w:cstheme="minorHAnsi"/>
                <w:sz w:val="16"/>
                <w:szCs w:val="16"/>
              </w:rPr>
              <w:t xml:space="preserve"> </w:t>
            </w:r>
            <w:r w:rsidRPr="005F120D">
              <w:rPr>
                <w:rFonts w:asciiTheme="minorHAnsi" w:hAnsiTheme="minorHAnsi" w:cstheme="minorHAnsi"/>
                <w:sz w:val="16"/>
                <w:szCs w:val="16"/>
              </w:rPr>
              <w:t>Block</w:t>
            </w:r>
          </w:p>
        </w:tc>
        <w:tc>
          <w:tcPr>
            <w:tcW w:w="403" w:type="pct"/>
          </w:tcPr>
          <w:p w:rsidR="009B65EB" w:rsidRPr="005F120D" w:rsidRDefault="009B65EB"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62,000</w:t>
            </w:r>
          </w:p>
        </w:tc>
        <w:tc>
          <w:tcPr>
            <w:tcW w:w="562" w:type="pct"/>
          </w:tcPr>
          <w:p w:rsidR="009B65EB" w:rsidRPr="005F120D" w:rsidRDefault="009B65EB" w:rsidP="00B25E46">
            <w:pPr>
              <w:pStyle w:val="NoSpacing"/>
              <w:jc w:val="right"/>
              <w:cnfStyle w:val="000000100000"/>
              <w:rPr>
                <w:rFonts w:asciiTheme="minorHAnsi" w:hAnsiTheme="minorHAnsi" w:cstheme="minorHAnsi"/>
                <w:color w:val="008000"/>
                <w:sz w:val="16"/>
                <w:szCs w:val="16"/>
              </w:rPr>
            </w:pPr>
          </w:p>
        </w:tc>
        <w:tc>
          <w:tcPr>
            <w:tcW w:w="526" w:type="pct"/>
          </w:tcPr>
          <w:p w:rsidR="009B65EB" w:rsidRPr="005F120D" w:rsidRDefault="006B29A5"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2,016</w:t>
            </w:r>
          </w:p>
        </w:tc>
        <w:tc>
          <w:tcPr>
            <w:tcW w:w="565" w:type="pct"/>
          </w:tcPr>
          <w:p w:rsidR="009B65EB" w:rsidRPr="005F120D" w:rsidRDefault="006B29A5"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11,544.41</w:t>
            </w:r>
          </w:p>
        </w:tc>
        <w:tc>
          <w:tcPr>
            <w:tcW w:w="443" w:type="pct"/>
          </w:tcPr>
          <w:p w:rsidR="009B65EB" w:rsidRPr="005F120D" w:rsidRDefault="006D3191" w:rsidP="00B25E46">
            <w:pPr>
              <w:pStyle w:val="NoSpacing"/>
              <w:jc w:val="center"/>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f/y 2015/16</w:t>
            </w:r>
          </w:p>
        </w:tc>
      </w:tr>
      <w:tr w:rsidR="0030731D" w:rsidRPr="005F120D" w:rsidTr="00B25E46">
        <w:trPr>
          <w:cnfStyle w:val="000000010000"/>
        </w:trPr>
        <w:tc>
          <w:tcPr>
            <w:cnfStyle w:val="001000000000"/>
            <w:tcW w:w="235" w:type="pct"/>
          </w:tcPr>
          <w:p w:rsidR="009B65EB" w:rsidRPr="005F120D" w:rsidRDefault="009B65EB"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1.2</w:t>
            </w:r>
          </w:p>
        </w:tc>
        <w:tc>
          <w:tcPr>
            <w:tcW w:w="765" w:type="pct"/>
          </w:tcPr>
          <w:p w:rsidR="009B65EB" w:rsidRPr="005F120D" w:rsidRDefault="009B65EB" w:rsidP="00B25E46">
            <w:pPr>
              <w:pStyle w:val="NoSpacing"/>
              <w:cnfStyle w:val="000000010000"/>
              <w:rPr>
                <w:rFonts w:asciiTheme="minorHAnsi" w:hAnsiTheme="minorHAnsi" w:cstheme="minorHAnsi"/>
                <w:sz w:val="16"/>
                <w:szCs w:val="16"/>
              </w:rPr>
            </w:pPr>
            <w:r w:rsidRPr="005F120D">
              <w:rPr>
                <w:rFonts w:asciiTheme="minorHAnsi" w:hAnsiTheme="minorHAnsi" w:cstheme="minorHAnsi"/>
                <w:sz w:val="16"/>
                <w:szCs w:val="16"/>
              </w:rPr>
              <w:t>Urinals for male teachers and boys</w:t>
            </w:r>
          </w:p>
        </w:tc>
        <w:tc>
          <w:tcPr>
            <w:tcW w:w="369" w:type="pct"/>
          </w:tcPr>
          <w:p w:rsidR="009B65EB" w:rsidRPr="005F120D" w:rsidRDefault="009B65EB"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53,750</w:t>
            </w:r>
          </w:p>
        </w:tc>
        <w:tc>
          <w:tcPr>
            <w:tcW w:w="517" w:type="pct"/>
          </w:tcPr>
          <w:p w:rsidR="009B65EB" w:rsidRPr="005F120D" w:rsidRDefault="009B65EB"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5,375</w:t>
            </w:r>
          </w:p>
        </w:tc>
        <w:tc>
          <w:tcPr>
            <w:tcW w:w="615" w:type="pct"/>
          </w:tcPr>
          <w:p w:rsidR="009B65EB" w:rsidRPr="005F120D" w:rsidRDefault="009B65EB"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w:t>
            </w:r>
          </w:p>
        </w:tc>
        <w:tc>
          <w:tcPr>
            <w:tcW w:w="403" w:type="pct"/>
          </w:tcPr>
          <w:p w:rsidR="009B65EB" w:rsidRPr="005F120D" w:rsidRDefault="009B65EB"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w:t>
            </w:r>
          </w:p>
        </w:tc>
        <w:tc>
          <w:tcPr>
            <w:tcW w:w="562" w:type="pct"/>
          </w:tcPr>
          <w:p w:rsidR="009B65EB" w:rsidRPr="005F120D" w:rsidRDefault="009B65EB" w:rsidP="00B25E46">
            <w:pPr>
              <w:pStyle w:val="NoSpacing"/>
              <w:jc w:val="right"/>
              <w:cnfStyle w:val="000000010000"/>
              <w:rPr>
                <w:rFonts w:asciiTheme="minorHAnsi" w:hAnsiTheme="minorHAnsi" w:cstheme="minorHAnsi"/>
                <w:color w:val="008000"/>
                <w:sz w:val="16"/>
                <w:szCs w:val="16"/>
              </w:rPr>
            </w:pPr>
          </w:p>
        </w:tc>
        <w:tc>
          <w:tcPr>
            <w:tcW w:w="526" w:type="pct"/>
          </w:tcPr>
          <w:p w:rsidR="009B65EB" w:rsidRPr="005F120D" w:rsidRDefault="009B65EB" w:rsidP="00B25E46">
            <w:pPr>
              <w:pStyle w:val="NoSpacing"/>
              <w:jc w:val="right"/>
              <w:cnfStyle w:val="000000010000"/>
              <w:rPr>
                <w:rFonts w:asciiTheme="minorHAnsi" w:hAnsiTheme="minorHAnsi" w:cstheme="minorHAnsi"/>
                <w:color w:val="008000"/>
                <w:sz w:val="16"/>
                <w:szCs w:val="16"/>
              </w:rPr>
            </w:pPr>
          </w:p>
        </w:tc>
        <w:tc>
          <w:tcPr>
            <w:tcW w:w="565" w:type="pct"/>
          </w:tcPr>
          <w:p w:rsidR="009B65EB" w:rsidRPr="005F120D" w:rsidRDefault="009B65EB" w:rsidP="00B25E46">
            <w:pPr>
              <w:pStyle w:val="NoSpacing"/>
              <w:jc w:val="right"/>
              <w:cnfStyle w:val="000000010000"/>
              <w:rPr>
                <w:rFonts w:asciiTheme="minorHAnsi" w:hAnsiTheme="minorHAnsi" w:cstheme="minorHAnsi"/>
                <w:color w:val="008000"/>
                <w:sz w:val="16"/>
                <w:szCs w:val="16"/>
              </w:rPr>
            </w:pPr>
          </w:p>
        </w:tc>
        <w:tc>
          <w:tcPr>
            <w:tcW w:w="443" w:type="pct"/>
          </w:tcPr>
          <w:p w:rsidR="009B65EB" w:rsidRPr="005F120D" w:rsidRDefault="009B65EB" w:rsidP="00B25E46">
            <w:pPr>
              <w:pStyle w:val="NoSpacing"/>
              <w:cnfStyle w:val="000000010000"/>
              <w:rPr>
                <w:rFonts w:asciiTheme="minorHAnsi" w:hAnsiTheme="minorHAnsi" w:cstheme="minorHAnsi"/>
                <w:color w:val="008000"/>
                <w:sz w:val="16"/>
                <w:szCs w:val="16"/>
              </w:rPr>
            </w:pPr>
          </w:p>
        </w:tc>
      </w:tr>
      <w:tr w:rsidR="0030731D" w:rsidRPr="005F120D" w:rsidTr="00B25E46">
        <w:trPr>
          <w:cnfStyle w:val="000000100000"/>
        </w:trPr>
        <w:tc>
          <w:tcPr>
            <w:cnfStyle w:val="001000000000"/>
            <w:tcW w:w="235" w:type="pct"/>
          </w:tcPr>
          <w:p w:rsidR="009B65EB" w:rsidRPr="005F120D" w:rsidRDefault="009B65EB"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1.3</w:t>
            </w:r>
          </w:p>
        </w:tc>
        <w:tc>
          <w:tcPr>
            <w:tcW w:w="765" w:type="pct"/>
          </w:tcPr>
          <w:p w:rsidR="009B65EB" w:rsidRPr="005F120D" w:rsidRDefault="009B65EB" w:rsidP="00B25E46">
            <w:pPr>
              <w:pStyle w:val="NoSpacing"/>
              <w:cnfStyle w:val="000000100000"/>
              <w:rPr>
                <w:rFonts w:asciiTheme="minorHAnsi" w:hAnsiTheme="minorHAnsi" w:cstheme="minorHAnsi"/>
                <w:sz w:val="16"/>
                <w:szCs w:val="16"/>
              </w:rPr>
            </w:pPr>
            <w:r w:rsidRPr="005F120D">
              <w:rPr>
                <w:rFonts w:asciiTheme="minorHAnsi" w:hAnsiTheme="minorHAnsi" w:cstheme="minorHAnsi"/>
                <w:sz w:val="16"/>
                <w:szCs w:val="16"/>
              </w:rPr>
              <w:t>Toilets for female teachers and girls</w:t>
            </w:r>
          </w:p>
        </w:tc>
        <w:tc>
          <w:tcPr>
            <w:tcW w:w="369" w:type="pct"/>
          </w:tcPr>
          <w:p w:rsidR="009B65EB" w:rsidRPr="005F120D" w:rsidRDefault="009B65EB"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53,250</w:t>
            </w:r>
          </w:p>
        </w:tc>
        <w:tc>
          <w:tcPr>
            <w:tcW w:w="517" w:type="pct"/>
          </w:tcPr>
          <w:p w:rsidR="009B65EB" w:rsidRPr="005F120D" w:rsidRDefault="009B65EB"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39,937.50</w:t>
            </w:r>
          </w:p>
        </w:tc>
        <w:tc>
          <w:tcPr>
            <w:tcW w:w="615" w:type="pct"/>
          </w:tcPr>
          <w:p w:rsidR="009B65EB" w:rsidRPr="005F120D" w:rsidRDefault="00FD5EB0"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23,</w:t>
            </w:r>
            <w:r w:rsidR="009B65EB" w:rsidRPr="005F120D">
              <w:rPr>
                <w:rFonts w:asciiTheme="minorHAnsi" w:hAnsiTheme="minorHAnsi" w:cstheme="minorHAnsi"/>
                <w:sz w:val="16"/>
                <w:szCs w:val="16"/>
              </w:rPr>
              <w:t>5</w:t>
            </w:r>
            <w:r w:rsidRPr="005F120D">
              <w:rPr>
                <w:rFonts w:asciiTheme="minorHAnsi" w:hAnsiTheme="minorHAnsi" w:cstheme="minorHAnsi"/>
                <w:sz w:val="16"/>
                <w:szCs w:val="16"/>
              </w:rPr>
              <w:t>0</w:t>
            </w:r>
            <w:r w:rsidR="009B65EB" w:rsidRPr="005F120D">
              <w:rPr>
                <w:rFonts w:asciiTheme="minorHAnsi" w:hAnsiTheme="minorHAnsi" w:cstheme="minorHAnsi"/>
                <w:sz w:val="16"/>
                <w:szCs w:val="16"/>
              </w:rPr>
              <w:t>0 WASH Block</w:t>
            </w:r>
          </w:p>
        </w:tc>
        <w:tc>
          <w:tcPr>
            <w:tcW w:w="403" w:type="pct"/>
          </w:tcPr>
          <w:p w:rsidR="009B65EB" w:rsidRPr="005F120D" w:rsidRDefault="00EB6F9D"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43,000</w:t>
            </w:r>
          </w:p>
        </w:tc>
        <w:tc>
          <w:tcPr>
            <w:tcW w:w="562" w:type="pct"/>
          </w:tcPr>
          <w:p w:rsidR="009B65EB" w:rsidRPr="005F120D" w:rsidRDefault="00215548"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1,621</w:t>
            </w:r>
          </w:p>
        </w:tc>
        <w:tc>
          <w:tcPr>
            <w:tcW w:w="526" w:type="pct"/>
          </w:tcPr>
          <w:p w:rsidR="00215548" w:rsidRPr="005F120D" w:rsidRDefault="006B29A5"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2,475</w:t>
            </w:r>
          </w:p>
        </w:tc>
        <w:tc>
          <w:tcPr>
            <w:tcW w:w="565" w:type="pct"/>
          </w:tcPr>
          <w:p w:rsidR="009B65EB" w:rsidRPr="005F120D" w:rsidRDefault="006B29A5"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14,109.08</w:t>
            </w:r>
          </w:p>
        </w:tc>
        <w:tc>
          <w:tcPr>
            <w:tcW w:w="443" w:type="pct"/>
          </w:tcPr>
          <w:p w:rsidR="009B65EB" w:rsidRPr="005F120D" w:rsidRDefault="006D3191" w:rsidP="00B25E46">
            <w:pPr>
              <w:pStyle w:val="NoSpacing"/>
              <w:jc w:val="center"/>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f/y 2015/16</w:t>
            </w:r>
          </w:p>
        </w:tc>
      </w:tr>
      <w:tr w:rsidR="0030731D" w:rsidRPr="005F120D" w:rsidTr="00B25E46">
        <w:trPr>
          <w:cnfStyle w:val="000000010000"/>
        </w:trPr>
        <w:tc>
          <w:tcPr>
            <w:cnfStyle w:val="001000000000"/>
            <w:tcW w:w="235" w:type="pct"/>
          </w:tcPr>
          <w:p w:rsidR="009B65EB" w:rsidRPr="005F120D" w:rsidRDefault="009B65EB"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2</w:t>
            </w:r>
          </w:p>
        </w:tc>
        <w:tc>
          <w:tcPr>
            <w:tcW w:w="765" w:type="pct"/>
          </w:tcPr>
          <w:p w:rsidR="009B65EB" w:rsidRPr="005F120D" w:rsidRDefault="009B65EB" w:rsidP="00B25E46">
            <w:pPr>
              <w:pStyle w:val="NoSpacing"/>
              <w:cnfStyle w:val="000000010000"/>
              <w:rPr>
                <w:rFonts w:asciiTheme="minorHAnsi" w:hAnsiTheme="minorHAnsi" w:cstheme="minorHAnsi"/>
                <w:sz w:val="16"/>
                <w:szCs w:val="16"/>
              </w:rPr>
            </w:pPr>
            <w:r w:rsidRPr="005F120D">
              <w:rPr>
                <w:rFonts w:asciiTheme="minorHAnsi" w:hAnsiTheme="minorHAnsi" w:cstheme="minorHAnsi"/>
                <w:sz w:val="16"/>
                <w:szCs w:val="16"/>
              </w:rPr>
              <w:t xml:space="preserve">Water </w:t>
            </w:r>
            <w:r w:rsidR="00FD5EB0" w:rsidRPr="005F120D">
              <w:rPr>
                <w:rFonts w:asciiTheme="minorHAnsi" w:hAnsiTheme="minorHAnsi" w:cstheme="minorHAnsi"/>
                <w:sz w:val="16"/>
                <w:szCs w:val="16"/>
              </w:rPr>
              <w:t>Source</w:t>
            </w:r>
          </w:p>
        </w:tc>
        <w:tc>
          <w:tcPr>
            <w:tcW w:w="369" w:type="pct"/>
          </w:tcPr>
          <w:p w:rsidR="009B65EB" w:rsidRPr="005F120D" w:rsidRDefault="009B65EB" w:rsidP="00B25E46">
            <w:pPr>
              <w:pStyle w:val="NoSpacing"/>
              <w:jc w:val="right"/>
              <w:cnfStyle w:val="000000010000"/>
              <w:rPr>
                <w:rFonts w:asciiTheme="minorHAnsi" w:hAnsiTheme="minorHAnsi" w:cstheme="minorHAnsi"/>
                <w:sz w:val="16"/>
                <w:szCs w:val="16"/>
              </w:rPr>
            </w:pPr>
          </w:p>
        </w:tc>
        <w:tc>
          <w:tcPr>
            <w:tcW w:w="517" w:type="pct"/>
          </w:tcPr>
          <w:p w:rsidR="009B65EB" w:rsidRPr="005F120D" w:rsidRDefault="009B65EB" w:rsidP="00B25E46">
            <w:pPr>
              <w:pStyle w:val="NoSpacing"/>
              <w:jc w:val="right"/>
              <w:cnfStyle w:val="000000010000"/>
              <w:rPr>
                <w:rFonts w:asciiTheme="minorHAnsi" w:hAnsiTheme="minorHAnsi" w:cstheme="minorHAnsi"/>
                <w:sz w:val="16"/>
                <w:szCs w:val="16"/>
              </w:rPr>
            </w:pPr>
          </w:p>
        </w:tc>
        <w:tc>
          <w:tcPr>
            <w:tcW w:w="615" w:type="pct"/>
          </w:tcPr>
          <w:p w:rsidR="009B65EB" w:rsidRPr="005F120D" w:rsidRDefault="00FD5EB0"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39,300</w:t>
            </w:r>
          </w:p>
        </w:tc>
        <w:tc>
          <w:tcPr>
            <w:tcW w:w="403" w:type="pct"/>
          </w:tcPr>
          <w:p w:rsidR="009B65EB" w:rsidRPr="005F120D" w:rsidRDefault="009B65EB" w:rsidP="00B25E46">
            <w:pPr>
              <w:pStyle w:val="NoSpacing"/>
              <w:jc w:val="right"/>
              <w:cnfStyle w:val="000000010000"/>
              <w:rPr>
                <w:rFonts w:asciiTheme="minorHAnsi" w:hAnsiTheme="minorHAnsi" w:cstheme="minorHAnsi"/>
                <w:sz w:val="16"/>
                <w:szCs w:val="16"/>
              </w:rPr>
            </w:pPr>
          </w:p>
        </w:tc>
        <w:tc>
          <w:tcPr>
            <w:tcW w:w="562" w:type="pct"/>
          </w:tcPr>
          <w:p w:rsidR="009B65EB" w:rsidRPr="005F120D" w:rsidRDefault="00215548" w:rsidP="00B25E46">
            <w:pPr>
              <w:pStyle w:val="NoSpacing"/>
              <w:jc w:val="right"/>
              <w:cnfStyle w:val="000000010000"/>
              <w:rPr>
                <w:rFonts w:asciiTheme="minorHAnsi" w:hAnsiTheme="minorHAnsi" w:cstheme="minorHAnsi"/>
                <w:color w:val="008000"/>
                <w:sz w:val="16"/>
                <w:szCs w:val="16"/>
              </w:rPr>
            </w:pPr>
            <w:r w:rsidRPr="005F120D">
              <w:rPr>
                <w:rFonts w:asciiTheme="minorHAnsi" w:hAnsiTheme="minorHAnsi" w:cstheme="minorHAnsi"/>
                <w:color w:val="008000"/>
                <w:sz w:val="16"/>
                <w:szCs w:val="16"/>
              </w:rPr>
              <w:t>4,407</w:t>
            </w:r>
          </w:p>
        </w:tc>
        <w:tc>
          <w:tcPr>
            <w:tcW w:w="526" w:type="pct"/>
          </w:tcPr>
          <w:p w:rsidR="009B65EB" w:rsidRPr="005F120D" w:rsidRDefault="00215548" w:rsidP="00B25E46">
            <w:pPr>
              <w:pStyle w:val="NoSpacing"/>
              <w:jc w:val="right"/>
              <w:cnfStyle w:val="000000010000"/>
              <w:rPr>
                <w:rFonts w:asciiTheme="minorHAnsi" w:hAnsiTheme="minorHAnsi" w:cstheme="minorHAnsi"/>
                <w:color w:val="008000"/>
                <w:sz w:val="16"/>
                <w:szCs w:val="16"/>
              </w:rPr>
            </w:pPr>
            <w:r w:rsidRPr="005F120D">
              <w:rPr>
                <w:rFonts w:asciiTheme="minorHAnsi" w:hAnsiTheme="minorHAnsi" w:cstheme="minorHAnsi"/>
                <w:color w:val="008000"/>
                <w:sz w:val="16"/>
                <w:szCs w:val="16"/>
              </w:rPr>
              <w:t>25,621</w:t>
            </w:r>
          </w:p>
        </w:tc>
        <w:tc>
          <w:tcPr>
            <w:tcW w:w="565" w:type="pct"/>
          </w:tcPr>
          <w:p w:rsidR="009B65EB" w:rsidRPr="005F120D" w:rsidRDefault="009B65EB" w:rsidP="00B25E46">
            <w:pPr>
              <w:pStyle w:val="NoSpacing"/>
              <w:jc w:val="right"/>
              <w:cnfStyle w:val="000000010000"/>
              <w:rPr>
                <w:rFonts w:asciiTheme="minorHAnsi" w:hAnsiTheme="minorHAnsi" w:cstheme="minorHAnsi"/>
                <w:color w:val="008000"/>
                <w:sz w:val="16"/>
                <w:szCs w:val="16"/>
              </w:rPr>
            </w:pPr>
          </w:p>
        </w:tc>
        <w:tc>
          <w:tcPr>
            <w:tcW w:w="443" w:type="pct"/>
          </w:tcPr>
          <w:p w:rsidR="009B65EB" w:rsidRPr="005F120D" w:rsidRDefault="009B65EB" w:rsidP="00B25E46">
            <w:pPr>
              <w:pStyle w:val="NoSpacing"/>
              <w:cnfStyle w:val="000000010000"/>
              <w:rPr>
                <w:rFonts w:asciiTheme="minorHAnsi" w:hAnsiTheme="minorHAnsi" w:cstheme="minorHAnsi"/>
                <w:color w:val="008000"/>
                <w:sz w:val="16"/>
                <w:szCs w:val="16"/>
              </w:rPr>
            </w:pPr>
          </w:p>
        </w:tc>
      </w:tr>
      <w:tr w:rsidR="00955586" w:rsidRPr="005F120D" w:rsidTr="00B25E46">
        <w:trPr>
          <w:cnfStyle w:val="000000100000"/>
        </w:trPr>
        <w:tc>
          <w:tcPr>
            <w:cnfStyle w:val="001000000000"/>
            <w:tcW w:w="235" w:type="pct"/>
          </w:tcPr>
          <w:p w:rsidR="00955586" w:rsidRPr="005F120D" w:rsidRDefault="00955586"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2.1</w:t>
            </w:r>
          </w:p>
        </w:tc>
        <w:tc>
          <w:tcPr>
            <w:tcW w:w="765" w:type="pct"/>
          </w:tcPr>
          <w:p w:rsidR="00955586" w:rsidRPr="005F120D" w:rsidRDefault="00955586" w:rsidP="00B25E46">
            <w:pPr>
              <w:pStyle w:val="NoSpacing"/>
              <w:cnfStyle w:val="000000100000"/>
              <w:rPr>
                <w:rFonts w:asciiTheme="minorHAnsi" w:hAnsiTheme="minorHAnsi" w:cstheme="minorHAnsi"/>
                <w:sz w:val="16"/>
                <w:szCs w:val="16"/>
              </w:rPr>
            </w:pPr>
            <w:r w:rsidRPr="005F120D">
              <w:rPr>
                <w:rFonts w:asciiTheme="minorHAnsi" w:hAnsiTheme="minorHAnsi" w:cstheme="minorHAnsi"/>
                <w:sz w:val="16"/>
                <w:szCs w:val="16"/>
              </w:rPr>
              <w:t>Deep Tube well</w:t>
            </w:r>
          </w:p>
        </w:tc>
        <w:tc>
          <w:tcPr>
            <w:tcW w:w="369" w:type="pct"/>
          </w:tcPr>
          <w:p w:rsidR="00955586" w:rsidRPr="005F120D" w:rsidRDefault="00955586"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15,720</w:t>
            </w:r>
          </w:p>
        </w:tc>
        <w:tc>
          <w:tcPr>
            <w:tcW w:w="517" w:type="pct"/>
          </w:tcPr>
          <w:p w:rsidR="00955586" w:rsidRPr="005F120D" w:rsidRDefault="00EB6F9D"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23,580</w:t>
            </w:r>
          </w:p>
        </w:tc>
        <w:tc>
          <w:tcPr>
            <w:tcW w:w="615" w:type="pct"/>
          </w:tcPr>
          <w:p w:rsidR="00955586" w:rsidRPr="005F120D" w:rsidRDefault="00EB6F9D"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29,800</w:t>
            </w:r>
          </w:p>
        </w:tc>
        <w:tc>
          <w:tcPr>
            <w:tcW w:w="403" w:type="pct"/>
          </w:tcPr>
          <w:p w:rsidR="00955586" w:rsidRPr="005F120D" w:rsidRDefault="00EB6F9D"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40,042.50</w:t>
            </w:r>
          </w:p>
        </w:tc>
        <w:tc>
          <w:tcPr>
            <w:tcW w:w="562" w:type="pct"/>
          </w:tcPr>
          <w:p w:rsidR="00955586" w:rsidRPr="005F120D" w:rsidRDefault="00955586" w:rsidP="00B25E46">
            <w:pPr>
              <w:pStyle w:val="NoSpacing"/>
              <w:jc w:val="right"/>
              <w:cnfStyle w:val="000000100000"/>
              <w:rPr>
                <w:rFonts w:asciiTheme="minorHAnsi" w:hAnsiTheme="minorHAnsi" w:cstheme="minorHAnsi"/>
                <w:color w:val="008000"/>
                <w:sz w:val="16"/>
                <w:szCs w:val="16"/>
              </w:rPr>
            </w:pPr>
          </w:p>
        </w:tc>
        <w:tc>
          <w:tcPr>
            <w:tcW w:w="526" w:type="pct"/>
          </w:tcPr>
          <w:p w:rsidR="00955586" w:rsidRPr="005F120D" w:rsidRDefault="003536E2"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2,689</w:t>
            </w:r>
          </w:p>
        </w:tc>
        <w:tc>
          <w:tcPr>
            <w:tcW w:w="565" w:type="pct"/>
          </w:tcPr>
          <w:p w:rsidR="00955586" w:rsidRPr="005F120D" w:rsidRDefault="003536E2"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1,704.00</w:t>
            </w:r>
          </w:p>
        </w:tc>
        <w:tc>
          <w:tcPr>
            <w:tcW w:w="443" w:type="pct"/>
          </w:tcPr>
          <w:p w:rsidR="00955586" w:rsidRPr="005F120D" w:rsidRDefault="003536E2" w:rsidP="00B25E46">
            <w:pPr>
              <w:pStyle w:val="NoSpacing"/>
              <w:jc w:val="center"/>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f/y 2015/16</w:t>
            </w:r>
          </w:p>
        </w:tc>
      </w:tr>
      <w:tr w:rsidR="003536E2" w:rsidRPr="005F120D" w:rsidTr="00B25E46">
        <w:trPr>
          <w:cnfStyle w:val="000000010000"/>
        </w:trPr>
        <w:tc>
          <w:tcPr>
            <w:cnfStyle w:val="001000000000"/>
            <w:tcW w:w="235" w:type="pct"/>
          </w:tcPr>
          <w:p w:rsidR="003536E2" w:rsidRPr="005F120D" w:rsidRDefault="003536E2"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2.2</w:t>
            </w:r>
          </w:p>
        </w:tc>
        <w:tc>
          <w:tcPr>
            <w:tcW w:w="765" w:type="pct"/>
          </w:tcPr>
          <w:p w:rsidR="003536E2" w:rsidRPr="005F120D" w:rsidRDefault="003536E2" w:rsidP="00B25E46">
            <w:pPr>
              <w:pStyle w:val="NoSpacing"/>
              <w:cnfStyle w:val="000000010000"/>
              <w:rPr>
                <w:rFonts w:asciiTheme="minorHAnsi" w:hAnsiTheme="minorHAnsi" w:cstheme="minorHAnsi"/>
                <w:sz w:val="16"/>
                <w:szCs w:val="16"/>
              </w:rPr>
            </w:pPr>
            <w:r w:rsidRPr="005F120D">
              <w:rPr>
                <w:rFonts w:asciiTheme="minorHAnsi" w:hAnsiTheme="minorHAnsi" w:cstheme="minorHAnsi"/>
                <w:sz w:val="16"/>
                <w:szCs w:val="16"/>
              </w:rPr>
              <w:t>Shallow Tube well</w:t>
            </w:r>
          </w:p>
        </w:tc>
        <w:tc>
          <w:tcPr>
            <w:tcW w:w="369" w:type="pct"/>
          </w:tcPr>
          <w:p w:rsidR="003536E2" w:rsidRPr="005F120D" w:rsidRDefault="003536E2"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15,720</w:t>
            </w:r>
          </w:p>
        </w:tc>
        <w:tc>
          <w:tcPr>
            <w:tcW w:w="517" w:type="pct"/>
          </w:tcPr>
          <w:p w:rsidR="003536E2" w:rsidRPr="005F120D" w:rsidRDefault="003536E2"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9,432</w:t>
            </w:r>
          </w:p>
        </w:tc>
        <w:tc>
          <w:tcPr>
            <w:tcW w:w="615" w:type="pct"/>
          </w:tcPr>
          <w:p w:rsidR="003536E2" w:rsidRPr="005F120D" w:rsidRDefault="003536E2"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5,000</w:t>
            </w:r>
          </w:p>
        </w:tc>
        <w:tc>
          <w:tcPr>
            <w:tcW w:w="403" w:type="pct"/>
          </w:tcPr>
          <w:p w:rsidR="003536E2" w:rsidRPr="005F120D" w:rsidRDefault="003536E2"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2,738</w:t>
            </w:r>
          </w:p>
        </w:tc>
        <w:tc>
          <w:tcPr>
            <w:tcW w:w="562" w:type="pct"/>
          </w:tcPr>
          <w:p w:rsidR="003536E2" w:rsidRPr="005F120D" w:rsidRDefault="003536E2" w:rsidP="00B25E46">
            <w:pPr>
              <w:pStyle w:val="NoSpacing"/>
              <w:jc w:val="right"/>
              <w:cnfStyle w:val="000000010000"/>
              <w:rPr>
                <w:rFonts w:asciiTheme="minorHAnsi" w:hAnsiTheme="minorHAnsi" w:cstheme="minorHAnsi"/>
                <w:color w:val="008000"/>
                <w:sz w:val="16"/>
                <w:szCs w:val="16"/>
              </w:rPr>
            </w:pPr>
            <w:r w:rsidRPr="005F120D">
              <w:rPr>
                <w:rFonts w:asciiTheme="minorHAnsi" w:hAnsiTheme="minorHAnsi" w:cstheme="minorHAnsi"/>
                <w:color w:val="008000"/>
                <w:sz w:val="16"/>
                <w:szCs w:val="16"/>
              </w:rPr>
              <w:t>-</w:t>
            </w:r>
          </w:p>
        </w:tc>
        <w:tc>
          <w:tcPr>
            <w:tcW w:w="526" w:type="pct"/>
          </w:tcPr>
          <w:p w:rsidR="003536E2" w:rsidRPr="005F120D" w:rsidRDefault="003536E2" w:rsidP="00B25E46">
            <w:pPr>
              <w:pStyle w:val="NoSpacing"/>
              <w:jc w:val="right"/>
              <w:cnfStyle w:val="000000010000"/>
              <w:rPr>
                <w:rFonts w:asciiTheme="minorHAnsi" w:hAnsiTheme="minorHAnsi" w:cstheme="minorHAnsi"/>
                <w:color w:val="008000"/>
                <w:sz w:val="16"/>
                <w:szCs w:val="16"/>
              </w:rPr>
            </w:pPr>
            <w:r w:rsidRPr="005F120D">
              <w:rPr>
                <w:rFonts w:asciiTheme="minorHAnsi" w:hAnsiTheme="minorHAnsi" w:cstheme="minorHAnsi"/>
                <w:color w:val="008000"/>
                <w:sz w:val="16"/>
                <w:szCs w:val="16"/>
              </w:rPr>
              <w:t>2,210</w:t>
            </w:r>
          </w:p>
        </w:tc>
        <w:tc>
          <w:tcPr>
            <w:tcW w:w="565" w:type="pct"/>
          </w:tcPr>
          <w:p w:rsidR="003536E2" w:rsidRPr="005F120D" w:rsidRDefault="003536E2" w:rsidP="00B25E46">
            <w:pPr>
              <w:pStyle w:val="NoSpacing"/>
              <w:jc w:val="right"/>
              <w:cnfStyle w:val="000000010000"/>
              <w:rPr>
                <w:rFonts w:asciiTheme="minorHAnsi" w:hAnsiTheme="minorHAnsi" w:cstheme="minorHAnsi"/>
                <w:color w:val="008000"/>
                <w:sz w:val="16"/>
                <w:szCs w:val="16"/>
              </w:rPr>
            </w:pPr>
            <w:r w:rsidRPr="005F120D">
              <w:rPr>
                <w:rFonts w:asciiTheme="minorHAnsi" w:hAnsiTheme="minorHAnsi" w:cstheme="minorHAnsi"/>
                <w:color w:val="008000"/>
                <w:sz w:val="16"/>
                <w:szCs w:val="16"/>
              </w:rPr>
              <w:t>571.10</w:t>
            </w:r>
          </w:p>
        </w:tc>
        <w:tc>
          <w:tcPr>
            <w:tcW w:w="443" w:type="pct"/>
          </w:tcPr>
          <w:p w:rsidR="003536E2" w:rsidRPr="005F120D" w:rsidRDefault="003536E2" w:rsidP="00B25E46">
            <w:pPr>
              <w:spacing w:after="0"/>
              <w:cnfStyle w:val="000000010000"/>
              <w:rPr>
                <w:rFonts w:asciiTheme="minorHAnsi" w:hAnsiTheme="minorHAnsi" w:cstheme="minorHAnsi"/>
                <w:sz w:val="16"/>
                <w:szCs w:val="16"/>
              </w:rPr>
            </w:pPr>
            <w:r w:rsidRPr="005F120D">
              <w:rPr>
                <w:rFonts w:asciiTheme="minorHAnsi" w:hAnsiTheme="minorHAnsi" w:cstheme="minorHAnsi"/>
                <w:color w:val="008000"/>
                <w:sz w:val="16"/>
                <w:szCs w:val="16"/>
              </w:rPr>
              <w:t>f/y 2015/16</w:t>
            </w:r>
          </w:p>
        </w:tc>
      </w:tr>
      <w:tr w:rsidR="003536E2" w:rsidRPr="005F120D" w:rsidTr="00B25E46">
        <w:trPr>
          <w:cnfStyle w:val="000000100000"/>
        </w:trPr>
        <w:tc>
          <w:tcPr>
            <w:cnfStyle w:val="001000000000"/>
            <w:tcW w:w="235" w:type="pct"/>
          </w:tcPr>
          <w:p w:rsidR="003536E2" w:rsidRPr="005F120D" w:rsidRDefault="003536E2"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2.3</w:t>
            </w:r>
          </w:p>
        </w:tc>
        <w:tc>
          <w:tcPr>
            <w:tcW w:w="765" w:type="pct"/>
          </w:tcPr>
          <w:p w:rsidR="003536E2" w:rsidRPr="005F120D" w:rsidRDefault="003536E2" w:rsidP="00B25E46">
            <w:pPr>
              <w:pStyle w:val="NoSpacing"/>
              <w:cnfStyle w:val="000000100000"/>
              <w:rPr>
                <w:rFonts w:asciiTheme="minorHAnsi" w:hAnsiTheme="minorHAnsi" w:cstheme="minorHAnsi"/>
                <w:sz w:val="16"/>
                <w:szCs w:val="16"/>
              </w:rPr>
            </w:pPr>
            <w:r w:rsidRPr="005F120D">
              <w:rPr>
                <w:rFonts w:asciiTheme="minorHAnsi" w:hAnsiTheme="minorHAnsi" w:cstheme="minorHAnsi"/>
                <w:sz w:val="16"/>
                <w:szCs w:val="16"/>
              </w:rPr>
              <w:t>Tara Tube well</w:t>
            </w:r>
          </w:p>
        </w:tc>
        <w:tc>
          <w:tcPr>
            <w:tcW w:w="369" w:type="pct"/>
          </w:tcPr>
          <w:p w:rsidR="003536E2" w:rsidRPr="005F120D" w:rsidRDefault="003536E2"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7,860</w:t>
            </w:r>
          </w:p>
        </w:tc>
        <w:tc>
          <w:tcPr>
            <w:tcW w:w="517" w:type="pct"/>
          </w:tcPr>
          <w:p w:rsidR="003536E2" w:rsidRPr="005F120D" w:rsidRDefault="003536E2"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5,895</w:t>
            </w:r>
          </w:p>
        </w:tc>
        <w:tc>
          <w:tcPr>
            <w:tcW w:w="615" w:type="pct"/>
          </w:tcPr>
          <w:p w:rsidR="003536E2" w:rsidRPr="005F120D" w:rsidRDefault="003536E2"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2,500</w:t>
            </w:r>
          </w:p>
        </w:tc>
        <w:tc>
          <w:tcPr>
            <w:tcW w:w="403" w:type="pct"/>
          </w:tcPr>
          <w:p w:rsidR="003536E2" w:rsidRPr="005F120D" w:rsidRDefault="003536E2"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1,875</w:t>
            </w:r>
          </w:p>
        </w:tc>
        <w:tc>
          <w:tcPr>
            <w:tcW w:w="562" w:type="pct"/>
          </w:tcPr>
          <w:p w:rsidR="003536E2" w:rsidRPr="005F120D" w:rsidRDefault="003536E2"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w:t>
            </w:r>
          </w:p>
        </w:tc>
        <w:tc>
          <w:tcPr>
            <w:tcW w:w="526" w:type="pct"/>
          </w:tcPr>
          <w:p w:rsidR="003536E2" w:rsidRPr="005F120D" w:rsidRDefault="003536E2"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1,328</w:t>
            </w:r>
          </w:p>
        </w:tc>
        <w:tc>
          <w:tcPr>
            <w:tcW w:w="565" w:type="pct"/>
          </w:tcPr>
          <w:p w:rsidR="003536E2" w:rsidRPr="005F120D" w:rsidRDefault="003536E2"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508.85</w:t>
            </w:r>
          </w:p>
        </w:tc>
        <w:tc>
          <w:tcPr>
            <w:tcW w:w="443" w:type="pct"/>
          </w:tcPr>
          <w:p w:rsidR="003536E2" w:rsidRPr="005F120D" w:rsidRDefault="003536E2" w:rsidP="00B25E46">
            <w:pPr>
              <w:spacing w:after="0"/>
              <w:cnfStyle w:val="000000100000"/>
              <w:rPr>
                <w:rFonts w:asciiTheme="minorHAnsi" w:hAnsiTheme="minorHAnsi" w:cstheme="minorHAnsi"/>
                <w:sz w:val="16"/>
                <w:szCs w:val="16"/>
              </w:rPr>
            </w:pPr>
            <w:r w:rsidRPr="005F120D">
              <w:rPr>
                <w:rFonts w:asciiTheme="minorHAnsi" w:hAnsiTheme="minorHAnsi" w:cstheme="minorHAnsi"/>
                <w:color w:val="008000"/>
                <w:sz w:val="16"/>
                <w:szCs w:val="16"/>
              </w:rPr>
              <w:t>f/y 2015/16</w:t>
            </w:r>
          </w:p>
        </w:tc>
      </w:tr>
      <w:tr w:rsidR="003536E2" w:rsidRPr="005F120D" w:rsidTr="00B25E46">
        <w:trPr>
          <w:cnfStyle w:val="000000010000"/>
        </w:trPr>
        <w:tc>
          <w:tcPr>
            <w:cnfStyle w:val="001000000000"/>
            <w:tcW w:w="235" w:type="pct"/>
          </w:tcPr>
          <w:p w:rsidR="003536E2" w:rsidRPr="005F120D" w:rsidRDefault="003536E2"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2.4</w:t>
            </w:r>
          </w:p>
        </w:tc>
        <w:tc>
          <w:tcPr>
            <w:tcW w:w="765" w:type="pct"/>
          </w:tcPr>
          <w:p w:rsidR="003536E2" w:rsidRPr="005F120D" w:rsidRDefault="003536E2" w:rsidP="00B25E46">
            <w:pPr>
              <w:pStyle w:val="NoSpacing"/>
              <w:cnfStyle w:val="000000010000"/>
              <w:rPr>
                <w:rFonts w:asciiTheme="minorHAnsi" w:hAnsiTheme="minorHAnsi" w:cstheme="minorHAnsi"/>
                <w:sz w:val="16"/>
                <w:szCs w:val="16"/>
              </w:rPr>
            </w:pPr>
            <w:r w:rsidRPr="005F120D">
              <w:rPr>
                <w:rFonts w:asciiTheme="minorHAnsi" w:hAnsiTheme="minorHAnsi" w:cstheme="minorHAnsi"/>
                <w:sz w:val="16"/>
                <w:szCs w:val="16"/>
              </w:rPr>
              <w:t>Other water source</w:t>
            </w:r>
          </w:p>
        </w:tc>
        <w:tc>
          <w:tcPr>
            <w:tcW w:w="369" w:type="pct"/>
          </w:tcPr>
          <w:p w:rsidR="003536E2" w:rsidRPr="005F120D" w:rsidRDefault="003536E2"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w:t>
            </w:r>
          </w:p>
        </w:tc>
        <w:tc>
          <w:tcPr>
            <w:tcW w:w="517" w:type="pct"/>
          </w:tcPr>
          <w:p w:rsidR="003536E2" w:rsidRPr="005F120D" w:rsidRDefault="003536E2"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0.00</w:t>
            </w:r>
          </w:p>
        </w:tc>
        <w:tc>
          <w:tcPr>
            <w:tcW w:w="615" w:type="pct"/>
          </w:tcPr>
          <w:p w:rsidR="003536E2" w:rsidRPr="005F120D" w:rsidRDefault="003536E2"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2,000</w:t>
            </w:r>
          </w:p>
        </w:tc>
        <w:tc>
          <w:tcPr>
            <w:tcW w:w="403" w:type="pct"/>
          </w:tcPr>
          <w:p w:rsidR="003536E2" w:rsidRPr="005F120D" w:rsidRDefault="003536E2" w:rsidP="00B25E46">
            <w:pPr>
              <w:pStyle w:val="NoSpacing"/>
              <w:jc w:val="right"/>
              <w:cnfStyle w:val="000000010000"/>
              <w:rPr>
                <w:rFonts w:asciiTheme="minorHAnsi" w:hAnsiTheme="minorHAnsi" w:cstheme="minorHAnsi"/>
                <w:sz w:val="16"/>
                <w:szCs w:val="16"/>
              </w:rPr>
            </w:pPr>
            <w:r w:rsidRPr="005F120D">
              <w:rPr>
                <w:rFonts w:asciiTheme="minorHAnsi" w:hAnsiTheme="minorHAnsi" w:cstheme="minorHAnsi"/>
                <w:sz w:val="16"/>
                <w:szCs w:val="16"/>
              </w:rPr>
              <w:t>2,734.50</w:t>
            </w:r>
          </w:p>
        </w:tc>
        <w:tc>
          <w:tcPr>
            <w:tcW w:w="562" w:type="pct"/>
          </w:tcPr>
          <w:p w:rsidR="003536E2" w:rsidRPr="005F120D" w:rsidRDefault="003536E2" w:rsidP="00B25E46">
            <w:pPr>
              <w:pStyle w:val="NoSpacing"/>
              <w:jc w:val="right"/>
              <w:cnfStyle w:val="000000010000"/>
              <w:rPr>
                <w:rFonts w:asciiTheme="minorHAnsi" w:hAnsiTheme="minorHAnsi" w:cstheme="minorHAnsi"/>
                <w:color w:val="008000"/>
                <w:sz w:val="16"/>
                <w:szCs w:val="16"/>
              </w:rPr>
            </w:pPr>
            <w:r w:rsidRPr="005F120D">
              <w:rPr>
                <w:rFonts w:asciiTheme="minorHAnsi" w:hAnsiTheme="minorHAnsi" w:cstheme="minorHAnsi"/>
                <w:color w:val="008000"/>
                <w:sz w:val="16"/>
                <w:szCs w:val="16"/>
              </w:rPr>
              <w:t>-</w:t>
            </w:r>
          </w:p>
        </w:tc>
        <w:tc>
          <w:tcPr>
            <w:tcW w:w="526" w:type="pct"/>
          </w:tcPr>
          <w:p w:rsidR="003536E2" w:rsidRPr="005F120D" w:rsidRDefault="003536E2" w:rsidP="00B25E46">
            <w:pPr>
              <w:pStyle w:val="NoSpacing"/>
              <w:jc w:val="right"/>
              <w:cnfStyle w:val="000000010000"/>
              <w:rPr>
                <w:rFonts w:asciiTheme="minorHAnsi" w:hAnsiTheme="minorHAnsi" w:cstheme="minorHAnsi"/>
                <w:color w:val="008000"/>
                <w:sz w:val="16"/>
                <w:szCs w:val="16"/>
              </w:rPr>
            </w:pPr>
            <w:r w:rsidRPr="005F120D">
              <w:rPr>
                <w:rFonts w:asciiTheme="minorHAnsi" w:hAnsiTheme="minorHAnsi" w:cstheme="minorHAnsi"/>
                <w:color w:val="008000"/>
                <w:sz w:val="16"/>
                <w:szCs w:val="16"/>
              </w:rPr>
              <w:t>519</w:t>
            </w:r>
          </w:p>
        </w:tc>
        <w:tc>
          <w:tcPr>
            <w:tcW w:w="565" w:type="pct"/>
          </w:tcPr>
          <w:p w:rsidR="003536E2" w:rsidRPr="005F120D" w:rsidRDefault="003536E2" w:rsidP="00B25E46">
            <w:pPr>
              <w:pStyle w:val="NoSpacing"/>
              <w:jc w:val="right"/>
              <w:cnfStyle w:val="000000010000"/>
              <w:rPr>
                <w:rFonts w:asciiTheme="minorHAnsi" w:hAnsiTheme="minorHAnsi" w:cstheme="minorHAnsi"/>
                <w:color w:val="008000"/>
                <w:sz w:val="16"/>
                <w:szCs w:val="16"/>
              </w:rPr>
            </w:pPr>
            <w:r w:rsidRPr="005F120D">
              <w:rPr>
                <w:rFonts w:asciiTheme="minorHAnsi" w:hAnsiTheme="minorHAnsi" w:cstheme="minorHAnsi"/>
                <w:color w:val="008000"/>
                <w:sz w:val="16"/>
                <w:szCs w:val="16"/>
              </w:rPr>
              <w:t>478</w:t>
            </w:r>
          </w:p>
        </w:tc>
        <w:tc>
          <w:tcPr>
            <w:tcW w:w="443" w:type="pct"/>
          </w:tcPr>
          <w:p w:rsidR="003536E2" w:rsidRPr="005F120D" w:rsidRDefault="003536E2" w:rsidP="00B25E46">
            <w:pPr>
              <w:spacing w:after="0"/>
              <w:cnfStyle w:val="000000010000"/>
              <w:rPr>
                <w:rFonts w:asciiTheme="minorHAnsi" w:hAnsiTheme="minorHAnsi" w:cstheme="minorHAnsi"/>
                <w:sz w:val="16"/>
                <w:szCs w:val="16"/>
              </w:rPr>
            </w:pPr>
            <w:r w:rsidRPr="005F120D">
              <w:rPr>
                <w:rFonts w:asciiTheme="minorHAnsi" w:hAnsiTheme="minorHAnsi" w:cstheme="minorHAnsi"/>
                <w:color w:val="008000"/>
                <w:sz w:val="16"/>
                <w:szCs w:val="16"/>
              </w:rPr>
              <w:t>f/y 2015/16</w:t>
            </w:r>
          </w:p>
        </w:tc>
      </w:tr>
      <w:tr w:rsidR="0030731D" w:rsidRPr="005F120D" w:rsidTr="00B25E46">
        <w:trPr>
          <w:cnfStyle w:val="000000100000"/>
        </w:trPr>
        <w:tc>
          <w:tcPr>
            <w:cnfStyle w:val="001000000000"/>
            <w:tcW w:w="235" w:type="pct"/>
          </w:tcPr>
          <w:p w:rsidR="009B65EB" w:rsidRPr="005F120D" w:rsidRDefault="009B65EB"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2.5</w:t>
            </w:r>
          </w:p>
        </w:tc>
        <w:tc>
          <w:tcPr>
            <w:tcW w:w="765" w:type="pct"/>
          </w:tcPr>
          <w:p w:rsidR="009B65EB" w:rsidRPr="005F120D" w:rsidRDefault="009B65EB" w:rsidP="00B25E46">
            <w:pPr>
              <w:pStyle w:val="NoSpacing"/>
              <w:cnfStyle w:val="000000100000"/>
              <w:rPr>
                <w:rFonts w:asciiTheme="minorHAnsi" w:hAnsiTheme="minorHAnsi" w:cstheme="minorHAnsi"/>
                <w:sz w:val="16"/>
                <w:szCs w:val="16"/>
              </w:rPr>
            </w:pPr>
            <w:r w:rsidRPr="005F120D">
              <w:rPr>
                <w:rFonts w:asciiTheme="minorHAnsi" w:hAnsiTheme="minorHAnsi" w:cstheme="minorHAnsi"/>
                <w:sz w:val="16"/>
                <w:szCs w:val="16"/>
              </w:rPr>
              <w:t>Arsenic Test</w:t>
            </w:r>
          </w:p>
        </w:tc>
        <w:tc>
          <w:tcPr>
            <w:tcW w:w="369" w:type="pct"/>
          </w:tcPr>
          <w:p w:rsidR="009B65EB" w:rsidRPr="005F120D" w:rsidRDefault="009B65EB"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w:t>
            </w:r>
          </w:p>
        </w:tc>
        <w:tc>
          <w:tcPr>
            <w:tcW w:w="517" w:type="pct"/>
          </w:tcPr>
          <w:p w:rsidR="009B65EB" w:rsidRPr="005F120D" w:rsidRDefault="009B65EB"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w:t>
            </w:r>
          </w:p>
        </w:tc>
        <w:tc>
          <w:tcPr>
            <w:tcW w:w="615" w:type="pct"/>
          </w:tcPr>
          <w:p w:rsidR="009B65EB" w:rsidRPr="005F120D" w:rsidRDefault="009B65EB"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Need based</w:t>
            </w:r>
          </w:p>
        </w:tc>
        <w:tc>
          <w:tcPr>
            <w:tcW w:w="403" w:type="pct"/>
          </w:tcPr>
          <w:p w:rsidR="009B65EB" w:rsidRPr="005F120D" w:rsidRDefault="009B65EB" w:rsidP="00B25E46">
            <w:pPr>
              <w:pStyle w:val="NoSpacing"/>
              <w:jc w:val="right"/>
              <w:cnfStyle w:val="000000100000"/>
              <w:rPr>
                <w:rFonts w:asciiTheme="minorHAnsi" w:hAnsiTheme="minorHAnsi" w:cstheme="minorHAnsi"/>
                <w:sz w:val="16"/>
                <w:szCs w:val="16"/>
              </w:rPr>
            </w:pPr>
            <w:r w:rsidRPr="005F120D">
              <w:rPr>
                <w:rFonts w:asciiTheme="minorHAnsi" w:hAnsiTheme="minorHAnsi" w:cstheme="minorHAnsi"/>
                <w:sz w:val="16"/>
                <w:szCs w:val="16"/>
              </w:rPr>
              <w:t>230</w:t>
            </w:r>
          </w:p>
        </w:tc>
        <w:tc>
          <w:tcPr>
            <w:tcW w:w="562" w:type="pct"/>
          </w:tcPr>
          <w:p w:rsidR="009B65EB" w:rsidRPr="005F120D" w:rsidRDefault="00E55BA4"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w:t>
            </w:r>
          </w:p>
        </w:tc>
        <w:tc>
          <w:tcPr>
            <w:tcW w:w="526" w:type="pct"/>
          </w:tcPr>
          <w:p w:rsidR="009B65EB" w:rsidRPr="005F120D" w:rsidRDefault="00E55BA4"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w:t>
            </w:r>
          </w:p>
        </w:tc>
        <w:tc>
          <w:tcPr>
            <w:tcW w:w="565" w:type="pct"/>
          </w:tcPr>
          <w:p w:rsidR="009B65EB" w:rsidRPr="005F120D" w:rsidRDefault="00E55BA4" w:rsidP="00B25E46">
            <w:pPr>
              <w:pStyle w:val="NoSpacing"/>
              <w:jc w:val="right"/>
              <w:cnfStyle w:val="000000100000"/>
              <w:rPr>
                <w:rFonts w:asciiTheme="minorHAnsi" w:hAnsiTheme="minorHAnsi" w:cstheme="minorHAnsi"/>
                <w:color w:val="008000"/>
                <w:sz w:val="16"/>
                <w:szCs w:val="16"/>
              </w:rPr>
            </w:pPr>
            <w:r w:rsidRPr="005F120D">
              <w:rPr>
                <w:rFonts w:asciiTheme="minorHAnsi" w:hAnsiTheme="minorHAnsi" w:cstheme="minorHAnsi"/>
                <w:color w:val="008000"/>
                <w:sz w:val="16"/>
                <w:szCs w:val="16"/>
              </w:rPr>
              <w:t>-</w:t>
            </w:r>
          </w:p>
        </w:tc>
        <w:tc>
          <w:tcPr>
            <w:tcW w:w="443" w:type="pct"/>
          </w:tcPr>
          <w:p w:rsidR="009B65EB" w:rsidRPr="005F120D" w:rsidRDefault="009B65EB" w:rsidP="00B25E46">
            <w:pPr>
              <w:pStyle w:val="NoSpacing"/>
              <w:cnfStyle w:val="000000100000"/>
              <w:rPr>
                <w:rFonts w:asciiTheme="minorHAnsi" w:hAnsiTheme="minorHAnsi" w:cstheme="minorHAnsi"/>
                <w:color w:val="008000"/>
                <w:sz w:val="16"/>
                <w:szCs w:val="16"/>
              </w:rPr>
            </w:pPr>
          </w:p>
        </w:tc>
      </w:tr>
    </w:tbl>
    <w:p w:rsidR="00EB6F9D" w:rsidRPr="005F120D" w:rsidRDefault="00D011E9" w:rsidP="00B25E46">
      <w:pPr>
        <w:pStyle w:val="Heading2NONUM"/>
        <w:rPr>
          <w:rFonts w:asciiTheme="minorHAnsi" w:hAnsiTheme="minorHAnsi" w:cstheme="minorHAnsi"/>
        </w:rPr>
      </w:pPr>
      <w:r w:rsidRPr="005F120D">
        <w:rPr>
          <w:rFonts w:asciiTheme="minorHAnsi" w:hAnsiTheme="minorHAnsi" w:cstheme="minorHAnsi"/>
        </w:rPr>
        <w:t>E</w:t>
      </w:r>
      <w:r w:rsidR="00EB6F9D" w:rsidRPr="005F120D">
        <w:rPr>
          <w:rFonts w:asciiTheme="minorHAnsi" w:hAnsiTheme="minorHAnsi" w:cstheme="minorHAnsi"/>
        </w:rPr>
        <w:t>-</w:t>
      </w:r>
      <w:r w:rsidR="0003413C" w:rsidRPr="005F120D">
        <w:rPr>
          <w:rFonts w:asciiTheme="minorHAnsi" w:hAnsiTheme="minorHAnsi" w:cstheme="minorHAnsi"/>
        </w:rPr>
        <w:t>5</w:t>
      </w:r>
      <w:r w:rsidR="00EB6F9D" w:rsidRPr="005F120D">
        <w:rPr>
          <w:rFonts w:asciiTheme="minorHAnsi" w:hAnsiTheme="minorHAnsi" w:cstheme="minorHAnsi"/>
        </w:rPr>
        <w:t xml:space="preserve">:  Summary Description of </w:t>
      </w:r>
      <w:r w:rsidR="00863B08" w:rsidRPr="005F120D">
        <w:rPr>
          <w:rFonts w:asciiTheme="minorHAnsi" w:hAnsiTheme="minorHAnsi" w:cstheme="minorHAnsi"/>
        </w:rPr>
        <w:t>Furniture and Repair</w:t>
      </w:r>
      <w:r w:rsidR="00EB6F9D" w:rsidRPr="005F120D">
        <w:rPr>
          <w:rFonts w:asciiTheme="minorHAnsi" w:hAnsiTheme="minorHAnsi" w:cstheme="minorHAnsi"/>
        </w:rPr>
        <w:t xml:space="preserve"> Activities </w:t>
      </w:r>
      <w:r w:rsidR="008D0E68" w:rsidRPr="005F120D">
        <w:rPr>
          <w:rFonts w:asciiTheme="minorHAnsi" w:hAnsiTheme="minorHAnsi" w:cstheme="minorHAnsi"/>
        </w:rPr>
        <w:t>in</w:t>
      </w:r>
      <w:r w:rsidR="00EB6F9D" w:rsidRPr="005F120D">
        <w:rPr>
          <w:rFonts w:asciiTheme="minorHAnsi" w:hAnsiTheme="minorHAnsi" w:cstheme="minorHAnsi"/>
        </w:rPr>
        <w:t xml:space="preserve"> PEDP3</w:t>
      </w:r>
      <w:r w:rsidR="008D0E68" w:rsidRPr="005F120D">
        <w:rPr>
          <w:rFonts w:asciiTheme="minorHAnsi" w:hAnsiTheme="minorHAnsi" w:cstheme="minorHAnsi"/>
        </w:rPr>
        <w:t>as of March 2016</w:t>
      </w:r>
    </w:p>
    <w:tbl>
      <w:tblPr>
        <w:tblStyle w:val="LightGrid-Accent3"/>
        <w:tblW w:w="5000" w:type="pct"/>
        <w:tblLook w:val="04A0"/>
      </w:tblPr>
      <w:tblGrid>
        <w:gridCol w:w="447"/>
        <w:gridCol w:w="1496"/>
        <w:gridCol w:w="795"/>
        <w:gridCol w:w="949"/>
        <w:gridCol w:w="1126"/>
        <w:gridCol w:w="888"/>
        <w:gridCol w:w="941"/>
        <w:gridCol w:w="966"/>
        <w:gridCol w:w="832"/>
        <w:gridCol w:w="805"/>
      </w:tblGrid>
      <w:tr w:rsidR="00EB6F9D" w:rsidRPr="005F120D" w:rsidTr="00B25E46">
        <w:trPr>
          <w:cnfStyle w:val="100000000000"/>
        </w:trPr>
        <w:tc>
          <w:tcPr>
            <w:cnfStyle w:val="001000000000"/>
            <w:tcW w:w="234" w:type="pct"/>
            <w:vMerge w:val="restart"/>
          </w:tcPr>
          <w:p w:rsidR="00EB6F9D" w:rsidRPr="005F120D" w:rsidRDefault="00EB6F9D"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SL. No.</w:t>
            </w:r>
          </w:p>
        </w:tc>
        <w:tc>
          <w:tcPr>
            <w:tcW w:w="813" w:type="pct"/>
            <w:vMerge w:val="restart"/>
          </w:tcPr>
          <w:p w:rsidR="00EB6F9D" w:rsidRPr="005F120D" w:rsidRDefault="00EB6F9D"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Activities</w:t>
            </w:r>
          </w:p>
        </w:tc>
        <w:tc>
          <w:tcPr>
            <w:tcW w:w="951" w:type="pct"/>
            <w:gridSpan w:val="2"/>
          </w:tcPr>
          <w:p w:rsidR="00EB6F9D" w:rsidRPr="005F120D" w:rsidRDefault="00EB6F9D"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Original as DPP</w:t>
            </w:r>
          </w:p>
        </w:tc>
        <w:tc>
          <w:tcPr>
            <w:tcW w:w="1097" w:type="pct"/>
            <w:gridSpan w:val="2"/>
          </w:tcPr>
          <w:p w:rsidR="00EB6F9D" w:rsidRPr="005F120D" w:rsidRDefault="00EB6F9D"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Revised as RDPP</w:t>
            </w:r>
          </w:p>
        </w:tc>
        <w:tc>
          <w:tcPr>
            <w:tcW w:w="486" w:type="pct"/>
          </w:tcPr>
          <w:p w:rsidR="00EB6F9D" w:rsidRPr="005F120D" w:rsidRDefault="000F1B2E"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Contracted</w:t>
            </w:r>
          </w:p>
        </w:tc>
        <w:tc>
          <w:tcPr>
            <w:tcW w:w="980" w:type="pct"/>
            <w:gridSpan w:val="2"/>
          </w:tcPr>
          <w:p w:rsidR="00EB6F9D" w:rsidRPr="005F120D" w:rsidRDefault="00EB6F9D"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Cumulat</w:t>
            </w:r>
            <w:r w:rsidR="00215548" w:rsidRPr="005F120D">
              <w:rPr>
                <w:rFonts w:asciiTheme="minorHAnsi" w:hAnsiTheme="minorHAnsi" w:cstheme="minorHAnsi"/>
                <w:b w:val="0"/>
                <w:sz w:val="16"/>
                <w:szCs w:val="16"/>
              </w:rPr>
              <w:t>ive Achievement as of March 2016</w:t>
            </w:r>
          </w:p>
        </w:tc>
        <w:tc>
          <w:tcPr>
            <w:tcW w:w="439" w:type="pct"/>
            <w:vMerge w:val="restart"/>
          </w:tcPr>
          <w:p w:rsidR="00EB6F9D" w:rsidRPr="005F120D" w:rsidRDefault="00EB6F9D" w:rsidP="00B25E46">
            <w:pPr>
              <w:pStyle w:val="NoSpacing"/>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Remarks</w:t>
            </w:r>
          </w:p>
        </w:tc>
      </w:tr>
      <w:tr w:rsidR="00EB6F9D" w:rsidRPr="005F120D" w:rsidTr="00B25E46">
        <w:trPr>
          <w:cnfStyle w:val="000000100000"/>
        </w:trPr>
        <w:tc>
          <w:tcPr>
            <w:cnfStyle w:val="001000000000"/>
            <w:tcW w:w="234" w:type="pct"/>
            <w:vMerge/>
          </w:tcPr>
          <w:p w:rsidR="00EB6F9D" w:rsidRPr="005F120D" w:rsidRDefault="00EB6F9D" w:rsidP="00B25E46">
            <w:pPr>
              <w:pStyle w:val="NoSpacing"/>
              <w:jc w:val="center"/>
              <w:rPr>
                <w:rFonts w:asciiTheme="minorHAnsi" w:hAnsiTheme="minorHAnsi" w:cstheme="minorHAnsi"/>
                <w:b w:val="0"/>
                <w:sz w:val="18"/>
                <w:szCs w:val="18"/>
              </w:rPr>
            </w:pPr>
          </w:p>
        </w:tc>
        <w:tc>
          <w:tcPr>
            <w:tcW w:w="813" w:type="pct"/>
            <w:vMerge/>
          </w:tcPr>
          <w:p w:rsidR="00EB6F9D" w:rsidRPr="005F120D" w:rsidRDefault="00EB6F9D" w:rsidP="00B25E46">
            <w:pPr>
              <w:pStyle w:val="NoSpacing"/>
              <w:jc w:val="center"/>
              <w:cnfStyle w:val="000000100000"/>
              <w:rPr>
                <w:rFonts w:asciiTheme="minorHAnsi" w:hAnsiTheme="minorHAnsi" w:cstheme="minorHAnsi"/>
                <w:b/>
                <w:sz w:val="18"/>
                <w:szCs w:val="18"/>
              </w:rPr>
            </w:pPr>
          </w:p>
        </w:tc>
        <w:tc>
          <w:tcPr>
            <w:tcW w:w="434" w:type="pct"/>
          </w:tcPr>
          <w:p w:rsidR="00EB6F9D" w:rsidRPr="005F120D" w:rsidRDefault="00EB6F9D"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Qty.</w:t>
            </w:r>
          </w:p>
        </w:tc>
        <w:tc>
          <w:tcPr>
            <w:tcW w:w="517" w:type="pct"/>
          </w:tcPr>
          <w:p w:rsidR="00EB6F9D" w:rsidRPr="005F120D" w:rsidRDefault="00EB6F9D" w:rsidP="00B25E46">
            <w:pPr>
              <w:pStyle w:val="NoSpacing"/>
              <w:jc w:val="center"/>
              <w:cnfStyle w:val="000000100000"/>
              <w:rPr>
                <w:rFonts w:asciiTheme="minorHAnsi" w:hAnsiTheme="minorHAnsi" w:cstheme="minorHAnsi"/>
                <w:b/>
                <w:sz w:val="16"/>
                <w:szCs w:val="16"/>
              </w:rPr>
            </w:pPr>
            <w:r w:rsidRPr="005F120D">
              <w:rPr>
                <w:rFonts w:asciiTheme="minorHAnsi" w:hAnsiTheme="minorHAnsi" w:cstheme="minorHAnsi"/>
                <w:b/>
                <w:sz w:val="16"/>
                <w:szCs w:val="16"/>
              </w:rPr>
              <w:t xml:space="preserve">Cost in </w:t>
            </w:r>
            <w:r w:rsidR="00F738CE" w:rsidRPr="005F120D">
              <w:rPr>
                <w:rFonts w:asciiTheme="minorHAnsi" w:hAnsiTheme="minorHAnsi" w:cstheme="minorHAnsi"/>
                <w:b/>
                <w:sz w:val="16"/>
                <w:szCs w:val="16"/>
              </w:rPr>
              <w:t>Lac</w:t>
            </w:r>
            <w:r w:rsidRPr="005F120D">
              <w:rPr>
                <w:rFonts w:asciiTheme="minorHAnsi" w:hAnsiTheme="minorHAnsi" w:cstheme="minorHAnsi"/>
                <w:b/>
                <w:sz w:val="16"/>
                <w:szCs w:val="16"/>
              </w:rPr>
              <w:t xml:space="preserve"> Taka</w:t>
            </w:r>
          </w:p>
        </w:tc>
        <w:tc>
          <w:tcPr>
            <w:tcW w:w="613" w:type="pct"/>
          </w:tcPr>
          <w:p w:rsidR="00EB6F9D" w:rsidRPr="005F120D" w:rsidRDefault="00EB6F9D"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 xml:space="preserve">  Qty.</w:t>
            </w:r>
          </w:p>
        </w:tc>
        <w:tc>
          <w:tcPr>
            <w:tcW w:w="484" w:type="pct"/>
          </w:tcPr>
          <w:p w:rsidR="00EB6F9D" w:rsidRPr="005F120D" w:rsidRDefault="00EB6F9D"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Cost</w:t>
            </w:r>
          </w:p>
        </w:tc>
        <w:tc>
          <w:tcPr>
            <w:tcW w:w="486" w:type="pct"/>
          </w:tcPr>
          <w:p w:rsidR="00EB6F9D" w:rsidRPr="005F120D" w:rsidRDefault="008D0E68"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F/Y 2015/16</w:t>
            </w:r>
          </w:p>
        </w:tc>
        <w:tc>
          <w:tcPr>
            <w:tcW w:w="526" w:type="pct"/>
          </w:tcPr>
          <w:p w:rsidR="00EB6F9D" w:rsidRPr="005F120D" w:rsidRDefault="00EB6F9D"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Physical</w:t>
            </w:r>
          </w:p>
        </w:tc>
        <w:tc>
          <w:tcPr>
            <w:tcW w:w="454" w:type="pct"/>
          </w:tcPr>
          <w:p w:rsidR="00EB6F9D" w:rsidRPr="005F120D" w:rsidRDefault="00EB6F9D"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Expend.</w:t>
            </w:r>
          </w:p>
        </w:tc>
        <w:tc>
          <w:tcPr>
            <w:tcW w:w="439" w:type="pct"/>
            <w:vMerge/>
          </w:tcPr>
          <w:p w:rsidR="00EB6F9D" w:rsidRPr="005F120D" w:rsidRDefault="00EB6F9D" w:rsidP="00B25E46">
            <w:pPr>
              <w:pStyle w:val="NoSpacing"/>
              <w:cnfStyle w:val="000000100000"/>
              <w:rPr>
                <w:rFonts w:asciiTheme="minorHAnsi" w:hAnsiTheme="minorHAnsi" w:cstheme="minorHAnsi"/>
                <w:b/>
                <w:sz w:val="18"/>
                <w:szCs w:val="18"/>
              </w:rPr>
            </w:pPr>
          </w:p>
        </w:tc>
      </w:tr>
      <w:tr w:rsidR="00EB6F9D" w:rsidRPr="005F120D" w:rsidTr="00B25E46">
        <w:trPr>
          <w:cnfStyle w:val="000000010000"/>
        </w:trPr>
        <w:tc>
          <w:tcPr>
            <w:cnfStyle w:val="001000000000"/>
            <w:tcW w:w="234" w:type="pct"/>
          </w:tcPr>
          <w:p w:rsidR="00EB6F9D" w:rsidRPr="005F120D" w:rsidRDefault="00EB6F9D"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813" w:type="pct"/>
          </w:tcPr>
          <w:p w:rsidR="00EB6F9D" w:rsidRPr="005F120D" w:rsidRDefault="00EB6F9D"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Furniture</w:t>
            </w:r>
          </w:p>
        </w:tc>
        <w:tc>
          <w:tcPr>
            <w:tcW w:w="434" w:type="pct"/>
          </w:tcPr>
          <w:p w:rsidR="00EB6F9D" w:rsidRPr="005F120D" w:rsidRDefault="00EB6F9D" w:rsidP="00B25E46">
            <w:pPr>
              <w:pStyle w:val="NoSpacing"/>
              <w:jc w:val="right"/>
              <w:cnfStyle w:val="000000010000"/>
              <w:rPr>
                <w:rFonts w:asciiTheme="minorHAnsi" w:hAnsiTheme="minorHAnsi" w:cstheme="minorHAnsi"/>
                <w:sz w:val="18"/>
                <w:szCs w:val="18"/>
              </w:rPr>
            </w:pPr>
          </w:p>
        </w:tc>
        <w:tc>
          <w:tcPr>
            <w:tcW w:w="517" w:type="pct"/>
          </w:tcPr>
          <w:p w:rsidR="00EB6F9D" w:rsidRPr="005F120D" w:rsidRDefault="00EB6F9D" w:rsidP="00B25E46">
            <w:pPr>
              <w:pStyle w:val="NoSpacing"/>
              <w:jc w:val="right"/>
              <w:cnfStyle w:val="000000010000"/>
              <w:rPr>
                <w:rFonts w:asciiTheme="minorHAnsi" w:hAnsiTheme="minorHAnsi" w:cstheme="minorHAnsi"/>
                <w:sz w:val="18"/>
                <w:szCs w:val="18"/>
              </w:rPr>
            </w:pPr>
          </w:p>
        </w:tc>
        <w:tc>
          <w:tcPr>
            <w:tcW w:w="613" w:type="pct"/>
          </w:tcPr>
          <w:p w:rsidR="00EB6F9D" w:rsidRPr="005F120D" w:rsidRDefault="00EB6F9D" w:rsidP="00B25E46">
            <w:pPr>
              <w:pStyle w:val="NoSpacing"/>
              <w:jc w:val="right"/>
              <w:cnfStyle w:val="000000010000"/>
              <w:rPr>
                <w:rFonts w:asciiTheme="minorHAnsi" w:hAnsiTheme="minorHAnsi" w:cstheme="minorHAnsi"/>
                <w:sz w:val="18"/>
                <w:szCs w:val="18"/>
              </w:rPr>
            </w:pPr>
          </w:p>
        </w:tc>
        <w:tc>
          <w:tcPr>
            <w:tcW w:w="484" w:type="pct"/>
          </w:tcPr>
          <w:p w:rsidR="00EB6F9D" w:rsidRPr="005F120D" w:rsidRDefault="00EB6F9D" w:rsidP="00B25E46">
            <w:pPr>
              <w:pStyle w:val="NoSpacing"/>
              <w:jc w:val="right"/>
              <w:cnfStyle w:val="000000010000"/>
              <w:rPr>
                <w:rFonts w:asciiTheme="minorHAnsi" w:hAnsiTheme="minorHAnsi" w:cstheme="minorHAnsi"/>
                <w:sz w:val="18"/>
                <w:szCs w:val="18"/>
              </w:rPr>
            </w:pPr>
          </w:p>
        </w:tc>
        <w:tc>
          <w:tcPr>
            <w:tcW w:w="486" w:type="pct"/>
          </w:tcPr>
          <w:p w:rsidR="00EB6F9D" w:rsidRPr="005F120D" w:rsidRDefault="00EB6F9D" w:rsidP="00B25E46">
            <w:pPr>
              <w:pStyle w:val="NoSpacing"/>
              <w:jc w:val="right"/>
              <w:cnfStyle w:val="000000010000"/>
              <w:rPr>
                <w:rFonts w:asciiTheme="minorHAnsi" w:hAnsiTheme="minorHAnsi" w:cstheme="minorHAnsi"/>
                <w:sz w:val="18"/>
                <w:szCs w:val="18"/>
              </w:rPr>
            </w:pPr>
          </w:p>
        </w:tc>
        <w:tc>
          <w:tcPr>
            <w:tcW w:w="526" w:type="pct"/>
          </w:tcPr>
          <w:p w:rsidR="00EB6F9D" w:rsidRPr="005F120D" w:rsidRDefault="00EB6F9D" w:rsidP="00B25E46">
            <w:pPr>
              <w:pStyle w:val="NoSpacing"/>
              <w:jc w:val="right"/>
              <w:cnfStyle w:val="000000010000"/>
              <w:rPr>
                <w:rFonts w:asciiTheme="minorHAnsi" w:hAnsiTheme="minorHAnsi" w:cstheme="minorHAnsi"/>
                <w:sz w:val="18"/>
                <w:szCs w:val="18"/>
              </w:rPr>
            </w:pPr>
          </w:p>
        </w:tc>
        <w:tc>
          <w:tcPr>
            <w:tcW w:w="454" w:type="pct"/>
          </w:tcPr>
          <w:p w:rsidR="00EB6F9D" w:rsidRPr="005F120D" w:rsidRDefault="00EB6F9D" w:rsidP="00B25E46">
            <w:pPr>
              <w:pStyle w:val="NoSpacing"/>
              <w:jc w:val="right"/>
              <w:cnfStyle w:val="000000010000"/>
              <w:rPr>
                <w:rFonts w:asciiTheme="minorHAnsi" w:hAnsiTheme="minorHAnsi" w:cstheme="minorHAnsi"/>
                <w:sz w:val="18"/>
                <w:szCs w:val="18"/>
              </w:rPr>
            </w:pPr>
          </w:p>
        </w:tc>
        <w:tc>
          <w:tcPr>
            <w:tcW w:w="439" w:type="pct"/>
          </w:tcPr>
          <w:p w:rsidR="00EB6F9D" w:rsidRPr="005F120D" w:rsidRDefault="00EB6F9D" w:rsidP="00B25E46">
            <w:pPr>
              <w:pStyle w:val="NoSpacing"/>
              <w:cnfStyle w:val="000000010000"/>
              <w:rPr>
                <w:rFonts w:asciiTheme="minorHAnsi" w:hAnsiTheme="minorHAnsi" w:cstheme="minorHAnsi"/>
                <w:sz w:val="18"/>
                <w:szCs w:val="18"/>
              </w:rPr>
            </w:pPr>
          </w:p>
        </w:tc>
      </w:tr>
      <w:tr w:rsidR="00EB6F9D" w:rsidRPr="005F120D" w:rsidTr="00B25E46">
        <w:trPr>
          <w:cnfStyle w:val="000000100000"/>
        </w:trPr>
        <w:tc>
          <w:tcPr>
            <w:cnfStyle w:val="001000000000"/>
            <w:tcW w:w="234" w:type="pct"/>
          </w:tcPr>
          <w:p w:rsidR="00EB6F9D" w:rsidRPr="005F120D" w:rsidRDefault="00EB6F9D"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1.1</w:t>
            </w:r>
          </w:p>
        </w:tc>
        <w:tc>
          <w:tcPr>
            <w:tcW w:w="813" w:type="pct"/>
          </w:tcPr>
          <w:p w:rsidR="00EB6F9D" w:rsidRPr="005F120D" w:rsidRDefault="006C3B29"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 xml:space="preserve">Furniture need based </w:t>
            </w:r>
            <w:r w:rsidR="005D145A" w:rsidRPr="005F120D">
              <w:rPr>
                <w:rFonts w:asciiTheme="minorHAnsi" w:hAnsiTheme="minorHAnsi" w:cstheme="minorHAnsi"/>
                <w:sz w:val="18"/>
                <w:szCs w:val="18"/>
              </w:rPr>
              <w:t>for school</w:t>
            </w:r>
          </w:p>
        </w:tc>
        <w:tc>
          <w:tcPr>
            <w:tcW w:w="434" w:type="pct"/>
          </w:tcPr>
          <w:p w:rsidR="00EB6F9D" w:rsidRPr="005F120D" w:rsidRDefault="006C3B29"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15,000 school</w:t>
            </w:r>
          </w:p>
        </w:tc>
        <w:tc>
          <w:tcPr>
            <w:tcW w:w="517" w:type="pct"/>
          </w:tcPr>
          <w:p w:rsidR="00EB6F9D" w:rsidRPr="005F120D" w:rsidRDefault="006C3B29"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15,000</w:t>
            </w:r>
          </w:p>
        </w:tc>
        <w:tc>
          <w:tcPr>
            <w:tcW w:w="613" w:type="pct"/>
          </w:tcPr>
          <w:p w:rsidR="00EB6F9D" w:rsidRPr="005F120D" w:rsidRDefault="006C3B29"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484" w:type="pct"/>
          </w:tcPr>
          <w:p w:rsidR="00EB6F9D" w:rsidRPr="005F120D" w:rsidRDefault="006C3B29"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20,000</w:t>
            </w:r>
          </w:p>
        </w:tc>
        <w:tc>
          <w:tcPr>
            <w:tcW w:w="486" w:type="pct"/>
          </w:tcPr>
          <w:p w:rsidR="00EB6F9D" w:rsidRPr="005F120D" w:rsidRDefault="000F1B2E"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w:t>
            </w:r>
            <w:r w:rsidR="00086FE0" w:rsidRPr="005F120D">
              <w:rPr>
                <w:rFonts w:asciiTheme="minorHAnsi" w:hAnsiTheme="minorHAnsi" w:cstheme="minorHAnsi"/>
                <w:color w:val="008000"/>
                <w:sz w:val="18"/>
                <w:szCs w:val="18"/>
              </w:rPr>
              <w:t>748</w:t>
            </w:r>
          </w:p>
        </w:tc>
        <w:tc>
          <w:tcPr>
            <w:tcW w:w="526" w:type="pct"/>
          </w:tcPr>
          <w:p w:rsidR="00EB6F9D" w:rsidRPr="005F120D" w:rsidRDefault="000F1B2E"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1,066</w:t>
            </w:r>
          </w:p>
        </w:tc>
        <w:tc>
          <w:tcPr>
            <w:tcW w:w="454" w:type="pct"/>
          </w:tcPr>
          <w:p w:rsidR="00EB6F9D" w:rsidRPr="005F120D" w:rsidRDefault="000F1B2E"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65.82</w:t>
            </w:r>
          </w:p>
        </w:tc>
        <w:tc>
          <w:tcPr>
            <w:tcW w:w="439" w:type="pct"/>
          </w:tcPr>
          <w:p w:rsidR="00EB6F9D" w:rsidRPr="005F120D" w:rsidRDefault="000F1B2E"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3,500</w:t>
            </w:r>
          </w:p>
        </w:tc>
      </w:tr>
      <w:tr w:rsidR="006C3B29" w:rsidRPr="005F120D" w:rsidTr="00B25E46">
        <w:trPr>
          <w:cnfStyle w:val="000000010000"/>
        </w:trPr>
        <w:tc>
          <w:tcPr>
            <w:cnfStyle w:val="001000000000"/>
            <w:tcW w:w="234" w:type="pct"/>
          </w:tcPr>
          <w:p w:rsidR="006C3B29" w:rsidRPr="005F120D" w:rsidRDefault="00023F4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813" w:type="pct"/>
          </w:tcPr>
          <w:p w:rsidR="006C3B29" w:rsidRPr="005F120D" w:rsidRDefault="00023F48"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Repair</w:t>
            </w:r>
          </w:p>
        </w:tc>
        <w:tc>
          <w:tcPr>
            <w:tcW w:w="434" w:type="pct"/>
          </w:tcPr>
          <w:p w:rsidR="006C3B29" w:rsidRPr="005F120D" w:rsidRDefault="006C3B29" w:rsidP="00B25E46">
            <w:pPr>
              <w:pStyle w:val="NoSpacing"/>
              <w:jc w:val="right"/>
              <w:cnfStyle w:val="000000010000"/>
              <w:rPr>
                <w:rFonts w:asciiTheme="minorHAnsi" w:hAnsiTheme="minorHAnsi" w:cstheme="minorHAnsi"/>
                <w:sz w:val="18"/>
                <w:szCs w:val="18"/>
              </w:rPr>
            </w:pPr>
          </w:p>
        </w:tc>
        <w:tc>
          <w:tcPr>
            <w:tcW w:w="517" w:type="pct"/>
          </w:tcPr>
          <w:p w:rsidR="006C3B29" w:rsidRPr="005F120D" w:rsidRDefault="006C3B29" w:rsidP="00B25E46">
            <w:pPr>
              <w:pStyle w:val="NoSpacing"/>
              <w:jc w:val="right"/>
              <w:cnfStyle w:val="000000010000"/>
              <w:rPr>
                <w:rFonts w:asciiTheme="minorHAnsi" w:hAnsiTheme="minorHAnsi" w:cstheme="minorHAnsi"/>
                <w:sz w:val="18"/>
                <w:szCs w:val="18"/>
              </w:rPr>
            </w:pPr>
          </w:p>
        </w:tc>
        <w:tc>
          <w:tcPr>
            <w:tcW w:w="613" w:type="pct"/>
          </w:tcPr>
          <w:p w:rsidR="006C3B29" w:rsidRPr="005F120D" w:rsidRDefault="006C3B29" w:rsidP="00B25E46">
            <w:pPr>
              <w:pStyle w:val="NoSpacing"/>
              <w:jc w:val="right"/>
              <w:cnfStyle w:val="000000010000"/>
              <w:rPr>
                <w:rFonts w:asciiTheme="minorHAnsi" w:hAnsiTheme="minorHAnsi" w:cstheme="minorHAnsi"/>
                <w:sz w:val="18"/>
                <w:szCs w:val="18"/>
              </w:rPr>
            </w:pPr>
          </w:p>
        </w:tc>
        <w:tc>
          <w:tcPr>
            <w:tcW w:w="484" w:type="pct"/>
          </w:tcPr>
          <w:p w:rsidR="006C3B29" w:rsidRPr="005F120D" w:rsidRDefault="006C3B29" w:rsidP="00B25E46">
            <w:pPr>
              <w:pStyle w:val="NoSpacing"/>
              <w:jc w:val="right"/>
              <w:cnfStyle w:val="000000010000"/>
              <w:rPr>
                <w:rFonts w:asciiTheme="minorHAnsi" w:hAnsiTheme="minorHAnsi" w:cstheme="minorHAnsi"/>
                <w:sz w:val="18"/>
                <w:szCs w:val="18"/>
              </w:rPr>
            </w:pPr>
          </w:p>
        </w:tc>
        <w:tc>
          <w:tcPr>
            <w:tcW w:w="486" w:type="pct"/>
          </w:tcPr>
          <w:p w:rsidR="006C3B29" w:rsidRPr="005F120D" w:rsidRDefault="006C3B29" w:rsidP="00B25E46">
            <w:pPr>
              <w:pStyle w:val="NoSpacing"/>
              <w:jc w:val="center"/>
              <w:cnfStyle w:val="000000010000"/>
              <w:rPr>
                <w:rFonts w:asciiTheme="minorHAnsi" w:hAnsiTheme="minorHAnsi" w:cstheme="minorHAnsi"/>
                <w:color w:val="008000"/>
                <w:sz w:val="18"/>
                <w:szCs w:val="18"/>
              </w:rPr>
            </w:pPr>
          </w:p>
        </w:tc>
        <w:tc>
          <w:tcPr>
            <w:tcW w:w="526" w:type="pct"/>
          </w:tcPr>
          <w:p w:rsidR="006C3B29" w:rsidRPr="005F120D" w:rsidRDefault="006C3B29" w:rsidP="00B25E46">
            <w:pPr>
              <w:pStyle w:val="NoSpacing"/>
              <w:jc w:val="center"/>
              <w:cnfStyle w:val="000000010000"/>
              <w:rPr>
                <w:rFonts w:asciiTheme="minorHAnsi" w:hAnsiTheme="minorHAnsi" w:cstheme="minorHAnsi"/>
                <w:color w:val="008000"/>
                <w:sz w:val="18"/>
                <w:szCs w:val="18"/>
              </w:rPr>
            </w:pPr>
          </w:p>
        </w:tc>
        <w:tc>
          <w:tcPr>
            <w:tcW w:w="454" w:type="pct"/>
          </w:tcPr>
          <w:p w:rsidR="006C3B29" w:rsidRPr="005F120D" w:rsidRDefault="006C3B29" w:rsidP="00B25E46">
            <w:pPr>
              <w:pStyle w:val="NoSpacing"/>
              <w:jc w:val="right"/>
              <w:cnfStyle w:val="000000010000"/>
              <w:rPr>
                <w:rFonts w:asciiTheme="minorHAnsi" w:hAnsiTheme="minorHAnsi" w:cstheme="minorHAnsi"/>
                <w:color w:val="008000"/>
                <w:sz w:val="18"/>
                <w:szCs w:val="18"/>
              </w:rPr>
            </w:pPr>
          </w:p>
        </w:tc>
        <w:tc>
          <w:tcPr>
            <w:tcW w:w="439" w:type="pct"/>
          </w:tcPr>
          <w:p w:rsidR="006C3B29" w:rsidRPr="005F120D" w:rsidRDefault="006C3B29" w:rsidP="00B25E46">
            <w:pPr>
              <w:pStyle w:val="NoSpacing"/>
              <w:jc w:val="center"/>
              <w:cnfStyle w:val="000000010000"/>
              <w:rPr>
                <w:rFonts w:asciiTheme="minorHAnsi" w:hAnsiTheme="minorHAnsi" w:cstheme="minorHAnsi"/>
                <w:color w:val="008000"/>
                <w:sz w:val="18"/>
                <w:szCs w:val="18"/>
              </w:rPr>
            </w:pPr>
          </w:p>
        </w:tc>
      </w:tr>
      <w:tr w:rsidR="00EB6F9D" w:rsidRPr="005F120D" w:rsidTr="00B25E46">
        <w:trPr>
          <w:cnfStyle w:val="000000100000"/>
        </w:trPr>
        <w:tc>
          <w:tcPr>
            <w:cnfStyle w:val="001000000000"/>
            <w:tcW w:w="234" w:type="pct"/>
          </w:tcPr>
          <w:p w:rsidR="00EB6F9D" w:rsidRPr="005F120D" w:rsidRDefault="00EB6F9D"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w:t>
            </w:r>
            <w:r w:rsidR="006C3B29" w:rsidRPr="005F120D">
              <w:rPr>
                <w:rFonts w:asciiTheme="minorHAnsi" w:hAnsiTheme="minorHAnsi" w:cstheme="minorHAnsi"/>
                <w:sz w:val="18"/>
                <w:szCs w:val="18"/>
              </w:rPr>
              <w:t>.1</w:t>
            </w:r>
          </w:p>
        </w:tc>
        <w:tc>
          <w:tcPr>
            <w:tcW w:w="813" w:type="pct"/>
          </w:tcPr>
          <w:p w:rsidR="00EB6F9D" w:rsidRPr="005F120D" w:rsidRDefault="00023F48"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 xml:space="preserve">Repair of Toilets for male teachers </w:t>
            </w:r>
          </w:p>
        </w:tc>
        <w:tc>
          <w:tcPr>
            <w:tcW w:w="434" w:type="pct"/>
          </w:tcPr>
          <w:p w:rsidR="00EB6F9D" w:rsidRPr="005F120D" w:rsidRDefault="00023F48"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2,415</w:t>
            </w:r>
          </w:p>
        </w:tc>
        <w:tc>
          <w:tcPr>
            <w:tcW w:w="517" w:type="pct"/>
          </w:tcPr>
          <w:p w:rsidR="00EB6F9D" w:rsidRPr="005F120D" w:rsidRDefault="00023F48"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724.50</w:t>
            </w:r>
          </w:p>
        </w:tc>
        <w:tc>
          <w:tcPr>
            <w:tcW w:w="613" w:type="pct"/>
          </w:tcPr>
          <w:p w:rsidR="00EB6F9D" w:rsidRPr="005F120D" w:rsidRDefault="00023F48"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19,278</w:t>
            </w:r>
          </w:p>
        </w:tc>
        <w:tc>
          <w:tcPr>
            <w:tcW w:w="484" w:type="pct"/>
          </w:tcPr>
          <w:p w:rsidR="00EB6F9D" w:rsidRPr="005F120D" w:rsidRDefault="00023F48"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5,782.89</w:t>
            </w:r>
          </w:p>
        </w:tc>
        <w:tc>
          <w:tcPr>
            <w:tcW w:w="486" w:type="pct"/>
          </w:tcPr>
          <w:p w:rsidR="00EB6F9D" w:rsidRPr="005F120D" w:rsidRDefault="00EB6F9D" w:rsidP="00B25E46">
            <w:pPr>
              <w:pStyle w:val="NoSpacing"/>
              <w:jc w:val="center"/>
              <w:cnfStyle w:val="000000100000"/>
              <w:rPr>
                <w:rFonts w:asciiTheme="minorHAnsi" w:hAnsiTheme="minorHAnsi" w:cstheme="minorHAnsi"/>
                <w:color w:val="008000"/>
                <w:sz w:val="18"/>
                <w:szCs w:val="18"/>
              </w:rPr>
            </w:pPr>
          </w:p>
        </w:tc>
        <w:tc>
          <w:tcPr>
            <w:tcW w:w="526" w:type="pct"/>
          </w:tcPr>
          <w:p w:rsidR="00EB6F9D" w:rsidRPr="005F120D" w:rsidRDefault="00EB6F9D" w:rsidP="00B25E46">
            <w:pPr>
              <w:pStyle w:val="NoSpacing"/>
              <w:jc w:val="center"/>
              <w:cnfStyle w:val="000000100000"/>
              <w:rPr>
                <w:rFonts w:asciiTheme="minorHAnsi" w:hAnsiTheme="minorHAnsi" w:cstheme="minorHAnsi"/>
                <w:color w:val="008000"/>
                <w:sz w:val="18"/>
                <w:szCs w:val="18"/>
              </w:rPr>
            </w:pPr>
          </w:p>
        </w:tc>
        <w:tc>
          <w:tcPr>
            <w:tcW w:w="454" w:type="pct"/>
          </w:tcPr>
          <w:p w:rsidR="00EB6F9D" w:rsidRPr="005F120D" w:rsidRDefault="00EB6F9D" w:rsidP="00B25E46">
            <w:pPr>
              <w:pStyle w:val="NoSpacing"/>
              <w:jc w:val="right"/>
              <w:cnfStyle w:val="000000100000"/>
              <w:rPr>
                <w:rFonts w:asciiTheme="minorHAnsi" w:hAnsiTheme="minorHAnsi" w:cstheme="minorHAnsi"/>
                <w:color w:val="008000"/>
                <w:sz w:val="18"/>
                <w:szCs w:val="18"/>
              </w:rPr>
            </w:pPr>
          </w:p>
        </w:tc>
        <w:tc>
          <w:tcPr>
            <w:tcW w:w="439" w:type="pct"/>
          </w:tcPr>
          <w:p w:rsidR="00EB6F9D" w:rsidRPr="005F120D" w:rsidRDefault="00EB6F9D" w:rsidP="00B25E46">
            <w:pPr>
              <w:pStyle w:val="NoSpacing"/>
              <w:jc w:val="center"/>
              <w:cnfStyle w:val="000000100000"/>
              <w:rPr>
                <w:rFonts w:asciiTheme="minorHAnsi" w:hAnsiTheme="minorHAnsi" w:cstheme="minorHAnsi"/>
                <w:color w:val="008000"/>
                <w:sz w:val="18"/>
                <w:szCs w:val="18"/>
              </w:rPr>
            </w:pPr>
          </w:p>
        </w:tc>
      </w:tr>
      <w:tr w:rsidR="00EB6F9D" w:rsidRPr="005F120D" w:rsidTr="00B25E46">
        <w:trPr>
          <w:cnfStyle w:val="000000010000"/>
        </w:trPr>
        <w:tc>
          <w:tcPr>
            <w:cnfStyle w:val="001000000000"/>
            <w:tcW w:w="234" w:type="pct"/>
          </w:tcPr>
          <w:p w:rsidR="00EB6F9D" w:rsidRPr="005F120D" w:rsidRDefault="00023F4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2.2</w:t>
            </w:r>
          </w:p>
        </w:tc>
        <w:tc>
          <w:tcPr>
            <w:tcW w:w="813" w:type="pct"/>
          </w:tcPr>
          <w:p w:rsidR="00EB6F9D" w:rsidRPr="005F120D" w:rsidRDefault="006C3B29"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Repair of Toilets for boys</w:t>
            </w:r>
          </w:p>
        </w:tc>
        <w:tc>
          <w:tcPr>
            <w:tcW w:w="434" w:type="pct"/>
          </w:tcPr>
          <w:p w:rsidR="00EB6F9D" w:rsidRPr="005F120D" w:rsidRDefault="00023F48"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7,718</w:t>
            </w:r>
          </w:p>
        </w:tc>
        <w:tc>
          <w:tcPr>
            <w:tcW w:w="517" w:type="pct"/>
          </w:tcPr>
          <w:p w:rsidR="00EB6F9D" w:rsidRPr="005F120D" w:rsidRDefault="00023F48"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2,315.40</w:t>
            </w:r>
          </w:p>
        </w:tc>
        <w:tc>
          <w:tcPr>
            <w:tcW w:w="613" w:type="pct"/>
          </w:tcPr>
          <w:p w:rsidR="00EB6F9D" w:rsidRPr="005F120D" w:rsidRDefault="005D145A"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3,360</w:t>
            </w:r>
          </w:p>
        </w:tc>
        <w:tc>
          <w:tcPr>
            <w:tcW w:w="484" w:type="pct"/>
          </w:tcPr>
          <w:p w:rsidR="00EB6F9D" w:rsidRPr="005F120D" w:rsidRDefault="005D145A"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1008.08</w:t>
            </w:r>
          </w:p>
        </w:tc>
        <w:tc>
          <w:tcPr>
            <w:tcW w:w="486" w:type="pct"/>
          </w:tcPr>
          <w:p w:rsidR="00EB6F9D" w:rsidRPr="005F120D" w:rsidRDefault="00EB6F9D" w:rsidP="00B25E46">
            <w:pPr>
              <w:pStyle w:val="NoSpacing"/>
              <w:jc w:val="center"/>
              <w:cnfStyle w:val="000000010000"/>
              <w:rPr>
                <w:rFonts w:asciiTheme="minorHAnsi" w:hAnsiTheme="minorHAnsi" w:cstheme="minorHAnsi"/>
                <w:color w:val="008000"/>
                <w:sz w:val="18"/>
                <w:szCs w:val="18"/>
              </w:rPr>
            </w:pPr>
          </w:p>
        </w:tc>
        <w:tc>
          <w:tcPr>
            <w:tcW w:w="526" w:type="pct"/>
          </w:tcPr>
          <w:p w:rsidR="00EB6F9D" w:rsidRPr="005F120D" w:rsidRDefault="00EB6F9D" w:rsidP="00B25E46">
            <w:pPr>
              <w:pStyle w:val="NoSpacing"/>
              <w:jc w:val="center"/>
              <w:cnfStyle w:val="000000010000"/>
              <w:rPr>
                <w:rFonts w:asciiTheme="minorHAnsi" w:hAnsiTheme="minorHAnsi" w:cstheme="minorHAnsi"/>
                <w:color w:val="008000"/>
                <w:sz w:val="18"/>
                <w:szCs w:val="18"/>
              </w:rPr>
            </w:pPr>
          </w:p>
        </w:tc>
        <w:tc>
          <w:tcPr>
            <w:tcW w:w="454" w:type="pct"/>
          </w:tcPr>
          <w:p w:rsidR="00EB6F9D" w:rsidRPr="005F120D" w:rsidRDefault="00EB6F9D" w:rsidP="00B25E46">
            <w:pPr>
              <w:pStyle w:val="NoSpacing"/>
              <w:jc w:val="right"/>
              <w:cnfStyle w:val="000000010000"/>
              <w:rPr>
                <w:rFonts w:asciiTheme="minorHAnsi" w:hAnsiTheme="minorHAnsi" w:cstheme="minorHAnsi"/>
                <w:color w:val="008000"/>
                <w:sz w:val="18"/>
                <w:szCs w:val="18"/>
              </w:rPr>
            </w:pPr>
          </w:p>
        </w:tc>
        <w:tc>
          <w:tcPr>
            <w:tcW w:w="439" w:type="pct"/>
          </w:tcPr>
          <w:p w:rsidR="00EB6F9D" w:rsidRPr="005F120D" w:rsidRDefault="00EB6F9D" w:rsidP="00B25E46">
            <w:pPr>
              <w:pStyle w:val="NoSpacing"/>
              <w:jc w:val="center"/>
              <w:cnfStyle w:val="000000010000"/>
              <w:rPr>
                <w:rFonts w:asciiTheme="minorHAnsi" w:hAnsiTheme="minorHAnsi" w:cstheme="minorHAnsi"/>
                <w:color w:val="008000"/>
                <w:sz w:val="18"/>
                <w:szCs w:val="18"/>
              </w:rPr>
            </w:pPr>
          </w:p>
        </w:tc>
      </w:tr>
      <w:tr w:rsidR="00EB6F9D" w:rsidRPr="005F120D" w:rsidTr="00B25E46">
        <w:trPr>
          <w:cnfStyle w:val="000000100000"/>
        </w:trPr>
        <w:tc>
          <w:tcPr>
            <w:cnfStyle w:val="001000000000"/>
            <w:tcW w:w="234" w:type="pct"/>
          </w:tcPr>
          <w:p w:rsidR="00EB6F9D" w:rsidRPr="005F120D" w:rsidRDefault="00EB6F9D"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w:t>
            </w:r>
            <w:r w:rsidR="00023F48" w:rsidRPr="005F120D">
              <w:rPr>
                <w:rFonts w:asciiTheme="minorHAnsi" w:hAnsiTheme="minorHAnsi" w:cstheme="minorHAnsi"/>
                <w:sz w:val="18"/>
                <w:szCs w:val="18"/>
              </w:rPr>
              <w:t>.3</w:t>
            </w:r>
          </w:p>
        </w:tc>
        <w:tc>
          <w:tcPr>
            <w:tcW w:w="813" w:type="pct"/>
          </w:tcPr>
          <w:p w:rsidR="00EB6F9D" w:rsidRPr="005F120D" w:rsidRDefault="00023F48"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Repair of Toilets for girls</w:t>
            </w:r>
          </w:p>
        </w:tc>
        <w:tc>
          <w:tcPr>
            <w:tcW w:w="434" w:type="pct"/>
          </w:tcPr>
          <w:p w:rsidR="00EB6F9D" w:rsidRPr="005F120D" w:rsidRDefault="00023F48"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7,528</w:t>
            </w:r>
          </w:p>
        </w:tc>
        <w:tc>
          <w:tcPr>
            <w:tcW w:w="517" w:type="pct"/>
          </w:tcPr>
          <w:p w:rsidR="00EB6F9D" w:rsidRPr="005F120D" w:rsidRDefault="005D145A"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2,250</w:t>
            </w:r>
            <w:r w:rsidR="00023F48" w:rsidRPr="005F120D">
              <w:rPr>
                <w:rFonts w:asciiTheme="minorHAnsi" w:hAnsiTheme="minorHAnsi" w:cstheme="minorHAnsi"/>
                <w:sz w:val="18"/>
                <w:szCs w:val="18"/>
              </w:rPr>
              <w:t>.40</w:t>
            </w:r>
          </w:p>
        </w:tc>
        <w:tc>
          <w:tcPr>
            <w:tcW w:w="613" w:type="pct"/>
          </w:tcPr>
          <w:p w:rsidR="00EB6F9D" w:rsidRPr="005F120D" w:rsidRDefault="00787C4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3,333</w:t>
            </w:r>
          </w:p>
        </w:tc>
        <w:tc>
          <w:tcPr>
            <w:tcW w:w="484" w:type="pct"/>
          </w:tcPr>
          <w:p w:rsidR="00EB6F9D" w:rsidRPr="005F120D" w:rsidRDefault="00787C4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1,000</w:t>
            </w:r>
          </w:p>
        </w:tc>
        <w:tc>
          <w:tcPr>
            <w:tcW w:w="486" w:type="pct"/>
          </w:tcPr>
          <w:p w:rsidR="00EB6F9D" w:rsidRPr="005F120D" w:rsidRDefault="00EB6F9D" w:rsidP="00B25E46">
            <w:pPr>
              <w:pStyle w:val="NoSpacing"/>
              <w:jc w:val="center"/>
              <w:cnfStyle w:val="000000100000"/>
              <w:rPr>
                <w:rFonts w:asciiTheme="minorHAnsi" w:hAnsiTheme="minorHAnsi" w:cstheme="minorHAnsi"/>
                <w:color w:val="008000"/>
                <w:sz w:val="18"/>
                <w:szCs w:val="18"/>
              </w:rPr>
            </w:pPr>
          </w:p>
        </w:tc>
        <w:tc>
          <w:tcPr>
            <w:tcW w:w="526" w:type="pct"/>
          </w:tcPr>
          <w:p w:rsidR="00EB6F9D" w:rsidRPr="005F120D" w:rsidRDefault="00EB6F9D" w:rsidP="00B25E46">
            <w:pPr>
              <w:pStyle w:val="NoSpacing"/>
              <w:jc w:val="center"/>
              <w:cnfStyle w:val="000000100000"/>
              <w:rPr>
                <w:rFonts w:asciiTheme="minorHAnsi" w:hAnsiTheme="minorHAnsi" w:cstheme="minorHAnsi"/>
                <w:color w:val="008000"/>
                <w:sz w:val="18"/>
                <w:szCs w:val="18"/>
              </w:rPr>
            </w:pPr>
          </w:p>
        </w:tc>
        <w:tc>
          <w:tcPr>
            <w:tcW w:w="454" w:type="pct"/>
          </w:tcPr>
          <w:p w:rsidR="00EB6F9D" w:rsidRPr="005F120D" w:rsidRDefault="00EB6F9D" w:rsidP="00B25E46">
            <w:pPr>
              <w:pStyle w:val="NoSpacing"/>
              <w:jc w:val="right"/>
              <w:cnfStyle w:val="000000100000"/>
              <w:rPr>
                <w:rFonts w:asciiTheme="minorHAnsi" w:hAnsiTheme="minorHAnsi" w:cstheme="minorHAnsi"/>
                <w:color w:val="008000"/>
                <w:sz w:val="18"/>
                <w:szCs w:val="18"/>
              </w:rPr>
            </w:pPr>
          </w:p>
        </w:tc>
        <w:tc>
          <w:tcPr>
            <w:tcW w:w="439" w:type="pct"/>
          </w:tcPr>
          <w:p w:rsidR="00EB6F9D" w:rsidRPr="005F120D" w:rsidRDefault="00EB6F9D" w:rsidP="00B25E46">
            <w:pPr>
              <w:pStyle w:val="NoSpacing"/>
              <w:jc w:val="center"/>
              <w:cnfStyle w:val="000000100000"/>
              <w:rPr>
                <w:rFonts w:asciiTheme="minorHAnsi" w:hAnsiTheme="minorHAnsi" w:cstheme="minorHAnsi"/>
                <w:color w:val="008000"/>
                <w:sz w:val="18"/>
                <w:szCs w:val="18"/>
              </w:rPr>
            </w:pPr>
          </w:p>
        </w:tc>
      </w:tr>
      <w:tr w:rsidR="00EB6F9D" w:rsidRPr="005F120D" w:rsidTr="00B25E46">
        <w:trPr>
          <w:cnfStyle w:val="000000010000"/>
          <w:trHeight w:val="64"/>
        </w:trPr>
        <w:tc>
          <w:tcPr>
            <w:cnfStyle w:val="001000000000"/>
            <w:tcW w:w="234" w:type="pct"/>
          </w:tcPr>
          <w:p w:rsidR="00EB6F9D" w:rsidRPr="005F120D" w:rsidRDefault="00023F4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2.4</w:t>
            </w:r>
          </w:p>
        </w:tc>
        <w:tc>
          <w:tcPr>
            <w:tcW w:w="813" w:type="pct"/>
          </w:tcPr>
          <w:p w:rsidR="00EB6F9D" w:rsidRPr="005F120D" w:rsidRDefault="00023F48"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Boundary walls</w:t>
            </w:r>
          </w:p>
        </w:tc>
        <w:tc>
          <w:tcPr>
            <w:tcW w:w="434" w:type="pct"/>
          </w:tcPr>
          <w:p w:rsidR="00EB6F9D" w:rsidRPr="005F120D" w:rsidRDefault="00787C4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w:t>
            </w:r>
          </w:p>
        </w:tc>
        <w:tc>
          <w:tcPr>
            <w:tcW w:w="517" w:type="pct"/>
          </w:tcPr>
          <w:p w:rsidR="00EB6F9D" w:rsidRPr="005F120D" w:rsidRDefault="00787C4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w:t>
            </w:r>
          </w:p>
        </w:tc>
        <w:tc>
          <w:tcPr>
            <w:tcW w:w="613" w:type="pct"/>
          </w:tcPr>
          <w:p w:rsidR="00EB6F9D" w:rsidRPr="005F120D" w:rsidRDefault="00023F48"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484" w:type="pct"/>
          </w:tcPr>
          <w:p w:rsidR="00EB6F9D" w:rsidRPr="005F120D" w:rsidRDefault="00023F48"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4,640</w:t>
            </w:r>
          </w:p>
        </w:tc>
        <w:tc>
          <w:tcPr>
            <w:tcW w:w="486" w:type="pct"/>
          </w:tcPr>
          <w:p w:rsidR="00EB6F9D" w:rsidRPr="005F120D" w:rsidRDefault="00086FE0"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34</w:t>
            </w:r>
          </w:p>
        </w:tc>
        <w:tc>
          <w:tcPr>
            <w:tcW w:w="526" w:type="pct"/>
          </w:tcPr>
          <w:p w:rsidR="00EB6F9D" w:rsidRPr="005F120D" w:rsidRDefault="000F1B2E"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31</w:t>
            </w:r>
          </w:p>
        </w:tc>
        <w:tc>
          <w:tcPr>
            <w:tcW w:w="454" w:type="pct"/>
          </w:tcPr>
          <w:p w:rsidR="00EB6F9D" w:rsidRPr="005F120D" w:rsidRDefault="000F1B2E" w:rsidP="00B25E46">
            <w:pPr>
              <w:pStyle w:val="NoSpacing"/>
              <w:jc w:val="right"/>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2.72</w:t>
            </w:r>
          </w:p>
        </w:tc>
        <w:tc>
          <w:tcPr>
            <w:tcW w:w="439" w:type="pct"/>
          </w:tcPr>
          <w:p w:rsidR="00EB6F9D" w:rsidRPr="005F120D" w:rsidRDefault="000F1B2E"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122</w:t>
            </w:r>
          </w:p>
        </w:tc>
      </w:tr>
    </w:tbl>
    <w:p w:rsidR="00023F48" w:rsidRPr="005F120D" w:rsidRDefault="0003413C" w:rsidP="00B25E46">
      <w:pPr>
        <w:pStyle w:val="Heading2NONUM"/>
        <w:rPr>
          <w:rFonts w:asciiTheme="minorHAnsi" w:hAnsiTheme="minorHAnsi" w:cstheme="minorHAnsi"/>
          <w:szCs w:val="24"/>
        </w:rPr>
      </w:pPr>
      <w:r w:rsidRPr="005F120D">
        <w:rPr>
          <w:rFonts w:asciiTheme="minorHAnsi" w:hAnsiTheme="minorHAnsi" w:cstheme="minorHAnsi"/>
          <w:szCs w:val="24"/>
        </w:rPr>
        <w:t>E-6</w:t>
      </w:r>
      <w:r w:rsidR="00023F48" w:rsidRPr="005F120D">
        <w:rPr>
          <w:rFonts w:asciiTheme="minorHAnsi" w:hAnsiTheme="minorHAnsi" w:cstheme="minorHAnsi"/>
          <w:szCs w:val="24"/>
        </w:rPr>
        <w:t xml:space="preserve">:  Summary Description of </w:t>
      </w:r>
      <w:r w:rsidR="00F07F30" w:rsidRPr="005F120D">
        <w:rPr>
          <w:rFonts w:asciiTheme="minorHAnsi" w:hAnsiTheme="minorHAnsi" w:cstheme="minorHAnsi"/>
          <w:szCs w:val="24"/>
        </w:rPr>
        <w:t>Construction &amp;</w:t>
      </w:r>
      <w:r w:rsidR="00863B08" w:rsidRPr="005F120D">
        <w:rPr>
          <w:rFonts w:asciiTheme="minorHAnsi" w:hAnsiTheme="minorHAnsi" w:cstheme="minorHAnsi"/>
          <w:szCs w:val="24"/>
        </w:rPr>
        <w:t xml:space="preserve"> Repair</w:t>
      </w:r>
      <w:r w:rsidR="00A61F5E">
        <w:rPr>
          <w:rFonts w:asciiTheme="minorHAnsi" w:hAnsiTheme="minorHAnsi" w:cstheme="minorHAnsi"/>
          <w:szCs w:val="24"/>
        </w:rPr>
        <w:t xml:space="preserve"> </w:t>
      </w:r>
      <w:r w:rsidR="008D0E68" w:rsidRPr="005F120D">
        <w:rPr>
          <w:rFonts w:asciiTheme="minorHAnsi" w:hAnsiTheme="minorHAnsi" w:cstheme="minorHAnsi"/>
          <w:szCs w:val="24"/>
        </w:rPr>
        <w:t>works</w:t>
      </w:r>
      <w:r w:rsidR="00A61F5E">
        <w:rPr>
          <w:rFonts w:asciiTheme="minorHAnsi" w:hAnsiTheme="minorHAnsi" w:cstheme="minorHAnsi"/>
          <w:szCs w:val="24"/>
        </w:rPr>
        <w:t xml:space="preserve"> </w:t>
      </w:r>
      <w:r w:rsidR="008D0E68" w:rsidRPr="005F120D">
        <w:rPr>
          <w:rFonts w:asciiTheme="minorHAnsi" w:hAnsiTheme="minorHAnsi" w:cstheme="minorHAnsi"/>
          <w:szCs w:val="24"/>
        </w:rPr>
        <w:t>in</w:t>
      </w:r>
      <w:r w:rsidR="00023F48" w:rsidRPr="005F120D">
        <w:rPr>
          <w:rFonts w:asciiTheme="minorHAnsi" w:hAnsiTheme="minorHAnsi" w:cstheme="minorHAnsi"/>
          <w:szCs w:val="24"/>
        </w:rPr>
        <w:t xml:space="preserve"> PEDP3</w:t>
      </w:r>
      <w:r w:rsidR="008D0E68" w:rsidRPr="005F120D">
        <w:rPr>
          <w:rFonts w:asciiTheme="minorHAnsi" w:hAnsiTheme="minorHAnsi" w:cstheme="minorHAnsi"/>
          <w:szCs w:val="24"/>
        </w:rPr>
        <w:t xml:space="preserve"> as of March 2016</w:t>
      </w:r>
    </w:p>
    <w:tbl>
      <w:tblPr>
        <w:tblStyle w:val="LightGrid-Accent5"/>
        <w:tblW w:w="5000" w:type="pct"/>
        <w:tblLook w:val="04A0"/>
      </w:tblPr>
      <w:tblGrid>
        <w:gridCol w:w="447"/>
        <w:gridCol w:w="1411"/>
        <w:gridCol w:w="718"/>
        <w:gridCol w:w="854"/>
        <w:gridCol w:w="957"/>
        <w:gridCol w:w="1037"/>
        <w:gridCol w:w="952"/>
        <w:gridCol w:w="863"/>
        <w:gridCol w:w="1045"/>
        <w:gridCol w:w="961"/>
      </w:tblGrid>
      <w:tr w:rsidR="0070160E" w:rsidRPr="005F120D" w:rsidTr="00B25E46">
        <w:trPr>
          <w:cnfStyle w:val="100000000000"/>
        </w:trPr>
        <w:tc>
          <w:tcPr>
            <w:cnfStyle w:val="001000000000"/>
            <w:tcW w:w="237" w:type="pct"/>
            <w:vMerge w:val="restart"/>
          </w:tcPr>
          <w:p w:rsidR="00023F48" w:rsidRPr="005F120D" w:rsidRDefault="00023F48"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SL. No.</w:t>
            </w:r>
          </w:p>
        </w:tc>
        <w:tc>
          <w:tcPr>
            <w:tcW w:w="770" w:type="pct"/>
            <w:vMerge w:val="restart"/>
          </w:tcPr>
          <w:p w:rsidR="00023F48" w:rsidRPr="005F120D" w:rsidRDefault="00023F48"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Activities</w:t>
            </w:r>
          </w:p>
        </w:tc>
        <w:tc>
          <w:tcPr>
            <w:tcW w:w="864" w:type="pct"/>
            <w:gridSpan w:val="2"/>
          </w:tcPr>
          <w:p w:rsidR="00023F48" w:rsidRPr="005F120D" w:rsidRDefault="00023F48"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Original as DPP</w:t>
            </w:r>
          </w:p>
        </w:tc>
        <w:tc>
          <w:tcPr>
            <w:tcW w:w="1034" w:type="pct"/>
            <w:gridSpan w:val="2"/>
          </w:tcPr>
          <w:p w:rsidR="00023F48" w:rsidRPr="005F120D" w:rsidRDefault="00023F48"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Revised as RDPP</w:t>
            </w:r>
          </w:p>
        </w:tc>
        <w:tc>
          <w:tcPr>
            <w:tcW w:w="522" w:type="pct"/>
          </w:tcPr>
          <w:p w:rsidR="00023F48" w:rsidRPr="005F120D" w:rsidRDefault="0092748D"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Contracted</w:t>
            </w:r>
          </w:p>
        </w:tc>
        <w:tc>
          <w:tcPr>
            <w:tcW w:w="1046" w:type="pct"/>
            <w:gridSpan w:val="2"/>
          </w:tcPr>
          <w:p w:rsidR="00023F48" w:rsidRPr="005F120D" w:rsidRDefault="00023F48"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Cumulat</w:t>
            </w:r>
            <w:r w:rsidR="00215548" w:rsidRPr="005F120D">
              <w:rPr>
                <w:rFonts w:asciiTheme="minorHAnsi" w:hAnsiTheme="minorHAnsi" w:cstheme="minorHAnsi"/>
                <w:b w:val="0"/>
                <w:sz w:val="16"/>
                <w:szCs w:val="16"/>
              </w:rPr>
              <w:t>ive Achievement as of March 2016</w:t>
            </w:r>
          </w:p>
        </w:tc>
        <w:tc>
          <w:tcPr>
            <w:tcW w:w="527" w:type="pct"/>
            <w:vMerge w:val="restart"/>
          </w:tcPr>
          <w:p w:rsidR="00023F48" w:rsidRPr="005F120D" w:rsidRDefault="00023F48" w:rsidP="00B25E46">
            <w:pPr>
              <w:pStyle w:val="NoSpacing"/>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Remarks</w:t>
            </w:r>
          </w:p>
        </w:tc>
      </w:tr>
      <w:tr w:rsidR="0070160E" w:rsidRPr="005F120D" w:rsidTr="00B25E46">
        <w:trPr>
          <w:cnfStyle w:val="000000100000"/>
        </w:trPr>
        <w:tc>
          <w:tcPr>
            <w:cnfStyle w:val="001000000000"/>
            <w:tcW w:w="237" w:type="pct"/>
            <w:vMerge/>
          </w:tcPr>
          <w:p w:rsidR="00023F48" w:rsidRPr="005F120D" w:rsidRDefault="00023F48" w:rsidP="00B25E46">
            <w:pPr>
              <w:pStyle w:val="NoSpacing"/>
              <w:jc w:val="center"/>
              <w:rPr>
                <w:rFonts w:asciiTheme="minorHAnsi" w:hAnsiTheme="minorHAnsi" w:cstheme="minorHAnsi"/>
                <w:b w:val="0"/>
                <w:sz w:val="18"/>
                <w:szCs w:val="18"/>
              </w:rPr>
            </w:pPr>
          </w:p>
        </w:tc>
        <w:tc>
          <w:tcPr>
            <w:tcW w:w="770" w:type="pct"/>
            <w:vMerge/>
          </w:tcPr>
          <w:p w:rsidR="00023F48" w:rsidRPr="005F120D" w:rsidRDefault="00023F48" w:rsidP="00B25E46">
            <w:pPr>
              <w:pStyle w:val="NoSpacing"/>
              <w:jc w:val="center"/>
              <w:cnfStyle w:val="000000100000"/>
              <w:rPr>
                <w:rFonts w:asciiTheme="minorHAnsi" w:hAnsiTheme="minorHAnsi" w:cstheme="minorHAnsi"/>
                <w:b/>
                <w:sz w:val="18"/>
                <w:szCs w:val="18"/>
              </w:rPr>
            </w:pPr>
          </w:p>
        </w:tc>
        <w:tc>
          <w:tcPr>
            <w:tcW w:w="391" w:type="pct"/>
          </w:tcPr>
          <w:p w:rsidR="00023F48" w:rsidRPr="005F120D" w:rsidRDefault="00023F48"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Qty.</w:t>
            </w:r>
          </w:p>
        </w:tc>
        <w:tc>
          <w:tcPr>
            <w:tcW w:w="473" w:type="pct"/>
          </w:tcPr>
          <w:p w:rsidR="00023F48" w:rsidRPr="005F120D" w:rsidRDefault="00023F48" w:rsidP="00B25E46">
            <w:pPr>
              <w:pStyle w:val="NoSpacing"/>
              <w:jc w:val="center"/>
              <w:cnfStyle w:val="000000100000"/>
              <w:rPr>
                <w:rFonts w:asciiTheme="minorHAnsi" w:hAnsiTheme="minorHAnsi" w:cstheme="minorHAnsi"/>
                <w:b/>
                <w:sz w:val="16"/>
                <w:szCs w:val="16"/>
              </w:rPr>
            </w:pPr>
            <w:r w:rsidRPr="005F120D">
              <w:rPr>
                <w:rFonts w:asciiTheme="minorHAnsi" w:hAnsiTheme="minorHAnsi" w:cstheme="minorHAnsi"/>
                <w:b/>
                <w:sz w:val="16"/>
                <w:szCs w:val="16"/>
              </w:rPr>
              <w:t xml:space="preserve">Cost in </w:t>
            </w:r>
            <w:r w:rsidR="00F738CE" w:rsidRPr="005F120D">
              <w:rPr>
                <w:rFonts w:asciiTheme="minorHAnsi" w:hAnsiTheme="minorHAnsi" w:cstheme="minorHAnsi"/>
                <w:b/>
                <w:sz w:val="16"/>
                <w:szCs w:val="16"/>
              </w:rPr>
              <w:t>Lac</w:t>
            </w:r>
            <w:r w:rsidRPr="005F120D">
              <w:rPr>
                <w:rFonts w:asciiTheme="minorHAnsi" w:hAnsiTheme="minorHAnsi" w:cstheme="minorHAnsi"/>
                <w:b/>
                <w:sz w:val="16"/>
                <w:szCs w:val="16"/>
              </w:rPr>
              <w:t xml:space="preserve"> Taka</w:t>
            </w:r>
          </w:p>
        </w:tc>
        <w:tc>
          <w:tcPr>
            <w:tcW w:w="511" w:type="pct"/>
          </w:tcPr>
          <w:p w:rsidR="00023F48" w:rsidRPr="005F120D" w:rsidRDefault="00023F48"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 xml:space="preserve">  Qty.</w:t>
            </w:r>
          </w:p>
        </w:tc>
        <w:tc>
          <w:tcPr>
            <w:tcW w:w="523" w:type="pct"/>
          </w:tcPr>
          <w:p w:rsidR="00023F48" w:rsidRPr="005F120D" w:rsidRDefault="00023F48"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Cost</w:t>
            </w:r>
          </w:p>
        </w:tc>
        <w:tc>
          <w:tcPr>
            <w:tcW w:w="522" w:type="pct"/>
          </w:tcPr>
          <w:p w:rsidR="00023F48" w:rsidRPr="005F120D" w:rsidRDefault="003D74A1"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6"/>
                <w:szCs w:val="16"/>
              </w:rPr>
              <w:t>F/Y 2015/16</w:t>
            </w:r>
          </w:p>
        </w:tc>
        <w:tc>
          <w:tcPr>
            <w:tcW w:w="474" w:type="pct"/>
          </w:tcPr>
          <w:p w:rsidR="00023F48" w:rsidRPr="005F120D" w:rsidRDefault="00023F48"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Physical</w:t>
            </w:r>
          </w:p>
        </w:tc>
        <w:tc>
          <w:tcPr>
            <w:tcW w:w="572" w:type="pct"/>
          </w:tcPr>
          <w:p w:rsidR="00023F48" w:rsidRPr="005F120D" w:rsidRDefault="00023F48"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Expend.</w:t>
            </w:r>
          </w:p>
          <w:p w:rsidR="0070160E" w:rsidRPr="005F120D" w:rsidRDefault="0070160E"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Crore Taka</w:t>
            </w:r>
          </w:p>
        </w:tc>
        <w:tc>
          <w:tcPr>
            <w:tcW w:w="527" w:type="pct"/>
            <w:vMerge/>
          </w:tcPr>
          <w:p w:rsidR="00023F48" w:rsidRPr="005F120D" w:rsidRDefault="00023F48" w:rsidP="00B25E46">
            <w:pPr>
              <w:pStyle w:val="NoSpacing"/>
              <w:cnfStyle w:val="000000100000"/>
              <w:rPr>
                <w:rFonts w:asciiTheme="minorHAnsi" w:hAnsiTheme="minorHAnsi" w:cstheme="minorHAnsi"/>
                <w:b/>
                <w:sz w:val="18"/>
                <w:szCs w:val="18"/>
              </w:rPr>
            </w:pPr>
          </w:p>
        </w:tc>
      </w:tr>
      <w:tr w:rsidR="0070160E" w:rsidRPr="005F120D" w:rsidTr="00B25E46">
        <w:trPr>
          <w:cnfStyle w:val="000000010000"/>
        </w:trPr>
        <w:tc>
          <w:tcPr>
            <w:cnfStyle w:val="001000000000"/>
            <w:tcW w:w="237" w:type="pct"/>
          </w:tcPr>
          <w:p w:rsidR="00863B08" w:rsidRPr="005F120D" w:rsidRDefault="00863B0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1634" w:type="pct"/>
            <w:gridSpan w:val="3"/>
          </w:tcPr>
          <w:p w:rsidR="00863B08" w:rsidRPr="005F120D" w:rsidRDefault="00863B08"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Construction and Repair of schools</w:t>
            </w:r>
          </w:p>
        </w:tc>
        <w:tc>
          <w:tcPr>
            <w:tcW w:w="511" w:type="pct"/>
          </w:tcPr>
          <w:p w:rsidR="00863B08" w:rsidRPr="005F120D" w:rsidRDefault="00863B08" w:rsidP="00B25E46">
            <w:pPr>
              <w:pStyle w:val="NoSpacing"/>
              <w:jc w:val="right"/>
              <w:cnfStyle w:val="000000010000"/>
              <w:rPr>
                <w:rFonts w:asciiTheme="minorHAnsi" w:hAnsiTheme="minorHAnsi" w:cstheme="minorHAnsi"/>
                <w:sz w:val="18"/>
                <w:szCs w:val="18"/>
              </w:rPr>
            </w:pPr>
          </w:p>
        </w:tc>
        <w:tc>
          <w:tcPr>
            <w:tcW w:w="523" w:type="pct"/>
          </w:tcPr>
          <w:p w:rsidR="00863B08" w:rsidRPr="005F120D" w:rsidRDefault="00863B08" w:rsidP="00B25E46">
            <w:pPr>
              <w:pStyle w:val="NoSpacing"/>
              <w:jc w:val="right"/>
              <w:cnfStyle w:val="000000010000"/>
              <w:rPr>
                <w:rFonts w:asciiTheme="minorHAnsi" w:hAnsiTheme="minorHAnsi" w:cstheme="minorHAnsi"/>
                <w:sz w:val="18"/>
                <w:szCs w:val="18"/>
              </w:rPr>
            </w:pPr>
          </w:p>
        </w:tc>
        <w:tc>
          <w:tcPr>
            <w:tcW w:w="522" w:type="pct"/>
          </w:tcPr>
          <w:p w:rsidR="00863B08" w:rsidRPr="005F120D" w:rsidRDefault="00863B08" w:rsidP="00B25E46">
            <w:pPr>
              <w:pStyle w:val="NoSpacing"/>
              <w:jc w:val="right"/>
              <w:cnfStyle w:val="000000010000"/>
              <w:rPr>
                <w:rFonts w:asciiTheme="minorHAnsi" w:hAnsiTheme="minorHAnsi" w:cstheme="minorHAnsi"/>
                <w:color w:val="008000"/>
                <w:sz w:val="18"/>
                <w:szCs w:val="18"/>
              </w:rPr>
            </w:pPr>
          </w:p>
        </w:tc>
        <w:tc>
          <w:tcPr>
            <w:tcW w:w="474" w:type="pct"/>
          </w:tcPr>
          <w:p w:rsidR="00863B08" w:rsidRPr="005F120D" w:rsidRDefault="00863B08" w:rsidP="00B25E46">
            <w:pPr>
              <w:pStyle w:val="NoSpacing"/>
              <w:jc w:val="right"/>
              <w:cnfStyle w:val="000000010000"/>
              <w:rPr>
                <w:rFonts w:asciiTheme="minorHAnsi" w:hAnsiTheme="minorHAnsi" w:cstheme="minorHAnsi"/>
                <w:color w:val="008000"/>
                <w:sz w:val="18"/>
                <w:szCs w:val="18"/>
              </w:rPr>
            </w:pPr>
          </w:p>
        </w:tc>
        <w:tc>
          <w:tcPr>
            <w:tcW w:w="572" w:type="pct"/>
          </w:tcPr>
          <w:p w:rsidR="00863B08" w:rsidRPr="005F120D" w:rsidRDefault="00863B08" w:rsidP="00B25E46">
            <w:pPr>
              <w:pStyle w:val="NoSpacing"/>
              <w:jc w:val="right"/>
              <w:cnfStyle w:val="000000010000"/>
              <w:rPr>
                <w:rFonts w:asciiTheme="minorHAnsi" w:hAnsiTheme="minorHAnsi" w:cstheme="minorHAnsi"/>
                <w:color w:val="008000"/>
                <w:sz w:val="18"/>
                <w:szCs w:val="18"/>
              </w:rPr>
            </w:pPr>
          </w:p>
        </w:tc>
        <w:tc>
          <w:tcPr>
            <w:tcW w:w="527" w:type="pct"/>
          </w:tcPr>
          <w:p w:rsidR="00863B08" w:rsidRPr="005F120D" w:rsidRDefault="00863B08" w:rsidP="00B25E46">
            <w:pPr>
              <w:pStyle w:val="NoSpacing"/>
              <w:cnfStyle w:val="000000010000"/>
              <w:rPr>
                <w:rFonts w:asciiTheme="minorHAnsi" w:hAnsiTheme="minorHAnsi" w:cstheme="minorHAnsi"/>
                <w:color w:val="008000"/>
                <w:sz w:val="18"/>
                <w:szCs w:val="18"/>
              </w:rPr>
            </w:pPr>
          </w:p>
        </w:tc>
      </w:tr>
      <w:tr w:rsidR="0070160E" w:rsidRPr="005F120D" w:rsidTr="00B25E46">
        <w:trPr>
          <w:cnfStyle w:val="000000100000"/>
        </w:trPr>
        <w:tc>
          <w:tcPr>
            <w:cnfStyle w:val="001000000000"/>
            <w:tcW w:w="237" w:type="pct"/>
          </w:tcPr>
          <w:p w:rsidR="00023F48" w:rsidRPr="005F120D" w:rsidRDefault="00023F4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1.1</w:t>
            </w:r>
          </w:p>
        </w:tc>
        <w:tc>
          <w:tcPr>
            <w:tcW w:w="770" w:type="pct"/>
          </w:tcPr>
          <w:p w:rsidR="00023F48" w:rsidRPr="005F120D" w:rsidRDefault="00470A83"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GPS</w:t>
            </w:r>
          </w:p>
        </w:tc>
        <w:tc>
          <w:tcPr>
            <w:tcW w:w="391" w:type="pct"/>
          </w:tcPr>
          <w:p w:rsidR="00023F48" w:rsidRPr="005F120D" w:rsidRDefault="00470A83"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2,660</w:t>
            </w:r>
            <w:r w:rsidR="00023F48" w:rsidRPr="005F120D">
              <w:rPr>
                <w:rFonts w:asciiTheme="minorHAnsi" w:hAnsiTheme="minorHAnsi" w:cstheme="minorHAnsi"/>
                <w:sz w:val="18"/>
                <w:szCs w:val="18"/>
              </w:rPr>
              <w:t xml:space="preserve"> school</w:t>
            </w:r>
          </w:p>
        </w:tc>
        <w:tc>
          <w:tcPr>
            <w:tcW w:w="473" w:type="pct"/>
          </w:tcPr>
          <w:p w:rsidR="00023F48" w:rsidRPr="005F120D" w:rsidRDefault="00023F48"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w:t>
            </w:r>
            <w:r w:rsidR="00470A83" w:rsidRPr="005F120D">
              <w:rPr>
                <w:rFonts w:asciiTheme="minorHAnsi" w:hAnsiTheme="minorHAnsi" w:cstheme="minorHAnsi"/>
                <w:sz w:val="18"/>
                <w:szCs w:val="18"/>
              </w:rPr>
              <w:t>06</w:t>
            </w:r>
            <w:r w:rsidRPr="005F120D">
              <w:rPr>
                <w:rFonts w:asciiTheme="minorHAnsi" w:hAnsiTheme="minorHAnsi" w:cstheme="minorHAnsi"/>
                <w:sz w:val="18"/>
                <w:szCs w:val="18"/>
              </w:rPr>
              <w:t>,</w:t>
            </w:r>
            <w:r w:rsidR="00470A83" w:rsidRPr="005F120D">
              <w:rPr>
                <w:rFonts w:asciiTheme="minorHAnsi" w:hAnsiTheme="minorHAnsi" w:cstheme="minorHAnsi"/>
                <w:sz w:val="18"/>
                <w:szCs w:val="18"/>
              </w:rPr>
              <w:t>4</w:t>
            </w:r>
            <w:r w:rsidRPr="005F120D">
              <w:rPr>
                <w:rFonts w:asciiTheme="minorHAnsi" w:hAnsiTheme="minorHAnsi" w:cstheme="minorHAnsi"/>
                <w:sz w:val="18"/>
                <w:szCs w:val="18"/>
              </w:rPr>
              <w:t>00</w:t>
            </w:r>
          </w:p>
        </w:tc>
        <w:tc>
          <w:tcPr>
            <w:tcW w:w="511" w:type="pct"/>
          </w:tcPr>
          <w:p w:rsidR="00023F48" w:rsidRPr="005F120D" w:rsidRDefault="00470A83"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5,519 classroom</w:t>
            </w:r>
          </w:p>
        </w:tc>
        <w:tc>
          <w:tcPr>
            <w:tcW w:w="523" w:type="pct"/>
          </w:tcPr>
          <w:p w:rsidR="00023F48" w:rsidRPr="005F120D" w:rsidRDefault="00470A83"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9</w:t>
            </w:r>
            <w:r w:rsidR="00023F48" w:rsidRPr="005F120D">
              <w:rPr>
                <w:rFonts w:asciiTheme="minorHAnsi" w:hAnsiTheme="minorHAnsi" w:cstheme="minorHAnsi"/>
                <w:sz w:val="18"/>
                <w:szCs w:val="18"/>
              </w:rPr>
              <w:t>0,</w:t>
            </w:r>
            <w:r w:rsidRPr="005F120D">
              <w:rPr>
                <w:rFonts w:asciiTheme="minorHAnsi" w:hAnsiTheme="minorHAnsi" w:cstheme="minorHAnsi"/>
                <w:sz w:val="18"/>
                <w:szCs w:val="18"/>
              </w:rPr>
              <w:t>748.11</w:t>
            </w:r>
          </w:p>
        </w:tc>
        <w:tc>
          <w:tcPr>
            <w:tcW w:w="522" w:type="pct"/>
          </w:tcPr>
          <w:p w:rsidR="00023F48" w:rsidRPr="005F120D" w:rsidRDefault="0092748D"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1,544</w:t>
            </w:r>
          </w:p>
        </w:tc>
        <w:tc>
          <w:tcPr>
            <w:tcW w:w="474" w:type="pct"/>
          </w:tcPr>
          <w:p w:rsidR="00023F48" w:rsidRPr="005F120D" w:rsidRDefault="009E2904"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1,488</w:t>
            </w:r>
          </w:p>
        </w:tc>
        <w:tc>
          <w:tcPr>
            <w:tcW w:w="572" w:type="pct"/>
          </w:tcPr>
          <w:p w:rsidR="00023F48" w:rsidRPr="005F120D" w:rsidRDefault="009E2904"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910.01</w:t>
            </w:r>
          </w:p>
        </w:tc>
        <w:tc>
          <w:tcPr>
            <w:tcW w:w="527" w:type="pct"/>
          </w:tcPr>
          <w:p w:rsidR="00023F48" w:rsidRPr="005F120D" w:rsidRDefault="009E2904" w:rsidP="00B25E46">
            <w:pPr>
              <w:pStyle w:val="NoSpacing"/>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Approved 1,894</w:t>
            </w:r>
          </w:p>
        </w:tc>
      </w:tr>
      <w:tr w:rsidR="0070160E" w:rsidRPr="005F120D" w:rsidTr="00B25E46">
        <w:trPr>
          <w:cnfStyle w:val="000000010000"/>
        </w:trPr>
        <w:tc>
          <w:tcPr>
            <w:cnfStyle w:val="001000000000"/>
            <w:tcW w:w="237" w:type="pct"/>
          </w:tcPr>
          <w:p w:rsidR="00023F48" w:rsidRPr="005F120D" w:rsidRDefault="005176CD"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w:t>
            </w:r>
            <w:r w:rsidR="00023F48" w:rsidRPr="005F120D">
              <w:rPr>
                <w:rFonts w:asciiTheme="minorHAnsi" w:hAnsiTheme="minorHAnsi" w:cstheme="minorHAnsi"/>
                <w:sz w:val="18"/>
                <w:szCs w:val="18"/>
              </w:rPr>
              <w:t>2</w:t>
            </w:r>
          </w:p>
        </w:tc>
        <w:tc>
          <w:tcPr>
            <w:tcW w:w="770" w:type="pct"/>
          </w:tcPr>
          <w:p w:rsidR="00023F48" w:rsidRPr="005F120D" w:rsidRDefault="005176CD"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NNPS (RNGPS)</w:t>
            </w:r>
          </w:p>
        </w:tc>
        <w:tc>
          <w:tcPr>
            <w:tcW w:w="391" w:type="pct"/>
          </w:tcPr>
          <w:p w:rsidR="00023F48" w:rsidRPr="005F120D" w:rsidRDefault="005176CD"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32</w:t>
            </w:r>
          </w:p>
        </w:tc>
        <w:tc>
          <w:tcPr>
            <w:tcW w:w="473" w:type="pct"/>
          </w:tcPr>
          <w:p w:rsidR="00023F48" w:rsidRPr="005F120D" w:rsidRDefault="005176CD"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1,280</w:t>
            </w:r>
          </w:p>
        </w:tc>
        <w:tc>
          <w:tcPr>
            <w:tcW w:w="511" w:type="pct"/>
          </w:tcPr>
          <w:p w:rsidR="00023F48" w:rsidRPr="005F120D" w:rsidRDefault="005176CD"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w:t>
            </w:r>
          </w:p>
        </w:tc>
        <w:tc>
          <w:tcPr>
            <w:tcW w:w="523" w:type="pct"/>
          </w:tcPr>
          <w:p w:rsidR="00023F48" w:rsidRPr="005F120D" w:rsidRDefault="005176CD"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w:t>
            </w:r>
          </w:p>
        </w:tc>
        <w:tc>
          <w:tcPr>
            <w:tcW w:w="522"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474"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572"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527" w:type="pct"/>
          </w:tcPr>
          <w:p w:rsidR="00023F48" w:rsidRPr="005F120D" w:rsidRDefault="00023F48" w:rsidP="00B25E46">
            <w:pPr>
              <w:pStyle w:val="NoSpacing"/>
              <w:cnfStyle w:val="000000010000"/>
              <w:rPr>
                <w:rFonts w:asciiTheme="minorHAnsi" w:hAnsiTheme="minorHAnsi" w:cstheme="minorHAnsi"/>
                <w:color w:val="008000"/>
                <w:sz w:val="18"/>
                <w:szCs w:val="18"/>
              </w:rPr>
            </w:pPr>
          </w:p>
        </w:tc>
      </w:tr>
      <w:tr w:rsidR="0070160E" w:rsidRPr="005F120D" w:rsidTr="00B25E46">
        <w:trPr>
          <w:cnfStyle w:val="000000100000"/>
        </w:trPr>
        <w:tc>
          <w:tcPr>
            <w:cnfStyle w:val="001000000000"/>
            <w:tcW w:w="237" w:type="pct"/>
          </w:tcPr>
          <w:p w:rsidR="00023F48" w:rsidRPr="005F120D" w:rsidRDefault="005176CD"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1.3</w:t>
            </w:r>
          </w:p>
        </w:tc>
        <w:tc>
          <w:tcPr>
            <w:tcW w:w="770" w:type="pct"/>
          </w:tcPr>
          <w:p w:rsidR="00023F48" w:rsidRPr="005F120D" w:rsidRDefault="005176CD"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Community</w:t>
            </w:r>
          </w:p>
        </w:tc>
        <w:tc>
          <w:tcPr>
            <w:tcW w:w="391" w:type="pct"/>
          </w:tcPr>
          <w:p w:rsidR="00023F48" w:rsidRPr="005F120D" w:rsidRDefault="005176CD"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17</w:t>
            </w:r>
          </w:p>
        </w:tc>
        <w:tc>
          <w:tcPr>
            <w:tcW w:w="473" w:type="pct"/>
          </w:tcPr>
          <w:p w:rsidR="00023F48" w:rsidRPr="005F120D" w:rsidRDefault="005176CD"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680</w:t>
            </w:r>
          </w:p>
        </w:tc>
        <w:tc>
          <w:tcPr>
            <w:tcW w:w="511" w:type="pct"/>
          </w:tcPr>
          <w:p w:rsidR="00023F48" w:rsidRPr="005F120D" w:rsidRDefault="005176CD"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w:t>
            </w:r>
          </w:p>
        </w:tc>
        <w:tc>
          <w:tcPr>
            <w:tcW w:w="523" w:type="pct"/>
          </w:tcPr>
          <w:p w:rsidR="00023F48" w:rsidRPr="005F120D" w:rsidRDefault="005176CD"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w:t>
            </w:r>
          </w:p>
        </w:tc>
        <w:tc>
          <w:tcPr>
            <w:tcW w:w="522"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474"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572"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527" w:type="pct"/>
          </w:tcPr>
          <w:p w:rsidR="00023F48" w:rsidRPr="005F120D" w:rsidRDefault="00023F48" w:rsidP="00B25E46">
            <w:pPr>
              <w:pStyle w:val="NoSpacing"/>
              <w:cnfStyle w:val="000000100000"/>
              <w:rPr>
                <w:rFonts w:asciiTheme="minorHAnsi" w:hAnsiTheme="minorHAnsi" w:cstheme="minorHAnsi"/>
                <w:color w:val="008000"/>
                <w:sz w:val="18"/>
                <w:szCs w:val="18"/>
              </w:rPr>
            </w:pPr>
          </w:p>
        </w:tc>
      </w:tr>
      <w:tr w:rsidR="003D4EB5" w:rsidRPr="005F120D" w:rsidTr="00B25E46">
        <w:trPr>
          <w:cnfStyle w:val="000000010000"/>
        </w:trPr>
        <w:tc>
          <w:tcPr>
            <w:cnfStyle w:val="001000000000"/>
            <w:tcW w:w="237" w:type="pct"/>
            <w:vMerge w:val="restart"/>
          </w:tcPr>
          <w:p w:rsidR="0092748D" w:rsidRPr="005F120D" w:rsidRDefault="0092748D"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1.4</w:t>
            </w:r>
          </w:p>
        </w:tc>
        <w:tc>
          <w:tcPr>
            <w:tcW w:w="770" w:type="pct"/>
          </w:tcPr>
          <w:p w:rsidR="0092748D" w:rsidRPr="005F120D" w:rsidRDefault="0092748D"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Additional classrooms</w:t>
            </w:r>
          </w:p>
        </w:tc>
        <w:tc>
          <w:tcPr>
            <w:tcW w:w="391" w:type="pct"/>
          </w:tcPr>
          <w:p w:rsidR="0092748D" w:rsidRPr="005F120D" w:rsidRDefault="0092748D"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31,685</w:t>
            </w:r>
          </w:p>
        </w:tc>
        <w:tc>
          <w:tcPr>
            <w:tcW w:w="473" w:type="pct"/>
          </w:tcPr>
          <w:p w:rsidR="0092748D" w:rsidRPr="005F120D" w:rsidRDefault="0092748D"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380,220</w:t>
            </w:r>
          </w:p>
        </w:tc>
        <w:tc>
          <w:tcPr>
            <w:tcW w:w="511" w:type="pct"/>
          </w:tcPr>
          <w:p w:rsidR="0092748D" w:rsidRPr="005F120D" w:rsidRDefault="0092748D"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33,484</w:t>
            </w:r>
          </w:p>
        </w:tc>
        <w:tc>
          <w:tcPr>
            <w:tcW w:w="523" w:type="pct"/>
          </w:tcPr>
          <w:p w:rsidR="0092748D" w:rsidRPr="005F120D" w:rsidRDefault="0092748D"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529,777.12</w:t>
            </w:r>
          </w:p>
        </w:tc>
        <w:tc>
          <w:tcPr>
            <w:tcW w:w="522" w:type="pct"/>
          </w:tcPr>
          <w:p w:rsidR="0092748D" w:rsidRPr="005F120D" w:rsidRDefault="008022B9" w:rsidP="00B25E46">
            <w:pPr>
              <w:pStyle w:val="NoSpacing"/>
              <w:jc w:val="right"/>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11,752</w:t>
            </w:r>
          </w:p>
        </w:tc>
        <w:tc>
          <w:tcPr>
            <w:tcW w:w="474" w:type="pct"/>
          </w:tcPr>
          <w:p w:rsidR="0092748D" w:rsidRPr="005F120D" w:rsidRDefault="0092748D" w:rsidP="00B25E46">
            <w:pPr>
              <w:pStyle w:val="NoSpacing"/>
              <w:jc w:val="right"/>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11,377</w:t>
            </w:r>
          </w:p>
        </w:tc>
        <w:tc>
          <w:tcPr>
            <w:tcW w:w="572" w:type="pct"/>
          </w:tcPr>
          <w:p w:rsidR="0092748D" w:rsidRPr="005F120D" w:rsidRDefault="0092748D" w:rsidP="00B25E46">
            <w:pPr>
              <w:pStyle w:val="NoSpacing"/>
              <w:jc w:val="right"/>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1,703.95</w:t>
            </w:r>
          </w:p>
        </w:tc>
        <w:tc>
          <w:tcPr>
            <w:tcW w:w="527" w:type="pct"/>
          </w:tcPr>
          <w:p w:rsidR="0092748D" w:rsidRPr="005F120D" w:rsidRDefault="0092748D" w:rsidP="00B25E46">
            <w:pPr>
              <w:pStyle w:val="NoSpacing"/>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Approved 14,990</w:t>
            </w:r>
          </w:p>
        </w:tc>
      </w:tr>
      <w:tr w:rsidR="003D4EB5" w:rsidRPr="005F120D" w:rsidTr="00B25E46">
        <w:trPr>
          <w:cnfStyle w:val="000000100000"/>
        </w:trPr>
        <w:tc>
          <w:tcPr>
            <w:cnfStyle w:val="001000000000"/>
            <w:tcW w:w="237" w:type="pct"/>
            <w:vMerge/>
          </w:tcPr>
          <w:p w:rsidR="0092748D" w:rsidRPr="005F120D" w:rsidRDefault="0092748D" w:rsidP="00B25E46">
            <w:pPr>
              <w:pStyle w:val="NoSpacing"/>
              <w:jc w:val="center"/>
              <w:rPr>
                <w:rFonts w:asciiTheme="minorHAnsi" w:hAnsiTheme="minorHAnsi" w:cstheme="minorHAnsi"/>
                <w:sz w:val="18"/>
                <w:szCs w:val="18"/>
              </w:rPr>
            </w:pPr>
          </w:p>
        </w:tc>
        <w:tc>
          <w:tcPr>
            <w:tcW w:w="770" w:type="pct"/>
          </w:tcPr>
          <w:p w:rsidR="0092748D" w:rsidRPr="005F120D" w:rsidRDefault="0092748D"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B List</w:t>
            </w:r>
          </w:p>
        </w:tc>
        <w:tc>
          <w:tcPr>
            <w:tcW w:w="391" w:type="pct"/>
          </w:tcPr>
          <w:p w:rsidR="0092748D" w:rsidRPr="005F120D" w:rsidRDefault="0092748D" w:rsidP="00B25E46">
            <w:pPr>
              <w:pStyle w:val="NoSpacing"/>
              <w:jc w:val="right"/>
              <w:cnfStyle w:val="000000100000"/>
              <w:rPr>
                <w:rFonts w:asciiTheme="minorHAnsi" w:hAnsiTheme="minorHAnsi" w:cstheme="minorHAnsi"/>
                <w:sz w:val="18"/>
                <w:szCs w:val="18"/>
              </w:rPr>
            </w:pPr>
          </w:p>
        </w:tc>
        <w:tc>
          <w:tcPr>
            <w:tcW w:w="473" w:type="pct"/>
          </w:tcPr>
          <w:p w:rsidR="0092748D" w:rsidRPr="005F120D" w:rsidRDefault="0092748D" w:rsidP="00B25E46">
            <w:pPr>
              <w:pStyle w:val="NoSpacing"/>
              <w:jc w:val="right"/>
              <w:cnfStyle w:val="000000100000"/>
              <w:rPr>
                <w:rFonts w:asciiTheme="minorHAnsi" w:hAnsiTheme="minorHAnsi" w:cstheme="minorHAnsi"/>
                <w:sz w:val="18"/>
                <w:szCs w:val="18"/>
              </w:rPr>
            </w:pPr>
          </w:p>
        </w:tc>
        <w:tc>
          <w:tcPr>
            <w:tcW w:w="511" w:type="pct"/>
          </w:tcPr>
          <w:p w:rsidR="0092748D" w:rsidRPr="005F120D" w:rsidRDefault="0092748D" w:rsidP="00B25E46">
            <w:pPr>
              <w:pStyle w:val="NoSpacing"/>
              <w:jc w:val="right"/>
              <w:cnfStyle w:val="000000100000"/>
              <w:rPr>
                <w:rFonts w:asciiTheme="minorHAnsi" w:hAnsiTheme="minorHAnsi" w:cstheme="minorHAnsi"/>
                <w:sz w:val="18"/>
                <w:szCs w:val="18"/>
              </w:rPr>
            </w:pPr>
          </w:p>
        </w:tc>
        <w:tc>
          <w:tcPr>
            <w:tcW w:w="523" w:type="pct"/>
          </w:tcPr>
          <w:p w:rsidR="0092748D" w:rsidRPr="005F120D" w:rsidRDefault="0092748D" w:rsidP="00B25E46">
            <w:pPr>
              <w:pStyle w:val="NoSpacing"/>
              <w:jc w:val="right"/>
              <w:cnfStyle w:val="000000100000"/>
              <w:rPr>
                <w:rFonts w:asciiTheme="minorHAnsi" w:hAnsiTheme="minorHAnsi" w:cstheme="minorHAnsi"/>
                <w:sz w:val="18"/>
                <w:szCs w:val="18"/>
              </w:rPr>
            </w:pPr>
          </w:p>
        </w:tc>
        <w:tc>
          <w:tcPr>
            <w:tcW w:w="522" w:type="pct"/>
          </w:tcPr>
          <w:p w:rsidR="0092748D" w:rsidRPr="005F120D" w:rsidRDefault="0070160E"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7,458</w:t>
            </w:r>
          </w:p>
        </w:tc>
        <w:tc>
          <w:tcPr>
            <w:tcW w:w="474" w:type="pct"/>
          </w:tcPr>
          <w:p w:rsidR="0092748D" w:rsidRPr="005F120D" w:rsidRDefault="0070160E"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5,151</w:t>
            </w:r>
          </w:p>
        </w:tc>
        <w:tc>
          <w:tcPr>
            <w:tcW w:w="572" w:type="pct"/>
          </w:tcPr>
          <w:p w:rsidR="0092748D" w:rsidRPr="005F120D" w:rsidRDefault="0070160E"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1,280.98</w:t>
            </w:r>
          </w:p>
        </w:tc>
        <w:tc>
          <w:tcPr>
            <w:tcW w:w="527" w:type="pct"/>
          </w:tcPr>
          <w:p w:rsidR="0092748D" w:rsidRPr="005F120D" w:rsidRDefault="0092748D" w:rsidP="00B25E46">
            <w:pPr>
              <w:pStyle w:val="NoSpacing"/>
              <w:cnfStyle w:val="000000100000"/>
              <w:rPr>
                <w:rFonts w:asciiTheme="minorHAnsi" w:hAnsiTheme="minorHAnsi" w:cstheme="minorHAnsi"/>
                <w:color w:val="008000"/>
                <w:sz w:val="18"/>
                <w:szCs w:val="18"/>
              </w:rPr>
            </w:pPr>
          </w:p>
        </w:tc>
      </w:tr>
      <w:tr w:rsidR="0070160E" w:rsidRPr="005F120D" w:rsidTr="00B25E46">
        <w:trPr>
          <w:cnfStyle w:val="000000010000"/>
        </w:trPr>
        <w:tc>
          <w:tcPr>
            <w:cnfStyle w:val="001000000000"/>
            <w:tcW w:w="237" w:type="pct"/>
          </w:tcPr>
          <w:p w:rsidR="00023F48" w:rsidRPr="005F120D" w:rsidRDefault="00023F4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770" w:type="pct"/>
          </w:tcPr>
          <w:p w:rsidR="00023F48" w:rsidRPr="005F120D" w:rsidRDefault="00023F48"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 xml:space="preserve">Repair </w:t>
            </w:r>
            <w:r w:rsidR="005176CD" w:rsidRPr="005F120D">
              <w:rPr>
                <w:rFonts w:asciiTheme="minorHAnsi" w:hAnsiTheme="minorHAnsi" w:cstheme="minorHAnsi"/>
                <w:sz w:val="18"/>
                <w:szCs w:val="18"/>
              </w:rPr>
              <w:t xml:space="preserve">and </w:t>
            </w:r>
            <w:r w:rsidR="005176CD" w:rsidRPr="005F120D">
              <w:rPr>
                <w:rFonts w:asciiTheme="minorHAnsi" w:hAnsiTheme="minorHAnsi" w:cstheme="minorHAnsi"/>
                <w:sz w:val="18"/>
                <w:szCs w:val="18"/>
              </w:rPr>
              <w:lastRenderedPageBreak/>
              <w:t>Maintenance</w:t>
            </w:r>
          </w:p>
        </w:tc>
        <w:tc>
          <w:tcPr>
            <w:tcW w:w="391" w:type="pct"/>
          </w:tcPr>
          <w:p w:rsidR="00023F48" w:rsidRPr="005F120D" w:rsidRDefault="00295EA0"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lastRenderedPageBreak/>
              <w:t>1,624</w:t>
            </w:r>
          </w:p>
        </w:tc>
        <w:tc>
          <w:tcPr>
            <w:tcW w:w="473" w:type="pct"/>
          </w:tcPr>
          <w:p w:rsidR="00023F48" w:rsidRPr="005F120D" w:rsidRDefault="00295EA0"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12,992</w:t>
            </w:r>
          </w:p>
        </w:tc>
        <w:tc>
          <w:tcPr>
            <w:tcW w:w="511" w:type="pct"/>
          </w:tcPr>
          <w:p w:rsidR="00023F48" w:rsidRPr="005F120D" w:rsidRDefault="00295EA0"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1,861</w:t>
            </w:r>
          </w:p>
        </w:tc>
        <w:tc>
          <w:tcPr>
            <w:tcW w:w="523" w:type="pct"/>
          </w:tcPr>
          <w:p w:rsidR="00023F48" w:rsidRPr="005F120D" w:rsidRDefault="00295EA0"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9,538.5</w:t>
            </w:r>
          </w:p>
        </w:tc>
        <w:tc>
          <w:tcPr>
            <w:tcW w:w="522"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474"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572"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527" w:type="pct"/>
          </w:tcPr>
          <w:p w:rsidR="00023F48" w:rsidRPr="005F120D" w:rsidRDefault="00023F48" w:rsidP="00B25E46">
            <w:pPr>
              <w:pStyle w:val="NoSpacing"/>
              <w:cnfStyle w:val="000000010000"/>
              <w:rPr>
                <w:rFonts w:asciiTheme="minorHAnsi" w:hAnsiTheme="minorHAnsi" w:cstheme="minorHAnsi"/>
                <w:color w:val="008000"/>
                <w:sz w:val="18"/>
                <w:szCs w:val="18"/>
              </w:rPr>
            </w:pPr>
          </w:p>
        </w:tc>
      </w:tr>
      <w:tr w:rsidR="0070160E" w:rsidRPr="005F120D" w:rsidTr="00B25E46">
        <w:trPr>
          <w:cnfStyle w:val="000000100000"/>
        </w:trPr>
        <w:tc>
          <w:tcPr>
            <w:cnfStyle w:val="001000000000"/>
            <w:tcW w:w="237" w:type="pct"/>
          </w:tcPr>
          <w:p w:rsidR="00023F48" w:rsidRPr="005F120D" w:rsidRDefault="00023F4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lastRenderedPageBreak/>
              <w:t>2.</w:t>
            </w:r>
            <w:r w:rsidR="005176CD" w:rsidRPr="005F120D">
              <w:rPr>
                <w:rFonts w:asciiTheme="minorHAnsi" w:hAnsiTheme="minorHAnsi" w:cstheme="minorHAnsi"/>
                <w:sz w:val="18"/>
                <w:szCs w:val="18"/>
              </w:rPr>
              <w:t>1</w:t>
            </w:r>
          </w:p>
        </w:tc>
        <w:tc>
          <w:tcPr>
            <w:tcW w:w="770" w:type="pct"/>
          </w:tcPr>
          <w:p w:rsidR="00023F48" w:rsidRPr="005F120D" w:rsidRDefault="005176CD"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 xml:space="preserve">Repair and Maintenance to be </w:t>
            </w:r>
            <w:r w:rsidR="00570223" w:rsidRPr="005F120D">
              <w:rPr>
                <w:rFonts w:asciiTheme="minorHAnsi" w:hAnsiTheme="minorHAnsi" w:cstheme="minorHAnsi"/>
                <w:sz w:val="18"/>
                <w:szCs w:val="18"/>
              </w:rPr>
              <w:t>replaced</w:t>
            </w:r>
          </w:p>
        </w:tc>
        <w:tc>
          <w:tcPr>
            <w:tcW w:w="391" w:type="pct"/>
          </w:tcPr>
          <w:p w:rsidR="00023F48" w:rsidRPr="005F120D" w:rsidRDefault="005176CD"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1,624</w:t>
            </w:r>
          </w:p>
        </w:tc>
        <w:tc>
          <w:tcPr>
            <w:tcW w:w="473" w:type="pct"/>
          </w:tcPr>
          <w:p w:rsidR="00023F48" w:rsidRPr="005F120D" w:rsidRDefault="005176CD"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12,992</w:t>
            </w:r>
          </w:p>
        </w:tc>
        <w:tc>
          <w:tcPr>
            <w:tcW w:w="511" w:type="pct"/>
          </w:tcPr>
          <w:p w:rsidR="00023F48" w:rsidRPr="005F120D" w:rsidRDefault="005176CD"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523" w:type="pct"/>
          </w:tcPr>
          <w:p w:rsidR="00023F48" w:rsidRPr="005F120D" w:rsidRDefault="005176CD"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7,500</w:t>
            </w:r>
          </w:p>
        </w:tc>
        <w:tc>
          <w:tcPr>
            <w:tcW w:w="522"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474"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572"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527" w:type="pct"/>
          </w:tcPr>
          <w:p w:rsidR="00023F48" w:rsidRPr="005F120D" w:rsidRDefault="00023F48" w:rsidP="00B25E46">
            <w:pPr>
              <w:pStyle w:val="NoSpacing"/>
              <w:cnfStyle w:val="000000100000"/>
              <w:rPr>
                <w:rFonts w:asciiTheme="minorHAnsi" w:hAnsiTheme="minorHAnsi" w:cstheme="minorHAnsi"/>
                <w:color w:val="008000"/>
                <w:sz w:val="18"/>
                <w:szCs w:val="18"/>
              </w:rPr>
            </w:pPr>
          </w:p>
        </w:tc>
      </w:tr>
      <w:tr w:rsidR="0070160E" w:rsidRPr="005F120D" w:rsidTr="00B25E46">
        <w:trPr>
          <w:cnfStyle w:val="000000010000"/>
        </w:trPr>
        <w:tc>
          <w:tcPr>
            <w:cnfStyle w:val="001000000000"/>
            <w:tcW w:w="237" w:type="pct"/>
          </w:tcPr>
          <w:p w:rsidR="00023F48" w:rsidRPr="005F120D" w:rsidRDefault="00023F4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2.2</w:t>
            </w:r>
          </w:p>
        </w:tc>
        <w:tc>
          <w:tcPr>
            <w:tcW w:w="770" w:type="pct"/>
          </w:tcPr>
          <w:p w:rsidR="00023F48" w:rsidRPr="005F120D" w:rsidRDefault="000F1B2E"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Repair of school major -</w:t>
            </w:r>
            <w:r w:rsidR="00AA6EEE" w:rsidRPr="005F120D">
              <w:rPr>
                <w:rFonts w:asciiTheme="minorHAnsi" w:hAnsiTheme="minorHAnsi" w:cstheme="minorHAnsi"/>
                <w:sz w:val="18"/>
                <w:szCs w:val="18"/>
              </w:rPr>
              <w:t>1</w:t>
            </w:r>
          </w:p>
        </w:tc>
        <w:tc>
          <w:tcPr>
            <w:tcW w:w="391" w:type="pct"/>
          </w:tcPr>
          <w:p w:rsidR="00023F48" w:rsidRPr="005F120D" w:rsidRDefault="00AA6EEE"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18,280</w:t>
            </w:r>
          </w:p>
        </w:tc>
        <w:tc>
          <w:tcPr>
            <w:tcW w:w="473" w:type="pct"/>
          </w:tcPr>
          <w:p w:rsidR="00023F48" w:rsidRPr="005F120D" w:rsidRDefault="00AA6EEE"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54,840</w:t>
            </w:r>
          </w:p>
        </w:tc>
        <w:tc>
          <w:tcPr>
            <w:tcW w:w="511" w:type="pct"/>
          </w:tcPr>
          <w:p w:rsidR="00023F48" w:rsidRPr="005F120D" w:rsidRDefault="00AA6EEE"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523" w:type="pct"/>
          </w:tcPr>
          <w:p w:rsidR="00023F48" w:rsidRPr="005F120D" w:rsidRDefault="00AA6EEE"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2,038.52</w:t>
            </w:r>
          </w:p>
        </w:tc>
        <w:tc>
          <w:tcPr>
            <w:tcW w:w="522" w:type="pct"/>
          </w:tcPr>
          <w:p w:rsidR="00023F48" w:rsidRPr="005F120D" w:rsidRDefault="008022B9" w:rsidP="00B25E46">
            <w:pPr>
              <w:pStyle w:val="NoSpacing"/>
              <w:jc w:val="right"/>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2,754</w:t>
            </w:r>
          </w:p>
        </w:tc>
        <w:tc>
          <w:tcPr>
            <w:tcW w:w="474" w:type="pct"/>
          </w:tcPr>
          <w:p w:rsidR="00023F48" w:rsidRPr="005F120D" w:rsidRDefault="009E2904" w:rsidP="00B25E46">
            <w:pPr>
              <w:pStyle w:val="NoSpacing"/>
              <w:jc w:val="right"/>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2</w:t>
            </w:r>
            <w:r w:rsidR="008022B9" w:rsidRPr="005F120D">
              <w:rPr>
                <w:rFonts w:asciiTheme="minorHAnsi" w:hAnsiTheme="minorHAnsi" w:cstheme="minorHAnsi"/>
                <w:color w:val="008000"/>
                <w:sz w:val="18"/>
                <w:szCs w:val="18"/>
              </w:rPr>
              <w:t>,</w:t>
            </w:r>
            <w:r w:rsidRPr="005F120D">
              <w:rPr>
                <w:rFonts w:asciiTheme="minorHAnsi" w:hAnsiTheme="minorHAnsi" w:cstheme="minorHAnsi"/>
                <w:color w:val="008000"/>
                <w:sz w:val="18"/>
                <w:szCs w:val="18"/>
              </w:rPr>
              <w:t>152</w:t>
            </w:r>
          </w:p>
        </w:tc>
        <w:tc>
          <w:tcPr>
            <w:tcW w:w="572" w:type="pct"/>
          </w:tcPr>
          <w:p w:rsidR="00023F48" w:rsidRPr="005F120D" w:rsidRDefault="009E2904" w:rsidP="00B25E46">
            <w:pPr>
              <w:pStyle w:val="NoSpacing"/>
              <w:jc w:val="right"/>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77.49</w:t>
            </w:r>
          </w:p>
        </w:tc>
        <w:tc>
          <w:tcPr>
            <w:tcW w:w="527" w:type="pct"/>
          </w:tcPr>
          <w:p w:rsidR="00023F48" w:rsidRPr="005F120D" w:rsidRDefault="009E2904" w:rsidP="00B25E46">
            <w:pPr>
              <w:pStyle w:val="NoSpacing"/>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Approved 4,639</w:t>
            </w:r>
          </w:p>
        </w:tc>
      </w:tr>
      <w:tr w:rsidR="0070160E" w:rsidRPr="005F120D" w:rsidTr="00B25E46">
        <w:trPr>
          <w:cnfStyle w:val="000000100000"/>
        </w:trPr>
        <w:tc>
          <w:tcPr>
            <w:cnfStyle w:val="001000000000"/>
            <w:tcW w:w="237" w:type="pct"/>
          </w:tcPr>
          <w:p w:rsidR="00023F48" w:rsidRPr="005F120D" w:rsidRDefault="00023F4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2.3</w:t>
            </w:r>
          </w:p>
        </w:tc>
        <w:tc>
          <w:tcPr>
            <w:tcW w:w="770" w:type="pct"/>
          </w:tcPr>
          <w:p w:rsidR="00023F48" w:rsidRPr="005F120D" w:rsidRDefault="000F1B2E"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Repair of school major -</w:t>
            </w:r>
            <w:r w:rsidR="00AA6EEE" w:rsidRPr="005F120D">
              <w:rPr>
                <w:rFonts w:asciiTheme="minorHAnsi" w:hAnsiTheme="minorHAnsi" w:cstheme="minorHAnsi"/>
                <w:sz w:val="18"/>
                <w:szCs w:val="18"/>
              </w:rPr>
              <w:t>2</w:t>
            </w:r>
          </w:p>
        </w:tc>
        <w:tc>
          <w:tcPr>
            <w:tcW w:w="391" w:type="pct"/>
          </w:tcPr>
          <w:p w:rsidR="00023F48" w:rsidRPr="005F120D" w:rsidRDefault="00AA6EEE"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18,280</w:t>
            </w:r>
          </w:p>
        </w:tc>
        <w:tc>
          <w:tcPr>
            <w:tcW w:w="473" w:type="pct"/>
          </w:tcPr>
          <w:p w:rsidR="00023F48" w:rsidRPr="005F120D" w:rsidRDefault="00AA6EEE"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27,420</w:t>
            </w:r>
          </w:p>
        </w:tc>
        <w:tc>
          <w:tcPr>
            <w:tcW w:w="511" w:type="pct"/>
          </w:tcPr>
          <w:p w:rsidR="00023F48" w:rsidRPr="005F120D" w:rsidRDefault="00AA6EEE"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523" w:type="pct"/>
          </w:tcPr>
          <w:p w:rsidR="00023F48" w:rsidRPr="005F120D" w:rsidRDefault="00AA6EEE"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22,623.32</w:t>
            </w:r>
          </w:p>
        </w:tc>
        <w:tc>
          <w:tcPr>
            <w:tcW w:w="522"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474"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572"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527" w:type="pct"/>
          </w:tcPr>
          <w:p w:rsidR="00023F48" w:rsidRPr="005F120D" w:rsidRDefault="00023F48" w:rsidP="00B25E46">
            <w:pPr>
              <w:pStyle w:val="NoSpacing"/>
              <w:cnfStyle w:val="000000100000"/>
              <w:rPr>
                <w:rFonts w:asciiTheme="minorHAnsi" w:hAnsiTheme="minorHAnsi" w:cstheme="minorHAnsi"/>
                <w:color w:val="008000"/>
                <w:sz w:val="18"/>
                <w:szCs w:val="18"/>
              </w:rPr>
            </w:pPr>
          </w:p>
        </w:tc>
      </w:tr>
      <w:tr w:rsidR="0070160E" w:rsidRPr="005F120D" w:rsidTr="00B25E46">
        <w:trPr>
          <w:cnfStyle w:val="000000010000"/>
        </w:trPr>
        <w:tc>
          <w:tcPr>
            <w:cnfStyle w:val="001000000000"/>
            <w:tcW w:w="237" w:type="pct"/>
          </w:tcPr>
          <w:p w:rsidR="00023F48" w:rsidRPr="005F120D" w:rsidRDefault="00023F4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2.4</w:t>
            </w:r>
          </w:p>
        </w:tc>
        <w:tc>
          <w:tcPr>
            <w:tcW w:w="770" w:type="pct"/>
          </w:tcPr>
          <w:p w:rsidR="00023F48" w:rsidRPr="005F120D" w:rsidRDefault="00AA6EEE"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Major maintenance</w:t>
            </w:r>
          </w:p>
        </w:tc>
        <w:tc>
          <w:tcPr>
            <w:tcW w:w="391" w:type="pct"/>
          </w:tcPr>
          <w:p w:rsidR="00023F48" w:rsidRPr="005F120D" w:rsidRDefault="00AA6EEE"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w:t>
            </w:r>
          </w:p>
        </w:tc>
        <w:tc>
          <w:tcPr>
            <w:tcW w:w="473" w:type="pct"/>
          </w:tcPr>
          <w:p w:rsidR="00023F48" w:rsidRPr="005F120D" w:rsidRDefault="00AA6EEE"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w:t>
            </w:r>
          </w:p>
        </w:tc>
        <w:tc>
          <w:tcPr>
            <w:tcW w:w="511" w:type="pct"/>
          </w:tcPr>
          <w:p w:rsidR="00023F48" w:rsidRPr="005F120D" w:rsidRDefault="00295EA0"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3,139</w:t>
            </w:r>
          </w:p>
        </w:tc>
        <w:tc>
          <w:tcPr>
            <w:tcW w:w="523" w:type="pct"/>
          </w:tcPr>
          <w:p w:rsidR="00023F48" w:rsidRPr="005F120D" w:rsidRDefault="00AA6EEE"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15,380</w:t>
            </w:r>
          </w:p>
        </w:tc>
        <w:tc>
          <w:tcPr>
            <w:tcW w:w="522"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474"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572"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527" w:type="pct"/>
          </w:tcPr>
          <w:p w:rsidR="00023F48" w:rsidRPr="005F120D" w:rsidRDefault="00023F48" w:rsidP="00B25E46">
            <w:pPr>
              <w:pStyle w:val="NoSpacing"/>
              <w:cnfStyle w:val="000000010000"/>
              <w:rPr>
                <w:rFonts w:asciiTheme="minorHAnsi" w:hAnsiTheme="minorHAnsi" w:cstheme="minorHAnsi"/>
                <w:color w:val="008000"/>
                <w:sz w:val="18"/>
                <w:szCs w:val="18"/>
              </w:rPr>
            </w:pPr>
          </w:p>
        </w:tc>
      </w:tr>
      <w:tr w:rsidR="0070160E" w:rsidRPr="005F120D" w:rsidTr="00B25E46">
        <w:trPr>
          <w:cnfStyle w:val="000000100000"/>
        </w:trPr>
        <w:tc>
          <w:tcPr>
            <w:cnfStyle w:val="001000000000"/>
            <w:tcW w:w="237" w:type="pct"/>
          </w:tcPr>
          <w:p w:rsidR="00023F48" w:rsidRPr="005F120D" w:rsidRDefault="00023F48"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770" w:type="pct"/>
          </w:tcPr>
          <w:p w:rsidR="00023F48" w:rsidRPr="005F120D" w:rsidRDefault="00AA6EEE"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Routine maintenance</w:t>
            </w:r>
          </w:p>
        </w:tc>
        <w:tc>
          <w:tcPr>
            <w:tcW w:w="391" w:type="pct"/>
          </w:tcPr>
          <w:p w:rsidR="00023F48" w:rsidRPr="005F120D" w:rsidRDefault="004641D5"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473" w:type="pct"/>
          </w:tcPr>
          <w:p w:rsidR="00023F48" w:rsidRPr="005F120D" w:rsidRDefault="004641D5"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23,223</w:t>
            </w:r>
          </w:p>
        </w:tc>
        <w:tc>
          <w:tcPr>
            <w:tcW w:w="511" w:type="pct"/>
          </w:tcPr>
          <w:p w:rsidR="00023F48" w:rsidRPr="005F120D" w:rsidRDefault="004641D5"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523" w:type="pct"/>
          </w:tcPr>
          <w:p w:rsidR="00023F48" w:rsidRPr="005F120D" w:rsidRDefault="004641D5"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11,999.70</w:t>
            </w:r>
          </w:p>
        </w:tc>
        <w:tc>
          <w:tcPr>
            <w:tcW w:w="522"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474"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572" w:type="pct"/>
          </w:tcPr>
          <w:p w:rsidR="00023F48" w:rsidRPr="005F120D" w:rsidRDefault="00023F48" w:rsidP="00B25E46">
            <w:pPr>
              <w:pStyle w:val="NoSpacing"/>
              <w:jc w:val="right"/>
              <w:cnfStyle w:val="000000100000"/>
              <w:rPr>
                <w:rFonts w:asciiTheme="minorHAnsi" w:hAnsiTheme="minorHAnsi" w:cstheme="minorHAnsi"/>
                <w:color w:val="008000"/>
                <w:sz w:val="18"/>
                <w:szCs w:val="18"/>
              </w:rPr>
            </w:pPr>
          </w:p>
        </w:tc>
        <w:tc>
          <w:tcPr>
            <w:tcW w:w="527" w:type="pct"/>
          </w:tcPr>
          <w:p w:rsidR="00023F48" w:rsidRPr="005F120D" w:rsidRDefault="00023F48" w:rsidP="00B25E46">
            <w:pPr>
              <w:pStyle w:val="NoSpacing"/>
              <w:cnfStyle w:val="000000100000"/>
              <w:rPr>
                <w:rFonts w:asciiTheme="minorHAnsi" w:hAnsiTheme="minorHAnsi" w:cstheme="minorHAnsi"/>
                <w:color w:val="008000"/>
                <w:sz w:val="18"/>
                <w:szCs w:val="18"/>
              </w:rPr>
            </w:pPr>
          </w:p>
        </w:tc>
      </w:tr>
      <w:tr w:rsidR="0070160E" w:rsidRPr="005F120D" w:rsidTr="00B25E46">
        <w:trPr>
          <w:cnfStyle w:val="000000010000"/>
        </w:trPr>
        <w:tc>
          <w:tcPr>
            <w:cnfStyle w:val="001000000000"/>
            <w:tcW w:w="237" w:type="pct"/>
          </w:tcPr>
          <w:p w:rsidR="00023F48" w:rsidRPr="005F120D" w:rsidRDefault="00AA6EEE"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2.6</w:t>
            </w:r>
          </w:p>
        </w:tc>
        <w:tc>
          <w:tcPr>
            <w:tcW w:w="770" w:type="pct"/>
          </w:tcPr>
          <w:p w:rsidR="00023F48" w:rsidRPr="005F120D" w:rsidRDefault="00AA6EEE"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Other maintenance</w:t>
            </w:r>
          </w:p>
        </w:tc>
        <w:tc>
          <w:tcPr>
            <w:tcW w:w="391" w:type="pct"/>
          </w:tcPr>
          <w:p w:rsidR="00023F48" w:rsidRPr="005F120D" w:rsidRDefault="004641D5"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473" w:type="pct"/>
          </w:tcPr>
          <w:p w:rsidR="00023F48" w:rsidRPr="005F120D" w:rsidRDefault="004641D5"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8,018.05</w:t>
            </w:r>
          </w:p>
        </w:tc>
        <w:tc>
          <w:tcPr>
            <w:tcW w:w="511" w:type="pct"/>
          </w:tcPr>
          <w:p w:rsidR="00023F48" w:rsidRPr="005F120D" w:rsidRDefault="004641D5"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523" w:type="pct"/>
          </w:tcPr>
          <w:p w:rsidR="00023F48" w:rsidRPr="005F120D" w:rsidRDefault="004641D5"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4,000</w:t>
            </w:r>
          </w:p>
        </w:tc>
        <w:tc>
          <w:tcPr>
            <w:tcW w:w="522"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474"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572" w:type="pct"/>
          </w:tcPr>
          <w:p w:rsidR="00023F48" w:rsidRPr="005F120D" w:rsidRDefault="00023F48" w:rsidP="00B25E46">
            <w:pPr>
              <w:pStyle w:val="NoSpacing"/>
              <w:jc w:val="right"/>
              <w:cnfStyle w:val="000000010000"/>
              <w:rPr>
                <w:rFonts w:asciiTheme="minorHAnsi" w:hAnsiTheme="minorHAnsi" w:cstheme="minorHAnsi"/>
                <w:color w:val="008000"/>
                <w:sz w:val="18"/>
                <w:szCs w:val="18"/>
              </w:rPr>
            </w:pPr>
          </w:p>
        </w:tc>
        <w:tc>
          <w:tcPr>
            <w:tcW w:w="527" w:type="pct"/>
          </w:tcPr>
          <w:p w:rsidR="00023F48" w:rsidRPr="005F120D" w:rsidRDefault="00023F48" w:rsidP="00B25E46">
            <w:pPr>
              <w:pStyle w:val="NoSpacing"/>
              <w:cnfStyle w:val="000000010000"/>
              <w:rPr>
                <w:rFonts w:asciiTheme="minorHAnsi" w:hAnsiTheme="minorHAnsi" w:cstheme="minorHAnsi"/>
                <w:color w:val="008000"/>
                <w:sz w:val="18"/>
                <w:szCs w:val="18"/>
              </w:rPr>
            </w:pPr>
          </w:p>
        </w:tc>
      </w:tr>
    </w:tbl>
    <w:p w:rsidR="00863B08" w:rsidRPr="005F120D" w:rsidRDefault="0003413C" w:rsidP="00B25E46">
      <w:pPr>
        <w:pStyle w:val="Heading2NONUM"/>
        <w:rPr>
          <w:rFonts w:asciiTheme="minorHAnsi" w:hAnsiTheme="minorHAnsi" w:cstheme="minorHAnsi"/>
          <w:szCs w:val="24"/>
        </w:rPr>
      </w:pPr>
      <w:r w:rsidRPr="005F120D">
        <w:rPr>
          <w:rFonts w:asciiTheme="minorHAnsi" w:hAnsiTheme="minorHAnsi" w:cstheme="minorHAnsi"/>
          <w:szCs w:val="24"/>
        </w:rPr>
        <w:t>E-7</w:t>
      </w:r>
      <w:r w:rsidR="008D0E68" w:rsidRPr="005F120D">
        <w:rPr>
          <w:rFonts w:asciiTheme="minorHAnsi" w:hAnsiTheme="minorHAnsi" w:cstheme="minorHAnsi"/>
          <w:szCs w:val="24"/>
        </w:rPr>
        <w:t xml:space="preserve">:  </w:t>
      </w:r>
      <w:r w:rsidR="00863B08" w:rsidRPr="005F120D">
        <w:rPr>
          <w:rFonts w:asciiTheme="minorHAnsi" w:hAnsiTheme="minorHAnsi" w:cstheme="minorHAnsi"/>
          <w:szCs w:val="24"/>
        </w:rPr>
        <w:t>Summary</w:t>
      </w:r>
      <w:r w:rsidR="008E2EEB" w:rsidRPr="005F120D">
        <w:rPr>
          <w:rFonts w:asciiTheme="minorHAnsi" w:hAnsiTheme="minorHAnsi" w:cstheme="minorHAnsi"/>
          <w:szCs w:val="24"/>
        </w:rPr>
        <w:t xml:space="preserve"> Descrip</w:t>
      </w:r>
      <w:r w:rsidR="008D0E68" w:rsidRPr="005F120D">
        <w:rPr>
          <w:rFonts w:asciiTheme="minorHAnsi" w:hAnsiTheme="minorHAnsi" w:cstheme="minorHAnsi"/>
          <w:szCs w:val="24"/>
        </w:rPr>
        <w:t>tion of Construction, Repair &amp;</w:t>
      </w:r>
      <w:r w:rsidR="008E2EEB" w:rsidRPr="005F120D">
        <w:rPr>
          <w:rFonts w:asciiTheme="minorHAnsi" w:hAnsiTheme="minorHAnsi" w:cstheme="minorHAnsi"/>
          <w:szCs w:val="24"/>
        </w:rPr>
        <w:t xml:space="preserve"> </w:t>
      </w:r>
      <w:r w:rsidR="00A61F5E" w:rsidRPr="005F120D">
        <w:rPr>
          <w:rFonts w:asciiTheme="minorHAnsi" w:hAnsiTheme="minorHAnsi" w:cstheme="minorHAnsi"/>
          <w:szCs w:val="24"/>
        </w:rPr>
        <w:t>Expansion in</w:t>
      </w:r>
      <w:r w:rsidR="00863B08" w:rsidRPr="005F120D">
        <w:rPr>
          <w:rFonts w:asciiTheme="minorHAnsi" w:hAnsiTheme="minorHAnsi" w:cstheme="minorHAnsi"/>
          <w:szCs w:val="24"/>
        </w:rPr>
        <w:t xml:space="preserve"> PEDP3</w:t>
      </w:r>
      <w:r w:rsidR="008D0E68" w:rsidRPr="005F120D">
        <w:rPr>
          <w:rFonts w:asciiTheme="minorHAnsi" w:hAnsiTheme="minorHAnsi" w:cstheme="minorHAnsi"/>
          <w:szCs w:val="24"/>
        </w:rPr>
        <w:t xml:space="preserve"> as of March 2016</w:t>
      </w:r>
    </w:p>
    <w:tbl>
      <w:tblPr>
        <w:tblStyle w:val="LightGrid-Accent6"/>
        <w:tblW w:w="5000" w:type="pct"/>
        <w:tblLook w:val="04A0"/>
      </w:tblPr>
      <w:tblGrid>
        <w:gridCol w:w="447"/>
        <w:gridCol w:w="1652"/>
        <w:gridCol w:w="739"/>
        <w:gridCol w:w="889"/>
        <w:gridCol w:w="1024"/>
        <w:gridCol w:w="854"/>
        <w:gridCol w:w="1039"/>
        <w:gridCol w:w="819"/>
        <w:gridCol w:w="844"/>
        <w:gridCol w:w="938"/>
      </w:tblGrid>
      <w:tr w:rsidR="000F1B2E" w:rsidRPr="005F120D" w:rsidTr="00B25E46">
        <w:trPr>
          <w:cnfStyle w:val="100000000000"/>
        </w:trPr>
        <w:tc>
          <w:tcPr>
            <w:cnfStyle w:val="001000000000"/>
            <w:tcW w:w="236" w:type="pct"/>
            <w:vMerge w:val="restart"/>
          </w:tcPr>
          <w:p w:rsidR="009C6C22" w:rsidRPr="005F120D" w:rsidRDefault="009C6C22" w:rsidP="00B25E46">
            <w:pPr>
              <w:pStyle w:val="NoSpacing"/>
              <w:jc w:val="center"/>
              <w:rPr>
                <w:rFonts w:asciiTheme="minorHAnsi" w:hAnsiTheme="minorHAnsi" w:cstheme="minorHAnsi"/>
                <w:b w:val="0"/>
                <w:sz w:val="16"/>
                <w:szCs w:val="16"/>
              </w:rPr>
            </w:pPr>
            <w:r w:rsidRPr="005F120D">
              <w:rPr>
                <w:rFonts w:asciiTheme="minorHAnsi" w:hAnsiTheme="minorHAnsi" w:cstheme="minorHAnsi"/>
                <w:b w:val="0"/>
                <w:sz w:val="16"/>
                <w:szCs w:val="16"/>
              </w:rPr>
              <w:t>SL. No.</w:t>
            </w:r>
          </w:p>
        </w:tc>
        <w:tc>
          <w:tcPr>
            <w:tcW w:w="898" w:type="pct"/>
            <w:vMerge w:val="restart"/>
          </w:tcPr>
          <w:p w:rsidR="009C6C22" w:rsidRPr="005F120D" w:rsidRDefault="009C6C22"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Activities</w:t>
            </w:r>
          </w:p>
        </w:tc>
        <w:tc>
          <w:tcPr>
            <w:tcW w:w="889" w:type="pct"/>
            <w:gridSpan w:val="2"/>
          </w:tcPr>
          <w:p w:rsidR="009C6C22" w:rsidRPr="005F120D" w:rsidRDefault="009C6C22"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Original as DPP</w:t>
            </w:r>
          </w:p>
        </w:tc>
        <w:tc>
          <w:tcPr>
            <w:tcW w:w="1008" w:type="pct"/>
            <w:gridSpan w:val="2"/>
          </w:tcPr>
          <w:p w:rsidR="009C6C22" w:rsidRPr="005F120D" w:rsidRDefault="009C6C22"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Revised as RDPP</w:t>
            </w:r>
          </w:p>
        </w:tc>
        <w:tc>
          <w:tcPr>
            <w:tcW w:w="566" w:type="pct"/>
          </w:tcPr>
          <w:p w:rsidR="009C6C22" w:rsidRPr="005F120D" w:rsidRDefault="000F1B2E"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Contracted</w:t>
            </w:r>
          </w:p>
        </w:tc>
        <w:tc>
          <w:tcPr>
            <w:tcW w:w="892" w:type="pct"/>
            <w:gridSpan w:val="2"/>
          </w:tcPr>
          <w:p w:rsidR="009C6C22" w:rsidRPr="005F120D" w:rsidRDefault="009C6C22" w:rsidP="00B25E46">
            <w:pPr>
              <w:pStyle w:val="NoSpacing"/>
              <w:jc w:val="center"/>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Cumulative Achievement as of March 2</w:t>
            </w:r>
            <w:r w:rsidR="002A65FD" w:rsidRPr="005F120D">
              <w:rPr>
                <w:rFonts w:asciiTheme="minorHAnsi" w:hAnsiTheme="minorHAnsi" w:cstheme="minorHAnsi"/>
                <w:b w:val="0"/>
                <w:sz w:val="16"/>
                <w:szCs w:val="16"/>
              </w:rPr>
              <w:t>016</w:t>
            </w:r>
          </w:p>
        </w:tc>
        <w:tc>
          <w:tcPr>
            <w:tcW w:w="511" w:type="pct"/>
            <w:vMerge w:val="restart"/>
          </w:tcPr>
          <w:p w:rsidR="009C6C22" w:rsidRPr="005F120D" w:rsidRDefault="009C6C22" w:rsidP="00B25E46">
            <w:pPr>
              <w:pStyle w:val="NoSpacing"/>
              <w:cnfStyle w:val="100000000000"/>
              <w:rPr>
                <w:rFonts w:asciiTheme="minorHAnsi" w:hAnsiTheme="minorHAnsi" w:cstheme="minorHAnsi"/>
                <w:b w:val="0"/>
                <w:sz w:val="16"/>
                <w:szCs w:val="16"/>
              </w:rPr>
            </w:pPr>
            <w:r w:rsidRPr="005F120D">
              <w:rPr>
                <w:rFonts w:asciiTheme="minorHAnsi" w:hAnsiTheme="minorHAnsi" w:cstheme="minorHAnsi"/>
                <w:b w:val="0"/>
                <w:sz w:val="16"/>
                <w:szCs w:val="16"/>
              </w:rPr>
              <w:t>Remarks</w:t>
            </w:r>
          </w:p>
        </w:tc>
      </w:tr>
      <w:tr w:rsidR="000F1B2E" w:rsidRPr="005F120D" w:rsidTr="00B25E46">
        <w:trPr>
          <w:cnfStyle w:val="000000100000"/>
        </w:trPr>
        <w:tc>
          <w:tcPr>
            <w:cnfStyle w:val="001000000000"/>
            <w:tcW w:w="236" w:type="pct"/>
            <w:vMerge/>
          </w:tcPr>
          <w:p w:rsidR="009C6C22" w:rsidRPr="005F120D" w:rsidRDefault="009C6C22" w:rsidP="00B25E46">
            <w:pPr>
              <w:pStyle w:val="NoSpacing"/>
              <w:jc w:val="center"/>
              <w:rPr>
                <w:rFonts w:asciiTheme="minorHAnsi" w:hAnsiTheme="minorHAnsi" w:cstheme="minorHAnsi"/>
                <w:b w:val="0"/>
                <w:sz w:val="18"/>
                <w:szCs w:val="18"/>
              </w:rPr>
            </w:pPr>
          </w:p>
        </w:tc>
        <w:tc>
          <w:tcPr>
            <w:tcW w:w="898" w:type="pct"/>
            <w:vMerge/>
          </w:tcPr>
          <w:p w:rsidR="009C6C22" w:rsidRPr="005F120D" w:rsidRDefault="009C6C22" w:rsidP="00B25E46">
            <w:pPr>
              <w:pStyle w:val="NoSpacing"/>
              <w:jc w:val="center"/>
              <w:cnfStyle w:val="000000100000"/>
              <w:rPr>
                <w:rFonts w:asciiTheme="minorHAnsi" w:hAnsiTheme="minorHAnsi" w:cstheme="minorHAnsi"/>
                <w:b/>
                <w:sz w:val="18"/>
                <w:szCs w:val="18"/>
              </w:rPr>
            </w:pPr>
          </w:p>
        </w:tc>
        <w:tc>
          <w:tcPr>
            <w:tcW w:w="404" w:type="pct"/>
          </w:tcPr>
          <w:p w:rsidR="009C6C22" w:rsidRPr="005F120D" w:rsidRDefault="009C6C22"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Qty.</w:t>
            </w:r>
          </w:p>
        </w:tc>
        <w:tc>
          <w:tcPr>
            <w:tcW w:w="485" w:type="pct"/>
          </w:tcPr>
          <w:p w:rsidR="009C6C22" w:rsidRPr="005F120D" w:rsidRDefault="009C6C22" w:rsidP="00B25E46">
            <w:pPr>
              <w:pStyle w:val="NoSpacing"/>
              <w:jc w:val="center"/>
              <w:cnfStyle w:val="000000100000"/>
              <w:rPr>
                <w:rFonts w:asciiTheme="minorHAnsi" w:hAnsiTheme="minorHAnsi" w:cstheme="minorHAnsi"/>
                <w:b/>
                <w:sz w:val="16"/>
                <w:szCs w:val="16"/>
              </w:rPr>
            </w:pPr>
            <w:r w:rsidRPr="005F120D">
              <w:rPr>
                <w:rFonts w:asciiTheme="minorHAnsi" w:hAnsiTheme="minorHAnsi" w:cstheme="minorHAnsi"/>
                <w:b/>
                <w:sz w:val="16"/>
                <w:szCs w:val="16"/>
              </w:rPr>
              <w:t xml:space="preserve">Cost in </w:t>
            </w:r>
            <w:r w:rsidR="00F738CE" w:rsidRPr="005F120D">
              <w:rPr>
                <w:rFonts w:asciiTheme="minorHAnsi" w:hAnsiTheme="minorHAnsi" w:cstheme="minorHAnsi"/>
                <w:b/>
                <w:sz w:val="16"/>
                <w:szCs w:val="16"/>
              </w:rPr>
              <w:t>Lac</w:t>
            </w:r>
            <w:r w:rsidRPr="005F120D">
              <w:rPr>
                <w:rFonts w:asciiTheme="minorHAnsi" w:hAnsiTheme="minorHAnsi" w:cstheme="minorHAnsi"/>
                <w:b/>
                <w:sz w:val="16"/>
                <w:szCs w:val="16"/>
              </w:rPr>
              <w:t xml:space="preserve"> Taka</w:t>
            </w:r>
          </w:p>
        </w:tc>
        <w:tc>
          <w:tcPr>
            <w:tcW w:w="558" w:type="pct"/>
          </w:tcPr>
          <w:p w:rsidR="009C6C22" w:rsidRPr="005F120D" w:rsidRDefault="009C6C22"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 xml:space="preserve">  Qty.</w:t>
            </w:r>
          </w:p>
        </w:tc>
        <w:tc>
          <w:tcPr>
            <w:tcW w:w="450" w:type="pct"/>
          </w:tcPr>
          <w:p w:rsidR="009C6C22" w:rsidRPr="005F120D" w:rsidRDefault="009C6C22"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Cost</w:t>
            </w:r>
          </w:p>
        </w:tc>
        <w:tc>
          <w:tcPr>
            <w:tcW w:w="566" w:type="pct"/>
          </w:tcPr>
          <w:p w:rsidR="009C6C22" w:rsidRPr="005F120D" w:rsidRDefault="007D1744"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6"/>
                <w:szCs w:val="16"/>
              </w:rPr>
              <w:t>F/Y 2015/16</w:t>
            </w:r>
          </w:p>
        </w:tc>
        <w:tc>
          <w:tcPr>
            <w:tcW w:w="432" w:type="pct"/>
          </w:tcPr>
          <w:p w:rsidR="009C6C22" w:rsidRPr="005F120D" w:rsidRDefault="009C6C22"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Physical</w:t>
            </w:r>
          </w:p>
        </w:tc>
        <w:tc>
          <w:tcPr>
            <w:tcW w:w="460" w:type="pct"/>
          </w:tcPr>
          <w:p w:rsidR="009C6C22" w:rsidRPr="005F120D" w:rsidRDefault="009C6C22" w:rsidP="00B25E46">
            <w:pPr>
              <w:pStyle w:val="NoSpacing"/>
              <w:jc w:val="center"/>
              <w:cnfStyle w:val="000000100000"/>
              <w:rPr>
                <w:rFonts w:asciiTheme="minorHAnsi" w:hAnsiTheme="minorHAnsi" w:cstheme="minorHAnsi"/>
                <w:b/>
                <w:sz w:val="18"/>
                <w:szCs w:val="18"/>
              </w:rPr>
            </w:pPr>
            <w:r w:rsidRPr="005F120D">
              <w:rPr>
                <w:rFonts w:asciiTheme="minorHAnsi" w:hAnsiTheme="minorHAnsi" w:cstheme="minorHAnsi"/>
                <w:b/>
                <w:sz w:val="18"/>
                <w:szCs w:val="18"/>
              </w:rPr>
              <w:t xml:space="preserve">Expend. </w:t>
            </w:r>
          </w:p>
        </w:tc>
        <w:tc>
          <w:tcPr>
            <w:tcW w:w="511" w:type="pct"/>
            <w:vMerge/>
          </w:tcPr>
          <w:p w:rsidR="009C6C22" w:rsidRPr="005F120D" w:rsidRDefault="009C6C22" w:rsidP="00B25E46">
            <w:pPr>
              <w:pStyle w:val="NoSpacing"/>
              <w:cnfStyle w:val="000000100000"/>
              <w:rPr>
                <w:rFonts w:asciiTheme="minorHAnsi" w:hAnsiTheme="minorHAnsi" w:cstheme="minorHAnsi"/>
                <w:b/>
                <w:sz w:val="18"/>
                <w:szCs w:val="18"/>
              </w:rPr>
            </w:pPr>
          </w:p>
        </w:tc>
      </w:tr>
      <w:tr w:rsidR="000F1B2E" w:rsidRPr="005F120D" w:rsidTr="00B25E46">
        <w:trPr>
          <w:cnfStyle w:val="000000010000"/>
          <w:trHeight w:val="133"/>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w:t>
            </w:r>
          </w:p>
        </w:tc>
        <w:tc>
          <w:tcPr>
            <w:tcW w:w="1787" w:type="pct"/>
            <w:gridSpan w:val="3"/>
          </w:tcPr>
          <w:p w:rsidR="009C6C22" w:rsidRPr="005F120D" w:rsidRDefault="009C6C22"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Construction, Repair and Expansion</w:t>
            </w:r>
          </w:p>
        </w:tc>
        <w:tc>
          <w:tcPr>
            <w:tcW w:w="558" w:type="pct"/>
          </w:tcPr>
          <w:p w:rsidR="009C6C22" w:rsidRPr="005F120D" w:rsidRDefault="009C6C22" w:rsidP="00B25E46">
            <w:pPr>
              <w:pStyle w:val="NoSpacing"/>
              <w:jc w:val="right"/>
              <w:cnfStyle w:val="000000010000"/>
              <w:rPr>
                <w:rFonts w:asciiTheme="minorHAnsi" w:hAnsiTheme="minorHAnsi" w:cstheme="minorHAnsi"/>
                <w:sz w:val="18"/>
                <w:szCs w:val="18"/>
              </w:rPr>
            </w:pPr>
          </w:p>
        </w:tc>
        <w:tc>
          <w:tcPr>
            <w:tcW w:w="450" w:type="pct"/>
          </w:tcPr>
          <w:p w:rsidR="009C6C22" w:rsidRPr="005F120D" w:rsidRDefault="009C6C22" w:rsidP="00B25E46">
            <w:pPr>
              <w:pStyle w:val="NoSpacing"/>
              <w:jc w:val="right"/>
              <w:cnfStyle w:val="000000010000"/>
              <w:rPr>
                <w:rFonts w:asciiTheme="minorHAnsi" w:hAnsiTheme="minorHAnsi" w:cstheme="minorHAnsi"/>
                <w:sz w:val="18"/>
                <w:szCs w:val="18"/>
              </w:rPr>
            </w:pPr>
          </w:p>
        </w:tc>
        <w:tc>
          <w:tcPr>
            <w:tcW w:w="566" w:type="pct"/>
          </w:tcPr>
          <w:p w:rsidR="009C6C22" w:rsidRPr="005F120D" w:rsidRDefault="009C6C22" w:rsidP="00B25E46">
            <w:pPr>
              <w:pStyle w:val="NoSpacing"/>
              <w:jc w:val="right"/>
              <w:cnfStyle w:val="000000010000"/>
              <w:rPr>
                <w:rFonts w:asciiTheme="minorHAnsi" w:hAnsiTheme="minorHAnsi" w:cstheme="minorHAnsi"/>
                <w:color w:val="008000"/>
                <w:sz w:val="18"/>
                <w:szCs w:val="18"/>
              </w:rPr>
            </w:pPr>
          </w:p>
        </w:tc>
        <w:tc>
          <w:tcPr>
            <w:tcW w:w="432" w:type="pct"/>
          </w:tcPr>
          <w:p w:rsidR="009C6C22" w:rsidRPr="005F120D" w:rsidRDefault="009C6C22" w:rsidP="00B25E46">
            <w:pPr>
              <w:pStyle w:val="NoSpacing"/>
              <w:jc w:val="right"/>
              <w:cnfStyle w:val="000000010000"/>
              <w:rPr>
                <w:rFonts w:asciiTheme="minorHAnsi" w:hAnsiTheme="minorHAnsi" w:cstheme="minorHAnsi"/>
                <w:color w:val="008000"/>
                <w:sz w:val="18"/>
                <w:szCs w:val="18"/>
              </w:rPr>
            </w:pPr>
          </w:p>
        </w:tc>
        <w:tc>
          <w:tcPr>
            <w:tcW w:w="460" w:type="pct"/>
          </w:tcPr>
          <w:p w:rsidR="009C6C22" w:rsidRPr="005F120D" w:rsidRDefault="009C6C22" w:rsidP="00B25E46">
            <w:pPr>
              <w:pStyle w:val="NoSpacing"/>
              <w:jc w:val="right"/>
              <w:cnfStyle w:val="000000010000"/>
              <w:rPr>
                <w:rFonts w:asciiTheme="minorHAnsi" w:hAnsiTheme="minorHAnsi" w:cstheme="minorHAnsi"/>
                <w:color w:val="008000"/>
                <w:sz w:val="18"/>
                <w:szCs w:val="18"/>
              </w:rPr>
            </w:pPr>
          </w:p>
        </w:tc>
        <w:tc>
          <w:tcPr>
            <w:tcW w:w="511" w:type="pct"/>
          </w:tcPr>
          <w:p w:rsidR="009C6C22" w:rsidRPr="005F120D" w:rsidRDefault="009C6C22" w:rsidP="00B25E46">
            <w:pPr>
              <w:pStyle w:val="NoSpacing"/>
              <w:cnfStyle w:val="000000010000"/>
              <w:rPr>
                <w:rFonts w:asciiTheme="minorHAnsi" w:hAnsiTheme="minorHAnsi" w:cstheme="minorHAnsi"/>
                <w:color w:val="008000"/>
                <w:sz w:val="18"/>
                <w:szCs w:val="18"/>
              </w:rPr>
            </w:pPr>
          </w:p>
        </w:tc>
      </w:tr>
      <w:tr w:rsidR="000F1B2E" w:rsidRPr="005F120D" w:rsidTr="00B25E46">
        <w:trPr>
          <w:cnfStyle w:val="00000010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1.1</w:t>
            </w:r>
          </w:p>
        </w:tc>
        <w:tc>
          <w:tcPr>
            <w:tcW w:w="898" w:type="pct"/>
          </w:tcPr>
          <w:p w:rsidR="009C6C22" w:rsidRPr="005F120D" w:rsidRDefault="009C6C22"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DPE HQ</w:t>
            </w:r>
          </w:p>
        </w:tc>
        <w:tc>
          <w:tcPr>
            <w:tcW w:w="404" w:type="pct"/>
          </w:tcPr>
          <w:p w:rsidR="009C6C22" w:rsidRPr="005F120D" w:rsidRDefault="009C6C22"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w:t>
            </w:r>
          </w:p>
        </w:tc>
        <w:tc>
          <w:tcPr>
            <w:tcW w:w="485"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4,500</w:t>
            </w:r>
          </w:p>
        </w:tc>
        <w:tc>
          <w:tcPr>
            <w:tcW w:w="558" w:type="pct"/>
          </w:tcPr>
          <w:p w:rsidR="009C6C22" w:rsidRPr="005F120D" w:rsidRDefault="009C6C22"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w:t>
            </w:r>
          </w:p>
        </w:tc>
        <w:tc>
          <w:tcPr>
            <w:tcW w:w="450"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5,570</w:t>
            </w:r>
          </w:p>
        </w:tc>
        <w:tc>
          <w:tcPr>
            <w:tcW w:w="566" w:type="pct"/>
          </w:tcPr>
          <w:p w:rsidR="009C6C22" w:rsidRPr="005F120D" w:rsidRDefault="00086FE0"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4</w:t>
            </w:r>
          </w:p>
        </w:tc>
        <w:tc>
          <w:tcPr>
            <w:tcW w:w="432" w:type="pct"/>
          </w:tcPr>
          <w:p w:rsidR="009C6C22" w:rsidRPr="005F120D" w:rsidRDefault="000F1B2E"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3</w:t>
            </w:r>
          </w:p>
        </w:tc>
        <w:tc>
          <w:tcPr>
            <w:tcW w:w="460" w:type="pct"/>
          </w:tcPr>
          <w:p w:rsidR="009C6C22" w:rsidRPr="005F120D" w:rsidRDefault="000F1B2E"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1.45</w:t>
            </w:r>
          </w:p>
        </w:tc>
        <w:tc>
          <w:tcPr>
            <w:tcW w:w="511" w:type="pct"/>
          </w:tcPr>
          <w:p w:rsidR="009C6C22" w:rsidRPr="005F120D" w:rsidRDefault="000F1B2E"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4</w:t>
            </w:r>
          </w:p>
        </w:tc>
      </w:tr>
      <w:tr w:rsidR="000F1B2E" w:rsidRPr="005F120D" w:rsidTr="00B25E46">
        <w:trPr>
          <w:cnfStyle w:val="00000001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1.2</w:t>
            </w:r>
          </w:p>
        </w:tc>
        <w:tc>
          <w:tcPr>
            <w:tcW w:w="898" w:type="pct"/>
          </w:tcPr>
          <w:p w:rsidR="009C6C22" w:rsidRPr="005F120D" w:rsidRDefault="009C6C22"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DD office</w:t>
            </w:r>
          </w:p>
        </w:tc>
        <w:tc>
          <w:tcPr>
            <w:tcW w:w="404" w:type="pct"/>
          </w:tcPr>
          <w:p w:rsidR="009C6C22" w:rsidRPr="005F120D" w:rsidRDefault="009C6C22" w:rsidP="00B25E46">
            <w:pPr>
              <w:pStyle w:val="NoSpacing"/>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7</w:t>
            </w:r>
          </w:p>
        </w:tc>
        <w:tc>
          <w:tcPr>
            <w:tcW w:w="485" w:type="pct"/>
          </w:tcPr>
          <w:p w:rsidR="009C6C22" w:rsidRPr="005F120D" w:rsidRDefault="009C6C2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280</w:t>
            </w:r>
          </w:p>
        </w:tc>
        <w:tc>
          <w:tcPr>
            <w:tcW w:w="558" w:type="pct"/>
          </w:tcPr>
          <w:p w:rsidR="009C6C22" w:rsidRPr="005F120D" w:rsidRDefault="009C6C22" w:rsidP="00B25E46">
            <w:pPr>
              <w:pStyle w:val="NoSpacing"/>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7</w:t>
            </w:r>
          </w:p>
        </w:tc>
        <w:tc>
          <w:tcPr>
            <w:tcW w:w="450" w:type="pct"/>
          </w:tcPr>
          <w:p w:rsidR="009C6C22" w:rsidRPr="005F120D" w:rsidRDefault="009C6C2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1,700</w:t>
            </w:r>
          </w:p>
        </w:tc>
        <w:tc>
          <w:tcPr>
            <w:tcW w:w="566" w:type="pct"/>
          </w:tcPr>
          <w:p w:rsidR="009C6C22" w:rsidRPr="005F120D" w:rsidRDefault="00086FE0"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3</w:t>
            </w:r>
          </w:p>
        </w:tc>
        <w:tc>
          <w:tcPr>
            <w:tcW w:w="432" w:type="pct"/>
          </w:tcPr>
          <w:p w:rsidR="009C6C22" w:rsidRPr="005F120D" w:rsidRDefault="000F1B2E"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2</w:t>
            </w:r>
          </w:p>
        </w:tc>
        <w:tc>
          <w:tcPr>
            <w:tcW w:w="460" w:type="pct"/>
          </w:tcPr>
          <w:p w:rsidR="009C6C22" w:rsidRPr="005F120D" w:rsidRDefault="000F1B2E" w:rsidP="00B25E46">
            <w:pPr>
              <w:pStyle w:val="NoSpacing"/>
              <w:jc w:val="right"/>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3.93</w:t>
            </w:r>
          </w:p>
        </w:tc>
        <w:tc>
          <w:tcPr>
            <w:tcW w:w="511" w:type="pct"/>
          </w:tcPr>
          <w:p w:rsidR="009C6C22" w:rsidRPr="005F120D" w:rsidRDefault="000F1B2E"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3</w:t>
            </w:r>
          </w:p>
        </w:tc>
      </w:tr>
      <w:tr w:rsidR="000F1B2E" w:rsidRPr="005F120D" w:rsidTr="00B25E46">
        <w:trPr>
          <w:cnfStyle w:val="00000010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1.3</w:t>
            </w:r>
          </w:p>
        </w:tc>
        <w:tc>
          <w:tcPr>
            <w:tcW w:w="898" w:type="pct"/>
          </w:tcPr>
          <w:p w:rsidR="009C6C22" w:rsidRPr="005F120D" w:rsidRDefault="009C6C22"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DPEO office</w:t>
            </w:r>
          </w:p>
        </w:tc>
        <w:tc>
          <w:tcPr>
            <w:tcW w:w="404" w:type="pct"/>
          </w:tcPr>
          <w:p w:rsidR="009C6C22" w:rsidRPr="005F120D" w:rsidRDefault="009C6C22"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64</w:t>
            </w:r>
          </w:p>
        </w:tc>
        <w:tc>
          <w:tcPr>
            <w:tcW w:w="485"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1,600</w:t>
            </w:r>
          </w:p>
        </w:tc>
        <w:tc>
          <w:tcPr>
            <w:tcW w:w="558" w:type="pct"/>
          </w:tcPr>
          <w:p w:rsidR="009C6C22" w:rsidRPr="005F120D" w:rsidRDefault="009C6C22"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64</w:t>
            </w:r>
          </w:p>
        </w:tc>
        <w:tc>
          <w:tcPr>
            <w:tcW w:w="450"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1,940</w:t>
            </w:r>
          </w:p>
        </w:tc>
        <w:tc>
          <w:tcPr>
            <w:tcW w:w="566" w:type="pct"/>
          </w:tcPr>
          <w:p w:rsidR="009C6C22" w:rsidRPr="005F120D" w:rsidRDefault="00086FE0"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51</w:t>
            </w:r>
          </w:p>
        </w:tc>
        <w:tc>
          <w:tcPr>
            <w:tcW w:w="432" w:type="pct"/>
          </w:tcPr>
          <w:p w:rsidR="009C6C22" w:rsidRPr="005F120D" w:rsidRDefault="009E2904"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43</w:t>
            </w:r>
          </w:p>
        </w:tc>
        <w:tc>
          <w:tcPr>
            <w:tcW w:w="460" w:type="pct"/>
          </w:tcPr>
          <w:p w:rsidR="009C6C22" w:rsidRPr="005F120D" w:rsidRDefault="009E2904"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8.25</w:t>
            </w:r>
          </w:p>
        </w:tc>
        <w:tc>
          <w:tcPr>
            <w:tcW w:w="511" w:type="pct"/>
          </w:tcPr>
          <w:p w:rsidR="009C6C22" w:rsidRPr="005F120D" w:rsidRDefault="009E2904"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56</w:t>
            </w:r>
          </w:p>
        </w:tc>
      </w:tr>
      <w:tr w:rsidR="000F1B2E" w:rsidRPr="005F120D" w:rsidTr="00B25E46">
        <w:trPr>
          <w:cnfStyle w:val="00000001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1.4</w:t>
            </w:r>
          </w:p>
        </w:tc>
        <w:tc>
          <w:tcPr>
            <w:tcW w:w="898" w:type="pct"/>
          </w:tcPr>
          <w:p w:rsidR="009C6C22" w:rsidRPr="005F120D" w:rsidRDefault="009C6C22"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Leadership centre in Cox’s Bazar</w:t>
            </w:r>
          </w:p>
        </w:tc>
        <w:tc>
          <w:tcPr>
            <w:tcW w:w="404" w:type="pct"/>
          </w:tcPr>
          <w:p w:rsidR="009C6C22" w:rsidRPr="005F120D" w:rsidRDefault="009C6C22" w:rsidP="00B25E46">
            <w:pPr>
              <w:pStyle w:val="NoSpacing"/>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1</w:t>
            </w:r>
          </w:p>
        </w:tc>
        <w:tc>
          <w:tcPr>
            <w:tcW w:w="485" w:type="pct"/>
          </w:tcPr>
          <w:p w:rsidR="009C6C22" w:rsidRPr="005F120D" w:rsidRDefault="009C6C2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1,100</w:t>
            </w:r>
          </w:p>
        </w:tc>
        <w:tc>
          <w:tcPr>
            <w:tcW w:w="558" w:type="pct"/>
          </w:tcPr>
          <w:p w:rsidR="009C6C22" w:rsidRPr="005F120D" w:rsidRDefault="009C6C22" w:rsidP="00B25E46">
            <w:pPr>
              <w:pStyle w:val="NoSpacing"/>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1</w:t>
            </w:r>
          </w:p>
        </w:tc>
        <w:tc>
          <w:tcPr>
            <w:tcW w:w="450" w:type="pct"/>
          </w:tcPr>
          <w:p w:rsidR="009C6C22" w:rsidRPr="005F120D" w:rsidRDefault="009C6C2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1,200</w:t>
            </w:r>
          </w:p>
        </w:tc>
        <w:tc>
          <w:tcPr>
            <w:tcW w:w="566" w:type="pct"/>
          </w:tcPr>
          <w:p w:rsidR="009C6C22" w:rsidRPr="005F120D" w:rsidRDefault="009C6C22" w:rsidP="00B25E46">
            <w:pPr>
              <w:pStyle w:val="NoSpacing"/>
              <w:jc w:val="center"/>
              <w:cnfStyle w:val="000000010000"/>
              <w:rPr>
                <w:rFonts w:asciiTheme="minorHAnsi" w:hAnsiTheme="minorHAnsi" w:cstheme="minorHAnsi"/>
                <w:color w:val="008000"/>
                <w:sz w:val="18"/>
                <w:szCs w:val="18"/>
              </w:rPr>
            </w:pPr>
          </w:p>
        </w:tc>
        <w:tc>
          <w:tcPr>
            <w:tcW w:w="432" w:type="pct"/>
          </w:tcPr>
          <w:p w:rsidR="009C6C22" w:rsidRPr="005F120D" w:rsidRDefault="009C6C22" w:rsidP="00B25E46">
            <w:pPr>
              <w:pStyle w:val="NoSpacing"/>
              <w:jc w:val="center"/>
              <w:cnfStyle w:val="000000010000"/>
              <w:rPr>
                <w:rFonts w:asciiTheme="minorHAnsi" w:hAnsiTheme="minorHAnsi" w:cstheme="minorHAnsi"/>
                <w:color w:val="008000"/>
                <w:sz w:val="18"/>
                <w:szCs w:val="18"/>
              </w:rPr>
            </w:pPr>
          </w:p>
        </w:tc>
        <w:tc>
          <w:tcPr>
            <w:tcW w:w="460" w:type="pct"/>
          </w:tcPr>
          <w:p w:rsidR="009C6C22" w:rsidRPr="005F120D" w:rsidRDefault="009C6C22" w:rsidP="00B25E46">
            <w:pPr>
              <w:pStyle w:val="NoSpacing"/>
              <w:jc w:val="right"/>
              <w:cnfStyle w:val="000000010000"/>
              <w:rPr>
                <w:rFonts w:asciiTheme="minorHAnsi" w:hAnsiTheme="minorHAnsi" w:cstheme="minorHAnsi"/>
                <w:color w:val="008000"/>
                <w:sz w:val="18"/>
                <w:szCs w:val="18"/>
              </w:rPr>
            </w:pPr>
          </w:p>
        </w:tc>
        <w:tc>
          <w:tcPr>
            <w:tcW w:w="511" w:type="pct"/>
          </w:tcPr>
          <w:p w:rsidR="009C6C22" w:rsidRPr="005F120D" w:rsidRDefault="009C6C22" w:rsidP="00B25E46">
            <w:pPr>
              <w:pStyle w:val="NoSpacing"/>
              <w:jc w:val="center"/>
              <w:cnfStyle w:val="000000010000"/>
              <w:rPr>
                <w:rFonts w:asciiTheme="minorHAnsi" w:hAnsiTheme="minorHAnsi" w:cstheme="minorHAnsi"/>
                <w:color w:val="008000"/>
                <w:sz w:val="18"/>
                <w:szCs w:val="18"/>
              </w:rPr>
            </w:pPr>
          </w:p>
        </w:tc>
      </w:tr>
      <w:tr w:rsidR="000F1B2E" w:rsidRPr="005F120D" w:rsidTr="00B25E46">
        <w:trPr>
          <w:cnfStyle w:val="00000010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w:t>
            </w:r>
          </w:p>
        </w:tc>
        <w:tc>
          <w:tcPr>
            <w:tcW w:w="898" w:type="pct"/>
          </w:tcPr>
          <w:p w:rsidR="009C6C22" w:rsidRPr="005F120D" w:rsidRDefault="009C6C22"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NAPE</w:t>
            </w:r>
          </w:p>
        </w:tc>
        <w:tc>
          <w:tcPr>
            <w:tcW w:w="404" w:type="pct"/>
          </w:tcPr>
          <w:p w:rsidR="009C6C22" w:rsidRPr="005F120D" w:rsidRDefault="009C6C22"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w:t>
            </w:r>
          </w:p>
        </w:tc>
        <w:tc>
          <w:tcPr>
            <w:tcW w:w="485"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2,500</w:t>
            </w:r>
          </w:p>
        </w:tc>
        <w:tc>
          <w:tcPr>
            <w:tcW w:w="558" w:type="pct"/>
          </w:tcPr>
          <w:p w:rsidR="009C6C22" w:rsidRPr="005F120D" w:rsidRDefault="009C6C22"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1</w:t>
            </w:r>
          </w:p>
        </w:tc>
        <w:tc>
          <w:tcPr>
            <w:tcW w:w="450"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1000</w:t>
            </w:r>
          </w:p>
        </w:tc>
        <w:tc>
          <w:tcPr>
            <w:tcW w:w="566" w:type="pct"/>
          </w:tcPr>
          <w:p w:rsidR="009C6C22" w:rsidRPr="005F120D" w:rsidRDefault="009C6C22" w:rsidP="00B25E46">
            <w:pPr>
              <w:pStyle w:val="NoSpacing"/>
              <w:jc w:val="center"/>
              <w:cnfStyle w:val="000000100000"/>
              <w:rPr>
                <w:rFonts w:asciiTheme="minorHAnsi" w:hAnsiTheme="minorHAnsi" w:cstheme="minorHAnsi"/>
                <w:color w:val="008000"/>
                <w:sz w:val="18"/>
                <w:szCs w:val="18"/>
              </w:rPr>
            </w:pPr>
          </w:p>
        </w:tc>
        <w:tc>
          <w:tcPr>
            <w:tcW w:w="432" w:type="pct"/>
          </w:tcPr>
          <w:p w:rsidR="009C6C22" w:rsidRPr="005F120D" w:rsidRDefault="009C6C22" w:rsidP="00B25E46">
            <w:pPr>
              <w:pStyle w:val="NoSpacing"/>
              <w:jc w:val="center"/>
              <w:cnfStyle w:val="000000100000"/>
              <w:rPr>
                <w:rFonts w:asciiTheme="minorHAnsi" w:hAnsiTheme="minorHAnsi" w:cstheme="minorHAnsi"/>
                <w:color w:val="008000"/>
                <w:sz w:val="18"/>
                <w:szCs w:val="18"/>
              </w:rPr>
            </w:pPr>
          </w:p>
        </w:tc>
        <w:tc>
          <w:tcPr>
            <w:tcW w:w="460" w:type="pct"/>
          </w:tcPr>
          <w:p w:rsidR="009C6C22" w:rsidRPr="005F120D" w:rsidRDefault="009C6C22" w:rsidP="00B25E46">
            <w:pPr>
              <w:pStyle w:val="NoSpacing"/>
              <w:jc w:val="right"/>
              <w:cnfStyle w:val="000000100000"/>
              <w:rPr>
                <w:rFonts w:asciiTheme="minorHAnsi" w:hAnsiTheme="minorHAnsi" w:cstheme="minorHAnsi"/>
                <w:color w:val="008000"/>
                <w:sz w:val="18"/>
                <w:szCs w:val="18"/>
              </w:rPr>
            </w:pPr>
          </w:p>
        </w:tc>
        <w:tc>
          <w:tcPr>
            <w:tcW w:w="511" w:type="pct"/>
          </w:tcPr>
          <w:p w:rsidR="009C6C22" w:rsidRPr="005F120D" w:rsidRDefault="009C6C22" w:rsidP="00B25E46">
            <w:pPr>
              <w:pStyle w:val="NoSpacing"/>
              <w:jc w:val="center"/>
              <w:cnfStyle w:val="000000100000"/>
              <w:rPr>
                <w:rFonts w:asciiTheme="minorHAnsi" w:hAnsiTheme="minorHAnsi" w:cstheme="minorHAnsi"/>
                <w:color w:val="008000"/>
                <w:sz w:val="18"/>
                <w:szCs w:val="18"/>
              </w:rPr>
            </w:pPr>
          </w:p>
        </w:tc>
      </w:tr>
      <w:tr w:rsidR="000F1B2E" w:rsidRPr="005F120D" w:rsidTr="00B25E46">
        <w:trPr>
          <w:cnfStyle w:val="00000001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2.1</w:t>
            </w:r>
          </w:p>
        </w:tc>
        <w:tc>
          <w:tcPr>
            <w:tcW w:w="898" w:type="pct"/>
          </w:tcPr>
          <w:p w:rsidR="009C6C22" w:rsidRPr="005F120D" w:rsidRDefault="009C6C22"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PTI</w:t>
            </w:r>
          </w:p>
        </w:tc>
        <w:tc>
          <w:tcPr>
            <w:tcW w:w="404" w:type="pct"/>
          </w:tcPr>
          <w:p w:rsidR="009C6C22" w:rsidRPr="005F120D" w:rsidRDefault="009C6C22" w:rsidP="00B25E46">
            <w:pPr>
              <w:pStyle w:val="NoSpacing"/>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55</w:t>
            </w:r>
          </w:p>
        </w:tc>
        <w:tc>
          <w:tcPr>
            <w:tcW w:w="485" w:type="pct"/>
          </w:tcPr>
          <w:p w:rsidR="009C6C22" w:rsidRPr="005F120D" w:rsidRDefault="009C6C2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2,750</w:t>
            </w:r>
          </w:p>
        </w:tc>
        <w:tc>
          <w:tcPr>
            <w:tcW w:w="558" w:type="pct"/>
          </w:tcPr>
          <w:p w:rsidR="009C6C22" w:rsidRPr="005F120D" w:rsidRDefault="009C6C22" w:rsidP="00B25E46">
            <w:pPr>
              <w:pStyle w:val="NoSpacing"/>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55</w:t>
            </w:r>
          </w:p>
        </w:tc>
        <w:tc>
          <w:tcPr>
            <w:tcW w:w="450" w:type="pct"/>
          </w:tcPr>
          <w:p w:rsidR="009C6C22" w:rsidRPr="005F120D" w:rsidRDefault="009C6C2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18,000</w:t>
            </w:r>
          </w:p>
        </w:tc>
        <w:tc>
          <w:tcPr>
            <w:tcW w:w="566" w:type="pct"/>
          </w:tcPr>
          <w:p w:rsidR="009C6C22" w:rsidRPr="005F120D" w:rsidRDefault="00086FE0"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35</w:t>
            </w:r>
          </w:p>
        </w:tc>
        <w:tc>
          <w:tcPr>
            <w:tcW w:w="432" w:type="pct"/>
          </w:tcPr>
          <w:p w:rsidR="009C6C22" w:rsidRPr="005F120D" w:rsidRDefault="009E2904"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30</w:t>
            </w:r>
          </w:p>
        </w:tc>
        <w:tc>
          <w:tcPr>
            <w:tcW w:w="460" w:type="pct"/>
          </w:tcPr>
          <w:p w:rsidR="009C6C22" w:rsidRPr="005F120D" w:rsidRDefault="009E2904" w:rsidP="00B25E46">
            <w:pPr>
              <w:pStyle w:val="NoSpacing"/>
              <w:jc w:val="right"/>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38.05</w:t>
            </w:r>
          </w:p>
        </w:tc>
        <w:tc>
          <w:tcPr>
            <w:tcW w:w="511" w:type="pct"/>
          </w:tcPr>
          <w:p w:rsidR="009C6C22" w:rsidRPr="005F120D" w:rsidRDefault="009E2904"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38</w:t>
            </w:r>
          </w:p>
        </w:tc>
      </w:tr>
      <w:tr w:rsidR="000F1B2E" w:rsidRPr="005F120D" w:rsidTr="00B25E46">
        <w:trPr>
          <w:cnfStyle w:val="00000010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2.2</w:t>
            </w:r>
          </w:p>
        </w:tc>
        <w:tc>
          <w:tcPr>
            <w:tcW w:w="898" w:type="pct"/>
          </w:tcPr>
          <w:p w:rsidR="009C6C22" w:rsidRPr="005F120D" w:rsidRDefault="009C6C22"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PTI Auditorium</w:t>
            </w:r>
          </w:p>
        </w:tc>
        <w:tc>
          <w:tcPr>
            <w:tcW w:w="404" w:type="pct"/>
          </w:tcPr>
          <w:p w:rsidR="009C6C22" w:rsidRPr="005F120D" w:rsidRDefault="009C6C22"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w:t>
            </w:r>
          </w:p>
        </w:tc>
        <w:tc>
          <w:tcPr>
            <w:tcW w:w="485"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w:t>
            </w:r>
          </w:p>
        </w:tc>
        <w:tc>
          <w:tcPr>
            <w:tcW w:w="558" w:type="pct"/>
          </w:tcPr>
          <w:p w:rsidR="009C6C22" w:rsidRPr="005F120D" w:rsidRDefault="009C6C22" w:rsidP="00B25E46">
            <w:pPr>
              <w:pStyle w:val="NoSpacing"/>
              <w:jc w:val="center"/>
              <w:cnfStyle w:val="000000100000"/>
              <w:rPr>
                <w:rFonts w:asciiTheme="minorHAnsi" w:hAnsiTheme="minorHAnsi" w:cstheme="minorHAnsi"/>
                <w:sz w:val="18"/>
                <w:szCs w:val="18"/>
              </w:rPr>
            </w:pPr>
          </w:p>
        </w:tc>
        <w:tc>
          <w:tcPr>
            <w:tcW w:w="450"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1,500</w:t>
            </w:r>
          </w:p>
        </w:tc>
        <w:tc>
          <w:tcPr>
            <w:tcW w:w="566" w:type="pct"/>
          </w:tcPr>
          <w:p w:rsidR="009C6C22" w:rsidRPr="005F120D" w:rsidRDefault="009C6C22" w:rsidP="00B25E46">
            <w:pPr>
              <w:pStyle w:val="NoSpacing"/>
              <w:jc w:val="center"/>
              <w:cnfStyle w:val="000000100000"/>
              <w:rPr>
                <w:rFonts w:asciiTheme="minorHAnsi" w:hAnsiTheme="minorHAnsi" w:cstheme="minorHAnsi"/>
                <w:color w:val="008000"/>
                <w:sz w:val="18"/>
                <w:szCs w:val="18"/>
              </w:rPr>
            </w:pPr>
          </w:p>
        </w:tc>
        <w:tc>
          <w:tcPr>
            <w:tcW w:w="432" w:type="pct"/>
          </w:tcPr>
          <w:p w:rsidR="009C6C22" w:rsidRPr="005F120D" w:rsidRDefault="009C6C22" w:rsidP="00B25E46">
            <w:pPr>
              <w:pStyle w:val="NoSpacing"/>
              <w:jc w:val="center"/>
              <w:cnfStyle w:val="000000100000"/>
              <w:rPr>
                <w:rFonts w:asciiTheme="minorHAnsi" w:hAnsiTheme="minorHAnsi" w:cstheme="minorHAnsi"/>
                <w:color w:val="008000"/>
                <w:sz w:val="18"/>
                <w:szCs w:val="18"/>
              </w:rPr>
            </w:pPr>
          </w:p>
        </w:tc>
        <w:tc>
          <w:tcPr>
            <w:tcW w:w="460" w:type="pct"/>
          </w:tcPr>
          <w:p w:rsidR="009C6C22" w:rsidRPr="005F120D" w:rsidRDefault="009C6C22" w:rsidP="00B25E46">
            <w:pPr>
              <w:pStyle w:val="NoSpacing"/>
              <w:jc w:val="right"/>
              <w:cnfStyle w:val="000000100000"/>
              <w:rPr>
                <w:rFonts w:asciiTheme="minorHAnsi" w:hAnsiTheme="minorHAnsi" w:cstheme="minorHAnsi"/>
                <w:color w:val="008000"/>
                <w:sz w:val="18"/>
                <w:szCs w:val="18"/>
              </w:rPr>
            </w:pPr>
          </w:p>
        </w:tc>
        <w:tc>
          <w:tcPr>
            <w:tcW w:w="511" w:type="pct"/>
          </w:tcPr>
          <w:p w:rsidR="009C6C22" w:rsidRPr="005F120D" w:rsidRDefault="009C6C22" w:rsidP="00B25E46">
            <w:pPr>
              <w:pStyle w:val="NoSpacing"/>
              <w:jc w:val="center"/>
              <w:cnfStyle w:val="000000100000"/>
              <w:rPr>
                <w:rFonts w:asciiTheme="minorHAnsi" w:hAnsiTheme="minorHAnsi" w:cstheme="minorHAnsi"/>
                <w:color w:val="008000"/>
                <w:sz w:val="18"/>
                <w:szCs w:val="18"/>
              </w:rPr>
            </w:pPr>
          </w:p>
        </w:tc>
      </w:tr>
      <w:tr w:rsidR="000F1B2E" w:rsidRPr="005F120D" w:rsidTr="00B25E46">
        <w:trPr>
          <w:cnfStyle w:val="00000001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2.3</w:t>
            </w:r>
          </w:p>
        </w:tc>
        <w:tc>
          <w:tcPr>
            <w:tcW w:w="898" w:type="pct"/>
          </w:tcPr>
          <w:p w:rsidR="009C6C22" w:rsidRPr="005F120D" w:rsidRDefault="009C6C22"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New URC</w:t>
            </w:r>
          </w:p>
        </w:tc>
        <w:tc>
          <w:tcPr>
            <w:tcW w:w="404" w:type="pct"/>
          </w:tcPr>
          <w:p w:rsidR="009C6C22" w:rsidRPr="005F120D" w:rsidRDefault="009C6C22" w:rsidP="00B25E46">
            <w:pPr>
              <w:pStyle w:val="NoSpacing"/>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30</w:t>
            </w:r>
          </w:p>
        </w:tc>
        <w:tc>
          <w:tcPr>
            <w:tcW w:w="485" w:type="pct"/>
          </w:tcPr>
          <w:p w:rsidR="009C6C22" w:rsidRPr="005F120D" w:rsidRDefault="009C6C2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1,500</w:t>
            </w:r>
          </w:p>
        </w:tc>
        <w:tc>
          <w:tcPr>
            <w:tcW w:w="558" w:type="pct"/>
          </w:tcPr>
          <w:p w:rsidR="009C6C22" w:rsidRPr="005F120D" w:rsidRDefault="009C6C22" w:rsidP="00B25E46">
            <w:pPr>
              <w:pStyle w:val="NoSpacing"/>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25</w:t>
            </w:r>
          </w:p>
        </w:tc>
        <w:tc>
          <w:tcPr>
            <w:tcW w:w="450" w:type="pct"/>
          </w:tcPr>
          <w:p w:rsidR="009C6C22" w:rsidRPr="005F120D" w:rsidRDefault="009C6C2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2,450</w:t>
            </w:r>
          </w:p>
        </w:tc>
        <w:tc>
          <w:tcPr>
            <w:tcW w:w="566" w:type="pct"/>
          </w:tcPr>
          <w:p w:rsidR="009C6C22" w:rsidRPr="005F120D" w:rsidRDefault="009C6C22" w:rsidP="00B25E46">
            <w:pPr>
              <w:pStyle w:val="NoSpacing"/>
              <w:jc w:val="center"/>
              <w:cnfStyle w:val="000000010000"/>
              <w:rPr>
                <w:rFonts w:asciiTheme="minorHAnsi" w:hAnsiTheme="minorHAnsi" w:cstheme="minorHAnsi"/>
                <w:color w:val="008000"/>
                <w:sz w:val="18"/>
                <w:szCs w:val="18"/>
              </w:rPr>
            </w:pPr>
          </w:p>
        </w:tc>
        <w:tc>
          <w:tcPr>
            <w:tcW w:w="432" w:type="pct"/>
          </w:tcPr>
          <w:p w:rsidR="009C6C22" w:rsidRPr="005F120D" w:rsidRDefault="009C6C22" w:rsidP="00B25E46">
            <w:pPr>
              <w:pStyle w:val="NoSpacing"/>
              <w:jc w:val="center"/>
              <w:cnfStyle w:val="000000010000"/>
              <w:rPr>
                <w:rFonts w:asciiTheme="minorHAnsi" w:hAnsiTheme="minorHAnsi" w:cstheme="minorHAnsi"/>
                <w:color w:val="008000"/>
                <w:sz w:val="18"/>
                <w:szCs w:val="18"/>
              </w:rPr>
            </w:pPr>
          </w:p>
        </w:tc>
        <w:tc>
          <w:tcPr>
            <w:tcW w:w="460" w:type="pct"/>
          </w:tcPr>
          <w:p w:rsidR="009C6C22" w:rsidRPr="005F120D" w:rsidRDefault="009C6C22" w:rsidP="00B25E46">
            <w:pPr>
              <w:pStyle w:val="NoSpacing"/>
              <w:jc w:val="right"/>
              <w:cnfStyle w:val="000000010000"/>
              <w:rPr>
                <w:rFonts w:asciiTheme="minorHAnsi" w:hAnsiTheme="minorHAnsi" w:cstheme="minorHAnsi"/>
                <w:color w:val="008000"/>
                <w:sz w:val="18"/>
                <w:szCs w:val="18"/>
              </w:rPr>
            </w:pPr>
          </w:p>
        </w:tc>
        <w:tc>
          <w:tcPr>
            <w:tcW w:w="511" w:type="pct"/>
          </w:tcPr>
          <w:p w:rsidR="009C6C22" w:rsidRPr="005F120D" w:rsidRDefault="009C6C22" w:rsidP="00B25E46">
            <w:pPr>
              <w:pStyle w:val="NoSpacing"/>
              <w:jc w:val="center"/>
              <w:cnfStyle w:val="000000010000"/>
              <w:rPr>
                <w:rFonts w:asciiTheme="minorHAnsi" w:hAnsiTheme="minorHAnsi" w:cstheme="minorHAnsi"/>
                <w:color w:val="008000"/>
                <w:sz w:val="18"/>
                <w:szCs w:val="18"/>
              </w:rPr>
            </w:pPr>
          </w:p>
        </w:tc>
      </w:tr>
      <w:tr w:rsidR="000F1B2E" w:rsidRPr="005F120D" w:rsidTr="00B25E46">
        <w:trPr>
          <w:cnfStyle w:val="00000010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2.4</w:t>
            </w:r>
          </w:p>
        </w:tc>
        <w:tc>
          <w:tcPr>
            <w:tcW w:w="898" w:type="pct"/>
          </w:tcPr>
          <w:p w:rsidR="009C6C22" w:rsidRPr="005F120D" w:rsidRDefault="009C6C22"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URC Repair</w:t>
            </w:r>
          </w:p>
        </w:tc>
        <w:tc>
          <w:tcPr>
            <w:tcW w:w="404" w:type="pct"/>
          </w:tcPr>
          <w:p w:rsidR="009C6C22" w:rsidRPr="005F120D" w:rsidRDefault="009C6C22"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w:t>
            </w:r>
          </w:p>
        </w:tc>
        <w:tc>
          <w:tcPr>
            <w:tcW w:w="485"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w:t>
            </w:r>
          </w:p>
        </w:tc>
        <w:tc>
          <w:tcPr>
            <w:tcW w:w="558" w:type="pct"/>
          </w:tcPr>
          <w:p w:rsidR="009C6C22" w:rsidRPr="005F120D" w:rsidRDefault="009C6C22"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450"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800</w:t>
            </w:r>
          </w:p>
        </w:tc>
        <w:tc>
          <w:tcPr>
            <w:tcW w:w="566" w:type="pct"/>
          </w:tcPr>
          <w:p w:rsidR="009C6C22" w:rsidRPr="005F120D" w:rsidRDefault="000F1B2E"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103</w:t>
            </w:r>
          </w:p>
        </w:tc>
        <w:tc>
          <w:tcPr>
            <w:tcW w:w="432" w:type="pct"/>
          </w:tcPr>
          <w:p w:rsidR="009C6C22" w:rsidRPr="005F120D" w:rsidRDefault="000F1B2E"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102</w:t>
            </w:r>
          </w:p>
        </w:tc>
        <w:tc>
          <w:tcPr>
            <w:tcW w:w="460" w:type="pct"/>
          </w:tcPr>
          <w:p w:rsidR="009C6C22" w:rsidRPr="005F120D" w:rsidRDefault="000F1B2E"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1.62</w:t>
            </w:r>
          </w:p>
        </w:tc>
        <w:tc>
          <w:tcPr>
            <w:tcW w:w="511" w:type="pct"/>
          </w:tcPr>
          <w:p w:rsidR="009C6C22" w:rsidRPr="005F120D" w:rsidRDefault="000F1B2E"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123</w:t>
            </w:r>
          </w:p>
        </w:tc>
      </w:tr>
      <w:tr w:rsidR="000F1B2E" w:rsidRPr="005F120D" w:rsidTr="00B25E46">
        <w:trPr>
          <w:cnfStyle w:val="00000001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2.5</w:t>
            </w:r>
          </w:p>
        </w:tc>
        <w:tc>
          <w:tcPr>
            <w:tcW w:w="898" w:type="pct"/>
          </w:tcPr>
          <w:p w:rsidR="009C6C22" w:rsidRPr="005F120D" w:rsidRDefault="009C6C22" w:rsidP="00B25E46">
            <w:pPr>
              <w:pStyle w:val="NoSpacing"/>
              <w:cnfStyle w:val="000000010000"/>
              <w:rPr>
                <w:rFonts w:asciiTheme="minorHAnsi" w:hAnsiTheme="minorHAnsi" w:cstheme="minorHAnsi"/>
                <w:sz w:val="18"/>
                <w:szCs w:val="18"/>
              </w:rPr>
            </w:pPr>
            <w:r w:rsidRPr="005F120D">
              <w:rPr>
                <w:rFonts w:asciiTheme="minorHAnsi" w:hAnsiTheme="minorHAnsi" w:cstheme="minorHAnsi"/>
                <w:sz w:val="18"/>
                <w:szCs w:val="18"/>
              </w:rPr>
              <w:t>Furniture for URC</w:t>
            </w:r>
          </w:p>
        </w:tc>
        <w:tc>
          <w:tcPr>
            <w:tcW w:w="404" w:type="pct"/>
          </w:tcPr>
          <w:p w:rsidR="009C6C22" w:rsidRPr="005F120D" w:rsidRDefault="009C6C22" w:rsidP="00B25E46">
            <w:pPr>
              <w:pStyle w:val="NoSpacing"/>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w:t>
            </w:r>
          </w:p>
        </w:tc>
        <w:tc>
          <w:tcPr>
            <w:tcW w:w="485" w:type="pct"/>
          </w:tcPr>
          <w:p w:rsidR="009C6C22" w:rsidRPr="005F120D" w:rsidRDefault="009C6C2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w:t>
            </w:r>
          </w:p>
        </w:tc>
        <w:tc>
          <w:tcPr>
            <w:tcW w:w="558" w:type="pct"/>
          </w:tcPr>
          <w:p w:rsidR="009C6C22" w:rsidRPr="005F120D" w:rsidRDefault="009C6C22" w:rsidP="00B25E46">
            <w:pPr>
              <w:pStyle w:val="NoSpacing"/>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Need based</w:t>
            </w:r>
          </w:p>
        </w:tc>
        <w:tc>
          <w:tcPr>
            <w:tcW w:w="450" w:type="pct"/>
          </w:tcPr>
          <w:p w:rsidR="009C6C22" w:rsidRPr="005F120D" w:rsidRDefault="009C6C22" w:rsidP="00B25E46">
            <w:pPr>
              <w:pStyle w:val="NoSpacing"/>
              <w:jc w:val="right"/>
              <w:cnfStyle w:val="000000010000"/>
              <w:rPr>
                <w:rFonts w:asciiTheme="minorHAnsi" w:hAnsiTheme="minorHAnsi" w:cstheme="minorHAnsi"/>
                <w:sz w:val="18"/>
                <w:szCs w:val="18"/>
              </w:rPr>
            </w:pPr>
            <w:r w:rsidRPr="005F120D">
              <w:rPr>
                <w:rFonts w:asciiTheme="minorHAnsi" w:hAnsiTheme="minorHAnsi" w:cstheme="minorHAnsi"/>
                <w:sz w:val="18"/>
                <w:szCs w:val="18"/>
              </w:rPr>
              <w:t>1,393.10</w:t>
            </w:r>
          </w:p>
        </w:tc>
        <w:tc>
          <w:tcPr>
            <w:tcW w:w="566" w:type="pct"/>
          </w:tcPr>
          <w:p w:rsidR="009C6C22" w:rsidRPr="005F120D" w:rsidRDefault="000F1B2E"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167</w:t>
            </w:r>
          </w:p>
        </w:tc>
        <w:tc>
          <w:tcPr>
            <w:tcW w:w="432" w:type="pct"/>
          </w:tcPr>
          <w:p w:rsidR="009C6C22" w:rsidRPr="005F120D" w:rsidRDefault="000F1B2E"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165</w:t>
            </w:r>
          </w:p>
        </w:tc>
        <w:tc>
          <w:tcPr>
            <w:tcW w:w="460" w:type="pct"/>
          </w:tcPr>
          <w:p w:rsidR="009C6C22" w:rsidRPr="005F120D" w:rsidRDefault="000F1B2E" w:rsidP="00B25E46">
            <w:pPr>
              <w:pStyle w:val="NoSpacing"/>
              <w:jc w:val="right"/>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3.05</w:t>
            </w:r>
          </w:p>
        </w:tc>
        <w:tc>
          <w:tcPr>
            <w:tcW w:w="511" w:type="pct"/>
          </w:tcPr>
          <w:p w:rsidR="009C6C22" w:rsidRPr="005F120D" w:rsidRDefault="000F1B2E" w:rsidP="00B25E46">
            <w:pPr>
              <w:pStyle w:val="NoSpacing"/>
              <w:jc w:val="center"/>
              <w:cnfStyle w:val="000000010000"/>
              <w:rPr>
                <w:rFonts w:asciiTheme="minorHAnsi" w:hAnsiTheme="minorHAnsi" w:cstheme="minorHAnsi"/>
                <w:color w:val="008000"/>
                <w:sz w:val="18"/>
                <w:szCs w:val="18"/>
              </w:rPr>
            </w:pPr>
            <w:r w:rsidRPr="005F120D">
              <w:rPr>
                <w:rFonts w:asciiTheme="minorHAnsi" w:hAnsiTheme="minorHAnsi" w:cstheme="minorHAnsi"/>
                <w:color w:val="008000"/>
                <w:sz w:val="18"/>
                <w:szCs w:val="18"/>
              </w:rPr>
              <w:t>167</w:t>
            </w:r>
          </w:p>
        </w:tc>
      </w:tr>
      <w:tr w:rsidR="000F1B2E" w:rsidRPr="005F120D" w:rsidTr="00B25E46">
        <w:trPr>
          <w:cnfStyle w:val="000000100000"/>
        </w:trPr>
        <w:tc>
          <w:tcPr>
            <w:cnfStyle w:val="001000000000"/>
            <w:tcW w:w="236" w:type="pct"/>
          </w:tcPr>
          <w:p w:rsidR="009C6C22" w:rsidRPr="005F120D" w:rsidRDefault="009C6C22" w:rsidP="00B25E46">
            <w:pPr>
              <w:pStyle w:val="NoSpacing"/>
              <w:jc w:val="center"/>
              <w:rPr>
                <w:rFonts w:asciiTheme="minorHAnsi" w:hAnsiTheme="minorHAnsi" w:cstheme="minorHAnsi"/>
                <w:sz w:val="18"/>
                <w:szCs w:val="18"/>
              </w:rPr>
            </w:pPr>
            <w:r w:rsidRPr="005F120D">
              <w:rPr>
                <w:rFonts w:asciiTheme="minorHAnsi" w:hAnsiTheme="minorHAnsi" w:cstheme="minorHAnsi"/>
                <w:sz w:val="18"/>
                <w:szCs w:val="18"/>
              </w:rPr>
              <w:t>2.6</w:t>
            </w:r>
          </w:p>
        </w:tc>
        <w:tc>
          <w:tcPr>
            <w:tcW w:w="898" w:type="pct"/>
          </w:tcPr>
          <w:p w:rsidR="009C6C22" w:rsidRPr="005F120D" w:rsidRDefault="009C6C22" w:rsidP="00B25E46">
            <w:pPr>
              <w:pStyle w:val="NoSpacing"/>
              <w:cnfStyle w:val="000000100000"/>
              <w:rPr>
                <w:rFonts w:asciiTheme="minorHAnsi" w:hAnsiTheme="minorHAnsi" w:cstheme="minorHAnsi"/>
                <w:sz w:val="18"/>
                <w:szCs w:val="18"/>
              </w:rPr>
            </w:pPr>
            <w:r w:rsidRPr="005F120D">
              <w:rPr>
                <w:rFonts w:asciiTheme="minorHAnsi" w:hAnsiTheme="minorHAnsi" w:cstheme="minorHAnsi"/>
                <w:sz w:val="18"/>
                <w:szCs w:val="18"/>
              </w:rPr>
              <w:t>UEO office</w:t>
            </w:r>
          </w:p>
        </w:tc>
        <w:tc>
          <w:tcPr>
            <w:tcW w:w="404" w:type="pct"/>
          </w:tcPr>
          <w:p w:rsidR="009C6C22" w:rsidRPr="005F120D" w:rsidRDefault="009E2904"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508</w:t>
            </w:r>
          </w:p>
        </w:tc>
        <w:tc>
          <w:tcPr>
            <w:tcW w:w="485"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10,060</w:t>
            </w:r>
          </w:p>
        </w:tc>
        <w:tc>
          <w:tcPr>
            <w:tcW w:w="558" w:type="pct"/>
          </w:tcPr>
          <w:p w:rsidR="009C6C22" w:rsidRPr="005F120D" w:rsidRDefault="009C6C22" w:rsidP="00B25E46">
            <w:pPr>
              <w:pStyle w:val="NoSpacing"/>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508</w:t>
            </w:r>
          </w:p>
        </w:tc>
        <w:tc>
          <w:tcPr>
            <w:tcW w:w="450" w:type="pct"/>
          </w:tcPr>
          <w:p w:rsidR="009C6C22" w:rsidRPr="005F120D" w:rsidRDefault="009C6C22" w:rsidP="00B25E46">
            <w:pPr>
              <w:pStyle w:val="NoSpacing"/>
              <w:jc w:val="right"/>
              <w:cnfStyle w:val="000000100000"/>
              <w:rPr>
                <w:rFonts w:asciiTheme="minorHAnsi" w:hAnsiTheme="minorHAnsi" w:cstheme="minorHAnsi"/>
                <w:sz w:val="18"/>
                <w:szCs w:val="18"/>
              </w:rPr>
            </w:pPr>
            <w:r w:rsidRPr="005F120D">
              <w:rPr>
                <w:rFonts w:asciiTheme="minorHAnsi" w:hAnsiTheme="minorHAnsi" w:cstheme="minorHAnsi"/>
                <w:sz w:val="18"/>
                <w:szCs w:val="18"/>
              </w:rPr>
              <w:t>16,750</w:t>
            </w:r>
          </w:p>
        </w:tc>
        <w:tc>
          <w:tcPr>
            <w:tcW w:w="566" w:type="pct"/>
          </w:tcPr>
          <w:p w:rsidR="009C6C22" w:rsidRPr="005F120D" w:rsidRDefault="007D1744"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156</w:t>
            </w:r>
          </w:p>
        </w:tc>
        <w:tc>
          <w:tcPr>
            <w:tcW w:w="432" w:type="pct"/>
          </w:tcPr>
          <w:p w:rsidR="009C6C22" w:rsidRPr="005F120D" w:rsidRDefault="009E2904"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103</w:t>
            </w:r>
          </w:p>
        </w:tc>
        <w:tc>
          <w:tcPr>
            <w:tcW w:w="460" w:type="pct"/>
          </w:tcPr>
          <w:p w:rsidR="009C6C22" w:rsidRPr="005F120D" w:rsidRDefault="009E2904" w:rsidP="00B25E46">
            <w:pPr>
              <w:pStyle w:val="NoSpacing"/>
              <w:jc w:val="right"/>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15.14</w:t>
            </w:r>
          </w:p>
        </w:tc>
        <w:tc>
          <w:tcPr>
            <w:tcW w:w="511" w:type="pct"/>
          </w:tcPr>
          <w:p w:rsidR="009C6C22" w:rsidRPr="005F120D" w:rsidRDefault="009E2904" w:rsidP="00B25E46">
            <w:pPr>
              <w:pStyle w:val="NoSpacing"/>
              <w:jc w:val="center"/>
              <w:cnfStyle w:val="000000100000"/>
              <w:rPr>
                <w:rFonts w:asciiTheme="minorHAnsi" w:hAnsiTheme="minorHAnsi" w:cstheme="minorHAnsi"/>
                <w:color w:val="008000"/>
                <w:sz w:val="18"/>
                <w:szCs w:val="18"/>
              </w:rPr>
            </w:pPr>
            <w:r w:rsidRPr="005F120D">
              <w:rPr>
                <w:rFonts w:asciiTheme="minorHAnsi" w:hAnsiTheme="minorHAnsi" w:cstheme="minorHAnsi"/>
                <w:color w:val="008000"/>
                <w:sz w:val="18"/>
                <w:szCs w:val="18"/>
              </w:rPr>
              <w:t>216</w:t>
            </w:r>
          </w:p>
        </w:tc>
      </w:tr>
    </w:tbl>
    <w:p w:rsidR="000F1B2E" w:rsidRPr="005F120D" w:rsidRDefault="009C6C22" w:rsidP="00B25E46">
      <w:pPr>
        <w:pStyle w:val="BodyText1"/>
        <w:spacing w:line="240" w:lineRule="auto"/>
        <w:rPr>
          <w:rFonts w:asciiTheme="minorHAnsi" w:hAnsiTheme="minorHAnsi" w:cstheme="minorHAnsi"/>
          <w:sz w:val="16"/>
          <w:szCs w:val="16"/>
        </w:rPr>
      </w:pPr>
      <w:r w:rsidRPr="005F120D">
        <w:rPr>
          <w:rFonts w:asciiTheme="minorHAnsi" w:hAnsiTheme="minorHAnsi" w:cstheme="minorHAnsi"/>
          <w:sz w:val="16"/>
          <w:szCs w:val="16"/>
        </w:rPr>
        <w:t>Source: P&amp;D division records</w:t>
      </w:r>
    </w:p>
    <w:p w:rsidR="002E6124" w:rsidRPr="005F120D" w:rsidRDefault="009C6C22" w:rsidP="00B25E46">
      <w:pPr>
        <w:pStyle w:val="BodyText1"/>
        <w:spacing w:line="240" w:lineRule="auto"/>
        <w:rPr>
          <w:rFonts w:asciiTheme="minorHAnsi" w:hAnsiTheme="minorHAnsi" w:cstheme="minorHAnsi"/>
          <w:color w:val="008000"/>
        </w:rPr>
      </w:pPr>
      <w:r w:rsidRPr="005F120D">
        <w:rPr>
          <w:rFonts w:asciiTheme="minorHAnsi" w:hAnsiTheme="minorHAnsi" w:cstheme="minorHAnsi"/>
          <w:color w:val="008000"/>
        </w:rPr>
        <w:t>E</w:t>
      </w:r>
      <w:r w:rsidR="0003413C" w:rsidRPr="005F120D">
        <w:rPr>
          <w:rFonts w:asciiTheme="minorHAnsi" w:hAnsiTheme="minorHAnsi" w:cstheme="minorHAnsi"/>
          <w:color w:val="008000"/>
        </w:rPr>
        <w:t>-8</w:t>
      </w:r>
      <w:r w:rsidRPr="005F120D">
        <w:rPr>
          <w:rFonts w:asciiTheme="minorHAnsi" w:hAnsiTheme="minorHAnsi" w:cstheme="minorHAnsi"/>
          <w:color w:val="008000"/>
        </w:rPr>
        <w:t>: Summary Description of JICA Supporte</w:t>
      </w:r>
      <w:r w:rsidR="001E1887" w:rsidRPr="005F120D">
        <w:rPr>
          <w:rFonts w:asciiTheme="minorHAnsi" w:hAnsiTheme="minorHAnsi" w:cstheme="minorHAnsi"/>
          <w:color w:val="008000"/>
        </w:rPr>
        <w:t>d Activities under PEDP3 2010-16</w:t>
      </w:r>
    </w:p>
    <w:p w:rsidR="00157F92" w:rsidRPr="005F120D" w:rsidRDefault="00157F92" w:rsidP="00B25E46">
      <w:pPr>
        <w:spacing w:before="240"/>
        <w:rPr>
          <w:rFonts w:asciiTheme="minorHAnsi" w:hAnsiTheme="minorHAnsi" w:cstheme="minorHAnsi"/>
          <w:b/>
          <w:color w:val="3333FF"/>
          <w:sz w:val="20"/>
        </w:rPr>
      </w:pPr>
      <w:r w:rsidRPr="005F120D">
        <w:rPr>
          <w:rFonts w:asciiTheme="minorHAnsi" w:hAnsiTheme="minorHAnsi" w:cstheme="minorHAnsi"/>
          <w:b/>
          <w:color w:val="3333FF"/>
          <w:sz w:val="20"/>
        </w:rPr>
        <w:t>Year 0 (2010-11):</w:t>
      </w:r>
    </w:p>
    <w:p w:rsidR="00157F92" w:rsidRPr="005F120D" w:rsidRDefault="00157F92" w:rsidP="00B25E46">
      <w:pPr>
        <w:pStyle w:val="ListParagraph"/>
        <w:widowControl w:val="0"/>
        <w:numPr>
          <w:ilvl w:val="0"/>
          <w:numId w:val="112"/>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DPEd Resource Material revision (Math &amp; Science) (JICA Experts attended workshops)</w:t>
      </w:r>
    </w:p>
    <w:p w:rsidR="00157F92" w:rsidRPr="005F120D" w:rsidRDefault="00157F92" w:rsidP="00B25E46">
      <w:pPr>
        <w:pStyle w:val="ListParagraph"/>
        <w:widowControl w:val="0"/>
        <w:numPr>
          <w:ilvl w:val="0"/>
          <w:numId w:val="112"/>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Cluster Activity Introductory Training (9-10 Jan) for 57 PTI Superintendents at NAPE (Study Workshop &amp; Study Group Activity were introduced)</w:t>
      </w:r>
    </w:p>
    <w:p w:rsidR="00157F92" w:rsidRPr="005F120D" w:rsidRDefault="00157F92" w:rsidP="00B25E46">
      <w:pPr>
        <w:pStyle w:val="ListParagraph"/>
        <w:widowControl w:val="0"/>
        <w:numPr>
          <w:ilvl w:val="0"/>
          <w:numId w:val="112"/>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Cluster Activity Introductory Training (1</w:t>
      </w:r>
      <w:r w:rsidRPr="005F120D">
        <w:rPr>
          <w:rFonts w:asciiTheme="minorHAnsi" w:hAnsiTheme="minorHAnsi" w:cstheme="minorHAnsi"/>
          <w:sz w:val="20"/>
          <w:szCs w:val="20"/>
          <w:vertAlign w:val="superscript"/>
        </w:rPr>
        <w:t>st</w:t>
      </w:r>
      <w:r w:rsidRPr="005F120D">
        <w:rPr>
          <w:rFonts w:asciiTheme="minorHAnsi" w:hAnsiTheme="minorHAnsi" w:cstheme="minorHAnsi"/>
          <w:sz w:val="20"/>
          <w:szCs w:val="20"/>
        </w:rPr>
        <w:t>: 6-10 Feb, 2</w:t>
      </w:r>
      <w:r w:rsidRPr="005F120D">
        <w:rPr>
          <w:rFonts w:asciiTheme="minorHAnsi" w:hAnsiTheme="minorHAnsi" w:cstheme="minorHAnsi"/>
          <w:sz w:val="20"/>
          <w:szCs w:val="20"/>
          <w:vertAlign w:val="superscript"/>
        </w:rPr>
        <w:t>nd</w:t>
      </w:r>
      <w:r w:rsidRPr="005F120D">
        <w:rPr>
          <w:rFonts w:asciiTheme="minorHAnsi" w:hAnsiTheme="minorHAnsi" w:cstheme="minorHAnsi"/>
          <w:sz w:val="20"/>
          <w:szCs w:val="20"/>
        </w:rPr>
        <w:t>: 13-18 Feb, 3</w:t>
      </w:r>
      <w:r w:rsidRPr="005F120D">
        <w:rPr>
          <w:rFonts w:asciiTheme="minorHAnsi" w:hAnsiTheme="minorHAnsi" w:cstheme="minorHAnsi"/>
          <w:sz w:val="20"/>
          <w:szCs w:val="20"/>
          <w:vertAlign w:val="superscript"/>
        </w:rPr>
        <w:t>rd</w:t>
      </w:r>
      <w:r w:rsidRPr="005F120D">
        <w:rPr>
          <w:rFonts w:asciiTheme="minorHAnsi" w:hAnsiTheme="minorHAnsi" w:cstheme="minorHAnsi"/>
          <w:sz w:val="20"/>
          <w:szCs w:val="20"/>
        </w:rPr>
        <w:t>: 27-3 Mar) for 54 PTI Math Instructors and 53 PTI Science Instructors at NAPE (Study Workshop: SW &amp; Study Group Activity: SGA were introduced)</w:t>
      </w:r>
    </w:p>
    <w:p w:rsidR="00157F92" w:rsidRPr="005F120D" w:rsidRDefault="00157F92" w:rsidP="00B25E46">
      <w:pPr>
        <w:pStyle w:val="ListParagraph"/>
        <w:widowControl w:val="0"/>
        <w:numPr>
          <w:ilvl w:val="0"/>
          <w:numId w:val="112"/>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 xml:space="preserve">PTI Cluster SGA (31 Mar – 16 Jul) at 5 PTIs (Joydevpur, Chittagong, Khulna, Barisal, Sylhet) </w:t>
      </w:r>
    </w:p>
    <w:p w:rsidR="00157F92" w:rsidRPr="005F120D" w:rsidRDefault="00157F92" w:rsidP="00B25E46">
      <w:pPr>
        <w:pStyle w:val="ListParagraph"/>
        <w:widowControl w:val="0"/>
        <w:numPr>
          <w:ilvl w:val="0"/>
          <w:numId w:val="112"/>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Cluster SW (8-11 Jun) at 2 PTIs (Joydevpur, Chittagong)</w:t>
      </w:r>
    </w:p>
    <w:p w:rsidR="00157F92" w:rsidRPr="005F120D" w:rsidRDefault="00157F92" w:rsidP="00B25E46">
      <w:pPr>
        <w:pStyle w:val="ListParagraph"/>
        <w:widowControl w:val="0"/>
        <w:numPr>
          <w:ilvl w:val="0"/>
          <w:numId w:val="112"/>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Pre-activity Survey conducted from Feb to Aug 2011</w:t>
      </w:r>
    </w:p>
    <w:p w:rsidR="00157F92" w:rsidRPr="005F120D" w:rsidRDefault="00157F92" w:rsidP="00B25E46">
      <w:pPr>
        <w:pStyle w:val="ListParagraph"/>
        <w:widowControl w:val="0"/>
        <w:numPr>
          <w:ilvl w:val="0"/>
          <w:numId w:val="112"/>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Cluster Activity Manual (Lesson Study) developed and distributed to all PTIs</w:t>
      </w:r>
    </w:p>
    <w:p w:rsidR="00157F92" w:rsidRPr="005F120D" w:rsidRDefault="00157F92" w:rsidP="00B25E46">
      <w:pPr>
        <w:pStyle w:val="ListParagraph"/>
        <w:widowControl w:val="0"/>
        <w:numPr>
          <w:ilvl w:val="0"/>
          <w:numId w:val="112"/>
        </w:numPr>
        <w:contextualSpacing w:val="0"/>
        <w:jc w:val="both"/>
        <w:rPr>
          <w:rFonts w:asciiTheme="minorHAnsi" w:hAnsiTheme="minorHAnsi" w:cstheme="minorHAnsi"/>
          <w:sz w:val="20"/>
          <w:szCs w:val="20"/>
        </w:rPr>
      </w:pPr>
      <w:r w:rsidRPr="005F120D">
        <w:rPr>
          <w:rFonts w:asciiTheme="minorHAnsi" w:hAnsiTheme="minorHAnsi" w:cstheme="minorHAnsi"/>
          <w:sz w:val="20"/>
          <w:szCs w:val="20"/>
        </w:rPr>
        <w:t>TV Drama “Rupantar Kotha” developed</w:t>
      </w:r>
    </w:p>
    <w:p w:rsidR="00157F92" w:rsidRPr="005F120D" w:rsidRDefault="00157F92" w:rsidP="00B25E46">
      <w:pPr>
        <w:spacing w:before="240"/>
        <w:rPr>
          <w:rFonts w:asciiTheme="minorHAnsi" w:hAnsiTheme="minorHAnsi" w:cstheme="minorHAnsi"/>
          <w:b/>
          <w:color w:val="3333FF"/>
          <w:sz w:val="20"/>
        </w:rPr>
      </w:pPr>
      <w:r w:rsidRPr="005F120D">
        <w:rPr>
          <w:rFonts w:asciiTheme="minorHAnsi" w:hAnsiTheme="minorHAnsi" w:cstheme="minorHAnsi"/>
          <w:b/>
          <w:color w:val="3333FF"/>
          <w:sz w:val="20"/>
        </w:rPr>
        <w:t>Year 1 (2011-12):</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DPEd Resource Material revision (Math &amp; Science) (JICA Experts attended workshops)</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lastRenderedPageBreak/>
        <w:t>Curriculum Workshop (23-28 Jul) at BSDM Savar (Curriculum Experts participated)</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Primary Curriculum Seminar (1) (31 Jul) at Sanargaon Hotel (Secretary MOPME attended)</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 xml:space="preserve">Overseas Training in Japan (1) (12 May – 3 Jun) for Curriculum Experts (5 persons) from NCTB </w:t>
      </w:r>
      <w:r w:rsidR="00570223" w:rsidRPr="005F120D">
        <w:rPr>
          <w:rFonts w:asciiTheme="minorHAnsi" w:hAnsiTheme="minorHAnsi" w:cstheme="minorHAnsi"/>
          <w:sz w:val="20"/>
          <w:szCs w:val="20"/>
        </w:rPr>
        <w:t>organized</w:t>
      </w:r>
      <w:r w:rsidRPr="005F120D">
        <w:rPr>
          <w:rFonts w:asciiTheme="minorHAnsi" w:hAnsiTheme="minorHAnsi" w:cstheme="minorHAnsi"/>
          <w:sz w:val="20"/>
          <w:szCs w:val="20"/>
        </w:rPr>
        <w:t xml:space="preserve"> at Hiroshima University</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 xml:space="preserve">Quality Learning Workshop (15 Dec) jointly </w:t>
      </w:r>
      <w:r w:rsidR="00570223" w:rsidRPr="005F120D">
        <w:rPr>
          <w:rFonts w:asciiTheme="minorHAnsi" w:hAnsiTheme="minorHAnsi" w:cstheme="minorHAnsi"/>
          <w:sz w:val="20"/>
          <w:szCs w:val="20"/>
        </w:rPr>
        <w:t>organized</w:t>
      </w:r>
      <w:r w:rsidRPr="005F120D">
        <w:rPr>
          <w:rFonts w:asciiTheme="minorHAnsi" w:hAnsiTheme="minorHAnsi" w:cstheme="minorHAnsi"/>
          <w:sz w:val="20"/>
          <w:szCs w:val="20"/>
        </w:rPr>
        <w:t xml:space="preserve"> by UNICEF (ECL)</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Sample Textbooks (Math &amp; Science) developed</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Cluster SW (16-17 Nov, 4-5, 9-10, 11-12, 19-20, 26-27 Jun) at 8 PTIs (Khulna, Barisal, Sylhet, Jessore, Rajshahi, Rangpur, Mymensingh, Bogra)</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Cluster SGA (23 Nov, 10 Apr, 6, 10, 11 Jun) at 7 PTIs (Khulna, Sylhet, Rajshahi, Rangpur, Comilla, Bogra, Mymensingh)</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Situational Analysis Survey conducted from Feb</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Teaching Package Booklet &amp; Leaflet were developed and distributed to all primary schools (60,000) and teachers (300,000)</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TV Drama “Rupantar Kotha” telecasted and distributed to all 57 PTIs and 481 URCs</w:t>
      </w:r>
    </w:p>
    <w:p w:rsidR="00157F92" w:rsidRPr="005F120D" w:rsidRDefault="00157F92" w:rsidP="00B25E46">
      <w:pPr>
        <w:pStyle w:val="ListParagraph"/>
        <w:widowControl w:val="0"/>
        <w:numPr>
          <w:ilvl w:val="0"/>
          <w:numId w:val="113"/>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TED Action Plan 2012 edited and printed</w:t>
      </w:r>
    </w:p>
    <w:p w:rsidR="00157F92" w:rsidRPr="005F120D" w:rsidRDefault="00157F92" w:rsidP="00B25E46">
      <w:pPr>
        <w:pStyle w:val="ListParagraph"/>
        <w:widowControl w:val="0"/>
        <w:numPr>
          <w:ilvl w:val="0"/>
          <w:numId w:val="113"/>
        </w:numPr>
        <w:contextualSpacing w:val="0"/>
        <w:jc w:val="both"/>
        <w:rPr>
          <w:rFonts w:asciiTheme="minorHAnsi" w:hAnsiTheme="minorHAnsi" w:cstheme="minorHAnsi"/>
          <w:sz w:val="20"/>
          <w:szCs w:val="20"/>
        </w:rPr>
      </w:pPr>
      <w:r w:rsidRPr="005F120D">
        <w:rPr>
          <w:rFonts w:asciiTheme="minorHAnsi" w:hAnsiTheme="minorHAnsi" w:cstheme="minorHAnsi"/>
          <w:sz w:val="20"/>
          <w:szCs w:val="20"/>
        </w:rPr>
        <w:t>Equipment provision to 10 Cluster center PTIs (Joydevpur, Chittagong, Jessore, Sylhet, Rajshahi, Rangpur, Comilla, Bogra, Mymensingh)</w:t>
      </w:r>
    </w:p>
    <w:p w:rsidR="00157F92" w:rsidRPr="005F120D" w:rsidRDefault="00157F92" w:rsidP="00B25E46">
      <w:pPr>
        <w:spacing w:before="240"/>
        <w:rPr>
          <w:rFonts w:asciiTheme="minorHAnsi" w:hAnsiTheme="minorHAnsi" w:cstheme="minorHAnsi"/>
          <w:b/>
          <w:color w:val="3333FF"/>
          <w:sz w:val="20"/>
        </w:rPr>
      </w:pPr>
      <w:r w:rsidRPr="005F120D">
        <w:rPr>
          <w:rFonts w:asciiTheme="minorHAnsi" w:hAnsiTheme="minorHAnsi" w:cstheme="minorHAnsi"/>
          <w:b/>
          <w:color w:val="3333FF"/>
          <w:sz w:val="20"/>
        </w:rPr>
        <w:t>Year 2 (2012-13):</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DPEd Resource Material revision (Math &amp; Science) (JICA Experts attended workshops)</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Primary Curriculum Seminar (2) (4 Jul) at Hotel Ruposi Bangla (Secretary MOPME attended)</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 xml:space="preserve">Overseas Training in Japan (2) (2-23 Feb) for Curriculum Experts (5 persons) from NCTB and IER </w:t>
      </w:r>
      <w:r w:rsidR="00570223" w:rsidRPr="005F120D">
        <w:rPr>
          <w:rFonts w:asciiTheme="minorHAnsi" w:hAnsiTheme="minorHAnsi" w:cstheme="minorHAnsi"/>
          <w:sz w:val="20"/>
          <w:szCs w:val="20"/>
        </w:rPr>
        <w:t>organized</w:t>
      </w:r>
      <w:r w:rsidRPr="005F120D">
        <w:rPr>
          <w:rFonts w:asciiTheme="minorHAnsi" w:hAnsiTheme="minorHAnsi" w:cstheme="minorHAnsi"/>
          <w:sz w:val="20"/>
          <w:szCs w:val="20"/>
        </w:rPr>
        <w:t xml:space="preserve"> at Hiroshima University</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Pre-Pilot of Small Scale Tryout of revised textbook (19-24 Jul) was implemented at 4 GPS</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Small Scale Tryout of revised textbook (19-24 Nov) was implemented at 4 GPS</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Follow up Training (8-9 Jul) for 57 PTI Superintendents at BCDM Savar (Lesson Study, TED Action Plan, DPEd curriculum, Revised Primary Curriculum &amp; Textbooks were discussed)</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Follow up Training (22-26 Jul) for 53 PTI Math Instructors and 54 PTI Science Instructors at NAPE (Lesson Study, TED Action Plan, DPEd curriculum, Revised Primary Curriculum &amp; Textbooks were discussed)</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Cluster SW (11-12 Jul) at 1 PTI (Comilla)</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Cluster SGA (9, 14 Jul) at 2 PTIs (Joydevpur, Chittagong)</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Needs-based Sub-cluster training (AOP 51a) monitoring conducted from April to August 2013</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Subject based Training Manual (Math &amp; Science) (AOP 43) developed</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Teacher Support Network through Lesson Study (AOP 54) was assisted</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TV Drama “Rupantar Kotha 2” developed</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School Diary piloted</w:t>
      </w:r>
    </w:p>
    <w:p w:rsidR="00157F92" w:rsidRPr="005F120D" w:rsidRDefault="00157F92" w:rsidP="00B25E46">
      <w:pPr>
        <w:pStyle w:val="ListParagraph"/>
        <w:widowControl w:val="0"/>
        <w:numPr>
          <w:ilvl w:val="0"/>
          <w:numId w:val="114"/>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Community Radio piloted</w:t>
      </w:r>
    </w:p>
    <w:p w:rsidR="00157F92" w:rsidRPr="005F120D" w:rsidRDefault="00157F92" w:rsidP="00B25E46">
      <w:pPr>
        <w:pStyle w:val="ListParagraph"/>
        <w:widowControl w:val="0"/>
        <w:numPr>
          <w:ilvl w:val="0"/>
          <w:numId w:val="114"/>
        </w:numPr>
        <w:contextualSpacing w:val="0"/>
        <w:jc w:val="both"/>
        <w:rPr>
          <w:rFonts w:asciiTheme="minorHAnsi" w:hAnsiTheme="minorHAnsi" w:cstheme="minorHAnsi"/>
          <w:sz w:val="20"/>
          <w:szCs w:val="20"/>
        </w:rPr>
      </w:pPr>
      <w:r w:rsidRPr="005F120D">
        <w:rPr>
          <w:rFonts w:asciiTheme="minorHAnsi" w:hAnsiTheme="minorHAnsi" w:cstheme="minorHAnsi"/>
          <w:sz w:val="20"/>
          <w:szCs w:val="20"/>
        </w:rPr>
        <w:t>TED Action Plan 2013 edited and printed</w:t>
      </w:r>
    </w:p>
    <w:p w:rsidR="00157F92" w:rsidRPr="005F120D" w:rsidRDefault="00157F92" w:rsidP="00B25E46">
      <w:pPr>
        <w:spacing w:before="240"/>
        <w:rPr>
          <w:rFonts w:asciiTheme="minorHAnsi" w:hAnsiTheme="minorHAnsi" w:cstheme="minorHAnsi"/>
          <w:b/>
          <w:color w:val="3333FF"/>
          <w:sz w:val="20"/>
        </w:rPr>
      </w:pPr>
      <w:r w:rsidRPr="005F120D">
        <w:rPr>
          <w:rFonts w:asciiTheme="minorHAnsi" w:hAnsiTheme="minorHAnsi" w:cstheme="minorHAnsi"/>
          <w:b/>
          <w:color w:val="3333FF"/>
          <w:sz w:val="20"/>
        </w:rPr>
        <w:t>Year 3 (2013-14):</w:t>
      </w:r>
    </w:p>
    <w:p w:rsidR="00157F92" w:rsidRPr="005F120D" w:rsidRDefault="00157F92" w:rsidP="00B25E46">
      <w:pPr>
        <w:pStyle w:val="ListParagraph"/>
        <w:widowControl w:val="0"/>
        <w:numPr>
          <w:ilvl w:val="0"/>
          <w:numId w:val="111"/>
        </w:numPr>
        <w:spacing w:before="240"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DPEd Resource Material revision (Math &amp; Science) (JICA Experts and Consultants attended workshops and revised materials from Nov. 2013 to Feb. 2014)</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Primary Curri</w:t>
      </w:r>
      <w:r w:rsidR="00EC1F70">
        <w:rPr>
          <w:rFonts w:asciiTheme="minorHAnsi" w:hAnsiTheme="minorHAnsi" w:cstheme="minorHAnsi"/>
          <w:sz w:val="20"/>
          <w:szCs w:val="20"/>
        </w:rPr>
        <w:t>culum Seminar (3) (21 Jul) at So</w:t>
      </w:r>
      <w:r w:rsidRPr="005F120D">
        <w:rPr>
          <w:rFonts w:asciiTheme="minorHAnsi" w:hAnsiTheme="minorHAnsi" w:cstheme="minorHAnsi"/>
          <w:sz w:val="20"/>
          <w:szCs w:val="20"/>
        </w:rPr>
        <w:t>nargaon Hotel (Secretary MOPME attended)</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Revie</w:t>
      </w:r>
      <w:r w:rsidR="00954458" w:rsidRPr="005F120D">
        <w:rPr>
          <w:rFonts w:asciiTheme="minorHAnsi" w:hAnsiTheme="minorHAnsi" w:cstheme="minorHAnsi"/>
          <w:sz w:val="20"/>
          <w:szCs w:val="20"/>
        </w:rPr>
        <w:t>w of revised textbook of Math and S</w:t>
      </w:r>
      <w:r w:rsidRPr="005F120D">
        <w:rPr>
          <w:rFonts w:asciiTheme="minorHAnsi" w:hAnsiTheme="minorHAnsi" w:cstheme="minorHAnsi"/>
          <w:sz w:val="20"/>
          <w:szCs w:val="20"/>
        </w:rPr>
        <w:t>cience was done and report was submitted</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Large Scale Tryout of revised textbook (JICA Exper</w:t>
      </w:r>
      <w:r w:rsidR="00954458" w:rsidRPr="005F120D">
        <w:rPr>
          <w:rFonts w:asciiTheme="minorHAnsi" w:hAnsiTheme="minorHAnsi" w:cstheme="minorHAnsi"/>
          <w:sz w:val="20"/>
          <w:szCs w:val="20"/>
        </w:rPr>
        <w:t>t team assisted NCTB to refine Science and M</w:t>
      </w:r>
      <w:r w:rsidRPr="005F120D">
        <w:rPr>
          <w:rFonts w:asciiTheme="minorHAnsi" w:hAnsiTheme="minorHAnsi" w:cstheme="minorHAnsi"/>
          <w:sz w:val="20"/>
          <w:szCs w:val="20"/>
        </w:rPr>
        <w:t>ath textbook from G1 to G3 by end of April 2014)</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Teachers’ edition refinement (JICA Exper</w:t>
      </w:r>
      <w:r w:rsidR="00954458" w:rsidRPr="005F120D">
        <w:rPr>
          <w:rFonts w:asciiTheme="minorHAnsi" w:hAnsiTheme="minorHAnsi" w:cstheme="minorHAnsi"/>
          <w:sz w:val="20"/>
          <w:szCs w:val="20"/>
        </w:rPr>
        <w:t>t team assisted NCTB to refine Science and M</w:t>
      </w:r>
      <w:r w:rsidRPr="005F120D">
        <w:rPr>
          <w:rFonts w:asciiTheme="minorHAnsi" w:hAnsiTheme="minorHAnsi" w:cstheme="minorHAnsi"/>
          <w:sz w:val="20"/>
          <w:szCs w:val="20"/>
        </w:rPr>
        <w:t>ath teachers’ edition from G1 to G3 by end of May 2014)</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Follow up Training (14-15 Jul) for 57 PTI Superintendents at BCDM Rajendrapur (Lesson Study, TED Action Plan, DPEd curriculum, Revised Primary Curriculum &amp; Textbooks were discussed)</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Follow up Training (22-26 Jul) for 59 PTI Math Instructors and 58 PTI Science Instructors at NAPE (Lesson Study, TED Action Plan, DPEd curriculum, Revised Primary Curriculum &amp; Textbooks were discussed)</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lastRenderedPageBreak/>
        <w:t>Needs-based Sub-cluster training (AOP 51a) monitoring from March to August 2014</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Subject based Training (Math &amp; Science) (AOP 43) monitored in March 2014</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Teacher Support Network through Lesson Study (AOP 54) was assisted by JICA team</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Lesson Study Banner was developed and distributed</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Communication Strategy Paper submitted to PEDP3</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Situation Analysis survey is being conducted</w:t>
      </w:r>
    </w:p>
    <w:p w:rsidR="00157F92" w:rsidRPr="005F120D" w:rsidRDefault="00157F92" w:rsidP="00B25E46">
      <w:pPr>
        <w:pStyle w:val="ListParagraph"/>
        <w:widowControl w:val="0"/>
        <w:numPr>
          <w:ilvl w:val="0"/>
          <w:numId w:val="111"/>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TED Action Plan was reviewed</w:t>
      </w:r>
    </w:p>
    <w:p w:rsidR="00157F92" w:rsidRPr="005F120D" w:rsidRDefault="00157F92" w:rsidP="00B25E46">
      <w:pPr>
        <w:pStyle w:val="ListParagraph"/>
        <w:widowControl w:val="0"/>
        <w:numPr>
          <w:ilvl w:val="0"/>
          <w:numId w:val="111"/>
        </w:numPr>
        <w:contextualSpacing w:val="0"/>
        <w:jc w:val="both"/>
        <w:rPr>
          <w:rFonts w:asciiTheme="minorHAnsi" w:hAnsiTheme="minorHAnsi" w:cstheme="minorHAnsi"/>
          <w:sz w:val="20"/>
          <w:szCs w:val="20"/>
        </w:rPr>
      </w:pPr>
      <w:r w:rsidRPr="005F120D">
        <w:rPr>
          <w:rFonts w:asciiTheme="minorHAnsi" w:hAnsiTheme="minorHAnsi" w:cstheme="minorHAnsi"/>
          <w:sz w:val="20"/>
          <w:szCs w:val="20"/>
        </w:rPr>
        <w:t xml:space="preserve">Overseas Training in Japan (3) (10-31 May) for Curriculum Experts (5 persons) from NCTB and IER </w:t>
      </w:r>
      <w:r w:rsidR="00570223" w:rsidRPr="005F120D">
        <w:rPr>
          <w:rFonts w:asciiTheme="minorHAnsi" w:hAnsiTheme="minorHAnsi" w:cstheme="minorHAnsi"/>
          <w:sz w:val="20"/>
          <w:szCs w:val="20"/>
        </w:rPr>
        <w:t>organized</w:t>
      </w:r>
      <w:r w:rsidRPr="005F120D">
        <w:rPr>
          <w:rFonts w:asciiTheme="minorHAnsi" w:hAnsiTheme="minorHAnsi" w:cstheme="minorHAnsi"/>
          <w:sz w:val="20"/>
          <w:szCs w:val="20"/>
        </w:rPr>
        <w:t xml:space="preserve"> at Hiroshima University</w:t>
      </w:r>
    </w:p>
    <w:p w:rsidR="00157F92" w:rsidRPr="005F120D" w:rsidRDefault="00157F92" w:rsidP="00B25E46">
      <w:pPr>
        <w:spacing w:before="240"/>
        <w:rPr>
          <w:rFonts w:asciiTheme="minorHAnsi" w:hAnsiTheme="minorHAnsi" w:cstheme="minorHAnsi"/>
          <w:b/>
          <w:color w:val="3333FF"/>
          <w:sz w:val="20"/>
        </w:rPr>
      </w:pPr>
      <w:r w:rsidRPr="005F120D">
        <w:rPr>
          <w:rFonts w:asciiTheme="minorHAnsi" w:hAnsiTheme="minorHAnsi" w:cstheme="minorHAnsi"/>
          <w:b/>
          <w:color w:val="3333FF"/>
          <w:sz w:val="20"/>
        </w:rPr>
        <w:t>Year 4 (2014-15):</w:t>
      </w:r>
    </w:p>
    <w:p w:rsidR="00157F92" w:rsidRPr="005F120D" w:rsidRDefault="00157F92" w:rsidP="00B25E46">
      <w:pPr>
        <w:pStyle w:val="ListParagraph"/>
        <w:widowControl w:val="0"/>
        <w:numPr>
          <w:ilvl w:val="0"/>
          <w:numId w:val="115"/>
        </w:numPr>
        <w:spacing w:before="240"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Teachers’ edition refinement (JI</w:t>
      </w:r>
      <w:r w:rsidR="00954458" w:rsidRPr="005F120D">
        <w:rPr>
          <w:rFonts w:asciiTheme="minorHAnsi" w:hAnsiTheme="minorHAnsi" w:cstheme="minorHAnsi"/>
          <w:sz w:val="20"/>
          <w:szCs w:val="20"/>
        </w:rPr>
        <w:t>CA is assisting NCTB to refine Science and M</w:t>
      </w:r>
      <w:r w:rsidRPr="005F120D">
        <w:rPr>
          <w:rFonts w:asciiTheme="minorHAnsi" w:hAnsiTheme="minorHAnsi" w:cstheme="minorHAnsi"/>
          <w:sz w:val="20"/>
          <w:szCs w:val="20"/>
        </w:rPr>
        <w:t>ath teachers’ edition from G1 to G3 by end of July 2014)</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Follow up Training (6-10 Jul) for 58 PTI Math Instructors and 55 PTI Science Instructors at NAPE (Lesson Study, TED Action Plan, DPEd curriculum, Revised Primary Curriculum &amp; Textbooks were discussed)</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Follow up Training (19-20 Jul) for 57 PTI Superintendents at BCDM Savar (Lesson Study, TED Action Plan, DPEd curriculum, Revised Primary Curriculum &amp; Textbooks were discussed)</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 xml:space="preserve">TV Drama “Rupantar Kotha 3” has been developed and distributed, and later monitored </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 xml:space="preserve">WALS (World Association of Lesson Study) </w:t>
      </w:r>
      <w:r w:rsidRPr="005F120D">
        <w:rPr>
          <w:rFonts w:asciiTheme="minorHAnsi" w:hAnsiTheme="minorHAnsi" w:cstheme="minorHAnsi"/>
          <w:bCs/>
          <w:sz w:val="20"/>
          <w:szCs w:val="20"/>
        </w:rPr>
        <w:t>NAPE Specialist and Rajshahi PTI Instructor participated in WALS 2014 at Indonesia University of Education</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Large Scale Tryout of revised textbook (JICA Exper</w:t>
      </w:r>
      <w:r w:rsidR="00954458" w:rsidRPr="005F120D">
        <w:rPr>
          <w:rFonts w:asciiTheme="minorHAnsi" w:hAnsiTheme="minorHAnsi" w:cstheme="minorHAnsi"/>
          <w:sz w:val="20"/>
          <w:szCs w:val="20"/>
        </w:rPr>
        <w:t>t team assisted NCTB to refine Science and M</w:t>
      </w:r>
      <w:r w:rsidRPr="005F120D">
        <w:rPr>
          <w:rFonts w:asciiTheme="minorHAnsi" w:hAnsiTheme="minorHAnsi" w:cstheme="minorHAnsi"/>
          <w:sz w:val="20"/>
          <w:szCs w:val="20"/>
        </w:rPr>
        <w:t>ath textbook from G4 to G5 by end of May 2015)</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Needs-based Sub-cluster training (AOP 51a) monitoring from January 2015 ongoing</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Follow up Training (29 Mar-2 Apr) for PTI Math Instructors and PTI Science Instructors at NAPE (discussed Lesson Study, TED Action Plan, DPEd curriculum, Revised Primary Curriculum &amp; Textbooks)</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PTI Follow up Training (7-8 Apr) for PTI Superintendents at BRAC Inn Mohakhali (discussed Lesson Study, TED Action Plan, DPEd curriculum, Revised Primary Curriculum &amp; Textbooks)</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Teachers’ edition refinement (JICA Exper</w:t>
      </w:r>
      <w:r w:rsidR="00954458" w:rsidRPr="005F120D">
        <w:rPr>
          <w:rFonts w:asciiTheme="minorHAnsi" w:hAnsiTheme="minorHAnsi" w:cstheme="minorHAnsi"/>
          <w:sz w:val="20"/>
          <w:szCs w:val="20"/>
        </w:rPr>
        <w:t>t team assisted NCTB to refine Science and M</w:t>
      </w:r>
      <w:r w:rsidRPr="005F120D">
        <w:rPr>
          <w:rFonts w:asciiTheme="minorHAnsi" w:hAnsiTheme="minorHAnsi" w:cstheme="minorHAnsi"/>
          <w:sz w:val="20"/>
          <w:szCs w:val="20"/>
        </w:rPr>
        <w:t>ath teachers’ edition from G4 to G5 by end of Jun 2015)</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Situation Analysis survey is being conducted</w:t>
      </w:r>
    </w:p>
    <w:p w:rsidR="00157F92" w:rsidRPr="005F120D" w:rsidRDefault="00157F92" w:rsidP="00B25E46">
      <w:pPr>
        <w:pStyle w:val="ListParagraph"/>
        <w:widowControl w:val="0"/>
        <w:numPr>
          <w:ilvl w:val="0"/>
          <w:numId w:val="115"/>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Leadership Training for Head Teachers (AOP 135) training manual is being reviewed</w:t>
      </w:r>
    </w:p>
    <w:p w:rsidR="00157F92" w:rsidRPr="005F120D" w:rsidRDefault="00157F92" w:rsidP="00B25E46">
      <w:pPr>
        <w:pStyle w:val="ListParagraph"/>
        <w:widowControl w:val="0"/>
        <w:numPr>
          <w:ilvl w:val="0"/>
          <w:numId w:val="115"/>
        </w:numPr>
        <w:contextualSpacing w:val="0"/>
        <w:jc w:val="both"/>
        <w:rPr>
          <w:rFonts w:asciiTheme="minorHAnsi" w:hAnsiTheme="minorHAnsi" w:cstheme="minorHAnsi"/>
          <w:sz w:val="20"/>
          <w:szCs w:val="20"/>
        </w:rPr>
      </w:pPr>
      <w:r w:rsidRPr="005F120D">
        <w:rPr>
          <w:rFonts w:asciiTheme="minorHAnsi" w:hAnsiTheme="minorHAnsi" w:cstheme="minorHAnsi"/>
          <w:sz w:val="20"/>
          <w:szCs w:val="20"/>
        </w:rPr>
        <w:t>TV Drama “Rupantar Kotha 4” is under preparation</w:t>
      </w:r>
    </w:p>
    <w:p w:rsidR="00157F92" w:rsidRPr="005F120D" w:rsidRDefault="00157F92" w:rsidP="00B25E46">
      <w:pPr>
        <w:spacing w:before="240"/>
        <w:rPr>
          <w:rFonts w:asciiTheme="minorHAnsi" w:hAnsiTheme="minorHAnsi" w:cstheme="minorHAnsi"/>
          <w:b/>
          <w:color w:val="3333FF"/>
          <w:sz w:val="20"/>
        </w:rPr>
      </w:pPr>
      <w:r w:rsidRPr="005F120D">
        <w:rPr>
          <w:rFonts w:asciiTheme="minorHAnsi" w:hAnsiTheme="minorHAnsi" w:cstheme="minorHAnsi"/>
          <w:b/>
          <w:color w:val="3333FF"/>
          <w:sz w:val="20"/>
        </w:rPr>
        <w:t>Year 5 (2015-16):</w:t>
      </w:r>
    </w:p>
    <w:p w:rsidR="00157F92" w:rsidRPr="005F120D" w:rsidRDefault="00157F92" w:rsidP="00B25E46">
      <w:pPr>
        <w:pStyle w:val="ListParagraph"/>
        <w:widowControl w:val="0"/>
        <w:numPr>
          <w:ilvl w:val="0"/>
          <w:numId w:val="110"/>
        </w:numPr>
        <w:spacing w:before="240"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Large Scale Tryout of revised textbook (JICA Exper</w:t>
      </w:r>
      <w:r w:rsidR="0030195B" w:rsidRPr="005F120D">
        <w:rPr>
          <w:rFonts w:asciiTheme="minorHAnsi" w:hAnsiTheme="minorHAnsi" w:cstheme="minorHAnsi"/>
          <w:sz w:val="20"/>
          <w:szCs w:val="20"/>
        </w:rPr>
        <w:t>t team assisted NCTB to refine S</w:t>
      </w:r>
      <w:r w:rsidRPr="005F120D">
        <w:rPr>
          <w:rFonts w:asciiTheme="minorHAnsi" w:hAnsiTheme="minorHAnsi" w:cstheme="minorHAnsi"/>
          <w:sz w:val="20"/>
          <w:szCs w:val="20"/>
        </w:rPr>
        <w:t>cien</w:t>
      </w:r>
      <w:r w:rsidR="0030195B" w:rsidRPr="005F120D">
        <w:rPr>
          <w:rFonts w:asciiTheme="minorHAnsi" w:hAnsiTheme="minorHAnsi" w:cstheme="minorHAnsi"/>
          <w:sz w:val="20"/>
          <w:szCs w:val="20"/>
        </w:rPr>
        <w:t>ce and M</w:t>
      </w:r>
      <w:r w:rsidRPr="005F120D">
        <w:rPr>
          <w:rFonts w:asciiTheme="minorHAnsi" w:hAnsiTheme="minorHAnsi" w:cstheme="minorHAnsi"/>
          <w:sz w:val="20"/>
          <w:szCs w:val="20"/>
        </w:rPr>
        <w:t>ath textbook from G4 to G5)</w:t>
      </w:r>
    </w:p>
    <w:p w:rsidR="00157F92" w:rsidRPr="005F120D" w:rsidRDefault="00157F92" w:rsidP="00B25E46">
      <w:pPr>
        <w:pStyle w:val="ListParagraph"/>
        <w:widowControl w:val="0"/>
        <w:numPr>
          <w:ilvl w:val="0"/>
          <w:numId w:val="110"/>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Teachers’ edition refinement (JICA Exper</w:t>
      </w:r>
      <w:r w:rsidR="0030195B" w:rsidRPr="005F120D">
        <w:rPr>
          <w:rFonts w:asciiTheme="minorHAnsi" w:hAnsiTheme="minorHAnsi" w:cstheme="minorHAnsi"/>
          <w:sz w:val="20"/>
          <w:szCs w:val="20"/>
        </w:rPr>
        <w:t>t team assisted NCTB to refine Science and M</w:t>
      </w:r>
      <w:r w:rsidRPr="005F120D">
        <w:rPr>
          <w:rFonts w:asciiTheme="minorHAnsi" w:hAnsiTheme="minorHAnsi" w:cstheme="minorHAnsi"/>
          <w:sz w:val="20"/>
          <w:szCs w:val="20"/>
        </w:rPr>
        <w:t>ath teachers’ edition from G4 to G5)</w:t>
      </w:r>
    </w:p>
    <w:p w:rsidR="00157F92" w:rsidRPr="005F120D" w:rsidRDefault="00157F92" w:rsidP="00B25E46">
      <w:pPr>
        <w:pStyle w:val="ListParagraph"/>
        <w:widowControl w:val="0"/>
        <w:numPr>
          <w:ilvl w:val="0"/>
          <w:numId w:val="110"/>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Teacher’s Guide refinement</w:t>
      </w:r>
      <w:r w:rsidRPr="005F120D">
        <w:rPr>
          <w:rFonts w:asciiTheme="minorHAnsi" w:hAnsiTheme="minorHAnsi" w:cstheme="minorHAnsi"/>
          <w:bCs/>
          <w:sz w:val="20"/>
          <w:szCs w:val="20"/>
        </w:rPr>
        <w:t xml:space="preserve"> (G1 &amp; G2 Environment Science and Social Studies are being refined by JICA Experts)</w:t>
      </w:r>
    </w:p>
    <w:p w:rsidR="00157F92" w:rsidRPr="005F120D" w:rsidRDefault="00157F92" w:rsidP="00B25E46">
      <w:pPr>
        <w:pStyle w:val="ListParagraph"/>
        <w:widowControl w:val="0"/>
        <w:numPr>
          <w:ilvl w:val="0"/>
          <w:numId w:val="110"/>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Textbook &amp; Curriculum Seminar (27 Aug)</w:t>
      </w:r>
      <w:r w:rsidRPr="005F120D">
        <w:rPr>
          <w:rFonts w:asciiTheme="minorHAnsi" w:hAnsiTheme="minorHAnsi" w:cstheme="minorHAnsi"/>
          <w:bCs/>
          <w:sz w:val="20"/>
          <w:szCs w:val="20"/>
        </w:rPr>
        <w:t xml:space="preserve"> at IER</w:t>
      </w:r>
    </w:p>
    <w:p w:rsidR="00157F92" w:rsidRPr="005F120D" w:rsidRDefault="00157F92" w:rsidP="00B25E46">
      <w:pPr>
        <w:pStyle w:val="ListParagraph"/>
        <w:widowControl w:val="0"/>
        <w:numPr>
          <w:ilvl w:val="0"/>
          <w:numId w:val="110"/>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Lesson Evaluation Workshop (1) (11-13 Oct)</w:t>
      </w:r>
      <w:r w:rsidRPr="005F120D">
        <w:rPr>
          <w:rFonts w:asciiTheme="minorHAnsi" w:hAnsiTheme="minorHAnsi" w:cstheme="minorHAnsi"/>
          <w:bCs/>
          <w:sz w:val="20"/>
          <w:szCs w:val="20"/>
        </w:rPr>
        <w:t xml:space="preserve"> at DPE</w:t>
      </w:r>
    </w:p>
    <w:p w:rsidR="00157F92" w:rsidRPr="005F120D" w:rsidRDefault="00157F92" w:rsidP="00B25E46">
      <w:pPr>
        <w:pStyle w:val="ListParagraph"/>
        <w:widowControl w:val="0"/>
        <w:numPr>
          <w:ilvl w:val="0"/>
          <w:numId w:val="110"/>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Lesson Evaluation Workshop (2) (10-12 Nov.)</w:t>
      </w:r>
      <w:r w:rsidRPr="005F120D">
        <w:rPr>
          <w:rFonts w:asciiTheme="minorHAnsi" w:hAnsiTheme="minorHAnsi" w:cstheme="minorHAnsi"/>
          <w:bCs/>
          <w:sz w:val="20"/>
          <w:szCs w:val="20"/>
        </w:rPr>
        <w:t xml:space="preserve"> at NAPE</w:t>
      </w:r>
    </w:p>
    <w:p w:rsidR="00157F92" w:rsidRPr="005F120D" w:rsidRDefault="00157F92" w:rsidP="00B25E46">
      <w:pPr>
        <w:pStyle w:val="ListParagraph"/>
        <w:widowControl w:val="0"/>
        <w:numPr>
          <w:ilvl w:val="0"/>
          <w:numId w:val="110"/>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TV Drama “Rupantar Kotha 4” developed and distributed</w:t>
      </w:r>
    </w:p>
    <w:p w:rsidR="00157F92" w:rsidRPr="005F120D" w:rsidRDefault="00157F92" w:rsidP="00B25E46">
      <w:pPr>
        <w:pStyle w:val="ListParagraph"/>
        <w:widowControl w:val="0"/>
        <w:numPr>
          <w:ilvl w:val="0"/>
          <w:numId w:val="110"/>
        </w:numPr>
        <w:spacing w:after="0"/>
        <w:contextualSpacing w:val="0"/>
        <w:jc w:val="both"/>
        <w:rPr>
          <w:rFonts w:asciiTheme="minorHAnsi" w:hAnsiTheme="minorHAnsi" w:cstheme="minorHAnsi"/>
          <w:sz w:val="20"/>
          <w:szCs w:val="20"/>
        </w:rPr>
      </w:pPr>
      <w:r w:rsidRPr="005F120D">
        <w:rPr>
          <w:rFonts w:asciiTheme="minorHAnsi" w:hAnsiTheme="minorHAnsi" w:cstheme="minorHAnsi"/>
          <w:sz w:val="20"/>
          <w:szCs w:val="20"/>
        </w:rPr>
        <w:t>Situation Analysis survey is being conducted</w:t>
      </w:r>
    </w:p>
    <w:p w:rsidR="00157F92" w:rsidRPr="005F120D" w:rsidRDefault="00157F92" w:rsidP="00B25E46">
      <w:pPr>
        <w:pStyle w:val="ListParagraph"/>
        <w:widowControl w:val="0"/>
        <w:numPr>
          <w:ilvl w:val="0"/>
          <w:numId w:val="110"/>
        </w:numPr>
        <w:spacing w:after="0"/>
        <w:contextualSpacing w:val="0"/>
        <w:jc w:val="both"/>
        <w:rPr>
          <w:rFonts w:asciiTheme="minorHAnsi" w:hAnsiTheme="minorHAnsi" w:cstheme="minorHAnsi"/>
          <w:b/>
          <w:sz w:val="20"/>
          <w:szCs w:val="20"/>
        </w:rPr>
      </w:pPr>
      <w:r w:rsidRPr="005F120D">
        <w:rPr>
          <w:rFonts w:asciiTheme="minorHAnsi" w:hAnsiTheme="minorHAnsi" w:cstheme="minorHAnsi"/>
          <w:sz w:val="20"/>
          <w:szCs w:val="20"/>
        </w:rPr>
        <w:t>Leadership Training for Head Teachers (AOP 135) training is monitored</w:t>
      </w:r>
    </w:p>
    <w:p w:rsidR="00157F92" w:rsidRPr="005F120D" w:rsidRDefault="00157F92" w:rsidP="00B25E46">
      <w:pPr>
        <w:pStyle w:val="ListParagraph"/>
        <w:widowControl w:val="0"/>
        <w:numPr>
          <w:ilvl w:val="0"/>
          <w:numId w:val="0"/>
        </w:numPr>
        <w:spacing w:after="0"/>
        <w:ind w:left="420"/>
        <w:contextualSpacing w:val="0"/>
        <w:jc w:val="both"/>
        <w:rPr>
          <w:rFonts w:asciiTheme="minorHAnsi" w:hAnsiTheme="minorHAnsi" w:cstheme="minorHAnsi"/>
          <w:b/>
          <w:sz w:val="20"/>
          <w:szCs w:val="20"/>
        </w:rPr>
      </w:pPr>
    </w:p>
    <w:p w:rsidR="002E6124" w:rsidRPr="005F120D" w:rsidRDefault="002E6124" w:rsidP="00B25E46">
      <w:pPr>
        <w:pStyle w:val="NoSpacing"/>
        <w:rPr>
          <w:rFonts w:asciiTheme="minorHAnsi" w:hAnsiTheme="minorHAnsi" w:cstheme="minorHAnsi"/>
          <w:b/>
          <w:sz w:val="16"/>
          <w:szCs w:val="16"/>
        </w:rPr>
      </w:pPr>
      <w:r w:rsidRPr="005F120D">
        <w:rPr>
          <w:rFonts w:asciiTheme="minorHAnsi" w:hAnsiTheme="minorHAnsi" w:cstheme="minorHAnsi"/>
          <w:b/>
          <w:sz w:val="16"/>
          <w:szCs w:val="16"/>
        </w:rPr>
        <w:t>Source: JICA report</w:t>
      </w:r>
    </w:p>
    <w:p w:rsidR="00157F92" w:rsidRPr="005F120D" w:rsidRDefault="00157F92" w:rsidP="00B25E46">
      <w:pPr>
        <w:pStyle w:val="Heading1NONUM"/>
        <w:rPr>
          <w:rFonts w:cstheme="minorHAnsi"/>
          <w:color w:val="008000"/>
        </w:rPr>
      </w:pPr>
    </w:p>
    <w:p w:rsidR="00157F92" w:rsidRPr="005F120D" w:rsidRDefault="00157F92" w:rsidP="00B25E46">
      <w:pPr>
        <w:pStyle w:val="BodyText1"/>
        <w:spacing w:line="240" w:lineRule="auto"/>
        <w:rPr>
          <w:rFonts w:asciiTheme="minorHAnsi" w:hAnsiTheme="minorHAnsi" w:cstheme="minorHAnsi"/>
        </w:rPr>
      </w:pPr>
    </w:p>
    <w:p w:rsidR="00332BB3" w:rsidRPr="005F120D" w:rsidRDefault="002E6124" w:rsidP="00B25E46">
      <w:pPr>
        <w:pStyle w:val="Heading1NONUM"/>
        <w:rPr>
          <w:rFonts w:cstheme="minorHAnsi"/>
          <w:color w:val="008000"/>
        </w:rPr>
      </w:pPr>
      <w:bookmarkStart w:id="659" w:name="_Toc462837211"/>
      <w:r w:rsidRPr="005F120D">
        <w:rPr>
          <w:rFonts w:cstheme="minorHAnsi"/>
          <w:color w:val="008000"/>
        </w:rPr>
        <w:lastRenderedPageBreak/>
        <w:t xml:space="preserve">Annex </w:t>
      </w:r>
      <w:r w:rsidR="00D011E9" w:rsidRPr="005F120D">
        <w:rPr>
          <w:rFonts w:cstheme="minorHAnsi"/>
          <w:color w:val="008000"/>
        </w:rPr>
        <w:t>F</w:t>
      </w:r>
      <w:r w:rsidR="00332BB3" w:rsidRPr="005F120D">
        <w:rPr>
          <w:rFonts w:cstheme="minorHAnsi"/>
          <w:color w:val="008000"/>
        </w:rPr>
        <w:t xml:space="preserve">:  Summary Description of </w:t>
      </w:r>
      <w:r w:rsidR="00F96814" w:rsidRPr="005F120D">
        <w:rPr>
          <w:rFonts w:cstheme="minorHAnsi"/>
          <w:color w:val="008000"/>
        </w:rPr>
        <w:t>Discrete</w:t>
      </w:r>
      <w:r w:rsidR="00332BB3" w:rsidRPr="005F120D">
        <w:rPr>
          <w:rFonts w:cstheme="minorHAnsi"/>
          <w:color w:val="008000"/>
        </w:rPr>
        <w:t xml:space="preserve"> Projects</w:t>
      </w:r>
      <w:bookmarkEnd w:id="657"/>
      <w:bookmarkEnd w:id="659"/>
    </w:p>
    <w:p w:rsidR="005A115F" w:rsidRPr="005F120D" w:rsidRDefault="00F96814" w:rsidP="00B25E46">
      <w:pPr>
        <w:pStyle w:val="Heading3NONUM"/>
        <w:spacing w:after="120"/>
        <w:rPr>
          <w:rFonts w:asciiTheme="minorHAnsi" w:hAnsiTheme="minorHAnsi" w:cstheme="minorHAnsi"/>
          <w:szCs w:val="24"/>
        </w:rPr>
      </w:pPr>
      <w:bookmarkStart w:id="660" w:name="_Toc385419539"/>
      <w:r w:rsidRPr="005F120D">
        <w:rPr>
          <w:rFonts w:asciiTheme="minorHAnsi" w:hAnsiTheme="minorHAnsi" w:cstheme="minorHAnsi"/>
          <w:szCs w:val="24"/>
        </w:rPr>
        <w:t>Discrete</w:t>
      </w:r>
      <w:r w:rsidR="005A115F" w:rsidRPr="005F120D">
        <w:rPr>
          <w:rFonts w:asciiTheme="minorHAnsi" w:hAnsiTheme="minorHAnsi" w:cstheme="minorHAnsi"/>
          <w:szCs w:val="24"/>
        </w:rPr>
        <w:t xml:space="preserve"> Project</w:t>
      </w:r>
      <w:r w:rsidR="00605A3D" w:rsidRPr="005F120D">
        <w:rPr>
          <w:rFonts w:asciiTheme="minorHAnsi" w:hAnsiTheme="minorHAnsi" w:cstheme="minorHAnsi"/>
          <w:szCs w:val="24"/>
        </w:rPr>
        <w:t>s</w:t>
      </w:r>
      <w:r w:rsidR="00174B35" w:rsidRPr="005F120D">
        <w:rPr>
          <w:rFonts w:asciiTheme="minorHAnsi" w:hAnsiTheme="minorHAnsi" w:cstheme="minorHAnsi"/>
          <w:szCs w:val="24"/>
        </w:rPr>
        <w:t xml:space="preserve"> (Formal Education)</w:t>
      </w:r>
    </w:p>
    <w:p w:rsidR="00F52867" w:rsidRPr="005F120D" w:rsidRDefault="00F52867" w:rsidP="00B25E46">
      <w:pPr>
        <w:pStyle w:val="Heading2NONUM"/>
        <w:numPr>
          <w:ilvl w:val="0"/>
          <w:numId w:val="36"/>
        </w:numPr>
        <w:spacing w:before="0" w:after="0"/>
        <w:rPr>
          <w:rFonts w:asciiTheme="minorHAnsi" w:hAnsiTheme="minorHAnsi" w:cstheme="minorHAnsi"/>
          <w:color w:val="3333FF"/>
          <w:sz w:val="22"/>
          <w:szCs w:val="22"/>
        </w:rPr>
      </w:pPr>
      <w:bookmarkStart w:id="661" w:name="_Toc385245746"/>
      <w:r w:rsidRPr="005F120D">
        <w:rPr>
          <w:rFonts w:asciiTheme="minorHAnsi" w:hAnsiTheme="minorHAnsi" w:cstheme="minorHAnsi"/>
          <w:color w:val="3333FF"/>
          <w:sz w:val="22"/>
          <w:szCs w:val="22"/>
        </w:rPr>
        <w:t xml:space="preserve">Name of the Project:  </w:t>
      </w:r>
      <w:r w:rsidRPr="005F120D">
        <w:rPr>
          <w:rFonts w:asciiTheme="minorHAnsi" w:hAnsiTheme="minorHAnsi" w:cstheme="minorHAnsi"/>
          <w:color w:val="3333FF"/>
          <w:sz w:val="22"/>
          <w:szCs w:val="22"/>
          <w:u w:val="single"/>
        </w:rPr>
        <w:t>Establishment of 1,500 nos. Primary Schools  in Unschooled Area</w:t>
      </w:r>
    </w:p>
    <w:p w:rsidR="00F52867" w:rsidRPr="005F120D" w:rsidRDefault="00F52867" w:rsidP="00B25E46">
      <w:pPr>
        <w:pStyle w:val="BodyText1"/>
        <w:spacing w:after="0" w:line="240" w:lineRule="auto"/>
        <w:rPr>
          <w:rFonts w:asciiTheme="minorHAnsi" w:hAnsiTheme="minorHAnsi" w:cstheme="minorHAnsi"/>
          <w:sz w:val="20"/>
          <w:szCs w:val="20"/>
        </w:rPr>
      </w:pPr>
    </w:p>
    <w:p w:rsidR="00F52867" w:rsidRPr="005F120D" w:rsidRDefault="00F52867" w:rsidP="00B25E46">
      <w:pPr>
        <w:pStyle w:val="BodyText1"/>
        <w:spacing w:after="0" w:line="240" w:lineRule="auto"/>
        <w:jc w:val="both"/>
        <w:rPr>
          <w:rFonts w:asciiTheme="minorHAnsi" w:hAnsiTheme="minorHAnsi" w:cstheme="minorHAnsi"/>
          <w:b w:val="0"/>
          <w:sz w:val="20"/>
          <w:szCs w:val="20"/>
        </w:rPr>
      </w:pPr>
      <w:r w:rsidRPr="005F120D">
        <w:rPr>
          <w:rFonts w:asciiTheme="minorHAnsi" w:hAnsiTheme="minorHAnsi" w:cstheme="minorHAnsi"/>
          <w:sz w:val="20"/>
          <w:szCs w:val="20"/>
        </w:rPr>
        <w:t>Goal/Aim:</w:t>
      </w:r>
      <w:r w:rsidRPr="005F120D">
        <w:rPr>
          <w:rFonts w:asciiTheme="minorHAnsi" w:hAnsiTheme="minorHAnsi" w:cstheme="minorHAnsi"/>
          <w:b w:val="0"/>
          <w:sz w:val="20"/>
          <w:szCs w:val="20"/>
        </w:rPr>
        <w:t xml:space="preserve"> The </w:t>
      </w:r>
      <w:r w:rsidRPr="005F120D">
        <w:rPr>
          <w:rFonts w:asciiTheme="minorHAnsi" w:hAnsiTheme="minorHAnsi" w:cstheme="minorHAnsi"/>
          <w:b w:val="0"/>
          <w:sz w:val="20"/>
        </w:rPr>
        <w:t>goal or aim of</w:t>
      </w:r>
      <w:r w:rsidRPr="005F120D">
        <w:rPr>
          <w:rFonts w:asciiTheme="minorHAnsi" w:hAnsiTheme="minorHAnsi" w:cstheme="minorHAnsi"/>
          <w:b w:val="0"/>
          <w:sz w:val="20"/>
          <w:szCs w:val="20"/>
        </w:rPr>
        <w:t xml:space="preserve"> the project is to ensure children access to education in unschooled areas (both rural and urban area) through the construction of 1,500 new primary schools in</w:t>
      </w:r>
      <w:r w:rsidR="0030195B" w:rsidRPr="005F120D">
        <w:rPr>
          <w:rFonts w:asciiTheme="minorHAnsi" w:hAnsiTheme="minorHAnsi" w:cstheme="minorHAnsi"/>
          <w:b w:val="0"/>
          <w:sz w:val="20"/>
          <w:szCs w:val="20"/>
        </w:rPr>
        <w:t xml:space="preserve"> un-schooled area for fulfilling  of commitment that </w:t>
      </w:r>
      <w:r w:rsidRPr="005F120D">
        <w:rPr>
          <w:rFonts w:asciiTheme="minorHAnsi" w:hAnsiTheme="minorHAnsi" w:cstheme="minorHAnsi"/>
          <w:b w:val="0"/>
          <w:sz w:val="20"/>
          <w:szCs w:val="20"/>
        </w:rPr>
        <w:t>each village has at least one school’</w:t>
      </w:r>
    </w:p>
    <w:p w:rsidR="00F52867" w:rsidRPr="005F120D" w:rsidRDefault="00F52867" w:rsidP="00B25E46">
      <w:pPr>
        <w:pStyle w:val="BodyText1"/>
        <w:spacing w:before="120" w:after="120" w:line="240" w:lineRule="auto"/>
        <w:jc w:val="both"/>
        <w:rPr>
          <w:rFonts w:asciiTheme="minorHAnsi" w:hAnsiTheme="minorHAnsi" w:cstheme="minorHAnsi"/>
          <w:sz w:val="20"/>
          <w:szCs w:val="20"/>
        </w:rPr>
      </w:pPr>
      <w:r w:rsidRPr="005F120D">
        <w:rPr>
          <w:rFonts w:asciiTheme="minorHAnsi" w:hAnsiTheme="minorHAnsi" w:cstheme="minorHAnsi"/>
          <w:sz w:val="20"/>
          <w:szCs w:val="20"/>
        </w:rPr>
        <w:t>Purpose/Objective:</w:t>
      </w:r>
    </w:p>
    <w:p w:rsidR="008B6D0F" w:rsidRPr="005F120D" w:rsidRDefault="00F52867" w:rsidP="00B25E46">
      <w:pPr>
        <w:numPr>
          <w:ilvl w:val="0"/>
          <w:numId w:val="59"/>
        </w:numPr>
        <w:spacing w:after="0"/>
        <w:contextualSpacing/>
        <w:jc w:val="both"/>
        <w:rPr>
          <w:rFonts w:asciiTheme="minorHAnsi" w:hAnsiTheme="minorHAnsi" w:cstheme="minorHAnsi"/>
          <w:sz w:val="20"/>
        </w:rPr>
      </w:pPr>
      <w:r w:rsidRPr="005F120D">
        <w:rPr>
          <w:rFonts w:asciiTheme="minorHAnsi" w:hAnsiTheme="minorHAnsi" w:cstheme="minorHAnsi"/>
          <w:sz w:val="20"/>
        </w:rPr>
        <w:t>To construct</w:t>
      </w:r>
      <w:r w:rsidR="008B6D0F" w:rsidRPr="005F120D">
        <w:rPr>
          <w:rFonts w:asciiTheme="minorHAnsi" w:hAnsiTheme="minorHAnsi" w:cstheme="minorHAnsi"/>
          <w:sz w:val="20"/>
        </w:rPr>
        <w:t xml:space="preserve"> 1500 [Type A: 1,325 schools in un-flood areas ( total cost TK. 722.13 crore)</w:t>
      </w:r>
      <w:r w:rsidRPr="005F120D">
        <w:rPr>
          <w:rFonts w:asciiTheme="minorHAnsi" w:hAnsiTheme="minorHAnsi" w:cstheme="minorHAnsi"/>
          <w:sz w:val="20"/>
        </w:rPr>
        <w:t xml:space="preserve">, Type D: </w:t>
      </w:r>
      <w:r w:rsidR="008B6D0F" w:rsidRPr="005F120D">
        <w:rPr>
          <w:rFonts w:asciiTheme="minorHAnsi" w:hAnsiTheme="minorHAnsi" w:cstheme="minorHAnsi"/>
          <w:sz w:val="20"/>
        </w:rPr>
        <w:t>95 schools in Char, Hoar river erosion areas (18.49 crore</w:t>
      </w:r>
      <w:r w:rsidRPr="005F120D">
        <w:rPr>
          <w:rFonts w:asciiTheme="minorHAnsi" w:hAnsiTheme="minorHAnsi" w:cstheme="minorHAnsi"/>
          <w:sz w:val="20"/>
        </w:rPr>
        <w:t>)</w:t>
      </w:r>
      <w:r w:rsidR="008B6D0F" w:rsidRPr="005F120D">
        <w:rPr>
          <w:rFonts w:asciiTheme="minorHAnsi" w:hAnsiTheme="minorHAnsi" w:cstheme="minorHAnsi"/>
          <w:sz w:val="20"/>
        </w:rPr>
        <w:t xml:space="preserve"> and need based design80 </w:t>
      </w:r>
      <w:r w:rsidRPr="005F120D">
        <w:rPr>
          <w:rFonts w:asciiTheme="minorHAnsi" w:hAnsiTheme="minorHAnsi" w:cstheme="minorHAnsi"/>
          <w:sz w:val="20"/>
        </w:rPr>
        <w:t>primary school in unschooled area</w:t>
      </w:r>
      <w:r w:rsidR="008B6D0F" w:rsidRPr="005F120D">
        <w:rPr>
          <w:rFonts w:asciiTheme="minorHAnsi" w:hAnsiTheme="minorHAnsi" w:cstheme="minorHAnsi"/>
          <w:sz w:val="20"/>
        </w:rPr>
        <w:t xml:space="preserve"> (TK. 69 crore);</w:t>
      </w:r>
    </w:p>
    <w:p w:rsidR="008B6D0F" w:rsidRPr="005F120D" w:rsidRDefault="00F52867" w:rsidP="00B25E46">
      <w:pPr>
        <w:numPr>
          <w:ilvl w:val="0"/>
          <w:numId w:val="59"/>
        </w:numPr>
        <w:spacing w:after="0"/>
        <w:contextualSpacing/>
        <w:jc w:val="both"/>
        <w:rPr>
          <w:rFonts w:asciiTheme="minorHAnsi" w:hAnsiTheme="minorHAnsi" w:cstheme="minorHAnsi"/>
          <w:sz w:val="20"/>
        </w:rPr>
      </w:pPr>
      <w:r w:rsidRPr="005F120D">
        <w:rPr>
          <w:rFonts w:asciiTheme="minorHAnsi" w:hAnsiTheme="minorHAnsi" w:cstheme="minorHAnsi"/>
          <w:sz w:val="20"/>
        </w:rPr>
        <w:t>To construct sanitary latrines (One for Boys and One for Girls)</w:t>
      </w:r>
      <w:r w:rsidR="008B6D0F" w:rsidRPr="005F120D">
        <w:rPr>
          <w:rFonts w:asciiTheme="minorHAnsi" w:hAnsiTheme="minorHAnsi" w:cstheme="minorHAnsi"/>
          <w:sz w:val="20"/>
        </w:rPr>
        <w:t>;</w:t>
      </w:r>
    </w:p>
    <w:p w:rsidR="008B6D0F" w:rsidRPr="005F120D" w:rsidRDefault="008B6D0F" w:rsidP="00B25E46">
      <w:pPr>
        <w:numPr>
          <w:ilvl w:val="0"/>
          <w:numId w:val="59"/>
        </w:numPr>
        <w:spacing w:after="0"/>
        <w:contextualSpacing/>
        <w:jc w:val="both"/>
        <w:rPr>
          <w:rFonts w:asciiTheme="minorHAnsi" w:hAnsiTheme="minorHAnsi" w:cstheme="minorHAnsi"/>
          <w:sz w:val="20"/>
        </w:rPr>
      </w:pPr>
      <w:r w:rsidRPr="005F120D">
        <w:rPr>
          <w:rFonts w:asciiTheme="minorHAnsi" w:hAnsiTheme="minorHAnsi" w:cstheme="minorHAnsi"/>
          <w:sz w:val="20"/>
        </w:rPr>
        <w:t> </w:t>
      </w:r>
      <w:r w:rsidR="0030195B" w:rsidRPr="005F120D">
        <w:rPr>
          <w:rFonts w:asciiTheme="minorHAnsi" w:hAnsiTheme="minorHAnsi" w:cstheme="minorHAnsi"/>
          <w:sz w:val="20"/>
        </w:rPr>
        <w:t>To  sink</w:t>
      </w:r>
      <w:r w:rsidR="00F52867" w:rsidRPr="005F120D">
        <w:rPr>
          <w:rFonts w:asciiTheme="minorHAnsi" w:hAnsiTheme="minorHAnsi" w:cstheme="minorHAnsi"/>
          <w:sz w:val="20"/>
        </w:rPr>
        <w:t xml:space="preserve"> arsenic free tube-wells in the constructed schools</w:t>
      </w:r>
      <w:r w:rsidRPr="005F120D">
        <w:rPr>
          <w:rFonts w:asciiTheme="minorHAnsi" w:hAnsiTheme="minorHAnsi" w:cstheme="minorHAnsi"/>
          <w:sz w:val="20"/>
        </w:rPr>
        <w:t>;</w:t>
      </w:r>
      <w:r w:rsidR="00F52867" w:rsidRPr="005F120D">
        <w:rPr>
          <w:rFonts w:asciiTheme="minorHAnsi" w:hAnsiTheme="minorHAnsi" w:cstheme="minorHAnsi"/>
          <w:sz w:val="20"/>
        </w:rPr>
        <w:t xml:space="preserve"> and</w:t>
      </w:r>
    </w:p>
    <w:p w:rsidR="00F52867" w:rsidRPr="005F120D" w:rsidRDefault="00F52867" w:rsidP="00B25E46">
      <w:pPr>
        <w:numPr>
          <w:ilvl w:val="0"/>
          <w:numId w:val="59"/>
        </w:numPr>
        <w:spacing w:after="0"/>
        <w:contextualSpacing/>
        <w:jc w:val="both"/>
        <w:rPr>
          <w:rFonts w:asciiTheme="minorHAnsi" w:hAnsiTheme="minorHAnsi" w:cstheme="minorHAnsi"/>
          <w:sz w:val="20"/>
        </w:rPr>
      </w:pPr>
      <w:r w:rsidRPr="005F120D">
        <w:rPr>
          <w:rFonts w:asciiTheme="minorHAnsi" w:hAnsiTheme="minorHAnsi" w:cstheme="minorHAnsi"/>
          <w:sz w:val="20"/>
        </w:rPr>
        <w:t>To supply furniture to constructed schools.</w:t>
      </w:r>
    </w:p>
    <w:p w:rsidR="00F52867" w:rsidRPr="005F120D" w:rsidRDefault="00F52867" w:rsidP="00B25E46">
      <w:pPr>
        <w:pStyle w:val="BodyText1"/>
        <w:spacing w:before="120" w:after="120" w:line="240" w:lineRule="auto"/>
        <w:jc w:val="both"/>
        <w:rPr>
          <w:rFonts w:asciiTheme="minorHAnsi" w:hAnsiTheme="minorHAnsi" w:cstheme="minorHAnsi"/>
          <w:sz w:val="20"/>
          <w:szCs w:val="20"/>
        </w:rPr>
      </w:pPr>
      <w:r w:rsidRPr="005F120D">
        <w:rPr>
          <w:rFonts w:asciiTheme="minorHAnsi" w:hAnsiTheme="minorHAnsi" w:cstheme="minorHAnsi"/>
          <w:sz w:val="20"/>
          <w:szCs w:val="20"/>
        </w:rPr>
        <w:t>Implementation Period: July 2010 to June 2015</w:t>
      </w:r>
      <w:r w:rsidR="00782F9F" w:rsidRPr="005F120D">
        <w:rPr>
          <w:rFonts w:asciiTheme="minorHAnsi" w:hAnsiTheme="minorHAnsi" w:cstheme="minorHAnsi"/>
          <w:sz w:val="20"/>
          <w:szCs w:val="20"/>
        </w:rPr>
        <w:t xml:space="preserve"> extended up to December 2016</w:t>
      </w:r>
    </w:p>
    <w:p w:rsidR="00F52867" w:rsidRPr="005F120D" w:rsidRDefault="00F52867" w:rsidP="00B25E46">
      <w:pPr>
        <w:pStyle w:val="BodyText1"/>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 xml:space="preserve">Implementation Cost: </w:t>
      </w:r>
      <w:r w:rsidR="008B6D0F" w:rsidRPr="005F120D">
        <w:rPr>
          <w:rFonts w:asciiTheme="minorHAnsi" w:hAnsiTheme="minorHAnsi" w:cstheme="minorHAnsi"/>
          <w:b w:val="0"/>
          <w:sz w:val="20"/>
          <w:szCs w:val="20"/>
        </w:rPr>
        <w:t>Original budget was</w:t>
      </w:r>
      <w:r w:rsidR="00A61F5E">
        <w:rPr>
          <w:rFonts w:asciiTheme="minorHAnsi" w:hAnsiTheme="minorHAnsi" w:cstheme="minorHAnsi"/>
          <w:b w:val="0"/>
          <w:sz w:val="20"/>
          <w:szCs w:val="20"/>
        </w:rPr>
        <w:t xml:space="preserve"> </w:t>
      </w:r>
      <w:r w:rsidRPr="005F120D">
        <w:rPr>
          <w:rFonts w:asciiTheme="minorHAnsi" w:hAnsiTheme="minorHAnsi" w:cstheme="minorHAnsi"/>
          <w:b w:val="0"/>
          <w:sz w:val="20"/>
          <w:szCs w:val="20"/>
        </w:rPr>
        <w:t>BDT Eighty three thousand eight hundred sixty seven (</w:t>
      </w:r>
      <w:r w:rsidRPr="005F120D">
        <w:rPr>
          <w:rFonts w:asciiTheme="minorHAnsi" w:hAnsiTheme="minorHAnsi" w:cstheme="minorHAnsi"/>
          <w:b w:val="0"/>
          <w:sz w:val="20"/>
        </w:rPr>
        <w:t xml:space="preserve">83,867) crore </w:t>
      </w:r>
      <w:r w:rsidR="008B6D0F" w:rsidRPr="005F120D">
        <w:rPr>
          <w:rFonts w:asciiTheme="minorHAnsi" w:hAnsiTheme="minorHAnsi" w:cstheme="minorHAnsi"/>
          <w:b w:val="0"/>
          <w:sz w:val="20"/>
        </w:rPr>
        <w:t xml:space="preserve">and revised budget is BDT 905.7494 crore </w:t>
      </w:r>
      <w:r w:rsidRPr="005F120D">
        <w:rPr>
          <w:rFonts w:asciiTheme="minorHAnsi" w:hAnsiTheme="minorHAnsi" w:cstheme="minorHAnsi"/>
          <w:b w:val="0"/>
          <w:sz w:val="20"/>
        </w:rPr>
        <w:t>only.</w:t>
      </w:r>
    </w:p>
    <w:p w:rsidR="00782F9F" w:rsidRPr="005F120D" w:rsidRDefault="00277E86" w:rsidP="00B25E46">
      <w:pPr>
        <w:pStyle w:val="BodyText1"/>
        <w:spacing w:before="120" w:after="120" w:line="240" w:lineRule="auto"/>
        <w:jc w:val="both"/>
        <w:rPr>
          <w:rFonts w:asciiTheme="minorHAnsi" w:hAnsiTheme="minorHAnsi" w:cstheme="minorHAnsi"/>
          <w:sz w:val="20"/>
          <w:szCs w:val="20"/>
        </w:rPr>
      </w:pPr>
      <w:r w:rsidRPr="005F120D">
        <w:rPr>
          <w:rFonts w:asciiTheme="minorHAnsi" w:hAnsiTheme="minorHAnsi" w:cstheme="minorHAnsi"/>
          <w:sz w:val="20"/>
          <w:szCs w:val="20"/>
        </w:rPr>
        <w:t>Coverage as of March 2016</w:t>
      </w:r>
      <w:r w:rsidR="00F52867" w:rsidRPr="005F120D">
        <w:rPr>
          <w:rFonts w:asciiTheme="minorHAnsi" w:hAnsiTheme="minorHAnsi" w:cstheme="minorHAnsi"/>
          <w:sz w:val="20"/>
          <w:szCs w:val="20"/>
        </w:rPr>
        <w:t>:</w:t>
      </w:r>
    </w:p>
    <w:p w:rsidR="00F52867" w:rsidRPr="005F120D" w:rsidRDefault="00F52867" w:rsidP="00B25E46">
      <w:pPr>
        <w:jc w:val="both"/>
        <w:rPr>
          <w:rFonts w:asciiTheme="minorHAnsi" w:hAnsiTheme="minorHAnsi" w:cstheme="minorHAnsi"/>
          <w:sz w:val="20"/>
        </w:rPr>
      </w:pPr>
      <w:r w:rsidRPr="005F120D">
        <w:rPr>
          <w:rFonts w:asciiTheme="minorHAnsi" w:hAnsiTheme="minorHAnsi" w:cstheme="minorHAnsi"/>
          <w:sz w:val="20"/>
        </w:rPr>
        <w:t>Of these 1,500 schools, 1,330 schools (A type)</w:t>
      </w:r>
      <w:r w:rsidR="0030195B" w:rsidRPr="005F120D">
        <w:rPr>
          <w:rFonts w:asciiTheme="minorHAnsi" w:hAnsiTheme="minorHAnsi" w:cstheme="minorHAnsi"/>
          <w:sz w:val="20"/>
        </w:rPr>
        <w:t xml:space="preserve"> were</w:t>
      </w:r>
      <w:r w:rsidRPr="005F120D">
        <w:rPr>
          <w:rFonts w:asciiTheme="minorHAnsi" w:hAnsiTheme="minorHAnsi" w:cstheme="minorHAnsi"/>
          <w:sz w:val="20"/>
        </w:rPr>
        <w:t xml:space="preserve"> to be established in the flood free areas at the cost of Taka 69,703 crore; 120 schools (D type) to</w:t>
      </w:r>
      <w:r w:rsidR="0030195B" w:rsidRPr="005F120D">
        <w:rPr>
          <w:rFonts w:asciiTheme="minorHAnsi" w:hAnsiTheme="minorHAnsi" w:cstheme="minorHAnsi"/>
          <w:sz w:val="20"/>
        </w:rPr>
        <w:t xml:space="preserve"> be</w:t>
      </w:r>
      <w:r w:rsidRPr="005F120D">
        <w:rPr>
          <w:rFonts w:asciiTheme="minorHAnsi" w:hAnsiTheme="minorHAnsi" w:cstheme="minorHAnsi"/>
          <w:sz w:val="20"/>
        </w:rPr>
        <w:t xml:space="preserve"> established in Char, </w:t>
      </w:r>
      <w:r w:rsidR="00A61F5E" w:rsidRPr="005F120D">
        <w:rPr>
          <w:rFonts w:asciiTheme="minorHAnsi" w:hAnsiTheme="minorHAnsi" w:cstheme="minorHAnsi"/>
          <w:sz w:val="20"/>
        </w:rPr>
        <w:t>Hoar</w:t>
      </w:r>
      <w:r w:rsidRPr="005F120D">
        <w:rPr>
          <w:rFonts w:asciiTheme="minorHAnsi" w:hAnsiTheme="minorHAnsi" w:cstheme="minorHAnsi"/>
          <w:sz w:val="20"/>
        </w:rPr>
        <w:t xml:space="preserve"> and river basin areas at the cost of Taka 2,087 cr</w:t>
      </w:r>
      <w:r w:rsidR="0030195B" w:rsidRPr="005F120D">
        <w:rPr>
          <w:rFonts w:asciiTheme="minorHAnsi" w:hAnsiTheme="minorHAnsi" w:cstheme="minorHAnsi"/>
          <w:sz w:val="20"/>
        </w:rPr>
        <w:t>ore; and 50 schools (C type)</w:t>
      </w:r>
      <w:r w:rsidRPr="005F120D">
        <w:rPr>
          <w:rFonts w:asciiTheme="minorHAnsi" w:hAnsiTheme="minorHAnsi" w:cstheme="minorHAnsi"/>
          <w:sz w:val="20"/>
        </w:rPr>
        <w:t xml:space="preserve"> at the cost of Taka 4,249 crore on need</w:t>
      </w:r>
      <w:r w:rsidR="0030195B" w:rsidRPr="005F120D">
        <w:rPr>
          <w:rFonts w:asciiTheme="minorHAnsi" w:hAnsiTheme="minorHAnsi" w:cstheme="minorHAnsi"/>
          <w:sz w:val="20"/>
        </w:rPr>
        <w:t>s-</w:t>
      </w:r>
      <w:r w:rsidRPr="005F120D">
        <w:rPr>
          <w:rFonts w:asciiTheme="minorHAnsi" w:hAnsiTheme="minorHAnsi" w:cstheme="minorHAnsi"/>
          <w:sz w:val="20"/>
        </w:rPr>
        <w:t>basis.  Project implem</w:t>
      </w:r>
      <w:r w:rsidR="001057DF" w:rsidRPr="005F120D">
        <w:rPr>
          <w:rFonts w:asciiTheme="minorHAnsi" w:hAnsiTheme="minorHAnsi" w:cstheme="minorHAnsi"/>
          <w:sz w:val="20"/>
        </w:rPr>
        <w:t>entation status as of March 2016</w:t>
      </w:r>
      <w:r w:rsidRPr="005F120D">
        <w:rPr>
          <w:rFonts w:asciiTheme="minorHAnsi" w:hAnsiTheme="minorHAnsi" w:cstheme="minorHAnsi"/>
          <w:sz w:val="20"/>
        </w:rPr>
        <w:t xml:space="preserve"> was as follows:</w:t>
      </w:r>
    </w:p>
    <w:tbl>
      <w:tblPr>
        <w:tblW w:w="4934" w:type="pct"/>
        <w:tblInd w:w="108" w:type="dxa"/>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single" w:sz="6" w:space="0" w:color="31849B" w:themeColor="accent5" w:themeShade="BF"/>
          <w:insideV w:val="single" w:sz="6" w:space="0" w:color="31849B" w:themeColor="accent5" w:themeShade="BF"/>
        </w:tblBorders>
        <w:tblLook w:val="04A0"/>
      </w:tblPr>
      <w:tblGrid>
        <w:gridCol w:w="631"/>
        <w:gridCol w:w="4560"/>
        <w:gridCol w:w="2093"/>
        <w:gridCol w:w="1839"/>
      </w:tblGrid>
      <w:tr w:rsidR="00F52867" w:rsidRPr="005F120D" w:rsidTr="001057DF">
        <w:tc>
          <w:tcPr>
            <w:tcW w:w="346" w:type="pct"/>
            <w:shd w:val="clear" w:color="auto" w:fill="4F6228"/>
          </w:tcPr>
          <w:p w:rsidR="00F52867" w:rsidRPr="005F120D" w:rsidRDefault="00F52867" w:rsidP="00B25E46">
            <w:pPr>
              <w:spacing w:after="0"/>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SL #</w:t>
            </w:r>
          </w:p>
        </w:tc>
        <w:tc>
          <w:tcPr>
            <w:tcW w:w="2499" w:type="pct"/>
            <w:shd w:val="clear" w:color="auto" w:fill="4F6228"/>
          </w:tcPr>
          <w:p w:rsidR="00F52867" w:rsidRPr="005F120D" w:rsidRDefault="00F52867" w:rsidP="00B25E46">
            <w:pPr>
              <w:spacing w:after="0"/>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Planned activities</w:t>
            </w:r>
          </w:p>
        </w:tc>
        <w:tc>
          <w:tcPr>
            <w:tcW w:w="1147" w:type="pct"/>
            <w:shd w:val="clear" w:color="auto" w:fill="4F6228"/>
          </w:tcPr>
          <w:p w:rsidR="00F52867" w:rsidRPr="005F120D" w:rsidRDefault="00F52867" w:rsidP="00B25E46">
            <w:pPr>
              <w:spacing w:after="0"/>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Status as of April 201</w:t>
            </w:r>
            <w:r w:rsidR="00277E86" w:rsidRPr="005F120D">
              <w:rPr>
                <w:rFonts w:asciiTheme="minorHAnsi" w:eastAsia="Calibri" w:hAnsiTheme="minorHAnsi" w:cstheme="minorHAnsi"/>
                <w:b/>
                <w:color w:val="FFFFFF" w:themeColor="background1"/>
                <w:sz w:val="20"/>
              </w:rPr>
              <w:t>6</w:t>
            </w:r>
          </w:p>
        </w:tc>
        <w:tc>
          <w:tcPr>
            <w:tcW w:w="1008" w:type="pct"/>
            <w:shd w:val="clear" w:color="auto" w:fill="4F6228"/>
          </w:tcPr>
          <w:p w:rsidR="00F52867" w:rsidRPr="005F120D" w:rsidRDefault="00F52867" w:rsidP="00B25E46">
            <w:pPr>
              <w:spacing w:after="0"/>
              <w:rPr>
                <w:rFonts w:asciiTheme="minorHAnsi" w:eastAsia="Calibri" w:hAnsiTheme="minorHAnsi" w:cstheme="minorHAnsi"/>
                <w:b/>
                <w:color w:val="FFFFFF" w:themeColor="background1"/>
                <w:sz w:val="20"/>
              </w:rPr>
            </w:pPr>
            <w:r w:rsidRPr="005F120D">
              <w:rPr>
                <w:rFonts w:asciiTheme="minorHAnsi" w:eastAsia="Calibri" w:hAnsiTheme="minorHAnsi" w:cstheme="minorHAnsi"/>
                <w:b/>
                <w:color w:val="FFFFFF" w:themeColor="background1"/>
                <w:sz w:val="20"/>
              </w:rPr>
              <w:t>Remarks</w:t>
            </w: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Approved village to establish school (1</w:t>
            </w:r>
            <w:r w:rsidRPr="005F120D">
              <w:rPr>
                <w:rFonts w:asciiTheme="minorHAnsi" w:eastAsia="Calibri" w:hAnsiTheme="minorHAnsi" w:cstheme="minorHAnsi"/>
                <w:sz w:val="18"/>
                <w:szCs w:val="18"/>
                <w:vertAlign w:val="superscript"/>
              </w:rPr>
              <w:t>st</w:t>
            </w:r>
            <w:r w:rsidRPr="005F120D">
              <w:rPr>
                <w:rFonts w:asciiTheme="minorHAnsi" w:eastAsia="Calibri" w:hAnsiTheme="minorHAnsi" w:cstheme="minorHAnsi"/>
                <w:sz w:val="18"/>
                <w:szCs w:val="18"/>
              </w:rPr>
              <w:t xml:space="preserve"> phase)</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686 villages</w:t>
            </w:r>
          </w:p>
        </w:tc>
        <w:tc>
          <w:tcPr>
            <w:tcW w:w="1008" w:type="pct"/>
            <w:shd w:val="clear" w:color="auto" w:fill="auto"/>
          </w:tcPr>
          <w:p w:rsidR="00F52867" w:rsidRPr="005F120D" w:rsidRDefault="00E4113E" w:rsidP="00B25E46">
            <w:pPr>
              <w:pStyle w:val="BodyText1"/>
              <w:spacing w:after="0" w:line="240" w:lineRule="auto"/>
              <w:jc w:val="both"/>
              <w:rPr>
                <w:rFonts w:asciiTheme="minorHAnsi" w:hAnsiTheme="minorHAnsi" w:cstheme="minorHAnsi"/>
                <w:b w:val="0"/>
                <w:sz w:val="18"/>
                <w:szCs w:val="18"/>
              </w:rPr>
            </w:pPr>
            <w:r w:rsidRPr="005F120D">
              <w:rPr>
                <w:rFonts w:asciiTheme="minorHAnsi" w:hAnsiTheme="minorHAnsi" w:cstheme="minorHAnsi"/>
                <w:b w:val="0"/>
                <w:sz w:val="18"/>
                <w:szCs w:val="18"/>
              </w:rPr>
              <w:t>Source of Fund: GoB</w:t>
            </w: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2</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Approved village to establish school (2</w:t>
            </w:r>
            <w:r w:rsidRPr="005F120D">
              <w:rPr>
                <w:rFonts w:asciiTheme="minorHAnsi" w:eastAsia="Calibri" w:hAnsiTheme="minorHAnsi" w:cstheme="minorHAnsi"/>
                <w:sz w:val="18"/>
                <w:szCs w:val="18"/>
                <w:vertAlign w:val="superscript"/>
              </w:rPr>
              <w:t>nd</w:t>
            </w:r>
            <w:r w:rsidRPr="005F120D">
              <w:rPr>
                <w:rFonts w:asciiTheme="minorHAnsi" w:eastAsia="Calibri" w:hAnsiTheme="minorHAnsi" w:cstheme="minorHAnsi"/>
                <w:sz w:val="18"/>
                <w:szCs w:val="18"/>
              </w:rPr>
              <w:t xml:space="preserve"> phase)</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326 villages</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3</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Approved village to establish school (3</w:t>
            </w:r>
            <w:r w:rsidRPr="005F120D">
              <w:rPr>
                <w:rFonts w:asciiTheme="minorHAnsi" w:eastAsia="Calibri" w:hAnsiTheme="minorHAnsi" w:cstheme="minorHAnsi"/>
                <w:sz w:val="18"/>
                <w:szCs w:val="18"/>
                <w:vertAlign w:val="superscript"/>
              </w:rPr>
              <w:t>rd</w:t>
            </w:r>
            <w:r w:rsidRPr="005F120D">
              <w:rPr>
                <w:rFonts w:asciiTheme="minorHAnsi" w:eastAsia="Calibri" w:hAnsiTheme="minorHAnsi" w:cstheme="minorHAnsi"/>
                <w:sz w:val="18"/>
                <w:szCs w:val="18"/>
              </w:rPr>
              <w:t xml:space="preserve"> phase)</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368 villages</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4</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Approved village to establish school (4</w:t>
            </w:r>
            <w:r w:rsidRPr="005F120D">
              <w:rPr>
                <w:rFonts w:asciiTheme="minorHAnsi" w:eastAsia="Calibri" w:hAnsiTheme="minorHAnsi" w:cstheme="minorHAnsi"/>
                <w:sz w:val="18"/>
                <w:szCs w:val="18"/>
                <w:vertAlign w:val="superscript"/>
              </w:rPr>
              <w:t>th</w:t>
            </w:r>
            <w:r w:rsidRPr="005F120D">
              <w:rPr>
                <w:rFonts w:asciiTheme="minorHAnsi" w:eastAsia="Calibri" w:hAnsiTheme="minorHAnsi" w:cstheme="minorHAnsi"/>
                <w:sz w:val="18"/>
                <w:szCs w:val="18"/>
              </w:rPr>
              <w:t xml:space="preserve"> phase)</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231 villages</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5</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Approved village to establish school (5</w:t>
            </w:r>
            <w:r w:rsidRPr="005F120D">
              <w:rPr>
                <w:rFonts w:asciiTheme="minorHAnsi" w:eastAsia="Calibri" w:hAnsiTheme="minorHAnsi" w:cstheme="minorHAnsi"/>
                <w:sz w:val="18"/>
                <w:szCs w:val="18"/>
                <w:vertAlign w:val="superscript"/>
              </w:rPr>
              <w:t>th</w:t>
            </w:r>
            <w:r w:rsidRPr="005F120D">
              <w:rPr>
                <w:rFonts w:asciiTheme="minorHAnsi" w:eastAsia="Calibri" w:hAnsiTheme="minorHAnsi" w:cstheme="minorHAnsi"/>
                <w:sz w:val="18"/>
                <w:szCs w:val="18"/>
              </w:rPr>
              <w:t xml:space="preserve"> phase)</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122 villages</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6</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Approved village to establish school (6</w:t>
            </w:r>
            <w:r w:rsidRPr="005F120D">
              <w:rPr>
                <w:rFonts w:asciiTheme="minorHAnsi" w:eastAsia="Calibri" w:hAnsiTheme="minorHAnsi" w:cstheme="minorHAnsi"/>
                <w:sz w:val="18"/>
                <w:szCs w:val="18"/>
                <w:vertAlign w:val="superscript"/>
              </w:rPr>
              <w:t>th</w:t>
            </w:r>
            <w:r w:rsidRPr="005F120D">
              <w:rPr>
                <w:rFonts w:asciiTheme="minorHAnsi" w:eastAsia="Calibri" w:hAnsiTheme="minorHAnsi" w:cstheme="minorHAnsi"/>
                <w:sz w:val="18"/>
                <w:szCs w:val="18"/>
              </w:rPr>
              <w:t xml:space="preserve"> phase)</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183 villages</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693CFB" w:rsidRPr="005F120D" w:rsidTr="001057DF">
        <w:tc>
          <w:tcPr>
            <w:tcW w:w="346" w:type="pct"/>
            <w:shd w:val="clear" w:color="auto" w:fill="auto"/>
          </w:tcPr>
          <w:p w:rsidR="00693CFB" w:rsidRPr="005F120D" w:rsidRDefault="00693CFB"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w:t>
            </w:r>
          </w:p>
        </w:tc>
        <w:tc>
          <w:tcPr>
            <w:tcW w:w="2499" w:type="pct"/>
            <w:shd w:val="clear" w:color="auto" w:fill="auto"/>
          </w:tcPr>
          <w:p w:rsidR="00693CFB" w:rsidRPr="005F120D" w:rsidRDefault="00693CFB"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Approved village to establish school (7</w:t>
            </w:r>
            <w:r w:rsidRPr="005F120D">
              <w:rPr>
                <w:rFonts w:asciiTheme="minorHAnsi" w:eastAsia="Calibri" w:hAnsiTheme="minorHAnsi" w:cstheme="minorHAnsi"/>
                <w:sz w:val="18"/>
                <w:szCs w:val="18"/>
                <w:vertAlign w:val="superscript"/>
              </w:rPr>
              <w:t>th</w:t>
            </w:r>
            <w:r w:rsidRPr="005F120D">
              <w:rPr>
                <w:rFonts w:asciiTheme="minorHAnsi" w:eastAsia="Calibri" w:hAnsiTheme="minorHAnsi" w:cstheme="minorHAnsi"/>
                <w:sz w:val="18"/>
                <w:szCs w:val="18"/>
              </w:rPr>
              <w:t xml:space="preserve"> phase)</w:t>
            </w:r>
          </w:p>
        </w:tc>
        <w:tc>
          <w:tcPr>
            <w:tcW w:w="1147" w:type="pct"/>
            <w:shd w:val="clear" w:color="auto" w:fill="auto"/>
          </w:tcPr>
          <w:p w:rsidR="00693CFB" w:rsidRPr="005F120D" w:rsidRDefault="00693CFB"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205 villages</w:t>
            </w:r>
          </w:p>
        </w:tc>
        <w:tc>
          <w:tcPr>
            <w:tcW w:w="1008" w:type="pct"/>
            <w:shd w:val="clear" w:color="auto" w:fill="auto"/>
          </w:tcPr>
          <w:p w:rsidR="00693CFB" w:rsidRPr="005F120D" w:rsidRDefault="00693CFB" w:rsidP="00B25E46">
            <w:pPr>
              <w:spacing w:after="0"/>
              <w:rPr>
                <w:rFonts w:asciiTheme="minorHAnsi" w:eastAsia="Calibri" w:hAnsiTheme="minorHAnsi" w:cstheme="minorHAnsi"/>
                <w:sz w:val="18"/>
                <w:szCs w:val="18"/>
              </w:rPr>
            </w:pPr>
          </w:p>
        </w:tc>
      </w:tr>
      <w:tr w:rsidR="00693CFB" w:rsidRPr="005F120D" w:rsidTr="001057DF">
        <w:tc>
          <w:tcPr>
            <w:tcW w:w="346" w:type="pct"/>
            <w:shd w:val="clear" w:color="auto" w:fill="auto"/>
          </w:tcPr>
          <w:p w:rsidR="00693CFB" w:rsidRPr="005F120D" w:rsidRDefault="00693CFB" w:rsidP="00B25E46">
            <w:pPr>
              <w:spacing w:after="0"/>
              <w:jc w:val="center"/>
              <w:rPr>
                <w:rFonts w:asciiTheme="minorHAnsi" w:eastAsia="Calibri" w:hAnsiTheme="minorHAnsi" w:cstheme="minorHAnsi"/>
                <w:sz w:val="18"/>
                <w:szCs w:val="18"/>
              </w:rPr>
            </w:pPr>
          </w:p>
        </w:tc>
        <w:tc>
          <w:tcPr>
            <w:tcW w:w="2499" w:type="pct"/>
            <w:shd w:val="clear" w:color="auto" w:fill="auto"/>
          </w:tcPr>
          <w:p w:rsidR="00693CFB" w:rsidRPr="005F120D" w:rsidRDefault="00693CFB" w:rsidP="00B25E46">
            <w:pPr>
              <w:spacing w:after="0"/>
              <w:jc w:val="center"/>
              <w:rPr>
                <w:rFonts w:asciiTheme="minorHAnsi" w:eastAsia="Calibri" w:hAnsiTheme="minorHAnsi" w:cstheme="minorHAnsi"/>
                <w:b/>
                <w:sz w:val="18"/>
                <w:szCs w:val="18"/>
              </w:rPr>
            </w:pPr>
            <w:r w:rsidRPr="005F120D">
              <w:rPr>
                <w:rFonts w:asciiTheme="minorHAnsi" w:eastAsia="Calibri" w:hAnsiTheme="minorHAnsi" w:cstheme="minorHAnsi"/>
                <w:b/>
                <w:sz w:val="18"/>
                <w:szCs w:val="18"/>
              </w:rPr>
              <w:t>Total phases 1 to 7</w:t>
            </w:r>
          </w:p>
        </w:tc>
        <w:tc>
          <w:tcPr>
            <w:tcW w:w="1147" w:type="pct"/>
            <w:shd w:val="clear" w:color="auto" w:fill="auto"/>
          </w:tcPr>
          <w:p w:rsidR="00693CFB" w:rsidRPr="005F120D" w:rsidRDefault="00693CFB" w:rsidP="00B25E46">
            <w:pPr>
              <w:spacing w:after="0"/>
              <w:rPr>
                <w:rFonts w:asciiTheme="minorHAnsi" w:eastAsia="Calibri" w:hAnsiTheme="minorHAnsi" w:cstheme="minorHAnsi"/>
                <w:b/>
                <w:sz w:val="18"/>
                <w:szCs w:val="18"/>
              </w:rPr>
            </w:pPr>
            <w:r w:rsidRPr="005F120D">
              <w:rPr>
                <w:rFonts w:asciiTheme="minorHAnsi" w:eastAsia="Calibri" w:hAnsiTheme="minorHAnsi" w:cstheme="minorHAnsi"/>
                <w:b/>
                <w:sz w:val="18"/>
                <w:szCs w:val="18"/>
              </w:rPr>
              <w:t>2,121 villages</w:t>
            </w:r>
          </w:p>
        </w:tc>
        <w:tc>
          <w:tcPr>
            <w:tcW w:w="1008" w:type="pct"/>
            <w:shd w:val="clear" w:color="auto" w:fill="auto"/>
          </w:tcPr>
          <w:p w:rsidR="00693CFB" w:rsidRPr="005F120D" w:rsidRDefault="00693CFB" w:rsidP="00B25E46">
            <w:pPr>
              <w:spacing w:after="0"/>
              <w:rPr>
                <w:rFonts w:asciiTheme="minorHAnsi" w:eastAsia="Calibri" w:hAnsiTheme="minorHAnsi" w:cstheme="minorHAnsi"/>
                <w:sz w:val="18"/>
                <w:szCs w:val="18"/>
              </w:rPr>
            </w:pP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7</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Tendering by LGED</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w:t>
            </w:r>
            <w:r w:rsidR="00693CFB" w:rsidRPr="005F120D">
              <w:rPr>
                <w:rFonts w:asciiTheme="minorHAnsi" w:eastAsia="Calibri" w:hAnsiTheme="minorHAnsi" w:cstheme="minorHAnsi"/>
                <w:sz w:val="18"/>
                <w:szCs w:val="18"/>
              </w:rPr>
              <w:t>452</w:t>
            </w:r>
            <w:r w:rsidRPr="005F120D">
              <w:rPr>
                <w:rFonts w:asciiTheme="minorHAnsi" w:eastAsia="Calibri" w:hAnsiTheme="minorHAnsi" w:cstheme="minorHAnsi"/>
                <w:sz w:val="18"/>
                <w:szCs w:val="18"/>
              </w:rPr>
              <w:t xml:space="preserve"> schools</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8</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Work order given by LGED</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w:t>
            </w:r>
            <w:r w:rsidR="00693CFB" w:rsidRPr="005F120D">
              <w:rPr>
                <w:rFonts w:asciiTheme="minorHAnsi" w:eastAsia="Calibri" w:hAnsiTheme="minorHAnsi" w:cstheme="minorHAnsi"/>
                <w:sz w:val="18"/>
                <w:szCs w:val="18"/>
              </w:rPr>
              <w:t xml:space="preserve">268 </w:t>
            </w:r>
            <w:r w:rsidRPr="005F120D">
              <w:rPr>
                <w:rFonts w:asciiTheme="minorHAnsi" w:eastAsia="Calibri" w:hAnsiTheme="minorHAnsi" w:cstheme="minorHAnsi"/>
                <w:sz w:val="18"/>
                <w:szCs w:val="18"/>
              </w:rPr>
              <w:t>schools</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9</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Land acquisition</w:t>
            </w:r>
          </w:p>
        </w:tc>
        <w:tc>
          <w:tcPr>
            <w:tcW w:w="1147" w:type="pct"/>
            <w:shd w:val="clear" w:color="auto" w:fill="auto"/>
          </w:tcPr>
          <w:p w:rsidR="00F52867" w:rsidRPr="005F120D" w:rsidRDefault="00693CFB"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3</w:t>
            </w:r>
            <w:r w:rsidR="00F52867" w:rsidRPr="005F120D">
              <w:rPr>
                <w:rFonts w:asciiTheme="minorHAnsi" w:eastAsia="Calibri" w:hAnsiTheme="minorHAnsi" w:cstheme="minorHAnsi"/>
                <w:sz w:val="18"/>
                <w:szCs w:val="18"/>
              </w:rPr>
              <w:t xml:space="preserve"> schools</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10</w:t>
            </w:r>
          </w:p>
        </w:tc>
        <w:tc>
          <w:tcPr>
            <w:tcW w:w="2499" w:type="pct"/>
            <w:shd w:val="clear" w:color="auto" w:fill="auto"/>
          </w:tcPr>
          <w:p w:rsidR="00F52867" w:rsidRPr="005F120D" w:rsidRDefault="00693CFB"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Total allocation 2015-16</w:t>
            </w:r>
            <w:r w:rsidR="00F52867" w:rsidRPr="005F120D">
              <w:rPr>
                <w:rFonts w:asciiTheme="minorHAnsi" w:eastAsia="Calibri" w:hAnsiTheme="minorHAnsi" w:cstheme="minorHAnsi"/>
                <w:sz w:val="18"/>
                <w:szCs w:val="18"/>
              </w:rPr>
              <w:t xml:space="preserve"> f/y</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Taka </w:t>
            </w:r>
            <w:r w:rsidR="00693CFB" w:rsidRPr="005F120D">
              <w:rPr>
                <w:rFonts w:asciiTheme="minorHAnsi" w:eastAsia="Calibri" w:hAnsiTheme="minorHAnsi" w:cstheme="minorHAnsi"/>
                <w:sz w:val="18"/>
                <w:szCs w:val="18"/>
              </w:rPr>
              <w:t>20</w:t>
            </w:r>
            <w:r w:rsidRPr="005F120D">
              <w:rPr>
                <w:rFonts w:asciiTheme="minorHAnsi" w:eastAsia="Calibri" w:hAnsiTheme="minorHAnsi" w:cstheme="minorHAnsi"/>
                <w:sz w:val="18"/>
                <w:szCs w:val="18"/>
              </w:rPr>
              <w:t xml:space="preserve">,000 </w:t>
            </w:r>
            <w:r w:rsidR="00F738CE" w:rsidRPr="005F120D">
              <w:rPr>
                <w:rFonts w:asciiTheme="minorHAnsi" w:eastAsia="Calibri" w:hAnsiTheme="minorHAnsi" w:cstheme="minorHAnsi"/>
                <w:sz w:val="18"/>
                <w:szCs w:val="18"/>
              </w:rPr>
              <w:t>lac</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11</w:t>
            </w:r>
          </w:p>
        </w:tc>
        <w:tc>
          <w:tcPr>
            <w:tcW w:w="2499" w:type="pct"/>
            <w:shd w:val="clear" w:color="auto" w:fill="auto"/>
          </w:tcPr>
          <w:p w:rsidR="00F52867" w:rsidRPr="005F120D" w:rsidRDefault="00693CFB"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Total expenditure 2015-16</w:t>
            </w:r>
            <w:r w:rsidR="00F52867" w:rsidRPr="005F120D">
              <w:rPr>
                <w:rFonts w:asciiTheme="minorHAnsi" w:eastAsia="Calibri" w:hAnsiTheme="minorHAnsi" w:cstheme="minorHAnsi"/>
                <w:sz w:val="18"/>
                <w:szCs w:val="18"/>
              </w:rPr>
              <w:t xml:space="preserve"> f/y</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Taka </w:t>
            </w:r>
            <w:r w:rsidR="00693CFB" w:rsidRPr="005F120D">
              <w:rPr>
                <w:rFonts w:asciiTheme="minorHAnsi" w:eastAsia="Calibri" w:hAnsiTheme="minorHAnsi" w:cstheme="minorHAnsi"/>
                <w:sz w:val="18"/>
                <w:szCs w:val="18"/>
              </w:rPr>
              <w:t>4,513.50</w:t>
            </w:r>
            <w:r w:rsidRPr="005F120D">
              <w:rPr>
                <w:rFonts w:asciiTheme="minorHAnsi" w:eastAsia="Calibri" w:hAnsiTheme="minorHAnsi" w:cstheme="minorHAnsi"/>
                <w:sz w:val="18"/>
                <w:szCs w:val="18"/>
              </w:rPr>
              <w:t xml:space="preserve">5 </w:t>
            </w:r>
            <w:r w:rsidR="00F738CE" w:rsidRPr="005F120D">
              <w:rPr>
                <w:rFonts w:asciiTheme="minorHAnsi" w:eastAsia="Calibri" w:hAnsiTheme="minorHAnsi" w:cstheme="minorHAnsi"/>
                <w:sz w:val="18"/>
                <w:szCs w:val="18"/>
              </w:rPr>
              <w:t>lac</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F52867" w:rsidRPr="005F120D" w:rsidTr="00E4113E">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12</w:t>
            </w:r>
          </w:p>
        </w:tc>
        <w:tc>
          <w:tcPr>
            <w:tcW w:w="2499" w:type="pct"/>
            <w:tcBorders>
              <w:bottom w:val="single" w:sz="4" w:space="0" w:color="auto"/>
            </w:tcBorders>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Total cumulative expenditure  </w:t>
            </w:r>
          </w:p>
        </w:tc>
        <w:tc>
          <w:tcPr>
            <w:tcW w:w="1147"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Taka </w:t>
            </w:r>
            <w:r w:rsidR="00693CFB" w:rsidRPr="005F120D">
              <w:rPr>
                <w:rFonts w:asciiTheme="minorHAnsi" w:eastAsia="Calibri" w:hAnsiTheme="minorHAnsi" w:cstheme="minorHAnsi"/>
                <w:sz w:val="18"/>
                <w:szCs w:val="18"/>
              </w:rPr>
              <w:t>65,399.41</w:t>
            </w:r>
            <w:r w:rsidR="00F738CE" w:rsidRPr="005F120D">
              <w:rPr>
                <w:rFonts w:asciiTheme="minorHAnsi" w:eastAsia="Calibri" w:hAnsiTheme="minorHAnsi" w:cstheme="minorHAnsi"/>
                <w:sz w:val="18"/>
                <w:szCs w:val="18"/>
              </w:rPr>
              <w:t>lac</w:t>
            </w:r>
            <w:r w:rsidR="00693CFB" w:rsidRPr="005F120D">
              <w:rPr>
                <w:rFonts w:asciiTheme="minorHAnsi" w:eastAsia="Calibri" w:hAnsiTheme="minorHAnsi" w:cstheme="minorHAnsi"/>
                <w:sz w:val="18"/>
                <w:szCs w:val="18"/>
              </w:rPr>
              <w:t xml:space="preserve"> (72.2%)</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E4113E" w:rsidRPr="005F120D" w:rsidTr="00E4113E">
        <w:tc>
          <w:tcPr>
            <w:tcW w:w="346" w:type="pct"/>
            <w:vMerge w:val="restart"/>
            <w:tcBorders>
              <w:right w:val="single" w:sz="4" w:space="0" w:color="auto"/>
            </w:tcBorders>
            <w:shd w:val="clear" w:color="auto" w:fill="auto"/>
          </w:tcPr>
          <w:p w:rsidR="00E4113E" w:rsidRPr="005F120D" w:rsidRDefault="00E4113E"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13</w:t>
            </w:r>
          </w:p>
        </w:tc>
        <w:tc>
          <w:tcPr>
            <w:tcW w:w="2499" w:type="pct"/>
            <w:tcBorders>
              <w:top w:val="single" w:sz="4" w:space="0" w:color="auto"/>
              <w:left w:val="single" w:sz="4" w:space="0" w:color="auto"/>
              <w:bottom w:val="nil"/>
              <w:right w:val="single" w:sz="4" w:space="0" w:color="auto"/>
            </w:tcBorders>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Progress of work (establishment of schools)</w:t>
            </w:r>
          </w:p>
        </w:tc>
        <w:tc>
          <w:tcPr>
            <w:tcW w:w="1147" w:type="pct"/>
            <w:tcBorders>
              <w:left w:val="single" w:sz="4" w:space="0" w:color="auto"/>
            </w:tcBorders>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1,125 schools </w:t>
            </w:r>
          </w:p>
        </w:tc>
        <w:tc>
          <w:tcPr>
            <w:tcW w:w="1008" w:type="pct"/>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100% completed</w:t>
            </w:r>
          </w:p>
        </w:tc>
      </w:tr>
      <w:tr w:rsidR="00E4113E" w:rsidRPr="005F120D" w:rsidTr="00E4113E">
        <w:tc>
          <w:tcPr>
            <w:tcW w:w="346" w:type="pct"/>
            <w:vMerge/>
            <w:tcBorders>
              <w:right w:val="single" w:sz="4" w:space="0" w:color="auto"/>
            </w:tcBorders>
            <w:shd w:val="clear" w:color="auto" w:fill="auto"/>
          </w:tcPr>
          <w:p w:rsidR="00E4113E" w:rsidRPr="005F120D" w:rsidRDefault="00E4113E" w:rsidP="00B25E46">
            <w:pPr>
              <w:spacing w:after="0"/>
              <w:jc w:val="center"/>
              <w:rPr>
                <w:rFonts w:asciiTheme="minorHAnsi" w:eastAsia="Calibri" w:hAnsiTheme="minorHAnsi" w:cstheme="minorHAnsi"/>
                <w:sz w:val="18"/>
                <w:szCs w:val="18"/>
              </w:rPr>
            </w:pPr>
          </w:p>
        </w:tc>
        <w:tc>
          <w:tcPr>
            <w:tcW w:w="2499" w:type="pct"/>
            <w:tcBorders>
              <w:top w:val="nil"/>
              <w:left w:val="single" w:sz="4" w:space="0" w:color="auto"/>
              <w:bottom w:val="nil"/>
              <w:right w:val="single" w:sz="4" w:space="0" w:color="auto"/>
            </w:tcBorders>
            <w:shd w:val="clear" w:color="auto" w:fill="auto"/>
          </w:tcPr>
          <w:p w:rsidR="00E4113E" w:rsidRPr="005F120D" w:rsidRDefault="00E4113E" w:rsidP="00B25E46">
            <w:pPr>
              <w:spacing w:after="0"/>
              <w:rPr>
                <w:rFonts w:asciiTheme="minorHAnsi" w:eastAsia="Calibri" w:hAnsiTheme="minorHAnsi" w:cstheme="minorHAnsi"/>
                <w:sz w:val="18"/>
                <w:szCs w:val="18"/>
              </w:rPr>
            </w:pPr>
          </w:p>
        </w:tc>
        <w:tc>
          <w:tcPr>
            <w:tcW w:w="1147" w:type="pct"/>
            <w:tcBorders>
              <w:left w:val="single" w:sz="4" w:space="0" w:color="auto"/>
            </w:tcBorders>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46 schools</w:t>
            </w:r>
          </w:p>
        </w:tc>
        <w:tc>
          <w:tcPr>
            <w:tcW w:w="1008" w:type="pct"/>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80-99% completed</w:t>
            </w:r>
          </w:p>
        </w:tc>
      </w:tr>
      <w:tr w:rsidR="00E4113E" w:rsidRPr="005F120D" w:rsidTr="00E4113E">
        <w:tc>
          <w:tcPr>
            <w:tcW w:w="346" w:type="pct"/>
            <w:vMerge/>
            <w:tcBorders>
              <w:right w:val="single" w:sz="4" w:space="0" w:color="auto"/>
            </w:tcBorders>
            <w:shd w:val="clear" w:color="auto" w:fill="auto"/>
          </w:tcPr>
          <w:p w:rsidR="00E4113E" w:rsidRPr="005F120D" w:rsidRDefault="00E4113E" w:rsidP="00B25E46">
            <w:pPr>
              <w:spacing w:after="0"/>
              <w:jc w:val="center"/>
              <w:rPr>
                <w:rFonts w:asciiTheme="minorHAnsi" w:eastAsia="Calibri" w:hAnsiTheme="minorHAnsi" w:cstheme="minorHAnsi"/>
                <w:sz w:val="18"/>
                <w:szCs w:val="18"/>
              </w:rPr>
            </w:pPr>
          </w:p>
        </w:tc>
        <w:tc>
          <w:tcPr>
            <w:tcW w:w="2499" w:type="pct"/>
            <w:tcBorders>
              <w:top w:val="nil"/>
              <w:left w:val="single" w:sz="4" w:space="0" w:color="auto"/>
              <w:bottom w:val="nil"/>
              <w:right w:val="single" w:sz="4" w:space="0" w:color="auto"/>
            </w:tcBorders>
            <w:shd w:val="clear" w:color="auto" w:fill="auto"/>
          </w:tcPr>
          <w:p w:rsidR="00E4113E" w:rsidRPr="005F120D" w:rsidRDefault="00E4113E" w:rsidP="00B25E46">
            <w:pPr>
              <w:spacing w:after="0"/>
              <w:rPr>
                <w:rFonts w:asciiTheme="minorHAnsi" w:eastAsia="Calibri" w:hAnsiTheme="minorHAnsi" w:cstheme="minorHAnsi"/>
                <w:sz w:val="18"/>
                <w:szCs w:val="18"/>
              </w:rPr>
            </w:pPr>
          </w:p>
        </w:tc>
        <w:tc>
          <w:tcPr>
            <w:tcW w:w="1147" w:type="pct"/>
            <w:tcBorders>
              <w:left w:val="single" w:sz="4" w:space="0" w:color="auto"/>
            </w:tcBorders>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29 schools</w:t>
            </w:r>
          </w:p>
        </w:tc>
        <w:tc>
          <w:tcPr>
            <w:tcW w:w="1008" w:type="pct"/>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60-59% completed</w:t>
            </w:r>
          </w:p>
        </w:tc>
      </w:tr>
      <w:tr w:rsidR="00E4113E" w:rsidRPr="005F120D" w:rsidTr="00E4113E">
        <w:tc>
          <w:tcPr>
            <w:tcW w:w="346" w:type="pct"/>
            <w:vMerge/>
            <w:tcBorders>
              <w:right w:val="single" w:sz="4" w:space="0" w:color="auto"/>
            </w:tcBorders>
            <w:shd w:val="clear" w:color="auto" w:fill="auto"/>
          </w:tcPr>
          <w:p w:rsidR="00E4113E" w:rsidRPr="005F120D" w:rsidRDefault="00E4113E" w:rsidP="00B25E46">
            <w:pPr>
              <w:spacing w:after="0"/>
              <w:jc w:val="center"/>
              <w:rPr>
                <w:rFonts w:asciiTheme="minorHAnsi" w:eastAsia="Calibri" w:hAnsiTheme="minorHAnsi" w:cstheme="minorHAnsi"/>
                <w:sz w:val="18"/>
                <w:szCs w:val="18"/>
              </w:rPr>
            </w:pPr>
          </w:p>
        </w:tc>
        <w:tc>
          <w:tcPr>
            <w:tcW w:w="2499" w:type="pct"/>
            <w:tcBorders>
              <w:top w:val="nil"/>
              <w:left w:val="single" w:sz="4" w:space="0" w:color="auto"/>
              <w:bottom w:val="nil"/>
              <w:right w:val="single" w:sz="4" w:space="0" w:color="auto"/>
            </w:tcBorders>
            <w:shd w:val="clear" w:color="auto" w:fill="auto"/>
          </w:tcPr>
          <w:p w:rsidR="00E4113E" w:rsidRPr="005F120D" w:rsidRDefault="00E4113E" w:rsidP="00B25E46">
            <w:pPr>
              <w:spacing w:after="0"/>
              <w:rPr>
                <w:rFonts w:asciiTheme="minorHAnsi" w:eastAsia="Calibri" w:hAnsiTheme="minorHAnsi" w:cstheme="minorHAnsi"/>
                <w:sz w:val="18"/>
                <w:szCs w:val="18"/>
              </w:rPr>
            </w:pPr>
          </w:p>
        </w:tc>
        <w:tc>
          <w:tcPr>
            <w:tcW w:w="1147" w:type="pct"/>
            <w:tcBorders>
              <w:left w:val="single" w:sz="4" w:space="0" w:color="auto"/>
            </w:tcBorders>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25 schools</w:t>
            </w:r>
          </w:p>
        </w:tc>
        <w:tc>
          <w:tcPr>
            <w:tcW w:w="1008" w:type="pct"/>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30-59% completed</w:t>
            </w:r>
          </w:p>
        </w:tc>
      </w:tr>
      <w:tr w:rsidR="00E4113E" w:rsidRPr="005F120D" w:rsidTr="00E4113E">
        <w:tc>
          <w:tcPr>
            <w:tcW w:w="346" w:type="pct"/>
            <w:vMerge/>
            <w:tcBorders>
              <w:right w:val="single" w:sz="4" w:space="0" w:color="auto"/>
            </w:tcBorders>
            <w:shd w:val="clear" w:color="auto" w:fill="auto"/>
          </w:tcPr>
          <w:p w:rsidR="00E4113E" w:rsidRPr="005F120D" w:rsidRDefault="00E4113E" w:rsidP="00B25E46">
            <w:pPr>
              <w:spacing w:after="0"/>
              <w:jc w:val="center"/>
              <w:rPr>
                <w:rFonts w:asciiTheme="minorHAnsi" w:eastAsia="Calibri" w:hAnsiTheme="minorHAnsi" w:cstheme="minorHAnsi"/>
                <w:sz w:val="18"/>
                <w:szCs w:val="18"/>
              </w:rPr>
            </w:pPr>
          </w:p>
        </w:tc>
        <w:tc>
          <w:tcPr>
            <w:tcW w:w="2499" w:type="pct"/>
            <w:tcBorders>
              <w:top w:val="nil"/>
              <w:left w:val="single" w:sz="4" w:space="0" w:color="auto"/>
              <w:bottom w:val="single" w:sz="4" w:space="0" w:color="auto"/>
              <w:right w:val="single" w:sz="4" w:space="0" w:color="auto"/>
            </w:tcBorders>
            <w:shd w:val="clear" w:color="auto" w:fill="auto"/>
          </w:tcPr>
          <w:p w:rsidR="00E4113E" w:rsidRPr="005F120D" w:rsidRDefault="00E4113E" w:rsidP="00B25E46">
            <w:pPr>
              <w:spacing w:after="0"/>
              <w:rPr>
                <w:rFonts w:asciiTheme="minorHAnsi" w:eastAsia="Calibri" w:hAnsiTheme="minorHAnsi" w:cstheme="minorHAnsi"/>
                <w:sz w:val="18"/>
                <w:szCs w:val="18"/>
              </w:rPr>
            </w:pPr>
          </w:p>
        </w:tc>
        <w:tc>
          <w:tcPr>
            <w:tcW w:w="1147" w:type="pct"/>
            <w:tcBorders>
              <w:left w:val="single" w:sz="4" w:space="0" w:color="auto"/>
            </w:tcBorders>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43 schools</w:t>
            </w:r>
          </w:p>
        </w:tc>
        <w:tc>
          <w:tcPr>
            <w:tcW w:w="1008" w:type="pct"/>
            <w:shd w:val="clear" w:color="auto" w:fill="auto"/>
          </w:tcPr>
          <w:p w:rsidR="00E4113E" w:rsidRPr="005F120D" w:rsidRDefault="00E4113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0-29% completed</w:t>
            </w:r>
          </w:p>
        </w:tc>
      </w:tr>
      <w:tr w:rsidR="00F52867" w:rsidRPr="005F120D" w:rsidTr="00E4113E">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14</w:t>
            </w:r>
          </w:p>
        </w:tc>
        <w:tc>
          <w:tcPr>
            <w:tcW w:w="2499" w:type="pct"/>
            <w:tcBorders>
              <w:top w:val="single" w:sz="4" w:space="0" w:color="auto"/>
            </w:tcBorders>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Completed schools handed over to DG-DPE</w:t>
            </w:r>
          </w:p>
        </w:tc>
        <w:tc>
          <w:tcPr>
            <w:tcW w:w="1147" w:type="pct"/>
            <w:shd w:val="clear" w:color="auto" w:fill="auto"/>
          </w:tcPr>
          <w:p w:rsidR="00F52867" w:rsidRPr="005F120D" w:rsidRDefault="00EA1E5D"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1,050</w:t>
            </w:r>
            <w:r w:rsidR="00F52867" w:rsidRPr="005F120D">
              <w:rPr>
                <w:rFonts w:asciiTheme="minorHAnsi" w:eastAsia="Calibri" w:hAnsiTheme="minorHAnsi" w:cstheme="minorHAnsi"/>
                <w:sz w:val="18"/>
                <w:szCs w:val="18"/>
              </w:rPr>
              <w:t xml:space="preserve"> schools</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2/3 teachers attached to </w:t>
            </w:r>
            <w:r w:rsidR="00995A4E" w:rsidRPr="005F120D">
              <w:rPr>
                <w:rFonts w:asciiTheme="minorHAnsi" w:eastAsia="Calibri" w:hAnsiTheme="minorHAnsi" w:cstheme="minorHAnsi"/>
                <w:sz w:val="18"/>
                <w:szCs w:val="18"/>
              </w:rPr>
              <w:t>1,125</w:t>
            </w:r>
            <w:r w:rsidRPr="005F120D">
              <w:rPr>
                <w:rFonts w:asciiTheme="minorHAnsi" w:eastAsia="Calibri" w:hAnsiTheme="minorHAnsi" w:cstheme="minorHAnsi"/>
                <w:sz w:val="18"/>
                <w:szCs w:val="18"/>
              </w:rPr>
              <w:t xml:space="preserve"> schools and operating classes </w:t>
            </w: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15</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Post creation of teachers for 667 schools (667x5 teachers) </w:t>
            </w:r>
          </w:p>
        </w:tc>
        <w:tc>
          <w:tcPr>
            <w:tcW w:w="1147" w:type="pct"/>
            <w:shd w:val="clear" w:color="auto" w:fill="auto"/>
          </w:tcPr>
          <w:p w:rsidR="00F52867" w:rsidRPr="005F120D" w:rsidRDefault="00EA1E5D"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667</w:t>
            </w:r>
            <w:r w:rsidR="00F52867" w:rsidRPr="005F120D">
              <w:rPr>
                <w:rFonts w:asciiTheme="minorHAnsi" w:eastAsia="Calibri" w:hAnsiTheme="minorHAnsi" w:cstheme="minorHAnsi"/>
                <w:sz w:val="18"/>
                <w:szCs w:val="18"/>
              </w:rPr>
              <w:t xml:space="preserve"> teachers posts</w:t>
            </w:r>
          </w:p>
        </w:tc>
        <w:tc>
          <w:tcPr>
            <w:tcW w:w="1008" w:type="pct"/>
            <w:shd w:val="clear" w:color="auto" w:fill="auto"/>
          </w:tcPr>
          <w:p w:rsidR="00F52867" w:rsidRPr="005F120D" w:rsidRDefault="00F52867" w:rsidP="00B25E46">
            <w:pPr>
              <w:spacing w:after="0"/>
              <w:rPr>
                <w:rFonts w:asciiTheme="minorHAnsi" w:eastAsia="Calibri" w:hAnsiTheme="minorHAnsi" w:cstheme="minorHAnsi"/>
                <w:sz w:val="18"/>
                <w:szCs w:val="18"/>
              </w:rPr>
            </w:pPr>
          </w:p>
        </w:tc>
      </w:tr>
      <w:tr w:rsidR="00F52867" w:rsidRPr="005F120D" w:rsidTr="001057DF">
        <w:tc>
          <w:tcPr>
            <w:tcW w:w="346" w:type="pct"/>
            <w:shd w:val="clear" w:color="auto" w:fill="auto"/>
          </w:tcPr>
          <w:p w:rsidR="00F52867" w:rsidRPr="005F120D" w:rsidRDefault="00F52867"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16</w:t>
            </w:r>
          </w:p>
        </w:tc>
        <w:tc>
          <w:tcPr>
            <w:tcW w:w="2499" w:type="pct"/>
            <w:shd w:val="clear" w:color="auto" w:fill="auto"/>
          </w:tcPr>
          <w:p w:rsidR="00F52867" w:rsidRPr="005F120D" w:rsidRDefault="00F52867"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Send request letter to MoPME for creation of teachers post of 273 schools under process (273x5)</w:t>
            </w:r>
          </w:p>
        </w:tc>
        <w:tc>
          <w:tcPr>
            <w:tcW w:w="1147" w:type="pct"/>
            <w:shd w:val="clear" w:color="auto" w:fill="auto"/>
          </w:tcPr>
          <w:p w:rsidR="00F52867" w:rsidRPr="005F120D" w:rsidRDefault="00EA1E5D"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458</w:t>
            </w:r>
            <w:r w:rsidR="00F52867" w:rsidRPr="005F120D">
              <w:rPr>
                <w:rFonts w:asciiTheme="minorHAnsi" w:eastAsia="Calibri" w:hAnsiTheme="minorHAnsi" w:cstheme="minorHAnsi"/>
                <w:sz w:val="18"/>
                <w:szCs w:val="18"/>
              </w:rPr>
              <w:t xml:space="preserve"> teachers</w:t>
            </w:r>
          </w:p>
        </w:tc>
        <w:tc>
          <w:tcPr>
            <w:tcW w:w="1008" w:type="pct"/>
            <w:shd w:val="clear" w:color="auto" w:fill="auto"/>
          </w:tcPr>
          <w:p w:rsidR="00F52867" w:rsidRPr="005F120D" w:rsidRDefault="00E4113E" w:rsidP="00B25E46">
            <w:pPr>
              <w:spacing w:after="0"/>
              <w:rPr>
                <w:rFonts w:asciiTheme="minorHAnsi" w:hAnsiTheme="minorHAnsi" w:cstheme="minorHAnsi"/>
                <w:sz w:val="16"/>
                <w:szCs w:val="16"/>
              </w:rPr>
            </w:pPr>
            <w:r w:rsidRPr="005F120D">
              <w:rPr>
                <w:rFonts w:asciiTheme="minorHAnsi" w:hAnsiTheme="minorHAnsi" w:cstheme="minorHAnsi"/>
                <w:sz w:val="16"/>
                <w:szCs w:val="16"/>
              </w:rPr>
              <w:t>Note: DP</w:t>
            </w:r>
            <w:r w:rsidR="00225C14" w:rsidRPr="005F120D">
              <w:rPr>
                <w:rFonts w:asciiTheme="minorHAnsi" w:hAnsiTheme="minorHAnsi" w:cstheme="minorHAnsi"/>
                <w:sz w:val="16"/>
                <w:szCs w:val="16"/>
              </w:rPr>
              <w:t>E identified 1,943 villages with</w:t>
            </w:r>
            <w:r w:rsidRPr="005F120D">
              <w:rPr>
                <w:rFonts w:asciiTheme="minorHAnsi" w:hAnsiTheme="minorHAnsi" w:cstheme="minorHAnsi"/>
                <w:sz w:val="16"/>
                <w:szCs w:val="16"/>
              </w:rPr>
              <w:t xml:space="preserve"> no school</w:t>
            </w:r>
          </w:p>
        </w:tc>
      </w:tr>
    </w:tbl>
    <w:p w:rsidR="00605A3D" w:rsidRPr="005F120D" w:rsidRDefault="00605A3D" w:rsidP="00B25E46">
      <w:pPr>
        <w:pStyle w:val="Heading2NONUM"/>
        <w:numPr>
          <w:ilvl w:val="0"/>
          <w:numId w:val="36"/>
        </w:numPr>
        <w:spacing w:before="240"/>
        <w:rPr>
          <w:rFonts w:asciiTheme="minorHAnsi" w:hAnsiTheme="minorHAnsi" w:cstheme="minorHAnsi"/>
          <w:color w:val="3333FF"/>
          <w:szCs w:val="24"/>
        </w:rPr>
      </w:pPr>
      <w:r w:rsidRPr="005F120D">
        <w:rPr>
          <w:rFonts w:asciiTheme="minorHAnsi" w:hAnsiTheme="minorHAnsi" w:cstheme="minorHAnsi"/>
          <w:color w:val="3333FF"/>
          <w:szCs w:val="24"/>
        </w:rPr>
        <w:lastRenderedPageBreak/>
        <w:t xml:space="preserve">Name of the Project:  </w:t>
      </w:r>
      <w:r w:rsidR="00E91AE6" w:rsidRPr="005F120D">
        <w:rPr>
          <w:rFonts w:asciiTheme="minorHAnsi" w:hAnsiTheme="minorHAnsi" w:cstheme="minorHAnsi"/>
          <w:color w:val="3333FF"/>
          <w:szCs w:val="24"/>
          <w:u w:val="single"/>
        </w:rPr>
        <w:t xml:space="preserve">Primary Education </w:t>
      </w:r>
      <w:r w:rsidRPr="005F120D">
        <w:rPr>
          <w:rFonts w:asciiTheme="minorHAnsi" w:hAnsiTheme="minorHAnsi" w:cstheme="minorHAnsi"/>
          <w:color w:val="3333FF"/>
          <w:szCs w:val="24"/>
          <w:u w:val="single"/>
        </w:rPr>
        <w:t>Stipend</w:t>
      </w:r>
      <w:r w:rsidR="00E91AE6" w:rsidRPr="005F120D">
        <w:rPr>
          <w:rFonts w:asciiTheme="minorHAnsi" w:hAnsiTheme="minorHAnsi" w:cstheme="minorHAnsi"/>
          <w:color w:val="3333FF"/>
          <w:szCs w:val="24"/>
          <w:u w:val="single"/>
        </w:rPr>
        <w:t xml:space="preserve"> Project</w:t>
      </w:r>
      <w:r w:rsidR="0034307A" w:rsidRPr="005F120D">
        <w:rPr>
          <w:rFonts w:asciiTheme="minorHAnsi" w:hAnsiTheme="minorHAnsi" w:cstheme="minorHAnsi"/>
          <w:color w:val="3333FF"/>
          <w:szCs w:val="24"/>
          <w:u w:val="single"/>
        </w:rPr>
        <w:t xml:space="preserve"> (PESP)</w:t>
      </w:r>
    </w:p>
    <w:p w:rsidR="0099288C" w:rsidRPr="005F120D" w:rsidRDefault="0099288C" w:rsidP="00B25E46">
      <w:pPr>
        <w:pStyle w:val="BodyText1"/>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Goal/Aim: the goal or aim</w:t>
      </w:r>
      <w:r w:rsidR="00225C14" w:rsidRPr="005F120D">
        <w:rPr>
          <w:rFonts w:asciiTheme="minorHAnsi" w:hAnsiTheme="minorHAnsi" w:cstheme="minorHAnsi"/>
          <w:sz w:val="20"/>
          <w:szCs w:val="20"/>
        </w:rPr>
        <w:t xml:space="preserve"> of the project is to ensure</w:t>
      </w:r>
      <w:r w:rsidRPr="005F120D">
        <w:rPr>
          <w:rFonts w:asciiTheme="minorHAnsi" w:hAnsiTheme="minorHAnsi" w:cstheme="minorHAnsi"/>
          <w:sz w:val="20"/>
          <w:szCs w:val="20"/>
        </w:rPr>
        <w:t xml:space="preserve"> increase</w:t>
      </w:r>
      <w:r w:rsidR="00225C14" w:rsidRPr="005F120D">
        <w:rPr>
          <w:rFonts w:asciiTheme="minorHAnsi" w:hAnsiTheme="minorHAnsi" w:cstheme="minorHAnsi"/>
          <w:sz w:val="20"/>
          <w:szCs w:val="20"/>
        </w:rPr>
        <w:t>d Enrolment and Reduced</w:t>
      </w:r>
      <w:r w:rsidRPr="005F120D">
        <w:rPr>
          <w:rFonts w:asciiTheme="minorHAnsi" w:hAnsiTheme="minorHAnsi" w:cstheme="minorHAnsi"/>
          <w:sz w:val="20"/>
          <w:szCs w:val="20"/>
        </w:rPr>
        <w:t xml:space="preserve"> Disparities</w:t>
      </w:r>
    </w:p>
    <w:p w:rsidR="0099288C" w:rsidRPr="005F120D" w:rsidRDefault="0099288C" w:rsidP="00B25E46">
      <w:pPr>
        <w:pStyle w:val="BodyText1"/>
        <w:spacing w:after="0" w:line="240" w:lineRule="auto"/>
        <w:jc w:val="both"/>
        <w:rPr>
          <w:rFonts w:asciiTheme="minorHAnsi" w:hAnsiTheme="minorHAnsi" w:cstheme="minorHAnsi"/>
          <w:sz w:val="20"/>
          <w:szCs w:val="20"/>
        </w:rPr>
      </w:pPr>
    </w:p>
    <w:p w:rsidR="0099288C" w:rsidRPr="005F120D" w:rsidRDefault="0099288C" w:rsidP="00B25E46">
      <w:pPr>
        <w:pStyle w:val="BodyText1"/>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Purpose/Objective:</w:t>
      </w:r>
    </w:p>
    <w:p w:rsidR="0099288C" w:rsidRPr="005F120D" w:rsidRDefault="0099288C" w:rsidP="00B25E46">
      <w:pPr>
        <w:pStyle w:val="BodyText1"/>
        <w:numPr>
          <w:ilvl w:val="0"/>
          <w:numId w:val="55"/>
        </w:numPr>
        <w:spacing w:after="0" w:line="240" w:lineRule="auto"/>
        <w:jc w:val="both"/>
        <w:rPr>
          <w:rFonts w:asciiTheme="minorHAnsi" w:hAnsiTheme="minorHAnsi" w:cstheme="minorHAnsi"/>
          <w:b w:val="0"/>
          <w:sz w:val="20"/>
          <w:szCs w:val="20"/>
        </w:rPr>
      </w:pPr>
      <w:r w:rsidRPr="005F120D">
        <w:rPr>
          <w:rFonts w:asciiTheme="minorHAnsi" w:hAnsiTheme="minorHAnsi" w:cstheme="minorHAnsi"/>
          <w:b w:val="0"/>
          <w:sz w:val="20"/>
          <w:szCs w:val="20"/>
        </w:rPr>
        <w:t>To increase the enrolment rate of all primary level school age children of poor families</w:t>
      </w:r>
    </w:p>
    <w:p w:rsidR="0099288C" w:rsidRPr="005F120D" w:rsidRDefault="0099288C" w:rsidP="00B25E46">
      <w:pPr>
        <w:pStyle w:val="BodyText1"/>
        <w:numPr>
          <w:ilvl w:val="0"/>
          <w:numId w:val="55"/>
        </w:numPr>
        <w:spacing w:after="0" w:line="240" w:lineRule="auto"/>
        <w:jc w:val="both"/>
        <w:rPr>
          <w:rFonts w:asciiTheme="minorHAnsi" w:hAnsiTheme="minorHAnsi" w:cstheme="minorHAnsi"/>
          <w:b w:val="0"/>
          <w:sz w:val="20"/>
          <w:szCs w:val="20"/>
        </w:rPr>
      </w:pPr>
      <w:r w:rsidRPr="005F120D">
        <w:rPr>
          <w:rFonts w:asciiTheme="minorHAnsi" w:hAnsiTheme="minorHAnsi" w:cstheme="minorHAnsi"/>
          <w:b w:val="0"/>
          <w:sz w:val="20"/>
          <w:szCs w:val="20"/>
        </w:rPr>
        <w:t xml:space="preserve">To increase the attendance rate of </w:t>
      </w:r>
      <w:r w:rsidR="00225C14" w:rsidRPr="005F120D">
        <w:rPr>
          <w:rFonts w:asciiTheme="minorHAnsi" w:hAnsiTheme="minorHAnsi" w:cstheme="minorHAnsi"/>
          <w:b w:val="0"/>
          <w:sz w:val="20"/>
          <w:szCs w:val="20"/>
        </w:rPr>
        <w:t>all the enrolled students of</w:t>
      </w:r>
      <w:r w:rsidRPr="005F120D">
        <w:rPr>
          <w:rFonts w:asciiTheme="minorHAnsi" w:hAnsiTheme="minorHAnsi" w:cstheme="minorHAnsi"/>
          <w:b w:val="0"/>
          <w:sz w:val="20"/>
          <w:szCs w:val="20"/>
        </w:rPr>
        <w:t xml:space="preserve"> primary schools</w:t>
      </w:r>
    </w:p>
    <w:p w:rsidR="0099288C" w:rsidRPr="005F120D" w:rsidRDefault="0099288C" w:rsidP="00B25E46">
      <w:pPr>
        <w:pStyle w:val="BodyText1"/>
        <w:numPr>
          <w:ilvl w:val="0"/>
          <w:numId w:val="55"/>
        </w:numPr>
        <w:spacing w:after="0" w:line="240" w:lineRule="auto"/>
        <w:jc w:val="both"/>
        <w:rPr>
          <w:rFonts w:asciiTheme="minorHAnsi" w:hAnsiTheme="minorHAnsi" w:cstheme="minorHAnsi"/>
          <w:b w:val="0"/>
          <w:sz w:val="20"/>
          <w:szCs w:val="20"/>
        </w:rPr>
      </w:pPr>
      <w:r w:rsidRPr="005F120D">
        <w:rPr>
          <w:rFonts w:asciiTheme="minorHAnsi" w:hAnsiTheme="minorHAnsi" w:cstheme="minorHAnsi"/>
          <w:b w:val="0"/>
          <w:sz w:val="20"/>
          <w:szCs w:val="20"/>
        </w:rPr>
        <w:t>To reduce dropout rate and to incre</w:t>
      </w:r>
      <w:r w:rsidR="00225C14" w:rsidRPr="005F120D">
        <w:rPr>
          <w:rFonts w:asciiTheme="minorHAnsi" w:hAnsiTheme="minorHAnsi" w:cstheme="minorHAnsi"/>
          <w:b w:val="0"/>
          <w:sz w:val="20"/>
          <w:szCs w:val="20"/>
        </w:rPr>
        <w:t>ase cycle completion rate of enrolled students in</w:t>
      </w:r>
      <w:r w:rsidRPr="005F120D">
        <w:rPr>
          <w:rFonts w:asciiTheme="minorHAnsi" w:hAnsiTheme="minorHAnsi" w:cstheme="minorHAnsi"/>
          <w:b w:val="0"/>
          <w:sz w:val="20"/>
          <w:szCs w:val="20"/>
        </w:rPr>
        <w:t xml:space="preserve"> primary schools</w:t>
      </w:r>
    </w:p>
    <w:p w:rsidR="0099288C" w:rsidRPr="005F120D" w:rsidRDefault="0099288C" w:rsidP="00B25E46">
      <w:pPr>
        <w:pStyle w:val="BodyText1"/>
        <w:numPr>
          <w:ilvl w:val="0"/>
          <w:numId w:val="55"/>
        </w:numPr>
        <w:spacing w:after="0" w:line="240" w:lineRule="auto"/>
        <w:jc w:val="both"/>
        <w:rPr>
          <w:rFonts w:asciiTheme="minorHAnsi" w:hAnsiTheme="minorHAnsi" w:cstheme="minorHAnsi"/>
          <w:b w:val="0"/>
          <w:sz w:val="20"/>
          <w:szCs w:val="20"/>
        </w:rPr>
      </w:pPr>
      <w:r w:rsidRPr="005F120D">
        <w:rPr>
          <w:rFonts w:asciiTheme="minorHAnsi" w:hAnsiTheme="minorHAnsi" w:cstheme="minorHAnsi"/>
          <w:b w:val="0"/>
          <w:sz w:val="20"/>
          <w:szCs w:val="20"/>
        </w:rPr>
        <w:t>To establish equity in the financial assistance to all primary school age children for poverty elevation</w:t>
      </w:r>
    </w:p>
    <w:p w:rsidR="0099288C" w:rsidRPr="005F120D" w:rsidRDefault="0099288C" w:rsidP="00B25E46">
      <w:pPr>
        <w:pStyle w:val="BodyText1"/>
        <w:numPr>
          <w:ilvl w:val="0"/>
          <w:numId w:val="55"/>
        </w:numPr>
        <w:spacing w:after="0" w:line="240" w:lineRule="auto"/>
        <w:jc w:val="both"/>
        <w:rPr>
          <w:rFonts w:asciiTheme="minorHAnsi" w:hAnsiTheme="minorHAnsi" w:cstheme="minorHAnsi"/>
          <w:b w:val="0"/>
          <w:sz w:val="20"/>
          <w:szCs w:val="20"/>
        </w:rPr>
      </w:pPr>
      <w:r w:rsidRPr="005F120D">
        <w:rPr>
          <w:rFonts w:asciiTheme="minorHAnsi" w:hAnsiTheme="minorHAnsi" w:cstheme="minorHAnsi"/>
          <w:b w:val="0"/>
          <w:sz w:val="20"/>
          <w:szCs w:val="20"/>
        </w:rPr>
        <w:t xml:space="preserve">To enhance the quality of primary education; and </w:t>
      </w:r>
    </w:p>
    <w:p w:rsidR="0099288C" w:rsidRPr="005F120D" w:rsidRDefault="00225C14" w:rsidP="00B25E46">
      <w:pPr>
        <w:pStyle w:val="BodyText1"/>
        <w:numPr>
          <w:ilvl w:val="0"/>
          <w:numId w:val="55"/>
        </w:numPr>
        <w:spacing w:after="0" w:line="240" w:lineRule="auto"/>
        <w:jc w:val="both"/>
        <w:rPr>
          <w:rFonts w:asciiTheme="minorHAnsi" w:hAnsiTheme="minorHAnsi" w:cstheme="minorHAnsi"/>
          <w:b w:val="0"/>
          <w:sz w:val="20"/>
          <w:szCs w:val="20"/>
        </w:rPr>
      </w:pPr>
      <w:r w:rsidRPr="005F120D">
        <w:rPr>
          <w:rFonts w:asciiTheme="minorHAnsi" w:hAnsiTheme="minorHAnsi" w:cstheme="minorHAnsi"/>
          <w:b w:val="0"/>
          <w:sz w:val="20"/>
          <w:szCs w:val="20"/>
        </w:rPr>
        <w:t>To enhance female</w:t>
      </w:r>
      <w:r w:rsidR="0099288C" w:rsidRPr="005F120D">
        <w:rPr>
          <w:rFonts w:asciiTheme="minorHAnsi" w:hAnsiTheme="minorHAnsi" w:cstheme="minorHAnsi"/>
          <w:b w:val="0"/>
          <w:sz w:val="20"/>
          <w:szCs w:val="20"/>
        </w:rPr>
        <w:t xml:space="preserve"> empowerment</w:t>
      </w:r>
    </w:p>
    <w:p w:rsidR="0099288C" w:rsidRPr="005F120D" w:rsidRDefault="0099288C" w:rsidP="00B25E46">
      <w:pPr>
        <w:pStyle w:val="BodyText1"/>
        <w:spacing w:after="0" w:line="240" w:lineRule="auto"/>
        <w:jc w:val="both"/>
        <w:rPr>
          <w:rFonts w:asciiTheme="minorHAnsi" w:hAnsiTheme="minorHAnsi" w:cstheme="minorHAnsi"/>
          <w:sz w:val="20"/>
          <w:szCs w:val="20"/>
        </w:rPr>
      </w:pPr>
    </w:p>
    <w:p w:rsidR="0099288C" w:rsidRPr="005F120D" w:rsidRDefault="0099288C" w:rsidP="00B25E46">
      <w:pPr>
        <w:pStyle w:val="BodyText1"/>
        <w:spacing w:after="120" w:line="240" w:lineRule="auto"/>
        <w:jc w:val="both"/>
        <w:rPr>
          <w:rFonts w:asciiTheme="minorHAnsi" w:hAnsiTheme="minorHAnsi" w:cstheme="minorHAnsi"/>
          <w:sz w:val="20"/>
          <w:szCs w:val="20"/>
        </w:rPr>
      </w:pPr>
      <w:r w:rsidRPr="005F120D">
        <w:rPr>
          <w:rFonts w:asciiTheme="minorHAnsi" w:hAnsiTheme="minorHAnsi" w:cstheme="minorHAnsi"/>
          <w:sz w:val="20"/>
          <w:szCs w:val="20"/>
        </w:rPr>
        <w:t>Location of the Project: All over the country excluding City Corporation and Municipalities areas and 79 Shishu Kalayan Trust schools</w:t>
      </w:r>
    </w:p>
    <w:p w:rsidR="0099288C" w:rsidRPr="005F120D" w:rsidRDefault="0099288C" w:rsidP="00B25E46">
      <w:pPr>
        <w:pStyle w:val="BodyText1"/>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 xml:space="preserve">Implementation Period of Primary Education Stipend Project: </w:t>
      </w:r>
    </w:p>
    <w:p w:rsidR="0099288C" w:rsidRPr="005F120D" w:rsidRDefault="0099288C" w:rsidP="00B25E46">
      <w:pPr>
        <w:pStyle w:val="BodyText1"/>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a). Original:</w:t>
      </w:r>
      <w:r w:rsidRPr="005F120D">
        <w:rPr>
          <w:rFonts w:asciiTheme="minorHAnsi" w:hAnsiTheme="minorHAnsi" w:cstheme="minorHAnsi"/>
          <w:sz w:val="20"/>
          <w:szCs w:val="20"/>
        </w:rPr>
        <w:tab/>
      </w:r>
      <w:r w:rsidRPr="005F120D">
        <w:rPr>
          <w:rFonts w:asciiTheme="minorHAnsi" w:hAnsiTheme="minorHAnsi" w:cstheme="minorHAnsi"/>
          <w:sz w:val="20"/>
          <w:szCs w:val="20"/>
        </w:rPr>
        <w:tab/>
        <w:t>I.</w:t>
      </w:r>
      <w:r w:rsidRPr="005F120D">
        <w:rPr>
          <w:rFonts w:asciiTheme="minorHAnsi" w:hAnsiTheme="minorHAnsi" w:cstheme="minorHAnsi"/>
          <w:sz w:val="20"/>
          <w:szCs w:val="20"/>
        </w:rPr>
        <w:tab/>
        <w:t>Date of Commencement:</w:t>
      </w:r>
      <w:r w:rsidRPr="005F120D">
        <w:rPr>
          <w:rFonts w:asciiTheme="minorHAnsi" w:hAnsiTheme="minorHAnsi" w:cstheme="minorHAnsi"/>
          <w:sz w:val="20"/>
          <w:szCs w:val="20"/>
        </w:rPr>
        <w:tab/>
        <w:t>July 2008</w:t>
      </w:r>
    </w:p>
    <w:p w:rsidR="0099288C" w:rsidRPr="005F120D" w:rsidRDefault="0099288C" w:rsidP="00B25E46">
      <w:pPr>
        <w:pStyle w:val="BodyText1"/>
        <w:numPr>
          <w:ilvl w:val="0"/>
          <w:numId w:val="56"/>
        </w:numPr>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Date of Completion:</w:t>
      </w:r>
      <w:r w:rsidRPr="005F120D">
        <w:rPr>
          <w:rFonts w:asciiTheme="minorHAnsi" w:hAnsiTheme="minorHAnsi" w:cstheme="minorHAnsi"/>
          <w:sz w:val="20"/>
          <w:szCs w:val="20"/>
        </w:rPr>
        <w:tab/>
        <w:t xml:space="preserve"> July 2013 </w:t>
      </w:r>
      <w:r w:rsidRPr="005F120D">
        <w:rPr>
          <w:rFonts w:asciiTheme="minorHAnsi" w:hAnsiTheme="minorHAnsi" w:cstheme="minorHAnsi"/>
          <w:sz w:val="20"/>
          <w:szCs w:val="20"/>
        </w:rPr>
        <w:tab/>
      </w:r>
    </w:p>
    <w:p w:rsidR="0099288C" w:rsidRPr="005F120D" w:rsidRDefault="0099288C" w:rsidP="00B25E46">
      <w:pPr>
        <w:pStyle w:val="BodyText1"/>
        <w:spacing w:after="0" w:line="240" w:lineRule="auto"/>
        <w:jc w:val="both"/>
        <w:rPr>
          <w:rFonts w:asciiTheme="minorHAnsi" w:hAnsiTheme="minorHAnsi" w:cstheme="minorHAnsi"/>
          <w:sz w:val="20"/>
          <w:szCs w:val="20"/>
        </w:rPr>
      </w:pPr>
    </w:p>
    <w:p w:rsidR="0099288C" w:rsidRPr="005F120D" w:rsidRDefault="0099288C" w:rsidP="00B25E46">
      <w:pPr>
        <w:pStyle w:val="BodyText1"/>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b). 1</w:t>
      </w:r>
      <w:r w:rsidRPr="005F120D">
        <w:rPr>
          <w:rFonts w:asciiTheme="minorHAnsi" w:hAnsiTheme="minorHAnsi" w:cstheme="minorHAnsi"/>
          <w:sz w:val="20"/>
          <w:szCs w:val="20"/>
          <w:vertAlign w:val="superscript"/>
        </w:rPr>
        <w:t>st</w:t>
      </w:r>
      <w:r w:rsidRPr="005F120D">
        <w:rPr>
          <w:rFonts w:asciiTheme="minorHAnsi" w:hAnsiTheme="minorHAnsi" w:cstheme="minorHAnsi"/>
          <w:sz w:val="20"/>
          <w:szCs w:val="20"/>
        </w:rPr>
        <w:t xml:space="preserve"> Revised:</w:t>
      </w:r>
      <w:r w:rsidRPr="005F120D">
        <w:rPr>
          <w:rFonts w:asciiTheme="minorHAnsi" w:hAnsiTheme="minorHAnsi" w:cstheme="minorHAnsi"/>
          <w:sz w:val="20"/>
          <w:szCs w:val="20"/>
        </w:rPr>
        <w:tab/>
      </w:r>
      <w:r w:rsidRPr="005F120D">
        <w:rPr>
          <w:rFonts w:asciiTheme="minorHAnsi" w:hAnsiTheme="minorHAnsi" w:cstheme="minorHAnsi"/>
          <w:sz w:val="20"/>
          <w:szCs w:val="20"/>
        </w:rPr>
        <w:tab/>
        <w:t>I.</w:t>
      </w:r>
      <w:r w:rsidRPr="005F120D">
        <w:rPr>
          <w:rFonts w:asciiTheme="minorHAnsi" w:hAnsiTheme="minorHAnsi" w:cstheme="minorHAnsi"/>
          <w:sz w:val="20"/>
          <w:szCs w:val="20"/>
        </w:rPr>
        <w:tab/>
        <w:t>Date of Commencement:</w:t>
      </w:r>
      <w:r w:rsidRPr="005F120D">
        <w:rPr>
          <w:rFonts w:asciiTheme="minorHAnsi" w:hAnsiTheme="minorHAnsi" w:cstheme="minorHAnsi"/>
          <w:sz w:val="20"/>
          <w:szCs w:val="20"/>
        </w:rPr>
        <w:tab/>
        <w:t xml:space="preserve"> July 2008 </w:t>
      </w:r>
    </w:p>
    <w:p w:rsidR="0099288C" w:rsidRPr="005F120D" w:rsidRDefault="0099288C" w:rsidP="00B25E46">
      <w:pPr>
        <w:pStyle w:val="BodyText1"/>
        <w:numPr>
          <w:ilvl w:val="0"/>
          <w:numId w:val="57"/>
        </w:numPr>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Date of Completion:</w:t>
      </w:r>
      <w:r w:rsidRPr="005F120D">
        <w:rPr>
          <w:rFonts w:asciiTheme="minorHAnsi" w:hAnsiTheme="minorHAnsi" w:cstheme="minorHAnsi"/>
          <w:sz w:val="20"/>
          <w:szCs w:val="20"/>
        </w:rPr>
        <w:tab/>
        <w:t xml:space="preserve"> July 2013 </w:t>
      </w:r>
    </w:p>
    <w:p w:rsidR="0099288C" w:rsidRPr="005F120D" w:rsidRDefault="0099288C" w:rsidP="00B25E46">
      <w:pPr>
        <w:pStyle w:val="BodyText1"/>
        <w:spacing w:after="0" w:line="240" w:lineRule="auto"/>
        <w:jc w:val="both"/>
        <w:rPr>
          <w:rFonts w:asciiTheme="minorHAnsi" w:hAnsiTheme="minorHAnsi" w:cstheme="minorHAnsi"/>
          <w:sz w:val="20"/>
          <w:szCs w:val="20"/>
        </w:rPr>
      </w:pPr>
    </w:p>
    <w:p w:rsidR="0099288C" w:rsidRPr="005F120D" w:rsidRDefault="0099288C" w:rsidP="00B25E46">
      <w:pPr>
        <w:pStyle w:val="BodyText1"/>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c). 2</w:t>
      </w:r>
      <w:r w:rsidRPr="005F120D">
        <w:rPr>
          <w:rFonts w:asciiTheme="minorHAnsi" w:hAnsiTheme="minorHAnsi" w:cstheme="minorHAnsi"/>
          <w:sz w:val="20"/>
          <w:szCs w:val="20"/>
          <w:vertAlign w:val="superscript"/>
        </w:rPr>
        <w:t>nd</w:t>
      </w:r>
      <w:r w:rsidRPr="005F120D">
        <w:rPr>
          <w:rFonts w:asciiTheme="minorHAnsi" w:hAnsiTheme="minorHAnsi" w:cstheme="minorHAnsi"/>
          <w:sz w:val="20"/>
          <w:szCs w:val="20"/>
        </w:rPr>
        <w:t xml:space="preserve"> Revised:</w:t>
      </w:r>
      <w:r w:rsidRPr="005F120D">
        <w:rPr>
          <w:rFonts w:asciiTheme="minorHAnsi" w:hAnsiTheme="minorHAnsi" w:cstheme="minorHAnsi"/>
          <w:sz w:val="20"/>
          <w:szCs w:val="20"/>
        </w:rPr>
        <w:tab/>
      </w:r>
      <w:r w:rsidRPr="005F120D">
        <w:rPr>
          <w:rFonts w:asciiTheme="minorHAnsi" w:hAnsiTheme="minorHAnsi" w:cstheme="minorHAnsi"/>
          <w:sz w:val="20"/>
          <w:szCs w:val="20"/>
        </w:rPr>
        <w:tab/>
        <w:t>I.</w:t>
      </w:r>
      <w:r w:rsidRPr="005F120D">
        <w:rPr>
          <w:rFonts w:asciiTheme="minorHAnsi" w:hAnsiTheme="minorHAnsi" w:cstheme="minorHAnsi"/>
          <w:sz w:val="20"/>
          <w:szCs w:val="20"/>
        </w:rPr>
        <w:tab/>
        <w:t>Date of Commencement:</w:t>
      </w:r>
      <w:r w:rsidRPr="005F120D">
        <w:rPr>
          <w:rFonts w:asciiTheme="minorHAnsi" w:hAnsiTheme="minorHAnsi" w:cstheme="minorHAnsi"/>
          <w:sz w:val="20"/>
          <w:szCs w:val="20"/>
        </w:rPr>
        <w:tab/>
        <w:t xml:space="preserve"> July 2008 </w:t>
      </w:r>
    </w:p>
    <w:p w:rsidR="0099288C" w:rsidRPr="005F120D" w:rsidRDefault="0099288C" w:rsidP="00B25E46">
      <w:pPr>
        <w:pStyle w:val="BodyText1"/>
        <w:numPr>
          <w:ilvl w:val="0"/>
          <w:numId w:val="58"/>
        </w:numPr>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Date of Completion:</w:t>
      </w:r>
      <w:r w:rsidRPr="005F120D">
        <w:rPr>
          <w:rFonts w:asciiTheme="minorHAnsi" w:hAnsiTheme="minorHAnsi" w:cstheme="minorHAnsi"/>
          <w:sz w:val="20"/>
          <w:szCs w:val="20"/>
        </w:rPr>
        <w:tab/>
        <w:t>June 2015- July 2017 (3</w:t>
      </w:r>
      <w:r w:rsidRPr="005F120D">
        <w:rPr>
          <w:rFonts w:asciiTheme="minorHAnsi" w:hAnsiTheme="minorHAnsi" w:cstheme="minorHAnsi"/>
          <w:sz w:val="20"/>
          <w:szCs w:val="20"/>
          <w:vertAlign w:val="superscript"/>
        </w:rPr>
        <w:t>rd</w:t>
      </w:r>
      <w:r w:rsidRPr="005F120D">
        <w:rPr>
          <w:rFonts w:asciiTheme="minorHAnsi" w:hAnsiTheme="minorHAnsi" w:cstheme="minorHAnsi"/>
          <w:sz w:val="20"/>
          <w:szCs w:val="20"/>
        </w:rPr>
        <w:t xml:space="preserve"> phase)</w:t>
      </w:r>
    </w:p>
    <w:p w:rsidR="0099288C" w:rsidRPr="005F120D" w:rsidRDefault="0099288C" w:rsidP="00B25E46">
      <w:pPr>
        <w:pStyle w:val="BodyText1"/>
        <w:spacing w:before="120" w:after="120" w:line="240" w:lineRule="auto"/>
        <w:jc w:val="both"/>
        <w:rPr>
          <w:rFonts w:asciiTheme="minorHAnsi" w:hAnsiTheme="minorHAnsi" w:cstheme="minorHAnsi"/>
          <w:sz w:val="20"/>
          <w:szCs w:val="20"/>
        </w:rPr>
      </w:pPr>
      <w:r w:rsidRPr="005F120D">
        <w:rPr>
          <w:rFonts w:asciiTheme="minorHAnsi" w:hAnsiTheme="minorHAnsi" w:cstheme="minorHAnsi"/>
          <w:sz w:val="20"/>
          <w:szCs w:val="20"/>
        </w:rPr>
        <w:t xml:space="preserve">Implementation Cost: TK. 3,900.2648 (Three thousand Nine hundred Crore Twenty Six </w:t>
      </w:r>
      <w:r w:rsidR="00F738CE" w:rsidRPr="005F120D">
        <w:rPr>
          <w:rFonts w:asciiTheme="minorHAnsi" w:hAnsiTheme="minorHAnsi" w:cstheme="minorHAnsi"/>
          <w:sz w:val="20"/>
          <w:szCs w:val="20"/>
        </w:rPr>
        <w:t>Lac</w:t>
      </w:r>
      <w:r w:rsidRPr="005F120D">
        <w:rPr>
          <w:rFonts w:asciiTheme="minorHAnsi" w:hAnsiTheme="minorHAnsi" w:cstheme="minorHAnsi"/>
          <w:sz w:val="20"/>
          <w:szCs w:val="20"/>
        </w:rPr>
        <w:t xml:space="preserve"> and Forty Eight thousand only</w:t>
      </w:r>
    </w:p>
    <w:p w:rsidR="0099288C" w:rsidRPr="005F120D" w:rsidRDefault="0099288C" w:rsidP="00B25E46">
      <w:pPr>
        <w:pStyle w:val="BodyText1"/>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Source of Fund: GoB</w:t>
      </w:r>
    </w:p>
    <w:p w:rsidR="0099288C" w:rsidRPr="005F120D" w:rsidRDefault="0099288C" w:rsidP="00B25E46">
      <w:pPr>
        <w:pStyle w:val="BodyText1"/>
        <w:spacing w:after="0" w:line="240" w:lineRule="auto"/>
        <w:jc w:val="both"/>
        <w:rPr>
          <w:rFonts w:asciiTheme="minorHAnsi" w:hAnsiTheme="minorHAnsi" w:cstheme="minorHAnsi"/>
          <w:sz w:val="20"/>
          <w:szCs w:val="20"/>
        </w:rPr>
      </w:pPr>
    </w:p>
    <w:p w:rsidR="0099288C" w:rsidRPr="005F120D" w:rsidRDefault="0099288C" w:rsidP="00B25E46">
      <w:pPr>
        <w:pStyle w:val="BodyText1"/>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Introduction:</w:t>
      </w:r>
    </w:p>
    <w:p w:rsidR="0099288C" w:rsidRPr="005F120D" w:rsidRDefault="0099288C" w:rsidP="00B25E46">
      <w:pPr>
        <w:pStyle w:val="BodyText1"/>
        <w:spacing w:after="0" w:line="240" w:lineRule="auto"/>
        <w:jc w:val="both"/>
        <w:rPr>
          <w:rFonts w:asciiTheme="minorHAnsi" w:hAnsiTheme="minorHAnsi" w:cstheme="minorHAnsi"/>
          <w:b w:val="0"/>
          <w:sz w:val="20"/>
          <w:szCs w:val="20"/>
        </w:rPr>
      </w:pPr>
      <w:r w:rsidRPr="005F120D">
        <w:rPr>
          <w:rFonts w:asciiTheme="minorHAnsi" w:hAnsiTheme="minorHAnsi" w:cstheme="minorHAnsi"/>
          <w:b w:val="0"/>
          <w:sz w:val="20"/>
          <w:szCs w:val="20"/>
        </w:rPr>
        <w:t xml:space="preserve">Reducing disparities in education opportunities is a priority of the Government of Bangladesh. ECNEC approved Phase II of The Primary Education Stipend Project in March 2012.  The current project budget is Taka 403,503.34 </w:t>
      </w:r>
      <w:r w:rsidR="00F738CE" w:rsidRPr="005F120D">
        <w:rPr>
          <w:rFonts w:asciiTheme="minorHAnsi" w:hAnsiTheme="minorHAnsi" w:cstheme="minorHAnsi"/>
          <w:b w:val="0"/>
          <w:sz w:val="20"/>
          <w:szCs w:val="20"/>
        </w:rPr>
        <w:t>lac</w:t>
      </w:r>
      <w:r w:rsidRPr="005F120D">
        <w:rPr>
          <w:rFonts w:asciiTheme="minorHAnsi" w:hAnsiTheme="minorHAnsi" w:cstheme="minorHAnsi"/>
          <w:b w:val="0"/>
          <w:sz w:val="20"/>
          <w:szCs w:val="20"/>
        </w:rPr>
        <w:t xml:space="preserve"> and the beneficiary coverage has increased from 4.8 to 7.8 million using new criteria for selecting eligible cardholders. Under this program, a monthly stipend (amounting to BDT 100 for one child and BDT 125 to families with more than one child) is provided to poor families, conditional upon regular school attendance as w</w:t>
      </w:r>
      <w:r w:rsidR="00225C14" w:rsidRPr="005F120D">
        <w:rPr>
          <w:rFonts w:asciiTheme="minorHAnsi" w:hAnsiTheme="minorHAnsi" w:cstheme="minorHAnsi"/>
          <w:b w:val="0"/>
          <w:sz w:val="20"/>
          <w:szCs w:val="20"/>
        </w:rPr>
        <w:t>ell as passing</w:t>
      </w:r>
      <w:r w:rsidRPr="005F120D">
        <w:rPr>
          <w:rFonts w:asciiTheme="minorHAnsi" w:hAnsiTheme="minorHAnsi" w:cstheme="minorHAnsi"/>
          <w:b w:val="0"/>
          <w:sz w:val="20"/>
          <w:szCs w:val="20"/>
        </w:rPr>
        <w:t xml:space="preserve"> the school exam. In order to strengthen the program impact, a comprehensive study is currently being conducted by the PPRC to assess the effectiveness of the program in benefitting the poor. </w:t>
      </w:r>
    </w:p>
    <w:p w:rsidR="0099288C" w:rsidRPr="005F120D" w:rsidRDefault="0099288C" w:rsidP="00B25E46">
      <w:pPr>
        <w:pStyle w:val="BodyText1"/>
        <w:spacing w:after="0" w:line="240" w:lineRule="auto"/>
        <w:jc w:val="both"/>
        <w:rPr>
          <w:rFonts w:asciiTheme="minorHAnsi" w:hAnsiTheme="minorHAnsi" w:cstheme="minorHAnsi"/>
          <w:b w:val="0"/>
          <w:sz w:val="20"/>
          <w:szCs w:val="20"/>
        </w:rPr>
      </w:pPr>
    </w:p>
    <w:p w:rsidR="0099288C" w:rsidRPr="005F120D" w:rsidRDefault="0099288C" w:rsidP="00B25E46">
      <w:pPr>
        <w:pStyle w:val="BodyText1"/>
        <w:spacing w:after="0" w:line="240" w:lineRule="auto"/>
        <w:jc w:val="both"/>
        <w:rPr>
          <w:rFonts w:asciiTheme="minorHAnsi" w:hAnsiTheme="minorHAnsi" w:cstheme="minorHAnsi"/>
          <w:b w:val="0"/>
          <w:sz w:val="20"/>
          <w:szCs w:val="20"/>
        </w:rPr>
      </w:pPr>
      <w:r w:rsidRPr="005F120D">
        <w:rPr>
          <w:rFonts w:asciiTheme="minorHAnsi" w:hAnsiTheme="minorHAnsi" w:cstheme="minorHAnsi"/>
          <w:b w:val="0"/>
          <w:sz w:val="20"/>
          <w:szCs w:val="20"/>
        </w:rPr>
        <w:t>Based on the poverty mapping jointly conducted by BBS and WFP, beneficiary coverage was re-defined based on identified poverty prone areas. The revised criteria are as follows;</w:t>
      </w:r>
    </w:p>
    <w:p w:rsidR="0099288C" w:rsidRPr="005F120D" w:rsidRDefault="0099288C" w:rsidP="00B25E46">
      <w:pPr>
        <w:pStyle w:val="ListParagraph"/>
        <w:numPr>
          <w:ilvl w:val="0"/>
          <w:numId w:val="37"/>
        </w:numPr>
        <w:jc w:val="both"/>
        <w:rPr>
          <w:rFonts w:asciiTheme="minorHAnsi" w:hAnsiTheme="minorHAnsi" w:cstheme="minorHAnsi"/>
          <w:sz w:val="20"/>
          <w:szCs w:val="20"/>
        </w:rPr>
      </w:pPr>
      <w:r w:rsidRPr="005F120D">
        <w:rPr>
          <w:rFonts w:asciiTheme="minorHAnsi" w:hAnsiTheme="minorHAnsi" w:cstheme="minorHAnsi"/>
          <w:sz w:val="20"/>
          <w:szCs w:val="20"/>
        </w:rPr>
        <w:t xml:space="preserve">A total of 67 </w:t>
      </w:r>
      <w:r w:rsidR="00A61F5E" w:rsidRPr="005F120D">
        <w:rPr>
          <w:rFonts w:asciiTheme="minorHAnsi" w:hAnsiTheme="minorHAnsi" w:cstheme="minorHAnsi"/>
          <w:sz w:val="20"/>
          <w:szCs w:val="20"/>
        </w:rPr>
        <w:t>Upazilas</w:t>
      </w:r>
      <w:r w:rsidRPr="005F120D">
        <w:rPr>
          <w:rFonts w:asciiTheme="minorHAnsi" w:hAnsiTheme="minorHAnsi" w:cstheme="minorHAnsi"/>
          <w:sz w:val="20"/>
          <w:szCs w:val="20"/>
        </w:rPr>
        <w:t xml:space="preserve"> were identified in the poverty map where</w:t>
      </w:r>
      <w:r w:rsidR="00225C14" w:rsidRPr="005F120D">
        <w:rPr>
          <w:rFonts w:asciiTheme="minorHAnsi" w:hAnsiTheme="minorHAnsi" w:cstheme="minorHAnsi"/>
          <w:sz w:val="20"/>
          <w:szCs w:val="20"/>
        </w:rPr>
        <w:t xml:space="preserve"> the</w:t>
      </w:r>
      <w:r w:rsidRPr="005F120D">
        <w:rPr>
          <w:rFonts w:asciiTheme="minorHAnsi" w:hAnsiTheme="minorHAnsi" w:cstheme="minorHAnsi"/>
          <w:sz w:val="20"/>
          <w:szCs w:val="20"/>
        </w:rPr>
        <w:t xml:space="preserve"> poverty rate is above 60%; in those </w:t>
      </w:r>
      <w:r w:rsidR="00A61F5E" w:rsidRPr="005F120D">
        <w:rPr>
          <w:rFonts w:asciiTheme="minorHAnsi" w:hAnsiTheme="minorHAnsi" w:cstheme="minorHAnsi"/>
          <w:sz w:val="20"/>
          <w:szCs w:val="20"/>
        </w:rPr>
        <w:t>Upazilas</w:t>
      </w:r>
      <w:r w:rsidRPr="005F120D">
        <w:rPr>
          <w:rFonts w:asciiTheme="minorHAnsi" w:hAnsiTheme="minorHAnsi" w:cstheme="minorHAnsi"/>
          <w:sz w:val="20"/>
          <w:szCs w:val="20"/>
        </w:rPr>
        <w:t xml:space="preserve">’ 90% </w:t>
      </w:r>
      <w:r w:rsidR="00225C14" w:rsidRPr="005F120D">
        <w:rPr>
          <w:rFonts w:asciiTheme="minorHAnsi" w:hAnsiTheme="minorHAnsi" w:cstheme="minorHAnsi"/>
          <w:sz w:val="20"/>
          <w:szCs w:val="20"/>
        </w:rPr>
        <w:t xml:space="preserve">of </w:t>
      </w:r>
      <w:r w:rsidRPr="005F120D">
        <w:rPr>
          <w:rFonts w:asciiTheme="minorHAnsi" w:hAnsiTheme="minorHAnsi" w:cstheme="minorHAnsi"/>
          <w:sz w:val="20"/>
          <w:szCs w:val="20"/>
        </w:rPr>
        <w:t>children are eligible to receive</w:t>
      </w:r>
      <w:r w:rsidR="00225C14" w:rsidRPr="005F120D">
        <w:rPr>
          <w:rFonts w:asciiTheme="minorHAnsi" w:hAnsiTheme="minorHAnsi" w:cstheme="minorHAnsi"/>
          <w:sz w:val="20"/>
          <w:szCs w:val="20"/>
        </w:rPr>
        <w:t xml:space="preserve"> the </w:t>
      </w:r>
      <w:r w:rsidRPr="005F120D">
        <w:rPr>
          <w:rFonts w:asciiTheme="minorHAnsi" w:hAnsiTheme="minorHAnsi" w:cstheme="minorHAnsi"/>
          <w:sz w:val="20"/>
          <w:szCs w:val="20"/>
        </w:rPr>
        <w:t xml:space="preserve"> stipend;</w:t>
      </w:r>
    </w:p>
    <w:p w:rsidR="0099288C" w:rsidRPr="005F120D" w:rsidRDefault="0099288C" w:rsidP="00B25E46">
      <w:pPr>
        <w:pStyle w:val="ListParagraph"/>
        <w:numPr>
          <w:ilvl w:val="0"/>
          <w:numId w:val="37"/>
        </w:numPr>
        <w:jc w:val="both"/>
        <w:rPr>
          <w:rFonts w:asciiTheme="minorHAnsi" w:hAnsiTheme="minorHAnsi" w:cstheme="minorHAnsi"/>
          <w:sz w:val="20"/>
          <w:szCs w:val="20"/>
        </w:rPr>
      </w:pPr>
      <w:r w:rsidRPr="005F120D">
        <w:rPr>
          <w:rFonts w:asciiTheme="minorHAnsi" w:hAnsiTheme="minorHAnsi" w:cstheme="minorHAnsi"/>
          <w:sz w:val="20"/>
          <w:szCs w:val="20"/>
        </w:rPr>
        <w:t xml:space="preserve">A total of 122 </w:t>
      </w:r>
      <w:r w:rsidR="00A61F5E" w:rsidRPr="005F120D">
        <w:rPr>
          <w:rFonts w:asciiTheme="minorHAnsi" w:hAnsiTheme="minorHAnsi" w:cstheme="minorHAnsi"/>
          <w:sz w:val="20"/>
          <w:szCs w:val="20"/>
        </w:rPr>
        <w:t>Upazilas</w:t>
      </w:r>
      <w:r w:rsidRPr="005F120D">
        <w:rPr>
          <w:rFonts w:asciiTheme="minorHAnsi" w:hAnsiTheme="minorHAnsi" w:cstheme="minorHAnsi"/>
          <w:sz w:val="20"/>
          <w:szCs w:val="20"/>
        </w:rPr>
        <w:t xml:space="preserve"> were identified in the poverty map where</w:t>
      </w:r>
      <w:r w:rsidR="00225C14" w:rsidRPr="005F120D">
        <w:rPr>
          <w:rFonts w:asciiTheme="minorHAnsi" w:hAnsiTheme="minorHAnsi" w:cstheme="minorHAnsi"/>
          <w:sz w:val="20"/>
          <w:szCs w:val="20"/>
        </w:rPr>
        <w:t xml:space="preserve"> the </w:t>
      </w:r>
      <w:r w:rsidRPr="005F120D">
        <w:rPr>
          <w:rFonts w:asciiTheme="minorHAnsi" w:hAnsiTheme="minorHAnsi" w:cstheme="minorHAnsi"/>
          <w:sz w:val="20"/>
          <w:szCs w:val="20"/>
        </w:rPr>
        <w:t xml:space="preserve"> poverty rate is wit</w:t>
      </w:r>
      <w:r w:rsidR="00225C14" w:rsidRPr="005F120D">
        <w:rPr>
          <w:rFonts w:asciiTheme="minorHAnsi" w:hAnsiTheme="minorHAnsi" w:cstheme="minorHAnsi"/>
          <w:sz w:val="20"/>
          <w:szCs w:val="20"/>
        </w:rPr>
        <w:t xml:space="preserve">hin 48.1-60%; in those </w:t>
      </w:r>
      <w:r w:rsidR="00A61F5E" w:rsidRPr="005F120D">
        <w:rPr>
          <w:rFonts w:asciiTheme="minorHAnsi" w:hAnsiTheme="minorHAnsi" w:cstheme="minorHAnsi"/>
          <w:sz w:val="20"/>
          <w:szCs w:val="20"/>
        </w:rPr>
        <w:t>Upazilas</w:t>
      </w:r>
      <w:r w:rsidRPr="005F120D">
        <w:rPr>
          <w:rFonts w:asciiTheme="minorHAnsi" w:hAnsiTheme="minorHAnsi" w:cstheme="minorHAnsi"/>
          <w:sz w:val="20"/>
          <w:szCs w:val="20"/>
        </w:rPr>
        <w:t xml:space="preserve"> 75% </w:t>
      </w:r>
      <w:r w:rsidR="00225C14" w:rsidRPr="005F120D">
        <w:rPr>
          <w:rFonts w:asciiTheme="minorHAnsi" w:hAnsiTheme="minorHAnsi" w:cstheme="minorHAnsi"/>
          <w:sz w:val="20"/>
          <w:szCs w:val="20"/>
        </w:rPr>
        <w:t xml:space="preserve">of </w:t>
      </w:r>
      <w:r w:rsidRPr="005F120D">
        <w:rPr>
          <w:rFonts w:asciiTheme="minorHAnsi" w:hAnsiTheme="minorHAnsi" w:cstheme="minorHAnsi"/>
          <w:sz w:val="20"/>
          <w:szCs w:val="20"/>
        </w:rPr>
        <w:t xml:space="preserve">children are eligible to receive </w:t>
      </w:r>
      <w:r w:rsidR="00225C14" w:rsidRPr="005F120D">
        <w:rPr>
          <w:rFonts w:asciiTheme="minorHAnsi" w:hAnsiTheme="minorHAnsi" w:cstheme="minorHAnsi"/>
          <w:sz w:val="20"/>
          <w:szCs w:val="20"/>
        </w:rPr>
        <w:t xml:space="preserve">the </w:t>
      </w:r>
      <w:r w:rsidRPr="005F120D">
        <w:rPr>
          <w:rFonts w:asciiTheme="minorHAnsi" w:hAnsiTheme="minorHAnsi" w:cstheme="minorHAnsi"/>
          <w:sz w:val="20"/>
          <w:szCs w:val="20"/>
        </w:rPr>
        <w:t>stipend;</w:t>
      </w:r>
    </w:p>
    <w:p w:rsidR="0099288C" w:rsidRPr="005F120D" w:rsidRDefault="0099288C" w:rsidP="00B25E46">
      <w:pPr>
        <w:pStyle w:val="ListParagraph"/>
        <w:numPr>
          <w:ilvl w:val="0"/>
          <w:numId w:val="37"/>
        </w:numPr>
        <w:jc w:val="both"/>
        <w:rPr>
          <w:rFonts w:asciiTheme="minorHAnsi" w:hAnsiTheme="minorHAnsi" w:cstheme="minorHAnsi"/>
          <w:sz w:val="20"/>
          <w:szCs w:val="20"/>
        </w:rPr>
      </w:pPr>
      <w:r w:rsidRPr="005F120D">
        <w:rPr>
          <w:rFonts w:asciiTheme="minorHAnsi" w:hAnsiTheme="minorHAnsi" w:cstheme="minorHAnsi"/>
          <w:sz w:val="20"/>
          <w:szCs w:val="20"/>
        </w:rPr>
        <w:t xml:space="preserve">A total of 140 </w:t>
      </w:r>
      <w:r w:rsidR="00A61F5E" w:rsidRPr="005F120D">
        <w:rPr>
          <w:rFonts w:asciiTheme="minorHAnsi" w:hAnsiTheme="minorHAnsi" w:cstheme="minorHAnsi"/>
          <w:sz w:val="20"/>
          <w:szCs w:val="20"/>
        </w:rPr>
        <w:t>Upazilas</w:t>
      </w:r>
      <w:r w:rsidRPr="005F120D">
        <w:rPr>
          <w:rFonts w:asciiTheme="minorHAnsi" w:hAnsiTheme="minorHAnsi" w:cstheme="minorHAnsi"/>
          <w:sz w:val="20"/>
          <w:szCs w:val="20"/>
        </w:rPr>
        <w:t xml:space="preserve"> were identified in the poverty map where </w:t>
      </w:r>
      <w:r w:rsidR="00225C14" w:rsidRPr="005F120D">
        <w:rPr>
          <w:rFonts w:asciiTheme="minorHAnsi" w:hAnsiTheme="minorHAnsi" w:cstheme="minorHAnsi"/>
          <w:sz w:val="20"/>
          <w:szCs w:val="20"/>
        </w:rPr>
        <w:t xml:space="preserve">the </w:t>
      </w:r>
      <w:r w:rsidRPr="005F120D">
        <w:rPr>
          <w:rFonts w:asciiTheme="minorHAnsi" w:hAnsiTheme="minorHAnsi" w:cstheme="minorHAnsi"/>
          <w:sz w:val="20"/>
          <w:szCs w:val="20"/>
        </w:rPr>
        <w:t xml:space="preserve">poverty rate </w:t>
      </w:r>
      <w:r w:rsidR="00A61F5E">
        <w:rPr>
          <w:rFonts w:asciiTheme="minorHAnsi" w:hAnsiTheme="minorHAnsi" w:cstheme="minorHAnsi"/>
          <w:sz w:val="20"/>
          <w:szCs w:val="20"/>
        </w:rPr>
        <w:t>is within 36.1-48%; in t</w:t>
      </w:r>
      <w:r w:rsidR="00225C14" w:rsidRPr="005F120D">
        <w:rPr>
          <w:rFonts w:asciiTheme="minorHAnsi" w:hAnsiTheme="minorHAnsi" w:cstheme="minorHAnsi"/>
          <w:sz w:val="20"/>
          <w:szCs w:val="20"/>
        </w:rPr>
        <w:t xml:space="preserve">hose </w:t>
      </w:r>
      <w:r w:rsidR="00A61F5E" w:rsidRPr="005F120D">
        <w:rPr>
          <w:rFonts w:asciiTheme="minorHAnsi" w:hAnsiTheme="minorHAnsi" w:cstheme="minorHAnsi"/>
          <w:sz w:val="20"/>
          <w:szCs w:val="20"/>
        </w:rPr>
        <w:t>Upazilas</w:t>
      </w:r>
      <w:r w:rsidR="00225C14" w:rsidRPr="005F120D">
        <w:rPr>
          <w:rFonts w:asciiTheme="minorHAnsi" w:hAnsiTheme="minorHAnsi" w:cstheme="minorHAnsi"/>
          <w:sz w:val="20"/>
          <w:szCs w:val="20"/>
        </w:rPr>
        <w:t xml:space="preserve"> </w:t>
      </w:r>
      <w:r w:rsidRPr="005F120D">
        <w:rPr>
          <w:rFonts w:asciiTheme="minorHAnsi" w:hAnsiTheme="minorHAnsi" w:cstheme="minorHAnsi"/>
          <w:sz w:val="20"/>
          <w:szCs w:val="20"/>
        </w:rPr>
        <w:t xml:space="preserve"> 50%</w:t>
      </w:r>
      <w:r w:rsidR="00225C14" w:rsidRPr="005F120D">
        <w:rPr>
          <w:rFonts w:asciiTheme="minorHAnsi" w:hAnsiTheme="minorHAnsi" w:cstheme="minorHAnsi"/>
          <w:sz w:val="20"/>
          <w:szCs w:val="20"/>
        </w:rPr>
        <w:t xml:space="preserve">of </w:t>
      </w:r>
      <w:r w:rsidRPr="005F120D">
        <w:rPr>
          <w:rFonts w:asciiTheme="minorHAnsi" w:hAnsiTheme="minorHAnsi" w:cstheme="minorHAnsi"/>
          <w:sz w:val="20"/>
          <w:szCs w:val="20"/>
        </w:rPr>
        <w:t>children are eligible to receive</w:t>
      </w:r>
      <w:r w:rsidR="00225C14" w:rsidRPr="005F120D">
        <w:rPr>
          <w:rFonts w:asciiTheme="minorHAnsi" w:hAnsiTheme="minorHAnsi" w:cstheme="minorHAnsi"/>
          <w:sz w:val="20"/>
          <w:szCs w:val="20"/>
        </w:rPr>
        <w:t xml:space="preserve"> the </w:t>
      </w:r>
      <w:r w:rsidRPr="005F120D">
        <w:rPr>
          <w:rFonts w:asciiTheme="minorHAnsi" w:hAnsiTheme="minorHAnsi" w:cstheme="minorHAnsi"/>
          <w:sz w:val="20"/>
          <w:szCs w:val="20"/>
        </w:rPr>
        <w:t xml:space="preserve"> stipend;</w:t>
      </w:r>
    </w:p>
    <w:p w:rsidR="0099288C" w:rsidRPr="005F120D" w:rsidRDefault="0099288C" w:rsidP="00B25E46">
      <w:pPr>
        <w:pStyle w:val="ListParagraph"/>
        <w:numPr>
          <w:ilvl w:val="0"/>
          <w:numId w:val="37"/>
        </w:numPr>
        <w:jc w:val="both"/>
        <w:rPr>
          <w:rFonts w:asciiTheme="minorHAnsi" w:hAnsiTheme="minorHAnsi" w:cstheme="minorHAnsi"/>
          <w:sz w:val="20"/>
          <w:szCs w:val="20"/>
        </w:rPr>
      </w:pPr>
      <w:r w:rsidRPr="005F120D">
        <w:rPr>
          <w:rFonts w:asciiTheme="minorHAnsi" w:hAnsiTheme="minorHAnsi" w:cstheme="minorHAnsi"/>
          <w:sz w:val="20"/>
          <w:szCs w:val="20"/>
        </w:rPr>
        <w:t xml:space="preserve">A total of 154 </w:t>
      </w:r>
      <w:r w:rsidR="00A61F5E" w:rsidRPr="005F120D">
        <w:rPr>
          <w:rFonts w:asciiTheme="minorHAnsi" w:hAnsiTheme="minorHAnsi" w:cstheme="minorHAnsi"/>
          <w:sz w:val="20"/>
          <w:szCs w:val="20"/>
        </w:rPr>
        <w:t>Upazilas</w:t>
      </w:r>
      <w:r w:rsidRPr="005F120D">
        <w:rPr>
          <w:rFonts w:asciiTheme="minorHAnsi" w:hAnsiTheme="minorHAnsi" w:cstheme="minorHAnsi"/>
          <w:sz w:val="20"/>
          <w:szCs w:val="20"/>
        </w:rPr>
        <w:t xml:space="preserve"> were identified in the poverty map where </w:t>
      </w:r>
      <w:r w:rsidR="00225C14" w:rsidRPr="005F120D">
        <w:rPr>
          <w:rFonts w:asciiTheme="minorHAnsi" w:hAnsiTheme="minorHAnsi" w:cstheme="minorHAnsi"/>
          <w:sz w:val="20"/>
          <w:szCs w:val="20"/>
        </w:rPr>
        <w:t xml:space="preserve">the </w:t>
      </w:r>
      <w:r w:rsidRPr="005F120D">
        <w:rPr>
          <w:rFonts w:asciiTheme="minorHAnsi" w:hAnsiTheme="minorHAnsi" w:cstheme="minorHAnsi"/>
          <w:sz w:val="20"/>
          <w:szCs w:val="20"/>
        </w:rPr>
        <w:t xml:space="preserve">poverty rate is up to 36%; in those </w:t>
      </w:r>
      <w:r w:rsidR="00A61F5E" w:rsidRPr="005F120D">
        <w:rPr>
          <w:rFonts w:asciiTheme="minorHAnsi" w:hAnsiTheme="minorHAnsi" w:cstheme="minorHAnsi"/>
          <w:sz w:val="20"/>
          <w:szCs w:val="20"/>
        </w:rPr>
        <w:t>Upazilas</w:t>
      </w:r>
      <w:r w:rsidRPr="005F120D">
        <w:rPr>
          <w:rFonts w:asciiTheme="minorHAnsi" w:hAnsiTheme="minorHAnsi" w:cstheme="minorHAnsi"/>
          <w:sz w:val="20"/>
          <w:szCs w:val="20"/>
        </w:rPr>
        <w:t xml:space="preserve"> 45%</w:t>
      </w:r>
      <w:r w:rsidR="00225C14" w:rsidRPr="005F120D">
        <w:rPr>
          <w:rFonts w:asciiTheme="minorHAnsi" w:hAnsiTheme="minorHAnsi" w:cstheme="minorHAnsi"/>
          <w:sz w:val="20"/>
          <w:szCs w:val="20"/>
        </w:rPr>
        <w:t xml:space="preserve"> of</w:t>
      </w:r>
      <w:r w:rsidRPr="005F120D">
        <w:rPr>
          <w:rFonts w:asciiTheme="minorHAnsi" w:hAnsiTheme="minorHAnsi" w:cstheme="minorHAnsi"/>
          <w:sz w:val="20"/>
          <w:szCs w:val="20"/>
        </w:rPr>
        <w:t xml:space="preserve"> children are eligible to receive </w:t>
      </w:r>
      <w:r w:rsidR="00225C14" w:rsidRPr="005F120D">
        <w:rPr>
          <w:rFonts w:asciiTheme="minorHAnsi" w:hAnsiTheme="minorHAnsi" w:cstheme="minorHAnsi"/>
          <w:sz w:val="20"/>
          <w:szCs w:val="20"/>
        </w:rPr>
        <w:t xml:space="preserve">the </w:t>
      </w:r>
      <w:r w:rsidRPr="005F120D">
        <w:rPr>
          <w:rFonts w:asciiTheme="minorHAnsi" w:hAnsiTheme="minorHAnsi" w:cstheme="minorHAnsi"/>
          <w:sz w:val="20"/>
          <w:szCs w:val="20"/>
        </w:rPr>
        <w:t>stipend.</w:t>
      </w:r>
    </w:p>
    <w:p w:rsidR="0099288C" w:rsidRPr="005F120D" w:rsidRDefault="0099288C" w:rsidP="00B25E46">
      <w:pPr>
        <w:jc w:val="both"/>
        <w:rPr>
          <w:rFonts w:asciiTheme="minorHAnsi" w:hAnsiTheme="minorHAnsi" w:cstheme="minorHAnsi"/>
          <w:sz w:val="20"/>
        </w:rPr>
      </w:pPr>
      <w:r w:rsidRPr="005F120D">
        <w:rPr>
          <w:rFonts w:asciiTheme="minorHAnsi" w:hAnsiTheme="minorHAnsi" w:cstheme="minorHAnsi"/>
          <w:sz w:val="20"/>
        </w:rPr>
        <w:t>3</w:t>
      </w:r>
      <w:r w:rsidRPr="005F120D">
        <w:rPr>
          <w:rFonts w:asciiTheme="minorHAnsi" w:hAnsiTheme="minorHAnsi" w:cstheme="minorHAnsi"/>
          <w:sz w:val="20"/>
          <w:vertAlign w:val="superscript"/>
        </w:rPr>
        <w:t>rd</w:t>
      </w:r>
      <w:r w:rsidRPr="005F120D">
        <w:rPr>
          <w:rFonts w:asciiTheme="minorHAnsi" w:hAnsiTheme="minorHAnsi" w:cstheme="minorHAnsi"/>
          <w:sz w:val="20"/>
        </w:rPr>
        <w:t xml:space="preserve"> Phase:</w:t>
      </w:r>
    </w:p>
    <w:p w:rsidR="0099288C" w:rsidRPr="005F120D" w:rsidRDefault="0099288C" w:rsidP="00B25E46">
      <w:pPr>
        <w:pStyle w:val="ListParagraph"/>
        <w:numPr>
          <w:ilvl w:val="0"/>
          <w:numId w:val="122"/>
        </w:numPr>
        <w:jc w:val="both"/>
        <w:rPr>
          <w:rFonts w:asciiTheme="minorHAnsi" w:hAnsiTheme="minorHAnsi" w:cstheme="minorHAnsi"/>
          <w:sz w:val="20"/>
        </w:rPr>
      </w:pPr>
      <w:r w:rsidRPr="005F120D">
        <w:rPr>
          <w:rFonts w:asciiTheme="minorHAnsi" w:hAnsiTheme="minorHAnsi" w:cstheme="minorHAnsi"/>
          <w:sz w:val="20"/>
        </w:rPr>
        <w:t>Targeted 13 million children (P</w:t>
      </w:r>
      <w:r w:rsidR="00FE273F" w:rsidRPr="005F120D">
        <w:rPr>
          <w:rFonts w:asciiTheme="minorHAnsi" w:hAnsiTheme="minorHAnsi" w:cstheme="minorHAnsi"/>
          <w:sz w:val="20"/>
        </w:rPr>
        <w:t>PE 1.5 million, 114.6 million, G</w:t>
      </w:r>
      <w:r w:rsidRPr="005F120D">
        <w:rPr>
          <w:rFonts w:asciiTheme="minorHAnsi" w:hAnsiTheme="minorHAnsi" w:cstheme="minorHAnsi"/>
          <w:sz w:val="20"/>
        </w:rPr>
        <w:t>rade</w:t>
      </w:r>
      <w:r w:rsidR="00FE273F" w:rsidRPr="005F120D">
        <w:rPr>
          <w:rFonts w:asciiTheme="minorHAnsi" w:hAnsiTheme="minorHAnsi" w:cstheme="minorHAnsi"/>
          <w:sz w:val="20"/>
        </w:rPr>
        <w:t xml:space="preserve">s </w:t>
      </w:r>
      <w:r w:rsidRPr="005F120D">
        <w:rPr>
          <w:rFonts w:asciiTheme="minorHAnsi" w:hAnsiTheme="minorHAnsi" w:cstheme="minorHAnsi"/>
          <w:sz w:val="20"/>
        </w:rPr>
        <w:t>6-8 total 24,500 and Shishu Kallyan 13,500 student)</w:t>
      </w:r>
    </w:p>
    <w:p w:rsidR="0099288C" w:rsidRPr="005F120D" w:rsidRDefault="0099288C" w:rsidP="00B25E46">
      <w:pPr>
        <w:pStyle w:val="ListParagraph"/>
        <w:numPr>
          <w:ilvl w:val="0"/>
          <w:numId w:val="122"/>
        </w:numPr>
        <w:jc w:val="both"/>
        <w:rPr>
          <w:rFonts w:asciiTheme="minorHAnsi" w:hAnsiTheme="minorHAnsi" w:cstheme="minorHAnsi"/>
          <w:sz w:val="20"/>
        </w:rPr>
      </w:pPr>
      <w:r w:rsidRPr="005F120D">
        <w:rPr>
          <w:rFonts w:asciiTheme="minorHAnsi" w:hAnsiTheme="minorHAnsi" w:cstheme="minorHAnsi"/>
          <w:sz w:val="20"/>
        </w:rPr>
        <w:t>Stipend increased</w:t>
      </w:r>
      <w:r w:rsidR="00FE273F" w:rsidRPr="005F120D">
        <w:rPr>
          <w:rFonts w:asciiTheme="minorHAnsi" w:hAnsiTheme="minorHAnsi" w:cstheme="minorHAnsi"/>
          <w:sz w:val="20"/>
        </w:rPr>
        <w:t xml:space="preserve"> for 1 Child TK. to 100/-; 2 Children  to 200/-; 3 Children to 250/-; 4 Children to  300/- and 6-8 </w:t>
      </w:r>
      <w:r w:rsidR="00A61F5E" w:rsidRPr="005F120D">
        <w:rPr>
          <w:rFonts w:asciiTheme="minorHAnsi" w:hAnsiTheme="minorHAnsi" w:cstheme="minorHAnsi"/>
          <w:sz w:val="20"/>
        </w:rPr>
        <w:t>Children to</w:t>
      </w:r>
      <w:r w:rsidR="00FE273F" w:rsidRPr="005F120D">
        <w:rPr>
          <w:rFonts w:asciiTheme="minorHAnsi" w:hAnsiTheme="minorHAnsi" w:cstheme="minorHAnsi"/>
          <w:sz w:val="20"/>
        </w:rPr>
        <w:t xml:space="preserve"> </w:t>
      </w:r>
      <w:r w:rsidRPr="005F120D">
        <w:rPr>
          <w:rFonts w:asciiTheme="minorHAnsi" w:hAnsiTheme="minorHAnsi" w:cstheme="minorHAnsi"/>
          <w:sz w:val="20"/>
        </w:rPr>
        <w:t>125/-</w:t>
      </w:r>
    </w:p>
    <w:p w:rsidR="0099288C" w:rsidRPr="005F120D" w:rsidRDefault="0099288C" w:rsidP="00B25E46">
      <w:pPr>
        <w:jc w:val="both"/>
        <w:rPr>
          <w:rFonts w:asciiTheme="minorHAnsi" w:hAnsiTheme="minorHAnsi" w:cstheme="minorHAnsi"/>
          <w:sz w:val="20"/>
        </w:rPr>
      </w:pPr>
      <w:r w:rsidRPr="005F120D">
        <w:rPr>
          <w:rFonts w:asciiTheme="minorHAnsi" w:hAnsiTheme="minorHAnsi" w:cstheme="minorHAnsi"/>
          <w:sz w:val="20"/>
        </w:rPr>
        <w:lastRenderedPageBreak/>
        <w:t>Project implementation status as of March 2016 presented below:</w:t>
      </w:r>
    </w:p>
    <w:p w:rsidR="0099288C" w:rsidRPr="005F120D" w:rsidRDefault="0099288C" w:rsidP="00B25E46">
      <w:pPr>
        <w:spacing w:after="0"/>
        <w:jc w:val="both"/>
        <w:rPr>
          <w:rFonts w:asciiTheme="minorHAnsi" w:hAnsiTheme="minorHAnsi" w:cstheme="minorHAnsi"/>
          <w:sz w:val="20"/>
        </w:rPr>
      </w:pPr>
      <w:r w:rsidRPr="005F120D">
        <w:rPr>
          <w:rFonts w:asciiTheme="minorHAnsi" w:eastAsia="Calibri" w:hAnsiTheme="minorHAnsi" w:cstheme="minorHAnsi"/>
          <w:i/>
          <w:sz w:val="20"/>
        </w:rPr>
        <w:t xml:space="preserve">In </w:t>
      </w:r>
      <w:r w:rsidR="00F738CE" w:rsidRPr="005F120D">
        <w:rPr>
          <w:rFonts w:asciiTheme="minorHAnsi" w:eastAsia="Calibri" w:hAnsiTheme="minorHAnsi" w:cstheme="minorHAnsi"/>
          <w:i/>
          <w:sz w:val="20"/>
        </w:rPr>
        <w:t>lac</w:t>
      </w:r>
      <w:r w:rsidRPr="005F120D">
        <w:rPr>
          <w:rFonts w:asciiTheme="minorHAnsi" w:eastAsia="Calibri" w:hAnsiTheme="minorHAnsi" w:cstheme="minorHAnsi"/>
          <w:i/>
          <w:sz w:val="20"/>
        </w:rPr>
        <w:t xml:space="preserve"> Taka</w:t>
      </w:r>
    </w:p>
    <w:tbl>
      <w:tblPr>
        <w:tblStyle w:val="LightGrid-Accent5"/>
        <w:tblW w:w="0" w:type="auto"/>
        <w:tblLook w:val="04A0"/>
      </w:tblPr>
      <w:tblGrid>
        <w:gridCol w:w="637"/>
        <w:gridCol w:w="1155"/>
        <w:gridCol w:w="1155"/>
        <w:gridCol w:w="1203"/>
        <w:gridCol w:w="1269"/>
        <w:gridCol w:w="1156"/>
        <w:gridCol w:w="1288"/>
        <w:gridCol w:w="1335"/>
      </w:tblGrid>
      <w:tr w:rsidR="0099288C" w:rsidRPr="005F120D" w:rsidTr="00B23534">
        <w:trPr>
          <w:cnfStyle w:val="100000000000"/>
          <w:trHeight w:hRule="exact" w:val="280"/>
        </w:trPr>
        <w:tc>
          <w:tcPr>
            <w:cnfStyle w:val="001000000000"/>
            <w:tcW w:w="637" w:type="dxa"/>
            <w:vMerge w:val="restart"/>
          </w:tcPr>
          <w:p w:rsidR="0099288C" w:rsidRPr="005F120D" w:rsidRDefault="0099288C" w:rsidP="00B25E46">
            <w:pPr>
              <w:spacing w:after="0"/>
              <w:jc w:val="both"/>
              <w:rPr>
                <w:rFonts w:asciiTheme="minorHAnsi" w:hAnsiTheme="minorHAnsi" w:cstheme="minorHAnsi"/>
                <w:b w:val="0"/>
                <w:sz w:val="18"/>
                <w:szCs w:val="18"/>
              </w:rPr>
            </w:pPr>
            <w:r w:rsidRPr="005F120D">
              <w:rPr>
                <w:rFonts w:asciiTheme="minorHAnsi" w:eastAsia="Calibri" w:hAnsiTheme="minorHAnsi" w:cstheme="minorHAnsi"/>
                <w:b w:val="0"/>
                <w:sz w:val="18"/>
                <w:szCs w:val="18"/>
              </w:rPr>
              <w:t>SL #</w:t>
            </w:r>
          </w:p>
        </w:tc>
        <w:tc>
          <w:tcPr>
            <w:tcW w:w="1155" w:type="dxa"/>
            <w:vMerge w:val="restart"/>
          </w:tcPr>
          <w:p w:rsidR="0099288C" w:rsidRPr="005F120D" w:rsidRDefault="0099288C" w:rsidP="00B25E46">
            <w:pPr>
              <w:spacing w:after="0"/>
              <w:jc w:val="both"/>
              <w:cnfStyle w:val="100000000000"/>
              <w:rPr>
                <w:rFonts w:asciiTheme="minorHAnsi" w:hAnsiTheme="minorHAnsi" w:cstheme="minorHAnsi"/>
                <w:b w:val="0"/>
                <w:sz w:val="18"/>
                <w:szCs w:val="18"/>
              </w:rPr>
            </w:pPr>
            <w:r w:rsidRPr="005F120D">
              <w:rPr>
                <w:rFonts w:asciiTheme="minorHAnsi" w:hAnsiTheme="minorHAnsi" w:cstheme="minorHAnsi"/>
                <w:b w:val="0"/>
                <w:sz w:val="18"/>
                <w:szCs w:val="18"/>
              </w:rPr>
              <w:t>F/Y</w:t>
            </w:r>
          </w:p>
        </w:tc>
        <w:tc>
          <w:tcPr>
            <w:tcW w:w="1155" w:type="dxa"/>
            <w:vMerge w:val="restart"/>
          </w:tcPr>
          <w:p w:rsidR="0099288C" w:rsidRPr="005F120D" w:rsidRDefault="0099288C" w:rsidP="00B25E46">
            <w:pPr>
              <w:spacing w:after="0"/>
              <w:jc w:val="both"/>
              <w:cnfStyle w:val="100000000000"/>
              <w:rPr>
                <w:rFonts w:asciiTheme="minorHAnsi" w:hAnsiTheme="minorHAnsi" w:cstheme="minorHAnsi"/>
                <w:b w:val="0"/>
                <w:sz w:val="18"/>
                <w:szCs w:val="18"/>
              </w:rPr>
            </w:pPr>
            <w:r w:rsidRPr="005F120D">
              <w:rPr>
                <w:rFonts w:asciiTheme="minorHAnsi" w:hAnsiTheme="minorHAnsi" w:cstheme="minorHAnsi"/>
                <w:b w:val="0"/>
                <w:sz w:val="18"/>
                <w:szCs w:val="18"/>
              </w:rPr>
              <w:t>Allocation (Taka)</w:t>
            </w:r>
          </w:p>
        </w:tc>
        <w:tc>
          <w:tcPr>
            <w:tcW w:w="1203" w:type="dxa"/>
            <w:vMerge w:val="restart"/>
          </w:tcPr>
          <w:p w:rsidR="0099288C" w:rsidRPr="005F120D" w:rsidRDefault="0099288C" w:rsidP="00B25E46">
            <w:pPr>
              <w:spacing w:after="0"/>
              <w:jc w:val="both"/>
              <w:cnfStyle w:val="100000000000"/>
              <w:rPr>
                <w:rFonts w:asciiTheme="minorHAnsi" w:eastAsia="Calibri" w:hAnsiTheme="minorHAnsi" w:cstheme="minorHAnsi"/>
                <w:b w:val="0"/>
                <w:sz w:val="18"/>
                <w:szCs w:val="18"/>
              </w:rPr>
            </w:pPr>
            <w:r w:rsidRPr="005F120D">
              <w:rPr>
                <w:rFonts w:asciiTheme="minorHAnsi" w:eastAsia="Calibri" w:hAnsiTheme="minorHAnsi" w:cstheme="minorHAnsi"/>
                <w:b w:val="0"/>
                <w:sz w:val="18"/>
                <w:szCs w:val="18"/>
              </w:rPr>
              <w:t>Actual</w:t>
            </w:r>
          </w:p>
          <w:p w:rsidR="0099288C" w:rsidRPr="005F120D" w:rsidRDefault="0099288C" w:rsidP="00B25E46">
            <w:pPr>
              <w:spacing w:after="0"/>
              <w:jc w:val="both"/>
              <w:cnfStyle w:val="100000000000"/>
              <w:rPr>
                <w:rFonts w:asciiTheme="minorHAnsi" w:hAnsiTheme="minorHAnsi" w:cstheme="minorHAnsi"/>
                <w:b w:val="0"/>
                <w:sz w:val="18"/>
                <w:szCs w:val="18"/>
              </w:rPr>
            </w:pPr>
            <w:r w:rsidRPr="005F120D">
              <w:rPr>
                <w:rFonts w:asciiTheme="minorHAnsi" w:eastAsia="Calibri" w:hAnsiTheme="minorHAnsi" w:cstheme="minorHAnsi"/>
                <w:b w:val="0"/>
                <w:sz w:val="18"/>
                <w:szCs w:val="18"/>
              </w:rPr>
              <w:t>Expenditure</w:t>
            </w:r>
          </w:p>
        </w:tc>
        <w:tc>
          <w:tcPr>
            <w:tcW w:w="1269" w:type="dxa"/>
            <w:vMerge w:val="restart"/>
          </w:tcPr>
          <w:p w:rsidR="0099288C" w:rsidRPr="005F120D" w:rsidRDefault="0099288C" w:rsidP="00B25E46">
            <w:pPr>
              <w:spacing w:after="0"/>
              <w:jc w:val="both"/>
              <w:cnfStyle w:val="100000000000"/>
              <w:rPr>
                <w:rFonts w:asciiTheme="minorHAnsi" w:hAnsiTheme="minorHAnsi" w:cstheme="minorHAnsi"/>
                <w:b w:val="0"/>
                <w:sz w:val="18"/>
                <w:szCs w:val="18"/>
              </w:rPr>
            </w:pPr>
            <w:r w:rsidRPr="005F120D">
              <w:rPr>
                <w:rFonts w:asciiTheme="minorHAnsi" w:eastAsia="Calibri" w:hAnsiTheme="minorHAnsi" w:cstheme="minorHAnsi"/>
                <w:b w:val="0"/>
                <w:sz w:val="18"/>
                <w:szCs w:val="18"/>
              </w:rPr>
              <w:t>Status of achievement</w:t>
            </w:r>
          </w:p>
        </w:tc>
        <w:tc>
          <w:tcPr>
            <w:tcW w:w="2444" w:type="dxa"/>
            <w:gridSpan w:val="2"/>
          </w:tcPr>
          <w:p w:rsidR="0099288C" w:rsidRPr="005F120D" w:rsidRDefault="0099288C" w:rsidP="00B25E46">
            <w:pPr>
              <w:spacing w:after="0"/>
              <w:jc w:val="both"/>
              <w:cnfStyle w:val="100000000000"/>
              <w:rPr>
                <w:rFonts w:asciiTheme="minorHAnsi" w:hAnsiTheme="minorHAnsi" w:cstheme="minorHAnsi"/>
                <w:b w:val="0"/>
                <w:sz w:val="18"/>
                <w:szCs w:val="18"/>
              </w:rPr>
            </w:pPr>
            <w:r w:rsidRPr="005F120D">
              <w:rPr>
                <w:rFonts w:asciiTheme="minorHAnsi" w:eastAsia="Calibri" w:hAnsiTheme="minorHAnsi" w:cstheme="minorHAnsi"/>
                <w:b w:val="0"/>
                <w:sz w:val="18"/>
                <w:szCs w:val="18"/>
              </w:rPr>
              <w:t>Beneficiaries</w:t>
            </w:r>
          </w:p>
        </w:tc>
        <w:tc>
          <w:tcPr>
            <w:tcW w:w="1335" w:type="dxa"/>
            <w:vMerge w:val="restart"/>
          </w:tcPr>
          <w:p w:rsidR="0099288C" w:rsidRPr="005F120D" w:rsidRDefault="0099288C" w:rsidP="00B25E46">
            <w:pPr>
              <w:spacing w:after="0"/>
              <w:jc w:val="both"/>
              <w:cnfStyle w:val="100000000000"/>
              <w:rPr>
                <w:rFonts w:asciiTheme="minorHAnsi" w:hAnsiTheme="minorHAnsi" w:cstheme="minorHAnsi"/>
                <w:b w:val="0"/>
                <w:sz w:val="18"/>
                <w:szCs w:val="18"/>
              </w:rPr>
            </w:pPr>
            <w:r w:rsidRPr="005F120D">
              <w:rPr>
                <w:rFonts w:asciiTheme="minorHAnsi" w:eastAsia="Calibri" w:hAnsiTheme="minorHAnsi" w:cstheme="minorHAnsi"/>
                <w:b w:val="0"/>
                <w:sz w:val="18"/>
                <w:szCs w:val="18"/>
              </w:rPr>
              <w:t>Remarks</w:t>
            </w:r>
          </w:p>
        </w:tc>
      </w:tr>
      <w:tr w:rsidR="0099288C" w:rsidRPr="005F120D" w:rsidTr="00B23534">
        <w:trPr>
          <w:cnfStyle w:val="000000100000"/>
          <w:trHeight w:hRule="exact" w:val="288"/>
        </w:trPr>
        <w:tc>
          <w:tcPr>
            <w:cnfStyle w:val="001000000000"/>
            <w:tcW w:w="637" w:type="dxa"/>
            <w:vMerge/>
          </w:tcPr>
          <w:p w:rsidR="0099288C" w:rsidRPr="005F120D" w:rsidRDefault="0099288C" w:rsidP="00B25E46">
            <w:pPr>
              <w:spacing w:after="0"/>
              <w:jc w:val="both"/>
              <w:rPr>
                <w:rFonts w:asciiTheme="minorHAnsi" w:hAnsiTheme="minorHAnsi" w:cstheme="minorHAnsi"/>
                <w:b w:val="0"/>
                <w:sz w:val="18"/>
                <w:szCs w:val="18"/>
              </w:rPr>
            </w:pPr>
          </w:p>
        </w:tc>
        <w:tc>
          <w:tcPr>
            <w:tcW w:w="1155" w:type="dxa"/>
            <w:vMerge/>
          </w:tcPr>
          <w:p w:rsidR="0099288C" w:rsidRPr="005F120D" w:rsidRDefault="0099288C" w:rsidP="00B25E46">
            <w:pPr>
              <w:spacing w:after="0"/>
              <w:jc w:val="both"/>
              <w:cnfStyle w:val="000000100000"/>
              <w:rPr>
                <w:rFonts w:asciiTheme="minorHAnsi" w:hAnsiTheme="minorHAnsi" w:cstheme="minorHAnsi"/>
                <w:sz w:val="18"/>
                <w:szCs w:val="18"/>
              </w:rPr>
            </w:pPr>
          </w:p>
        </w:tc>
        <w:tc>
          <w:tcPr>
            <w:tcW w:w="1155" w:type="dxa"/>
            <w:vMerge/>
          </w:tcPr>
          <w:p w:rsidR="0099288C" w:rsidRPr="005F120D" w:rsidRDefault="0099288C" w:rsidP="00B25E46">
            <w:pPr>
              <w:spacing w:after="0"/>
              <w:jc w:val="both"/>
              <w:cnfStyle w:val="000000100000"/>
              <w:rPr>
                <w:rFonts w:asciiTheme="minorHAnsi" w:hAnsiTheme="minorHAnsi" w:cstheme="minorHAnsi"/>
                <w:sz w:val="18"/>
                <w:szCs w:val="18"/>
              </w:rPr>
            </w:pPr>
          </w:p>
        </w:tc>
        <w:tc>
          <w:tcPr>
            <w:tcW w:w="1203" w:type="dxa"/>
            <w:vMerge/>
          </w:tcPr>
          <w:p w:rsidR="0099288C" w:rsidRPr="005F120D" w:rsidRDefault="0099288C" w:rsidP="00B25E46">
            <w:pPr>
              <w:spacing w:after="0"/>
              <w:jc w:val="both"/>
              <w:cnfStyle w:val="000000100000"/>
              <w:rPr>
                <w:rFonts w:asciiTheme="minorHAnsi" w:hAnsiTheme="minorHAnsi" w:cstheme="minorHAnsi"/>
                <w:sz w:val="18"/>
                <w:szCs w:val="18"/>
              </w:rPr>
            </w:pPr>
          </w:p>
        </w:tc>
        <w:tc>
          <w:tcPr>
            <w:tcW w:w="1269" w:type="dxa"/>
            <w:vMerge/>
          </w:tcPr>
          <w:p w:rsidR="0099288C" w:rsidRPr="005F120D" w:rsidRDefault="0099288C" w:rsidP="00B25E46">
            <w:pPr>
              <w:spacing w:after="0"/>
              <w:jc w:val="both"/>
              <w:cnfStyle w:val="000000100000"/>
              <w:rPr>
                <w:rFonts w:asciiTheme="minorHAnsi" w:hAnsiTheme="minorHAnsi" w:cstheme="minorHAnsi"/>
                <w:sz w:val="18"/>
                <w:szCs w:val="18"/>
              </w:rPr>
            </w:pPr>
          </w:p>
        </w:tc>
        <w:tc>
          <w:tcPr>
            <w:tcW w:w="1156"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Target</w:t>
            </w:r>
          </w:p>
        </w:tc>
        <w:tc>
          <w:tcPr>
            <w:tcW w:w="1288"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Achievement</w:t>
            </w:r>
          </w:p>
        </w:tc>
        <w:tc>
          <w:tcPr>
            <w:tcW w:w="1335" w:type="dxa"/>
            <w:vMerge/>
          </w:tcPr>
          <w:p w:rsidR="0099288C" w:rsidRPr="005F120D" w:rsidRDefault="0099288C" w:rsidP="00B25E46">
            <w:pPr>
              <w:spacing w:after="0"/>
              <w:jc w:val="both"/>
              <w:cnfStyle w:val="000000100000"/>
              <w:rPr>
                <w:rFonts w:asciiTheme="minorHAnsi" w:hAnsiTheme="minorHAnsi" w:cstheme="minorHAnsi"/>
                <w:sz w:val="18"/>
                <w:szCs w:val="18"/>
              </w:rPr>
            </w:pPr>
          </w:p>
        </w:tc>
      </w:tr>
      <w:tr w:rsidR="0099288C" w:rsidRPr="005F120D" w:rsidTr="00B23534">
        <w:trPr>
          <w:cnfStyle w:val="000000010000"/>
          <w:trHeight w:hRule="exact" w:val="288"/>
        </w:trPr>
        <w:tc>
          <w:tcPr>
            <w:cnfStyle w:val="001000000000"/>
            <w:tcW w:w="637" w:type="dxa"/>
          </w:tcPr>
          <w:p w:rsidR="0099288C" w:rsidRPr="005F120D" w:rsidRDefault="0099288C" w:rsidP="00B25E46">
            <w:pPr>
              <w:spacing w:after="0"/>
              <w:jc w:val="both"/>
              <w:rPr>
                <w:rFonts w:asciiTheme="minorHAnsi" w:hAnsiTheme="minorHAnsi" w:cstheme="minorHAnsi"/>
                <w:b w:val="0"/>
                <w:sz w:val="18"/>
                <w:szCs w:val="18"/>
              </w:rPr>
            </w:pPr>
            <w:r w:rsidRPr="005F120D">
              <w:rPr>
                <w:rFonts w:asciiTheme="minorHAnsi" w:hAnsiTheme="minorHAnsi" w:cstheme="minorHAnsi"/>
                <w:b w:val="0"/>
                <w:sz w:val="18"/>
                <w:szCs w:val="18"/>
              </w:rPr>
              <w:t>1</w:t>
            </w:r>
          </w:p>
        </w:tc>
        <w:tc>
          <w:tcPr>
            <w:tcW w:w="1155"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2008-09</w:t>
            </w:r>
          </w:p>
        </w:tc>
        <w:tc>
          <w:tcPr>
            <w:tcW w:w="1155"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48,800</w:t>
            </w:r>
          </w:p>
        </w:tc>
        <w:tc>
          <w:tcPr>
            <w:tcW w:w="1203"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48,355.55</w:t>
            </w:r>
          </w:p>
        </w:tc>
        <w:tc>
          <w:tcPr>
            <w:tcW w:w="1269"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99.09%</w:t>
            </w:r>
          </w:p>
        </w:tc>
        <w:tc>
          <w:tcPr>
            <w:tcW w:w="1156"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4.8 million</w:t>
            </w:r>
          </w:p>
        </w:tc>
        <w:tc>
          <w:tcPr>
            <w:tcW w:w="1288"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4.8 million</w:t>
            </w:r>
          </w:p>
        </w:tc>
        <w:tc>
          <w:tcPr>
            <w:tcW w:w="1335" w:type="dxa"/>
          </w:tcPr>
          <w:p w:rsidR="0099288C" w:rsidRPr="005F120D" w:rsidRDefault="0099288C" w:rsidP="00B25E46">
            <w:pPr>
              <w:spacing w:after="0"/>
              <w:jc w:val="both"/>
              <w:cnfStyle w:val="000000010000"/>
              <w:rPr>
                <w:rFonts w:asciiTheme="minorHAnsi" w:hAnsiTheme="minorHAnsi" w:cstheme="minorHAnsi"/>
                <w:sz w:val="18"/>
                <w:szCs w:val="18"/>
              </w:rPr>
            </w:pPr>
          </w:p>
        </w:tc>
      </w:tr>
      <w:tr w:rsidR="0099288C" w:rsidRPr="005F120D" w:rsidTr="00B23534">
        <w:trPr>
          <w:cnfStyle w:val="000000100000"/>
          <w:trHeight w:hRule="exact" w:val="288"/>
        </w:trPr>
        <w:tc>
          <w:tcPr>
            <w:cnfStyle w:val="001000000000"/>
            <w:tcW w:w="637" w:type="dxa"/>
          </w:tcPr>
          <w:p w:rsidR="0099288C" w:rsidRPr="005F120D" w:rsidRDefault="0099288C" w:rsidP="00B25E46">
            <w:pPr>
              <w:spacing w:after="0"/>
              <w:jc w:val="both"/>
              <w:rPr>
                <w:rFonts w:asciiTheme="minorHAnsi" w:hAnsiTheme="minorHAnsi" w:cstheme="minorHAnsi"/>
                <w:b w:val="0"/>
                <w:sz w:val="18"/>
                <w:szCs w:val="18"/>
              </w:rPr>
            </w:pPr>
            <w:r w:rsidRPr="005F120D">
              <w:rPr>
                <w:rFonts w:asciiTheme="minorHAnsi" w:hAnsiTheme="minorHAnsi" w:cstheme="minorHAnsi"/>
                <w:b w:val="0"/>
                <w:sz w:val="18"/>
                <w:szCs w:val="18"/>
              </w:rPr>
              <w:t>2</w:t>
            </w:r>
          </w:p>
        </w:tc>
        <w:tc>
          <w:tcPr>
            <w:tcW w:w="1155"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2009-10</w:t>
            </w:r>
          </w:p>
        </w:tc>
        <w:tc>
          <w:tcPr>
            <w:tcW w:w="1155"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57,484</w:t>
            </w:r>
          </w:p>
        </w:tc>
        <w:tc>
          <w:tcPr>
            <w:tcW w:w="1203"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57,387.14</w:t>
            </w:r>
          </w:p>
        </w:tc>
        <w:tc>
          <w:tcPr>
            <w:tcW w:w="1269"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99.83%</w:t>
            </w:r>
          </w:p>
        </w:tc>
        <w:tc>
          <w:tcPr>
            <w:tcW w:w="1156"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6.3 million</w:t>
            </w:r>
          </w:p>
        </w:tc>
        <w:tc>
          <w:tcPr>
            <w:tcW w:w="1288"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7.25 million</w:t>
            </w:r>
          </w:p>
        </w:tc>
        <w:tc>
          <w:tcPr>
            <w:tcW w:w="1335" w:type="dxa"/>
          </w:tcPr>
          <w:p w:rsidR="0099288C" w:rsidRPr="005F120D" w:rsidRDefault="0099288C" w:rsidP="00B25E46">
            <w:pPr>
              <w:spacing w:after="0"/>
              <w:jc w:val="both"/>
              <w:cnfStyle w:val="000000100000"/>
              <w:rPr>
                <w:rFonts w:asciiTheme="minorHAnsi" w:hAnsiTheme="minorHAnsi" w:cstheme="minorHAnsi"/>
                <w:sz w:val="18"/>
                <w:szCs w:val="18"/>
              </w:rPr>
            </w:pPr>
          </w:p>
        </w:tc>
      </w:tr>
      <w:tr w:rsidR="0099288C" w:rsidRPr="005F120D" w:rsidTr="00B23534">
        <w:trPr>
          <w:cnfStyle w:val="000000010000"/>
          <w:trHeight w:hRule="exact" w:val="288"/>
        </w:trPr>
        <w:tc>
          <w:tcPr>
            <w:cnfStyle w:val="001000000000"/>
            <w:tcW w:w="637" w:type="dxa"/>
          </w:tcPr>
          <w:p w:rsidR="0099288C" w:rsidRPr="005F120D" w:rsidRDefault="0099288C" w:rsidP="00B25E46">
            <w:pPr>
              <w:spacing w:after="0"/>
              <w:jc w:val="both"/>
              <w:rPr>
                <w:rFonts w:asciiTheme="minorHAnsi" w:hAnsiTheme="minorHAnsi" w:cstheme="minorHAnsi"/>
                <w:b w:val="0"/>
                <w:sz w:val="18"/>
                <w:szCs w:val="18"/>
              </w:rPr>
            </w:pPr>
            <w:r w:rsidRPr="005F120D">
              <w:rPr>
                <w:rFonts w:asciiTheme="minorHAnsi" w:hAnsiTheme="minorHAnsi" w:cstheme="minorHAnsi"/>
                <w:b w:val="0"/>
                <w:sz w:val="18"/>
                <w:szCs w:val="18"/>
              </w:rPr>
              <w:t>3</w:t>
            </w:r>
          </w:p>
        </w:tc>
        <w:tc>
          <w:tcPr>
            <w:tcW w:w="1155"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2010-11</w:t>
            </w:r>
          </w:p>
        </w:tc>
        <w:tc>
          <w:tcPr>
            <w:tcW w:w="1155"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86,500</w:t>
            </w:r>
          </w:p>
        </w:tc>
        <w:tc>
          <w:tcPr>
            <w:tcW w:w="1203"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86,434.64</w:t>
            </w:r>
          </w:p>
        </w:tc>
        <w:tc>
          <w:tcPr>
            <w:tcW w:w="1269"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99.92%</w:t>
            </w:r>
          </w:p>
        </w:tc>
        <w:tc>
          <w:tcPr>
            <w:tcW w:w="1156"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7.8 million</w:t>
            </w:r>
          </w:p>
        </w:tc>
        <w:tc>
          <w:tcPr>
            <w:tcW w:w="1288"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7.62 million</w:t>
            </w:r>
          </w:p>
        </w:tc>
        <w:tc>
          <w:tcPr>
            <w:tcW w:w="1335" w:type="dxa"/>
          </w:tcPr>
          <w:p w:rsidR="0099288C" w:rsidRPr="005F120D" w:rsidRDefault="0099288C" w:rsidP="00B25E46">
            <w:pPr>
              <w:spacing w:after="0"/>
              <w:jc w:val="both"/>
              <w:cnfStyle w:val="000000010000"/>
              <w:rPr>
                <w:rFonts w:asciiTheme="minorHAnsi" w:hAnsiTheme="minorHAnsi" w:cstheme="minorHAnsi"/>
                <w:sz w:val="18"/>
                <w:szCs w:val="18"/>
              </w:rPr>
            </w:pPr>
          </w:p>
        </w:tc>
      </w:tr>
      <w:tr w:rsidR="0099288C" w:rsidRPr="005F120D" w:rsidTr="00B23534">
        <w:trPr>
          <w:cnfStyle w:val="000000100000"/>
          <w:trHeight w:hRule="exact" w:val="288"/>
        </w:trPr>
        <w:tc>
          <w:tcPr>
            <w:cnfStyle w:val="001000000000"/>
            <w:tcW w:w="637" w:type="dxa"/>
          </w:tcPr>
          <w:p w:rsidR="0099288C" w:rsidRPr="005F120D" w:rsidRDefault="0099288C" w:rsidP="00B25E46">
            <w:pPr>
              <w:spacing w:after="0"/>
              <w:jc w:val="both"/>
              <w:rPr>
                <w:rFonts w:asciiTheme="minorHAnsi" w:hAnsiTheme="minorHAnsi" w:cstheme="minorHAnsi"/>
                <w:b w:val="0"/>
                <w:sz w:val="18"/>
                <w:szCs w:val="18"/>
              </w:rPr>
            </w:pPr>
            <w:r w:rsidRPr="005F120D">
              <w:rPr>
                <w:rFonts w:asciiTheme="minorHAnsi" w:hAnsiTheme="minorHAnsi" w:cstheme="minorHAnsi"/>
                <w:b w:val="0"/>
                <w:sz w:val="18"/>
                <w:szCs w:val="18"/>
              </w:rPr>
              <w:t>4</w:t>
            </w:r>
          </w:p>
        </w:tc>
        <w:tc>
          <w:tcPr>
            <w:tcW w:w="1155"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2011-12</w:t>
            </w:r>
          </w:p>
        </w:tc>
        <w:tc>
          <w:tcPr>
            <w:tcW w:w="1155"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90,000</w:t>
            </w:r>
          </w:p>
        </w:tc>
        <w:tc>
          <w:tcPr>
            <w:tcW w:w="1203"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89,963.81</w:t>
            </w:r>
          </w:p>
        </w:tc>
        <w:tc>
          <w:tcPr>
            <w:tcW w:w="1269"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99.96%</w:t>
            </w:r>
          </w:p>
        </w:tc>
        <w:tc>
          <w:tcPr>
            <w:tcW w:w="1156"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7.8 million</w:t>
            </w:r>
          </w:p>
        </w:tc>
        <w:tc>
          <w:tcPr>
            <w:tcW w:w="1288"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7.725 million</w:t>
            </w:r>
          </w:p>
        </w:tc>
        <w:tc>
          <w:tcPr>
            <w:tcW w:w="1335" w:type="dxa"/>
          </w:tcPr>
          <w:p w:rsidR="0099288C" w:rsidRPr="005F120D" w:rsidRDefault="0099288C" w:rsidP="00B25E46">
            <w:pPr>
              <w:spacing w:after="0"/>
              <w:jc w:val="both"/>
              <w:cnfStyle w:val="000000100000"/>
              <w:rPr>
                <w:rFonts w:asciiTheme="minorHAnsi" w:hAnsiTheme="minorHAnsi" w:cstheme="minorHAnsi"/>
                <w:sz w:val="18"/>
                <w:szCs w:val="18"/>
              </w:rPr>
            </w:pPr>
          </w:p>
        </w:tc>
      </w:tr>
      <w:tr w:rsidR="0099288C" w:rsidRPr="005F120D" w:rsidTr="00B23534">
        <w:trPr>
          <w:cnfStyle w:val="000000010000"/>
          <w:trHeight w:hRule="exact" w:val="288"/>
        </w:trPr>
        <w:tc>
          <w:tcPr>
            <w:cnfStyle w:val="001000000000"/>
            <w:tcW w:w="637" w:type="dxa"/>
          </w:tcPr>
          <w:p w:rsidR="0099288C" w:rsidRPr="005F120D" w:rsidRDefault="0099288C" w:rsidP="00B25E46">
            <w:pPr>
              <w:spacing w:after="0"/>
              <w:jc w:val="both"/>
              <w:rPr>
                <w:rFonts w:asciiTheme="minorHAnsi" w:hAnsiTheme="minorHAnsi" w:cstheme="minorHAnsi"/>
                <w:b w:val="0"/>
                <w:sz w:val="18"/>
                <w:szCs w:val="18"/>
              </w:rPr>
            </w:pPr>
            <w:r w:rsidRPr="005F120D">
              <w:rPr>
                <w:rFonts w:asciiTheme="minorHAnsi" w:hAnsiTheme="minorHAnsi" w:cstheme="minorHAnsi"/>
                <w:b w:val="0"/>
                <w:sz w:val="18"/>
                <w:szCs w:val="18"/>
              </w:rPr>
              <w:t>5</w:t>
            </w:r>
          </w:p>
        </w:tc>
        <w:tc>
          <w:tcPr>
            <w:tcW w:w="1155"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2012-13</w:t>
            </w:r>
          </w:p>
        </w:tc>
        <w:tc>
          <w:tcPr>
            <w:tcW w:w="1155"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92,500</w:t>
            </w:r>
          </w:p>
        </w:tc>
        <w:tc>
          <w:tcPr>
            <w:tcW w:w="1203"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92,236.00</w:t>
            </w:r>
          </w:p>
        </w:tc>
        <w:tc>
          <w:tcPr>
            <w:tcW w:w="1269"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99.48%</w:t>
            </w:r>
          </w:p>
        </w:tc>
        <w:tc>
          <w:tcPr>
            <w:tcW w:w="1156"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7.9 million</w:t>
            </w:r>
          </w:p>
        </w:tc>
        <w:tc>
          <w:tcPr>
            <w:tcW w:w="1288"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7.73 million</w:t>
            </w:r>
          </w:p>
        </w:tc>
        <w:tc>
          <w:tcPr>
            <w:tcW w:w="1335" w:type="dxa"/>
          </w:tcPr>
          <w:p w:rsidR="0099288C" w:rsidRPr="005F120D" w:rsidRDefault="0099288C" w:rsidP="00B25E46">
            <w:pPr>
              <w:spacing w:after="0"/>
              <w:jc w:val="both"/>
              <w:cnfStyle w:val="000000010000"/>
              <w:rPr>
                <w:rFonts w:asciiTheme="minorHAnsi" w:hAnsiTheme="minorHAnsi" w:cstheme="minorHAnsi"/>
                <w:sz w:val="18"/>
                <w:szCs w:val="18"/>
              </w:rPr>
            </w:pPr>
          </w:p>
        </w:tc>
      </w:tr>
      <w:tr w:rsidR="0099288C" w:rsidRPr="005F120D" w:rsidTr="00B23534">
        <w:trPr>
          <w:cnfStyle w:val="000000100000"/>
          <w:trHeight w:hRule="exact" w:val="288"/>
        </w:trPr>
        <w:tc>
          <w:tcPr>
            <w:cnfStyle w:val="001000000000"/>
            <w:tcW w:w="637" w:type="dxa"/>
          </w:tcPr>
          <w:p w:rsidR="0099288C" w:rsidRPr="005F120D" w:rsidRDefault="0099288C" w:rsidP="00B25E46">
            <w:pPr>
              <w:spacing w:after="0"/>
              <w:jc w:val="both"/>
              <w:rPr>
                <w:rFonts w:asciiTheme="minorHAnsi" w:hAnsiTheme="minorHAnsi" w:cstheme="minorHAnsi"/>
                <w:b w:val="0"/>
                <w:sz w:val="18"/>
                <w:szCs w:val="18"/>
              </w:rPr>
            </w:pPr>
            <w:r w:rsidRPr="005F120D">
              <w:rPr>
                <w:rFonts w:asciiTheme="minorHAnsi" w:hAnsiTheme="minorHAnsi" w:cstheme="minorHAnsi"/>
                <w:b w:val="0"/>
                <w:sz w:val="18"/>
                <w:szCs w:val="18"/>
              </w:rPr>
              <w:t>6</w:t>
            </w:r>
          </w:p>
        </w:tc>
        <w:tc>
          <w:tcPr>
            <w:tcW w:w="1155"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2013-14</w:t>
            </w:r>
          </w:p>
        </w:tc>
        <w:tc>
          <w:tcPr>
            <w:tcW w:w="1155"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97,124</w:t>
            </w:r>
          </w:p>
        </w:tc>
        <w:tc>
          <w:tcPr>
            <w:tcW w:w="1203"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93,336.00</w:t>
            </w:r>
          </w:p>
        </w:tc>
        <w:tc>
          <w:tcPr>
            <w:tcW w:w="1269"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99.6%</w:t>
            </w:r>
          </w:p>
        </w:tc>
        <w:tc>
          <w:tcPr>
            <w:tcW w:w="1156" w:type="dxa"/>
          </w:tcPr>
          <w:p w:rsidR="0099288C" w:rsidRPr="005F120D" w:rsidRDefault="0099288C" w:rsidP="00B25E46">
            <w:pPr>
              <w:cnfStyle w:val="000000100000"/>
              <w:rPr>
                <w:rFonts w:asciiTheme="minorHAnsi" w:hAnsiTheme="minorHAnsi" w:cstheme="minorHAnsi"/>
              </w:rPr>
            </w:pPr>
            <w:r w:rsidRPr="005F120D">
              <w:rPr>
                <w:rFonts w:asciiTheme="minorHAnsi" w:eastAsia="Calibri" w:hAnsiTheme="minorHAnsi" w:cstheme="minorHAnsi"/>
                <w:sz w:val="18"/>
                <w:szCs w:val="18"/>
              </w:rPr>
              <w:t>7.9 million</w:t>
            </w:r>
          </w:p>
        </w:tc>
        <w:tc>
          <w:tcPr>
            <w:tcW w:w="1288" w:type="dxa"/>
          </w:tcPr>
          <w:p w:rsidR="0099288C" w:rsidRPr="005F120D" w:rsidRDefault="0099288C" w:rsidP="00B25E46">
            <w:pPr>
              <w:cnfStyle w:val="000000100000"/>
              <w:rPr>
                <w:rFonts w:asciiTheme="minorHAnsi" w:hAnsiTheme="minorHAnsi" w:cstheme="minorHAnsi"/>
              </w:rPr>
            </w:pPr>
            <w:r w:rsidRPr="005F120D">
              <w:rPr>
                <w:rFonts w:asciiTheme="minorHAnsi" w:eastAsia="Calibri" w:hAnsiTheme="minorHAnsi" w:cstheme="minorHAnsi"/>
                <w:sz w:val="18"/>
                <w:szCs w:val="18"/>
              </w:rPr>
              <w:t>7.77 million</w:t>
            </w:r>
          </w:p>
        </w:tc>
        <w:tc>
          <w:tcPr>
            <w:tcW w:w="1335" w:type="dxa"/>
          </w:tcPr>
          <w:p w:rsidR="0099288C" w:rsidRPr="005F120D" w:rsidRDefault="0099288C" w:rsidP="00B25E46">
            <w:pPr>
              <w:spacing w:after="0"/>
              <w:jc w:val="both"/>
              <w:cnfStyle w:val="000000100000"/>
              <w:rPr>
                <w:rFonts w:asciiTheme="minorHAnsi" w:hAnsiTheme="minorHAnsi" w:cstheme="minorHAnsi"/>
                <w:sz w:val="18"/>
                <w:szCs w:val="18"/>
              </w:rPr>
            </w:pPr>
          </w:p>
        </w:tc>
      </w:tr>
      <w:tr w:rsidR="0099288C" w:rsidRPr="005F120D" w:rsidTr="00B23534">
        <w:trPr>
          <w:cnfStyle w:val="000000010000"/>
          <w:trHeight w:hRule="exact" w:val="288"/>
        </w:trPr>
        <w:tc>
          <w:tcPr>
            <w:cnfStyle w:val="001000000000"/>
            <w:tcW w:w="637" w:type="dxa"/>
          </w:tcPr>
          <w:p w:rsidR="0099288C" w:rsidRPr="005F120D" w:rsidRDefault="0099288C" w:rsidP="00B25E46">
            <w:pPr>
              <w:spacing w:after="0"/>
              <w:jc w:val="both"/>
              <w:rPr>
                <w:rFonts w:asciiTheme="minorHAnsi" w:hAnsiTheme="minorHAnsi" w:cstheme="minorHAnsi"/>
                <w:b w:val="0"/>
                <w:sz w:val="18"/>
                <w:szCs w:val="18"/>
              </w:rPr>
            </w:pPr>
            <w:r w:rsidRPr="005F120D">
              <w:rPr>
                <w:rFonts w:asciiTheme="minorHAnsi" w:hAnsiTheme="minorHAnsi" w:cstheme="minorHAnsi"/>
                <w:b w:val="0"/>
                <w:sz w:val="18"/>
                <w:szCs w:val="18"/>
              </w:rPr>
              <w:t>7</w:t>
            </w:r>
          </w:p>
        </w:tc>
        <w:tc>
          <w:tcPr>
            <w:tcW w:w="1155" w:type="dxa"/>
          </w:tcPr>
          <w:p w:rsidR="0099288C" w:rsidRPr="005F120D" w:rsidRDefault="0099288C" w:rsidP="00B25E46">
            <w:pPr>
              <w:spacing w:after="0"/>
              <w:jc w:val="both"/>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2014-15</w:t>
            </w:r>
          </w:p>
        </w:tc>
        <w:tc>
          <w:tcPr>
            <w:tcW w:w="1155" w:type="dxa"/>
          </w:tcPr>
          <w:p w:rsidR="0099288C" w:rsidRPr="005F120D" w:rsidRDefault="0099288C" w:rsidP="00B25E46">
            <w:pPr>
              <w:spacing w:after="0"/>
              <w:jc w:val="both"/>
              <w:cnfStyle w:val="000000010000"/>
              <w:rPr>
                <w:rFonts w:asciiTheme="minorHAnsi" w:hAnsiTheme="minorHAnsi" w:cstheme="minorHAnsi"/>
                <w:sz w:val="18"/>
                <w:szCs w:val="18"/>
              </w:rPr>
            </w:pPr>
            <w:r w:rsidRPr="005F120D">
              <w:rPr>
                <w:rFonts w:asciiTheme="minorHAnsi" w:hAnsiTheme="minorHAnsi" w:cstheme="minorHAnsi"/>
                <w:sz w:val="18"/>
                <w:szCs w:val="18"/>
              </w:rPr>
              <w:t>94,000</w:t>
            </w:r>
          </w:p>
        </w:tc>
        <w:tc>
          <w:tcPr>
            <w:tcW w:w="1203" w:type="dxa"/>
          </w:tcPr>
          <w:p w:rsidR="0099288C" w:rsidRPr="005F120D" w:rsidRDefault="0099288C" w:rsidP="00B25E46">
            <w:pPr>
              <w:spacing w:after="0"/>
              <w:jc w:val="both"/>
              <w:cnfStyle w:val="000000010000"/>
              <w:rPr>
                <w:rFonts w:asciiTheme="minorHAnsi" w:hAnsiTheme="minorHAnsi" w:cstheme="minorHAnsi"/>
                <w:sz w:val="18"/>
                <w:szCs w:val="18"/>
              </w:rPr>
            </w:pPr>
            <w:r w:rsidRPr="005F120D">
              <w:rPr>
                <w:rFonts w:asciiTheme="minorHAnsi" w:hAnsiTheme="minorHAnsi" w:cstheme="minorHAnsi"/>
                <w:sz w:val="18"/>
                <w:szCs w:val="18"/>
              </w:rPr>
              <w:t>93,875.00</w:t>
            </w:r>
          </w:p>
        </w:tc>
        <w:tc>
          <w:tcPr>
            <w:tcW w:w="1269" w:type="dxa"/>
          </w:tcPr>
          <w:p w:rsidR="0099288C" w:rsidRPr="005F120D" w:rsidRDefault="0099288C" w:rsidP="00B25E46">
            <w:pPr>
              <w:spacing w:after="0"/>
              <w:jc w:val="both"/>
              <w:cnfStyle w:val="000000010000"/>
              <w:rPr>
                <w:rFonts w:asciiTheme="minorHAnsi" w:hAnsiTheme="minorHAnsi" w:cstheme="minorHAnsi"/>
                <w:sz w:val="18"/>
                <w:szCs w:val="18"/>
              </w:rPr>
            </w:pPr>
            <w:r w:rsidRPr="005F120D">
              <w:rPr>
                <w:rFonts w:asciiTheme="minorHAnsi" w:hAnsiTheme="minorHAnsi" w:cstheme="minorHAnsi"/>
                <w:sz w:val="18"/>
                <w:szCs w:val="18"/>
              </w:rPr>
              <w:t>99.87%</w:t>
            </w:r>
          </w:p>
        </w:tc>
        <w:tc>
          <w:tcPr>
            <w:tcW w:w="1156" w:type="dxa"/>
          </w:tcPr>
          <w:p w:rsidR="0099288C" w:rsidRPr="005F120D" w:rsidRDefault="0099288C" w:rsidP="00B25E46">
            <w:pPr>
              <w:cnfStyle w:val="000000010000"/>
              <w:rPr>
                <w:rFonts w:asciiTheme="minorHAnsi" w:hAnsiTheme="minorHAnsi" w:cstheme="minorHAnsi"/>
              </w:rPr>
            </w:pPr>
            <w:r w:rsidRPr="005F120D">
              <w:rPr>
                <w:rFonts w:asciiTheme="minorHAnsi" w:eastAsia="Calibri" w:hAnsiTheme="minorHAnsi" w:cstheme="minorHAnsi"/>
                <w:sz w:val="18"/>
                <w:szCs w:val="18"/>
              </w:rPr>
              <w:t>7.9 million</w:t>
            </w:r>
          </w:p>
        </w:tc>
        <w:tc>
          <w:tcPr>
            <w:tcW w:w="1288" w:type="dxa"/>
          </w:tcPr>
          <w:p w:rsidR="0099288C" w:rsidRPr="005F120D" w:rsidRDefault="0099288C" w:rsidP="00B25E46">
            <w:pPr>
              <w:cnfStyle w:val="000000010000"/>
              <w:rPr>
                <w:rFonts w:asciiTheme="minorHAnsi" w:hAnsiTheme="minorHAnsi" w:cstheme="minorHAnsi"/>
              </w:rPr>
            </w:pPr>
            <w:r w:rsidRPr="005F120D">
              <w:rPr>
                <w:rFonts w:asciiTheme="minorHAnsi" w:eastAsia="Calibri" w:hAnsiTheme="minorHAnsi" w:cstheme="minorHAnsi"/>
                <w:sz w:val="18"/>
                <w:szCs w:val="18"/>
              </w:rPr>
              <w:t>7.79 million</w:t>
            </w:r>
          </w:p>
        </w:tc>
        <w:tc>
          <w:tcPr>
            <w:tcW w:w="1335" w:type="dxa"/>
          </w:tcPr>
          <w:p w:rsidR="0099288C" w:rsidRPr="005F120D" w:rsidRDefault="0099288C" w:rsidP="00B25E46">
            <w:pPr>
              <w:spacing w:after="0"/>
              <w:jc w:val="both"/>
              <w:cnfStyle w:val="000000010000"/>
              <w:rPr>
                <w:rFonts w:asciiTheme="minorHAnsi" w:hAnsiTheme="minorHAnsi" w:cstheme="minorHAnsi"/>
                <w:sz w:val="18"/>
                <w:szCs w:val="18"/>
              </w:rPr>
            </w:pPr>
            <w:r w:rsidRPr="005F120D">
              <w:rPr>
                <w:rFonts w:asciiTheme="minorHAnsi" w:hAnsiTheme="minorHAnsi" w:cstheme="minorHAnsi"/>
                <w:sz w:val="18"/>
                <w:szCs w:val="18"/>
              </w:rPr>
              <w:t>63,587 schools</w:t>
            </w:r>
          </w:p>
        </w:tc>
      </w:tr>
      <w:tr w:rsidR="0099288C" w:rsidRPr="005F120D" w:rsidTr="00B23534">
        <w:trPr>
          <w:cnfStyle w:val="000000100000"/>
          <w:trHeight w:hRule="exact" w:val="288"/>
        </w:trPr>
        <w:tc>
          <w:tcPr>
            <w:cnfStyle w:val="001000000000"/>
            <w:tcW w:w="637" w:type="dxa"/>
          </w:tcPr>
          <w:p w:rsidR="0099288C" w:rsidRPr="005F120D" w:rsidRDefault="0099288C" w:rsidP="00B25E46">
            <w:pPr>
              <w:spacing w:after="0"/>
              <w:jc w:val="both"/>
              <w:rPr>
                <w:rFonts w:asciiTheme="minorHAnsi" w:hAnsiTheme="minorHAnsi" w:cstheme="minorHAnsi"/>
                <w:b w:val="0"/>
                <w:sz w:val="18"/>
                <w:szCs w:val="18"/>
              </w:rPr>
            </w:pPr>
            <w:r w:rsidRPr="005F120D">
              <w:rPr>
                <w:rFonts w:asciiTheme="minorHAnsi" w:hAnsiTheme="minorHAnsi" w:cstheme="minorHAnsi"/>
                <w:b w:val="0"/>
                <w:sz w:val="18"/>
                <w:szCs w:val="18"/>
              </w:rPr>
              <w:t>8</w:t>
            </w:r>
          </w:p>
        </w:tc>
        <w:tc>
          <w:tcPr>
            <w:tcW w:w="1155" w:type="dxa"/>
          </w:tcPr>
          <w:p w:rsidR="0099288C" w:rsidRPr="005F120D" w:rsidRDefault="0099288C" w:rsidP="00B25E46">
            <w:pPr>
              <w:spacing w:after="0"/>
              <w:jc w:val="both"/>
              <w:cnfStyle w:val="000000100000"/>
              <w:rPr>
                <w:rFonts w:asciiTheme="minorHAnsi" w:eastAsia="Calibri" w:hAnsiTheme="minorHAnsi" w:cstheme="minorHAnsi"/>
                <w:sz w:val="18"/>
                <w:szCs w:val="18"/>
              </w:rPr>
            </w:pPr>
            <w:r w:rsidRPr="005F120D">
              <w:rPr>
                <w:rFonts w:asciiTheme="minorHAnsi" w:hAnsiTheme="minorHAnsi" w:cstheme="minorHAnsi"/>
                <w:sz w:val="18"/>
                <w:szCs w:val="18"/>
              </w:rPr>
              <w:t>2015</w:t>
            </w:r>
            <w:r w:rsidRPr="005F120D">
              <w:rPr>
                <w:rFonts w:asciiTheme="minorHAnsi" w:eastAsia="Calibri" w:hAnsiTheme="minorHAnsi" w:cstheme="minorHAnsi"/>
                <w:sz w:val="18"/>
                <w:szCs w:val="18"/>
              </w:rPr>
              <w:t>-</w:t>
            </w:r>
            <w:r w:rsidRPr="005F120D">
              <w:rPr>
                <w:rFonts w:asciiTheme="minorHAnsi" w:hAnsiTheme="minorHAnsi" w:cstheme="minorHAnsi"/>
                <w:sz w:val="18"/>
                <w:szCs w:val="18"/>
              </w:rPr>
              <w:t>16</w:t>
            </w:r>
          </w:p>
        </w:tc>
        <w:tc>
          <w:tcPr>
            <w:tcW w:w="1155" w:type="dxa"/>
          </w:tcPr>
          <w:p w:rsidR="0099288C" w:rsidRPr="005F120D" w:rsidRDefault="0099288C" w:rsidP="00B25E46">
            <w:pPr>
              <w:spacing w:after="0"/>
              <w:jc w:val="both"/>
              <w:cnfStyle w:val="000000100000"/>
              <w:rPr>
                <w:rFonts w:asciiTheme="minorHAnsi" w:hAnsiTheme="minorHAnsi" w:cstheme="minorHAnsi"/>
                <w:sz w:val="18"/>
                <w:szCs w:val="18"/>
              </w:rPr>
            </w:pPr>
            <w:r w:rsidRPr="005F120D">
              <w:rPr>
                <w:rFonts w:asciiTheme="minorHAnsi" w:hAnsiTheme="minorHAnsi" w:cstheme="minorHAnsi"/>
                <w:sz w:val="18"/>
                <w:szCs w:val="18"/>
              </w:rPr>
              <w:t>153,233.1</w:t>
            </w:r>
          </w:p>
        </w:tc>
        <w:tc>
          <w:tcPr>
            <w:tcW w:w="1203" w:type="dxa"/>
          </w:tcPr>
          <w:p w:rsidR="0099288C" w:rsidRPr="005F120D" w:rsidRDefault="0099288C" w:rsidP="00B25E46">
            <w:pPr>
              <w:spacing w:after="0"/>
              <w:jc w:val="both"/>
              <w:cnfStyle w:val="000000100000"/>
              <w:rPr>
                <w:rFonts w:asciiTheme="minorHAnsi" w:hAnsiTheme="minorHAnsi" w:cstheme="minorHAnsi"/>
                <w:sz w:val="18"/>
                <w:szCs w:val="18"/>
              </w:rPr>
            </w:pPr>
            <w:r w:rsidRPr="005F120D">
              <w:rPr>
                <w:rFonts w:asciiTheme="minorHAnsi" w:hAnsiTheme="minorHAnsi" w:cstheme="minorHAnsi"/>
                <w:sz w:val="18"/>
                <w:szCs w:val="18"/>
              </w:rPr>
              <w:t>5,580.52</w:t>
            </w:r>
          </w:p>
        </w:tc>
        <w:tc>
          <w:tcPr>
            <w:tcW w:w="1269" w:type="dxa"/>
          </w:tcPr>
          <w:p w:rsidR="0099288C" w:rsidRPr="005F120D" w:rsidRDefault="0099288C" w:rsidP="00B25E46">
            <w:pPr>
              <w:spacing w:after="0"/>
              <w:jc w:val="both"/>
              <w:cnfStyle w:val="000000100000"/>
              <w:rPr>
                <w:rFonts w:asciiTheme="minorHAnsi" w:hAnsiTheme="minorHAnsi" w:cstheme="minorHAnsi"/>
                <w:sz w:val="18"/>
                <w:szCs w:val="18"/>
              </w:rPr>
            </w:pPr>
            <w:r w:rsidRPr="005F120D">
              <w:rPr>
                <w:rFonts w:asciiTheme="minorHAnsi" w:hAnsiTheme="minorHAnsi" w:cstheme="minorHAnsi"/>
                <w:sz w:val="18"/>
                <w:szCs w:val="18"/>
              </w:rPr>
              <w:t>4%</w:t>
            </w:r>
          </w:p>
        </w:tc>
        <w:tc>
          <w:tcPr>
            <w:tcW w:w="1156" w:type="dxa"/>
          </w:tcPr>
          <w:p w:rsidR="0099288C" w:rsidRPr="005F120D" w:rsidRDefault="0099288C" w:rsidP="00B25E46">
            <w:pPr>
              <w:spacing w:after="0"/>
              <w:jc w:val="both"/>
              <w:cnfStyle w:val="000000100000"/>
              <w:rPr>
                <w:rFonts w:asciiTheme="minorHAnsi" w:hAnsiTheme="minorHAnsi" w:cstheme="minorHAnsi"/>
                <w:sz w:val="18"/>
                <w:szCs w:val="18"/>
              </w:rPr>
            </w:pPr>
            <w:r w:rsidRPr="005F120D">
              <w:rPr>
                <w:rFonts w:asciiTheme="minorHAnsi" w:hAnsiTheme="minorHAnsi" w:cstheme="minorHAnsi"/>
                <w:sz w:val="18"/>
                <w:szCs w:val="18"/>
              </w:rPr>
              <w:t>13 million</w:t>
            </w:r>
          </w:p>
        </w:tc>
        <w:tc>
          <w:tcPr>
            <w:tcW w:w="1288" w:type="dxa"/>
          </w:tcPr>
          <w:p w:rsidR="0099288C" w:rsidRPr="005F120D" w:rsidRDefault="0099288C" w:rsidP="00B25E46">
            <w:pPr>
              <w:spacing w:after="0"/>
              <w:jc w:val="both"/>
              <w:cnfStyle w:val="000000100000"/>
              <w:rPr>
                <w:rFonts w:asciiTheme="minorHAnsi" w:hAnsiTheme="minorHAnsi" w:cstheme="minorHAnsi"/>
                <w:sz w:val="18"/>
                <w:szCs w:val="18"/>
              </w:rPr>
            </w:pPr>
          </w:p>
        </w:tc>
        <w:tc>
          <w:tcPr>
            <w:tcW w:w="1335" w:type="dxa"/>
          </w:tcPr>
          <w:p w:rsidR="0099288C" w:rsidRPr="005F120D" w:rsidRDefault="0099288C" w:rsidP="00B25E46">
            <w:pPr>
              <w:spacing w:after="0"/>
              <w:jc w:val="both"/>
              <w:cnfStyle w:val="000000100000"/>
              <w:rPr>
                <w:rFonts w:asciiTheme="minorHAnsi" w:hAnsiTheme="minorHAnsi" w:cstheme="minorHAnsi"/>
                <w:sz w:val="18"/>
                <w:szCs w:val="18"/>
              </w:rPr>
            </w:pPr>
          </w:p>
        </w:tc>
      </w:tr>
      <w:tr w:rsidR="0099288C" w:rsidRPr="005F120D" w:rsidTr="00B23534">
        <w:trPr>
          <w:cnfStyle w:val="000000010000"/>
          <w:trHeight w:hRule="exact" w:val="288"/>
        </w:trPr>
        <w:tc>
          <w:tcPr>
            <w:cnfStyle w:val="001000000000"/>
            <w:tcW w:w="637" w:type="dxa"/>
          </w:tcPr>
          <w:p w:rsidR="0099288C" w:rsidRPr="005F120D" w:rsidRDefault="0099288C" w:rsidP="00B25E46">
            <w:pPr>
              <w:spacing w:after="0"/>
              <w:jc w:val="both"/>
              <w:rPr>
                <w:rFonts w:asciiTheme="minorHAnsi" w:hAnsiTheme="minorHAnsi" w:cstheme="minorHAnsi"/>
                <w:sz w:val="18"/>
                <w:szCs w:val="18"/>
              </w:rPr>
            </w:pPr>
            <w:r w:rsidRPr="005F120D">
              <w:rPr>
                <w:rFonts w:asciiTheme="minorHAnsi" w:hAnsiTheme="minorHAnsi" w:cstheme="minorHAnsi"/>
                <w:sz w:val="18"/>
                <w:szCs w:val="18"/>
              </w:rPr>
              <w:t>9</w:t>
            </w:r>
          </w:p>
        </w:tc>
        <w:tc>
          <w:tcPr>
            <w:tcW w:w="1155" w:type="dxa"/>
          </w:tcPr>
          <w:p w:rsidR="0099288C" w:rsidRPr="005F120D" w:rsidRDefault="0099288C" w:rsidP="00B25E46">
            <w:pPr>
              <w:spacing w:after="0"/>
              <w:jc w:val="both"/>
              <w:cnfStyle w:val="000000010000"/>
              <w:rPr>
                <w:rFonts w:asciiTheme="minorHAnsi" w:hAnsiTheme="minorHAnsi" w:cstheme="minorHAnsi"/>
                <w:sz w:val="18"/>
                <w:szCs w:val="18"/>
              </w:rPr>
            </w:pPr>
            <w:r w:rsidRPr="005F120D">
              <w:rPr>
                <w:rFonts w:asciiTheme="minorHAnsi" w:hAnsiTheme="minorHAnsi" w:cstheme="minorHAnsi"/>
                <w:sz w:val="18"/>
                <w:szCs w:val="18"/>
              </w:rPr>
              <w:t>2016/17</w:t>
            </w:r>
          </w:p>
        </w:tc>
        <w:tc>
          <w:tcPr>
            <w:tcW w:w="1155" w:type="dxa"/>
          </w:tcPr>
          <w:p w:rsidR="0099288C" w:rsidRPr="005F120D" w:rsidRDefault="0099288C" w:rsidP="00B25E46">
            <w:pPr>
              <w:spacing w:after="0"/>
              <w:jc w:val="both"/>
              <w:cnfStyle w:val="000000010000"/>
              <w:rPr>
                <w:rFonts w:asciiTheme="minorHAnsi" w:hAnsiTheme="minorHAnsi" w:cstheme="minorHAnsi"/>
                <w:sz w:val="18"/>
                <w:szCs w:val="18"/>
              </w:rPr>
            </w:pPr>
            <w:r w:rsidRPr="005F120D">
              <w:rPr>
                <w:rFonts w:asciiTheme="minorHAnsi" w:hAnsiTheme="minorHAnsi" w:cstheme="minorHAnsi"/>
                <w:sz w:val="18"/>
                <w:szCs w:val="18"/>
              </w:rPr>
              <w:t>153,505.7</w:t>
            </w:r>
          </w:p>
        </w:tc>
        <w:tc>
          <w:tcPr>
            <w:tcW w:w="1203" w:type="dxa"/>
          </w:tcPr>
          <w:p w:rsidR="0099288C" w:rsidRPr="005F120D" w:rsidRDefault="0099288C" w:rsidP="00B25E46">
            <w:pPr>
              <w:spacing w:after="0"/>
              <w:jc w:val="both"/>
              <w:cnfStyle w:val="000000010000"/>
              <w:rPr>
                <w:rFonts w:asciiTheme="minorHAnsi" w:hAnsiTheme="minorHAnsi" w:cstheme="minorHAnsi"/>
                <w:sz w:val="18"/>
                <w:szCs w:val="18"/>
              </w:rPr>
            </w:pPr>
          </w:p>
        </w:tc>
        <w:tc>
          <w:tcPr>
            <w:tcW w:w="1269" w:type="dxa"/>
          </w:tcPr>
          <w:p w:rsidR="0099288C" w:rsidRPr="005F120D" w:rsidRDefault="0099288C" w:rsidP="00B25E46">
            <w:pPr>
              <w:spacing w:after="0"/>
              <w:jc w:val="both"/>
              <w:cnfStyle w:val="000000010000"/>
              <w:rPr>
                <w:rFonts w:asciiTheme="minorHAnsi" w:hAnsiTheme="minorHAnsi" w:cstheme="minorHAnsi"/>
                <w:sz w:val="18"/>
                <w:szCs w:val="18"/>
              </w:rPr>
            </w:pPr>
          </w:p>
        </w:tc>
        <w:tc>
          <w:tcPr>
            <w:tcW w:w="1156" w:type="dxa"/>
          </w:tcPr>
          <w:p w:rsidR="0099288C" w:rsidRPr="005F120D" w:rsidRDefault="0099288C" w:rsidP="00B25E46">
            <w:pPr>
              <w:spacing w:after="0"/>
              <w:jc w:val="both"/>
              <w:cnfStyle w:val="000000010000"/>
              <w:rPr>
                <w:rFonts w:asciiTheme="minorHAnsi" w:hAnsiTheme="minorHAnsi" w:cstheme="minorHAnsi"/>
                <w:sz w:val="18"/>
                <w:szCs w:val="18"/>
              </w:rPr>
            </w:pPr>
            <w:r w:rsidRPr="005F120D">
              <w:rPr>
                <w:rFonts w:asciiTheme="minorHAnsi" w:hAnsiTheme="minorHAnsi" w:cstheme="minorHAnsi"/>
                <w:sz w:val="18"/>
                <w:szCs w:val="18"/>
              </w:rPr>
              <w:t>13 million</w:t>
            </w:r>
          </w:p>
        </w:tc>
        <w:tc>
          <w:tcPr>
            <w:tcW w:w="1288" w:type="dxa"/>
          </w:tcPr>
          <w:p w:rsidR="0099288C" w:rsidRPr="005F120D" w:rsidRDefault="0099288C" w:rsidP="00B25E46">
            <w:pPr>
              <w:spacing w:after="0"/>
              <w:jc w:val="both"/>
              <w:cnfStyle w:val="000000010000"/>
              <w:rPr>
                <w:rFonts w:asciiTheme="minorHAnsi" w:hAnsiTheme="minorHAnsi" w:cstheme="minorHAnsi"/>
                <w:sz w:val="18"/>
                <w:szCs w:val="18"/>
              </w:rPr>
            </w:pPr>
          </w:p>
        </w:tc>
        <w:tc>
          <w:tcPr>
            <w:tcW w:w="1335" w:type="dxa"/>
          </w:tcPr>
          <w:p w:rsidR="0099288C" w:rsidRPr="005F120D" w:rsidRDefault="0099288C" w:rsidP="00B25E46">
            <w:pPr>
              <w:spacing w:after="0"/>
              <w:jc w:val="both"/>
              <w:cnfStyle w:val="000000010000"/>
              <w:rPr>
                <w:rFonts w:asciiTheme="minorHAnsi" w:hAnsiTheme="minorHAnsi" w:cstheme="minorHAnsi"/>
                <w:sz w:val="18"/>
                <w:szCs w:val="18"/>
              </w:rPr>
            </w:pPr>
          </w:p>
        </w:tc>
      </w:tr>
    </w:tbl>
    <w:p w:rsidR="00B97688" w:rsidRPr="005F120D" w:rsidRDefault="00B97688" w:rsidP="00B25E46">
      <w:pPr>
        <w:jc w:val="both"/>
        <w:rPr>
          <w:rFonts w:asciiTheme="minorHAnsi" w:hAnsiTheme="minorHAnsi" w:cstheme="minorHAnsi"/>
          <w:color w:val="FF0000"/>
          <w:sz w:val="20"/>
        </w:rPr>
      </w:pPr>
    </w:p>
    <w:bookmarkEnd w:id="661"/>
    <w:p w:rsidR="00163D7E" w:rsidRPr="005F120D" w:rsidRDefault="00163D7E" w:rsidP="00B25E46">
      <w:pPr>
        <w:pStyle w:val="Heading2NONUM"/>
        <w:numPr>
          <w:ilvl w:val="0"/>
          <w:numId w:val="36"/>
        </w:numPr>
        <w:spacing w:before="120" w:after="120"/>
        <w:jc w:val="both"/>
        <w:rPr>
          <w:rFonts w:asciiTheme="minorHAnsi" w:hAnsiTheme="minorHAnsi" w:cstheme="minorHAnsi"/>
          <w:color w:val="3333FF"/>
          <w:szCs w:val="24"/>
          <w:u w:val="single"/>
        </w:rPr>
      </w:pPr>
      <w:r w:rsidRPr="005F120D">
        <w:rPr>
          <w:rFonts w:asciiTheme="minorHAnsi" w:hAnsiTheme="minorHAnsi" w:cstheme="minorHAnsi"/>
          <w:color w:val="3333FF"/>
          <w:szCs w:val="24"/>
        </w:rPr>
        <w:t xml:space="preserve">Name of the Project:  </w:t>
      </w:r>
      <w:r w:rsidRPr="005F120D">
        <w:rPr>
          <w:rFonts w:asciiTheme="minorHAnsi" w:hAnsiTheme="minorHAnsi" w:cstheme="minorHAnsi"/>
          <w:color w:val="3333FF"/>
          <w:szCs w:val="24"/>
          <w:u w:val="single"/>
        </w:rPr>
        <w:t xml:space="preserve">School Feeding </w:t>
      </w:r>
      <w:r w:rsidR="00802B33" w:rsidRPr="005F120D">
        <w:rPr>
          <w:rFonts w:asciiTheme="minorHAnsi" w:hAnsiTheme="minorHAnsi" w:cstheme="minorHAnsi"/>
          <w:color w:val="3333FF"/>
          <w:szCs w:val="24"/>
          <w:u w:val="single"/>
        </w:rPr>
        <w:t>Program</w:t>
      </w:r>
      <w:r w:rsidRPr="005F120D">
        <w:rPr>
          <w:rFonts w:asciiTheme="minorHAnsi" w:hAnsiTheme="minorHAnsi" w:cstheme="minorHAnsi"/>
          <w:color w:val="3333FF"/>
          <w:szCs w:val="24"/>
          <w:u w:val="single"/>
        </w:rPr>
        <w:t xml:space="preserve"> in Poverty Prone Areas</w:t>
      </w:r>
      <w:r w:rsidR="00981BDB" w:rsidRPr="005F120D">
        <w:rPr>
          <w:rFonts w:asciiTheme="minorHAnsi" w:hAnsiTheme="minorHAnsi" w:cstheme="minorHAnsi"/>
          <w:color w:val="3333FF"/>
          <w:szCs w:val="24"/>
          <w:u w:val="single"/>
        </w:rPr>
        <w:t xml:space="preserve"> (2</w:t>
      </w:r>
      <w:r w:rsidR="00981BDB" w:rsidRPr="005F120D">
        <w:rPr>
          <w:rFonts w:asciiTheme="minorHAnsi" w:hAnsiTheme="minorHAnsi" w:cstheme="minorHAnsi"/>
          <w:color w:val="3333FF"/>
          <w:szCs w:val="24"/>
          <w:u w:val="single"/>
          <w:vertAlign w:val="superscript"/>
        </w:rPr>
        <w:t>nd</w:t>
      </w:r>
      <w:r w:rsidR="00981BDB" w:rsidRPr="005F120D">
        <w:rPr>
          <w:rFonts w:asciiTheme="minorHAnsi" w:hAnsiTheme="minorHAnsi" w:cstheme="minorHAnsi"/>
          <w:color w:val="3333FF"/>
          <w:szCs w:val="24"/>
          <w:u w:val="single"/>
        </w:rPr>
        <w:t xml:space="preserve"> Revised)</w:t>
      </w:r>
    </w:p>
    <w:p w:rsidR="00163D7E" w:rsidRPr="005F120D" w:rsidRDefault="00163D7E" w:rsidP="00B25E46">
      <w:pPr>
        <w:pStyle w:val="BodyText1"/>
        <w:spacing w:after="0" w:line="240" w:lineRule="auto"/>
        <w:jc w:val="both"/>
        <w:rPr>
          <w:rFonts w:asciiTheme="minorHAnsi" w:hAnsiTheme="minorHAnsi" w:cstheme="minorHAnsi"/>
          <w:b w:val="0"/>
          <w:sz w:val="20"/>
          <w:szCs w:val="20"/>
        </w:rPr>
      </w:pPr>
      <w:r w:rsidRPr="005F120D">
        <w:rPr>
          <w:rFonts w:asciiTheme="minorHAnsi" w:hAnsiTheme="minorHAnsi" w:cstheme="minorHAnsi"/>
          <w:sz w:val="20"/>
          <w:szCs w:val="20"/>
        </w:rPr>
        <w:t>Goal/Aim:</w:t>
      </w:r>
      <w:r w:rsidR="00A61F5E">
        <w:rPr>
          <w:rFonts w:asciiTheme="minorHAnsi" w:hAnsiTheme="minorHAnsi" w:cstheme="minorHAnsi"/>
          <w:sz w:val="20"/>
          <w:szCs w:val="20"/>
        </w:rPr>
        <w:t xml:space="preserve"> </w:t>
      </w:r>
      <w:r w:rsidR="000D4DC5" w:rsidRPr="005F120D">
        <w:rPr>
          <w:rFonts w:asciiTheme="minorHAnsi" w:hAnsiTheme="minorHAnsi" w:cstheme="minorHAnsi"/>
          <w:b w:val="0"/>
          <w:sz w:val="20"/>
          <w:szCs w:val="20"/>
        </w:rPr>
        <w:t>Support</w:t>
      </w:r>
      <w:r w:rsidR="00FE273F" w:rsidRPr="005F120D">
        <w:rPr>
          <w:rFonts w:asciiTheme="minorHAnsi" w:hAnsiTheme="minorHAnsi" w:cstheme="minorHAnsi"/>
          <w:b w:val="0"/>
          <w:sz w:val="20"/>
          <w:szCs w:val="20"/>
        </w:rPr>
        <w:t xml:space="preserve"> the ultra poor </w:t>
      </w:r>
      <w:r w:rsidR="00A61F5E" w:rsidRPr="005F120D">
        <w:rPr>
          <w:rFonts w:asciiTheme="minorHAnsi" w:hAnsiTheme="minorHAnsi" w:cstheme="minorHAnsi"/>
          <w:b w:val="0"/>
          <w:sz w:val="20"/>
          <w:szCs w:val="20"/>
        </w:rPr>
        <w:t>area children</w:t>
      </w:r>
      <w:r w:rsidR="006F55AA" w:rsidRPr="005F120D">
        <w:rPr>
          <w:rFonts w:asciiTheme="minorHAnsi" w:hAnsiTheme="minorHAnsi" w:cstheme="minorHAnsi"/>
          <w:b w:val="0"/>
          <w:sz w:val="20"/>
          <w:szCs w:val="20"/>
        </w:rPr>
        <w:t xml:space="preserve"> </w:t>
      </w:r>
      <w:r w:rsidR="000B40F4" w:rsidRPr="005F120D">
        <w:rPr>
          <w:rFonts w:asciiTheme="minorHAnsi" w:hAnsiTheme="minorHAnsi" w:cstheme="minorHAnsi"/>
          <w:b w:val="0"/>
          <w:sz w:val="20"/>
          <w:szCs w:val="20"/>
        </w:rPr>
        <w:t xml:space="preserve">of Bangladesh </w:t>
      </w:r>
      <w:r w:rsidR="00FE273F" w:rsidRPr="005F120D">
        <w:rPr>
          <w:rFonts w:asciiTheme="minorHAnsi" w:hAnsiTheme="minorHAnsi" w:cstheme="minorHAnsi"/>
          <w:b w:val="0"/>
          <w:sz w:val="20"/>
          <w:szCs w:val="20"/>
        </w:rPr>
        <w:t>in</w:t>
      </w:r>
      <w:r w:rsidR="000D4DC5" w:rsidRPr="005F120D">
        <w:rPr>
          <w:rFonts w:asciiTheme="minorHAnsi" w:hAnsiTheme="minorHAnsi" w:cstheme="minorHAnsi"/>
          <w:b w:val="0"/>
          <w:sz w:val="20"/>
          <w:szCs w:val="20"/>
        </w:rPr>
        <w:t xml:space="preserve"> achieving universal primary </w:t>
      </w:r>
      <w:r w:rsidR="00A61F5E" w:rsidRPr="005F120D">
        <w:rPr>
          <w:rFonts w:asciiTheme="minorHAnsi" w:hAnsiTheme="minorHAnsi" w:cstheme="minorHAnsi"/>
          <w:b w:val="0"/>
          <w:sz w:val="20"/>
          <w:szCs w:val="20"/>
        </w:rPr>
        <w:t>education and</w:t>
      </w:r>
      <w:r w:rsidR="00B051A5" w:rsidRPr="005F120D">
        <w:rPr>
          <w:rFonts w:asciiTheme="minorHAnsi" w:hAnsiTheme="minorHAnsi" w:cstheme="minorHAnsi"/>
          <w:b w:val="0"/>
          <w:sz w:val="20"/>
          <w:szCs w:val="20"/>
        </w:rPr>
        <w:t xml:space="preserve"> the reduction of extreme poverty and hunger.</w:t>
      </w:r>
    </w:p>
    <w:p w:rsidR="00163D7E" w:rsidRPr="005F120D" w:rsidRDefault="00163D7E" w:rsidP="00B25E46">
      <w:pPr>
        <w:pStyle w:val="BodyText1"/>
        <w:spacing w:after="120" w:line="240" w:lineRule="auto"/>
        <w:jc w:val="both"/>
        <w:rPr>
          <w:rFonts w:asciiTheme="minorHAnsi" w:hAnsiTheme="minorHAnsi" w:cstheme="minorHAnsi"/>
          <w:b w:val="0"/>
          <w:sz w:val="20"/>
          <w:szCs w:val="20"/>
        </w:rPr>
      </w:pPr>
      <w:r w:rsidRPr="005F120D">
        <w:rPr>
          <w:rFonts w:asciiTheme="minorHAnsi" w:hAnsiTheme="minorHAnsi" w:cstheme="minorHAnsi"/>
          <w:b w:val="0"/>
          <w:sz w:val="20"/>
          <w:szCs w:val="20"/>
        </w:rPr>
        <w:t>Purpose/Objective:</w:t>
      </w:r>
    </w:p>
    <w:p w:rsidR="00163D7E" w:rsidRPr="005F120D" w:rsidRDefault="00FE273F" w:rsidP="00B25E46">
      <w:pPr>
        <w:pStyle w:val="ListParagraph"/>
        <w:numPr>
          <w:ilvl w:val="0"/>
          <w:numId w:val="65"/>
        </w:numPr>
        <w:spacing w:after="0"/>
        <w:jc w:val="both"/>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To contribute to</w:t>
      </w:r>
      <w:r w:rsidR="00163D7E" w:rsidRPr="005F120D">
        <w:rPr>
          <w:rFonts w:asciiTheme="minorHAnsi" w:eastAsia="Times New Roman" w:hAnsiTheme="minorHAnsi" w:cstheme="minorHAnsi"/>
          <w:sz w:val="20"/>
          <w:szCs w:val="20"/>
        </w:rPr>
        <w:t xml:space="preserve"> achieving universal primary educat</w:t>
      </w:r>
      <w:r w:rsidR="00981BDB" w:rsidRPr="005F120D">
        <w:rPr>
          <w:rFonts w:asciiTheme="minorHAnsi" w:eastAsia="Times New Roman" w:hAnsiTheme="minorHAnsi" w:cstheme="minorHAnsi"/>
          <w:sz w:val="20"/>
          <w:szCs w:val="20"/>
        </w:rPr>
        <w:t>ion and Millennium Development Goal</w:t>
      </w:r>
      <w:r w:rsidR="00163D7E" w:rsidRPr="005F120D">
        <w:rPr>
          <w:rFonts w:asciiTheme="minorHAnsi" w:eastAsia="Times New Roman" w:hAnsiTheme="minorHAnsi" w:cstheme="minorHAnsi"/>
          <w:sz w:val="20"/>
          <w:szCs w:val="20"/>
        </w:rPr>
        <w:t>2</w:t>
      </w:r>
    </w:p>
    <w:p w:rsidR="00163D7E" w:rsidRPr="005F120D" w:rsidRDefault="00163D7E" w:rsidP="00B25E46">
      <w:pPr>
        <w:pStyle w:val="ListParagraph"/>
        <w:numPr>
          <w:ilvl w:val="0"/>
          <w:numId w:val="65"/>
        </w:numPr>
        <w:spacing w:after="0"/>
        <w:jc w:val="both"/>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 xml:space="preserve">To increase </w:t>
      </w:r>
      <w:r w:rsidR="004B53A0" w:rsidRPr="005F120D">
        <w:rPr>
          <w:rFonts w:asciiTheme="minorHAnsi" w:eastAsia="Times New Roman" w:hAnsiTheme="minorHAnsi" w:cstheme="minorHAnsi"/>
          <w:sz w:val="20"/>
          <w:szCs w:val="20"/>
        </w:rPr>
        <w:t>enrolment</w:t>
      </w:r>
      <w:r w:rsidR="00FE273F" w:rsidRPr="005F120D">
        <w:rPr>
          <w:rFonts w:asciiTheme="minorHAnsi" w:eastAsia="Times New Roman" w:hAnsiTheme="minorHAnsi" w:cstheme="minorHAnsi"/>
          <w:sz w:val="20"/>
          <w:szCs w:val="20"/>
        </w:rPr>
        <w:t xml:space="preserve"> and attendance of  primary school children in</w:t>
      </w:r>
      <w:r w:rsidRPr="005F120D">
        <w:rPr>
          <w:rFonts w:asciiTheme="minorHAnsi" w:eastAsia="Times New Roman" w:hAnsiTheme="minorHAnsi" w:cstheme="minorHAnsi"/>
          <w:sz w:val="20"/>
          <w:szCs w:val="20"/>
        </w:rPr>
        <w:t xml:space="preserve"> food insecure areas</w:t>
      </w:r>
    </w:p>
    <w:p w:rsidR="00163D7E" w:rsidRPr="005F120D" w:rsidRDefault="00163D7E" w:rsidP="00B25E46">
      <w:pPr>
        <w:pStyle w:val="ListParagraph"/>
        <w:numPr>
          <w:ilvl w:val="0"/>
          <w:numId w:val="65"/>
        </w:numPr>
        <w:spacing w:after="0"/>
        <w:jc w:val="both"/>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To</w:t>
      </w:r>
      <w:r w:rsidR="00FE273F" w:rsidRPr="005F120D">
        <w:rPr>
          <w:rFonts w:asciiTheme="minorHAnsi" w:eastAsia="Times New Roman" w:hAnsiTheme="minorHAnsi" w:cstheme="minorHAnsi"/>
          <w:sz w:val="20"/>
          <w:szCs w:val="20"/>
        </w:rPr>
        <w:t xml:space="preserve"> improve learning ability of</w:t>
      </w:r>
      <w:r w:rsidRPr="005F120D">
        <w:rPr>
          <w:rFonts w:asciiTheme="minorHAnsi" w:eastAsia="Times New Roman" w:hAnsiTheme="minorHAnsi" w:cstheme="minorHAnsi"/>
          <w:sz w:val="20"/>
          <w:szCs w:val="20"/>
        </w:rPr>
        <w:t xml:space="preserve"> primary school children through reduction of micro-nutrient deficiencies</w:t>
      </w:r>
    </w:p>
    <w:p w:rsidR="00163D7E" w:rsidRPr="005F120D" w:rsidRDefault="00163D7E" w:rsidP="00B25E46">
      <w:pPr>
        <w:pStyle w:val="ListParagraph"/>
        <w:numPr>
          <w:ilvl w:val="0"/>
          <w:numId w:val="65"/>
        </w:numPr>
        <w:spacing w:after="0"/>
        <w:jc w:val="both"/>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To enhance GoB</w:t>
      </w:r>
      <w:r w:rsidR="00FE273F" w:rsidRPr="005F120D">
        <w:rPr>
          <w:rFonts w:asciiTheme="minorHAnsi" w:eastAsia="Times New Roman" w:hAnsiTheme="minorHAnsi" w:cstheme="minorHAnsi"/>
          <w:sz w:val="20"/>
          <w:szCs w:val="20"/>
        </w:rPr>
        <w:t>’s capacity to implement the S</w:t>
      </w:r>
      <w:r w:rsidRPr="005F120D">
        <w:rPr>
          <w:rFonts w:asciiTheme="minorHAnsi" w:eastAsia="Times New Roman" w:hAnsiTheme="minorHAnsi" w:cstheme="minorHAnsi"/>
          <w:sz w:val="20"/>
          <w:szCs w:val="20"/>
        </w:rPr>
        <w:t>c</w:t>
      </w:r>
      <w:r w:rsidR="00FE273F" w:rsidRPr="005F120D">
        <w:rPr>
          <w:rFonts w:asciiTheme="minorHAnsi" w:eastAsia="Times New Roman" w:hAnsiTheme="minorHAnsi" w:cstheme="minorHAnsi"/>
          <w:sz w:val="20"/>
          <w:szCs w:val="20"/>
        </w:rPr>
        <w:t>hool F</w:t>
      </w:r>
      <w:r w:rsidRPr="005F120D">
        <w:rPr>
          <w:rFonts w:asciiTheme="minorHAnsi" w:eastAsia="Times New Roman" w:hAnsiTheme="minorHAnsi" w:cstheme="minorHAnsi"/>
          <w:sz w:val="20"/>
          <w:szCs w:val="20"/>
        </w:rPr>
        <w:t xml:space="preserve">eeding </w:t>
      </w:r>
      <w:r w:rsidR="00802B33" w:rsidRPr="005F120D">
        <w:rPr>
          <w:rFonts w:asciiTheme="minorHAnsi" w:eastAsia="Times New Roman" w:hAnsiTheme="minorHAnsi" w:cstheme="minorHAnsi"/>
          <w:sz w:val="20"/>
          <w:szCs w:val="20"/>
        </w:rPr>
        <w:t>Program</w:t>
      </w:r>
      <w:r w:rsidRPr="005F120D">
        <w:rPr>
          <w:rFonts w:asciiTheme="minorHAnsi" w:eastAsia="Times New Roman" w:hAnsiTheme="minorHAnsi" w:cstheme="minorHAnsi"/>
          <w:sz w:val="20"/>
          <w:szCs w:val="20"/>
        </w:rPr>
        <w:t xml:space="preserve"> efficiently and effectively.</w:t>
      </w:r>
    </w:p>
    <w:p w:rsidR="00163D7E" w:rsidRPr="005F120D" w:rsidRDefault="00163D7E" w:rsidP="00B25E46">
      <w:pPr>
        <w:pStyle w:val="BodyText1"/>
        <w:spacing w:before="120" w:after="120" w:line="240" w:lineRule="auto"/>
        <w:jc w:val="both"/>
        <w:rPr>
          <w:rFonts w:asciiTheme="minorHAnsi" w:hAnsiTheme="minorHAnsi" w:cstheme="minorHAnsi"/>
          <w:sz w:val="20"/>
          <w:szCs w:val="20"/>
        </w:rPr>
      </w:pPr>
      <w:r w:rsidRPr="005F120D">
        <w:rPr>
          <w:rFonts w:asciiTheme="minorHAnsi" w:hAnsiTheme="minorHAnsi" w:cstheme="minorHAnsi"/>
          <w:sz w:val="20"/>
          <w:szCs w:val="20"/>
        </w:rPr>
        <w:t xml:space="preserve">Location of the Project:  </w:t>
      </w:r>
      <w:r w:rsidR="005B2625" w:rsidRPr="005F120D">
        <w:rPr>
          <w:rFonts w:asciiTheme="minorHAnsi" w:hAnsiTheme="minorHAnsi" w:cstheme="minorHAnsi"/>
          <w:sz w:val="20"/>
          <w:szCs w:val="20"/>
        </w:rPr>
        <w:t xml:space="preserve">93 Upazilas (GOB supported 72 and </w:t>
      </w:r>
      <w:r w:rsidR="00893DB8" w:rsidRPr="005F120D">
        <w:rPr>
          <w:rFonts w:asciiTheme="minorHAnsi" w:hAnsiTheme="minorHAnsi" w:cstheme="minorHAnsi"/>
          <w:sz w:val="20"/>
          <w:szCs w:val="20"/>
        </w:rPr>
        <w:t xml:space="preserve">WFP supported 21 </w:t>
      </w:r>
      <w:r w:rsidR="00A61F5E" w:rsidRPr="005F120D">
        <w:rPr>
          <w:rFonts w:asciiTheme="minorHAnsi" w:hAnsiTheme="minorHAnsi" w:cstheme="minorHAnsi"/>
          <w:sz w:val="20"/>
          <w:szCs w:val="20"/>
        </w:rPr>
        <w:t>Upazilas</w:t>
      </w:r>
      <w:r w:rsidR="00893DB8" w:rsidRPr="005F120D">
        <w:rPr>
          <w:rFonts w:asciiTheme="minorHAnsi" w:hAnsiTheme="minorHAnsi" w:cstheme="minorHAnsi"/>
          <w:sz w:val="20"/>
          <w:szCs w:val="20"/>
        </w:rPr>
        <w:t>)</w:t>
      </w:r>
      <w:r w:rsidR="00AF0841" w:rsidRPr="005F120D">
        <w:rPr>
          <w:rFonts w:asciiTheme="minorHAnsi" w:hAnsiTheme="minorHAnsi" w:cstheme="minorHAnsi"/>
          <w:sz w:val="20"/>
          <w:szCs w:val="20"/>
        </w:rPr>
        <w:t xml:space="preserve"> under 29 districts</w:t>
      </w:r>
    </w:p>
    <w:p w:rsidR="00163D7E" w:rsidRPr="005F120D" w:rsidRDefault="00163D7E" w:rsidP="00B25E46">
      <w:pPr>
        <w:pStyle w:val="BodyText1"/>
        <w:spacing w:line="240" w:lineRule="auto"/>
        <w:jc w:val="both"/>
        <w:rPr>
          <w:rFonts w:asciiTheme="minorHAnsi" w:hAnsiTheme="minorHAnsi" w:cstheme="minorHAnsi"/>
          <w:sz w:val="20"/>
          <w:szCs w:val="20"/>
        </w:rPr>
      </w:pPr>
      <w:r w:rsidRPr="005F120D">
        <w:rPr>
          <w:rFonts w:asciiTheme="minorHAnsi" w:hAnsiTheme="minorHAnsi" w:cstheme="minorHAnsi"/>
          <w:sz w:val="20"/>
          <w:szCs w:val="20"/>
        </w:rPr>
        <w:t xml:space="preserve">Implementation Period of Primary Education Stipend Project: </w:t>
      </w:r>
    </w:p>
    <w:p w:rsidR="00163D7E" w:rsidRPr="005F120D" w:rsidRDefault="00163D7E" w:rsidP="00B25E46">
      <w:pPr>
        <w:pStyle w:val="BodyText1"/>
        <w:numPr>
          <w:ilvl w:val="0"/>
          <w:numId w:val="64"/>
        </w:numPr>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Original:</w:t>
      </w:r>
      <w:r w:rsidR="00865E88" w:rsidRPr="005F120D">
        <w:rPr>
          <w:rFonts w:asciiTheme="minorHAnsi" w:hAnsiTheme="minorHAnsi" w:cstheme="minorHAnsi"/>
          <w:sz w:val="20"/>
          <w:szCs w:val="20"/>
        </w:rPr>
        <w:tab/>
      </w:r>
      <w:r w:rsidR="00865E88" w:rsidRPr="005F120D">
        <w:rPr>
          <w:rFonts w:asciiTheme="minorHAnsi" w:hAnsiTheme="minorHAnsi" w:cstheme="minorHAnsi"/>
          <w:sz w:val="20"/>
          <w:szCs w:val="20"/>
        </w:rPr>
        <w:tab/>
        <w:t>I.</w:t>
      </w:r>
      <w:r w:rsidR="00865E88" w:rsidRPr="005F120D">
        <w:rPr>
          <w:rFonts w:asciiTheme="minorHAnsi" w:hAnsiTheme="minorHAnsi" w:cstheme="minorHAnsi"/>
          <w:sz w:val="20"/>
          <w:szCs w:val="20"/>
        </w:rPr>
        <w:tab/>
        <w:t xml:space="preserve">Date of Commencement: </w:t>
      </w:r>
      <w:r w:rsidR="00981BDB" w:rsidRPr="005F120D">
        <w:rPr>
          <w:rFonts w:asciiTheme="minorHAnsi" w:hAnsiTheme="minorHAnsi" w:cstheme="minorHAnsi"/>
          <w:sz w:val="20"/>
          <w:szCs w:val="20"/>
        </w:rPr>
        <w:t>Jul</w:t>
      </w:r>
      <w:r w:rsidRPr="005F120D">
        <w:rPr>
          <w:rFonts w:asciiTheme="minorHAnsi" w:hAnsiTheme="minorHAnsi" w:cstheme="minorHAnsi"/>
          <w:sz w:val="20"/>
          <w:szCs w:val="20"/>
        </w:rPr>
        <w:t>y 201</w:t>
      </w:r>
      <w:r w:rsidR="00981BDB" w:rsidRPr="005F120D">
        <w:rPr>
          <w:rFonts w:asciiTheme="minorHAnsi" w:hAnsiTheme="minorHAnsi" w:cstheme="minorHAnsi"/>
          <w:sz w:val="20"/>
          <w:szCs w:val="20"/>
        </w:rPr>
        <w:t>0</w:t>
      </w:r>
    </w:p>
    <w:p w:rsidR="00163D7E" w:rsidRPr="005F120D" w:rsidRDefault="00865E88" w:rsidP="00B25E46">
      <w:pPr>
        <w:pStyle w:val="BodyText1"/>
        <w:numPr>
          <w:ilvl w:val="0"/>
          <w:numId w:val="66"/>
        </w:numPr>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 xml:space="preserve">Date of Completion: </w:t>
      </w:r>
      <w:r w:rsidR="00981BDB" w:rsidRPr="005F120D">
        <w:rPr>
          <w:rFonts w:asciiTheme="minorHAnsi" w:hAnsiTheme="minorHAnsi" w:cstheme="minorHAnsi"/>
          <w:sz w:val="20"/>
          <w:szCs w:val="20"/>
        </w:rPr>
        <w:t>June</w:t>
      </w:r>
      <w:r w:rsidR="00163D7E" w:rsidRPr="005F120D">
        <w:rPr>
          <w:rFonts w:asciiTheme="minorHAnsi" w:hAnsiTheme="minorHAnsi" w:cstheme="minorHAnsi"/>
          <w:sz w:val="20"/>
          <w:szCs w:val="20"/>
        </w:rPr>
        <w:t xml:space="preserve"> 2017</w:t>
      </w:r>
    </w:p>
    <w:p w:rsidR="00B051A5" w:rsidRPr="005F120D" w:rsidRDefault="00B051A5" w:rsidP="00B25E46">
      <w:pPr>
        <w:pStyle w:val="BodyText1"/>
        <w:spacing w:after="0" w:line="240" w:lineRule="auto"/>
        <w:jc w:val="both"/>
        <w:rPr>
          <w:rFonts w:asciiTheme="minorHAnsi" w:hAnsiTheme="minorHAnsi" w:cstheme="minorHAnsi"/>
          <w:sz w:val="20"/>
          <w:szCs w:val="20"/>
        </w:rPr>
      </w:pPr>
    </w:p>
    <w:p w:rsidR="00B051A5" w:rsidRPr="005F120D" w:rsidRDefault="00B051A5" w:rsidP="00B25E46">
      <w:pPr>
        <w:spacing w:after="0"/>
        <w:jc w:val="both"/>
        <w:rPr>
          <w:rFonts w:asciiTheme="minorHAnsi" w:hAnsiTheme="minorHAnsi" w:cstheme="minorHAnsi"/>
          <w:b/>
          <w:sz w:val="20"/>
        </w:rPr>
      </w:pPr>
      <w:r w:rsidRPr="005F120D">
        <w:rPr>
          <w:rFonts w:asciiTheme="minorHAnsi" w:hAnsiTheme="minorHAnsi" w:cstheme="minorHAnsi"/>
          <w:b/>
          <w:sz w:val="20"/>
        </w:rPr>
        <w:t>Source of Fund</w:t>
      </w:r>
      <w:r w:rsidRPr="005F120D">
        <w:rPr>
          <w:rFonts w:asciiTheme="minorHAnsi" w:hAnsiTheme="minorHAnsi" w:cstheme="minorHAnsi"/>
          <w:b/>
          <w:sz w:val="20"/>
        </w:rPr>
        <w:tab/>
      </w:r>
      <w:r w:rsidRPr="005F120D">
        <w:rPr>
          <w:rFonts w:asciiTheme="minorHAnsi" w:hAnsiTheme="minorHAnsi" w:cstheme="minorHAnsi"/>
          <w:b/>
          <w:sz w:val="20"/>
        </w:rPr>
        <w:tab/>
        <w:t>: GoB &amp; WFP</w:t>
      </w:r>
    </w:p>
    <w:p w:rsidR="00183DEA" w:rsidRPr="005F120D" w:rsidRDefault="00183DEA" w:rsidP="00B25E46">
      <w:pPr>
        <w:spacing w:after="0"/>
        <w:jc w:val="both"/>
        <w:rPr>
          <w:rFonts w:asciiTheme="minorHAnsi" w:hAnsiTheme="minorHAnsi" w:cstheme="minorHAnsi"/>
          <w:b/>
          <w:sz w:val="20"/>
        </w:rPr>
      </w:pPr>
    </w:p>
    <w:tbl>
      <w:tblPr>
        <w:tblStyle w:val="TableGrid"/>
        <w:tblW w:w="5000" w:type="pct"/>
        <w:jc w:val="right"/>
        <w:tblLook w:val="04A0"/>
      </w:tblPr>
      <w:tblGrid>
        <w:gridCol w:w="1948"/>
        <w:gridCol w:w="1842"/>
        <w:gridCol w:w="1816"/>
        <w:gridCol w:w="1818"/>
        <w:gridCol w:w="1821"/>
      </w:tblGrid>
      <w:tr w:rsidR="00183DEA" w:rsidRPr="005F120D" w:rsidTr="002C547A">
        <w:trPr>
          <w:jc w:val="right"/>
        </w:trPr>
        <w:tc>
          <w:tcPr>
            <w:tcW w:w="1054" w:type="pct"/>
            <w:shd w:val="clear" w:color="auto" w:fill="DDD9C3" w:themeFill="background2" w:themeFillShade="E6"/>
          </w:tcPr>
          <w:p w:rsidR="00183DEA" w:rsidRPr="005F120D" w:rsidRDefault="00183DEA" w:rsidP="00B25E46">
            <w:pPr>
              <w:pStyle w:val="BodyText1"/>
              <w:spacing w:after="0" w:line="240" w:lineRule="auto"/>
              <w:jc w:val="both"/>
              <w:rPr>
                <w:rFonts w:asciiTheme="minorHAnsi" w:hAnsiTheme="minorHAnsi" w:cstheme="minorHAnsi"/>
                <w:sz w:val="18"/>
                <w:szCs w:val="18"/>
              </w:rPr>
            </w:pPr>
          </w:p>
        </w:tc>
        <w:tc>
          <w:tcPr>
            <w:tcW w:w="996" w:type="pct"/>
            <w:shd w:val="clear" w:color="auto" w:fill="DDD9C3" w:themeFill="background2" w:themeFillShade="E6"/>
          </w:tcPr>
          <w:p w:rsidR="00183DEA" w:rsidRPr="005F120D" w:rsidRDefault="00183DEA" w:rsidP="00B25E46">
            <w:pPr>
              <w:pStyle w:val="BodyText1"/>
              <w:spacing w:after="0" w:line="240" w:lineRule="auto"/>
              <w:jc w:val="center"/>
              <w:rPr>
                <w:rFonts w:asciiTheme="minorHAnsi" w:hAnsiTheme="minorHAnsi" w:cstheme="minorHAnsi"/>
                <w:sz w:val="18"/>
                <w:szCs w:val="18"/>
              </w:rPr>
            </w:pPr>
            <w:r w:rsidRPr="005F120D">
              <w:rPr>
                <w:rFonts w:asciiTheme="minorHAnsi" w:hAnsiTheme="minorHAnsi" w:cstheme="minorHAnsi"/>
                <w:sz w:val="18"/>
                <w:szCs w:val="18"/>
              </w:rPr>
              <w:t>Total</w:t>
            </w:r>
          </w:p>
        </w:tc>
        <w:tc>
          <w:tcPr>
            <w:tcW w:w="982" w:type="pct"/>
            <w:shd w:val="clear" w:color="auto" w:fill="DDD9C3" w:themeFill="background2" w:themeFillShade="E6"/>
          </w:tcPr>
          <w:p w:rsidR="00183DEA" w:rsidRPr="005F120D" w:rsidRDefault="00183DEA" w:rsidP="00B25E46">
            <w:pPr>
              <w:pStyle w:val="BodyText1"/>
              <w:spacing w:after="0" w:line="240" w:lineRule="auto"/>
              <w:jc w:val="center"/>
              <w:rPr>
                <w:rFonts w:asciiTheme="minorHAnsi" w:hAnsiTheme="minorHAnsi" w:cstheme="minorHAnsi"/>
                <w:sz w:val="18"/>
                <w:szCs w:val="18"/>
              </w:rPr>
            </w:pPr>
            <w:r w:rsidRPr="005F120D">
              <w:rPr>
                <w:rFonts w:asciiTheme="minorHAnsi" w:hAnsiTheme="minorHAnsi" w:cstheme="minorHAnsi"/>
                <w:sz w:val="18"/>
                <w:szCs w:val="18"/>
              </w:rPr>
              <w:t>GoB</w:t>
            </w:r>
          </w:p>
        </w:tc>
        <w:tc>
          <w:tcPr>
            <w:tcW w:w="983" w:type="pct"/>
            <w:shd w:val="clear" w:color="auto" w:fill="DDD9C3" w:themeFill="background2" w:themeFillShade="E6"/>
          </w:tcPr>
          <w:p w:rsidR="00183DEA" w:rsidRPr="005F120D" w:rsidRDefault="00183DEA" w:rsidP="00B25E46">
            <w:pPr>
              <w:pStyle w:val="BodyText1"/>
              <w:spacing w:after="0" w:line="240" w:lineRule="auto"/>
              <w:jc w:val="center"/>
              <w:rPr>
                <w:rFonts w:asciiTheme="minorHAnsi" w:hAnsiTheme="minorHAnsi" w:cstheme="minorHAnsi"/>
                <w:sz w:val="18"/>
                <w:szCs w:val="18"/>
              </w:rPr>
            </w:pPr>
            <w:r w:rsidRPr="005F120D">
              <w:rPr>
                <w:rFonts w:asciiTheme="minorHAnsi" w:hAnsiTheme="minorHAnsi" w:cstheme="minorHAnsi"/>
                <w:sz w:val="18"/>
                <w:szCs w:val="18"/>
              </w:rPr>
              <w:t>RPA</w:t>
            </w:r>
          </w:p>
        </w:tc>
        <w:tc>
          <w:tcPr>
            <w:tcW w:w="985" w:type="pct"/>
            <w:shd w:val="clear" w:color="auto" w:fill="DDD9C3" w:themeFill="background2" w:themeFillShade="E6"/>
          </w:tcPr>
          <w:p w:rsidR="00183DEA" w:rsidRPr="005F120D" w:rsidRDefault="00183DEA" w:rsidP="00B25E46">
            <w:pPr>
              <w:pStyle w:val="BodyText1"/>
              <w:spacing w:after="0" w:line="240" w:lineRule="auto"/>
              <w:jc w:val="center"/>
              <w:rPr>
                <w:rFonts w:asciiTheme="minorHAnsi" w:hAnsiTheme="minorHAnsi" w:cstheme="minorHAnsi"/>
                <w:sz w:val="18"/>
                <w:szCs w:val="18"/>
              </w:rPr>
            </w:pPr>
            <w:r w:rsidRPr="005F120D">
              <w:rPr>
                <w:rFonts w:asciiTheme="minorHAnsi" w:hAnsiTheme="minorHAnsi" w:cstheme="minorHAnsi"/>
                <w:sz w:val="18"/>
                <w:szCs w:val="18"/>
              </w:rPr>
              <w:t>DPA</w:t>
            </w:r>
          </w:p>
        </w:tc>
      </w:tr>
      <w:tr w:rsidR="00183DEA" w:rsidRPr="005F120D" w:rsidTr="002C547A">
        <w:trPr>
          <w:jc w:val="right"/>
        </w:trPr>
        <w:tc>
          <w:tcPr>
            <w:tcW w:w="1054" w:type="pct"/>
          </w:tcPr>
          <w:p w:rsidR="00183DEA" w:rsidRPr="005F120D" w:rsidRDefault="00183DEA" w:rsidP="00B25E46">
            <w:pPr>
              <w:pStyle w:val="BodyText1"/>
              <w:spacing w:after="0" w:line="240" w:lineRule="auto"/>
              <w:jc w:val="both"/>
              <w:rPr>
                <w:rFonts w:asciiTheme="minorHAnsi" w:hAnsiTheme="minorHAnsi" w:cstheme="minorHAnsi"/>
                <w:b w:val="0"/>
                <w:sz w:val="18"/>
                <w:szCs w:val="18"/>
              </w:rPr>
            </w:pPr>
            <w:r w:rsidRPr="005F120D">
              <w:rPr>
                <w:rFonts w:asciiTheme="minorHAnsi" w:hAnsiTheme="minorHAnsi" w:cstheme="minorHAnsi"/>
                <w:b w:val="0"/>
                <w:sz w:val="18"/>
                <w:szCs w:val="18"/>
              </w:rPr>
              <w:t>Original in TK.:</w:t>
            </w:r>
          </w:p>
        </w:tc>
        <w:tc>
          <w:tcPr>
            <w:tcW w:w="996" w:type="pct"/>
          </w:tcPr>
          <w:p w:rsidR="00183DEA" w:rsidRPr="005F120D" w:rsidRDefault="00183DEA" w:rsidP="00B25E4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114,279.91</w:t>
            </w:r>
          </w:p>
        </w:tc>
        <w:tc>
          <w:tcPr>
            <w:tcW w:w="982" w:type="pct"/>
          </w:tcPr>
          <w:p w:rsidR="00183DEA" w:rsidRPr="005F120D" w:rsidRDefault="00183DEA" w:rsidP="00B25E4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59,770.57</w:t>
            </w:r>
          </w:p>
        </w:tc>
        <w:tc>
          <w:tcPr>
            <w:tcW w:w="983" w:type="pct"/>
          </w:tcPr>
          <w:p w:rsidR="00183DEA" w:rsidRPr="005F120D" w:rsidRDefault="00183DEA" w:rsidP="00B25E4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0.00</w:t>
            </w:r>
          </w:p>
        </w:tc>
        <w:tc>
          <w:tcPr>
            <w:tcW w:w="985" w:type="pct"/>
          </w:tcPr>
          <w:p w:rsidR="00183DEA" w:rsidRPr="005F120D" w:rsidRDefault="00183DEA" w:rsidP="00B25E4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54,509.34</w:t>
            </w:r>
          </w:p>
        </w:tc>
      </w:tr>
      <w:tr w:rsidR="00183DEA" w:rsidRPr="005F120D" w:rsidTr="002C547A">
        <w:trPr>
          <w:jc w:val="right"/>
        </w:trPr>
        <w:tc>
          <w:tcPr>
            <w:tcW w:w="1054" w:type="pct"/>
          </w:tcPr>
          <w:p w:rsidR="00183DEA" w:rsidRPr="005F120D" w:rsidRDefault="00183DEA" w:rsidP="00B25E46">
            <w:pPr>
              <w:pStyle w:val="BodyText1"/>
              <w:spacing w:after="0" w:line="240" w:lineRule="auto"/>
              <w:jc w:val="both"/>
              <w:rPr>
                <w:rFonts w:asciiTheme="minorHAnsi" w:hAnsiTheme="minorHAnsi" w:cstheme="minorHAnsi"/>
                <w:b w:val="0"/>
                <w:sz w:val="18"/>
                <w:szCs w:val="18"/>
              </w:rPr>
            </w:pPr>
            <w:r w:rsidRPr="005F120D">
              <w:rPr>
                <w:rFonts w:asciiTheme="minorHAnsi" w:hAnsiTheme="minorHAnsi" w:cstheme="minorHAnsi"/>
                <w:b w:val="0"/>
                <w:sz w:val="18"/>
                <w:szCs w:val="18"/>
              </w:rPr>
              <w:t>Revised (1</w:t>
            </w:r>
            <w:r w:rsidRPr="005F120D">
              <w:rPr>
                <w:rFonts w:asciiTheme="minorHAnsi" w:hAnsiTheme="minorHAnsi" w:cstheme="minorHAnsi"/>
                <w:b w:val="0"/>
                <w:sz w:val="18"/>
                <w:szCs w:val="18"/>
                <w:vertAlign w:val="superscript"/>
              </w:rPr>
              <w:t>st</w:t>
            </w:r>
            <w:r w:rsidRPr="005F120D">
              <w:rPr>
                <w:rFonts w:asciiTheme="minorHAnsi" w:hAnsiTheme="minorHAnsi" w:cstheme="minorHAnsi"/>
                <w:b w:val="0"/>
                <w:sz w:val="18"/>
                <w:szCs w:val="18"/>
              </w:rPr>
              <w:t>) in TK.:</w:t>
            </w:r>
          </w:p>
        </w:tc>
        <w:tc>
          <w:tcPr>
            <w:tcW w:w="996" w:type="pct"/>
          </w:tcPr>
          <w:p w:rsidR="00183DEA" w:rsidRPr="005F120D" w:rsidRDefault="00183DEA" w:rsidP="00B25E4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157,793.11</w:t>
            </w:r>
          </w:p>
        </w:tc>
        <w:tc>
          <w:tcPr>
            <w:tcW w:w="982" w:type="pct"/>
          </w:tcPr>
          <w:p w:rsidR="00183DEA" w:rsidRPr="005F120D" w:rsidRDefault="00183DEA" w:rsidP="00B25E4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87,574.50</w:t>
            </w:r>
          </w:p>
        </w:tc>
        <w:tc>
          <w:tcPr>
            <w:tcW w:w="983" w:type="pct"/>
          </w:tcPr>
          <w:p w:rsidR="00183DEA" w:rsidRPr="005F120D" w:rsidRDefault="00183DEA" w:rsidP="00B25E4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0.00</w:t>
            </w:r>
          </w:p>
        </w:tc>
        <w:tc>
          <w:tcPr>
            <w:tcW w:w="985" w:type="pct"/>
          </w:tcPr>
          <w:p w:rsidR="00183DEA" w:rsidRPr="005F120D" w:rsidRDefault="00183DEA" w:rsidP="00B25E46">
            <w:pPr>
              <w:pStyle w:val="BodyText1"/>
              <w:spacing w:after="0" w:line="240" w:lineRule="auto"/>
              <w:jc w:val="center"/>
              <w:rPr>
                <w:rFonts w:asciiTheme="minorHAnsi" w:hAnsiTheme="minorHAnsi" w:cstheme="minorHAnsi"/>
                <w:b w:val="0"/>
                <w:sz w:val="18"/>
                <w:szCs w:val="18"/>
              </w:rPr>
            </w:pPr>
            <w:r w:rsidRPr="005F120D">
              <w:rPr>
                <w:rFonts w:asciiTheme="minorHAnsi" w:hAnsiTheme="minorHAnsi" w:cstheme="minorHAnsi"/>
                <w:b w:val="0"/>
                <w:sz w:val="18"/>
                <w:szCs w:val="18"/>
              </w:rPr>
              <w:t>70,218.61</w:t>
            </w:r>
          </w:p>
        </w:tc>
      </w:tr>
      <w:tr w:rsidR="00183DEA" w:rsidRPr="005F120D" w:rsidTr="002C547A">
        <w:trPr>
          <w:jc w:val="right"/>
        </w:trPr>
        <w:tc>
          <w:tcPr>
            <w:tcW w:w="1054" w:type="pct"/>
          </w:tcPr>
          <w:p w:rsidR="00183DEA" w:rsidRPr="005F120D" w:rsidRDefault="00183DEA" w:rsidP="00B25E46">
            <w:pPr>
              <w:pStyle w:val="BodyText1"/>
              <w:spacing w:after="0" w:line="240" w:lineRule="auto"/>
              <w:jc w:val="both"/>
              <w:rPr>
                <w:rFonts w:asciiTheme="minorHAnsi" w:hAnsiTheme="minorHAnsi" w:cstheme="minorHAnsi"/>
                <w:b w:val="0"/>
                <w:sz w:val="18"/>
                <w:szCs w:val="18"/>
              </w:rPr>
            </w:pPr>
            <w:r w:rsidRPr="005F120D">
              <w:rPr>
                <w:rFonts w:asciiTheme="minorHAnsi" w:hAnsiTheme="minorHAnsi" w:cstheme="minorHAnsi"/>
                <w:b w:val="0"/>
                <w:sz w:val="18"/>
                <w:szCs w:val="18"/>
              </w:rPr>
              <w:t>Revised (2</w:t>
            </w:r>
            <w:r w:rsidRPr="005F120D">
              <w:rPr>
                <w:rFonts w:asciiTheme="minorHAnsi" w:hAnsiTheme="minorHAnsi" w:cstheme="minorHAnsi"/>
                <w:b w:val="0"/>
                <w:sz w:val="18"/>
                <w:szCs w:val="18"/>
                <w:vertAlign w:val="superscript"/>
              </w:rPr>
              <w:t>nd</w:t>
            </w:r>
            <w:r w:rsidRPr="005F120D">
              <w:rPr>
                <w:rFonts w:asciiTheme="minorHAnsi" w:hAnsiTheme="minorHAnsi" w:cstheme="minorHAnsi"/>
                <w:b w:val="0"/>
                <w:sz w:val="18"/>
                <w:szCs w:val="18"/>
              </w:rPr>
              <w:t>) in TK.:</w:t>
            </w:r>
          </w:p>
        </w:tc>
        <w:tc>
          <w:tcPr>
            <w:tcW w:w="996" w:type="pct"/>
          </w:tcPr>
          <w:p w:rsidR="00183DEA" w:rsidRPr="005F120D" w:rsidRDefault="00183DEA" w:rsidP="00B25E46">
            <w:pPr>
              <w:pStyle w:val="BodyText1"/>
              <w:spacing w:after="0" w:line="240" w:lineRule="auto"/>
              <w:jc w:val="center"/>
              <w:rPr>
                <w:rFonts w:asciiTheme="minorHAnsi" w:hAnsiTheme="minorHAnsi" w:cstheme="minorHAnsi"/>
                <w:sz w:val="18"/>
                <w:szCs w:val="18"/>
              </w:rPr>
            </w:pPr>
            <w:r w:rsidRPr="005F120D">
              <w:rPr>
                <w:rFonts w:asciiTheme="minorHAnsi" w:hAnsiTheme="minorHAnsi" w:cstheme="minorHAnsi"/>
                <w:sz w:val="18"/>
                <w:szCs w:val="18"/>
              </w:rPr>
              <w:t>314,552.20</w:t>
            </w:r>
          </w:p>
        </w:tc>
        <w:tc>
          <w:tcPr>
            <w:tcW w:w="982" w:type="pct"/>
          </w:tcPr>
          <w:p w:rsidR="00183DEA" w:rsidRPr="005F120D" w:rsidRDefault="00183DEA" w:rsidP="00B25E46">
            <w:pPr>
              <w:pStyle w:val="BodyText1"/>
              <w:spacing w:after="0" w:line="240" w:lineRule="auto"/>
              <w:jc w:val="center"/>
              <w:rPr>
                <w:rFonts w:asciiTheme="minorHAnsi" w:hAnsiTheme="minorHAnsi" w:cstheme="minorHAnsi"/>
                <w:sz w:val="18"/>
                <w:szCs w:val="18"/>
              </w:rPr>
            </w:pPr>
            <w:r w:rsidRPr="005F120D">
              <w:rPr>
                <w:rFonts w:asciiTheme="minorHAnsi" w:hAnsiTheme="minorHAnsi" w:cstheme="minorHAnsi"/>
                <w:sz w:val="18"/>
                <w:szCs w:val="18"/>
              </w:rPr>
              <w:t>214,599.65</w:t>
            </w:r>
          </w:p>
        </w:tc>
        <w:tc>
          <w:tcPr>
            <w:tcW w:w="983" w:type="pct"/>
          </w:tcPr>
          <w:p w:rsidR="00183DEA" w:rsidRPr="005F120D" w:rsidRDefault="00183DEA" w:rsidP="00B25E46">
            <w:pPr>
              <w:pStyle w:val="BodyText1"/>
              <w:spacing w:after="0" w:line="240" w:lineRule="auto"/>
              <w:jc w:val="center"/>
              <w:rPr>
                <w:rFonts w:asciiTheme="minorHAnsi" w:hAnsiTheme="minorHAnsi" w:cstheme="minorHAnsi"/>
                <w:sz w:val="18"/>
                <w:szCs w:val="18"/>
              </w:rPr>
            </w:pPr>
            <w:r w:rsidRPr="005F120D">
              <w:rPr>
                <w:rFonts w:asciiTheme="minorHAnsi" w:hAnsiTheme="minorHAnsi" w:cstheme="minorHAnsi"/>
                <w:sz w:val="18"/>
                <w:szCs w:val="18"/>
              </w:rPr>
              <w:t>0.00</w:t>
            </w:r>
          </w:p>
        </w:tc>
        <w:tc>
          <w:tcPr>
            <w:tcW w:w="985" w:type="pct"/>
          </w:tcPr>
          <w:p w:rsidR="00183DEA" w:rsidRPr="005F120D" w:rsidRDefault="00183DEA" w:rsidP="00B25E46">
            <w:pPr>
              <w:pStyle w:val="BodyText1"/>
              <w:spacing w:after="0" w:line="240" w:lineRule="auto"/>
              <w:jc w:val="center"/>
              <w:rPr>
                <w:rFonts w:asciiTheme="minorHAnsi" w:hAnsiTheme="minorHAnsi" w:cstheme="minorHAnsi"/>
                <w:sz w:val="18"/>
                <w:szCs w:val="18"/>
              </w:rPr>
            </w:pPr>
            <w:r w:rsidRPr="005F120D">
              <w:rPr>
                <w:rFonts w:asciiTheme="minorHAnsi" w:hAnsiTheme="minorHAnsi" w:cstheme="minorHAnsi"/>
                <w:sz w:val="18"/>
                <w:szCs w:val="18"/>
              </w:rPr>
              <w:t>99,952.55</w:t>
            </w:r>
          </w:p>
        </w:tc>
      </w:tr>
    </w:tbl>
    <w:p w:rsidR="00183DEA" w:rsidRPr="005F120D" w:rsidRDefault="00183DEA" w:rsidP="00B25E46">
      <w:pPr>
        <w:spacing w:after="0"/>
        <w:jc w:val="both"/>
        <w:rPr>
          <w:rFonts w:asciiTheme="minorHAnsi" w:hAnsiTheme="minorHAnsi" w:cstheme="minorHAnsi"/>
          <w:sz w:val="20"/>
        </w:rPr>
      </w:pPr>
    </w:p>
    <w:p w:rsidR="00B051A5" w:rsidRPr="005F120D" w:rsidRDefault="00AF0841" w:rsidP="00B25E46">
      <w:pPr>
        <w:spacing w:before="120" w:after="120"/>
        <w:jc w:val="both"/>
        <w:rPr>
          <w:rFonts w:asciiTheme="minorHAnsi" w:hAnsiTheme="minorHAnsi" w:cstheme="minorHAnsi"/>
          <w:b/>
        </w:rPr>
      </w:pPr>
      <w:r w:rsidRPr="005F120D">
        <w:rPr>
          <w:rFonts w:asciiTheme="minorHAnsi" w:hAnsiTheme="minorHAnsi" w:cstheme="minorHAnsi"/>
          <w:b/>
          <w:sz w:val="20"/>
        </w:rPr>
        <w:t>Coverage as of March 2016</w:t>
      </w:r>
      <w:r w:rsidR="00B051A5" w:rsidRPr="005F120D">
        <w:rPr>
          <w:rFonts w:asciiTheme="minorHAnsi" w:hAnsiTheme="minorHAnsi" w:cstheme="minorHAnsi"/>
          <w:b/>
          <w:sz w:val="20"/>
        </w:rPr>
        <w:t>:</w:t>
      </w:r>
    </w:p>
    <w:tbl>
      <w:tblPr>
        <w:tblStyle w:val="TableGrid"/>
        <w:tblW w:w="5000" w:type="pct"/>
        <w:tblLook w:val="04A0"/>
      </w:tblPr>
      <w:tblGrid>
        <w:gridCol w:w="1898"/>
        <w:gridCol w:w="2528"/>
        <w:gridCol w:w="1607"/>
        <w:gridCol w:w="1607"/>
        <w:gridCol w:w="1605"/>
      </w:tblGrid>
      <w:tr w:rsidR="00B051A5" w:rsidRPr="005F120D" w:rsidTr="00B051A5">
        <w:trPr>
          <w:trHeight w:hRule="exact" w:val="288"/>
        </w:trPr>
        <w:tc>
          <w:tcPr>
            <w:tcW w:w="1027" w:type="pct"/>
            <w:tcBorders>
              <w:top w:val="single" w:sz="4" w:space="0" w:color="auto"/>
              <w:left w:val="single" w:sz="4" w:space="0" w:color="auto"/>
              <w:bottom w:val="single" w:sz="4" w:space="0" w:color="auto"/>
              <w:right w:val="nil"/>
            </w:tcBorders>
            <w:shd w:val="clear" w:color="auto" w:fill="EEECE1" w:themeFill="background2"/>
          </w:tcPr>
          <w:p w:rsidR="00B051A5" w:rsidRPr="005F120D" w:rsidRDefault="00B051A5" w:rsidP="00B25E46">
            <w:pPr>
              <w:jc w:val="both"/>
              <w:rPr>
                <w:rFonts w:asciiTheme="minorHAnsi" w:hAnsiTheme="minorHAnsi" w:cstheme="minorHAnsi"/>
                <w:b/>
                <w:sz w:val="18"/>
                <w:szCs w:val="18"/>
              </w:rPr>
            </w:pPr>
          </w:p>
        </w:tc>
        <w:tc>
          <w:tcPr>
            <w:tcW w:w="1367" w:type="pct"/>
            <w:tcBorders>
              <w:top w:val="single" w:sz="4" w:space="0" w:color="auto"/>
              <w:left w:val="nil"/>
              <w:bottom w:val="single" w:sz="4" w:space="0" w:color="auto"/>
              <w:right w:val="nil"/>
            </w:tcBorders>
            <w:shd w:val="clear" w:color="auto" w:fill="EEECE1" w:themeFill="background2"/>
          </w:tcPr>
          <w:p w:rsidR="00B051A5" w:rsidRPr="005F120D" w:rsidRDefault="00B051A5" w:rsidP="00B25E46">
            <w:pPr>
              <w:jc w:val="both"/>
              <w:rPr>
                <w:rFonts w:asciiTheme="minorHAnsi" w:hAnsiTheme="minorHAnsi" w:cstheme="minorHAnsi"/>
                <w:b/>
                <w:sz w:val="18"/>
                <w:szCs w:val="18"/>
              </w:rPr>
            </w:pPr>
            <w:r w:rsidRPr="005F120D">
              <w:rPr>
                <w:rFonts w:asciiTheme="minorHAnsi" w:hAnsiTheme="minorHAnsi" w:cstheme="minorHAnsi"/>
                <w:b/>
                <w:sz w:val="18"/>
                <w:szCs w:val="18"/>
              </w:rPr>
              <w:t>Coverage</w:t>
            </w:r>
          </w:p>
        </w:tc>
        <w:tc>
          <w:tcPr>
            <w:tcW w:w="869" w:type="pct"/>
            <w:tcBorders>
              <w:top w:val="single" w:sz="4" w:space="0" w:color="auto"/>
              <w:left w:val="nil"/>
              <w:bottom w:val="single" w:sz="4" w:space="0" w:color="auto"/>
              <w:right w:val="nil"/>
            </w:tcBorders>
            <w:shd w:val="clear" w:color="auto" w:fill="EEECE1" w:themeFill="background2"/>
          </w:tcPr>
          <w:p w:rsidR="00B051A5" w:rsidRPr="005F120D" w:rsidRDefault="00B051A5" w:rsidP="00B25E46">
            <w:pPr>
              <w:jc w:val="both"/>
              <w:rPr>
                <w:rFonts w:asciiTheme="minorHAnsi" w:hAnsiTheme="minorHAnsi" w:cstheme="minorHAnsi"/>
                <w:b/>
                <w:sz w:val="18"/>
                <w:szCs w:val="18"/>
              </w:rPr>
            </w:pPr>
          </w:p>
        </w:tc>
        <w:tc>
          <w:tcPr>
            <w:tcW w:w="869" w:type="pct"/>
            <w:tcBorders>
              <w:top w:val="single" w:sz="4" w:space="0" w:color="auto"/>
              <w:left w:val="nil"/>
              <w:bottom w:val="single" w:sz="4" w:space="0" w:color="auto"/>
              <w:right w:val="single" w:sz="4" w:space="0" w:color="auto"/>
            </w:tcBorders>
            <w:shd w:val="clear" w:color="auto" w:fill="EEECE1" w:themeFill="background2"/>
          </w:tcPr>
          <w:p w:rsidR="00B051A5" w:rsidRPr="005F120D" w:rsidRDefault="00B051A5" w:rsidP="00B25E46">
            <w:pPr>
              <w:jc w:val="both"/>
              <w:rPr>
                <w:rFonts w:asciiTheme="minorHAnsi" w:hAnsiTheme="minorHAnsi" w:cstheme="minorHAnsi"/>
                <w:b/>
                <w:sz w:val="18"/>
                <w:szCs w:val="18"/>
              </w:rPr>
            </w:pPr>
          </w:p>
        </w:tc>
        <w:tc>
          <w:tcPr>
            <w:tcW w:w="869" w:type="pct"/>
            <w:vMerge w:val="restart"/>
            <w:tcBorders>
              <w:left w:val="single" w:sz="4" w:space="0" w:color="auto"/>
            </w:tcBorders>
            <w:shd w:val="clear" w:color="auto" w:fill="EEECE1" w:themeFill="background2"/>
            <w:vAlign w:val="center"/>
          </w:tcPr>
          <w:p w:rsidR="00B051A5" w:rsidRPr="005F120D" w:rsidRDefault="00B051A5" w:rsidP="00B25E46">
            <w:pPr>
              <w:jc w:val="both"/>
              <w:rPr>
                <w:rFonts w:asciiTheme="minorHAnsi" w:hAnsiTheme="minorHAnsi" w:cstheme="minorHAnsi"/>
                <w:b/>
                <w:sz w:val="18"/>
                <w:szCs w:val="18"/>
              </w:rPr>
            </w:pPr>
            <w:r w:rsidRPr="005F120D">
              <w:rPr>
                <w:rFonts w:asciiTheme="minorHAnsi" w:hAnsiTheme="minorHAnsi" w:cstheme="minorHAnsi"/>
                <w:b/>
                <w:sz w:val="18"/>
                <w:szCs w:val="18"/>
              </w:rPr>
              <w:t>Remarks</w:t>
            </w:r>
          </w:p>
        </w:tc>
      </w:tr>
      <w:tr w:rsidR="00B051A5" w:rsidRPr="005F120D" w:rsidTr="006F5F9A">
        <w:trPr>
          <w:trHeight w:hRule="exact" w:val="298"/>
        </w:trPr>
        <w:tc>
          <w:tcPr>
            <w:tcW w:w="1027" w:type="pct"/>
            <w:tcBorders>
              <w:top w:val="single" w:sz="4" w:space="0" w:color="auto"/>
            </w:tcBorders>
            <w:shd w:val="clear" w:color="auto" w:fill="EEECE1" w:themeFill="background2"/>
            <w:vAlign w:val="center"/>
          </w:tcPr>
          <w:p w:rsidR="00B051A5" w:rsidRPr="005F120D" w:rsidRDefault="00B051A5" w:rsidP="00B25E46">
            <w:pPr>
              <w:jc w:val="both"/>
              <w:rPr>
                <w:rFonts w:asciiTheme="minorHAnsi" w:hAnsiTheme="minorHAnsi" w:cstheme="minorHAnsi"/>
                <w:b/>
                <w:sz w:val="18"/>
                <w:szCs w:val="18"/>
              </w:rPr>
            </w:pPr>
            <w:r w:rsidRPr="005F120D">
              <w:rPr>
                <w:rFonts w:asciiTheme="minorHAnsi" w:hAnsiTheme="minorHAnsi" w:cstheme="minorHAnsi"/>
                <w:b/>
                <w:sz w:val="18"/>
                <w:szCs w:val="18"/>
              </w:rPr>
              <w:t>No. of Districts</w:t>
            </w:r>
          </w:p>
        </w:tc>
        <w:tc>
          <w:tcPr>
            <w:tcW w:w="1367" w:type="pct"/>
            <w:tcBorders>
              <w:top w:val="single" w:sz="4" w:space="0" w:color="auto"/>
            </w:tcBorders>
            <w:shd w:val="clear" w:color="auto" w:fill="EEECE1" w:themeFill="background2"/>
            <w:vAlign w:val="center"/>
          </w:tcPr>
          <w:p w:rsidR="00B051A5" w:rsidRPr="005F120D" w:rsidRDefault="00B051A5" w:rsidP="00B25E46">
            <w:pPr>
              <w:jc w:val="both"/>
              <w:rPr>
                <w:rFonts w:asciiTheme="minorHAnsi" w:hAnsiTheme="minorHAnsi" w:cstheme="minorHAnsi"/>
                <w:b/>
                <w:sz w:val="18"/>
                <w:szCs w:val="18"/>
              </w:rPr>
            </w:pPr>
            <w:r w:rsidRPr="005F120D">
              <w:rPr>
                <w:rFonts w:asciiTheme="minorHAnsi" w:hAnsiTheme="minorHAnsi" w:cstheme="minorHAnsi"/>
                <w:b/>
                <w:sz w:val="18"/>
                <w:szCs w:val="18"/>
              </w:rPr>
              <w:t>No. of Upazilas</w:t>
            </w:r>
          </w:p>
        </w:tc>
        <w:tc>
          <w:tcPr>
            <w:tcW w:w="869" w:type="pct"/>
            <w:tcBorders>
              <w:top w:val="single" w:sz="4" w:space="0" w:color="auto"/>
            </w:tcBorders>
            <w:shd w:val="clear" w:color="auto" w:fill="EEECE1" w:themeFill="background2"/>
            <w:vAlign w:val="center"/>
          </w:tcPr>
          <w:p w:rsidR="00B051A5" w:rsidRPr="005F120D" w:rsidRDefault="00B051A5" w:rsidP="00B25E46">
            <w:pPr>
              <w:jc w:val="both"/>
              <w:rPr>
                <w:rFonts w:asciiTheme="minorHAnsi" w:hAnsiTheme="minorHAnsi" w:cstheme="minorHAnsi"/>
                <w:b/>
                <w:sz w:val="18"/>
                <w:szCs w:val="18"/>
              </w:rPr>
            </w:pPr>
            <w:r w:rsidRPr="005F120D">
              <w:rPr>
                <w:rFonts w:asciiTheme="minorHAnsi" w:hAnsiTheme="minorHAnsi" w:cstheme="minorHAnsi"/>
                <w:b/>
                <w:sz w:val="18"/>
                <w:szCs w:val="18"/>
              </w:rPr>
              <w:t>No. of schools</w:t>
            </w:r>
          </w:p>
        </w:tc>
        <w:tc>
          <w:tcPr>
            <w:tcW w:w="869" w:type="pct"/>
            <w:tcBorders>
              <w:top w:val="single" w:sz="4" w:space="0" w:color="auto"/>
              <w:right w:val="single" w:sz="4" w:space="0" w:color="auto"/>
            </w:tcBorders>
            <w:shd w:val="clear" w:color="auto" w:fill="EEECE1" w:themeFill="background2"/>
            <w:vAlign w:val="center"/>
          </w:tcPr>
          <w:p w:rsidR="00B051A5" w:rsidRPr="005F120D" w:rsidRDefault="00B051A5" w:rsidP="00B25E46">
            <w:pPr>
              <w:jc w:val="both"/>
              <w:rPr>
                <w:rFonts w:asciiTheme="minorHAnsi" w:hAnsiTheme="minorHAnsi" w:cstheme="minorHAnsi"/>
                <w:b/>
                <w:sz w:val="18"/>
                <w:szCs w:val="18"/>
              </w:rPr>
            </w:pPr>
            <w:r w:rsidRPr="005F120D">
              <w:rPr>
                <w:rFonts w:asciiTheme="minorHAnsi" w:hAnsiTheme="minorHAnsi" w:cstheme="minorHAnsi"/>
                <w:b/>
                <w:sz w:val="18"/>
                <w:szCs w:val="18"/>
              </w:rPr>
              <w:t>No. of students</w:t>
            </w:r>
          </w:p>
        </w:tc>
        <w:tc>
          <w:tcPr>
            <w:tcW w:w="869" w:type="pct"/>
            <w:vMerge/>
            <w:tcBorders>
              <w:left w:val="single" w:sz="4" w:space="0" w:color="auto"/>
            </w:tcBorders>
            <w:shd w:val="clear" w:color="auto" w:fill="EEECE1" w:themeFill="background2"/>
            <w:vAlign w:val="center"/>
          </w:tcPr>
          <w:p w:rsidR="00B051A5" w:rsidRPr="005F120D" w:rsidRDefault="00B051A5" w:rsidP="00B25E46">
            <w:pPr>
              <w:jc w:val="both"/>
              <w:rPr>
                <w:rFonts w:asciiTheme="minorHAnsi" w:hAnsiTheme="minorHAnsi" w:cstheme="minorHAnsi"/>
                <w:b/>
                <w:sz w:val="18"/>
                <w:szCs w:val="18"/>
              </w:rPr>
            </w:pPr>
          </w:p>
        </w:tc>
      </w:tr>
      <w:tr w:rsidR="00B051A5" w:rsidRPr="005F120D" w:rsidTr="00B051A5">
        <w:trPr>
          <w:trHeight w:hRule="exact" w:val="352"/>
        </w:trPr>
        <w:tc>
          <w:tcPr>
            <w:tcW w:w="1027" w:type="pct"/>
          </w:tcPr>
          <w:p w:rsidR="00B051A5" w:rsidRPr="005F120D" w:rsidRDefault="00AF0841" w:rsidP="00B25E46">
            <w:pPr>
              <w:jc w:val="center"/>
              <w:rPr>
                <w:rFonts w:asciiTheme="minorHAnsi" w:hAnsiTheme="minorHAnsi" w:cstheme="minorHAnsi"/>
                <w:sz w:val="18"/>
                <w:szCs w:val="18"/>
              </w:rPr>
            </w:pPr>
            <w:r w:rsidRPr="005F120D">
              <w:rPr>
                <w:rFonts w:asciiTheme="minorHAnsi" w:hAnsiTheme="minorHAnsi" w:cstheme="minorHAnsi"/>
                <w:sz w:val="18"/>
                <w:szCs w:val="18"/>
              </w:rPr>
              <w:t>27</w:t>
            </w:r>
            <w:r w:rsidR="00B051A5" w:rsidRPr="005F120D">
              <w:rPr>
                <w:rFonts w:asciiTheme="minorHAnsi" w:hAnsiTheme="minorHAnsi" w:cstheme="minorHAnsi"/>
                <w:sz w:val="18"/>
                <w:szCs w:val="18"/>
              </w:rPr>
              <w:t>Districts</w:t>
            </w:r>
          </w:p>
        </w:tc>
        <w:tc>
          <w:tcPr>
            <w:tcW w:w="1367" w:type="pct"/>
          </w:tcPr>
          <w:p w:rsidR="00B051A5" w:rsidRPr="005F120D" w:rsidRDefault="00AF0841" w:rsidP="00B25E46">
            <w:pPr>
              <w:jc w:val="center"/>
              <w:rPr>
                <w:rFonts w:asciiTheme="minorHAnsi" w:hAnsiTheme="minorHAnsi" w:cstheme="minorHAnsi"/>
                <w:sz w:val="18"/>
                <w:szCs w:val="18"/>
              </w:rPr>
            </w:pPr>
            <w:r w:rsidRPr="005F120D">
              <w:rPr>
                <w:rFonts w:asciiTheme="minorHAnsi" w:hAnsiTheme="minorHAnsi" w:cstheme="minorHAnsi"/>
                <w:sz w:val="18"/>
                <w:szCs w:val="18"/>
              </w:rPr>
              <w:t>72</w:t>
            </w:r>
            <w:r w:rsidR="00B051A5" w:rsidRPr="005F120D">
              <w:rPr>
                <w:rFonts w:asciiTheme="minorHAnsi" w:hAnsiTheme="minorHAnsi" w:cstheme="minorHAnsi"/>
                <w:sz w:val="18"/>
                <w:szCs w:val="18"/>
              </w:rPr>
              <w:t xml:space="preserve"> Upazilas</w:t>
            </w:r>
          </w:p>
        </w:tc>
        <w:tc>
          <w:tcPr>
            <w:tcW w:w="869" w:type="pct"/>
          </w:tcPr>
          <w:p w:rsidR="00B051A5" w:rsidRPr="005F120D" w:rsidRDefault="00B051A5" w:rsidP="00B25E46">
            <w:pPr>
              <w:jc w:val="center"/>
              <w:rPr>
                <w:rFonts w:asciiTheme="minorHAnsi" w:hAnsiTheme="minorHAnsi" w:cstheme="minorHAnsi"/>
                <w:bCs/>
                <w:sz w:val="18"/>
                <w:szCs w:val="18"/>
              </w:rPr>
            </w:pPr>
            <w:r w:rsidRPr="005F120D">
              <w:rPr>
                <w:rFonts w:asciiTheme="minorHAnsi" w:hAnsiTheme="minorHAnsi" w:cstheme="minorHAnsi"/>
                <w:bCs/>
                <w:sz w:val="18"/>
                <w:szCs w:val="18"/>
              </w:rPr>
              <w:t>14,664</w:t>
            </w:r>
          </w:p>
          <w:p w:rsidR="00B051A5" w:rsidRPr="005F120D" w:rsidRDefault="00B051A5" w:rsidP="00B25E46">
            <w:pPr>
              <w:jc w:val="center"/>
              <w:rPr>
                <w:rFonts w:asciiTheme="minorHAnsi" w:hAnsiTheme="minorHAnsi" w:cstheme="minorHAnsi"/>
                <w:sz w:val="18"/>
                <w:szCs w:val="18"/>
              </w:rPr>
            </w:pPr>
          </w:p>
        </w:tc>
        <w:tc>
          <w:tcPr>
            <w:tcW w:w="869" w:type="pct"/>
          </w:tcPr>
          <w:p w:rsidR="00B051A5" w:rsidRPr="005F120D" w:rsidRDefault="00B051A5" w:rsidP="00B25E46">
            <w:pPr>
              <w:jc w:val="center"/>
              <w:rPr>
                <w:rFonts w:asciiTheme="minorHAnsi" w:hAnsiTheme="minorHAnsi" w:cstheme="minorHAnsi"/>
                <w:sz w:val="18"/>
                <w:szCs w:val="18"/>
              </w:rPr>
            </w:pPr>
            <w:r w:rsidRPr="005F120D">
              <w:rPr>
                <w:rFonts w:asciiTheme="minorHAnsi" w:hAnsiTheme="minorHAnsi" w:cstheme="minorHAnsi"/>
                <w:sz w:val="18"/>
                <w:szCs w:val="18"/>
              </w:rPr>
              <w:t>2,818,808</w:t>
            </w:r>
          </w:p>
        </w:tc>
        <w:tc>
          <w:tcPr>
            <w:tcW w:w="869" w:type="pct"/>
          </w:tcPr>
          <w:p w:rsidR="00B051A5" w:rsidRPr="005F120D" w:rsidRDefault="00AF0841" w:rsidP="00B25E46">
            <w:pPr>
              <w:jc w:val="center"/>
              <w:rPr>
                <w:rFonts w:asciiTheme="minorHAnsi" w:hAnsiTheme="minorHAnsi" w:cstheme="minorHAnsi"/>
                <w:sz w:val="18"/>
                <w:szCs w:val="18"/>
              </w:rPr>
            </w:pPr>
            <w:r w:rsidRPr="005F120D">
              <w:rPr>
                <w:rFonts w:asciiTheme="minorHAnsi" w:hAnsiTheme="minorHAnsi" w:cstheme="minorHAnsi"/>
                <w:sz w:val="18"/>
                <w:szCs w:val="18"/>
              </w:rPr>
              <w:t>GOB</w:t>
            </w:r>
          </w:p>
        </w:tc>
      </w:tr>
      <w:tr w:rsidR="00AF0841" w:rsidRPr="005F120D" w:rsidTr="00B051A5">
        <w:trPr>
          <w:trHeight w:hRule="exact" w:val="352"/>
        </w:trPr>
        <w:tc>
          <w:tcPr>
            <w:tcW w:w="1027" w:type="pct"/>
          </w:tcPr>
          <w:p w:rsidR="00AF0841" w:rsidRPr="005F120D" w:rsidRDefault="00AF0841" w:rsidP="00B25E46">
            <w:pPr>
              <w:jc w:val="center"/>
              <w:rPr>
                <w:rFonts w:asciiTheme="minorHAnsi" w:hAnsiTheme="minorHAnsi" w:cstheme="minorHAnsi"/>
                <w:sz w:val="18"/>
                <w:szCs w:val="18"/>
              </w:rPr>
            </w:pPr>
            <w:r w:rsidRPr="005F120D">
              <w:rPr>
                <w:rFonts w:asciiTheme="minorHAnsi" w:hAnsiTheme="minorHAnsi" w:cstheme="minorHAnsi"/>
                <w:sz w:val="18"/>
                <w:szCs w:val="18"/>
              </w:rPr>
              <w:t>6 districts</w:t>
            </w:r>
          </w:p>
        </w:tc>
        <w:tc>
          <w:tcPr>
            <w:tcW w:w="1367" w:type="pct"/>
          </w:tcPr>
          <w:p w:rsidR="00AF0841" w:rsidRPr="005F120D" w:rsidRDefault="00AF0841" w:rsidP="00B25E46">
            <w:pPr>
              <w:jc w:val="center"/>
              <w:rPr>
                <w:rFonts w:asciiTheme="minorHAnsi" w:hAnsiTheme="minorHAnsi" w:cstheme="minorHAnsi"/>
                <w:sz w:val="18"/>
                <w:szCs w:val="18"/>
              </w:rPr>
            </w:pPr>
            <w:r w:rsidRPr="005F120D">
              <w:rPr>
                <w:rFonts w:asciiTheme="minorHAnsi" w:hAnsiTheme="minorHAnsi" w:cstheme="minorHAnsi"/>
                <w:sz w:val="18"/>
                <w:szCs w:val="18"/>
              </w:rPr>
              <w:t xml:space="preserve">21 </w:t>
            </w:r>
            <w:r w:rsidR="00A61F5E" w:rsidRPr="005F120D">
              <w:rPr>
                <w:rFonts w:asciiTheme="minorHAnsi" w:hAnsiTheme="minorHAnsi" w:cstheme="minorHAnsi"/>
                <w:sz w:val="18"/>
                <w:szCs w:val="18"/>
              </w:rPr>
              <w:t>Upazilas</w:t>
            </w:r>
          </w:p>
        </w:tc>
        <w:tc>
          <w:tcPr>
            <w:tcW w:w="869" w:type="pct"/>
          </w:tcPr>
          <w:p w:rsidR="00AF0841" w:rsidRPr="005F120D" w:rsidRDefault="00AF0841" w:rsidP="00B25E46">
            <w:pPr>
              <w:jc w:val="center"/>
              <w:rPr>
                <w:rFonts w:asciiTheme="minorHAnsi" w:hAnsiTheme="minorHAnsi" w:cstheme="minorHAnsi"/>
                <w:bCs/>
                <w:sz w:val="18"/>
                <w:szCs w:val="18"/>
              </w:rPr>
            </w:pPr>
          </w:p>
        </w:tc>
        <w:tc>
          <w:tcPr>
            <w:tcW w:w="869" w:type="pct"/>
          </w:tcPr>
          <w:p w:rsidR="00AF0841" w:rsidRPr="005F120D" w:rsidRDefault="00AF0841" w:rsidP="00B25E46">
            <w:pPr>
              <w:jc w:val="center"/>
              <w:rPr>
                <w:rFonts w:asciiTheme="minorHAnsi" w:hAnsiTheme="minorHAnsi" w:cstheme="minorHAnsi"/>
                <w:sz w:val="18"/>
                <w:szCs w:val="18"/>
              </w:rPr>
            </w:pPr>
          </w:p>
        </w:tc>
        <w:tc>
          <w:tcPr>
            <w:tcW w:w="869" w:type="pct"/>
          </w:tcPr>
          <w:p w:rsidR="00AF0841" w:rsidRPr="005F120D" w:rsidRDefault="00AF0841" w:rsidP="00B25E46">
            <w:pPr>
              <w:jc w:val="center"/>
              <w:rPr>
                <w:rFonts w:asciiTheme="minorHAnsi" w:hAnsiTheme="minorHAnsi" w:cstheme="minorHAnsi"/>
                <w:sz w:val="18"/>
                <w:szCs w:val="18"/>
              </w:rPr>
            </w:pPr>
            <w:r w:rsidRPr="005F120D">
              <w:rPr>
                <w:rFonts w:asciiTheme="minorHAnsi" w:hAnsiTheme="minorHAnsi" w:cstheme="minorHAnsi"/>
                <w:sz w:val="18"/>
                <w:szCs w:val="18"/>
              </w:rPr>
              <w:t>WFP</w:t>
            </w:r>
          </w:p>
        </w:tc>
      </w:tr>
    </w:tbl>
    <w:p w:rsidR="00183DEA" w:rsidRPr="005F120D" w:rsidRDefault="00183DEA" w:rsidP="00B25E46">
      <w:pPr>
        <w:spacing w:before="120" w:after="120"/>
        <w:jc w:val="both"/>
        <w:rPr>
          <w:rFonts w:asciiTheme="minorHAnsi" w:hAnsiTheme="minorHAnsi" w:cstheme="minorHAnsi"/>
          <w:b/>
        </w:rPr>
      </w:pPr>
    </w:p>
    <w:p w:rsidR="00183DEA" w:rsidRPr="005F120D" w:rsidRDefault="00183DEA" w:rsidP="00B25E46">
      <w:pPr>
        <w:spacing w:before="120" w:after="120"/>
        <w:jc w:val="both"/>
        <w:rPr>
          <w:rFonts w:asciiTheme="minorHAnsi" w:hAnsiTheme="minorHAnsi" w:cstheme="minorHAnsi"/>
          <w:b/>
        </w:rPr>
      </w:pPr>
    </w:p>
    <w:p w:rsidR="004A14B8" w:rsidRPr="005F120D" w:rsidRDefault="004A14B8" w:rsidP="00B25E46">
      <w:pPr>
        <w:spacing w:before="120" w:after="120"/>
        <w:jc w:val="both"/>
        <w:rPr>
          <w:rFonts w:asciiTheme="minorHAnsi" w:hAnsiTheme="minorHAnsi" w:cstheme="minorHAnsi"/>
          <w:b/>
        </w:rPr>
      </w:pPr>
    </w:p>
    <w:p w:rsidR="004A14B8" w:rsidRPr="005F120D" w:rsidRDefault="004A14B8" w:rsidP="00B25E46">
      <w:pPr>
        <w:spacing w:before="120" w:after="120"/>
        <w:jc w:val="both"/>
        <w:rPr>
          <w:rFonts w:asciiTheme="minorHAnsi" w:hAnsiTheme="minorHAnsi" w:cstheme="minorHAnsi"/>
          <w:b/>
        </w:rPr>
      </w:pPr>
    </w:p>
    <w:p w:rsidR="00B051A5" w:rsidRPr="005F120D" w:rsidRDefault="00AF0841" w:rsidP="00B25E46">
      <w:pPr>
        <w:spacing w:before="120" w:after="120"/>
        <w:jc w:val="both"/>
        <w:rPr>
          <w:rFonts w:asciiTheme="minorHAnsi" w:hAnsiTheme="minorHAnsi" w:cstheme="minorHAnsi"/>
          <w:b/>
        </w:rPr>
      </w:pPr>
      <w:r w:rsidRPr="005F120D">
        <w:rPr>
          <w:rFonts w:asciiTheme="minorHAnsi" w:hAnsiTheme="minorHAnsi" w:cstheme="minorHAnsi"/>
          <w:b/>
        </w:rPr>
        <w:lastRenderedPageBreak/>
        <w:t>Progress as of March 2016</w:t>
      </w:r>
      <w:r w:rsidR="00B051A5" w:rsidRPr="005F120D">
        <w:rPr>
          <w:rFonts w:asciiTheme="minorHAnsi" w:hAnsiTheme="minorHAnsi" w:cstheme="minorHAnsi"/>
          <w:b/>
        </w:rPr>
        <w:t xml:space="preserve"> (main activities):</w:t>
      </w:r>
    </w:p>
    <w:tbl>
      <w:tblPr>
        <w:tblStyle w:val="TableGrid"/>
        <w:tblW w:w="5023" w:type="pct"/>
        <w:tblLook w:val="04A0"/>
      </w:tblPr>
      <w:tblGrid>
        <w:gridCol w:w="516"/>
        <w:gridCol w:w="2989"/>
        <w:gridCol w:w="933"/>
        <w:gridCol w:w="1700"/>
        <w:gridCol w:w="1261"/>
        <w:gridCol w:w="1889"/>
      </w:tblGrid>
      <w:tr w:rsidR="00B051A5" w:rsidRPr="005F120D" w:rsidTr="00AF0841">
        <w:trPr>
          <w:tblHeader/>
        </w:trPr>
        <w:tc>
          <w:tcPr>
            <w:tcW w:w="278" w:type="pct"/>
            <w:shd w:val="clear" w:color="auto" w:fill="EEECE1" w:themeFill="background2"/>
          </w:tcPr>
          <w:p w:rsidR="00B051A5" w:rsidRPr="005F120D" w:rsidRDefault="00B051A5" w:rsidP="00B25E46">
            <w:pPr>
              <w:pStyle w:val="NoSpacing"/>
              <w:jc w:val="both"/>
              <w:rPr>
                <w:rFonts w:asciiTheme="minorHAnsi" w:hAnsiTheme="minorHAnsi" w:cstheme="minorHAnsi"/>
                <w:b/>
                <w:sz w:val="18"/>
                <w:szCs w:val="18"/>
              </w:rPr>
            </w:pPr>
            <w:r w:rsidRPr="005F120D">
              <w:rPr>
                <w:rFonts w:asciiTheme="minorHAnsi" w:hAnsiTheme="minorHAnsi" w:cstheme="minorHAnsi"/>
                <w:b/>
                <w:sz w:val="18"/>
                <w:szCs w:val="18"/>
              </w:rPr>
              <w:t>SL.</w:t>
            </w:r>
          </w:p>
        </w:tc>
        <w:tc>
          <w:tcPr>
            <w:tcW w:w="1609" w:type="pct"/>
            <w:shd w:val="clear" w:color="auto" w:fill="EEECE1" w:themeFill="background2"/>
          </w:tcPr>
          <w:p w:rsidR="00B051A5" w:rsidRPr="005F120D" w:rsidRDefault="00B051A5" w:rsidP="00B25E46">
            <w:pPr>
              <w:pStyle w:val="NoSpacing"/>
              <w:jc w:val="center"/>
              <w:rPr>
                <w:rFonts w:asciiTheme="minorHAnsi" w:hAnsiTheme="minorHAnsi" w:cstheme="minorHAnsi"/>
                <w:b/>
                <w:sz w:val="18"/>
                <w:szCs w:val="18"/>
              </w:rPr>
            </w:pPr>
            <w:r w:rsidRPr="005F120D">
              <w:rPr>
                <w:rFonts w:asciiTheme="minorHAnsi" w:hAnsiTheme="minorHAnsi" w:cstheme="minorHAnsi"/>
                <w:b/>
                <w:sz w:val="18"/>
                <w:szCs w:val="18"/>
              </w:rPr>
              <w:t>Planned Activities</w:t>
            </w:r>
          </w:p>
        </w:tc>
        <w:tc>
          <w:tcPr>
            <w:tcW w:w="502" w:type="pct"/>
            <w:shd w:val="clear" w:color="auto" w:fill="EEECE1" w:themeFill="background2"/>
          </w:tcPr>
          <w:p w:rsidR="00B051A5" w:rsidRPr="005F120D" w:rsidRDefault="00B051A5" w:rsidP="00B25E46">
            <w:pPr>
              <w:pStyle w:val="NoSpacing"/>
              <w:jc w:val="center"/>
              <w:rPr>
                <w:rFonts w:asciiTheme="minorHAnsi" w:hAnsiTheme="minorHAnsi" w:cstheme="minorHAnsi"/>
                <w:b/>
                <w:sz w:val="18"/>
                <w:szCs w:val="18"/>
              </w:rPr>
            </w:pPr>
            <w:r w:rsidRPr="005F120D">
              <w:rPr>
                <w:rFonts w:asciiTheme="minorHAnsi" w:hAnsiTheme="minorHAnsi" w:cstheme="minorHAnsi"/>
                <w:b/>
                <w:sz w:val="18"/>
                <w:szCs w:val="18"/>
              </w:rPr>
              <w:t>FY</w:t>
            </w:r>
          </w:p>
        </w:tc>
        <w:tc>
          <w:tcPr>
            <w:tcW w:w="915" w:type="pct"/>
            <w:shd w:val="clear" w:color="auto" w:fill="EEECE1" w:themeFill="background2"/>
          </w:tcPr>
          <w:p w:rsidR="00B051A5" w:rsidRPr="005F120D" w:rsidRDefault="00B051A5" w:rsidP="00B25E46">
            <w:pPr>
              <w:pStyle w:val="NoSpacing"/>
              <w:jc w:val="center"/>
              <w:rPr>
                <w:rFonts w:asciiTheme="minorHAnsi" w:hAnsiTheme="minorHAnsi" w:cstheme="minorHAnsi"/>
                <w:b/>
                <w:sz w:val="18"/>
                <w:szCs w:val="18"/>
              </w:rPr>
            </w:pPr>
            <w:r w:rsidRPr="005F120D">
              <w:rPr>
                <w:rFonts w:asciiTheme="minorHAnsi" w:hAnsiTheme="minorHAnsi" w:cstheme="minorHAnsi"/>
                <w:b/>
                <w:sz w:val="18"/>
                <w:szCs w:val="18"/>
              </w:rPr>
              <w:t>Target</w:t>
            </w:r>
          </w:p>
          <w:p w:rsidR="00B051A5" w:rsidRPr="005F120D" w:rsidRDefault="00B051A5" w:rsidP="00B25E46">
            <w:pPr>
              <w:pStyle w:val="NoSpacing"/>
              <w:jc w:val="center"/>
              <w:rPr>
                <w:rFonts w:asciiTheme="minorHAnsi" w:hAnsiTheme="minorHAnsi" w:cstheme="minorHAnsi"/>
                <w:b/>
                <w:sz w:val="18"/>
                <w:szCs w:val="18"/>
              </w:rPr>
            </w:pPr>
            <w:r w:rsidRPr="005F120D">
              <w:rPr>
                <w:rFonts w:asciiTheme="minorHAnsi" w:hAnsiTheme="minorHAnsi" w:cstheme="minorHAnsi"/>
                <w:b/>
                <w:sz w:val="18"/>
                <w:szCs w:val="18"/>
              </w:rPr>
              <w:t>(Physical)</w:t>
            </w:r>
          </w:p>
        </w:tc>
        <w:tc>
          <w:tcPr>
            <w:tcW w:w="679" w:type="pct"/>
            <w:shd w:val="clear" w:color="auto" w:fill="EEECE1" w:themeFill="background2"/>
          </w:tcPr>
          <w:p w:rsidR="00B051A5" w:rsidRPr="005F120D" w:rsidRDefault="00B051A5" w:rsidP="00B25E46">
            <w:pPr>
              <w:pStyle w:val="NoSpacing"/>
              <w:jc w:val="center"/>
              <w:rPr>
                <w:rFonts w:asciiTheme="minorHAnsi" w:hAnsiTheme="minorHAnsi" w:cstheme="minorHAnsi"/>
                <w:b/>
                <w:sz w:val="18"/>
                <w:szCs w:val="18"/>
              </w:rPr>
            </w:pPr>
            <w:r w:rsidRPr="005F120D">
              <w:rPr>
                <w:rFonts w:asciiTheme="minorHAnsi" w:hAnsiTheme="minorHAnsi" w:cstheme="minorHAnsi"/>
                <w:b/>
                <w:sz w:val="18"/>
                <w:szCs w:val="18"/>
              </w:rPr>
              <w:t>Progress as of March 2015</w:t>
            </w:r>
          </w:p>
        </w:tc>
        <w:tc>
          <w:tcPr>
            <w:tcW w:w="1017" w:type="pct"/>
            <w:shd w:val="clear" w:color="auto" w:fill="EEECE1" w:themeFill="background2"/>
          </w:tcPr>
          <w:p w:rsidR="00B051A5" w:rsidRPr="005F120D" w:rsidRDefault="00B051A5" w:rsidP="00B25E46">
            <w:pPr>
              <w:pStyle w:val="NoSpacing"/>
              <w:jc w:val="center"/>
              <w:rPr>
                <w:rFonts w:asciiTheme="minorHAnsi" w:hAnsiTheme="minorHAnsi" w:cstheme="minorHAnsi"/>
                <w:b/>
                <w:sz w:val="18"/>
                <w:szCs w:val="18"/>
              </w:rPr>
            </w:pPr>
            <w:r w:rsidRPr="005F120D">
              <w:rPr>
                <w:rFonts w:asciiTheme="minorHAnsi" w:hAnsiTheme="minorHAnsi" w:cstheme="minorHAnsi"/>
                <w:b/>
                <w:sz w:val="18"/>
                <w:szCs w:val="18"/>
              </w:rPr>
              <w:t>Remarks</w:t>
            </w:r>
          </w:p>
        </w:tc>
      </w:tr>
      <w:tr w:rsidR="00B051A5" w:rsidRPr="005F120D" w:rsidTr="00865E88">
        <w:tc>
          <w:tcPr>
            <w:tcW w:w="278" w:type="pct"/>
          </w:tcPr>
          <w:p w:rsidR="00B051A5" w:rsidRPr="005F120D" w:rsidRDefault="00B051A5" w:rsidP="00B25E46">
            <w:pPr>
              <w:pStyle w:val="NoSpacing"/>
              <w:jc w:val="both"/>
              <w:rPr>
                <w:rFonts w:asciiTheme="minorHAnsi" w:hAnsiTheme="minorHAnsi" w:cstheme="minorHAnsi"/>
                <w:sz w:val="18"/>
                <w:szCs w:val="18"/>
              </w:rPr>
            </w:pPr>
            <w:r w:rsidRPr="005F120D">
              <w:rPr>
                <w:rFonts w:asciiTheme="minorHAnsi" w:hAnsiTheme="minorHAnsi" w:cstheme="minorHAnsi"/>
                <w:sz w:val="18"/>
                <w:szCs w:val="18"/>
              </w:rPr>
              <w:t>1</w:t>
            </w:r>
          </w:p>
        </w:tc>
        <w:tc>
          <w:tcPr>
            <w:tcW w:w="160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Production, delivery and distribution of 30,700 MT biscuits  to 28,18,808 children of project areas</w:t>
            </w:r>
          </w:p>
        </w:tc>
        <w:tc>
          <w:tcPr>
            <w:tcW w:w="502"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2014-15</w:t>
            </w:r>
          </w:p>
        </w:tc>
        <w:tc>
          <w:tcPr>
            <w:tcW w:w="915"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30,700 MT biscuits</w:t>
            </w:r>
          </w:p>
        </w:tc>
        <w:tc>
          <w:tcPr>
            <w:tcW w:w="67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30,700 MT biscuits</w:t>
            </w:r>
          </w:p>
        </w:tc>
        <w:tc>
          <w:tcPr>
            <w:tcW w:w="1017"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Delivery ongoing to the School Level of Project areas</w:t>
            </w:r>
          </w:p>
        </w:tc>
      </w:tr>
      <w:tr w:rsidR="00B051A5" w:rsidRPr="005F120D" w:rsidTr="00865E88">
        <w:tc>
          <w:tcPr>
            <w:tcW w:w="278" w:type="pct"/>
          </w:tcPr>
          <w:p w:rsidR="00B051A5" w:rsidRPr="005F120D" w:rsidRDefault="00B051A5" w:rsidP="00B25E46">
            <w:pPr>
              <w:pStyle w:val="NoSpacing"/>
              <w:jc w:val="both"/>
              <w:rPr>
                <w:rFonts w:asciiTheme="minorHAnsi" w:hAnsiTheme="minorHAnsi" w:cstheme="minorHAnsi"/>
                <w:sz w:val="18"/>
                <w:szCs w:val="18"/>
              </w:rPr>
            </w:pPr>
            <w:r w:rsidRPr="005F120D">
              <w:rPr>
                <w:rFonts w:asciiTheme="minorHAnsi" w:hAnsiTheme="minorHAnsi" w:cstheme="minorHAnsi"/>
                <w:sz w:val="18"/>
                <w:szCs w:val="18"/>
              </w:rPr>
              <w:t>2</w:t>
            </w:r>
          </w:p>
        </w:tc>
        <w:tc>
          <w:tcPr>
            <w:tcW w:w="160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NGO assessment to be engaged for SF implementation in 2015 for 19 Upazilas under 10 </w:t>
            </w:r>
            <w:r w:rsidR="00A61F5E" w:rsidRPr="005F120D">
              <w:rPr>
                <w:rFonts w:asciiTheme="minorHAnsi" w:hAnsiTheme="minorHAnsi" w:cstheme="minorHAnsi"/>
                <w:sz w:val="18"/>
                <w:szCs w:val="18"/>
              </w:rPr>
              <w:t>districts</w:t>
            </w:r>
            <w:r w:rsidR="00DE3015" w:rsidRPr="005F120D">
              <w:rPr>
                <w:rFonts w:asciiTheme="minorHAnsi" w:hAnsiTheme="minorHAnsi" w:cstheme="minorHAnsi"/>
                <w:sz w:val="18"/>
                <w:szCs w:val="18"/>
              </w:rPr>
              <w:t xml:space="preserve"> and p</w:t>
            </w:r>
            <w:r w:rsidRPr="005F120D">
              <w:rPr>
                <w:rFonts w:asciiTheme="minorHAnsi" w:hAnsiTheme="minorHAnsi" w:cstheme="minorHAnsi"/>
                <w:sz w:val="18"/>
                <w:szCs w:val="18"/>
              </w:rPr>
              <w:t>repare agreement and finalize signing with the NGOs for 2015</w:t>
            </w:r>
          </w:p>
        </w:tc>
        <w:tc>
          <w:tcPr>
            <w:tcW w:w="502"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2014-15</w:t>
            </w:r>
          </w:p>
        </w:tc>
        <w:tc>
          <w:tcPr>
            <w:tcW w:w="915"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19 Upazilas under 10 districts</w:t>
            </w:r>
          </w:p>
          <w:p w:rsidR="00B051A5" w:rsidRPr="005F120D" w:rsidRDefault="00B051A5" w:rsidP="00B25E46">
            <w:pPr>
              <w:pStyle w:val="NoSpacing"/>
              <w:rPr>
                <w:rFonts w:asciiTheme="minorHAnsi" w:hAnsiTheme="minorHAnsi" w:cstheme="minorHAnsi"/>
                <w:sz w:val="18"/>
                <w:szCs w:val="18"/>
              </w:rPr>
            </w:pPr>
          </w:p>
        </w:tc>
        <w:tc>
          <w:tcPr>
            <w:tcW w:w="67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19 Upazilas under 10 districts</w:t>
            </w:r>
          </w:p>
          <w:p w:rsidR="00B051A5" w:rsidRPr="005F120D" w:rsidRDefault="00B051A5" w:rsidP="00B25E46">
            <w:pPr>
              <w:pStyle w:val="NoSpacing"/>
              <w:rPr>
                <w:rFonts w:asciiTheme="minorHAnsi" w:hAnsiTheme="minorHAnsi" w:cstheme="minorHAnsi"/>
                <w:sz w:val="18"/>
                <w:szCs w:val="18"/>
              </w:rPr>
            </w:pPr>
          </w:p>
        </w:tc>
        <w:tc>
          <w:tcPr>
            <w:tcW w:w="1017"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Handed over from WFP -14 Upazila</w:t>
            </w:r>
          </w:p>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New Upazila-05 (as per the provision of RDPP-2</w:t>
            </w:r>
            <w:r w:rsidRPr="005F120D">
              <w:rPr>
                <w:rFonts w:asciiTheme="minorHAnsi" w:hAnsiTheme="minorHAnsi" w:cstheme="minorHAnsi"/>
                <w:sz w:val="18"/>
                <w:szCs w:val="18"/>
                <w:vertAlign w:val="superscript"/>
              </w:rPr>
              <w:t>nd</w:t>
            </w:r>
            <w:r w:rsidRPr="005F120D">
              <w:rPr>
                <w:rFonts w:asciiTheme="minorHAnsi" w:hAnsiTheme="minorHAnsi" w:cstheme="minorHAnsi"/>
                <w:sz w:val="18"/>
                <w:szCs w:val="18"/>
              </w:rPr>
              <w:t xml:space="preserve"> revised)</w:t>
            </w:r>
          </w:p>
        </w:tc>
      </w:tr>
      <w:tr w:rsidR="00B051A5" w:rsidRPr="005F120D" w:rsidTr="00865E88">
        <w:trPr>
          <w:trHeight w:val="1079"/>
        </w:trPr>
        <w:tc>
          <w:tcPr>
            <w:tcW w:w="278" w:type="pct"/>
          </w:tcPr>
          <w:p w:rsidR="00B051A5" w:rsidRPr="005F120D" w:rsidRDefault="00B051A5" w:rsidP="00B25E46">
            <w:pPr>
              <w:pStyle w:val="NoSpacing"/>
              <w:jc w:val="both"/>
              <w:rPr>
                <w:rFonts w:asciiTheme="minorHAnsi" w:hAnsiTheme="minorHAnsi" w:cstheme="minorHAnsi"/>
                <w:sz w:val="18"/>
                <w:szCs w:val="18"/>
              </w:rPr>
            </w:pPr>
            <w:r w:rsidRPr="005F120D">
              <w:rPr>
                <w:rFonts w:asciiTheme="minorHAnsi" w:hAnsiTheme="minorHAnsi" w:cstheme="minorHAnsi"/>
                <w:sz w:val="18"/>
                <w:szCs w:val="18"/>
              </w:rPr>
              <w:t>3</w:t>
            </w:r>
          </w:p>
        </w:tc>
        <w:tc>
          <w:tcPr>
            <w:tcW w:w="160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Printing and distribution of reporting formats </w:t>
            </w:r>
          </w:p>
          <w:p w:rsidR="00B051A5" w:rsidRPr="005F120D" w:rsidRDefault="00DE301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No. of </w:t>
            </w:r>
            <w:r w:rsidR="00FA52D6" w:rsidRPr="005F120D">
              <w:rPr>
                <w:rFonts w:asciiTheme="minorHAnsi" w:hAnsiTheme="minorHAnsi" w:cstheme="minorHAnsi"/>
                <w:sz w:val="18"/>
                <w:szCs w:val="18"/>
              </w:rPr>
              <w:t>Daily Attendance Car</w:t>
            </w:r>
            <w:r w:rsidRPr="005F120D">
              <w:rPr>
                <w:rFonts w:asciiTheme="minorHAnsi" w:hAnsiTheme="minorHAnsi" w:cstheme="minorHAnsi"/>
                <w:sz w:val="18"/>
                <w:szCs w:val="18"/>
              </w:rPr>
              <w:t xml:space="preserve">ds - </w:t>
            </w:r>
            <w:r w:rsidR="00FA52D6" w:rsidRPr="005F120D">
              <w:rPr>
                <w:rFonts w:asciiTheme="minorHAnsi" w:hAnsiTheme="minorHAnsi" w:cstheme="minorHAnsi"/>
                <w:sz w:val="18"/>
                <w:szCs w:val="18"/>
              </w:rPr>
              <w:t xml:space="preserve"> 6</w:t>
            </w:r>
            <w:r w:rsidRPr="005F120D">
              <w:rPr>
                <w:rFonts w:asciiTheme="minorHAnsi" w:hAnsiTheme="minorHAnsi" w:cstheme="minorHAnsi"/>
                <w:sz w:val="18"/>
                <w:szCs w:val="18"/>
              </w:rPr>
              <w:t>45,000</w:t>
            </w:r>
            <w:r w:rsidR="00B051A5" w:rsidRPr="005F120D">
              <w:rPr>
                <w:rFonts w:asciiTheme="minorHAnsi" w:hAnsiTheme="minorHAnsi" w:cstheme="minorHAnsi"/>
                <w:sz w:val="18"/>
                <w:szCs w:val="18"/>
              </w:rPr>
              <w:t>.</w:t>
            </w:r>
          </w:p>
          <w:p w:rsidR="00DE3015" w:rsidRPr="005F120D" w:rsidRDefault="00DE301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No. of </w:t>
            </w:r>
            <w:r w:rsidR="00B051A5" w:rsidRPr="005F120D">
              <w:rPr>
                <w:rFonts w:asciiTheme="minorHAnsi" w:hAnsiTheme="minorHAnsi" w:cstheme="minorHAnsi"/>
                <w:sz w:val="18"/>
                <w:szCs w:val="18"/>
              </w:rPr>
              <w:t>Monthl</w:t>
            </w:r>
            <w:r w:rsidRPr="005F120D">
              <w:rPr>
                <w:rFonts w:asciiTheme="minorHAnsi" w:hAnsiTheme="minorHAnsi" w:cstheme="minorHAnsi"/>
                <w:sz w:val="18"/>
                <w:szCs w:val="18"/>
              </w:rPr>
              <w:t xml:space="preserve">y Utilization Report -1,20,00 </w:t>
            </w:r>
          </w:p>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70,00 sets</w:t>
            </w:r>
            <w:r w:rsidR="00DE3015" w:rsidRPr="005F120D">
              <w:rPr>
                <w:rFonts w:asciiTheme="minorHAnsi" w:hAnsiTheme="minorHAnsi" w:cstheme="minorHAnsi"/>
                <w:sz w:val="18"/>
                <w:szCs w:val="18"/>
              </w:rPr>
              <w:t xml:space="preserve"> of  Way Bills </w:t>
            </w:r>
          </w:p>
        </w:tc>
        <w:tc>
          <w:tcPr>
            <w:tcW w:w="502"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2014-15</w:t>
            </w:r>
          </w:p>
        </w:tc>
        <w:tc>
          <w:tcPr>
            <w:tcW w:w="915" w:type="pct"/>
          </w:tcPr>
          <w:p w:rsidR="00B051A5" w:rsidRPr="005F120D" w:rsidRDefault="00DE301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No. of </w:t>
            </w:r>
            <w:r w:rsidR="00FA52D6" w:rsidRPr="005F120D">
              <w:rPr>
                <w:rFonts w:asciiTheme="minorHAnsi" w:hAnsiTheme="minorHAnsi" w:cstheme="minorHAnsi"/>
                <w:sz w:val="18"/>
                <w:szCs w:val="18"/>
              </w:rPr>
              <w:t>Daily Attendance Card</w:t>
            </w:r>
            <w:r w:rsidRPr="005F120D">
              <w:rPr>
                <w:rFonts w:asciiTheme="minorHAnsi" w:hAnsiTheme="minorHAnsi" w:cstheme="minorHAnsi"/>
                <w:sz w:val="18"/>
                <w:szCs w:val="18"/>
              </w:rPr>
              <w:t>s -</w:t>
            </w:r>
            <w:r w:rsidR="00FA52D6" w:rsidRPr="005F120D">
              <w:rPr>
                <w:rFonts w:asciiTheme="minorHAnsi" w:hAnsiTheme="minorHAnsi" w:cstheme="minorHAnsi"/>
                <w:sz w:val="18"/>
                <w:szCs w:val="18"/>
              </w:rPr>
              <w:t xml:space="preserve"> 6</w:t>
            </w:r>
            <w:r w:rsidRPr="005F120D">
              <w:rPr>
                <w:rFonts w:asciiTheme="minorHAnsi" w:hAnsiTheme="minorHAnsi" w:cstheme="minorHAnsi"/>
                <w:sz w:val="18"/>
                <w:szCs w:val="18"/>
              </w:rPr>
              <w:t>45,000</w:t>
            </w:r>
          </w:p>
          <w:p w:rsidR="00B051A5" w:rsidRPr="005F120D" w:rsidRDefault="00DE301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No. of </w:t>
            </w:r>
            <w:r w:rsidR="00B051A5" w:rsidRPr="005F120D">
              <w:rPr>
                <w:rFonts w:asciiTheme="minorHAnsi" w:hAnsiTheme="minorHAnsi" w:cstheme="minorHAnsi"/>
                <w:sz w:val="18"/>
                <w:szCs w:val="18"/>
              </w:rPr>
              <w:t>Monthl</w:t>
            </w:r>
            <w:r w:rsidR="00FA52D6" w:rsidRPr="005F120D">
              <w:rPr>
                <w:rFonts w:asciiTheme="minorHAnsi" w:hAnsiTheme="minorHAnsi" w:cstheme="minorHAnsi"/>
                <w:sz w:val="18"/>
                <w:szCs w:val="18"/>
              </w:rPr>
              <w:t>y Utilization Repor</w:t>
            </w:r>
            <w:r w:rsidRPr="005F120D">
              <w:rPr>
                <w:rFonts w:asciiTheme="minorHAnsi" w:hAnsiTheme="minorHAnsi" w:cstheme="minorHAnsi"/>
                <w:sz w:val="18"/>
                <w:szCs w:val="18"/>
              </w:rPr>
              <w:t xml:space="preserve">ts </w:t>
            </w:r>
            <w:r w:rsidR="00FA52D6" w:rsidRPr="005F120D">
              <w:rPr>
                <w:rFonts w:asciiTheme="minorHAnsi" w:hAnsiTheme="minorHAnsi" w:cstheme="minorHAnsi"/>
                <w:sz w:val="18"/>
                <w:szCs w:val="18"/>
              </w:rPr>
              <w:t>-12,0</w:t>
            </w:r>
            <w:r w:rsidRPr="005F120D">
              <w:rPr>
                <w:rFonts w:asciiTheme="minorHAnsi" w:hAnsiTheme="minorHAnsi" w:cstheme="minorHAnsi"/>
                <w:sz w:val="18"/>
                <w:szCs w:val="18"/>
              </w:rPr>
              <w:t xml:space="preserve">00 </w:t>
            </w:r>
          </w:p>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 xml:space="preserve"> 70,00 sets</w:t>
            </w:r>
            <w:r w:rsidR="00DE3015" w:rsidRPr="005F120D">
              <w:rPr>
                <w:rFonts w:asciiTheme="minorHAnsi" w:hAnsiTheme="minorHAnsi" w:cstheme="minorHAnsi"/>
                <w:sz w:val="18"/>
                <w:szCs w:val="18"/>
              </w:rPr>
              <w:t xml:space="preserve"> of Way Bills</w:t>
            </w:r>
          </w:p>
        </w:tc>
        <w:tc>
          <w:tcPr>
            <w:tcW w:w="679" w:type="pct"/>
          </w:tcPr>
          <w:p w:rsidR="00B051A5" w:rsidRPr="005F120D" w:rsidRDefault="00FA52D6"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Daily Attendance Card 6</w:t>
            </w:r>
            <w:r w:rsidR="00B051A5" w:rsidRPr="005F120D">
              <w:rPr>
                <w:rFonts w:asciiTheme="minorHAnsi" w:hAnsiTheme="minorHAnsi" w:cstheme="minorHAnsi"/>
                <w:sz w:val="18"/>
                <w:szCs w:val="18"/>
              </w:rPr>
              <w:t>45,000 no.</w:t>
            </w:r>
          </w:p>
          <w:p w:rsidR="00B051A5" w:rsidRPr="005F120D" w:rsidRDefault="00B051A5" w:rsidP="00B25E46">
            <w:pPr>
              <w:pStyle w:val="NoSpacing"/>
              <w:rPr>
                <w:rFonts w:asciiTheme="minorHAnsi" w:hAnsiTheme="minorHAnsi" w:cstheme="minorHAnsi"/>
                <w:sz w:val="18"/>
                <w:szCs w:val="18"/>
              </w:rPr>
            </w:pPr>
          </w:p>
        </w:tc>
        <w:tc>
          <w:tcPr>
            <w:tcW w:w="1017" w:type="pct"/>
          </w:tcPr>
          <w:p w:rsidR="00B051A5" w:rsidRPr="005F120D" w:rsidRDefault="00B051A5" w:rsidP="00B25E46">
            <w:pPr>
              <w:pStyle w:val="NoSpacing"/>
              <w:rPr>
                <w:rFonts w:asciiTheme="minorHAnsi" w:hAnsiTheme="minorHAnsi" w:cstheme="minorHAnsi"/>
                <w:sz w:val="18"/>
                <w:szCs w:val="18"/>
              </w:rPr>
            </w:pPr>
          </w:p>
        </w:tc>
      </w:tr>
      <w:tr w:rsidR="00B051A5" w:rsidRPr="005F120D" w:rsidTr="00865E88">
        <w:tc>
          <w:tcPr>
            <w:tcW w:w="278" w:type="pct"/>
          </w:tcPr>
          <w:p w:rsidR="00B051A5" w:rsidRPr="005F120D" w:rsidRDefault="00B051A5" w:rsidP="00B25E46">
            <w:pPr>
              <w:pStyle w:val="NoSpacing"/>
              <w:jc w:val="both"/>
              <w:rPr>
                <w:rFonts w:asciiTheme="minorHAnsi" w:hAnsiTheme="minorHAnsi" w:cstheme="minorHAnsi"/>
                <w:sz w:val="18"/>
                <w:szCs w:val="18"/>
              </w:rPr>
            </w:pPr>
            <w:r w:rsidRPr="005F120D">
              <w:rPr>
                <w:rFonts w:asciiTheme="minorHAnsi" w:hAnsiTheme="minorHAnsi" w:cstheme="minorHAnsi"/>
                <w:sz w:val="18"/>
                <w:szCs w:val="18"/>
              </w:rPr>
              <w:t>4</w:t>
            </w:r>
          </w:p>
        </w:tc>
        <w:tc>
          <w:tcPr>
            <w:tcW w:w="160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Organize SFP monthly meeting</w:t>
            </w:r>
            <w:r w:rsidR="00DE3015" w:rsidRPr="005F120D">
              <w:rPr>
                <w:rFonts w:asciiTheme="minorHAnsi" w:hAnsiTheme="minorHAnsi" w:cstheme="minorHAnsi"/>
                <w:sz w:val="18"/>
                <w:szCs w:val="18"/>
              </w:rPr>
              <w:t>s</w:t>
            </w:r>
            <w:r w:rsidRPr="005F120D">
              <w:rPr>
                <w:rFonts w:asciiTheme="minorHAnsi" w:hAnsiTheme="minorHAnsi" w:cstheme="minorHAnsi"/>
                <w:sz w:val="18"/>
                <w:szCs w:val="18"/>
              </w:rPr>
              <w:t xml:space="preserve"> and Project Steering Committee meetings to review progress</w:t>
            </w:r>
          </w:p>
        </w:tc>
        <w:tc>
          <w:tcPr>
            <w:tcW w:w="502"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2014-15</w:t>
            </w:r>
          </w:p>
        </w:tc>
        <w:tc>
          <w:tcPr>
            <w:tcW w:w="915"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PIC-6</w:t>
            </w:r>
          </w:p>
          <w:p w:rsidR="00B051A5" w:rsidRPr="005F120D" w:rsidRDefault="00B051A5" w:rsidP="00DE3015">
            <w:pPr>
              <w:pStyle w:val="NoSpacing"/>
              <w:rPr>
                <w:rFonts w:asciiTheme="minorHAnsi" w:hAnsiTheme="minorHAnsi" w:cstheme="minorHAnsi"/>
                <w:sz w:val="18"/>
                <w:szCs w:val="18"/>
              </w:rPr>
            </w:pPr>
            <w:r w:rsidRPr="005F120D">
              <w:rPr>
                <w:rFonts w:asciiTheme="minorHAnsi" w:hAnsiTheme="minorHAnsi" w:cstheme="minorHAnsi"/>
                <w:sz w:val="18"/>
                <w:szCs w:val="18"/>
              </w:rPr>
              <w:t>PSC-</w:t>
            </w:r>
            <w:r w:rsidR="00DE3015" w:rsidRPr="005F120D">
              <w:rPr>
                <w:rFonts w:asciiTheme="minorHAnsi" w:hAnsiTheme="minorHAnsi" w:cstheme="minorHAnsi"/>
                <w:sz w:val="18"/>
                <w:szCs w:val="18"/>
              </w:rPr>
              <w:t xml:space="preserve"> a</w:t>
            </w:r>
            <w:r w:rsidRPr="005F120D">
              <w:rPr>
                <w:rFonts w:asciiTheme="minorHAnsi" w:hAnsiTheme="minorHAnsi" w:cstheme="minorHAnsi"/>
                <w:sz w:val="18"/>
                <w:szCs w:val="18"/>
              </w:rPr>
              <w:t xml:space="preserve">s and </w:t>
            </w:r>
            <w:r w:rsidR="00DE3015" w:rsidRPr="005F120D">
              <w:rPr>
                <w:rFonts w:asciiTheme="minorHAnsi" w:hAnsiTheme="minorHAnsi" w:cstheme="minorHAnsi"/>
                <w:sz w:val="18"/>
                <w:szCs w:val="18"/>
              </w:rPr>
              <w:t>w</w:t>
            </w:r>
            <w:r w:rsidRPr="005F120D">
              <w:rPr>
                <w:rFonts w:asciiTheme="minorHAnsi" w:hAnsiTheme="minorHAnsi" w:cstheme="minorHAnsi"/>
                <w:sz w:val="18"/>
                <w:szCs w:val="18"/>
              </w:rPr>
              <w:t>hen required</w:t>
            </w:r>
          </w:p>
        </w:tc>
        <w:tc>
          <w:tcPr>
            <w:tcW w:w="67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PIC-3</w:t>
            </w:r>
          </w:p>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PSC-3</w:t>
            </w:r>
          </w:p>
        </w:tc>
        <w:tc>
          <w:tcPr>
            <w:tcW w:w="1017" w:type="pct"/>
          </w:tcPr>
          <w:p w:rsidR="00B051A5" w:rsidRPr="005F120D" w:rsidRDefault="00B051A5" w:rsidP="00B25E46">
            <w:pPr>
              <w:pStyle w:val="NoSpacing"/>
              <w:rPr>
                <w:rFonts w:asciiTheme="minorHAnsi" w:hAnsiTheme="minorHAnsi" w:cstheme="minorHAnsi"/>
                <w:sz w:val="18"/>
                <w:szCs w:val="18"/>
              </w:rPr>
            </w:pPr>
          </w:p>
        </w:tc>
      </w:tr>
      <w:tr w:rsidR="00B051A5" w:rsidRPr="005F120D" w:rsidTr="00865E88">
        <w:trPr>
          <w:trHeight w:val="197"/>
        </w:trPr>
        <w:tc>
          <w:tcPr>
            <w:tcW w:w="278" w:type="pct"/>
          </w:tcPr>
          <w:p w:rsidR="00B051A5" w:rsidRPr="005F120D" w:rsidRDefault="00B051A5" w:rsidP="00B25E46">
            <w:pPr>
              <w:pStyle w:val="NoSpacing"/>
              <w:jc w:val="both"/>
              <w:rPr>
                <w:rFonts w:asciiTheme="minorHAnsi" w:hAnsiTheme="minorHAnsi" w:cstheme="minorHAnsi"/>
                <w:sz w:val="18"/>
                <w:szCs w:val="18"/>
              </w:rPr>
            </w:pPr>
            <w:r w:rsidRPr="005F120D">
              <w:rPr>
                <w:rFonts w:asciiTheme="minorHAnsi" w:hAnsiTheme="minorHAnsi" w:cstheme="minorHAnsi"/>
                <w:sz w:val="18"/>
                <w:szCs w:val="18"/>
              </w:rPr>
              <w:t>5</w:t>
            </w:r>
          </w:p>
        </w:tc>
        <w:tc>
          <w:tcPr>
            <w:tcW w:w="160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Organize SF design competition 2015</w:t>
            </w:r>
          </w:p>
        </w:tc>
        <w:tc>
          <w:tcPr>
            <w:tcW w:w="502" w:type="pct"/>
          </w:tcPr>
          <w:p w:rsidR="00B051A5" w:rsidRPr="005F120D" w:rsidRDefault="00B051A5" w:rsidP="00B25E46">
            <w:pPr>
              <w:pStyle w:val="NoSpacing"/>
              <w:rPr>
                <w:rFonts w:asciiTheme="minorHAnsi" w:hAnsiTheme="minorHAnsi" w:cstheme="minorHAnsi"/>
                <w:sz w:val="18"/>
                <w:szCs w:val="18"/>
              </w:rPr>
            </w:pPr>
          </w:p>
        </w:tc>
        <w:tc>
          <w:tcPr>
            <w:tcW w:w="915" w:type="pct"/>
          </w:tcPr>
          <w:p w:rsidR="00B051A5" w:rsidRPr="005F120D" w:rsidRDefault="00B051A5" w:rsidP="00B25E46">
            <w:pPr>
              <w:pStyle w:val="NoSpacing"/>
              <w:rPr>
                <w:rFonts w:asciiTheme="minorHAnsi" w:hAnsiTheme="minorHAnsi" w:cstheme="minorHAnsi"/>
                <w:sz w:val="18"/>
                <w:szCs w:val="18"/>
              </w:rPr>
            </w:pPr>
          </w:p>
        </w:tc>
        <w:tc>
          <w:tcPr>
            <w:tcW w:w="67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Completed</w:t>
            </w:r>
          </w:p>
        </w:tc>
        <w:tc>
          <w:tcPr>
            <w:tcW w:w="1017" w:type="pct"/>
          </w:tcPr>
          <w:p w:rsidR="00B051A5" w:rsidRPr="005F120D" w:rsidRDefault="00B051A5" w:rsidP="00B25E46">
            <w:pPr>
              <w:pStyle w:val="NoSpacing"/>
              <w:rPr>
                <w:rFonts w:asciiTheme="minorHAnsi" w:hAnsiTheme="minorHAnsi" w:cstheme="minorHAnsi"/>
                <w:sz w:val="18"/>
                <w:szCs w:val="18"/>
              </w:rPr>
            </w:pPr>
          </w:p>
        </w:tc>
      </w:tr>
      <w:tr w:rsidR="00B051A5" w:rsidRPr="005F120D" w:rsidTr="00865E88">
        <w:tc>
          <w:tcPr>
            <w:tcW w:w="278" w:type="pct"/>
          </w:tcPr>
          <w:p w:rsidR="00B051A5" w:rsidRPr="005F120D" w:rsidRDefault="00B051A5" w:rsidP="00B25E46">
            <w:pPr>
              <w:pStyle w:val="NoSpacing"/>
              <w:jc w:val="both"/>
              <w:rPr>
                <w:rFonts w:asciiTheme="minorHAnsi" w:hAnsiTheme="minorHAnsi" w:cstheme="minorHAnsi"/>
                <w:sz w:val="18"/>
                <w:szCs w:val="18"/>
              </w:rPr>
            </w:pPr>
            <w:r w:rsidRPr="005F120D">
              <w:rPr>
                <w:rFonts w:asciiTheme="minorHAnsi" w:hAnsiTheme="minorHAnsi" w:cstheme="minorHAnsi"/>
                <w:sz w:val="18"/>
                <w:szCs w:val="18"/>
              </w:rPr>
              <w:t>6</w:t>
            </w:r>
          </w:p>
        </w:tc>
        <w:tc>
          <w:tcPr>
            <w:tcW w:w="160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Provide School Meals (school snack) to 25,000 children</w:t>
            </w:r>
          </w:p>
        </w:tc>
        <w:tc>
          <w:tcPr>
            <w:tcW w:w="502" w:type="pct"/>
          </w:tcPr>
          <w:p w:rsidR="00B051A5" w:rsidRPr="005F120D" w:rsidRDefault="00B051A5" w:rsidP="00B25E46">
            <w:pPr>
              <w:pStyle w:val="NoSpacing"/>
              <w:rPr>
                <w:rFonts w:asciiTheme="minorHAnsi" w:hAnsiTheme="minorHAnsi" w:cstheme="minorHAnsi"/>
                <w:sz w:val="18"/>
                <w:szCs w:val="18"/>
              </w:rPr>
            </w:pPr>
          </w:p>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2014-15</w:t>
            </w:r>
          </w:p>
        </w:tc>
        <w:tc>
          <w:tcPr>
            <w:tcW w:w="915"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25,000 children</w:t>
            </w:r>
          </w:p>
        </w:tc>
        <w:tc>
          <w:tcPr>
            <w:tcW w:w="679" w:type="pct"/>
          </w:tcPr>
          <w:p w:rsidR="00B051A5" w:rsidRPr="005F120D" w:rsidRDefault="00B051A5" w:rsidP="00B25E46">
            <w:pPr>
              <w:pStyle w:val="NoSpacing"/>
              <w:rPr>
                <w:rFonts w:asciiTheme="minorHAnsi" w:hAnsiTheme="minorHAnsi" w:cstheme="minorHAnsi"/>
                <w:sz w:val="18"/>
                <w:szCs w:val="18"/>
              </w:rPr>
            </w:pPr>
            <w:r w:rsidRPr="005F120D">
              <w:rPr>
                <w:rFonts w:asciiTheme="minorHAnsi" w:hAnsiTheme="minorHAnsi" w:cstheme="minorHAnsi"/>
                <w:sz w:val="18"/>
                <w:szCs w:val="18"/>
              </w:rPr>
              <w:t>25,000 children</w:t>
            </w:r>
          </w:p>
        </w:tc>
        <w:tc>
          <w:tcPr>
            <w:tcW w:w="1017" w:type="pct"/>
          </w:tcPr>
          <w:p w:rsidR="00B051A5" w:rsidRPr="005F120D" w:rsidRDefault="00B051A5" w:rsidP="00B25E46">
            <w:pPr>
              <w:pStyle w:val="NoSpacing"/>
              <w:rPr>
                <w:rFonts w:asciiTheme="minorHAnsi" w:hAnsiTheme="minorHAnsi" w:cstheme="minorHAnsi"/>
                <w:sz w:val="18"/>
                <w:szCs w:val="18"/>
              </w:rPr>
            </w:pPr>
          </w:p>
        </w:tc>
      </w:tr>
    </w:tbl>
    <w:p w:rsidR="006F55AA" w:rsidRPr="005F120D" w:rsidRDefault="006F55AA" w:rsidP="00B25E46">
      <w:pPr>
        <w:pStyle w:val="BodyText1"/>
        <w:spacing w:after="0" w:line="240" w:lineRule="auto"/>
        <w:jc w:val="both"/>
        <w:rPr>
          <w:rFonts w:asciiTheme="minorHAnsi" w:hAnsiTheme="minorHAnsi" w:cstheme="minorHAnsi"/>
          <w:sz w:val="20"/>
          <w:szCs w:val="20"/>
        </w:rPr>
      </w:pPr>
    </w:p>
    <w:p w:rsidR="006F55AA" w:rsidRPr="005F120D" w:rsidRDefault="006F55AA" w:rsidP="00B25E46">
      <w:pPr>
        <w:pStyle w:val="BodyText1"/>
        <w:spacing w:after="0" w:line="240" w:lineRule="auto"/>
        <w:jc w:val="both"/>
        <w:rPr>
          <w:rFonts w:asciiTheme="minorHAnsi" w:hAnsiTheme="minorHAnsi" w:cstheme="minorHAnsi"/>
          <w:sz w:val="20"/>
          <w:szCs w:val="20"/>
        </w:rPr>
      </w:pPr>
    </w:p>
    <w:p w:rsidR="00163D7E" w:rsidRPr="005F120D" w:rsidRDefault="00C42D21" w:rsidP="00B25E46">
      <w:pPr>
        <w:pStyle w:val="BodyText1"/>
        <w:spacing w:after="0" w:line="240" w:lineRule="auto"/>
        <w:jc w:val="both"/>
        <w:rPr>
          <w:rFonts w:asciiTheme="minorHAnsi" w:hAnsiTheme="minorHAnsi" w:cstheme="minorHAnsi"/>
          <w:sz w:val="20"/>
          <w:szCs w:val="20"/>
        </w:rPr>
      </w:pPr>
      <w:r w:rsidRPr="005F120D">
        <w:rPr>
          <w:rFonts w:asciiTheme="minorHAnsi" w:hAnsiTheme="minorHAnsi" w:cstheme="minorHAnsi"/>
          <w:sz w:val="20"/>
          <w:szCs w:val="20"/>
        </w:rPr>
        <w:t xml:space="preserve">Total </w:t>
      </w:r>
      <w:r w:rsidR="00163D7E" w:rsidRPr="005F120D">
        <w:rPr>
          <w:rFonts w:asciiTheme="minorHAnsi" w:hAnsiTheme="minorHAnsi" w:cstheme="minorHAnsi"/>
          <w:sz w:val="20"/>
          <w:szCs w:val="20"/>
        </w:rPr>
        <w:t xml:space="preserve">Implementation Cost in </w:t>
      </w:r>
      <w:r w:rsidR="00F738CE" w:rsidRPr="005F120D">
        <w:rPr>
          <w:rFonts w:asciiTheme="minorHAnsi" w:hAnsiTheme="minorHAnsi" w:cstheme="minorHAnsi"/>
          <w:sz w:val="20"/>
          <w:szCs w:val="20"/>
        </w:rPr>
        <w:t>lac</w:t>
      </w:r>
      <w:r w:rsidR="00163D7E" w:rsidRPr="005F120D">
        <w:rPr>
          <w:rFonts w:asciiTheme="minorHAnsi" w:hAnsiTheme="minorHAnsi" w:cstheme="minorHAnsi"/>
          <w:sz w:val="20"/>
          <w:szCs w:val="20"/>
        </w:rPr>
        <w:t xml:space="preserve"> Taka</w:t>
      </w:r>
      <w:r w:rsidR="00981BDB" w:rsidRPr="005F120D">
        <w:rPr>
          <w:rFonts w:asciiTheme="minorHAnsi" w:hAnsiTheme="minorHAnsi" w:cstheme="minorHAnsi"/>
          <w:sz w:val="20"/>
          <w:szCs w:val="20"/>
        </w:rPr>
        <w:t>: GoB TK 214</w:t>
      </w:r>
      <w:r w:rsidR="00B83DCD" w:rsidRPr="005F120D">
        <w:rPr>
          <w:rFonts w:asciiTheme="minorHAnsi" w:hAnsiTheme="minorHAnsi" w:cstheme="minorHAnsi"/>
          <w:sz w:val="20"/>
          <w:szCs w:val="20"/>
        </w:rPr>
        <w:t>,</w:t>
      </w:r>
      <w:r w:rsidR="00981BDB" w:rsidRPr="005F120D">
        <w:rPr>
          <w:rFonts w:asciiTheme="minorHAnsi" w:hAnsiTheme="minorHAnsi" w:cstheme="minorHAnsi"/>
          <w:sz w:val="20"/>
          <w:szCs w:val="20"/>
        </w:rPr>
        <w:t>599.65</w:t>
      </w:r>
      <w:r w:rsidR="00B83DCD" w:rsidRPr="005F120D">
        <w:rPr>
          <w:rFonts w:asciiTheme="minorHAnsi" w:hAnsiTheme="minorHAnsi" w:cstheme="minorHAnsi"/>
          <w:sz w:val="20"/>
          <w:szCs w:val="20"/>
        </w:rPr>
        <w:t>, DPA TK. 99,952.55 (WFP)</w:t>
      </w:r>
      <w:r w:rsidRPr="005F120D">
        <w:rPr>
          <w:rFonts w:asciiTheme="minorHAnsi" w:hAnsiTheme="minorHAnsi" w:cstheme="minorHAnsi"/>
          <w:sz w:val="20"/>
          <w:szCs w:val="20"/>
        </w:rPr>
        <w:t>. The following Table sum</w:t>
      </w:r>
      <w:r w:rsidR="000F6EFA" w:rsidRPr="005F120D">
        <w:rPr>
          <w:rFonts w:asciiTheme="minorHAnsi" w:hAnsiTheme="minorHAnsi" w:cstheme="minorHAnsi"/>
          <w:sz w:val="20"/>
          <w:szCs w:val="20"/>
        </w:rPr>
        <w:t>marizes the financial year-</w:t>
      </w:r>
      <w:r w:rsidRPr="005F120D">
        <w:rPr>
          <w:rFonts w:asciiTheme="minorHAnsi" w:hAnsiTheme="minorHAnsi" w:cstheme="minorHAnsi"/>
          <w:sz w:val="20"/>
          <w:szCs w:val="20"/>
        </w:rPr>
        <w:t xml:space="preserve">wise allocation and expenditure both GoB and DPA: </w:t>
      </w:r>
    </w:p>
    <w:p w:rsidR="00E737EF" w:rsidRPr="005F120D" w:rsidRDefault="00E737EF" w:rsidP="00B25E46">
      <w:pPr>
        <w:pStyle w:val="BodyText1"/>
        <w:spacing w:after="0" w:line="240" w:lineRule="auto"/>
        <w:jc w:val="both"/>
        <w:rPr>
          <w:rFonts w:asciiTheme="minorHAnsi" w:hAnsiTheme="minorHAnsi" w:cstheme="minorHAnsi"/>
          <w:sz w:val="20"/>
          <w:szCs w:val="20"/>
        </w:rPr>
      </w:pPr>
    </w:p>
    <w:tbl>
      <w:tblPr>
        <w:tblStyle w:val="LightGrid-Accent5"/>
        <w:tblW w:w="0" w:type="auto"/>
        <w:tblLook w:val="04A0"/>
      </w:tblPr>
      <w:tblGrid>
        <w:gridCol w:w="833"/>
        <w:gridCol w:w="1126"/>
        <w:gridCol w:w="1130"/>
        <w:gridCol w:w="1188"/>
        <w:gridCol w:w="1240"/>
        <w:gridCol w:w="1174"/>
        <w:gridCol w:w="1282"/>
        <w:gridCol w:w="1272"/>
      </w:tblGrid>
      <w:tr w:rsidR="00E737EF" w:rsidRPr="005F120D" w:rsidTr="00E737EF">
        <w:trPr>
          <w:cnfStyle w:val="100000000000"/>
          <w:trHeight w:hRule="exact" w:val="288"/>
        </w:trPr>
        <w:tc>
          <w:tcPr>
            <w:cnfStyle w:val="001000000000"/>
            <w:tcW w:w="833" w:type="dxa"/>
            <w:vMerge w:val="restart"/>
            <w:tcBorders>
              <w:left w:val="single" w:sz="4" w:space="0" w:color="auto"/>
            </w:tcBorders>
          </w:tcPr>
          <w:p w:rsidR="00E737EF" w:rsidRPr="005F120D" w:rsidRDefault="00E737EF" w:rsidP="00B25E46">
            <w:pPr>
              <w:spacing w:after="0"/>
              <w:jc w:val="both"/>
              <w:rPr>
                <w:rFonts w:asciiTheme="minorHAnsi" w:hAnsiTheme="minorHAnsi" w:cstheme="minorHAnsi"/>
                <w:b w:val="0"/>
                <w:sz w:val="18"/>
                <w:szCs w:val="18"/>
              </w:rPr>
            </w:pPr>
            <w:r w:rsidRPr="005F120D">
              <w:rPr>
                <w:rFonts w:asciiTheme="minorHAnsi" w:hAnsiTheme="minorHAnsi" w:cstheme="minorHAnsi"/>
                <w:b w:val="0"/>
                <w:sz w:val="18"/>
                <w:szCs w:val="18"/>
              </w:rPr>
              <w:t>F/Y</w:t>
            </w:r>
          </w:p>
        </w:tc>
        <w:tc>
          <w:tcPr>
            <w:tcW w:w="3444" w:type="dxa"/>
            <w:gridSpan w:val="3"/>
          </w:tcPr>
          <w:p w:rsidR="00E737EF" w:rsidRPr="005F120D" w:rsidRDefault="00E737EF" w:rsidP="00B25E46">
            <w:pPr>
              <w:spacing w:after="0"/>
              <w:jc w:val="center"/>
              <w:cnfStyle w:val="100000000000"/>
              <w:rPr>
                <w:rFonts w:asciiTheme="minorHAnsi" w:hAnsiTheme="minorHAnsi" w:cstheme="minorHAnsi"/>
                <w:sz w:val="18"/>
                <w:szCs w:val="18"/>
              </w:rPr>
            </w:pPr>
            <w:r w:rsidRPr="005F120D">
              <w:rPr>
                <w:rFonts w:asciiTheme="minorHAnsi" w:hAnsiTheme="minorHAnsi" w:cstheme="minorHAnsi"/>
                <w:sz w:val="18"/>
                <w:szCs w:val="18"/>
              </w:rPr>
              <w:t>Allocation</w:t>
            </w:r>
            <w:r w:rsidR="00F359AA" w:rsidRPr="005F120D">
              <w:rPr>
                <w:rFonts w:asciiTheme="minorHAnsi" w:hAnsiTheme="minorHAnsi" w:cstheme="minorHAnsi"/>
                <w:sz w:val="18"/>
                <w:szCs w:val="18"/>
              </w:rPr>
              <w:t xml:space="preserve"> in </w:t>
            </w:r>
            <w:r w:rsidR="00F738CE" w:rsidRPr="005F120D">
              <w:rPr>
                <w:rFonts w:asciiTheme="minorHAnsi" w:hAnsiTheme="minorHAnsi" w:cstheme="minorHAnsi"/>
                <w:sz w:val="18"/>
                <w:szCs w:val="18"/>
              </w:rPr>
              <w:t>Lac</w:t>
            </w:r>
            <w:r w:rsidR="00F359AA" w:rsidRPr="005F120D">
              <w:rPr>
                <w:rFonts w:asciiTheme="minorHAnsi" w:hAnsiTheme="minorHAnsi" w:cstheme="minorHAnsi"/>
                <w:sz w:val="18"/>
                <w:szCs w:val="18"/>
              </w:rPr>
              <w:t xml:space="preserve"> Taka</w:t>
            </w:r>
          </w:p>
        </w:tc>
        <w:tc>
          <w:tcPr>
            <w:tcW w:w="3696" w:type="dxa"/>
            <w:gridSpan w:val="3"/>
          </w:tcPr>
          <w:p w:rsidR="00E737EF" w:rsidRPr="005F120D" w:rsidRDefault="00A61F5E" w:rsidP="00B25E46">
            <w:pPr>
              <w:spacing w:after="0"/>
              <w:jc w:val="center"/>
              <w:cnfStyle w:val="100000000000"/>
              <w:rPr>
                <w:rFonts w:asciiTheme="minorHAnsi" w:eastAsia="Calibri" w:hAnsiTheme="minorHAnsi" w:cstheme="minorHAnsi"/>
                <w:sz w:val="18"/>
                <w:szCs w:val="18"/>
              </w:rPr>
            </w:pPr>
            <w:r w:rsidRPr="005F120D">
              <w:rPr>
                <w:rFonts w:asciiTheme="minorHAnsi" w:eastAsia="Calibri" w:hAnsiTheme="minorHAnsi" w:cstheme="minorHAnsi"/>
                <w:sz w:val="18"/>
                <w:szCs w:val="18"/>
              </w:rPr>
              <w:t>Expenditure</w:t>
            </w:r>
            <w:r w:rsidRPr="005F120D">
              <w:rPr>
                <w:rFonts w:asciiTheme="minorHAnsi" w:hAnsiTheme="minorHAnsi" w:cstheme="minorHAnsi"/>
                <w:sz w:val="18"/>
                <w:szCs w:val="18"/>
              </w:rPr>
              <w:t xml:space="preserve"> in</w:t>
            </w:r>
            <w:r w:rsidR="00F359AA" w:rsidRPr="005F120D">
              <w:rPr>
                <w:rFonts w:asciiTheme="minorHAnsi" w:hAnsiTheme="minorHAnsi" w:cstheme="minorHAnsi"/>
                <w:sz w:val="18"/>
                <w:szCs w:val="18"/>
              </w:rPr>
              <w:t xml:space="preserve"> </w:t>
            </w:r>
            <w:r w:rsidR="00F738CE" w:rsidRPr="005F120D">
              <w:rPr>
                <w:rFonts w:asciiTheme="minorHAnsi" w:hAnsiTheme="minorHAnsi" w:cstheme="minorHAnsi"/>
                <w:sz w:val="18"/>
                <w:szCs w:val="18"/>
              </w:rPr>
              <w:t>Lac</w:t>
            </w:r>
            <w:r w:rsidR="00F359AA" w:rsidRPr="005F120D">
              <w:rPr>
                <w:rFonts w:asciiTheme="minorHAnsi" w:hAnsiTheme="minorHAnsi" w:cstheme="minorHAnsi"/>
                <w:sz w:val="18"/>
                <w:szCs w:val="18"/>
              </w:rPr>
              <w:t xml:space="preserve"> Taka</w:t>
            </w:r>
          </w:p>
        </w:tc>
        <w:tc>
          <w:tcPr>
            <w:tcW w:w="1272" w:type="dxa"/>
          </w:tcPr>
          <w:p w:rsidR="00E737EF" w:rsidRPr="005F120D" w:rsidRDefault="00C42D21" w:rsidP="00B25E46">
            <w:pPr>
              <w:spacing w:after="0"/>
              <w:jc w:val="center"/>
              <w:cnfStyle w:val="100000000000"/>
              <w:rPr>
                <w:rFonts w:asciiTheme="minorHAnsi" w:hAnsiTheme="minorHAnsi" w:cstheme="minorHAnsi"/>
                <w:sz w:val="18"/>
                <w:szCs w:val="18"/>
              </w:rPr>
            </w:pPr>
            <w:r w:rsidRPr="005F120D">
              <w:rPr>
                <w:rFonts w:asciiTheme="minorHAnsi" w:hAnsiTheme="minorHAnsi" w:cstheme="minorHAnsi"/>
                <w:sz w:val="18"/>
                <w:szCs w:val="18"/>
              </w:rPr>
              <w:t xml:space="preserve">Expenditure </w:t>
            </w:r>
          </w:p>
        </w:tc>
      </w:tr>
      <w:tr w:rsidR="00E737EF" w:rsidRPr="005F120D" w:rsidTr="00E737EF">
        <w:trPr>
          <w:cnfStyle w:val="000000100000"/>
          <w:trHeight w:hRule="exact" w:val="288"/>
        </w:trPr>
        <w:tc>
          <w:tcPr>
            <w:cnfStyle w:val="001000000000"/>
            <w:tcW w:w="833" w:type="dxa"/>
            <w:vMerge/>
            <w:tcBorders>
              <w:left w:val="single" w:sz="4" w:space="0" w:color="auto"/>
              <w:bottom w:val="single" w:sz="4" w:space="0" w:color="auto"/>
            </w:tcBorders>
          </w:tcPr>
          <w:p w:rsidR="00E737EF" w:rsidRPr="005F120D" w:rsidRDefault="00E737EF" w:rsidP="00B25E46">
            <w:pPr>
              <w:spacing w:after="0"/>
              <w:jc w:val="both"/>
              <w:rPr>
                <w:rFonts w:asciiTheme="minorHAnsi" w:hAnsiTheme="minorHAnsi" w:cstheme="minorHAnsi"/>
                <w:b w:val="0"/>
                <w:sz w:val="18"/>
                <w:szCs w:val="18"/>
              </w:rPr>
            </w:pPr>
          </w:p>
        </w:tc>
        <w:tc>
          <w:tcPr>
            <w:tcW w:w="1126" w:type="dxa"/>
            <w:tcBorders>
              <w:top w:val="single" w:sz="18" w:space="0" w:color="4BACC6" w:themeColor="accent5"/>
              <w:bottom w:val="single" w:sz="4" w:space="0" w:color="auto"/>
            </w:tcBorders>
          </w:tcPr>
          <w:p w:rsidR="00E737EF" w:rsidRPr="005F120D" w:rsidRDefault="00E737EF" w:rsidP="00B25E46">
            <w:pPr>
              <w:spacing w:after="0"/>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GOB</w:t>
            </w:r>
          </w:p>
        </w:tc>
        <w:tc>
          <w:tcPr>
            <w:tcW w:w="1130" w:type="dxa"/>
            <w:tcBorders>
              <w:top w:val="single" w:sz="18" w:space="0" w:color="4BACC6" w:themeColor="accent5"/>
              <w:bottom w:val="single" w:sz="4" w:space="0" w:color="auto"/>
            </w:tcBorders>
          </w:tcPr>
          <w:p w:rsidR="00E737EF" w:rsidRPr="005F120D" w:rsidRDefault="00E737EF" w:rsidP="00B25E46">
            <w:pPr>
              <w:spacing w:after="0"/>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DPA</w:t>
            </w:r>
          </w:p>
        </w:tc>
        <w:tc>
          <w:tcPr>
            <w:tcW w:w="1188" w:type="dxa"/>
            <w:tcBorders>
              <w:top w:val="single" w:sz="18" w:space="0" w:color="4BACC6" w:themeColor="accent5"/>
              <w:bottom w:val="single" w:sz="4" w:space="0" w:color="auto"/>
            </w:tcBorders>
          </w:tcPr>
          <w:p w:rsidR="00E737EF" w:rsidRPr="005F120D" w:rsidRDefault="00E737EF" w:rsidP="00B25E46">
            <w:pPr>
              <w:spacing w:after="0"/>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Total</w:t>
            </w:r>
          </w:p>
        </w:tc>
        <w:tc>
          <w:tcPr>
            <w:tcW w:w="1240" w:type="dxa"/>
            <w:tcBorders>
              <w:top w:val="single" w:sz="18" w:space="0" w:color="4BACC6" w:themeColor="accent5"/>
              <w:bottom w:val="single" w:sz="4" w:space="0" w:color="auto"/>
              <w:right w:val="single" w:sz="4" w:space="0" w:color="auto"/>
            </w:tcBorders>
          </w:tcPr>
          <w:p w:rsidR="00E737EF" w:rsidRPr="005F120D" w:rsidRDefault="00E737EF" w:rsidP="00B25E46">
            <w:pPr>
              <w:spacing w:after="0"/>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GOB</w:t>
            </w:r>
          </w:p>
        </w:tc>
        <w:tc>
          <w:tcPr>
            <w:tcW w:w="1174" w:type="dxa"/>
            <w:tcBorders>
              <w:top w:val="single" w:sz="18" w:space="0" w:color="4BACC6" w:themeColor="accent5"/>
              <w:left w:val="single" w:sz="4" w:space="0" w:color="auto"/>
            </w:tcBorders>
          </w:tcPr>
          <w:p w:rsidR="00E737EF" w:rsidRPr="005F120D" w:rsidRDefault="00E737EF" w:rsidP="00B25E46">
            <w:pPr>
              <w:spacing w:after="0"/>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DPA</w:t>
            </w:r>
          </w:p>
        </w:tc>
        <w:tc>
          <w:tcPr>
            <w:tcW w:w="1282" w:type="dxa"/>
            <w:tcBorders>
              <w:top w:val="single" w:sz="18" w:space="0" w:color="4BACC6" w:themeColor="accent5"/>
            </w:tcBorders>
          </w:tcPr>
          <w:p w:rsidR="00E737EF" w:rsidRPr="005F120D" w:rsidRDefault="00E737EF" w:rsidP="00B25E46">
            <w:pPr>
              <w:spacing w:after="0"/>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Total</w:t>
            </w:r>
          </w:p>
        </w:tc>
        <w:tc>
          <w:tcPr>
            <w:tcW w:w="1272" w:type="dxa"/>
            <w:tcBorders>
              <w:top w:val="single" w:sz="18" w:space="0" w:color="4BACC6" w:themeColor="accent5"/>
            </w:tcBorders>
          </w:tcPr>
          <w:p w:rsidR="00E737EF" w:rsidRPr="005F120D" w:rsidRDefault="00C42D21" w:rsidP="00B25E46">
            <w:pPr>
              <w:spacing w:after="0"/>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as %</w:t>
            </w:r>
          </w:p>
        </w:tc>
      </w:tr>
      <w:tr w:rsidR="00F359AA" w:rsidRPr="005F120D" w:rsidTr="00E737EF">
        <w:trPr>
          <w:cnfStyle w:val="000000010000"/>
          <w:trHeight w:hRule="exact" w:val="288"/>
        </w:trPr>
        <w:tc>
          <w:tcPr>
            <w:cnfStyle w:val="001000000000"/>
            <w:tcW w:w="833" w:type="dxa"/>
            <w:tcBorders>
              <w:top w:val="single" w:sz="4" w:space="0" w:color="auto"/>
            </w:tcBorders>
          </w:tcPr>
          <w:p w:rsidR="00F359AA" w:rsidRPr="005F120D" w:rsidRDefault="00F359AA" w:rsidP="00B25E46">
            <w:pPr>
              <w:spacing w:after="0"/>
              <w:jc w:val="both"/>
              <w:rPr>
                <w:rFonts w:asciiTheme="minorHAnsi" w:hAnsiTheme="minorHAnsi" w:cstheme="minorHAnsi"/>
                <w:b w:val="0"/>
                <w:sz w:val="18"/>
                <w:szCs w:val="18"/>
              </w:rPr>
            </w:pPr>
            <w:r w:rsidRPr="005F120D">
              <w:rPr>
                <w:rFonts w:asciiTheme="minorHAnsi" w:hAnsiTheme="minorHAnsi" w:cstheme="minorHAnsi"/>
                <w:b w:val="0"/>
                <w:sz w:val="18"/>
                <w:szCs w:val="18"/>
              </w:rPr>
              <w:t>2010/11</w:t>
            </w:r>
          </w:p>
        </w:tc>
        <w:tc>
          <w:tcPr>
            <w:tcW w:w="1126" w:type="dxa"/>
            <w:tcBorders>
              <w:top w:val="single" w:sz="4" w:space="0" w:color="auto"/>
            </w:tcBorders>
          </w:tcPr>
          <w:p w:rsidR="00F359AA" w:rsidRPr="005F120D" w:rsidRDefault="00F359AA"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50.00</w:t>
            </w:r>
          </w:p>
        </w:tc>
        <w:tc>
          <w:tcPr>
            <w:tcW w:w="1130" w:type="dxa"/>
            <w:tcBorders>
              <w:top w:val="single" w:sz="4" w:space="0" w:color="auto"/>
            </w:tcBorders>
          </w:tcPr>
          <w:p w:rsidR="00F359AA" w:rsidRPr="005F120D" w:rsidRDefault="00EC5DA8"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9,040.00</w:t>
            </w:r>
          </w:p>
        </w:tc>
        <w:tc>
          <w:tcPr>
            <w:tcW w:w="1188" w:type="dxa"/>
            <w:tcBorders>
              <w:top w:val="single" w:sz="4" w:space="0" w:color="auto"/>
            </w:tcBorders>
          </w:tcPr>
          <w:p w:rsidR="00F359AA" w:rsidRPr="005F120D" w:rsidRDefault="00FC04C4"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9,090.00</w:t>
            </w:r>
          </w:p>
        </w:tc>
        <w:tc>
          <w:tcPr>
            <w:tcW w:w="1240" w:type="dxa"/>
            <w:tcBorders>
              <w:top w:val="single" w:sz="4" w:space="0" w:color="auto"/>
            </w:tcBorders>
          </w:tcPr>
          <w:p w:rsidR="00F359AA" w:rsidRPr="005F120D" w:rsidRDefault="00C42D21"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6.86.00</w:t>
            </w:r>
          </w:p>
        </w:tc>
        <w:tc>
          <w:tcPr>
            <w:tcW w:w="1174" w:type="dxa"/>
          </w:tcPr>
          <w:p w:rsidR="00F359AA" w:rsidRPr="005F120D" w:rsidRDefault="00C42D21"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8,890.00</w:t>
            </w:r>
          </w:p>
        </w:tc>
        <w:tc>
          <w:tcPr>
            <w:tcW w:w="1282" w:type="dxa"/>
          </w:tcPr>
          <w:p w:rsidR="00F359AA" w:rsidRPr="005F120D" w:rsidRDefault="00C42D21"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8,896.86</w:t>
            </w:r>
          </w:p>
        </w:tc>
        <w:tc>
          <w:tcPr>
            <w:tcW w:w="1272" w:type="dxa"/>
          </w:tcPr>
          <w:p w:rsidR="00F359AA" w:rsidRPr="005F120D" w:rsidRDefault="00F359AA" w:rsidP="00B25E46">
            <w:pPr>
              <w:spacing w:after="0"/>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97.9</w:t>
            </w:r>
          </w:p>
        </w:tc>
      </w:tr>
      <w:tr w:rsidR="00F359AA" w:rsidRPr="005F120D" w:rsidTr="00E737EF">
        <w:trPr>
          <w:cnfStyle w:val="000000100000"/>
          <w:trHeight w:hRule="exact" w:val="288"/>
        </w:trPr>
        <w:tc>
          <w:tcPr>
            <w:cnfStyle w:val="001000000000"/>
            <w:tcW w:w="833" w:type="dxa"/>
          </w:tcPr>
          <w:p w:rsidR="00F359AA" w:rsidRPr="005F120D" w:rsidRDefault="00F359AA" w:rsidP="00B25E46">
            <w:pPr>
              <w:rPr>
                <w:rFonts w:asciiTheme="minorHAnsi" w:hAnsiTheme="minorHAnsi" w:cstheme="minorHAnsi"/>
              </w:rPr>
            </w:pPr>
            <w:r w:rsidRPr="005F120D">
              <w:rPr>
                <w:rFonts w:asciiTheme="minorHAnsi" w:hAnsiTheme="minorHAnsi" w:cstheme="minorHAnsi"/>
                <w:b w:val="0"/>
                <w:sz w:val="18"/>
                <w:szCs w:val="18"/>
              </w:rPr>
              <w:t>2011/12</w:t>
            </w:r>
          </w:p>
        </w:tc>
        <w:tc>
          <w:tcPr>
            <w:tcW w:w="1126" w:type="dxa"/>
          </w:tcPr>
          <w:p w:rsidR="00F359AA" w:rsidRPr="005F120D" w:rsidRDefault="00F359AA"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10,400.00</w:t>
            </w:r>
          </w:p>
        </w:tc>
        <w:tc>
          <w:tcPr>
            <w:tcW w:w="1130" w:type="dxa"/>
          </w:tcPr>
          <w:p w:rsidR="00F359AA" w:rsidRPr="005F120D" w:rsidRDefault="00FC04C4"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13,550.00</w:t>
            </w:r>
          </w:p>
        </w:tc>
        <w:tc>
          <w:tcPr>
            <w:tcW w:w="1188" w:type="dxa"/>
          </w:tcPr>
          <w:p w:rsidR="00F359AA" w:rsidRPr="005F120D" w:rsidRDefault="00FC04C4"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23,950.00</w:t>
            </w:r>
          </w:p>
        </w:tc>
        <w:tc>
          <w:tcPr>
            <w:tcW w:w="1240" w:type="dxa"/>
          </w:tcPr>
          <w:p w:rsidR="00F359AA" w:rsidRPr="005F120D" w:rsidRDefault="00C42D21"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9,876.55</w:t>
            </w:r>
          </w:p>
        </w:tc>
        <w:tc>
          <w:tcPr>
            <w:tcW w:w="1174" w:type="dxa"/>
          </w:tcPr>
          <w:p w:rsidR="00F359AA" w:rsidRPr="005F120D" w:rsidRDefault="00C42D21"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13,550.00</w:t>
            </w:r>
          </w:p>
        </w:tc>
        <w:tc>
          <w:tcPr>
            <w:tcW w:w="1282" w:type="dxa"/>
          </w:tcPr>
          <w:p w:rsidR="00F359AA" w:rsidRPr="005F120D" w:rsidRDefault="00C42D21"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23,426.54</w:t>
            </w:r>
          </w:p>
        </w:tc>
        <w:tc>
          <w:tcPr>
            <w:tcW w:w="1272" w:type="dxa"/>
          </w:tcPr>
          <w:p w:rsidR="00F359AA" w:rsidRPr="005F120D" w:rsidRDefault="00F359AA" w:rsidP="00B25E46">
            <w:pPr>
              <w:spacing w:after="0"/>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97.8</w:t>
            </w:r>
          </w:p>
        </w:tc>
      </w:tr>
      <w:tr w:rsidR="00F359AA" w:rsidRPr="005F120D" w:rsidTr="00E737EF">
        <w:trPr>
          <w:cnfStyle w:val="000000010000"/>
          <w:trHeight w:hRule="exact" w:val="288"/>
        </w:trPr>
        <w:tc>
          <w:tcPr>
            <w:cnfStyle w:val="001000000000"/>
            <w:tcW w:w="833" w:type="dxa"/>
          </w:tcPr>
          <w:p w:rsidR="00F359AA" w:rsidRPr="005F120D" w:rsidRDefault="00F359AA" w:rsidP="00B25E46">
            <w:pPr>
              <w:rPr>
                <w:rFonts w:asciiTheme="minorHAnsi" w:hAnsiTheme="minorHAnsi" w:cstheme="minorHAnsi"/>
              </w:rPr>
            </w:pPr>
            <w:r w:rsidRPr="005F120D">
              <w:rPr>
                <w:rFonts w:asciiTheme="minorHAnsi" w:hAnsiTheme="minorHAnsi" w:cstheme="minorHAnsi"/>
                <w:b w:val="0"/>
                <w:sz w:val="18"/>
                <w:szCs w:val="18"/>
              </w:rPr>
              <w:t>2012/13</w:t>
            </w:r>
          </w:p>
        </w:tc>
        <w:tc>
          <w:tcPr>
            <w:tcW w:w="1126" w:type="dxa"/>
          </w:tcPr>
          <w:p w:rsidR="00F359AA" w:rsidRPr="005F120D" w:rsidRDefault="00F359AA"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22,900.00</w:t>
            </w:r>
          </w:p>
        </w:tc>
        <w:tc>
          <w:tcPr>
            <w:tcW w:w="1130" w:type="dxa"/>
          </w:tcPr>
          <w:p w:rsidR="00F359AA" w:rsidRPr="005F120D" w:rsidRDefault="00FC04C4"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20,100.00</w:t>
            </w:r>
          </w:p>
        </w:tc>
        <w:tc>
          <w:tcPr>
            <w:tcW w:w="1188" w:type="dxa"/>
          </w:tcPr>
          <w:p w:rsidR="00F359AA" w:rsidRPr="005F120D" w:rsidRDefault="00FC04C4"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43,000.00</w:t>
            </w:r>
          </w:p>
        </w:tc>
        <w:tc>
          <w:tcPr>
            <w:tcW w:w="1240" w:type="dxa"/>
          </w:tcPr>
          <w:p w:rsidR="00F359AA" w:rsidRPr="005F120D" w:rsidRDefault="00C42D21"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22,873.86</w:t>
            </w:r>
          </w:p>
        </w:tc>
        <w:tc>
          <w:tcPr>
            <w:tcW w:w="1174" w:type="dxa"/>
          </w:tcPr>
          <w:p w:rsidR="00F359AA" w:rsidRPr="005F120D" w:rsidRDefault="00C42D21"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20,099.17</w:t>
            </w:r>
          </w:p>
        </w:tc>
        <w:tc>
          <w:tcPr>
            <w:tcW w:w="1282" w:type="dxa"/>
          </w:tcPr>
          <w:p w:rsidR="00F359AA" w:rsidRPr="005F120D" w:rsidRDefault="00C42D21"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42,973.03</w:t>
            </w:r>
          </w:p>
        </w:tc>
        <w:tc>
          <w:tcPr>
            <w:tcW w:w="1272" w:type="dxa"/>
          </w:tcPr>
          <w:p w:rsidR="00F359AA" w:rsidRPr="005F120D" w:rsidRDefault="00F359AA" w:rsidP="00B25E46">
            <w:pPr>
              <w:spacing w:after="0"/>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99.9</w:t>
            </w:r>
          </w:p>
        </w:tc>
      </w:tr>
      <w:tr w:rsidR="00F359AA" w:rsidRPr="005F120D" w:rsidTr="00E737EF">
        <w:trPr>
          <w:cnfStyle w:val="000000100000"/>
          <w:trHeight w:hRule="exact" w:val="288"/>
        </w:trPr>
        <w:tc>
          <w:tcPr>
            <w:cnfStyle w:val="001000000000"/>
            <w:tcW w:w="833" w:type="dxa"/>
          </w:tcPr>
          <w:p w:rsidR="00F359AA" w:rsidRPr="005F120D" w:rsidRDefault="00F359AA" w:rsidP="00B25E46">
            <w:pPr>
              <w:rPr>
                <w:rFonts w:asciiTheme="minorHAnsi" w:hAnsiTheme="minorHAnsi" w:cstheme="minorHAnsi"/>
              </w:rPr>
            </w:pPr>
            <w:r w:rsidRPr="005F120D">
              <w:rPr>
                <w:rFonts w:asciiTheme="minorHAnsi" w:hAnsiTheme="minorHAnsi" w:cstheme="minorHAnsi"/>
                <w:b w:val="0"/>
                <w:sz w:val="18"/>
                <w:szCs w:val="18"/>
              </w:rPr>
              <w:t>2013/14</w:t>
            </w:r>
          </w:p>
        </w:tc>
        <w:tc>
          <w:tcPr>
            <w:tcW w:w="1126" w:type="dxa"/>
          </w:tcPr>
          <w:p w:rsidR="00F359AA" w:rsidRPr="005F120D" w:rsidRDefault="00F359AA"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28,000.00</w:t>
            </w:r>
          </w:p>
        </w:tc>
        <w:tc>
          <w:tcPr>
            <w:tcW w:w="1130" w:type="dxa"/>
          </w:tcPr>
          <w:p w:rsidR="00F359AA" w:rsidRPr="005F120D" w:rsidRDefault="00FC04C4"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18,300.00</w:t>
            </w:r>
          </w:p>
        </w:tc>
        <w:tc>
          <w:tcPr>
            <w:tcW w:w="1188" w:type="dxa"/>
          </w:tcPr>
          <w:p w:rsidR="00F359AA" w:rsidRPr="005F120D" w:rsidRDefault="00FC04C4"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46,300.00</w:t>
            </w:r>
          </w:p>
        </w:tc>
        <w:tc>
          <w:tcPr>
            <w:tcW w:w="1240" w:type="dxa"/>
          </w:tcPr>
          <w:p w:rsidR="00F359AA" w:rsidRPr="005F120D" w:rsidRDefault="00C42D21"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27,965.64</w:t>
            </w:r>
          </w:p>
        </w:tc>
        <w:tc>
          <w:tcPr>
            <w:tcW w:w="1174" w:type="dxa"/>
          </w:tcPr>
          <w:p w:rsidR="00F359AA" w:rsidRPr="005F120D" w:rsidRDefault="00C42D21"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16,299.27</w:t>
            </w:r>
          </w:p>
        </w:tc>
        <w:tc>
          <w:tcPr>
            <w:tcW w:w="1282" w:type="dxa"/>
          </w:tcPr>
          <w:p w:rsidR="00F359AA" w:rsidRPr="005F120D" w:rsidRDefault="00C42D21"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46,264.91</w:t>
            </w:r>
          </w:p>
        </w:tc>
        <w:tc>
          <w:tcPr>
            <w:tcW w:w="1272" w:type="dxa"/>
          </w:tcPr>
          <w:p w:rsidR="00F359AA" w:rsidRPr="005F120D" w:rsidRDefault="00F359AA" w:rsidP="00B25E46">
            <w:pPr>
              <w:spacing w:after="0"/>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99.9</w:t>
            </w:r>
          </w:p>
        </w:tc>
      </w:tr>
      <w:tr w:rsidR="00F359AA" w:rsidRPr="005F120D" w:rsidTr="00E737EF">
        <w:trPr>
          <w:cnfStyle w:val="000000010000"/>
          <w:trHeight w:hRule="exact" w:val="288"/>
        </w:trPr>
        <w:tc>
          <w:tcPr>
            <w:cnfStyle w:val="001000000000"/>
            <w:tcW w:w="833" w:type="dxa"/>
          </w:tcPr>
          <w:p w:rsidR="00F359AA" w:rsidRPr="005F120D" w:rsidRDefault="00F359AA" w:rsidP="00B25E46">
            <w:pPr>
              <w:rPr>
                <w:rFonts w:asciiTheme="minorHAnsi" w:hAnsiTheme="minorHAnsi" w:cstheme="minorHAnsi"/>
              </w:rPr>
            </w:pPr>
            <w:r w:rsidRPr="005F120D">
              <w:rPr>
                <w:rFonts w:asciiTheme="minorHAnsi" w:hAnsiTheme="minorHAnsi" w:cstheme="minorHAnsi"/>
                <w:b w:val="0"/>
                <w:sz w:val="18"/>
                <w:szCs w:val="18"/>
              </w:rPr>
              <w:t>2014/15</w:t>
            </w:r>
          </w:p>
        </w:tc>
        <w:tc>
          <w:tcPr>
            <w:tcW w:w="1126" w:type="dxa"/>
          </w:tcPr>
          <w:p w:rsidR="00F359AA" w:rsidRPr="005F120D" w:rsidRDefault="00F359AA"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27,000.00</w:t>
            </w:r>
          </w:p>
        </w:tc>
        <w:tc>
          <w:tcPr>
            <w:tcW w:w="1130" w:type="dxa"/>
          </w:tcPr>
          <w:p w:rsidR="00F359AA" w:rsidRPr="005F120D" w:rsidRDefault="00FC04C4"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14,880.00</w:t>
            </w:r>
          </w:p>
        </w:tc>
        <w:tc>
          <w:tcPr>
            <w:tcW w:w="1188" w:type="dxa"/>
          </w:tcPr>
          <w:p w:rsidR="00F359AA" w:rsidRPr="005F120D" w:rsidRDefault="00FC04C4"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41,880.00</w:t>
            </w:r>
          </w:p>
        </w:tc>
        <w:tc>
          <w:tcPr>
            <w:tcW w:w="1240" w:type="dxa"/>
          </w:tcPr>
          <w:p w:rsidR="00F359AA" w:rsidRPr="005F120D" w:rsidRDefault="00C42D21"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26,901.60</w:t>
            </w:r>
          </w:p>
        </w:tc>
        <w:tc>
          <w:tcPr>
            <w:tcW w:w="1174" w:type="dxa"/>
          </w:tcPr>
          <w:p w:rsidR="00F359AA" w:rsidRPr="005F120D" w:rsidRDefault="00C42D21"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14,878.32</w:t>
            </w:r>
          </w:p>
        </w:tc>
        <w:tc>
          <w:tcPr>
            <w:tcW w:w="1282" w:type="dxa"/>
          </w:tcPr>
          <w:p w:rsidR="00F359AA" w:rsidRPr="005F120D" w:rsidRDefault="00C42D21" w:rsidP="00B25E46">
            <w:pPr>
              <w:spacing w:after="0"/>
              <w:jc w:val="right"/>
              <w:cnfStyle w:val="000000010000"/>
              <w:rPr>
                <w:rFonts w:asciiTheme="minorHAnsi" w:eastAsia="Calibri" w:hAnsiTheme="minorHAnsi" w:cstheme="minorHAnsi"/>
                <w:sz w:val="18"/>
                <w:szCs w:val="18"/>
              </w:rPr>
            </w:pPr>
            <w:r w:rsidRPr="005F120D">
              <w:rPr>
                <w:rFonts w:asciiTheme="minorHAnsi" w:eastAsia="Calibri" w:hAnsiTheme="minorHAnsi" w:cstheme="minorHAnsi"/>
                <w:sz w:val="18"/>
                <w:szCs w:val="18"/>
              </w:rPr>
              <w:t>41,779.92</w:t>
            </w:r>
          </w:p>
        </w:tc>
        <w:tc>
          <w:tcPr>
            <w:tcW w:w="1272" w:type="dxa"/>
          </w:tcPr>
          <w:p w:rsidR="00F359AA" w:rsidRPr="005F120D" w:rsidRDefault="00F359AA" w:rsidP="00B25E46">
            <w:pPr>
              <w:spacing w:after="0"/>
              <w:jc w:val="center"/>
              <w:cnfStyle w:val="000000010000"/>
              <w:rPr>
                <w:rFonts w:asciiTheme="minorHAnsi" w:hAnsiTheme="minorHAnsi" w:cstheme="minorHAnsi"/>
                <w:sz w:val="18"/>
                <w:szCs w:val="18"/>
              </w:rPr>
            </w:pPr>
            <w:r w:rsidRPr="005F120D">
              <w:rPr>
                <w:rFonts w:asciiTheme="minorHAnsi" w:hAnsiTheme="minorHAnsi" w:cstheme="minorHAnsi"/>
                <w:sz w:val="18"/>
                <w:szCs w:val="18"/>
              </w:rPr>
              <w:t>99.8</w:t>
            </w:r>
          </w:p>
        </w:tc>
      </w:tr>
      <w:tr w:rsidR="00F359AA" w:rsidRPr="005F120D" w:rsidTr="00E737EF">
        <w:trPr>
          <w:cnfStyle w:val="000000100000"/>
          <w:trHeight w:hRule="exact" w:val="288"/>
        </w:trPr>
        <w:tc>
          <w:tcPr>
            <w:cnfStyle w:val="001000000000"/>
            <w:tcW w:w="833" w:type="dxa"/>
          </w:tcPr>
          <w:p w:rsidR="00F359AA" w:rsidRPr="005F120D" w:rsidRDefault="00F359AA" w:rsidP="00B25E46">
            <w:pPr>
              <w:rPr>
                <w:rFonts w:asciiTheme="minorHAnsi" w:hAnsiTheme="minorHAnsi" w:cstheme="minorHAnsi"/>
              </w:rPr>
            </w:pPr>
            <w:r w:rsidRPr="005F120D">
              <w:rPr>
                <w:rFonts w:asciiTheme="minorHAnsi" w:hAnsiTheme="minorHAnsi" w:cstheme="minorHAnsi"/>
                <w:b w:val="0"/>
                <w:sz w:val="18"/>
                <w:szCs w:val="18"/>
              </w:rPr>
              <w:t>2015/16</w:t>
            </w:r>
          </w:p>
        </w:tc>
        <w:tc>
          <w:tcPr>
            <w:tcW w:w="1126" w:type="dxa"/>
          </w:tcPr>
          <w:p w:rsidR="00F359AA" w:rsidRPr="005F120D" w:rsidRDefault="00F359AA"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44,000.00</w:t>
            </w:r>
          </w:p>
        </w:tc>
        <w:tc>
          <w:tcPr>
            <w:tcW w:w="1130" w:type="dxa"/>
          </w:tcPr>
          <w:p w:rsidR="00F359AA" w:rsidRPr="005F120D" w:rsidRDefault="00FC04C4"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12,000.00</w:t>
            </w:r>
          </w:p>
        </w:tc>
        <w:tc>
          <w:tcPr>
            <w:tcW w:w="1188" w:type="dxa"/>
          </w:tcPr>
          <w:p w:rsidR="00F359AA" w:rsidRPr="005F120D" w:rsidRDefault="00FC04C4"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56,000.00</w:t>
            </w:r>
          </w:p>
        </w:tc>
        <w:tc>
          <w:tcPr>
            <w:tcW w:w="1240" w:type="dxa"/>
          </w:tcPr>
          <w:p w:rsidR="00F359AA" w:rsidRPr="005F120D" w:rsidRDefault="00C42D21"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21,579.01</w:t>
            </w:r>
          </w:p>
        </w:tc>
        <w:tc>
          <w:tcPr>
            <w:tcW w:w="1174" w:type="dxa"/>
          </w:tcPr>
          <w:p w:rsidR="00F359AA" w:rsidRPr="005F120D" w:rsidRDefault="00C42D21"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8,801.53</w:t>
            </w:r>
          </w:p>
        </w:tc>
        <w:tc>
          <w:tcPr>
            <w:tcW w:w="1282" w:type="dxa"/>
          </w:tcPr>
          <w:p w:rsidR="00F359AA" w:rsidRPr="005F120D" w:rsidRDefault="00C42D21" w:rsidP="00B25E46">
            <w:pPr>
              <w:spacing w:after="0"/>
              <w:jc w:val="right"/>
              <w:cnfStyle w:val="000000100000"/>
              <w:rPr>
                <w:rFonts w:asciiTheme="minorHAnsi" w:eastAsia="Calibri" w:hAnsiTheme="minorHAnsi" w:cstheme="minorHAnsi"/>
                <w:sz w:val="18"/>
                <w:szCs w:val="18"/>
              </w:rPr>
            </w:pPr>
            <w:r w:rsidRPr="005F120D">
              <w:rPr>
                <w:rFonts w:asciiTheme="minorHAnsi" w:eastAsia="Calibri" w:hAnsiTheme="minorHAnsi" w:cstheme="minorHAnsi"/>
                <w:sz w:val="18"/>
                <w:szCs w:val="18"/>
              </w:rPr>
              <w:t>30,380.54</w:t>
            </w:r>
          </w:p>
        </w:tc>
        <w:tc>
          <w:tcPr>
            <w:tcW w:w="1272" w:type="dxa"/>
          </w:tcPr>
          <w:p w:rsidR="00F359AA" w:rsidRPr="005F120D" w:rsidRDefault="00F359AA" w:rsidP="00B25E46">
            <w:pPr>
              <w:spacing w:after="0"/>
              <w:jc w:val="center"/>
              <w:cnfStyle w:val="000000100000"/>
              <w:rPr>
                <w:rFonts w:asciiTheme="minorHAnsi" w:hAnsiTheme="minorHAnsi" w:cstheme="minorHAnsi"/>
                <w:sz w:val="18"/>
                <w:szCs w:val="18"/>
              </w:rPr>
            </w:pPr>
            <w:r w:rsidRPr="005F120D">
              <w:rPr>
                <w:rFonts w:asciiTheme="minorHAnsi" w:hAnsiTheme="minorHAnsi" w:cstheme="minorHAnsi"/>
                <w:sz w:val="18"/>
                <w:szCs w:val="18"/>
              </w:rPr>
              <w:t>54.3</w:t>
            </w:r>
          </w:p>
        </w:tc>
      </w:tr>
    </w:tbl>
    <w:p w:rsidR="00981BDB" w:rsidRPr="005F120D" w:rsidRDefault="00981BDB" w:rsidP="00B25E46">
      <w:pPr>
        <w:pStyle w:val="BodyText1"/>
        <w:spacing w:after="0" w:line="240" w:lineRule="auto"/>
        <w:jc w:val="both"/>
        <w:rPr>
          <w:rFonts w:asciiTheme="minorHAnsi" w:hAnsiTheme="minorHAnsi" w:cstheme="minorHAnsi"/>
          <w:b w:val="0"/>
          <w:sz w:val="20"/>
          <w:szCs w:val="20"/>
        </w:rPr>
      </w:pPr>
    </w:p>
    <w:p w:rsidR="005A115F" w:rsidRPr="005F120D" w:rsidRDefault="00870B14" w:rsidP="00B25E46">
      <w:pPr>
        <w:spacing w:before="120" w:after="120"/>
        <w:jc w:val="both"/>
        <w:rPr>
          <w:rFonts w:asciiTheme="minorHAnsi" w:hAnsiTheme="minorHAnsi" w:cstheme="minorHAnsi"/>
          <w:sz w:val="20"/>
          <w:szCs w:val="25"/>
        </w:rPr>
      </w:pPr>
      <w:r w:rsidRPr="005F120D">
        <w:rPr>
          <w:rFonts w:asciiTheme="minorHAnsi" w:hAnsiTheme="minorHAnsi" w:cstheme="minorHAnsi"/>
          <w:sz w:val="20"/>
          <w:lang w:val="en-GB"/>
        </w:rPr>
        <w:t xml:space="preserve">Project Description: </w:t>
      </w:r>
      <w:r w:rsidR="005A115F" w:rsidRPr="005F120D">
        <w:rPr>
          <w:rFonts w:asciiTheme="minorHAnsi" w:hAnsiTheme="minorHAnsi" w:cstheme="minorHAnsi"/>
          <w:sz w:val="20"/>
          <w:lang w:val="en-GB"/>
        </w:rPr>
        <w:t xml:space="preserve">The </w:t>
      </w:r>
      <w:r w:rsidR="005A115F" w:rsidRPr="005F120D">
        <w:rPr>
          <w:rFonts w:asciiTheme="minorHAnsi" w:hAnsiTheme="minorHAnsi" w:cstheme="minorHAnsi"/>
          <w:sz w:val="20"/>
        </w:rPr>
        <w:t xml:space="preserve">World Food </w:t>
      </w:r>
      <w:r w:rsidR="00802B33" w:rsidRPr="005F120D">
        <w:rPr>
          <w:rFonts w:asciiTheme="minorHAnsi" w:hAnsiTheme="minorHAnsi" w:cstheme="minorHAnsi"/>
          <w:sz w:val="20"/>
        </w:rPr>
        <w:t>Program</w:t>
      </w:r>
      <w:r w:rsidR="005A115F" w:rsidRPr="005F120D">
        <w:rPr>
          <w:rFonts w:asciiTheme="minorHAnsi" w:hAnsiTheme="minorHAnsi" w:cstheme="minorHAnsi"/>
          <w:sz w:val="20"/>
        </w:rPr>
        <w:t xml:space="preserve"> launched school feeding as an emergency </w:t>
      </w:r>
      <w:r w:rsidR="00802B33" w:rsidRPr="005F120D">
        <w:rPr>
          <w:rFonts w:asciiTheme="minorHAnsi" w:hAnsiTheme="minorHAnsi" w:cstheme="minorHAnsi"/>
          <w:sz w:val="20"/>
        </w:rPr>
        <w:t>program</w:t>
      </w:r>
      <w:r w:rsidR="005A115F" w:rsidRPr="005F120D">
        <w:rPr>
          <w:rFonts w:asciiTheme="minorHAnsi" w:hAnsiTheme="minorHAnsi" w:cstheme="minorHAnsi"/>
          <w:sz w:val="20"/>
        </w:rPr>
        <w:t xml:space="preserve"> in Jessore </w:t>
      </w:r>
      <w:r w:rsidR="00B97688" w:rsidRPr="005F120D">
        <w:rPr>
          <w:rFonts w:asciiTheme="minorHAnsi" w:hAnsiTheme="minorHAnsi" w:cstheme="minorHAnsi"/>
          <w:sz w:val="20"/>
        </w:rPr>
        <w:t xml:space="preserve">in 2001. In view of </w:t>
      </w:r>
      <w:r w:rsidR="000F6EFA" w:rsidRPr="005F120D">
        <w:rPr>
          <w:rFonts w:asciiTheme="minorHAnsi" w:hAnsiTheme="minorHAnsi" w:cstheme="minorHAnsi"/>
          <w:sz w:val="20"/>
        </w:rPr>
        <w:t xml:space="preserve">the </w:t>
      </w:r>
      <w:r w:rsidR="00B97688" w:rsidRPr="005F120D">
        <w:rPr>
          <w:rFonts w:asciiTheme="minorHAnsi" w:hAnsiTheme="minorHAnsi" w:cstheme="minorHAnsi"/>
          <w:sz w:val="20"/>
        </w:rPr>
        <w:t>success in J</w:t>
      </w:r>
      <w:r w:rsidR="005A115F" w:rsidRPr="005F120D">
        <w:rPr>
          <w:rFonts w:asciiTheme="minorHAnsi" w:hAnsiTheme="minorHAnsi" w:cstheme="minorHAnsi"/>
          <w:sz w:val="20"/>
        </w:rPr>
        <w:t xml:space="preserve">essore, WFP subsequently incorporated the school feeding into its regular country </w:t>
      </w:r>
      <w:r w:rsidR="00802B33" w:rsidRPr="005F120D">
        <w:rPr>
          <w:rFonts w:asciiTheme="minorHAnsi" w:hAnsiTheme="minorHAnsi" w:cstheme="minorHAnsi"/>
          <w:sz w:val="20"/>
        </w:rPr>
        <w:t>program</w:t>
      </w:r>
      <w:r w:rsidR="005A115F" w:rsidRPr="005F120D">
        <w:rPr>
          <w:rFonts w:asciiTheme="minorHAnsi" w:hAnsiTheme="minorHAnsi" w:cstheme="minorHAnsi"/>
          <w:sz w:val="20"/>
        </w:rPr>
        <w:t xml:space="preserve">. </w:t>
      </w:r>
    </w:p>
    <w:p w:rsidR="005A115F" w:rsidRPr="005F120D" w:rsidRDefault="005A115F" w:rsidP="00B25E46">
      <w:pPr>
        <w:spacing w:before="120" w:after="120"/>
        <w:jc w:val="both"/>
        <w:rPr>
          <w:rFonts w:asciiTheme="minorHAnsi" w:hAnsiTheme="minorHAnsi" w:cstheme="minorHAnsi"/>
          <w:sz w:val="20"/>
        </w:rPr>
      </w:pPr>
      <w:r w:rsidRPr="005F120D">
        <w:rPr>
          <w:rFonts w:asciiTheme="minorHAnsi" w:hAnsiTheme="minorHAnsi" w:cstheme="minorHAnsi"/>
          <w:sz w:val="20"/>
        </w:rPr>
        <w:t xml:space="preserve">The objectives of school feeding are: (i) to increase the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of the children in poverty prone areas; (ii) to ensure regular attendance of the enrolled children in poverty prone a</w:t>
      </w:r>
      <w:r w:rsidR="00EF7871" w:rsidRPr="005F120D">
        <w:rPr>
          <w:rFonts w:asciiTheme="minorHAnsi" w:hAnsiTheme="minorHAnsi" w:cstheme="minorHAnsi"/>
          <w:sz w:val="20"/>
        </w:rPr>
        <w:t>reas; (iii) to reduce drop-</w:t>
      </w:r>
      <w:r w:rsidRPr="005F120D">
        <w:rPr>
          <w:rFonts w:asciiTheme="minorHAnsi" w:hAnsiTheme="minorHAnsi" w:cstheme="minorHAnsi"/>
          <w:sz w:val="20"/>
        </w:rPr>
        <w:t>out</w:t>
      </w:r>
      <w:r w:rsidR="000F6EFA" w:rsidRPr="005F120D">
        <w:rPr>
          <w:rFonts w:asciiTheme="minorHAnsi" w:hAnsiTheme="minorHAnsi" w:cstheme="minorHAnsi"/>
          <w:sz w:val="20"/>
        </w:rPr>
        <w:t xml:space="preserve"> rate; (iii) to increase</w:t>
      </w:r>
      <w:r w:rsidRPr="005F120D">
        <w:rPr>
          <w:rFonts w:asciiTheme="minorHAnsi" w:hAnsiTheme="minorHAnsi" w:cstheme="minorHAnsi"/>
          <w:sz w:val="20"/>
        </w:rPr>
        <w:t xml:space="preserve"> the primary education completion</w:t>
      </w:r>
      <w:r w:rsidR="000F6EFA" w:rsidRPr="005F120D">
        <w:rPr>
          <w:rFonts w:asciiTheme="minorHAnsi" w:hAnsiTheme="minorHAnsi" w:cstheme="minorHAnsi"/>
          <w:sz w:val="20"/>
        </w:rPr>
        <w:t xml:space="preserve"> rate</w:t>
      </w:r>
      <w:r w:rsidRPr="005F120D">
        <w:rPr>
          <w:rFonts w:asciiTheme="minorHAnsi" w:hAnsiTheme="minorHAnsi" w:cstheme="minorHAnsi"/>
          <w:sz w:val="20"/>
        </w:rPr>
        <w:t>; (iv) t</w:t>
      </w:r>
      <w:r w:rsidRPr="005F120D">
        <w:rPr>
          <w:rFonts w:asciiTheme="minorHAnsi" w:hAnsiTheme="minorHAnsi" w:cstheme="minorHAnsi"/>
          <w:sz w:val="20"/>
          <w:szCs w:val="25"/>
        </w:rPr>
        <w:t xml:space="preserve">o </w:t>
      </w:r>
      <w:r w:rsidR="002E4B78" w:rsidRPr="005F120D">
        <w:rPr>
          <w:rFonts w:asciiTheme="minorHAnsi" w:hAnsiTheme="minorHAnsi" w:cstheme="minorHAnsi"/>
          <w:sz w:val="20"/>
          <w:szCs w:val="25"/>
        </w:rPr>
        <w:t>fulfill</w:t>
      </w:r>
      <w:r w:rsidR="00EF7871" w:rsidRPr="005F120D">
        <w:rPr>
          <w:rFonts w:asciiTheme="minorHAnsi" w:hAnsiTheme="minorHAnsi" w:cstheme="minorHAnsi"/>
          <w:sz w:val="20"/>
          <w:szCs w:val="25"/>
        </w:rPr>
        <w:t xml:space="preserve"> the daily nutrition requirement of primary school</w:t>
      </w:r>
      <w:r w:rsidRPr="005F120D">
        <w:rPr>
          <w:rFonts w:asciiTheme="minorHAnsi" w:hAnsiTheme="minorHAnsi" w:cstheme="minorHAnsi"/>
          <w:sz w:val="20"/>
          <w:szCs w:val="25"/>
        </w:rPr>
        <w:t xml:space="preserve"> children; and (v) t</w:t>
      </w:r>
      <w:r w:rsidRPr="005F120D">
        <w:rPr>
          <w:rFonts w:asciiTheme="minorHAnsi" w:hAnsiTheme="minorHAnsi" w:cstheme="minorHAnsi"/>
          <w:sz w:val="20"/>
        </w:rPr>
        <w:t>o improve the quality of primary education.</w:t>
      </w:r>
    </w:p>
    <w:p w:rsidR="005A115F" w:rsidRPr="005F120D" w:rsidRDefault="005A115F" w:rsidP="00B25E46">
      <w:pPr>
        <w:spacing w:before="120" w:after="120"/>
        <w:jc w:val="both"/>
        <w:rPr>
          <w:rFonts w:asciiTheme="minorHAnsi" w:hAnsiTheme="minorHAnsi" w:cstheme="minorHAnsi"/>
          <w:sz w:val="21"/>
          <w:szCs w:val="24"/>
        </w:rPr>
      </w:pPr>
      <w:r w:rsidRPr="005F120D">
        <w:rPr>
          <w:rFonts w:asciiTheme="minorHAnsi" w:hAnsiTheme="minorHAnsi" w:cstheme="minorHAnsi"/>
          <w:sz w:val="20"/>
        </w:rPr>
        <w:t xml:space="preserve">The Government of Bangladesh has been implementing the project “School Feeding </w:t>
      </w:r>
      <w:r w:rsidR="00802B33" w:rsidRPr="005F120D">
        <w:rPr>
          <w:rFonts w:asciiTheme="minorHAnsi" w:hAnsiTheme="minorHAnsi" w:cstheme="minorHAnsi"/>
          <w:sz w:val="20"/>
        </w:rPr>
        <w:t>Program</w:t>
      </w:r>
      <w:r w:rsidRPr="005F120D">
        <w:rPr>
          <w:rFonts w:asciiTheme="minorHAnsi" w:hAnsiTheme="minorHAnsi" w:cstheme="minorHAnsi"/>
          <w:sz w:val="20"/>
        </w:rPr>
        <w:t xml:space="preserve"> in Poverty Prone Areas</w:t>
      </w:r>
      <w:r w:rsidRPr="005F120D">
        <w:rPr>
          <w:rFonts w:asciiTheme="minorHAnsi" w:hAnsiTheme="minorHAnsi" w:cstheme="minorHAnsi"/>
          <w:sz w:val="20"/>
          <w:szCs w:val="25"/>
        </w:rPr>
        <w:t xml:space="preserve">” since 2010. The total cost of the project is Taka 1578 crore (GoB 876 crore and Project Aids 702 crore). The GoB component covers 1.8 million pre-primary and primary school students and 6,606 schools in 42 </w:t>
      </w:r>
      <w:r w:rsidR="00A61F5E" w:rsidRPr="005F120D">
        <w:rPr>
          <w:rFonts w:asciiTheme="minorHAnsi" w:hAnsiTheme="minorHAnsi" w:cstheme="minorHAnsi"/>
          <w:sz w:val="20"/>
          <w:szCs w:val="25"/>
        </w:rPr>
        <w:t>Upazilas</w:t>
      </w:r>
      <w:r w:rsidRPr="005F120D">
        <w:rPr>
          <w:rFonts w:asciiTheme="minorHAnsi" w:hAnsiTheme="minorHAnsi" w:cstheme="minorHAnsi"/>
          <w:sz w:val="20"/>
          <w:szCs w:val="25"/>
        </w:rPr>
        <w:t xml:space="preserve"> under 16 districts.  The WFP component covers 900,000 students and 5,414 schools in 30 </w:t>
      </w:r>
      <w:r w:rsidR="00A61F5E" w:rsidRPr="005F120D">
        <w:rPr>
          <w:rFonts w:asciiTheme="minorHAnsi" w:hAnsiTheme="minorHAnsi" w:cstheme="minorHAnsi"/>
          <w:sz w:val="20"/>
          <w:szCs w:val="25"/>
        </w:rPr>
        <w:t>Upazilas</w:t>
      </w:r>
      <w:r w:rsidRPr="005F120D">
        <w:rPr>
          <w:rFonts w:asciiTheme="minorHAnsi" w:hAnsiTheme="minorHAnsi" w:cstheme="minorHAnsi"/>
          <w:sz w:val="20"/>
          <w:szCs w:val="25"/>
        </w:rPr>
        <w:t xml:space="preserve"> under 8 districts. An additiona</w:t>
      </w:r>
      <w:r w:rsidR="00EF7871" w:rsidRPr="005F120D">
        <w:rPr>
          <w:rFonts w:asciiTheme="minorHAnsi" w:hAnsiTheme="minorHAnsi" w:cstheme="minorHAnsi"/>
          <w:sz w:val="20"/>
          <w:szCs w:val="25"/>
        </w:rPr>
        <w:t>l 250,000 students are also benefitting</w:t>
      </w:r>
      <w:r w:rsidRPr="005F120D">
        <w:rPr>
          <w:rFonts w:asciiTheme="minorHAnsi" w:hAnsiTheme="minorHAnsi" w:cstheme="minorHAnsi"/>
          <w:sz w:val="20"/>
          <w:szCs w:val="25"/>
        </w:rPr>
        <w:t xml:space="preserve"> under another feeding </w:t>
      </w:r>
      <w:r w:rsidR="00802B33" w:rsidRPr="005F120D">
        <w:rPr>
          <w:rFonts w:asciiTheme="minorHAnsi" w:hAnsiTheme="minorHAnsi" w:cstheme="minorHAnsi"/>
          <w:sz w:val="20"/>
          <w:szCs w:val="25"/>
        </w:rPr>
        <w:t>program</w:t>
      </w:r>
      <w:r w:rsidRPr="005F120D">
        <w:rPr>
          <w:rFonts w:asciiTheme="minorHAnsi" w:hAnsiTheme="minorHAnsi" w:cstheme="minorHAnsi"/>
          <w:sz w:val="20"/>
          <w:szCs w:val="25"/>
        </w:rPr>
        <w:t xml:space="preserve"> implemented with the assistance of European Union. In the current </w:t>
      </w:r>
      <w:r w:rsidR="00802B33" w:rsidRPr="005F120D">
        <w:rPr>
          <w:rFonts w:asciiTheme="minorHAnsi" w:hAnsiTheme="minorHAnsi" w:cstheme="minorHAnsi"/>
          <w:sz w:val="20"/>
          <w:szCs w:val="25"/>
        </w:rPr>
        <w:t>program</w:t>
      </w:r>
      <w:r w:rsidRPr="005F120D">
        <w:rPr>
          <w:rFonts w:asciiTheme="minorHAnsi" w:hAnsiTheme="minorHAnsi" w:cstheme="minorHAnsi"/>
          <w:sz w:val="20"/>
          <w:szCs w:val="25"/>
        </w:rPr>
        <w:t xml:space="preserve">, children are provided daily with 75 grams of fortified high energy biscuit in poverty stricken 82 </w:t>
      </w:r>
      <w:r w:rsidR="00A61F5E" w:rsidRPr="005F120D">
        <w:rPr>
          <w:rFonts w:asciiTheme="minorHAnsi" w:hAnsiTheme="minorHAnsi" w:cstheme="minorHAnsi"/>
          <w:sz w:val="20"/>
          <w:szCs w:val="25"/>
        </w:rPr>
        <w:t>Upazilas</w:t>
      </w:r>
      <w:r w:rsidRPr="005F120D">
        <w:rPr>
          <w:rFonts w:asciiTheme="minorHAnsi" w:hAnsiTheme="minorHAnsi" w:cstheme="minorHAnsi"/>
          <w:sz w:val="20"/>
          <w:szCs w:val="25"/>
        </w:rPr>
        <w:t xml:space="preserve"> across the country.  </w:t>
      </w:r>
      <w:r w:rsidRPr="005F120D">
        <w:rPr>
          <w:rFonts w:asciiTheme="minorHAnsi" w:hAnsiTheme="minorHAnsi" w:cstheme="minorHAnsi"/>
          <w:sz w:val="20"/>
        </w:rPr>
        <w:t xml:space="preserve">The program implementing agency is DPE, MoPME.  </w:t>
      </w:r>
      <w:r w:rsidR="00802B33" w:rsidRPr="005F120D">
        <w:rPr>
          <w:rFonts w:asciiTheme="minorHAnsi" w:hAnsiTheme="minorHAnsi" w:cstheme="minorHAnsi"/>
          <w:sz w:val="20"/>
        </w:rPr>
        <w:t>Program</w:t>
      </w:r>
      <w:r w:rsidRPr="005F120D">
        <w:rPr>
          <w:rFonts w:asciiTheme="minorHAnsi" w:hAnsiTheme="minorHAnsi" w:cstheme="minorHAnsi"/>
          <w:sz w:val="20"/>
        </w:rPr>
        <w:t xml:space="preserve"> implementation </w:t>
      </w:r>
      <w:r w:rsidR="00EF7871" w:rsidRPr="005F120D">
        <w:rPr>
          <w:rFonts w:asciiTheme="minorHAnsi" w:hAnsiTheme="minorHAnsi" w:cstheme="minorHAnsi"/>
          <w:sz w:val="20"/>
        </w:rPr>
        <w:t>period was</w:t>
      </w:r>
      <w:r w:rsidRPr="005F120D">
        <w:rPr>
          <w:rFonts w:asciiTheme="minorHAnsi" w:hAnsiTheme="minorHAnsi" w:cstheme="minorHAnsi"/>
          <w:sz w:val="20"/>
        </w:rPr>
        <w:t xml:space="preserve"> from July 2010 to December 2014.  </w:t>
      </w:r>
    </w:p>
    <w:p w:rsidR="00870B14" w:rsidRPr="005F120D" w:rsidRDefault="005A115F" w:rsidP="00B25E46">
      <w:pPr>
        <w:spacing w:before="120" w:after="120"/>
        <w:jc w:val="both"/>
        <w:rPr>
          <w:rFonts w:asciiTheme="minorHAnsi" w:hAnsiTheme="minorHAnsi" w:cstheme="minorHAnsi"/>
          <w:sz w:val="20"/>
          <w:szCs w:val="25"/>
        </w:rPr>
      </w:pPr>
      <w:r w:rsidRPr="005F120D">
        <w:rPr>
          <w:rFonts w:asciiTheme="minorHAnsi" w:hAnsiTheme="minorHAnsi" w:cstheme="minorHAnsi"/>
          <w:sz w:val="20"/>
          <w:szCs w:val="25"/>
        </w:rPr>
        <w:lastRenderedPageBreak/>
        <w:t xml:space="preserve">The </w:t>
      </w:r>
      <w:r w:rsidR="00802B33" w:rsidRPr="005F120D">
        <w:rPr>
          <w:rFonts w:asciiTheme="minorHAnsi" w:hAnsiTheme="minorHAnsi" w:cstheme="minorHAnsi"/>
          <w:sz w:val="20"/>
          <w:szCs w:val="25"/>
        </w:rPr>
        <w:t>program</w:t>
      </w:r>
      <w:r w:rsidRPr="005F120D">
        <w:rPr>
          <w:rFonts w:asciiTheme="minorHAnsi" w:hAnsiTheme="minorHAnsi" w:cstheme="minorHAnsi"/>
          <w:sz w:val="20"/>
          <w:szCs w:val="25"/>
        </w:rPr>
        <w:t xml:space="preserve"> covers government primary schools, registered non-government primary schools, community schools, Shishu</w:t>
      </w:r>
      <w:r w:rsidR="00A61F5E">
        <w:rPr>
          <w:rFonts w:asciiTheme="minorHAnsi" w:hAnsiTheme="minorHAnsi" w:cstheme="minorHAnsi"/>
          <w:sz w:val="20"/>
          <w:szCs w:val="25"/>
        </w:rPr>
        <w:t xml:space="preserve"> </w:t>
      </w:r>
      <w:r w:rsidR="00DF433C" w:rsidRPr="005F120D">
        <w:rPr>
          <w:rFonts w:asciiTheme="minorHAnsi" w:hAnsiTheme="minorHAnsi" w:cstheme="minorHAnsi"/>
          <w:sz w:val="20"/>
          <w:szCs w:val="25"/>
        </w:rPr>
        <w:t>Kollyan</w:t>
      </w:r>
      <w:r w:rsidRPr="005F120D">
        <w:rPr>
          <w:rFonts w:asciiTheme="minorHAnsi" w:hAnsiTheme="minorHAnsi" w:cstheme="minorHAnsi"/>
          <w:sz w:val="20"/>
          <w:szCs w:val="25"/>
        </w:rPr>
        <w:t xml:space="preserve"> Trust schools, independent Ebtedayee</w:t>
      </w:r>
      <w:r w:rsidR="00A61F5E">
        <w:rPr>
          <w:rFonts w:asciiTheme="minorHAnsi" w:hAnsiTheme="minorHAnsi" w:cstheme="minorHAnsi"/>
          <w:sz w:val="20"/>
          <w:szCs w:val="25"/>
        </w:rPr>
        <w:t xml:space="preserve"> Madrasha</w:t>
      </w:r>
      <w:r w:rsidRPr="005F120D">
        <w:rPr>
          <w:rFonts w:asciiTheme="minorHAnsi" w:hAnsiTheme="minorHAnsi" w:cstheme="minorHAnsi"/>
          <w:sz w:val="20"/>
          <w:szCs w:val="25"/>
        </w:rPr>
        <w:t xml:space="preserve"> and NGO schools. Under the </w:t>
      </w:r>
      <w:r w:rsidR="00802B33" w:rsidRPr="005F120D">
        <w:rPr>
          <w:rFonts w:asciiTheme="minorHAnsi" w:hAnsiTheme="minorHAnsi" w:cstheme="minorHAnsi"/>
          <w:sz w:val="20"/>
          <w:szCs w:val="25"/>
        </w:rPr>
        <w:t>program</w:t>
      </w:r>
      <w:r w:rsidRPr="005F120D">
        <w:rPr>
          <w:rFonts w:asciiTheme="minorHAnsi" w:hAnsiTheme="minorHAnsi" w:cstheme="minorHAnsi"/>
          <w:sz w:val="20"/>
          <w:szCs w:val="25"/>
        </w:rPr>
        <w:t>, all the students</w:t>
      </w:r>
      <w:r w:rsidR="009A5113" w:rsidRPr="005F120D">
        <w:rPr>
          <w:rFonts w:asciiTheme="minorHAnsi" w:hAnsiTheme="minorHAnsi" w:cstheme="minorHAnsi"/>
          <w:sz w:val="20"/>
          <w:szCs w:val="25"/>
        </w:rPr>
        <w:t xml:space="preserve">, enrolled in the assisted </w:t>
      </w:r>
      <w:r w:rsidR="00EC1F70" w:rsidRPr="005F120D">
        <w:rPr>
          <w:rFonts w:asciiTheme="minorHAnsi" w:hAnsiTheme="minorHAnsi" w:cstheme="minorHAnsi"/>
          <w:sz w:val="20"/>
          <w:szCs w:val="25"/>
        </w:rPr>
        <w:t>Upazilas</w:t>
      </w:r>
      <w:r w:rsidR="009A5113" w:rsidRPr="005F120D">
        <w:rPr>
          <w:rFonts w:asciiTheme="minorHAnsi" w:hAnsiTheme="minorHAnsi" w:cstheme="minorHAnsi"/>
          <w:sz w:val="20"/>
          <w:szCs w:val="25"/>
        </w:rPr>
        <w:t>,</w:t>
      </w:r>
      <w:r w:rsidRPr="005F120D">
        <w:rPr>
          <w:rFonts w:asciiTheme="minorHAnsi" w:hAnsiTheme="minorHAnsi" w:cstheme="minorHAnsi"/>
          <w:sz w:val="20"/>
          <w:szCs w:val="25"/>
        </w:rPr>
        <w:t xml:space="preserve"> are provided daily with 75 grams of fortified high energy biscuit. In 2013/14, 2,706,953</w:t>
      </w:r>
      <w:r w:rsidR="009A5113" w:rsidRPr="005F120D">
        <w:rPr>
          <w:rFonts w:asciiTheme="minorHAnsi" w:hAnsiTheme="minorHAnsi" w:cstheme="minorHAnsi"/>
          <w:sz w:val="20"/>
          <w:szCs w:val="25"/>
        </w:rPr>
        <w:t xml:space="preserve"> children were provided</w:t>
      </w:r>
      <w:r w:rsidRPr="005F120D">
        <w:rPr>
          <w:rFonts w:asciiTheme="minorHAnsi" w:hAnsiTheme="minorHAnsi" w:cstheme="minorHAnsi"/>
          <w:sz w:val="20"/>
          <w:szCs w:val="25"/>
        </w:rPr>
        <w:t xml:space="preserve"> biscuits against the target</w:t>
      </w:r>
      <w:r w:rsidR="00870B14" w:rsidRPr="005F120D">
        <w:rPr>
          <w:rFonts w:asciiTheme="minorHAnsi" w:hAnsiTheme="minorHAnsi" w:cstheme="minorHAnsi"/>
          <w:sz w:val="20"/>
          <w:szCs w:val="25"/>
        </w:rPr>
        <w:t>ed</w:t>
      </w:r>
      <w:r w:rsidR="009A5113" w:rsidRPr="005F120D">
        <w:rPr>
          <w:rFonts w:asciiTheme="minorHAnsi" w:hAnsiTheme="minorHAnsi" w:cstheme="minorHAnsi"/>
          <w:sz w:val="20"/>
          <w:szCs w:val="25"/>
        </w:rPr>
        <w:t xml:space="preserve"> number of 2,640,000</w:t>
      </w:r>
      <w:r w:rsidR="006F5F9A" w:rsidRPr="005F120D">
        <w:rPr>
          <w:rFonts w:asciiTheme="minorHAnsi" w:hAnsiTheme="minorHAnsi" w:cstheme="minorHAnsi"/>
          <w:sz w:val="20"/>
          <w:szCs w:val="25"/>
        </w:rPr>
        <w:t>.</w:t>
      </w:r>
    </w:p>
    <w:p w:rsidR="005A115F" w:rsidRPr="005F120D" w:rsidRDefault="005A115F" w:rsidP="00B25E46">
      <w:pPr>
        <w:jc w:val="both"/>
        <w:rPr>
          <w:rFonts w:asciiTheme="minorHAnsi" w:hAnsiTheme="minorHAnsi" w:cstheme="minorHAnsi"/>
          <w:sz w:val="20"/>
          <w:szCs w:val="28"/>
        </w:rPr>
      </w:pPr>
      <w:r w:rsidRPr="005F120D">
        <w:rPr>
          <w:rFonts w:asciiTheme="minorHAnsi" w:hAnsiTheme="minorHAnsi" w:cstheme="minorHAnsi"/>
          <w:sz w:val="20"/>
          <w:szCs w:val="25"/>
        </w:rPr>
        <w:t xml:space="preserve">The </w:t>
      </w:r>
      <w:r w:rsidR="00802B33" w:rsidRPr="005F120D">
        <w:rPr>
          <w:rFonts w:asciiTheme="minorHAnsi" w:hAnsiTheme="minorHAnsi" w:cstheme="minorHAnsi"/>
          <w:sz w:val="20"/>
          <w:szCs w:val="25"/>
        </w:rPr>
        <w:t>program</w:t>
      </w:r>
      <w:r w:rsidRPr="005F120D">
        <w:rPr>
          <w:rFonts w:asciiTheme="minorHAnsi" w:hAnsiTheme="minorHAnsi" w:cstheme="minorHAnsi"/>
          <w:sz w:val="20"/>
          <w:szCs w:val="25"/>
        </w:rPr>
        <w:t xml:space="preserve"> also incorporates a community awareness raising </w:t>
      </w:r>
      <w:r w:rsidR="00802B33" w:rsidRPr="005F120D">
        <w:rPr>
          <w:rFonts w:asciiTheme="minorHAnsi" w:hAnsiTheme="minorHAnsi" w:cstheme="minorHAnsi"/>
          <w:sz w:val="20"/>
          <w:szCs w:val="25"/>
        </w:rPr>
        <w:t>program</w:t>
      </w:r>
      <w:r w:rsidRPr="005F120D">
        <w:rPr>
          <w:rFonts w:asciiTheme="minorHAnsi" w:hAnsiTheme="minorHAnsi" w:cstheme="minorHAnsi"/>
          <w:sz w:val="20"/>
          <w:szCs w:val="25"/>
        </w:rPr>
        <w:t>, targeting guardians, SMC members and community groups. The awareness raising training covers: (i) establishing school vegetable garden</w:t>
      </w:r>
      <w:r w:rsidR="009A5113" w:rsidRPr="005F120D">
        <w:rPr>
          <w:rFonts w:asciiTheme="minorHAnsi" w:hAnsiTheme="minorHAnsi" w:cstheme="minorHAnsi"/>
          <w:sz w:val="20"/>
          <w:szCs w:val="25"/>
        </w:rPr>
        <w:t>s</w:t>
      </w:r>
      <w:r w:rsidRPr="005F120D">
        <w:rPr>
          <w:rFonts w:asciiTheme="minorHAnsi" w:hAnsiTheme="minorHAnsi" w:cstheme="minorHAnsi"/>
          <w:sz w:val="20"/>
          <w:szCs w:val="25"/>
        </w:rPr>
        <w:t xml:space="preserve">; (ii) sanitation and hygiene, health, nutrition; </w:t>
      </w:r>
      <w:r w:rsidR="009A5113" w:rsidRPr="005F120D">
        <w:rPr>
          <w:rFonts w:asciiTheme="minorHAnsi" w:hAnsiTheme="minorHAnsi" w:cstheme="minorHAnsi"/>
          <w:sz w:val="20"/>
          <w:szCs w:val="25"/>
        </w:rPr>
        <w:t>(iii) de-worming; (iv) encouraging</w:t>
      </w:r>
      <w:r w:rsidRPr="005F120D">
        <w:rPr>
          <w:rFonts w:asciiTheme="minorHAnsi" w:hAnsiTheme="minorHAnsi" w:cstheme="minorHAnsi"/>
          <w:sz w:val="20"/>
          <w:szCs w:val="25"/>
        </w:rPr>
        <w:t xml:space="preserve"> female participation in SMC; (v) HIV AIDS awareness; and (vi) disaster risk reduction and impact of climate change.</w:t>
      </w:r>
    </w:p>
    <w:p w:rsidR="005A115F" w:rsidRPr="005F120D" w:rsidRDefault="005A115F" w:rsidP="00B25E46">
      <w:pPr>
        <w:jc w:val="both"/>
        <w:rPr>
          <w:rFonts w:asciiTheme="minorHAnsi" w:hAnsiTheme="minorHAnsi" w:cstheme="minorHAnsi"/>
          <w:sz w:val="20"/>
          <w:szCs w:val="25"/>
        </w:rPr>
      </w:pPr>
      <w:r w:rsidRPr="005F120D">
        <w:rPr>
          <w:rFonts w:asciiTheme="minorHAnsi" w:hAnsiTheme="minorHAnsi" w:cstheme="minorHAnsi"/>
          <w:sz w:val="20"/>
          <w:szCs w:val="25"/>
        </w:rPr>
        <w:t>The key achievement</w:t>
      </w:r>
      <w:r w:rsidR="009A5113" w:rsidRPr="005F120D">
        <w:rPr>
          <w:rFonts w:asciiTheme="minorHAnsi" w:hAnsiTheme="minorHAnsi" w:cstheme="minorHAnsi"/>
          <w:sz w:val="20"/>
          <w:szCs w:val="25"/>
        </w:rPr>
        <w:t>s</w:t>
      </w:r>
      <w:r w:rsidR="00A61F5E">
        <w:rPr>
          <w:rFonts w:asciiTheme="minorHAnsi" w:hAnsiTheme="minorHAnsi" w:cstheme="minorHAnsi"/>
          <w:sz w:val="20"/>
          <w:szCs w:val="25"/>
        </w:rPr>
        <w:t xml:space="preserve"> </w:t>
      </w:r>
      <w:r w:rsidR="009A5113" w:rsidRPr="005F120D">
        <w:rPr>
          <w:rFonts w:asciiTheme="minorHAnsi" w:hAnsiTheme="minorHAnsi" w:cstheme="minorHAnsi"/>
          <w:sz w:val="20"/>
          <w:szCs w:val="25"/>
        </w:rPr>
        <w:t xml:space="preserve">of the </w:t>
      </w:r>
      <w:r w:rsidRPr="005F120D">
        <w:rPr>
          <w:rFonts w:asciiTheme="minorHAnsi" w:hAnsiTheme="minorHAnsi" w:cstheme="minorHAnsi"/>
          <w:sz w:val="20"/>
          <w:szCs w:val="25"/>
        </w:rPr>
        <w:t xml:space="preserve">programs to-date are: (i) 100% </w:t>
      </w:r>
      <w:r w:rsidR="004B53A0" w:rsidRPr="005F120D">
        <w:rPr>
          <w:rFonts w:asciiTheme="minorHAnsi" w:hAnsiTheme="minorHAnsi" w:cstheme="minorHAnsi"/>
          <w:sz w:val="20"/>
          <w:szCs w:val="25"/>
        </w:rPr>
        <w:t>enrolment</w:t>
      </w:r>
      <w:r w:rsidRPr="005F120D">
        <w:rPr>
          <w:rFonts w:asciiTheme="minorHAnsi" w:hAnsiTheme="minorHAnsi" w:cstheme="minorHAnsi"/>
          <w:sz w:val="20"/>
          <w:szCs w:val="25"/>
        </w:rPr>
        <w:t xml:space="preserve"> attained in the </w:t>
      </w:r>
      <w:r w:rsidR="00802B33" w:rsidRPr="005F120D">
        <w:rPr>
          <w:rFonts w:asciiTheme="minorHAnsi" w:hAnsiTheme="minorHAnsi" w:cstheme="minorHAnsi"/>
          <w:sz w:val="20"/>
          <w:szCs w:val="25"/>
        </w:rPr>
        <w:t>program</w:t>
      </w:r>
      <w:r w:rsidRPr="005F120D">
        <w:rPr>
          <w:rFonts w:asciiTheme="minorHAnsi" w:hAnsiTheme="minorHAnsi" w:cstheme="minorHAnsi"/>
          <w:sz w:val="20"/>
          <w:szCs w:val="25"/>
        </w:rPr>
        <w:t xml:space="preserve"> areas; (ii) Increased attendance rate on an average 5-13%; (iii) reduced dropout rate; (iv) improved nutritional level of students; and (v) positive impact on improving </w:t>
      </w:r>
      <w:r w:rsidR="009A5113" w:rsidRPr="005F120D">
        <w:rPr>
          <w:rFonts w:asciiTheme="minorHAnsi" w:hAnsiTheme="minorHAnsi" w:cstheme="minorHAnsi"/>
          <w:sz w:val="20"/>
          <w:szCs w:val="25"/>
        </w:rPr>
        <w:t xml:space="preserve">the </w:t>
      </w:r>
      <w:r w:rsidRPr="005F120D">
        <w:rPr>
          <w:rFonts w:asciiTheme="minorHAnsi" w:hAnsiTheme="minorHAnsi" w:cstheme="minorHAnsi"/>
          <w:sz w:val="20"/>
          <w:szCs w:val="25"/>
        </w:rPr>
        <w:t xml:space="preserve">quality of primary education  </w:t>
      </w:r>
    </w:p>
    <w:p w:rsidR="00870B14" w:rsidRPr="005F120D" w:rsidRDefault="00870B14" w:rsidP="00B25E46">
      <w:pPr>
        <w:jc w:val="both"/>
        <w:rPr>
          <w:rFonts w:asciiTheme="minorHAnsi" w:hAnsiTheme="minorHAnsi" w:cstheme="minorHAnsi"/>
          <w:sz w:val="20"/>
          <w:szCs w:val="25"/>
        </w:rPr>
      </w:pPr>
      <w:r w:rsidRPr="005F120D">
        <w:rPr>
          <w:rFonts w:asciiTheme="minorHAnsi" w:hAnsiTheme="minorHAnsi" w:cstheme="minorHAnsi"/>
          <w:sz w:val="20"/>
          <w:szCs w:val="25"/>
        </w:rPr>
        <w:t>In addition, WFP has the piloting initiative from the FY 2013/14 of cooked food (mid-day meal) instead</w:t>
      </w:r>
      <w:r w:rsidR="00A61F5E">
        <w:rPr>
          <w:rFonts w:asciiTheme="minorHAnsi" w:hAnsiTheme="minorHAnsi" w:cstheme="minorHAnsi"/>
          <w:sz w:val="20"/>
          <w:szCs w:val="25"/>
        </w:rPr>
        <w:t xml:space="preserve"> </w:t>
      </w:r>
      <w:r w:rsidR="009A5113" w:rsidRPr="005F120D">
        <w:rPr>
          <w:rFonts w:asciiTheme="minorHAnsi" w:hAnsiTheme="minorHAnsi" w:cstheme="minorHAnsi"/>
          <w:sz w:val="20"/>
          <w:szCs w:val="25"/>
        </w:rPr>
        <w:t xml:space="preserve">of </w:t>
      </w:r>
      <w:r w:rsidRPr="005F120D">
        <w:rPr>
          <w:rFonts w:asciiTheme="minorHAnsi" w:hAnsiTheme="minorHAnsi" w:cstheme="minorHAnsi"/>
          <w:sz w:val="20"/>
          <w:szCs w:val="25"/>
        </w:rPr>
        <w:t xml:space="preserve">biscuits in Bamna Upazila under Barguna district, Barisal division and Islampur Upazila under Jamalpur district, Dhaka division. </w:t>
      </w:r>
    </w:p>
    <w:p w:rsidR="001D1FE4" w:rsidRPr="005F120D" w:rsidRDefault="002F49CB" w:rsidP="00B25E46">
      <w:pPr>
        <w:pStyle w:val="Heading2NONUM"/>
        <w:numPr>
          <w:ilvl w:val="0"/>
          <w:numId w:val="36"/>
        </w:numPr>
        <w:rPr>
          <w:rFonts w:asciiTheme="minorHAnsi" w:hAnsiTheme="minorHAnsi" w:cstheme="minorHAnsi"/>
          <w:bCs/>
          <w:color w:val="3333FF"/>
        </w:rPr>
      </w:pPr>
      <w:r w:rsidRPr="005F120D">
        <w:rPr>
          <w:rFonts w:asciiTheme="minorHAnsi" w:hAnsiTheme="minorHAnsi" w:cstheme="minorHAnsi"/>
          <w:bCs/>
          <w:color w:val="3333FF"/>
        </w:rPr>
        <w:t>Name of the Project</w:t>
      </w:r>
      <w:r w:rsidR="001D1FE4" w:rsidRPr="005F120D">
        <w:rPr>
          <w:rFonts w:asciiTheme="minorHAnsi" w:hAnsiTheme="minorHAnsi" w:cstheme="minorHAnsi"/>
          <w:bCs/>
          <w:color w:val="3333FF"/>
        </w:rPr>
        <w:t>:</w:t>
      </w:r>
      <w:r w:rsidR="00A61F5E">
        <w:rPr>
          <w:rFonts w:asciiTheme="minorHAnsi" w:hAnsiTheme="minorHAnsi" w:cstheme="minorHAnsi"/>
          <w:bCs/>
          <w:color w:val="3333FF"/>
        </w:rPr>
        <w:t xml:space="preserve"> </w:t>
      </w:r>
      <w:r w:rsidR="001D1FE4" w:rsidRPr="005F120D">
        <w:rPr>
          <w:rFonts w:asciiTheme="minorHAnsi" w:hAnsiTheme="minorHAnsi" w:cstheme="minorHAnsi"/>
          <w:color w:val="3333FF"/>
          <w:u w:val="single"/>
        </w:rPr>
        <w:t>E</w:t>
      </w:r>
      <w:r w:rsidR="003A3560" w:rsidRPr="005F120D">
        <w:rPr>
          <w:rFonts w:asciiTheme="minorHAnsi" w:hAnsiTheme="minorHAnsi" w:cstheme="minorHAnsi"/>
          <w:color w:val="3333FF"/>
          <w:u w:val="single"/>
        </w:rPr>
        <w:t>U</w:t>
      </w:r>
      <w:r w:rsidR="001D1FE4" w:rsidRPr="005F120D">
        <w:rPr>
          <w:rFonts w:asciiTheme="minorHAnsi" w:hAnsiTheme="minorHAnsi" w:cstheme="minorHAnsi"/>
          <w:color w:val="3333FF"/>
          <w:u w:val="single"/>
        </w:rPr>
        <w:t xml:space="preserve"> Assisted School Feeding </w:t>
      </w:r>
      <w:r w:rsidR="00802B33" w:rsidRPr="005F120D">
        <w:rPr>
          <w:rFonts w:asciiTheme="minorHAnsi" w:hAnsiTheme="minorHAnsi" w:cstheme="minorHAnsi"/>
          <w:color w:val="3333FF"/>
          <w:u w:val="single"/>
        </w:rPr>
        <w:t>Program</w:t>
      </w:r>
      <w:r w:rsidR="001D1FE4" w:rsidRPr="005F120D">
        <w:rPr>
          <w:rFonts w:asciiTheme="minorHAnsi" w:hAnsiTheme="minorHAnsi" w:cstheme="minorHAnsi"/>
          <w:bCs/>
          <w:color w:val="3333FF"/>
          <w:u w:val="single"/>
        </w:rPr>
        <w:t>.</w:t>
      </w:r>
    </w:p>
    <w:p w:rsidR="00995A4E" w:rsidRPr="005F120D" w:rsidRDefault="00995A4E" w:rsidP="006A126A">
      <w:pPr>
        <w:pStyle w:val="BodyText1"/>
        <w:spacing w:after="0" w:line="240" w:lineRule="auto"/>
        <w:rPr>
          <w:rFonts w:asciiTheme="minorHAnsi" w:hAnsiTheme="minorHAnsi" w:cstheme="minorHAnsi"/>
          <w:color w:val="3333FF"/>
        </w:rPr>
      </w:pPr>
      <w:r w:rsidRPr="005F120D">
        <w:rPr>
          <w:rFonts w:asciiTheme="minorHAnsi" w:hAnsiTheme="minorHAnsi" w:cstheme="minorHAnsi"/>
          <w:color w:val="3333FF"/>
        </w:rPr>
        <w:t>The project was phased out in December 2015</w:t>
      </w:r>
      <w:r w:rsidR="001E1887" w:rsidRPr="005F120D">
        <w:rPr>
          <w:rFonts w:asciiTheme="minorHAnsi" w:hAnsiTheme="minorHAnsi" w:cstheme="minorHAnsi"/>
          <w:color w:val="3333FF"/>
        </w:rPr>
        <w:t xml:space="preserve"> and there were surplus biscuits as this project continued up to December 2015 instead June 2015.</w:t>
      </w:r>
    </w:p>
    <w:p w:rsidR="001D1FE4" w:rsidRPr="005F120D" w:rsidRDefault="001D1FE4" w:rsidP="006A126A">
      <w:pPr>
        <w:pStyle w:val="BodyText1"/>
        <w:spacing w:after="0" w:line="240" w:lineRule="auto"/>
        <w:rPr>
          <w:rFonts w:asciiTheme="minorHAnsi" w:hAnsiTheme="minorHAnsi" w:cstheme="minorHAnsi"/>
          <w:b w:val="0"/>
          <w:sz w:val="20"/>
          <w:szCs w:val="20"/>
        </w:rPr>
      </w:pPr>
      <w:r w:rsidRPr="005F120D">
        <w:rPr>
          <w:rFonts w:asciiTheme="minorHAnsi" w:hAnsiTheme="minorHAnsi" w:cstheme="minorHAnsi"/>
        </w:rPr>
        <w:t>Goal/Aim</w:t>
      </w:r>
      <w:r w:rsidRPr="005F120D">
        <w:rPr>
          <w:rFonts w:asciiTheme="minorHAnsi" w:hAnsiTheme="minorHAnsi" w:cstheme="minorHAnsi"/>
          <w:sz w:val="20"/>
          <w:szCs w:val="20"/>
        </w:rPr>
        <w:t xml:space="preserve">: </w:t>
      </w:r>
      <w:r w:rsidR="0065335B" w:rsidRPr="005F120D">
        <w:rPr>
          <w:rFonts w:asciiTheme="minorHAnsi" w:hAnsiTheme="minorHAnsi" w:cstheme="minorHAnsi"/>
          <w:b w:val="0"/>
          <w:sz w:val="20"/>
        </w:rPr>
        <w:t>To contribute to</w:t>
      </w:r>
      <w:r w:rsidRPr="005F120D">
        <w:rPr>
          <w:rFonts w:asciiTheme="minorHAnsi" w:hAnsiTheme="minorHAnsi" w:cstheme="minorHAnsi"/>
          <w:b w:val="0"/>
          <w:sz w:val="20"/>
        </w:rPr>
        <w:t xml:space="preserve"> the achievement of MDG</w:t>
      </w:r>
      <w:r w:rsidRPr="005F120D">
        <w:rPr>
          <w:rFonts w:asciiTheme="minorHAnsi" w:hAnsiTheme="minorHAnsi" w:cstheme="minorHAnsi"/>
          <w:b w:val="0"/>
          <w:sz w:val="20"/>
          <w:szCs w:val="20"/>
        </w:rPr>
        <w:t>1</w:t>
      </w:r>
      <w:r w:rsidR="00A76966" w:rsidRPr="005F120D">
        <w:rPr>
          <w:rFonts w:asciiTheme="minorHAnsi" w:hAnsiTheme="minorHAnsi" w:cstheme="minorHAnsi"/>
          <w:b w:val="0"/>
          <w:sz w:val="20"/>
          <w:szCs w:val="20"/>
        </w:rPr>
        <w:t>&amp; 2i.e.</w:t>
      </w:r>
      <w:r w:rsidRPr="005F120D">
        <w:rPr>
          <w:rFonts w:asciiTheme="minorHAnsi" w:hAnsiTheme="minorHAnsi" w:cstheme="minorHAnsi"/>
          <w:b w:val="0"/>
          <w:sz w:val="20"/>
          <w:szCs w:val="20"/>
        </w:rPr>
        <w:t xml:space="preserve"> the reduction of extreme poverty and hunger</w:t>
      </w:r>
      <w:r w:rsidR="00A76966" w:rsidRPr="005F120D">
        <w:rPr>
          <w:rFonts w:asciiTheme="minorHAnsi" w:hAnsiTheme="minorHAnsi" w:cstheme="minorHAnsi"/>
          <w:b w:val="0"/>
          <w:sz w:val="20"/>
          <w:szCs w:val="20"/>
        </w:rPr>
        <w:t xml:space="preserve"> and also</w:t>
      </w:r>
      <w:r w:rsidR="0065335B" w:rsidRPr="005F120D">
        <w:rPr>
          <w:rFonts w:asciiTheme="minorHAnsi" w:hAnsiTheme="minorHAnsi" w:cstheme="minorHAnsi"/>
          <w:b w:val="0"/>
          <w:sz w:val="20"/>
          <w:szCs w:val="20"/>
        </w:rPr>
        <w:t xml:space="preserve"> to </w:t>
      </w:r>
      <w:r w:rsidR="00A76966" w:rsidRPr="005F120D">
        <w:rPr>
          <w:rFonts w:asciiTheme="minorHAnsi" w:hAnsiTheme="minorHAnsi" w:cstheme="minorHAnsi"/>
          <w:b w:val="0"/>
          <w:sz w:val="20"/>
          <w:szCs w:val="20"/>
        </w:rPr>
        <w:t>enhance</w:t>
      </w:r>
      <w:r w:rsidR="0065335B" w:rsidRPr="005F120D">
        <w:rPr>
          <w:rFonts w:asciiTheme="minorHAnsi" w:hAnsiTheme="minorHAnsi" w:cstheme="minorHAnsi"/>
          <w:b w:val="0"/>
          <w:sz w:val="20"/>
          <w:szCs w:val="20"/>
        </w:rPr>
        <w:t xml:space="preserve"> the</w:t>
      </w:r>
      <w:r w:rsidR="00A61F5E">
        <w:rPr>
          <w:rFonts w:asciiTheme="minorHAnsi" w:hAnsiTheme="minorHAnsi" w:cstheme="minorHAnsi"/>
          <w:b w:val="0"/>
          <w:sz w:val="20"/>
          <w:szCs w:val="20"/>
        </w:rPr>
        <w:t xml:space="preserve"> </w:t>
      </w:r>
      <w:r w:rsidR="004B53A0" w:rsidRPr="005F120D">
        <w:rPr>
          <w:rFonts w:asciiTheme="minorHAnsi" w:hAnsiTheme="minorHAnsi" w:cstheme="minorHAnsi"/>
          <w:b w:val="0"/>
          <w:sz w:val="20"/>
          <w:szCs w:val="20"/>
        </w:rPr>
        <w:t>enrolment</w:t>
      </w:r>
      <w:r w:rsidR="00A76966" w:rsidRPr="005F120D">
        <w:rPr>
          <w:rFonts w:asciiTheme="minorHAnsi" w:hAnsiTheme="minorHAnsi" w:cstheme="minorHAnsi"/>
          <w:b w:val="0"/>
          <w:sz w:val="20"/>
          <w:szCs w:val="20"/>
        </w:rPr>
        <w:t xml:space="preserve"> rate and reduce </w:t>
      </w:r>
      <w:r w:rsidR="0065335B" w:rsidRPr="005F120D">
        <w:rPr>
          <w:rFonts w:asciiTheme="minorHAnsi" w:hAnsiTheme="minorHAnsi" w:cstheme="minorHAnsi"/>
          <w:b w:val="0"/>
          <w:sz w:val="20"/>
          <w:szCs w:val="20"/>
        </w:rPr>
        <w:t xml:space="preserve">the </w:t>
      </w:r>
      <w:r w:rsidR="00A76966" w:rsidRPr="005F120D">
        <w:rPr>
          <w:rFonts w:asciiTheme="minorHAnsi" w:hAnsiTheme="minorHAnsi" w:cstheme="minorHAnsi"/>
          <w:b w:val="0"/>
          <w:sz w:val="20"/>
          <w:szCs w:val="20"/>
        </w:rPr>
        <w:t>dropout rate</w:t>
      </w:r>
      <w:r w:rsidRPr="005F120D">
        <w:rPr>
          <w:rFonts w:asciiTheme="minorHAnsi" w:hAnsiTheme="minorHAnsi" w:cstheme="minorHAnsi"/>
          <w:b w:val="0"/>
          <w:sz w:val="20"/>
          <w:szCs w:val="20"/>
        </w:rPr>
        <w:t>.</w:t>
      </w:r>
    </w:p>
    <w:p w:rsidR="001D1FE4" w:rsidRPr="005F120D" w:rsidRDefault="001D1FE4" w:rsidP="006A126A">
      <w:pPr>
        <w:pStyle w:val="BodyText1"/>
        <w:spacing w:after="0" w:line="240" w:lineRule="auto"/>
        <w:rPr>
          <w:rFonts w:asciiTheme="minorHAnsi" w:hAnsiTheme="minorHAnsi" w:cstheme="minorHAnsi"/>
          <w:b w:val="0"/>
          <w:sz w:val="20"/>
          <w:szCs w:val="20"/>
        </w:rPr>
      </w:pPr>
      <w:r w:rsidRPr="005F120D">
        <w:rPr>
          <w:rFonts w:asciiTheme="minorHAnsi" w:hAnsiTheme="minorHAnsi" w:cstheme="minorHAnsi"/>
          <w:bCs/>
          <w:sz w:val="20"/>
          <w:szCs w:val="20"/>
        </w:rPr>
        <w:t xml:space="preserve">Purpose/Objective: </w:t>
      </w:r>
      <w:r w:rsidRPr="005F120D">
        <w:rPr>
          <w:rFonts w:asciiTheme="minorHAnsi" w:hAnsiTheme="minorHAnsi" w:cstheme="minorHAnsi"/>
          <w:b w:val="0"/>
          <w:sz w:val="20"/>
          <w:szCs w:val="20"/>
        </w:rPr>
        <w:t>The main objectives of the project are as follows:</w:t>
      </w:r>
    </w:p>
    <w:p w:rsidR="001D1FE4" w:rsidRPr="005F120D" w:rsidRDefault="001D1FE4" w:rsidP="006A126A">
      <w:pPr>
        <w:numPr>
          <w:ilvl w:val="0"/>
          <w:numId w:val="71"/>
        </w:numPr>
        <w:tabs>
          <w:tab w:val="left" w:pos="2880"/>
        </w:tabs>
        <w:spacing w:after="0"/>
        <w:jc w:val="both"/>
        <w:rPr>
          <w:rFonts w:asciiTheme="minorHAnsi" w:hAnsiTheme="minorHAnsi" w:cstheme="minorHAnsi"/>
          <w:sz w:val="20"/>
        </w:rPr>
      </w:pPr>
      <w:r w:rsidRPr="005F120D">
        <w:rPr>
          <w:rFonts w:asciiTheme="minorHAnsi" w:hAnsiTheme="minorHAnsi" w:cstheme="minorHAnsi"/>
          <w:sz w:val="20"/>
        </w:rPr>
        <w:t xml:space="preserve">Achieve universal primary education and reduce gender disparity.  </w:t>
      </w:r>
    </w:p>
    <w:p w:rsidR="001D1FE4" w:rsidRPr="005F120D" w:rsidRDefault="001D1FE4" w:rsidP="006A126A">
      <w:pPr>
        <w:numPr>
          <w:ilvl w:val="0"/>
          <w:numId w:val="71"/>
        </w:numPr>
        <w:tabs>
          <w:tab w:val="left" w:pos="2880"/>
        </w:tabs>
        <w:spacing w:after="0"/>
        <w:jc w:val="both"/>
        <w:rPr>
          <w:rFonts w:asciiTheme="minorHAnsi" w:hAnsiTheme="minorHAnsi" w:cstheme="minorHAnsi"/>
          <w:sz w:val="20"/>
        </w:rPr>
      </w:pPr>
      <w:r w:rsidRPr="005F120D">
        <w:rPr>
          <w:rFonts w:asciiTheme="minorHAnsi" w:hAnsiTheme="minorHAnsi" w:cstheme="minorHAnsi"/>
          <w:sz w:val="20"/>
        </w:rPr>
        <w:t xml:space="preserve">Enhance learning capability and more attentiveness towards studies of primary education </w:t>
      </w:r>
      <w:r w:rsidR="00183D52" w:rsidRPr="005F120D">
        <w:rPr>
          <w:rFonts w:asciiTheme="minorHAnsi" w:hAnsiTheme="minorHAnsi" w:cstheme="minorHAnsi"/>
          <w:sz w:val="20"/>
        </w:rPr>
        <w:t>institutes</w:t>
      </w:r>
      <w:r w:rsidRPr="005F120D">
        <w:rPr>
          <w:rFonts w:asciiTheme="minorHAnsi" w:hAnsiTheme="minorHAnsi" w:cstheme="minorHAnsi"/>
          <w:sz w:val="20"/>
        </w:rPr>
        <w:t xml:space="preserve"> in selected areas by supplying nutritious food.</w:t>
      </w:r>
    </w:p>
    <w:p w:rsidR="001D1FE4" w:rsidRPr="005F120D" w:rsidRDefault="001D1FE4" w:rsidP="006A126A">
      <w:pPr>
        <w:numPr>
          <w:ilvl w:val="0"/>
          <w:numId w:val="71"/>
        </w:numPr>
        <w:tabs>
          <w:tab w:val="left" w:pos="2880"/>
        </w:tabs>
        <w:spacing w:after="0"/>
        <w:jc w:val="both"/>
        <w:rPr>
          <w:rFonts w:asciiTheme="minorHAnsi" w:hAnsiTheme="minorHAnsi" w:cstheme="minorHAnsi"/>
          <w:sz w:val="20"/>
        </w:rPr>
      </w:pPr>
      <w:r w:rsidRPr="005F120D">
        <w:rPr>
          <w:rFonts w:asciiTheme="minorHAnsi" w:hAnsiTheme="minorHAnsi" w:cstheme="minorHAnsi"/>
          <w:sz w:val="20"/>
        </w:rPr>
        <w:t xml:space="preserve">Increase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attendance and </w:t>
      </w:r>
      <w:r w:rsidR="002F49CB" w:rsidRPr="005F120D">
        <w:rPr>
          <w:rFonts w:asciiTheme="minorHAnsi" w:hAnsiTheme="minorHAnsi" w:cstheme="minorHAnsi"/>
          <w:sz w:val="20"/>
        </w:rPr>
        <w:t>cycle completion</w:t>
      </w:r>
      <w:r w:rsidRPr="005F120D">
        <w:rPr>
          <w:rFonts w:asciiTheme="minorHAnsi" w:hAnsiTheme="minorHAnsi" w:cstheme="minorHAnsi"/>
          <w:sz w:val="20"/>
        </w:rPr>
        <w:t xml:space="preserve"> at the primary education</w:t>
      </w:r>
      <w:r w:rsidR="002F49CB" w:rsidRPr="005F120D">
        <w:rPr>
          <w:rFonts w:asciiTheme="minorHAnsi" w:hAnsiTheme="minorHAnsi" w:cstheme="minorHAnsi"/>
          <w:sz w:val="20"/>
        </w:rPr>
        <w:t xml:space="preserve"> sector</w:t>
      </w:r>
      <w:r w:rsidRPr="005F120D">
        <w:rPr>
          <w:rFonts w:asciiTheme="minorHAnsi" w:hAnsiTheme="minorHAnsi" w:cstheme="minorHAnsi"/>
          <w:sz w:val="20"/>
        </w:rPr>
        <w:t>.</w:t>
      </w:r>
    </w:p>
    <w:p w:rsidR="002F49CB" w:rsidRPr="005F120D" w:rsidRDefault="001D1FE4" w:rsidP="006A126A">
      <w:pPr>
        <w:numPr>
          <w:ilvl w:val="0"/>
          <w:numId w:val="71"/>
        </w:numPr>
        <w:tabs>
          <w:tab w:val="left" w:pos="2880"/>
        </w:tabs>
        <w:spacing w:after="0"/>
        <w:jc w:val="both"/>
        <w:rPr>
          <w:rFonts w:asciiTheme="minorHAnsi" w:hAnsiTheme="minorHAnsi" w:cstheme="minorHAnsi"/>
          <w:sz w:val="20"/>
        </w:rPr>
      </w:pPr>
      <w:r w:rsidRPr="005F120D">
        <w:rPr>
          <w:rFonts w:asciiTheme="minorHAnsi" w:hAnsiTheme="minorHAnsi" w:cstheme="minorHAnsi"/>
          <w:sz w:val="20"/>
        </w:rPr>
        <w:t xml:space="preserve">Increase the nutritional status of </w:t>
      </w:r>
      <w:r w:rsidR="00A76966" w:rsidRPr="005F120D">
        <w:rPr>
          <w:rFonts w:asciiTheme="minorHAnsi" w:hAnsiTheme="minorHAnsi" w:cstheme="minorHAnsi"/>
          <w:sz w:val="20"/>
        </w:rPr>
        <w:t>416</w:t>
      </w:r>
      <w:r w:rsidR="002F49CB" w:rsidRPr="005F120D">
        <w:rPr>
          <w:rFonts w:asciiTheme="minorHAnsi" w:hAnsiTheme="minorHAnsi" w:cstheme="minorHAnsi"/>
          <w:sz w:val="20"/>
        </w:rPr>
        <w:t>,</w:t>
      </w:r>
      <w:r w:rsidR="00A76966" w:rsidRPr="005F120D">
        <w:rPr>
          <w:rFonts w:asciiTheme="minorHAnsi" w:hAnsiTheme="minorHAnsi" w:cstheme="minorHAnsi"/>
          <w:sz w:val="20"/>
        </w:rPr>
        <w:t>454</w:t>
      </w:r>
      <w:r w:rsidRPr="005F120D">
        <w:rPr>
          <w:rFonts w:asciiTheme="minorHAnsi" w:hAnsiTheme="minorHAnsi" w:cstheme="minorHAnsi"/>
          <w:sz w:val="20"/>
        </w:rPr>
        <w:t xml:space="preserve"> primary school students.</w:t>
      </w:r>
    </w:p>
    <w:p w:rsidR="006E3A3A" w:rsidRPr="005F120D" w:rsidRDefault="006E3A3A" w:rsidP="006A126A">
      <w:pPr>
        <w:tabs>
          <w:tab w:val="left" w:pos="2880"/>
        </w:tabs>
        <w:spacing w:after="0"/>
        <w:ind w:left="1170"/>
        <w:jc w:val="both"/>
        <w:rPr>
          <w:rFonts w:asciiTheme="minorHAnsi" w:hAnsiTheme="minorHAnsi" w:cstheme="minorHAnsi"/>
          <w:sz w:val="20"/>
        </w:rPr>
      </w:pPr>
    </w:p>
    <w:p w:rsidR="002F49CB" w:rsidRPr="005F120D" w:rsidRDefault="001D1FE4" w:rsidP="006A126A">
      <w:pPr>
        <w:tabs>
          <w:tab w:val="left" w:pos="5760"/>
        </w:tabs>
        <w:spacing w:after="0"/>
        <w:rPr>
          <w:rFonts w:asciiTheme="minorHAnsi" w:hAnsiTheme="minorHAnsi" w:cstheme="minorHAnsi"/>
          <w:sz w:val="20"/>
        </w:rPr>
      </w:pPr>
      <w:r w:rsidRPr="005F120D">
        <w:rPr>
          <w:rFonts w:asciiTheme="minorHAnsi" w:hAnsiTheme="minorHAnsi" w:cstheme="minorHAnsi"/>
          <w:b/>
          <w:bCs/>
          <w:sz w:val="20"/>
        </w:rPr>
        <w:t>Implementation Period</w:t>
      </w:r>
      <w:r w:rsidRPr="005F120D">
        <w:rPr>
          <w:rFonts w:asciiTheme="minorHAnsi" w:hAnsiTheme="minorHAnsi" w:cstheme="minorHAnsi"/>
          <w:sz w:val="20"/>
        </w:rPr>
        <w:t xml:space="preserve"> (Project Start and Phase out date)</w:t>
      </w:r>
      <w:r w:rsidRPr="005F120D">
        <w:rPr>
          <w:rFonts w:asciiTheme="minorHAnsi" w:hAnsiTheme="minorHAnsi" w:cstheme="minorHAnsi"/>
          <w:b/>
          <w:bCs/>
          <w:sz w:val="20"/>
        </w:rPr>
        <w:t xml:space="preserve">: </w:t>
      </w:r>
      <w:r w:rsidRPr="005F120D">
        <w:rPr>
          <w:rFonts w:asciiTheme="minorHAnsi" w:hAnsiTheme="minorHAnsi" w:cstheme="minorHAnsi"/>
          <w:sz w:val="20"/>
        </w:rPr>
        <w:t>January 2009-December 2015</w:t>
      </w:r>
    </w:p>
    <w:p w:rsidR="002F49CB" w:rsidRPr="005F120D" w:rsidRDefault="001D1FE4" w:rsidP="006A126A">
      <w:pPr>
        <w:tabs>
          <w:tab w:val="left" w:pos="2880"/>
        </w:tabs>
        <w:spacing w:after="0"/>
        <w:rPr>
          <w:rFonts w:asciiTheme="minorHAnsi" w:hAnsiTheme="minorHAnsi" w:cstheme="minorHAnsi"/>
          <w:sz w:val="20"/>
        </w:rPr>
      </w:pPr>
      <w:r w:rsidRPr="005F120D">
        <w:rPr>
          <w:rFonts w:asciiTheme="minorHAnsi" w:hAnsiTheme="minorHAnsi" w:cstheme="minorHAnsi"/>
          <w:b/>
          <w:bCs/>
          <w:sz w:val="20"/>
        </w:rPr>
        <w:t xml:space="preserve">Implementation Cost: </w:t>
      </w:r>
      <w:r w:rsidR="002F49CB" w:rsidRPr="005F120D">
        <w:rPr>
          <w:rFonts w:asciiTheme="minorHAnsi" w:hAnsiTheme="minorHAnsi" w:cstheme="minorHAnsi"/>
          <w:sz w:val="20"/>
        </w:rPr>
        <w:t>The total cost is Taka</w:t>
      </w:r>
      <w:r w:rsidR="002F49CB" w:rsidRPr="005F120D">
        <w:rPr>
          <w:rFonts w:asciiTheme="minorHAnsi" w:hAnsiTheme="minorHAnsi" w:cstheme="minorHAnsi"/>
          <w:sz w:val="20"/>
          <w:lang w:val="de-DE"/>
        </w:rPr>
        <w:t xml:space="preserve">: </w:t>
      </w:r>
      <w:r w:rsidR="002F49CB" w:rsidRPr="005F120D">
        <w:rPr>
          <w:rFonts w:asciiTheme="minorHAnsi" w:hAnsiTheme="minorHAnsi" w:cstheme="minorHAnsi"/>
          <w:sz w:val="20"/>
        </w:rPr>
        <w:t xml:space="preserve">21,967.04 </w:t>
      </w:r>
      <w:r w:rsidR="00F738CE" w:rsidRPr="005F120D">
        <w:rPr>
          <w:rFonts w:asciiTheme="minorHAnsi" w:hAnsiTheme="minorHAnsi" w:cstheme="minorHAnsi"/>
          <w:sz w:val="20"/>
        </w:rPr>
        <w:t>lac</w:t>
      </w:r>
      <w:r w:rsidR="002F49CB" w:rsidRPr="005F120D">
        <w:rPr>
          <w:rFonts w:asciiTheme="minorHAnsi" w:hAnsiTheme="minorHAnsi" w:cstheme="minorHAnsi"/>
          <w:sz w:val="20"/>
        </w:rPr>
        <w:t xml:space="preserve"> (GOB TK. </w:t>
      </w:r>
      <w:r w:rsidR="002F49CB" w:rsidRPr="005F120D">
        <w:rPr>
          <w:rFonts w:asciiTheme="minorHAnsi" w:hAnsiTheme="minorHAnsi" w:cstheme="minorHAnsi"/>
          <w:sz w:val="20"/>
          <w:lang w:val="de-DE"/>
        </w:rPr>
        <w:t xml:space="preserve">7,536.60 </w:t>
      </w:r>
      <w:r w:rsidR="00F738CE" w:rsidRPr="005F120D">
        <w:rPr>
          <w:rFonts w:asciiTheme="minorHAnsi" w:hAnsiTheme="minorHAnsi" w:cstheme="minorHAnsi"/>
          <w:sz w:val="20"/>
        </w:rPr>
        <w:t>lac</w:t>
      </w:r>
      <w:r w:rsidR="002F49CB" w:rsidRPr="005F120D">
        <w:rPr>
          <w:rFonts w:asciiTheme="minorHAnsi" w:hAnsiTheme="minorHAnsi" w:cstheme="minorHAnsi"/>
          <w:sz w:val="20"/>
        </w:rPr>
        <w:t xml:space="preserve"> and RPA</w:t>
      </w:r>
      <w:r w:rsidR="002F49CB" w:rsidRPr="005F120D">
        <w:rPr>
          <w:rFonts w:asciiTheme="minorHAnsi" w:hAnsiTheme="minorHAnsi" w:cstheme="minorHAnsi"/>
          <w:sz w:val="20"/>
          <w:lang w:val="de-DE"/>
        </w:rPr>
        <w:t xml:space="preserve"> TK. 14,430.74 </w:t>
      </w:r>
      <w:r w:rsidR="00F738CE" w:rsidRPr="005F120D">
        <w:rPr>
          <w:rFonts w:asciiTheme="minorHAnsi" w:hAnsiTheme="minorHAnsi" w:cstheme="minorHAnsi"/>
          <w:sz w:val="20"/>
        </w:rPr>
        <w:t>lac</w:t>
      </w:r>
      <w:r w:rsidR="002F49CB" w:rsidRPr="005F120D">
        <w:rPr>
          <w:rFonts w:asciiTheme="minorHAnsi" w:hAnsiTheme="minorHAnsi" w:cstheme="minorHAnsi"/>
          <w:sz w:val="20"/>
        </w:rPr>
        <w:t>)</w:t>
      </w:r>
    </w:p>
    <w:p w:rsidR="002F49CB" w:rsidRPr="005F120D" w:rsidRDefault="001D1FE4" w:rsidP="006A126A">
      <w:pPr>
        <w:tabs>
          <w:tab w:val="left" w:pos="2880"/>
        </w:tabs>
        <w:spacing w:after="0"/>
        <w:rPr>
          <w:rFonts w:asciiTheme="minorHAnsi" w:hAnsiTheme="minorHAnsi" w:cstheme="minorHAnsi"/>
          <w:b/>
          <w:bCs/>
          <w:sz w:val="20"/>
        </w:rPr>
      </w:pPr>
      <w:r w:rsidRPr="005F120D">
        <w:rPr>
          <w:rFonts w:asciiTheme="minorHAnsi" w:hAnsiTheme="minorHAnsi" w:cstheme="minorHAnsi"/>
          <w:b/>
          <w:bCs/>
          <w:sz w:val="20"/>
        </w:rPr>
        <w:t xml:space="preserve">Sources of Fund: </w:t>
      </w:r>
      <w:r w:rsidRPr="005F120D">
        <w:rPr>
          <w:rFonts w:asciiTheme="minorHAnsi" w:hAnsiTheme="minorHAnsi" w:cstheme="minorHAnsi"/>
          <w:sz w:val="20"/>
        </w:rPr>
        <w:t>European Union and Government of Bangladesh</w:t>
      </w:r>
      <w:r w:rsidRPr="005F120D">
        <w:rPr>
          <w:rFonts w:asciiTheme="minorHAnsi" w:hAnsiTheme="minorHAnsi" w:cstheme="minorHAnsi"/>
          <w:b/>
          <w:bCs/>
          <w:sz w:val="20"/>
        </w:rPr>
        <w:t>.</w:t>
      </w:r>
    </w:p>
    <w:p w:rsidR="001D1FE4" w:rsidRPr="005F120D" w:rsidRDefault="001D1FE4" w:rsidP="006A126A">
      <w:pPr>
        <w:tabs>
          <w:tab w:val="left" w:pos="6480"/>
        </w:tabs>
        <w:spacing w:after="0"/>
        <w:rPr>
          <w:rFonts w:asciiTheme="minorHAnsi" w:hAnsiTheme="minorHAnsi" w:cstheme="minorHAnsi"/>
          <w:b/>
          <w:bCs/>
          <w:sz w:val="20"/>
        </w:rPr>
      </w:pPr>
      <w:r w:rsidRPr="005F120D">
        <w:rPr>
          <w:rFonts w:asciiTheme="minorHAnsi" w:hAnsiTheme="minorHAnsi" w:cstheme="minorHAnsi"/>
          <w:b/>
          <w:bCs/>
          <w:sz w:val="20"/>
        </w:rPr>
        <w:t xml:space="preserve">Coverage as of March 2015: </w:t>
      </w:r>
    </w:p>
    <w:tbl>
      <w:tblPr>
        <w:tblStyle w:val="TableGrid"/>
        <w:tblW w:w="5000" w:type="pct"/>
        <w:jc w:val="center"/>
        <w:tblLayout w:type="fixed"/>
        <w:tblLook w:val="01E0"/>
      </w:tblPr>
      <w:tblGrid>
        <w:gridCol w:w="2450"/>
        <w:gridCol w:w="2781"/>
        <w:gridCol w:w="782"/>
        <w:gridCol w:w="1217"/>
        <w:gridCol w:w="2015"/>
      </w:tblGrid>
      <w:tr w:rsidR="00A01F6F" w:rsidRPr="005F120D" w:rsidTr="00925F1C">
        <w:trPr>
          <w:trHeight w:hRule="exact" w:val="316"/>
          <w:jc w:val="center"/>
        </w:trPr>
        <w:tc>
          <w:tcPr>
            <w:tcW w:w="3910" w:type="pct"/>
            <w:gridSpan w:val="4"/>
            <w:tcBorders>
              <w:right w:val="single" w:sz="4" w:space="0" w:color="auto"/>
            </w:tcBorders>
            <w:shd w:val="clear" w:color="auto" w:fill="DDD9C3" w:themeFill="background2" w:themeFillShade="E6"/>
            <w:vAlign w:val="center"/>
          </w:tcPr>
          <w:p w:rsidR="001D1FE4" w:rsidRPr="005F120D" w:rsidRDefault="001D1FE4" w:rsidP="006A126A">
            <w:pPr>
              <w:tabs>
                <w:tab w:val="left" w:pos="6480"/>
              </w:tabs>
              <w:spacing w:after="0"/>
              <w:jc w:val="center"/>
              <w:rPr>
                <w:rFonts w:asciiTheme="minorHAnsi" w:hAnsiTheme="minorHAnsi" w:cstheme="minorHAnsi"/>
                <w:sz w:val="18"/>
                <w:szCs w:val="18"/>
              </w:rPr>
            </w:pPr>
            <w:r w:rsidRPr="005F120D">
              <w:rPr>
                <w:rFonts w:asciiTheme="minorHAnsi" w:hAnsiTheme="minorHAnsi" w:cstheme="minorHAnsi"/>
                <w:sz w:val="18"/>
                <w:szCs w:val="18"/>
              </w:rPr>
              <w:t>Coverage</w:t>
            </w:r>
          </w:p>
        </w:tc>
        <w:tc>
          <w:tcPr>
            <w:tcW w:w="1090" w:type="pct"/>
            <w:tcBorders>
              <w:top w:val="single" w:sz="4" w:space="0" w:color="auto"/>
              <w:left w:val="single" w:sz="4" w:space="0" w:color="auto"/>
              <w:bottom w:val="nil"/>
              <w:right w:val="single" w:sz="4" w:space="0" w:color="auto"/>
            </w:tcBorders>
            <w:shd w:val="clear" w:color="auto" w:fill="DDD9C3" w:themeFill="background2" w:themeFillShade="E6"/>
            <w:vAlign w:val="center"/>
          </w:tcPr>
          <w:p w:rsidR="001D1FE4" w:rsidRPr="005F120D" w:rsidRDefault="001D1FE4" w:rsidP="006A126A">
            <w:pPr>
              <w:tabs>
                <w:tab w:val="left" w:pos="6480"/>
              </w:tabs>
              <w:spacing w:after="0"/>
              <w:jc w:val="center"/>
              <w:rPr>
                <w:rFonts w:asciiTheme="minorHAnsi" w:hAnsiTheme="minorHAnsi" w:cstheme="minorHAnsi"/>
                <w:sz w:val="18"/>
                <w:szCs w:val="18"/>
              </w:rPr>
            </w:pPr>
            <w:r w:rsidRPr="005F120D">
              <w:rPr>
                <w:rFonts w:asciiTheme="minorHAnsi" w:hAnsiTheme="minorHAnsi" w:cstheme="minorHAnsi"/>
                <w:sz w:val="18"/>
                <w:szCs w:val="18"/>
              </w:rPr>
              <w:t>Remarks</w:t>
            </w:r>
          </w:p>
        </w:tc>
      </w:tr>
      <w:tr w:rsidR="00A01F6F" w:rsidRPr="005F120D" w:rsidTr="00925F1C">
        <w:trPr>
          <w:trHeight w:hRule="exact" w:val="352"/>
          <w:jc w:val="center"/>
        </w:trPr>
        <w:tc>
          <w:tcPr>
            <w:tcW w:w="1325" w:type="pct"/>
            <w:shd w:val="clear" w:color="auto" w:fill="DDD9C3" w:themeFill="background2" w:themeFillShade="E6"/>
            <w:vAlign w:val="center"/>
          </w:tcPr>
          <w:p w:rsidR="001D1FE4" w:rsidRPr="005F120D" w:rsidRDefault="001D1FE4" w:rsidP="006A126A">
            <w:pPr>
              <w:tabs>
                <w:tab w:val="left" w:pos="6480"/>
              </w:tabs>
              <w:spacing w:after="0"/>
              <w:rPr>
                <w:rFonts w:asciiTheme="minorHAnsi" w:hAnsiTheme="minorHAnsi" w:cstheme="minorHAnsi"/>
                <w:sz w:val="18"/>
                <w:szCs w:val="18"/>
              </w:rPr>
            </w:pPr>
            <w:r w:rsidRPr="005F120D">
              <w:rPr>
                <w:rFonts w:asciiTheme="minorHAnsi" w:hAnsiTheme="minorHAnsi" w:cstheme="minorHAnsi"/>
                <w:sz w:val="18"/>
                <w:szCs w:val="18"/>
              </w:rPr>
              <w:t>District</w:t>
            </w:r>
            <w:r w:rsidR="00A01F6F" w:rsidRPr="005F120D">
              <w:rPr>
                <w:rFonts w:asciiTheme="minorHAnsi" w:hAnsiTheme="minorHAnsi" w:cstheme="minorHAnsi"/>
                <w:sz w:val="18"/>
                <w:szCs w:val="18"/>
              </w:rPr>
              <w:t>s</w:t>
            </w:r>
          </w:p>
        </w:tc>
        <w:tc>
          <w:tcPr>
            <w:tcW w:w="1504" w:type="pct"/>
            <w:shd w:val="clear" w:color="auto" w:fill="DDD9C3" w:themeFill="background2" w:themeFillShade="E6"/>
            <w:vAlign w:val="center"/>
          </w:tcPr>
          <w:p w:rsidR="001D1FE4" w:rsidRPr="005F120D" w:rsidRDefault="001D1FE4" w:rsidP="006A126A">
            <w:pPr>
              <w:tabs>
                <w:tab w:val="left" w:pos="6480"/>
              </w:tabs>
              <w:spacing w:after="0"/>
              <w:jc w:val="center"/>
              <w:rPr>
                <w:rFonts w:asciiTheme="minorHAnsi" w:hAnsiTheme="minorHAnsi" w:cstheme="minorHAnsi"/>
                <w:sz w:val="18"/>
                <w:szCs w:val="18"/>
              </w:rPr>
            </w:pPr>
            <w:r w:rsidRPr="005F120D">
              <w:rPr>
                <w:rFonts w:asciiTheme="minorHAnsi" w:hAnsiTheme="minorHAnsi" w:cstheme="minorHAnsi"/>
                <w:sz w:val="18"/>
                <w:szCs w:val="18"/>
              </w:rPr>
              <w:t>Upazila</w:t>
            </w:r>
            <w:r w:rsidR="00A01F6F" w:rsidRPr="005F120D">
              <w:rPr>
                <w:rFonts w:asciiTheme="minorHAnsi" w:hAnsiTheme="minorHAnsi" w:cstheme="minorHAnsi"/>
                <w:sz w:val="18"/>
                <w:szCs w:val="18"/>
              </w:rPr>
              <w:t>s</w:t>
            </w:r>
          </w:p>
        </w:tc>
        <w:tc>
          <w:tcPr>
            <w:tcW w:w="423" w:type="pct"/>
            <w:shd w:val="clear" w:color="auto" w:fill="DDD9C3" w:themeFill="background2" w:themeFillShade="E6"/>
            <w:vAlign w:val="center"/>
          </w:tcPr>
          <w:p w:rsidR="001D1FE4" w:rsidRPr="005F120D" w:rsidRDefault="001D1FE4" w:rsidP="006A126A">
            <w:pPr>
              <w:tabs>
                <w:tab w:val="left" w:pos="6480"/>
              </w:tabs>
              <w:spacing w:after="0"/>
              <w:rPr>
                <w:rFonts w:asciiTheme="minorHAnsi" w:hAnsiTheme="minorHAnsi" w:cstheme="minorHAnsi"/>
                <w:sz w:val="18"/>
                <w:szCs w:val="18"/>
              </w:rPr>
            </w:pPr>
            <w:r w:rsidRPr="005F120D">
              <w:rPr>
                <w:rFonts w:asciiTheme="minorHAnsi" w:hAnsiTheme="minorHAnsi" w:cstheme="minorHAnsi"/>
                <w:sz w:val="18"/>
                <w:szCs w:val="18"/>
              </w:rPr>
              <w:t>Schools</w:t>
            </w:r>
          </w:p>
        </w:tc>
        <w:tc>
          <w:tcPr>
            <w:tcW w:w="658" w:type="pct"/>
            <w:tcBorders>
              <w:right w:val="single" w:sz="4" w:space="0" w:color="auto"/>
            </w:tcBorders>
            <w:shd w:val="clear" w:color="auto" w:fill="DDD9C3" w:themeFill="background2" w:themeFillShade="E6"/>
            <w:vAlign w:val="center"/>
          </w:tcPr>
          <w:p w:rsidR="001D1FE4" w:rsidRPr="005F120D" w:rsidRDefault="001D1FE4" w:rsidP="006A126A">
            <w:pPr>
              <w:tabs>
                <w:tab w:val="left" w:pos="6480"/>
              </w:tabs>
              <w:spacing w:after="0"/>
              <w:jc w:val="center"/>
              <w:rPr>
                <w:rFonts w:asciiTheme="minorHAnsi" w:hAnsiTheme="minorHAnsi" w:cstheme="minorHAnsi"/>
                <w:sz w:val="18"/>
                <w:szCs w:val="18"/>
              </w:rPr>
            </w:pPr>
            <w:r w:rsidRPr="005F120D">
              <w:rPr>
                <w:rFonts w:asciiTheme="minorHAnsi" w:hAnsiTheme="minorHAnsi" w:cstheme="minorHAnsi"/>
                <w:sz w:val="18"/>
                <w:szCs w:val="18"/>
              </w:rPr>
              <w:t>Student</w:t>
            </w:r>
          </w:p>
        </w:tc>
        <w:tc>
          <w:tcPr>
            <w:tcW w:w="1090" w:type="pct"/>
            <w:tcBorders>
              <w:top w:val="nil"/>
              <w:left w:val="single" w:sz="4" w:space="0" w:color="auto"/>
              <w:bottom w:val="single" w:sz="4" w:space="0" w:color="auto"/>
              <w:right w:val="single" w:sz="4" w:space="0" w:color="auto"/>
            </w:tcBorders>
            <w:shd w:val="clear" w:color="auto" w:fill="DDD9C3" w:themeFill="background2" w:themeFillShade="E6"/>
            <w:vAlign w:val="center"/>
          </w:tcPr>
          <w:p w:rsidR="001D1FE4" w:rsidRPr="005F120D" w:rsidRDefault="001D1FE4" w:rsidP="006A126A">
            <w:pPr>
              <w:tabs>
                <w:tab w:val="left" w:pos="6480"/>
              </w:tabs>
              <w:spacing w:after="0"/>
              <w:jc w:val="center"/>
              <w:rPr>
                <w:rFonts w:asciiTheme="minorHAnsi" w:hAnsiTheme="minorHAnsi" w:cstheme="minorHAnsi"/>
                <w:sz w:val="18"/>
                <w:szCs w:val="18"/>
              </w:rPr>
            </w:pPr>
          </w:p>
        </w:tc>
      </w:tr>
      <w:tr w:rsidR="00A01F6F" w:rsidRPr="005F120D" w:rsidTr="00925F1C">
        <w:trPr>
          <w:trHeight w:val="962"/>
          <w:jc w:val="center"/>
        </w:trPr>
        <w:tc>
          <w:tcPr>
            <w:tcW w:w="1325" w:type="pct"/>
          </w:tcPr>
          <w:p w:rsidR="001D1FE4" w:rsidRPr="005F120D" w:rsidRDefault="001D1FE4" w:rsidP="006A126A">
            <w:pPr>
              <w:tabs>
                <w:tab w:val="left" w:pos="6480"/>
              </w:tabs>
              <w:spacing w:after="0"/>
              <w:rPr>
                <w:rFonts w:asciiTheme="minorHAnsi" w:hAnsiTheme="minorHAnsi" w:cstheme="minorHAnsi"/>
                <w:sz w:val="18"/>
                <w:szCs w:val="18"/>
              </w:rPr>
            </w:pPr>
            <w:r w:rsidRPr="005F120D">
              <w:rPr>
                <w:rFonts w:asciiTheme="minorHAnsi" w:hAnsiTheme="minorHAnsi" w:cstheme="minorHAnsi"/>
                <w:sz w:val="18"/>
                <w:szCs w:val="18"/>
              </w:rPr>
              <w:t>10</w:t>
            </w:r>
            <w:r w:rsidR="00A76966" w:rsidRPr="005F120D">
              <w:rPr>
                <w:rFonts w:asciiTheme="minorHAnsi" w:hAnsiTheme="minorHAnsi" w:cstheme="minorHAnsi"/>
                <w:sz w:val="18"/>
                <w:szCs w:val="18"/>
              </w:rPr>
              <w:t xml:space="preserve"> districts (</w:t>
            </w:r>
            <w:r w:rsidR="00925F1C" w:rsidRPr="005F120D">
              <w:rPr>
                <w:rFonts w:asciiTheme="minorHAnsi" w:hAnsiTheme="minorHAnsi" w:cstheme="minorHAnsi"/>
                <w:sz w:val="18"/>
                <w:szCs w:val="18"/>
              </w:rPr>
              <w:t xml:space="preserve">1. </w:t>
            </w:r>
            <w:r w:rsidR="00A76966" w:rsidRPr="005F120D">
              <w:rPr>
                <w:rFonts w:asciiTheme="minorHAnsi" w:hAnsiTheme="minorHAnsi" w:cstheme="minorHAnsi"/>
                <w:sz w:val="18"/>
                <w:szCs w:val="18"/>
              </w:rPr>
              <w:t xml:space="preserve">Habigang, </w:t>
            </w:r>
            <w:r w:rsidR="00925F1C" w:rsidRPr="005F120D">
              <w:rPr>
                <w:rFonts w:asciiTheme="minorHAnsi" w:hAnsiTheme="minorHAnsi" w:cstheme="minorHAnsi"/>
                <w:sz w:val="18"/>
                <w:szCs w:val="18"/>
              </w:rPr>
              <w:t xml:space="preserve">2. </w:t>
            </w:r>
            <w:r w:rsidR="00A76966" w:rsidRPr="005F120D">
              <w:rPr>
                <w:rFonts w:asciiTheme="minorHAnsi" w:hAnsiTheme="minorHAnsi" w:cstheme="minorHAnsi"/>
                <w:sz w:val="18"/>
                <w:szCs w:val="18"/>
              </w:rPr>
              <w:t xml:space="preserve">Sunamganj, </w:t>
            </w:r>
            <w:r w:rsidR="00925F1C" w:rsidRPr="005F120D">
              <w:rPr>
                <w:rFonts w:asciiTheme="minorHAnsi" w:hAnsiTheme="minorHAnsi" w:cstheme="minorHAnsi"/>
                <w:sz w:val="18"/>
                <w:szCs w:val="18"/>
              </w:rPr>
              <w:t xml:space="preserve">3. </w:t>
            </w:r>
            <w:r w:rsidR="00A76966" w:rsidRPr="005F120D">
              <w:rPr>
                <w:rFonts w:asciiTheme="minorHAnsi" w:hAnsiTheme="minorHAnsi" w:cstheme="minorHAnsi"/>
                <w:sz w:val="18"/>
                <w:szCs w:val="18"/>
              </w:rPr>
              <w:t xml:space="preserve">Netrokuna, </w:t>
            </w:r>
            <w:r w:rsidR="00925F1C" w:rsidRPr="005F120D">
              <w:rPr>
                <w:rFonts w:asciiTheme="minorHAnsi" w:hAnsiTheme="minorHAnsi" w:cstheme="minorHAnsi"/>
                <w:sz w:val="18"/>
                <w:szCs w:val="18"/>
              </w:rPr>
              <w:t>4. Jamalpur, 5. Jessore, 6. Pabna, 7. Lalmonirhat, 8. Laxmipur, 9. Coxs’Bazar</w:t>
            </w:r>
            <w:r w:rsidR="002205AA" w:rsidRPr="005F120D">
              <w:rPr>
                <w:rFonts w:asciiTheme="minorHAnsi" w:hAnsiTheme="minorHAnsi" w:cstheme="minorHAnsi"/>
                <w:sz w:val="18"/>
                <w:szCs w:val="18"/>
              </w:rPr>
              <w:t xml:space="preserve"> and 10. Patuakhali</w:t>
            </w:r>
          </w:p>
        </w:tc>
        <w:tc>
          <w:tcPr>
            <w:tcW w:w="1504" w:type="pct"/>
          </w:tcPr>
          <w:p w:rsidR="001D1FE4" w:rsidRPr="005F120D" w:rsidRDefault="001D1FE4" w:rsidP="006A126A">
            <w:pPr>
              <w:tabs>
                <w:tab w:val="left" w:pos="6480"/>
              </w:tabs>
              <w:spacing w:after="0"/>
              <w:rPr>
                <w:rFonts w:asciiTheme="minorHAnsi" w:hAnsiTheme="minorHAnsi" w:cstheme="minorHAnsi"/>
                <w:sz w:val="18"/>
                <w:szCs w:val="18"/>
              </w:rPr>
            </w:pPr>
            <w:r w:rsidRPr="005F120D">
              <w:rPr>
                <w:rFonts w:asciiTheme="minorHAnsi" w:hAnsiTheme="minorHAnsi" w:cstheme="minorHAnsi"/>
                <w:sz w:val="18"/>
                <w:szCs w:val="18"/>
              </w:rPr>
              <w:t>10</w:t>
            </w:r>
            <w:r w:rsidR="00925F1C" w:rsidRPr="005F120D">
              <w:rPr>
                <w:rFonts w:asciiTheme="minorHAnsi" w:hAnsiTheme="minorHAnsi" w:cstheme="minorHAnsi"/>
                <w:sz w:val="18"/>
                <w:szCs w:val="18"/>
              </w:rPr>
              <w:t xml:space="preserve"> upazilas (1. Lakhai, 2. Dharmapasha, 3. Kalmakanda, 4. Dewanganj, 5. Jhikargacha, 6. Bera, 7. Hatibandha, 8. Ramgati  9. Moheshkhali</w:t>
            </w:r>
            <w:r w:rsidR="002205AA" w:rsidRPr="005F120D">
              <w:rPr>
                <w:rFonts w:asciiTheme="minorHAnsi" w:hAnsiTheme="minorHAnsi" w:cstheme="minorHAnsi"/>
                <w:sz w:val="18"/>
                <w:szCs w:val="18"/>
              </w:rPr>
              <w:t xml:space="preserve"> and 10. Dashmina</w:t>
            </w:r>
          </w:p>
        </w:tc>
        <w:tc>
          <w:tcPr>
            <w:tcW w:w="423" w:type="pct"/>
          </w:tcPr>
          <w:p w:rsidR="001D1FE4" w:rsidRPr="005F120D" w:rsidRDefault="001D1FE4" w:rsidP="006A126A">
            <w:pPr>
              <w:tabs>
                <w:tab w:val="left" w:pos="6480"/>
              </w:tabs>
              <w:spacing w:after="0"/>
              <w:rPr>
                <w:rFonts w:asciiTheme="minorHAnsi" w:hAnsiTheme="minorHAnsi" w:cstheme="minorHAnsi"/>
                <w:sz w:val="18"/>
                <w:szCs w:val="18"/>
              </w:rPr>
            </w:pPr>
            <w:r w:rsidRPr="005F120D">
              <w:rPr>
                <w:rFonts w:asciiTheme="minorHAnsi" w:hAnsiTheme="minorHAnsi" w:cstheme="minorHAnsi"/>
                <w:sz w:val="18"/>
                <w:szCs w:val="18"/>
              </w:rPr>
              <w:t>1,350</w:t>
            </w:r>
          </w:p>
        </w:tc>
        <w:tc>
          <w:tcPr>
            <w:tcW w:w="658" w:type="pct"/>
          </w:tcPr>
          <w:p w:rsidR="001D1FE4" w:rsidRPr="005F120D" w:rsidRDefault="001D1FE4" w:rsidP="006A126A">
            <w:pPr>
              <w:tabs>
                <w:tab w:val="left" w:pos="6480"/>
              </w:tabs>
              <w:spacing w:after="0"/>
              <w:rPr>
                <w:rFonts w:asciiTheme="minorHAnsi" w:hAnsiTheme="minorHAnsi" w:cstheme="minorHAnsi"/>
                <w:sz w:val="18"/>
                <w:szCs w:val="18"/>
              </w:rPr>
            </w:pPr>
            <w:r w:rsidRPr="005F120D">
              <w:rPr>
                <w:rFonts w:asciiTheme="minorHAnsi" w:hAnsiTheme="minorHAnsi" w:cstheme="minorHAnsi"/>
                <w:sz w:val="18"/>
                <w:szCs w:val="18"/>
              </w:rPr>
              <w:t>4,16,454</w:t>
            </w:r>
          </w:p>
        </w:tc>
        <w:tc>
          <w:tcPr>
            <w:tcW w:w="1090" w:type="pct"/>
            <w:tcBorders>
              <w:top w:val="single" w:sz="4" w:space="0" w:color="auto"/>
            </w:tcBorders>
          </w:tcPr>
          <w:p w:rsidR="001D1FE4" w:rsidRPr="005F120D" w:rsidRDefault="00A01F6F" w:rsidP="006A126A">
            <w:pPr>
              <w:tabs>
                <w:tab w:val="left" w:pos="6480"/>
              </w:tabs>
              <w:spacing w:after="0"/>
              <w:rPr>
                <w:rFonts w:asciiTheme="minorHAnsi" w:hAnsiTheme="minorHAnsi" w:cstheme="minorHAnsi"/>
                <w:sz w:val="18"/>
                <w:szCs w:val="18"/>
              </w:rPr>
            </w:pPr>
            <w:r w:rsidRPr="005F120D">
              <w:rPr>
                <w:rFonts w:asciiTheme="minorHAnsi" w:hAnsiTheme="minorHAnsi" w:cstheme="minorHAnsi"/>
                <w:sz w:val="18"/>
                <w:szCs w:val="18"/>
              </w:rPr>
              <w:t>Provided daily with 75 grams of fortified biscuits in 10 poverty-stricken upazilas across the country</w:t>
            </w:r>
          </w:p>
        </w:tc>
      </w:tr>
    </w:tbl>
    <w:p w:rsidR="001D1FE4" w:rsidRPr="005F120D" w:rsidRDefault="001D1FE4" w:rsidP="006A126A">
      <w:pPr>
        <w:tabs>
          <w:tab w:val="left" w:pos="6480"/>
        </w:tabs>
        <w:spacing w:after="0"/>
        <w:rPr>
          <w:rFonts w:asciiTheme="minorHAnsi" w:hAnsiTheme="minorHAnsi" w:cstheme="minorHAnsi"/>
          <w:sz w:val="6"/>
        </w:rPr>
      </w:pPr>
    </w:p>
    <w:p w:rsidR="001D1FE4" w:rsidRPr="005F120D" w:rsidRDefault="001D1FE4" w:rsidP="006A126A">
      <w:pPr>
        <w:tabs>
          <w:tab w:val="left" w:pos="6480"/>
        </w:tabs>
        <w:spacing w:after="0"/>
        <w:rPr>
          <w:rFonts w:asciiTheme="minorHAnsi" w:hAnsiTheme="minorHAnsi" w:cstheme="minorHAnsi"/>
          <w:b/>
          <w:bCs/>
          <w:sz w:val="20"/>
        </w:rPr>
      </w:pPr>
      <w:r w:rsidRPr="005F120D">
        <w:rPr>
          <w:rFonts w:asciiTheme="minorHAnsi" w:hAnsiTheme="minorHAnsi" w:cstheme="minorHAnsi"/>
          <w:b/>
          <w:bCs/>
          <w:sz w:val="20"/>
        </w:rPr>
        <w:t xml:space="preserve">Progress as of </w:t>
      </w:r>
      <w:r w:rsidR="00995A4E" w:rsidRPr="005F120D">
        <w:rPr>
          <w:rFonts w:asciiTheme="minorHAnsi" w:hAnsiTheme="minorHAnsi" w:cstheme="minorHAnsi"/>
          <w:b/>
          <w:bCs/>
          <w:sz w:val="20"/>
        </w:rPr>
        <w:t>December</w:t>
      </w:r>
      <w:r w:rsidRPr="005F120D">
        <w:rPr>
          <w:rFonts w:asciiTheme="minorHAnsi" w:hAnsiTheme="minorHAnsi" w:cstheme="minorHAnsi"/>
          <w:b/>
          <w:bCs/>
          <w:sz w:val="20"/>
        </w:rPr>
        <w:t xml:space="preserve"> 2015:</w:t>
      </w:r>
    </w:p>
    <w:tbl>
      <w:tblPr>
        <w:tblStyle w:val="TableGrid"/>
        <w:tblW w:w="5128" w:type="pct"/>
        <w:jc w:val="center"/>
        <w:tblLook w:val="01E0"/>
      </w:tblPr>
      <w:tblGrid>
        <w:gridCol w:w="407"/>
        <w:gridCol w:w="1826"/>
        <w:gridCol w:w="772"/>
        <w:gridCol w:w="1113"/>
        <w:gridCol w:w="1144"/>
        <w:gridCol w:w="641"/>
        <w:gridCol w:w="3579"/>
      </w:tblGrid>
      <w:tr w:rsidR="00A76966" w:rsidRPr="005F120D" w:rsidTr="00392C0C">
        <w:trPr>
          <w:trHeight w:hRule="exact" w:val="523"/>
          <w:jc w:val="center"/>
        </w:trPr>
        <w:tc>
          <w:tcPr>
            <w:tcW w:w="215" w:type="pct"/>
            <w:shd w:val="clear" w:color="auto" w:fill="EEECE1" w:themeFill="background2"/>
            <w:vAlign w:val="center"/>
          </w:tcPr>
          <w:p w:rsidR="00A76966" w:rsidRPr="005F120D" w:rsidRDefault="00A76966" w:rsidP="006A126A">
            <w:pPr>
              <w:spacing w:after="0"/>
              <w:jc w:val="center"/>
              <w:rPr>
                <w:rFonts w:asciiTheme="minorHAnsi" w:hAnsiTheme="minorHAnsi" w:cstheme="minorHAnsi"/>
                <w:sz w:val="18"/>
                <w:szCs w:val="18"/>
              </w:rPr>
            </w:pPr>
            <w:r w:rsidRPr="005F120D">
              <w:rPr>
                <w:rFonts w:asciiTheme="minorHAnsi" w:hAnsiTheme="minorHAnsi" w:cstheme="minorHAnsi"/>
                <w:sz w:val="18"/>
                <w:szCs w:val="18"/>
              </w:rPr>
              <w:t>SL</w:t>
            </w:r>
          </w:p>
        </w:tc>
        <w:tc>
          <w:tcPr>
            <w:tcW w:w="963" w:type="pct"/>
            <w:shd w:val="clear" w:color="auto" w:fill="EEECE1" w:themeFill="background2"/>
            <w:vAlign w:val="center"/>
          </w:tcPr>
          <w:p w:rsidR="00A76966" w:rsidRPr="005F120D" w:rsidRDefault="00A76966" w:rsidP="006A126A">
            <w:pPr>
              <w:spacing w:after="0"/>
              <w:jc w:val="center"/>
              <w:rPr>
                <w:rFonts w:asciiTheme="minorHAnsi" w:hAnsiTheme="minorHAnsi" w:cstheme="minorHAnsi"/>
                <w:sz w:val="18"/>
                <w:szCs w:val="18"/>
              </w:rPr>
            </w:pPr>
            <w:r w:rsidRPr="005F120D">
              <w:rPr>
                <w:rFonts w:asciiTheme="minorHAnsi" w:hAnsiTheme="minorHAnsi" w:cstheme="minorHAnsi"/>
                <w:sz w:val="18"/>
                <w:szCs w:val="18"/>
              </w:rPr>
              <w:t>Planned Activities</w:t>
            </w:r>
          </w:p>
        </w:tc>
        <w:tc>
          <w:tcPr>
            <w:tcW w:w="407" w:type="pct"/>
            <w:shd w:val="clear" w:color="auto" w:fill="EEECE1" w:themeFill="background2"/>
            <w:vAlign w:val="center"/>
          </w:tcPr>
          <w:p w:rsidR="00A76966" w:rsidRPr="005F120D" w:rsidRDefault="00A76966" w:rsidP="006A126A">
            <w:pPr>
              <w:spacing w:after="0"/>
              <w:jc w:val="center"/>
              <w:rPr>
                <w:rFonts w:asciiTheme="minorHAnsi" w:hAnsiTheme="minorHAnsi" w:cstheme="minorHAnsi"/>
                <w:sz w:val="18"/>
                <w:szCs w:val="18"/>
              </w:rPr>
            </w:pPr>
            <w:r w:rsidRPr="005F120D">
              <w:rPr>
                <w:rFonts w:asciiTheme="minorHAnsi" w:hAnsiTheme="minorHAnsi" w:cstheme="minorHAnsi"/>
                <w:sz w:val="18"/>
                <w:szCs w:val="18"/>
              </w:rPr>
              <w:t>FY</w:t>
            </w:r>
          </w:p>
        </w:tc>
        <w:tc>
          <w:tcPr>
            <w:tcW w:w="587" w:type="pct"/>
            <w:shd w:val="clear" w:color="auto" w:fill="EEECE1" w:themeFill="background2"/>
            <w:vAlign w:val="center"/>
          </w:tcPr>
          <w:p w:rsidR="00A76966" w:rsidRPr="005F120D" w:rsidRDefault="00A76966" w:rsidP="006A126A">
            <w:pPr>
              <w:spacing w:after="0"/>
              <w:jc w:val="center"/>
              <w:rPr>
                <w:rFonts w:asciiTheme="minorHAnsi" w:hAnsiTheme="minorHAnsi" w:cstheme="minorHAnsi"/>
                <w:sz w:val="18"/>
                <w:szCs w:val="18"/>
              </w:rPr>
            </w:pPr>
            <w:r w:rsidRPr="005F120D">
              <w:rPr>
                <w:rFonts w:asciiTheme="minorHAnsi" w:hAnsiTheme="minorHAnsi" w:cstheme="minorHAnsi"/>
                <w:sz w:val="18"/>
                <w:szCs w:val="18"/>
              </w:rPr>
              <w:t>Target (Physical)</w:t>
            </w:r>
          </w:p>
        </w:tc>
        <w:tc>
          <w:tcPr>
            <w:tcW w:w="603" w:type="pct"/>
            <w:shd w:val="clear" w:color="auto" w:fill="EEECE1" w:themeFill="background2"/>
            <w:vAlign w:val="center"/>
          </w:tcPr>
          <w:p w:rsidR="00A76966" w:rsidRPr="005F120D" w:rsidRDefault="00A76966" w:rsidP="006A126A">
            <w:pPr>
              <w:spacing w:after="0"/>
              <w:jc w:val="center"/>
              <w:rPr>
                <w:rFonts w:asciiTheme="minorHAnsi" w:hAnsiTheme="minorHAnsi" w:cstheme="minorHAnsi"/>
                <w:sz w:val="18"/>
                <w:szCs w:val="18"/>
              </w:rPr>
            </w:pPr>
            <w:r w:rsidRPr="005F120D">
              <w:rPr>
                <w:rFonts w:asciiTheme="minorHAnsi" w:hAnsiTheme="minorHAnsi" w:cstheme="minorHAnsi"/>
                <w:sz w:val="18"/>
                <w:szCs w:val="18"/>
              </w:rPr>
              <w:t>Progress as of March 2015</w:t>
            </w:r>
          </w:p>
        </w:tc>
        <w:tc>
          <w:tcPr>
            <w:tcW w:w="338" w:type="pct"/>
            <w:shd w:val="clear" w:color="auto" w:fill="EEECE1" w:themeFill="background2"/>
          </w:tcPr>
          <w:p w:rsidR="00A76966" w:rsidRPr="005F120D" w:rsidRDefault="00A76966" w:rsidP="006A126A">
            <w:pPr>
              <w:spacing w:after="0"/>
              <w:jc w:val="center"/>
              <w:rPr>
                <w:rFonts w:asciiTheme="minorHAnsi" w:hAnsiTheme="minorHAnsi" w:cstheme="minorHAnsi"/>
                <w:sz w:val="18"/>
                <w:szCs w:val="18"/>
              </w:rPr>
            </w:pPr>
          </w:p>
        </w:tc>
        <w:tc>
          <w:tcPr>
            <w:tcW w:w="1888" w:type="pct"/>
            <w:shd w:val="clear" w:color="auto" w:fill="EEECE1" w:themeFill="background2"/>
            <w:vAlign w:val="center"/>
          </w:tcPr>
          <w:p w:rsidR="00A76966" w:rsidRPr="005F120D" w:rsidRDefault="00A76966" w:rsidP="006A126A">
            <w:pPr>
              <w:spacing w:after="0"/>
              <w:jc w:val="center"/>
              <w:rPr>
                <w:rFonts w:asciiTheme="minorHAnsi" w:hAnsiTheme="minorHAnsi" w:cstheme="minorHAnsi"/>
                <w:sz w:val="18"/>
                <w:szCs w:val="18"/>
              </w:rPr>
            </w:pPr>
            <w:r w:rsidRPr="005F120D">
              <w:rPr>
                <w:rFonts w:asciiTheme="minorHAnsi" w:hAnsiTheme="minorHAnsi" w:cstheme="minorHAnsi"/>
                <w:sz w:val="18"/>
                <w:szCs w:val="18"/>
              </w:rPr>
              <w:t>Remarks</w:t>
            </w:r>
          </w:p>
        </w:tc>
      </w:tr>
      <w:tr w:rsidR="00A76966" w:rsidRPr="005F120D" w:rsidTr="00392C0C">
        <w:trPr>
          <w:trHeight w:val="170"/>
          <w:jc w:val="center"/>
        </w:trPr>
        <w:tc>
          <w:tcPr>
            <w:tcW w:w="215" w:type="pct"/>
            <w:vAlign w:val="center"/>
          </w:tcPr>
          <w:p w:rsidR="00A76966" w:rsidRPr="005F120D" w:rsidRDefault="00A76966" w:rsidP="006A126A">
            <w:pPr>
              <w:spacing w:after="0"/>
              <w:jc w:val="center"/>
              <w:rPr>
                <w:rFonts w:asciiTheme="minorHAnsi" w:hAnsiTheme="minorHAnsi" w:cstheme="minorHAnsi"/>
                <w:sz w:val="18"/>
                <w:szCs w:val="18"/>
              </w:rPr>
            </w:pPr>
          </w:p>
        </w:tc>
        <w:tc>
          <w:tcPr>
            <w:tcW w:w="963" w:type="pct"/>
          </w:tcPr>
          <w:p w:rsidR="00A76966" w:rsidRPr="005F120D" w:rsidRDefault="00A76966" w:rsidP="006A126A">
            <w:pPr>
              <w:spacing w:after="0"/>
              <w:rPr>
                <w:rFonts w:asciiTheme="minorHAnsi" w:hAnsiTheme="minorHAnsi" w:cstheme="minorHAnsi"/>
                <w:sz w:val="18"/>
                <w:szCs w:val="18"/>
              </w:rPr>
            </w:pPr>
            <w:r w:rsidRPr="005F120D">
              <w:rPr>
                <w:rFonts w:asciiTheme="minorHAnsi" w:hAnsiTheme="minorHAnsi" w:cstheme="minorHAnsi"/>
                <w:sz w:val="18"/>
                <w:szCs w:val="18"/>
              </w:rPr>
              <w:t xml:space="preserve">Fortified biscuit distribution in 1,345 GPS, NNPS and non-government school in selected 10 </w:t>
            </w:r>
            <w:r w:rsidR="00A61F5E" w:rsidRPr="005F120D">
              <w:rPr>
                <w:rFonts w:asciiTheme="minorHAnsi" w:hAnsiTheme="minorHAnsi" w:cstheme="minorHAnsi"/>
                <w:sz w:val="18"/>
                <w:szCs w:val="18"/>
              </w:rPr>
              <w:t>Upazilas</w:t>
            </w:r>
            <w:r w:rsidRPr="005F120D">
              <w:rPr>
                <w:rFonts w:asciiTheme="minorHAnsi" w:hAnsiTheme="minorHAnsi" w:cstheme="minorHAnsi"/>
                <w:sz w:val="18"/>
                <w:szCs w:val="18"/>
              </w:rPr>
              <w:t>.</w:t>
            </w:r>
          </w:p>
        </w:tc>
        <w:tc>
          <w:tcPr>
            <w:tcW w:w="407" w:type="pct"/>
          </w:tcPr>
          <w:p w:rsidR="00A76966" w:rsidRPr="005F120D" w:rsidRDefault="00A76966" w:rsidP="006A126A">
            <w:pPr>
              <w:spacing w:after="0"/>
              <w:rPr>
                <w:rFonts w:asciiTheme="minorHAnsi" w:hAnsiTheme="minorHAnsi" w:cstheme="minorHAnsi"/>
                <w:sz w:val="18"/>
                <w:szCs w:val="18"/>
              </w:rPr>
            </w:pPr>
            <w:r w:rsidRPr="005F120D">
              <w:rPr>
                <w:rFonts w:asciiTheme="minorHAnsi" w:hAnsiTheme="minorHAnsi" w:cstheme="minorHAnsi"/>
                <w:sz w:val="18"/>
                <w:szCs w:val="18"/>
              </w:rPr>
              <w:t>2014-2015</w:t>
            </w:r>
          </w:p>
        </w:tc>
        <w:tc>
          <w:tcPr>
            <w:tcW w:w="587" w:type="pct"/>
          </w:tcPr>
          <w:p w:rsidR="00A76966" w:rsidRPr="005F120D" w:rsidRDefault="00A76966" w:rsidP="006A126A">
            <w:pPr>
              <w:spacing w:after="0"/>
              <w:rPr>
                <w:rFonts w:asciiTheme="minorHAnsi" w:hAnsiTheme="minorHAnsi" w:cstheme="minorHAnsi"/>
                <w:sz w:val="18"/>
                <w:szCs w:val="18"/>
              </w:rPr>
            </w:pPr>
            <w:r w:rsidRPr="005F120D">
              <w:rPr>
                <w:rFonts w:asciiTheme="minorHAnsi" w:hAnsiTheme="minorHAnsi" w:cstheme="minorHAnsi"/>
                <w:sz w:val="18"/>
                <w:szCs w:val="18"/>
              </w:rPr>
              <w:t>Distribution of 9,963,672 cartons biscuits</w:t>
            </w:r>
          </w:p>
        </w:tc>
        <w:tc>
          <w:tcPr>
            <w:tcW w:w="603" w:type="pct"/>
          </w:tcPr>
          <w:p w:rsidR="00A76966" w:rsidRPr="005F120D" w:rsidRDefault="00A76966" w:rsidP="006A126A">
            <w:pPr>
              <w:spacing w:after="0"/>
              <w:rPr>
                <w:rFonts w:asciiTheme="minorHAnsi" w:hAnsiTheme="minorHAnsi" w:cstheme="minorHAnsi"/>
                <w:sz w:val="18"/>
                <w:szCs w:val="18"/>
              </w:rPr>
            </w:pPr>
            <w:r w:rsidRPr="005F120D">
              <w:rPr>
                <w:rFonts w:asciiTheme="minorHAnsi" w:hAnsiTheme="minorHAnsi" w:cstheme="minorHAnsi"/>
                <w:sz w:val="18"/>
                <w:szCs w:val="18"/>
              </w:rPr>
              <w:t>Distribution of 73264.66 cartons of biscuits</w:t>
            </w:r>
          </w:p>
        </w:tc>
        <w:tc>
          <w:tcPr>
            <w:tcW w:w="338" w:type="pct"/>
          </w:tcPr>
          <w:p w:rsidR="00A76966" w:rsidRPr="005F120D" w:rsidRDefault="00A76966" w:rsidP="006A126A">
            <w:pPr>
              <w:spacing w:after="0"/>
              <w:rPr>
                <w:rFonts w:asciiTheme="minorHAnsi" w:hAnsiTheme="minorHAnsi" w:cstheme="minorHAnsi"/>
                <w:sz w:val="18"/>
                <w:szCs w:val="18"/>
              </w:rPr>
            </w:pPr>
          </w:p>
        </w:tc>
        <w:tc>
          <w:tcPr>
            <w:tcW w:w="1888" w:type="pct"/>
          </w:tcPr>
          <w:p w:rsidR="00A76966" w:rsidRPr="005F120D" w:rsidRDefault="00A76966" w:rsidP="006A126A">
            <w:pPr>
              <w:spacing w:after="0"/>
              <w:rPr>
                <w:rFonts w:asciiTheme="minorHAnsi" w:hAnsiTheme="minorHAnsi" w:cstheme="minorHAnsi"/>
                <w:sz w:val="18"/>
                <w:szCs w:val="18"/>
              </w:rPr>
            </w:pPr>
            <w:r w:rsidRPr="005F120D">
              <w:rPr>
                <w:rFonts w:asciiTheme="minorHAnsi" w:hAnsiTheme="minorHAnsi" w:cstheme="minorHAnsi"/>
                <w:sz w:val="18"/>
                <w:szCs w:val="18"/>
              </w:rPr>
              <w:t>Project has been extended from December 2014 up to December 2015 due to surplus of 67</w:t>
            </w:r>
            <w:r w:rsidR="006E3A3A" w:rsidRPr="005F120D">
              <w:rPr>
                <w:rFonts w:asciiTheme="minorHAnsi" w:hAnsiTheme="minorHAnsi" w:cstheme="minorHAnsi"/>
                <w:sz w:val="18"/>
                <w:szCs w:val="18"/>
              </w:rPr>
              <w:t>,</w:t>
            </w:r>
            <w:r w:rsidRPr="005F120D">
              <w:rPr>
                <w:rFonts w:asciiTheme="minorHAnsi" w:hAnsiTheme="minorHAnsi" w:cstheme="minorHAnsi"/>
                <w:sz w:val="18"/>
                <w:szCs w:val="18"/>
              </w:rPr>
              <w:t>945</w:t>
            </w:r>
            <w:r w:rsidR="006E3A3A" w:rsidRPr="005F120D">
              <w:rPr>
                <w:rFonts w:asciiTheme="minorHAnsi" w:hAnsiTheme="minorHAnsi" w:cstheme="minorHAnsi"/>
                <w:sz w:val="18"/>
                <w:szCs w:val="18"/>
              </w:rPr>
              <w:t>,</w:t>
            </w:r>
            <w:r w:rsidRPr="005F120D">
              <w:rPr>
                <w:rFonts w:asciiTheme="minorHAnsi" w:hAnsiTheme="minorHAnsi" w:cstheme="minorHAnsi"/>
                <w:sz w:val="18"/>
                <w:szCs w:val="18"/>
              </w:rPr>
              <w:t>413 packets biscuit. This project is contributing to ensure quality primary education through maintaining children’s health condition and wellbeing.</w:t>
            </w:r>
          </w:p>
        </w:tc>
      </w:tr>
    </w:tbl>
    <w:p w:rsidR="00EC1F70" w:rsidRDefault="00EC1F70" w:rsidP="00EC1F70">
      <w:pPr>
        <w:pStyle w:val="Heading2NONUM"/>
        <w:spacing w:after="0"/>
        <w:ind w:left="360"/>
        <w:rPr>
          <w:rFonts w:asciiTheme="minorHAnsi" w:hAnsiTheme="minorHAnsi" w:cstheme="minorHAnsi"/>
          <w:color w:val="3333FF"/>
          <w:szCs w:val="24"/>
        </w:rPr>
      </w:pPr>
    </w:p>
    <w:p w:rsidR="00F738D7" w:rsidRPr="005F120D" w:rsidRDefault="00F738D7" w:rsidP="00B25E46">
      <w:pPr>
        <w:pStyle w:val="Heading2NONUM"/>
        <w:numPr>
          <w:ilvl w:val="0"/>
          <w:numId w:val="36"/>
        </w:numPr>
        <w:spacing w:after="0"/>
        <w:rPr>
          <w:rFonts w:asciiTheme="minorHAnsi" w:hAnsiTheme="minorHAnsi" w:cstheme="minorHAnsi"/>
          <w:color w:val="3333FF"/>
          <w:szCs w:val="24"/>
        </w:rPr>
      </w:pPr>
      <w:r w:rsidRPr="005F120D">
        <w:rPr>
          <w:rFonts w:asciiTheme="minorHAnsi" w:hAnsiTheme="minorHAnsi" w:cstheme="minorHAnsi"/>
          <w:color w:val="3333FF"/>
          <w:szCs w:val="24"/>
        </w:rPr>
        <w:t xml:space="preserve">Name of the Project:  </w:t>
      </w:r>
      <w:bookmarkStart w:id="662" w:name="_Toc385245751"/>
      <w:r w:rsidR="0065335B" w:rsidRPr="005F120D">
        <w:rPr>
          <w:rFonts w:asciiTheme="minorHAnsi" w:hAnsiTheme="minorHAnsi" w:cstheme="minorHAnsi"/>
          <w:color w:val="3333FF"/>
          <w:szCs w:val="24"/>
          <w:u w:val="single"/>
        </w:rPr>
        <w:t>Reaching Out-of-</w:t>
      </w:r>
      <w:r w:rsidRPr="005F120D">
        <w:rPr>
          <w:rFonts w:asciiTheme="minorHAnsi" w:hAnsiTheme="minorHAnsi" w:cstheme="minorHAnsi"/>
          <w:color w:val="3333FF"/>
          <w:szCs w:val="24"/>
          <w:u w:val="single"/>
        </w:rPr>
        <w:t>School Children (ROSC)</w:t>
      </w:r>
      <w:bookmarkEnd w:id="662"/>
      <w:r w:rsidRPr="005F120D">
        <w:rPr>
          <w:rFonts w:asciiTheme="minorHAnsi" w:hAnsiTheme="minorHAnsi" w:cstheme="minorHAnsi"/>
          <w:color w:val="3333FF"/>
          <w:szCs w:val="24"/>
          <w:u w:val="single"/>
        </w:rPr>
        <w:t xml:space="preserve"> Phase-II Project</w:t>
      </w:r>
    </w:p>
    <w:p w:rsidR="00F738D7" w:rsidRPr="005F120D" w:rsidRDefault="00F738D7"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Goal/Aim:</w:t>
      </w:r>
      <w:r w:rsidR="00A61F5E">
        <w:rPr>
          <w:rFonts w:asciiTheme="minorHAnsi" w:hAnsiTheme="minorHAnsi" w:cstheme="minorHAnsi"/>
          <w:sz w:val="20"/>
          <w:szCs w:val="20"/>
        </w:rPr>
        <w:t xml:space="preserve"> </w:t>
      </w:r>
      <w:r w:rsidR="002C547A" w:rsidRPr="005F120D">
        <w:rPr>
          <w:rFonts w:asciiTheme="minorHAnsi" w:hAnsiTheme="minorHAnsi" w:cstheme="minorHAnsi"/>
          <w:sz w:val="20"/>
          <w:szCs w:val="20"/>
        </w:rPr>
        <w:t>the</w:t>
      </w:r>
      <w:r w:rsidR="00A61F5E">
        <w:rPr>
          <w:rFonts w:asciiTheme="minorHAnsi" w:hAnsiTheme="minorHAnsi" w:cstheme="minorHAnsi"/>
          <w:sz w:val="20"/>
          <w:szCs w:val="20"/>
        </w:rPr>
        <w:t xml:space="preserve"> </w:t>
      </w:r>
      <w:r w:rsidR="00337407" w:rsidRPr="005F120D">
        <w:rPr>
          <w:rFonts w:asciiTheme="minorHAnsi" w:hAnsiTheme="minorHAnsi" w:cstheme="minorHAnsi"/>
          <w:sz w:val="20"/>
        </w:rPr>
        <w:t>goal or aim of</w:t>
      </w:r>
      <w:r w:rsidR="00337407" w:rsidRPr="005F120D">
        <w:rPr>
          <w:rFonts w:asciiTheme="minorHAnsi" w:hAnsiTheme="minorHAnsi" w:cstheme="minorHAnsi"/>
          <w:sz w:val="20"/>
          <w:szCs w:val="20"/>
        </w:rPr>
        <w:t xml:space="preserve"> the project is to</w:t>
      </w:r>
      <w:r w:rsidR="0065335B" w:rsidRPr="005F120D">
        <w:rPr>
          <w:rFonts w:asciiTheme="minorHAnsi" w:hAnsiTheme="minorHAnsi" w:cstheme="minorHAnsi"/>
          <w:sz w:val="20"/>
          <w:szCs w:val="20"/>
        </w:rPr>
        <w:t xml:space="preserve"> reach out-of-school children by</w:t>
      </w:r>
      <w:r w:rsidR="00A61F5E">
        <w:rPr>
          <w:rFonts w:asciiTheme="minorHAnsi" w:hAnsiTheme="minorHAnsi" w:cstheme="minorHAnsi"/>
          <w:sz w:val="20"/>
          <w:szCs w:val="20"/>
        </w:rPr>
        <w:t xml:space="preserve"> </w:t>
      </w:r>
      <w:r w:rsidR="00337407" w:rsidRPr="005F120D">
        <w:rPr>
          <w:rFonts w:asciiTheme="minorHAnsi" w:hAnsiTheme="minorHAnsi" w:cstheme="minorHAnsi"/>
          <w:sz w:val="20"/>
          <w:szCs w:val="20"/>
        </w:rPr>
        <w:t>i</w:t>
      </w:r>
      <w:r w:rsidR="006F55AA" w:rsidRPr="005F120D">
        <w:rPr>
          <w:rFonts w:asciiTheme="minorHAnsi" w:hAnsiTheme="minorHAnsi" w:cstheme="minorHAnsi"/>
          <w:sz w:val="20"/>
          <w:szCs w:val="20"/>
        </w:rPr>
        <w:t>mproving</w:t>
      </w:r>
      <w:r w:rsidR="00A61F5E">
        <w:rPr>
          <w:rFonts w:asciiTheme="minorHAnsi" w:hAnsiTheme="minorHAnsi" w:cstheme="minorHAnsi"/>
          <w:sz w:val="20"/>
          <w:szCs w:val="20"/>
        </w:rPr>
        <w:t xml:space="preserve"> </w:t>
      </w:r>
      <w:r w:rsidR="000B40F4" w:rsidRPr="005F120D">
        <w:rPr>
          <w:rFonts w:asciiTheme="minorHAnsi" w:hAnsiTheme="minorHAnsi" w:cstheme="minorHAnsi"/>
          <w:sz w:val="20"/>
          <w:szCs w:val="20"/>
        </w:rPr>
        <w:t>access, participation and completion of primary education</w:t>
      </w:r>
      <w:r w:rsidR="00337407" w:rsidRPr="005F120D">
        <w:rPr>
          <w:rFonts w:asciiTheme="minorHAnsi" w:hAnsiTheme="minorHAnsi" w:cstheme="minorHAnsi"/>
          <w:sz w:val="20"/>
          <w:szCs w:val="20"/>
        </w:rPr>
        <w:t>.</w:t>
      </w:r>
    </w:p>
    <w:p w:rsidR="00F738D7" w:rsidRPr="005F120D" w:rsidRDefault="00F738D7" w:rsidP="00B25E46">
      <w:pPr>
        <w:pStyle w:val="BodyText1"/>
        <w:spacing w:after="0" w:line="240" w:lineRule="auto"/>
        <w:rPr>
          <w:rFonts w:asciiTheme="minorHAnsi" w:hAnsiTheme="minorHAnsi" w:cstheme="minorHAnsi"/>
          <w:sz w:val="20"/>
          <w:szCs w:val="20"/>
        </w:rPr>
      </w:pPr>
    </w:p>
    <w:p w:rsidR="00F738D7" w:rsidRPr="005F120D" w:rsidRDefault="00F738D7"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Purpose/Objective:</w:t>
      </w:r>
    </w:p>
    <w:p w:rsidR="009244BD" w:rsidRPr="005F120D" w:rsidRDefault="009244BD" w:rsidP="00B25E46">
      <w:pPr>
        <w:pStyle w:val="ListParagraph"/>
        <w:numPr>
          <w:ilvl w:val="0"/>
          <w:numId w:val="63"/>
        </w:numPr>
        <w:spacing w:before="100" w:beforeAutospacing="1" w:after="100" w:afterAutospacing="1"/>
        <w:rPr>
          <w:rFonts w:asciiTheme="minorHAnsi" w:eastAsia="Times New Roman" w:hAnsiTheme="minorHAnsi" w:cstheme="minorHAnsi"/>
        </w:rPr>
      </w:pPr>
      <w:r w:rsidRPr="005F120D">
        <w:rPr>
          <w:rFonts w:asciiTheme="minorHAnsi" w:eastAsia="Times New Roman" w:hAnsiTheme="minorHAnsi" w:cstheme="minorHAnsi"/>
        </w:rPr>
        <w:t xml:space="preserve">Supporting students and learning centers with </w:t>
      </w:r>
      <w:r w:rsidR="0065335B" w:rsidRPr="005F120D">
        <w:rPr>
          <w:rFonts w:asciiTheme="minorHAnsi" w:eastAsia="Times New Roman" w:hAnsiTheme="minorHAnsi" w:cstheme="minorHAnsi"/>
        </w:rPr>
        <w:t xml:space="preserve">an </w:t>
      </w:r>
      <w:r w:rsidRPr="005F120D">
        <w:rPr>
          <w:rFonts w:asciiTheme="minorHAnsi" w:eastAsia="Times New Roman" w:hAnsiTheme="minorHAnsi" w:cstheme="minorHAnsi"/>
        </w:rPr>
        <w:t>education allowance and grants to ensure access participation and completion of Primary Education.</w:t>
      </w:r>
    </w:p>
    <w:p w:rsidR="009244BD" w:rsidRPr="005F120D" w:rsidRDefault="009244BD" w:rsidP="00B25E46">
      <w:pPr>
        <w:pStyle w:val="ListParagraph"/>
        <w:numPr>
          <w:ilvl w:val="0"/>
          <w:numId w:val="63"/>
        </w:numPr>
        <w:spacing w:before="100" w:beforeAutospacing="1" w:after="100" w:afterAutospacing="1"/>
        <w:rPr>
          <w:rFonts w:asciiTheme="minorHAnsi" w:eastAsia="Times New Roman" w:hAnsiTheme="minorHAnsi" w:cstheme="minorHAnsi"/>
        </w:rPr>
      </w:pPr>
      <w:r w:rsidRPr="005F120D">
        <w:rPr>
          <w:rFonts w:asciiTheme="minorHAnsi" w:eastAsia="Times New Roman" w:hAnsiTheme="minorHAnsi" w:cstheme="minorHAnsi"/>
        </w:rPr>
        <w:t xml:space="preserve">Support ROSC Graduates for participation in basic life skills education and trade training for </w:t>
      </w:r>
      <w:r w:rsidR="0065335B" w:rsidRPr="005F120D">
        <w:rPr>
          <w:rFonts w:asciiTheme="minorHAnsi" w:eastAsia="Times New Roman" w:hAnsiTheme="minorHAnsi" w:cstheme="minorHAnsi"/>
        </w:rPr>
        <w:t xml:space="preserve">earning a </w:t>
      </w:r>
      <w:r w:rsidRPr="005F120D">
        <w:rPr>
          <w:rFonts w:asciiTheme="minorHAnsi" w:eastAsia="Times New Roman" w:hAnsiTheme="minorHAnsi" w:cstheme="minorHAnsi"/>
        </w:rPr>
        <w:t>livelihood.</w:t>
      </w:r>
    </w:p>
    <w:p w:rsidR="009244BD" w:rsidRPr="005F120D" w:rsidRDefault="009244BD" w:rsidP="00B25E46">
      <w:pPr>
        <w:pStyle w:val="ListParagraph"/>
        <w:numPr>
          <w:ilvl w:val="0"/>
          <w:numId w:val="63"/>
        </w:numPr>
        <w:spacing w:before="100" w:beforeAutospacing="1" w:after="100" w:afterAutospacing="1"/>
        <w:rPr>
          <w:rFonts w:asciiTheme="minorHAnsi" w:eastAsia="Times New Roman" w:hAnsiTheme="minorHAnsi" w:cstheme="minorHAnsi"/>
        </w:rPr>
      </w:pPr>
      <w:r w:rsidRPr="005F120D">
        <w:rPr>
          <w:rFonts w:asciiTheme="minorHAnsi" w:eastAsia="Times New Roman" w:hAnsiTheme="minorHAnsi" w:cstheme="minorHAnsi"/>
        </w:rPr>
        <w:t>Build Private-Public partner</w:t>
      </w:r>
      <w:r w:rsidR="0065335B" w:rsidRPr="005F120D">
        <w:rPr>
          <w:rFonts w:asciiTheme="minorHAnsi" w:eastAsia="Times New Roman" w:hAnsiTheme="minorHAnsi" w:cstheme="minorHAnsi"/>
        </w:rPr>
        <w:t>ship for enhanced management of</w:t>
      </w:r>
      <w:r w:rsidRPr="005F120D">
        <w:rPr>
          <w:rFonts w:asciiTheme="minorHAnsi" w:eastAsia="Times New Roman" w:hAnsiTheme="minorHAnsi" w:cstheme="minorHAnsi"/>
        </w:rPr>
        <w:t xml:space="preserve"> effective LCs to deliver quality primary education.</w:t>
      </w:r>
    </w:p>
    <w:p w:rsidR="009244BD" w:rsidRPr="005F120D" w:rsidRDefault="009244BD" w:rsidP="00B25E46">
      <w:pPr>
        <w:pStyle w:val="ListParagraph"/>
        <w:numPr>
          <w:ilvl w:val="0"/>
          <w:numId w:val="63"/>
        </w:numPr>
        <w:spacing w:before="100" w:beforeAutospacing="1" w:after="100" w:afterAutospacing="1"/>
        <w:rPr>
          <w:rFonts w:asciiTheme="minorHAnsi" w:eastAsia="Times New Roman" w:hAnsiTheme="minorHAnsi" w:cstheme="minorHAnsi"/>
        </w:rPr>
      </w:pPr>
      <w:r w:rsidRPr="005F120D">
        <w:rPr>
          <w:rFonts w:asciiTheme="minorHAnsi" w:eastAsia="Times New Roman" w:hAnsiTheme="minorHAnsi" w:cstheme="minorHAnsi"/>
        </w:rPr>
        <w:t>Enhance women</w:t>
      </w:r>
      <w:r w:rsidR="0065335B" w:rsidRPr="005F120D">
        <w:rPr>
          <w:rFonts w:asciiTheme="minorHAnsi" w:eastAsia="Times New Roman" w:hAnsiTheme="minorHAnsi" w:cstheme="minorHAnsi"/>
        </w:rPr>
        <w:t>’s</w:t>
      </w:r>
      <w:r w:rsidRPr="005F120D">
        <w:rPr>
          <w:rFonts w:asciiTheme="minorHAnsi" w:eastAsia="Times New Roman" w:hAnsiTheme="minorHAnsi" w:cstheme="minorHAnsi"/>
        </w:rPr>
        <w:t xml:space="preserve"> empowerme</w:t>
      </w:r>
      <w:r w:rsidR="0065335B" w:rsidRPr="005F120D">
        <w:rPr>
          <w:rFonts w:asciiTheme="minorHAnsi" w:eastAsia="Times New Roman" w:hAnsiTheme="minorHAnsi" w:cstheme="minorHAnsi"/>
        </w:rPr>
        <w:t>nt to participate in the decision</w:t>
      </w:r>
      <w:r w:rsidRPr="005F120D">
        <w:rPr>
          <w:rFonts w:asciiTheme="minorHAnsi" w:eastAsia="Times New Roman" w:hAnsiTheme="minorHAnsi" w:cstheme="minorHAnsi"/>
        </w:rPr>
        <w:t>-making process as regards LCs</w:t>
      </w:r>
      <w:r w:rsidR="0065335B" w:rsidRPr="005F120D">
        <w:rPr>
          <w:rFonts w:asciiTheme="minorHAnsi" w:eastAsia="Times New Roman" w:hAnsiTheme="minorHAnsi" w:cstheme="minorHAnsi"/>
        </w:rPr>
        <w:t>’ establishment and m</w:t>
      </w:r>
      <w:r w:rsidRPr="005F120D">
        <w:rPr>
          <w:rFonts w:asciiTheme="minorHAnsi" w:eastAsia="Times New Roman" w:hAnsiTheme="minorHAnsi" w:cstheme="minorHAnsi"/>
        </w:rPr>
        <w:t>anagement.</w:t>
      </w:r>
    </w:p>
    <w:p w:rsidR="009244BD" w:rsidRPr="005F120D" w:rsidRDefault="009244BD" w:rsidP="00B25E46">
      <w:pPr>
        <w:pStyle w:val="ListParagraph"/>
        <w:numPr>
          <w:ilvl w:val="0"/>
          <w:numId w:val="63"/>
        </w:numPr>
        <w:spacing w:before="100" w:beforeAutospacing="1" w:after="100" w:afterAutospacing="1"/>
        <w:rPr>
          <w:rFonts w:asciiTheme="minorHAnsi" w:eastAsia="Times New Roman" w:hAnsiTheme="minorHAnsi" w:cstheme="minorHAnsi"/>
        </w:rPr>
      </w:pPr>
      <w:r w:rsidRPr="005F120D">
        <w:rPr>
          <w:rFonts w:asciiTheme="minorHAnsi" w:eastAsia="Times New Roman" w:hAnsiTheme="minorHAnsi" w:cstheme="minorHAnsi"/>
        </w:rPr>
        <w:t>Establish and strength</w:t>
      </w:r>
      <w:r w:rsidR="0065335B" w:rsidRPr="005F120D">
        <w:rPr>
          <w:rFonts w:asciiTheme="minorHAnsi" w:eastAsia="Times New Roman" w:hAnsiTheme="minorHAnsi" w:cstheme="minorHAnsi"/>
        </w:rPr>
        <w:t>en</w:t>
      </w:r>
      <w:r w:rsidRPr="005F120D">
        <w:rPr>
          <w:rFonts w:asciiTheme="minorHAnsi" w:eastAsia="Times New Roman" w:hAnsiTheme="minorHAnsi" w:cstheme="minorHAnsi"/>
        </w:rPr>
        <w:t xml:space="preserve"> the capacity of structures and mechanism for local level planning, management and monitoring of primary education delivered by the ROSC with the participation of wider community.</w:t>
      </w:r>
    </w:p>
    <w:p w:rsidR="009244BD" w:rsidRPr="005F120D" w:rsidRDefault="009244BD" w:rsidP="00B25E46">
      <w:pPr>
        <w:pStyle w:val="ListParagraph"/>
        <w:numPr>
          <w:ilvl w:val="0"/>
          <w:numId w:val="63"/>
        </w:numPr>
        <w:spacing w:before="100" w:beforeAutospacing="1" w:after="100" w:afterAutospacing="1"/>
        <w:rPr>
          <w:rFonts w:asciiTheme="minorHAnsi" w:eastAsia="Times New Roman" w:hAnsiTheme="minorHAnsi" w:cstheme="minorHAnsi"/>
        </w:rPr>
      </w:pPr>
      <w:r w:rsidRPr="005F120D">
        <w:rPr>
          <w:rFonts w:asciiTheme="minorHAnsi" w:eastAsia="Times New Roman" w:hAnsiTheme="minorHAnsi" w:cstheme="minorHAnsi"/>
        </w:rPr>
        <w:t>Introduce intensive teacher training for professional development of teachers for improved teaching and learning.</w:t>
      </w:r>
    </w:p>
    <w:p w:rsidR="00F738D7" w:rsidRPr="005F120D" w:rsidRDefault="009244BD" w:rsidP="00B25E46">
      <w:pPr>
        <w:pStyle w:val="ListParagraph"/>
        <w:numPr>
          <w:ilvl w:val="0"/>
          <w:numId w:val="63"/>
        </w:numPr>
        <w:spacing w:before="100" w:beforeAutospacing="1" w:after="100" w:afterAutospacing="1"/>
        <w:rPr>
          <w:rFonts w:asciiTheme="minorHAnsi" w:eastAsia="Times New Roman" w:hAnsiTheme="minorHAnsi" w:cstheme="minorHAnsi"/>
        </w:rPr>
      </w:pPr>
      <w:r w:rsidRPr="005F120D">
        <w:rPr>
          <w:rFonts w:asciiTheme="minorHAnsi" w:eastAsia="Times New Roman" w:hAnsiTheme="minorHAnsi" w:cstheme="minorHAnsi"/>
        </w:rPr>
        <w:t>Strengthen academic supervision and support systems.</w:t>
      </w:r>
    </w:p>
    <w:p w:rsidR="00F738D7" w:rsidRPr="005F120D" w:rsidRDefault="00F738D7"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 xml:space="preserve">Location of the Project:  </w:t>
      </w:r>
      <w:r w:rsidR="003536E2" w:rsidRPr="005F120D">
        <w:rPr>
          <w:rFonts w:asciiTheme="minorHAnsi" w:hAnsiTheme="minorHAnsi" w:cstheme="minorHAnsi"/>
          <w:sz w:val="20"/>
          <w:szCs w:val="20"/>
        </w:rPr>
        <w:t>148</w:t>
      </w:r>
      <w:r w:rsidR="009244BD" w:rsidRPr="005F120D">
        <w:rPr>
          <w:rFonts w:asciiTheme="minorHAnsi" w:hAnsiTheme="minorHAnsi" w:cstheme="minorHAnsi"/>
          <w:sz w:val="20"/>
          <w:szCs w:val="20"/>
        </w:rPr>
        <w:t xml:space="preserve">upazilas </w:t>
      </w:r>
      <w:r w:rsidR="003536E2" w:rsidRPr="005F120D">
        <w:rPr>
          <w:rFonts w:asciiTheme="minorHAnsi" w:hAnsiTheme="minorHAnsi" w:cstheme="minorHAnsi"/>
          <w:sz w:val="20"/>
          <w:szCs w:val="20"/>
        </w:rPr>
        <w:t xml:space="preserve">under 52 districts </w:t>
      </w:r>
      <w:r w:rsidR="009244BD" w:rsidRPr="005F120D">
        <w:rPr>
          <w:rFonts w:asciiTheme="minorHAnsi" w:hAnsiTheme="minorHAnsi" w:cstheme="minorHAnsi"/>
          <w:sz w:val="20"/>
          <w:szCs w:val="20"/>
        </w:rPr>
        <w:t>of Bangladesh</w:t>
      </w:r>
      <w:r w:rsidRPr="005F120D">
        <w:rPr>
          <w:rFonts w:asciiTheme="minorHAnsi" w:hAnsiTheme="minorHAnsi" w:cstheme="minorHAnsi"/>
          <w:sz w:val="20"/>
          <w:szCs w:val="20"/>
        </w:rPr>
        <w:t>.</w:t>
      </w:r>
    </w:p>
    <w:p w:rsidR="00F738D7" w:rsidRPr="005F120D" w:rsidRDefault="00F738D7" w:rsidP="00B25E46">
      <w:pPr>
        <w:pStyle w:val="BodyText1"/>
        <w:spacing w:after="0" w:line="240" w:lineRule="auto"/>
        <w:rPr>
          <w:rFonts w:asciiTheme="minorHAnsi" w:hAnsiTheme="minorHAnsi" w:cstheme="minorHAnsi"/>
          <w:sz w:val="20"/>
          <w:szCs w:val="20"/>
        </w:rPr>
      </w:pPr>
    </w:p>
    <w:p w:rsidR="00F738D7" w:rsidRPr="005F120D" w:rsidRDefault="00F738D7" w:rsidP="00B25E46">
      <w:pPr>
        <w:pStyle w:val="BodyText1"/>
        <w:spacing w:after="0" w:line="240" w:lineRule="auto"/>
        <w:rPr>
          <w:rFonts w:asciiTheme="minorHAnsi" w:hAnsiTheme="minorHAnsi" w:cstheme="minorHAnsi"/>
        </w:rPr>
      </w:pPr>
      <w:r w:rsidRPr="005F120D">
        <w:rPr>
          <w:rFonts w:asciiTheme="minorHAnsi" w:hAnsiTheme="minorHAnsi" w:cstheme="minorHAnsi"/>
          <w:sz w:val="20"/>
          <w:szCs w:val="20"/>
        </w:rPr>
        <w:t xml:space="preserve">Implementation Period of </w:t>
      </w:r>
      <w:r w:rsidRPr="005F120D">
        <w:rPr>
          <w:rFonts w:asciiTheme="minorHAnsi" w:hAnsiTheme="minorHAnsi" w:cstheme="minorHAnsi"/>
          <w:sz w:val="20"/>
        </w:rPr>
        <w:t xml:space="preserve">Primary Education </w:t>
      </w:r>
      <w:r w:rsidRPr="005F120D">
        <w:rPr>
          <w:rFonts w:asciiTheme="minorHAnsi" w:hAnsiTheme="minorHAnsi" w:cstheme="minorHAnsi"/>
        </w:rPr>
        <w:t xml:space="preserve">Stipend Project: </w:t>
      </w:r>
    </w:p>
    <w:p w:rsidR="00F738D7" w:rsidRPr="005F120D" w:rsidRDefault="00716CFE" w:rsidP="00B25E46">
      <w:pPr>
        <w:pStyle w:val="BodyText1"/>
        <w:numPr>
          <w:ilvl w:val="1"/>
          <w:numId w:val="57"/>
        </w:numPr>
        <w:spacing w:after="0" w:line="240" w:lineRule="auto"/>
        <w:rPr>
          <w:rFonts w:asciiTheme="minorHAnsi" w:hAnsiTheme="minorHAnsi" w:cstheme="minorHAnsi"/>
          <w:sz w:val="20"/>
          <w:szCs w:val="20"/>
        </w:rPr>
      </w:pPr>
      <w:r w:rsidRPr="005F120D">
        <w:rPr>
          <w:rFonts w:asciiTheme="minorHAnsi" w:hAnsiTheme="minorHAnsi" w:cstheme="minorHAnsi"/>
        </w:rPr>
        <w:t xml:space="preserve">Original - </w:t>
      </w:r>
      <w:r w:rsidR="00F738D7" w:rsidRPr="005F120D">
        <w:rPr>
          <w:rFonts w:asciiTheme="minorHAnsi" w:hAnsiTheme="minorHAnsi" w:cstheme="minorHAnsi"/>
        </w:rPr>
        <w:t>Date of Commencement:</w:t>
      </w:r>
      <w:r w:rsidR="009244BD" w:rsidRPr="005F120D">
        <w:rPr>
          <w:rFonts w:asciiTheme="minorHAnsi" w:hAnsiTheme="minorHAnsi" w:cstheme="minorHAnsi"/>
          <w:sz w:val="20"/>
          <w:szCs w:val="20"/>
        </w:rPr>
        <w:t xml:space="preserve"> January 2013</w:t>
      </w:r>
    </w:p>
    <w:p w:rsidR="00F738D7" w:rsidRPr="005F120D" w:rsidRDefault="00F738D7" w:rsidP="00B25E46">
      <w:pPr>
        <w:pStyle w:val="BodyText1"/>
        <w:numPr>
          <w:ilvl w:val="1"/>
          <w:numId w:val="57"/>
        </w:numPr>
        <w:spacing w:after="0" w:line="240" w:lineRule="auto"/>
        <w:rPr>
          <w:rFonts w:asciiTheme="minorHAnsi" w:hAnsiTheme="minorHAnsi" w:cstheme="minorHAnsi"/>
          <w:sz w:val="20"/>
          <w:szCs w:val="20"/>
        </w:rPr>
      </w:pPr>
      <w:r w:rsidRPr="005F120D">
        <w:rPr>
          <w:rFonts w:asciiTheme="minorHAnsi" w:hAnsiTheme="minorHAnsi" w:cstheme="minorHAnsi"/>
        </w:rPr>
        <w:t>Date of Completion:</w:t>
      </w:r>
      <w:r w:rsidR="00A61F5E">
        <w:rPr>
          <w:rFonts w:asciiTheme="minorHAnsi" w:hAnsiTheme="minorHAnsi" w:cstheme="minorHAnsi"/>
        </w:rPr>
        <w:t xml:space="preserve"> </w:t>
      </w:r>
      <w:r w:rsidR="009244BD" w:rsidRPr="005F120D">
        <w:rPr>
          <w:rFonts w:asciiTheme="minorHAnsi" w:hAnsiTheme="minorHAnsi" w:cstheme="minorHAnsi"/>
          <w:sz w:val="20"/>
          <w:szCs w:val="20"/>
        </w:rPr>
        <w:t>December 2017</w:t>
      </w:r>
    </w:p>
    <w:p w:rsidR="00F738D7" w:rsidRPr="005F120D" w:rsidRDefault="00F738D7" w:rsidP="00B25E46">
      <w:pPr>
        <w:pStyle w:val="BodyText1"/>
        <w:spacing w:after="0" w:line="240" w:lineRule="auto"/>
        <w:rPr>
          <w:rFonts w:asciiTheme="minorHAnsi" w:hAnsiTheme="minorHAnsi" w:cstheme="minorHAnsi"/>
          <w:sz w:val="20"/>
          <w:szCs w:val="20"/>
        </w:rPr>
      </w:pPr>
    </w:p>
    <w:p w:rsidR="00F738D7" w:rsidRPr="005F120D" w:rsidRDefault="00F738D7"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Implementation Cost</w:t>
      </w:r>
      <w:r w:rsidR="00716CFE" w:rsidRPr="005F120D">
        <w:rPr>
          <w:rFonts w:asciiTheme="minorHAnsi" w:hAnsiTheme="minorHAnsi" w:cstheme="minorHAnsi"/>
          <w:sz w:val="20"/>
          <w:szCs w:val="20"/>
        </w:rPr>
        <w:t xml:space="preserve"> in </w:t>
      </w:r>
      <w:r w:rsidR="00F738CE" w:rsidRPr="005F120D">
        <w:rPr>
          <w:rFonts w:asciiTheme="minorHAnsi" w:hAnsiTheme="minorHAnsi" w:cstheme="minorHAnsi"/>
          <w:sz w:val="20"/>
          <w:szCs w:val="20"/>
        </w:rPr>
        <w:t>lac</w:t>
      </w:r>
      <w:r w:rsidR="00716CFE" w:rsidRPr="005F120D">
        <w:rPr>
          <w:rFonts w:asciiTheme="minorHAnsi" w:hAnsiTheme="minorHAnsi" w:cstheme="minorHAnsi"/>
          <w:sz w:val="20"/>
          <w:szCs w:val="20"/>
        </w:rPr>
        <w:t xml:space="preserve"> Taka: </w:t>
      </w:r>
      <w:r w:rsidR="009244BD" w:rsidRPr="005F120D">
        <w:rPr>
          <w:rFonts w:asciiTheme="minorHAnsi" w:hAnsiTheme="minorHAnsi" w:cstheme="minorHAnsi"/>
          <w:sz w:val="20"/>
          <w:szCs w:val="20"/>
        </w:rPr>
        <w:t>114,025.76</w:t>
      </w:r>
      <w:r w:rsidRPr="005F120D">
        <w:rPr>
          <w:rFonts w:asciiTheme="minorHAnsi" w:hAnsiTheme="minorHAnsi" w:cstheme="minorHAnsi"/>
          <w:sz w:val="20"/>
          <w:szCs w:val="20"/>
        </w:rPr>
        <w:t xml:space="preserve"> (</w:t>
      </w:r>
      <w:r w:rsidR="009244BD" w:rsidRPr="005F120D">
        <w:rPr>
          <w:rFonts w:asciiTheme="minorHAnsi" w:hAnsiTheme="minorHAnsi" w:cstheme="minorHAnsi"/>
          <w:sz w:val="20"/>
          <w:szCs w:val="20"/>
        </w:rPr>
        <w:t>GoB TK. 5,803.53 and World Bank RPA TK. 108</w:t>
      </w:r>
      <w:r w:rsidR="003536E2" w:rsidRPr="005F120D">
        <w:rPr>
          <w:rFonts w:asciiTheme="minorHAnsi" w:hAnsiTheme="minorHAnsi" w:cstheme="minorHAnsi"/>
          <w:sz w:val="20"/>
          <w:szCs w:val="20"/>
        </w:rPr>
        <w:t>,</w:t>
      </w:r>
      <w:r w:rsidR="009244BD" w:rsidRPr="005F120D">
        <w:rPr>
          <w:rFonts w:asciiTheme="minorHAnsi" w:hAnsiTheme="minorHAnsi" w:cstheme="minorHAnsi"/>
          <w:sz w:val="20"/>
          <w:szCs w:val="20"/>
        </w:rPr>
        <w:t>217.23</w:t>
      </w:r>
      <w:r w:rsidRPr="005F120D">
        <w:rPr>
          <w:rFonts w:asciiTheme="minorHAnsi" w:hAnsiTheme="minorHAnsi" w:cstheme="minorHAnsi"/>
          <w:sz w:val="20"/>
          <w:szCs w:val="20"/>
        </w:rPr>
        <w:t xml:space="preserve">) </w:t>
      </w:r>
    </w:p>
    <w:p w:rsidR="00F738D7" w:rsidRPr="005F120D" w:rsidRDefault="00F738D7" w:rsidP="00B25E46">
      <w:pPr>
        <w:pStyle w:val="BodyText1"/>
        <w:spacing w:after="0" w:line="240" w:lineRule="auto"/>
        <w:rPr>
          <w:rFonts w:asciiTheme="minorHAnsi" w:hAnsiTheme="minorHAnsi" w:cstheme="minorHAnsi"/>
          <w:sz w:val="20"/>
          <w:szCs w:val="20"/>
        </w:rPr>
      </w:pPr>
    </w:p>
    <w:p w:rsidR="00F738D7" w:rsidRPr="005F120D" w:rsidRDefault="00F738D7" w:rsidP="00B25E46">
      <w:pPr>
        <w:pStyle w:val="BodyText1"/>
        <w:spacing w:line="240" w:lineRule="auto"/>
        <w:rPr>
          <w:rFonts w:asciiTheme="minorHAnsi" w:hAnsiTheme="minorHAnsi" w:cstheme="minorHAnsi"/>
        </w:rPr>
      </w:pPr>
      <w:r w:rsidRPr="005F120D">
        <w:rPr>
          <w:rFonts w:asciiTheme="minorHAnsi" w:hAnsiTheme="minorHAnsi" w:cstheme="minorHAnsi"/>
          <w:sz w:val="20"/>
          <w:szCs w:val="20"/>
        </w:rPr>
        <w:t>Source of Fund: GoB</w:t>
      </w:r>
      <w:r w:rsidR="009244BD" w:rsidRPr="005F120D">
        <w:rPr>
          <w:rFonts w:asciiTheme="minorHAnsi" w:hAnsiTheme="minorHAnsi" w:cstheme="minorHAnsi"/>
          <w:sz w:val="20"/>
          <w:szCs w:val="20"/>
        </w:rPr>
        <w:t xml:space="preserve"> and World Bank</w:t>
      </w:r>
      <w:r w:rsidR="006A4F15" w:rsidRPr="005F120D">
        <w:rPr>
          <w:rFonts w:asciiTheme="minorHAnsi" w:hAnsiTheme="minorHAnsi" w:cstheme="minorHAnsi"/>
          <w:sz w:val="20"/>
          <w:szCs w:val="20"/>
        </w:rPr>
        <w:t xml:space="preserve"> (IDA)</w:t>
      </w:r>
    </w:p>
    <w:p w:rsidR="008270AF" w:rsidRPr="005F120D" w:rsidRDefault="00B051A5" w:rsidP="00B25E46">
      <w:pPr>
        <w:jc w:val="both"/>
        <w:rPr>
          <w:rFonts w:asciiTheme="minorHAnsi" w:hAnsiTheme="minorHAnsi" w:cstheme="minorHAnsi"/>
          <w:sz w:val="20"/>
        </w:rPr>
      </w:pPr>
      <w:r w:rsidRPr="005F120D">
        <w:rPr>
          <w:rFonts w:asciiTheme="minorHAnsi" w:hAnsiTheme="minorHAnsi" w:cstheme="minorHAnsi"/>
          <w:b/>
          <w:sz w:val="20"/>
        </w:rPr>
        <w:t>Project Description:</w:t>
      </w:r>
      <w:r w:rsidR="00A61F5E">
        <w:rPr>
          <w:rFonts w:asciiTheme="minorHAnsi" w:hAnsiTheme="minorHAnsi" w:cstheme="minorHAnsi"/>
          <w:b/>
          <w:sz w:val="20"/>
        </w:rPr>
        <w:t xml:space="preserve"> </w:t>
      </w:r>
      <w:r w:rsidR="00CD6EAB" w:rsidRPr="005F120D">
        <w:rPr>
          <w:rFonts w:asciiTheme="minorHAnsi" w:hAnsiTheme="minorHAnsi" w:cstheme="minorHAnsi"/>
          <w:sz w:val="20"/>
        </w:rPr>
        <w:t>In line with the EFA’s goals and targets of achieving universal</w:t>
      </w:r>
      <w:r w:rsidR="001E731E" w:rsidRPr="005F120D">
        <w:rPr>
          <w:rFonts w:asciiTheme="minorHAnsi" w:hAnsiTheme="minorHAnsi" w:cstheme="minorHAnsi"/>
          <w:sz w:val="20"/>
        </w:rPr>
        <w:t xml:space="preserve"> primary education and eradicating</w:t>
      </w:r>
      <w:r w:rsidR="00CD6EAB" w:rsidRPr="005F120D">
        <w:rPr>
          <w:rFonts w:asciiTheme="minorHAnsi" w:hAnsiTheme="minorHAnsi" w:cstheme="minorHAnsi"/>
          <w:sz w:val="20"/>
        </w:rPr>
        <w:t xml:space="preserve"> illiteracy, the government </w:t>
      </w:r>
      <w:r w:rsidR="008270AF" w:rsidRPr="005F120D">
        <w:rPr>
          <w:rFonts w:asciiTheme="minorHAnsi" w:hAnsiTheme="minorHAnsi" w:cstheme="minorHAnsi"/>
          <w:sz w:val="20"/>
        </w:rPr>
        <w:t xml:space="preserve">started ROSC project with the assistance of World Bank to </w:t>
      </w:r>
      <w:r w:rsidR="00CD6EAB" w:rsidRPr="005F120D">
        <w:rPr>
          <w:rFonts w:asciiTheme="minorHAnsi" w:hAnsiTheme="minorHAnsi" w:cstheme="minorHAnsi"/>
          <w:sz w:val="20"/>
        </w:rPr>
        <w:t>established 22,500 learning centres, ‘</w:t>
      </w:r>
      <w:r w:rsidR="00E410D7" w:rsidRPr="005F120D">
        <w:rPr>
          <w:rFonts w:asciiTheme="minorHAnsi" w:hAnsiTheme="minorHAnsi" w:cstheme="minorHAnsi"/>
          <w:sz w:val="20"/>
        </w:rPr>
        <w:t>Anandya</w:t>
      </w:r>
      <w:r w:rsidR="00CD6EAB" w:rsidRPr="005F120D">
        <w:rPr>
          <w:rFonts w:asciiTheme="minorHAnsi" w:hAnsiTheme="minorHAnsi" w:cstheme="minorHAnsi"/>
          <w:sz w:val="20"/>
        </w:rPr>
        <w:t xml:space="preserve"> School’, for </w:t>
      </w:r>
      <w:r w:rsidR="008270AF" w:rsidRPr="005F120D">
        <w:rPr>
          <w:rFonts w:asciiTheme="minorHAnsi" w:hAnsiTheme="minorHAnsi" w:cstheme="minorHAnsi"/>
          <w:sz w:val="20"/>
        </w:rPr>
        <w:t xml:space="preserve">covering </w:t>
      </w:r>
      <w:r w:rsidR="00CD6EAB" w:rsidRPr="005F120D">
        <w:rPr>
          <w:rFonts w:asciiTheme="minorHAnsi" w:hAnsiTheme="minorHAnsi" w:cstheme="minorHAnsi"/>
          <w:sz w:val="20"/>
        </w:rPr>
        <w:t xml:space="preserve">about 7.5 </w:t>
      </w:r>
      <w:r w:rsidR="00F738CE" w:rsidRPr="005F120D">
        <w:rPr>
          <w:rFonts w:asciiTheme="minorHAnsi" w:hAnsiTheme="minorHAnsi" w:cstheme="minorHAnsi"/>
          <w:sz w:val="20"/>
        </w:rPr>
        <w:t>lac</w:t>
      </w:r>
      <w:r w:rsidR="00CD6EAB" w:rsidRPr="005F120D">
        <w:rPr>
          <w:rFonts w:asciiTheme="minorHAnsi" w:hAnsiTheme="minorHAnsi" w:cstheme="minorHAnsi"/>
          <w:sz w:val="20"/>
        </w:rPr>
        <w:t xml:space="preserve"> children. These schools provide a second chance opportunity for out-of school children to continue their education. </w:t>
      </w:r>
      <w:r w:rsidR="008270AF" w:rsidRPr="005F120D">
        <w:rPr>
          <w:rFonts w:asciiTheme="minorHAnsi" w:hAnsiTheme="minorHAnsi" w:cstheme="minorHAnsi"/>
          <w:sz w:val="20"/>
        </w:rPr>
        <w:t>After</w:t>
      </w:r>
      <w:r w:rsidR="001E731E" w:rsidRPr="005F120D">
        <w:rPr>
          <w:rFonts w:asciiTheme="minorHAnsi" w:hAnsiTheme="minorHAnsi" w:cstheme="minorHAnsi"/>
          <w:sz w:val="20"/>
        </w:rPr>
        <w:t xml:space="preserve"> the phasing</w:t>
      </w:r>
      <w:r w:rsidR="008270AF" w:rsidRPr="005F120D">
        <w:rPr>
          <w:rFonts w:asciiTheme="minorHAnsi" w:hAnsiTheme="minorHAnsi" w:cstheme="minorHAnsi"/>
          <w:sz w:val="20"/>
        </w:rPr>
        <w:t xml:space="preserve"> out of </w:t>
      </w:r>
      <w:r w:rsidR="001E731E" w:rsidRPr="005F120D">
        <w:rPr>
          <w:rFonts w:asciiTheme="minorHAnsi" w:hAnsiTheme="minorHAnsi" w:cstheme="minorHAnsi"/>
          <w:sz w:val="20"/>
        </w:rPr>
        <w:t>P</w:t>
      </w:r>
      <w:r w:rsidR="008270AF" w:rsidRPr="005F120D">
        <w:rPr>
          <w:rFonts w:asciiTheme="minorHAnsi" w:hAnsiTheme="minorHAnsi" w:cstheme="minorHAnsi"/>
          <w:sz w:val="20"/>
        </w:rPr>
        <w:t>hase</w:t>
      </w:r>
      <w:r w:rsidR="001E731E" w:rsidRPr="005F120D">
        <w:rPr>
          <w:rFonts w:asciiTheme="minorHAnsi" w:hAnsiTheme="minorHAnsi" w:cstheme="minorHAnsi"/>
          <w:sz w:val="20"/>
        </w:rPr>
        <w:t xml:space="preserve"> 1</w:t>
      </w:r>
      <w:r w:rsidR="008270AF" w:rsidRPr="005F120D">
        <w:rPr>
          <w:rFonts w:asciiTheme="minorHAnsi" w:hAnsiTheme="minorHAnsi" w:cstheme="minorHAnsi"/>
          <w:sz w:val="20"/>
        </w:rPr>
        <w:t xml:space="preserve"> of ROSC project</w:t>
      </w:r>
      <w:r w:rsidR="001E731E" w:rsidRPr="005F120D">
        <w:rPr>
          <w:rFonts w:asciiTheme="minorHAnsi" w:hAnsiTheme="minorHAnsi" w:cstheme="minorHAnsi"/>
          <w:sz w:val="20"/>
        </w:rPr>
        <w:t>, the G</w:t>
      </w:r>
      <w:r w:rsidR="008270AF" w:rsidRPr="005F120D">
        <w:rPr>
          <w:rFonts w:asciiTheme="minorHAnsi" w:hAnsiTheme="minorHAnsi" w:cstheme="minorHAnsi"/>
          <w:sz w:val="20"/>
        </w:rPr>
        <w:t xml:space="preserve">overnment agreed to start </w:t>
      </w:r>
      <w:r w:rsidR="001E731E" w:rsidRPr="005F120D">
        <w:rPr>
          <w:rFonts w:asciiTheme="minorHAnsi" w:hAnsiTheme="minorHAnsi" w:cstheme="minorHAnsi"/>
          <w:sz w:val="20"/>
        </w:rPr>
        <w:t xml:space="preserve">the second phase of the </w:t>
      </w:r>
      <w:r w:rsidR="008270AF" w:rsidRPr="005F120D">
        <w:rPr>
          <w:rFonts w:asciiTheme="minorHAnsi" w:hAnsiTheme="minorHAnsi" w:cstheme="minorHAnsi"/>
          <w:sz w:val="20"/>
        </w:rPr>
        <w:t>project.</w:t>
      </w:r>
    </w:p>
    <w:p w:rsidR="00176027" w:rsidRPr="005F120D" w:rsidRDefault="008270AF" w:rsidP="00176027">
      <w:pPr>
        <w:jc w:val="both"/>
        <w:rPr>
          <w:rFonts w:asciiTheme="minorHAnsi" w:hAnsiTheme="minorHAnsi" w:cstheme="minorHAnsi"/>
          <w:sz w:val="20"/>
          <w:szCs w:val="25"/>
        </w:rPr>
      </w:pPr>
      <w:r w:rsidRPr="005F120D">
        <w:rPr>
          <w:rFonts w:asciiTheme="minorHAnsi" w:hAnsiTheme="minorHAnsi" w:cstheme="minorHAnsi"/>
          <w:sz w:val="20"/>
        </w:rPr>
        <w:t xml:space="preserve">Accordingly, </w:t>
      </w:r>
      <w:r w:rsidR="001E731E" w:rsidRPr="005F120D">
        <w:rPr>
          <w:rFonts w:asciiTheme="minorHAnsi" w:hAnsiTheme="minorHAnsi" w:cstheme="minorHAnsi"/>
          <w:sz w:val="20"/>
        </w:rPr>
        <w:t>P</w:t>
      </w:r>
      <w:r w:rsidRPr="005F120D">
        <w:rPr>
          <w:rFonts w:asciiTheme="minorHAnsi" w:hAnsiTheme="minorHAnsi" w:cstheme="minorHAnsi"/>
          <w:sz w:val="20"/>
        </w:rPr>
        <w:t xml:space="preserve">hase </w:t>
      </w:r>
      <w:r w:rsidR="001E731E" w:rsidRPr="005F120D">
        <w:rPr>
          <w:rFonts w:asciiTheme="minorHAnsi" w:hAnsiTheme="minorHAnsi" w:cstheme="minorHAnsi"/>
          <w:sz w:val="20"/>
        </w:rPr>
        <w:t xml:space="preserve">2 </w:t>
      </w:r>
      <w:r w:rsidR="00CD6EAB" w:rsidRPr="005F120D">
        <w:rPr>
          <w:rFonts w:asciiTheme="minorHAnsi" w:hAnsiTheme="minorHAnsi" w:cstheme="minorHAnsi"/>
          <w:sz w:val="20"/>
        </w:rPr>
        <w:t>of the project started in January 2013 and will be completed in December 2017 with a budget of Taka 114,0</w:t>
      </w:r>
      <w:r w:rsidRPr="005F120D">
        <w:rPr>
          <w:rFonts w:asciiTheme="minorHAnsi" w:hAnsiTheme="minorHAnsi" w:cstheme="minorHAnsi"/>
          <w:sz w:val="20"/>
        </w:rPr>
        <w:t>26</w:t>
      </w:r>
      <w:r w:rsidR="00F738CE" w:rsidRPr="005F120D">
        <w:rPr>
          <w:rFonts w:asciiTheme="minorHAnsi" w:hAnsiTheme="minorHAnsi" w:cstheme="minorHAnsi"/>
          <w:sz w:val="20"/>
        </w:rPr>
        <w:t>lac</w:t>
      </w:r>
      <w:r w:rsidR="00CD6EAB" w:rsidRPr="005F120D">
        <w:rPr>
          <w:rFonts w:asciiTheme="minorHAnsi" w:hAnsiTheme="minorHAnsi" w:cstheme="minorHAnsi"/>
          <w:sz w:val="20"/>
        </w:rPr>
        <w:t xml:space="preserve">.  The project plans to </w:t>
      </w:r>
      <w:r w:rsidR="001E731E" w:rsidRPr="005F120D">
        <w:rPr>
          <w:rFonts w:asciiTheme="minorHAnsi" w:hAnsiTheme="minorHAnsi" w:cstheme="minorHAnsi"/>
          <w:sz w:val="20"/>
        </w:rPr>
        <w:t xml:space="preserve">help </w:t>
      </w:r>
      <w:r w:rsidR="00CD6EAB" w:rsidRPr="005F120D">
        <w:rPr>
          <w:rFonts w:asciiTheme="minorHAnsi" w:hAnsiTheme="minorHAnsi" w:cstheme="minorHAnsi"/>
          <w:sz w:val="20"/>
          <w:szCs w:val="25"/>
        </w:rPr>
        <w:t xml:space="preserve">21,632 </w:t>
      </w:r>
      <w:r w:rsidR="00E410D7" w:rsidRPr="005F120D">
        <w:rPr>
          <w:rFonts w:asciiTheme="minorHAnsi" w:hAnsiTheme="minorHAnsi" w:cstheme="minorHAnsi"/>
          <w:sz w:val="20"/>
          <w:szCs w:val="25"/>
        </w:rPr>
        <w:t>Anandya</w:t>
      </w:r>
      <w:r w:rsidR="001E731E" w:rsidRPr="005F120D">
        <w:rPr>
          <w:rFonts w:asciiTheme="minorHAnsi" w:hAnsiTheme="minorHAnsi" w:cstheme="minorHAnsi"/>
          <w:sz w:val="20"/>
          <w:szCs w:val="25"/>
        </w:rPr>
        <w:t xml:space="preserve"> schools to</w:t>
      </w:r>
      <w:r w:rsidR="00CD6EAB" w:rsidRPr="005F120D">
        <w:rPr>
          <w:rFonts w:asciiTheme="minorHAnsi" w:hAnsiTheme="minorHAnsi" w:cstheme="minorHAnsi"/>
          <w:sz w:val="20"/>
          <w:szCs w:val="25"/>
        </w:rPr>
        <w:t xml:space="preserve"> reach 720,000 children. As of April 2014, a total of 11,965 </w:t>
      </w:r>
      <w:r w:rsidR="00E410D7" w:rsidRPr="005F120D">
        <w:rPr>
          <w:rFonts w:asciiTheme="minorHAnsi" w:hAnsiTheme="minorHAnsi" w:cstheme="minorHAnsi"/>
          <w:sz w:val="20"/>
          <w:szCs w:val="25"/>
        </w:rPr>
        <w:t>Anandya</w:t>
      </w:r>
      <w:r w:rsidR="001E731E" w:rsidRPr="005F120D">
        <w:rPr>
          <w:rFonts w:asciiTheme="minorHAnsi" w:hAnsiTheme="minorHAnsi" w:cstheme="minorHAnsi"/>
          <w:sz w:val="20"/>
          <w:szCs w:val="25"/>
        </w:rPr>
        <w:t xml:space="preserve"> schools were</w:t>
      </w:r>
      <w:r w:rsidR="00CD6EAB" w:rsidRPr="005F120D">
        <w:rPr>
          <w:rFonts w:asciiTheme="minorHAnsi" w:hAnsiTheme="minorHAnsi" w:cstheme="minorHAnsi"/>
          <w:sz w:val="20"/>
          <w:szCs w:val="25"/>
        </w:rPr>
        <w:t xml:space="preserve"> functioning (6,024 newly established and 5,941from phase 1) with an </w:t>
      </w:r>
      <w:r w:rsidR="004B53A0" w:rsidRPr="005F120D">
        <w:rPr>
          <w:rFonts w:asciiTheme="minorHAnsi" w:hAnsiTheme="minorHAnsi" w:cstheme="minorHAnsi"/>
          <w:sz w:val="20"/>
          <w:szCs w:val="25"/>
        </w:rPr>
        <w:t>enrolment</w:t>
      </w:r>
      <w:r w:rsidR="00CD6EAB" w:rsidRPr="005F120D">
        <w:rPr>
          <w:rFonts w:asciiTheme="minorHAnsi" w:hAnsiTheme="minorHAnsi" w:cstheme="minorHAnsi"/>
          <w:sz w:val="20"/>
          <w:szCs w:val="25"/>
        </w:rPr>
        <w:t xml:space="preserve"> of 322,731 children.</w:t>
      </w:r>
    </w:p>
    <w:p w:rsidR="006A4F15" w:rsidRPr="005F120D" w:rsidRDefault="006F55AA" w:rsidP="00176027">
      <w:pPr>
        <w:jc w:val="both"/>
        <w:rPr>
          <w:rFonts w:asciiTheme="minorHAnsi" w:hAnsiTheme="minorHAnsi" w:cstheme="minorHAnsi"/>
          <w:sz w:val="20"/>
          <w:szCs w:val="25"/>
        </w:rPr>
      </w:pPr>
      <w:r w:rsidRPr="005F120D">
        <w:rPr>
          <w:rFonts w:asciiTheme="minorHAnsi" w:hAnsiTheme="minorHAnsi" w:cstheme="minorHAnsi"/>
          <w:b/>
        </w:rPr>
        <w:t>Cumulative c</w:t>
      </w:r>
      <w:r w:rsidR="00392C0C" w:rsidRPr="005F120D">
        <w:rPr>
          <w:rFonts w:asciiTheme="minorHAnsi" w:hAnsiTheme="minorHAnsi" w:cstheme="minorHAnsi"/>
          <w:b/>
        </w:rPr>
        <w:t>overage as of March 2016</w:t>
      </w:r>
      <w:r w:rsidR="006A4F15" w:rsidRPr="005F120D">
        <w:rPr>
          <w:rFonts w:asciiTheme="minorHAnsi" w:hAnsiTheme="minorHAnsi" w:cstheme="minorHAnsi"/>
          <w:b/>
        </w:rPr>
        <w:t>:</w:t>
      </w:r>
    </w:p>
    <w:tbl>
      <w:tblPr>
        <w:tblStyle w:val="TableGrid"/>
        <w:tblW w:w="5000" w:type="pct"/>
        <w:tblLook w:val="04A0"/>
      </w:tblPr>
      <w:tblGrid>
        <w:gridCol w:w="1898"/>
        <w:gridCol w:w="2528"/>
        <w:gridCol w:w="1607"/>
        <w:gridCol w:w="1607"/>
        <w:gridCol w:w="1605"/>
      </w:tblGrid>
      <w:tr w:rsidR="006A4F15" w:rsidRPr="005F120D" w:rsidTr="006A4F15">
        <w:trPr>
          <w:trHeight w:hRule="exact" w:val="288"/>
        </w:trPr>
        <w:tc>
          <w:tcPr>
            <w:tcW w:w="1027" w:type="pct"/>
            <w:tcBorders>
              <w:top w:val="single" w:sz="4" w:space="0" w:color="auto"/>
              <w:left w:val="single" w:sz="4" w:space="0" w:color="auto"/>
              <w:bottom w:val="single" w:sz="4" w:space="0" w:color="auto"/>
              <w:right w:val="nil"/>
            </w:tcBorders>
            <w:shd w:val="clear" w:color="auto" w:fill="DDD9C3" w:themeFill="background2" w:themeFillShade="E6"/>
          </w:tcPr>
          <w:p w:rsidR="006A4F15" w:rsidRPr="005F120D" w:rsidRDefault="006A4F15" w:rsidP="00B25E46">
            <w:pPr>
              <w:spacing w:after="0"/>
              <w:rPr>
                <w:rFonts w:asciiTheme="minorHAnsi" w:hAnsiTheme="minorHAnsi" w:cstheme="minorHAnsi"/>
                <w:sz w:val="20"/>
                <w:szCs w:val="20"/>
              </w:rPr>
            </w:pPr>
          </w:p>
        </w:tc>
        <w:tc>
          <w:tcPr>
            <w:tcW w:w="1367" w:type="pct"/>
            <w:tcBorders>
              <w:top w:val="single" w:sz="4" w:space="0" w:color="auto"/>
              <w:left w:val="nil"/>
              <w:bottom w:val="single" w:sz="4" w:space="0" w:color="auto"/>
              <w:right w:val="nil"/>
            </w:tcBorders>
            <w:shd w:val="clear" w:color="auto" w:fill="DDD9C3" w:themeFill="background2" w:themeFillShade="E6"/>
          </w:tcPr>
          <w:p w:rsidR="006A4F15" w:rsidRPr="005F120D" w:rsidRDefault="006A4F15" w:rsidP="00B25E46">
            <w:pPr>
              <w:spacing w:after="0"/>
              <w:jc w:val="right"/>
              <w:rPr>
                <w:rFonts w:asciiTheme="minorHAnsi" w:hAnsiTheme="minorHAnsi" w:cstheme="minorHAnsi"/>
                <w:sz w:val="20"/>
                <w:szCs w:val="20"/>
              </w:rPr>
            </w:pPr>
            <w:r w:rsidRPr="005F120D">
              <w:rPr>
                <w:rFonts w:asciiTheme="minorHAnsi" w:hAnsiTheme="minorHAnsi" w:cstheme="minorHAnsi"/>
                <w:sz w:val="20"/>
                <w:szCs w:val="20"/>
              </w:rPr>
              <w:t>Coverage</w:t>
            </w:r>
          </w:p>
        </w:tc>
        <w:tc>
          <w:tcPr>
            <w:tcW w:w="869" w:type="pct"/>
            <w:tcBorders>
              <w:top w:val="single" w:sz="4" w:space="0" w:color="auto"/>
              <w:left w:val="nil"/>
              <w:bottom w:val="single" w:sz="4" w:space="0" w:color="auto"/>
              <w:right w:val="nil"/>
            </w:tcBorders>
            <w:shd w:val="clear" w:color="auto" w:fill="DDD9C3" w:themeFill="background2" w:themeFillShade="E6"/>
          </w:tcPr>
          <w:p w:rsidR="006A4F15" w:rsidRPr="005F120D" w:rsidRDefault="006A4F15" w:rsidP="00B25E46">
            <w:pPr>
              <w:spacing w:after="0"/>
              <w:rPr>
                <w:rFonts w:asciiTheme="minorHAnsi" w:hAnsiTheme="minorHAnsi" w:cstheme="minorHAnsi"/>
                <w:sz w:val="20"/>
                <w:szCs w:val="20"/>
              </w:rPr>
            </w:pPr>
          </w:p>
        </w:tc>
        <w:tc>
          <w:tcPr>
            <w:tcW w:w="869" w:type="pct"/>
            <w:tcBorders>
              <w:top w:val="single" w:sz="4" w:space="0" w:color="auto"/>
              <w:left w:val="nil"/>
              <w:bottom w:val="single" w:sz="4" w:space="0" w:color="auto"/>
              <w:right w:val="single" w:sz="4" w:space="0" w:color="auto"/>
            </w:tcBorders>
            <w:shd w:val="clear" w:color="auto" w:fill="DDD9C3" w:themeFill="background2" w:themeFillShade="E6"/>
          </w:tcPr>
          <w:p w:rsidR="006A4F15" w:rsidRPr="005F120D" w:rsidRDefault="006A4F15" w:rsidP="00B25E46">
            <w:pPr>
              <w:spacing w:after="0"/>
              <w:rPr>
                <w:rFonts w:asciiTheme="minorHAnsi" w:hAnsiTheme="minorHAnsi" w:cstheme="minorHAnsi"/>
                <w:sz w:val="20"/>
                <w:szCs w:val="20"/>
              </w:rPr>
            </w:pPr>
          </w:p>
        </w:tc>
        <w:tc>
          <w:tcPr>
            <w:tcW w:w="869" w:type="pct"/>
            <w:vMerge w:val="restart"/>
            <w:tcBorders>
              <w:left w:val="single" w:sz="4" w:space="0" w:color="auto"/>
            </w:tcBorders>
            <w:shd w:val="clear" w:color="auto" w:fill="DDD9C3" w:themeFill="background2" w:themeFillShade="E6"/>
          </w:tcPr>
          <w:p w:rsidR="006A4F15" w:rsidRPr="005F120D" w:rsidRDefault="006A4F15" w:rsidP="00B25E46">
            <w:pPr>
              <w:spacing w:after="0"/>
              <w:rPr>
                <w:rFonts w:asciiTheme="minorHAnsi" w:hAnsiTheme="minorHAnsi" w:cstheme="minorHAnsi"/>
                <w:sz w:val="20"/>
                <w:szCs w:val="20"/>
              </w:rPr>
            </w:pPr>
            <w:r w:rsidRPr="005F120D">
              <w:rPr>
                <w:rFonts w:asciiTheme="minorHAnsi" w:hAnsiTheme="minorHAnsi" w:cstheme="minorHAnsi"/>
                <w:sz w:val="20"/>
                <w:szCs w:val="20"/>
              </w:rPr>
              <w:t>Remarks</w:t>
            </w:r>
          </w:p>
        </w:tc>
      </w:tr>
      <w:tr w:rsidR="006A4F15" w:rsidRPr="005F120D" w:rsidTr="006A4F15">
        <w:trPr>
          <w:trHeight w:hRule="exact" w:val="595"/>
        </w:trPr>
        <w:tc>
          <w:tcPr>
            <w:tcW w:w="1027" w:type="pct"/>
            <w:tcBorders>
              <w:top w:val="single" w:sz="4" w:space="0" w:color="auto"/>
            </w:tcBorders>
            <w:shd w:val="clear" w:color="auto" w:fill="DDD9C3" w:themeFill="background2" w:themeFillShade="E6"/>
          </w:tcPr>
          <w:p w:rsidR="006A4F15" w:rsidRPr="005F120D" w:rsidRDefault="006A4F1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Number of District</w:t>
            </w:r>
          </w:p>
        </w:tc>
        <w:tc>
          <w:tcPr>
            <w:tcW w:w="1367" w:type="pct"/>
            <w:tcBorders>
              <w:top w:val="single" w:sz="4" w:space="0" w:color="auto"/>
            </w:tcBorders>
            <w:shd w:val="clear" w:color="auto" w:fill="DDD9C3" w:themeFill="background2" w:themeFillShade="E6"/>
          </w:tcPr>
          <w:p w:rsidR="006A4F15" w:rsidRPr="005F120D" w:rsidRDefault="006A4F1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Number of Upazila</w:t>
            </w:r>
          </w:p>
        </w:tc>
        <w:tc>
          <w:tcPr>
            <w:tcW w:w="869" w:type="pct"/>
            <w:tcBorders>
              <w:top w:val="single" w:sz="4" w:space="0" w:color="auto"/>
            </w:tcBorders>
            <w:shd w:val="clear" w:color="auto" w:fill="DDD9C3" w:themeFill="background2" w:themeFillShade="E6"/>
          </w:tcPr>
          <w:p w:rsidR="006A4F15" w:rsidRPr="005F120D" w:rsidRDefault="006A4F1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Number of schools</w:t>
            </w:r>
          </w:p>
        </w:tc>
        <w:tc>
          <w:tcPr>
            <w:tcW w:w="869" w:type="pct"/>
            <w:tcBorders>
              <w:top w:val="single" w:sz="4" w:space="0" w:color="auto"/>
              <w:right w:val="single" w:sz="4" w:space="0" w:color="auto"/>
            </w:tcBorders>
            <w:shd w:val="clear" w:color="auto" w:fill="DDD9C3" w:themeFill="background2" w:themeFillShade="E6"/>
          </w:tcPr>
          <w:p w:rsidR="006A4F15" w:rsidRPr="005F120D" w:rsidRDefault="006A4F1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Number of student</w:t>
            </w:r>
          </w:p>
        </w:tc>
        <w:tc>
          <w:tcPr>
            <w:tcW w:w="869" w:type="pct"/>
            <w:vMerge/>
            <w:tcBorders>
              <w:left w:val="single" w:sz="4" w:space="0" w:color="auto"/>
            </w:tcBorders>
            <w:shd w:val="clear" w:color="auto" w:fill="DDD9C3" w:themeFill="background2" w:themeFillShade="E6"/>
          </w:tcPr>
          <w:p w:rsidR="006A4F15" w:rsidRPr="005F120D" w:rsidRDefault="006A4F15" w:rsidP="00B25E46">
            <w:pPr>
              <w:spacing w:after="0"/>
              <w:jc w:val="center"/>
              <w:rPr>
                <w:rFonts w:asciiTheme="minorHAnsi" w:hAnsiTheme="minorHAnsi" w:cstheme="minorHAnsi"/>
                <w:sz w:val="20"/>
                <w:szCs w:val="20"/>
              </w:rPr>
            </w:pPr>
          </w:p>
        </w:tc>
      </w:tr>
      <w:tr w:rsidR="006A4F15" w:rsidRPr="005F120D" w:rsidTr="006A4F15">
        <w:trPr>
          <w:trHeight w:hRule="exact" w:val="631"/>
        </w:trPr>
        <w:tc>
          <w:tcPr>
            <w:tcW w:w="1027" w:type="pct"/>
          </w:tcPr>
          <w:p w:rsidR="006A4F15" w:rsidRPr="005F120D" w:rsidRDefault="006A4F1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52</w:t>
            </w:r>
          </w:p>
        </w:tc>
        <w:tc>
          <w:tcPr>
            <w:tcW w:w="1367" w:type="pct"/>
          </w:tcPr>
          <w:p w:rsidR="006A4F15" w:rsidRPr="005F120D" w:rsidRDefault="006A4F1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148</w:t>
            </w:r>
          </w:p>
        </w:tc>
        <w:tc>
          <w:tcPr>
            <w:tcW w:w="869" w:type="pct"/>
          </w:tcPr>
          <w:p w:rsidR="006A4F15" w:rsidRPr="005F120D" w:rsidRDefault="006A4F1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15,239</w:t>
            </w:r>
          </w:p>
        </w:tc>
        <w:tc>
          <w:tcPr>
            <w:tcW w:w="869" w:type="pct"/>
          </w:tcPr>
          <w:p w:rsidR="006A4F15" w:rsidRPr="005F120D" w:rsidRDefault="003536E2"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386,875</w:t>
            </w:r>
          </w:p>
        </w:tc>
        <w:tc>
          <w:tcPr>
            <w:tcW w:w="869" w:type="pct"/>
          </w:tcPr>
          <w:p w:rsidR="006A4F15" w:rsidRPr="005F120D" w:rsidRDefault="006A4F15" w:rsidP="00B25E46">
            <w:pPr>
              <w:spacing w:after="0"/>
              <w:rPr>
                <w:rFonts w:asciiTheme="minorHAnsi" w:hAnsiTheme="minorHAnsi" w:cstheme="minorHAnsi"/>
                <w:sz w:val="20"/>
                <w:szCs w:val="20"/>
              </w:rPr>
            </w:pPr>
            <w:r w:rsidRPr="005F120D">
              <w:rPr>
                <w:rFonts w:asciiTheme="minorHAnsi" w:hAnsiTheme="minorHAnsi" w:cstheme="minorHAnsi"/>
                <w:sz w:val="20"/>
                <w:szCs w:val="20"/>
              </w:rPr>
              <w:t>110 MO's &amp; 148 TC's</w:t>
            </w:r>
          </w:p>
        </w:tc>
      </w:tr>
    </w:tbl>
    <w:p w:rsidR="00F20C11" w:rsidRPr="005F120D" w:rsidRDefault="00F20C11" w:rsidP="00B25E46">
      <w:pPr>
        <w:spacing w:after="0"/>
        <w:rPr>
          <w:rFonts w:asciiTheme="minorHAnsi" w:hAnsiTheme="minorHAnsi" w:cstheme="minorHAnsi"/>
          <w:sz w:val="20"/>
        </w:rPr>
      </w:pPr>
    </w:p>
    <w:p w:rsidR="00F20C11" w:rsidRPr="005F120D" w:rsidRDefault="00F20C11" w:rsidP="00B25E46">
      <w:pPr>
        <w:spacing w:after="0"/>
        <w:rPr>
          <w:rFonts w:asciiTheme="minorHAnsi" w:hAnsiTheme="minorHAnsi" w:cstheme="minorHAnsi"/>
          <w:sz w:val="20"/>
        </w:rPr>
      </w:pPr>
    </w:p>
    <w:p w:rsidR="005A115F" w:rsidRPr="005F120D" w:rsidRDefault="00984736" w:rsidP="00B25E46">
      <w:pPr>
        <w:spacing w:after="0"/>
        <w:rPr>
          <w:rFonts w:asciiTheme="minorHAnsi" w:hAnsiTheme="minorHAnsi" w:cstheme="minorHAnsi"/>
          <w:b/>
          <w:sz w:val="18"/>
          <w:szCs w:val="18"/>
        </w:rPr>
      </w:pPr>
      <w:r w:rsidRPr="005F120D">
        <w:rPr>
          <w:rFonts w:asciiTheme="minorHAnsi" w:hAnsiTheme="minorHAnsi" w:cstheme="minorHAnsi"/>
          <w:b/>
          <w:sz w:val="20"/>
        </w:rPr>
        <w:t xml:space="preserve">ROSC </w:t>
      </w:r>
      <w:r w:rsidR="005A115F" w:rsidRPr="005F120D">
        <w:rPr>
          <w:rFonts w:asciiTheme="minorHAnsi" w:hAnsiTheme="minorHAnsi" w:cstheme="minorHAnsi"/>
          <w:b/>
          <w:sz w:val="20"/>
        </w:rPr>
        <w:t>P</w:t>
      </w:r>
      <w:r w:rsidR="009244BD" w:rsidRPr="005F120D">
        <w:rPr>
          <w:rFonts w:asciiTheme="minorHAnsi" w:hAnsiTheme="minorHAnsi" w:cstheme="minorHAnsi"/>
          <w:b/>
          <w:sz w:val="20"/>
        </w:rPr>
        <w:t xml:space="preserve">roject implementation status </w:t>
      </w:r>
      <w:r w:rsidR="005A115F" w:rsidRPr="005F120D">
        <w:rPr>
          <w:rFonts w:asciiTheme="minorHAnsi" w:hAnsiTheme="minorHAnsi" w:cstheme="minorHAnsi"/>
          <w:b/>
          <w:sz w:val="20"/>
        </w:rPr>
        <w:t xml:space="preserve">as </w:t>
      </w:r>
      <w:r w:rsidR="009244BD" w:rsidRPr="005F120D">
        <w:rPr>
          <w:rFonts w:asciiTheme="minorHAnsi" w:hAnsiTheme="minorHAnsi" w:cstheme="minorHAnsi"/>
          <w:b/>
          <w:sz w:val="20"/>
        </w:rPr>
        <w:t>of March 2015 presented in below</w:t>
      </w:r>
      <w:r w:rsidR="005A115F" w:rsidRPr="005F120D">
        <w:rPr>
          <w:rFonts w:asciiTheme="minorHAnsi" w:hAnsiTheme="minorHAnsi" w:cstheme="minorHAnsi"/>
          <w:b/>
          <w:sz w:val="20"/>
        </w:rPr>
        <w:t>:</w:t>
      </w:r>
    </w:p>
    <w:tbl>
      <w:tblPr>
        <w:tblW w:w="9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3600"/>
        <w:gridCol w:w="1158"/>
        <w:gridCol w:w="1219"/>
        <w:gridCol w:w="1158"/>
        <w:gridCol w:w="1219"/>
      </w:tblGrid>
      <w:tr w:rsidR="005A115F" w:rsidRPr="005F120D" w:rsidTr="00A562D0">
        <w:trPr>
          <w:trHeight w:hRule="exact" w:val="288"/>
        </w:trPr>
        <w:tc>
          <w:tcPr>
            <w:tcW w:w="1170" w:type="dxa"/>
            <w:tcBorders>
              <w:top w:val="nil"/>
              <w:left w:val="nil"/>
              <w:bottom w:val="single" w:sz="4" w:space="0" w:color="auto"/>
              <w:right w:val="nil"/>
            </w:tcBorders>
            <w:shd w:val="clear" w:color="auto" w:fill="FFFFFF" w:themeFill="background1"/>
          </w:tcPr>
          <w:p w:rsidR="005A115F" w:rsidRPr="005F120D" w:rsidRDefault="005A115F" w:rsidP="00B25E46">
            <w:pPr>
              <w:spacing w:after="0"/>
              <w:rPr>
                <w:rFonts w:asciiTheme="minorHAnsi" w:eastAsia="Calibri" w:hAnsiTheme="minorHAnsi" w:cstheme="minorHAnsi"/>
                <w:sz w:val="18"/>
                <w:szCs w:val="18"/>
              </w:rPr>
            </w:pPr>
          </w:p>
        </w:tc>
        <w:tc>
          <w:tcPr>
            <w:tcW w:w="3600" w:type="dxa"/>
            <w:tcBorders>
              <w:top w:val="nil"/>
              <w:left w:val="nil"/>
              <w:bottom w:val="single" w:sz="4" w:space="0" w:color="auto"/>
              <w:right w:val="nil"/>
            </w:tcBorders>
            <w:shd w:val="clear" w:color="auto" w:fill="FFFFFF" w:themeFill="background1"/>
          </w:tcPr>
          <w:p w:rsidR="005A115F" w:rsidRPr="005F120D" w:rsidRDefault="005A115F" w:rsidP="00B25E46">
            <w:pPr>
              <w:spacing w:after="0"/>
              <w:rPr>
                <w:rFonts w:asciiTheme="minorHAnsi" w:eastAsia="Calibri" w:hAnsiTheme="minorHAnsi" w:cstheme="minorHAnsi"/>
                <w:sz w:val="18"/>
                <w:szCs w:val="18"/>
              </w:rPr>
            </w:pPr>
          </w:p>
        </w:tc>
        <w:tc>
          <w:tcPr>
            <w:tcW w:w="2377" w:type="dxa"/>
            <w:gridSpan w:val="2"/>
            <w:tcBorders>
              <w:top w:val="nil"/>
              <w:left w:val="nil"/>
              <w:bottom w:val="single" w:sz="4" w:space="0" w:color="auto"/>
              <w:right w:val="single" w:sz="4" w:space="0" w:color="auto"/>
            </w:tcBorders>
            <w:shd w:val="clear" w:color="auto" w:fill="FFFFFF" w:themeFill="background1"/>
          </w:tcPr>
          <w:p w:rsidR="005A115F" w:rsidRPr="005F120D" w:rsidRDefault="005A115F" w:rsidP="00B25E46">
            <w:pPr>
              <w:spacing w:after="0"/>
              <w:rPr>
                <w:rFonts w:asciiTheme="minorHAnsi" w:eastAsia="Calibri" w:hAnsiTheme="minorHAnsi" w:cstheme="minorHAnsi"/>
                <w:sz w:val="18"/>
                <w:szCs w:val="18"/>
              </w:rPr>
            </w:pPr>
          </w:p>
        </w:tc>
        <w:tc>
          <w:tcPr>
            <w:tcW w:w="2377" w:type="dxa"/>
            <w:gridSpan w:val="2"/>
            <w:tcBorders>
              <w:left w:val="single" w:sz="4" w:space="0" w:color="auto"/>
              <w:bottom w:val="single" w:sz="4" w:space="0" w:color="auto"/>
            </w:tcBorders>
            <w:shd w:val="clear" w:color="auto" w:fill="C2D69B" w:themeFill="accent3" w:themeFillTint="99"/>
          </w:tcPr>
          <w:p w:rsidR="005A115F" w:rsidRPr="005F120D" w:rsidRDefault="005A115F"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In </w:t>
            </w:r>
            <w:r w:rsidR="00F738CE" w:rsidRPr="005F120D">
              <w:rPr>
                <w:rFonts w:asciiTheme="minorHAnsi" w:eastAsia="Calibri" w:hAnsiTheme="minorHAnsi" w:cstheme="minorHAnsi"/>
                <w:sz w:val="18"/>
                <w:szCs w:val="18"/>
              </w:rPr>
              <w:t>lac</w:t>
            </w:r>
            <w:r w:rsidRPr="005F120D">
              <w:rPr>
                <w:rFonts w:asciiTheme="minorHAnsi" w:eastAsia="Calibri" w:hAnsiTheme="minorHAnsi" w:cstheme="minorHAnsi"/>
                <w:sz w:val="18"/>
                <w:szCs w:val="18"/>
              </w:rPr>
              <w:t xml:space="preserve"> Taka</w:t>
            </w:r>
          </w:p>
        </w:tc>
      </w:tr>
      <w:tr w:rsidR="005A115F" w:rsidRPr="005F120D" w:rsidTr="00A562D0">
        <w:tc>
          <w:tcPr>
            <w:tcW w:w="1170" w:type="dxa"/>
            <w:vMerge w:val="restart"/>
            <w:tcBorders>
              <w:top w:val="single" w:sz="4" w:space="0" w:color="auto"/>
            </w:tcBorders>
            <w:shd w:val="clear" w:color="auto" w:fill="C2D69B" w:themeFill="accent3" w:themeFillTint="99"/>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F/Y</w:t>
            </w:r>
          </w:p>
        </w:tc>
        <w:tc>
          <w:tcPr>
            <w:tcW w:w="3600" w:type="dxa"/>
            <w:vMerge w:val="restart"/>
            <w:tcBorders>
              <w:top w:val="single" w:sz="4" w:space="0" w:color="auto"/>
            </w:tcBorders>
            <w:shd w:val="clear" w:color="auto" w:fill="C2D69B" w:themeFill="accent3" w:themeFillTint="99"/>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Activity</w:t>
            </w:r>
          </w:p>
        </w:tc>
        <w:tc>
          <w:tcPr>
            <w:tcW w:w="2377" w:type="dxa"/>
            <w:gridSpan w:val="2"/>
            <w:tcBorders>
              <w:top w:val="single" w:sz="4" w:space="0" w:color="auto"/>
            </w:tcBorders>
            <w:shd w:val="clear" w:color="auto" w:fill="C2D69B" w:themeFill="accent3" w:themeFillTint="99"/>
          </w:tcPr>
          <w:p w:rsidR="005A115F" w:rsidRPr="005F120D" w:rsidRDefault="005A115F"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Target</w:t>
            </w:r>
          </w:p>
        </w:tc>
        <w:tc>
          <w:tcPr>
            <w:tcW w:w="2377" w:type="dxa"/>
            <w:gridSpan w:val="2"/>
            <w:tcBorders>
              <w:top w:val="single" w:sz="4" w:space="0" w:color="auto"/>
            </w:tcBorders>
            <w:shd w:val="clear" w:color="auto" w:fill="C2D69B" w:themeFill="accent3" w:themeFillTint="99"/>
          </w:tcPr>
          <w:p w:rsidR="005A115F" w:rsidRPr="005F120D" w:rsidRDefault="005A115F" w:rsidP="00B25E46">
            <w:pPr>
              <w:spacing w:after="0"/>
              <w:jc w:val="center"/>
              <w:rPr>
                <w:rFonts w:asciiTheme="minorHAnsi" w:eastAsia="Calibri" w:hAnsiTheme="minorHAnsi" w:cstheme="minorHAnsi"/>
                <w:sz w:val="18"/>
                <w:szCs w:val="18"/>
              </w:rPr>
            </w:pPr>
            <w:r w:rsidRPr="005F120D">
              <w:rPr>
                <w:rFonts w:asciiTheme="minorHAnsi" w:eastAsia="Calibri" w:hAnsiTheme="minorHAnsi" w:cstheme="minorHAnsi"/>
                <w:sz w:val="18"/>
                <w:szCs w:val="18"/>
              </w:rPr>
              <w:t>Achievement</w:t>
            </w:r>
          </w:p>
        </w:tc>
      </w:tr>
      <w:tr w:rsidR="005A115F" w:rsidRPr="005F120D" w:rsidTr="00A562D0">
        <w:tc>
          <w:tcPr>
            <w:tcW w:w="1170" w:type="dxa"/>
            <w:vMerge/>
            <w:shd w:val="clear" w:color="auto" w:fill="C2D69B" w:themeFill="accent3" w:themeFillTint="99"/>
          </w:tcPr>
          <w:p w:rsidR="005A115F" w:rsidRPr="005F120D" w:rsidRDefault="005A115F" w:rsidP="00B25E46">
            <w:pPr>
              <w:spacing w:after="0"/>
              <w:rPr>
                <w:rFonts w:asciiTheme="minorHAnsi" w:eastAsia="Calibri" w:hAnsiTheme="minorHAnsi" w:cstheme="minorHAnsi"/>
                <w:sz w:val="18"/>
                <w:szCs w:val="18"/>
              </w:rPr>
            </w:pPr>
          </w:p>
        </w:tc>
        <w:tc>
          <w:tcPr>
            <w:tcW w:w="3600" w:type="dxa"/>
            <w:vMerge/>
            <w:shd w:val="clear" w:color="auto" w:fill="C2D69B" w:themeFill="accent3" w:themeFillTint="99"/>
          </w:tcPr>
          <w:p w:rsidR="005A115F" w:rsidRPr="005F120D" w:rsidRDefault="005A115F" w:rsidP="00B25E46">
            <w:pPr>
              <w:spacing w:after="0"/>
              <w:rPr>
                <w:rFonts w:asciiTheme="minorHAnsi" w:eastAsia="Calibri" w:hAnsiTheme="minorHAnsi" w:cstheme="minorHAnsi"/>
                <w:sz w:val="18"/>
                <w:szCs w:val="18"/>
              </w:rPr>
            </w:pPr>
          </w:p>
        </w:tc>
        <w:tc>
          <w:tcPr>
            <w:tcW w:w="1158" w:type="dxa"/>
            <w:shd w:val="clear" w:color="auto" w:fill="C2D69B" w:themeFill="accent3" w:themeFillTint="99"/>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Physical</w:t>
            </w:r>
          </w:p>
        </w:tc>
        <w:tc>
          <w:tcPr>
            <w:tcW w:w="1219" w:type="dxa"/>
            <w:shd w:val="clear" w:color="auto" w:fill="C2D69B" w:themeFill="accent3" w:themeFillTint="99"/>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Financial</w:t>
            </w:r>
          </w:p>
        </w:tc>
        <w:tc>
          <w:tcPr>
            <w:tcW w:w="1158" w:type="dxa"/>
            <w:shd w:val="clear" w:color="auto" w:fill="C2D69B" w:themeFill="accent3" w:themeFillTint="99"/>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Physical</w:t>
            </w:r>
          </w:p>
        </w:tc>
        <w:tc>
          <w:tcPr>
            <w:tcW w:w="1219" w:type="dxa"/>
            <w:shd w:val="clear" w:color="auto" w:fill="C2D69B" w:themeFill="accent3" w:themeFillTint="99"/>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Financial</w:t>
            </w:r>
          </w:p>
        </w:tc>
      </w:tr>
      <w:tr w:rsidR="005A115F" w:rsidRPr="005F120D" w:rsidTr="00A562D0">
        <w:tc>
          <w:tcPr>
            <w:tcW w:w="1170" w:type="dxa"/>
            <w:vMerge w:val="restart"/>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2008-2009</w:t>
            </w:r>
          </w:p>
        </w:tc>
        <w:tc>
          <w:tcPr>
            <w:tcW w:w="3600" w:type="dxa"/>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Educational allowance for children</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417,707</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2,900.00</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41770</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2,898.92</w:t>
            </w:r>
          </w:p>
        </w:tc>
      </w:tr>
      <w:tr w:rsidR="005A115F" w:rsidRPr="005F120D" w:rsidTr="00A562D0">
        <w:tc>
          <w:tcPr>
            <w:tcW w:w="1170" w:type="dxa"/>
            <w:vMerge/>
            <w:shd w:val="clear" w:color="auto" w:fill="auto"/>
          </w:tcPr>
          <w:p w:rsidR="005A115F" w:rsidRPr="005F120D" w:rsidRDefault="005A115F" w:rsidP="00B25E46">
            <w:pPr>
              <w:spacing w:after="0"/>
              <w:rPr>
                <w:rFonts w:asciiTheme="minorHAnsi" w:eastAsia="Calibri" w:hAnsiTheme="minorHAnsi" w:cstheme="minorHAnsi"/>
                <w:sz w:val="18"/>
                <w:szCs w:val="18"/>
              </w:rPr>
            </w:pPr>
          </w:p>
        </w:tc>
        <w:tc>
          <w:tcPr>
            <w:tcW w:w="3600" w:type="dxa"/>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Educational grant for LC</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15,077</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4,800.00</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15077</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4,799.59</w:t>
            </w:r>
          </w:p>
        </w:tc>
      </w:tr>
      <w:tr w:rsidR="005A115F" w:rsidRPr="005F120D" w:rsidTr="00A562D0">
        <w:tc>
          <w:tcPr>
            <w:tcW w:w="1170" w:type="dxa"/>
            <w:vMerge w:val="restart"/>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2009-2010</w:t>
            </w:r>
          </w:p>
        </w:tc>
        <w:tc>
          <w:tcPr>
            <w:tcW w:w="3600" w:type="dxa"/>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Educational allowance for children</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665,247</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3,860.00</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665,247</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3,680.07</w:t>
            </w:r>
          </w:p>
        </w:tc>
      </w:tr>
      <w:tr w:rsidR="005A115F" w:rsidRPr="005F120D" w:rsidTr="00A562D0">
        <w:tc>
          <w:tcPr>
            <w:tcW w:w="1170" w:type="dxa"/>
            <w:vMerge/>
            <w:shd w:val="clear" w:color="auto" w:fill="auto"/>
          </w:tcPr>
          <w:p w:rsidR="005A115F" w:rsidRPr="005F120D" w:rsidRDefault="005A115F" w:rsidP="00B25E46">
            <w:pPr>
              <w:spacing w:after="0"/>
              <w:rPr>
                <w:rFonts w:asciiTheme="minorHAnsi" w:eastAsia="Calibri" w:hAnsiTheme="minorHAnsi" w:cstheme="minorHAnsi"/>
                <w:sz w:val="18"/>
                <w:szCs w:val="18"/>
              </w:rPr>
            </w:pPr>
          </w:p>
        </w:tc>
        <w:tc>
          <w:tcPr>
            <w:tcW w:w="3600" w:type="dxa"/>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Educational grant for LC</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15,848</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6,063.53</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15,848</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6,041.32</w:t>
            </w:r>
          </w:p>
        </w:tc>
      </w:tr>
      <w:tr w:rsidR="005A115F" w:rsidRPr="005F120D" w:rsidTr="00A562D0">
        <w:tc>
          <w:tcPr>
            <w:tcW w:w="1170" w:type="dxa"/>
            <w:vMerge w:val="restart"/>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2010-2011</w:t>
            </w:r>
          </w:p>
          <w:p w:rsidR="005A115F" w:rsidRPr="005F120D" w:rsidRDefault="005A115F" w:rsidP="00B25E46">
            <w:pPr>
              <w:spacing w:after="0"/>
              <w:rPr>
                <w:rFonts w:asciiTheme="minorHAnsi" w:eastAsia="Calibri" w:hAnsiTheme="minorHAnsi" w:cstheme="minorHAnsi"/>
                <w:sz w:val="18"/>
                <w:szCs w:val="18"/>
              </w:rPr>
            </w:pPr>
          </w:p>
        </w:tc>
        <w:tc>
          <w:tcPr>
            <w:tcW w:w="3600" w:type="dxa"/>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Educational allowance for children</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458,593</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3,944.00</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458,593</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3,905.68</w:t>
            </w:r>
          </w:p>
        </w:tc>
      </w:tr>
      <w:tr w:rsidR="005A115F" w:rsidRPr="005F120D" w:rsidTr="00A562D0">
        <w:tc>
          <w:tcPr>
            <w:tcW w:w="1170" w:type="dxa"/>
            <w:vMerge/>
            <w:shd w:val="clear" w:color="auto" w:fill="auto"/>
          </w:tcPr>
          <w:p w:rsidR="005A115F" w:rsidRPr="005F120D" w:rsidRDefault="005A115F" w:rsidP="00B25E46">
            <w:pPr>
              <w:spacing w:after="0"/>
              <w:rPr>
                <w:rFonts w:asciiTheme="minorHAnsi" w:eastAsia="Calibri" w:hAnsiTheme="minorHAnsi" w:cstheme="minorHAnsi"/>
                <w:sz w:val="18"/>
                <w:szCs w:val="18"/>
              </w:rPr>
            </w:pPr>
          </w:p>
        </w:tc>
        <w:tc>
          <w:tcPr>
            <w:tcW w:w="3600" w:type="dxa"/>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Educational grant for LC</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15,245</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7,049.00</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15,245</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6,537.87</w:t>
            </w:r>
          </w:p>
        </w:tc>
      </w:tr>
      <w:tr w:rsidR="005A115F" w:rsidRPr="005F120D" w:rsidTr="00A562D0">
        <w:tc>
          <w:tcPr>
            <w:tcW w:w="1170" w:type="dxa"/>
            <w:vMerge w:val="restart"/>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2011-2012</w:t>
            </w:r>
          </w:p>
        </w:tc>
        <w:tc>
          <w:tcPr>
            <w:tcW w:w="3600" w:type="dxa"/>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Educational allowance for children</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458,826</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2,704.00</w:t>
            </w:r>
          </w:p>
        </w:tc>
        <w:tc>
          <w:tcPr>
            <w:tcW w:w="1158"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548,826</w:t>
            </w:r>
          </w:p>
        </w:tc>
        <w:tc>
          <w:tcPr>
            <w:tcW w:w="1219" w:type="dxa"/>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2,703.58</w:t>
            </w:r>
          </w:p>
        </w:tc>
      </w:tr>
      <w:tr w:rsidR="005A115F" w:rsidRPr="005F120D" w:rsidTr="008270AF">
        <w:tc>
          <w:tcPr>
            <w:tcW w:w="1170" w:type="dxa"/>
            <w:vMerge/>
            <w:tcBorders>
              <w:bottom w:val="single" w:sz="4" w:space="0" w:color="auto"/>
            </w:tcBorders>
            <w:shd w:val="clear" w:color="auto" w:fill="auto"/>
          </w:tcPr>
          <w:p w:rsidR="005A115F" w:rsidRPr="005F120D" w:rsidRDefault="005A115F" w:rsidP="00B25E46">
            <w:pPr>
              <w:spacing w:after="0"/>
              <w:rPr>
                <w:rFonts w:asciiTheme="minorHAnsi" w:eastAsia="Calibri" w:hAnsiTheme="minorHAnsi" w:cstheme="minorHAnsi"/>
                <w:sz w:val="18"/>
                <w:szCs w:val="18"/>
              </w:rPr>
            </w:pPr>
          </w:p>
        </w:tc>
        <w:tc>
          <w:tcPr>
            <w:tcW w:w="3600" w:type="dxa"/>
            <w:tcBorders>
              <w:bottom w:val="single" w:sz="4" w:space="0" w:color="auto"/>
            </w:tcBorders>
            <w:shd w:val="clear" w:color="auto" w:fill="auto"/>
          </w:tcPr>
          <w:p w:rsidR="005A115F" w:rsidRPr="005F120D" w:rsidRDefault="005A115F"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Educational grant for LC</w:t>
            </w:r>
          </w:p>
        </w:tc>
        <w:tc>
          <w:tcPr>
            <w:tcW w:w="1158" w:type="dxa"/>
            <w:tcBorders>
              <w:bottom w:val="single" w:sz="4" w:space="0" w:color="auto"/>
            </w:tcBorders>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15,172</w:t>
            </w:r>
          </w:p>
        </w:tc>
        <w:tc>
          <w:tcPr>
            <w:tcW w:w="1219" w:type="dxa"/>
            <w:tcBorders>
              <w:bottom w:val="single" w:sz="4" w:space="0" w:color="auto"/>
            </w:tcBorders>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3,054.00</w:t>
            </w:r>
          </w:p>
        </w:tc>
        <w:tc>
          <w:tcPr>
            <w:tcW w:w="1158" w:type="dxa"/>
            <w:tcBorders>
              <w:bottom w:val="single" w:sz="4" w:space="0" w:color="auto"/>
            </w:tcBorders>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15,172</w:t>
            </w:r>
          </w:p>
        </w:tc>
        <w:tc>
          <w:tcPr>
            <w:tcW w:w="1219" w:type="dxa"/>
            <w:tcBorders>
              <w:bottom w:val="single" w:sz="4" w:space="0" w:color="auto"/>
            </w:tcBorders>
            <w:shd w:val="clear" w:color="auto" w:fill="auto"/>
          </w:tcPr>
          <w:p w:rsidR="005A115F" w:rsidRPr="005F120D" w:rsidRDefault="005A115F"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3,053.65</w:t>
            </w:r>
          </w:p>
        </w:tc>
      </w:tr>
      <w:tr w:rsidR="008270AF" w:rsidRPr="005F120D" w:rsidTr="008270AF">
        <w:tc>
          <w:tcPr>
            <w:tcW w:w="117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270AF" w:rsidRPr="005F120D" w:rsidRDefault="008270AF" w:rsidP="00B25E46">
            <w:pPr>
              <w:spacing w:after="0"/>
              <w:rPr>
                <w:rFonts w:asciiTheme="minorHAnsi" w:eastAsia="Calibri" w:hAnsiTheme="minorHAnsi" w:cstheme="minorHAnsi"/>
                <w:sz w:val="18"/>
                <w:szCs w:val="18"/>
              </w:rPr>
            </w:pPr>
          </w:p>
        </w:tc>
        <w:tc>
          <w:tcPr>
            <w:tcW w:w="3600" w:type="dxa"/>
            <w:tcBorders>
              <w:left w:val="single" w:sz="4" w:space="0" w:color="auto"/>
            </w:tcBorders>
            <w:shd w:val="clear" w:color="auto" w:fill="DDD9C3" w:themeFill="background2" w:themeFillShade="E6"/>
          </w:tcPr>
          <w:p w:rsidR="008270AF" w:rsidRPr="005F120D" w:rsidRDefault="008270AF" w:rsidP="00B25E46">
            <w:pPr>
              <w:spacing w:after="0"/>
              <w:rPr>
                <w:rFonts w:asciiTheme="minorHAnsi" w:eastAsia="Calibri" w:hAnsiTheme="minorHAnsi" w:cstheme="minorHAnsi"/>
                <w:b/>
                <w:sz w:val="20"/>
              </w:rPr>
            </w:pPr>
            <w:r w:rsidRPr="005F120D">
              <w:rPr>
                <w:rFonts w:asciiTheme="minorHAnsi" w:eastAsia="Calibri" w:hAnsiTheme="minorHAnsi" w:cstheme="minorHAnsi"/>
                <w:b/>
                <w:sz w:val="20"/>
              </w:rPr>
              <w:t>2</w:t>
            </w:r>
            <w:r w:rsidRPr="005F120D">
              <w:rPr>
                <w:rFonts w:asciiTheme="minorHAnsi" w:eastAsia="Calibri" w:hAnsiTheme="minorHAnsi" w:cstheme="minorHAnsi"/>
                <w:b/>
                <w:sz w:val="20"/>
                <w:vertAlign w:val="superscript"/>
              </w:rPr>
              <w:t>nd</w:t>
            </w:r>
            <w:r w:rsidRPr="005F120D">
              <w:rPr>
                <w:rFonts w:asciiTheme="minorHAnsi" w:eastAsia="Calibri" w:hAnsiTheme="minorHAnsi" w:cstheme="minorHAnsi"/>
                <w:b/>
                <w:sz w:val="20"/>
              </w:rPr>
              <w:t xml:space="preserve"> Phase</w:t>
            </w:r>
          </w:p>
        </w:tc>
        <w:tc>
          <w:tcPr>
            <w:tcW w:w="1158" w:type="dxa"/>
            <w:shd w:val="clear" w:color="auto" w:fill="DDD9C3" w:themeFill="background2" w:themeFillShade="E6"/>
          </w:tcPr>
          <w:p w:rsidR="008270AF" w:rsidRPr="005F120D" w:rsidRDefault="008270AF" w:rsidP="00B25E46">
            <w:pPr>
              <w:spacing w:after="0"/>
              <w:jc w:val="right"/>
              <w:rPr>
                <w:rFonts w:asciiTheme="minorHAnsi" w:eastAsia="Calibri" w:hAnsiTheme="minorHAnsi" w:cstheme="minorHAnsi"/>
                <w:sz w:val="18"/>
                <w:szCs w:val="18"/>
              </w:rPr>
            </w:pPr>
          </w:p>
        </w:tc>
        <w:tc>
          <w:tcPr>
            <w:tcW w:w="1219" w:type="dxa"/>
            <w:shd w:val="clear" w:color="auto" w:fill="DDD9C3" w:themeFill="background2" w:themeFillShade="E6"/>
          </w:tcPr>
          <w:p w:rsidR="008270AF" w:rsidRPr="005F120D" w:rsidRDefault="008270AF" w:rsidP="00B25E46">
            <w:pPr>
              <w:spacing w:after="0"/>
              <w:jc w:val="right"/>
              <w:rPr>
                <w:rFonts w:asciiTheme="minorHAnsi" w:eastAsia="Calibri" w:hAnsiTheme="minorHAnsi" w:cstheme="minorHAnsi"/>
                <w:sz w:val="18"/>
                <w:szCs w:val="18"/>
              </w:rPr>
            </w:pPr>
          </w:p>
        </w:tc>
        <w:tc>
          <w:tcPr>
            <w:tcW w:w="1158" w:type="dxa"/>
            <w:shd w:val="clear" w:color="auto" w:fill="DDD9C3" w:themeFill="background2" w:themeFillShade="E6"/>
          </w:tcPr>
          <w:p w:rsidR="008270AF" w:rsidRPr="005F120D" w:rsidRDefault="008270AF" w:rsidP="00B25E46">
            <w:pPr>
              <w:spacing w:after="0"/>
              <w:jc w:val="right"/>
              <w:rPr>
                <w:rFonts w:asciiTheme="minorHAnsi" w:eastAsia="Calibri" w:hAnsiTheme="minorHAnsi" w:cstheme="minorHAnsi"/>
                <w:sz w:val="18"/>
                <w:szCs w:val="18"/>
              </w:rPr>
            </w:pPr>
          </w:p>
        </w:tc>
        <w:tc>
          <w:tcPr>
            <w:tcW w:w="1219" w:type="dxa"/>
            <w:shd w:val="clear" w:color="auto" w:fill="DDD9C3" w:themeFill="background2" w:themeFillShade="E6"/>
          </w:tcPr>
          <w:p w:rsidR="008270AF" w:rsidRPr="005F120D" w:rsidRDefault="008270AF" w:rsidP="00B25E46">
            <w:pPr>
              <w:spacing w:after="0"/>
              <w:jc w:val="right"/>
              <w:rPr>
                <w:rFonts w:asciiTheme="minorHAnsi" w:eastAsia="Calibri" w:hAnsiTheme="minorHAnsi" w:cstheme="minorHAnsi"/>
                <w:sz w:val="18"/>
                <w:szCs w:val="18"/>
              </w:rPr>
            </w:pPr>
          </w:p>
        </w:tc>
      </w:tr>
      <w:tr w:rsidR="00BC6AE8" w:rsidRPr="005F120D" w:rsidTr="00A562D0">
        <w:tc>
          <w:tcPr>
            <w:tcW w:w="1170" w:type="dxa"/>
            <w:tcBorders>
              <w:top w:val="single" w:sz="4" w:space="0" w:color="auto"/>
              <w:left w:val="single" w:sz="4" w:space="0" w:color="auto"/>
              <w:bottom w:val="single" w:sz="4" w:space="0" w:color="auto"/>
              <w:right w:val="single" w:sz="4" w:space="0" w:color="auto"/>
            </w:tcBorders>
            <w:shd w:val="clear" w:color="auto" w:fill="auto"/>
          </w:tcPr>
          <w:p w:rsidR="00BC6AE8" w:rsidRPr="005F120D" w:rsidRDefault="00BC6AE8"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2012-2013</w:t>
            </w:r>
          </w:p>
        </w:tc>
        <w:tc>
          <w:tcPr>
            <w:tcW w:w="3600" w:type="dxa"/>
            <w:tcBorders>
              <w:left w:val="single" w:sz="4" w:space="0" w:color="auto"/>
            </w:tcBorders>
            <w:shd w:val="clear" w:color="auto" w:fill="auto"/>
          </w:tcPr>
          <w:p w:rsidR="00BC6AE8" w:rsidRPr="005F120D" w:rsidRDefault="00BC6AE8"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No. of enrolled children and total expenses</w:t>
            </w:r>
          </w:p>
        </w:tc>
        <w:tc>
          <w:tcPr>
            <w:tcW w:w="1158" w:type="dxa"/>
            <w:shd w:val="clear" w:color="auto" w:fill="auto"/>
          </w:tcPr>
          <w:p w:rsidR="00BC6AE8" w:rsidRPr="005F120D" w:rsidRDefault="00BC6AE8"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386,751</w:t>
            </w:r>
          </w:p>
        </w:tc>
        <w:tc>
          <w:tcPr>
            <w:tcW w:w="1219" w:type="dxa"/>
            <w:shd w:val="clear" w:color="auto" w:fill="auto"/>
          </w:tcPr>
          <w:p w:rsidR="00BC6AE8" w:rsidRPr="005F120D" w:rsidRDefault="00BC6AE8"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8,000</w:t>
            </w:r>
          </w:p>
        </w:tc>
        <w:tc>
          <w:tcPr>
            <w:tcW w:w="1158" w:type="dxa"/>
            <w:shd w:val="clear" w:color="auto" w:fill="auto"/>
          </w:tcPr>
          <w:p w:rsidR="00BC6AE8" w:rsidRPr="005F120D" w:rsidRDefault="00BC6AE8"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260,000</w:t>
            </w:r>
          </w:p>
        </w:tc>
        <w:tc>
          <w:tcPr>
            <w:tcW w:w="1219" w:type="dxa"/>
            <w:shd w:val="clear" w:color="auto" w:fill="auto"/>
          </w:tcPr>
          <w:p w:rsidR="00BC6AE8" w:rsidRPr="005F120D" w:rsidRDefault="00BC6AE8"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8,000.00</w:t>
            </w:r>
          </w:p>
        </w:tc>
      </w:tr>
      <w:tr w:rsidR="00BC6AE8" w:rsidRPr="005F120D" w:rsidTr="006A4F15">
        <w:tc>
          <w:tcPr>
            <w:tcW w:w="1170" w:type="dxa"/>
            <w:tcBorders>
              <w:top w:val="single" w:sz="4" w:space="0" w:color="auto"/>
              <w:left w:val="single" w:sz="4" w:space="0" w:color="auto"/>
              <w:bottom w:val="single" w:sz="4" w:space="0" w:color="000000"/>
              <w:right w:val="single" w:sz="4" w:space="0" w:color="auto"/>
            </w:tcBorders>
            <w:shd w:val="clear" w:color="auto" w:fill="auto"/>
          </w:tcPr>
          <w:p w:rsidR="00BC6AE8" w:rsidRPr="005F120D" w:rsidRDefault="00BC6AE8"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2013-2014</w:t>
            </w:r>
          </w:p>
        </w:tc>
        <w:tc>
          <w:tcPr>
            <w:tcW w:w="3600" w:type="dxa"/>
            <w:tcBorders>
              <w:left w:val="single" w:sz="4" w:space="0" w:color="auto"/>
            </w:tcBorders>
            <w:shd w:val="clear" w:color="auto" w:fill="auto"/>
          </w:tcPr>
          <w:p w:rsidR="00BC6AE8" w:rsidRPr="005F120D" w:rsidRDefault="00BC6AE8"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No. of enrolled children and total expenses</w:t>
            </w:r>
          </w:p>
        </w:tc>
        <w:tc>
          <w:tcPr>
            <w:tcW w:w="1158" w:type="dxa"/>
            <w:shd w:val="clear" w:color="auto" w:fill="auto"/>
          </w:tcPr>
          <w:p w:rsidR="00BC6AE8" w:rsidRPr="005F120D" w:rsidRDefault="00BC6AE8"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322,731</w:t>
            </w:r>
          </w:p>
        </w:tc>
        <w:tc>
          <w:tcPr>
            <w:tcW w:w="1219" w:type="dxa"/>
            <w:shd w:val="clear" w:color="auto" w:fill="auto"/>
          </w:tcPr>
          <w:p w:rsidR="00BC6AE8" w:rsidRPr="005F120D" w:rsidRDefault="00BC6AE8"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24,899</w:t>
            </w:r>
          </w:p>
        </w:tc>
        <w:tc>
          <w:tcPr>
            <w:tcW w:w="1158" w:type="dxa"/>
            <w:shd w:val="clear" w:color="auto" w:fill="auto"/>
          </w:tcPr>
          <w:p w:rsidR="00BC6AE8" w:rsidRPr="005F120D" w:rsidRDefault="00BC6AE8"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322,731</w:t>
            </w:r>
          </w:p>
        </w:tc>
        <w:tc>
          <w:tcPr>
            <w:tcW w:w="1219" w:type="dxa"/>
            <w:shd w:val="clear" w:color="auto" w:fill="auto"/>
          </w:tcPr>
          <w:p w:rsidR="00BC6AE8" w:rsidRPr="005F120D" w:rsidRDefault="00BC6AE8"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7</w:t>
            </w:r>
            <w:r w:rsidR="00F20C11" w:rsidRPr="005F120D">
              <w:rPr>
                <w:rFonts w:asciiTheme="minorHAnsi" w:eastAsia="Calibri" w:hAnsiTheme="minorHAnsi" w:cstheme="minorHAnsi"/>
                <w:sz w:val="18"/>
                <w:szCs w:val="18"/>
              </w:rPr>
              <w:t>,</w:t>
            </w:r>
            <w:r w:rsidRPr="005F120D">
              <w:rPr>
                <w:rFonts w:asciiTheme="minorHAnsi" w:eastAsia="Calibri" w:hAnsiTheme="minorHAnsi" w:cstheme="minorHAnsi"/>
                <w:sz w:val="18"/>
                <w:szCs w:val="18"/>
              </w:rPr>
              <w:t>182.77</w:t>
            </w:r>
          </w:p>
        </w:tc>
      </w:tr>
      <w:tr w:rsidR="00B051A5" w:rsidRPr="005F120D" w:rsidTr="006A4F15">
        <w:tc>
          <w:tcPr>
            <w:tcW w:w="1170" w:type="dxa"/>
            <w:tcBorders>
              <w:top w:val="single" w:sz="4" w:space="0" w:color="000000"/>
              <w:left w:val="single" w:sz="4" w:space="0" w:color="000000"/>
              <w:bottom w:val="nil"/>
              <w:right w:val="single" w:sz="4" w:space="0" w:color="000000"/>
            </w:tcBorders>
            <w:shd w:val="clear" w:color="auto" w:fill="auto"/>
          </w:tcPr>
          <w:p w:rsidR="00B051A5" w:rsidRPr="005F120D" w:rsidRDefault="00B051A5"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2014-2015</w:t>
            </w:r>
          </w:p>
        </w:tc>
        <w:tc>
          <w:tcPr>
            <w:tcW w:w="3600" w:type="dxa"/>
            <w:tcBorders>
              <w:left w:val="single" w:sz="4" w:space="0" w:color="000000"/>
              <w:bottom w:val="single" w:sz="4" w:space="0" w:color="000000"/>
            </w:tcBorders>
            <w:shd w:val="clear" w:color="auto" w:fill="auto"/>
          </w:tcPr>
          <w:p w:rsidR="00B051A5" w:rsidRPr="005F120D" w:rsidRDefault="00180C06"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Established Learning </w:t>
            </w:r>
            <w:r w:rsidR="00A61F5E" w:rsidRPr="005F120D">
              <w:rPr>
                <w:rFonts w:asciiTheme="minorHAnsi" w:eastAsia="Calibri" w:hAnsiTheme="minorHAnsi" w:cstheme="minorHAnsi"/>
                <w:sz w:val="18"/>
                <w:szCs w:val="18"/>
              </w:rPr>
              <w:t>Centers</w:t>
            </w:r>
          </w:p>
        </w:tc>
        <w:tc>
          <w:tcPr>
            <w:tcW w:w="1158" w:type="dxa"/>
            <w:shd w:val="clear" w:color="auto" w:fill="auto"/>
          </w:tcPr>
          <w:p w:rsidR="00B051A5" w:rsidRPr="005F120D" w:rsidRDefault="00B051A5"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3,700 LCs</w:t>
            </w:r>
          </w:p>
        </w:tc>
        <w:tc>
          <w:tcPr>
            <w:tcW w:w="1219" w:type="dxa"/>
            <w:shd w:val="clear" w:color="auto" w:fill="auto"/>
          </w:tcPr>
          <w:p w:rsidR="00B051A5" w:rsidRPr="005F120D" w:rsidRDefault="00B051A5" w:rsidP="00B25E46">
            <w:pPr>
              <w:spacing w:after="0"/>
              <w:jc w:val="right"/>
              <w:rPr>
                <w:rFonts w:asciiTheme="minorHAnsi" w:eastAsia="Calibri" w:hAnsiTheme="minorHAnsi" w:cstheme="minorHAnsi"/>
                <w:sz w:val="18"/>
                <w:szCs w:val="18"/>
              </w:rPr>
            </w:pPr>
          </w:p>
        </w:tc>
        <w:tc>
          <w:tcPr>
            <w:tcW w:w="1158" w:type="dxa"/>
            <w:shd w:val="clear" w:color="auto" w:fill="auto"/>
          </w:tcPr>
          <w:p w:rsidR="00B051A5" w:rsidRPr="005F120D" w:rsidRDefault="00B051A5"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3,700 LCs</w:t>
            </w:r>
          </w:p>
        </w:tc>
        <w:tc>
          <w:tcPr>
            <w:tcW w:w="1219" w:type="dxa"/>
            <w:shd w:val="clear" w:color="auto" w:fill="auto"/>
          </w:tcPr>
          <w:p w:rsidR="00B051A5" w:rsidRPr="005F120D" w:rsidRDefault="00B051A5" w:rsidP="00B25E46">
            <w:pPr>
              <w:spacing w:after="0"/>
              <w:jc w:val="right"/>
              <w:rPr>
                <w:rFonts w:asciiTheme="minorHAnsi" w:eastAsia="Calibri" w:hAnsiTheme="minorHAnsi" w:cstheme="minorHAnsi"/>
                <w:sz w:val="18"/>
                <w:szCs w:val="18"/>
              </w:rPr>
            </w:pPr>
          </w:p>
        </w:tc>
      </w:tr>
      <w:tr w:rsidR="00B051A5" w:rsidRPr="005F120D" w:rsidTr="00F20C11">
        <w:tc>
          <w:tcPr>
            <w:tcW w:w="1170" w:type="dxa"/>
            <w:tcBorders>
              <w:top w:val="nil"/>
              <w:left w:val="single" w:sz="4" w:space="0" w:color="000000"/>
              <w:bottom w:val="single" w:sz="4" w:space="0" w:color="auto"/>
              <w:right w:val="single" w:sz="4" w:space="0" w:color="000000"/>
            </w:tcBorders>
            <w:shd w:val="clear" w:color="auto" w:fill="auto"/>
          </w:tcPr>
          <w:p w:rsidR="00B051A5" w:rsidRPr="005F120D" w:rsidRDefault="00B051A5" w:rsidP="00B25E46">
            <w:pPr>
              <w:spacing w:after="0"/>
              <w:rPr>
                <w:rFonts w:asciiTheme="minorHAnsi" w:eastAsia="Calibri" w:hAnsiTheme="minorHAnsi" w:cstheme="minorHAnsi"/>
                <w:sz w:val="18"/>
                <w:szCs w:val="18"/>
              </w:rPr>
            </w:pPr>
          </w:p>
        </w:tc>
        <w:tc>
          <w:tcPr>
            <w:tcW w:w="3600" w:type="dxa"/>
            <w:tcBorders>
              <w:left w:val="single" w:sz="4" w:space="0" w:color="000000"/>
              <w:bottom w:val="single" w:sz="4" w:space="0" w:color="auto"/>
            </w:tcBorders>
            <w:shd w:val="clear" w:color="auto" w:fill="auto"/>
          </w:tcPr>
          <w:p w:rsidR="00B051A5" w:rsidRPr="005F120D" w:rsidRDefault="004A0634"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Enrolled out-of-</w:t>
            </w:r>
            <w:r w:rsidR="00B051A5" w:rsidRPr="005F120D">
              <w:rPr>
                <w:rFonts w:asciiTheme="minorHAnsi" w:eastAsia="Calibri" w:hAnsiTheme="minorHAnsi" w:cstheme="minorHAnsi"/>
                <w:sz w:val="18"/>
                <w:szCs w:val="18"/>
              </w:rPr>
              <w:t>School Children</w:t>
            </w:r>
          </w:p>
        </w:tc>
        <w:tc>
          <w:tcPr>
            <w:tcW w:w="1158" w:type="dxa"/>
            <w:shd w:val="clear" w:color="auto" w:fill="auto"/>
          </w:tcPr>
          <w:p w:rsidR="00B051A5" w:rsidRPr="005F120D" w:rsidRDefault="00B051A5"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111,000</w:t>
            </w:r>
          </w:p>
        </w:tc>
        <w:tc>
          <w:tcPr>
            <w:tcW w:w="1219" w:type="dxa"/>
            <w:shd w:val="clear" w:color="auto" w:fill="auto"/>
          </w:tcPr>
          <w:p w:rsidR="00B051A5" w:rsidRPr="005F120D" w:rsidRDefault="00B051A5" w:rsidP="00B25E46">
            <w:pPr>
              <w:spacing w:after="0"/>
              <w:jc w:val="right"/>
              <w:rPr>
                <w:rFonts w:asciiTheme="minorHAnsi" w:eastAsia="Calibri" w:hAnsiTheme="minorHAnsi" w:cstheme="minorHAnsi"/>
                <w:sz w:val="18"/>
                <w:szCs w:val="18"/>
              </w:rPr>
            </w:pPr>
          </w:p>
        </w:tc>
        <w:tc>
          <w:tcPr>
            <w:tcW w:w="1158" w:type="dxa"/>
            <w:shd w:val="clear" w:color="auto" w:fill="auto"/>
          </w:tcPr>
          <w:p w:rsidR="00B051A5" w:rsidRPr="005F120D" w:rsidRDefault="00B051A5"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111,000</w:t>
            </w:r>
          </w:p>
        </w:tc>
        <w:tc>
          <w:tcPr>
            <w:tcW w:w="1219" w:type="dxa"/>
            <w:shd w:val="clear" w:color="auto" w:fill="auto"/>
          </w:tcPr>
          <w:p w:rsidR="00B051A5" w:rsidRPr="005F120D" w:rsidRDefault="00B051A5" w:rsidP="00B25E46">
            <w:pPr>
              <w:spacing w:after="0"/>
              <w:jc w:val="right"/>
              <w:rPr>
                <w:rFonts w:asciiTheme="minorHAnsi" w:eastAsia="Calibri" w:hAnsiTheme="minorHAnsi" w:cstheme="minorHAnsi"/>
                <w:sz w:val="18"/>
                <w:szCs w:val="18"/>
              </w:rPr>
            </w:pPr>
          </w:p>
        </w:tc>
      </w:tr>
      <w:tr w:rsidR="00F20C11" w:rsidRPr="005F120D" w:rsidTr="00F20C11">
        <w:tc>
          <w:tcPr>
            <w:tcW w:w="1170" w:type="dxa"/>
            <w:tcBorders>
              <w:top w:val="single" w:sz="4" w:space="0" w:color="auto"/>
              <w:left w:val="single" w:sz="4" w:space="0" w:color="000000"/>
              <w:bottom w:val="nil"/>
              <w:right w:val="single" w:sz="4" w:space="0" w:color="000000"/>
            </w:tcBorders>
            <w:shd w:val="clear" w:color="auto" w:fill="auto"/>
          </w:tcPr>
          <w:p w:rsidR="00F20C11"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2015-16</w:t>
            </w:r>
          </w:p>
        </w:tc>
        <w:tc>
          <w:tcPr>
            <w:tcW w:w="3600" w:type="dxa"/>
            <w:tcBorders>
              <w:top w:val="single" w:sz="4" w:space="0" w:color="auto"/>
              <w:left w:val="single" w:sz="4" w:space="0" w:color="000000"/>
            </w:tcBorders>
            <w:shd w:val="clear" w:color="auto" w:fill="auto"/>
          </w:tcPr>
          <w:p w:rsidR="00F20C11"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Total LCs</w:t>
            </w:r>
          </w:p>
        </w:tc>
        <w:tc>
          <w:tcPr>
            <w:tcW w:w="1158" w:type="dxa"/>
            <w:shd w:val="clear" w:color="auto" w:fill="auto"/>
          </w:tcPr>
          <w:p w:rsidR="00F20C11" w:rsidRPr="005F120D" w:rsidRDefault="00F20C11"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11,162</w:t>
            </w:r>
            <w:r w:rsidR="001E1887" w:rsidRPr="005F120D">
              <w:rPr>
                <w:rFonts w:asciiTheme="minorHAnsi" w:eastAsia="Calibri" w:hAnsiTheme="minorHAnsi" w:cstheme="minorHAnsi"/>
                <w:sz w:val="18"/>
                <w:szCs w:val="18"/>
              </w:rPr>
              <w:t xml:space="preserve"> LCs</w:t>
            </w:r>
          </w:p>
        </w:tc>
        <w:tc>
          <w:tcPr>
            <w:tcW w:w="1219" w:type="dxa"/>
            <w:shd w:val="clear" w:color="auto" w:fill="auto"/>
          </w:tcPr>
          <w:p w:rsidR="00F20C11" w:rsidRPr="005F120D" w:rsidRDefault="00F20C11" w:rsidP="00B25E46">
            <w:pPr>
              <w:spacing w:after="0"/>
              <w:jc w:val="right"/>
              <w:rPr>
                <w:rFonts w:asciiTheme="minorHAnsi" w:eastAsia="Calibri" w:hAnsiTheme="minorHAnsi" w:cstheme="minorHAnsi"/>
                <w:sz w:val="18"/>
                <w:szCs w:val="18"/>
              </w:rPr>
            </w:pPr>
          </w:p>
        </w:tc>
        <w:tc>
          <w:tcPr>
            <w:tcW w:w="1158" w:type="dxa"/>
            <w:shd w:val="clear" w:color="auto" w:fill="auto"/>
          </w:tcPr>
          <w:p w:rsidR="00F20C11" w:rsidRPr="005F120D" w:rsidRDefault="00F20C11"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11,162</w:t>
            </w:r>
            <w:r w:rsidR="001E1887" w:rsidRPr="005F120D">
              <w:rPr>
                <w:rFonts w:asciiTheme="minorHAnsi" w:eastAsia="Calibri" w:hAnsiTheme="minorHAnsi" w:cstheme="minorHAnsi"/>
                <w:sz w:val="18"/>
                <w:szCs w:val="18"/>
              </w:rPr>
              <w:t xml:space="preserve"> LCS</w:t>
            </w:r>
          </w:p>
        </w:tc>
        <w:tc>
          <w:tcPr>
            <w:tcW w:w="1219" w:type="dxa"/>
            <w:shd w:val="clear" w:color="auto" w:fill="auto"/>
          </w:tcPr>
          <w:p w:rsidR="00F20C11" w:rsidRPr="005F120D" w:rsidRDefault="00F20C11" w:rsidP="00B25E46">
            <w:pPr>
              <w:spacing w:after="0"/>
              <w:jc w:val="right"/>
              <w:rPr>
                <w:rFonts w:asciiTheme="minorHAnsi" w:eastAsia="Calibri" w:hAnsiTheme="minorHAnsi" w:cstheme="minorHAnsi"/>
                <w:sz w:val="18"/>
                <w:szCs w:val="18"/>
              </w:rPr>
            </w:pPr>
          </w:p>
        </w:tc>
      </w:tr>
      <w:tr w:rsidR="00F20C11" w:rsidRPr="005F120D" w:rsidTr="006A4F15">
        <w:tc>
          <w:tcPr>
            <w:tcW w:w="1170" w:type="dxa"/>
            <w:tcBorders>
              <w:top w:val="nil"/>
              <w:left w:val="single" w:sz="4" w:space="0" w:color="000000"/>
              <w:bottom w:val="single" w:sz="4" w:space="0" w:color="000000"/>
              <w:right w:val="single" w:sz="4" w:space="0" w:color="000000"/>
            </w:tcBorders>
            <w:shd w:val="clear" w:color="auto" w:fill="auto"/>
          </w:tcPr>
          <w:p w:rsidR="00F20C11" w:rsidRPr="005F120D" w:rsidRDefault="00F20C11" w:rsidP="00B25E46">
            <w:pPr>
              <w:spacing w:after="0"/>
              <w:rPr>
                <w:rFonts w:asciiTheme="minorHAnsi" w:eastAsia="Calibri" w:hAnsiTheme="minorHAnsi" w:cstheme="minorHAnsi"/>
                <w:sz w:val="18"/>
                <w:szCs w:val="18"/>
              </w:rPr>
            </w:pPr>
          </w:p>
        </w:tc>
        <w:tc>
          <w:tcPr>
            <w:tcW w:w="3600" w:type="dxa"/>
            <w:tcBorders>
              <w:left w:val="single" w:sz="4" w:space="0" w:color="000000"/>
              <w:bottom w:val="single" w:sz="4" w:space="0" w:color="000000"/>
            </w:tcBorders>
            <w:shd w:val="clear" w:color="auto" w:fill="auto"/>
          </w:tcPr>
          <w:p w:rsidR="00F20C11"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Students enrolled </w:t>
            </w:r>
          </w:p>
        </w:tc>
        <w:tc>
          <w:tcPr>
            <w:tcW w:w="1158" w:type="dxa"/>
            <w:shd w:val="clear" w:color="auto" w:fill="auto"/>
          </w:tcPr>
          <w:p w:rsidR="00F20C11" w:rsidRPr="005F120D" w:rsidRDefault="00F20C11"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310,100</w:t>
            </w:r>
          </w:p>
        </w:tc>
        <w:tc>
          <w:tcPr>
            <w:tcW w:w="1219" w:type="dxa"/>
            <w:shd w:val="clear" w:color="auto" w:fill="auto"/>
          </w:tcPr>
          <w:p w:rsidR="00F20C11" w:rsidRPr="005F120D" w:rsidRDefault="00F20C11" w:rsidP="00B25E46">
            <w:pPr>
              <w:spacing w:after="0"/>
              <w:jc w:val="right"/>
              <w:rPr>
                <w:rFonts w:asciiTheme="minorHAnsi" w:eastAsia="Calibri" w:hAnsiTheme="minorHAnsi" w:cstheme="minorHAnsi"/>
                <w:sz w:val="18"/>
                <w:szCs w:val="18"/>
              </w:rPr>
            </w:pPr>
          </w:p>
        </w:tc>
        <w:tc>
          <w:tcPr>
            <w:tcW w:w="1158" w:type="dxa"/>
            <w:shd w:val="clear" w:color="auto" w:fill="auto"/>
          </w:tcPr>
          <w:p w:rsidR="00F20C11" w:rsidRPr="005F120D" w:rsidRDefault="00F20C11"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310,100</w:t>
            </w:r>
          </w:p>
        </w:tc>
        <w:tc>
          <w:tcPr>
            <w:tcW w:w="1219" w:type="dxa"/>
            <w:shd w:val="clear" w:color="auto" w:fill="auto"/>
          </w:tcPr>
          <w:p w:rsidR="00F20C11" w:rsidRPr="005F120D" w:rsidRDefault="00F20C11" w:rsidP="00B25E46">
            <w:pPr>
              <w:spacing w:after="0"/>
              <w:jc w:val="right"/>
              <w:rPr>
                <w:rFonts w:asciiTheme="minorHAnsi" w:eastAsia="Calibri" w:hAnsiTheme="minorHAnsi" w:cstheme="minorHAnsi"/>
                <w:sz w:val="18"/>
                <w:szCs w:val="18"/>
              </w:rPr>
            </w:pPr>
            <w:r w:rsidRPr="005F120D">
              <w:rPr>
                <w:rFonts w:asciiTheme="minorHAnsi" w:eastAsia="Calibri" w:hAnsiTheme="minorHAnsi" w:cstheme="minorHAnsi"/>
                <w:sz w:val="18"/>
                <w:szCs w:val="18"/>
              </w:rPr>
              <w:t>7,752.50</w:t>
            </w:r>
          </w:p>
        </w:tc>
      </w:tr>
    </w:tbl>
    <w:p w:rsidR="00F20C11" w:rsidRPr="005F120D" w:rsidRDefault="00F20C11" w:rsidP="00B25E46">
      <w:pPr>
        <w:rPr>
          <w:rFonts w:asciiTheme="minorHAnsi" w:hAnsiTheme="minorHAnsi" w:cstheme="minorHAnsi"/>
          <w:sz w:val="20"/>
        </w:rPr>
      </w:pPr>
      <w:bookmarkStart w:id="663" w:name="_Toc385245752"/>
    </w:p>
    <w:p w:rsidR="00FA6A29" w:rsidRPr="005F120D" w:rsidRDefault="00FA6A29" w:rsidP="00B25E46">
      <w:pPr>
        <w:pStyle w:val="Heading2NONUM"/>
        <w:numPr>
          <w:ilvl w:val="0"/>
          <w:numId w:val="36"/>
        </w:numPr>
        <w:rPr>
          <w:rFonts w:asciiTheme="minorHAnsi" w:hAnsiTheme="minorHAnsi" w:cstheme="minorHAnsi"/>
          <w:color w:val="3333FF"/>
          <w:szCs w:val="24"/>
        </w:rPr>
      </w:pPr>
      <w:r w:rsidRPr="005F120D">
        <w:rPr>
          <w:rFonts w:asciiTheme="minorHAnsi" w:hAnsiTheme="minorHAnsi" w:cstheme="minorHAnsi"/>
          <w:color w:val="3333FF"/>
          <w:szCs w:val="24"/>
        </w:rPr>
        <w:t xml:space="preserve">Name of the Project:  </w:t>
      </w:r>
      <w:r w:rsidRPr="005F120D">
        <w:rPr>
          <w:rFonts w:asciiTheme="minorHAnsi" w:hAnsiTheme="minorHAnsi" w:cstheme="minorHAnsi"/>
          <w:color w:val="3333FF"/>
          <w:szCs w:val="24"/>
          <w:u w:val="single"/>
        </w:rPr>
        <w:t>Expansion of Cub</w:t>
      </w:r>
      <w:r w:rsidR="004A0634" w:rsidRPr="005F120D">
        <w:rPr>
          <w:rFonts w:asciiTheme="minorHAnsi" w:hAnsiTheme="minorHAnsi" w:cstheme="minorHAnsi"/>
          <w:color w:val="3333FF"/>
          <w:szCs w:val="24"/>
          <w:u w:val="single"/>
        </w:rPr>
        <w:t>-</w:t>
      </w:r>
      <w:r w:rsidRPr="005F120D">
        <w:rPr>
          <w:rFonts w:asciiTheme="minorHAnsi" w:hAnsiTheme="minorHAnsi" w:cstheme="minorHAnsi"/>
          <w:color w:val="3333FF"/>
          <w:szCs w:val="24"/>
          <w:u w:val="single"/>
        </w:rPr>
        <w:t>scouting in primary education 3</w:t>
      </w:r>
      <w:r w:rsidRPr="005F120D">
        <w:rPr>
          <w:rFonts w:asciiTheme="minorHAnsi" w:hAnsiTheme="minorHAnsi" w:cstheme="minorHAnsi"/>
          <w:color w:val="3333FF"/>
          <w:szCs w:val="24"/>
          <w:u w:val="single"/>
          <w:vertAlign w:val="superscript"/>
        </w:rPr>
        <w:t>rd</w:t>
      </w:r>
      <w:r w:rsidRPr="005F120D">
        <w:rPr>
          <w:rFonts w:asciiTheme="minorHAnsi" w:hAnsiTheme="minorHAnsi" w:cstheme="minorHAnsi"/>
          <w:color w:val="3333FF"/>
          <w:szCs w:val="24"/>
          <w:u w:val="single"/>
        </w:rPr>
        <w:t xml:space="preserve"> Phase</w:t>
      </w:r>
    </w:p>
    <w:p w:rsidR="00FA6A29" w:rsidRPr="005F120D" w:rsidRDefault="00FA6A29" w:rsidP="00B25E46">
      <w:pPr>
        <w:pStyle w:val="BodyText1"/>
        <w:spacing w:before="120" w:after="120" w:line="240" w:lineRule="auto"/>
        <w:rPr>
          <w:rFonts w:asciiTheme="minorHAnsi" w:hAnsiTheme="minorHAnsi" w:cstheme="minorHAnsi"/>
          <w:b w:val="0"/>
          <w:sz w:val="20"/>
          <w:szCs w:val="20"/>
        </w:rPr>
      </w:pPr>
      <w:r w:rsidRPr="005F120D">
        <w:rPr>
          <w:rFonts w:asciiTheme="minorHAnsi" w:hAnsiTheme="minorHAnsi" w:cstheme="minorHAnsi"/>
          <w:sz w:val="20"/>
          <w:szCs w:val="20"/>
        </w:rPr>
        <w:t>Goal/Aim:</w:t>
      </w:r>
      <w:r w:rsidR="00A61F5E">
        <w:rPr>
          <w:rFonts w:asciiTheme="minorHAnsi" w:hAnsiTheme="minorHAnsi" w:cstheme="minorHAnsi"/>
          <w:sz w:val="20"/>
          <w:szCs w:val="20"/>
        </w:rPr>
        <w:t xml:space="preserve"> </w:t>
      </w:r>
      <w:r w:rsidR="002C547A" w:rsidRPr="005F120D">
        <w:rPr>
          <w:rFonts w:asciiTheme="minorHAnsi" w:hAnsiTheme="minorHAnsi" w:cstheme="minorHAnsi"/>
          <w:b w:val="0"/>
          <w:sz w:val="20"/>
          <w:szCs w:val="20"/>
        </w:rPr>
        <w:t>the</w:t>
      </w:r>
      <w:r w:rsidR="00A61F5E">
        <w:rPr>
          <w:rFonts w:asciiTheme="minorHAnsi" w:hAnsiTheme="minorHAnsi" w:cstheme="minorHAnsi"/>
          <w:b w:val="0"/>
          <w:sz w:val="20"/>
          <w:szCs w:val="20"/>
        </w:rPr>
        <w:t xml:space="preserve"> </w:t>
      </w:r>
      <w:r w:rsidRPr="005F120D">
        <w:rPr>
          <w:rFonts w:asciiTheme="minorHAnsi" w:hAnsiTheme="minorHAnsi" w:cstheme="minorHAnsi"/>
          <w:b w:val="0"/>
          <w:sz w:val="20"/>
        </w:rPr>
        <w:t>goal or aim of</w:t>
      </w:r>
      <w:r w:rsidRPr="005F120D">
        <w:rPr>
          <w:rFonts w:asciiTheme="minorHAnsi" w:hAnsiTheme="minorHAnsi" w:cstheme="minorHAnsi"/>
          <w:b w:val="0"/>
          <w:sz w:val="20"/>
          <w:szCs w:val="20"/>
        </w:rPr>
        <w:t xml:space="preserve"> the project is to </w:t>
      </w:r>
      <w:r w:rsidRPr="005F120D">
        <w:rPr>
          <w:rFonts w:asciiTheme="minorHAnsi" w:hAnsiTheme="minorHAnsi" w:cstheme="minorHAnsi"/>
          <w:b w:val="0"/>
        </w:rPr>
        <w:t>support primary school children in their physical, mental and spiritual development.</w:t>
      </w:r>
    </w:p>
    <w:p w:rsidR="00FA6A29" w:rsidRPr="005F120D" w:rsidRDefault="00FA6A29" w:rsidP="00B25E46">
      <w:pPr>
        <w:pStyle w:val="BodyText1"/>
        <w:spacing w:before="120" w:after="120" w:line="240" w:lineRule="auto"/>
        <w:rPr>
          <w:rFonts w:asciiTheme="minorHAnsi" w:hAnsiTheme="minorHAnsi" w:cstheme="minorHAnsi"/>
          <w:b w:val="0"/>
          <w:sz w:val="20"/>
          <w:szCs w:val="20"/>
        </w:rPr>
      </w:pPr>
      <w:r w:rsidRPr="005F120D">
        <w:rPr>
          <w:rFonts w:asciiTheme="minorHAnsi" w:hAnsiTheme="minorHAnsi" w:cstheme="minorHAnsi"/>
          <w:sz w:val="20"/>
          <w:szCs w:val="20"/>
        </w:rPr>
        <w:t>Purpose/Objective:</w:t>
      </w:r>
      <w:r w:rsidR="00A61F5E">
        <w:rPr>
          <w:rFonts w:asciiTheme="minorHAnsi" w:hAnsiTheme="minorHAnsi" w:cstheme="minorHAnsi"/>
          <w:sz w:val="20"/>
          <w:szCs w:val="20"/>
        </w:rPr>
        <w:t xml:space="preserve"> </w:t>
      </w:r>
      <w:r w:rsidR="00733831" w:rsidRPr="005F120D">
        <w:rPr>
          <w:rFonts w:asciiTheme="minorHAnsi" w:hAnsiTheme="minorHAnsi" w:cstheme="minorHAnsi"/>
          <w:b w:val="0"/>
          <w:sz w:val="20"/>
          <w:szCs w:val="20"/>
        </w:rPr>
        <w:t>The purpose of cub</w:t>
      </w:r>
      <w:r w:rsidR="004A0634" w:rsidRPr="005F120D">
        <w:rPr>
          <w:rFonts w:asciiTheme="minorHAnsi" w:hAnsiTheme="minorHAnsi" w:cstheme="minorHAnsi"/>
          <w:b w:val="0"/>
          <w:sz w:val="20"/>
          <w:szCs w:val="20"/>
        </w:rPr>
        <w:t>-</w:t>
      </w:r>
      <w:r w:rsidR="00733831" w:rsidRPr="005F120D">
        <w:rPr>
          <w:rFonts w:asciiTheme="minorHAnsi" w:hAnsiTheme="minorHAnsi" w:cstheme="minorHAnsi"/>
          <w:b w:val="0"/>
          <w:sz w:val="20"/>
          <w:szCs w:val="20"/>
        </w:rPr>
        <w:t xml:space="preserve">scouting </w:t>
      </w:r>
      <w:r w:rsidR="004A0634" w:rsidRPr="005F120D">
        <w:rPr>
          <w:rFonts w:asciiTheme="minorHAnsi" w:hAnsiTheme="minorHAnsi" w:cstheme="minorHAnsi"/>
          <w:b w:val="0"/>
          <w:sz w:val="20"/>
          <w:szCs w:val="20"/>
        </w:rPr>
        <w:t>is to support young children to achieve</w:t>
      </w:r>
      <w:r w:rsidR="00733831" w:rsidRPr="005F120D">
        <w:rPr>
          <w:rFonts w:asciiTheme="minorHAnsi" w:hAnsiTheme="minorHAnsi" w:cstheme="minorHAnsi"/>
          <w:b w:val="0"/>
          <w:sz w:val="20"/>
          <w:szCs w:val="20"/>
        </w:rPr>
        <w:t xml:space="preserve"> the following:</w:t>
      </w:r>
    </w:p>
    <w:p w:rsidR="00FA6A29" w:rsidRPr="005F120D" w:rsidRDefault="00FA6A29" w:rsidP="00B25E46">
      <w:pPr>
        <w:pStyle w:val="BodyText1"/>
        <w:numPr>
          <w:ilvl w:val="0"/>
          <w:numId w:val="76"/>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To </w:t>
      </w:r>
      <w:r w:rsidR="005959B7" w:rsidRPr="005F120D">
        <w:rPr>
          <w:rFonts w:asciiTheme="minorHAnsi" w:hAnsiTheme="minorHAnsi" w:cstheme="minorHAnsi"/>
          <w:b w:val="0"/>
          <w:sz w:val="20"/>
          <w:szCs w:val="20"/>
        </w:rPr>
        <w:t>do the</w:t>
      </w:r>
      <w:r w:rsidR="004A0634" w:rsidRPr="005F120D">
        <w:rPr>
          <w:rFonts w:asciiTheme="minorHAnsi" w:hAnsiTheme="minorHAnsi" w:cstheme="minorHAnsi"/>
          <w:b w:val="0"/>
          <w:sz w:val="20"/>
          <w:szCs w:val="20"/>
        </w:rPr>
        <w:t xml:space="preserve">ir </w:t>
      </w:r>
      <w:r w:rsidR="005959B7" w:rsidRPr="005F120D">
        <w:rPr>
          <w:rFonts w:asciiTheme="minorHAnsi" w:hAnsiTheme="minorHAnsi" w:cstheme="minorHAnsi"/>
          <w:b w:val="0"/>
          <w:sz w:val="20"/>
          <w:szCs w:val="20"/>
        </w:rPr>
        <w:t>best</w:t>
      </w:r>
    </w:p>
    <w:p w:rsidR="00FA6A29" w:rsidRPr="005F120D" w:rsidRDefault="00FA6A29" w:rsidP="00B25E46">
      <w:pPr>
        <w:pStyle w:val="BodyText1"/>
        <w:numPr>
          <w:ilvl w:val="0"/>
          <w:numId w:val="76"/>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To </w:t>
      </w:r>
      <w:r w:rsidR="005959B7" w:rsidRPr="005F120D">
        <w:rPr>
          <w:rFonts w:asciiTheme="minorHAnsi" w:hAnsiTheme="minorHAnsi" w:cstheme="minorHAnsi"/>
          <w:b w:val="0"/>
          <w:sz w:val="20"/>
          <w:szCs w:val="20"/>
        </w:rPr>
        <w:t>do</w:t>
      </w:r>
      <w:r w:rsidR="004A0634" w:rsidRPr="005F120D">
        <w:rPr>
          <w:rFonts w:asciiTheme="minorHAnsi" w:hAnsiTheme="minorHAnsi" w:cstheme="minorHAnsi"/>
          <w:b w:val="0"/>
          <w:sz w:val="20"/>
          <w:szCs w:val="20"/>
        </w:rPr>
        <w:t xml:space="preserve"> their</w:t>
      </w:r>
      <w:r w:rsidR="00A61F5E">
        <w:rPr>
          <w:rFonts w:asciiTheme="minorHAnsi" w:hAnsiTheme="minorHAnsi" w:cstheme="minorHAnsi"/>
          <w:b w:val="0"/>
          <w:sz w:val="20"/>
          <w:szCs w:val="20"/>
        </w:rPr>
        <w:t xml:space="preserve"> </w:t>
      </w:r>
      <w:r w:rsidR="00733831" w:rsidRPr="005F120D">
        <w:rPr>
          <w:rFonts w:asciiTheme="minorHAnsi" w:hAnsiTheme="minorHAnsi" w:cstheme="minorHAnsi"/>
          <w:b w:val="0"/>
          <w:sz w:val="20"/>
          <w:szCs w:val="20"/>
        </w:rPr>
        <w:t>best for the country</w:t>
      </w:r>
    </w:p>
    <w:p w:rsidR="00FA6A29" w:rsidRPr="005F120D" w:rsidRDefault="00733831" w:rsidP="00B25E46">
      <w:pPr>
        <w:pStyle w:val="BodyText1"/>
        <w:numPr>
          <w:ilvl w:val="0"/>
          <w:numId w:val="76"/>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To help someone everyday</w:t>
      </w:r>
    </w:p>
    <w:p w:rsidR="00FA6A29" w:rsidRPr="005F120D" w:rsidRDefault="00FA6A29" w:rsidP="00B25E46">
      <w:pPr>
        <w:pStyle w:val="BodyText1"/>
        <w:spacing w:before="120" w:after="120" w:line="240" w:lineRule="auto"/>
        <w:rPr>
          <w:rFonts w:asciiTheme="minorHAnsi" w:hAnsiTheme="minorHAnsi" w:cstheme="minorHAnsi"/>
          <w:b w:val="0"/>
          <w:sz w:val="20"/>
          <w:szCs w:val="20"/>
        </w:rPr>
      </w:pPr>
      <w:r w:rsidRPr="005F120D">
        <w:rPr>
          <w:rFonts w:asciiTheme="minorHAnsi" w:hAnsiTheme="minorHAnsi" w:cstheme="minorHAnsi"/>
          <w:sz w:val="20"/>
          <w:szCs w:val="20"/>
        </w:rPr>
        <w:t xml:space="preserve">Location of the Project:  </w:t>
      </w:r>
      <w:r w:rsidRPr="005F120D">
        <w:rPr>
          <w:rFonts w:asciiTheme="minorHAnsi" w:hAnsiTheme="minorHAnsi" w:cstheme="minorHAnsi"/>
          <w:b w:val="0"/>
          <w:sz w:val="20"/>
          <w:szCs w:val="20"/>
        </w:rPr>
        <w:t>All over the country.</w:t>
      </w:r>
    </w:p>
    <w:p w:rsidR="00FA6A29" w:rsidRPr="005F120D" w:rsidRDefault="00FA6A29" w:rsidP="00B25E46">
      <w:pPr>
        <w:pStyle w:val="BodyText1"/>
        <w:spacing w:before="120" w:after="120" w:line="240" w:lineRule="auto"/>
        <w:rPr>
          <w:rFonts w:asciiTheme="minorHAnsi" w:hAnsiTheme="minorHAnsi" w:cstheme="minorHAnsi"/>
        </w:rPr>
      </w:pPr>
      <w:r w:rsidRPr="005F120D">
        <w:rPr>
          <w:rFonts w:asciiTheme="minorHAnsi" w:hAnsiTheme="minorHAnsi" w:cstheme="minorHAnsi"/>
          <w:sz w:val="20"/>
          <w:szCs w:val="20"/>
        </w:rPr>
        <w:t>Implementation Period</w:t>
      </w:r>
      <w:r w:rsidRPr="005F120D">
        <w:rPr>
          <w:rFonts w:asciiTheme="minorHAnsi" w:hAnsiTheme="minorHAnsi" w:cstheme="minorHAnsi"/>
        </w:rPr>
        <w:t xml:space="preserve">: </w:t>
      </w:r>
      <w:r w:rsidRPr="005F120D">
        <w:rPr>
          <w:rFonts w:asciiTheme="minorHAnsi" w:hAnsiTheme="minorHAnsi" w:cstheme="minorHAnsi"/>
          <w:b w:val="0"/>
        </w:rPr>
        <w:t>July 2010 June 201</w:t>
      </w:r>
      <w:r w:rsidR="002C547A" w:rsidRPr="005F120D">
        <w:rPr>
          <w:rFonts w:asciiTheme="minorHAnsi" w:hAnsiTheme="minorHAnsi" w:cstheme="minorHAnsi"/>
          <w:b w:val="0"/>
        </w:rPr>
        <w:t>6</w:t>
      </w:r>
    </w:p>
    <w:p w:rsidR="00FA6A29" w:rsidRPr="005F120D" w:rsidRDefault="00FA6A29"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 xml:space="preserve">Source of Fund: </w:t>
      </w:r>
      <w:r w:rsidRPr="005F120D">
        <w:rPr>
          <w:rFonts w:asciiTheme="minorHAnsi" w:hAnsiTheme="minorHAnsi" w:cstheme="minorHAnsi"/>
          <w:b w:val="0"/>
          <w:sz w:val="20"/>
          <w:szCs w:val="20"/>
        </w:rPr>
        <w:t>GoB</w:t>
      </w:r>
    </w:p>
    <w:p w:rsidR="00337407" w:rsidRPr="005F120D" w:rsidRDefault="00FA6A29" w:rsidP="00B25E46">
      <w:pPr>
        <w:pStyle w:val="BodyText1"/>
        <w:spacing w:after="0" w:line="240" w:lineRule="auto"/>
        <w:rPr>
          <w:rFonts w:asciiTheme="minorHAnsi" w:hAnsiTheme="minorHAnsi" w:cstheme="minorHAnsi"/>
        </w:rPr>
      </w:pPr>
      <w:r w:rsidRPr="005F120D">
        <w:rPr>
          <w:rFonts w:asciiTheme="minorHAnsi" w:hAnsiTheme="minorHAnsi" w:cstheme="minorHAnsi"/>
          <w:sz w:val="20"/>
          <w:szCs w:val="20"/>
        </w:rPr>
        <w:t xml:space="preserve">Implementation Cost in </w:t>
      </w:r>
      <w:r w:rsidR="00F738CE" w:rsidRPr="005F120D">
        <w:rPr>
          <w:rFonts w:asciiTheme="minorHAnsi" w:hAnsiTheme="minorHAnsi" w:cstheme="minorHAnsi"/>
          <w:sz w:val="20"/>
          <w:szCs w:val="20"/>
        </w:rPr>
        <w:t>lac</w:t>
      </w:r>
      <w:r w:rsidRPr="005F120D">
        <w:rPr>
          <w:rFonts w:asciiTheme="minorHAnsi" w:hAnsiTheme="minorHAnsi" w:cstheme="minorHAnsi"/>
          <w:sz w:val="20"/>
          <w:szCs w:val="20"/>
        </w:rPr>
        <w:t xml:space="preserve"> Taka: </w:t>
      </w:r>
      <w:r w:rsidR="002C547A" w:rsidRPr="005F120D">
        <w:rPr>
          <w:rFonts w:asciiTheme="minorHAnsi" w:hAnsiTheme="minorHAnsi" w:cstheme="minorHAnsi"/>
          <w:sz w:val="20"/>
          <w:szCs w:val="20"/>
        </w:rPr>
        <w:t>1</w:t>
      </w:r>
      <w:r w:rsidR="002C547A" w:rsidRPr="005F120D">
        <w:rPr>
          <w:rFonts w:asciiTheme="minorHAnsi" w:hAnsiTheme="minorHAnsi" w:cstheme="minorHAnsi"/>
          <w:b w:val="0"/>
          <w:sz w:val="20"/>
          <w:szCs w:val="20"/>
        </w:rPr>
        <w:t>300 for FY 2015</w:t>
      </w:r>
      <w:r w:rsidRPr="005F120D">
        <w:rPr>
          <w:rFonts w:asciiTheme="minorHAnsi" w:hAnsiTheme="minorHAnsi" w:cstheme="minorHAnsi"/>
          <w:b w:val="0"/>
          <w:sz w:val="20"/>
          <w:szCs w:val="20"/>
        </w:rPr>
        <w:t>/1</w:t>
      </w:r>
      <w:r w:rsidR="002C547A" w:rsidRPr="005F120D">
        <w:rPr>
          <w:rFonts w:asciiTheme="minorHAnsi" w:hAnsiTheme="minorHAnsi" w:cstheme="minorHAnsi"/>
          <w:b w:val="0"/>
          <w:sz w:val="20"/>
          <w:szCs w:val="20"/>
        </w:rPr>
        <w:t>6</w:t>
      </w:r>
    </w:p>
    <w:bookmarkEnd w:id="663"/>
    <w:p w:rsidR="000B3F9D" w:rsidRPr="005F120D" w:rsidRDefault="000B3F9D" w:rsidP="00B25E46">
      <w:pPr>
        <w:pStyle w:val="Heading2NONUM"/>
        <w:numPr>
          <w:ilvl w:val="0"/>
          <w:numId w:val="36"/>
        </w:numPr>
        <w:rPr>
          <w:rFonts w:asciiTheme="minorHAnsi" w:hAnsiTheme="minorHAnsi" w:cstheme="minorHAnsi"/>
          <w:color w:val="3333FF"/>
          <w:szCs w:val="24"/>
        </w:rPr>
      </w:pPr>
      <w:r w:rsidRPr="005F120D">
        <w:rPr>
          <w:rFonts w:asciiTheme="minorHAnsi" w:hAnsiTheme="minorHAnsi" w:cstheme="minorHAnsi"/>
          <w:color w:val="3333FF"/>
          <w:szCs w:val="24"/>
        </w:rPr>
        <w:t>Name of the Project:  Establishment of 12 PTIs</w:t>
      </w:r>
    </w:p>
    <w:p w:rsidR="000B3F9D" w:rsidRPr="005F120D" w:rsidRDefault="000B3F9D" w:rsidP="00B25E46">
      <w:pPr>
        <w:pStyle w:val="BodyText1"/>
        <w:spacing w:before="120" w:after="120" w:line="240" w:lineRule="auto"/>
        <w:rPr>
          <w:rFonts w:asciiTheme="minorHAnsi" w:hAnsiTheme="minorHAnsi" w:cstheme="minorHAnsi"/>
          <w:sz w:val="20"/>
          <w:szCs w:val="20"/>
        </w:rPr>
      </w:pPr>
      <w:r w:rsidRPr="005F120D">
        <w:rPr>
          <w:rFonts w:asciiTheme="minorHAnsi" w:hAnsiTheme="minorHAnsi" w:cstheme="minorHAnsi"/>
          <w:sz w:val="20"/>
          <w:szCs w:val="20"/>
        </w:rPr>
        <w:t>Goal/Aim:</w:t>
      </w:r>
      <w:r w:rsidR="00A61F5E">
        <w:rPr>
          <w:rFonts w:asciiTheme="minorHAnsi" w:hAnsiTheme="minorHAnsi" w:cstheme="minorHAnsi"/>
          <w:sz w:val="20"/>
          <w:szCs w:val="20"/>
        </w:rPr>
        <w:t xml:space="preserve"> </w:t>
      </w:r>
      <w:r w:rsidR="00337407" w:rsidRPr="005F120D">
        <w:rPr>
          <w:rFonts w:asciiTheme="minorHAnsi" w:hAnsiTheme="minorHAnsi" w:cstheme="minorHAnsi"/>
          <w:sz w:val="20"/>
          <w:szCs w:val="20"/>
        </w:rPr>
        <w:t>The goal or aim of the project is to i</w:t>
      </w:r>
      <w:r w:rsidR="003C0CB0" w:rsidRPr="005F120D">
        <w:rPr>
          <w:rFonts w:asciiTheme="minorHAnsi" w:hAnsiTheme="minorHAnsi" w:cstheme="minorHAnsi"/>
          <w:sz w:val="20"/>
          <w:szCs w:val="20"/>
        </w:rPr>
        <w:t>mprove</w:t>
      </w:r>
      <w:r w:rsidR="004A0634" w:rsidRPr="005F120D">
        <w:rPr>
          <w:rFonts w:asciiTheme="minorHAnsi" w:hAnsiTheme="minorHAnsi" w:cstheme="minorHAnsi"/>
          <w:sz w:val="20"/>
          <w:szCs w:val="20"/>
        </w:rPr>
        <w:t xml:space="preserve"> the</w:t>
      </w:r>
      <w:r w:rsidR="003C0CB0" w:rsidRPr="005F120D">
        <w:rPr>
          <w:rFonts w:asciiTheme="minorHAnsi" w:hAnsiTheme="minorHAnsi" w:cstheme="minorHAnsi"/>
          <w:sz w:val="20"/>
          <w:szCs w:val="20"/>
        </w:rPr>
        <w:t xml:space="preserve"> quality</w:t>
      </w:r>
      <w:r w:rsidR="004A0634" w:rsidRPr="005F120D">
        <w:rPr>
          <w:rFonts w:asciiTheme="minorHAnsi" w:hAnsiTheme="minorHAnsi" w:cstheme="minorHAnsi"/>
          <w:sz w:val="20"/>
          <w:szCs w:val="20"/>
        </w:rPr>
        <w:t xml:space="preserve"> of </w:t>
      </w:r>
      <w:r w:rsidR="003C0CB0" w:rsidRPr="005F120D">
        <w:rPr>
          <w:rFonts w:asciiTheme="minorHAnsi" w:hAnsiTheme="minorHAnsi" w:cstheme="minorHAnsi"/>
          <w:sz w:val="20"/>
          <w:szCs w:val="20"/>
        </w:rPr>
        <w:t>primary e</w:t>
      </w:r>
      <w:r w:rsidR="004A0634" w:rsidRPr="005F120D">
        <w:rPr>
          <w:rFonts w:asciiTheme="minorHAnsi" w:hAnsiTheme="minorHAnsi" w:cstheme="minorHAnsi"/>
          <w:sz w:val="20"/>
          <w:szCs w:val="20"/>
        </w:rPr>
        <w:t>ducation by enhancing  teacher</w:t>
      </w:r>
      <w:r w:rsidR="003C0CB0" w:rsidRPr="005F120D">
        <w:rPr>
          <w:rFonts w:asciiTheme="minorHAnsi" w:hAnsiTheme="minorHAnsi" w:cstheme="minorHAnsi"/>
          <w:sz w:val="20"/>
          <w:szCs w:val="20"/>
        </w:rPr>
        <w:t xml:space="preserve"> training</w:t>
      </w:r>
      <w:r w:rsidR="00334AA8" w:rsidRPr="005F120D">
        <w:rPr>
          <w:rFonts w:asciiTheme="minorHAnsi" w:hAnsiTheme="minorHAnsi" w:cstheme="minorHAnsi"/>
          <w:sz w:val="20"/>
          <w:szCs w:val="20"/>
        </w:rPr>
        <w:t xml:space="preserve"> facilities</w:t>
      </w:r>
    </w:p>
    <w:p w:rsidR="000B3F9D" w:rsidRPr="005F120D" w:rsidRDefault="000B3F9D"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Purpose/Objective:</w:t>
      </w:r>
    </w:p>
    <w:p w:rsidR="000B3F9D" w:rsidRPr="005F120D" w:rsidRDefault="000B3F9D" w:rsidP="00B25E46">
      <w:pPr>
        <w:pStyle w:val="BodyText1"/>
        <w:numPr>
          <w:ilvl w:val="0"/>
          <w:numId w:val="80"/>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To </w:t>
      </w:r>
      <w:r w:rsidR="003C0CB0" w:rsidRPr="005F120D">
        <w:rPr>
          <w:rFonts w:asciiTheme="minorHAnsi" w:hAnsiTheme="minorHAnsi" w:cstheme="minorHAnsi"/>
          <w:b w:val="0"/>
          <w:sz w:val="20"/>
          <w:szCs w:val="20"/>
        </w:rPr>
        <w:t>improve the quality of primary education through establishing 12 Primary Teachers Training Institutes (PTI)</w:t>
      </w:r>
    </w:p>
    <w:p w:rsidR="000B3F9D" w:rsidRPr="005F120D" w:rsidRDefault="000B3F9D" w:rsidP="00B25E46">
      <w:pPr>
        <w:pStyle w:val="BodyText1"/>
        <w:numPr>
          <w:ilvl w:val="0"/>
          <w:numId w:val="80"/>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To </w:t>
      </w:r>
      <w:r w:rsidR="004A0634" w:rsidRPr="005F120D">
        <w:rPr>
          <w:rFonts w:asciiTheme="minorHAnsi" w:hAnsiTheme="minorHAnsi" w:cstheme="minorHAnsi"/>
          <w:b w:val="0"/>
          <w:sz w:val="20"/>
          <w:szCs w:val="20"/>
        </w:rPr>
        <w:t>impact C-in-Ed training for an</w:t>
      </w:r>
      <w:r w:rsidR="003C0CB0" w:rsidRPr="005F120D">
        <w:rPr>
          <w:rFonts w:asciiTheme="minorHAnsi" w:hAnsiTheme="minorHAnsi" w:cstheme="minorHAnsi"/>
          <w:b w:val="0"/>
          <w:sz w:val="20"/>
          <w:szCs w:val="20"/>
        </w:rPr>
        <w:t xml:space="preserve"> additional 1,584 teachers every year</w:t>
      </w:r>
    </w:p>
    <w:p w:rsidR="000B3F9D" w:rsidRPr="005F120D" w:rsidRDefault="000B3F9D" w:rsidP="00B25E46">
      <w:pPr>
        <w:pStyle w:val="BodyText1"/>
        <w:spacing w:after="0" w:line="240" w:lineRule="auto"/>
        <w:rPr>
          <w:rFonts w:asciiTheme="minorHAnsi" w:hAnsiTheme="minorHAnsi" w:cstheme="minorHAnsi"/>
          <w:sz w:val="20"/>
          <w:szCs w:val="20"/>
        </w:rPr>
      </w:pPr>
    </w:p>
    <w:p w:rsidR="000B3F9D" w:rsidRPr="005F120D" w:rsidRDefault="000B3F9D"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 xml:space="preserve">Location of the Project:  </w:t>
      </w:r>
      <w:r w:rsidR="003C0CB0" w:rsidRPr="005F120D">
        <w:rPr>
          <w:rFonts w:asciiTheme="minorHAnsi" w:hAnsiTheme="minorHAnsi" w:cstheme="minorHAnsi"/>
          <w:sz w:val="20"/>
          <w:szCs w:val="20"/>
        </w:rPr>
        <w:t>12 districts headquarter</w:t>
      </w:r>
      <w:r w:rsidRPr="005F120D">
        <w:rPr>
          <w:rFonts w:asciiTheme="minorHAnsi" w:hAnsiTheme="minorHAnsi" w:cstheme="minorHAnsi"/>
          <w:sz w:val="20"/>
          <w:szCs w:val="20"/>
        </w:rPr>
        <w:t>.</w:t>
      </w:r>
    </w:p>
    <w:p w:rsidR="000B3F9D" w:rsidRPr="005F120D" w:rsidRDefault="000B3F9D" w:rsidP="00B25E46">
      <w:pPr>
        <w:pStyle w:val="BodyText1"/>
        <w:spacing w:after="0" w:line="240" w:lineRule="auto"/>
        <w:rPr>
          <w:rFonts w:asciiTheme="minorHAnsi" w:hAnsiTheme="minorHAnsi" w:cstheme="minorHAnsi"/>
          <w:sz w:val="20"/>
          <w:szCs w:val="20"/>
        </w:rPr>
      </w:pPr>
    </w:p>
    <w:p w:rsidR="000B3F9D" w:rsidRPr="005F120D" w:rsidRDefault="000B3F9D"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 xml:space="preserve">Implementation Period of Primary Education Stipend Project: </w:t>
      </w:r>
    </w:p>
    <w:p w:rsidR="00376860" w:rsidRPr="005F120D" w:rsidRDefault="000B3F9D"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a). Original:</w:t>
      </w:r>
      <w:r w:rsidRPr="005F120D">
        <w:rPr>
          <w:rFonts w:asciiTheme="minorHAnsi" w:hAnsiTheme="minorHAnsi" w:cstheme="minorHAnsi"/>
          <w:sz w:val="20"/>
          <w:szCs w:val="20"/>
        </w:rPr>
        <w:tab/>
      </w:r>
      <w:r w:rsidRPr="005F120D">
        <w:rPr>
          <w:rFonts w:asciiTheme="minorHAnsi" w:hAnsiTheme="minorHAnsi" w:cstheme="minorHAnsi"/>
          <w:sz w:val="20"/>
          <w:szCs w:val="20"/>
        </w:rPr>
        <w:tab/>
        <w:t>I.</w:t>
      </w:r>
      <w:r w:rsidRPr="005F120D">
        <w:rPr>
          <w:rFonts w:asciiTheme="minorHAnsi" w:hAnsiTheme="minorHAnsi" w:cstheme="minorHAnsi"/>
          <w:sz w:val="20"/>
          <w:szCs w:val="20"/>
        </w:rPr>
        <w:tab/>
        <w:t>Date of Commencement:</w:t>
      </w:r>
      <w:r w:rsidRPr="005F120D">
        <w:rPr>
          <w:rFonts w:asciiTheme="minorHAnsi" w:hAnsiTheme="minorHAnsi" w:cstheme="minorHAnsi"/>
          <w:sz w:val="20"/>
          <w:szCs w:val="20"/>
        </w:rPr>
        <w:tab/>
      </w:r>
      <w:r w:rsidR="00CF0D58" w:rsidRPr="005F120D">
        <w:rPr>
          <w:rFonts w:asciiTheme="minorHAnsi" w:hAnsiTheme="minorHAnsi" w:cstheme="minorHAnsi"/>
          <w:sz w:val="20"/>
          <w:szCs w:val="20"/>
        </w:rPr>
        <w:t xml:space="preserve"> January 2011</w:t>
      </w:r>
    </w:p>
    <w:p w:rsidR="000B3F9D" w:rsidRPr="005F120D" w:rsidRDefault="00C61E95" w:rsidP="00B25E46">
      <w:pPr>
        <w:pStyle w:val="BodyText1"/>
        <w:numPr>
          <w:ilvl w:val="0"/>
          <w:numId w:val="81"/>
        </w:numPr>
        <w:spacing w:after="0" w:line="240" w:lineRule="auto"/>
        <w:rPr>
          <w:rFonts w:asciiTheme="minorHAnsi" w:hAnsiTheme="minorHAnsi" w:cstheme="minorHAnsi"/>
          <w:sz w:val="20"/>
          <w:szCs w:val="20"/>
        </w:rPr>
      </w:pPr>
      <w:r w:rsidRPr="005F120D">
        <w:rPr>
          <w:rFonts w:asciiTheme="minorHAnsi" w:hAnsiTheme="minorHAnsi" w:cstheme="minorHAnsi"/>
          <w:sz w:val="20"/>
          <w:szCs w:val="20"/>
        </w:rPr>
        <w:t>Date of Completion:</w:t>
      </w:r>
      <w:r w:rsidRPr="005F120D">
        <w:rPr>
          <w:rFonts w:asciiTheme="minorHAnsi" w:hAnsiTheme="minorHAnsi" w:cstheme="minorHAnsi"/>
          <w:sz w:val="20"/>
          <w:szCs w:val="20"/>
        </w:rPr>
        <w:tab/>
      </w:r>
      <w:r w:rsidR="00CF0D58" w:rsidRPr="005F120D">
        <w:rPr>
          <w:rFonts w:asciiTheme="minorHAnsi" w:hAnsiTheme="minorHAnsi" w:cstheme="minorHAnsi"/>
          <w:sz w:val="20"/>
          <w:szCs w:val="20"/>
        </w:rPr>
        <w:t>December 2014</w:t>
      </w:r>
      <w:r w:rsidR="000B3F9D" w:rsidRPr="005F120D">
        <w:rPr>
          <w:rFonts w:asciiTheme="minorHAnsi" w:hAnsiTheme="minorHAnsi" w:cstheme="minorHAnsi"/>
          <w:sz w:val="20"/>
          <w:szCs w:val="20"/>
        </w:rPr>
        <w:tab/>
      </w:r>
    </w:p>
    <w:p w:rsidR="000B3F9D" w:rsidRPr="005F120D" w:rsidRDefault="000B3F9D"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b). 1</w:t>
      </w:r>
      <w:r w:rsidRPr="005F120D">
        <w:rPr>
          <w:rFonts w:asciiTheme="minorHAnsi" w:hAnsiTheme="minorHAnsi" w:cstheme="minorHAnsi"/>
          <w:sz w:val="20"/>
          <w:szCs w:val="20"/>
          <w:vertAlign w:val="superscript"/>
        </w:rPr>
        <w:t>st</w:t>
      </w:r>
      <w:r w:rsidRPr="005F120D">
        <w:rPr>
          <w:rFonts w:asciiTheme="minorHAnsi" w:hAnsiTheme="minorHAnsi" w:cstheme="minorHAnsi"/>
          <w:sz w:val="20"/>
          <w:szCs w:val="20"/>
        </w:rPr>
        <w:t xml:space="preserve"> Revised:</w:t>
      </w:r>
      <w:r w:rsidRPr="005F120D">
        <w:rPr>
          <w:rFonts w:asciiTheme="minorHAnsi" w:hAnsiTheme="minorHAnsi" w:cstheme="minorHAnsi"/>
          <w:sz w:val="20"/>
          <w:szCs w:val="20"/>
        </w:rPr>
        <w:tab/>
      </w:r>
      <w:r w:rsidRPr="005F120D">
        <w:rPr>
          <w:rFonts w:asciiTheme="minorHAnsi" w:hAnsiTheme="minorHAnsi" w:cstheme="minorHAnsi"/>
          <w:sz w:val="20"/>
          <w:szCs w:val="20"/>
        </w:rPr>
        <w:tab/>
        <w:t>I.</w:t>
      </w:r>
      <w:r w:rsidRPr="005F120D">
        <w:rPr>
          <w:rFonts w:asciiTheme="minorHAnsi" w:hAnsiTheme="minorHAnsi" w:cstheme="minorHAnsi"/>
          <w:sz w:val="20"/>
          <w:szCs w:val="20"/>
        </w:rPr>
        <w:tab/>
      </w:r>
      <w:r w:rsidR="00CF0D58" w:rsidRPr="005F120D">
        <w:rPr>
          <w:rFonts w:asciiTheme="minorHAnsi" w:hAnsiTheme="minorHAnsi" w:cstheme="minorHAnsi"/>
          <w:sz w:val="20"/>
          <w:szCs w:val="20"/>
        </w:rPr>
        <w:t>Date of Commencement:</w:t>
      </w:r>
      <w:r w:rsidR="00CF0D58" w:rsidRPr="005F120D">
        <w:rPr>
          <w:rFonts w:asciiTheme="minorHAnsi" w:hAnsiTheme="minorHAnsi" w:cstheme="minorHAnsi"/>
          <w:sz w:val="20"/>
          <w:szCs w:val="20"/>
        </w:rPr>
        <w:tab/>
        <w:t xml:space="preserve"> January 2011</w:t>
      </w:r>
    </w:p>
    <w:p w:rsidR="000B3F9D" w:rsidRPr="005F120D" w:rsidRDefault="00C61E95" w:rsidP="00B25E46">
      <w:pPr>
        <w:pStyle w:val="BodyText1"/>
        <w:numPr>
          <w:ilvl w:val="0"/>
          <w:numId w:val="82"/>
        </w:numPr>
        <w:spacing w:after="0" w:line="240" w:lineRule="auto"/>
        <w:rPr>
          <w:rFonts w:asciiTheme="minorHAnsi" w:hAnsiTheme="minorHAnsi" w:cstheme="minorHAnsi"/>
          <w:sz w:val="20"/>
          <w:szCs w:val="20"/>
        </w:rPr>
      </w:pPr>
      <w:r w:rsidRPr="005F120D">
        <w:rPr>
          <w:rFonts w:asciiTheme="minorHAnsi" w:hAnsiTheme="minorHAnsi" w:cstheme="minorHAnsi"/>
          <w:sz w:val="20"/>
          <w:szCs w:val="20"/>
        </w:rPr>
        <w:t>Date of Completion:</w:t>
      </w:r>
      <w:r w:rsidRPr="005F120D">
        <w:rPr>
          <w:rFonts w:asciiTheme="minorHAnsi" w:hAnsiTheme="minorHAnsi" w:cstheme="minorHAnsi"/>
          <w:sz w:val="20"/>
          <w:szCs w:val="20"/>
        </w:rPr>
        <w:tab/>
      </w:r>
      <w:r w:rsidR="00CF0D58" w:rsidRPr="005F120D">
        <w:rPr>
          <w:rFonts w:asciiTheme="minorHAnsi" w:hAnsiTheme="minorHAnsi" w:cstheme="minorHAnsi"/>
          <w:sz w:val="20"/>
          <w:szCs w:val="20"/>
        </w:rPr>
        <w:t xml:space="preserve"> June 2015</w:t>
      </w:r>
    </w:p>
    <w:p w:rsidR="00995A4E" w:rsidRPr="005F120D" w:rsidRDefault="00995A4E"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c). 2</w:t>
      </w:r>
      <w:r w:rsidRPr="005F120D">
        <w:rPr>
          <w:rFonts w:asciiTheme="minorHAnsi" w:hAnsiTheme="minorHAnsi" w:cstheme="minorHAnsi"/>
          <w:sz w:val="20"/>
          <w:szCs w:val="20"/>
          <w:vertAlign w:val="superscript"/>
        </w:rPr>
        <w:t>nd</w:t>
      </w:r>
      <w:r w:rsidRPr="005F120D">
        <w:rPr>
          <w:rFonts w:asciiTheme="minorHAnsi" w:hAnsiTheme="minorHAnsi" w:cstheme="minorHAnsi"/>
          <w:sz w:val="20"/>
          <w:szCs w:val="20"/>
        </w:rPr>
        <w:t xml:space="preserve"> Revised </w:t>
      </w:r>
      <w:r w:rsidRPr="005F120D">
        <w:rPr>
          <w:rFonts w:asciiTheme="minorHAnsi" w:hAnsiTheme="minorHAnsi" w:cstheme="minorHAnsi"/>
          <w:sz w:val="20"/>
          <w:szCs w:val="20"/>
        </w:rPr>
        <w:tab/>
      </w:r>
      <w:r w:rsidRPr="005F120D">
        <w:rPr>
          <w:rFonts w:asciiTheme="minorHAnsi" w:hAnsiTheme="minorHAnsi" w:cstheme="minorHAnsi"/>
          <w:sz w:val="20"/>
          <w:szCs w:val="20"/>
        </w:rPr>
        <w:tab/>
        <w:t>I.</w:t>
      </w:r>
      <w:r w:rsidRPr="005F120D">
        <w:rPr>
          <w:rFonts w:asciiTheme="minorHAnsi" w:hAnsiTheme="minorHAnsi" w:cstheme="minorHAnsi"/>
          <w:sz w:val="20"/>
          <w:szCs w:val="20"/>
        </w:rPr>
        <w:tab/>
      </w:r>
      <w:r w:rsidR="00C61E95" w:rsidRPr="005F120D">
        <w:rPr>
          <w:rFonts w:asciiTheme="minorHAnsi" w:hAnsiTheme="minorHAnsi" w:cstheme="minorHAnsi"/>
          <w:sz w:val="20"/>
          <w:szCs w:val="20"/>
        </w:rPr>
        <w:t>Date of Completion:</w:t>
      </w:r>
      <w:r w:rsidRPr="005F120D">
        <w:rPr>
          <w:rFonts w:asciiTheme="minorHAnsi" w:hAnsiTheme="minorHAnsi" w:cstheme="minorHAnsi"/>
          <w:sz w:val="20"/>
          <w:szCs w:val="20"/>
        </w:rPr>
        <w:tab/>
      </w:r>
      <w:r w:rsidR="00C61E95" w:rsidRPr="005F120D">
        <w:rPr>
          <w:rFonts w:asciiTheme="minorHAnsi" w:hAnsiTheme="minorHAnsi" w:cstheme="minorHAnsi"/>
          <w:sz w:val="20"/>
          <w:szCs w:val="20"/>
        </w:rPr>
        <w:t xml:space="preserve"> June 2017</w:t>
      </w:r>
    </w:p>
    <w:p w:rsidR="000B3F9D" w:rsidRPr="005F120D" w:rsidRDefault="000B3F9D" w:rsidP="00B25E46">
      <w:pPr>
        <w:pStyle w:val="BodyText1"/>
        <w:spacing w:after="0" w:line="240" w:lineRule="auto"/>
        <w:rPr>
          <w:rFonts w:asciiTheme="minorHAnsi" w:hAnsiTheme="minorHAnsi" w:cstheme="minorHAnsi"/>
          <w:sz w:val="20"/>
          <w:szCs w:val="20"/>
        </w:rPr>
      </w:pPr>
    </w:p>
    <w:p w:rsidR="00B25E46" w:rsidRPr="005F120D" w:rsidRDefault="00B25E46" w:rsidP="00B25E46">
      <w:pPr>
        <w:pStyle w:val="BodyText1"/>
        <w:spacing w:after="0" w:line="240" w:lineRule="auto"/>
        <w:rPr>
          <w:rFonts w:asciiTheme="minorHAnsi" w:hAnsiTheme="minorHAnsi" w:cstheme="minorHAnsi"/>
          <w:sz w:val="20"/>
          <w:szCs w:val="20"/>
        </w:rPr>
      </w:pPr>
    </w:p>
    <w:p w:rsidR="00334AA8" w:rsidRPr="005F120D" w:rsidRDefault="000B3F9D"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Implementation Cost</w:t>
      </w:r>
      <w:r w:rsidR="00334AA8" w:rsidRPr="005F120D">
        <w:rPr>
          <w:rFonts w:asciiTheme="minorHAnsi" w:hAnsiTheme="minorHAnsi" w:cstheme="minorHAnsi"/>
          <w:sz w:val="20"/>
          <w:szCs w:val="20"/>
        </w:rPr>
        <w:t xml:space="preserve"> in </w:t>
      </w:r>
      <w:r w:rsidR="00F738CE" w:rsidRPr="005F120D">
        <w:rPr>
          <w:rFonts w:asciiTheme="minorHAnsi" w:hAnsiTheme="minorHAnsi" w:cstheme="minorHAnsi"/>
          <w:sz w:val="20"/>
          <w:szCs w:val="20"/>
        </w:rPr>
        <w:t>lac</w:t>
      </w:r>
      <w:r w:rsidR="00334AA8" w:rsidRPr="005F120D">
        <w:rPr>
          <w:rFonts w:asciiTheme="minorHAnsi" w:hAnsiTheme="minorHAnsi" w:cstheme="minorHAnsi"/>
          <w:sz w:val="20"/>
          <w:szCs w:val="20"/>
        </w:rPr>
        <w:t xml:space="preserve"> Taka</w:t>
      </w:r>
      <w:r w:rsidRPr="005F120D">
        <w:rPr>
          <w:rFonts w:asciiTheme="minorHAnsi" w:hAnsiTheme="minorHAnsi" w:cstheme="minorHAnsi"/>
          <w:sz w:val="20"/>
          <w:szCs w:val="20"/>
        </w:rPr>
        <w:t xml:space="preserve">: </w:t>
      </w:r>
      <w:r w:rsidR="00A61F5E">
        <w:rPr>
          <w:rFonts w:asciiTheme="minorHAnsi" w:hAnsiTheme="minorHAnsi" w:cstheme="minorHAnsi"/>
          <w:sz w:val="20"/>
          <w:szCs w:val="20"/>
        </w:rPr>
        <w:tab/>
      </w:r>
      <w:r w:rsidR="00334AA8" w:rsidRPr="005F120D">
        <w:rPr>
          <w:rFonts w:asciiTheme="minorHAnsi" w:hAnsiTheme="minorHAnsi" w:cstheme="minorHAnsi"/>
          <w:sz w:val="20"/>
          <w:szCs w:val="20"/>
        </w:rPr>
        <w:tab/>
        <w:t xml:space="preserve">24,808 (original) </w:t>
      </w:r>
    </w:p>
    <w:p w:rsidR="000B3F9D" w:rsidRPr="005F120D" w:rsidRDefault="00C61E95"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1</w:t>
      </w:r>
      <w:r w:rsidRPr="005F120D">
        <w:rPr>
          <w:rFonts w:asciiTheme="minorHAnsi" w:hAnsiTheme="minorHAnsi" w:cstheme="minorHAnsi"/>
          <w:sz w:val="20"/>
          <w:szCs w:val="20"/>
          <w:vertAlign w:val="superscript"/>
        </w:rPr>
        <w:t>st</w:t>
      </w:r>
      <w:r w:rsidR="00334AA8" w:rsidRPr="005F120D">
        <w:rPr>
          <w:rFonts w:asciiTheme="minorHAnsi" w:hAnsiTheme="minorHAnsi" w:cstheme="minorHAnsi"/>
          <w:sz w:val="20"/>
          <w:szCs w:val="20"/>
        </w:rPr>
        <w:t>Revised Cost</w:t>
      </w:r>
      <w:r w:rsidR="00A61F5E">
        <w:rPr>
          <w:rFonts w:asciiTheme="minorHAnsi" w:hAnsiTheme="minorHAnsi" w:cstheme="minorHAnsi"/>
          <w:sz w:val="20"/>
          <w:szCs w:val="20"/>
        </w:rPr>
        <w:t xml:space="preserve"> </w:t>
      </w:r>
      <w:r w:rsidR="00334AA8" w:rsidRPr="005F120D">
        <w:rPr>
          <w:rFonts w:asciiTheme="minorHAnsi" w:hAnsiTheme="minorHAnsi" w:cstheme="minorHAnsi"/>
          <w:sz w:val="20"/>
          <w:szCs w:val="20"/>
        </w:rPr>
        <w:t xml:space="preserve">in </w:t>
      </w:r>
      <w:r w:rsidR="00F738CE" w:rsidRPr="005F120D">
        <w:rPr>
          <w:rFonts w:asciiTheme="minorHAnsi" w:hAnsiTheme="minorHAnsi" w:cstheme="minorHAnsi"/>
          <w:sz w:val="20"/>
          <w:szCs w:val="20"/>
        </w:rPr>
        <w:t>lac</w:t>
      </w:r>
      <w:r w:rsidR="00334AA8" w:rsidRPr="005F120D">
        <w:rPr>
          <w:rFonts w:asciiTheme="minorHAnsi" w:hAnsiTheme="minorHAnsi" w:cstheme="minorHAnsi"/>
          <w:sz w:val="20"/>
          <w:szCs w:val="20"/>
        </w:rPr>
        <w:t xml:space="preserve"> Taka: </w:t>
      </w:r>
      <w:r w:rsidR="00334AA8" w:rsidRPr="005F120D">
        <w:rPr>
          <w:rFonts w:asciiTheme="minorHAnsi" w:hAnsiTheme="minorHAnsi" w:cstheme="minorHAnsi"/>
          <w:sz w:val="20"/>
          <w:szCs w:val="20"/>
        </w:rPr>
        <w:tab/>
      </w:r>
      <w:r w:rsidR="00334AA8" w:rsidRPr="005F120D">
        <w:rPr>
          <w:rFonts w:asciiTheme="minorHAnsi" w:hAnsiTheme="minorHAnsi" w:cstheme="minorHAnsi"/>
          <w:sz w:val="20"/>
          <w:szCs w:val="20"/>
        </w:rPr>
        <w:tab/>
        <w:t>25,878.41</w:t>
      </w:r>
    </w:p>
    <w:p w:rsidR="00C61E95" w:rsidRPr="005F120D" w:rsidRDefault="00C61E95"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2</w:t>
      </w:r>
      <w:r w:rsidRPr="005F120D">
        <w:rPr>
          <w:rFonts w:asciiTheme="minorHAnsi" w:hAnsiTheme="minorHAnsi" w:cstheme="minorHAnsi"/>
          <w:sz w:val="20"/>
          <w:szCs w:val="20"/>
          <w:vertAlign w:val="superscript"/>
        </w:rPr>
        <w:t>nd</w:t>
      </w:r>
      <w:r w:rsidRPr="005F120D">
        <w:rPr>
          <w:rFonts w:asciiTheme="minorHAnsi" w:hAnsiTheme="minorHAnsi" w:cstheme="minorHAnsi"/>
          <w:sz w:val="20"/>
          <w:szCs w:val="20"/>
        </w:rPr>
        <w:t xml:space="preserve"> Revised Cost in </w:t>
      </w:r>
      <w:r w:rsidR="00F738CE" w:rsidRPr="005F120D">
        <w:rPr>
          <w:rFonts w:asciiTheme="minorHAnsi" w:hAnsiTheme="minorHAnsi" w:cstheme="minorHAnsi"/>
          <w:sz w:val="20"/>
          <w:szCs w:val="20"/>
        </w:rPr>
        <w:t>lac</w:t>
      </w:r>
      <w:r w:rsidRPr="005F120D">
        <w:rPr>
          <w:rFonts w:asciiTheme="minorHAnsi" w:hAnsiTheme="minorHAnsi" w:cstheme="minorHAnsi"/>
          <w:sz w:val="20"/>
          <w:szCs w:val="20"/>
        </w:rPr>
        <w:t xml:space="preserve"> Taka: </w:t>
      </w:r>
      <w:r w:rsidRPr="005F120D">
        <w:rPr>
          <w:rFonts w:asciiTheme="minorHAnsi" w:hAnsiTheme="minorHAnsi" w:cstheme="minorHAnsi"/>
          <w:sz w:val="20"/>
          <w:szCs w:val="20"/>
        </w:rPr>
        <w:tab/>
      </w:r>
      <w:r w:rsidRPr="005F120D">
        <w:rPr>
          <w:rFonts w:asciiTheme="minorHAnsi" w:hAnsiTheme="minorHAnsi" w:cstheme="minorHAnsi"/>
          <w:sz w:val="20"/>
          <w:szCs w:val="20"/>
        </w:rPr>
        <w:tab/>
        <w:t>26,944.7</w:t>
      </w:r>
      <w:r w:rsidR="00EC4620" w:rsidRPr="005F120D">
        <w:rPr>
          <w:rFonts w:asciiTheme="minorHAnsi" w:hAnsiTheme="minorHAnsi" w:cstheme="minorHAnsi"/>
          <w:sz w:val="20"/>
          <w:szCs w:val="20"/>
        </w:rPr>
        <w:t>5</w:t>
      </w:r>
    </w:p>
    <w:p w:rsidR="000B3F9D" w:rsidRPr="005F120D" w:rsidRDefault="000B3F9D" w:rsidP="00B25E46">
      <w:pPr>
        <w:pStyle w:val="BodyText1"/>
        <w:spacing w:after="0" w:line="240" w:lineRule="auto"/>
        <w:rPr>
          <w:rFonts w:asciiTheme="minorHAnsi" w:hAnsiTheme="minorHAnsi" w:cstheme="minorHAnsi"/>
          <w:color w:val="FF0000"/>
          <w:sz w:val="20"/>
          <w:szCs w:val="20"/>
        </w:rPr>
      </w:pPr>
    </w:p>
    <w:p w:rsidR="00DA62A7" w:rsidRPr="005F120D" w:rsidRDefault="000B3F9D"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Source of Fund:</w:t>
      </w:r>
      <w:r w:rsidR="00FA6A29" w:rsidRPr="005F120D">
        <w:rPr>
          <w:rFonts w:asciiTheme="minorHAnsi" w:hAnsiTheme="minorHAnsi" w:cstheme="minorHAnsi"/>
          <w:sz w:val="20"/>
          <w:szCs w:val="20"/>
        </w:rPr>
        <w:t xml:space="preserve"> GoB</w:t>
      </w:r>
      <w:r w:rsidR="00334AA8" w:rsidRPr="005F120D">
        <w:rPr>
          <w:rFonts w:asciiTheme="minorHAnsi" w:hAnsiTheme="minorHAnsi" w:cstheme="minorHAnsi"/>
          <w:sz w:val="20"/>
          <w:szCs w:val="20"/>
        </w:rPr>
        <w:tab/>
      </w:r>
    </w:p>
    <w:p w:rsidR="005A115F" w:rsidRPr="005F120D" w:rsidRDefault="00334AA8" w:rsidP="00B25E46">
      <w:pPr>
        <w:jc w:val="both"/>
        <w:rPr>
          <w:rFonts w:asciiTheme="minorHAnsi" w:hAnsiTheme="minorHAnsi" w:cstheme="minorHAnsi"/>
          <w:sz w:val="20"/>
        </w:rPr>
      </w:pPr>
      <w:r w:rsidRPr="005F120D">
        <w:rPr>
          <w:rFonts w:asciiTheme="minorHAnsi" w:hAnsiTheme="minorHAnsi" w:cstheme="minorHAnsi"/>
          <w:sz w:val="20"/>
        </w:rPr>
        <w:t xml:space="preserve">There are 64 districts in Bangladesh. </w:t>
      </w:r>
      <w:r w:rsidR="005A115F" w:rsidRPr="005F120D">
        <w:rPr>
          <w:rFonts w:asciiTheme="minorHAnsi" w:hAnsiTheme="minorHAnsi" w:cstheme="minorHAnsi"/>
          <w:sz w:val="20"/>
        </w:rPr>
        <w:t>Out o</w:t>
      </w:r>
      <w:r w:rsidRPr="005F120D">
        <w:rPr>
          <w:rFonts w:asciiTheme="minorHAnsi" w:hAnsiTheme="minorHAnsi" w:cstheme="minorHAnsi"/>
          <w:sz w:val="20"/>
        </w:rPr>
        <w:t>f the 64 districts</w:t>
      </w:r>
      <w:r w:rsidR="005A115F" w:rsidRPr="005F120D">
        <w:rPr>
          <w:rFonts w:asciiTheme="minorHAnsi" w:hAnsiTheme="minorHAnsi" w:cstheme="minorHAnsi"/>
          <w:sz w:val="20"/>
        </w:rPr>
        <w:t xml:space="preserve">, 12 districts </w:t>
      </w:r>
      <w:r w:rsidRPr="005F120D">
        <w:rPr>
          <w:rFonts w:asciiTheme="minorHAnsi" w:hAnsiTheme="minorHAnsi" w:cstheme="minorHAnsi"/>
          <w:sz w:val="20"/>
        </w:rPr>
        <w:t>do</w:t>
      </w:r>
      <w:r w:rsidR="005A115F" w:rsidRPr="005F120D">
        <w:rPr>
          <w:rFonts w:asciiTheme="minorHAnsi" w:hAnsiTheme="minorHAnsi" w:cstheme="minorHAnsi"/>
          <w:sz w:val="20"/>
        </w:rPr>
        <w:t xml:space="preserve"> not have PTIs. To address this shortfall in teacher training facility, the government has initiated the project  “Establishment of 12 PTIs project” at the cost of Taka 24,80</w:t>
      </w:r>
      <w:r w:rsidRPr="005F120D">
        <w:rPr>
          <w:rFonts w:asciiTheme="minorHAnsi" w:hAnsiTheme="minorHAnsi" w:cstheme="minorHAnsi"/>
          <w:sz w:val="20"/>
        </w:rPr>
        <w:t xml:space="preserve">8 </w:t>
      </w:r>
      <w:r w:rsidR="00F738CE" w:rsidRPr="005F120D">
        <w:rPr>
          <w:rFonts w:asciiTheme="minorHAnsi" w:hAnsiTheme="minorHAnsi" w:cstheme="minorHAnsi"/>
          <w:sz w:val="20"/>
        </w:rPr>
        <w:t>lac</w:t>
      </w:r>
      <w:r w:rsidRPr="005F120D">
        <w:rPr>
          <w:rFonts w:asciiTheme="minorHAnsi" w:hAnsiTheme="minorHAnsi" w:cstheme="minorHAnsi"/>
          <w:sz w:val="20"/>
        </w:rPr>
        <w:t xml:space="preserve"> (</w:t>
      </w:r>
      <w:r w:rsidR="004A0634" w:rsidRPr="005F120D">
        <w:rPr>
          <w:rFonts w:asciiTheme="minorHAnsi" w:hAnsiTheme="minorHAnsi" w:cstheme="minorHAnsi"/>
          <w:sz w:val="20"/>
        </w:rPr>
        <w:t>first</w:t>
      </w:r>
      <w:r w:rsidR="00A61F5E">
        <w:rPr>
          <w:rFonts w:asciiTheme="minorHAnsi" w:hAnsiTheme="minorHAnsi" w:cstheme="minorHAnsi"/>
          <w:sz w:val="20"/>
        </w:rPr>
        <w:t xml:space="preserve"> </w:t>
      </w:r>
      <w:r w:rsidR="004A0634" w:rsidRPr="005F120D">
        <w:rPr>
          <w:rFonts w:asciiTheme="minorHAnsi" w:hAnsiTheme="minorHAnsi" w:cstheme="minorHAnsi"/>
          <w:sz w:val="20"/>
        </w:rPr>
        <w:t>revised budget was</w:t>
      </w:r>
      <w:r w:rsidRPr="005F120D">
        <w:rPr>
          <w:rFonts w:asciiTheme="minorHAnsi" w:hAnsiTheme="minorHAnsi" w:cstheme="minorHAnsi"/>
          <w:sz w:val="20"/>
        </w:rPr>
        <w:t xml:space="preserve"> Taka 25,878.41</w:t>
      </w:r>
      <w:r w:rsidR="00F738CE" w:rsidRPr="005F120D">
        <w:rPr>
          <w:rFonts w:asciiTheme="minorHAnsi" w:hAnsiTheme="minorHAnsi" w:cstheme="minorHAnsi"/>
          <w:sz w:val="20"/>
        </w:rPr>
        <w:t>lac</w:t>
      </w:r>
      <w:r w:rsidR="00EC4620" w:rsidRPr="005F120D">
        <w:rPr>
          <w:rFonts w:asciiTheme="minorHAnsi" w:hAnsiTheme="minorHAnsi" w:cstheme="minorHAnsi"/>
          <w:sz w:val="20"/>
        </w:rPr>
        <w:t xml:space="preserve"> and </w:t>
      </w:r>
      <w:r w:rsidR="004A0634" w:rsidRPr="005F120D">
        <w:rPr>
          <w:rFonts w:asciiTheme="minorHAnsi" w:hAnsiTheme="minorHAnsi" w:cstheme="minorHAnsi"/>
          <w:sz w:val="20"/>
        </w:rPr>
        <w:t>second</w:t>
      </w:r>
      <w:r w:rsidR="00EC4620" w:rsidRPr="005F120D">
        <w:rPr>
          <w:rFonts w:asciiTheme="minorHAnsi" w:hAnsiTheme="minorHAnsi" w:cstheme="minorHAnsi"/>
          <w:sz w:val="20"/>
        </w:rPr>
        <w:t xml:space="preserve"> revised budget</w:t>
      </w:r>
      <w:r w:rsidR="004A0634" w:rsidRPr="005F120D">
        <w:rPr>
          <w:rFonts w:asciiTheme="minorHAnsi" w:hAnsiTheme="minorHAnsi" w:cstheme="minorHAnsi"/>
          <w:sz w:val="20"/>
        </w:rPr>
        <w:t xml:space="preserve"> is </w:t>
      </w:r>
      <w:r w:rsidR="00EC4620" w:rsidRPr="005F120D">
        <w:rPr>
          <w:rFonts w:asciiTheme="minorHAnsi" w:hAnsiTheme="minorHAnsi" w:cstheme="minorHAnsi"/>
          <w:sz w:val="20"/>
        </w:rPr>
        <w:t>26,944.75</w:t>
      </w:r>
      <w:r w:rsidR="005A115F" w:rsidRPr="005F120D">
        <w:rPr>
          <w:rFonts w:asciiTheme="minorHAnsi" w:hAnsiTheme="minorHAnsi" w:cstheme="minorHAnsi"/>
          <w:sz w:val="20"/>
        </w:rPr>
        <w:t>). The implementation period cover</w:t>
      </w:r>
      <w:r w:rsidR="004A0634" w:rsidRPr="005F120D">
        <w:rPr>
          <w:rFonts w:asciiTheme="minorHAnsi" w:hAnsiTheme="minorHAnsi" w:cstheme="minorHAnsi"/>
          <w:sz w:val="20"/>
        </w:rPr>
        <w:t>s</w:t>
      </w:r>
      <w:r w:rsidR="005A115F" w:rsidRPr="005F120D">
        <w:rPr>
          <w:rFonts w:asciiTheme="minorHAnsi" w:hAnsiTheme="minorHAnsi" w:cstheme="minorHAnsi"/>
          <w:sz w:val="20"/>
        </w:rPr>
        <w:t xml:space="preserve"> January 2011 to </w:t>
      </w:r>
      <w:r w:rsidR="00EC4620" w:rsidRPr="005F120D">
        <w:rPr>
          <w:rFonts w:asciiTheme="minorHAnsi" w:hAnsiTheme="minorHAnsi" w:cstheme="minorHAnsi"/>
          <w:sz w:val="20"/>
        </w:rPr>
        <w:t>June 2017</w:t>
      </w:r>
      <w:r w:rsidR="005A115F" w:rsidRPr="005F120D">
        <w:rPr>
          <w:rFonts w:asciiTheme="minorHAnsi" w:hAnsiTheme="minorHAnsi" w:cstheme="minorHAnsi"/>
          <w:sz w:val="20"/>
        </w:rPr>
        <w:t>. The work will be completed under two packages; Package 1: (i) construction of academic cum administrative building; (ii) construction of residence for PTI super and hostel super; and (iii) construc</w:t>
      </w:r>
      <w:r w:rsidR="004A0634" w:rsidRPr="005F120D">
        <w:rPr>
          <w:rFonts w:asciiTheme="minorHAnsi" w:hAnsiTheme="minorHAnsi" w:cstheme="minorHAnsi"/>
          <w:sz w:val="20"/>
        </w:rPr>
        <w:t>tion of PTI experimental school</w:t>
      </w:r>
      <w:r w:rsidR="005A115F" w:rsidRPr="005F120D">
        <w:rPr>
          <w:rFonts w:asciiTheme="minorHAnsi" w:hAnsiTheme="minorHAnsi" w:cstheme="minorHAnsi"/>
          <w:sz w:val="20"/>
        </w:rPr>
        <w:t xml:space="preserve">;  and Package 2: construction of male and female hostels for 200 learners (6 storied building). </w:t>
      </w:r>
    </w:p>
    <w:p w:rsidR="005A115F" w:rsidRPr="005F120D" w:rsidRDefault="00984736" w:rsidP="00B25E46">
      <w:pPr>
        <w:rPr>
          <w:rFonts w:asciiTheme="minorHAnsi" w:hAnsiTheme="minorHAnsi" w:cstheme="minorHAnsi"/>
          <w:b/>
          <w:sz w:val="20"/>
        </w:rPr>
      </w:pPr>
      <w:r w:rsidRPr="005F120D">
        <w:rPr>
          <w:rFonts w:asciiTheme="minorHAnsi" w:hAnsiTheme="minorHAnsi" w:cstheme="minorHAnsi"/>
          <w:b/>
          <w:sz w:val="20"/>
        </w:rPr>
        <w:t xml:space="preserve">12 PTIs </w:t>
      </w:r>
      <w:r w:rsidR="005A115F" w:rsidRPr="005F120D">
        <w:rPr>
          <w:rFonts w:asciiTheme="minorHAnsi" w:hAnsiTheme="minorHAnsi" w:cstheme="minorHAnsi"/>
          <w:b/>
          <w:sz w:val="20"/>
        </w:rPr>
        <w:t>Project implem</w:t>
      </w:r>
      <w:r w:rsidR="004A0634" w:rsidRPr="005F120D">
        <w:rPr>
          <w:rFonts w:asciiTheme="minorHAnsi" w:hAnsiTheme="minorHAnsi" w:cstheme="minorHAnsi"/>
          <w:b/>
          <w:sz w:val="20"/>
        </w:rPr>
        <w:t>entation S</w:t>
      </w:r>
      <w:r w:rsidR="00334AA8" w:rsidRPr="005F120D">
        <w:rPr>
          <w:rFonts w:asciiTheme="minorHAnsi" w:hAnsiTheme="minorHAnsi" w:cstheme="minorHAnsi"/>
          <w:b/>
          <w:sz w:val="20"/>
        </w:rPr>
        <w:t xml:space="preserve">tatus as of </w:t>
      </w:r>
      <w:r w:rsidR="00EC4620" w:rsidRPr="005F120D">
        <w:rPr>
          <w:rFonts w:asciiTheme="minorHAnsi" w:hAnsiTheme="minorHAnsi" w:cstheme="minorHAnsi"/>
          <w:b/>
          <w:sz w:val="20"/>
        </w:rPr>
        <w:t>March 2016</w:t>
      </w:r>
      <w:r w:rsidR="005A115F" w:rsidRPr="005F120D">
        <w:rPr>
          <w:rFonts w:asciiTheme="minorHAnsi" w:hAnsiTheme="minorHAnsi" w:cstheme="minorHAnsi"/>
          <w:b/>
          <w:sz w:val="20"/>
        </w:rPr>
        <w:t xml:space="preserve"> is follows:</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3"/>
        <w:gridCol w:w="3286"/>
        <w:gridCol w:w="2521"/>
        <w:gridCol w:w="2865"/>
      </w:tblGrid>
      <w:tr w:rsidR="00D06BCE" w:rsidRPr="005F120D" w:rsidTr="00DE710B">
        <w:tc>
          <w:tcPr>
            <w:tcW w:w="345" w:type="pct"/>
            <w:tcBorders>
              <w:top w:val="single" w:sz="4" w:space="0" w:color="auto"/>
              <w:left w:val="nil"/>
              <w:bottom w:val="single" w:sz="4" w:space="0" w:color="auto"/>
              <w:right w:val="nil"/>
            </w:tcBorders>
            <w:shd w:val="clear" w:color="auto" w:fill="C2D69B" w:themeFill="accent3" w:themeFillTint="99"/>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SL #</w:t>
            </w:r>
          </w:p>
        </w:tc>
        <w:tc>
          <w:tcPr>
            <w:tcW w:w="1764" w:type="pct"/>
            <w:tcBorders>
              <w:top w:val="single" w:sz="4" w:space="0" w:color="auto"/>
              <w:left w:val="nil"/>
              <w:bottom w:val="single" w:sz="4" w:space="0" w:color="auto"/>
              <w:right w:val="single" w:sz="4" w:space="0" w:color="auto"/>
            </w:tcBorders>
            <w:shd w:val="clear" w:color="auto" w:fill="C2D69B" w:themeFill="accent3" w:themeFillTint="99"/>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Planned activities</w:t>
            </w:r>
          </w:p>
        </w:tc>
        <w:tc>
          <w:tcPr>
            <w:tcW w:w="135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Status as of April 2014</w:t>
            </w:r>
          </w:p>
        </w:tc>
        <w:tc>
          <w:tcPr>
            <w:tcW w:w="1539" w:type="pct"/>
            <w:tcBorders>
              <w:top w:val="single" w:sz="4" w:space="0" w:color="auto"/>
              <w:left w:val="single" w:sz="4" w:space="0" w:color="auto"/>
              <w:bottom w:val="nil"/>
              <w:right w:val="nil"/>
            </w:tcBorders>
            <w:shd w:val="clear" w:color="auto" w:fill="C2D69B" w:themeFill="accent3" w:themeFillTint="99"/>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Remarks</w:t>
            </w:r>
          </w:p>
        </w:tc>
      </w:tr>
      <w:tr w:rsidR="00D06BCE" w:rsidRPr="005F120D" w:rsidTr="00DE710B">
        <w:trPr>
          <w:trHeight w:val="143"/>
        </w:trPr>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Dhaka PTI, Mirpur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43% work completed</w:t>
            </w:r>
          </w:p>
        </w:tc>
        <w:tc>
          <w:tcPr>
            <w:tcW w:w="1539" w:type="pct"/>
            <w:tcBorders>
              <w:top w:val="nil"/>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‘Special’ category </w:t>
            </w:r>
          </w:p>
        </w:tc>
      </w:tr>
      <w:tr w:rsidR="00D06BCE" w:rsidRPr="005F120D" w:rsidTr="00DE710B">
        <w:trPr>
          <w:trHeight w:val="278"/>
        </w:trPr>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2</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Narayanganj PTI, Shiachar,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9</w:t>
            </w:r>
            <w:r w:rsidR="00D06BCE" w:rsidRPr="005F120D">
              <w:rPr>
                <w:rFonts w:asciiTheme="minorHAnsi" w:eastAsia="Calibri" w:hAnsiTheme="minorHAnsi" w:cstheme="minorHAnsi"/>
                <w:sz w:val="18"/>
                <w:szCs w:val="18"/>
              </w:rPr>
              <w:t>0% work completed</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‘A’ category</w:t>
            </w:r>
          </w:p>
        </w:tc>
      </w:tr>
      <w:tr w:rsidR="00D06BCE" w:rsidRPr="005F120D" w:rsidTr="00DE710B">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3</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Gopalganj PTI, Bhetodor,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9</w:t>
            </w:r>
            <w:r w:rsidR="00D06BCE" w:rsidRPr="005F120D">
              <w:rPr>
                <w:rFonts w:asciiTheme="minorHAnsi" w:eastAsia="Calibri" w:hAnsiTheme="minorHAnsi" w:cstheme="minorHAnsi"/>
                <w:sz w:val="18"/>
                <w:szCs w:val="18"/>
              </w:rPr>
              <w:t>0% work completed</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‘A’ category</w:t>
            </w:r>
          </w:p>
        </w:tc>
      </w:tr>
      <w:tr w:rsidR="00D06BCE" w:rsidRPr="005F120D" w:rsidTr="00DE710B">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4</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Shariatpur PTI, Balochara,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98</w:t>
            </w:r>
            <w:r w:rsidR="00D06BCE" w:rsidRPr="005F120D">
              <w:rPr>
                <w:rFonts w:asciiTheme="minorHAnsi" w:eastAsia="Calibri" w:hAnsiTheme="minorHAnsi" w:cstheme="minorHAnsi"/>
                <w:sz w:val="18"/>
                <w:szCs w:val="18"/>
              </w:rPr>
              <w:t>% work completed</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‘B’ category</w:t>
            </w:r>
          </w:p>
        </w:tc>
      </w:tr>
      <w:tr w:rsidR="00D06BCE" w:rsidRPr="005F120D" w:rsidTr="00DE710B">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5</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Sherpur PTI, Bhatshala,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96</w:t>
            </w:r>
            <w:r w:rsidR="00D06BCE" w:rsidRPr="005F120D">
              <w:rPr>
                <w:rFonts w:asciiTheme="minorHAnsi" w:eastAsia="Calibri" w:hAnsiTheme="minorHAnsi" w:cstheme="minorHAnsi"/>
                <w:sz w:val="18"/>
                <w:szCs w:val="18"/>
              </w:rPr>
              <w:t>% work completed</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‘B’ category</w:t>
            </w:r>
          </w:p>
        </w:tc>
      </w:tr>
      <w:tr w:rsidR="00D06BCE" w:rsidRPr="005F120D" w:rsidTr="00DE710B">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6</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Rajbari PTI,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93</w:t>
            </w:r>
            <w:r w:rsidR="00D06BCE" w:rsidRPr="005F120D">
              <w:rPr>
                <w:rFonts w:asciiTheme="minorHAnsi" w:eastAsia="Calibri" w:hAnsiTheme="minorHAnsi" w:cstheme="minorHAnsi"/>
                <w:sz w:val="18"/>
                <w:szCs w:val="18"/>
              </w:rPr>
              <w:t>% work completed</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‘C’ category</w:t>
            </w:r>
          </w:p>
        </w:tc>
      </w:tr>
      <w:tr w:rsidR="00D06BCE" w:rsidRPr="005F120D" w:rsidTr="00DE710B">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7</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Bandarban PTI,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95</w:t>
            </w:r>
            <w:r w:rsidR="00D06BCE" w:rsidRPr="005F120D">
              <w:rPr>
                <w:rFonts w:asciiTheme="minorHAnsi" w:eastAsia="Calibri" w:hAnsiTheme="minorHAnsi" w:cstheme="minorHAnsi"/>
                <w:sz w:val="18"/>
                <w:szCs w:val="18"/>
              </w:rPr>
              <w:t>% work completed</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‘C’ category</w:t>
            </w:r>
          </w:p>
        </w:tc>
      </w:tr>
      <w:tr w:rsidR="00D06BCE" w:rsidRPr="005F120D" w:rsidTr="00DE710B">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8</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Khagrachari, PTI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8</w:t>
            </w:r>
            <w:r w:rsidR="00D06BCE" w:rsidRPr="005F120D">
              <w:rPr>
                <w:rFonts w:asciiTheme="minorHAnsi" w:eastAsia="Calibri" w:hAnsiTheme="minorHAnsi" w:cstheme="minorHAnsi"/>
                <w:sz w:val="18"/>
                <w:szCs w:val="18"/>
              </w:rPr>
              <w:t>5% work completed</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‘C’ category</w:t>
            </w:r>
          </w:p>
        </w:tc>
      </w:tr>
      <w:tr w:rsidR="00D06BCE" w:rsidRPr="005F120D" w:rsidTr="00DE710B">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9</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Narail PTI,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77</w:t>
            </w:r>
            <w:r w:rsidR="00D06BCE" w:rsidRPr="005F120D">
              <w:rPr>
                <w:rFonts w:asciiTheme="minorHAnsi" w:eastAsia="Calibri" w:hAnsiTheme="minorHAnsi" w:cstheme="minorHAnsi"/>
                <w:sz w:val="18"/>
                <w:szCs w:val="18"/>
              </w:rPr>
              <w:t>% work completed</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‘C’ category</w:t>
            </w:r>
          </w:p>
        </w:tc>
      </w:tr>
      <w:tr w:rsidR="00D06BCE" w:rsidRPr="005F120D" w:rsidTr="00DE710B">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10</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Meherpur PTI,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100</w:t>
            </w:r>
            <w:r w:rsidR="00D06BCE" w:rsidRPr="005F120D">
              <w:rPr>
                <w:rFonts w:asciiTheme="minorHAnsi" w:eastAsia="Calibri" w:hAnsiTheme="minorHAnsi" w:cstheme="minorHAnsi"/>
                <w:sz w:val="18"/>
                <w:szCs w:val="18"/>
              </w:rPr>
              <w:t>% work completed</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‘C’ category</w:t>
            </w:r>
          </w:p>
        </w:tc>
      </w:tr>
      <w:tr w:rsidR="00D06BCE" w:rsidRPr="005F120D" w:rsidTr="00DE710B">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11</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Jhalokathi PTI,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F20C11"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98</w:t>
            </w:r>
            <w:r w:rsidR="00D06BCE" w:rsidRPr="005F120D">
              <w:rPr>
                <w:rFonts w:asciiTheme="minorHAnsi" w:eastAsia="Calibri" w:hAnsiTheme="minorHAnsi" w:cstheme="minorHAnsi"/>
                <w:sz w:val="18"/>
                <w:szCs w:val="18"/>
              </w:rPr>
              <w:t>% work completed</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‘B’ category</w:t>
            </w:r>
          </w:p>
        </w:tc>
      </w:tr>
      <w:tr w:rsidR="00D06BCE" w:rsidRPr="005F120D" w:rsidTr="00DE710B">
        <w:tc>
          <w:tcPr>
            <w:tcW w:w="345" w:type="pct"/>
            <w:tcBorders>
              <w:top w:val="single" w:sz="4" w:space="0" w:color="auto"/>
              <w:left w:val="nil"/>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12</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Lalmonirhat PTI, Sadar</w:t>
            </w:r>
          </w:p>
        </w:tc>
        <w:tc>
          <w:tcPr>
            <w:tcW w:w="1353" w:type="pct"/>
            <w:tcBorders>
              <w:top w:val="single" w:sz="4" w:space="0" w:color="auto"/>
              <w:left w:val="single" w:sz="4" w:space="0" w:color="auto"/>
              <w:bottom w:val="single" w:sz="4" w:space="0" w:color="auto"/>
              <w:right w:val="single" w:sz="4" w:space="0" w:color="auto"/>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100% completed</w:t>
            </w:r>
            <w:r w:rsidR="00F20C11" w:rsidRPr="005F120D">
              <w:rPr>
                <w:rFonts w:asciiTheme="minorHAnsi" w:eastAsia="Calibri" w:hAnsiTheme="minorHAnsi" w:cstheme="minorHAnsi"/>
                <w:sz w:val="18"/>
                <w:szCs w:val="18"/>
              </w:rPr>
              <w:t xml:space="preserve"> and Functioning</w:t>
            </w:r>
          </w:p>
        </w:tc>
        <w:tc>
          <w:tcPr>
            <w:tcW w:w="1539" w:type="pct"/>
            <w:tcBorders>
              <w:top w:val="single" w:sz="4" w:space="0" w:color="auto"/>
              <w:left w:val="single" w:sz="4" w:space="0" w:color="auto"/>
              <w:bottom w:val="single" w:sz="4" w:space="0" w:color="auto"/>
              <w:right w:val="nil"/>
            </w:tcBorders>
            <w:shd w:val="clear" w:color="auto" w:fill="auto"/>
          </w:tcPr>
          <w:p w:rsidR="00D06BCE" w:rsidRPr="005F120D" w:rsidRDefault="00D06BCE" w:rsidP="00B25E46">
            <w:pPr>
              <w:spacing w:after="0"/>
              <w:rPr>
                <w:rFonts w:asciiTheme="minorHAnsi" w:eastAsia="Calibri" w:hAnsiTheme="minorHAnsi" w:cstheme="minorHAnsi"/>
                <w:sz w:val="18"/>
                <w:szCs w:val="18"/>
              </w:rPr>
            </w:pPr>
            <w:r w:rsidRPr="005F120D">
              <w:rPr>
                <w:rFonts w:asciiTheme="minorHAnsi" w:eastAsia="Calibri" w:hAnsiTheme="minorHAnsi" w:cstheme="minorHAnsi"/>
                <w:sz w:val="18"/>
                <w:szCs w:val="18"/>
              </w:rPr>
              <w:t xml:space="preserve">‘B’ category  </w:t>
            </w:r>
          </w:p>
        </w:tc>
      </w:tr>
    </w:tbl>
    <w:p w:rsidR="00BA29B9" w:rsidRPr="005F120D" w:rsidRDefault="00BA29B9" w:rsidP="00B25E46">
      <w:pPr>
        <w:pStyle w:val="Heading2NONUM"/>
        <w:numPr>
          <w:ilvl w:val="0"/>
          <w:numId w:val="36"/>
        </w:numPr>
        <w:rPr>
          <w:rFonts w:asciiTheme="minorHAnsi" w:hAnsiTheme="minorHAnsi" w:cstheme="minorHAnsi"/>
          <w:color w:val="3333FF"/>
          <w:szCs w:val="24"/>
        </w:rPr>
      </w:pPr>
      <w:r w:rsidRPr="005F120D">
        <w:rPr>
          <w:rFonts w:asciiTheme="minorHAnsi" w:hAnsiTheme="minorHAnsi" w:cstheme="minorHAnsi"/>
          <w:color w:val="3333FF"/>
          <w:szCs w:val="24"/>
        </w:rPr>
        <w:t xml:space="preserve">Name of the Project:  </w:t>
      </w:r>
      <w:r w:rsidRPr="005F120D">
        <w:rPr>
          <w:rFonts w:asciiTheme="minorHAnsi" w:hAnsiTheme="minorHAnsi" w:cstheme="minorHAnsi"/>
          <w:color w:val="3333FF"/>
          <w:szCs w:val="24"/>
          <w:u w:val="single"/>
        </w:rPr>
        <w:t>Primary Education Development Project supported by IDB</w:t>
      </w:r>
    </w:p>
    <w:p w:rsidR="00007E2E" w:rsidRPr="005F120D" w:rsidRDefault="00007E2E"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Goal/Aim:</w:t>
      </w:r>
      <w:r w:rsidR="004A0634" w:rsidRPr="005F120D">
        <w:rPr>
          <w:rFonts w:asciiTheme="minorHAnsi" w:hAnsiTheme="minorHAnsi" w:cstheme="minorHAnsi"/>
          <w:sz w:val="20"/>
          <w:szCs w:val="20"/>
        </w:rPr>
        <w:t xml:space="preserve"> The goal of the project is to e</w:t>
      </w:r>
      <w:r w:rsidRPr="005F120D">
        <w:rPr>
          <w:rFonts w:asciiTheme="minorHAnsi" w:hAnsiTheme="minorHAnsi" w:cstheme="minorHAnsi"/>
          <w:sz w:val="20"/>
          <w:szCs w:val="20"/>
        </w:rPr>
        <w:t xml:space="preserve">nsure </w:t>
      </w:r>
      <w:r w:rsidR="004A0634" w:rsidRPr="005F120D">
        <w:rPr>
          <w:rFonts w:asciiTheme="minorHAnsi" w:hAnsiTheme="minorHAnsi" w:cstheme="minorHAnsi"/>
          <w:sz w:val="20"/>
          <w:szCs w:val="20"/>
        </w:rPr>
        <w:t>a</w:t>
      </w:r>
      <w:r w:rsidRPr="005F120D">
        <w:rPr>
          <w:rFonts w:asciiTheme="minorHAnsi" w:hAnsiTheme="minorHAnsi" w:cstheme="minorHAnsi"/>
          <w:sz w:val="20"/>
          <w:szCs w:val="20"/>
        </w:rPr>
        <w:t>ccess</w:t>
      </w:r>
      <w:r w:rsidR="004A0634" w:rsidRPr="005F120D">
        <w:rPr>
          <w:rFonts w:asciiTheme="minorHAnsi" w:hAnsiTheme="minorHAnsi" w:cstheme="minorHAnsi"/>
          <w:sz w:val="20"/>
          <w:szCs w:val="20"/>
        </w:rPr>
        <w:t xml:space="preserve"> for all eligible children to</w:t>
      </w:r>
      <w:r w:rsidRPr="005F120D">
        <w:rPr>
          <w:rFonts w:asciiTheme="minorHAnsi" w:hAnsiTheme="minorHAnsi" w:cstheme="minorHAnsi"/>
          <w:sz w:val="20"/>
          <w:szCs w:val="20"/>
        </w:rPr>
        <w:t xml:space="preserve"> Primary Education </w:t>
      </w:r>
    </w:p>
    <w:p w:rsidR="00007E2E" w:rsidRPr="005F120D" w:rsidRDefault="00007E2E" w:rsidP="00B25E46">
      <w:pPr>
        <w:pStyle w:val="BodyText1"/>
        <w:spacing w:after="0" w:line="240" w:lineRule="auto"/>
        <w:rPr>
          <w:rFonts w:asciiTheme="minorHAnsi" w:hAnsiTheme="minorHAnsi" w:cstheme="minorHAnsi"/>
          <w:sz w:val="20"/>
          <w:szCs w:val="20"/>
        </w:rPr>
      </w:pPr>
    </w:p>
    <w:p w:rsidR="00007E2E" w:rsidRPr="005F120D" w:rsidRDefault="00007E2E"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Purpose/Objective:</w:t>
      </w:r>
    </w:p>
    <w:p w:rsidR="00007E2E" w:rsidRPr="005F120D" w:rsidRDefault="00007E2E" w:rsidP="00B25E46">
      <w:pPr>
        <w:spacing w:after="0"/>
        <w:ind w:left="360"/>
        <w:rPr>
          <w:rFonts w:asciiTheme="minorHAnsi" w:hAnsiTheme="minorHAnsi" w:cstheme="minorHAnsi"/>
          <w:sz w:val="20"/>
        </w:rPr>
      </w:pPr>
      <w:r w:rsidRPr="005F120D">
        <w:rPr>
          <w:rFonts w:asciiTheme="minorHAnsi" w:hAnsiTheme="minorHAnsi" w:cstheme="minorHAnsi"/>
          <w:sz w:val="20"/>
        </w:rPr>
        <w:t>a) To provide better physical facilities for selected primar</w:t>
      </w:r>
      <w:r w:rsidR="004A0634" w:rsidRPr="005F120D">
        <w:rPr>
          <w:rFonts w:asciiTheme="minorHAnsi" w:hAnsiTheme="minorHAnsi" w:cstheme="minorHAnsi"/>
          <w:sz w:val="20"/>
        </w:rPr>
        <w:t>y schools (school construction);</w:t>
      </w:r>
    </w:p>
    <w:p w:rsidR="00007E2E" w:rsidRPr="005F120D" w:rsidRDefault="00007E2E" w:rsidP="00B25E46">
      <w:pPr>
        <w:spacing w:after="0"/>
        <w:ind w:left="360"/>
        <w:rPr>
          <w:rFonts w:asciiTheme="minorHAnsi" w:hAnsiTheme="minorHAnsi" w:cstheme="minorHAnsi"/>
          <w:sz w:val="20"/>
        </w:rPr>
      </w:pPr>
      <w:r w:rsidRPr="005F120D">
        <w:rPr>
          <w:rFonts w:asciiTheme="minorHAnsi" w:hAnsiTheme="minorHAnsi" w:cstheme="minorHAnsi"/>
          <w:sz w:val="20"/>
        </w:rPr>
        <w:t>b) To provide sanitation facilities and safe drinking water to the students and teachers of sel</w:t>
      </w:r>
      <w:r w:rsidR="004A0634" w:rsidRPr="005F120D">
        <w:rPr>
          <w:rFonts w:asciiTheme="minorHAnsi" w:hAnsiTheme="minorHAnsi" w:cstheme="minorHAnsi"/>
          <w:sz w:val="20"/>
        </w:rPr>
        <w:t>ected primary schools;</w:t>
      </w:r>
    </w:p>
    <w:p w:rsidR="00007E2E" w:rsidRPr="005F120D" w:rsidRDefault="00007E2E" w:rsidP="00B25E46">
      <w:pPr>
        <w:spacing w:after="0"/>
        <w:ind w:left="360"/>
        <w:rPr>
          <w:rFonts w:asciiTheme="minorHAnsi" w:hAnsiTheme="minorHAnsi" w:cstheme="minorHAnsi"/>
          <w:sz w:val="20"/>
        </w:rPr>
      </w:pPr>
      <w:r w:rsidRPr="005F120D">
        <w:rPr>
          <w:rFonts w:asciiTheme="minorHAnsi" w:hAnsiTheme="minorHAnsi" w:cstheme="minorHAnsi"/>
          <w:sz w:val="20"/>
        </w:rPr>
        <w:t>c) To facilitate improved education environment for the students and teach</w:t>
      </w:r>
      <w:r w:rsidR="004A0634" w:rsidRPr="005F120D">
        <w:rPr>
          <w:rFonts w:asciiTheme="minorHAnsi" w:hAnsiTheme="minorHAnsi" w:cstheme="minorHAnsi"/>
          <w:sz w:val="20"/>
        </w:rPr>
        <w:t>ers in targeted primary schools;</w:t>
      </w:r>
    </w:p>
    <w:p w:rsidR="00007E2E" w:rsidRPr="005F120D" w:rsidRDefault="00007E2E" w:rsidP="00B25E46">
      <w:pPr>
        <w:spacing w:after="0"/>
        <w:ind w:left="360"/>
        <w:rPr>
          <w:rFonts w:asciiTheme="minorHAnsi" w:hAnsiTheme="minorHAnsi" w:cstheme="minorHAnsi"/>
          <w:sz w:val="20"/>
        </w:rPr>
      </w:pPr>
      <w:r w:rsidRPr="005F120D">
        <w:rPr>
          <w:rFonts w:asciiTheme="minorHAnsi" w:hAnsiTheme="minorHAnsi" w:cstheme="minorHAnsi"/>
          <w:sz w:val="20"/>
        </w:rPr>
        <w:t>d) To facilitate enhanced access to primary educa</w:t>
      </w:r>
      <w:r w:rsidR="004A0634" w:rsidRPr="005F120D">
        <w:rPr>
          <w:rFonts w:asciiTheme="minorHAnsi" w:hAnsiTheme="minorHAnsi" w:cstheme="minorHAnsi"/>
          <w:sz w:val="20"/>
        </w:rPr>
        <w:t>tion for all in the rural areas;</w:t>
      </w:r>
    </w:p>
    <w:p w:rsidR="00007E2E" w:rsidRPr="005F120D" w:rsidRDefault="00007E2E" w:rsidP="00B25E46">
      <w:pPr>
        <w:spacing w:after="0"/>
        <w:ind w:left="360"/>
        <w:rPr>
          <w:rFonts w:asciiTheme="minorHAnsi" w:hAnsiTheme="minorHAnsi" w:cstheme="minorHAnsi"/>
          <w:sz w:val="20"/>
        </w:rPr>
      </w:pPr>
      <w:r w:rsidRPr="005F120D">
        <w:rPr>
          <w:rFonts w:asciiTheme="minorHAnsi" w:hAnsiTheme="minorHAnsi" w:cstheme="minorHAnsi"/>
          <w:sz w:val="20"/>
        </w:rPr>
        <w:t>e) To provide teaching and learning aid to students and teachers of selected primary School.</w:t>
      </w:r>
    </w:p>
    <w:p w:rsidR="00007E2E" w:rsidRPr="005F120D" w:rsidRDefault="00007E2E" w:rsidP="00B25E46">
      <w:pPr>
        <w:pStyle w:val="BodyText1"/>
        <w:spacing w:after="0" w:line="240" w:lineRule="auto"/>
        <w:rPr>
          <w:rFonts w:asciiTheme="minorHAnsi" w:hAnsiTheme="minorHAnsi" w:cstheme="minorHAnsi"/>
          <w:sz w:val="20"/>
          <w:szCs w:val="20"/>
        </w:rPr>
      </w:pPr>
    </w:p>
    <w:p w:rsidR="00007E2E" w:rsidRPr="005F120D" w:rsidRDefault="00007E2E"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Location of the Project:  Targeted areas of the Bangladesh.</w:t>
      </w:r>
    </w:p>
    <w:p w:rsidR="00007E2E" w:rsidRPr="005F120D" w:rsidRDefault="00007E2E" w:rsidP="00B25E46">
      <w:pPr>
        <w:pStyle w:val="BodyText1"/>
        <w:spacing w:after="0" w:line="240" w:lineRule="auto"/>
        <w:rPr>
          <w:rFonts w:asciiTheme="minorHAnsi" w:hAnsiTheme="minorHAnsi" w:cstheme="minorHAnsi"/>
          <w:sz w:val="20"/>
          <w:szCs w:val="20"/>
        </w:rPr>
      </w:pPr>
    </w:p>
    <w:p w:rsidR="00007E2E" w:rsidRPr="005F120D" w:rsidRDefault="00007E2E"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 xml:space="preserve">Implementation Period: </w:t>
      </w:r>
    </w:p>
    <w:p w:rsidR="00007E2E" w:rsidRPr="005F120D" w:rsidRDefault="00007E2E"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ab/>
        <w:t>a). Original:</w:t>
      </w:r>
      <w:r w:rsidRPr="005F120D">
        <w:rPr>
          <w:rFonts w:asciiTheme="minorHAnsi" w:hAnsiTheme="minorHAnsi" w:cstheme="minorHAnsi"/>
          <w:sz w:val="20"/>
          <w:szCs w:val="20"/>
        </w:rPr>
        <w:tab/>
      </w:r>
      <w:r w:rsidRPr="005F120D">
        <w:rPr>
          <w:rFonts w:asciiTheme="minorHAnsi" w:hAnsiTheme="minorHAnsi" w:cstheme="minorHAnsi"/>
          <w:sz w:val="20"/>
          <w:szCs w:val="20"/>
        </w:rPr>
        <w:tab/>
        <w:t>I.</w:t>
      </w:r>
      <w:r w:rsidRPr="005F120D">
        <w:rPr>
          <w:rFonts w:asciiTheme="minorHAnsi" w:hAnsiTheme="minorHAnsi" w:cstheme="minorHAnsi"/>
          <w:sz w:val="20"/>
          <w:szCs w:val="20"/>
        </w:rPr>
        <w:tab/>
        <w:t>Date of Commencement:</w:t>
      </w:r>
      <w:r w:rsidRPr="005F120D">
        <w:rPr>
          <w:rFonts w:asciiTheme="minorHAnsi" w:hAnsiTheme="minorHAnsi" w:cstheme="minorHAnsi"/>
          <w:sz w:val="20"/>
          <w:szCs w:val="20"/>
        </w:rPr>
        <w:tab/>
        <w:t xml:space="preserve"> January 2012 </w:t>
      </w:r>
    </w:p>
    <w:p w:rsidR="00007E2E" w:rsidRPr="005F120D" w:rsidRDefault="00007E2E" w:rsidP="00B25E46">
      <w:pPr>
        <w:pStyle w:val="BodyText1"/>
        <w:numPr>
          <w:ilvl w:val="0"/>
          <w:numId w:val="83"/>
        </w:numPr>
        <w:spacing w:after="0" w:line="240" w:lineRule="auto"/>
        <w:rPr>
          <w:rFonts w:asciiTheme="minorHAnsi" w:hAnsiTheme="minorHAnsi" w:cstheme="minorHAnsi"/>
          <w:sz w:val="20"/>
          <w:szCs w:val="20"/>
        </w:rPr>
      </w:pPr>
      <w:r w:rsidRPr="005F120D">
        <w:rPr>
          <w:rFonts w:asciiTheme="minorHAnsi" w:hAnsiTheme="minorHAnsi" w:cstheme="minorHAnsi"/>
          <w:sz w:val="20"/>
          <w:szCs w:val="20"/>
        </w:rPr>
        <w:t>Date of Completion:</w:t>
      </w:r>
      <w:r w:rsidRPr="005F120D">
        <w:rPr>
          <w:rFonts w:asciiTheme="minorHAnsi" w:hAnsiTheme="minorHAnsi" w:cstheme="minorHAnsi"/>
          <w:sz w:val="20"/>
          <w:szCs w:val="20"/>
        </w:rPr>
        <w:tab/>
        <w:t>December 2014</w:t>
      </w:r>
      <w:r w:rsidRPr="005F120D">
        <w:rPr>
          <w:rFonts w:asciiTheme="minorHAnsi" w:hAnsiTheme="minorHAnsi" w:cstheme="minorHAnsi"/>
          <w:sz w:val="20"/>
          <w:szCs w:val="20"/>
        </w:rPr>
        <w:tab/>
      </w:r>
    </w:p>
    <w:p w:rsidR="00007E2E" w:rsidRPr="005F120D" w:rsidRDefault="00007E2E"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ab/>
        <w:t>b). 1</w:t>
      </w:r>
      <w:r w:rsidRPr="005F120D">
        <w:rPr>
          <w:rFonts w:asciiTheme="minorHAnsi" w:hAnsiTheme="minorHAnsi" w:cstheme="minorHAnsi"/>
          <w:sz w:val="20"/>
          <w:szCs w:val="20"/>
          <w:vertAlign w:val="superscript"/>
        </w:rPr>
        <w:t>st</w:t>
      </w:r>
      <w:r w:rsidRPr="005F120D">
        <w:rPr>
          <w:rFonts w:asciiTheme="minorHAnsi" w:hAnsiTheme="minorHAnsi" w:cstheme="minorHAnsi"/>
          <w:sz w:val="20"/>
          <w:szCs w:val="20"/>
        </w:rPr>
        <w:t xml:space="preserve"> Revised:</w:t>
      </w:r>
      <w:r w:rsidRPr="005F120D">
        <w:rPr>
          <w:rFonts w:asciiTheme="minorHAnsi" w:hAnsiTheme="minorHAnsi" w:cstheme="minorHAnsi"/>
          <w:sz w:val="20"/>
          <w:szCs w:val="20"/>
        </w:rPr>
        <w:tab/>
      </w:r>
      <w:r w:rsidRPr="005F120D">
        <w:rPr>
          <w:rFonts w:asciiTheme="minorHAnsi" w:hAnsiTheme="minorHAnsi" w:cstheme="minorHAnsi"/>
          <w:sz w:val="20"/>
          <w:szCs w:val="20"/>
        </w:rPr>
        <w:tab/>
        <w:t>I.</w:t>
      </w:r>
      <w:r w:rsidRPr="005F120D">
        <w:rPr>
          <w:rFonts w:asciiTheme="minorHAnsi" w:hAnsiTheme="minorHAnsi" w:cstheme="minorHAnsi"/>
          <w:sz w:val="20"/>
          <w:szCs w:val="20"/>
        </w:rPr>
        <w:tab/>
        <w:t>Date of Commencement:</w:t>
      </w:r>
      <w:r w:rsidRPr="005F120D">
        <w:rPr>
          <w:rFonts w:asciiTheme="minorHAnsi" w:hAnsiTheme="minorHAnsi" w:cstheme="minorHAnsi"/>
          <w:sz w:val="20"/>
          <w:szCs w:val="20"/>
        </w:rPr>
        <w:tab/>
        <w:t xml:space="preserve"> January 2012</w:t>
      </w:r>
    </w:p>
    <w:p w:rsidR="00007E2E" w:rsidRPr="005F120D" w:rsidRDefault="00007E2E" w:rsidP="00B25E46">
      <w:pPr>
        <w:pStyle w:val="BodyText1"/>
        <w:numPr>
          <w:ilvl w:val="0"/>
          <w:numId w:val="84"/>
        </w:numPr>
        <w:spacing w:after="0" w:line="240" w:lineRule="auto"/>
        <w:rPr>
          <w:rFonts w:asciiTheme="minorHAnsi" w:hAnsiTheme="minorHAnsi" w:cstheme="minorHAnsi"/>
          <w:sz w:val="20"/>
          <w:szCs w:val="20"/>
        </w:rPr>
      </w:pPr>
      <w:r w:rsidRPr="005F120D">
        <w:rPr>
          <w:rFonts w:asciiTheme="minorHAnsi" w:hAnsiTheme="minorHAnsi" w:cstheme="minorHAnsi"/>
          <w:sz w:val="20"/>
          <w:szCs w:val="20"/>
        </w:rPr>
        <w:t>Date of Completion:</w:t>
      </w:r>
      <w:r w:rsidRPr="005F120D">
        <w:rPr>
          <w:rFonts w:asciiTheme="minorHAnsi" w:hAnsiTheme="minorHAnsi" w:cstheme="minorHAnsi"/>
          <w:sz w:val="20"/>
          <w:szCs w:val="20"/>
        </w:rPr>
        <w:tab/>
        <w:t>June 2017</w:t>
      </w:r>
    </w:p>
    <w:p w:rsidR="00007E2E" w:rsidRPr="005F120D" w:rsidRDefault="00007E2E" w:rsidP="00B25E46">
      <w:pPr>
        <w:pStyle w:val="BodyText1"/>
        <w:spacing w:after="0" w:line="240" w:lineRule="auto"/>
        <w:rPr>
          <w:rFonts w:asciiTheme="minorHAnsi" w:hAnsiTheme="minorHAnsi" w:cstheme="minorHAnsi"/>
          <w:sz w:val="20"/>
          <w:szCs w:val="20"/>
        </w:rPr>
      </w:pPr>
    </w:p>
    <w:p w:rsidR="00007E2E" w:rsidRPr="005F120D" w:rsidRDefault="00007E2E"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 xml:space="preserve">Implementation Cost in </w:t>
      </w:r>
      <w:r w:rsidR="00F738CE" w:rsidRPr="005F120D">
        <w:rPr>
          <w:rFonts w:asciiTheme="minorHAnsi" w:hAnsiTheme="minorHAnsi" w:cstheme="minorHAnsi"/>
          <w:sz w:val="20"/>
          <w:szCs w:val="20"/>
        </w:rPr>
        <w:t>lac</w:t>
      </w:r>
      <w:r w:rsidRPr="005F120D">
        <w:rPr>
          <w:rFonts w:asciiTheme="minorHAnsi" w:hAnsiTheme="minorHAnsi" w:cstheme="minorHAnsi"/>
          <w:sz w:val="20"/>
          <w:szCs w:val="20"/>
        </w:rPr>
        <w:t xml:space="preserve"> Taka: 20,951.56 (GoB TK. 7,091.56 and RPA TK. 13,860)</w:t>
      </w:r>
    </w:p>
    <w:p w:rsidR="00007E2E" w:rsidRPr="005F120D" w:rsidRDefault="00007E2E" w:rsidP="00B25E46">
      <w:pPr>
        <w:pStyle w:val="BodyText1"/>
        <w:spacing w:after="0" w:line="240" w:lineRule="auto"/>
        <w:rPr>
          <w:rFonts w:asciiTheme="minorHAnsi" w:hAnsiTheme="minorHAnsi" w:cstheme="minorHAnsi"/>
          <w:sz w:val="20"/>
          <w:szCs w:val="20"/>
        </w:rPr>
      </w:pPr>
    </w:p>
    <w:p w:rsidR="00007E2E" w:rsidRPr="005F120D" w:rsidRDefault="00007E2E"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Source of Fund: GoB and RPA (IDB)</w:t>
      </w:r>
    </w:p>
    <w:p w:rsidR="00B25E46" w:rsidRPr="005F120D" w:rsidRDefault="00B25E46" w:rsidP="00B25E46">
      <w:pPr>
        <w:pStyle w:val="BodyText1"/>
        <w:spacing w:after="0" w:line="240" w:lineRule="auto"/>
        <w:rPr>
          <w:rFonts w:asciiTheme="minorHAnsi" w:hAnsiTheme="minorHAnsi" w:cstheme="minorHAnsi"/>
          <w:sz w:val="20"/>
          <w:szCs w:val="20"/>
        </w:rPr>
      </w:pPr>
    </w:p>
    <w:p w:rsidR="00007E2E" w:rsidRPr="005F120D" w:rsidRDefault="00007E2E"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lastRenderedPageBreak/>
        <w:t>Progress as of March 2016:</w:t>
      </w:r>
    </w:p>
    <w:p w:rsidR="00007E2E" w:rsidRPr="005F120D" w:rsidRDefault="00007E2E" w:rsidP="00B25E46">
      <w:pPr>
        <w:pStyle w:val="BodyText1"/>
        <w:spacing w:after="0" w:line="240" w:lineRule="auto"/>
        <w:rPr>
          <w:rFonts w:asciiTheme="minorHAnsi" w:hAnsiTheme="minorHAnsi" w:cstheme="minorHAnsi"/>
          <w:sz w:val="20"/>
          <w:szCs w:val="20"/>
        </w:rPr>
      </w:pPr>
    </w:p>
    <w:tbl>
      <w:tblPr>
        <w:tblStyle w:val="TableGrid"/>
        <w:tblW w:w="0" w:type="auto"/>
        <w:tblInd w:w="198" w:type="dxa"/>
        <w:tblLook w:val="04A0"/>
      </w:tblPr>
      <w:tblGrid>
        <w:gridCol w:w="515"/>
        <w:gridCol w:w="1583"/>
        <w:gridCol w:w="1358"/>
        <w:gridCol w:w="1137"/>
        <w:gridCol w:w="1353"/>
        <w:gridCol w:w="1396"/>
        <w:gridCol w:w="1705"/>
      </w:tblGrid>
      <w:tr w:rsidR="00007E2E" w:rsidRPr="005F120D" w:rsidTr="00007E2E">
        <w:tc>
          <w:tcPr>
            <w:tcW w:w="515" w:type="dxa"/>
            <w:shd w:val="clear" w:color="auto" w:fill="C2D69B" w:themeFill="accent3" w:themeFillTint="99"/>
            <w:vAlign w:val="center"/>
          </w:tcPr>
          <w:p w:rsidR="00007E2E" w:rsidRPr="005F120D" w:rsidRDefault="00007E2E"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SL.</w:t>
            </w:r>
          </w:p>
        </w:tc>
        <w:tc>
          <w:tcPr>
            <w:tcW w:w="1583" w:type="dxa"/>
            <w:shd w:val="clear" w:color="auto" w:fill="C2D69B" w:themeFill="accent3" w:themeFillTint="99"/>
            <w:vAlign w:val="center"/>
          </w:tcPr>
          <w:p w:rsidR="00007E2E" w:rsidRPr="005F120D" w:rsidRDefault="00007E2E"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Financial</w:t>
            </w:r>
          </w:p>
          <w:p w:rsidR="00007E2E" w:rsidRPr="005F120D" w:rsidRDefault="00007E2E"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Year</w:t>
            </w:r>
          </w:p>
        </w:tc>
        <w:tc>
          <w:tcPr>
            <w:tcW w:w="1358" w:type="dxa"/>
            <w:shd w:val="clear" w:color="auto" w:fill="C2D69B" w:themeFill="accent3" w:themeFillTint="99"/>
            <w:vAlign w:val="center"/>
          </w:tcPr>
          <w:p w:rsidR="00007E2E" w:rsidRPr="005F120D" w:rsidRDefault="00007E2E"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Budget</w:t>
            </w:r>
          </w:p>
          <w:p w:rsidR="00007E2E" w:rsidRPr="005F120D" w:rsidRDefault="00007E2E"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w:t>
            </w:r>
            <w:r w:rsidR="00F738CE" w:rsidRPr="005F120D">
              <w:rPr>
                <w:rFonts w:asciiTheme="minorHAnsi" w:hAnsiTheme="minorHAnsi" w:cstheme="minorHAnsi"/>
                <w:b/>
                <w:sz w:val="20"/>
                <w:szCs w:val="20"/>
              </w:rPr>
              <w:t>Lac</w:t>
            </w:r>
            <w:r w:rsidRPr="005F120D">
              <w:rPr>
                <w:rFonts w:asciiTheme="minorHAnsi" w:hAnsiTheme="minorHAnsi" w:cstheme="minorHAnsi"/>
                <w:b/>
                <w:sz w:val="20"/>
                <w:szCs w:val="20"/>
              </w:rPr>
              <w:t xml:space="preserve"> Taka)</w:t>
            </w:r>
          </w:p>
        </w:tc>
        <w:tc>
          <w:tcPr>
            <w:tcW w:w="1137" w:type="dxa"/>
            <w:shd w:val="clear" w:color="auto" w:fill="C2D69B" w:themeFill="accent3" w:themeFillTint="99"/>
          </w:tcPr>
          <w:p w:rsidR="00007E2E" w:rsidRPr="005F120D" w:rsidRDefault="00007E2E" w:rsidP="00B25E46">
            <w:pPr>
              <w:spacing w:after="0"/>
              <w:jc w:val="center"/>
              <w:rPr>
                <w:rFonts w:asciiTheme="minorHAnsi" w:hAnsiTheme="minorHAnsi" w:cstheme="minorHAnsi"/>
                <w:b/>
                <w:sz w:val="20"/>
              </w:rPr>
            </w:pPr>
            <w:r w:rsidRPr="005F120D">
              <w:rPr>
                <w:rFonts w:asciiTheme="minorHAnsi" w:hAnsiTheme="minorHAnsi" w:cstheme="minorHAnsi"/>
                <w:b/>
                <w:sz w:val="20"/>
              </w:rPr>
              <w:t>Budget (Revised</w:t>
            </w:r>
          </w:p>
        </w:tc>
        <w:tc>
          <w:tcPr>
            <w:tcW w:w="1353" w:type="dxa"/>
            <w:shd w:val="clear" w:color="auto" w:fill="C2D69B" w:themeFill="accent3" w:themeFillTint="99"/>
            <w:vAlign w:val="center"/>
          </w:tcPr>
          <w:p w:rsidR="00007E2E" w:rsidRPr="005F120D" w:rsidRDefault="00007E2E"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Expenses</w:t>
            </w:r>
          </w:p>
          <w:p w:rsidR="00007E2E" w:rsidRPr="005F120D" w:rsidRDefault="00007E2E"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w:t>
            </w:r>
            <w:r w:rsidR="00F738CE" w:rsidRPr="005F120D">
              <w:rPr>
                <w:rFonts w:asciiTheme="minorHAnsi" w:hAnsiTheme="minorHAnsi" w:cstheme="minorHAnsi"/>
                <w:b/>
                <w:sz w:val="20"/>
                <w:szCs w:val="20"/>
              </w:rPr>
              <w:t>Lac</w:t>
            </w:r>
            <w:r w:rsidRPr="005F120D">
              <w:rPr>
                <w:rFonts w:asciiTheme="minorHAnsi" w:hAnsiTheme="minorHAnsi" w:cstheme="minorHAnsi"/>
                <w:b/>
                <w:sz w:val="20"/>
                <w:szCs w:val="20"/>
              </w:rPr>
              <w:t xml:space="preserve"> Taka)</w:t>
            </w:r>
          </w:p>
        </w:tc>
        <w:tc>
          <w:tcPr>
            <w:tcW w:w="1396" w:type="dxa"/>
            <w:shd w:val="clear" w:color="auto" w:fill="C2D69B" w:themeFill="accent3" w:themeFillTint="99"/>
            <w:vAlign w:val="center"/>
          </w:tcPr>
          <w:p w:rsidR="00007E2E" w:rsidRPr="005F120D" w:rsidRDefault="00007E2E"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Progress of work</w:t>
            </w:r>
          </w:p>
        </w:tc>
        <w:tc>
          <w:tcPr>
            <w:tcW w:w="1705" w:type="dxa"/>
            <w:shd w:val="clear" w:color="auto" w:fill="C2D69B" w:themeFill="accent3" w:themeFillTint="99"/>
            <w:vAlign w:val="center"/>
          </w:tcPr>
          <w:p w:rsidR="00007E2E" w:rsidRPr="005F120D" w:rsidRDefault="00007E2E"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Remarks</w:t>
            </w:r>
          </w:p>
        </w:tc>
      </w:tr>
      <w:tr w:rsidR="00007E2E" w:rsidRPr="005F120D" w:rsidTr="00007E2E">
        <w:tc>
          <w:tcPr>
            <w:tcW w:w="515"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w:t>
            </w:r>
          </w:p>
        </w:tc>
        <w:tc>
          <w:tcPr>
            <w:tcW w:w="1583" w:type="dxa"/>
            <w:vAlign w:val="center"/>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2011-12</w:t>
            </w:r>
          </w:p>
        </w:tc>
        <w:tc>
          <w:tcPr>
            <w:tcW w:w="1358" w:type="dxa"/>
            <w:vAlign w:val="center"/>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8.03</w:t>
            </w:r>
          </w:p>
        </w:tc>
        <w:tc>
          <w:tcPr>
            <w:tcW w:w="1137" w:type="dxa"/>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8.03</w:t>
            </w:r>
          </w:p>
        </w:tc>
        <w:tc>
          <w:tcPr>
            <w:tcW w:w="1353" w:type="dxa"/>
            <w:vAlign w:val="center"/>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8.03</w:t>
            </w:r>
          </w:p>
        </w:tc>
        <w:tc>
          <w:tcPr>
            <w:tcW w:w="1396" w:type="dxa"/>
            <w:vAlign w:val="center"/>
          </w:tcPr>
          <w:p w:rsidR="00007E2E" w:rsidRPr="005F120D" w:rsidRDefault="00007E2E" w:rsidP="00B25E46">
            <w:pPr>
              <w:spacing w:after="0"/>
              <w:jc w:val="center"/>
              <w:rPr>
                <w:rFonts w:asciiTheme="minorHAnsi" w:hAnsiTheme="minorHAnsi" w:cstheme="minorHAnsi"/>
                <w:sz w:val="20"/>
              </w:rPr>
            </w:pPr>
          </w:p>
        </w:tc>
        <w:tc>
          <w:tcPr>
            <w:tcW w:w="1705" w:type="dxa"/>
            <w:vAlign w:val="center"/>
          </w:tcPr>
          <w:p w:rsidR="00007E2E" w:rsidRPr="005F120D" w:rsidRDefault="00007E2E" w:rsidP="00B25E46">
            <w:pPr>
              <w:spacing w:after="0"/>
              <w:rPr>
                <w:rFonts w:asciiTheme="minorHAnsi" w:hAnsiTheme="minorHAnsi" w:cstheme="minorHAnsi"/>
                <w:sz w:val="20"/>
              </w:rPr>
            </w:pPr>
            <w:r w:rsidRPr="005F120D">
              <w:rPr>
                <w:rFonts w:asciiTheme="minorHAnsi" w:hAnsiTheme="minorHAnsi" w:cstheme="minorHAnsi"/>
                <w:sz w:val="20"/>
              </w:rPr>
              <w:t>Soil Test</w:t>
            </w:r>
          </w:p>
        </w:tc>
      </w:tr>
      <w:tr w:rsidR="00007E2E" w:rsidRPr="005F120D" w:rsidTr="00007E2E">
        <w:tc>
          <w:tcPr>
            <w:tcW w:w="515"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w:t>
            </w:r>
          </w:p>
        </w:tc>
        <w:tc>
          <w:tcPr>
            <w:tcW w:w="1583"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2012-13</w:t>
            </w:r>
          </w:p>
        </w:tc>
        <w:tc>
          <w:tcPr>
            <w:tcW w:w="1358"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12,250.00</w:t>
            </w:r>
          </w:p>
        </w:tc>
        <w:tc>
          <w:tcPr>
            <w:tcW w:w="1137" w:type="dxa"/>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36.50</w:t>
            </w:r>
          </w:p>
        </w:tc>
        <w:tc>
          <w:tcPr>
            <w:tcW w:w="1353"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28.56</w:t>
            </w:r>
          </w:p>
        </w:tc>
        <w:tc>
          <w:tcPr>
            <w:tcW w:w="1396"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48.8%</w:t>
            </w:r>
          </w:p>
        </w:tc>
        <w:tc>
          <w:tcPr>
            <w:tcW w:w="1705" w:type="dxa"/>
            <w:vAlign w:val="center"/>
          </w:tcPr>
          <w:p w:rsidR="00007E2E" w:rsidRPr="005F120D" w:rsidRDefault="00007E2E" w:rsidP="00B25E46">
            <w:pPr>
              <w:spacing w:after="0"/>
              <w:rPr>
                <w:rFonts w:asciiTheme="minorHAnsi" w:hAnsiTheme="minorHAnsi" w:cstheme="minorHAnsi"/>
                <w:sz w:val="20"/>
                <w:szCs w:val="20"/>
              </w:rPr>
            </w:pPr>
          </w:p>
        </w:tc>
      </w:tr>
      <w:tr w:rsidR="00007E2E" w:rsidRPr="005F120D" w:rsidTr="00007E2E">
        <w:tc>
          <w:tcPr>
            <w:tcW w:w="515"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w:t>
            </w:r>
          </w:p>
        </w:tc>
        <w:tc>
          <w:tcPr>
            <w:tcW w:w="1583"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2013-14</w:t>
            </w:r>
          </w:p>
        </w:tc>
        <w:tc>
          <w:tcPr>
            <w:tcW w:w="1358"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8,180.00</w:t>
            </w:r>
          </w:p>
        </w:tc>
        <w:tc>
          <w:tcPr>
            <w:tcW w:w="1137" w:type="dxa"/>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3,936.00</w:t>
            </w:r>
          </w:p>
        </w:tc>
        <w:tc>
          <w:tcPr>
            <w:tcW w:w="1353"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3,936.00</w:t>
            </w:r>
          </w:p>
        </w:tc>
        <w:tc>
          <w:tcPr>
            <w:tcW w:w="1396"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n/a</w:t>
            </w:r>
          </w:p>
        </w:tc>
        <w:tc>
          <w:tcPr>
            <w:tcW w:w="1705" w:type="dxa"/>
            <w:vMerge w:val="restart"/>
            <w:vAlign w:val="center"/>
          </w:tcPr>
          <w:p w:rsidR="00007E2E" w:rsidRPr="005F120D" w:rsidRDefault="00007E2E" w:rsidP="00B25E46">
            <w:pPr>
              <w:spacing w:after="0"/>
              <w:rPr>
                <w:rFonts w:asciiTheme="minorHAnsi" w:hAnsiTheme="minorHAnsi" w:cstheme="minorHAnsi"/>
                <w:sz w:val="20"/>
                <w:szCs w:val="20"/>
              </w:rPr>
            </w:pPr>
            <w:r w:rsidRPr="005F120D">
              <w:rPr>
                <w:rFonts w:asciiTheme="minorHAnsi" w:hAnsiTheme="minorHAnsi" w:cstheme="minorHAnsi"/>
                <w:sz w:val="20"/>
                <w:szCs w:val="20"/>
              </w:rPr>
              <w:t>Civil works ongoing</w:t>
            </w:r>
          </w:p>
        </w:tc>
      </w:tr>
      <w:tr w:rsidR="00007E2E" w:rsidRPr="005F120D" w:rsidTr="00007E2E">
        <w:tc>
          <w:tcPr>
            <w:tcW w:w="515" w:type="dxa"/>
            <w:vAlign w:val="center"/>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4</w:t>
            </w:r>
          </w:p>
        </w:tc>
        <w:tc>
          <w:tcPr>
            <w:tcW w:w="1583"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 xml:space="preserve">2014-15 </w:t>
            </w:r>
          </w:p>
        </w:tc>
        <w:tc>
          <w:tcPr>
            <w:tcW w:w="1358"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13,208.00</w:t>
            </w:r>
          </w:p>
        </w:tc>
        <w:tc>
          <w:tcPr>
            <w:tcW w:w="1137" w:type="dxa"/>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szCs w:val="20"/>
              </w:rPr>
              <w:t>9,400</w:t>
            </w:r>
          </w:p>
        </w:tc>
        <w:tc>
          <w:tcPr>
            <w:tcW w:w="1353"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8,282.53</w:t>
            </w:r>
          </w:p>
        </w:tc>
        <w:tc>
          <w:tcPr>
            <w:tcW w:w="1396" w:type="dxa"/>
            <w:vAlign w:val="center"/>
          </w:tcPr>
          <w:p w:rsidR="00007E2E" w:rsidRPr="005F120D" w:rsidRDefault="00007E2E"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33.9%</w:t>
            </w:r>
          </w:p>
        </w:tc>
        <w:tc>
          <w:tcPr>
            <w:tcW w:w="1705" w:type="dxa"/>
            <w:vMerge/>
            <w:vAlign w:val="center"/>
          </w:tcPr>
          <w:p w:rsidR="00007E2E" w:rsidRPr="005F120D" w:rsidRDefault="00007E2E" w:rsidP="00B25E46">
            <w:pPr>
              <w:spacing w:after="0"/>
              <w:rPr>
                <w:rFonts w:asciiTheme="minorHAnsi" w:hAnsiTheme="minorHAnsi" w:cstheme="minorHAnsi"/>
                <w:sz w:val="20"/>
                <w:szCs w:val="20"/>
              </w:rPr>
            </w:pPr>
          </w:p>
        </w:tc>
      </w:tr>
      <w:tr w:rsidR="00007E2E" w:rsidRPr="005F120D" w:rsidTr="00007E2E">
        <w:tc>
          <w:tcPr>
            <w:tcW w:w="515" w:type="dxa"/>
            <w:vAlign w:val="center"/>
          </w:tcPr>
          <w:p w:rsidR="00007E2E" w:rsidRPr="005F120D" w:rsidRDefault="00007E2E" w:rsidP="00B25E46">
            <w:pPr>
              <w:spacing w:after="0"/>
              <w:jc w:val="center"/>
              <w:rPr>
                <w:rFonts w:asciiTheme="minorHAnsi" w:hAnsiTheme="minorHAnsi" w:cstheme="minorHAnsi"/>
                <w:sz w:val="20"/>
              </w:rPr>
            </w:pPr>
          </w:p>
        </w:tc>
        <w:tc>
          <w:tcPr>
            <w:tcW w:w="1583" w:type="dxa"/>
            <w:vAlign w:val="center"/>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 xml:space="preserve">2015-16 </w:t>
            </w:r>
          </w:p>
        </w:tc>
        <w:tc>
          <w:tcPr>
            <w:tcW w:w="1358" w:type="dxa"/>
            <w:vAlign w:val="center"/>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5,233</w:t>
            </w:r>
          </w:p>
        </w:tc>
        <w:tc>
          <w:tcPr>
            <w:tcW w:w="1137" w:type="dxa"/>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4,715.60</w:t>
            </w:r>
          </w:p>
        </w:tc>
        <w:tc>
          <w:tcPr>
            <w:tcW w:w="1353" w:type="dxa"/>
            <w:vAlign w:val="center"/>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2,316.94</w:t>
            </w:r>
          </w:p>
        </w:tc>
        <w:tc>
          <w:tcPr>
            <w:tcW w:w="1396" w:type="dxa"/>
            <w:vAlign w:val="center"/>
          </w:tcPr>
          <w:p w:rsidR="00007E2E" w:rsidRPr="005F120D" w:rsidRDefault="00007E2E" w:rsidP="00B25E46">
            <w:pPr>
              <w:spacing w:after="0"/>
              <w:jc w:val="center"/>
              <w:rPr>
                <w:rFonts w:asciiTheme="minorHAnsi" w:hAnsiTheme="minorHAnsi" w:cstheme="minorHAnsi"/>
                <w:sz w:val="20"/>
              </w:rPr>
            </w:pPr>
            <w:r w:rsidRPr="005F120D">
              <w:rPr>
                <w:rFonts w:asciiTheme="minorHAnsi" w:hAnsiTheme="minorHAnsi" w:cstheme="minorHAnsi"/>
                <w:sz w:val="20"/>
              </w:rPr>
              <w:t>70%</w:t>
            </w:r>
          </w:p>
        </w:tc>
        <w:tc>
          <w:tcPr>
            <w:tcW w:w="1705" w:type="dxa"/>
            <w:vMerge/>
            <w:vAlign w:val="center"/>
          </w:tcPr>
          <w:p w:rsidR="00007E2E" w:rsidRPr="005F120D" w:rsidRDefault="00007E2E" w:rsidP="00B25E46">
            <w:pPr>
              <w:spacing w:after="0"/>
              <w:rPr>
                <w:rFonts w:asciiTheme="minorHAnsi" w:hAnsiTheme="minorHAnsi" w:cstheme="minorHAnsi"/>
                <w:sz w:val="20"/>
                <w:szCs w:val="20"/>
              </w:rPr>
            </w:pPr>
          </w:p>
        </w:tc>
      </w:tr>
      <w:tr w:rsidR="00007E2E" w:rsidRPr="005F120D" w:rsidTr="00007E2E">
        <w:tc>
          <w:tcPr>
            <w:tcW w:w="515" w:type="dxa"/>
            <w:vAlign w:val="center"/>
          </w:tcPr>
          <w:p w:rsidR="00007E2E" w:rsidRPr="005F120D" w:rsidRDefault="00007E2E" w:rsidP="00B25E46">
            <w:pPr>
              <w:spacing w:after="0"/>
              <w:jc w:val="center"/>
              <w:rPr>
                <w:rFonts w:asciiTheme="minorHAnsi" w:hAnsiTheme="minorHAnsi" w:cstheme="minorHAnsi"/>
                <w:sz w:val="20"/>
              </w:rPr>
            </w:pPr>
          </w:p>
        </w:tc>
        <w:tc>
          <w:tcPr>
            <w:tcW w:w="8532" w:type="dxa"/>
            <w:gridSpan w:val="6"/>
            <w:vAlign w:val="center"/>
          </w:tcPr>
          <w:p w:rsidR="00007E2E" w:rsidRPr="005F120D" w:rsidRDefault="00007E2E" w:rsidP="00B25E46">
            <w:pPr>
              <w:spacing w:after="0"/>
              <w:rPr>
                <w:rFonts w:asciiTheme="minorHAnsi" w:hAnsiTheme="minorHAnsi" w:cstheme="minorHAnsi"/>
                <w:sz w:val="20"/>
              </w:rPr>
            </w:pPr>
            <w:r w:rsidRPr="005F120D">
              <w:rPr>
                <w:rFonts w:asciiTheme="minorHAnsi" w:hAnsiTheme="minorHAnsi" w:cstheme="minorHAnsi"/>
                <w:sz w:val="20"/>
              </w:rPr>
              <w:t>Total targeted for construction of  170 schools and as of March 2016 completed 68 schools</w:t>
            </w:r>
          </w:p>
        </w:tc>
      </w:tr>
    </w:tbl>
    <w:p w:rsidR="007E76FE" w:rsidRPr="005F120D" w:rsidRDefault="007E76FE" w:rsidP="00B25E46">
      <w:pPr>
        <w:pStyle w:val="NoSpacing"/>
        <w:rPr>
          <w:rFonts w:asciiTheme="minorHAnsi" w:hAnsiTheme="minorHAnsi" w:cstheme="minorHAnsi"/>
          <w:sz w:val="20"/>
        </w:rPr>
      </w:pPr>
    </w:p>
    <w:p w:rsidR="004D63EC" w:rsidRPr="005F120D" w:rsidRDefault="004D63EC" w:rsidP="00B25E46">
      <w:pPr>
        <w:pStyle w:val="Heading2NONUM"/>
        <w:numPr>
          <w:ilvl w:val="0"/>
          <w:numId w:val="36"/>
        </w:numPr>
        <w:rPr>
          <w:rFonts w:asciiTheme="minorHAnsi" w:hAnsiTheme="minorHAnsi" w:cstheme="minorHAnsi"/>
          <w:color w:val="FF0000"/>
          <w:szCs w:val="24"/>
        </w:rPr>
      </w:pPr>
      <w:r w:rsidRPr="005F120D">
        <w:rPr>
          <w:rFonts w:asciiTheme="minorHAnsi" w:hAnsiTheme="minorHAnsi" w:cstheme="minorHAnsi"/>
          <w:color w:val="3333FF"/>
          <w:szCs w:val="24"/>
        </w:rPr>
        <w:t xml:space="preserve">Name of the Project:  </w:t>
      </w:r>
      <w:r w:rsidR="002A0BF7" w:rsidRPr="005F120D">
        <w:rPr>
          <w:rFonts w:asciiTheme="minorHAnsi" w:hAnsiTheme="minorHAnsi" w:cstheme="minorHAnsi"/>
          <w:color w:val="3333FF"/>
          <w:szCs w:val="24"/>
        </w:rPr>
        <w:t>Government Primary School Reconstruction &amp; Renovation Project (2</w:t>
      </w:r>
      <w:r w:rsidR="002A0BF7" w:rsidRPr="005F120D">
        <w:rPr>
          <w:rFonts w:asciiTheme="minorHAnsi" w:hAnsiTheme="minorHAnsi" w:cstheme="minorHAnsi"/>
          <w:color w:val="3333FF"/>
          <w:szCs w:val="24"/>
          <w:vertAlign w:val="superscript"/>
        </w:rPr>
        <w:t>nd</w:t>
      </w:r>
      <w:r w:rsidR="002A0BF7" w:rsidRPr="005F120D">
        <w:rPr>
          <w:rFonts w:asciiTheme="minorHAnsi" w:hAnsiTheme="minorHAnsi" w:cstheme="minorHAnsi"/>
          <w:color w:val="3333FF"/>
          <w:szCs w:val="24"/>
        </w:rPr>
        <w:t xml:space="preserve"> Phase), 3</w:t>
      </w:r>
      <w:r w:rsidR="002A0BF7" w:rsidRPr="005F120D">
        <w:rPr>
          <w:rFonts w:asciiTheme="minorHAnsi" w:hAnsiTheme="minorHAnsi" w:cstheme="minorHAnsi"/>
          <w:color w:val="3333FF"/>
          <w:szCs w:val="24"/>
          <w:vertAlign w:val="superscript"/>
        </w:rPr>
        <w:t>rd</w:t>
      </w:r>
      <w:r w:rsidR="002A0BF7" w:rsidRPr="005F120D">
        <w:rPr>
          <w:rFonts w:asciiTheme="minorHAnsi" w:hAnsiTheme="minorHAnsi" w:cstheme="minorHAnsi"/>
          <w:color w:val="3333FF"/>
          <w:szCs w:val="24"/>
        </w:rPr>
        <w:t xml:space="preserve"> Revision.</w:t>
      </w:r>
    </w:p>
    <w:p w:rsidR="002A0BF7" w:rsidRPr="005F120D" w:rsidRDefault="004D63EC"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Goal/Aim:</w:t>
      </w:r>
      <w:r w:rsidR="00B4704B">
        <w:rPr>
          <w:rFonts w:asciiTheme="minorHAnsi" w:hAnsiTheme="minorHAnsi" w:cstheme="minorHAnsi"/>
          <w:sz w:val="20"/>
          <w:szCs w:val="20"/>
        </w:rPr>
        <w:t xml:space="preserve"> </w:t>
      </w:r>
      <w:r w:rsidR="002A0BF7" w:rsidRPr="005F120D">
        <w:rPr>
          <w:rFonts w:asciiTheme="minorHAnsi" w:hAnsiTheme="minorHAnsi" w:cstheme="minorHAnsi"/>
          <w:sz w:val="20"/>
          <w:szCs w:val="20"/>
        </w:rPr>
        <w:t xml:space="preserve">The goal of the project is to enhance </w:t>
      </w:r>
      <w:r w:rsidR="004B53A0" w:rsidRPr="005F120D">
        <w:rPr>
          <w:rFonts w:asciiTheme="minorHAnsi" w:hAnsiTheme="minorHAnsi" w:cstheme="minorHAnsi"/>
          <w:sz w:val="20"/>
          <w:szCs w:val="20"/>
        </w:rPr>
        <w:t>enrolment</w:t>
      </w:r>
      <w:r w:rsidR="00D52BBF" w:rsidRPr="005F120D">
        <w:rPr>
          <w:rFonts w:asciiTheme="minorHAnsi" w:hAnsiTheme="minorHAnsi" w:cstheme="minorHAnsi"/>
          <w:sz w:val="20"/>
          <w:szCs w:val="20"/>
        </w:rPr>
        <w:t xml:space="preserve"> in primary education to achieve </w:t>
      </w:r>
      <w:r w:rsidR="002A0BF7" w:rsidRPr="005F120D">
        <w:rPr>
          <w:rFonts w:asciiTheme="minorHAnsi" w:hAnsiTheme="minorHAnsi" w:cstheme="minorHAnsi"/>
          <w:sz w:val="20"/>
          <w:szCs w:val="20"/>
        </w:rPr>
        <w:t xml:space="preserve"> the Universal Primary Education for all</w:t>
      </w:r>
    </w:p>
    <w:p w:rsidR="004D63EC" w:rsidRPr="005F120D" w:rsidRDefault="004D63EC" w:rsidP="00B25E46">
      <w:pPr>
        <w:pStyle w:val="BodyText1"/>
        <w:spacing w:after="0" w:line="240" w:lineRule="auto"/>
        <w:rPr>
          <w:rFonts w:asciiTheme="minorHAnsi" w:hAnsiTheme="minorHAnsi" w:cstheme="minorHAnsi"/>
          <w:sz w:val="20"/>
          <w:szCs w:val="20"/>
        </w:rPr>
      </w:pPr>
    </w:p>
    <w:p w:rsidR="004D63EC" w:rsidRPr="005F120D" w:rsidRDefault="004D63EC"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Purpose/Objective:</w:t>
      </w:r>
    </w:p>
    <w:p w:rsidR="004D63EC" w:rsidRPr="005F120D" w:rsidRDefault="004D63EC" w:rsidP="00B25E46">
      <w:pPr>
        <w:pStyle w:val="BodyText1"/>
        <w:numPr>
          <w:ilvl w:val="0"/>
          <w:numId w:val="60"/>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To reconstruct the dilapidated government primary schools to </w:t>
      </w:r>
      <w:r w:rsidR="00D52BBF" w:rsidRPr="005F120D">
        <w:rPr>
          <w:rFonts w:asciiTheme="minorHAnsi" w:hAnsiTheme="minorHAnsi" w:cstheme="minorHAnsi"/>
          <w:b w:val="0"/>
          <w:sz w:val="20"/>
          <w:szCs w:val="20"/>
        </w:rPr>
        <w:t xml:space="preserve">create </w:t>
      </w:r>
      <w:r w:rsidRPr="005F120D">
        <w:rPr>
          <w:rFonts w:asciiTheme="minorHAnsi" w:hAnsiTheme="minorHAnsi" w:cstheme="minorHAnsi"/>
          <w:b w:val="0"/>
          <w:sz w:val="20"/>
          <w:szCs w:val="20"/>
        </w:rPr>
        <w:t xml:space="preserve"> good educational environment</w:t>
      </w:r>
      <w:r w:rsidR="00D52BBF" w:rsidRPr="005F120D">
        <w:rPr>
          <w:rFonts w:asciiTheme="minorHAnsi" w:hAnsiTheme="minorHAnsi" w:cstheme="minorHAnsi"/>
          <w:b w:val="0"/>
          <w:sz w:val="20"/>
          <w:szCs w:val="20"/>
        </w:rPr>
        <w:t>;</w:t>
      </w:r>
    </w:p>
    <w:p w:rsidR="004D63EC" w:rsidRPr="005F120D" w:rsidRDefault="004D63EC" w:rsidP="00B25E46">
      <w:pPr>
        <w:pStyle w:val="BodyText1"/>
        <w:numPr>
          <w:ilvl w:val="0"/>
          <w:numId w:val="60"/>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To </w:t>
      </w:r>
      <w:r w:rsidRPr="005F120D">
        <w:rPr>
          <w:rFonts w:asciiTheme="minorHAnsi" w:hAnsiTheme="minorHAnsi" w:cstheme="minorHAnsi"/>
          <w:b w:val="0"/>
        </w:rPr>
        <w:t>construct</w:t>
      </w:r>
      <w:r w:rsidR="00B4704B">
        <w:rPr>
          <w:rFonts w:asciiTheme="minorHAnsi" w:hAnsiTheme="minorHAnsi" w:cstheme="minorHAnsi"/>
          <w:b w:val="0"/>
        </w:rPr>
        <w:t xml:space="preserve"> </w:t>
      </w:r>
      <w:r w:rsidR="005C1F17" w:rsidRPr="005F120D">
        <w:rPr>
          <w:rFonts w:asciiTheme="minorHAnsi" w:hAnsiTheme="minorHAnsi" w:cstheme="minorHAnsi"/>
          <w:b w:val="0"/>
        </w:rPr>
        <w:t>sanitary</w:t>
      </w:r>
      <w:r w:rsidRPr="005F120D">
        <w:rPr>
          <w:rFonts w:asciiTheme="minorHAnsi" w:hAnsiTheme="minorHAnsi" w:cstheme="minorHAnsi"/>
          <w:b w:val="0"/>
        </w:rPr>
        <w:t xml:space="preserve"> latrines and sinking of tubewell</w:t>
      </w:r>
      <w:r w:rsidR="00B4704B">
        <w:rPr>
          <w:rFonts w:asciiTheme="minorHAnsi" w:hAnsiTheme="minorHAnsi" w:cstheme="minorHAnsi"/>
          <w:b w:val="0"/>
        </w:rPr>
        <w:t xml:space="preserve"> </w:t>
      </w:r>
      <w:r w:rsidR="005C1F17" w:rsidRPr="005F120D">
        <w:rPr>
          <w:rFonts w:asciiTheme="minorHAnsi" w:hAnsiTheme="minorHAnsi" w:cstheme="minorHAnsi"/>
          <w:b w:val="0"/>
        </w:rPr>
        <w:t>in the reconstructed</w:t>
      </w:r>
      <w:r w:rsidRPr="005F120D">
        <w:rPr>
          <w:rFonts w:asciiTheme="minorHAnsi" w:hAnsiTheme="minorHAnsi" w:cstheme="minorHAnsi"/>
          <w:b w:val="0"/>
        </w:rPr>
        <w:t xml:space="preserve"> primary schools</w:t>
      </w:r>
      <w:r w:rsidR="00D52BBF" w:rsidRPr="005F120D">
        <w:rPr>
          <w:rFonts w:asciiTheme="minorHAnsi" w:hAnsiTheme="minorHAnsi" w:cstheme="minorHAnsi"/>
          <w:b w:val="0"/>
        </w:rPr>
        <w:t>;</w:t>
      </w:r>
    </w:p>
    <w:p w:rsidR="00927877" w:rsidRPr="005F120D" w:rsidRDefault="00927877" w:rsidP="00B25E46">
      <w:pPr>
        <w:pStyle w:val="BodyText1"/>
        <w:numPr>
          <w:ilvl w:val="0"/>
          <w:numId w:val="60"/>
        </w:numPr>
        <w:spacing w:after="0" w:line="240" w:lineRule="auto"/>
        <w:rPr>
          <w:rFonts w:asciiTheme="minorHAnsi" w:hAnsiTheme="minorHAnsi" w:cstheme="minorHAnsi"/>
          <w:b w:val="0"/>
          <w:sz w:val="20"/>
          <w:szCs w:val="20"/>
        </w:rPr>
      </w:pPr>
      <w:r w:rsidRPr="005F120D">
        <w:rPr>
          <w:rFonts w:asciiTheme="minorHAnsi" w:hAnsiTheme="minorHAnsi" w:cstheme="minorHAnsi"/>
          <w:b w:val="0"/>
        </w:rPr>
        <w:t>Supply furniture to reconstructed primary schools</w:t>
      </w:r>
    </w:p>
    <w:p w:rsidR="004D63EC" w:rsidRPr="005F120D" w:rsidRDefault="004D63EC" w:rsidP="00B25E46">
      <w:pPr>
        <w:pStyle w:val="BodyText1"/>
        <w:spacing w:after="0" w:line="240" w:lineRule="auto"/>
        <w:rPr>
          <w:rFonts w:asciiTheme="minorHAnsi" w:hAnsiTheme="minorHAnsi" w:cstheme="minorHAnsi"/>
          <w:sz w:val="20"/>
          <w:szCs w:val="20"/>
        </w:rPr>
      </w:pPr>
    </w:p>
    <w:p w:rsidR="004D63EC" w:rsidRPr="005F120D" w:rsidRDefault="004D63EC"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 xml:space="preserve">Location of the Project:  </w:t>
      </w:r>
      <w:r w:rsidR="00233CA1" w:rsidRPr="005F120D">
        <w:rPr>
          <w:rFonts w:asciiTheme="minorHAnsi" w:hAnsiTheme="minorHAnsi" w:cstheme="minorHAnsi"/>
          <w:sz w:val="20"/>
          <w:szCs w:val="20"/>
        </w:rPr>
        <w:t>All over the Bangladesh</w:t>
      </w:r>
    </w:p>
    <w:p w:rsidR="004D63EC" w:rsidRPr="005F120D" w:rsidRDefault="004D63EC" w:rsidP="00B25E46">
      <w:pPr>
        <w:pStyle w:val="BodyText1"/>
        <w:spacing w:after="0" w:line="240" w:lineRule="auto"/>
        <w:rPr>
          <w:rFonts w:asciiTheme="minorHAnsi" w:hAnsiTheme="minorHAnsi" w:cstheme="minorHAnsi"/>
          <w:sz w:val="20"/>
          <w:szCs w:val="20"/>
        </w:rPr>
      </w:pPr>
    </w:p>
    <w:p w:rsidR="004D63EC" w:rsidRPr="005F120D" w:rsidRDefault="004D63EC" w:rsidP="00B25E46">
      <w:pPr>
        <w:pStyle w:val="BodyText1"/>
        <w:spacing w:after="0" w:line="240" w:lineRule="auto"/>
        <w:rPr>
          <w:rFonts w:asciiTheme="minorHAnsi" w:hAnsiTheme="minorHAnsi" w:cstheme="minorHAnsi"/>
        </w:rPr>
      </w:pPr>
      <w:r w:rsidRPr="005F120D">
        <w:rPr>
          <w:rFonts w:asciiTheme="minorHAnsi" w:hAnsiTheme="minorHAnsi" w:cstheme="minorHAnsi"/>
          <w:sz w:val="20"/>
          <w:szCs w:val="20"/>
        </w:rPr>
        <w:t xml:space="preserve">Implementation Period of </w:t>
      </w:r>
      <w:r w:rsidRPr="005F120D">
        <w:rPr>
          <w:rFonts w:asciiTheme="minorHAnsi" w:hAnsiTheme="minorHAnsi" w:cstheme="minorHAnsi"/>
          <w:sz w:val="20"/>
        </w:rPr>
        <w:t xml:space="preserve">Primary Education </w:t>
      </w:r>
      <w:r w:rsidRPr="005F120D">
        <w:rPr>
          <w:rFonts w:asciiTheme="minorHAnsi" w:hAnsiTheme="minorHAnsi" w:cstheme="minorHAnsi"/>
        </w:rPr>
        <w:t xml:space="preserve">Stipend Project: </w:t>
      </w:r>
    </w:p>
    <w:p w:rsidR="004D63EC" w:rsidRPr="005F120D" w:rsidRDefault="00927877" w:rsidP="00B25E46">
      <w:pPr>
        <w:pStyle w:val="BodyText1"/>
        <w:numPr>
          <w:ilvl w:val="0"/>
          <w:numId w:val="61"/>
        </w:numPr>
        <w:spacing w:after="0" w:line="240" w:lineRule="auto"/>
        <w:rPr>
          <w:rFonts w:asciiTheme="minorHAnsi" w:hAnsiTheme="minorHAnsi" w:cstheme="minorHAnsi"/>
          <w:sz w:val="20"/>
          <w:szCs w:val="20"/>
        </w:rPr>
      </w:pPr>
      <w:r w:rsidRPr="005F120D">
        <w:rPr>
          <w:rFonts w:asciiTheme="minorHAnsi" w:hAnsiTheme="minorHAnsi" w:cstheme="minorHAnsi"/>
          <w:sz w:val="20"/>
          <w:szCs w:val="20"/>
        </w:rPr>
        <w:t>3</w:t>
      </w:r>
      <w:r w:rsidRPr="005F120D">
        <w:rPr>
          <w:rFonts w:asciiTheme="minorHAnsi" w:hAnsiTheme="minorHAnsi" w:cstheme="minorHAnsi"/>
          <w:sz w:val="20"/>
          <w:szCs w:val="20"/>
          <w:vertAlign w:val="superscript"/>
        </w:rPr>
        <w:t>rd</w:t>
      </w:r>
      <w:r w:rsidR="004D63EC" w:rsidRPr="005F120D">
        <w:rPr>
          <w:rFonts w:asciiTheme="minorHAnsi" w:hAnsiTheme="minorHAnsi" w:cstheme="minorHAnsi"/>
          <w:sz w:val="20"/>
          <w:szCs w:val="20"/>
        </w:rPr>
        <w:t xml:space="preserve"> Revised:</w:t>
      </w:r>
      <w:r w:rsidR="004D63EC" w:rsidRPr="005F120D">
        <w:rPr>
          <w:rFonts w:asciiTheme="minorHAnsi" w:hAnsiTheme="minorHAnsi" w:cstheme="minorHAnsi"/>
          <w:sz w:val="20"/>
          <w:szCs w:val="20"/>
        </w:rPr>
        <w:tab/>
      </w:r>
      <w:r w:rsidR="004D63EC" w:rsidRPr="005F120D">
        <w:rPr>
          <w:rFonts w:asciiTheme="minorHAnsi" w:hAnsiTheme="minorHAnsi" w:cstheme="minorHAnsi"/>
          <w:sz w:val="20"/>
          <w:szCs w:val="20"/>
        </w:rPr>
        <w:tab/>
        <w:t>I.</w:t>
      </w:r>
      <w:r w:rsidR="004D63EC" w:rsidRPr="005F120D">
        <w:rPr>
          <w:rFonts w:asciiTheme="minorHAnsi" w:hAnsiTheme="minorHAnsi" w:cstheme="minorHAnsi"/>
          <w:sz w:val="20"/>
          <w:szCs w:val="20"/>
        </w:rPr>
        <w:tab/>
      </w:r>
      <w:r w:rsidR="004D63EC" w:rsidRPr="005F120D">
        <w:rPr>
          <w:rFonts w:asciiTheme="minorHAnsi" w:hAnsiTheme="minorHAnsi" w:cstheme="minorHAnsi"/>
        </w:rPr>
        <w:t>Date of Commencement:</w:t>
      </w:r>
      <w:r w:rsidR="004D63EC" w:rsidRPr="005F120D">
        <w:rPr>
          <w:rFonts w:asciiTheme="minorHAnsi" w:hAnsiTheme="minorHAnsi" w:cstheme="minorHAnsi"/>
        </w:rPr>
        <w:tab/>
      </w:r>
      <w:r w:rsidRPr="005F120D">
        <w:rPr>
          <w:rFonts w:asciiTheme="minorHAnsi" w:hAnsiTheme="minorHAnsi" w:cstheme="minorHAnsi"/>
          <w:sz w:val="20"/>
          <w:szCs w:val="20"/>
        </w:rPr>
        <w:t xml:space="preserve"> July 2006</w:t>
      </w:r>
    </w:p>
    <w:p w:rsidR="004D63EC" w:rsidRPr="005F120D" w:rsidRDefault="004D63EC" w:rsidP="00B25E46">
      <w:pPr>
        <w:pStyle w:val="BodyText1"/>
        <w:numPr>
          <w:ilvl w:val="0"/>
          <w:numId w:val="62"/>
        </w:numPr>
        <w:spacing w:after="0" w:line="240" w:lineRule="auto"/>
        <w:rPr>
          <w:rFonts w:asciiTheme="minorHAnsi" w:hAnsiTheme="minorHAnsi" w:cstheme="minorHAnsi"/>
          <w:sz w:val="20"/>
          <w:szCs w:val="20"/>
        </w:rPr>
      </w:pPr>
      <w:r w:rsidRPr="005F120D">
        <w:rPr>
          <w:rFonts w:asciiTheme="minorHAnsi" w:hAnsiTheme="minorHAnsi" w:cstheme="minorHAnsi"/>
        </w:rPr>
        <w:t>Date of Completion:</w:t>
      </w:r>
      <w:r w:rsidRPr="005F120D">
        <w:rPr>
          <w:rFonts w:asciiTheme="minorHAnsi" w:hAnsiTheme="minorHAnsi" w:cstheme="minorHAnsi"/>
        </w:rPr>
        <w:tab/>
      </w:r>
      <w:r w:rsidRPr="005F120D">
        <w:rPr>
          <w:rFonts w:asciiTheme="minorHAnsi" w:hAnsiTheme="minorHAnsi" w:cstheme="minorHAnsi"/>
        </w:rPr>
        <w:tab/>
      </w:r>
      <w:r w:rsidR="00927877" w:rsidRPr="005F120D">
        <w:rPr>
          <w:rFonts w:asciiTheme="minorHAnsi" w:hAnsiTheme="minorHAnsi" w:cstheme="minorHAnsi"/>
          <w:sz w:val="20"/>
          <w:szCs w:val="20"/>
        </w:rPr>
        <w:t xml:space="preserve"> June 2016</w:t>
      </w:r>
    </w:p>
    <w:p w:rsidR="004D63EC" w:rsidRPr="005F120D" w:rsidRDefault="004D63EC" w:rsidP="00B25E46">
      <w:pPr>
        <w:pStyle w:val="BodyText1"/>
        <w:spacing w:after="0" w:line="240" w:lineRule="auto"/>
        <w:rPr>
          <w:rFonts w:asciiTheme="minorHAnsi" w:hAnsiTheme="minorHAnsi" w:cstheme="minorHAnsi"/>
          <w:color w:val="FF0000"/>
          <w:sz w:val="20"/>
          <w:szCs w:val="20"/>
        </w:rPr>
      </w:pPr>
    </w:p>
    <w:p w:rsidR="004D63EC" w:rsidRPr="005F120D" w:rsidRDefault="004D63EC"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 xml:space="preserve">Implementation Cost in </w:t>
      </w:r>
      <w:r w:rsidR="00F738CE" w:rsidRPr="005F120D">
        <w:rPr>
          <w:rFonts w:asciiTheme="minorHAnsi" w:hAnsiTheme="minorHAnsi" w:cstheme="minorHAnsi"/>
          <w:sz w:val="20"/>
          <w:szCs w:val="20"/>
        </w:rPr>
        <w:t>lac</w:t>
      </w:r>
      <w:r w:rsidRPr="005F120D">
        <w:rPr>
          <w:rFonts w:asciiTheme="minorHAnsi" w:hAnsiTheme="minorHAnsi" w:cstheme="minorHAnsi"/>
          <w:sz w:val="20"/>
          <w:szCs w:val="20"/>
        </w:rPr>
        <w:t xml:space="preserve"> Taka: </w:t>
      </w:r>
      <w:r w:rsidRPr="005F120D">
        <w:rPr>
          <w:rFonts w:asciiTheme="minorHAnsi" w:hAnsiTheme="minorHAnsi" w:cstheme="minorHAnsi"/>
          <w:sz w:val="20"/>
          <w:szCs w:val="20"/>
        </w:rPr>
        <w:tab/>
      </w:r>
      <w:r w:rsidR="00927877" w:rsidRPr="005F120D">
        <w:rPr>
          <w:rFonts w:asciiTheme="minorHAnsi" w:hAnsiTheme="minorHAnsi" w:cstheme="minorHAnsi"/>
          <w:sz w:val="20"/>
          <w:szCs w:val="20"/>
        </w:rPr>
        <w:t>166</w:t>
      </w:r>
      <w:r w:rsidRPr="005F120D">
        <w:rPr>
          <w:rFonts w:asciiTheme="minorHAnsi" w:hAnsiTheme="minorHAnsi" w:cstheme="minorHAnsi"/>
          <w:sz w:val="20"/>
          <w:szCs w:val="20"/>
        </w:rPr>
        <w:t>,</w:t>
      </w:r>
      <w:r w:rsidR="00927877" w:rsidRPr="005F120D">
        <w:rPr>
          <w:rFonts w:asciiTheme="minorHAnsi" w:hAnsiTheme="minorHAnsi" w:cstheme="minorHAnsi"/>
          <w:sz w:val="20"/>
          <w:szCs w:val="20"/>
        </w:rPr>
        <w:t>690.6</w:t>
      </w:r>
      <w:r w:rsidRPr="005F120D">
        <w:rPr>
          <w:rFonts w:asciiTheme="minorHAnsi" w:hAnsiTheme="minorHAnsi" w:cstheme="minorHAnsi"/>
          <w:sz w:val="20"/>
          <w:szCs w:val="20"/>
        </w:rPr>
        <w:t xml:space="preserve"> (original) </w:t>
      </w:r>
    </w:p>
    <w:p w:rsidR="004D63EC" w:rsidRPr="005F120D" w:rsidRDefault="004D63EC" w:rsidP="00B25E46">
      <w:pPr>
        <w:pStyle w:val="BodyText1"/>
        <w:spacing w:after="0" w:line="240" w:lineRule="auto"/>
        <w:rPr>
          <w:rFonts w:asciiTheme="minorHAnsi" w:hAnsiTheme="minorHAnsi" w:cstheme="minorHAnsi"/>
          <w:sz w:val="20"/>
          <w:szCs w:val="20"/>
        </w:rPr>
      </w:pPr>
    </w:p>
    <w:p w:rsidR="004D63EC" w:rsidRPr="005F120D" w:rsidRDefault="004D63EC"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Source of Fund:</w:t>
      </w:r>
      <w:r w:rsidR="00233CA1" w:rsidRPr="005F120D">
        <w:rPr>
          <w:rFonts w:asciiTheme="minorHAnsi" w:hAnsiTheme="minorHAnsi" w:cstheme="minorHAnsi"/>
          <w:sz w:val="20"/>
          <w:szCs w:val="20"/>
        </w:rPr>
        <w:t xml:space="preserve"> GoB</w:t>
      </w:r>
    </w:p>
    <w:p w:rsidR="00233CA1" w:rsidRPr="005F120D" w:rsidRDefault="00233CA1" w:rsidP="00B25E46">
      <w:pPr>
        <w:pStyle w:val="BodyText1"/>
        <w:spacing w:after="0" w:line="240" w:lineRule="auto"/>
        <w:rPr>
          <w:rFonts w:asciiTheme="minorHAnsi" w:hAnsiTheme="minorHAnsi" w:cstheme="minorHAnsi"/>
          <w:sz w:val="20"/>
          <w:szCs w:val="20"/>
        </w:rPr>
      </w:pPr>
    </w:p>
    <w:p w:rsidR="00233CA1" w:rsidRPr="005F120D" w:rsidRDefault="00233CA1"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 xml:space="preserve">Project Description: The project </w:t>
      </w:r>
      <w:r w:rsidR="00B4704B" w:rsidRPr="005F120D">
        <w:rPr>
          <w:rFonts w:asciiTheme="minorHAnsi" w:hAnsiTheme="minorHAnsi" w:cstheme="minorHAnsi"/>
          <w:sz w:val="20"/>
          <w:szCs w:val="20"/>
        </w:rPr>
        <w:t>is mainly</w:t>
      </w:r>
      <w:r w:rsidRPr="005F120D">
        <w:rPr>
          <w:rFonts w:asciiTheme="minorHAnsi" w:hAnsiTheme="minorHAnsi" w:cstheme="minorHAnsi"/>
          <w:sz w:val="20"/>
          <w:szCs w:val="20"/>
        </w:rPr>
        <w:t xml:space="preserve"> responsible for the following;</w:t>
      </w:r>
    </w:p>
    <w:p w:rsidR="00233CA1" w:rsidRPr="005F120D" w:rsidRDefault="00233CA1" w:rsidP="00B25E46">
      <w:pPr>
        <w:pStyle w:val="ListParagraph"/>
        <w:numPr>
          <w:ilvl w:val="0"/>
          <w:numId w:val="70"/>
        </w:numPr>
        <w:jc w:val="both"/>
        <w:rPr>
          <w:rFonts w:asciiTheme="minorHAnsi" w:hAnsiTheme="minorHAnsi" w:cstheme="minorHAnsi"/>
          <w:sz w:val="20"/>
          <w:szCs w:val="20"/>
        </w:rPr>
      </w:pPr>
      <w:r w:rsidRPr="005F120D">
        <w:rPr>
          <w:rFonts w:asciiTheme="minorHAnsi" w:hAnsiTheme="minorHAnsi" w:cstheme="minorHAnsi"/>
          <w:sz w:val="20"/>
          <w:szCs w:val="20"/>
        </w:rPr>
        <w:t>Re-construction of 5,600</w:t>
      </w:r>
      <w:r w:rsidR="0073056D" w:rsidRPr="005F120D">
        <w:rPr>
          <w:rFonts w:asciiTheme="minorHAnsi" w:hAnsiTheme="minorHAnsi" w:cstheme="minorHAnsi"/>
          <w:sz w:val="20"/>
          <w:szCs w:val="20"/>
        </w:rPr>
        <w:t xml:space="preserve"> (5,093+250 after </w:t>
      </w:r>
      <w:r w:rsidR="00D52BBF" w:rsidRPr="005F120D">
        <w:rPr>
          <w:rFonts w:asciiTheme="minorHAnsi" w:hAnsiTheme="minorHAnsi" w:cstheme="minorHAnsi"/>
          <w:sz w:val="20"/>
          <w:szCs w:val="20"/>
        </w:rPr>
        <w:t>second revision</w:t>
      </w:r>
      <w:r w:rsidR="0073056D" w:rsidRPr="005F120D">
        <w:rPr>
          <w:rFonts w:asciiTheme="minorHAnsi" w:hAnsiTheme="minorHAnsi" w:cstheme="minorHAnsi"/>
          <w:sz w:val="20"/>
          <w:szCs w:val="20"/>
        </w:rPr>
        <w:t>)</w:t>
      </w:r>
      <w:r w:rsidRPr="005F120D">
        <w:rPr>
          <w:rFonts w:asciiTheme="minorHAnsi" w:hAnsiTheme="minorHAnsi" w:cstheme="minorHAnsi"/>
          <w:sz w:val="20"/>
          <w:szCs w:val="20"/>
        </w:rPr>
        <w:t>govt. primary school building</w:t>
      </w:r>
      <w:r w:rsidR="00D52BBF" w:rsidRPr="005F120D">
        <w:rPr>
          <w:rFonts w:asciiTheme="minorHAnsi" w:hAnsiTheme="minorHAnsi" w:cstheme="minorHAnsi"/>
          <w:sz w:val="20"/>
          <w:szCs w:val="20"/>
        </w:rPr>
        <w:t>s</w:t>
      </w:r>
      <w:r w:rsidRPr="005F120D">
        <w:rPr>
          <w:rFonts w:asciiTheme="minorHAnsi" w:hAnsiTheme="minorHAnsi" w:cstheme="minorHAnsi"/>
          <w:sz w:val="20"/>
          <w:szCs w:val="20"/>
        </w:rPr>
        <w:t xml:space="preserve"> including toilet wash block</w:t>
      </w:r>
      <w:r w:rsidR="00D52BBF" w:rsidRPr="005F120D">
        <w:rPr>
          <w:rFonts w:asciiTheme="minorHAnsi" w:hAnsiTheme="minorHAnsi" w:cstheme="minorHAnsi"/>
          <w:sz w:val="20"/>
          <w:szCs w:val="20"/>
        </w:rPr>
        <w:t>s</w:t>
      </w:r>
      <w:r w:rsidRPr="005F120D">
        <w:rPr>
          <w:rFonts w:asciiTheme="minorHAnsi" w:hAnsiTheme="minorHAnsi" w:cstheme="minorHAnsi"/>
          <w:sz w:val="20"/>
          <w:szCs w:val="20"/>
        </w:rPr>
        <w:t>;</w:t>
      </w:r>
    </w:p>
    <w:p w:rsidR="00233CA1" w:rsidRPr="005F120D" w:rsidRDefault="00233CA1" w:rsidP="00B25E46">
      <w:pPr>
        <w:pStyle w:val="ListParagraph"/>
        <w:numPr>
          <w:ilvl w:val="0"/>
          <w:numId w:val="70"/>
        </w:numPr>
        <w:jc w:val="both"/>
        <w:rPr>
          <w:rFonts w:asciiTheme="minorHAnsi" w:hAnsiTheme="minorHAnsi" w:cstheme="minorHAnsi"/>
          <w:sz w:val="20"/>
          <w:szCs w:val="20"/>
        </w:rPr>
      </w:pPr>
      <w:r w:rsidRPr="005F120D">
        <w:rPr>
          <w:rFonts w:asciiTheme="minorHAnsi" w:hAnsiTheme="minorHAnsi" w:cstheme="minorHAnsi"/>
          <w:sz w:val="20"/>
          <w:szCs w:val="20"/>
        </w:rPr>
        <w:t xml:space="preserve">Installation of 5,600 nos. Deep/shallow tube-wells; </w:t>
      </w:r>
    </w:p>
    <w:p w:rsidR="00233CA1" w:rsidRPr="005F120D" w:rsidRDefault="00233CA1" w:rsidP="00B25E46">
      <w:pPr>
        <w:pStyle w:val="ListParagraph"/>
        <w:numPr>
          <w:ilvl w:val="0"/>
          <w:numId w:val="70"/>
        </w:numPr>
        <w:jc w:val="both"/>
        <w:rPr>
          <w:rFonts w:asciiTheme="minorHAnsi" w:hAnsiTheme="minorHAnsi" w:cstheme="minorHAnsi"/>
          <w:sz w:val="20"/>
          <w:szCs w:val="20"/>
        </w:rPr>
      </w:pPr>
      <w:r w:rsidRPr="005F120D">
        <w:rPr>
          <w:rFonts w:asciiTheme="minorHAnsi" w:hAnsiTheme="minorHAnsi" w:cstheme="minorHAnsi"/>
          <w:sz w:val="20"/>
          <w:szCs w:val="20"/>
        </w:rPr>
        <w:t>Supply of 268,800 pairs High/Low bench</w:t>
      </w:r>
      <w:r w:rsidR="00D52BBF" w:rsidRPr="005F120D">
        <w:rPr>
          <w:rFonts w:asciiTheme="minorHAnsi" w:hAnsiTheme="minorHAnsi" w:cstheme="minorHAnsi"/>
          <w:sz w:val="20"/>
          <w:szCs w:val="20"/>
        </w:rPr>
        <w:t>es  for students;</w:t>
      </w:r>
    </w:p>
    <w:p w:rsidR="00233CA1" w:rsidRPr="005F120D" w:rsidRDefault="00D52BBF" w:rsidP="00B25E46">
      <w:pPr>
        <w:pStyle w:val="ListParagraph"/>
        <w:numPr>
          <w:ilvl w:val="0"/>
          <w:numId w:val="70"/>
        </w:numPr>
        <w:jc w:val="both"/>
        <w:rPr>
          <w:rFonts w:asciiTheme="minorHAnsi" w:hAnsiTheme="minorHAnsi" w:cstheme="minorHAnsi"/>
          <w:sz w:val="20"/>
          <w:szCs w:val="20"/>
        </w:rPr>
      </w:pPr>
      <w:r w:rsidRPr="005F120D">
        <w:rPr>
          <w:rFonts w:asciiTheme="minorHAnsi" w:hAnsiTheme="minorHAnsi" w:cstheme="minorHAnsi"/>
          <w:sz w:val="20"/>
          <w:szCs w:val="20"/>
        </w:rPr>
        <w:t>Supply of 33,600</w:t>
      </w:r>
      <w:r w:rsidR="00233CA1" w:rsidRPr="005F120D">
        <w:rPr>
          <w:rFonts w:asciiTheme="minorHAnsi" w:hAnsiTheme="minorHAnsi" w:cstheme="minorHAnsi"/>
          <w:sz w:val="20"/>
          <w:szCs w:val="20"/>
        </w:rPr>
        <w:t xml:space="preserve"> Chair</w:t>
      </w:r>
      <w:r w:rsidRPr="005F120D">
        <w:rPr>
          <w:rFonts w:asciiTheme="minorHAnsi" w:hAnsiTheme="minorHAnsi" w:cstheme="minorHAnsi"/>
          <w:sz w:val="20"/>
          <w:szCs w:val="20"/>
        </w:rPr>
        <w:t>s and 22,400</w:t>
      </w:r>
      <w:r w:rsidR="00233CA1" w:rsidRPr="005F120D">
        <w:rPr>
          <w:rFonts w:asciiTheme="minorHAnsi" w:hAnsiTheme="minorHAnsi" w:cstheme="minorHAnsi"/>
          <w:sz w:val="20"/>
          <w:szCs w:val="20"/>
        </w:rPr>
        <w:t xml:space="preserve"> Table</w:t>
      </w:r>
      <w:r w:rsidRPr="005F120D">
        <w:rPr>
          <w:rFonts w:asciiTheme="minorHAnsi" w:hAnsiTheme="minorHAnsi" w:cstheme="minorHAnsi"/>
          <w:sz w:val="20"/>
          <w:szCs w:val="20"/>
        </w:rPr>
        <w:t>s for teachers;</w:t>
      </w:r>
    </w:p>
    <w:p w:rsidR="00233CA1" w:rsidRPr="005F120D" w:rsidRDefault="00D52BBF" w:rsidP="00B25E46">
      <w:pPr>
        <w:pStyle w:val="ListParagraph"/>
        <w:numPr>
          <w:ilvl w:val="0"/>
          <w:numId w:val="70"/>
        </w:numPr>
        <w:jc w:val="both"/>
        <w:rPr>
          <w:rFonts w:asciiTheme="minorHAnsi" w:hAnsiTheme="minorHAnsi" w:cstheme="minorHAnsi"/>
          <w:sz w:val="20"/>
          <w:szCs w:val="20"/>
        </w:rPr>
      </w:pPr>
      <w:r w:rsidRPr="005F120D">
        <w:rPr>
          <w:rFonts w:asciiTheme="minorHAnsi" w:hAnsiTheme="minorHAnsi" w:cstheme="minorHAnsi"/>
          <w:sz w:val="20"/>
          <w:szCs w:val="20"/>
        </w:rPr>
        <w:t>Providing 5,600</w:t>
      </w:r>
      <w:r w:rsidR="00B4704B">
        <w:rPr>
          <w:rFonts w:asciiTheme="minorHAnsi" w:hAnsiTheme="minorHAnsi" w:cstheme="minorHAnsi"/>
          <w:sz w:val="20"/>
          <w:szCs w:val="20"/>
        </w:rPr>
        <w:t xml:space="preserve"> steel Almira</w:t>
      </w:r>
      <w:r w:rsidRPr="005F120D">
        <w:rPr>
          <w:rFonts w:asciiTheme="minorHAnsi" w:hAnsiTheme="minorHAnsi" w:cstheme="minorHAnsi"/>
          <w:sz w:val="20"/>
          <w:szCs w:val="20"/>
        </w:rPr>
        <w:t>s</w:t>
      </w:r>
      <w:r w:rsidR="00233CA1" w:rsidRPr="005F120D">
        <w:rPr>
          <w:rFonts w:asciiTheme="minorHAnsi" w:hAnsiTheme="minorHAnsi" w:cstheme="minorHAnsi"/>
          <w:sz w:val="20"/>
          <w:szCs w:val="20"/>
        </w:rPr>
        <w:t>.</w:t>
      </w:r>
    </w:p>
    <w:p w:rsidR="00D52BBF" w:rsidRPr="005F120D" w:rsidRDefault="00233CA1" w:rsidP="00B25E46">
      <w:pPr>
        <w:jc w:val="both"/>
        <w:rPr>
          <w:rFonts w:asciiTheme="minorHAnsi" w:hAnsiTheme="minorHAnsi" w:cstheme="minorHAnsi"/>
          <w:sz w:val="20"/>
        </w:rPr>
      </w:pPr>
      <w:r w:rsidRPr="005F120D">
        <w:rPr>
          <w:rFonts w:asciiTheme="minorHAnsi" w:hAnsiTheme="minorHAnsi" w:cstheme="minorHAnsi"/>
          <w:sz w:val="20"/>
        </w:rPr>
        <w:t>For Govt. Primary School Reconstruction &amp; Renovation Project (2</w:t>
      </w:r>
      <w:r w:rsidRPr="005F120D">
        <w:rPr>
          <w:rFonts w:asciiTheme="minorHAnsi" w:hAnsiTheme="minorHAnsi" w:cstheme="minorHAnsi"/>
          <w:sz w:val="20"/>
          <w:vertAlign w:val="superscript"/>
        </w:rPr>
        <w:t>nd</w:t>
      </w:r>
      <w:r w:rsidRPr="005F120D">
        <w:rPr>
          <w:rFonts w:asciiTheme="minorHAnsi" w:hAnsiTheme="minorHAnsi" w:cstheme="minorHAnsi"/>
          <w:sz w:val="20"/>
        </w:rPr>
        <w:t xml:space="preserve"> Phase), Different Types of Proto Type Design: </w:t>
      </w:r>
    </w:p>
    <w:p w:rsidR="00233CA1" w:rsidRPr="005F120D" w:rsidRDefault="00233CA1" w:rsidP="00B25E46">
      <w:pPr>
        <w:jc w:val="both"/>
        <w:rPr>
          <w:rFonts w:asciiTheme="minorHAnsi" w:hAnsiTheme="minorHAnsi" w:cstheme="minorHAnsi"/>
          <w:sz w:val="20"/>
        </w:rPr>
      </w:pPr>
      <w:r w:rsidRPr="005F120D">
        <w:rPr>
          <w:rFonts w:asciiTheme="minorHAnsi" w:hAnsiTheme="minorHAnsi" w:cstheme="minorHAnsi"/>
          <w:sz w:val="20"/>
        </w:rPr>
        <w:t>For 3</w:t>
      </w:r>
      <w:r w:rsidRPr="005F120D">
        <w:rPr>
          <w:rFonts w:asciiTheme="minorHAnsi" w:hAnsiTheme="minorHAnsi" w:cstheme="minorHAnsi"/>
          <w:sz w:val="20"/>
          <w:vertAlign w:val="superscript"/>
        </w:rPr>
        <w:t>rd</w:t>
      </w:r>
      <w:r w:rsidR="00D52BBF" w:rsidRPr="005F120D">
        <w:rPr>
          <w:rFonts w:asciiTheme="minorHAnsi" w:hAnsiTheme="minorHAnsi" w:cstheme="minorHAnsi"/>
          <w:sz w:val="20"/>
        </w:rPr>
        <w:t xml:space="preserve"> Revision:</w:t>
      </w:r>
    </w:p>
    <w:p w:rsidR="00233CA1" w:rsidRPr="005F120D" w:rsidRDefault="00D52BBF" w:rsidP="00B25E46">
      <w:pPr>
        <w:numPr>
          <w:ilvl w:val="0"/>
          <w:numId w:val="69"/>
        </w:numPr>
        <w:spacing w:after="0"/>
        <w:jc w:val="both"/>
        <w:rPr>
          <w:rFonts w:asciiTheme="minorHAnsi" w:hAnsiTheme="minorHAnsi" w:cstheme="minorHAnsi"/>
          <w:sz w:val="20"/>
        </w:rPr>
      </w:pPr>
      <w:r w:rsidRPr="005F120D">
        <w:rPr>
          <w:rFonts w:asciiTheme="minorHAnsi" w:hAnsiTheme="minorHAnsi" w:cstheme="minorHAnsi"/>
          <w:sz w:val="20"/>
        </w:rPr>
        <w:t>Schools u</w:t>
      </w:r>
      <w:r w:rsidR="00233CA1" w:rsidRPr="005F120D">
        <w:rPr>
          <w:rFonts w:asciiTheme="minorHAnsi" w:hAnsiTheme="minorHAnsi" w:cstheme="minorHAnsi"/>
          <w:sz w:val="20"/>
        </w:rPr>
        <w:t xml:space="preserve">p to 300 </w:t>
      </w:r>
      <w:r w:rsidR="00B4704B" w:rsidRPr="005F120D">
        <w:rPr>
          <w:rFonts w:asciiTheme="minorHAnsi" w:hAnsiTheme="minorHAnsi" w:cstheme="minorHAnsi"/>
          <w:sz w:val="20"/>
        </w:rPr>
        <w:t>students</w:t>
      </w:r>
      <w:r w:rsidR="00233CA1" w:rsidRPr="005F120D">
        <w:rPr>
          <w:rFonts w:asciiTheme="minorHAnsi" w:hAnsiTheme="minorHAnsi" w:cstheme="minorHAnsi"/>
          <w:sz w:val="20"/>
        </w:rPr>
        <w:t>: Type-A/6 (2 Storied foundation with 1 storied building)</w:t>
      </w:r>
      <w:r w:rsidRPr="005F120D">
        <w:rPr>
          <w:rFonts w:asciiTheme="minorHAnsi" w:hAnsiTheme="minorHAnsi" w:cstheme="minorHAnsi"/>
          <w:sz w:val="20"/>
        </w:rPr>
        <w:t>;</w:t>
      </w:r>
    </w:p>
    <w:p w:rsidR="00233CA1" w:rsidRPr="005F120D" w:rsidRDefault="00D52BBF" w:rsidP="00B25E46">
      <w:pPr>
        <w:numPr>
          <w:ilvl w:val="0"/>
          <w:numId w:val="69"/>
        </w:numPr>
        <w:spacing w:after="0"/>
        <w:jc w:val="both"/>
        <w:rPr>
          <w:rFonts w:asciiTheme="minorHAnsi" w:hAnsiTheme="minorHAnsi" w:cstheme="minorHAnsi"/>
          <w:sz w:val="20"/>
        </w:rPr>
      </w:pPr>
      <w:r w:rsidRPr="005F120D">
        <w:rPr>
          <w:rFonts w:asciiTheme="minorHAnsi" w:hAnsiTheme="minorHAnsi" w:cstheme="minorHAnsi"/>
          <w:sz w:val="20"/>
        </w:rPr>
        <w:t>Schools between</w:t>
      </w:r>
      <w:r w:rsidR="00233CA1" w:rsidRPr="005F120D">
        <w:rPr>
          <w:rFonts w:asciiTheme="minorHAnsi" w:hAnsiTheme="minorHAnsi" w:cstheme="minorHAnsi"/>
          <w:sz w:val="20"/>
        </w:rPr>
        <w:t xml:space="preserve"> 300-499 </w:t>
      </w:r>
      <w:r w:rsidR="00B4704B" w:rsidRPr="005F120D">
        <w:rPr>
          <w:rFonts w:asciiTheme="minorHAnsi" w:hAnsiTheme="minorHAnsi" w:cstheme="minorHAnsi"/>
          <w:sz w:val="20"/>
        </w:rPr>
        <w:t>students</w:t>
      </w:r>
      <w:r w:rsidR="00233CA1" w:rsidRPr="005F120D">
        <w:rPr>
          <w:rFonts w:asciiTheme="minorHAnsi" w:hAnsiTheme="minorHAnsi" w:cstheme="minorHAnsi"/>
          <w:sz w:val="20"/>
        </w:rPr>
        <w:t>: Type-A/7 (3 Storied foundation with 1 storied building</w:t>
      </w:r>
      <w:r w:rsidRPr="005F120D">
        <w:rPr>
          <w:rFonts w:asciiTheme="minorHAnsi" w:hAnsiTheme="minorHAnsi" w:cstheme="minorHAnsi"/>
          <w:sz w:val="20"/>
        </w:rPr>
        <w:t>;</w:t>
      </w:r>
      <w:r w:rsidR="00233CA1" w:rsidRPr="005F120D">
        <w:rPr>
          <w:rFonts w:asciiTheme="minorHAnsi" w:hAnsiTheme="minorHAnsi" w:cstheme="minorHAnsi"/>
          <w:sz w:val="20"/>
        </w:rPr>
        <w:t xml:space="preserve">) </w:t>
      </w:r>
    </w:p>
    <w:p w:rsidR="00E63CE5" w:rsidRPr="005F120D" w:rsidRDefault="00D52BBF" w:rsidP="00B25E46">
      <w:pPr>
        <w:numPr>
          <w:ilvl w:val="0"/>
          <w:numId w:val="69"/>
        </w:numPr>
        <w:spacing w:after="0"/>
        <w:jc w:val="both"/>
        <w:rPr>
          <w:rFonts w:asciiTheme="minorHAnsi" w:hAnsiTheme="minorHAnsi" w:cstheme="minorHAnsi"/>
          <w:sz w:val="20"/>
        </w:rPr>
      </w:pPr>
      <w:r w:rsidRPr="005F120D">
        <w:rPr>
          <w:rFonts w:asciiTheme="minorHAnsi" w:hAnsiTheme="minorHAnsi" w:cstheme="minorHAnsi"/>
          <w:sz w:val="20"/>
        </w:rPr>
        <w:t xml:space="preserve"> Schools</w:t>
      </w:r>
      <w:r w:rsidR="00233CA1" w:rsidRPr="005F120D">
        <w:rPr>
          <w:rFonts w:asciiTheme="minorHAnsi" w:hAnsiTheme="minorHAnsi" w:cstheme="minorHAnsi"/>
          <w:sz w:val="20"/>
        </w:rPr>
        <w:t xml:space="preserve"> above 500 students: Type-A/8 (4 Storied foundation with 1 storied building)</w:t>
      </w:r>
      <w:r w:rsidR="001D5A5D" w:rsidRPr="005F120D">
        <w:rPr>
          <w:rFonts w:asciiTheme="minorHAnsi" w:hAnsiTheme="minorHAnsi" w:cstheme="minorHAnsi"/>
          <w:sz w:val="20"/>
        </w:rPr>
        <w:t>;</w:t>
      </w:r>
    </w:p>
    <w:p w:rsidR="00E63CE5" w:rsidRPr="005F120D" w:rsidRDefault="00233CA1" w:rsidP="00B25E46">
      <w:pPr>
        <w:numPr>
          <w:ilvl w:val="0"/>
          <w:numId w:val="69"/>
        </w:numPr>
        <w:spacing w:after="0"/>
        <w:jc w:val="both"/>
        <w:rPr>
          <w:rFonts w:asciiTheme="minorHAnsi" w:hAnsiTheme="minorHAnsi" w:cstheme="minorHAnsi"/>
          <w:sz w:val="20"/>
        </w:rPr>
      </w:pPr>
      <w:r w:rsidRPr="005F120D">
        <w:rPr>
          <w:rFonts w:asciiTheme="minorHAnsi" w:hAnsiTheme="minorHAnsi" w:cstheme="minorHAnsi"/>
          <w:sz w:val="20"/>
        </w:rPr>
        <w:t>Type design - A/4 for flood areas    (4 Storied foundation with 2 storied building)</w:t>
      </w:r>
      <w:r w:rsidR="001D5A5D" w:rsidRPr="005F120D">
        <w:rPr>
          <w:rFonts w:asciiTheme="minorHAnsi" w:hAnsiTheme="minorHAnsi" w:cstheme="minorHAnsi"/>
          <w:sz w:val="20"/>
        </w:rPr>
        <w:t>;</w:t>
      </w:r>
    </w:p>
    <w:p w:rsidR="00E63CE5" w:rsidRPr="005F120D" w:rsidRDefault="00233CA1" w:rsidP="00B25E46">
      <w:pPr>
        <w:numPr>
          <w:ilvl w:val="0"/>
          <w:numId w:val="69"/>
        </w:numPr>
        <w:spacing w:after="0"/>
        <w:jc w:val="both"/>
        <w:rPr>
          <w:rFonts w:asciiTheme="minorHAnsi" w:hAnsiTheme="minorHAnsi" w:cstheme="minorHAnsi"/>
          <w:sz w:val="20"/>
        </w:rPr>
      </w:pPr>
      <w:r w:rsidRPr="005F120D">
        <w:rPr>
          <w:rFonts w:asciiTheme="minorHAnsi" w:hAnsiTheme="minorHAnsi" w:cstheme="minorHAnsi"/>
          <w:sz w:val="20"/>
        </w:rPr>
        <w:t>Vertical extension, Type Design - A/5</w:t>
      </w:r>
      <w:r w:rsidR="001D5A5D" w:rsidRPr="005F120D">
        <w:rPr>
          <w:rFonts w:asciiTheme="minorHAnsi" w:hAnsiTheme="minorHAnsi" w:cstheme="minorHAnsi"/>
          <w:sz w:val="20"/>
        </w:rPr>
        <w:t>;</w:t>
      </w:r>
    </w:p>
    <w:p w:rsidR="00B25E46" w:rsidRPr="005F120D" w:rsidRDefault="00233CA1" w:rsidP="00B25E46">
      <w:pPr>
        <w:numPr>
          <w:ilvl w:val="0"/>
          <w:numId w:val="69"/>
        </w:numPr>
        <w:jc w:val="both"/>
        <w:rPr>
          <w:rFonts w:asciiTheme="minorHAnsi" w:hAnsiTheme="minorHAnsi" w:cstheme="minorHAnsi"/>
          <w:sz w:val="20"/>
        </w:rPr>
      </w:pPr>
      <w:r w:rsidRPr="005F120D">
        <w:rPr>
          <w:rFonts w:asciiTheme="minorHAnsi" w:hAnsiTheme="minorHAnsi" w:cstheme="minorHAnsi"/>
          <w:sz w:val="20"/>
        </w:rPr>
        <w:t xml:space="preserve">Proto Type- D, Tin Shed Bhaban, - for river eroded area. </w:t>
      </w:r>
    </w:p>
    <w:p w:rsidR="00EC1F70" w:rsidRDefault="00EC1F70" w:rsidP="00B25E46">
      <w:pPr>
        <w:rPr>
          <w:rFonts w:asciiTheme="minorHAnsi" w:hAnsiTheme="minorHAnsi" w:cstheme="minorHAnsi"/>
          <w:b/>
          <w:sz w:val="20"/>
        </w:rPr>
      </w:pPr>
    </w:p>
    <w:p w:rsidR="005C6D1B" w:rsidRPr="005F120D" w:rsidRDefault="0073056D" w:rsidP="00B25E46">
      <w:pPr>
        <w:rPr>
          <w:rFonts w:asciiTheme="minorHAnsi" w:hAnsiTheme="minorHAnsi" w:cstheme="minorHAnsi"/>
          <w:b/>
          <w:sz w:val="20"/>
        </w:rPr>
      </w:pPr>
      <w:r w:rsidRPr="005F120D">
        <w:rPr>
          <w:rFonts w:asciiTheme="minorHAnsi" w:hAnsiTheme="minorHAnsi" w:cstheme="minorHAnsi"/>
          <w:b/>
          <w:sz w:val="20"/>
        </w:rPr>
        <w:lastRenderedPageBreak/>
        <w:t>Coverage as of March 2016</w:t>
      </w:r>
      <w:r w:rsidR="005C6D1B" w:rsidRPr="005F120D">
        <w:rPr>
          <w:rFonts w:asciiTheme="minorHAnsi" w:hAnsiTheme="minorHAnsi" w:cstheme="minorHAnsi"/>
          <w:b/>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3"/>
        <w:gridCol w:w="1866"/>
        <w:gridCol w:w="1853"/>
        <w:gridCol w:w="1853"/>
        <w:gridCol w:w="1740"/>
      </w:tblGrid>
      <w:tr w:rsidR="005C6D1B" w:rsidRPr="005F120D" w:rsidTr="002C547A">
        <w:trPr>
          <w:trHeight w:val="296"/>
        </w:trPr>
        <w:tc>
          <w:tcPr>
            <w:tcW w:w="4059" w:type="pct"/>
            <w:gridSpan w:val="4"/>
            <w:shd w:val="clear" w:color="auto" w:fill="DDD9C3" w:themeFill="background2" w:themeFillShade="E6"/>
          </w:tcPr>
          <w:p w:rsidR="005C6D1B" w:rsidRPr="005F120D" w:rsidRDefault="005C6D1B" w:rsidP="00B25E46">
            <w:pPr>
              <w:jc w:val="center"/>
              <w:rPr>
                <w:rFonts w:asciiTheme="minorHAnsi" w:hAnsiTheme="minorHAnsi" w:cstheme="minorHAnsi"/>
                <w:b/>
                <w:sz w:val="18"/>
                <w:szCs w:val="18"/>
              </w:rPr>
            </w:pPr>
            <w:r w:rsidRPr="005F120D">
              <w:rPr>
                <w:rFonts w:asciiTheme="minorHAnsi" w:hAnsiTheme="minorHAnsi" w:cstheme="minorHAnsi"/>
                <w:b/>
                <w:sz w:val="18"/>
                <w:szCs w:val="18"/>
              </w:rPr>
              <w:t>Coverage</w:t>
            </w:r>
          </w:p>
        </w:tc>
        <w:tc>
          <w:tcPr>
            <w:tcW w:w="941" w:type="pct"/>
            <w:vMerge w:val="restart"/>
            <w:shd w:val="clear" w:color="auto" w:fill="DDD9C3" w:themeFill="background2" w:themeFillShade="E6"/>
          </w:tcPr>
          <w:p w:rsidR="005C6D1B" w:rsidRPr="005F120D" w:rsidRDefault="005C6D1B" w:rsidP="00B25E46">
            <w:pPr>
              <w:jc w:val="center"/>
              <w:rPr>
                <w:rFonts w:asciiTheme="minorHAnsi" w:hAnsiTheme="minorHAnsi" w:cstheme="minorHAnsi"/>
                <w:b/>
                <w:sz w:val="18"/>
                <w:szCs w:val="18"/>
              </w:rPr>
            </w:pPr>
            <w:r w:rsidRPr="005F120D">
              <w:rPr>
                <w:rFonts w:asciiTheme="minorHAnsi" w:hAnsiTheme="minorHAnsi" w:cstheme="minorHAnsi"/>
                <w:b/>
                <w:sz w:val="18"/>
                <w:szCs w:val="18"/>
              </w:rPr>
              <w:t>Remarks</w:t>
            </w:r>
          </w:p>
        </w:tc>
      </w:tr>
      <w:tr w:rsidR="005C6D1B" w:rsidRPr="005F120D" w:rsidTr="002C547A">
        <w:trPr>
          <w:trHeight w:hRule="exact" w:val="334"/>
        </w:trPr>
        <w:tc>
          <w:tcPr>
            <w:tcW w:w="1046" w:type="pct"/>
            <w:shd w:val="clear" w:color="auto" w:fill="DDD9C3" w:themeFill="background2" w:themeFillShade="E6"/>
          </w:tcPr>
          <w:p w:rsidR="005C6D1B" w:rsidRPr="005F120D" w:rsidRDefault="005C6D1B" w:rsidP="00B25E46">
            <w:pPr>
              <w:rPr>
                <w:rFonts w:asciiTheme="minorHAnsi" w:hAnsiTheme="minorHAnsi" w:cstheme="minorHAnsi"/>
                <w:b/>
                <w:sz w:val="18"/>
                <w:szCs w:val="18"/>
              </w:rPr>
            </w:pPr>
            <w:r w:rsidRPr="005F120D">
              <w:rPr>
                <w:rFonts w:asciiTheme="minorHAnsi" w:hAnsiTheme="minorHAnsi" w:cstheme="minorHAnsi"/>
                <w:b/>
                <w:sz w:val="18"/>
                <w:szCs w:val="18"/>
              </w:rPr>
              <w:t>Number of District</w:t>
            </w:r>
          </w:p>
        </w:tc>
        <w:tc>
          <w:tcPr>
            <w:tcW w:w="1009" w:type="pct"/>
            <w:shd w:val="clear" w:color="auto" w:fill="DDD9C3" w:themeFill="background2" w:themeFillShade="E6"/>
          </w:tcPr>
          <w:p w:rsidR="005C6D1B" w:rsidRPr="005F120D" w:rsidRDefault="005C6D1B" w:rsidP="00B25E46">
            <w:pPr>
              <w:rPr>
                <w:rFonts w:asciiTheme="minorHAnsi" w:hAnsiTheme="minorHAnsi" w:cstheme="minorHAnsi"/>
                <w:b/>
                <w:sz w:val="18"/>
                <w:szCs w:val="18"/>
              </w:rPr>
            </w:pPr>
            <w:r w:rsidRPr="005F120D">
              <w:rPr>
                <w:rFonts w:asciiTheme="minorHAnsi" w:hAnsiTheme="minorHAnsi" w:cstheme="minorHAnsi"/>
                <w:b/>
                <w:sz w:val="18"/>
                <w:szCs w:val="18"/>
              </w:rPr>
              <w:t>Number of Upazila</w:t>
            </w:r>
          </w:p>
        </w:tc>
        <w:tc>
          <w:tcPr>
            <w:tcW w:w="1002" w:type="pct"/>
            <w:shd w:val="clear" w:color="auto" w:fill="DDD9C3" w:themeFill="background2" w:themeFillShade="E6"/>
          </w:tcPr>
          <w:p w:rsidR="005C6D1B" w:rsidRPr="005F120D" w:rsidRDefault="005C6D1B" w:rsidP="00B25E46">
            <w:pPr>
              <w:rPr>
                <w:rFonts w:asciiTheme="minorHAnsi" w:hAnsiTheme="minorHAnsi" w:cstheme="minorHAnsi"/>
                <w:b/>
                <w:sz w:val="18"/>
                <w:szCs w:val="18"/>
              </w:rPr>
            </w:pPr>
            <w:r w:rsidRPr="005F120D">
              <w:rPr>
                <w:rFonts w:asciiTheme="minorHAnsi" w:hAnsiTheme="minorHAnsi" w:cstheme="minorHAnsi"/>
                <w:b/>
                <w:sz w:val="18"/>
                <w:szCs w:val="18"/>
              </w:rPr>
              <w:t>Number of schools</w:t>
            </w:r>
          </w:p>
        </w:tc>
        <w:tc>
          <w:tcPr>
            <w:tcW w:w="1002" w:type="pct"/>
            <w:shd w:val="clear" w:color="auto" w:fill="DDD9C3" w:themeFill="background2" w:themeFillShade="E6"/>
          </w:tcPr>
          <w:p w:rsidR="005C6D1B" w:rsidRPr="005F120D" w:rsidRDefault="005C6D1B" w:rsidP="00B25E46">
            <w:pPr>
              <w:rPr>
                <w:rFonts w:asciiTheme="minorHAnsi" w:hAnsiTheme="minorHAnsi" w:cstheme="minorHAnsi"/>
                <w:b/>
                <w:sz w:val="18"/>
                <w:szCs w:val="18"/>
              </w:rPr>
            </w:pPr>
            <w:r w:rsidRPr="005F120D">
              <w:rPr>
                <w:rFonts w:asciiTheme="minorHAnsi" w:hAnsiTheme="minorHAnsi" w:cstheme="minorHAnsi"/>
                <w:b/>
                <w:sz w:val="18"/>
                <w:szCs w:val="18"/>
              </w:rPr>
              <w:t>Number of student</w:t>
            </w:r>
          </w:p>
        </w:tc>
        <w:tc>
          <w:tcPr>
            <w:tcW w:w="941" w:type="pct"/>
            <w:vMerge/>
            <w:shd w:val="clear" w:color="auto" w:fill="DDD9C3" w:themeFill="background2" w:themeFillShade="E6"/>
          </w:tcPr>
          <w:p w:rsidR="005C6D1B" w:rsidRPr="005F120D" w:rsidRDefault="005C6D1B" w:rsidP="00B25E46">
            <w:pPr>
              <w:rPr>
                <w:rFonts w:asciiTheme="minorHAnsi" w:hAnsiTheme="minorHAnsi" w:cstheme="minorHAnsi"/>
                <w:b/>
                <w:sz w:val="18"/>
                <w:szCs w:val="18"/>
              </w:rPr>
            </w:pPr>
          </w:p>
        </w:tc>
      </w:tr>
      <w:tr w:rsidR="005C6D1B" w:rsidRPr="005F120D" w:rsidTr="002C547A">
        <w:trPr>
          <w:trHeight w:hRule="exact" w:val="766"/>
        </w:trPr>
        <w:tc>
          <w:tcPr>
            <w:tcW w:w="1046" w:type="pct"/>
            <w:shd w:val="clear" w:color="auto" w:fill="auto"/>
          </w:tcPr>
          <w:p w:rsidR="005C6D1B" w:rsidRPr="005F120D" w:rsidRDefault="005C6D1B" w:rsidP="00B25E46">
            <w:pPr>
              <w:jc w:val="center"/>
              <w:rPr>
                <w:rFonts w:asciiTheme="minorHAnsi" w:hAnsiTheme="minorHAnsi" w:cstheme="minorHAnsi"/>
                <w:sz w:val="18"/>
                <w:szCs w:val="18"/>
              </w:rPr>
            </w:pPr>
            <w:r w:rsidRPr="005F120D">
              <w:rPr>
                <w:rFonts w:asciiTheme="minorHAnsi" w:hAnsiTheme="minorHAnsi" w:cstheme="minorHAnsi"/>
                <w:sz w:val="18"/>
                <w:szCs w:val="18"/>
              </w:rPr>
              <w:t>64</w:t>
            </w:r>
          </w:p>
        </w:tc>
        <w:tc>
          <w:tcPr>
            <w:tcW w:w="1009" w:type="pct"/>
            <w:shd w:val="clear" w:color="auto" w:fill="auto"/>
          </w:tcPr>
          <w:p w:rsidR="005C6D1B" w:rsidRPr="005F120D" w:rsidRDefault="005C6D1B" w:rsidP="00B25E46">
            <w:pPr>
              <w:jc w:val="center"/>
              <w:rPr>
                <w:rFonts w:asciiTheme="minorHAnsi" w:hAnsiTheme="minorHAnsi" w:cstheme="minorHAnsi"/>
                <w:sz w:val="18"/>
                <w:szCs w:val="18"/>
              </w:rPr>
            </w:pPr>
            <w:r w:rsidRPr="005F120D">
              <w:rPr>
                <w:rFonts w:asciiTheme="minorHAnsi" w:hAnsiTheme="minorHAnsi" w:cstheme="minorHAnsi"/>
                <w:sz w:val="18"/>
                <w:szCs w:val="18"/>
              </w:rPr>
              <w:t>All over Bangladesh</w:t>
            </w:r>
          </w:p>
        </w:tc>
        <w:tc>
          <w:tcPr>
            <w:tcW w:w="1002" w:type="pct"/>
            <w:shd w:val="clear" w:color="auto" w:fill="auto"/>
          </w:tcPr>
          <w:p w:rsidR="005C6D1B" w:rsidRPr="005F120D" w:rsidRDefault="005C6D1B" w:rsidP="00B25E46">
            <w:pPr>
              <w:jc w:val="center"/>
              <w:rPr>
                <w:rFonts w:asciiTheme="minorHAnsi" w:hAnsiTheme="minorHAnsi" w:cstheme="minorHAnsi"/>
                <w:sz w:val="18"/>
                <w:szCs w:val="18"/>
              </w:rPr>
            </w:pPr>
            <w:r w:rsidRPr="005F120D">
              <w:rPr>
                <w:rFonts w:asciiTheme="minorHAnsi" w:hAnsiTheme="minorHAnsi" w:cstheme="minorHAnsi"/>
                <w:sz w:val="18"/>
                <w:szCs w:val="18"/>
              </w:rPr>
              <w:t>5,600</w:t>
            </w:r>
          </w:p>
        </w:tc>
        <w:tc>
          <w:tcPr>
            <w:tcW w:w="1002" w:type="pct"/>
            <w:shd w:val="clear" w:color="auto" w:fill="auto"/>
          </w:tcPr>
          <w:p w:rsidR="005C6D1B" w:rsidRPr="005F120D" w:rsidRDefault="005C6D1B" w:rsidP="00B25E46">
            <w:pPr>
              <w:jc w:val="center"/>
              <w:rPr>
                <w:rFonts w:asciiTheme="minorHAnsi" w:hAnsiTheme="minorHAnsi" w:cstheme="minorHAnsi"/>
                <w:sz w:val="18"/>
                <w:szCs w:val="18"/>
              </w:rPr>
            </w:pPr>
            <w:r w:rsidRPr="005F120D">
              <w:rPr>
                <w:rFonts w:asciiTheme="minorHAnsi" w:hAnsiTheme="minorHAnsi" w:cstheme="minorHAnsi"/>
                <w:sz w:val="18"/>
                <w:szCs w:val="18"/>
              </w:rPr>
              <w:t>n/a</w:t>
            </w:r>
          </w:p>
        </w:tc>
        <w:tc>
          <w:tcPr>
            <w:tcW w:w="941" w:type="pct"/>
            <w:shd w:val="clear" w:color="auto" w:fill="auto"/>
          </w:tcPr>
          <w:p w:rsidR="005C6D1B" w:rsidRPr="005F120D" w:rsidRDefault="005C6D1B" w:rsidP="00B25E46">
            <w:pPr>
              <w:rPr>
                <w:rFonts w:asciiTheme="minorHAnsi" w:hAnsiTheme="minorHAnsi" w:cstheme="minorHAnsi"/>
                <w:sz w:val="18"/>
                <w:szCs w:val="18"/>
              </w:rPr>
            </w:pPr>
            <w:r w:rsidRPr="005F120D">
              <w:rPr>
                <w:rFonts w:asciiTheme="minorHAnsi" w:hAnsiTheme="minorHAnsi" w:cstheme="minorHAnsi"/>
                <w:sz w:val="18"/>
                <w:szCs w:val="18"/>
              </w:rPr>
              <w:t>5,</w:t>
            </w:r>
            <w:r w:rsidR="0073056D" w:rsidRPr="005F120D">
              <w:rPr>
                <w:rFonts w:asciiTheme="minorHAnsi" w:hAnsiTheme="minorHAnsi" w:cstheme="minorHAnsi"/>
                <w:sz w:val="18"/>
                <w:szCs w:val="18"/>
              </w:rPr>
              <w:t>262</w:t>
            </w:r>
            <w:r w:rsidRPr="005F120D">
              <w:rPr>
                <w:rFonts w:asciiTheme="minorHAnsi" w:hAnsiTheme="minorHAnsi" w:cstheme="minorHAnsi"/>
                <w:sz w:val="18"/>
                <w:szCs w:val="18"/>
              </w:rPr>
              <w:t xml:space="preserve"> Schools Completed &amp;</w:t>
            </w:r>
            <w:r w:rsidR="0073056D" w:rsidRPr="005F120D">
              <w:rPr>
                <w:rFonts w:asciiTheme="minorHAnsi" w:hAnsiTheme="minorHAnsi" w:cstheme="minorHAnsi"/>
                <w:sz w:val="18"/>
                <w:szCs w:val="18"/>
              </w:rPr>
              <w:t>320</w:t>
            </w:r>
            <w:r w:rsidRPr="005F120D">
              <w:rPr>
                <w:rFonts w:asciiTheme="minorHAnsi" w:hAnsiTheme="minorHAnsi" w:cstheme="minorHAnsi"/>
                <w:sz w:val="18"/>
                <w:szCs w:val="18"/>
              </w:rPr>
              <w:t xml:space="preserve"> are ongoing.</w:t>
            </w:r>
          </w:p>
        </w:tc>
      </w:tr>
    </w:tbl>
    <w:p w:rsidR="001A16EF" w:rsidRPr="005F120D" w:rsidRDefault="001A16EF" w:rsidP="00B25E46">
      <w:pPr>
        <w:pStyle w:val="NoSpacing"/>
        <w:rPr>
          <w:rFonts w:asciiTheme="minorHAnsi" w:hAnsiTheme="minorHAnsi" w:cstheme="minorHAnsi"/>
          <w:b/>
          <w:sz w:val="20"/>
        </w:rPr>
      </w:pPr>
    </w:p>
    <w:p w:rsidR="005C6D1B" w:rsidRPr="005F120D" w:rsidRDefault="0073056D" w:rsidP="00B25E46">
      <w:pPr>
        <w:pStyle w:val="NoSpacing"/>
        <w:rPr>
          <w:rFonts w:asciiTheme="minorHAnsi" w:hAnsiTheme="minorHAnsi" w:cstheme="minorHAnsi"/>
          <w:b/>
          <w:sz w:val="20"/>
        </w:rPr>
      </w:pPr>
      <w:r w:rsidRPr="005F120D">
        <w:rPr>
          <w:rFonts w:asciiTheme="minorHAnsi" w:hAnsiTheme="minorHAnsi" w:cstheme="minorHAnsi"/>
          <w:b/>
          <w:sz w:val="20"/>
        </w:rPr>
        <w:t>Progress as of March 2016</w:t>
      </w:r>
      <w:r w:rsidR="005C6D1B" w:rsidRPr="005F120D">
        <w:rPr>
          <w:rFonts w:asciiTheme="minorHAnsi" w:hAnsiTheme="minorHAnsi" w:cstheme="minorHAnsi"/>
          <w:b/>
          <w:sz w:val="20"/>
        </w:rPr>
        <w:t>:</w:t>
      </w:r>
    </w:p>
    <w:p w:rsidR="005C6D1B" w:rsidRPr="005F120D" w:rsidRDefault="005C6D1B" w:rsidP="00B25E46">
      <w:pPr>
        <w:pStyle w:val="NoSpacing"/>
        <w:rPr>
          <w:rFonts w:asciiTheme="minorHAnsi" w:hAnsiTheme="minorHAnsi" w:cstheme="minorHAnsi"/>
          <w:sz w:val="20"/>
        </w:rPr>
      </w:pPr>
    </w:p>
    <w:tbl>
      <w:tblPr>
        <w:tblStyle w:val="TableGrid"/>
        <w:tblW w:w="5000" w:type="pct"/>
        <w:tblLook w:val="04A0"/>
      </w:tblPr>
      <w:tblGrid>
        <w:gridCol w:w="551"/>
        <w:gridCol w:w="2925"/>
        <w:gridCol w:w="1283"/>
        <w:gridCol w:w="1464"/>
        <w:gridCol w:w="1559"/>
        <w:gridCol w:w="1463"/>
      </w:tblGrid>
      <w:tr w:rsidR="00B206CA" w:rsidRPr="005F120D" w:rsidTr="002C547A">
        <w:tc>
          <w:tcPr>
            <w:tcW w:w="298" w:type="pct"/>
            <w:tcBorders>
              <w:bottom w:val="single" w:sz="4" w:space="0" w:color="000000"/>
            </w:tcBorders>
            <w:shd w:val="clear" w:color="auto" w:fill="C2D69B" w:themeFill="accent3" w:themeFillTint="99"/>
            <w:vAlign w:val="center"/>
          </w:tcPr>
          <w:p w:rsidR="00754DE0" w:rsidRPr="005F120D" w:rsidRDefault="00754DE0" w:rsidP="00B25E46">
            <w:pPr>
              <w:spacing w:after="0"/>
              <w:jc w:val="center"/>
              <w:rPr>
                <w:rFonts w:asciiTheme="minorHAnsi" w:hAnsiTheme="minorHAnsi" w:cstheme="minorHAnsi"/>
                <w:b/>
                <w:sz w:val="18"/>
              </w:rPr>
            </w:pPr>
            <w:r w:rsidRPr="005F120D">
              <w:rPr>
                <w:rFonts w:asciiTheme="minorHAnsi" w:hAnsiTheme="minorHAnsi" w:cstheme="minorHAnsi"/>
                <w:b/>
                <w:sz w:val="18"/>
              </w:rPr>
              <w:t>SL.</w:t>
            </w:r>
          </w:p>
        </w:tc>
        <w:tc>
          <w:tcPr>
            <w:tcW w:w="1582" w:type="pct"/>
            <w:tcBorders>
              <w:bottom w:val="single" w:sz="4" w:space="0" w:color="000000"/>
            </w:tcBorders>
            <w:shd w:val="clear" w:color="auto" w:fill="C2D69B" w:themeFill="accent3" w:themeFillTint="99"/>
          </w:tcPr>
          <w:p w:rsidR="00754DE0" w:rsidRPr="005F120D" w:rsidRDefault="00754DE0" w:rsidP="00B25E46">
            <w:pPr>
              <w:spacing w:after="0"/>
              <w:jc w:val="center"/>
              <w:rPr>
                <w:rFonts w:asciiTheme="minorHAnsi" w:hAnsiTheme="minorHAnsi" w:cstheme="minorHAnsi"/>
                <w:b/>
                <w:sz w:val="18"/>
              </w:rPr>
            </w:pPr>
            <w:r w:rsidRPr="005F120D">
              <w:rPr>
                <w:rFonts w:asciiTheme="minorHAnsi" w:hAnsiTheme="minorHAnsi" w:cstheme="minorHAnsi"/>
                <w:b/>
                <w:sz w:val="18"/>
              </w:rPr>
              <w:t>Planned Activities</w:t>
            </w:r>
          </w:p>
        </w:tc>
        <w:tc>
          <w:tcPr>
            <w:tcW w:w="694" w:type="pct"/>
            <w:shd w:val="clear" w:color="auto" w:fill="C2D69B" w:themeFill="accent3" w:themeFillTint="99"/>
            <w:vAlign w:val="center"/>
          </w:tcPr>
          <w:p w:rsidR="00754DE0" w:rsidRPr="005F120D" w:rsidRDefault="00754DE0" w:rsidP="00B25E46">
            <w:pPr>
              <w:spacing w:after="0"/>
              <w:jc w:val="center"/>
              <w:rPr>
                <w:rFonts w:asciiTheme="minorHAnsi" w:hAnsiTheme="minorHAnsi" w:cstheme="minorHAnsi"/>
                <w:b/>
                <w:sz w:val="18"/>
              </w:rPr>
            </w:pPr>
            <w:r w:rsidRPr="005F120D">
              <w:rPr>
                <w:rFonts w:asciiTheme="minorHAnsi" w:hAnsiTheme="minorHAnsi" w:cstheme="minorHAnsi"/>
                <w:b/>
                <w:sz w:val="18"/>
              </w:rPr>
              <w:t>Financial</w:t>
            </w:r>
          </w:p>
          <w:p w:rsidR="00754DE0" w:rsidRPr="005F120D" w:rsidRDefault="00754DE0" w:rsidP="00B25E46">
            <w:pPr>
              <w:spacing w:after="0"/>
              <w:jc w:val="center"/>
              <w:rPr>
                <w:rFonts w:asciiTheme="minorHAnsi" w:hAnsiTheme="minorHAnsi" w:cstheme="minorHAnsi"/>
                <w:b/>
                <w:sz w:val="18"/>
              </w:rPr>
            </w:pPr>
            <w:r w:rsidRPr="005F120D">
              <w:rPr>
                <w:rFonts w:asciiTheme="minorHAnsi" w:hAnsiTheme="minorHAnsi" w:cstheme="minorHAnsi"/>
                <w:b/>
                <w:sz w:val="18"/>
              </w:rPr>
              <w:t>Year</w:t>
            </w:r>
          </w:p>
        </w:tc>
        <w:tc>
          <w:tcPr>
            <w:tcW w:w="792" w:type="pct"/>
            <w:shd w:val="clear" w:color="auto" w:fill="C2D69B" w:themeFill="accent3" w:themeFillTint="99"/>
            <w:vAlign w:val="center"/>
          </w:tcPr>
          <w:p w:rsidR="00754DE0" w:rsidRPr="005F120D" w:rsidRDefault="00754DE0" w:rsidP="00B25E46">
            <w:pPr>
              <w:spacing w:after="0"/>
              <w:jc w:val="center"/>
              <w:rPr>
                <w:rFonts w:asciiTheme="minorHAnsi" w:hAnsiTheme="minorHAnsi" w:cstheme="minorHAnsi"/>
                <w:b/>
                <w:sz w:val="18"/>
              </w:rPr>
            </w:pPr>
            <w:r w:rsidRPr="005F120D">
              <w:rPr>
                <w:rFonts w:asciiTheme="minorHAnsi" w:hAnsiTheme="minorHAnsi" w:cstheme="minorHAnsi"/>
                <w:b/>
                <w:sz w:val="18"/>
              </w:rPr>
              <w:t>Physical</w:t>
            </w:r>
          </w:p>
          <w:p w:rsidR="00754DE0" w:rsidRPr="005F120D" w:rsidRDefault="00754DE0" w:rsidP="00B25E46">
            <w:pPr>
              <w:spacing w:after="0"/>
              <w:jc w:val="center"/>
              <w:rPr>
                <w:rFonts w:asciiTheme="minorHAnsi" w:hAnsiTheme="minorHAnsi" w:cstheme="minorHAnsi"/>
                <w:b/>
                <w:sz w:val="18"/>
              </w:rPr>
            </w:pPr>
            <w:r w:rsidRPr="005F120D">
              <w:rPr>
                <w:rFonts w:asciiTheme="minorHAnsi" w:hAnsiTheme="minorHAnsi" w:cstheme="minorHAnsi"/>
                <w:b/>
                <w:sz w:val="18"/>
              </w:rPr>
              <w:t>Target</w:t>
            </w:r>
          </w:p>
        </w:tc>
        <w:tc>
          <w:tcPr>
            <w:tcW w:w="843" w:type="pct"/>
            <w:shd w:val="clear" w:color="auto" w:fill="C2D69B" w:themeFill="accent3" w:themeFillTint="99"/>
            <w:vAlign w:val="center"/>
          </w:tcPr>
          <w:p w:rsidR="00754DE0" w:rsidRPr="005F120D" w:rsidRDefault="00B206CA" w:rsidP="00B25E46">
            <w:pPr>
              <w:spacing w:after="0"/>
              <w:jc w:val="center"/>
              <w:rPr>
                <w:rFonts w:asciiTheme="minorHAnsi" w:hAnsiTheme="minorHAnsi" w:cstheme="minorHAnsi"/>
                <w:b/>
                <w:sz w:val="18"/>
              </w:rPr>
            </w:pPr>
            <w:r w:rsidRPr="005F120D">
              <w:rPr>
                <w:rFonts w:asciiTheme="minorHAnsi" w:hAnsiTheme="minorHAnsi" w:cstheme="minorHAnsi"/>
                <w:b/>
                <w:sz w:val="18"/>
              </w:rPr>
              <w:t xml:space="preserve">Cumulative </w:t>
            </w:r>
            <w:r w:rsidR="00754DE0" w:rsidRPr="005F120D">
              <w:rPr>
                <w:rFonts w:asciiTheme="minorHAnsi" w:hAnsiTheme="minorHAnsi" w:cstheme="minorHAnsi"/>
                <w:b/>
                <w:sz w:val="18"/>
              </w:rPr>
              <w:t>Progress as of March 2015</w:t>
            </w:r>
          </w:p>
        </w:tc>
        <w:tc>
          <w:tcPr>
            <w:tcW w:w="792" w:type="pct"/>
            <w:shd w:val="clear" w:color="auto" w:fill="C2D69B" w:themeFill="accent3" w:themeFillTint="99"/>
            <w:vAlign w:val="center"/>
          </w:tcPr>
          <w:p w:rsidR="00754DE0" w:rsidRPr="005F120D" w:rsidRDefault="00754DE0" w:rsidP="00B25E46">
            <w:pPr>
              <w:spacing w:after="0"/>
              <w:jc w:val="center"/>
              <w:rPr>
                <w:rFonts w:asciiTheme="minorHAnsi" w:hAnsiTheme="minorHAnsi" w:cstheme="minorHAnsi"/>
                <w:b/>
                <w:sz w:val="18"/>
              </w:rPr>
            </w:pPr>
            <w:r w:rsidRPr="005F120D">
              <w:rPr>
                <w:rFonts w:asciiTheme="minorHAnsi" w:hAnsiTheme="minorHAnsi" w:cstheme="minorHAnsi"/>
                <w:b/>
                <w:sz w:val="18"/>
              </w:rPr>
              <w:t>Remarks</w:t>
            </w:r>
          </w:p>
        </w:tc>
      </w:tr>
      <w:tr w:rsidR="00B206CA" w:rsidRPr="005F120D" w:rsidTr="002C547A">
        <w:tc>
          <w:tcPr>
            <w:tcW w:w="298" w:type="pct"/>
            <w:tcBorders>
              <w:top w:val="single" w:sz="4" w:space="0" w:color="000000"/>
              <w:left w:val="single" w:sz="4" w:space="0" w:color="000000"/>
              <w:bottom w:val="nil"/>
              <w:righ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1.</w:t>
            </w:r>
          </w:p>
        </w:tc>
        <w:tc>
          <w:tcPr>
            <w:tcW w:w="1582" w:type="pct"/>
            <w:vMerge w:val="restart"/>
            <w:tcBorders>
              <w:top w:val="single" w:sz="4" w:space="0" w:color="000000"/>
              <w:left w:val="single" w:sz="4" w:space="0" w:color="000000"/>
              <w:bottom w:val="nil"/>
              <w:right w:val="single" w:sz="4" w:space="0" w:color="000000"/>
            </w:tcBorders>
          </w:tcPr>
          <w:p w:rsidR="00B206CA" w:rsidRPr="005F120D" w:rsidRDefault="00B206CA" w:rsidP="00B25E46">
            <w:pPr>
              <w:spacing w:after="0"/>
              <w:rPr>
                <w:rFonts w:asciiTheme="minorHAnsi" w:hAnsiTheme="minorHAnsi" w:cstheme="minorHAnsi"/>
                <w:sz w:val="18"/>
              </w:rPr>
            </w:pPr>
            <w:r w:rsidRPr="005F120D">
              <w:rPr>
                <w:rFonts w:asciiTheme="minorHAnsi" w:hAnsiTheme="minorHAnsi" w:cstheme="minorHAnsi"/>
                <w:sz w:val="20"/>
                <w:szCs w:val="20"/>
              </w:rPr>
              <w:t>Re-construction of 5,600 nos</w:t>
            </w:r>
            <w:r w:rsidR="00B4704B">
              <w:rPr>
                <w:rFonts w:asciiTheme="minorHAnsi" w:hAnsiTheme="minorHAnsi" w:cstheme="minorHAnsi"/>
                <w:sz w:val="20"/>
                <w:szCs w:val="20"/>
              </w:rPr>
              <w:t>.</w:t>
            </w:r>
            <w:r w:rsidRPr="005F120D">
              <w:rPr>
                <w:rFonts w:asciiTheme="minorHAnsi" w:hAnsiTheme="minorHAnsi" w:cstheme="minorHAnsi"/>
                <w:sz w:val="20"/>
                <w:szCs w:val="20"/>
              </w:rPr>
              <w:t xml:space="preserve"> govt. primary school building including toilet wash block</w:t>
            </w:r>
          </w:p>
        </w:tc>
        <w:tc>
          <w:tcPr>
            <w:tcW w:w="694" w:type="pct"/>
            <w:tcBorders>
              <w:lef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2008-09</w:t>
            </w:r>
          </w:p>
        </w:tc>
        <w:tc>
          <w:tcPr>
            <w:tcW w:w="792" w:type="pct"/>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645</w:t>
            </w:r>
          </w:p>
        </w:tc>
        <w:tc>
          <w:tcPr>
            <w:tcW w:w="843" w:type="pct"/>
            <w:vMerge w:val="restart"/>
            <w:vAlign w:val="center"/>
          </w:tcPr>
          <w:p w:rsidR="00B206CA" w:rsidRPr="005F120D" w:rsidRDefault="0073056D" w:rsidP="00B25E46">
            <w:pPr>
              <w:rPr>
                <w:rFonts w:asciiTheme="minorHAnsi" w:hAnsiTheme="minorHAnsi" w:cstheme="minorHAnsi"/>
                <w:sz w:val="18"/>
              </w:rPr>
            </w:pPr>
            <w:r w:rsidRPr="005F120D">
              <w:rPr>
                <w:rFonts w:asciiTheme="minorHAnsi" w:hAnsiTheme="minorHAnsi" w:cstheme="minorHAnsi"/>
                <w:sz w:val="18"/>
              </w:rPr>
              <w:t>5,262</w:t>
            </w:r>
            <w:r w:rsidR="00B206CA" w:rsidRPr="005F120D">
              <w:rPr>
                <w:rFonts w:asciiTheme="minorHAnsi" w:hAnsiTheme="minorHAnsi" w:cstheme="minorHAnsi"/>
                <w:sz w:val="18"/>
              </w:rPr>
              <w:t xml:space="preserve"> schools completed </w:t>
            </w:r>
            <w:r w:rsidRPr="005F120D">
              <w:rPr>
                <w:rFonts w:asciiTheme="minorHAnsi" w:hAnsiTheme="minorHAnsi" w:cstheme="minorHAnsi"/>
                <w:sz w:val="18"/>
              </w:rPr>
              <w:t>and 320 going on</w:t>
            </w:r>
          </w:p>
        </w:tc>
        <w:tc>
          <w:tcPr>
            <w:tcW w:w="792" w:type="pct"/>
            <w:vMerge w:val="restart"/>
            <w:vAlign w:val="center"/>
          </w:tcPr>
          <w:p w:rsidR="00B206CA" w:rsidRPr="005F120D" w:rsidRDefault="00B206CA" w:rsidP="00B25E46">
            <w:pPr>
              <w:rPr>
                <w:rFonts w:asciiTheme="minorHAnsi" w:hAnsiTheme="minorHAnsi" w:cstheme="minorHAnsi"/>
                <w:sz w:val="18"/>
              </w:rPr>
            </w:pPr>
            <w:r w:rsidRPr="005F120D">
              <w:rPr>
                <w:rFonts w:asciiTheme="minorHAnsi" w:hAnsiTheme="minorHAnsi" w:cstheme="minorHAnsi"/>
                <w:sz w:val="18"/>
              </w:rPr>
              <w:t xml:space="preserve">The progress of </w:t>
            </w:r>
            <w:r w:rsidR="0073056D" w:rsidRPr="005F120D">
              <w:rPr>
                <w:rFonts w:asciiTheme="minorHAnsi" w:hAnsiTheme="minorHAnsi" w:cstheme="minorHAnsi"/>
                <w:sz w:val="18"/>
              </w:rPr>
              <w:t>18</w:t>
            </w:r>
            <w:r w:rsidRPr="005F120D">
              <w:rPr>
                <w:rFonts w:asciiTheme="minorHAnsi" w:hAnsiTheme="minorHAnsi" w:cstheme="minorHAnsi"/>
                <w:sz w:val="18"/>
              </w:rPr>
              <w:t xml:space="preserve"> schools are </w:t>
            </w:r>
            <w:r w:rsidR="0073056D" w:rsidRPr="005F120D">
              <w:rPr>
                <w:rFonts w:asciiTheme="minorHAnsi" w:hAnsiTheme="minorHAnsi" w:cstheme="minorHAnsi"/>
                <w:sz w:val="18"/>
              </w:rPr>
              <w:t>tend</w:t>
            </w:r>
            <w:r w:rsidR="0073056D" w:rsidRPr="00B4704B">
              <w:rPr>
                <w:rFonts w:asciiTheme="minorHAnsi" w:hAnsiTheme="minorHAnsi" w:cstheme="minorHAnsi"/>
                <w:sz w:val="16"/>
              </w:rPr>
              <w:t>e</w:t>
            </w:r>
            <w:r w:rsidR="0073056D" w:rsidRPr="005F120D">
              <w:rPr>
                <w:rFonts w:asciiTheme="minorHAnsi" w:hAnsiTheme="minorHAnsi" w:cstheme="minorHAnsi"/>
                <w:sz w:val="18"/>
              </w:rPr>
              <w:t>ring</w:t>
            </w:r>
          </w:p>
        </w:tc>
      </w:tr>
      <w:tr w:rsidR="00B206CA" w:rsidRPr="005F120D" w:rsidTr="002C547A">
        <w:tc>
          <w:tcPr>
            <w:tcW w:w="298" w:type="pct"/>
            <w:tcBorders>
              <w:top w:val="nil"/>
              <w:left w:val="single" w:sz="4" w:space="0" w:color="000000"/>
              <w:bottom w:val="nil"/>
              <w:righ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p>
        </w:tc>
        <w:tc>
          <w:tcPr>
            <w:tcW w:w="1582" w:type="pct"/>
            <w:vMerge/>
            <w:tcBorders>
              <w:top w:val="nil"/>
              <w:left w:val="single" w:sz="4" w:space="0" w:color="000000"/>
              <w:bottom w:val="nil"/>
              <w:right w:val="single" w:sz="4" w:space="0" w:color="000000"/>
            </w:tcBorders>
          </w:tcPr>
          <w:p w:rsidR="00B206CA" w:rsidRPr="005F120D" w:rsidRDefault="00B206CA" w:rsidP="00B25E46">
            <w:pPr>
              <w:spacing w:after="0"/>
              <w:jc w:val="center"/>
              <w:rPr>
                <w:rFonts w:asciiTheme="minorHAnsi" w:hAnsiTheme="minorHAnsi" w:cstheme="minorHAnsi"/>
                <w:sz w:val="18"/>
              </w:rPr>
            </w:pPr>
          </w:p>
        </w:tc>
        <w:tc>
          <w:tcPr>
            <w:tcW w:w="694" w:type="pct"/>
            <w:tcBorders>
              <w:lef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2009-10</w:t>
            </w:r>
          </w:p>
        </w:tc>
        <w:tc>
          <w:tcPr>
            <w:tcW w:w="792" w:type="pct"/>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741</w:t>
            </w:r>
          </w:p>
        </w:tc>
        <w:tc>
          <w:tcPr>
            <w:tcW w:w="843" w:type="pct"/>
            <w:vMerge/>
            <w:vAlign w:val="center"/>
          </w:tcPr>
          <w:p w:rsidR="00B206CA" w:rsidRPr="005F120D" w:rsidRDefault="00B206CA" w:rsidP="00B25E46">
            <w:pPr>
              <w:jc w:val="center"/>
              <w:rPr>
                <w:rFonts w:asciiTheme="minorHAnsi" w:hAnsiTheme="minorHAnsi" w:cstheme="minorHAnsi"/>
                <w:sz w:val="18"/>
              </w:rPr>
            </w:pPr>
          </w:p>
        </w:tc>
        <w:tc>
          <w:tcPr>
            <w:tcW w:w="792" w:type="pct"/>
            <w:vMerge/>
            <w:vAlign w:val="center"/>
          </w:tcPr>
          <w:p w:rsidR="00B206CA" w:rsidRPr="005F120D" w:rsidRDefault="00B206CA" w:rsidP="00B25E46">
            <w:pPr>
              <w:rPr>
                <w:rFonts w:asciiTheme="minorHAnsi" w:hAnsiTheme="minorHAnsi" w:cstheme="minorHAnsi"/>
                <w:sz w:val="18"/>
              </w:rPr>
            </w:pPr>
          </w:p>
        </w:tc>
      </w:tr>
      <w:tr w:rsidR="00B206CA" w:rsidRPr="005F120D" w:rsidTr="002C547A">
        <w:tc>
          <w:tcPr>
            <w:tcW w:w="298" w:type="pct"/>
            <w:tcBorders>
              <w:top w:val="nil"/>
              <w:left w:val="single" w:sz="4" w:space="0" w:color="000000"/>
              <w:bottom w:val="nil"/>
              <w:righ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p>
        </w:tc>
        <w:tc>
          <w:tcPr>
            <w:tcW w:w="1582" w:type="pct"/>
            <w:vMerge/>
            <w:tcBorders>
              <w:top w:val="nil"/>
              <w:left w:val="single" w:sz="4" w:space="0" w:color="000000"/>
              <w:bottom w:val="nil"/>
              <w:right w:val="single" w:sz="4" w:space="0" w:color="000000"/>
            </w:tcBorders>
          </w:tcPr>
          <w:p w:rsidR="00B206CA" w:rsidRPr="005F120D" w:rsidRDefault="00B206CA" w:rsidP="00B25E46">
            <w:pPr>
              <w:spacing w:after="0"/>
              <w:jc w:val="center"/>
              <w:rPr>
                <w:rFonts w:asciiTheme="minorHAnsi" w:hAnsiTheme="minorHAnsi" w:cstheme="minorHAnsi"/>
                <w:sz w:val="18"/>
              </w:rPr>
            </w:pPr>
          </w:p>
        </w:tc>
        <w:tc>
          <w:tcPr>
            <w:tcW w:w="694" w:type="pct"/>
            <w:tcBorders>
              <w:lef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2010-11</w:t>
            </w:r>
          </w:p>
        </w:tc>
        <w:tc>
          <w:tcPr>
            <w:tcW w:w="792" w:type="pct"/>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1,016</w:t>
            </w:r>
          </w:p>
        </w:tc>
        <w:tc>
          <w:tcPr>
            <w:tcW w:w="843" w:type="pct"/>
            <w:vMerge/>
            <w:vAlign w:val="center"/>
          </w:tcPr>
          <w:p w:rsidR="00B206CA" w:rsidRPr="005F120D" w:rsidRDefault="00B206CA" w:rsidP="00B25E46">
            <w:pPr>
              <w:jc w:val="center"/>
              <w:rPr>
                <w:rFonts w:asciiTheme="minorHAnsi" w:hAnsiTheme="minorHAnsi" w:cstheme="minorHAnsi"/>
                <w:sz w:val="18"/>
              </w:rPr>
            </w:pPr>
          </w:p>
        </w:tc>
        <w:tc>
          <w:tcPr>
            <w:tcW w:w="792" w:type="pct"/>
            <w:vMerge/>
            <w:vAlign w:val="center"/>
          </w:tcPr>
          <w:p w:rsidR="00B206CA" w:rsidRPr="005F120D" w:rsidRDefault="00B206CA" w:rsidP="00B25E46">
            <w:pPr>
              <w:rPr>
                <w:rFonts w:asciiTheme="minorHAnsi" w:hAnsiTheme="minorHAnsi" w:cstheme="minorHAnsi"/>
                <w:sz w:val="18"/>
              </w:rPr>
            </w:pPr>
          </w:p>
        </w:tc>
      </w:tr>
      <w:tr w:rsidR="00B206CA" w:rsidRPr="005F120D" w:rsidTr="002C547A">
        <w:tc>
          <w:tcPr>
            <w:tcW w:w="298" w:type="pct"/>
            <w:tcBorders>
              <w:top w:val="nil"/>
              <w:left w:val="single" w:sz="4" w:space="0" w:color="000000"/>
              <w:bottom w:val="nil"/>
              <w:righ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p>
        </w:tc>
        <w:tc>
          <w:tcPr>
            <w:tcW w:w="1582" w:type="pct"/>
            <w:vMerge/>
            <w:tcBorders>
              <w:top w:val="nil"/>
              <w:left w:val="single" w:sz="4" w:space="0" w:color="000000"/>
              <w:bottom w:val="nil"/>
              <w:right w:val="single" w:sz="4" w:space="0" w:color="000000"/>
            </w:tcBorders>
          </w:tcPr>
          <w:p w:rsidR="00B206CA" w:rsidRPr="005F120D" w:rsidRDefault="00B206CA" w:rsidP="00B25E46">
            <w:pPr>
              <w:spacing w:after="0"/>
              <w:jc w:val="center"/>
              <w:rPr>
                <w:rFonts w:asciiTheme="minorHAnsi" w:hAnsiTheme="minorHAnsi" w:cstheme="minorHAnsi"/>
                <w:sz w:val="18"/>
              </w:rPr>
            </w:pPr>
          </w:p>
        </w:tc>
        <w:tc>
          <w:tcPr>
            <w:tcW w:w="694" w:type="pct"/>
            <w:tcBorders>
              <w:lef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2011-12</w:t>
            </w:r>
          </w:p>
        </w:tc>
        <w:tc>
          <w:tcPr>
            <w:tcW w:w="792" w:type="pct"/>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1,045</w:t>
            </w:r>
          </w:p>
        </w:tc>
        <w:tc>
          <w:tcPr>
            <w:tcW w:w="843" w:type="pct"/>
            <w:vMerge/>
            <w:vAlign w:val="center"/>
          </w:tcPr>
          <w:p w:rsidR="00B206CA" w:rsidRPr="005F120D" w:rsidRDefault="00B206CA" w:rsidP="00B25E46">
            <w:pPr>
              <w:jc w:val="center"/>
              <w:rPr>
                <w:rFonts w:asciiTheme="minorHAnsi" w:hAnsiTheme="minorHAnsi" w:cstheme="minorHAnsi"/>
                <w:sz w:val="18"/>
              </w:rPr>
            </w:pPr>
          </w:p>
        </w:tc>
        <w:tc>
          <w:tcPr>
            <w:tcW w:w="792" w:type="pct"/>
            <w:vMerge/>
            <w:vAlign w:val="center"/>
          </w:tcPr>
          <w:p w:rsidR="00B206CA" w:rsidRPr="005F120D" w:rsidRDefault="00B206CA" w:rsidP="00B25E46">
            <w:pPr>
              <w:rPr>
                <w:rFonts w:asciiTheme="minorHAnsi" w:hAnsiTheme="minorHAnsi" w:cstheme="minorHAnsi"/>
                <w:sz w:val="18"/>
              </w:rPr>
            </w:pPr>
          </w:p>
        </w:tc>
      </w:tr>
      <w:tr w:rsidR="00B206CA" w:rsidRPr="005F120D" w:rsidTr="002C547A">
        <w:tc>
          <w:tcPr>
            <w:tcW w:w="298" w:type="pct"/>
            <w:tcBorders>
              <w:top w:val="nil"/>
              <w:left w:val="single" w:sz="4" w:space="0" w:color="000000"/>
              <w:bottom w:val="nil"/>
              <w:righ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p>
        </w:tc>
        <w:tc>
          <w:tcPr>
            <w:tcW w:w="1582" w:type="pct"/>
            <w:vMerge/>
            <w:tcBorders>
              <w:top w:val="nil"/>
              <w:left w:val="single" w:sz="4" w:space="0" w:color="000000"/>
              <w:bottom w:val="nil"/>
              <w:right w:val="single" w:sz="4" w:space="0" w:color="000000"/>
            </w:tcBorders>
          </w:tcPr>
          <w:p w:rsidR="00B206CA" w:rsidRPr="005F120D" w:rsidRDefault="00B206CA" w:rsidP="00B25E46">
            <w:pPr>
              <w:spacing w:after="0"/>
              <w:jc w:val="center"/>
              <w:rPr>
                <w:rFonts w:asciiTheme="minorHAnsi" w:hAnsiTheme="minorHAnsi" w:cstheme="minorHAnsi"/>
                <w:sz w:val="18"/>
              </w:rPr>
            </w:pPr>
          </w:p>
        </w:tc>
        <w:tc>
          <w:tcPr>
            <w:tcW w:w="694" w:type="pct"/>
            <w:tcBorders>
              <w:lef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2012-13</w:t>
            </w:r>
          </w:p>
        </w:tc>
        <w:tc>
          <w:tcPr>
            <w:tcW w:w="792" w:type="pct"/>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950</w:t>
            </w:r>
          </w:p>
        </w:tc>
        <w:tc>
          <w:tcPr>
            <w:tcW w:w="843" w:type="pct"/>
            <w:vMerge/>
            <w:vAlign w:val="center"/>
          </w:tcPr>
          <w:p w:rsidR="00B206CA" w:rsidRPr="005F120D" w:rsidRDefault="00B206CA" w:rsidP="00B25E46">
            <w:pPr>
              <w:jc w:val="center"/>
              <w:rPr>
                <w:rFonts w:asciiTheme="minorHAnsi" w:hAnsiTheme="minorHAnsi" w:cstheme="minorHAnsi"/>
                <w:sz w:val="18"/>
              </w:rPr>
            </w:pPr>
          </w:p>
        </w:tc>
        <w:tc>
          <w:tcPr>
            <w:tcW w:w="792" w:type="pct"/>
            <w:vMerge/>
            <w:vAlign w:val="center"/>
          </w:tcPr>
          <w:p w:rsidR="00B206CA" w:rsidRPr="005F120D" w:rsidRDefault="00B206CA" w:rsidP="00B25E46">
            <w:pPr>
              <w:rPr>
                <w:rFonts w:asciiTheme="minorHAnsi" w:hAnsiTheme="minorHAnsi" w:cstheme="minorHAnsi"/>
                <w:sz w:val="18"/>
              </w:rPr>
            </w:pPr>
          </w:p>
        </w:tc>
      </w:tr>
      <w:tr w:rsidR="00B206CA" w:rsidRPr="005F120D" w:rsidTr="002C547A">
        <w:tc>
          <w:tcPr>
            <w:tcW w:w="298" w:type="pct"/>
            <w:tcBorders>
              <w:top w:val="nil"/>
              <w:left w:val="single" w:sz="4" w:space="0" w:color="000000"/>
              <w:bottom w:val="nil"/>
              <w:righ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p>
        </w:tc>
        <w:tc>
          <w:tcPr>
            <w:tcW w:w="1582" w:type="pct"/>
            <w:vMerge/>
            <w:tcBorders>
              <w:top w:val="nil"/>
              <w:left w:val="single" w:sz="4" w:space="0" w:color="000000"/>
              <w:bottom w:val="nil"/>
              <w:right w:val="single" w:sz="4" w:space="0" w:color="000000"/>
            </w:tcBorders>
          </w:tcPr>
          <w:p w:rsidR="00B206CA" w:rsidRPr="005F120D" w:rsidRDefault="00B206CA" w:rsidP="00B25E46">
            <w:pPr>
              <w:spacing w:after="0"/>
              <w:jc w:val="center"/>
              <w:rPr>
                <w:rFonts w:asciiTheme="minorHAnsi" w:hAnsiTheme="minorHAnsi" w:cstheme="minorHAnsi"/>
                <w:sz w:val="18"/>
              </w:rPr>
            </w:pPr>
          </w:p>
        </w:tc>
        <w:tc>
          <w:tcPr>
            <w:tcW w:w="694" w:type="pct"/>
            <w:tcBorders>
              <w:lef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2013-14</w:t>
            </w:r>
          </w:p>
        </w:tc>
        <w:tc>
          <w:tcPr>
            <w:tcW w:w="792" w:type="pct"/>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500</w:t>
            </w:r>
          </w:p>
        </w:tc>
        <w:tc>
          <w:tcPr>
            <w:tcW w:w="843" w:type="pct"/>
            <w:vMerge/>
            <w:vAlign w:val="center"/>
          </w:tcPr>
          <w:p w:rsidR="00B206CA" w:rsidRPr="005F120D" w:rsidRDefault="00B206CA" w:rsidP="00B25E46">
            <w:pPr>
              <w:jc w:val="center"/>
              <w:rPr>
                <w:rFonts w:asciiTheme="minorHAnsi" w:hAnsiTheme="minorHAnsi" w:cstheme="minorHAnsi"/>
                <w:sz w:val="18"/>
              </w:rPr>
            </w:pPr>
          </w:p>
        </w:tc>
        <w:tc>
          <w:tcPr>
            <w:tcW w:w="792" w:type="pct"/>
            <w:vMerge/>
            <w:vAlign w:val="center"/>
          </w:tcPr>
          <w:p w:rsidR="00B206CA" w:rsidRPr="005F120D" w:rsidRDefault="00B206CA" w:rsidP="00B25E46">
            <w:pPr>
              <w:rPr>
                <w:rFonts w:asciiTheme="minorHAnsi" w:hAnsiTheme="minorHAnsi" w:cstheme="minorHAnsi"/>
                <w:sz w:val="18"/>
              </w:rPr>
            </w:pPr>
          </w:p>
        </w:tc>
      </w:tr>
      <w:tr w:rsidR="00B206CA" w:rsidRPr="005F120D" w:rsidTr="0073056D">
        <w:tc>
          <w:tcPr>
            <w:tcW w:w="298" w:type="pct"/>
            <w:tcBorders>
              <w:top w:val="nil"/>
              <w:left w:val="single" w:sz="4" w:space="0" w:color="000000"/>
              <w:bottom w:val="nil"/>
              <w:righ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p>
        </w:tc>
        <w:tc>
          <w:tcPr>
            <w:tcW w:w="1582" w:type="pct"/>
            <w:vMerge/>
            <w:tcBorders>
              <w:top w:val="nil"/>
              <w:left w:val="single" w:sz="4" w:space="0" w:color="000000"/>
              <w:bottom w:val="single" w:sz="4" w:space="0" w:color="auto"/>
              <w:right w:val="single" w:sz="4" w:space="0" w:color="000000"/>
            </w:tcBorders>
          </w:tcPr>
          <w:p w:rsidR="00B206CA" w:rsidRPr="005F120D" w:rsidRDefault="00B206CA" w:rsidP="00B25E46">
            <w:pPr>
              <w:spacing w:after="0"/>
              <w:jc w:val="center"/>
              <w:rPr>
                <w:rFonts w:asciiTheme="minorHAnsi" w:hAnsiTheme="minorHAnsi" w:cstheme="minorHAnsi"/>
                <w:sz w:val="18"/>
              </w:rPr>
            </w:pPr>
          </w:p>
        </w:tc>
        <w:tc>
          <w:tcPr>
            <w:tcW w:w="694" w:type="pct"/>
            <w:tcBorders>
              <w:left w:val="single" w:sz="4" w:space="0" w:color="000000"/>
              <w:bottom w:val="single" w:sz="4" w:space="0" w:color="auto"/>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2014-15</w:t>
            </w:r>
          </w:p>
        </w:tc>
        <w:tc>
          <w:tcPr>
            <w:tcW w:w="792" w:type="pct"/>
            <w:tcBorders>
              <w:bottom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453</w:t>
            </w:r>
          </w:p>
        </w:tc>
        <w:tc>
          <w:tcPr>
            <w:tcW w:w="843" w:type="pct"/>
            <w:vMerge/>
            <w:tcBorders>
              <w:bottom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p>
        </w:tc>
        <w:tc>
          <w:tcPr>
            <w:tcW w:w="792" w:type="pct"/>
            <w:vMerge/>
            <w:tcBorders>
              <w:bottom w:val="single" w:sz="4" w:space="0" w:color="000000"/>
            </w:tcBorders>
            <w:vAlign w:val="center"/>
          </w:tcPr>
          <w:p w:rsidR="00B206CA" w:rsidRPr="005F120D" w:rsidRDefault="00B206CA" w:rsidP="00B25E46">
            <w:pPr>
              <w:spacing w:after="0"/>
              <w:rPr>
                <w:rFonts w:asciiTheme="minorHAnsi" w:hAnsiTheme="minorHAnsi" w:cstheme="minorHAnsi"/>
                <w:sz w:val="18"/>
              </w:rPr>
            </w:pPr>
          </w:p>
        </w:tc>
      </w:tr>
      <w:tr w:rsidR="00B206CA" w:rsidRPr="005F120D" w:rsidTr="0073056D">
        <w:tc>
          <w:tcPr>
            <w:tcW w:w="298" w:type="pct"/>
            <w:tcBorders>
              <w:top w:val="nil"/>
              <w:left w:val="single" w:sz="4" w:space="0" w:color="000000"/>
              <w:bottom w:val="single" w:sz="4" w:space="0" w:color="000000"/>
              <w:right w:val="single" w:sz="4" w:space="0" w:color="000000"/>
            </w:tcBorders>
            <w:vAlign w:val="center"/>
          </w:tcPr>
          <w:p w:rsidR="00B206CA" w:rsidRPr="005F120D" w:rsidRDefault="00B206CA" w:rsidP="00B25E46">
            <w:pPr>
              <w:spacing w:after="0"/>
              <w:jc w:val="center"/>
              <w:rPr>
                <w:rFonts w:asciiTheme="minorHAnsi" w:hAnsiTheme="minorHAnsi" w:cstheme="minorHAnsi"/>
                <w:sz w:val="18"/>
              </w:rPr>
            </w:pPr>
          </w:p>
        </w:tc>
        <w:tc>
          <w:tcPr>
            <w:tcW w:w="1582" w:type="pct"/>
            <w:tcBorders>
              <w:top w:val="single" w:sz="4" w:space="0" w:color="auto"/>
              <w:left w:val="single" w:sz="4" w:space="0" w:color="000000"/>
              <w:bottom w:val="single" w:sz="4" w:space="0" w:color="000000"/>
              <w:right w:val="single" w:sz="4" w:space="0" w:color="000000"/>
            </w:tcBorders>
          </w:tcPr>
          <w:p w:rsidR="00B206CA" w:rsidRPr="005F120D" w:rsidRDefault="00224C3F" w:rsidP="00B25E46">
            <w:pPr>
              <w:spacing w:after="0"/>
              <w:rPr>
                <w:rFonts w:asciiTheme="minorHAnsi" w:hAnsiTheme="minorHAnsi" w:cstheme="minorHAnsi"/>
                <w:sz w:val="20"/>
              </w:rPr>
            </w:pPr>
            <w:r w:rsidRPr="005F120D">
              <w:rPr>
                <w:rFonts w:asciiTheme="minorHAnsi" w:hAnsiTheme="minorHAnsi" w:cstheme="minorHAnsi"/>
                <w:sz w:val="20"/>
              </w:rPr>
              <w:t>2015/16 budget TK. 200.45 crore</w:t>
            </w:r>
          </w:p>
        </w:tc>
        <w:tc>
          <w:tcPr>
            <w:tcW w:w="694" w:type="pct"/>
            <w:tcBorders>
              <w:top w:val="single" w:sz="4" w:space="0" w:color="auto"/>
              <w:left w:val="single" w:sz="4" w:space="0" w:color="000000"/>
              <w:bottom w:val="single" w:sz="4" w:space="0" w:color="auto"/>
              <w:right w:val="single" w:sz="4" w:space="0" w:color="auto"/>
            </w:tcBorders>
            <w:shd w:val="clear" w:color="auto" w:fill="EEECE1" w:themeFill="background2"/>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2015-16</w:t>
            </w:r>
          </w:p>
        </w:tc>
        <w:tc>
          <w:tcPr>
            <w:tcW w:w="792" w:type="pct"/>
            <w:tcBorders>
              <w:left w:val="single" w:sz="4" w:space="0" w:color="auto"/>
            </w:tcBorders>
            <w:shd w:val="clear" w:color="auto" w:fill="EEECE1" w:themeFill="background2"/>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250</w:t>
            </w:r>
          </w:p>
        </w:tc>
        <w:tc>
          <w:tcPr>
            <w:tcW w:w="843" w:type="pct"/>
            <w:shd w:val="clear" w:color="auto" w:fill="EEECE1" w:themeFill="background2"/>
            <w:vAlign w:val="center"/>
          </w:tcPr>
          <w:p w:rsidR="00B206CA" w:rsidRPr="005F120D" w:rsidRDefault="00B206CA" w:rsidP="00B25E46">
            <w:pPr>
              <w:spacing w:after="0"/>
              <w:jc w:val="center"/>
              <w:rPr>
                <w:rFonts w:asciiTheme="minorHAnsi" w:hAnsiTheme="minorHAnsi" w:cstheme="minorHAnsi"/>
                <w:sz w:val="18"/>
              </w:rPr>
            </w:pPr>
          </w:p>
        </w:tc>
        <w:tc>
          <w:tcPr>
            <w:tcW w:w="792" w:type="pct"/>
            <w:shd w:val="clear" w:color="auto" w:fill="EEECE1" w:themeFill="background2"/>
            <w:vAlign w:val="center"/>
          </w:tcPr>
          <w:p w:rsidR="00B206CA" w:rsidRPr="005F120D" w:rsidRDefault="00E518D6" w:rsidP="00B25E46">
            <w:pPr>
              <w:spacing w:after="0"/>
              <w:rPr>
                <w:rFonts w:asciiTheme="minorHAnsi" w:hAnsiTheme="minorHAnsi" w:cstheme="minorHAnsi"/>
                <w:sz w:val="18"/>
              </w:rPr>
            </w:pPr>
            <w:r w:rsidRPr="005F120D">
              <w:rPr>
                <w:rFonts w:asciiTheme="minorHAnsi" w:hAnsiTheme="minorHAnsi" w:cstheme="minorHAnsi"/>
                <w:sz w:val="18"/>
              </w:rPr>
              <w:t>150.33</w:t>
            </w:r>
          </w:p>
        </w:tc>
      </w:tr>
      <w:tr w:rsidR="00754DE0" w:rsidRPr="005F120D" w:rsidTr="002C547A">
        <w:tc>
          <w:tcPr>
            <w:tcW w:w="298" w:type="pct"/>
            <w:tcBorders>
              <w:top w:val="single" w:sz="4" w:space="0" w:color="000000"/>
              <w:left w:val="single" w:sz="4" w:space="0" w:color="auto"/>
              <w:bottom w:val="single" w:sz="4" w:space="0" w:color="auto"/>
              <w:right w:val="single" w:sz="4" w:space="0" w:color="auto"/>
            </w:tcBorders>
            <w:vAlign w:val="center"/>
          </w:tcPr>
          <w:p w:rsidR="00754DE0"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2</w:t>
            </w:r>
          </w:p>
        </w:tc>
        <w:tc>
          <w:tcPr>
            <w:tcW w:w="1582" w:type="pct"/>
            <w:tcBorders>
              <w:top w:val="single" w:sz="4" w:space="0" w:color="000000"/>
              <w:left w:val="single" w:sz="4" w:space="0" w:color="auto"/>
              <w:bottom w:val="single" w:sz="4" w:space="0" w:color="auto"/>
              <w:right w:val="single" w:sz="4" w:space="0" w:color="auto"/>
            </w:tcBorders>
          </w:tcPr>
          <w:p w:rsidR="00754DE0" w:rsidRPr="005F120D" w:rsidRDefault="00754DE0" w:rsidP="00B25E46">
            <w:pPr>
              <w:spacing w:after="0"/>
              <w:rPr>
                <w:rFonts w:asciiTheme="minorHAnsi" w:hAnsiTheme="minorHAnsi" w:cstheme="minorHAnsi"/>
                <w:sz w:val="18"/>
              </w:rPr>
            </w:pPr>
            <w:r w:rsidRPr="005F120D">
              <w:rPr>
                <w:rFonts w:asciiTheme="minorHAnsi" w:hAnsiTheme="minorHAnsi" w:cstheme="minorHAnsi"/>
                <w:sz w:val="20"/>
                <w:szCs w:val="20"/>
              </w:rPr>
              <w:t>Installation of Deep/shallow tube-wells</w:t>
            </w:r>
          </w:p>
        </w:tc>
        <w:tc>
          <w:tcPr>
            <w:tcW w:w="694" w:type="pct"/>
            <w:tcBorders>
              <w:top w:val="single" w:sz="4" w:space="0" w:color="auto"/>
              <w:left w:val="single" w:sz="4" w:space="0" w:color="auto"/>
              <w:bottom w:val="single" w:sz="4" w:space="0" w:color="auto"/>
              <w:right w:val="single" w:sz="4" w:space="0" w:color="auto"/>
            </w:tcBorders>
            <w:vAlign w:val="center"/>
          </w:tcPr>
          <w:p w:rsidR="00754DE0" w:rsidRPr="005F120D" w:rsidRDefault="00754DE0" w:rsidP="00B25E46">
            <w:pPr>
              <w:spacing w:after="0"/>
              <w:jc w:val="center"/>
              <w:rPr>
                <w:rFonts w:asciiTheme="minorHAnsi" w:hAnsiTheme="minorHAnsi" w:cstheme="minorHAnsi"/>
                <w:sz w:val="18"/>
              </w:rPr>
            </w:pPr>
          </w:p>
        </w:tc>
        <w:tc>
          <w:tcPr>
            <w:tcW w:w="792" w:type="pct"/>
            <w:tcBorders>
              <w:left w:val="single" w:sz="4" w:space="0" w:color="auto"/>
            </w:tcBorders>
            <w:vAlign w:val="center"/>
          </w:tcPr>
          <w:p w:rsidR="00754DE0"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20"/>
                <w:szCs w:val="20"/>
              </w:rPr>
              <w:t>5,600 nos.</w:t>
            </w:r>
          </w:p>
        </w:tc>
        <w:tc>
          <w:tcPr>
            <w:tcW w:w="843" w:type="pct"/>
            <w:vAlign w:val="center"/>
          </w:tcPr>
          <w:p w:rsidR="00754DE0" w:rsidRPr="005F120D" w:rsidRDefault="00754DE0" w:rsidP="00B25E46">
            <w:pPr>
              <w:spacing w:after="0"/>
              <w:jc w:val="center"/>
              <w:rPr>
                <w:rFonts w:asciiTheme="minorHAnsi" w:hAnsiTheme="minorHAnsi" w:cstheme="minorHAnsi"/>
                <w:sz w:val="18"/>
              </w:rPr>
            </w:pPr>
          </w:p>
        </w:tc>
        <w:tc>
          <w:tcPr>
            <w:tcW w:w="792" w:type="pct"/>
            <w:vAlign w:val="center"/>
          </w:tcPr>
          <w:p w:rsidR="00754DE0" w:rsidRPr="005F120D" w:rsidRDefault="00754DE0" w:rsidP="00B25E46">
            <w:pPr>
              <w:spacing w:after="0"/>
              <w:rPr>
                <w:rFonts w:asciiTheme="minorHAnsi" w:hAnsiTheme="minorHAnsi" w:cstheme="minorHAnsi"/>
                <w:sz w:val="18"/>
              </w:rPr>
            </w:pPr>
          </w:p>
        </w:tc>
      </w:tr>
      <w:tr w:rsidR="00754DE0" w:rsidRPr="005F120D" w:rsidTr="002C547A">
        <w:tc>
          <w:tcPr>
            <w:tcW w:w="298" w:type="pct"/>
            <w:tcBorders>
              <w:top w:val="single" w:sz="4" w:space="0" w:color="auto"/>
              <w:left w:val="single" w:sz="4" w:space="0" w:color="auto"/>
              <w:bottom w:val="single" w:sz="4" w:space="0" w:color="auto"/>
              <w:right w:val="single" w:sz="4" w:space="0" w:color="auto"/>
            </w:tcBorders>
            <w:vAlign w:val="center"/>
          </w:tcPr>
          <w:p w:rsidR="00754DE0"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3</w:t>
            </w:r>
          </w:p>
        </w:tc>
        <w:tc>
          <w:tcPr>
            <w:tcW w:w="1582" w:type="pct"/>
            <w:tcBorders>
              <w:top w:val="single" w:sz="4" w:space="0" w:color="auto"/>
              <w:left w:val="single" w:sz="4" w:space="0" w:color="auto"/>
              <w:bottom w:val="single" w:sz="4" w:space="0" w:color="auto"/>
              <w:right w:val="single" w:sz="4" w:space="0" w:color="auto"/>
            </w:tcBorders>
          </w:tcPr>
          <w:p w:rsidR="00754DE0" w:rsidRPr="005F120D" w:rsidRDefault="00754DE0" w:rsidP="001D5A5D">
            <w:pPr>
              <w:spacing w:after="0"/>
              <w:rPr>
                <w:rFonts w:asciiTheme="minorHAnsi" w:hAnsiTheme="minorHAnsi" w:cstheme="minorHAnsi"/>
                <w:sz w:val="20"/>
              </w:rPr>
            </w:pPr>
            <w:r w:rsidRPr="005F120D">
              <w:rPr>
                <w:rFonts w:asciiTheme="minorHAnsi" w:hAnsiTheme="minorHAnsi" w:cstheme="minorHAnsi"/>
                <w:sz w:val="20"/>
                <w:szCs w:val="20"/>
              </w:rPr>
              <w:t>Supply of High/Low bench</w:t>
            </w:r>
            <w:r w:rsidR="001D5A5D" w:rsidRPr="005F120D">
              <w:rPr>
                <w:rFonts w:asciiTheme="minorHAnsi" w:hAnsiTheme="minorHAnsi" w:cstheme="minorHAnsi"/>
                <w:sz w:val="20"/>
                <w:szCs w:val="20"/>
              </w:rPr>
              <w:t>es</w:t>
            </w:r>
          </w:p>
        </w:tc>
        <w:tc>
          <w:tcPr>
            <w:tcW w:w="694" w:type="pct"/>
            <w:tcBorders>
              <w:top w:val="single" w:sz="4" w:space="0" w:color="auto"/>
              <w:left w:val="single" w:sz="4" w:space="0" w:color="auto"/>
              <w:bottom w:val="single" w:sz="4" w:space="0" w:color="auto"/>
              <w:right w:val="single" w:sz="4" w:space="0" w:color="auto"/>
            </w:tcBorders>
            <w:vAlign w:val="center"/>
          </w:tcPr>
          <w:p w:rsidR="00754DE0" w:rsidRPr="005F120D" w:rsidRDefault="00754DE0" w:rsidP="00B25E46">
            <w:pPr>
              <w:spacing w:after="0"/>
              <w:jc w:val="center"/>
              <w:rPr>
                <w:rFonts w:asciiTheme="minorHAnsi" w:hAnsiTheme="minorHAnsi" w:cstheme="minorHAnsi"/>
                <w:sz w:val="18"/>
              </w:rPr>
            </w:pPr>
          </w:p>
        </w:tc>
        <w:tc>
          <w:tcPr>
            <w:tcW w:w="792" w:type="pct"/>
            <w:tcBorders>
              <w:left w:val="single" w:sz="4" w:space="0" w:color="auto"/>
            </w:tcBorders>
            <w:vAlign w:val="center"/>
          </w:tcPr>
          <w:p w:rsidR="00754DE0"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20"/>
                <w:szCs w:val="20"/>
              </w:rPr>
              <w:t>268,800 pairs</w:t>
            </w:r>
          </w:p>
        </w:tc>
        <w:tc>
          <w:tcPr>
            <w:tcW w:w="843" w:type="pct"/>
            <w:vAlign w:val="center"/>
          </w:tcPr>
          <w:p w:rsidR="00754DE0" w:rsidRPr="005F120D" w:rsidRDefault="00754DE0" w:rsidP="00B25E46">
            <w:pPr>
              <w:spacing w:after="0"/>
              <w:jc w:val="center"/>
              <w:rPr>
                <w:rFonts w:asciiTheme="minorHAnsi" w:hAnsiTheme="minorHAnsi" w:cstheme="minorHAnsi"/>
                <w:sz w:val="18"/>
              </w:rPr>
            </w:pPr>
          </w:p>
        </w:tc>
        <w:tc>
          <w:tcPr>
            <w:tcW w:w="792" w:type="pct"/>
            <w:vAlign w:val="center"/>
          </w:tcPr>
          <w:p w:rsidR="00754DE0" w:rsidRPr="005F120D" w:rsidRDefault="00754DE0" w:rsidP="00B25E46">
            <w:pPr>
              <w:spacing w:after="0"/>
              <w:rPr>
                <w:rFonts w:asciiTheme="minorHAnsi" w:hAnsiTheme="minorHAnsi" w:cstheme="minorHAnsi"/>
                <w:sz w:val="18"/>
              </w:rPr>
            </w:pPr>
          </w:p>
        </w:tc>
      </w:tr>
      <w:tr w:rsidR="00754DE0" w:rsidRPr="005F120D" w:rsidTr="002C547A">
        <w:tc>
          <w:tcPr>
            <w:tcW w:w="298" w:type="pct"/>
            <w:tcBorders>
              <w:top w:val="single" w:sz="4" w:space="0" w:color="auto"/>
              <w:left w:val="single" w:sz="4" w:space="0" w:color="auto"/>
              <w:bottom w:val="single" w:sz="4" w:space="0" w:color="auto"/>
              <w:right w:val="single" w:sz="4" w:space="0" w:color="auto"/>
            </w:tcBorders>
            <w:vAlign w:val="center"/>
          </w:tcPr>
          <w:p w:rsidR="00754DE0"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4</w:t>
            </w:r>
          </w:p>
        </w:tc>
        <w:tc>
          <w:tcPr>
            <w:tcW w:w="1582" w:type="pct"/>
            <w:tcBorders>
              <w:top w:val="single" w:sz="4" w:space="0" w:color="auto"/>
              <w:left w:val="single" w:sz="4" w:space="0" w:color="auto"/>
              <w:bottom w:val="single" w:sz="4" w:space="0" w:color="auto"/>
              <w:right w:val="single" w:sz="4" w:space="0" w:color="auto"/>
            </w:tcBorders>
          </w:tcPr>
          <w:p w:rsidR="00754DE0" w:rsidRPr="005F120D" w:rsidRDefault="00754DE0" w:rsidP="00B25E46">
            <w:pPr>
              <w:spacing w:after="0"/>
              <w:rPr>
                <w:rFonts w:asciiTheme="minorHAnsi" w:hAnsiTheme="minorHAnsi" w:cstheme="minorHAnsi"/>
                <w:sz w:val="20"/>
              </w:rPr>
            </w:pPr>
            <w:r w:rsidRPr="005F120D">
              <w:rPr>
                <w:rFonts w:asciiTheme="minorHAnsi" w:hAnsiTheme="minorHAnsi" w:cstheme="minorHAnsi"/>
                <w:sz w:val="20"/>
                <w:szCs w:val="20"/>
              </w:rPr>
              <w:t>Supply of Chairs</w:t>
            </w:r>
          </w:p>
        </w:tc>
        <w:tc>
          <w:tcPr>
            <w:tcW w:w="694" w:type="pct"/>
            <w:tcBorders>
              <w:top w:val="single" w:sz="4" w:space="0" w:color="auto"/>
              <w:left w:val="single" w:sz="4" w:space="0" w:color="auto"/>
              <w:bottom w:val="single" w:sz="4" w:space="0" w:color="auto"/>
              <w:right w:val="single" w:sz="4" w:space="0" w:color="auto"/>
            </w:tcBorders>
            <w:vAlign w:val="center"/>
          </w:tcPr>
          <w:p w:rsidR="00754DE0" w:rsidRPr="005F120D" w:rsidRDefault="00754DE0" w:rsidP="00B25E46">
            <w:pPr>
              <w:spacing w:after="0"/>
              <w:jc w:val="center"/>
              <w:rPr>
                <w:rFonts w:asciiTheme="minorHAnsi" w:hAnsiTheme="minorHAnsi" w:cstheme="minorHAnsi"/>
                <w:sz w:val="18"/>
              </w:rPr>
            </w:pPr>
          </w:p>
        </w:tc>
        <w:tc>
          <w:tcPr>
            <w:tcW w:w="792" w:type="pct"/>
            <w:tcBorders>
              <w:left w:val="single" w:sz="4" w:space="0" w:color="auto"/>
            </w:tcBorders>
            <w:vAlign w:val="center"/>
          </w:tcPr>
          <w:p w:rsidR="00754DE0"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20"/>
                <w:szCs w:val="20"/>
              </w:rPr>
              <w:t>33,600 nos.</w:t>
            </w:r>
          </w:p>
        </w:tc>
        <w:tc>
          <w:tcPr>
            <w:tcW w:w="843" w:type="pct"/>
            <w:vAlign w:val="center"/>
          </w:tcPr>
          <w:p w:rsidR="00754DE0" w:rsidRPr="005F120D" w:rsidRDefault="00754DE0" w:rsidP="00B25E46">
            <w:pPr>
              <w:spacing w:after="0"/>
              <w:jc w:val="center"/>
              <w:rPr>
                <w:rFonts w:asciiTheme="minorHAnsi" w:hAnsiTheme="minorHAnsi" w:cstheme="minorHAnsi"/>
                <w:sz w:val="18"/>
              </w:rPr>
            </w:pPr>
          </w:p>
        </w:tc>
        <w:tc>
          <w:tcPr>
            <w:tcW w:w="792" w:type="pct"/>
            <w:vAlign w:val="center"/>
          </w:tcPr>
          <w:p w:rsidR="00754DE0" w:rsidRPr="005F120D" w:rsidRDefault="00754DE0" w:rsidP="00B25E46">
            <w:pPr>
              <w:spacing w:after="0"/>
              <w:rPr>
                <w:rFonts w:asciiTheme="minorHAnsi" w:hAnsiTheme="minorHAnsi" w:cstheme="minorHAnsi"/>
                <w:sz w:val="18"/>
              </w:rPr>
            </w:pPr>
          </w:p>
        </w:tc>
      </w:tr>
      <w:tr w:rsidR="00754DE0" w:rsidRPr="005F120D" w:rsidTr="002C547A">
        <w:tc>
          <w:tcPr>
            <w:tcW w:w="298" w:type="pct"/>
            <w:tcBorders>
              <w:top w:val="single" w:sz="4" w:space="0" w:color="auto"/>
              <w:left w:val="single" w:sz="4" w:space="0" w:color="auto"/>
              <w:bottom w:val="single" w:sz="4" w:space="0" w:color="auto"/>
              <w:right w:val="single" w:sz="4" w:space="0" w:color="auto"/>
            </w:tcBorders>
            <w:vAlign w:val="center"/>
          </w:tcPr>
          <w:p w:rsidR="00754DE0"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5</w:t>
            </w:r>
          </w:p>
        </w:tc>
        <w:tc>
          <w:tcPr>
            <w:tcW w:w="1582" w:type="pct"/>
            <w:tcBorders>
              <w:top w:val="single" w:sz="4" w:space="0" w:color="auto"/>
              <w:left w:val="single" w:sz="4" w:space="0" w:color="auto"/>
              <w:bottom w:val="single" w:sz="4" w:space="0" w:color="auto"/>
              <w:right w:val="single" w:sz="4" w:space="0" w:color="auto"/>
            </w:tcBorders>
          </w:tcPr>
          <w:p w:rsidR="00754DE0" w:rsidRPr="005F120D" w:rsidRDefault="00754DE0" w:rsidP="00B25E46">
            <w:pPr>
              <w:spacing w:after="0"/>
              <w:rPr>
                <w:rFonts w:asciiTheme="minorHAnsi" w:hAnsiTheme="minorHAnsi" w:cstheme="minorHAnsi"/>
                <w:sz w:val="20"/>
              </w:rPr>
            </w:pPr>
            <w:r w:rsidRPr="005F120D">
              <w:rPr>
                <w:rFonts w:asciiTheme="minorHAnsi" w:hAnsiTheme="minorHAnsi" w:cstheme="minorHAnsi"/>
                <w:sz w:val="20"/>
                <w:szCs w:val="20"/>
              </w:rPr>
              <w:t>Supply of Tables</w:t>
            </w:r>
          </w:p>
        </w:tc>
        <w:tc>
          <w:tcPr>
            <w:tcW w:w="694" w:type="pct"/>
            <w:tcBorders>
              <w:top w:val="single" w:sz="4" w:space="0" w:color="auto"/>
              <w:left w:val="single" w:sz="4" w:space="0" w:color="auto"/>
              <w:bottom w:val="single" w:sz="4" w:space="0" w:color="auto"/>
              <w:right w:val="single" w:sz="4" w:space="0" w:color="auto"/>
            </w:tcBorders>
            <w:vAlign w:val="center"/>
          </w:tcPr>
          <w:p w:rsidR="00754DE0" w:rsidRPr="005F120D" w:rsidRDefault="00754DE0" w:rsidP="00B25E46">
            <w:pPr>
              <w:spacing w:after="0"/>
              <w:jc w:val="center"/>
              <w:rPr>
                <w:rFonts w:asciiTheme="minorHAnsi" w:hAnsiTheme="minorHAnsi" w:cstheme="minorHAnsi"/>
                <w:sz w:val="18"/>
              </w:rPr>
            </w:pPr>
          </w:p>
        </w:tc>
        <w:tc>
          <w:tcPr>
            <w:tcW w:w="792" w:type="pct"/>
            <w:tcBorders>
              <w:left w:val="single" w:sz="4" w:space="0" w:color="auto"/>
            </w:tcBorders>
            <w:vAlign w:val="center"/>
          </w:tcPr>
          <w:p w:rsidR="00754DE0"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20"/>
                <w:szCs w:val="20"/>
              </w:rPr>
              <w:t>22,400 nos.</w:t>
            </w:r>
          </w:p>
        </w:tc>
        <w:tc>
          <w:tcPr>
            <w:tcW w:w="843" w:type="pct"/>
            <w:vAlign w:val="center"/>
          </w:tcPr>
          <w:p w:rsidR="00754DE0" w:rsidRPr="005F120D" w:rsidRDefault="00754DE0" w:rsidP="00B25E46">
            <w:pPr>
              <w:spacing w:after="0"/>
              <w:jc w:val="center"/>
              <w:rPr>
                <w:rFonts w:asciiTheme="minorHAnsi" w:hAnsiTheme="minorHAnsi" w:cstheme="minorHAnsi"/>
                <w:sz w:val="18"/>
              </w:rPr>
            </w:pPr>
          </w:p>
        </w:tc>
        <w:tc>
          <w:tcPr>
            <w:tcW w:w="792" w:type="pct"/>
            <w:vAlign w:val="center"/>
          </w:tcPr>
          <w:p w:rsidR="00754DE0" w:rsidRPr="005F120D" w:rsidRDefault="00754DE0" w:rsidP="00B25E46">
            <w:pPr>
              <w:spacing w:after="0"/>
              <w:rPr>
                <w:rFonts w:asciiTheme="minorHAnsi" w:hAnsiTheme="minorHAnsi" w:cstheme="minorHAnsi"/>
                <w:sz w:val="18"/>
              </w:rPr>
            </w:pPr>
          </w:p>
        </w:tc>
      </w:tr>
      <w:tr w:rsidR="00B206CA" w:rsidRPr="005F120D" w:rsidTr="002C547A">
        <w:tc>
          <w:tcPr>
            <w:tcW w:w="298" w:type="pct"/>
            <w:tcBorders>
              <w:top w:val="single" w:sz="4" w:space="0" w:color="auto"/>
              <w:left w:val="single" w:sz="4" w:space="0" w:color="auto"/>
              <w:bottom w:val="single" w:sz="4" w:space="0" w:color="auto"/>
              <w:right w:val="single" w:sz="4" w:space="0" w:color="auto"/>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18"/>
              </w:rPr>
              <w:t>6</w:t>
            </w:r>
          </w:p>
        </w:tc>
        <w:tc>
          <w:tcPr>
            <w:tcW w:w="1582" w:type="pct"/>
            <w:tcBorders>
              <w:top w:val="single" w:sz="4" w:space="0" w:color="auto"/>
              <w:left w:val="single" w:sz="4" w:space="0" w:color="auto"/>
              <w:bottom w:val="single" w:sz="4" w:space="0" w:color="auto"/>
              <w:right w:val="single" w:sz="4" w:space="0" w:color="auto"/>
            </w:tcBorders>
          </w:tcPr>
          <w:p w:rsidR="00B206CA" w:rsidRPr="005F120D" w:rsidRDefault="00B4704B" w:rsidP="00B25E46">
            <w:pPr>
              <w:spacing w:after="0"/>
              <w:rPr>
                <w:rFonts w:asciiTheme="minorHAnsi" w:hAnsiTheme="minorHAnsi" w:cstheme="minorHAnsi"/>
                <w:sz w:val="20"/>
              </w:rPr>
            </w:pPr>
            <w:r>
              <w:rPr>
                <w:rFonts w:asciiTheme="minorHAnsi" w:hAnsiTheme="minorHAnsi" w:cstheme="minorHAnsi"/>
                <w:sz w:val="20"/>
                <w:szCs w:val="20"/>
              </w:rPr>
              <w:t>Supply of Almira</w:t>
            </w:r>
            <w:r w:rsidR="00B206CA" w:rsidRPr="005F120D">
              <w:rPr>
                <w:rFonts w:asciiTheme="minorHAnsi" w:hAnsiTheme="minorHAnsi" w:cstheme="minorHAnsi"/>
                <w:sz w:val="20"/>
                <w:szCs w:val="20"/>
              </w:rPr>
              <w:t>s</w:t>
            </w:r>
          </w:p>
        </w:tc>
        <w:tc>
          <w:tcPr>
            <w:tcW w:w="694" w:type="pct"/>
            <w:tcBorders>
              <w:top w:val="single" w:sz="4" w:space="0" w:color="auto"/>
              <w:left w:val="single" w:sz="4" w:space="0" w:color="auto"/>
              <w:bottom w:val="single" w:sz="4" w:space="0" w:color="auto"/>
              <w:right w:val="single" w:sz="4" w:space="0" w:color="auto"/>
            </w:tcBorders>
            <w:vAlign w:val="center"/>
          </w:tcPr>
          <w:p w:rsidR="00B206CA" w:rsidRPr="005F120D" w:rsidRDefault="00B206CA" w:rsidP="00B25E46">
            <w:pPr>
              <w:spacing w:after="0"/>
              <w:jc w:val="center"/>
              <w:rPr>
                <w:rFonts w:asciiTheme="minorHAnsi" w:hAnsiTheme="minorHAnsi" w:cstheme="minorHAnsi"/>
                <w:sz w:val="18"/>
              </w:rPr>
            </w:pPr>
          </w:p>
        </w:tc>
        <w:tc>
          <w:tcPr>
            <w:tcW w:w="792" w:type="pct"/>
            <w:tcBorders>
              <w:left w:val="single" w:sz="4" w:space="0" w:color="auto"/>
            </w:tcBorders>
            <w:vAlign w:val="center"/>
          </w:tcPr>
          <w:p w:rsidR="00B206CA" w:rsidRPr="005F120D" w:rsidRDefault="00B206CA" w:rsidP="00B25E46">
            <w:pPr>
              <w:spacing w:after="0"/>
              <w:jc w:val="center"/>
              <w:rPr>
                <w:rFonts w:asciiTheme="minorHAnsi" w:hAnsiTheme="minorHAnsi" w:cstheme="minorHAnsi"/>
                <w:sz w:val="18"/>
              </w:rPr>
            </w:pPr>
            <w:r w:rsidRPr="005F120D">
              <w:rPr>
                <w:rFonts w:asciiTheme="minorHAnsi" w:hAnsiTheme="minorHAnsi" w:cstheme="minorHAnsi"/>
                <w:sz w:val="20"/>
                <w:szCs w:val="20"/>
              </w:rPr>
              <w:t>5,600 nos.</w:t>
            </w:r>
          </w:p>
        </w:tc>
        <w:tc>
          <w:tcPr>
            <w:tcW w:w="843" w:type="pct"/>
            <w:vAlign w:val="center"/>
          </w:tcPr>
          <w:p w:rsidR="00B206CA" w:rsidRPr="005F120D" w:rsidRDefault="00B206CA" w:rsidP="00B25E46">
            <w:pPr>
              <w:spacing w:after="0"/>
              <w:jc w:val="center"/>
              <w:rPr>
                <w:rFonts w:asciiTheme="minorHAnsi" w:hAnsiTheme="minorHAnsi" w:cstheme="minorHAnsi"/>
                <w:sz w:val="18"/>
              </w:rPr>
            </w:pPr>
          </w:p>
        </w:tc>
        <w:tc>
          <w:tcPr>
            <w:tcW w:w="792" w:type="pct"/>
            <w:vAlign w:val="center"/>
          </w:tcPr>
          <w:p w:rsidR="00B206CA" w:rsidRPr="005F120D" w:rsidRDefault="00B206CA" w:rsidP="00B25E46">
            <w:pPr>
              <w:spacing w:after="0"/>
              <w:rPr>
                <w:rFonts w:asciiTheme="minorHAnsi" w:hAnsiTheme="minorHAnsi" w:cstheme="minorHAnsi"/>
                <w:sz w:val="18"/>
              </w:rPr>
            </w:pPr>
          </w:p>
        </w:tc>
      </w:tr>
    </w:tbl>
    <w:p w:rsidR="00224C3F" w:rsidRPr="005F120D" w:rsidRDefault="00224C3F" w:rsidP="00B25E46">
      <w:pPr>
        <w:pStyle w:val="Heading2NONUM"/>
        <w:numPr>
          <w:ilvl w:val="0"/>
          <w:numId w:val="36"/>
        </w:numPr>
        <w:spacing w:before="240"/>
        <w:rPr>
          <w:rFonts w:asciiTheme="minorHAnsi" w:hAnsiTheme="minorHAnsi" w:cstheme="minorHAnsi"/>
          <w:color w:val="3333FF"/>
          <w:szCs w:val="24"/>
        </w:rPr>
      </w:pPr>
      <w:r w:rsidRPr="005F120D">
        <w:rPr>
          <w:rFonts w:asciiTheme="minorHAnsi" w:hAnsiTheme="minorHAnsi" w:cstheme="minorHAnsi"/>
          <w:color w:val="3333FF"/>
          <w:szCs w:val="24"/>
        </w:rPr>
        <w:t>New Discrete Project – Need</w:t>
      </w:r>
      <w:r w:rsidR="001D5A5D" w:rsidRPr="005F120D">
        <w:rPr>
          <w:rFonts w:asciiTheme="minorHAnsi" w:hAnsiTheme="minorHAnsi" w:cstheme="minorHAnsi"/>
          <w:color w:val="3333FF"/>
          <w:szCs w:val="24"/>
        </w:rPr>
        <w:t>s-</w:t>
      </w:r>
      <w:r w:rsidRPr="005F120D">
        <w:rPr>
          <w:rFonts w:asciiTheme="minorHAnsi" w:hAnsiTheme="minorHAnsi" w:cstheme="minorHAnsi"/>
          <w:color w:val="3333FF"/>
          <w:szCs w:val="24"/>
        </w:rPr>
        <w:t>based infrastructure Development Project</w:t>
      </w:r>
    </w:p>
    <w:p w:rsidR="00224C3F" w:rsidRPr="005F120D" w:rsidRDefault="00224C3F" w:rsidP="00B25E46">
      <w:pPr>
        <w:pStyle w:val="BodyText1"/>
        <w:spacing w:line="240" w:lineRule="auto"/>
        <w:rPr>
          <w:rFonts w:asciiTheme="minorHAnsi" w:hAnsiTheme="minorHAnsi" w:cstheme="minorHAnsi"/>
          <w:sz w:val="20"/>
        </w:rPr>
      </w:pPr>
      <w:r w:rsidRPr="005F120D">
        <w:rPr>
          <w:rFonts w:asciiTheme="minorHAnsi" w:hAnsiTheme="minorHAnsi" w:cstheme="minorHAnsi"/>
          <w:sz w:val="20"/>
        </w:rPr>
        <w:t>Goal/Aim:</w:t>
      </w:r>
      <w:r w:rsidR="00392C0C" w:rsidRPr="005F120D">
        <w:rPr>
          <w:rFonts w:asciiTheme="minorHAnsi" w:hAnsiTheme="minorHAnsi" w:cstheme="minorHAnsi"/>
          <w:sz w:val="20"/>
        </w:rPr>
        <w:t xml:space="preserve"> Ensu</w:t>
      </w:r>
      <w:r w:rsidR="001D5A5D" w:rsidRPr="005F120D">
        <w:rPr>
          <w:rFonts w:asciiTheme="minorHAnsi" w:hAnsiTheme="minorHAnsi" w:cstheme="minorHAnsi"/>
          <w:sz w:val="20"/>
        </w:rPr>
        <w:t>re access of all children to school from Pre-P</w:t>
      </w:r>
      <w:r w:rsidR="00392C0C" w:rsidRPr="005F120D">
        <w:rPr>
          <w:rFonts w:asciiTheme="minorHAnsi" w:hAnsiTheme="minorHAnsi" w:cstheme="minorHAnsi"/>
          <w:sz w:val="20"/>
        </w:rPr>
        <w:t>rimary to Grade 5.</w:t>
      </w:r>
    </w:p>
    <w:p w:rsidR="00224C3F" w:rsidRPr="005F120D" w:rsidRDefault="00224C3F" w:rsidP="00B25E46">
      <w:pPr>
        <w:pStyle w:val="BodyText1"/>
        <w:spacing w:after="0" w:line="240" w:lineRule="auto"/>
        <w:rPr>
          <w:rFonts w:asciiTheme="minorHAnsi" w:hAnsiTheme="minorHAnsi" w:cstheme="minorHAnsi"/>
          <w:sz w:val="20"/>
          <w:szCs w:val="20"/>
        </w:rPr>
      </w:pPr>
      <w:r w:rsidRPr="005F120D">
        <w:rPr>
          <w:rFonts w:asciiTheme="minorHAnsi" w:hAnsiTheme="minorHAnsi" w:cstheme="minorHAnsi"/>
          <w:sz w:val="20"/>
          <w:szCs w:val="20"/>
        </w:rPr>
        <w:t>Purpose/Objective:</w:t>
      </w:r>
    </w:p>
    <w:p w:rsidR="00224C3F" w:rsidRPr="005F120D" w:rsidRDefault="00224C3F" w:rsidP="00B25E46">
      <w:pPr>
        <w:pStyle w:val="BodyText1"/>
        <w:numPr>
          <w:ilvl w:val="0"/>
          <w:numId w:val="117"/>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To rationalize classrooms in terms of students of NNPS</w:t>
      </w:r>
      <w:r w:rsidR="001D5A5D" w:rsidRPr="005F120D">
        <w:rPr>
          <w:rFonts w:asciiTheme="minorHAnsi" w:hAnsiTheme="minorHAnsi" w:cstheme="minorHAnsi"/>
          <w:b w:val="0"/>
          <w:sz w:val="20"/>
          <w:szCs w:val="20"/>
        </w:rPr>
        <w:t>;</w:t>
      </w:r>
    </w:p>
    <w:p w:rsidR="00392C0C" w:rsidRPr="005F120D" w:rsidRDefault="00224C3F" w:rsidP="00B25E46">
      <w:pPr>
        <w:pStyle w:val="BodyText1"/>
        <w:numPr>
          <w:ilvl w:val="0"/>
          <w:numId w:val="117"/>
        </w:numPr>
        <w:spacing w:after="0" w:line="240" w:lineRule="auto"/>
        <w:rPr>
          <w:rFonts w:asciiTheme="minorHAnsi" w:hAnsiTheme="minorHAnsi" w:cstheme="minorHAnsi"/>
          <w:b w:val="0"/>
          <w:sz w:val="20"/>
          <w:szCs w:val="20"/>
        </w:rPr>
      </w:pPr>
      <w:r w:rsidRPr="005F120D">
        <w:rPr>
          <w:rFonts w:asciiTheme="minorHAnsi" w:hAnsiTheme="minorHAnsi" w:cstheme="minorHAnsi"/>
          <w:b w:val="0"/>
          <w:sz w:val="20"/>
          <w:szCs w:val="20"/>
        </w:rPr>
        <w:t xml:space="preserve">To </w:t>
      </w:r>
      <w:r w:rsidRPr="005F120D">
        <w:rPr>
          <w:rFonts w:asciiTheme="minorHAnsi" w:hAnsiTheme="minorHAnsi" w:cstheme="minorHAnsi"/>
          <w:b w:val="0"/>
        </w:rPr>
        <w:t>provides water and sanitation facilities for NNPS</w:t>
      </w:r>
      <w:r w:rsidR="001D5A5D" w:rsidRPr="005F120D">
        <w:rPr>
          <w:rFonts w:asciiTheme="minorHAnsi" w:hAnsiTheme="minorHAnsi" w:cstheme="minorHAnsi"/>
          <w:b w:val="0"/>
        </w:rPr>
        <w:t>;</w:t>
      </w:r>
    </w:p>
    <w:p w:rsidR="00224C3F" w:rsidRPr="005F120D" w:rsidRDefault="00392C0C" w:rsidP="00B25E46">
      <w:pPr>
        <w:pStyle w:val="BodyText1"/>
        <w:numPr>
          <w:ilvl w:val="0"/>
          <w:numId w:val="117"/>
        </w:numPr>
        <w:spacing w:after="0" w:line="240" w:lineRule="auto"/>
        <w:rPr>
          <w:rFonts w:asciiTheme="minorHAnsi" w:hAnsiTheme="minorHAnsi" w:cstheme="minorHAnsi"/>
          <w:b w:val="0"/>
          <w:sz w:val="20"/>
          <w:szCs w:val="20"/>
        </w:rPr>
      </w:pPr>
      <w:r w:rsidRPr="005F120D">
        <w:rPr>
          <w:rFonts w:asciiTheme="minorHAnsi" w:hAnsiTheme="minorHAnsi" w:cstheme="minorHAnsi"/>
          <w:b w:val="0"/>
        </w:rPr>
        <w:t xml:space="preserve">To provide </w:t>
      </w:r>
      <w:r w:rsidR="001D5A5D" w:rsidRPr="005F120D">
        <w:rPr>
          <w:rFonts w:asciiTheme="minorHAnsi" w:hAnsiTheme="minorHAnsi" w:cstheme="minorHAnsi"/>
          <w:b w:val="0"/>
        </w:rPr>
        <w:t>classroom</w:t>
      </w:r>
      <w:r w:rsidR="00224C3F" w:rsidRPr="005F120D">
        <w:rPr>
          <w:rFonts w:asciiTheme="minorHAnsi" w:hAnsiTheme="minorHAnsi" w:cstheme="minorHAnsi"/>
          <w:b w:val="0"/>
        </w:rPr>
        <w:t xml:space="preserve"> furniture</w:t>
      </w:r>
      <w:r w:rsidR="001D5A5D" w:rsidRPr="005F120D">
        <w:rPr>
          <w:rFonts w:asciiTheme="minorHAnsi" w:hAnsiTheme="minorHAnsi" w:cstheme="minorHAnsi"/>
          <w:b w:val="0"/>
        </w:rPr>
        <w:t>;</w:t>
      </w:r>
    </w:p>
    <w:p w:rsidR="00224C3F" w:rsidRPr="005F120D" w:rsidRDefault="001D5A5D" w:rsidP="00B25E46">
      <w:pPr>
        <w:pStyle w:val="BodyText1"/>
        <w:numPr>
          <w:ilvl w:val="0"/>
          <w:numId w:val="117"/>
        </w:numPr>
        <w:spacing w:after="0" w:line="240" w:lineRule="auto"/>
        <w:rPr>
          <w:rFonts w:asciiTheme="minorHAnsi" w:hAnsiTheme="minorHAnsi" w:cstheme="minorHAnsi"/>
          <w:b w:val="0"/>
          <w:sz w:val="20"/>
          <w:szCs w:val="20"/>
        </w:rPr>
      </w:pPr>
      <w:r w:rsidRPr="005F120D">
        <w:rPr>
          <w:rFonts w:asciiTheme="minorHAnsi" w:hAnsiTheme="minorHAnsi" w:cstheme="minorHAnsi"/>
          <w:b w:val="0"/>
        </w:rPr>
        <w:t>To reduce</w:t>
      </w:r>
      <w:r w:rsidR="00224C3F" w:rsidRPr="005F120D">
        <w:rPr>
          <w:rFonts w:asciiTheme="minorHAnsi" w:hAnsiTheme="minorHAnsi" w:cstheme="minorHAnsi"/>
          <w:b w:val="0"/>
        </w:rPr>
        <w:t xml:space="preserve"> social disparities</w:t>
      </w:r>
      <w:r w:rsidR="00392C0C" w:rsidRPr="005F120D">
        <w:rPr>
          <w:rFonts w:asciiTheme="minorHAnsi" w:hAnsiTheme="minorHAnsi" w:cstheme="minorHAnsi"/>
          <w:b w:val="0"/>
        </w:rPr>
        <w:t xml:space="preserve"> in terms of access</w:t>
      </w:r>
      <w:r w:rsidRPr="005F120D">
        <w:rPr>
          <w:rFonts w:asciiTheme="minorHAnsi" w:hAnsiTheme="minorHAnsi" w:cstheme="minorHAnsi"/>
          <w:b w:val="0"/>
        </w:rPr>
        <w:t>;</w:t>
      </w:r>
    </w:p>
    <w:p w:rsidR="00392C0C" w:rsidRPr="005F120D" w:rsidRDefault="00392C0C" w:rsidP="00B25E46">
      <w:pPr>
        <w:pStyle w:val="BodyText1"/>
        <w:numPr>
          <w:ilvl w:val="0"/>
          <w:numId w:val="117"/>
        </w:numPr>
        <w:spacing w:after="0" w:line="240" w:lineRule="auto"/>
        <w:rPr>
          <w:rFonts w:asciiTheme="minorHAnsi" w:hAnsiTheme="minorHAnsi" w:cstheme="minorHAnsi"/>
          <w:b w:val="0"/>
          <w:sz w:val="20"/>
          <w:szCs w:val="20"/>
        </w:rPr>
      </w:pPr>
      <w:r w:rsidRPr="005F120D">
        <w:rPr>
          <w:rFonts w:asciiTheme="minorHAnsi" w:hAnsiTheme="minorHAnsi" w:cstheme="minorHAnsi"/>
          <w:b w:val="0"/>
        </w:rPr>
        <w:t>To improve</w:t>
      </w:r>
      <w:r w:rsidR="001D5A5D" w:rsidRPr="005F120D">
        <w:rPr>
          <w:rFonts w:asciiTheme="minorHAnsi" w:hAnsiTheme="minorHAnsi" w:cstheme="minorHAnsi"/>
          <w:b w:val="0"/>
        </w:rPr>
        <w:t xml:space="preserve"> the</w:t>
      </w:r>
      <w:r w:rsidRPr="005F120D">
        <w:rPr>
          <w:rFonts w:asciiTheme="minorHAnsi" w:hAnsiTheme="minorHAnsi" w:cstheme="minorHAnsi"/>
          <w:b w:val="0"/>
        </w:rPr>
        <w:t xml:space="preserve"> quality of </w:t>
      </w:r>
      <w:r w:rsidR="001D5A5D" w:rsidRPr="005F120D">
        <w:rPr>
          <w:rFonts w:asciiTheme="minorHAnsi" w:hAnsiTheme="minorHAnsi" w:cstheme="minorHAnsi"/>
          <w:b w:val="0"/>
        </w:rPr>
        <w:t xml:space="preserve">the </w:t>
      </w:r>
      <w:r w:rsidRPr="005F120D">
        <w:rPr>
          <w:rFonts w:asciiTheme="minorHAnsi" w:hAnsiTheme="minorHAnsi" w:cstheme="minorHAnsi"/>
          <w:b w:val="0"/>
        </w:rPr>
        <w:t>teaching and learning environment in primary schools</w:t>
      </w:r>
      <w:r w:rsidR="001D5A5D" w:rsidRPr="005F120D">
        <w:rPr>
          <w:rFonts w:asciiTheme="minorHAnsi" w:hAnsiTheme="minorHAnsi" w:cstheme="minorHAnsi"/>
          <w:b w:val="0"/>
        </w:rPr>
        <w:t>;</w:t>
      </w:r>
    </w:p>
    <w:p w:rsidR="00224C3F" w:rsidRPr="005F120D" w:rsidRDefault="00392C0C" w:rsidP="00B25E46">
      <w:pPr>
        <w:pStyle w:val="BodyText1"/>
        <w:numPr>
          <w:ilvl w:val="0"/>
          <w:numId w:val="117"/>
        </w:numPr>
        <w:spacing w:after="0" w:line="240" w:lineRule="auto"/>
        <w:rPr>
          <w:rFonts w:asciiTheme="minorHAnsi" w:hAnsiTheme="minorHAnsi" w:cstheme="minorHAnsi"/>
          <w:b w:val="0"/>
          <w:sz w:val="20"/>
          <w:szCs w:val="20"/>
        </w:rPr>
      </w:pPr>
      <w:r w:rsidRPr="005F120D">
        <w:rPr>
          <w:rFonts w:asciiTheme="minorHAnsi" w:hAnsiTheme="minorHAnsi" w:cstheme="minorHAnsi"/>
          <w:b w:val="0"/>
        </w:rPr>
        <w:t>To e</w:t>
      </w:r>
      <w:r w:rsidR="001D5A5D" w:rsidRPr="005F120D">
        <w:rPr>
          <w:rFonts w:asciiTheme="minorHAnsi" w:hAnsiTheme="minorHAnsi" w:cstheme="minorHAnsi"/>
          <w:b w:val="0"/>
        </w:rPr>
        <w:t>nsure child friendly learning for</w:t>
      </w:r>
      <w:r w:rsidRPr="005F120D">
        <w:rPr>
          <w:rFonts w:asciiTheme="minorHAnsi" w:hAnsiTheme="minorHAnsi" w:cstheme="minorHAnsi"/>
          <w:b w:val="0"/>
        </w:rPr>
        <w:t xml:space="preserve"> all ch</w:t>
      </w:r>
      <w:r w:rsidR="001D5A5D" w:rsidRPr="005F120D">
        <w:rPr>
          <w:rFonts w:asciiTheme="minorHAnsi" w:hAnsiTheme="minorHAnsi" w:cstheme="minorHAnsi"/>
          <w:b w:val="0"/>
        </w:rPr>
        <w:t>ildren for pre-primary through G</w:t>
      </w:r>
      <w:r w:rsidRPr="005F120D">
        <w:rPr>
          <w:rFonts w:asciiTheme="minorHAnsi" w:hAnsiTheme="minorHAnsi" w:cstheme="minorHAnsi"/>
          <w:b w:val="0"/>
        </w:rPr>
        <w:t>rade 5.</w:t>
      </w:r>
    </w:p>
    <w:p w:rsidR="00224C3F" w:rsidRPr="005F120D" w:rsidRDefault="00224C3F" w:rsidP="00B25E46">
      <w:pPr>
        <w:pStyle w:val="BodyText1"/>
        <w:spacing w:line="240" w:lineRule="auto"/>
        <w:rPr>
          <w:rFonts w:asciiTheme="minorHAnsi" w:hAnsiTheme="minorHAnsi" w:cstheme="minorHAnsi"/>
        </w:rPr>
      </w:pPr>
      <w:r w:rsidRPr="005F120D">
        <w:rPr>
          <w:rFonts w:asciiTheme="minorHAnsi" w:hAnsiTheme="minorHAnsi" w:cstheme="minorHAnsi"/>
        </w:rPr>
        <w:t xml:space="preserve">Implementation Period: </w:t>
      </w:r>
      <w:r w:rsidRPr="005F120D">
        <w:rPr>
          <w:rFonts w:asciiTheme="minorHAnsi" w:hAnsiTheme="minorHAnsi" w:cstheme="minorHAnsi"/>
          <w:b w:val="0"/>
        </w:rPr>
        <w:t>January 2016 – December 2020</w:t>
      </w:r>
    </w:p>
    <w:p w:rsidR="00224C3F" w:rsidRPr="005F120D" w:rsidRDefault="00224C3F" w:rsidP="00B25E46">
      <w:pPr>
        <w:pStyle w:val="BodyText1"/>
        <w:spacing w:line="240" w:lineRule="auto"/>
        <w:rPr>
          <w:rFonts w:asciiTheme="minorHAnsi" w:hAnsiTheme="minorHAnsi" w:cstheme="minorHAnsi"/>
          <w:b w:val="0"/>
        </w:rPr>
      </w:pPr>
      <w:r w:rsidRPr="005F120D">
        <w:rPr>
          <w:rFonts w:asciiTheme="minorHAnsi" w:hAnsiTheme="minorHAnsi" w:cstheme="minorHAnsi"/>
        </w:rPr>
        <w:t xml:space="preserve">Total Fund: </w:t>
      </w:r>
      <w:r w:rsidRPr="005F120D">
        <w:rPr>
          <w:rFonts w:asciiTheme="minorHAnsi" w:hAnsiTheme="minorHAnsi" w:cstheme="minorHAnsi"/>
          <w:b w:val="0"/>
        </w:rPr>
        <w:t xml:space="preserve">GOB Taka 637,291.08 </w:t>
      </w:r>
      <w:r w:rsidR="00F738CE" w:rsidRPr="005F120D">
        <w:rPr>
          <w:rFonts w:asciiTheme="minorHAnsi" w:hAnsiTheme="minorHAnsi" w:cstheme="minorHAnsi"/>
          <w:b w:val="0"/>
        </w:rPr>
        <w:t>Lac</w:t>
      </w:r>
    </w:p>
    <w:p w:rsidR="00391CC2" w:rsidRPr="005F120D" w:rsidRDefault="00FA52D6" w:rsidP="00B25E46">
      <w:pPr>
        <w:pStyle w:val="Heading2NONUM"/>
        <w:numPr>
          <w:ilvl w:val="0"/>
          <w:numId w:val="36"/>
        </w:numPr>
        <w:spacing w:before="240"/>
        <w:rPr>
          <w:rFonts w:asciiTheme="minorHAnsi" w:hAnsiTheme="minorHAnsi" w:cstheme="minorHAnsi"/>
          <w:color w:val="3333FF"/>
          <w:szCs w:val="24"/>
        </w:rPr>
      </w:pPr>
      <w:r w:rsidRPr="005F120D">
        <w:rPr>
          <w:rFonts w:asciiTheme="minorHAnsi" w:hAnsiTheme="minorHAnsi" w:cstheme="minorHAnsi"/>
          <w:color w:val="3333FF"/>
          <w:szCs w:val="24"/>
        </w:rPr>
        <w:t>Name of the project</w:t>
      </w:r>
      <w:r w:rsidR="00391CC2" w:rsidRPr="005F120D">
        <w:rPr>
          <w:rFonts w:asciiTheme="minorHAnsi" w:hAnsiTheme="minorHAnsi" w:cstheme="minorHAnsi"/>
          <w:color w:val="3333FF"/>
          <w:szCs w:val="24"/>
        </w:rPr>
        <w:t>:</w:t>
      </w:r>
      <w:r w:rsidR="00B4704B">
        <w:rPr>
          <w:rFonts w:asciiTheme="minorHAnsi" w:hAnsiTheme="minorHAnsi" w:cstheme="minorHAnsi"/>
          <w:color w:val="3333FF"/>
          <w:szCs w:val="24"/>
        </w:rPr>
        <w:t xml:space="preserve"> </w:t>
      </w:r>
      <w:r w:rsidR="00391CC2" w:rsidRPr="005F120D">
        <w:rPr>
          <w:rFonts w:asciiTheme="minorHAnsi" w:hAnsiTheme="minorHAnsi" w:cstheme="minorHAnsi"/>
          <w:bCs/>
          <w:color w:val="3333FF"/>
          <w:szCs w:val="24"/>
          <w:u w:val="single"/>
        </w:rPr>
        <w:t>English in Action (EIA)</w:t>
      </w:r>
    </w:p>
    <w:p w:rsidR="00E14D24" w:rsidRPr="005F120D" w:rsidRDefault="00E14D24" w:rsidP="00B25E46">
      <w:pPr>
        <w:spacing w:after="0"/>
        <w:ind w:left="2160" w:hanging="2160"/>
        <w:jc w:val="both"/>
        <w:rPr>
          <w:rFonts w:asciiTheme="minorHAnsi" w:hAnsiTheme="minorHAnsi" w:cstheme="minorHAnsi"/>
          <w:sz w:val="20"/>
        </w:rPr>
      </w:pPr>
      <w:r w:rsidRPr="005F120D">
        <w:rPr>
          <w:rFonts w:asciiTheme="minorHAnsi" w:hAnsiTheme="minorHAnsi" w:cstheme="minorHAnsi"/>
          <w:sz w:val="20"/>
        </w:rPr>
        <w:t>G</w:t>
      </w:r>
      <w:r w:rsidR="00224C3F" w:rsidRPr="005F120D">
        <w:rPr>
          <w:rFonts w:asciiTheme="minorHAnsi" w:hAnsiTheme="minorHAnsi" w:cstheme="minorHAnsi"/>
          <w:sz w:val="20"/>
        </w:rPr>
        <w:t>oal/Aim</w:t>
      </w:r>
      <w:r w:rsidR="00224C3F" w:rsidRPr="005F120D">
        <w:rPr>
          <w:rFonts w:asciiTheme="minorHAnsi" w:hAnsiTheme="minorHAnsi" w:cstheme="minorHAnsi"/>
          <w:sz w:val="20"/>
        </w:rPr>
        <w:tab/>
        <w:t xml:space="preserve">: </w:t>
      </w:r>
      <w:r w:rsidRPr="005F120D">
        <w:rPr>
          <w:rFonts w:asciiTheme="minorHAnsi" w:hAnsiTheme="minorHAnsi" w:cstheme="minorHAnsi"/>
          <w:sz w:val="20"/>
        </w:rPr>
        <w:t>To contribute to the economic growth of Bangladesh through the use of English language as a tool for better access to the World Economy</w:t>
      </w:r>
    </w:p>
    <w:p w:rsidR="00E14D24" w:rsidRPr="005F120D" w:rsidRDefault="00E14D24" w:rsidP="00B25E46">
      <w:pPr>
        <w:spacing w:after="0"/>
        <w:jc w:val="both"/>
        <w:rPr>
          <w:rFonts w:asciiTheme="minorHAnsi" w:hAnsiTheme="minorHAnsi" w:cstheme="minorHAnsi"/>
          <w:sz w:val="20"/>
        </w:rPr>
      </w:pPr>
    </w:p>
    <w:p w:rsidR="00E14D24" w:rsidRPr="005F120D" w:rsidRDefault="008369BF" w:rsidP="00B25E46">
      <w:pPr>
        <w:spacing w:after="0"/>
        <w:ind w:left="2160" w:hanging="2160"/>
        <w:jc w:val="both"/>
        <w:rPr>
          <w:rFonts w:asciiTheme="minorHAnsi" w:hAnsiTheme="minorHAnsi" w:cstheme="minorHAnsi"/>
          <w:sz w:val="20"/>
        </w:rPr>
      </w:pPr>
      <w:r w:rsidRPr="005F120D">
        <w:rPr>
          <w:rFonts w:asciiTheme="minorHAnsi" w:hAnsiTheme="minorHAnsi" w:cstheme="minorHAnsi"/>
          <w:sz w:val="20"/>
        </w:rPr>
        <w:t>Purpose/Objective:</w:t>
      </w:r>
      <w:r w:rsidRPr="005F120D">
        <w:rPr>
          <w:rFonts w:asciiTheme="minorHAnsi" w:hAnsiTheme="minorHAnsi" w:cstheme="minorHAnsi"/>
          <w:sz w:val="20"/>
        </w:rPr>
        <w:tab/>
      </w:r>
      <w:r w:rsidR="00E14D24" w:rsidRPr="005F120D">
        <w:rPr>
          <w:rFonts w:asciiTheme="minorHAnsi" w:hAnsiTheme="minorHAnsi" w:cstheme="minorHAnsi"/>
          <w:sz w:val="20"/>
        </w:rPr>
        <w:t>To increase significantly the number of people able to communicate in English, to levels that enables them to participate fully in economic and social activities and opportunities</w:t>
      </w:r>
    </w:p>
    <w:p w:rsidR="00E14D24" w:rsidRPr="00EC1F70" w:rsidRDefault="00E14D24" w:rsidP="00B25E46">
      <w:pPr>
        <w:spacing w:after="0"/>
        <w:ind w:left="2880"/>
        <w:jc w:val="both"/>
        <w:rPr>
          <w:rFonts w:asciiTheme="minorHAnsi" w:hAnsiTheme="minorHAnsi" w:cstheme="minorHAnsi"/>
          <w:sz w:val="20"/>
        </w:rPr>
      </w:pPr>
    </w:p>
    <w:p w:rsidR="00E14D24" w:rsidRPr="00EC1F70" w:rsidRDefault="00E14D24" w:rsidP="00B25E46">
      <w:pPr>
        <w:spacing w:after="0"/>
        <w:jc w:val="both"/>
        <w:rPr>
          <w:rFonts w:asciiTheme="minorHAnsi" w:hAnsiTheme="minorHAnsi" w:cstheme="minorHAnsi"/>
          <w:bCs/>
          <w:sz w:val="20"/>
        </w:rPr>
      </w:pPr>
      <w:r w:rsidRPr="00EC1F70">
        <w:rPr>
          <w:rFonts w:asciiTheme="minorHAnsi" w:hAnsiTheme="minorHAnsi" w:cstheme="minorHAnsi"/>
          <w:sz w:val="20"/>
        </w:rPr>
        <w:t xml:space="preserve">Implementation Period (Project start and phase out date): </w:t>
      </w:r>
      <w:r w:rsidRPr="00EC1F70">
        <w:rPr>
          <w:rFonts w:asciiTheme="minorHAnsi" w:hAnsiTheme="minorHAnsi" w:cstheme="minorHAnsi"/>
          <w:bCs/>
          <w:sz w:val="20"/>
        </w:rPr>
        <w:t>2008 - 2017</w:t>
      </w:r>
    </w:p>
    <w:p w:rsidR="00E14D24" w:rsidRPr="00EC1F70" w:rsidRDefault="00E14D24" w:rsidP="00B25E46">
      <w:pPr>
        <w:spacing w:after="0"/>
        <w:jc w:val="both"/>
        <w:rPr>
          <w:rFonts w:asciiTheme="minorHAnsi" w:hAnsiTheme="minorHAnsi" w:cstheme="minorHAnsi"/>
          <w:sz w:val="20"/>
        </w:rPr>
      </w:pPr>
    </w:p>
    <w:p w:rsidR="00E14D24" w:rsidRPr="005F120D" w:rsidRDefault="00224C3F" w:rsidP="00B25E46">
      <w:pPr>
        <w:spacing w:after="0"/>
        <w:jc w:val="both"/>
        <w:rPr>
          <w:rFonts w:asciiTheme="minorHAnsi" w:hAnsiTheme="minorHAnsi" w:cstheme="minorHAnsi"/>
          <w:sz w:val="20"/>
        </w:rPr>
      </w:pPr>
      <w:r w:rsidRPr="005F120D">
        <w:rPr>
          <w:rFonts w:asciiTheme="minorHAnsi" w:hAnsiTheme="minorHAnsi" w:cstheme="minorHAnsi"/>
          <w:sz w:val="20"/>
        </w:rPr>
        <w:lastRenderedPageBreak/>
        <w:t>Implementation cost</w:t>
      </w:r>
      <w:r w:rsidRPr="005F120D">
        <w:rPr>
          <w:rFonts w:asciiTheme="minorHAnsi" w:hAnsiTheme="minorHAnsi" w:cstheme="minorHAnsi"/>
          <w:sz w:val="20"/>
        </w:rPr>
        <w:tab/>
      </w:r>
      <w:r w:rsidR="00E14D24" w:rsidRPr="00EC1F70">
        <w:rPr>
          <w:rFonts w:asciiTheme="minorHAnsi" w:hAnsiTheme="minorHAnsi" w:cstheme="minorHAnsi"/>
          <w:sz w:val="20"/>
        </w:rPr>
        <w:t>: </w:t>
      </w:r>
      <w:r w:rsidR="00B4704B" w:rsidRPr="00EC1F70">
        <w:rPr>
          <w:rFonts w:asciiTheme="minorHAnsi" w:hAnsiTheme="minorHAnsi" w:cstheme="minorHAnsi"/>
          <w:bCs/>
          <w:sz w:val="20"/>
        </w:rPr>
        <w:t>BDT</w:t>
      </w:r>
      <w:r w:rsidR="00E14D24" w:rsidRPr="00EC1F70">
        <w:rPr>
          <w:rFonts w:asciiTheme="minorHAnsi" w:hAnsiTheme="minorHAnsi" w:cstheme="minorHAnsi"/>
          <w:bCs/>
          <w:sz w:val="20"/>
        </w:rPr>
        <w:t xml:space="preserve"> 14,445.62 </w:t>
      </w:r>
      <w:r w:rsidR="00F738CE" w:rsidRPr="00EC1F70">
        <w:rPr>
          <w:rFonts w:asciiTheme="minorHAnsi" w:hAnsiTheme="minorHAnsi" w:cstheme="minorHAnsi"/>
          <w:bCs/>
          <w:sz w:val="20"/>
        </w:rPr>
        <w:t>lac</w:t>
      </w:r>
      <w:r w:rsidR="00E14D24" w:rsidRPr="00EC1F70">
        <w:rPr>
          <w:rFonts w:asciiTheme="minorHAnsi" w:hAnsiTheme="minorHAnsi" w:cstheme="minorHAnsi"/>
          <w:sz w:val="20"/>
        </w:rPr>
        <w:t xml:space="preserve"> (DPA-14,145.62 &amp;</w:t>
      </w:r>
      <w:r w:rsidR="00E14D24" w:rsidRPr="005F120D">
        <w:rPr>
          <w:rFonts w:asciiTheme="minorHAnsi" w:hAnsiTheme="minorHAnsi" w:cstheme="minorHAnsi"/>
          <w:sz w:val="20"/>
        </w:rPr>
        <w:t xml:space="preserve"> GOB 300.00) - (GBP 12.09</w:t>
      </w:r>
      <w:r w:rsidR="00B4704B">
        <w:rPr>
          <w:rFonts w:asciiTheme="minorHAnsi" w:hAnsiTheme="minorHAnsi" w:cstheme="minorHAnsi"/>
          <w:sz w:val="20"/>
        </w:rPr>
        <w:t xml:space="preserve"> </w:t>
      </w:r>
      <w:r w:rsidR="00E14D24" w:rsidRPr="005F120D">
        <w:rPr>
          <w:rFonts w:asciiTheme="minorHAnsi" w:hAnsiTheme="minorHAnsi" w:cstheme="minorHAnsi"/>
          <w:sz w:val="20"/>
        </w:rPr>
        <w:t>m)</w:t>
      </w:r>
    </w:p>
    <w:p w:rsidR="00E14D24" w:rsidRPr="005F120D" w:rsidRDefault="00E14D24" w:rsidP="00B25E46">
      <w:pPr>
        <w:spacing w:after="0"/>
        <w:jc w:val="both"/>
        <w:rPr>
          <w:rFonts w:asciiTheme="minorHAnsi" w:hAnsiTheme="minorHAnsi" w:cstheme="minorHAnsi"/>
          <w:sz w:val="20"/>
        </w:rPr>
      </w:pPr>
    </w:p>
    <w:p w:rsidR="00E14D24" w:rsidRPr="005F120D" w:rsidRDefault="00E14D24" w:rsidP="00B25E46">
      <w:pPr>
        <w:spacing w:after="0"/>
        <w:jc w:val="both"/>
        <w:rPr>
          <w:rFonts w:asciiTheme="minorHAnsi" w:hAnsiTheme="minorHAnsi" w:cstheme="minorHAnsi"/>
          <w:sz w:val="20"/>
        </w:rPr>
      </w:pPr>
      <w:r w:rsidRPr="005F120D">
        <w:rPr>
          <w:rFonts w:asciiTheme="minorHAnsi" w:hAnsiTheme="minorHAnsi" w:cstheme="minorHAnsi"/>
          <w:sz w:val="20"/>
        </w:rPr>
        <w:t> Source of fund                 :  </w:t>
      </w:r>
      <w:r w:rsidRPr="005F120D">
        <w:rPr>
          <w:rFonts w:asciiTheme="minorHAnsi" w:hAnsiTheme="minorHAnsi" w:cstheme="minorHAnsi"/>
          <w:sz w:val="20"/>
        </w:rPr>
        <w:tab/>
        <w:t>Department for International Development (</w:t>
      </w:r>
      <w:r w:rsidRPr="005F120D">
        <w:rPr>
          <w:rFonts w:asciiTheme="minorHAnsi" w:hAnsiTheme="minorHAnsi" w:cstheme="minorHAnsi"/>
          <w:bCs/>
          <w:sz w:val="20"/>
        </w:rPr>
        <w:t>DFID)</w:t>
      </w:r>
    </w:p>
    <w:p w:rsidR="00E14D24" w:rsidRPr="005F120D" w:rsidRDefault="00E14D24" w:rsidP="00B25E46">
      <w:pPr>
        <w:spacing w:before="100" w:beforeAutospacing="1" w:after="100" w:afterAutospacing="1"/>
        <w:jc w:val="both"/>
        <w:rPr>
          <w:rFonts w:asciiTheme="minorHAnsi" w:hAnsiTheme="minorHAnsi" w:cstheme="minorHAnsi"/>
          <w:bCs/>
          <w:sz w:val="20"/>
        </w:rPr>
      </w:pPr>
      <w:r w:rsidRPr="005F120D">
        <w:rPr>
          <w:rFonts w:asciiTheme="minorHAnsi" w:hAnsiTheme="minorHAnsi" w:cstheme="minorHAnsi"/>
          <w:sz w:val="20"/>
        </w:rPr>
        <w:t> </w:t>
      </w:r>
      <w:r w:rsidRPr="005F120D">
        <w:rPr>
          <w:rFonts w:asciiTheme="minorHAnsi" w:hAnsiTheme="minorHAnsi" w:cstheme="minorHAnsi"/>
          <w:bCs/>
          <w:sz w:val="20"/>
        </w:rPr>
        <w:t>Coverage</w:t>
      </w:r>
      <w:r w:rsidRPr="005F120D">
        <w:rPr>
          <w:rFonts w:asciiTheme="minorHAnsi" w:hAnsiTheme="minorHAnsi" w:cstheme="minorHAnsi"/>
          <w:bCs/>
          <w:sz w:val="20"/>
        </w:rPr>
        <w:tab/>
      </w:r>
      <w:r w:rsidRPr="005F120D">
        <w:rPr>
          <w:rFonts w:asciiTheme="minorHAnsi" w:hAnsiTheme="minorHAnsi" w:cstheme="minorHAnsi"/>
          <w:bCs/>
          <w:sz w:val="20"/>
        </w:rPr>
        <w:tab/>
        <w:t xml:space="preserve">      :</w:t>
      </w:r>
      <w:r w:rsidRPr="005F120D">
        <w:rPr>
          <w:rFonts w:asciiTheme="minorHAnsi" w:hAnsiTheme="minorHAnsi" w:cstheme="minorHAnsi"/>
          <w:bCs/>
          <w:sz w:val="20"/>
        </w:rPr>
        <w:tab/>
        <w:t>April 2015 - March 2016</w:t>
      </w:r>
    </w:p>
    <w:tbl>
      <w:tblPr>
        <w:tblStyle w:val="TableGrid"/>
        <w:tblW w:w="9090" w:type="dxa"/>
        <w:tblInd w:w="108" w:type="dxa"/>
        <w:tblLayout w:type="fixed"/>
        <w:tblLook w:val="04A0"/>
      </w:tblPr>
      <w:tblGrid>
        <w:gridCol w:w="1317"/>
        <w:gridCol w:w="1260"/>
        <w:gridCol w:w="1080"/>
        <w:gridCol w:w="1800"/>
        <w:gridCol w:w="1293"/>
        <w:gridCol w:w="2340"/>
      </w:tblGrid>
      <w:tr w:rsidR="00E14D24" w:rsidRPr="005F120D" w:rsidTr="00E14D24">
        <w:trPr>
          <w:trHeight w:val="168"/>
        </w:trPr>
        <w:tc>
          <w:tcPr>
            <w:tcW w:w="6750" w:type="dxa"/>
            <w:gridSpan w:val="5"/>
            <w:tcBorders>
              <w:top w:val="double" w:sz="4" w:space="0" w:color="auto"/>
              <w:left w:val="double" w:sz="4" w:space="0" w:color="auto"/>
            </w:tcBorders>
          </w:tcPr>
          <w:p w:rsidR="00E14D24" w:rsidRPr="005F120D" w:rsidRDefault="00E14D24"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Primary Coverage</w:t>
            </w:r>
          </w:p>
        </w:tc>
        <w:tc>
          <w:tcPr>
            <w:tcW w:w="2340" w:type="dxa"/>
            <w:vMerge w:val="restart"/>
            <w:tcBorders>
              <w:top w:val="double" w:sz="4" w:space="0" w:color="auto"/>
              <w:right w:val="double" w:sz="4" w:space="0" w:color="auto"/>
            </w:tcBorders>
          </w:tcPr>
          <w:p w:rsidR="00E14D24" w:rsidRPr="005F120D" w:rsidRDefault="00E14D24" w:rsidP="00B25E46">
            <w:pPr>
              <w:spacing w:after="0"/>
              <w:jc w:val="both"/>
              <w:rPr>
                <w:rFonts w:asciiTheme="minorHAnsi" w:hAnsiTheme="minorHAnsi" w:cstheme="minorHAnsi"/>
                <w:b/>
                <w:sz w:val="20"/>
                <w:szCs w:val="20"/>
              </w:rPr>
            </w:pPr>
          </w:p>
          <w:p w:rsidR="00E14D24" w:rsidRPr="005F120D" w:rsidRDefault="00E14D24"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Remarks</w:t>
            </w:r>
          </w:p>
        </w:tc>
      </w:tr>
      <w:tr w:rsidR="00E14D24" w:rsidRPr="005F120D" w:rsidTr="00E14D24">
        <w:trPr>
          <w:trHeight w:hRule="exact" w:val="504"/>
        </w:trPr>
        <w:tc>
          <w:tcPr>
            <w:tcW w:w="1317" w:type="dxa"/>
            <w:tcBorders>
              <w:left w:val="double" w:sz="4" w:space="0" w:color="auto"/>
            </w:tcBorders>
            <w:vAlign w:val="center"/>
          </w:tcPr>
          <w:p w:rsidR="00E14D24" w:rsidRPr="005F120D" w:rsidRDefault="00E14D24"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Number of District</w:t>
            </w:r>
          </w:p>
        </w:tc>
        <w:tc>
          <w:tcPr>
            <w:tcW w:w="1260" w:type="dxa"/>
            <w:vAlign w:val="center"/>
          </w:tcPr>
          <w:p w:rsidR="00E14D24" w:rsidRPr="005F120D" w:rsidRDefault="00E14D24"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Number of Upazila</w:t>
            </w:r>
          </w:p>
        </w:tc>
        <w:tc>
          <w:tcPr>
            <w:tcW w:w="1080" w:type="dxa"/>
            <w:vAlign w:val="center"/>
          </w:tcPr>
          <w:p w:rsidR="00E14D24" w:rsidRPr="005F120D" w:rsidRDefault="00E14D24"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Number of schools</w:t>
            </w:r>
          </w:p>
        </w:tc>
        <w:tc>
          <w:tcPr>
            <w:tcW w:w="1800" w:type="dxa"/>
            <w:vAlign w:val="center"/>
          </w:tcPr>
          <w:p w:rsidR="00E14D24" w:rsidRPr="005F120D" w:rsidRDefault="00E14D24"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Number of Teachers</w:t>
            </w:r>
          </w:p>
        </w:tc>
        <w:tc>
          <w:tcPr>
            <w:tcW w:w="1293" w:type="dxa"/>
            <w:vAlign w:val="center"/>
          </w:tcPr>
          <w:p w:rsidR="00E14D24" w:rsidRPr="005F120D" w:rsidRDefault="00E14D24"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Number of students</w:t>
            </w:r>
          </w:p>
        </w:tc>
        <w:tc>
          <w:tcPr>
            <w:tcW w:w="2340" w:type="dxa"/>
            <w:vMerge/>
            <w:tcBorders>
              <w:right w:val="double" w:sz="4" w:space="0" w:color="auto"/>
            </w:tcBorders>
          </w:tcPr>
          <w:p w:rsidR="00E14D24" w:rsidRPr="005F120D" w:rsidRDefault="00E14D24" w:rsidP="00B25E46">
            <w:pPr>
              <w:spacing w:after="0"/>
              <w:jc w:val="both"/>
              <w:rPr>
                <w:rFonts w:asciiTheme="minorHAnsi" w:hAnsiTheme="minorHAnsi" w:cstheme="minorHAnsi"/>
                <w:b/>
                <w:sz w:val="20"/>
                <w:szCs w:val="20"/>
              </w:rPr>
            </w:pPr>
          </w:p>
        </w:tc>
      </w:tr>
      <w:tr w:rsidR="00E14D24" w:rsidRPr="005F120D" w:rsidTr="00E14D24">
        <w:trPr>
          <w:trHeight w:hRule="exact" w:val="504"/>
        </w:trPr>
        <w:tc>
          <w:tcPr>
            <w:tcW w:w="1317" w:type="dxa"/>
            <w:tcBorders>
              <w:left w:val="double" w:sz="4" w:space="0" w:color="auto"/>
              <w:bottom w:val="double" w:sz="4" w:space="0" w:color="auto"/>
            </w:tcBorders>
          </w:tcPr>
          <w:p w:rsidR="00E14D24" w:rsidRPr="005F120D" w:rsidRDefault="00E14D24" w:rsidP="00B25E46">
            <w:pPr>
              <w:spacing w:before="40" w:after="0"/>
              <w:jc w:val="center"/>
              <w:rPr>
                <w:rFonts w:asciiTheme="minorHAnsi" w:hAnsiTheme="minorHAnsi" w:cstheme="minorHAnsi"/>
                <w:sz w:val="20"/>
                <w:szCs w:val="20"/>
              </w:rPr>
            </w:pPr>
            <w:r w:rsidRPr="005F120D">
              <w:rPr>
                <w:rFonts w:asciiTheme="minorHAnsi" w:hAnsiTheme="minorHAnsi" w:cstheme="minorHAnsi"/>
                <w:sz w:val="20"/>
                <w:szCs w:val="20"/>
              </w:rPr>
              <w:t>64</w:t>
            </w:r>
          </w:p>
        </w:tc>
        <w:tc>
          <w:tcPr>
            <w:tcW w:w="1260" w:type="dxa"/>
            <w:tcBorders>
              <w:bottom w:val="double" w:sz="4" w:space="0" w:color="auto"/>
            </w:tcBorders>
          </w:tcPr>
          <w:p w:rsidR="00E14D24" w:rsidRPr="005F120D" w:rsidRDefault="00E14D24" w:rsidP="00B25E46">
            <w:pPr>
              <w:spacing w:before="40" w:after="0"/>
              <w:jc w:val="center"/>
              <w:rPr>
                <w:rFonts w:asciiTheme="minorHAnsi" w:hAnsiTheme="minorHAnsi" w:cstheme="minorHAnsi"/>
                <w:sz w:val="20"/>
                <w:szCs w:val="20"/>
              </w:rPr>
            </w:pPr>
            <w:r w:rsidRPr="005F120D">
              <w:rPr>
                <w:rFonts w:asciiTheme="minorHAnsi" w:hAnsiTheme="minorHAnsi" w:cstheme="minorHAnsi"/>
                <w:sz w:val="20"/>
                <w:szCs w:val="20"/>
              </w:rPr>
              <w:t>210</w:t>
            </w:r>
          </w:p>
        </w:tc>
        <w:tc>
          <w:tcPr>
            <w:tcW w:w="1080" w:type="dxa"/>
            <w:tcBorders>
              <w:bottom w:val="double" w:sz="4" w:space="0" w:color="auto"/>
            </w:tcBorders>
          </w:tcPr>
          <w:p w:rsidR="00E14D24" w:rsidRPr="005F120D" w:rsidRDefault="00E14D24" w:rsidP="00B25E46">
            <w:pPr>
              <w:spacing w:before="40" w:after="0"/>
              <w:jc w:val="center"/>
              <w:rPr>
                <w:rFonts w:asciiTheme="minorHAnsi" w:hAnsiTheme="minorHAnsi" w:cstheme="minorHAnsi"/>
                <w:sz w:val="20"/>
                <w:szCs w:val="20"/>
              </w:rPr>
            </w:pPr>
            <w:r w:rsidRPr="005F120D">
              <w:rPr>
                <w:rFonts w:asciiTheme="minorHAnsi" w:hAnsiTheme="minorHAnsi" w:cstheme="minorHAnsi"/>
                <w:sz w:val="20"/>
                <w:szCs w:val="20"/>
              </w:rPr>
              <w:t>5,242</w:t>
            </w:r>
          </w:p>
        </w:tc>
        <w:tc>
          <w:tcPr>
            <w:tcW w:w="1800" w:type="dxa"/>
            <w:tcBorders>
              <w:bottom w:val="double" w:sz="4" w:space="0" w:color="auto"/>
            </w:tcBorders>
          </w:tcPr>
          <w:p w:rsidR="00E14D24" w:rsidRPr="005F120D" w:rsidRDefault="00E14D24" w:rsidP="00B25E46">
            <w:pPr>
              <w:spacing w:before="40" w:after="0"/>
              <w:jc w:val="center"/>
              <w:rPr>
                <w:rFonts w:asciiTheme="minorHAnsi" w:hAnsiTheme="minorHAnsi" w:cstheme="minorHAnsi"/>
                <w:sz w:val="20"/>
                <w:szCs w:val="20"/>
              </w:rPr>
            </w:pPr>
            <w:r w:rsidRPr="005F120D">
              <w:rPr>
                <w:rFonts w:asciiTheme="minorHAnsi" w:hAnsiTheme="minorHAnsi" w:cstheme="minorHAnsi"/>
                <w:sz w:val="20"/>
                <w:szCs w:val="20"/>
              </w:rPr>
              <w:t>15,726</w:t>
            </w:r>
          </w:p>
        </w:tc>
        <w:tc>
          <w:tcPr>
            <w:tcW w:w="1293" w:type="dxa"/>
            <w:tcBorders>
              <w:bottom w:val="double" w:sz="4" w:space="0" w:color="auto"/>
            </w:tcBorders>
          </w:tcPr>
          <w:p w:rsidR="00E14D24" w:rsidRPr="005F120D" w:rsidRDefault="00E14D24" w:rsidP="00B25E46">
            <w:pPr>
              <w:spacing w:before="40" w:after="0"/>
              <w:jc w:val="center"/>
              <w:rPr>
                <w:rFonts w:asciiTheme="minorHAnsi" w:hAnsiTheme="minorHAnsi" w:cstheme="minorHAnsi"/>
                <w:sz w:val="20"/>
                <w:szCs w:val="20"/>
              </w:rPr>
            </w:pPr>
            <w:r w:rsidRPr="005F120D">
              <w:rPr>
                <w:rFonts w:asciiTheme="minorHAnsi" w:hAnsiTheme="minorHAnsi" w:cstheme="minorHAnsi"/>
                <w:sz w:val="20"/>
                <w:szCs w:val="20"/>
              </w:rPr>
              <w:t>1,213,142</w:t>
            </w:r>
          </w:p>
        </w:tc>
        <w:tc>
          <w:tcPr>
            <w:tcW w:w="2340" w:type="dxa"/>
            <w:tcBorders>
              <w:bottom w:val="double" w:sz="4" w:space="0" w:color="auto"/>
              <w:right w:val="double" w:sz="4" w:space="0" w:color="auto"/>
            </w:tcBorders>
          </w:tcPr>
          <w:p w:rsidR="00E14D24" w:rsidRPr="005F120D" w:rsidRDefault="00E14D24" w:rsidP="00B25E46">
            <w:pPr>
              <w:spacing w:before="40" w:after="0"/>
              <w:rPr>
                <w:rFonts w:asciiTheme="minorHAnsi" w:hAnsiTheme="minorHAnsi" w:cstheme="minorHAnsi"/>
                <w:sz w:val="20"/>
                <w:szCs w:val="20"/>
              </w:rPr>
            </w:pPr>
            <w:r w:rsidRPr="005F120D">
              <w:rPr>
                <w:rFonts w:asciiTheme="minorHAnsi" w:hAnsiTheme="minorHAnsi" w:cstheme="minorHAnsi"/>
                <w:sz w:val="20"/>
                <w:szCs w:val="20"/>
              </w:rPr>
              <w:t>EIA will cover more 18,000 teachers by 2017</w:t>
            </w:r>
          </w:p>
        </w:tc>
      </w:tr>
    </w:tbl>
    <w:p w:rsidR="00E14D24" w:rsidRPr="005F120D" w:rsidRDefault="00E14D24" w:rsidP="00B25E46">
      <w:pPr>
        <w:spacing w:before="40" w:after="0"/>
        <w:jc w:val="both"/>
        <w:rPr>
          <w:rFonts w:asciiTheme="minorHAnsi" w:hAnsiTheme="minorHAnsi" w:cstheme="minorHAnsi"/>
          <w:b/>
          <w:bCs/>
          <w:sz w:val="20"/>
        </w:rPr>
      </w:pPr>
      <w:r w:rsidRPr="005F120D">
        <w:rPr>
          <w:rFonts w:asciiTheme="minorHAnsi" w:hAnsiTheme="minorHAnsi" w:cstheme="minorHAnsi"/>
          <w:sz w:val="20"/>
        </w:rPr>
        <w:t> </w:t>
      </w:r>
      <w:bookmarkStart w:id="664" w:name="0.1_table01"/>
      <w:bookmarkEnd w:id="664"/>
      <w:r w:rsidRPr="005F120D">
        <w:rPr>
          <w:rFonts w:asciiTheme="minorHAnsi" w:hAnsiTheme="minorHAnsi" w:cstheme="minorHAnsi"/>
          <w:b/>
          <w:bCs/>
          <w:sz w:val="20"/>
        </w:rPr>
        <w:t xml:space="preserve">Note: Cumulative figures since inception </w:t>
      </w:r>
    </w:p>
    <w:p w:rsidR="00E14D24" w:rsidRPr="005F120D" w:rsidRDefault="00E14D24" w:rsidP="00B25E46">
      <w:pPr>
        <w:spacing w:before="240" w:after="120"/>
        <w:jc w:val="both"/>
        <w:rPr>
          <w:rFonts w:asciiTheme="minorHAnsi" w:hAnsiTheme="minorHAnsi" w:cstheme="minorHAnsi"/>
          <w:sz w:val="20"/>
        </w:rPr>
      </w:pPr>
      <w:bookmarkStart w:id="665" w:name="0.1_table02"/>
      <w:bookmarkEnd w:id="665"/>
      <w:r w:rsidRPr="005F120D">
        <w:rPr>
          <w:rFonts w:asciiTheme="minorHAnsi" w:hAnsiTheme="minorHAnsi" w:cstheme="minorHAnsi"/>
          <w:sz w:val="20"/>
        </w:rPr>
        <w:t>English in Action (2008-2017) i</w:t>
      </w:r>
      <w:r w:rsidR="00893504" w:rsidRPr="005F120D">
        <w:rPr>
          <w:rFonts w:asciiTheme="minorHAnsi" w:hAnsiTheme="minorHAnsi" w:cstheme="minorHAnsi"/>
          <w:sz w:val="20"/>
        </w:rPr>
        <w:t>s a DFID funded UK Aid program</w:t>
      </w:r>
      <w:r w:rsidRPr="005F120D">
        <w:rPr>
          <w:rFonts w:asciiTheme="minorHAnsi" w:hAnsiTheme="minorHAnsi" w:cstheme="minorHAnsi"/>
          <w:sz w:val="20"/>
        </w:rPr>
        <w:t xml:space="preserve"> aiming to enhance the quality of English teaching and learning in Bangladesh. EIA is being implemented in close collaboration with the Government of Bangladesh including the Directorate of Primary Education (DPE) under the Ministry of Primary and Mass Education (MoPME) and the Directorate of Secondary and Higher Education (DSHE) under the Ministry of Education (MoE). EIA is governed by a Project Steering Committee (PSC) headed by the Secretary of MoPME along with a Project Management Unit (PMU) based at DPE. </w:t>
      </w:r>
    </w:p>
    <w:p w:rsidR="00E14D24" w:rsidRPr="005F120D" w:rsidRDefault="00E14D24" w:rsidP="00B25E46">
      <w:pPr>
        <w:jc w:val="both"/>
        <w:rPr>
          <w:rFonts w:asciiTheme="minorHAnsi" w:hAnsiTheme="minorHAnsi" w:cstheme="minorHAnsi"/>
          <w:sz w:val="20"/>
        </w:rPr>
      </w:pPr>
      <w:r w:rsidRPr="005F120D">
        <w:rPr>
          <w:rFonts w:asciiTheme="minorHAnsi" w:hAnsiTheme="minorHAnsi" w:cstheme="minorHAnsi"/>
          <w:sz w:val="20"/>
        </w:rPr>
        <w:t xml:space="preserve">Since inception, EIA has ensured quality implementation of all planned activities. The project has reached the targets up until March 2016 and is working to reach </w:t>
      </w:r>
      <w:r w:rsidR="008369BF" w:rsidRPr="005F120D">
        <w:rPr>
          <w:rFonts w:asciiTheme="minorHAnsi" w:hAnsiTheme="minorHAnsi" w:cstheme="minorHAnsi"/>
          <w:sz w:val="20"/>
        </w:rPr>
        <w:t xml:space="preserve">the </w:t>
      </w:r>
      <w:r w:rsidRPr="005F120D">
        <w:rPr>
          <w:rFonts w:asciiTheme="minorHAnsi" w:hAnsiTheme="minorHAnsi" w:cstheme="minorHAnsi"/>
          <w:sz w:val="20"/>
        </w:rPr>
        <w:t xml:space="preserve">remaining 37,000 teachers by 2017. Research reports have </w:t>
      </w:r>
      <w:r w:rsidR="008369BF" w:rsidRPr="005F120D">
        <w:rPr>
          <w:rFonts w:asciiTheme="minorHAnsi" w:hAnsiTheme="minorHAnsi" w:cstheme="minorHAnsi"/>
          <w:sz w:val="20"/>
        </w:rPr>
        <w:t>shown positive impacts among</w:t>
      </w:r>
      <w:r w:rsidRPr="005F120D">
        <w:rPr>
          <w:rFonts w:asciiTheme="minorHAnsi" w:hAnsiTheme="minorHAnsi" w:cstheme="minorHAnsi"/>
          <w:sz w:val="20"/>
        </w:rPr>
        <w:t xml:space="preserve"> targeted participants. It has been found that changes in teaching and learning processes of English are taking p</w:t>
      </w:r>
      <w:r w:rsidR="00893504" w:rsidRPr="005F120D">
        <w:rPr>
          <w:rFonts w:asciiTheme="minorHAnsi" w:hAnsiTheme="minorHAnsi" w:cstheme="minorHAnsi"/>
          <w:sz w:val="20"/>
        </w:rPr>
        <w:t>lac</w:t>
      </w:r>
      <w:r w:rsidRPr="005F120D">
        <w:rPr>
          <w:rFonts w:asciiTheme="minorHAnsi" w:hAnsiTheme="minorHAnsi" w:cstheme="minorHAnsi"/>
          <w:sz w:val="20"/>
        </w:rPr>
        <w:t>e so that children are learning in a more interactive and participatory way. Student talk</w:t>
      </w:r>
      <w:r w:rsidR="008369BF" w:rsidRPr="005F120D">
        <w:rPr>
          <w:rFonts w:asciiTheme="minorHAnsi" w:hAnsiTheme="minorHAnsi" w:cstheme="minorHAnsi"/>
          <w:sz w:val="20"/>
        </w:rPr>
        <w:t>ing</w:t>
      </w:r>
      <w:r w:rsidRPr="005F120D">
        <w:rPr>
          <w:rFonts w:asciiTheme="minorHAnsi" w:hAnsiTheme="minorHAnsi" w:cstheme="minorHAnsi"/>
          <w:sz w:val="20"/>
        </w:rPr>
        <w:t xml:space="preserve"> time has increased in the EIA intervention schools. In Primary, research shows that student talk</w:t>
      </w:r>
      <w:r w:rsidR="008369BF" w:rsidRPr="005F120D">
        <w:rPr>
          <w:rFonts w:asciiTheme="minorHAnsi" w:hAnsiTheme="minorHAnsi" w:cstheme="minorHAnsi"/>
          <w:sz w:val="20"/>
        </w:rPr>
        <w:t>ing</w:t>
      </w:r>
      <w:r w:rsidRPr="005F120D">
        <w:rPr>
          <w:rFonts w:asciiTheme="minorHAnsi" w:hAnsiTheme="minorHAnsi" w:cstheme="minorHAnsi"/>
          <w:sz w:val="20"/>
        </w:rPr>
        <w:t xml:space="preserve"> time in classroom practice has improved from near zero (per base line study) to </w:t>
      </w:r>
      <w:r w:rsidRPr="005F120D">
        <w:rPr>
          <w:rFonts w:asciiTheme="minorHAnsi" w:hAnsiTheme="minorHAnsi" w:cstheme="minorHAnsi"/>
          <w:bCs/>
          <w:sz w:val="20"/>
        </w:rPr>
        <w:t>27%</w:t>
      </w:r>
      <w:r w:rsidRPr="005F120D">
        <w:rPr>
          <w:rFonts w:asciiTheme="minorHAnsi" w:hAnsiTheme="minorHAnsi" w:cstheme="minorHAnsi"/>
          <w:sz w:val="20"/>
        </w:rPr>
        <w:t xml:space="preserve"> and </w:t>
      </w:r>
      <w:r w:rsidR="008369BF" w:rsidRPr="005F120D">
        <w:rPr>
          <w:rFonts w:asciiTheme="minorHAnsi" w:hAnsiTheme="minorHAnsi" w:cstheme="minorHAnsi"/>
          <w:sz w:val="20"/>
        </w:rPr>
        <w:t>the proportion of this talking</w:t>
      </w:r>
      <w:r w:rsidRPr="005F120D">
        <w:rPr>
          <w:rFonts w:asciiTheme="minorHAnsi" w:hAnsiTheme="minorHAnsi" w:cstheme="minorHAnsi"/>
          <w:sz w:val="20"/>
        </w:rPr>
        <w:t xml:space="preserve"> in English increased from near zero to </w:t>
      </w:r>
      <w:r w:rsidRPr="005F120D">
        <w:rPr>
          <w:rFonts w:asciiTheme="minorHAnsi" w:hAnsiTheme="minorHAnsi" w:cstheme="minorHAnsi"/>
          <w:bCs/>
          <w:sz w:val="20"/>
        </w:rPr>
        <w:t>94%</w:t>
      </w:r>
      <w:r w:rsidRPr="005F120D">
        <w:rPr>
          <w:rFonts w:asciiTheme="minorHAnsi" w:hAnsiTheme="minorHAnsi" w:cstheme="minorHAnsi"/>
          <w:sz w:val="20"/>
        </w:rPr>
        <w:t>. Similarly in secondary</w:t>
      </w:r>
      <w:r w:rsidR="008369BF" w:rsidRPr="005F120D">
        <w:rPr>
          <w:rFonts w:asciiTheme="minorHAnsi" w:hAnsiTheme="minorHAnsi" w:cstheme="minorHAnsi"/>
          <w:sz w:val="20"/>
        </w:rPr>
        <w:t xml:space="preserve"> schools</w:t>
      </w:r>
      <w:r w:rsidRPr="005F120D">
        <w:rPr>
          <w:rFonts w:asciiTheme="minorHAnsi" w:hAnsiTheme="minorHAnsi" w:cstheme="minorHAnsi"/>
          <w:sz w:val="20"/>
        </w:rPr>
        <w:t>, student talk</w:t>
      </w:r>
      <w:r w:rsidR="008369BF" w:rsidRPr="005F120D">
        <w:rPr>
          <w:rFonts w:asciiTheme="minorHAnsi" w:hAnsiTheme="minorHAnsi" w:cstheme="minorHAnsi"/>
          <w:sz w:val="20"/>
        </w:rPr>
        <w:t>ing</w:t>
      </w:r>
      <w:r w:rsidRPr="005F120D">
        <w:rPr>
          <w:rFonts w:asciiTheme="minorHAnsi" w:hAnsiTheme="minorHAnsi" w:cstheme="minorHAnsi"/>
          <w:sz w:val="20"/>
        </w:rPr>
        <w:t xml:space="preserve"> time in classrooms has improved from near zero (per base line study) to </w:t>
      </w:r>
      <w:r w:rsidRPr="005F120D">
        <w:rPr>
          <w:rFonts w:asciiTheme="minorHAnsi" w:hAnsiTheme="minorHAnsi" w:cstheme="minorHAnsi"/>
          <w:bCs/>
          <w:sz w:val="20"/>
        </w:rPr>
        <w:t>24%</w:t>
      </w:r>
      <w:r w:rsidRPr="005F120D">
        <w:rPr>
          <w:rFonts w:asciiTheme="minorHAnsi" w:hAnsiTheme="minorHAnsi" w:cstheme="minorHAnsi"/>
          <w:sz w:val="20"/>
        </w:rPr>
        <w:t xml:space="preserve"> and the </w:t>
      </w:r>
      <w:r w:rsidR="008369BF" w:rsidRPr="005F120D">
        <w:rPr>
          <w:rFonts w:asciiTheme="minorHAnsi" w:hAnsiTheme="minorHAnsi" w:cstheme="minorHAnsi"/>
          <w:sz w:val="20"/>
        </w:rPr>
        <w:t>proportion of this talking</w:t>
      </w:r>
      <w:r w:rsidRPr="005F120D">
        <w:rPr>
          <w:rFonts w:asciiTheme="minorHAnsi" w:hAnsiTheme="minorHAnsi" w:cstheme="minorHAnsi"/>
          <w:sz w:val="20"/>
        </w:rPr>
        <w:t xml:space="preserve"> in English</w:t>
      </w:r>
      <w:r w:rsidR="008369BF" w:rsidRPr="005F120D">
        <w:rPr>
          <w:rFonts w:asciiTheme="minorHAnsi" w:hAnsiTheme="minorHAnsi" w:cstheme="minorHAnsi"/>
          <w:sz w:val="20"/>
        </w:rPr>
        <w:t xml:space="preserve"> has</w:t>
      </w:r>
      <w:r w:rsidRPr="005F120D">
        <w:rPr>
          <w:rFonts w:asciiTheme="minorHAnsi" w:hAnsiTheme="minorHAnsi" w:cstheme="minorHAnsi"/>
          <w:sz w:val="20"/>
        </w:rPr>
        <w:t xml:space="preserve"> increased from near zero to </w:t>
      </w:r>
      <w:r w:rsidRPr="005F120D">
        <w:rPr>
          <w:rFonts w:asciiTheme="minorHAnsi" w:hAnsiTheme="minorHAnsi" w:cstheme="minorHAnsi"/>
          <w:bCs/>
          <w:sz w:val="20"/>
        </w:rPr>
        <w:t>92%</w:t>
      </w:r>
      <w:r w:rsidRPr="005F120D">
        <w:rPr>
          <w:rFonts w:asciiTheme="minorHAnsi" w:hAnsiTheme="minorHAnsi" w:cstheme="minorHAnsi"/>
          <w:sz w:val="20"/>
        </w:rPr>
        <w:t>.</w:t>
      </w:r>
    </w:p>
    <w:p w:rsidR="00E14D24" w:rsidRPr="005F120D" w:rsidRDefault="00E14D24" w:rsidP="00B25E46">
      <w:pPr>
        <w:spacing w:before="100" w:beforeAutospacing="1" w:after="100" w:afterAutospacing="1"/>
        <w:jc w:val="both"/>
        <w:rPr>
          <w:rFonts w:asciiTheme="minorHAnsi" w:hAnsiTheme="minorHAnsi" w:cstheme="minorHAnsi"/>
          <w:b/>
          <w:bCs/>
          <w:iCs/>
          <w:sz w:val="20"/>
        </w:rPr>
      </w:pPr>
      <w:r w:rsidRPr="005F120D">
        <w:rPr>
          <w:rFonts w:asciiTheme="minorHAnsi" w:hAnsiTheme="minorHAnsi" w:cstheme="minorHAnsi"/>
          <w:b/>
          <w:bCs/>
          <w:iCs/>
          <w:sz w:val="20"/>
        </w:rPr>
        <w:t>School-Based Approach</w:t>
      </w:r>
    </w:p>
    <w:p w:rsidR="00E14D24" w:rsidRPr="005F120D" w:rsidRDefault="00E14D24" w:rsidP="00B25E46">
      <w:pPr>
        <w:jc w:val="both"/>
        <w:rPr>
          <w:rFonts w:asciiTheme="minorHAnsi" w:hAnsiTheme="minorHAnsi" w:cstheme="minorHAnsi"/>
          <w:sz w:val="20"/>
        </w:rPr>
      </w:pPr>
      <w:r w:rsidRPr="005F120D">
        <w:rPr>
          <w:rFonts w:asciiTheme="minorHAnsi" w:hAnsiTheme="minorHAnsi" w:cstheme="minorHAnsi"/>
          <w:sz w:val="20"/>
        </w:rPr>
        <w:t>EIA’s school-bas</w:t>
      </w:r>
      <w:r w:rsidR="00893504" w:rsidRPr="005F120D">
        <w:rPr>
          <w:rFonts w:asciiTheme="minorHAnsi" w:hAnsiTheme="minorHAnsi" w:cstheme="minorHAnsi"/>
          <w:sz w:val="20"/>
        </w:rPr>
        <w:t>ed teacher development program</w:t>
      </w:r>
      <w:r w:rsidR="008369BF" w:rsidRPr="005F120D">
        <w:rPr>
          <w:rFonts w:asciiTheme="minorHAnsi" w:hAnsiTheme="minorHAnsi" w:cstheme="minorHAnsi"/>
          <w:sz w:val="20"/>
        </w:rPr>
        <w:t xml:space="preserve"> is a school-</w:t>
      </w:r>
      <w:r w:rsidRPr="005F120D">
        <w:rPr>
          <w:rFonts w:asciiTheme="minorHAnsi" w:hAnsiTheme="minorHAnsi" w:cstheme="minorHAnsi"/>
          <w:sz w:val="20"/>
        </w:rPr>
        <w:t xml:space="preserve">based intervention which focuses on ‘learning by doing.’ Teachers learn new classroom activities, through using printed guides and also by watching examples of good practice on audio visual materials which are provided on an SD card for use on a mobile phone. There is also classroom </w:t>
      </w:r>
      <w:r w:rsidR="00EC1F70" w:rsidRPr="005F120D">
        <w:rPr>
          <w:rFonts w:asciiTheme="minorHAnsi" w:hAnsiTheme="minorHAnsi" w:cstheme="minorHAnsi"/>
          <w:sz w:val="20"/>
        </w:rPr>
        <w:t>Audis</w:t>
      </w:r>
      <w:r w:rsidRPr="005F120D">
        <w:rPr>
          <w:rFonts w:asciiTheme="minorHAnsi" w:hAnsiTheme="minorHAnsi" w:cstheme="minorHAnsi"/>
          <w:sz w:val="20"/>
        </w:rPr>
        <w:t xml:space="preserve"> for students use, linked to the national curriculum for English and NCTB English for Today textbooks which support teachers to practice the four language skills and help create interactive lessons. All activities and materials have been refined over several years. </w:t>
      </w:r>
    </w:p>
    <w:p w:rsidR="00E14D24" w:rsidRPr="005F120D" w:rsidRDefault="00E14D24" w:rsidP="00B25E46">
      <w:pPr>
        <w:jc w:val="both"/>
        <w:rPr>
          <w:rFonts w:asciiTheme="minorHAnsi" w:hAnsiTheme="minorHAnsi" w:cstheme="minorHAnsi"/>
          <w:sz w:val="20"/>
        </w:rPr>
      </w:pPr>
      <w:r w:rsidRPr="005F120D">
        <w:rPr>
          <w:rFonts w:asciiTheme="minorHAnsi" w:hAnsiTheme="minorHAnsi" w:cstheme="minorHAnsi"/>
          <w:sz w:val="20"/>
        </w:rPr>
        <w:t>Teachers are expected to practice these techniques in the classroom and they then have opportunities for reflection and problem solving with their peers, within and across schools in the Upazila. The Head Teacher (HT) plays a strong supportive role, encouraging teachers to try new activities in the classroom and monitoring teachers’ progress in school. Teacher Facilitators (TF - more experienced teachers, who have been trained as facilitators) lead teacher development meetings locally –to help teachers to share their experiences with other teachers and learn from each other. On-going capacity building activities for the HTs, TFs and Education Officers further strengthen the teacher support system in the intervention areas.</w:t>
      </w:r>
    </w:p>
    <w:p w:rsidR="00E14D24" w:rsidRPr="005F120D" w:rsidRDefault="00E14D24" w:rsidP="00B25E46">
      <w:pPr>
        <w:jc w:val="both"/>
        <w:rPr>
          <w:rFonts w:asciiTheme="minorHAnsi" w:hAnsiTheme="minorHAnsi" w:cstheme="minorHAnsi"/>
          <w:sz w:val="20"/>
        </w:rPr>
      </w:pPr>
      <w:r w:rsidRPr="005F120D">
        <w:rPr>
          <w:rFonts w:asciiTheme="minorHAnsi" w:hAnsiTheme="minorHAnsi" w:cstheme="minorHAnsi"/>
          <w:sz w:val="20"/>
        </w:rPr>
        <w:t>EIA incorporates five key elements of effecti</w:t>
      </w:r>
      <w:r w:rsidR="00893504" w:rsidRPr="005F120D">
        <w:rPr>
          <w:rFonts w:asciiTheme="minorHAnsi" w:hAnsiTheme="minorHAnsi" w:cstheme="minorHAnsi"/>
          <w:sz w:val="20"/>
        </w:rPr>
        <w:t>ve teacher development program</w:t>
      </w:r>
      <w:r w:rsidRPr="005F120D">
        <w:rPr>
          <w:rFonts w:asciiTheme="minorHAnsi" w:hAnsiTheme="minorHAnsi" w:cstheme="minorHAnsi"/>
          <w:sz w:val="20"/>
        </w:rPr>
        <w:t>s, internationally recognized</w:t>
      </w:r>
      <w:r w:rsidRPr="005F120D">
        <w:rPr>
          <w:rStyle w:val="FootnoteReference"/>
          <w:rFonts w:asciiTheme="minorHAnsi" w:hAnsiTheme="minorHAnsi" w:cstheme="minorHAnsi"/>
          <w:sz w:val="20"/>
        </w:rPr>
        <w:footnoteReference w:id="18"/>
      </w:r>
      <w:r w:rsidRPr="005F120D">
        <w:rPr>
          <w:rFonts w:asciiTheme="minorHAnsi" w:hAnsiTheme="minorHAnsi" w:cstheme="minorHAnsi"/>
          <w:sz w:val="20"/>
        </w:rPr>
        <w:t xml:space="preserve">and capable of having positive impact on classroom teaching and learning. These key elements are </w:t>
      </w:r>
      <w:r w:rsidRPr="005F120D">
        <w:rPr>
          <w:rFonts w:asciiTheme="minorHAnsi" w:hAnsiTheme="minorHAnsi" w:cstheme="minorHAnsi"/>
          <w:sz w:val="20"/>
        </w:rPr>
        <w:lastRenderedPageBreak/>
        <w:t>– peer support, follow-up support and monitoring, Head Teacher support, alignment with curriculum and assessment, offline AV materials and enabling technology.</w:t>
      </w:r>
    </w:p>
    <w:p w:rsidR="00E14D24" w:rsidRPr="005F120D" w:rsidRDefault="00E14D24" w:rsidP="00B25E46">
      <w:pPr>
        <w:spacing w:before="100" w:beforeAutospacing="1" w:after="100" w:afterAutospacing="1"/>
        <w:jc w:val="both"/>
        <w:rPr>
          <w:rFonts w:asciiTheme="minorHAnsi" w:hAnsiTheme="minorHAnsi" w:cstheme="minorHAnsi"/>
          <w:sz w:val="20"/>
        </w:rPr>
      </w:pPr>
      <w:r w:rsidRPr="005F120D">
        <w:rPr>
          <w:rFonts w:asciiTheme="minorHAnsi" w:hAnsiTheme="minorHAnsi" w:cstheme="minorHAnsi"/>
          <w:b/>
          <w:bCs/>
          <w:sz w:val="20"/>
        </w:rPr>
        <w:t>Activities and Progress during 2015-16</w:t>
      </w:r>
    </w:p>
    <w:p w:rsidR="00E14D24" w:rsidRPr="005F120D" w:rsidRDefault="00E14D24" w:rsidP="00B25E46">
      <w:pPr>
        <w:spacing w:before="100" w:beforeAutospacing="1" w:after="100" w:afterAutospacing="1"/>
        <w:jc w:val="both"/>
        <w:rPr>
          <w:rFonts w:asciiTheme="minorHAnsi" w:hAnsiTheme="minorHAnsi" w:cstheme="minorHAnsi"/>
          <w:sz w:val="20"/>
        </w:rPr>
      </w:pPr>
      <w:r w:rsidRPr="005F120D">
        <w:rPr>
          <w:rFonts w:asciiTheme="minorHAnsi" w:hAnsiTheme="minorHAnsi" w:cstheme="minorHAnsi"/>
          <w:b/>
          <w:bCs/>
          <w:sz w:val="20"/>
        </w:rPr>
        <w:t>Teacher Support and Materials</w:t>
      </w:r>
    </w:p>
    <w:p w:rsidR="00E14D24" w:rsidRPr="005F120D" w:rsidRDefault="00E14D24" w:rsidP="00B25E46">
      <w:pPr>
        <w:numPr>
          <w:ilvl w:val="0"/>
          <w:numId w:val="73"/>
        </w:numPr>
        <w:spacing w:before="100" w:beforeAutospacing="1" w:after="100" w:afterAutospacing="1"/>
        <w:jc w:val="both"/>
        <w:rPr>
          <w:rFonts w:asciiTheme="minorHAnsi" w:hAnsiTheme="minorHAnsi" w:cstheme="minorHAnsi"/>
          <w:sz w:val="20"/>
        </w:rPr>
      </w:pPr>
      <w:r w:rsidRPr="005F120D">
        <w:rPr>
          <w:rFonts w:asciiTheme="minorHAnsi" w:hAnsiTheme="minorHAnsi" w:cstheme="minorHAnsi"/>
          <w:bCs/>
          <w:sz w:val="20"/>
        </w:rPr>
        <w:t>15,726</w:t>
      </w:r>
      <w:r w:rsidRPr="005F120D">
        <w:rPr>
          <w:rFonts w:asciiTheme="minorHAnsi" w:hAnsiTheme="minorHAnsi" w:cstheme="minorHAnsi"/>
          <w:sz w:val="20"/>
        </w:rPr>
        <w:t xml:space="preserve"> primary teachers have participated in EI</w:t>
      </w:r>
      <w:r w:rsidR="008A361E" w:rsidRPr="005F120D">
        <w:rPr>
          <w:rFonts w:asciiTheme="minorHAnsi" w:hAnsiTheme="minorHAnsi" w:cstheme="minorHAnsi"/>
          <w:sz w:val="20"/>
        </w:rPr>
        <w:t>A intervention activities from</w:t>
      </w:r>
      <w:r w:rsidRPr="005F120D">
        <w:rPr>
          <w:rFonts w:asciiTheme="minorHAnsi" w:hAnsiTheme="minorHAnsi" w:cstheme="minorHAnsi"/>
          <w:sz w:val="20"/>
        </w:rPr>
        <w:t xml:space="preserve"> April 2015 to March 2016.  </w:t>
      </w:r>
    </w:p>
    <w:p w:rsidR="00E14D24" w:rsidRPr="005F120D" w:rsidRDefault="00E14D24" w:rsidP="00B25E46">
      <w:pPr>
        <w:pStyle w:val="ListParagraph"/>
        <w:numPr>
          <w:ilvl w:val="0"/>
          <w:numId w:val="73"/>
        </w:numPr>
        <w:spacing w:before="100" w:beforeAutospacing="1" w:after="100" w:afterAutospacing="1"/>
        <w:jc w:val="both"/>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A total of 1,890 cluster meetings have taken p</w:t>
      </w:r>
      <w:r w:rsidR="00893504" w:rsidRPr="005F120D">
        <w:rPr>
          <w:rFonts w:asciiTheme="minorHAnsi" w:eastAsia="Times New Roman" w:hAnsiTheme="minorHAnsi" w:cstheme="minorHAnsi"/>
          <w:sz w:val="20"/>
          <w:szCs w:val="20"/>
        </w:rPr>
        <w:t>lac</w:t>
      </w:r>
      <w:r w:rsidRPr="005F120D">
        <w:rPr>
          <w:rFonts w:asciiTheme="minorHAnsi" w:eastAsia="Times New Roman" w:hAnsiTheme="minorHAnsi" w:cstheme="minorHAnsi"/>
          <w:sz w:val="20"/>
          <w:szCs w:val="20"/>
        </w:rPr>
        <w:t xml:space="preserve">e in 2015-2016.Teachers found these meetings very effective, appreciated the opportunity to review their teaching after practicing the methods and techniques in their classrooms. They expressed the necessity of these meetings as part of their continuous professional development.   </w:t>
      </w:r>
    </w:p>
    <w:p w:rsidR="00E14D24" w:rsidRPr="005F120D" w:rsidRDefault="00E14D24" w:rsidP="00B25E46">
      <w:pPr>
        <w:pStyle w:val="ListParagraph"/>
        <w:numPr>
          <w:ilvl w:val="0"/>
          <w:numId w:val="73"/>
        </w:numPr>
        <w:spacing w:before="100" w:beforeAutospacing="1" w:after="100" w:afterAutospacing="1"/>
        <w:jc w:val="both"/>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A total of 84 Teachers Facilitator (TF) workshops have taken p</w:t>
      </w:r>
      <w:r w:rsidR="00893504" w:rsidRPr="005F120D">
        <w:rPr>
          <w:rFonts w:asciiTheme="minorHAnsi" w:eastAsia="Times New Roman" w:hAnsiTheme="minorHAnsi" w:cstheme="minorHAnsi"/>
          <w:sz w:val="20"/>
          <w:szCs w:val="20"/>
        </w:rPr>
        <w:t>lac</w:t>
      </w:r>
      <w:r w:rsidRPr="005F120D">
        <w:rPr>
          <w:rFonts w:asciiTheme="minorHAnsi" w:eastAsia="Times New Roman" w:hAnsiTheme="minorHAnsi" w:cstheme="minorHAnsi"/>
          <w:sz w:val="20"/>
          <w:szCs w:val="20"/>
        </w:rPr>
        <w:t>e. Participants felt that these workshops are fruitful for enhancing their facilitation and leadership skills and expressed</w:t>
      </w:r>
      <w:r w:rsidR="008A361E" w:rsidRPr="005F120D">
        <w:rPr>
          <w:rFonts w:asciiTheme="minorHAnsi" w:eastAsia="Times New Roman" w:hAnsiTheme="minorHAnsi" w:cstheme="minorHAnsi"/>
          <w:sz w:val="20"/>
          <w:szCs w:val="20"/>
        </w:rPr>
        <w:t xml:space="preserve"> a wish </w:t>
      </w:r>
      <w:r w:rsidRPr="005F120D">
        <w:rPr>
          <w:rFonts w:asciiTheme="minorHAnsi" w:eastAsia="Times New Roman" w:hAnsiTheme="minorHAnsi" w:cstheme="minorHAnsi"/>
          <w:sz w:val="20"/>
          <w:szCs w:val="20"/>
        </w:rPr>
        <w:t xml:space="preserve">to have such events on a regular basis as part of their on-going professional development.  </w:t>
      </w:r>
    </w:p>
    <w:p w:rsidR="00E14D24" w:rsidRPr="005F120D" w:rsidRDefault="00E14D24" w:rsidP="00B25E46">
      <w:pPr>
        <w:pStyle w:val="ListParagraph"/>
        <w:numPr>
          <w:ilvl w:val="0"/>
          <w:numId w:val="73"/>
        </w:numPr>
        <w:spacing w:before="100" w:beforeAutospacing="1" w:after="100" w:afterAutospacing="1"/>
        <w:jc w:val="both"/>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 xml:space="preserve">Materials have now been produced for all stakeholders in revised editions to reflect the wider range of follow on support mechanism with increased stakeholders’ engagement. </w:t>
      </w:r>
    </w:p>
    <w:p w:rsidR="00E14D24" w:rsidRPr="005F120D" w:rsidRDefault="00E14D24" w:rsidP="00B25E46">
      <w:pPr>
        <w:pStyle w:val="ListParagraph"/>
        <w:numPr>
          <w:ilvl w:val="0"/>
          <w:numId w:val="73"/>
        </w:numPr>
        <w:jc w:val="both"/>
        <w:rPr>
          <w:rFonts w:asciiTheme="minorHAnsi" w:hAnsiTheme="minorHAnsi" w:cstheme="minorHAnsi"/>
          <w:sz w:val="20"/>
          <w:szCs w:val="20"/>
        </w:rPr>
      </w:pPr>
      <w:r w:rsidRPr="005F120D">
        <w:rPr>
          <w:rFonts w:asciiTheme="minorHAnsi" w:hAnsiTheme="minorHAnsi" w:cstheme="minorHAnsi"/>
          <w:sz w:val="20"/>
          <w:szCs w:val="20"/>
        </w:rPr>
        <w:t xml:space="preserve">As part of the shift to build ownership, in this cohort, teachers are using their own mobile phones. Already 25% schools have purchased speakers mainly from SLIP fund. Head Teachers in 40 upazilas have expressed their intention to buy speakers when the next round of SLIP fund will be received. In addition, DPE are procuring 20,000 speakers and have asked for the list of EIA schools to build this into the distribution plan. </w:t>
      </w:r>
    </w:p>
    <w:p w:rsidR="00E14D24" w:rsidRPr="005F120D" w:rsidRDefault="00E14D24" w:rsidP="00B25E46">
      <w:pPr>
        <w:spacing w:before="120" w:after="120"/>
        <w:jc w:val="both"/>
        <w:rPr>
          <w:rFonts w:asciiTheme="minorHAnsi" w:hAnsiTheme="minorHAnsi" w:cstheme="minorHAnsi"/>
          <w:sz w:val="20"/>
        </w:rPr>
      </w:pPr>
      <w:r w:rsidRPr="005F120D">
        <w:rPr>
          <w:rFonts w:asciiTheme="minorHAnsi" w:hAnsiTheme="minorHAnsi" w:cstheme="minorHAnsi"/>
          <w:b/>
          <w:bCs/>
          <w:sz w:val="20"/>
        </w:rPr>
        <w:t>Research Monitoring and Evaluation (RME)</w:t>
      </w:r>
    </w:p>
    <w:p w:rsidR="00E14D24" w:rsidRPr="005F120D" w:rsidRDefault="00E14D24" w:rsidP="00B25E46">
      <w:pPr>
        <w:pStyle w:val="ListParagraph"/>
        <w:numPr>
          <w:ilvl w:val="0"/>
          <w:numId w:val="74"/>
        </w:numPr>
        <w:spacing w:before="100" w:beforeAutospacing="1" w:after="100" w:afterAutospacing="1"/>
        <w:jc w:val="both"/>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Classroom observations have taken p</w:t>
      </w:r>
      <w:r w:rsidR="00893504" w:rsidRPr="005F120D">
        <w:rPr>
          <w:rFonts w:asciiTheme="minorHAnsi" w:eastAsia="Times New Roman" w:hAnsiTheme="minorHAnsi" w:cstheme="minorHAnsi"/>
          <w:sz w:val="20"/>
          <w:szCs w:val="20"/>
        </w:rPr>
        <w:t>lac</w:t>
      </w:r>
      <w:r w:rsidRPr="005F120D">
        <w:rPr>
          <w:rFonts w:asciiTheme="minorHAnsi" w:eastAsia="Times New Roman" w:hAnsiTheme="minorHAnsi" w:cstheme="minorHAnsi"/>
          <w:sz w:val="20"/>
          <w:szCs w:val="20"/>
        </w:rPr>
        <w:t>e by Education Officers (over 1500 for primary).</w:t>
      </w:r>
    </w:p>
    <w:p w:rsidR="00E14D24" w:rsidRPr="005F120D" w:rsidRDefault="00E14D24" w:rsidP="00B25E46">
      <w:pPr>
        <w:pStyle w:val="ListParagraph"/>
        <w:numPr>
          <w:ilvl w:val="0"/>
          <w:numId w:val="74"/>
        </w:numPr>
        <w:jc w:val="both"/>
        <w:rPr>
          <w:rFonts w:asciiTheme="minorHAnsi" w:hAnsiTheme="minorHAnsi" w:cstheme="minorHAnsi"/>
          <w:sz w:val="20"/>
          <w:szCs w:val="20"/>
        </w:rPr>
      </w:pPr>
      <w:r w:rsidRPr="005F120D">
        <w:rPr>
          <w:rFonts w:asciiTheme="minorHAnsi" w:hAnsiTheme="minorHAnsi" w:cstheme="minorHAnsi"/>
          <w:sz w:val="20"/>
          <w:szCs w:val="20"/>
        </w:rPr>
        <w:t>Even with a three-fold increase in scale, similar levels of progress were observed as in previous teacher cohorts. After the initial teacher development meeting, 87% teachers were using pair work and group work which provides opportunities for more student talk. In 45% classes students used English for more than 50% of the time.</w:t>
      </w:r>
    </w:p>
    <w:p w:rsidR="00E14D24" w:rsidRPr="005F120D" w:rsidRDefault="00E14D24" w:rsidP="00B25E46">
      <w:pPr>
        <w:pStyle w:val="ListParagraph"/>
        <w:numPr>
          <w:ilvl w:val="0"/>
          <w:numId w:val="74"/>
        </w:numPr>
        <w:spacing w:before="100" w:beforeAutospacing="1" w:after="100" w:afterAutospacing="1"/>
        <w:jc w:val="both"/>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Third batch of M. Phil researchers are continuing with their studies as part of the research collaboration with the Institute of Education and Research (IER) at Dhaka University.</w:t>
      </w:r>
    </w:p>
    <w:p w:rsidR="00E14D24" w:rsidRPr="005F120D" w:rsidRDefault="00E14D24" w:rsidP="00B25E46">
      <w:pPr>
        <w:pStyle w:val="ListParagraph"/>
        <w:numPr>
          <w:ilvl w:val="0"/>
          <w:numId w:val="74"/>
        </w:numPr>
        <w:jc w:val="both"/>
        <w:rPr>
          <w:rFonts w:asciiTheme="minorHAnsi" w:hAnsiTheme="minorHAnsi" w:cstheme="minorHAnsi"/>
          <w:sz w:val="20"/>
          <w:szCs w:val="20"/>
        </w:rPr>
      </w:pPr>
      <w:r w:rsidRPr="005F120D">
        <w:rPr>
          <w:rFonts w:asciiTheme="minorHAnsi" w:hAnsiTheme="minorHAnsi" w:cstheme="minorHAnsi"/>
          <w:sz w:val="20"/>
          <w:szCs w:val="20"/>
        </w:rPr>
        <w:t xml:space="preserve">Quantitative pre-test fieldwork and preliminary data analysis for the </w:t>
      </w:r>
      <w:r w:rsidRPr="005F120D">
        <w:rPr>
          <w:rFonts w:asciiTheme="minorHAnsi" w:hAnsiTheme="minorHAnsi" w:cstheme="minorHAnsi"/>
          <w:sz w:val="20"/>
          <w:szCs w:val="20"/>
          <w:u w:val="single"/>
        </w:rPr>
        <w:t>quasi-experimental</w:t>
      </w:r>
      <w:r w:rsidRPr="005F120D">
        <w:rPr>
          <w:rFonts w:asciiTheme="minorHAnsi" w:hAnsiTheme="minorHAnsi" w:cstheme="minorHAnsi"/>
          <w:sz w:val="20"/>
          <w:szCs w:val="20"/>
        </w:rPr>
        <w:t xml:space="preserve"> study has been completed. </w:t>
      </w:r>
    </w:p>
    <w:p w:rsidR="00E14D24" w:rsidRPr="005F120D" w:rsidRDefault="00E14D24" w:rsidP="00B25E46">
      <w:pPr>
        <w:pStyle w:val="ListParagraph"/>
        <w:numPr>
          <w:ilvl w:val="0"/>
          <w:numId w:val="74"/>
        </w:numPr>
        <w:jc w:val="both"/>
        <w:rPr>
          <w:rFonts w:asciiTheme="minorHAnsi" w:hAnsiTheme="minorHAnsi" w:cstheme="minorHAnsi"/>
          <w:sz w:val="20"/>
          <w:szCs w:val="20"/>
        </w:rPr>
      </w:pPr>
      <w:r w:rsidRPr="005F120D">
        <w:rPr>
          <w:rFonts w:asciiTheme="minorHAnsi" w:hAnsiTheme="minorHAnsi" w:cstheme="minorHAnsi"/>
          <w:sz w:val="20"/>
          <w:szCs w:val="20"/>
        </w:rPr>
        <w:t>A small scale qualitative study has been designed and fieldwork started. This explores the nature of teachers’ experiences of support in school more in depth, how the school context supports or mitigates against the intended mechanism of support in school and whether or how thes</w:t>
      </w:r>
      <w:r w:rsidR="00D21EC9" w:rsidRPr="005F120D">
        <w:rPr>
          <w:rFonts w:asciiTheme="minorHAnsi" w:hAnsiTheme="minorHAnsi" w:cstheme="minorHAnsi"/>
          <w:sz w:val="20"/>
          <w:szCs w:val="20"/>
        </w:rPr>
        <w:t>e interactions are associated with</w:t>
      </w:r>
      <w:r w:rsidRPr="005F120D">
        <w:rPr>
          <w:rFonts w:asciiTheme="minorHAnsi" w:hAnsiTheme="minorHAnsi" w:cstheme="minorHAnsi"/>
          <w:sz w:val="20"/>
          <w:szCs w:val="20"/>
        </w:rPr>
        <w:t xml:space="preserve"> changes in classroom practice.</w:t>
      </w:r>
    </w:p>
    <w:p w:rsidR="00E14D24" w:rsidRPr="005F120D" w:rsidRDefault="00E14D24" w:rsidP="00B25E46">
      <w:pPr>
        <w:pStyle w:val="ListParagraph"/>
        <w:numPr>
          <w:ilvl w:val="0"/>
          <w:numId w:val="74"/>
        </w:numPr>
        <w:jc w:val="both"/>
        <w:rPr>
          <w:rFonts w:asciiTheme="minorHAnsi" w:hAnsiTheme="minorHAnsi" w:cstheme="minorHAnsi"/>
          <w:sz w:val="20"/>
          <w:szCs w:val="20"/>
        </w:rPr>
      </w:pPr>
      <w:r w:rsidRPr="005F120D">
        <w:rPr>
          <w:rFonts w:asciiTheme="minorHAnsi" w:hAnsiTheme="minorHAnsi" w:cstheme="minorHAnsi"/>
          <w:sz w:val="20"/>
          <w:szCs w:val="20"/>
        </w:rPr>
        <w:t>‘Capturing the dynamics of change: Teachers’ voices from the classrooms’ – a series of workshops leading to a teachers’ conference. Teachers are being supported in undertaking their own action-research, which is enabling a group of interested teachers to understand and carry out small research studies in their own classrooms/school with other teachers and later t</w:t>
      </w:r>
      <w:r w:rsidR="00D21EC9" w:rsidRPr="005F120D">
        <w:rPr>
          <w:rFonts w:asciiTheme="minorHAnsi" w:hAnsiTheme="minorHAnsi" w:cstheme="minorHAnsi"/>
          <w:sz w:val="20"/>
          <w:szCs w:val="20"/>
        </w:rPr>
        <w:t>o present their work at regional  and</w:t>
      </w:r>
      <w:r w:rsidRPr="005F120D">
        <w:rPr>
          <w:rFonts w:asciiTheme="minorHAnsi" w:hAnsiTheme="minorHAnsi" w:cstheme="minorHAnsi"/>
          <w:sz w:val="20"/>
          <w:szCs w:val="20"/>
        </w:rPr>
        <w:t xml:space="preserve"> national conference</w:t>
      </w:r>
      <w:r w:rsidR="00D21EC9" w:rsidRPr="005F120D">
        <w:rPr>
          <w:rFonts w:asciiTheme="minorHAnsi" w:hAnsiTheme="minorHAnsi" w:cstheme="minorHAnsi"/>
          <w:sz w:val="20"/>
          <w:szCs w:val="20"/>
        </w:rPr>
        <w:t>s</w:t>
      </w:r>
      <w:r w:rsidRPr="005F120D">
        <w:rPr>
          <w:rFonts w:asciiTheme="minorHAnsi" w:hAnsiTheme="minorHAnsi" w:cstheme="minorHAnsi"/>
          <w:sz w:val="20"/>
          <w:szCs w:val="20"/>
        </w:rPr>
        <w:t>. In addition to developing greater understanding of the changes that are brought into classroom practices, this effort fits with EIA’s advocacy strategy to</w:t>
      </w:r>
      <w:r w:rsidR="00D21EC9" w:rsidRPr="005F120D">
        <w:rPr>
          <w:rFonts w:asciiTheme="minorHAnsi" w:hAnsiTheme="minorHAnsi" w:cstheme="minorHAnsi"/>
          <w:sz w:val="20"/>
          <w:szCs w:val="20"/>
        </w:rPr>
        <w:t xml:space="preserve"> create a wider platform for</w:t>
      </w:r>
      <w:r w:rsidRPr="005F120D">
        <w:rPr>
          <w:rFonts w:asciiTheme="minorHAnsi" w:hAnsiTheme="minorHAnsi" w:cstheme="minorHAnsi"/>
          <w:sz w:val="20"/>
          <w:szCs w:val="20"/>
        </w:rPr>
        <w:t xml:space="preserve"> practitioners to </w:t>
      </w:r>
      <w:r w:rsidR="00D21EC9" w:rsidRPr="005F120D">
        <w:rPr>
          <w:rFonts w:asciiTheme="minorHAnsi" w:hAnsiTheme="minorHAnsi" w:cstheme="minorHAnsi"/>
          <w:sz w:val="20"/>
          <w:szCs w:val="20"/>
        </w:rPr>
        <w:t xml:space="preserve">share their experiences with </w:t>
      </w:r>
      <w:r w:rsidRPr="005F120D">
        <w:rPr>
          <w:rFonts w:asciiTheme="minorHAnsi" w:hAnsiTheme="minorHAnsi" w:cstheme="minorHAnsi"/>
          <w:sz w:val="20"/>
          <w:szCs w:val="20"/>
        </w:rPr>
        <w:t>policy makers, other practiti</w:t>
      </w:r>
      <w:r w:rsidR="00D21EC9" w:rsidRPr="005F120D">
        <w:rPr>
          <w:rFonts w:asciiTheme="minorHAnsi" w:hAnsiTheme="minorHAnsi" w:cstheme="minorHAnsi"/>
          <w:sz w:val="20"/>
          <w:szCs w:val="20"/>
        </w:rPr>
        <w:t>oners and education officials. A t</w:t>
      </w:r>
      <w:r w:rsidRPr="005F120D">
        <w:rPr>
          <w:rFonts w:asciiTheme="minorHAnsi" w:hAnsiTheme="minorHAnsi" w:cstheme="minorHAnsi"/>
          <w:sz w:val="20"/>
          <w:szCs w:val="20"/>
        </w:rPr>
        <w:t xml:space="preserve">otal </w:t>
      </w:r>
      <w:r w:rsidR="00D21EC9" w:rsidRPr="005F120D">
        <w:rPr>
          <w:rFonts w:asciiTheme="minorHAnsi" w:hAnsiTheme="minorHAnsi" w:cstheme="minorHAnsi"/>
          <w:sz w:val="20"/>
          <w:szCs w:val="20"/>
        </w:rPr>
        <w:t xml:space="preserve">of </w:t>
      </w:r>
      <w:r w:rsidRPr="005F120D">
        <w:rPr>
          <w:rFonts w:asciiTheme="minorHAnsi" w:hAnsiTheme="minorHAnsi" w:cstheme="minorHAnsi"/>
          <w:sz w:val="20"/>
          <w:szCs w:val="20"/>
        </w:rPr>
        <w:t>135 teachers (both the primary &amp; secondary) are involving in this process.</w:t>
      </w:r>
    </w:p>
    <w:p w:rsidR="00E14D24" w:rsidRPr="005F120D" w:rsidRDefault="00E14D24" w:rsidP="00B25E46">
      <w:pPr>
        <w:pStyle w:val="ListParagraph"/>
        <w:numPr>
          <w:ilvl w:val="0"/>
          <w:numId w:val="74"/>
        </w:numPr>
        <w:jc w:val="both"/>
        <w:rPr>
          <w:rFonts w:asciiTheme="minorHAnsi" w:hAnsiTheme="minorHAnsi" w:cstheme="minorHAnsi"/>
          <w:sz w:val="20"/>
          <w:szCs w:val="20"/>
        </w:rPr>
      </w:pPr>
      <w:r w:rsidRPr="005F120D">
        <w:rPr>
          <w:rFonts w:asciiTheme="minorHAnsi" w:hAnsiTheme="minorHAnsi" w:cstheme="minorHAnsi"/>
          <w:sz w:val="20"/>
          <w:szCs w:val="20"/>
        </w:rPr>
        <w:t>Research findings have been disseminated at GoB events, technical forums and conferences and through journal articles and publications.</w:t>
      </w:r>
    </w:p>
    <w:p w:rsidR="00E14D24" w:rsidRPr="005F120D" w:rsidRDefault="00E14D24" w:rsidP="00B25E46">
      <w:pPr>
        <w:spacing w:before="100" w:beforeAutospacing="1" w:after="100" w:afterAutospacing="1"/>
        <w:jc w:val="both"/>
        <w:rPr>
          <w:rFonts w:asciiTheme="minorHAnsi" w:hAnsiTheme="minorHAnsi" w:cstheme="minorHAnsi"/>
          <w:sz w:val="20"/>
        </w:rPr>
      </w:pPr>
      <w:r w:rsidRPr="005F120D">
        <w:rPr>
          <w:rFonts w:asciiTheme="minorHAnsi" w:hAnsiTheme="minorHAnsi" w:cstheme="minorHAnsi"/>
          <w:b/>
          <w:bCs/>
          <w:sz w:val="20"/>
        </w:rPr>
        <w:t>Institutionalization and Sustainability (I&amp;S)</w:t>
      </w:r>
    </w:p>
    <w:p w:rsidR="00E14D24" w:rsidRPr="005F120D" w:rsidRDefault="00E14D24" w:rsidP="00B25E46">
      <w:pPr>
        <w:pStyle w:val="ListParagraph"/>
        <w:numPr>
          <w:ilvl w:val="0"/>
          <w:numId w:val="75"/>
        </w:numPr>
        <w:jc w:val="both"/>
        <w:rPr>
          <w:rFonts w:asciiTheme="minorHAnsi" w:hAnsiTheme="minorHAnsi" w:cstheme="minorHAnsi"/>
          <w:sz w:val="20"/>
          <w:szCs w:val="20"/>
        </w:rPr>
      </w:pPr>
      <w:r w:rsidRPr="005F120D">
        <w:rPr>
          <w:rFonts w:asciiTheme="minorHAnsi" w:hAnsiTheme="minorHAnsi" w:cstheme="minorHAnsi"/>
          <w:sz w:val="20"/>
          <w:szCs w:val="20"/>
        </w:rPr>
        <w:lastRenderedPageBreak/>
        <w:t>We are close</w:t>
      </w:r>
      <w:r w:rsidR="00D21EC9" w:rsidRPr="005F120D">
        <w:rPr>
          <w:rFonts w:asciiTheme="minorHAnsi" w:hAnsiTheme="minorHAnsi" w:cstheme="minorHAnsi"/>
          <w:sz w:val="20"/>
          <w:szCs w:val="20"/>
        </w:rPr>
        <w:t xml:space="preserve"> to</w:t>
      </w:r>
      <w:r w:rsidRPr="005F120D">
        <w:rPr>
          <w:rFonts w:asciiTheme="minorHAnsi" w:hAnsiTheme="minorHAnsi" w:cstheme="minorHAnsi"/>
          <w:sz w:val="20"/>
          <w:szCs w:val="20"/>
        </w:rPr>
        <w:t xml:space="preserve"> reaching the stage where there is universal access to EIA materials, e.g. primary classroom audios for Classes 1 - 2 are uploaded to the DPE website, and new Classes 4 &amp; 5 audios are in the process of being uploaded. Teachers across Bangladesh can download and use these materials under guidance from NCTB Teacher Editions. Contents are also being uploaded on </w:t>
      </w:r>
      <w:r w:rsidR="00D21EC9" w:rsidRPr="005F120D">
        <w:rPr>
          <w:rFonts w:asciiTheme="minorHAnsi" w:hAnsiTheme="minorHAnsi" w:cstheme="minorHAnsi"/>
          <w:sz w:val="20"/>
          <w:szCs w:val="20"/>
        </w:rPr>
        <w:t xml:space="preserve">the NCTB website. </w:t>
      </w:r>
      <w:r w:rsidR="00D21EC9" w:rsidRPr="00E4373F">
        <w:rPr>
          <w:rFonts w:asciiTheme="minorHAnsi" w:hAnsiTheme="minorHAnsi" w:cstheme="minorHAnsi"/>
          <w:sz w:val="20"/>
          <w:szCs w:val="20"/>
        </w:rPr>
        <w:t>These mean</w:t>
      </w:r>
      <w:r w:rsidRPr="00E4373F">
        <w:rPr>
          <w:rFonts w:asciiTheme="minorHAnsi" w:hAnsiTheme="minorHAnsi" w:cstheme="minorHAnsi"/>
          <w:sz w:val="20"/>
          <w:szCs w:val="20"/>
        </w:rPr>
        <w:t xml:space="preserve"> that Teacher Editions for Classes 3, 4 &amp; 5 will refer teachers to these AV materials and associated</w:t>
      </w:r>
      <w:r w:rsidRPr="005F120D">
        <w:rPr>
          <w:rFonts w:asciiTheme="minorHAnsi" w:hAnsiTheme="minorHAnsi" w:cstheme="minorHAnsi"/>
          <w:sz w:val="20"/>
          <w:szCs w:val="20"/>
        </w:rPr>
        <w:t xml:space="preserve"> activities to encourage the use of interactive pedagogy.</w:t>
      </w:r>
    </w:p>
    <w:p w:rsidR="00E14D24" w:rsidRPr="005F120D" w:rsidRDefault="00E14D24" w:rsidP="00B25E46">
      <w:pPr>
        <w:pStyle w:val="ListParagraph"/>
        <w:numPr>
          <w:ilvl w:val="0"/>
          <w:numId w:val="75"/>
        </w:numPr>
        <w:jc w:val="both"/>
        <w:rPr>
          <w:rFonts w:asciiTheme="minorHAnsi" w:hAnsiTheme="minorHAnsi" w:cstheme="minorHAnsi"/>
          <w:sz w:val="20"/>
          <w:szCs w:val="20"/>
        </w:rPr>
      </w:pPr>
      <w:r w:rsidRPr="005F120D">
        <w:rPr>
          <w:rFonts w:asciiTheme="minorHAnsi" w:hAnsiTheme="minorHAnsi" w:cstheme="minorHAnsi"/>
          <w:sz w:val="20"/>
          <w:szCs w:val="20"/>
        </w:rPr>
        <w:t>EIA contributed in developing the Primary Teacher Editions for class 1-5 and participated in the Primary Curriculum Dissemination training.</w:t>
      </w:r>
    </w:p>
    <w:p w:rsidR="00E14D24" w:rsidRPr="005F120D" w:rsidRDefault="00E14D24" w:rsidP="00B25E46">
      <w:pPr>
        <w:pStyle w:val="ListParagraph"/>
        <w:numPr>
          <w:ilvl w:val="0"/>
          <w:numId w:val="75"/>
        </w:numPr>
        <w:jc w:val="both"/>
        <w:rPr>
          <w:rFonts w:asciiTheme="minorHAnsi" w:hAnsiTheme="minorHAnsi" w:cstheme="minorHAnsi"/>
          <w:sz w:val="20"/>
          <w:szCs w:val="20"/>
        </w:rPr>
      </w:pPr>
      <w:r w:rsidRPr="005F120D">
        <w:rPr>
          <w:rFonts w:asciiTheme="minorHAnsi" w:hAnsiTheme="minorHAnsi" w:cstheme="minorHAnsi"/>
          <w:sz w:val="20"/>
          <w:szCs w:val="20"/>
        </w:rPr>
        <w:t>EIA teaching learning approaches are incorporated in the Diploma in Pr</w:t>
      </w:r>
      <w:r w:rsidR="00893504" w:rsidRPr="005F120D">
        <w:rPr>
          <w:rFonts w:asciiTheme="minorHAnsi" w:hAnsiTheme="minorHAnsi" w:cstheme="minorHAnsi"/>
          <w:sz w:val="20"/>
          <w:szCs w:val="20"/>
        </w:rPr>
        <w:t>imary Education (DPEd) program</w:t>
      </w:r>
      <w:r w:rsidRPr="005F120D">
        <w:rPr>
          <w:rFonts w:asciiTheme="minorHAnsi" w:hAnsiTheme="minorHAnsi" w:cstheme="minorHAnsi"/>
          <w:sz w:val="20"/>
          <w:szCs w:val="20"/>
        </w:rPr>
        <w:t xml:space="preserve">, especially in the English subject knowledge and pedagogical knowledge courses.  </w:t>
      </w:r>
    </w:p>
    <w:p w:rsidR="00E14D24" w:rsidRPr="005F120D" w:rsidRDefault="00E14D24" w:rsidP="00B25E46">
      <w:pPr>
        <w:pStyle w:val="ListParagraph"/>
        <w:numPr>
          <w:ilvl w:val="0"/>
          <w:numId w:val="75"/>
        </w:numPr>
        <w:jc w:val="both"/>
        <w:rPr>
          <w:rFonts w:asciiTheme="minorHAnsi" w:hAnsiTheme="minorHAnsi" w:cstheme="minorHAnsi"/>
          <w:sz w:val="20"/>
          <w:szCs w:val="20"/>
        </w:rPr>
      </w:pPr>
      <w:r w:rsidRPr="005F120D">
        <w:rPr>
          <w:rFonts w:asciiTheme="minorHAnsi" w:hAnsiTheme="minorHAnsi" w:cstheme="minorHAnsi"/>
          <w:sz w:val="20"/>
          <w:szCs w:val="20"/>
        </w:rPr>
        <w:t>EIA approaches are integrated into the teacher in-service ‘Subject Based Training’ (SBT) manual, with an integrated booklet for SBT English and a DVD of all EIA digital contents to all Master Trainers and SBT Teacher Trainers.</w:t>
      </w:r>
    </w:p>
    <w:p w:rsidR="00E14D24" w:rsidRPr="005F120D" w:rsidRDefault="00E14D24" w:rsidP="00B25E46">
      <w:pPr>
        <w:pStyle w:val="ListParagraph"/>
        <w:numPr>
          <w:ilvl w:val="0"/>
          <w:numId w:val="75"/>
        </w:numPr>
        <w:jc w:val="both"/>
        <w:rPr>
          <w:rFonts w:asciiTheme="minorHAnsi" w:hAnsiTheme="minorHAnsi" w:cstheme="minorHAnsi"/>
          <w:sz w:val="20"/>
          <w:szCs w:val="20"/>
        </w:rPr>
      </w:pPr>
      <w:r w:rsidRPr="005F120D">
        <w:rPr>
          <w:rFonts w:asciiTheme="minorHAnsi" w:hAnsiTheme="minorHAnsi" w:cstheme="minorHAnsi"/>
          <w:sz w:val="20"/>
          <w:szCs w:val="20"/>
        </w:rPr>
        <w:t>All Master Trainers (112) have received an orientation on the ‘Integrated Contents’ of SbT, and orientations for all S</w:t>
      </w:r>
      <w:r w:rsidR="00D21EC9" w:rsidRPr="005F120D">
        <w:rPr>
          <w:rFonts w:asciiTheme="minorHAnsi" w:hAnsiTheme="minorHAnsi" w:cstheme="minorHAnsi"/>
          <w:sz w:val="20"/>
          <w:szCs w:val="20"/>
        </w:rPr>
        <w:t>B</w:t>
      </w:r>
      <w:r w:rsidRPr="005F120D">
        <w:rPr>
          <w:rFonts w:asciiTheme="minorHAnsi" w:hAnsiTheme="minorHAnsi" w:cstheme="minorHAnsi"/>
          <w:sz w:val="20"/>
          <w:szCs w:val="20"/>
        </w:rPr>
        <w:t>T English Teacher Trainers (4,000) have been given by the Master Trainers.</w:t>
      </w:r>
    </w:p>
    <w:p w:rsidR="00E14D24" w:rsidRPr="005F120D" w:rsidRDefault="00E14D24" w:rsidP="00B25E46">
      <w:pPr>
        <w:pStyle w:val="ListParagraph"/>
        <w:numPr>
          <w:ilvl w:val="0"/>
          <w:numId w:val="75"/>
        </w:numPr>
        <w:jc w:val="both"/>
        <w:rPr>
          <w:rFonts w:asciiTheme="minorHAnsi" w:hAnsiTheme="minorHAnsi" w:cstheme="minorHAnsi"/>
          <w:sz w:val="20"/>
          <w:szCs w:val="20"/>
        </w:rPr>
      </w:pPr>
      <w:r w:rsidRPr="005F120D">
        <w:rPr>
          <w:rFonts w:asciiTheme="minorHAnsi" w:hAnsiTheme="minorHAnsi" w:cstheme="minorHAnsi"/>
          <w:sz w:val="20"/>
          <w:szCs w:val="20"/>
        </w:rPr>
        <w:t>EIA have worked with the Monitoring and Evaluation Division, DPE, to strengthen monitoring by the development and pilot</w:t>
      </w:r>
      <w:r w:rsidR="00D21EC9" w:rsidRPr="005F120D">
        <w:rPr>
          <w:rFonts w:asciiTheme="minorHAnsi" w:hAnsiTheme="minorHAnsi" w:cstheme="minorHAnsi"/>
          <w:sz w:val="20"/>
          <w:szCs w:val="20"/>
        </w:rPr>
        <w:t>ing</w:t>
      </w:r>
      <w:r w:rsidRPr="005F120D">
        <w:rPr>
          <w:rFonts w:asciiTheme="minorHAnsi" w:hAnsiTheme="minorHAnsi" w:cstheme="minorHAnsi"/>
          <w:sz w:val="20"/>
          <w:szCs w:val="20"/>
        </w:rPr>
        <w:t xml:space="preserve"> of a revised school visit instrument, with a stronger focus on classroom practice and learning. This has been piloted with Education Officers in 7 Upazilas, with visits from senior officials from DPE and MoPME in Chittagong and Sylhet.  A joint workshop is now planned to share feedback and recommendations to inform this aspect of post PEDP III.</w:t>
      </w:r>
    </w:p>
    <w:p w:rsidR="00E14D24" w:rsidRPr="005F120D" w:rsidRDefault="00E14D24" w:rsidP="00B25E46">
      <w:pPr>
        <w:pStyle w:val="ListParagraph"/>
        <w:numPr>
          <w:ilvl w:val="0"/>
          <w:numId w:val="75"/>
        </w:numPr>
        <w:jc w:val="both"/>
        <w:rPr>
          <w:rFonts w:asciiTheme="minorHAnsi" w:hAnsiTheme="minorHAnsi" w:cstheme="minorHAnsi"/>
          <w:sz w:val="20"/>
          <w:szCs w:val="20"/>
        </w:rPr>
      </w:pPr>
      <w:r w:rsidRPr="005F120D">
        <w:rPr>
          <w:rFonts w:asciiTheme="minorHAnsi" w:hAnsiTheme="minorHAnsi" w:cstheme="minorHAnsi"/>
          <w:sz w:val="20"/>
          <w:szCs w:val="20"/>
        </w:rPr>
        <w:t>The first in our series of technical forums (policy seminars) took p</w:t>
      </w:r>
      <w:r w:rsidR="00893504" w:rsidRPr="005F120D">
        <w:rPr>
          <w:rFonts w:asciiTheme="minorHAnsi" w:hAnsiTheme="minorHAnsi" w:cstheme="minorHAnsi"/>
          <w:sz w:val="20"/>
          <w:szCs w:val="20"/>
        </w:rPr>
        <w:t>lac</w:t>
      </w:r>
      <w:r w:rsidRPr="005F120D">
        <w:rPr>
          <w:rFonts w:asciiTheme="minorHAnsi" w:hAnsiTheme="minorHAnsi" w:cstheme="minorHAnsi"/>
          <w:sz w:val="20"/>
          <w:szCs w:val="20"/>
        </w:rPr>
        <w:t>e on 3</w:t>
      </w:r>
      <w:r w:rsidRPr="005F120D">
        <w:rPr>
          <w:rFonts w:asciiTheme="minorHAnsi" w:hAnsiTheme="minorHAnsi" w:cstheme="minorHAnsi"/>
          <w:sz w:val="20"/>
          <w:szCs w:val="20"/>
          <w:vertAlign w:val="superscript"/>
        </w:rPr>
        <w:t>rd</w:t>
      </w:r>
      <w:r w:rsidRPr="005F120D">
        <w:rPr>
          <w:rFonts w:asciiTheme="minorHAnsi" w:hAnsiTheme="minorHAnsi" w:cstheme="minorHAnsi"/>
          <w:sz w:val="20"/>
          <w:szCs w:val="20"/>
        </w:rPr>
        <w:t xml:space="preserve"> December 2015: ‘Teachers' Professional Development for Effective Teaching and Learning Practices’. The main objective of these seminars/technical forums is to enable dialogue around the characteristics of effecti</w:t>
      </w:r>
      <w:r w:rsidR="00893504" w:rsidRPr="005F120D">
        <w:rPr>
          <w:rFonts w:asciiTheme="minorHAnsi" w:hAnsiTheme="minorHAnsi" w:cstheme="minorHAnsi"/>
          <w:sz w:val="20"/>
          <w:szCs w:val="20"/>
        </w:rPr>
        <w:t>ve teacher development program</w:t>
      </w:r>
      <w:r w:rsidRPr="005F120D">
        <w:rPr>
          <w:rFonts w:asciiTheme="minorHAnsi" w:hAnsiTheme="minorHAnsi" w:cstheme="minorHAnsi"/>
          <w:sz w:val="20"/>
          <w:szCs w:val="20"/>
        </w:rPr>
        <w:t>s that contribute to changes in classroom practices and improved quality and equity of teaching and learning in schools. The discussions are informed by evide</w:t>
      </w:r>
      <w:r w:rsidR="00893504" w:rsidRPr="005F120D">
        <w:rPr>
          <w:rFonts w:asciiTheme="minorHAnsi" w:hAnsiTheme="minorHAnsi" w:cstheme="minorHAnsi"/>
          <w:sz w:val="20"/>
          <w:szCs w:val="20"/>
        </w:rPr>
        <w:t>nce from EIA and other program</w:t>
      </w:r>
      <w:r w:rsidRPr="005F120D">
        <w:rPr>
          <w:rFonts w:asciiTheme="minorHAnsi" w:hAnsiTheme="minorHAnsi" w:cstheme="minorHAnsi"/>
          <w:sz w:val="20"/>
          <w:szCs w:val="20"/>
        </w:rPr>
        <w:t>s in Bangladesh, as well as the wider international evidence base, much of the latter provided by DFID systematic reviews.</w:t>
      </w:r>
    </w:p>
    <w:p w:rsidR="00E14D24" w:rsidRPr="005F120D" w:rsidRDefault="00E14D24" w:rsidP="00B25E46">
      <w:pPr>
        <w:pStyle w:val="ListParagraph"/>
        <w:numPr>
          <w:ilvl w:val="0"/>
          <w:numId w:val="75"/>
        </w:numPr>
        <w:jc w:val="both"/>
        <w:rPr>
          <w:rFonts w:asciiTheme="minorHAnsi" w:hAnsiTheme="minorHAnsi" w:cstheme="minorHAnsi"/>
          <w:sz w:val="20"/>
          <w:szCs w:val="20"/>
        </w:rPr>
      </w:pPr>
      <w:r w:rsidRPr="005F120D">
        <w:rPr>
          <w:rFonts w:asciiTheme="minorHAnsi" w:hAnsiTheme="minorHAnsi" w:cstheme="minorHAnsi"/>
          <w:sz w:val="20"/>
          <w:szCs w:val="20"/>
        </w:rPr>
        <w:t>The second seminar in the series took p</w:t>
      </w:r>
      <w:r w:rsidR="00893504" w:rsidRPr="005F120D">
        <w:rPr>
          <w:rFonts w:asciiTheme="minorHAnsi" w:hAnsiTheme="minorHAnsi" w:cstheme="minorHAnsi"/>
          <w:sz w:val="20"/>
          <w:szCs w:val="20"/>
        </w:rPr>
        <w:t>lac</w:t>
      </w:r>
      <w:r w:rsidRPr="005F120D">
        <w:rPr>
          <w:rFonts w:asciiTheme="minorHAnsi" w:hAnsiTheme="minorHAnsi" w:cstheme="minorHAnsi"/>
          <w:sz w:val="20"/>
          <w:szCs w:val="20"/>
        </w:rPr>
        <w:t>e on 16</w:t>
      </w:r>
      <w:r w:rsidRPr="005F120D">
        <w:rPr>
          <w:rFonts w:asciiTheme="minorHAnsi" w:hAnsiTheme="minorHAnsi" w:cstheme="minorHAnsi"/>
          <w:sz w:val="20"/>
          <w:szCs w:val="20"/>
          <w:vertAlign w:val="superscript"/>
        </w:rPr>
        <w:t>th</w:t>
      </w:r>
      <w:r w:rsidRPr="005F120D">
        <w:rPr>
          <w:rFonts w:asciiTheme="minorHAnsi" w:hAnsiTheme="minorHAnsi" w:cstheme="minorHAnsi"/>
          <w:sz w:val="20"/>
          <w:szCs w:val="20"/>
        </w:rPr>
        <w:t xml:space="preserve"> March 2016: ‘Exploring Interdependence between Modeling Practice, School-based Development and Teacher Networks’.</w:t>
      </w:r>
    </w:p>
    <w:p w:rsidR="00E14D24" w:rsidRPr="005F120D" w:rsidRDefault="00E14D24" w:rsidP="00B25E46">
      <w:pPr>
        <w:spacing w:before="100" w:beforeAutospacing="1" w:after="100" w:afterAutospacing="1"/>
        <w:jc w:val="both"/>
        <w:rPr>
          <w:rFonts w:asciiTheme="minorHAnsi" w:hAnsiTheme="minorHAnsi" w:cstheme="minorHAnsi"/>
          <w:sz w:val="20"/>
        </w:rPr>
      </w:pPr>
      <w:r w:rsidRPr="005F120D">
        <w:rPr>
          <w:rFonts w:asciiTheme="minorHAnsi" w:hAnsiTheme="minorHAnsi" w:cstheme="minorHAnsi"/>
          <w:sz w:val="20"/>
        </w:rPr>
        <w:t> </w:t>
      </w:r>
      <w:r w:rsidRPr="005F120D">
        <w:rPr>
          <w:rFonts w:asciiTheme="minorHAnsi" w:hAnsiTheme="minorHAnsi" w:cstheme="minorHAnsi"/>
          <w:b/>
          <w:bCs/>
          <w:sz w:val="20"/>
        </w:rPr>
        <w:t>Implementation plan in 2016 and 2017</w:t>
      </w:r>
    </w:p>
    <w:p w:rsidR="00893504" w:rsidRPr="005F120D" w:rsidRDefault="00E14D24" w:rsidP="00B25E46">
      <w:pPr>
        <w:spacing w:before="100" w:beforeAutospacing="1" w:after="100" w:afterAutospacing="1"/>
        <w:jc w:val="both"/>
        <w:rPr>
          <w:rFonts w:asciiTheme="minorHAnsi" w:hAnsiTheme="minorHAnsi" w:cstheme="minorHAnsi"/>
          <w:sz w:val="20"/>
        </w:rPr>
      </w:pPr>
      <w:r w:rsidRPr="005F120D">
        <w:rPr>
          <w:rFonts w:asciiTheme="minorHAnsi" w:hAnsiTheme="minorHAnsi" w:cstheme="minorHAnsi"/>
          <w:sz w:val="20"/>
        </w:rPr>
        <w:t>EIA plans to cover 18,000 primary teachers during 2016-2017. EIA will continue to work towards sustainability of good practices through close collabo</w:t>
      </w:r>
      <w:r w:rsidR="00893504" w:rsidRPr="005F120D">
        <w:rPr>
          <w:rFonts w:asciiTheme="minorHAnsi" w:hAnsiTheme="minorHAnsi" w:cstheme="minorHAnsi"/>
          <w:sz w:val="20"/>
        </w:rPr>
        <w:t>ration with the sector program</w:t>
      </w:r>
      <w:r w:rsidRPr="005F120D">
        <w:rPr>
          <w:rFonts w:asciiTheme="minorHAnsi" w:hAnsiTheme="minorHAnsi" w:cstheme="minorHAnsi"/>
          <w:sz w:val="20"/>
        </w:rPr>
        <w:t xml:space="preserve"> activities till the end of pr</w:t>
      </w:r>
      <w:bookmarkStart w:id="666" w:name="0.1__GoBack"/>
      <w:bookmarkEnd w:id="666"/>
      <w:r w:rsidRPr="005F120D">
        <w:rPr>
          <w:rFonts w:asciiTheme="minorHAnsi" w:hAnsiTheme="minorHAnsi" w:cstheme="minorHAnsi"/>
          <w:sz w:val="20"/>
        </w:rPr>
        <w:t>oject in 2017.</w:t>
      </w:r>
    </w:p>
    <w:p w:rsidR="00E14D24" w:rsidRPr="005F120D" w:rsidRDefault="00E14D24" w:rsidP="00B25E46">
      <w:pPr>
        <w:spacing w:before="100" w:beforeAutospacing="1" w:after="100" w:afterAutospacing="1"/>
        <w:jc w:val="both"/>
        <w:rPr>
          <w:rFonts w:asciiTheme="minorHAnsi" w:hAnsiTheme="minorHAnsi" w:cstheme="minorHAnsi"/>
          <w:b/>
          <w:bCs/>
          <w:sz w:val="20"/>
        </w:rPr>
      </w:pPr>
      <w:r w:rsidRPr="005F120D">
        <w:rPr>
          <w:rFonts w:asciiTheme="minorHAnsi" w:hAnsiTheme="minorHAnsi" w:cstheme="minorHAnsi"/>
          <w:b/>
          <w:bCs/>
          <w:sz w:val="20"/>
        </w:rPr>
        <w:t>Secondary</w:t>
      </w:r>
    </w:p>
    <w:p w:rsidR="00E14D24" w:rsidRPr="005F120D" w:rsidRDefault="00E14D24" w:rsidP="00B25E46">
      <w:pPr>
        <w:spacing w:before="100" w:beforeAutospacing="1" w:after="100" w:afterAutospacing="1"/>
        <w:jc w:val="both"/>
        <w:rPr>
          <w:rFonts w:asciiTheme="minorHAnsi" w:hAnsiTheme="minorHAnsi" w:cstheme="minorHAnsi"/>
          <w:bCs/>
          <w:sz w:val="20"/>
        </w:rPr>
      </w:pPr>
      <w:r w:rsidRPr="005F120D">
        <w:rPr>
          <w:rFonts w:asciiTheme="minorHAnsi" w:hAnsiTheme="minorHAnsi" w:cstheme="minorHAnsi"/>
          <w:bCs/>
          <w:sz w:val="20"/>
        </w:rPr>
        <w:t>In addition, EIA is working on secondary education. Many intervention activities are similar to that of primary. The following Table provides additional relevant information in this regard.</w:t>
      </w:r>
    </w:p>
    <w:p w:rsidR="00E14D24" w:rsidRPr="005F120D" w:rsidRDefault="00E14D24" w:rsidP="00B25E46">
      <w:pPr>
        <w:spacing w:before="100" w:beforeAutospacing="1" w:after="100" w:afterAutospacing="1"/>
        <w:jc w:val="both"/>
        <w:rPr>
          <w:rFonts w:asciiTheme="minorHAnsi" w:hAnsiTheme="minorHAnsi" w:cstheme="minorHAnsi"/>
          <w:b/>
          <w:sz w:val="20"/>
        </w:rPr>
      </w:pPr>
      <w:r w:rsidRPr="005F120D">
        <w:rPr>
          <w:rFonts w:asciiTheme="minorHAnsi" w:hAnsiTheme="minorHAnsi" w:cstheme="minorHAnsi"/>
          <w:b/>
          <w:bCs/>
          <w:sz w:val="20"/>
        </w:rPr>
        <w:t xml:space="preserve">Coverage as of March 2015 </w:t>
      </w:r>
    </w:p>
    <w:tbl>
      <w:tblPr>
        <w:tblStyle w:val="TableGrid"/>
        <w:tblW w:w="0" w:type="auto"/>
        <w:tblInd w:w="198" w:type="dxa"/>
        <w:tblLook w:val="04A0"/>
      </w:tblPr>
      <w:tblGrid>
        <w:gridCol w:w="1048"/>
        <w:gridCol w:w="1164"/>
        <w:gridCol w:w="1355"/>
        <w:gridCol w:w="1440"/>
        <w:gridCol w:w="1440"/>
        <w:gridCol w:w="2352"/>
      </w:tblGrid>
      <w:tr w:rsidR="00E14D24" w:rsidRPr="005F120D" w:rsidTr="00E14D24">
        <w:trPr>
          <w:trHeight w:val="240"/>
        </w:trPr>
        <w:tc>
          <w:tcPr>
            <w:tcW w:w="6447" w:type="dxa"/>
            <w:gridSpan w:val="5"/>
            <w:tcBorders>
              <w:top w:val="double" w:sz="4" w:space="0" w:color="auto"/>
              <w:left w:val="double" w:sz="4" w:space="0" w:color="auto"/>
            </w:tcBorders>
          </w:tcPr>
          <w:p w:rsidR="00E14D24" w:rsidRPr="005F120D" w:rsidRDefault="00E14D24" w:rsidP="00B25E46">
            <w:pPr>
              <w:jc w:val="center"/>
              <w:rPr>
                <w:rFonts w:asciiTheme="minorHAnsi" w:hAnsiTheme="minorHAnsi" w:cstheme="minorHAnsi"/>
                <w:b/>
                <w:sz w:val="20"/>
                <w:szCs w:val="20"/>
              </w:rPr>
            </w:pPr>
            <w:r w:rsidRPr="005F120D">
              <w:rPr>
                <w:rFonts w:asciiTheme="minorHAnsi" w:hAnsiTheme="minorHAnsi" w:cstheme="minorHAnsi"/>
                <w:b/>
                <w:sz w:val="20"/>
                <w:szCs w:val="20"/>
              </w:rPr>
              <w:t>secondary Coverage</w:t>
            </w:r>
          </w:p>
        </w:tc>
        <w:tc>
          <w:tcPr>
            <w:tcW w:w="2352" w:type="dxa"/>
            <w:vMerge w:val="restart"/>
            <w:tcBorders>
              <w:top w:val="double" w:sz="4" w:space="0" w:color="auto"/>
              <w:right w:val="double" w:sz="4" w:space="0" w:color="auto"/>
            </w:tcBorders>
          </w:tcPr>
          <w:p w:rsidR="00E14D24" w:rsidRPr="005F120D" w:rsidRDefault="00E14D24" w:rsidP="00B25E46">
            <w:pPr>
              <w:jc w:val="center"/>
              <w:rPr>
                <w:rFonts w:asciiTheme="minorHAnsi" w:hAnsiTheme="minorHAnsi" w:cstheme="minorHAnsi"/>
                <w:b/>
                <w:sz w:val="20"/>
                <w:szCs w:val="20"/>
              </w:rPr>
            </w:pPr>
          </w:p>
          <w:p w:rsidR="00E14D24" w:rsidRPr="005F120D" w:rsidRDefault="00E14D24" w:rsidP="00B25E46">
            <w:pPr>
              <w:jc w:val="center"/>
              <w:rPr>
                <w:rFonts w:asciiTheme="minorHAnsi" w:hAnsiTheme="minorHAnsi" w:cstheme="minorHAnsi"/>
                <w:b/>
                <w:sz w:val="20"/>
                <w:szCs w:val="20"/>
              </w:rPr>
            </w:pPr>
            <w:r w:rsidRPr="005F120D">
              <w:rPr>
                <w:rFonts w:asciiTheme="minorHAnsi" w:hAnsiTheme="minorHAnsi" w:cstheme="minorHAnsi"/>
                <w:b/>
                <w:sz w:val="20"/>
                <w:szCs w:val="20"/>
              </w:rPr>
              <w:t>Remarks</w:t>
            </w:r>
          </w:p>
        </w:tc>
      </w:tr>
      <w:tr w:rsidR="00E14D24" w:rsidRPr="005F120D" w:rsidTr="00E14D24">
        <w:trPr>
          <w:trHeight w:hRule="exact" w:val="504"/>
        </w:trPr>
        <w:tc>
          <w:tcPr>
            <w:tcW w:w="1048" w:type="dxa"/>
            <w:tcBorders>
              <w:left w:val="double" w:sz="4" w:space="0" w:color="auto"/>
            </w:tcBorders>
            <w:vAlign w:val="center"/>
          </w:tcPr>
          <w:p w:rsidR="00E14D24" w:rsidRPr="005F120D" w:rsidRDefault="00E14D24" w:rsidP="00B25E46">
            <w:pPr>
              <w:jc w:val="center"/>
              <w:rPr>
                <w:rFonts w:asciiTheme="minorHAnsi" w:hAnsiTheme="minorHAnsi" w:cstheme="minorHAnsi"/>
                <w:b/>
                <w:sz w:val="20"/>
                <w:szCs w:val="20"/>
              </w:rPr>
            </w:pPr>
            <w:r w:rsidRPr="005F120D">
              <w:rPr>
                <w:rFonts w:asciiTheme="minorHAnsi" w:hAnsiTheme="minorHAnsi" w:cstheme="minorHAnsi"/>
                <w:b/>
                <w:sz w:val="20"/>
                <w:szCs w:val="20"/>
              </w:rPr>
              <w:t>Number of District</w:t>
            </w:r>
          </w:p>
        </w:tc>
        <w:tc>
          <w:tcPr>
            <w:tcW w:w="1164" w:type="dxa"/>
            <w:vAlign w:val="center"/>
          </w:tcPr>
          <w:p w:rsidR="00E14D24" w:rsidRPr="005F120D" w:rsidRDefault="00E14D24" w:rsidP="00B25E46">
            <w:pPr>
              <w:jc w:val="center"/>
              <w:rPr>
                <w:rFonts w:asciiTheme="minorHAnsi" w:hAnsiTheme="minorHAnsi" w:cstheme="minorHAnsi"/>
                <w:b/>
                <w:sz w:val="20"/>
                <w:szCs w:val="20"/>
              </w:rPr>
            </w:pPr>
            <w:r w:rsidRPr="005F120D">
              <w:rPr>
                <w:rFonts w:asciiTheme="minorHAnsi" w:hAnsiTheme="minorHAnsi" w:cstheme="minorHAnsi"/>
                <w:b/>
                <w:sz w:val="20"/>
                <w:szCs w:val="20"/>
              </w:rPr>
              <w:t>Number of Upazila</w:t>
            </w:r>
          </w:p>
        </w:tc>
        <w:tc>
          <w:tcPr>
            <w:tcW w:w="1355" w:type="dxa"/>
            <w:vAlign w:val="center"/>
          </w:tcPr>
          <w:p w:rsidR="00E14D24" w:rsidRPr="005F120D" w:rsidRDefault="00E14D24" w:rsidP="00B25E46">
            <w:pPr>
              <w:jc w:val="center"/>
              <w:rPr>
                <w:rFonts w:asciiTheme="minorHAnsi" w:hAnsiTheme="minorHAnsi" w:cstheme="minorHAnsi"/>
                <w:b/>
                <w:sz w:val="20"/>
                <w:szCs w:val="20"/>
              </w:rPr>
            </w:pPr>
            <w:r w:rsidRPr="005F120D">
              <w:rPr>
                <w:rFonts w:asciiTheme="minorHAnsi" w:hAnsiTheme="minorHAnsi" w:cstheme="minorHAnsi"/>
                <w:b/>
                <w:sz w:val="20"/>
                <w:szCs w:val="20"/>
              </w:rPr>
              <w:t>Number of schools</w:t>
            </w:r>
          </w:p>
        </w:tc>
        <w:tc>
          <w:tcPr>
            <w:tcW w:w="1440" w:type="dxa"/>
            <w:vAlign w:val="center"/>
          </w:tcPr>
          <w:p w:rsidR="00E14D24" w:rsidRPr="005F120D" w:rsidRDefault="00E14D24" w:rsidP="00B25E46">
            <w:pPr>
              <w:jc w:val="center"/>
              <w:rPr>
                <w:rFonts w:asciiTheme="minorHAnsi" w:hAnsiTheme="minorHAnsi" w:cstheme="minorHAnsi"/>
                <w:b/>
                <w:sz w:val="20"/>
                <w:szCs w:val="20"/>
              </w:rPr>
            </w:pPr>
            <w:r w:rsidRPr="005F120D">
              <w:rPr>
                <w:rFonts w:asciiTheme="minorHAnsi" w:hAnsiTheme="minorHAnsi" w:cstheme="minorHAnsi"/>
                <w:b/>
                <w:sz w:val="20"/>
                <w:szCs w:val="20"/>
              </w:rPr>
              <w:t>Number of Teachers</w:t>
            </w:r>
          </w:p>
        </w:tc>
        <w:tc>
          <w:tcPr>
            <w:tcW w:w="1440" w:type="dxa"/>
            <w:vAlign w:val="center"/>
          </w:tcPr>
          <w:p w:rsidR="00E14D24" w:rsidRPr="005F120D" w:rsidRDefault="00E14D24" w:rsidP="00B25E46">
            <w:pPr>
              <w:jc w:val="center"/>
              <w:rPr>
                <w:rFonts w:asciiTheme="minorHAnsi" w:hAnsiTheme="minorHAnsi" w:cstheme="minorHAnsi"/>
                <w:b/>
                <w:sz w:val="20"/>
                <w:szCs w:val="20"/>
              </w:rPr>
            </w:pPr>
            <w:r w:rsidRPr="005F120D">
              <w:rPr>
                <w:rFonts w:asciiTheme="minorHAnsi" w:hAnsiTheme="minorHAnsi" w:cstheme="minorHAnsi"/>
                <w:b/>
                <w:sz w:val="20"/>
                <w:szCs w:val="20"/>
              </w:rPr>
              <w:t>Number of students</w:t>
            </w:r>
          </w:p>
        </w:tc>
        <w:tc>
          <w:tcPr>
            <w:tcW w:w="2352" w:type="dxa"/>
            <w:vMerge/>
            <w:tcBorders>
              <w:right w:val="double" w:sz="4" w:space="0" w:color="auto"/>
            </w:tcBorders>
          </w:tcPr>
          <w:p w:rsidR="00E14D24" w:rsidRPr="005F120D" w:rsidRDefault="00E14D24" w:rsidP="00B25E46">
            <w:pPr>
              <w:jc w:val="both"/>
              <w:rPr>
                <w:rFonts w:asciiTheme="minorHAnsi" w:hAnsiTheme="minorHAnsi" w:cstheme="minorHAnsi"/>
                <w:b/>
                <w:sz w:val="20"/>
                <w:szCs w:val="20"/>
              </w:rPr>
            </w:pPr>
          </w:p>
        </w:tc>
      </w:tr>
      <w:tr w:rsidR="00E14D24" w:rsidRPr="005F120D" w:rsidTr="00E14D24">
        <w:trPr>
          <w:trHeight w:hRule="exact" w:val="504"/>
        </w:trPr>
        <w:tc>
          <w:tcPr>
            <w:tcW w:w="1048" w:type="dxa"/>
            <w:tcBorders>
              <w:left w:val="double" w:sz="4" w:space="0" w:color="auto"/>
              <w:bottom w:val="double" w:sz="4" w:space="0" w:color="auto"/>
            </w:tcBorders>
          </w:tcPr>
          <w:p w:rsidR="00E14D24" w:rsidRPr="005F120D" w:rsidRDefault="00E14D24" w:rsidP="00B25E46">
            <w:pPr>
              <w:jc w:val="center"/>
              <w:rPr>
                <w:rFonts w:asciiTheme="minorHAnsi" w:hAnsiTheme="minorHAnsi" w:cstheme="minorHAnsi"/>
                <w:sz w:val="20"/>
                <w:szCs w:val="20"/>
              </w:rPr>
            </w:pPr>
            <w:r w:rsidRPr="005F120D">
              <w:rPr>
                <w:rFonts w:asciiTheme="minorHAnsi" w:hAnsiTheme="minorHAnsi" w:cstheme="minorHAnsi"/>
                <w:sz w:val="20"/>
                <w:szCs w:val="20"/>
              </w:rPr>
              <w:t>56</w:t>
            </w:r>
          </w:p>
        </w:tc>
        <w:tc>
          <w:tcPr>
            <w:tcW w:w="1164" w:type="dxa"/>
            <w:tcBorders>
              <w:bottom w:val="double" w:sz="4" w:space="0" w:color="auto"/>
            </w:tcBorders>
          </w:tcPr>
          <w:p w:rsidR="00E14D24" w:rsidRPr="005F120D" w:rsidRDefault="00E14D24" w:rsidP="00B25E46">
            <w:pPr>
              <w:jc w:val="center"/>
              <w:rPr>
                <w:rFonts w:asciiTheme="minorHAnsi" w:hAnsiTheme="minorHAnsi" w:cstheme="minorHAnsi"/>
                <w:sz w:val="20"/>
                <w:szCs w:val="20"/>
              </w:rPr>
            </w:pPr>
            <w:r w:rsidRPr="005F120D">
              <w:rPr>
                <w:rFonts w:asciiTheme="minorHAnsi" w:hAnsiTheme="minorHAnsi" w:cstheme="minorHAnsi"/>
                <w:sz w:val="20"/>
                <w:szCs w:val="20"/>
              </w:rPr>
              <w:t>100</w:t>
            </w:r>
          </w:p>
        </w:tc>
        <w:tc>
          <w:tcPr>
            <w:tcW w:w="1355" w:type="dxa"/>
            <w:tcBorders>
              <w:bottom w:val="double" w:sz="4" w:space="0" w:color="auto"/>
            </w:tcBorders>
          </w:tcPr>
          <w:p w:rsidR="00E14D24" w:rsidRPr="005F120D" w:rsidRDefault="00E14D24" w:rsidP="00B25E46">
            <w:pPr>
              <w:jc w:val="center"/>
              <w:rPr>
                <w:rFonts w:asciiTheme="minorHAnsi" w:hAnsiTheme="minorHAnsi" w:cstheme="minorHAnsi"/>
                <w:sz w:val="20"/>
                <w:szCs w:val="20"/>
              </w:rPr>
            </w:pPr>
            <w:r w:rsidRPr="005F120D">
              <w:rPr>
                <w:rFonts w:asciiTheme="minorHAnsi" w:hAnsiTheme="minorHAnsi" w:cstheme="minorHAnsi"/>
                <w:sz w:val="20"/>
                <w:szCs w:val="20"/>
              </w:rPr>
              <w:t>910</w:t>
            </w:r>
          </w:p>
        </w:tc>
        <w:tc>
          <w:tcPr>
            <w:tcW w:w="1440" w:type="dxa"/>
            <w:tcBorders>
              <w:bottom w:val="double" w:sz="4" w:space="0" w:color="auto"/>
            </w:tcBorders>
          </w:tcPr>
          <w:p w:rsidR="00E14D24" w:rsidRPr="005F120D" w:rsidRDefault="00E14D24" w:rsidP="00B25E46">
            <w:pPr>
              <w:jc w:val="center"/>
              <w:rPr>
                <w:rFonts w:asciiTheme="minorHAnsi" w:hAnsiTheme="minorHAnsi" w:cstheme="minorHAnsi"/>
                <w:sz w:val="20"/>
                <w:szCs w:val="20"/>
              </w:rPr>
            </w:pPr>
            <w:r w:rsidRPr="005F120D">
              <w:rPr>
                <w:rFonts w:asciiTheme="minorHAnsi" w:hAnsiTheme="minorHAnsi" w:cstheme="minorHAnsi"/>
                <w:sz w:val="20"/>
                <w:szCs w:val="20"/>
              </w:rPr>
              <w:t>2,730</w:t>
            </w:r>
          </w:p>
        </w:tc>
        <w:tc>
          <w:tcPr>
            <w:tcW w:w="1440" w:type="dxa"/>
            <w:tcBorders>
              <w:bottom w:val="double" w:sz="4" w:space="0" w:color="auto"/>
            </w:tcBorders>
          </w:tcPr>
          <w:p w:rsidR="00E14D24" w:rsidRPr="005F120D" w:rsidRDefault="00E14D24" w:rsidP="00B25E46">
            <w:pPr>
              <w:jc w:val="center"/>
              <w:rPr>
                <w:rFonts w:asciiTheme="minorHAnsi" w:hAnsiTheme="minorHAnsi" w:cstheme="minorHAnsi"/>
                <w:sz w:val="20"/>
                <w:szCs w:val="20"/>
              </w:rPr>
            </w:pPr>
            <w:r w:rsidRPr="005F120D">
              <w:rPr>
                <w:rFonts w:asciiTheme="minorHAnsi" w:hAnsiTheme="minorHAnsi" w:cstheme="minorHAnsi"/>
                <w:sz w:val="20"/>
                <w:szCs w:val="20"/>
              </w:rPr>
              <w:t>1,110,725</w:t>
            </w:r>
          </w:p>
        </w:tc>
        <w:tc>
          <w:tcPr>
            <w:tcW w:w="2352" w:type="dxa"/>
            <w:tcBorders>
              <w:bottom w:val="double" w:sz="4" w:space="0" w:color="auto"/>
              <w:right w:val="double" w:sz="4" w:space="0" w:color="auto"/>
            </w:tcBorders>
          </w:tcPr>
          <w:p w:rsidR="00E14D24" w:rsidRPr="005F120D" w:rsidRDefault="00E14D24" w:rsidP="00B25E46">
            <w:pPr>
              <w:jc w:val="both"/>
              <w:rPr>
                <w:rFonts w:asciiTheme="minorHAnsi" w:hAnsiTheme="minorHAnsi" w:cstheme="minorHAnsi"/>
                <w:sz w:val="20"/>
                <w:szCs w:val="20"/>
              </w:rPr>
            </w:pPr>
            <w:r w:rsidRPr="005F120D">
              <w:rPr>
                <w:rFonts w:asciiTheme="minorHAnsi" w:hAnsiTheme="minorHAnsi" w:cstheme="minorHAnsi"/>
                <w:sz w:val="20"/>
                <w:szCs w:val="20"/>
              </w:rPr>
              <w:t>EIA will cover more 3,000 teachers by 2017</w:t>
            </w:r>
          </w:p>
        </w:tc>
      </w:tr>
    </w:tbl>
    <w:p w:rsidR="00E14D24" w:rsidRPr="005F120D" w:rsidRDefault="00E14D24" w:rsidP="00B25E46">
      <w:pPr>
        <w:spacing w:before="100" w:beforeAutospacing="1" w:after="100" w:afterAutospacing="1"/>
        <w:jc w:val="both"/>
        <w:rPr>
          <w:rFonts w:asciiTheme="minorHAnsi" w:hAnsiTheme="minorHAnsi" w:cstheme="minorHAnsi"/>
          <w:sz w:val="20"/>
        </w:rPr>
      </w:pPr>
      <w:r w:rsidRPr="005F120D">
        <w:rPr>
          <w:rFonts w:asciiTheme="minorHAnsi" w:hAnsiTheme="minorHAnsi" w:cstheme="minorHAnsi"/>
          <w:b/>
          <w:bCs/>
          <w:sz w:val="20"/>
        </w:rPr>
        <w:t>Main activities are as follows:</w:t>
      </w:r>
    </w:p>
    <w:p w:rsidR="00E14D24" w:rsidRPr="005F120D" w:rsidRDefault="00E14D24" w:rsidP="00B25E46">
      <w:pPr>
        <w:numPr>
          <w:ilvl w:val="0"/>
          <w:numId w:val="72"/>
        </w:numPr>
        <w:spacing w:before="100" w:beforeAutospacing="1" w:after="100" w:afterAutospacing="1"/>
        <w:jc w:val="both"/>
        <w:rPr>
          <w:rFonts w:asciiTheme="minorHAnsi" w:hAnsiTheme="minorHAnsi" w:cstheme="minorHAnsi"/>
          <w:sz w:val="20"/>
        </w:rPr>
      </w:pPr>
      <w:r w:rsidRPr="005F120D">
        <w:rPr>
          <w:rFonts w:asciiTheme="minorHAnsi" w:hAnsiTheme="minorHAnsi" w:cstheme="minorHAnsi"/>
          <w:sz w:val="20"/>
        </w:rPr>
        <w:t>2,730 secondary teachers participated in EIA interventions during March 2015 to March 2016.</w:t>
      </w:r>
    </w:p>
    <w:p w:rsidR="00E14D24" w:rsidRPr="005F120D" w:rsidRDefault="00E14D24" w:rsidP="00B25E46">
      <w:pPr>
        <w:numPr>
          <w:ilvl w:val="0"/>
          <w:numId w:val="72"/>
        </w:numPr>
        <w:spacing w:before="100" w:beforeAutospacing="1" w:after="100" w:afterAutospacing="1"/>
        <w:jc w:val="both"/>
        <w:rPr>
          <w:rFonts w:asciiTheme="minorHAnsi" w:hAnsiTheme="minorHAnsi" w:cstheme="minorHAnsi"/>
          <w:sz w:val="20"/>
        </w:rPr>
      </w:pPr>
      <w:r w:rsidRPr="005F120D">
        <w:rPr>
          <w:rFonts w:asciiTheme="minorHAnsi" w:hAnsiTheme="minorHAnsi" w:cstheme="minorHAnsi"/>
          <w:sz w:val="20"/>
        </w:rPr>
        <w:t>Classroom observations by Education Officers have taken p</w:t>
      </w:r>
      <w:r w:rsidR="00893504" w:rsidRPr="005F120D">
        <w:rPr>
          <w:rFonts w:asciiTheme="minorHAnsi" w:hAnsiTheme="minorHAnsi" w:cstheme="minorHAnsi"/>
          <w:sz w:val="20"/>
        </w:rPr>
        <w:t>lac</w:t>
      </w:r>
      <w:r w:rsidRPr="005F120D">
        <w:rPr>
          <w:rFonts w:asciiTheme="minorHAnsi" w:hAnsiTheme="minorHAnsi" w:cstheme="minorHAnsi"/>
          <w:sz w:val="20"/>
        </w:rPr>
        <w:t xml:space="preserve">e (over 140 for secondary) </w:t>
      </w:r>
    </w:p>
    <w:p w:rsidR="00E14D24" w:rsidRPr="005F120D" w:rsidRDefault="00E14D24" w:rsidP="00B25E46">
      <w:pPr>
        <w:pStyle w:val="ListParagraph"/>
        <w:numPr>
          <w:ilvl w:val="0"/>
          <w:numId w:val="74"/>
        </w:numPr>
        <w:spacing w:before="100" w:beforeAutospacing="1" w:after="100" w:afterAutospacing="1"/>
        <w:jc w:val="both"/>
        <w:rPr>
          <w:rFonts w:asciiTheme="minorHAnsi" w:eastAsia="Times New Roman" w:hAnsiTheme="minorHAnsi" w:cstheme="minorHAnsi"/>
          <w:sz w:val="20"/>
          <w:szCs w:val="20"/>
        </w:rPr>
      </w:pPr>
      <w:r w:rsidRPr="005F120D">
        <w:rPr>
          <w:rFonts w:asciiTheme="minorHAnsi" w:hAnsiTheme="minorHAnsi" w:cstheme="minorHAnsi"/>
          <w:sz w:val="20"/>
          <w:szCs w:val="20"/>
        </w:rPr>
        <w:lastRenderedPageBreak/>
        <w:t xml:space="preserve">Similar levels of progress are being shown as in previous teacher cohorts. Monitoring data shows that, after the initial teacher development meeting, 74% of teachers were observed using pair and group work. In 51% of classes observed for this cohort, students used English more than 50% of the time.  </w:t>
      </w:r>
    </w:p>
    <w:p w:rsidR="00E14D24" w:rsidRPr="005F120D" w:rsidRDefault="00E14D24" w:rsidP="00B25E46">
      <w:pPr>
        <w:pStyle w:val="ListParagraph"/>
        <w:numPr>
          <w:ilvl w:val="0"/>
          <w:numId w:val="74"/>
        </w:numPr>
        <w:spacing w:before="100" w:beforeAutospacing="1" w:after="100" w:afterAutospacing="1"/>
        <w:jc w:val="both"/>
        <w:rPr>
          <w:rFonts w:asciiTheme="minorHAnsi" w:eastAsia="Times New Roman" w:hAnsiTheme="minorHAnsi" w:cstheme="minorHAnsi"/>
          <w:sz w:val="20"/>
          <w:szCs w:val="20"/>
        </w:rPr>
      </w:pPr>
      <w:r w:rsidRPr="005F120D">
        <w:rPr>
          <w:rFonts w:asciiTheme="minorHAnsi" w:hAnsiTheme="minorHAnsi" w:cstheme="minorHAnsi"/>
          <w:sz w:val="20"/>
          <w:szCs w:val="20"/>
        </w:rPr>
        <w:t xml:space="preserve">EIA AV materials linked with teachers’ guides are now available on the NCTB website.  An instructional guideline supports teachers in their use. </w:t>
      </w:r>
    </w:p>
    <w:p w:rsidR="00E14D24" w:rsidRPr="005F120D" w:rsidRDefault="00E14D24" w:rsidP="00B25E46">
      <w:pPr>
        <w:pStyle w:val="ListParagraph"/>
        <w:numPr>
          <w:ilvl w:val="0"/>
          <w:numId w:val="74"/>
        </w:numPr>
        <w:spacing w:before="100" w:beforeAutospacing="1" w:after="100" w:afterAutospacing="1"/>
        <w:jc w:val="both"/>
        <w:rPr>
          <w:rFonts w:asciiTheme="minorHAnsi" w:eastAsia="Times New Roman" w:hAnsiTheme="minorHAnsi" w:cstheme="minorHAnsi"/>
          <w:sz w:val="20"/>
          <w:szCs w:val="20"/>
        </w:rPr>
      </w:pPr>
      <w:r w:rsidRPr="005F120D">
        <w:rPr>
          <w:rFonts w:asciiTheme="minorHAnsi" w:hAnsiTheme="minorHAnsi" w:cstheme="minorHAnsi"/>
          <w:sz w:val="20"/>
          <w:szCs w:val="20"/>
        </w:rPr>
        <w:t>In respect of the</w:t>
      </w:r>
      <w:r w:rsidR="00893504" w:rsidRPr="005F120D">
        <w:rPr>
          <w:rFonts w:asciiTheme="minorHAnsi" w:hAnsiTheme="minorHAnsi" w:cstheme="minorHAnsi"/>
          <w:sz w:val="20"/>
          <w:szCs w:val="20"/>
        </w:rPr>
        <w:t xml:space="preserve"> secondary sector wide program</w:t>
      </w:r>
      <w:r w:rsidRPr="005F120D">
        <w:rPr>
          <w:rFonts w:asciiTheme="minorHAnsi" w:hAnsiTheme="minorHAnsi" w:cstheme="minorHAnsi"/>
          <w:sz w:val="20"/>
          <w:szCs w:val="20"/>
        </w:rPr>
        <w:t xml:space="preserve">, SESIP has requested that EIA nominate a focal person to coordinate between NCTB-SESIP, invited EIA to contribute to Teacher Curriculum Guides (classes 6-8) and capacity building of the local Education Officers (mainly Upazila Academic Supervisors). </w:t>
      </w:r>
    </w:p>
    <w:p w:rsidR="00E14D24" w:rsidRPr="005F120D" w:rsidRDefault="00E14D24" w:rsidP="00B25E46">
      <w:pPr>
        <w:pStyle w:val="ListParagraph"/>
        <w:numPr>
          <w:ilvl w:val="0"/>
          <w:numId w:val="74"/>
        </w:numPr>
        <w:spacing w:before="100" w:beforeAutospacing="1" w:after="100" w:afterAutospacing="1"/>
        <w:jc w:val="both"/>
        <w:rPr>
          <w:rFonts w:asciiTheme="minorHAnsi" w:eastAsia="Times New Roman" w:hAnsiTheme="minorHAnsi" w:cstheme="minorHAnsi"/>
          <w:sz w:val="20"/>
          <w:szCs w:val="20"/>
        </w:rPr>
      </w:pPr>
      <w:r w:rsidRPr="005F120D">
        <w:rPr>
          <w:rFonts w:asciiTheme="minorHAnsi" w:hAnsiTheme="minorHAnsi" w:cstheme="minorHAnsi"/>
          <w:sz w:val="20"/>
          <w:szCs w:val="20"/>
        </w:rPr>
        <w:t>The DG-DSHE is very enthusiastic about English in Action activities. She is eager to ensure continuation of these proven contents and techniques in the schools. She strongly suggested that mainstreaming of EIA contents and techniques in the only way to ensure continuation of these good practices. She advised to form a ‘Joint Working Group (JWG)’ to identify areas of collaboration and activities for ensuring continuation of good pract</w:t>
      </w:r>
      <w:r w:rsidR="00D21EC9" w:rsidRPr="005F120D">
        <w:rPr>
          <w:rFonts w:asciiTheme="minorHAnsi" w:hAnsiTheme="minorHAnsi" w:cstheme="minorHAnsi"/>
          <w:sz w:val="20"/>
          <w:szCs w:val="20"/>
        </w:rPr>
        <w:t>ices at secondary levels. This W</w:t>
      </w:r>
      <w:r w:rsidRPr="005F120D">
        <w:rPr>
          <w:rFonts w:asciiTheme="minorHAnsi" w:hAnsiTheme="minorHAnsi" w:cstheme="minorHAnsi"/>
          <w:sz w:val="20"/>
          <w:szCs w:val="20"/>
        </w:rPr>
        <w:t>orking</w:t>
      </w:r>
      <w:r w:rsidR="00D21EC9" w:rsidRPr="005F120D">
        <w:rPr>
          <w:rFonts w:asciiTheme="minorHAnsi" w:hAnsiTheme="minorHAnsi" w:cstheme="minorHAnsi"/>
          <w:sz w:val="20"/>
          <w:szCs w:val="20"/>
        </w:rPr>
        <w:t xml:space="preserve"> Group contains</w:t>
      </w:r>
      <w:r w:rsidRPr="005F120D">
        <w:rPr>
          <w:rFonts w:asciiTheme="minorHAnsi" w:hAnsiTheme="minorHAnsi" w:cstheme="minorHAnsi"/>
          <w:sz w:val="20"/>
          <w:szCs w:val="20"/>
        </w:rPr>
        <w:t xml:space="preserve"> representatives from all major Institutions involved in secondary education like DSHE, NCTB, NEAM and EIA.</w:t>
      </w:r>
    </w:p>
    <w:p w:rsidR="00E14D24" w:rsidRPr="005F120D" w:rsidRDefault="00E14D24" w:rsidP="00B25E46">
      <w:pPr>
        <w:spacing w:before="100" w:beforeAutospacing="1" w:after="100" w:afterAutospacing="1"/>
        <w:jc w:val="both"/>
        <w:rPr>
          <w:rFonts w:asciiTheme="minorHAnsi" w:hAnsiTheme="minorHAnsi" w:cstheme="minorHAnsi"/>
          <w:sz w:val="20"/>
        </w:rPr>
      </w:pPr>
      <w:r w:rsidRPr="005F120D">
        <w:rPr>
          <w:rFonts w:asciiTheme="minorHAnsi" w:hAnsiTheme="minorHAnsi" w:cstheme="minorHAnsi"/>
          <w:b/>
          <w:bCs/>
          <w:sz w:val="20"/>
        </w:rPr>
        <w:t>Implementation plan in 2016 and 2017</w:t>
      </w:r>
    </w:p>
    <w:p w:rsidR="00D06BCE" w:rsidRPr="005F120D" w:rsidRDefault="00E14D24" w:rsidP="00B25E46">
      <w:pPr>
        <w:spacing w:before="100" w:beforeAutospacing="1" w:after="100" w:afterAutospacing="1"/>
        <w:jc w:val="both"/>
        <w:rPr>
          <w:rFonts w:asciiTheme="minorHAnsi" w:hAnsiTheme="minorHAnsi" w:cstheme="minorHAnsi"/>
          <w:sz w:val="20"/>
        </w:rPr>
      </w:pPr>
      <w:r w:rsidRPr="005F120D">
        <w:rPr>
          <w:rFonts w:asciiTheme="minorHAnsi" w:hAnsiTheme="minorHAnsi" w:cstheme="minorHAnsi"/>
          <w:sz w:val="20"/>
        </w:rPr>
        <w:t>EIA plans to cover 3,000 primary teachers during 2016-2017. EIA will continue to work towards sustainability of good practices through close collabo</w:t>
      </w:r>
      <w:r w:rsidR="00893504" w:rsidRPr="005F120D">
        <w:rPr>
          <w:rFonts w:asciiTheme="minorHAnsi" w:hAnsiTheme="minorHAnsi" w:cstheme="minorHAnsi"/>
          <w:sz w:val="20"/>
        </w:rPr>
        <w:t>ration with the sector program</w:t>
      </w:r>
      <w:r w:rsidRPr="005F120D">
        <w:rPr>
          <w:rFonts w:asciiTheme="minorHAnsi" w:hAnsiTheme="minorHAnsi" w:cstheme="minorHAnsi"/>
          <w:sz w:val="20"/>
        </w:rPr>
        <w:t xml:space="preserve"> activities till the end of project in 2017</w:t>
      </w:r>
    </w:p>
    <w:p w:rsidR="00174B35" w:rsidRPr="005F120D" w:rsidRDefault="00174B35" w:rsidP="00B25E46">
      <w:pPr>
        <w:spacing w:before="100" w:beforeAutospacing="1" w:after="100" w:afterAutospacing="1"/>
        <w:jc w:val="both"/>
        <w:rPr>
          <w:rFonts w:asciiTheme="minorHAnsi" w:hAnsiTheme="minorHAnsi" w:cstheme="minorHAnsi"/>
          <w:b/>
          <w:color w:val="008000"/>
          <w:sz w:val="24"/>
          <w:szCs w:val="24"/>
        </w:rPr>
      </w:pPr>
      <w:r w:rsidRPr="005F120D">
        <w:rPr>
          <w:rFonts w:asciiTheme="minorHAnsi" w:hAnsiTheme="minorHAnsi" w:cstheme="minorHAnsi"/>
          <w:b/>
          <w:color w:val="008000"/>
          <w:sz w:val="24"/>
          <w:szCs w:val="24"/>
        </w:rPr>
        <w:t>Discrete Project (Non-Formal Education):</w:t>
      </w:r>
    </w:p>
    <w:p w:rsidR="001829FF" w:rsidRPr="005F120D" w:rsidRDefault="00174B35" w:rsidP="00B25E46">
      <w:pPr>
        <w:pStyle w:val="ListParagraph"/>
        <w:numPr>
          <w:ilvl w:val="1"/>
          <w:numId w:val="72"/>
        </w:numPr>
        <w:spacing w:before="100" w:beforeAutospacing="1" w:after="100" w:afterAutospacing="1"/>
        <w:jc w:val="both"/>
        <w:rPr>
          <w:rFonts w:asciiTheme="minorHAnsi" w:hAnsiTheme="minorHAnsi" w:cstheme="minorHAnsi"/>
          <w:color w:val="3333FF"/>
          <w:sz w:val="20"/>
        </w:rPr>
      </w:pPr>
      <w:r w:rsidRPr="005F120D">
        <w:rPr>
          <w:rFonts w:asciiTheme="minorHAnsi" w:hAnsiTheme="minorHAnsi" w:cstheme="minorHAnsi"/>
          <w:b/>
          <w:color w:val="3333FF"/>
        </w:rPr>
        <w:t>Ability Based Accelerated Learnin</w:t>
      </w:r>
      <w:r w:rsidR="00C04AB5" w:rsidRPr="005F120D">
        <w:rPr>
          <w:rFonts w:asciiTheme="minorHAnsi" w:hAnsiTheme="minorHAnsi" w:cstheme="minorHAnsi"/>
          <w:b/>
          <w:color w:val="3333FF"/>
        </w:rPr>
        <w:t>g (ABAL) for the Hard to Reach W</w:t>
      </w:r>
      <w:r w:rsidRPr="005F120D">
        <w:rPr>
          <w:rFonts w:asciiTheme="minorHAnsi" w:hAnsiTheme="minorHAnsi" w:cstheme="minorHAnsi"/>
          <w:b/>
          <w:color w:val="3333FF"/>
        </w:rPr>
        <w:t>orking Children:</w:t>
      </w:r>
    </w:p>
    <w:p w:rsidR="00174B35" w:rsidRPr="005F120D" w:rsidRDefault="00174B35" w:rsidP="00B25E46">
      <w:pPr>
        <w:spacing w:before="100" w:beforeAutospacing="1" w:after="100" w:afterAutospacing="1"/>
        <w:jc w:val="both"/>
        <w:rPr>
          <w:rFonts w:asciiTheme="minorHAnsi" w:hAnsiTheme="minorHAnsi" w:cstheme="minorHAnsi"/>
          <w:sz w:val="20"/>
        </w:rPr>
      </w:pPr>
      <w:r w:rsidRPr="005F120D">
        <w:rPr>
          <w:rFonts w:asciiTheme="minorHAnsi" w:hAnsiTheme="minorHAnsi" w:cstheme="minorHAnsi"/>
          <w:sz w:val="20"/>
        </w:rPr>
        <w:t>The Ability Based Accelerated Learning approach for approximately 13</w:t>
      </w:r>
      <w:r w:rsidRPr="005F120D">
        <w:rPr>
          <w:rFonts w:asciiTheme="minorHAnsi" w:hAnsiTheme="minorHAnsi" w:cstheme="minorHAnsi"/>
          <w:b/>
          <w:sz w:val="20"/>
        </w:rPr>
        <w:t>,</w:t>
      </w:r>
      <w:r w:rsidRPr="005F120D">
        <w:rPr>
          <w:rFonts w:asciiTheme="minorHAnsi" w:hAnsiTheme="minorHAnsi" w:cstheme="minorHAnsi"/>
          <w:sz w:val="20"/>
        </w:rPr>
        <w:t xml:space="preserve">000 children in the rural Satkhira district and Dhaka urban areas will continue to demonstrate a good model for working children. This approach is the further refinement of the UNICEF supported BEHTRUWC model implemented by BNFE in six divisional </w:t>
      </w:r>
      <w:r w:rsidRPr="005F120D">
        <w:rPr>
          <w:rFonts w:asciiTheme="minorHAnsi" w:hAnsiTheme="minorHAnsi" w:cstheme="minorHAnsi"/>
          <w:b/>
          <w:sz w:val="20"/>
        </w:rPr>
        <w:t>towns</w:t>
      </w:r>
      <w:r w:rsidRPr="005F120D">
        <w:rPr>
          <w:rFonts w:asciiTheme="minorHAnsi" w:hAnsiTheme="minorHAnsi" w:cstheme="minorHAnsi"/>
          <w:sz w:val="20"/>
        </w:rPr>
        <w:t xml:space="preserve"> in the country for more than a decade</w:t>
      </w:r>
      <w:r w:rsidR="00C04AB5" w:rsidRPr="005F120D">
        <w:rPr>
          <w:rFonts w:asciiTheme="minorHAnsi" w:hAnsiTheme="minorHAnsi" w:cstheme="minorHAnsi"/>
          <w:sz w:val="20"/>
        </w:rPr>
        <w:t>. This is the flexible and menu-</w:t>
      </w:r>
      <w:r w:rsidRPr="005F120D">
        <w:rPr>
          <w:rFonts w:asciiTheme="minorHAnsi" w:hAnsiTheme="minorHAnsi" w:cstheme="minorHAnsi"/>
          <w:sz w:val="20"/>
        </w:rPr>
        <w:t xml:space="preserve">based </w:t>
      </w:r>
      <w:r w:rsidR="00C04AB5" w:rsidRPr="005F120D">
        <w:rPr>
          <w:rFonts w:asciiTheme="minorHAnsi" w:hAnsiTheme="minorHAnsi" w:cstheme="minorHAnsi"/>
          <w:sz w:val="20"/>
        </w:rPr>
        <w:t>learning course, equivalent to Grade 5</w:t>
      </w:r>
      <w:r w:rsidRPr="005F120D">
        <w:rPr>
          <w:rFonts w:asciiTheme="minorHAnsi" w:hAnsiTheme="minorHAnsi" w:cstheme="minorHAnsi"/>
          <w:sz w:val="20"/>
        </w:rPr>
        <w:t xml:space="preserve"> so that one can be mainstreamed at certain point</w:t>
      </w:r>
      <w:r w:rsidR="00C04AB5" w:rsidRPr="005F120D">
        <w:rPr>
          <w:rFonts w:asciiTheme="minorHAnsi" w:hAnsiTheme="minorHAnsi" w:cstheme="minorHAnsi"/>
          <w:sz w:val="20"/>
        </w:rPr>
        <w:t>s</w:t>
      </w:r>
      <w:r w:rsidRPr="005F120D">
        <w:rPr>
          <w:rFonts w:asciiTheme="minorHAnsi" w:hAnsiTheme="minorHAnsi" w:cstheme="minorHAnsi"/>
          <w:sz w:val="20"/>
        </w:rPr>
        <w:t xml:space="preserve"> of time with proper competency, certified by the teachers or at the end of public examination.</w:t>
      </w:r>
    </w:p>
    <w:p w:rsidR="00716CFE" w:rsidRPr="005F120D" w:rsidRDefault="00716CFE" w:rsidP="00B25E46">
      <w:pPr>
        <w:pStyle w:val="ListParagraph"/>
        <w:numPr>
          <w:ilvl w:val="1"/>
          <w:numId w:val="72"/>
        </w:numPr>
        <w:spacing w:before="100" w:beforeAutospacing="1" w:after="100" w:afterAutospacing="1"/>
        <w:jc w:val="both"/>
        <w:rPr>
          <w:rFonts w:asciiTheme="minorHAnsi" w:hAnsiTheme="minorHAnsi" w:cstheme="minorHAnsi"/>
          <w:b/>
          <w:color w:val="3333FF"/>
          <w:sz w:val="20"/>
        </w:rPr>
      </w:pPr>
      <w:r w:rsidRPr="005F120D">
        <w:rPr>
          <w:rFonts w:asciiTheme="minorHAnsi" w:hAnsiTheme="minorHAnsi" w:cstheme="minorHAnsi"/>
          <w:b/>
          <w:color w:val="3333FF"/>
          <w:sz w:val="20"/>
        </w:rPr>
        <w:t xml:space="preserve">Basic Literacy </w:t>
      </w:r>
      <w:r w:rsidR="00802B33" w:rsidRPr="005F120D">
        <w:rPr>
          <w:rFonts w:asciiTheme="minorHAnsi" w:hAnsiTheme="minorHAnsi" w:cstheme="minorHAnsi"/>
          <w:b/>
          <w:color w:val="3333FF"/>
          <w:sz w:val="20"/>
        </w:rPr>
        <w:t>Program</w:t>
      </w:r>
      <w:r w:rsidR="00C04AB5" w:rsidRPr="005F120D">
        <w:rPr>
          <w:rFonts w:asciiTheme="minorHAnsi" w:hAnsiTheme="minorHAnsi" w:cstheme="minorHAnsi"/>
          <w:b/>
          <w:color w:val="3333FF"/>
          <w:sz w:val="20"/>
        </w:rPr>
        <w:t>: No</w:t>
      </w:r>
      <w:r w:rsidR="00D06BCE" w:rsidRPr="005F120D">
        <w:rPr>
          <w:rFonts w:asciiTheme="minorHAnsi" w:hAnsiTheme="minorHAnsi" w:cstheme="minorHAnsi"/>
          <w:b/>
          <w:color w:val="3333FF"/>
          <w:sz w:val="20"/>
        </w:rPr>
        <w:t xml:space="preserve"> progress </w:t>
      </w:r>
      <w:r w:rsidR="001A3B2D" w:rsidRPr="005F120D">
        <w:rPr>
          <w:rFonts w:asciiTheme="minorHAnsi" w:hAnsiTheme="minorHAnsi" w:cstheme="minorHAnsi"/>
          <w:b/>
          <w:color w:val="3333FF"/>
          <w:sz w:val="20"/>
        </w:rPr>
        <w:t>report</w:t>
      </w:r>
      <w:r w:rsidR="00C04AB5" w:rsidRPr="005F120D">
        <w:rPr>
          <w:rFonts w:asciiTheme="minorHAnsi" w:hAnsiTheme="minorHAnsi" w:cstheme="minorHAnsi"/>
          <w:b/>
          <w:color w:val="3333FF"/>
          <w:sz w:val="20"/>
        </w:rPr>
        <w:t xml:space="preserve"> has been received</w:t>
      </w:r>
      <w:r w:rsidR="001A3B2D" w:rsidRPr="005F120D">
        <w:rPr>
          <w:rFonts w:asciiTheme="minorHAnsi" w:hAnsiTheme="minorHAnsi" w:cstheme="minorHAnsi"/>
          <w:b/>
          <w:color w:val="3333FF"/>
          <w:sz w:val="20"/>
        </w:rPr>
        <w:t>.</w:t>
      </w:r>
    </w:p>
    <w:p w:rsidR="00716CFE" w:rsidRPr="005F120D" w:rsidRDefault="00716CFE" w:rsidP="00B25E46">
      <w:pPr>
        <w:pStyle w:val="ListParagraph"/>
        <w:numPr>
          <w:ilvl w:val="0"/>
          <w:numId w:val="0"/>
        </w:numPr>
        <w:spacing w:before="100" w:beforeAutospacing="1" w:after="100" w:afterAutospacing="1"/>
        <w:ind w:left="360"/>
        <w:jc w:val="both"/>
        <w:rPr>
          <w:rFonts w:asciiTheme="minorHAnsi" w:hAnsiTheme="minorHAnsi" w:cstheme="minorHAnsi"/>
          <w:b/>
          <w:color w:val="FF0000"/>
          <w:sz w:val="20"/>
        </w:rPr>
      </w:pPr>
    </w:p>
    <w:p w:rsidR="00FA52D6" w:rsidRPr="005F120D" w:rsidRDefault="00FA52D6" w:rsidP="00B25E46">
      <w:pPr>
        <w:pStyle w:val="ListParagraph"/>
        <w:numPr>
          <w:ilvl w:val="1"/>
          <w:numId w:val="72"/>
        </w:numPr>
        <w:spacing w:before="100" w:beforeAutospacing="1" w:after="100" w:afterAutospacing="1"/>
        <w:jc w:val="both"/>
        <w:rPr>
          <w:rFonts w:asciiTheme="minorHAnsi" w:hAnsiTheme="minorHAnsi" w:cstheme="minorHAnsi"/>
          <w:b/>
          <w:color w:val="3333FF"/>
          <w:sz w:val="20"/>
        </w:rPr>
      </w:pPr>
      <w:r w:rsidRPr="005F120D">
        <w:rPr>
          <w:rFonts w:asciiTheme="minorHAnsi" w:hAnsiTheme="minorHAnsi" w:cstheme="minorHAnsi"/>
          <w:b/>
          <w:color w:val="3333FF"/>
        </w:rPr>
        <w:t xml:space="preserve">SHARE Education </w:t>
      </w:r>
      <w:r w:rsidR="00802B33" w:rsidRPr="005F120D">
        <w:rPr>
          <w:rFonts w:asciiTheme="minorHAnsi" w:hAnsiTheme="minorHAnsi" w:cstheme="minorHAnsi"/>
          <w:b/>
          <w:color w:val="3333FF"/>
        </w:rPr>
        <w:t>Program</w:t>
      </w:r>
      <w:r w:rsidRPr="005F120D">
        <w:rPr>
          <w:rFonts w:asciiTheme="minorHAnsi" w:hAnsiTheme="minorHAnsi" w:cstheme="minorHAnsi"/>
          <w:b/>
          <w:color w:val="3333FF"/>
        </w:rPr>
        <w:t xml:space="preserve"> in Bangladesh: Reaching the Hardest to Reach Children</w:t>
      </w:r>
      <w:r w:rsidR="00C468BC" w:rsidRPr="005F120D">
        <w:rPr>
          <w:rFonts w:asciiTheme="minorHAnsi" w:hAnsiTheme="minorHAnsi" w:cstheme="minorHAnsi"/>
          <w:b/>
          <w:color w:val="3333FF"/>
        </w:rPr>
        <w:t>:</w:t>
      </w:r>
    </w:p>
    <w:p w:rsidR="00734030" w:rsidRPr="005F120D" w:rsidRDefault="00734030" w:rsidP="005F120D">
      <w:pPr>
        <w:jc w:val="both"/>
        <w:rPr>
          <w:rFonts w:asciiTheme="minorHAnsi" w:hAnsiTheme="minorHAnsi" w:cstheme="minorHAnsi"/>
          <w:sz w:val="20"/>
        </w:rPr>
      </w:pPr>
      <w:r w:rsidRPr="005F120D">
        <w:rPr>
          <w:rFonts w:asciiTheme="minorHAnsi" w:hAnsiTheme="minorHAnsi" w:cstheme="minorHAnsi"/>
          <w:b/>
          <w:sz w:val="20"/>
        </w:rPr>
        <w:t>Name of the Project:</w:t>
      </w:r>
      <w:r w:rsidRPr="005F120D">
        <w:rPr>
          <w:rFonts w:asciiTheme="minorHAnsi" w:hAnsiTheme="minorHAnsi" w:cstheme="minorHAnsi"/>
          <w:sz w:val="20"/>
        </w:rPr>
        <w:t xml:space="preserve"> SHARE Education Program (SHARE-Supporting the Hardest to Reach through Basic Education)</w:t>
      </w:r>
    </w:p>
    <w:p w:rsidR="00734030" w:rsidRPr="005F120D" w:rsidRDefault="00734030" w:rsidP="005F120D">
      <w:pPr>
        <w:jc w:val="both"/>
        <w:rPr>
          <w:rFonts w:asciiTheme="minorHAnsi" w:hAnsiTheme="minorHAnsi" w:cstheme="minorHAnsi"/>
          <w:sz w:val="20"/>
        </w:rPr>
      </w:pPr>
      <w:r w:rsidRPr="005F120D">
        <w:rPr>
          <w:rFonts w:asciiTheme="minorHAnsi" w:hAnsiTheme="minorHAnsi" w:cstheme="minorHAnsi"/>
          <w:b/>
          <w:sz w:val="20"/>
        </w:rPr>
        <w:t xml:space="preserve">Goal/Aim: </w:t>
      </w:r>
      <w:r w:rsidRPr="005F120D">
        <w:rPr>
          <w:rFonts w:asciiTheme="minorHAnsi" w:hAnsiTheme="minorHAnsi" w:cstheme="minorHAnsi"/>
          <w:sz w:val="20"/>
        </w:rPr>
        <w:t>The European Union funded SHARE (Supporting the Hardest to Reach through Basic Education) Education Program aims to contribute to the achievement of Bangladesh’s development goals and to a national basic education framework.</w:t>
      </w:r>
    </w:p>
    <w:p w:rsidR="00734030" w:rsidRPr="005F120D" w:rsidRDefault="00734030" w:rsidP="005F120D">
      <w:pPr>
        <w:jc w:val="both"/>
        <w:rPr>
          <w:rFonts w:asciiTheme="minorHAnsi" w:hAnsiTheme="minorHAnsi" w:cstheme="minorHAnsi"/>
          <w:sz w:val="20"/>
        </w:rPr>
      </w:pPr>
      <w:r w:rsidRPr="005F120D">
        <w:rPr>
          <w:rFonts w:asciiTheme="minorHAnsi" w:hAnsiTheme="minorHAnsi" w:cstheme="minorHAnsi"/>
          <w:b/>
          <w:sz w:val="20"/>
        </w:rPr>
        <w:t xml:space="preserve">Purpose/Objective: </w:t>
      </w:r>
      <w:r w:rsidRPr="005F120D">
        <w:rPr>
          <w:rFonts w:asciiTheme="minorHAnsi" w:hAnsiTheme="minorHAnsi" w:cstheme="minorHAnsi"/>
          <w:sz w:val="20"/>
        </w:rPr>
        <w:t>The specific objectives of SHARE education program are to provide basic education opportunities of quality for the hardest to reach children and their parents and guardians using a variety of approaches that yield lessons about what works best and why, share best practice, and help build results-based-management capacity and culture, in coherent linkages with the formal primary education system and other non-formal education initiatives. Priorities for the program include: (i) providing access to basic education of quality for those who would otherwise be excluded, building on proven good practice, (ii) maximizing the efficient use of resources, particularly through the adaptation of holistic approaches; and (iii) the promotion and further development of a lessons-learned culture.</w:t>
      </w:r>
    </w:p>
    <w:p w:rsidR="00734030" w:rsidRPr="005F120D" w:rsidRDefault="00734030" w:rsidP="005F120D">
      <w:pPr>
        <w:jc w:val="both"/>
        <w:rPr>
          <w:rFonts w:asciiTheme="minorHAnsi" w:hAnsiTheme="minorHAnsi" w:cstheme="minorHAnsi"/>
          <w:sz w:val="20"/>
        </w:rPr>
      </w:pPr>
      <w:r w:rsidRPr="005F120D">
        <w:rPr>
          <w:rFonts w:asciiTheme="minorHAnsi" w:hAnsiTheme="minorHAnsi" w:cstheme="minorHAnsi"/>
          <w:b/>
          <w:sz w:val="20"/>
        </w:rPr>
        <w:t>Implementation Period (</w:t>
      </w:r>
      <w:r w:rsidRPr="005F120D">
        <w:rPr>
          <w:rFonts w:asciiTheme="minorHAnsi" w:hAnsiTheme="minorHAnsi" w:cstheme="minorHAnsi"/>
          <w:sz w:val="20"/>
        </w:rPr>
        <w:t>Project Start and Phase out date)</w:t>
      </w:r>
      <w:r w:rsidRPr="005F120D">
        <w:rPr>
          <w:rFonts w:asciiTheme="minorHAnsi" w:hAnsiTheme="minorHAnsi" w:cstheme="minorHAnsi"/>
          <w:b/>
          <w:sz w:val="20"/>
        </w:rPr>
        <w:t>:</w:t>
      </w:r>
      <w:r w:rsidRPr="005F120D">
        <w:rPr>
          <w:rFonts w:asciiTheme="minorHAnsi" w:hAnsiTheme="minorHAnsi" w:cstheme="minorHAnsi"/>
          <w:sz w:val="20"/>
        </w:rPr>
        <w:t xml:space="preserve"> January 2012 to June 2018</w:t>
      </w:r>
    </w:p>
    <w:p w:rsidR="00734030" w:rsidRPr="005F120D" w:rsidRDefault="00734030" w:rsidP="005F120D">
      <w:pPr>
        <w:pStyle w:val="NoSpacing"/>
        <w:spacing w:line="276" w:lineRule="auto"/>
        <w:jc w:val="both"/>
        <w:rPr>
          <w:rFonts w:asciiTheme="minorHAnsi" w:hAnsiTheme="minorHAnsi" w:cstheme="minorHAnsi"/>
          <w:sz w:val="20"/>
        </w:rPr>
      </w:pPr>
      <w:r w:rsidRPr="005F120D">
        <w:rPr>
          <w:rFonts w:asciiTheme="minorHAnsi" w:hAnsiTheme="minorHAnsi" w:cstheme="minorHAnsi"/>
          <w:b/>
          <w:sz w:val="20"/>
        </w:rPr>
        <w:lastRenderedPageBreak/>
        <w:t>Implementation Cost:</w:t>
      </w:r>
      <w:r w:rsidR="00A61F5E">
        <w:rPr>
          <w:rFonts w:asciiTheme="minorHAnsi" w:hAnsiTheme="minorHAnsi" w:cstheme="minorHAnsi"/>
          <w:b/>
          <w:sz w:val="20"/>
        </w:rPr>
        <w:t xml:space="preserve"> </w:t>
      </w:r>
      <w:r w:rsidR="00A61F5E" w:rsidRPr="005F120D">
        <w:rPr>
          <w:rFonts w:asciiTheme="minorHAnsi" w:hAnsiTheme="minorHAnsi" w:cstheme="minorHAnsi"/>
          <w:sz w:val="20"/>
        </w:rPr>
        <w:t>around 50 million Euros</w:t>
      </w:r>
      <w:r w:rsidR="00A61F5E">
        <w:rPr>
          <w:rFonts w:asciiTheme="minorHAnsi" w:hAnsiTheme="minorHAnsi" w:cstheme="minorHAnsi"/>
          <w:sz w:val="20"/>
        </w:rPr>
        <w:t>.</w:t>
      </w:r>
    </w:p>
    <w:p w:rsidR="00734030" w:rsidRPr="005F120D" w:rsidRDefault="00734030" w:rsidP="005F120D">
      <w:pPr>
        <w:pStyle w:val="NoSpacing"/>
        <w:spacing w:line="276" w:lineRule="auto"/>
        <w:jc w:val="both"/>
        <w:rPr>
          <w:rFonts w:asciiTheme="minorHAnsi" w:hAnsiTheme="minorHAnsi" w:cstheme="minorHAnsi"/>
          <w:sz w:val="20"/>
        </w:rPr>
      </w:pPr>
    </w:p>
    <w:p w:rsidR="00734030" w:rsidRPr="005F120D" w:rsidRDefault="00734030" w:rsidP="005F120D">
      <w:pPr>
        <w:jc w:val="both"/>
        <w:rPr>
          <w:rFonts w:asciiTheme="minorHAnsi" w:hAnsiTheme="minorHAnsi" w:cstheme="minorHAnsi"/>
          <w:sz w:val="20"/>
        </w:rPr>
      </w:pPr>
      <w:r w:rsidRPr="005F120D">
        <w:rPr>
          <w:rFonts w:asciiTheme="minorHAnsi" w:hAnsiTheme="minorHAnsi" w:cstheme="minorHAnsi"/>
          <w:b/>
          <w:sz w:val="20"/>
        </w:rPr>
        <w:t>Source of Fund: European Union</w:t>
      </w:r>
    </w:p>
    <w:p w:rsidR="00734030" w:rsidRPr="005F120D" w:rsidRDefault="00734030" w:rsidP="005F120D">
      <w:pPr>
        <w:jc w:val="both"/>
        <w:rPr>
          <w:rFonts w:asciiTheme="minorHAnsi" w:hAnsiTheme="minorHAnsi" w:cstheme="minorHAnsi"/>
          <w:sz w:val="20"/>
        </w:rPr>
      </w:pPr>
      <w:r w:rsidRPr="005F120D">
        <w:rPr>
          <w:rFonts w:asciiTheme="minorHAnsi" w:hAnsiTheme="minorHAnsi" w:cstheme="minorHAnsi"/>
          <w:b/>
          <w:sz w:val="20"/>
        </w:rPr>
        <w:t xml:space="preserve">Description: </w:t>
      </w:r>
      <w:r w:rsidRPr="005F120D">
        <w:rPr>
          <w:rFonts w:asciiTheme="minorHAnsi" w:hAnsiTheme="minorHAnsi" w:cstheme="minorHAnsi"/>
          <w:sz w:val="20"/>
        </w:rPr>
        <w:t>SHARE comprises four discrete projects viz. Aloghar (light house), SHIKHON-II (learning), SUSTAIN and UNIQUE-II implemented by NGO partners. Together the projects will reach about 0.6 million hardest to reach children spread all over Bangladesh.  A Technical Assistance (TA) component has been embedded in SHARE Education Program tasked with the strategic role of managing knowledge and knowledge products, building capacity, establishing sustainable patterns of co-ordination, and providing opportunities for innovations and good practices within the various activities that are shared across the partners and Government organizations who share the overall objectives of the program.</w:t>
      </w:r>
    </w:p>
    <w:p w:rsidR="00734030" w:rsidRPr="005F120D" w:rsidRDefault="00734030" w:rsidP="005F120D">
      <w:pPr>
        <w:jc w:val="both"/>
        <w:rPr>
          <w:rFonts w:asciiTheme="minorHAnsi" w:hAnsiTheme="minorHAnsi" w:cstheme="minorHAnsi"/>
          <w:sz w:val="20"/>
        </w:rPr>
      </w:pPr>
      <w:r w:rsidRPr="005F120D">
        <w:rPr>
          <w:rFonts w:asciiTheme="minorHAnsi" w:hAnsiTheme="minorHAnsi" w:cstheme="minorHAnsi"/>
          <w:sz w:val="20"/>
        </w:rPr>
        <w:t>Key target groups for the SHARE Education Program include out-of-school children living in the most geograph</w:t>
      </w:r>
      <w:r w:rsidR="00A61F5E">
        <w:rPr>
          <w:rFonts w:asciiTheme="minorHAnsi" w:hAnsiTheme="minorHAnsi" w:cstheme="minorHAnsi"/>
          <w:sz w:val="20"/>
        </w:rPr>
        <w:t>ically inaccessible areas (char, hoar</w:t>
      </w:r>
      <w:r w:rsidRPr="005F120D">
        <w:rPr>
          <w:rFonts w:asciiTheme="minorHAnsi" w:hAnsiTheme="minorHAnsi" w:cstheme="minorHAnsi"/>
          <w:sz w:val="20"/>
        </w:rPr>
        <w:t>, Chittagong Hill Tracts etc), from the poorest quintile of society, ethnic minorities, street children, and children with special needs (i.e. working children, children with disability). These children will be provided with quality basic education. In addition, the program also offers pre-primary education to younger children, basic education for the children’s parents or guardians, and/or educational support to low-performing disadvantaged children enrolled at government schools.</w:t>
      </w:r>
    </w:p>
    <w:p w:rsidR="00734030" w:rsidRPr="005F120D" w:rsidRDefault="00734030" w:rsidP="005F120D">
      <w:pPr>
        <w:jc w:val="both"/>
        <w:rPr>
          <w:rFonts w:asciiTheme="minorHAnsi" w:hAnsiTheme="minorHAnsi" w:cstheme="minorHAnsi"/>
          <w:sz w:val="20"/>
        </w:rPr>
      </w:pPr>
      <w:r w:rsidRPr="005F120D">
        <w:rPr>
          <w:rFonts w:asciiTheme="minorHAnsi" w:hAnsiTheme="minorHAnsi" w:cstheme="minorHAnsi"/>
          <w:sz w:val="20"/>
        </w:rPr>
        <w:t xml:space="preserve">During 2014 the SHARE Education Program continued to build on its achievements and good practices, maintained an impressive drive to enroll children into schools in some of the hardest to reach environments in the country. These efforts will continue to be strengthened and expanded through the technical assistance component embedded in the program. </w:t>
      </w:r>
    </w:p>
    <w:p w:rsidR="00734030" w:rsidRPr="005F120D" w:rsidRDefault="00734030" w:rsidP="00734030">
      <w:pPr>
        <w:rPr>
          <w:rFonts w:asciiTheme="minorHAnsi" w:hAnsiTheme="minorHAnsi" w:cstheme="minorHAnsi"/>
          <w:b/>
          <w:sz w:val="20"/>
        </w:rPr>
      </w:pPr>
      <w:r w:rsidRPr="005F120D">
        <w:rPr>
          <w:rFonts w:asciiTheme="minorHAnsi" w:hAnsiTheme="minorHAnsi" w:cstheme="minorHAnsi"/>
          <w:b/>
          <w:sz w:val="20"/>
        </w:rPr>
        <w:t>Coverage as of December 2015:</w:t>
      </w:r>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896"/>
        <w:gridCol w:w="2528"/>
        <w:gridCol w:w="1607"/>
        <w:gridCol w:w="1607"/>
        <w:gridCol w:w="1607"/>
      </w:tblGrid>
      <w:tr w:rsidR="00734030" w:rsidRPr="005F120D" w:rsidTr="00734030">
        <w:tc>
          <w:tcPr>
            <w:tcW w:w="1026" w:type="pct"/>
          </w:tcPr>
          <w:p w:rsidR="00734030" w:rsidRPr="005F120D" w:rsidRDefault="00734030">
            <w:pPr>
              <w:spacing w:after="0"/>
              <w:rPr>
                <w:rFonts w:asciiTheme="minorHAnsi" w:hAnsiTheme="minorHAnsi" w:cstheme="minorHAnsi"/>
                <w:sz w:val="20"/>
                <w:szCs w:val="20"/>
              </w:rPr>
            </w:pPr>
          </w:p>
        </w:tc>
        <w:tc>
          <w:tcPr>
            <w:tcW w:w="1367" w:type="pct"/>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Coverage</w:t>
            </w:r>
          </w:p>
        </w:tc>
        <w:tc>
          <w:tcPr>
            <w:tcW w:w="869" w:type="pct"/>
          </w:tcPr>
          <w:p w:rsidR="00734030" w:rsidRPr="005F120D" w:rsidRDefault="00734030">
            <w:pPr>
              <w:spacing w:after="0"/>
              <w:rPr>
                <w:rFonts w:asciiTheme="minorHAnsi" w:hAnsiTheme="minorHAnsi" w:cstheme="minorHAnsi"/>
                <w:sz w:val="20"/>
                <w:szCs w:val="20"/>
              </w:rPr>
            </w:pPr>
          </w:p>
        </w:tc>
        <w:tc>
          <w:tcPr>
            <w:tcW w:w="869" w:type="pct"/>
          </w:tcPr>
          <w:p w:rsidR="00734030" w:rsidRPr="005F120D" w:rsidRDefault="00734030">
            <w:pPr>
              <w:spacing w:after="0"/>
              <w:rPr>
                <w:rFonts w:asciiTheme="minorHAnsi" w:hAnsiTheme="minorHAnsi" w:cstheme="minorHAnsi"/>
                <w:sz w:val="20"/>
                <w:szCs w:val="20"/>
              </w:rPr>
            </w:pPr>
          </w:p>
        </w:tc>
        <w:tc>
          <w:tcPr>
            <w:tcW w:w="869" w:type="pct"/>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Remarks</w:t>
            </w:r>
          </w:p>
        </w:tc>
      </w:tr>
      <w:tr w:rsidR="00734030" w:rsidRPr="005F120D" w:rsidTr="00734030">
        <w:tc>
          <w:tcPr>
            <w:tcW w:w="1026" w:type="pct"/>
            <w:hideMark/>
          </w:tcPr>
          <w:p w:rsidR="00734030" w:rsidRPr="005F120D" w:rsidRDefault="00734030" w:rsidP="00734030">
            <w:pPr>
              <w:spacing w:after="0"/>
              <w:jc w:val="center"/>
              <w:rPr>
                <w:rFonts w:asciiTheme="minorHAnsi" w:hAnsiTheme="minorHAnsi" w:cstheme="minorHAnsi"/>
                <w:sz w:val="18"/>
                <w:szCs w:val="18"/>
              </w:rPr>
            </w:pPr>
            <w:r w:rsidRPr="005F120D">
              <w:rPr>
                <w:rFonts w:asciiTheme="minorHAnsi" w:hAnsiTheme="minorHAnsi" w:cstheme="minorHAnsi"/>
                <w:sz w:val="18"/>
                <w:szCs w:val="18"/>
              </w:rPr>
              <w:t>Number of District</w:t>
            </w:r>
          </w:p>
        </w:tc>
        <w:tc>
          <w:tcPr>
            <w:tcW w:w="1367" w:type="pct"/>
            <w:hideMark/>
          </w:tcPr>
          <w:p w:rsidR="00734030" w:rsidRPr="005F120D" w:rsidRDefault="00734030" w:rsidP="00734030">
            <w:pPr>
              <w:spacing w:after="0"/>
              <w:jc w:val="center"/>
              <w:rPr>
                <w:rFonts w:asciiTheme="minorHAnsi" w:hAnsiTheme="minorHAnsi" w:cstheme="minorHAnsi"/>
                <w:sz w:val="18"/>
                <w:szCs w:val="18"/>
              </w:rPr>
            </w:pPr>
            <w:r w:rsidRPr="005F120D">
              <w:rPr>
                <w:rFonts w:asciiTheme="minorHAnsi" w:hAnsiTheme="minorHAnsi" w:cstheme="minorHAnsi"/>
                <w:sz w:val="18"/>
                <w:szCs w:val="18"/>
              </w:rPr>
              <w:t>Number of Upazila</w:t>
            </w:r>
          </w:p>
        </w:tc>
        <w:tc>
          <w:tcPr>
            <w:tcW w:w="869" w:type="pct"/>
            <w:hideMark/>
          </w:tcPr>
          <w:p w:rsidR="00734030" w:rsidRPr="005F120D" w:rsidRDefault="00734030" w:rsidP="00734030">
            <w:pPr>
              <w:spacing w:after="0"/>
              <w:jc w:val="center"/>
              <w:rPr>
                <w:rFonts w:asciiTheme="minorHAnsi" w:hAnsiTheme="minorHAnsi" w:cstheme="minorHAnsi"/>
                <w:sz w:val="18"/>
                <w:szCs w:val="18"/>
              </w:rPr>
            </w:pPr>
            <w:r w:rsidRPr="005F120D">
              <w:rPr>
                <w:rFonts w:asciiTheme="minorHAnsi" w:hAnsiTheme="minorHAnsi" w:cstheme="minorHAnsi"/>
                <w:sz w:val="18"/>
                <w:szCs w:val="18"/>
              </w:rPr>
              <w:t>Number of schools (PPE&amp;NFPE)</w:t>
            </w:r>
          </w:p>
        </w:tc>
        <w:tc>
          <w:tcPr>
            <w:tcW w:w="869" w:type="pct"/>
            <w:hideMark/>
          </w:tcPr>
          <w:p w:rsidR="00734030" w:rsidRPr="005F120D" w:rsidRDefault="00734030" w:rsidP="00734030">
            <w:pPr>
              <w:spacing w:after="0"/>
              <w:jc w:val="center"/>
              <w:rPr>
                <w:rFonts w:asciiTheme="minorHAnsi" w:hAnsiTheme="minorHAnsi" w:cstheme="minorHAnsi"/>
                <w:sz w:val="18"/>
                <w:szCs w:val="18"/>
              </w:rPr>
            </w:pPr>
            <w:r w:rsidRPr="005F120D">
              <w:rPr>
                <w:rFonts w:asciiTheme="minorHAnsi" w:hAnsiTheme="minorHAnsi" w:cstheme="minorHAnsi"/>
                <w:sz w:val="18"/>
                <w:szCs w:val="18"/>
              </w:rPr>
              <w:t>Number of student</w:t>
            </w:r>
          </w:p>
        </w:tc>
        <w:tc>
          <w:tcPr>
            <w:tcW w:w="869" w:type="pct"/>
          </w:tcPr>
          <w:p w:rsidR="00734030" w:rsidRPr="005F120D" w:rsidRDefault="00734030" w:rsidP="00734030">
            <w:pPr>
              <w:spacing w:after="0"/>
              <w:jc w:val="center"/>
              <w:rPr>
                <w:rFonts w:asciiTheme="minorHAnsi" w:hAnsiTheme="minorHAnsi" w:cstheme="minorHAnsi"/>
                <w:sz w:val="18"/>
                <w:szCs w:val="18"/>
              </w:rPr>
            </w:pPr>
          </w:p>
        </w:tc>
      </w:tr>
      <w:tr w:rsidR="00734030" w:rsidRPr="005F120D" w:rsidTr="00734030">
        <w:tc>
          <w:tcPr>
            <w:tcW w:w="1026" w:type="pct"/>
            <w:hideMark/>
          </w:tcPr>
          <w:p w:rsidR="00734030" w:rsidRPr="005F120D" w:rsidRDefault="00734030">
            <w:pPr>
              <w:spacing w:after="0"/>
              <w:jc w:val="center"/>
              <w:rPr>
                <w:rFonts w:asciiTheme="minorHAnsi" w:hAnsiTheme="minorHAnsi" w:cstheme="minorHAnsi"/>
                <w:sz w:val="20"/>
                <w:szCs w:val="20"/>
              </w:rPr>
            </w:pPr>
            <w:r w:rsidRPr="005F120D">
              <w:rPr>
                <w:rFonts w:asciiTheme="minorHAnsi" w:hAnsiTheme="minorHAnsi" w:cstheme="minorHAnsi"/>
                <w:sz w:val="20"/>
                <w:szCs w:val="20"/>
              </w:rPr>
              <w:t>47</w:t>
            </w:r>
          </w:p>
        </w:tc>
        <w:tc>
          <w:tcPr>
            <w:tcW w:w="1367" w:type="pct"/>
            <w:hideMark/>
          </w:tcPr>
          <w:p w:rsidR="00734030" w:rsidRPr="005F120D" w:rsidRDefault="00734030">
            <w:pPr>
              <w:spacing w:after="0"/>
              <w:jc w:val="center"/>
              <w:rPr>
                <w:rFonts w:asciiTheme="minorHAnsi" w:hAnsiTheme="minorHAnsi" w:cstheme="minorHAnsi"/>
                <w:sz w:val="20"/>
                <w:szCs w:val="20"/>
              </w:rPr>
            </w:pPr>
            <w:r w:rsidRPr="005F120D">
              <w:rPr>
                <w:rFonts w:asciiTheme="minorHAnsi" w:hAnsiTheme="minorHAnsi" w:cstheme="minorHAnsi"/>
                <w:sz w:val="20"/>
                <w:szCs w:val="20"/>
              </w:rPr>
              <w:t>219</w:t>
            </w:r>
          </w:p>
        </w:tc>
        <w:tc>
          <w:tcPr>
            <w:tcW w:w="869" w:type="pct"/>
            <w:hideMark/>
          </w:tcPr>
          <w:p w:rsidR="00734030" w:rsidRPr="005F120D" w:rsidRDefault="00734030">
            <w:pPr>
              <w:spacing w:after="0"/>
              <w:jc w:val="center"/>
              <w:rPr>
                <w:rFonts w:asciiTheme="minorHAnsi" w:hAnsiTheme="minorHAnsi" w:cstheme="minorHAnsi"/>
                <w:sz w:val="20"/>
                <w:szCs w:val="20"/>
              </w:rPr>
            </w:pPr>
            <w:r w:rsidRPr="005F120D">
              <w:rPr>
                <w:rFonts w:asciiTheme="minorHAnsi" w:hAnsiTheme="minorHAnsi" w:cstheme="minorHAnsi"/>
                <w:sz w:val="20"/>
                <w:szCs w:val="20"/>
              </w:rPr>
              <w:t>13,937</w:t>
            </w:r>
          </w:p>
        </w:tc>
        <w:tc>
          <w:tcPr>
            <w:tcW w:w="869" w:type="pct"/>
            <w:hideMark/>
          </w:tcPr>
          <w:p w:rsidR="00734030" w:rsidRPr="005F120D" w:rsidRDefault="00734030">
            <w:pPr>
              <w:spacing w:after="0"/>
              <w:jc w:val="center"/>
              <w:rPr>
                <w:rFonts w:asciiTheme="minorHAnsi" w:hAnsiTheme="minorHAnsi" w:cstheme="minorHAnsi"/>
                <w:sz w:val="20"/>
                <w:szCs w:val="20"/>
              </w:rPr>
            </w:pPr>
            <w:r w:rsidRPr="005F120D">
              <w:rPr>
                <w:rFonts w:asciiTheme="minorHAnsi" w:hAnsiTheme="minorHAnsi" w:cstheme="minorHAnsi"/>
                <w:sz w:val="20"/>
                <w:szCs w:val="20"/>
              </w:rPr>
              <w:t>4,94,401</w:t>
            </w:r>
          </w:p>
        </w:tc>
        <w:tc>
          <w:tcPr>
            <w:tcW w:w="869" w:type="pct"/>
            <w:hideMark/>
          </w:tcPr>
          <w:p w:rsidR="00734030" w:rsidRPr="005F120D" w:rsidRDefault="00734030">
            <w:pPr>
              <w:spacing w:after="0"/>
              <w:jc w:val="center"/>
              <w:rPr>
                <w:rFonts w:asciiTheme="minorHAnsi" w:hAnsiTheme="minorHAnsi" w:cstheme="minorHAnsi"/>
                <w:sz w:val="20"/>
                <w:szCs w:val="20"/>
              </w:rPr>
            </w:pPr>
            <w:r w:rsidRPr="005F120D">
              <w:rPr>
                <w:rFonts w:asciiTheme="minorHAnsi" w:hAnsiTheme="minorHAnsi" w:cstheme="minorHAnsi"/>
                <w:sz w:val="20"/>
                <w:szCs w:val="20"/>
              </w:rPr>
              <w:t>Cumulative figure</w:t>
            </w:r>
          </w:p>
        </w:tc>
      </w:tr>
    </w:tbl>
    <w:p w:rsidR="00734030" w:rsidRPr="005F120D" w:rsidRDefault="00734030" w:rsidP="00734030">
      <w:pPr>
        <w:spacing w:before="240"/>
        <w:rPr>
          <w:rFonts w:asciiTheme="minorHAnsi" w:hAnsiTheme="minorHAnsi" w:cstheme="minorHAnsi"/>
          <w:b/>
          <w:sz w:val="20"/>
        </w:rPr>
      </w:pPr>
      <w:r w:rsidRPr="005F120D">
        <w:rPr>
          <w:rFonts w:asciiTheme="minorHAnsi" w:hAnsiTheme="minorHAnsi" w:cstheme="minorHAnsi"/>
          <w:b/>
          <w:sz w:val="20"/>
        </w:rPr>
        <w:t>PECE status of 2015</w:t>
      </w:r>
    </w:p>
    <w:p w:rsidR="00734030" w:rsidRPr="005F120D" w:rsidRDefault="00734030" w:rsidP="00734030">
      <w:pPr>
        <w:spacing w:after="120" w:line="312" w:lineRule="auto"/>
        <w:rPr>
          <w:rFonts w:asciiTheme="minorHAnsi" w:hAnsiTheme="minorHAnsi" w:cstheme="minorHAnsi"/>
          <w:sz w:val="20"/>
        </w:rPr>
      </w:pPr>
      <w:r w:rsidRPr="005F120D">
        <w:rPr>
          <w:rFonts w:asciiTheme="minorHAnsi" w:hAnsiTheme="minorHAnsi" w:cstheme="minorHAnsi"/>
          <w:sz w:val="20"/>
        </w:rPr>
        <w:t>Among the four projects of SHARE program Aloghar and UNIQUE-II students have taken</w:t>
      </w:r>
      <w:r w:rsidR="00A61F5E">
        <w:rPr>
          <w:rFonts w:asciiTheme="minorHAnsi" w:hAnsiTheme="minorHAnsi" w:cstheme="minorHAnsi"/>
          <w:sz w:val="20"/>
        </w:rPr>
        <w:t xml:space="preserve"> </w:t>
      </w:r>
      <w:r w:rsidRPr="005F120D">
        <w:rPr>
          <w:rFonts w:asciiTheme="minorHAnsi" w:hAnsiTheme="minorHAnsi" w:cstheme="minorHAnsi"/>
          <w:sz w:val="20"/>
        </w:rPr>
        <w:t>PECE since 2012 while SUSTAIN students first appeared in PECE in 2013 and SHIKHON-II students appeared in PECE for the first time in 2015 that explains why the number is relatively larger in 2015. Altogether 38,058 students appeared from 4 projects and 36,704 students</w:t>
      </w:r>
      <w:r w:rsidR="00A61F5E">
        <w:rPr>
          <w:rFonts w:asciiTheme="minorHAnsi" w:hAnsiTheme="minorHAnsi" w:cstheme="minorHAnsi"/>
          <w:sz w:val="20"/>
        </w:rPr>
        <w:t xml:space="preserve"> </w:t>
      </w:r>
      <w:r w:rsidRPr="005F120D">
        <w:rPr>
          <w:rFonts w:asciiTheme="minorHAnsi" w:hAnsiTheme="minorHAnsi" w:cstheme="minorHAnsi"/>
          <w:sz w:val="20"/>
        </w:rPr>
        <w:t>passed, which is around 97 percent. 429 students got A+ while 6,982 got A and 6,988 and 7,797 students get A- and B respectively. Statistics of individual project are mentioned below:</w:t>
      </w:r>
    </w:p>
    <w:tbl>
      <w:tblPr>
        <w:tblStyle w:val="TableGrid"/>
        <w:tblW w:w="9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696"/>
        <w:gridCol w:w="1276"/>
        <w:gridCol w:w="1133"/>
        <w:gridCol w:w="850"/>
        <w:gridCol w:w="849"/>
        <w:gridCol w:w="883"/>
        <w:gridCol w:w="817"/>
        <w:gridCol w:w="991"/>
        <w:gridCol w:w="850"/>
      </w:tblGrid>
      <w:tr w:rsidR="00734030" w:rsidRPr="005F120D" w:rsidTr="00734030">
        <w:tc>
          <w:tcPr>
            <w:tcW w:w="1696" w:type="dxa"/>
            <w:vMerge w:val="restart"/>
            <w:hideMark/>
          </w:tcPr>
          <w:p w:rsidR="00734030" w:rsidRPr="005F120D" w:rsidRDefault="00734030">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Project name</w:t>
            </w:r>
          </w:p>
        </w:tc>
        <w:tc>
          <w:tcPr>
            <w:tcW w:w="1276" w:type="dxa"/>
            <w:vMerge w:val="restart"/>
            <w:hideMark/>
          </w:tcPr>
          <w:p w:rsidR="00734030" w:rsidRPr="005F120D" w:rsidRDefault="00734030">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Appeared</w:t>
            </w:r>
          </w:p>
        </w:tc>
        <w:tc>
          <w:tcPr>
            <w:tcW w:w="1134" w:type="dxa"/>
            <w:vMerge w:val="restart"/>
            <w:hideMark/>
          </w:tcPr>
          <w:p w:rsidR="00734030" w:rsidRPr="005F120D" w:rsidRDefault="00734030">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Passed</w:t>
            </w:r>
          </w:p>
        </w:tc>
        <w:tc>
          <w:tcPr>
            <w:tcW w:w="5245" w:type="dxa"/>
            <w:gridSpan w:val="6"/>
            <w:hideMark/>
          </w:tcPr>
          <w:p w:rsidR="00734030" w:rsidRPr="005F120D" w:rsidRDefault="00734030">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Result</w:t>
            </w:r>
          </w:p>
        </w:tc>
      </w:tr>
      <w:tr w:rsidR="00734030" w:rsidRPr="005F120D" w:rsidTr="00734030">
        <w:tc>
          <w:tcPr>
            <w:tcW w:w="1696" w:type="dxa"/>
            <w:vMerge/>
            <w:vAlign w:val="center"/>
            <w:hideMark/>
          </w:tcPr>
          <w:p w:rsidR="00734030" w:rsidRPr="005F120D" w:rsidRDefault="00734030">
            <w:pPr>
              <w:spacing w:after="0"/>
              <w:rPr>
                <w:rFonts w:asciiTheme="minorHAnsi" w:hAnsiTheme="minorHAnsi" w:cstheme="minorHAnsi"/>
                <w:b/>
                <w:sz w:val="20"/>
                <w:szCs w:val="20"/>
              </w:rPr>
            </w:pPr>
          </w:p>
        </w:tc>
        <w:tc>
          <w:tcPr>
            <w:tcW w:w="1276" w:type="dxa"/>
            <w:vMerge/>
            <w:vAlign w:val="center"/>
            <w:hideMark/>
          </w:tcPr>
          <w:p w:rsidR="00734030" w:rsidRPr="005F120D" w:rsidRDefault="00734030">
            <w:pPr>
              <w:spacing w:after="0"/>
              <w:rPr>
                <w:rFonts w:asciiTheme="minorHAnsi" w:hAnsiTheme="minorHAnsi" w:cstheme="minorHAnsi"/>
                <w:b/>
                <w:sz w:val="20"/>
                <w:szCs w:val="20"/>
              </w:rPr>
            </w:pPr>
          </w:p>
        </w:tc>
        <w:tc>
          <w:tcPr>
            <w:tcW w:w="1134" w:type="dxa"/>
            <w:vMerge/>
            <w:vAlign w:val="center"/>
            <w:hideMark/>
          </w:tcPr>
          <w:p w:rsidR="00734030" w:rsidRPr="005F120D" w:rsidRDefault="00734030">
            <w:pPr>
              <w:spacing w:after="0"/>
              <w:rPr>
                <w:rFonts w:asciiTheme="minorHAnsi" w:hAnsiTheme="minorHAnsi" w:cstheme="minorHAnsi"/>
                <w:b/>
                <w:sz w:val="20"/>
                <w:szCs w:val="20"/>
              </w:rPr>
            </w:pPr>
          </w:p>
        </w:tc>
        <w:tc>
          <w:tcPr>
            <w:tcW w:w="851" w:type="dxa"/>
            <w:hideMark/>
          </w:tcPr>
          <w:p w:rsidR="00734030" w:rsidRPr="005F120D" w:rsidRDefault="00734030">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A+</w:t>
            </w:r>
          </w:p>
        </w:tc>
        <w:tc>
          <w:tcPr>
            <w:tcW w:w="850" w:type="dxa"/>
            <w:hideMark/>
          </w:tcPr>
          <w:p w:rsidR="00734030" w:rsidRPr="005F120D" w:rsidRDefault="00734030">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A</w:t>
            </w:r>
          </w:p>
        </w:tc>
        <w:tc>
          <w:tcPr>
            <w:tcW w:w="884" w:type="dxa"/>
            <w:hideMark/>
          </w:tcPr>
          <w:p w:rsidR="00734030" w:rsidRPr="005F120D" w:rsidRDefault="00734030">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A-</w:t>
            </w:r>
          </w:p>
        </w:tc>
        <w:tc>
          <w:tcPr>
            <w:tcW w:w="817" w:type="dxa"/>
            <w:hideMark/>
          </w:tcPr>
          <w:p w:rsidR="00734030" w:rsidRPr="005F120D" w:rsidRDefault="00734030">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B</w:t>
            </w:r>
          </w:p>
        </w:tc>
        <w:tc>
          <w:tcPr>
            <w:tcW w:w="992" w:type="dxa"/>
            <w:hideMark/>
          </w:tcPr>
          <w:p w:rsidR="00734030" w:rsidRPr="005F120D" w:rsidRDefault="00734030">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C</w:t>
            </w:r>
          </w:p>
        </w:tc>
        <w:tc>
          <w:tcPr>
            <w:tcW w:w="851" w:type="dxa"/>
            <w:hideMark/>
          </w:tcPr>
          <w:p w:rsidR="00734030" w:rsidRPr="005F120D" w:rsidRDefault="00734030">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D</w:t>
            </w:r>
          </w:p>
        </w:tc>
      </w:tr>
      <w:tr w:rsidR="00734030" w:rsidRPr="005F120D" w:rsidTr="00734030">
        <w:trPr>
          <w:trHeight w:val="325"/>
        </w:trPr>
        <w:tc>
          <w:tcPr>
            <w:tcW w:w="1696"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Aloghar</w:t>
            </w:r>
          </w:p>
        </w:tc>
        <w:tc>
          <w:tcPr>
            <w:tcW w:w="1276"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1,843</w:t>
            </w:r>
          </w:p>
        </w:tc>
        <w:tc>
          <w:tcPr>
            <w:tcW w:w="1134"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1,771</w:t>
            </w:r>
          </w:p>
        </w:tc>
        <w:tc>
          <w:tcPr>
            <w:tcW w:w="851"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10</w:t>
            </w:r>
          </w:p>
        </w:tc>
        <w:tc>
          <w:tcPr>
            <w:tcW w:w="850"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132</w:t>
            </w:r>
          </w:p>
        </w:tc>
        <w:tc>
          <w:tcPr>
            <w:tcW w:w="884"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237</w:t>
            </w:r>
          </w:p>
        </w:tc>
        <w:tc>
          <w:tcPr>
            <w:tcW w:w="817"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385</w:t>
            </w:r>
          </w:p>
        </w:tc>
        <w:tc>
          <w:tcPr>
            <w:tcW w:w="992"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690</w:t>
            </w:r>
          </w:p>
        </w:tc>
        <w:tc>
          <w:tcPr>
            <w:tcW w:w="851"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317</w:t>
            </w:r>
          </w:p>
        </w:tc>
      </w:tr>
      <w:tr w:rsidR="00734030" w:rsidRPr="005F120D" w:rsidTr="00734030">
        <w:tc>
          <w:tcPr>
            <w:tcW w:w="1696"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SHIKHON-II</w:t>
            </w:r>
          </w:p>
        </w:tc>
        <w:tc>
          <w:tcPr>
            <w:tcW w:w="1276"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30,253</w:t>
            </w:r>
          </w:p>
        </w:tc>
        <w:tc>
          <w:tcPr>
            <w:tcW w:w="1134"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29,371</w:t>
            </w:r>
          </w:p>
        </w:tc>
        <w:tc>
          <w:tcPr>
            <w:tcW w:w="851"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293</w:t>
            </w:r>
          </w:p>
        </w:tc>
        <w:tc>
          <w:tcPr>
            <w:tcW w:w="850"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5,874</w:t>
            </w:r>
          </w:p>
        </w:tc>
        <w:tc>
          <w:tcPr>
            <w:tcW w:w="884"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5,874</w:t>
            </w:r>
          </w:p>
        </w:tc>
        <w:tc>
          <w:tcPr>
            <w:tcW w:w="817"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6,168</w:t>
            </w:r>
          </w:p>
        </w:tc>
        <w:tc>
          <w:tcPr>
            <w:tcW w:w="992"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8,518</w:t>
            </w:r>
          </w:p>
        </w:tc>
        <w:tc>
          <w:tcPr>
            <w:tcW w:w="851"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2,644</w:t>
            </w:r>
          </w:p>
        </w:tc>
      </w:tr>
      <w:tr w:rsidR="00734030" w:rsidRPr="005F120D" w:rsidTr="00734030">
        <w:tc>
          <w:tcPr>
            <w:tcW w:w="1696"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SUSTAIN</w:t>
            </w:r>
          </w:p>
        </w:tc>
        <w:tc>
          <w:tcPr>
            <w:tcW w:w="1276"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4,593</w:t>
            </w:r>
          </w:p>
        </w:tc>
        <w:tc>
          <w:tcPr>
            <w:tcW w:w="1134"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4,195</w:t>
            </w:r>
          </w:p>
        </w:tc>
        <w:tc>
          <w:tcPr>
            <w:tcW w:w="851"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84</w:t>
            </w:r>
          </w:p>
        </w:tc>
        <w:tc>
          <w:tcPr>
            <w:tcW w:w="850"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671</w:t>
            </w:r>
          </w:p>
        </w:tc>
        <w:tc>
          <w:tcPr>
            <w:tcW w:w="884"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671</w:t>
            </w:r>
          </w:p>
        </w:tc>
        <w:tc>
          <w:tcPr>
            <w:tcW w:w="817"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797</w:t>
            </w:r>
          </w:p>
        </w:tc>
        <w:tc>
          <w:tcPr>
            <w:tcW w:w="992"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1,259</w:t>
            </w:r>
          </w:p>
        </w:tc>
        <w:tc>
          <w:tcPr>
            <w:tcW w:w="851"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713</w:t>
            </w:r>
          </w:p>
        </w:tc>
      </w:tr>
      <w:tr w:rsidR="00734030" w:rsidRPr="005F120D" w:rsidTr="00734030">
        <w:tc>
          <w:tcPr>
            <w:tcW w:w="1696"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UNIQUE-II</w:t>
            </w:r>
          </w:p>
        </w:tc>
        <w:tc>
          <w:tcPr>
            <w:tcW w:w="1276"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1,369</w:t>
            </w:r>
          </w:p>
        </w:tc>
        <w:tc>
          <w:tcPr>
            <w:tcW w:w="1134"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1,367</w:t>
            </w:r>
          </w:p>
        </w:tc>
        <w:tc>
          <w:tcPr>
            <w:tcW w:w="851"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42</w:t>
            </w:r>
          </w:p>
        </w:tc>
        <w:tc>
          <w:tcPr>
            <w:tcW w:w="850"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305</w:t>
            </w:r>
          </w:p>
        </w:tc>
        <w:tc>
          <w:tcPr>
            <w:tcW w:w="884"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206</w:t>
            </w:r>
          </w:p>
        </w:tc>
        <w:tc>
          <w:tcPr>
            <w:tcW w:w="817" w:type="dxa"/>
            <w:hideMark/>
          </w:tcPr>
          <w:p w:rsidR="00734030" w:rsidRPr="005F120D" w:rsidRDefault="00734030">
            <w:pPr>
              <w:spacing w:after="0"/>
              <w:rPr>
                <w:rFonts w:asciiTheme="minorHAnsi" w:hAnsiTheme="minorHAnsi" w:cstheme="minorHAnsi"/>
                <w:sz w:val="20"/>
                <w:szCs w:val="20"/>
              </w:rPr>
            </w:pPr>
            <w:r w:rsidRPr="005F120D">
              <w:rPr>
                <w:rFonts w:asciiTheme="minorHAnsi" w:hAnsiTheme="minorHAnsi" w:cstheme="minorHAnsi"/>
                <w:sz w:val="20"/>
                <w:szCs w:val="20"/>
              </w:rPr>
              <w:t>447</w:t>
            </w:r>
          </w:p>
        </w:tc>
        <w:tc>
          <w:tcPr>
            <w:tcW w:w="992"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320</w:t>
            </w:r>
          </w:p>
        </w:tc>
        <w:tc>
          <w:tcPr>
            <w:tcW w:w="851" w:type="dxa"/>
            <w:hideMark/>
          </w:tcPr>
          <w:p w:rsidR="00734030" w:rsidRPr="005F120D" w:rsidRDefault="00734030">
            <w:pPr>
              <w:spacing w:after="0"/>
              <w:jc w:val="right"/>
              <w:rPr>
                <w:rFonts w:asciiTheme="minorHAnsi" w:hAnsiTheme="minorHAnsi" w:cstheme="minorHAnsi"/>
                <w:sz w:val="20"/>
                <w:szCs w:val="20"/>
              </w:rPr>
            </w:pPr>
            <w:r w:rsidRPr="005F120D">
              <w:rPr>
                <w:rFonts w:asciiTheme="minorHAnsi" w:hAnsiTheme="minorHAnsi" w:cstheme="minorHAnsi"/>
                <w:sz w:val="20"/>
                <w:szCs w:val="20"/>
              </w:rPr>
              <w:t>47</w:t>
            </w:r>
          </w:p>
        </w:tc>
      </w:tr>
      <w:tr w:rsidR="00734030" w:rsidRPr="005F120D" w:rsidTr="00734030">
        <w:tc>
          <w:tcPr>
            <w:tcW w:w="1696" w:type="dxa"/>
            <w:hideMark/>
          </w:tcPr>
          <w:p w:rsidR="00734030" w:rsidRPr="005F120D" w:rsidRDefault="00734030">
            <w:pPr>
              <w:spacing w:after="0"/>
              <w:rPr>
                <w:rFonts w:asciiTheme="minorHAnsi" w:hAnsiTheme="minorHAnsi" w:cstheme="minorHAnsi"/>
                <w:b/>
                <w:sz w:val="20"/>
                <w:szCs w:val="20"/>
              </w:rPr>
            </w:pPr>
            <w:r w:rsidRPr="005F120D">
              <w:rPr>
                <w:rFonts w:asciiTheme="minorHAnsi" w:hAnsiTheme="minorHAnsi" w:cstheme="minorHAnsi"/>
                <w:b/>
                <w:sz w:val="20"/>
                <w:szCs w:val="20"/>
              </w:rPr>
              <w:t>Total</w:t>
            </w:r>
          </w:p>
        </w:tc>
        <w:tc>
          <w:tcPr>
            <w:tcW w:w="1276" w:type="dxa"/>
            <w:hideMark/>
          </w:tcPr>
          <w:p w:rsidR="00734030" w:rsidRPr="005F120D" w:rsidRDefault="00734030">
            <w:pPr>
              <w:spacing w:after="0"/>
              <w:jc w:val="right"/>
              <w:rPr>
                <w:rFonts w:asciiTheme="minorHAnsi" w:hAnsiTheme="minorHAnsi" w:cstheme="minorHAnsi"/>
                <w:b/>
                <w:sz w:val="20"/>
                <w:szCs w:val="20"/>
              </w:rPr>
            </w:pPr>
            <w:r w:rsidRPr="005F120D">
              <w:rPr>
                <w:rFonts w:asciiTheme="minorHAnsi" w:hAnsiTheme="minorHAnsi" w:cstheme="minorHAnsi"/>
                <w:b/>
                <w:sz w:val="20"/>
                <w:szCs w:val="20"/>
              </w:rPr>
              <w:t>38,058</w:t>
            </w:r>
          </w:p>
        </w:tc>
        <w:tc>
          <w:tcPr>
            <w:tcW w:w="1134" w:type="dxa"/>
            <w:hideMark/>
          </w:tcPr>
          <w:p w:rsidR="00734030" w:rsidRPr="005F120D" w:rsidRDefault="00734030">
            <w:pPr>
              <w:spacing w:after="0"/>
              <w:jc w:val="right"/>
              <w:rPr>
                <w:rFonts w:asciiTheme="minorHAnsi" w:hAnsiTheme="minorHAnsi" w:cstheme="minorHAnsi"/>
                <w:b/>
                <w:sz w:val="20"/>
                <w:szCs w:val="20"/>
              </w:rPr>
            </w:pPr>
            <w:r w:rsidRPr="005F120D">
              <w:rPr>
                <w:rFonts w:asciiTheme="minorHAnsi" w:hAnsiTheme="minorHAnsi" w:cstheme="minorHAnsi"/>
                <w:b/>
                <w:sz w:val="20"/>
                <w:szCs w:val="20"/>
              </w:rPr>
              <w:t>36,704</w:t>
            </w:r>
          </w:p>
        </w:tc>
        <w:tc>
          <w:tcPr>
            <w:tcW w:w="851" w:type="dxa"/>
            <w:hideMark/>
          </w:tcPr>
          <w:p w:rsidR="00734030" w:rsidRPr="005F120D" w:rsidRDefault="00734030">
            <w:pPr>
              <w:spacing w:after="0"/>
              <w:rPr>
                <w:rFonts w:asciiTheme="minorHAnsi" w:hAnsiTheme="minorHAnsi" w:cstheme="minorHAnsi"/>
                <w:b/>
                <w:sz w:val="20"/>
                <w:szCs w:val="20"/>
              </w:rPr>
            </w:pPr>
            <w:r w:rsidRPr="005F120D">
              <w:rPr>
                <w:rFonts w:asciiTheme="minorHAnsi" w:hAnsiTheme="minorHAnsi" w:cstheme="minorHAnsi"/>
                <w:b/>
                <w:sz w:val="20"/>
                <w:szCs w:val="20"/>
              </w:rPr>
              <w:t>429</w:t>
            </w:r>
          </w:p>
        </w:tc>
        <w:tc>
          <w:tcPr>
            <w:tcW w:w="850" w:type="dxa"/>
            <w:hideMark/>
          </w:tcPr>
          <w:p w:rsidR="00734030" w:rsidRPr="005F120D" w:rsidRDefault="00734030">
            <w:pPr>
              <w:spacing w:after="0"/>
              <w:rPr>
                <w:rFonts w:asciiTheme="minorHAnsi" w:hAnsiTheme="minorHAnsi" w:cstheme="minorHAnsi"/>
                <w:b/>
                <w:sz w:val="20"/>
                <w:szCs w:val="20"/>
              </w:rPr>
            </w:pPr>
            <w:r w:rsidRPr="005F120D">
              <w:rPr>
                <w:rFonts w:asciiTheme="minorHAnsi" w:hAnsiTheme="minorHAnsi" w:cstheme="minorHAnsi"/>
                <w:b/>
                <w:sz w:val="20"/>
                <w:szCs w:val="20"/>
              </w:rPr>
              <w:t>6,982</w:t>
            </w:r>
          </w:p>
        </w:tc>
        <w:tc>
          <w:tcPr>
            <w:tcW w:w="884" w:type="dxa"/>
            <w:hideMark/>
          </w:tcPr>
          <w:p w:rsidR="00734030" w:rsidRPr="005F120D" w:rsidRDefault="00734030">
            <w:pPr>
              <w:spacing w:after="0"/>
              <w:rPr>
                <w:rFonts w:asciiTheme="minorHAnsi" w:hAnsiTheme="minorHAnsi" w:cstheme="minorHAnsi"/>
                <w:b/>
                <w:sz w:val="20"/>
                <w:szCs w:val="20"/>
              </w:rPr>
            </w:pPr>
            <w:r w:rsidRPr="005F120D">
              <w:rPr>
                <w:rFonts w:asciiTheme="minorHAnsi" w:hAnsiTheme="minorHAnsi" w:cstheme="minorHAnsi"/>
                <w:b/>
                <w:sz w:val="20"/>
                <w:szCs w:val="20"/>
              </w:rPr>
              <w:t>6,988</w:t>
            </w:r>
          </w:p>
        </w:tc>
        <w:tc>
          <w:tcPr>
            <w:tcW w:w="817" w:type="dxa"/>
            <w:hideMark/>
          </w:tcPr>
          <w:p w:rsidR="00734030" w:rsidRPr="005F120D" w:rsidRDefault="00734030">
            <w:pPr>
              <w:spacing w:after="0"/>
              <w:rPr>
                <w:rFonts w:asciiTheme="minorHAnsi" w:hAnsiTheme="minorHAnsi" w:cstheme="minorHAnsi"/>
                <w:b/>
                <w:sz w:val="20"/>
                <w:szCs w:val="20"/>
              </w:rPr>
            </w:pPr>
            <w:r w:rsidRPr="005F120D">
              <w:rPr>
                <w:rFonts w:asciiTheme="minorHAnsi" w:hAnsiTheme="minorHAnsi" w:cstheme="minorHAnsi"/>
                <w:b/>
                <w:sz w:val="20"/>
                <w:szCs w:val="20"/>
              </w:rPr>
              <w:t>7,797</w:t>
            </w:r>
          </w:p>
        </w:tc>
        <w:tc>
          <w:tcPr>
            <w:tcW w:w="992" w:type="dxa"/>
            <w:hideMark/>
          </w:tcPr>
          <w:p w:rsidR="00734030" w:rsidRPr="005F120D" w:rsidRDefault="00734030">
            <w:pPr>
              <w:spacing w:after="0"/>
              <w:jc w:val="right"/>
              <w:rPr>
                <w:rFonts w:asciiTheme="minorHAnsi" w:hAnsiTheme="minorHAnsi" w:cstheme="minorHAnsi"/>
                <w:b/>
                <w:sz w:val="20"/>
                <w:szCs w:val="20"/>
              </w:rPr>
            </w:pPr>
            <w:r w:rsidRPr="005F120D">
              <w:rPr>
                <w:rFonts w:asciiTheme="minorHAnsi" w:hAnsiTheme="minorHAnsi" w:cstheme="minorHAnsi"/>
                <w:b/>
                <w:sz w:val="20"/>
                <w:szCs w:val="20"/>
              </w:rPr>
              <w:t>10,787</w:t>
            </w:r>
          </w:p>
        </w:tc>
        <w:tc>
          <w:tcPr>
            <w:tcW w:w="851" w:type="dxa"/>
            <w:hideMark/>
          </w:tcPr>
          <w:p w:rsidR="00734030" w:rsidRPr="005F120D" w:rsidRDefault="00734030">
            <w:pPr>
              <w:spacing w:after="0"/>
              <w:jc w:val="right"/>
              <w:rPr>
                <w:rFonts w:asciiTheme="minorHAnsi" w:hAnsiTheme="minorHAnsi" w:cstheme="minorHAnsi"/>
                <w:b/>
                <w:sz w:val="20"/>
                <w:szCs w:val="20"/>
              </w:rPr>
            </w:pPr>
            <w:r w:rsidRPr="005F120D">
              <w:rPr>
                <w:rFonts w:asciiTheme="minorHAnsi" w:hAnsiTheme="minorHAnsi" w:cstheme="minorHAnsi"/>
                <w:b/>
                <w:sz w:val="20"/>
                <w:szCs w:val="20"/>
              </w:rPr>
              <w:t>3,721</w:t>
            </w:r>
          </w:p>
        </w:tc>
      </w:tr>
    </w:tbl>
    <w:p w:rsidR="00C849F0" w:rsidRDefault="00C849F0" w:rsidP="00C849F0">
      <w:pPr>
        <w:rPr>
          <w:rFonts w:asciiTheme="minorHAnsi" w:eastAsia="Calibri" w:hAnsiTheme="minorHAnsi" w:cstheme="minorHAnsi"/>
          <w:color w:val="FF0000"/>
          <w:sz w:val="20"/>
          <w:szCs w:val="22"/>
          <w:lang w:eastAsia="en-US"/>
        </w:rPr>
      </w:pPr>
    </w:p>
    <w:p w:rsidR="00C849F0" w:rsidRDefault="00C849F0" w:rsidP="00C849F0">
      <w:pPr>
        <w:rPr>
          <w:rFonts w:asciiTheme="minorHAnsi" w:hAnsiTheme="minorHAnsi" w:cstheme="minorHAnsi"/>
          <w:b/>
          <w:color w:val="008000"/>
          <w:sz w:val="24"/>
          <w:szCs w:val="24"/>
        </w:rPr>
      </w:pPr>
    </w:p>
    <w:p w:rsidR="00C849F0" w:rsidRDefault="00C849F0" w:rsidP="00C849F0">
      <w:pPr>
        <w:rPr>
          <w:rFonts w:asciiTheme="minorHAnsi" w:hAnsiTheme="minorHAnsi" w:cstheme="minorHAnsi"/>
          <w:b/>
          <w:color w:val="008000"/>
          <w:sz w:val="24"/>
          <w:szCs w:val="24"/>
        </w:rPr>
      </w:pPr>
    </w:p>
    <w:p w:rsidR="00A61F5E" w:rsidRPr="005F120D" w:rsidRDefault="00A61F5E" w:rsidP="00A61F5E">
      <w:pPr>
        <w:autoSpaceDE w:val="0"/>
        <w:autoSpaceDN w:val="0"/>
        <w:adjustRightInd w:val="0"/>
        <w:spacing w:after="0" w:line="276" w:lineRule="auto"/>
        <w:rPr>
          <w:rFonts w:asciiTheme="minorHAnsi" w:hAnsiTheme="minorHAnsi" w:cstheme="minorHAnsi"/>
          <w:b/>
          <w:sz w:val="16"/>
          <w:szCs w:val="16"/>
          <w:lang w:eastAsia="ja-JP"/>
        </w:rPr>
      </w:pPr>
    </w:p>
    <w:p w:rsidR="00A61F5E" w:rsidRPr="00EA7313" w:rsidRDefault="00EA7313" w:rsidP="00EA7313">
      <w:pPr>
        <w:pStyle w:val="Heading1NONUM"/>
        <w:rPr>
          <w:rFonts w:cstheme="minorHAnsi"/>
          <w:color w:val="008000"/>
        </w:rPr>
      </w:pPr>
      <w:bookmarkStart w:id="667" w:name="_Toc462837212"/>
      <w:r w:rsidRPr="005F120D">
        <w:rPr>
          <w:rFonts w:cstheme="minorHAnsi"/>
          <w:color w:val="008000"/>
        </w:rPr>
        <w:t xml:space="preserve">Annex </w:t>
      </w:r>
      <w:r>
        <w:rPr>
          <w:rFonts w:cstheme="minorHAnsi"/>
          <w:color w:val="008000"/>
        </w:rPr>
        <w:t>G</w:t>
      </w:r>
      <w:r w:rsidRPr="005F120D">
        <w:rPr>
          <w:rFonts w:cstheme="minorHAnsi"/>
          <w:color w:val="008000"/>
        </w:rPr>
        <w:t xml:space="preserve">. </w:t>
      </w:r>
      <w:r>
        <w:rPr>
          <w:rFonts w:cstheme="minorHAnsi"/>
          <w:color w:val="008000"/>
        </w:rPr>
        <w:t>Each Child Learn</w:t>
      </w:r>
      <w:bookmarkEnd w:id="667"/>
    </w:p>
    <w:tbl>
      <w:tblPr>
        <w:tblW w:w="5000" w:type="pct"/>
        <w:tblBorders>
          <w:top w:val="double" w:sz="4" w:space="0" w:color="215868"/>
          <w:left w:val="double" w:sz="4" w:space="0" w:color="215868"/>
          <w:bottom w:val="double" w:sz="4" w:space="0" w:color="215868"/>
          <w:right w:val="double" w:sz="4" w:space="0" w:color="215868"/>
          <w:insideH w:val="single" w:sz="6" w:space="0" w:color="215868"/>
          <w:insideV w:val="single" w:sz="6" w:space="0" w:color="215868"/>
        </w:tblBorders>
        <w:tblLook w:val="04A0"/>
      </w:tblPr>
      <w:tblGrid>
        <w:gridCol w:w="3079"/>
        <w:gridCol w:w="72"/>
        <w:gridCol w:w="6094"/>
      </w:tblGrid>
      <w:tr w:rsidR="00A61F5E" w:rsidRPr="00A61F5E" w:rsidTr="00045BB9">
        <w:tc>
          <w:tcPr>
            <w:tcW w:w="1704" w:type="pct"/>
            <w:gridSpan w:val="2"/>
          </w:tcPr>
          <w:p w:rsidR="00A61F5E" w:rsidRPr="00A61F5E" w:rsidRDefault="00A61F5E" w:rsidP="00045BB9">
            <w:pPr>
              <w:spacing w:after="0"/>
              <w:jc w:val="center"/>
              <w:rPr>
                <w:rFonts w:asciiTheme="minorHAnsi" w:hAnsiTheme="minorHAnsi" w:cstheme="minorHAnsi"/>
                <w:b/>
                <w:sz w:val="20"/>
              </w:rPr>
            </w:pPr>
            <w:r w:rsidRPr="00A61F5E">
              <w:rPr>
                <w:rFonts w:asciiTheme="minorHAnsi" w:hAnsiTheme="minorHAnsi" w:cstheme="minorHAnsi"/>
                <w:b/>
                <w:sz w:val="20"/>
              </w:rPr>
              <w:t>Year 5</w:t>
            </w:r>
          </w:p>
        </w:tc>
        <w:tc>
          <w:tcPr>
            <w:tcW w:w="3296" w:type="pct"/>
          </w:tcPr>
          <w:p w:rsidR="00A61F5E" w:rsidRPr="00A61F5E" w:rsidRDefault="00A61F5E" w:rsidP="00045BB9">
            <w:pPr>
              <w:spacing w:after="0"/>
              <w:jc w:val="center"/>
              <w:rPr>
                <w:rFonts w:asciiTheme="minorHAnsi" w:hAnsiTheme="minorHAnsi" w:cstheme="minorHAnsi"/>
                <w:b/>
                <w:sz w:val="20"/>
              </w:rPr>
            </w:pPr>
            <w:r w:rsidRPr="00A61F5E">
              <w:rPr>
                <w:rFonts w:asciiTheme="minorHAnsi" w:hAnsiTheme="minorHAnsi" w:cstheme="minorHAnsi"/>
                <w:b/>
                <w:sz w:val="20"/>
              </w:rPr>
              <w:t>Status</w:t>
            </w:r>
          </w:p>
        </w:tc>
      </w:tr>
      <w:tr w:rsidR="00A61F5E" w:rsidRPr="00A61F5E" w:rsidTr="00045BB9">
        <w:tc>
          <w:tcPr>
            <w:tcW w:w="5000" w:type="pct"/>
            <w:gridSpan w:val="3"/>
          </w:tcPr>
          <w:p w:rsidR="00A61F5E" w:rsidRPr="00A61F5E" w:rsidRDefault="00A61F5E" w:rsidP="00045BB9">
            <w:pPr>
              <w:spacing w:after="0"/>
              <w:rPr>
                <w:rFonts w:asciiTheme="minorHAnsi" w:hAnsiTheme="minorHAnsi" w:cstheme="minorHAnsi"/>
                <w:b/>
                <w:sz w:val="20"/>
              </w:rPr>
            </w:pPr>
            <w:r w:rsidRPr="00A61F5E">
              <w:rPr>
                <w:rFonts w:asciiTheme="minorHAnsi" w:hAnsiTheme="minorHAnsi" w:cstheme="minorHAnsi"/>
                <w:b/>
                <w:sz w:val="20"/>
              </w:rPr>
              <w:t>Component 1: Teaching and Learning                                                        Result Area 1: Learning Outcomes</w:t>
            </w:r>
          </w:p>
          <w:p w:rsidR="00A61F5E" w:rsidRPr="00A61F5E" w:rsidRDefault="00A61F5E" w:rsidP="00045BB9">
            <w:pPr>
              <w:numPr>
                <w:ilvl w:val="1"/>
                <w:numId w:val="119"/>
              </w:numPr>
              <w:spacing w:after="0"/>
              <w:contextualSpacing/>
              <w:rPr>
                <w:rFonts w:asciiTheme="minorHAnsi" w:hAnsiTheme="minorHAnsi" w:cstheme="minorHAnsi"/>
                <w:b/>
                <w:sz w:val="20"/>
              </w:rPr>
            </w:pPr>
            <w:r w:rsidRPr="00A61F5E">
              <w:rPr>
                <w:rFonts w:asciiTheme="minorHAnsi" w:hAnsiTheme="minorHAnsi" w:cstheme="minorHAnsi"/>
                <w:b/>
                <w:sz w:val="20"/>
              </w:rPr>
              <w:t>Shikhbe Protiti Shishu ( Each Child Learns)</w:t>
            </w:r>
          </w:p>
        </w:tc>
      </w:tr>
      <w:tr w:rsidR="00A61F5E" w:rsidRPr="00A61F5E" w:rsidTr="00045BB9">
        <w:tc>
          <w:tcPr>
            <w:tcW w:w="1665" w:type="pct"/>
          </w:tcPr>
          <w:p w:rsidR="00A61F5E" w:rsidRPr="00A61F5E" w:rsidRDefault="00A61F5E" w:rsidP="00045BB9">
            <w:pPr>
              <w:spacing w:after="0"/>
              <w:rPr>
                <w:rFonts w:asciiTheme="minorHAnsi" w:hAnsiTheme="minorHAnsi" w:cstheme="minorHAnsi"/>
                <w:sz w:val="20"/>
              </w:rPr>
            </w:pPr>
            <w:r w:rsidRPr="00A61F5E">
              <w:rPr>
                <w:rFonts w:asciiTheme="minorHAnsi" w:hAnsiTheme="minorHAnsi" w:cstheme="minorHAnsi"/>
                <w:sz w:val="20"/>
              </w:rPr>
              <w:t>Ongoing /expanded piloting to an additional 510 schools (total number of schools 1500)</w:t>
            </w:r>
          </w:p>
          <w:p w:rsidR="00A61F5E" w:rsidRPr="00A61F5E" w:rsidRDefault="00A61F5E" w:rsidP="00045BB9">
            <w:pPr>
              <w:spacing w:after="0"/>
              <w:rPr>
                <w:rFonts w:asciiTheme="minorHAnsi" w:hAnsiTheme="minorHAnsi" w:cstheme="minorHAnsi"/>
                <w:sz w:val="20"/>
              </w:rPr>
            </w:pPr>
          </w:p>
        </w:tc>
        <w:tc>
          <w:tcPr>
            <w:tcW w:w="3335" w:type="pct"/>
            <w:gridSpan w:val="2"/>
          </w:tcPr>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In the fifth year of PEDP3, the Program Division is piloting ECL/DPED integrated training for the teachers/supervisors of 80 schools in 4 districts and the NAPE is going to expand the ECL/DPED integrated training into 180 schools of 9 districts. The total number of ECL practicing school will be 260 schools. </w:t>
            </w:r>
          </w:p>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Therefore, the total number of ECL practicing schools at the end of 5</w:t>
            </w:r>
            <w:r w:rsidRPr="00A61F5E">
              <w:rPr>
                <w:rFonts w:asciiTheme="minorHAnsi" w:hAnsiTheme="minorHAnsi" w:cstheme="minorHAnsi"/>
                <w:sz w:val="20"/>
                <w:vertAlign w:val="superscript"/>
              </w:rPr>
              <w:t>th</w:t>
            </w:r>
            <w:r w:rsidRPr="00A61F5E">
              <w:rPr>
                <w:rFonts w:asciiTheme="minorHAnsi" w:hAnsiTheme="minorHAnsi" w:cstheme="minorHAnsi"/>
                <w:sz w:val="20"/>
              </w:rPr>
              <w:t xml:space="preserve"> Year will be 1,240.</w:t>
            </w:r>
          </w:p>
          <w:p w:rsidR="00A61F5E" w:rsidRPr="00A61F5E" w:rsidRDefault="00A61F5E" w:rsidP="00045BB9">
            <w:pPr>
              <w:spacing w:after="0"/>
              <w:jc w:val="both"/>
              <w:rPr>
                <w:rFonts w:asciiTheme="minorHAnsi" w:hAnsiTheme="minorHAnsi" w:cstheme="minorHAnsi"/>
                <w:sz w:val="20"/>
              </w:rPr>
            </w:pPr>
          </w:p>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Because of an economic coding misplacement for the ECL activities in the AOP, the fund allocation was delayed. Therefore, the Program Division could not start activities on time. Nevertheless, the Program Division has started some of the sub-activities of ECL, FLRP training, teacher training, tendering for training materials and teaching learning materials, and placing funding for the schools for stationery and SRM, and the preparation of other activities like orientation workshops, feedback workshops, and ongoing study visits. </w:t>
            </w:r>
          </w:p>
          <w:p w:rsidR="00A61F5E" w:rsidRPr="00A61F5E" w:rsidRDefault="00A61F5E" w:rsidP="00045BB9">
            <w:pPr>
              <w:spacing w:after="0"/>
              <w:jc w:val="both"/>
              <w:rPr>
                <w:rFonts w:asciiTheme="minorHAnsi" w:hAnsiTheme="minorHAnsi" w:cstheme="minorHAnsi"/>
                <w:sz w:val="20"/>
              </w:rPr>
            </w:pPr>
          </w:p>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Apart from the various activities, another initiative started this year – The ECL Strengthening Model. Based on the lessons learnt from the ECL implementation, the Government has designed the EACH CHILD LEARNS (ECL) STRENGTHENING MODEL. This was approved on 28 June 2015, along with an action plan; several activities of that action plan have been completed. Four consultants and one coordinator were appointed as well as subject based team members.  Two three-day long workshops on ECL Strengthening Model were facilitated by experts from the Rishi Valley Institute for Educational Research (RIVER) of Andra Pradesh, India. RIVER is going to provide the technical support to the Government to develop the ECL STRENGTHENING MODEL. Following the above activities, two study teams are going to visit RIVER and Chennai</w:t>
            </w:r>
            <w:r>
              <w:rPr>
                <w:rFonts w:asciiTheme="minorHAnsi" w:hAnsiTheme="minorHAnsi" w:cstheme="minorHAnsi"/>
                <w:sz w:val="20"/>
              </w:rPr>
              <w:t xml:space="preserve"> </w:t>
            </w:r>
            <w:r w:rsidRPr="00A61F5E">
              <w:rPr>
                <w:rFonts w:asciiTheme="minorHAnsi" w:hAnsiTheme="minorHAnsi" w:cstheme="minorHAnsi"/>
                <w:sz w:val="20"/>
              </w:rPr>
              <w:t xml:space="preserve">State to get guidance in developing teaching-learning materials. </w:t>
            </w:r>
          </w:p>
        </w:tc>
      </w:tr>
      <w:tr w:rsidR="00A61F5E" w:rsidRPr="00A61F5E" w:rsidTr="00045BB9">
        <w:tc>
          <w:tcPr>
            <w:tcW w:w="1665" w:type="pct"/>
          </w:tcPr>
          <w:p w:rsidR="00A61F5E" w:rsidRPr="00A61F5E" w:rsidRDefault="00A61F5E" w:rsidP="00045BB9">
            <w:pPr>
              <w:spacing w:after="0"/>
              <w:rPr>
                <w:rFonts w:asciiTheme="minorHAnsi" w:hAnsiTheme="minorHAnsi" w:cstheme="minorHAnsi"/>
                <w:sz w:val="20"/>
              </w:rPr>
            </w:pPr>
            <w:r w:rsidRPr="00A61F5E">
              <w:rPr>
                <w:rFonts w:asciiTheme="minorHAnsi" w:hAnsiTheme="minorHAnsi" w:cstheme="minorHAnsi"/>
                <w:sz w:val="20"/>
              </w:rPr>
              <w:t xml:space="preserve">Strengthening institutional mechanisms for continuous teacher mentoring, supervision and support </w:t>
            </w:r>
          </w:p>
          <w:p w:rsidR="00A61F5E" w:rsidRPr="00A61F5E" w:rsidRDefault="00A61F5E" w:rsidP="00045BB9">
            <w:pPr>
              <w:spacing w:after="0"/>
              <w:rPr>
                <w:rFonts w:asciiTheme="minorHAnsi" w:hAnsiTheme="minorHAnsi" w:cstheme="minorHAnsi"/>
                <w:sz w:val="20"/>
              </w:rPr>
            </w:pPr>
          </w:p>
        </w:tc>
        <w:tc>
          <w:tcPr>
            <w:tcW w:w="3335" w:type="pct"/>
            <w:gridSpan w:val="2"/>
          </w:tcPr>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The Program Division decided to put the responsibility for strengthening institutional mechanisms for continuous teacher mentoring, supervision and support on </w:t>
            </w:r>
            <w:r w:rsidRPr="00A61F5E">
              <w:rPr>
                <w:rFonts w:asciiTheme="minorHAnsi" w:hAnsiTheme="minorHAnsi" w:cstheme="minorHAnsi"/>
                <w:bCs/>
                <w:i/>
                <w:iCs/>
                <w:sz w:val="20"/>
              </w:rPr>
              <w:t xml:space="preserve">the ECL Task Team for monitoring and mentoring. </w:t>
            </w:r>
            <w:r w:rsidRPr="00A61F5E">
              <w:rPr>
                <w:rFonts w:asciiTheme="minorHAnsi" w:hAnsiTheme="minorHAnsi" w:cstheme="minorHAnsi"/>
                <w:sz w:val="20"/>
              </w:rPr>
              <w:t>Director Program is the chair of the Committee, and the members of this Task Team are officials from DPE, Donor representatives, and representatives from various national and international NGOs which have different education programs with DPE. The reason for the inclusion of various national and international NGO was to strengthen the GO-NGO relationship and also to strengthen the government system with well established methods from those organizations. Based on the recommendations of the first meeting of the Task Team, the ECL team has compiled the experiences of several projects/programs of Government and NGOs, and developed the first draft of the monitoring package to share with the Task Team.</w:t>
            </w:r>
          </w:p>
        </w:tc>
      </w:tr>
      <w:tr w:rsidR="00A61F5E" w:rsidRPr="00A61F5E" w:rsidTr="00045BB9">
        <w:tc>
          <w:tcPr>
            <w:tcW w:w="1665" w:type="pct"/>
          </w:tcPr>
          <w:p w:rsidR="00A61F5E" w:rsidRPr="00A61F5E" w:rsidRDefault="00A61F5E" w:rsidP="00045BB9">
            <w:pPr>
              <w:spacing w:after="0"/>
              <w:rPr>
                <w:rFonts w:asciiTheme="minorHAnsi" w:hAnsiTheme="minorHAnsi" w:cstheme="minorHAnsi"/>
                <w:sz w:val="20"/>
              </w:rPr>
            </w:pPr>
            <w:r w:rsidRPr="00A61F5E">
              <w:rPr>
                <w:rFonts w:asciiTheme="minorHAnsi" w:hAnsiTheme="minorHAnsi" w:cstheme="minorHAnsi"/>
                <w:sz w:val="20"/>
              </w:rPr>
              <w:t>Graded supplementary reading materials (SRMs) provided to 50% schools</w:t>
            </w:r>
          </w:p>
          <w:p w:rsidR="00A61F5E" w:rsidRPr="00A61F5E" w:rsidRDefault="00A61F5E" w:rsidP="00045BB9">
            <w:pPr>
              <w:spacing w:after="0"/>
              <w:rPr>
                <w:rFonts w:asciiTheme="minorHAnsi" w:hAnsiTheme="minorHAnsi" w:cstheme="minorHAnsi"/>
                <w:sz w:val="20"/>
              </w:rPr>
            </w:pPr>
          </w:p>
        </w:tc>
        <w:tc>
          <w:tcPr>
            <w:tcW w:w="3335" w:type="pct"/>
            <w:gridSpan w:val="2"/>
          </w:tcPr>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 The Program Division has also given responsibility of selecting the SRM to</w:t>
            </w:r>
            <w:r>
              <w:rPr>
                <w:rFonts w:asciiTheme="minorHAnsi" w:hAnsiTheme="minorHAnsi" w:cstheme="minorHAnsi"/>
                <w:sz w:val="20"/>
              </w:rPr>
              <w:t xml:space="preserve"> </w:t>
            </w:r>
            <w:r w:rsidRPr="00A61F5E">
              <w:rPr>
                <w:rFonts w:asciiTheme="minorHAnsi" w:hAnsiTheme="minorHAnsi" w:cstheme="minorHAnsi"/>
                <w:bCs/>
                <w:i/>
                <w:iCs/>
                <w:sz w:val="20"/>
              </w:rPr>
              <w:t>the ECL task team for teaching and learning materials.</w:t>
            </w:r>
            <w:r w:rsidRPr="00A61F5E">
              <w:rPr>
                <w:rFonts w:asciiTheme="minorHAnsi" w:hAnsiTheme="minorHAnsi" w:cstheme="minorHAnsi"/>
                <w:sz w:val="20"/>
              </w:rPr>
              <w:t xml:space="preserve"> The member Primary Wing of the NCTB is the chair of this Task Team, and the members include officials from DPE, Donor representatives, and </w:t>
            </w:r>
            <w:r w:rsidRPr="00A61F5E">
              <w:rPr>
                <w:rFonts w:asciiTheme="minorHAnsi" w:hAnsiTheme="minorHAnsi" w:cstheme="minorHAnsi"/>
                <w:sz w:val="20"/>
              </w:rPr>
              <w:lastRenderedPageBreak/>
              <w:t>representatives from various national and international NGOs. The reason for the inclusion of various national and international NGO was to strengthen the GO-NGO relationship, and also to strengthen the government system with the various SRM developed by those organizations.</w:t>
            </w:r>
          </w:p>
          <w:p w:rsidR="00A61F5E" w:rsidRPr="00A61F5E" w:rsidRDefault="00A61F5E" w:rsidP="00045BB9">
            <w:pPr>
              <w:spacing w:after="0"/>
              <w:jc w:val="both"/>
              <w:rPr>
                <w:rFonts w:asciiTheme="minorHAnsi" w:hAnsiTheme="minorHAnsi" w:cstheme="minorHAnsi"/>
                <w:sz w:val="20"/>
              </w:rPr>
            </w:pPr>
          </w:p>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However, for unavoidable reasons, the Task Team has only met once; this took place on March 16.  Therefore, more time is needed to complete the activity. </w:t>
            </w:r>
          </w:p>
        </w:tc>
      </w:tr>
      <w:tr w:rsidR="00A61F5E" w:rsidRPr="00A61F5E" w:rsidTr="00045BB9">
        <w:tc>
          <w:tcPr>
            <w:tcW w:w="1665" w:type="pct"/>
          </w:tcPr>
          <w:p w:rsidR="00A61F5E" w:rsidRPr="00A61F5E" w:rsidRDefault="00A61F5E" w:rsidP="00045BB9">
            <w:pPr>
              <w:spacing w:after="0"/>
              <w:rPr>
                <w:rFonts w:asciiTheme="minorHAnsi" w:hAnsiTheme="minorHAnsi" w:cstheme="minorHAnsi"/>
                <w:sz w:val="20"/>
              </w:rPr>
            </w:pPr>
            <w:r w:rsidRPr="00A61F5E">
              <w:rPr>
                <w:rFonts w:asciiTheme="minorHAnsi" w:hAnsiTheme="minorHAnsi" w:cstheme="minorHAnsi"/>
                <w:sz w:val="20"/>
              </w:rPr>
              <w:lastRenderedPageBreak/>
              <w:t>Extension to Grade 4 and 5 in 164 non-DPEd pilot schools, based on emerging lessons from the Longitudinal Study</w:t>
            </w:r>
          </w:p>
        </w:tc>
        <w:tc>
          <w:tcPr>
            <w:tcW w:w="3335" w:type="pct"/>
            <w:gridSpan w:val="2"/>
          </w:tcPr>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Because of various unavoidable reasons the longitudinal study could not start on time. Instead of FY 2012-13, it started on FY 2014-15. Therefore, enough evidence is not on hand to extend the ECL to Grade 4 and Grade 5. </w:t>
            </w:r>
          </w:p>
        </w:tc>
      </w:tr>
      <w:tr w:rsidR="00A61F5E" w:rsidRPr="00A61F5E" w:rsidTr="00045BB9">
        <w:tc>
          <w:tcPr>
            <w:tcW w:w="1665" w:type="pct"/>
          </w:tcPr>
          <w:p w:rsidR="00A61F5E" w:rsidRPr="00A61F5E" w:rsidRDefault="00A61F5E" w:rsidP="00045BB9">
            <w:pPr>
              <w:spacing w:after="0"/>
              <w:rPr>
                <w:rFonts w:asciiTheme="minorHAnsi" w:hAnsiTheme="minorHAnsi" w:cstheme="minorHAnsi"/>
                <w:sz w:val="20"/>
              </w:rPr>
            </w:pPr>
            <w:r w:rsidRPr="00A61F5E">
              <w:rPr>
                <w:rFonts w:asciiTheme="minorHAnsi" w:hAnsiTheme="minorHAnsi" w:cstheme="minorHAnsi"/>
                <w:sz w:val="20"/>
              </w:rPr>
              <w:t xml:space="preserve">Linkages with assessment system, including  Grade 5 PECE and NSA Established </w:t>
            </w:r>
          </w:p>
          <w:p w:rsidR="00A61F5E" w:rsidRPr="00A61F5E" w:rsidRDefault="00A61F5E" w:rsidP="00045BB9">
            <w:pPr>
              <w:spacing w:after="0"/>
              <w:rPr>
                <w:rFonts w:asciiTheme="minorHAnsi" w:hAnsiTheme="minorHAnsi" w:cstheme="minorHAnsi"/>
                <w:sz w:val="20"/>
              </w:rPr>
            </w:pPr>
          </w:p>
        </w:tc>
        <w:tc>
          <w:tcPr>
            <w:tcW w:w="3335" w:type="pct"/>
            <w:gridSpan w:val="2"/>
          </w:tcPr>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From the recommendations of the ECL Evaluation report and various local and central level monitoring reports, it has been documented that the ECL needs to focus on its assessment system to enhance learning. Therefore, the Program Division has started to liaise with the NCTB, as the NCTB is working on developing the national assessment strategy. </w:t>
            </w:r>
          </w:p>
          <w:p w:rsidR="00A61F5E" w:rsidRPr="00A61F5E" w:rsidRDefault="00A61F5E" w:rsidP="00045BB9">
            <w:pPr>
              <w:spacing w:after="0"/>
              <w:jc w:val="both"/>
              <w:rPr>
                <w:rFonts w:asciiTheme="minorHAnsi" w:hAnsiTheme="minorHAnsi" w:cstheme="minorHAnsi"/>
                <w:sz w:val="20"/>
              </w:rPr>
            </w:pPr>
          </w:p>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 Based on the initial report of an international and national consultant, the NCTB had developed the first draft of the national assessment strategy, and it is currently being refined. </w:t>
            </w:r>
          </w:p>
          <w:p w:rsidR="00A61F5E" w:rsidRPr="00A61F5E" w:rsidRDefault="00A61F5E" w:rsidP="00045BB9">
            <w:pPr>
              <w:spacing w:after="0"/>
              <w:jc w:val="both"/>
              <w:rPr>
                <w:rFonts w:asciiTheme="minorHAnsi" w:hAnsiTheme="minorHAnsi" w:cstheme="minorHAnsi"/>
                <w:sz w:val="20"/>
              </w:rPr>
            </w:pPr>
          </w:p>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The ECL team is examining this strategy document to link the ECL assessment strategy with the National Assessment Strategy. The DPE has initiated liaison with the NCTB in order to facilitate this linkage.  </w:t>
            </w:r>
          </w:p>
          <w:p w:rsidR="00A61F5E" w:rsidRPr="00A61F5E" w:rsidRDefault="00A61F5E" w:rsidP="00045BB9">
            <w:pPr>
              <w:spacing w:after="0"/>
              <w:jc w:val="both"/>
              <w:rPr>
                <w:rFonts w:asciiTheme="minorHAnsi" w:hAnsiTheme="minorHAnsi" w:cstheme="minorHAnsi"/>
                <w:sz w:val="20"/>
              </w:rPr>
            </w:pPr>
          </w:p>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After the finalization of this strategy document with the NCTB, ECL will work on Grade 5 PECE and NSA. </w:t>
            </w:r>
          </w:p>
        </w:tc>
      </w:tr>
      <w:tr w:rsidR="00A61F5E" w:rsidRPr="00A61F5E" w:rsidTr="00045BB9">
        <w:tc>
          <w:tcPr>
            <w:tcW w:w="1665" w:type="pct"/>
          </w:tcPr>
          <w:p w:rsidR="00A61F5E" w:rsidRPr="00A61F5E" w:rsidRDefault="00A61F5E" w:rsidP="00045BB9">
            <w:pPr>
              <w:spacing w:after="0"/>
              <w:rPr>
                <w:rFonts w:asciiTheme="minorHAnsi" w:hAnsiTheme="minorHAnsi" w:cstheme="minorHAnsi"/>
                <w:sz w:val="20"/>
              </w:rPr>
            </w:pPr>
            <w:r w:rsidRPr="00A61F5E">
              <w:rPr>
                <w:rFonts w:asciiTheme="minorHAnsi" w:hAnsiTheme="minorHAnsi" w:cstheme="minorHAnsi"/>
                <w:sz w:val="20"/>
              </w:rPr>
              <w:t>The Longitudinal Study continues, and when completed,  its findings and recommendations will  guide planning for the next program</w:t>
            </w:r>
          </w:p>
        </w:tc>
        <w:tc>
          <w:tcPr>
            <w:tcW w:w="3335" w:type="pct"/>
            <w:gridSpan w:val="2"/>
          </w:tcPr>
          <w:p w:rsidR="00A61F5E" w:rsidRPr="00A61F5E" w:rsidRDefault="00A61F5E" w:rsidP="00045BB9">
            <w:pPr>
              <w:spacing w:after="0"/>
              <w:jc w:val="both"/>
              <w:rPr>
                <w:rFonts w:asciiTheme="minorHAnsi" w:hAnsiTheme="minorHAnsi" w:cstheme="minorHAnsi"/>
                <w:sz w:val="20"/>
              </w:rPr>
            </w:pPr>
            <w:r w:rsidRPr="00A61F5E">
              <w:rPr>
                <w:rFonts w:asciiTheme="minorHAnsi" w:hAnsiTheme="minorHAnsi" w:cstheme="minorHAnsi"/>
                <w:sz w:val="20"/>
              </w:rPr>
              <w:t xml:space="preserve">Because of various unavoidable causes, this three year-long longitudinal study started from FY 2014-15 instead of FY 2012-13. Therefore, this is the second year of study, and will continue for one more year. </w:t>
            </w:r>
          </w:p>
        </w:tc>
      </w:tr>
    </w:tbl>
    <w:p w:rsidR="00A61F5E" w:rsidRPr="00A61F5E" w:rsidRDefault="00A61F5E" w:rsidP="00A61F5E">
      <w:pPr>
        <w:autoSpaceDE w:val="0"/>
        <w:autoSpaceDN w:val="0"/>
        <w:adjustRightInd w:val="0"/>
        <w:spacing w:line="276" w:lineRule="auto"/>
        <w:rPr>
          <w:rFonts w:asciiTheme="minorHAnsi" w:hAnsiTheme="minorHAnsi" w:cstheme="minorHAnsi"/>
          <w:b/>
          <w:sz w:val="16"/>
          <w:szCs w:val="16"/>
          <w:lang w:eastAsia="ja-JP"/>
        </w:rPr>
      </w:pPr>
      <w:r w:rsidRPr="00A61F5E">
        <w:rPr>
          <w:rFonts w:asciiTheme="minorHAnsi" w:hAnsiTheme="minorHAnsi" w:cstheme="minorHAnsi"/>
          <w:b/>
          <w:sz w:val="16"/>
          <w:szCs w:val="16"/>
          <w:lang w:eastAsia="ja-JP"/>
        </w:rPr>
        <w:t>Source: Program Division</w:t>
      </w:r>
    </w:p>
    <w:p w:rsidR="00EA7313" w:rsidRDefault="00EA7313" w:rsidP="00EA7313">
      <w:pPr>
        <w:pStyle w:val="Heading1NONUM"/>
        <w:spacing w:before="120" w:after="120"/>
        <w:rPr>
          <w:rFonts w:cstheme="minorHAnsi"/>
          <w:color w:val="008000"/>
        </w:rPr>
        <w:sectPr w:rsidR="00EA7313" w:rsidSect="00EA356A">
          <w:type w:val="nextColumn"/>
          <w:pgSz w:w="11909" w:h="16834" w:code="9"/>
          <w:pgMar w:top="1440" w:right="1440" w:bottom="1440" w:left="1440" w:header="720" w:footer="720" w:gutter="0"/>
          <w:cols w:space="720"/>
          <w:docGrid w:linePitch="360"/>
        </w:sectPr>
      </w:pPr>
    </w:p>
    <w:p w:rsidR="00EA7313" w:rsidRPr="00EA7313" w:rsidRDefault="00EA7313" w:rsidP="00EA7313">
      <w:pPr>
        <w:pStyle w:val="Heading1NONUM"/>
        <w:spacing w:before="120" w:after="120"/>
        <w:rPr>
          <w:rFonts w:cstheme="minorHAnsi"/>
          <w:color w:val="008000"/>
        </w:rPr>
      </w:pPr>
      <w:bookmarkStart w:id="668" w:name="_Toc462837213"/>
      <w:r w:rsidRPr="005F120D">
        <w:rPr>
          <w:rFonts w:cstheme="minorHAnsi"/>
          <w:color w:val="008000"/>
        </w:rPr>
        <w:lastRenderedPageBreak/>
        <w:t xml:space="preserve">Annex </w:t>
      </w:r>
      <w:r>
        <w:rPr>
          <w:rFonts w:cstheme="minorHAnsi"/>
          <w:color w:val="008000"/>
        </w:rPr>
        <w:t>H</w:t>
      </w:r>
      <w:r w:rsidRPr="005F120D">
        <w:rPr>
          <w:rFonts w:cstheme="minorHAnsi"/>
          <w:color w:val="008000"/>
        </w:rPr>
        <w:t xml:space="preserve">. </w:t>
      </w:r>
      <w:r>
        <w:rPr>
          <w:rFonts w:cstheme="minorHAnsi"/>
          <w:color w:val="008000"/>
        </w:rPr>
        <w:t>Interaction with Local Communities</w:t>
      </w:r>
      <w:bookmarkEnd w:id="668"/>
    </w:p>
    <w:p w:rsidR="00A61F5E" w:rsidRPr="005F120D" w:rsidRDefault="00A61F5E" w:rsidP="00A61F5E">
      <w:pPr>
        <w:autoSpaceDE w:val="0"/>
        <w:autoSpaceDN w:val="0"/>
        <w:adjustRightInd w:val="0"/>
        <w:spacing w:before="240" w:line="276" w:lineRule="auto"/>
        <w:rPr>
          <w:rFonts w:asciiTheme="minorHAnsi" w:hAnsiTheme="minorHAnsi" w:cstheme="minorHAnsi"/>
          <w:b/>
          <w:color w:val="3333FF"/>
          <w:szCs w:val="22"/>
          <w:lang w:eastAsia="ja-JP"/>
        </w:rPr>
      </w:pPr>
      <w:r w:rsidRPr="005F120D">
        <w:rPr>
          <w:rFonts w:asciiTheme="minorHAnsi" w:hAnsiTheme="minorHAnsi" w:cstheme="minorHAnsi"/>
          <w:b/>
          <w:color w:val="3333FF"/>
          <w:szCs w:val="22"/>
          <w:lang w:eastAsia="ja-JP"/>
        </w:rPr>
        <w:t>Inte</w:t>
      </w:r>
      <w:r>
        <w:rPr>
          <w:rFonts w:asciiTheme="minorHAnsi" w:hAnsiTheme="minorHAnsi" w:cstheme="minorHAnsi"/>
          <w:b/>
          <w:color w:val="3333FF"/>
          <w:szCs w:val="22"/>
          <w:lang w:eastAsia="ja-JP"/>
        </w:rPr>
        <w:t xml:space="preserve">raction </w:t>
      </w:r>
      <w:r w:rsidRPr="005F120D">
        <w:rPr>
          <w:rFonts w:asciiTheme="minorHAnsi" w:hAnsiTheme="minorHAnsi" w:cstheme="minorHAnsi"/>
          <w:b/>
          <w:color w:val="3333FF"/>
          <w:szCs w:val="22"/>
          <w:lang w:eastAsia="ja-JP"/>
        </w:rPr>
        <w:t>with</w:t>
      </w:r>
      <w:r>
        <w:rPr>
          <w:rFonts w:asciiTheme="minorHAnsi" w:hAnsiTheme="minorHAnsi" w:cstheme="minorHAnsi"/>
          <w:b/>
          <w:color w:val="3333FF"/>
          <w:szCs w:val="22"/>
          <w:lang w:eastAsia="ja-JP"/>
        </w:rPr>
        <w:t xml:space="preserve"> Local </w:t>
      </w:r>
      <w:r w:rsidRPr="005F120D">
        <w:rPr>
          <w:rFonts w:asciiTheme="minorHAnsi" w:hAnsiTheme="minorHAnsi" w:cstheme="minorHAnsi"/>
          <w:b/>
          <w:color w:val="3333FF"/>
          <w:szCs w:val="22"/>
          <w:lang w:eastAsia="ja-JP"/>
        </w:rPr>
        <w:t>Communities: The Students, the School, the Local Community and the Education Authorities</w:t>
      </w:r>
    </w:p>
    <w:p w:rsidR="00A61F5E" w:rsidRDefault="00A61F5E" w:rsidP="00A61F5E">
      <w:pPr>
        <w:spacing w:line="276" w:lineRule="auto"/>
        <w:jc w:val="both"/>
        <w:rPr>
          <w:rFonts w:asciiTheme="minorHAnsi" w:hAnsiTheme="minorHAnsi" w:cstheme="minorHAnsi"/>
          <w:szCs w:val="22"/>
        </w:rPr>
      </w:pPr>
      <w:r w:rsidRPr="005F120D">
        <w:rPr>
          <w:rFonts w:asciiTheme="minorHAnsi" w:hAnsiTheme="minorHAnsi" w:cstheme="minorHAnsi"/>
          <w:szCs w:val="22"/>
        </w:rPr>
        <w:t>The student is the core of the school and, indeed, of the whole education system.</w:t>
      </w:r>
      <w:r>
        <w:rPr>
          <w:rFonts w:asciiTheme="minorHAnsi" w:hAnsiTheme="minorHAnsi" w:cstheme="minorHAnsi"/>
          <w:szCs w:val="22"/>
        </w:rPr>
        <w:t xml:space="preserve">  PEDP3 is dedicated to create</w:t>
      </w:r>
      <w:r w:rsidRPr="005F120D">
        <w:rPr>
          <w:rFonts w:asciiTheme="minorHAnsi" w:hAnsiTheme="minorHAnsi" w:cstheme="minorHAnsi"/>
          <w:szCs w:val="22"/>
        </w:rPr>
        <w:t xml:space="preserve"> an environment where all </w:t>
      </w:r>
      <w:r>
        <w:rPr>
          <w:rFonts w:asciiTheme="minorHAnsi" w:hAnsiTheme="minorHAnsi" w:cstheme="minorHAnsi"/>
          <w:szCs w:val="22"/>
        </w:rPr>
        <w:t>children of Bangladesh</w:t>
      </w:r>
      <w:r w:rsidRPr="005F120D">
        <w:rPr>
          <w:rFonts w:asciiTheme="minorHAnsi" w:hAnsiTheme="minorHAnsi" w:cstheme="minorHAnsi"/>
          <w:szCs w:val="22"/>
        </w:rPr>
        <w:t xml:space="preserve"> regardless of location</w:t>
      </w:r>
      <w:r>
        <w:rPr>
          <w:rFonts w:asciiTheme="minorHAnsi" w:hAnsiTheme="minorHAnsi" w:cstheme="minorHAnsi"/>
          <w:szCs w:val="22"/>
        </w:rPr>
        <w:t xml:space="preserve"> or </w:t>
      </w:r>
      <w:r w:rsidRPr="005F120D">
        <w:rPr>
          <w:rFonts w:asciiTheme="minorHAnsi" w:hAnsiTheme="minorHAnsi" w:cstheme="minorHAnsi"/>
          <w:szCs w:val="22"/>
        </w:rPr>
        <w:t>background can</w:t>
      </w:r>
      <w:r>
        <w:rPr>
          <w:rFonts w:asciiTheme="minorHAnsi" w:hAnsiTheme="minorHAnsi" w:cstheme="minorHAnsi"/>
          <w:szCs w:val="22"/>
        </w:rPr>
        <w:t xml:space="preserve"> achieve quality </w:t>
      </w:r>
      <w:r w:rsidRPr="005F120D">
        <w:rPr>
          <w:rFonts w:asciiTheme="minorHAnsi" w:hAnsiTheme="minorHAnsi" w:cstheme="minorHAnsi"/>
          <w:szCs w:val="22"/>
        </w:rPr>
        <w:t xml:space="preserve">primary education.  </w:t>
      </w:r>
      <w:r>
        <w:rPr>
          <w:rFonts w:asciiTheme="minorHAnsi" w:hAnsiTheme="minorHAnsi" w:cstheme="minorHAnsi"/>
          <w:szCs w:val="22"/>
        </w:rPr>
        <w:t xml:space="preserve">The government of Bangladesh is committed to ensure 100% enrolment of children in primary schools. With this view, PEDP-lll has taken “Mainstreaming Gender &amp; Inclusive Education Action Plan” in which gender issues, children with ethnic minority groups, children with disabilities and children from marginalized families are addressed to ensure access and participation in education.  </w:t>
      </w:r>
    </w:p>
    <w:p w:rsidR="00A61F5E" w:rsidRPr="005F120D" w:rsidRDefault="00A61F5E" w:rsidP="00A61F5E">
      <w:pPr>
        <w:spacing w:before="120" w:after="120" w:line="276" w:lineRule="auto"/>
        <w:jc w:val="both"/>
        <w:rPr>
          <w:rFonts w:asciiTheme="minorHAnsi" w:hAnsiTheme="minorHAnsi" w:cstheme="minorHAnsi"/>
          <w:b/>
          <w:color w:val="0000FF"/>
          <w:szCs w:val="22"/>
        </w:rPr>
      </w:pPr>
      <w:r w:rsidRPr="005F120D">
        <w:rPr>
          <w:rFonts w:asciiTheme="minorHAnsi" w:hAnsiTheme="minorHAnsi" w:cstheme="minorHAnsi"/>
          <w:b/>
          <w:color w:val="0000FF"/>
          <w:szCs w:val="22"/>
        </w:rPr>
        <w:t>Background</w:t>
      </w:r>
    </w:p>
    <w:p w:rsidR="00A61F5E" w:rsidRPr="005F120D" w:rsidRDefault="00A61F5E" w:rsidP="00A61F5E">
      <w:pPr>
        <w:spacing w:line="276" w:lineRule="auto"/>
        <w:jc w:val="both"/>
        <w:rPr>
          <w:rFonts w:asciiTheme="minorHAnsi" w:hAnsiTheme="minorHAnsi" w:cstheme="minorHAnsi"/>
          <w:szCs w:val="22"/>
        </w:rPr>
      </w:pPr>
      <w:r w:rsidRPr="005F120D">
        <w:rPr>
          <w:rFonts w:asciiTheme="minorHAnsi" w:hAnsiTheme="minorHAnsi" w:cstheme="minorHAnsi"/>
          <w:szCs w:val="22"/>
        </w:rPr>
        <w:t>Teachers</w:t>
      </w:r>
      <w:r>
        <w:rPr>
          <w:rFonts w:asciiTheme="minorHAnsi" w:hAnsiTheme="minorHAnsi" w:cstheme="minorHAnsi"/>
          <w:szCs w:val="22"/>
        </w:rPr>
        <w:t xml:space="preserve">’ role is vital for improving the teaching-learning environment in classroom but it needs the participation and supports of others in the community. </w:t>
      </w:r>
      <w:r w:rsidRPr="005F120D">
        <w:rPr>
          <w:rFonts w:asciiTheme="minorHAnsi" w:hAnsiTheme="minorHAnsi" w:cstheme="minorHAnsi"/>
          <w:szCs w:val="22"/>
        </w:rPr>
        <w:t>School authorities, both in-school and representative of the wider community through the School Management Committee, do their best to provide children with a basic education.  The Government, for its part, builds schools, trains and pays teachers, and provides grants, stipends, free textbooks and materials, and covers the cost of school management committees and district and</w:t>
      </w:r>
      <w:r>
        <w:rPr>
          <w:rFonts w:asciiTheme="minorHAnsi" w:hAnsiTheme="minorHAnsi" w:cstheme="minorHAnsi"/>
          <w:szCs w:val="22"/>
        </w:rPr>
        <w:t xml:space="preserve"> central education authorities. </w:t>
      </w:r>
      <w:r w:rsidRPr="005F120D">
        <w:rPr>
          <w:rFonts w:asciiTheme="minorHAnsi" w:hAnsiTheme="minorHAnsi" w:cstheme="minorHAnsi"/>
          <w:szCs w:val="22"/>
        </w:rPr>
        <w:t xml:space="preserve">The following diagram shows the school with its students and teachers, and the different authorities that support it.  </w:t>
      </w:r>
    </w:p>
    <w:p w:rsidR="00A61F5E" w:rsidRPr="005F120D" w:rsidRDefault="00A61F5E" w:rsidP="00A61F5E">
      <w:pPr>
        <w:spacing w:line="276" w:lineRule="auto"/>
        <w:jc w:val="center"/>
        <w:rPr>
          <w:rFonts w:asciiTheme="minorHAnsi" w:hAnsiTheme="minorHAnsi" w:cstheme="minorHAnsi"/>
          <w:szCs w:val="22"/>
        </w:rPr>
      </w:pPr>
      <w:r w:rsidRPr="005F120D">
        <w:rPr>
          <w:rFonts w:asciiTheme="minorHAnsi" w:hAnsiTheme="minorHAnsi" w:cstheme="minorHAnsi"/>
          <w:b/>
          <w:szCs w:val="22"/>
        </w:rPr>
        <w:t>The School and its Inter-related Components</w:t>
      </w:r>
    </w:p>
    <w:p w:rsidR="00A61F5E" w:rsidRPr="005F120D" w:rsidRDefault="00A61F5E" w:rsidP="00A61F5E">
      <w:pPr>
        <w:spacing w:line="276" w:lineRule="auto"/>
        <w:jc w:val="both"/>
        <w:rPr>
          <w:rFonts w:asciiTheme="minorHAnsi" w:hAnsiTheme="minorHAnsi" w:cstheme="minorHAnsi"/>
          <w:szCs w:val="22"/>
        </w:rPr>
      </w:pPr>
      <w:r w:rsidRPr="005F120D">
        <w:rPr>
          <w:rFonts w:asciiTheme="minorHAnsi" w:hAnsiTheme="minorHAnsi" w:cstheme="minorHAnsi"/>
          <w:noProof/>
          <w:szCs w:val="22"/>
          <w:lang w:eastAsia="en-US"/>
        </w:rPr>
        <w:drawing>
          <wp:inline distT="0" distB="0" distL="0" distR="0">
            <wp:extent cx="5600700" cy="3117850"/>
            <wp:effectExtent l="0" t="19050" r="0" b="25400"/>
            <wp:docPr id="11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A61F5E" w:rsidRPr="005F120D" w:rsidRDefault="00A61F5E" w:rsidP="00A61F5E">
      <w:pPr>
        <w:spacing w:line="276" w:lineRule="auto"/>
        <w:jc w:val="both"/>
        <w:rPr>
          <w:rFonts w:asciiTheme="minorHAnsi" w:hAnsiTheme="minorHAnsi" w:cstheme="minorHAnsi"/>
          <w:szCs w:val="22"/>
        </w:rPr>
      </w:pPr>
      <w:r w:rsidRPr="005F120D">
        <w:rPr>
          <w:rFonts w:asciiTheme="minorHAnsi" w:hAnsiTheme="minorHAnsi" w:cstheme="minorHAnsi"/>
          <w:szCs w:val="22"/>
        </w:rPr>
        <w:t xml:space="preserve">It is obvious that children and their learning are part of a layered educational and societal structure, within which, different people/organizations have, to a different extent, individual roles to play.  The </w:t>
      </w:r>
      <w:r w:rsidRPr="005F120D">
        <w:rPr>
          <w:rFonts w:asciiTheme="minorHAnsi" w:hAnsiTheme="minorHAnsi" w:cstheme="minorHAnsi"/>
          <w:szCs w:val="22"/>
        </w:rPr>
        <w:lastRenderedPageBreak/>
        <w:t xml:space="preserve">diagram shows the various actors involved in creating, implementing and maintaining a learning climate for </w:t>
      </w:r>
      <w:r>
        <w:rPr>
          <w:rFonts w:asciiTheme="minorHAnsi" w:hAnsiTheme="minorHAnsi" w:cstheme="minorHAnsi"/>
          <w:szCs w:val="22"/>
        </w:rPr>
        <w:t>the children.</w:t>
      </w:r>
    </w:p>
    <w:p w:rsidR="00A61F5E" w:rsidRPr="005F120D" w:rsidRDefault="00A61F5E" w:rsidP="00A61F5E">
      <w:pPr>
        <w:spacing w:before="120" w:after="120" w:line="276" w:lineRule="auto"/>
        <w:jc w:val="both"/>
        <w:rPr>
          <w:rFonts w:asciiTheme="minorHAnsi" w:hAnsiTheme="minorHAnsi" w:cstheme="minorHAnsi"/>
          <w:szCs w:val="22"/>
        </w:rPr>
      </w:pPr>
      <w:r w:rsidRPr="005F120D">
        <w:rPr>
          <w:rFonts w:asciiTheme="minorHAnsi" w:hAnsiTheme="minorHAnsi" w:cstheme="minorHAnsi"/>
          <w:szCs w:val="22"/>
        </w:rPr>
        <w:t>The above diagram resembles an onion:  one peels it back, layer by layer.  Starting at the outer layer:</w:t>
      </w:r>
    </w:p>
    <w:p w:rsidR="00A61F5E" w:rsidRPr="005F120D" w:rsidRDefault="00A61F5E" w:rsidP="00A61F5E">
      <w:pPr>
        <w:numPr>
          <w:ilvl w:val="0"/>
          <w:numId w:val="120"/>
        </w:numPr>
        <w:spacing w:after="0"/>
        <w:jc w:val="both"/>
        <w:rPr>
          <w:rFonts w:asciiTheme="minorHAnsi" w:hAnsiTheme="minorHAnsi" w:cstheme="minorHAnsi"/>
          <w:szCs w:val="22"/>
        </w:rPr>
      </w:pPr>
      <w:r w:rsidRPr="005F120D">
        <w:rPr>
          <w:rFonts w:asciiTheme="minorHAnsi" w:hAnsiTheme="minorHAnsi" w:cstheme="minorHAnsi"/>
          <w:szCs w:val="22"/>
        </w:rPr>
        <w:t>The initial involvement is that of the Government’s representatives who, at district and Upazila levels are responsible for carrying out the central authority’s policies, regulations, decisions regarding schools.</w:t>
      </w:r>
    </w:p>
    <w:p w:rsidR="00A61F5E" w:rsidRPr="005F120D" w:rsidRDefault="00A61F5E" w:rsidP="00A61F5E">
      <w:pPr>
        <w:numPr>
          <w:ilvl w:val="0"/>
          <w:numId w:val="120"/>
        </w:numPr>
        <w:spacing w:after="0"/>
        <w:jc w:val="both"/>
        <w:rPr>
          <w:rFonts w:asciiTheme="minorHAnsi" w:hAnsiTheme="minorHAnsi" w:cstheme="minorHAnsi"/>
          <w:szCs w:val="22"/>
        </w:rPr>
      </w:pPr>
      <w:r w:rsidRPr="005F120D">
        <w:rPr>
          <w:rFonts w:asciiTheme="minorHAnsi" w:hAnsiTheme="minorHAnsi" w:cstheme="minorHAnsi"/>
          <w:szCs w:val="22"/>
        </w:rPr>
        <w:t xml:space="preserve">The local school community is formally involved in the overall administration of the individual community’s primary schools, through the School Management Community (SMC), which is representative of local leaders, parents, teachers, and the Head Teacher who acts as Secretary.  </w:t>
      </w:r>
    </w:p>
    <w:p w:rsidR="00A61F5E" w:rsidRPr="005F120D" w:rsidRDefault="00A61F5E" w:rsidP="00A61F5E">
      <w:pPr>
        <w:numPr>
          <w:ilvl w:val="0"/>
          <w:numId w:val="120"/>
        </w:numPr>
        <w:spacing w:after="0"/>
        <w:jc w:val="both"/>
        <w:rPr>
          <w:rFonts w:asciiTheme="minorHAnsi" w:hAnsiTheme="minorHAnsi" w:cstheme="minorHAnsi"/>
          <w:szCs w:val="22"/>
        </w:rPr>
      </w:pPr>
      <w:r w:rsidRPr="005F120D">
        <w:rPr>
          <w:rFonts w:asciiTheme="minorHAnsi" w:hAnsiTheme="minorHAnsi" w:cstheme="minorHAnsi"/>
          <w:szCs w:val="22"/>
        </w:rPr>
        <w:t>Teachers are perhaps the most visible and critical education providers of the school community.  They promote the learning and teaching environment and teach the children. They communicate with the external community through representative membership in the SMC. The Head Teacher is responsible for managing the school.</w:t>
      </w:r>
    </w:p>
    <w:p w:rsidR="00A61F5E" w:rsidRPr="005F120D" w:rsidRDefault="00A61F5E" w:rsidP="00A61F5E">
      <w:pPr>
        <w:numPr>
          <w:ilvl w:val="0"/>
          <w:numId w:val="120"/>
        </w:numPr>
        <w:spacing w:after="0"/>
        <w:jc w:val="both"/>
        <w:rPr>
          <w:rFonts w:asciiTheme="minorHAnsi" w:hAnsiTheme="minorHAnsi" w:cstheme="minorHAnsi"/>
          <w:szCs w:val="22"/>
        </w:rPr>
      </w:pPr>
      <w:r w:rsidRPr="005F120D">
        <w:rPr>
          <w:rFonts w:asciiTheme="minorHAnsi" w:hAnsiTheme="minorHAnsi" w:cstheme="minorHAnsi"/>
          <w:szCs w:val="22"/>
        </w:rPr>
        <w:t>The school, through the Head Teacher, provides the environment that exemplifies the nation’s culture and enables teachers to deliver the Government’s required curriculum and testing systems.</w:t>
      </w:r>
    </w:p>
    <w:p w:rsidR="00A61F5E" w:rsidRPr="005F120D" w:rsidRDefault="00A61F5E" w:rsidP="00A61F5E">
      <w:pPr>
        <w:numPr>
          <w:ilvl w:val="0"/>
          <w:numId w:val="120"/>
        </w:numPr>
        <w:spacing w:after="0"/>
        <w:jc w:val="both"/>
        <w:rPr>
          <w:rFonts w:asciiTheme="minorHAnsi" w:hAnsiTheme="minorHAnsi" w:cstheme="minorHAnsi"/>
          <w:szCs w:val="22"/>
        </w:rPr>
      </w:pPr>
      <w:r w:rsidRPr="005F120D">
        <w:rPr>
          <w:rFonts w:asciiTheme="minorHAnsi" w:hAnsiTheme="minorHAnsi" w:cstheme="minorHAnsi"/>
          <w:szCs w:val="22"/>
        </w:rPr>
        <w:t>Parents are probably the least visible and the least involved in the school, which their children attend. While there is a The Parent-Teacher Association in many schools to discuss student related learning issues, the PTA, by its structure, involves a small representative group of parents.</w:t>
      </w:r>
    </w:p>
    <w:p w:rsidR="00A61F5E" w:rsidRPr="00B4704B" w:rsidRDefault="00A61F5E" w:rsidP="00B4704B">
      <w:pPr>
        <w:numPr>
          <w:ilvl w:val="0"/>
          <w:numId w:val="120"/>
        </w:numPr>
        <w:spacing w:after="0"/>
        <w:jc w:val="both"/>
        <w:rPr>
          <w:rFonts w:asciiTheme="minorHAnsi" w:hAnsiTheme="minorHAnsi" w:cstheme="minorHAnsi"/>
          <w:szCs w:val="22"/>
        </w:rPr>
      </w:pPr>
      <w:r w:rsidRPr="005F120D">
        <w:rPr>
          <w:rFonts w:asciiTheme="minorHAnsi" w:hAnsiTheme="minorHAnsi" w:cstheme="minorHAnsi"/>
          <w:szCs w:val="22"/>
        </w:rPr>
        <w:t>Pupils are the centre of the school’s universe.  They are in school to receive an education that will enable them to lead fruitful lives and to contribute to the prosperity of the country. They require the support of all the inter-locking communities to succeed.</w:t>
      </w:r>
    </w:p>
    <w:p w:rsidR="00A61F5E" w:rsidRPr="005F120D" w:rsidRDefault="00A61F5E" w:rsidP="00A61F5E">
      <w:pPr>
        <w:spacing w:before="120" w:after="120" w:line="276" w:lineRule="auto"/>
        <w:jc w:val="both"/>
        <w:rPr>
          <w:rFonts w:asciiTheme="minorHAnsi" w:hAnsiTheme="minorHAnsi" w:cstheme="minorHAnsi"/>
          <w:b/>
          <w:color w:val="0000FF"/>
          <w:szCs w:val="22"/>
        </w:rPr>
      </w:pPr>
      <w:r w:rsidRPr="005F120D">
        <w:rPr>
          <w:rFonts w:asciiTheme="minorHAnsi" w:hAnsiTheme="minorHAnsi" w:cstheme="minorHAnsi"/>
          <w:b/>
          <w:color w:val="0000FF"/>
          <w:szCs w:val="22"/>
        </w:rPr>
        <w:t>Communication and Interaction between Groups</w:t>
      </w:r>
    </w:p>
    <w:p w:rsidR="00A61F5E" w:rsidRPr="005F120D" w:rsidRDefault="00A61F5E" w:rsidP="00A61F5E">
      <w:pPr>
        <w:spacing w:before="120" w:after="120" w:line="276" w:lineRule="auto"/>
        <w:jc w:val="both"/>
        <w:rPr>
          <w:rFonts w:asciiTheme="minorHAnsi" w:hAnsiTheme="minorHAnsi" w:cstheme="minorHAnsi"/>
          <w:szCs w:val="22"/>
        </w:rPr>
      </w:pPr>
      <w:r w:rsidRPr="005F120D">
        <w:rPr>
          <w:rFonts w:asciiTheme="minorHAnsi" w:hAnsiTheme="minorHAnsi" w:cstheme="minorHAnsi"/>
          <w:szCs w:val="22"/>
        </w:rPr>
        <w:t xml:space="preserve">Do all five groups/individuals work together to promote the best learning environment for the individual school’s pupils? </w:t>
      </w:r>
    </w:p>
    <w:p w:rsidR="00A61F5E" w:rsidRPr="005F120D" w:rsidRDefault="00A61F5E" w:rsidP="00A61F5E">
      <w:pPr>
        <w:spacing w:before="120" w:after="120" w:line="276" w:lineRule="auto"/>
        <w:jc w:val="both"/>
        <w:rPr>
          <w:rFonts w:asciiTheme="minorHAnsi" w:hAnsiTheme="minorHAnsi" w:cstheme="minorHAnsi"/>
          <w:szCs w:val="22"/>
        </w:rPr>
      </w:pPr>
      <w:r w:rsidRPr="005F120D">
        <w:rPr>
          <w:rFonts w:asciiTheme="minorHAnsi" w:hAnsiTheme="minorHAnsi" w:cstheme="minorHAnsi"/>
          <w:szCs w:val="22"/>
        </w:rPr>
        <w:t>Technically yes:  formal structures have been put in place by the Government’s relevant education bodies.  For example, at the school-overview level, the SMC’s is responsible for the school’s overall administration, and to solve school-related issues and to supervise the development of the school’s annual instructional plan.  The Parent Teachers Association (PTA) is represented on the SMC, and brings together parents and teachers to discuss and help solve teaching and learning issues that are of importance to parents, pupils and teachers.  Unfortunately, these two groups involve very few representatives of their respective communities – teachers, community members, parents, district and local education supervisors.</w:t>
      </w:r>
    </w:p>
    <w:p w:rsidR="00A61F5E" w:rsidRPr="005F120D" w:rsidRDefault="00A61F5E" w:rsidP="00A61F5E">
      <w:pPr>
        <w:spacing w:before="120" w:after="120" w:line="276" w:lineRule="auto"/>
        <w:jc w:val="both"/>
        <w:rPr>
          <w:rFonts w:asciiTheme="minorHAnsi" w:hAnsiTheme="minorHAnsi" w:cstheme="minorHAnsi"/>
          <w:b/>
          <w:color w:val="0000FF"/>
          <w:szCs w:val="22"/>
        </w:rPr>
      </w:pPr>
      <w:r w:rsidRPr="005F120D">
        <w:rPr>
          <w:rFonts w:asciiTheme="minorHAnsi" w:hAnsiTheme="minorHAnsi" w:cstheme="minorHAnsi"/>
          <w:b/>
          <w:color w:val="0000FF"/>
          <w:szCs w:val="22"/>
        </w:rPr>
        <w:t>Involvement of Local Community</w:t>
      </w:r>
      <w:r w:rsidR="0085340D">
        <w:rPr>
          <w:rFonts w:asciiTheme="minorHAnsi" w:hAnsiTheme="minorHAnsi" w:cstheme="minorHAnsi"/>
          <w:b/>
          <w:color w:val="0000FF"/>
          <w:szCs w:val="22"/>
        </w:rPr>
        <w:t xml:space="preserve"> </w:t>
      </w:r>
      <w:r>
        <w:rPr>
          <w:rFonts w:asciiTheme="minorHAnsi" w:hAnsiTheme="minorHAnsi" w:cstheme="minorHAnsi"/>
          <w:b/>
          <w:color w:val="0000FF"/>
          <w:szCs w:val="22"/>
        </w:rPr>
        <w:t xml:space="preserve">with </w:t>
      </w:r>
      <w:r w:rsidRPr="005F120D">
        <w:rPr>
          <w:rFonts w:asciiTheme="minorHAnsi" w:hAnsiTheme="minorHAnsi" w:cstheme="minorHAnsi"/>
          <w:b/>
          <w:color w:val="0000FF"/>
          <w:szCs w:val="22"/>
        </w:rPr>
        <w:t>SMC</w:t>
      </w:r>
      <w:r w:rsidR="0085340D">
        <w:rPr>
          <w:rFonts w:asciiTheme="minorHAnsi" w:hAnsiTheme="minorHAnsi" w:cstheme="minorHAnsi"/>
          <w:b/>
          <w:color w:val="0000FF"/>
          <w:szCs w:val="22"/>
        </w:rPr>
        <w:t xml:space="preserve"> </w:t>
      </w:r>
      <w:r>
        <w:rPr>
          <w:rFonts w:asciiTheme="minorHAnsi" w:hAnsiTheme="minorHAnsi" w:cstheme="minorHAnsi"/>
          <w:b/>
          <w:color w:val="0000FF"/>
          <w:szCs w:val="22"/>
        </w:rPr>
        <w:t>for School development</w:t>
      </w:r>
    </w:p>
    <w:p w:rsidR="00A61F5E" w:rsidRPr="005F120D" w:rsidRDefault="00A61F5E" w:rsidP="00A61F5E">
      <w:pPr>
        <w:spacing w:before="120" w:after="120" w:line="276" w:lineRule="auto"/>
        <w:jc w:val="both"/>
        <w:rPr>
          <w:rFonts w:asciiTheme="minorHAnsi" w:hAnsiTheme="minorHAnsi" w:cstheme="minorHAnsi"/>
          <w:szCs w:val="22"/>
        </w:rPr>
      </w:pPr>
      <w:r w:rsidRPr="005F120D">
        <w:rPr>
          <w:rFonts w:asciiTheme="minorHAnsi" w:hAnsiTheme="minorHAnsi" w:cstheme="minorHAnsi"/>
          <w:szCs w:val="22"/>
        </w:rPr>
        <w:t xml:space="preserve">The SMC has a small number of members from the local community including parents.  The involvement </w:t>
      </w:r>
      <w:r>
        <w:rPr>
          <w:rFonts w:asciiTheme="minorHAnsi" w:hAnsiTheme="minorHAnsi" w:cstheme="minorHAnsi"/>
          <w:szCs w:val="22"/>
        </w:rPr>
        <w:t>of local</w:t>
      </w:r>
      <w:r w:rsidRPr="005F120D">
        <w:rPr>
          <w:rFonts w:asciiTheme="minorHAnsi" w:hAnsiTheme="minorHAnsi" w:cstheme="minorHAnsi"/>
          <w:szCs w:val="22"/>
        </w:rPr>
        <w:t xml:space="preserve"> community could be of great benefit to the school in many ways</w:t>
      </w:r>
      <w:r>
        <w:rPr>
          <w:rFonts w:asciiTheme="minorHAnsi" w:hAnsiTheme="minorHAnsi" w:cstheme="minorHAnsi"/>
          <w:szCs w:val="22"/>
        </w:rPr>
        <w:t>, such as, they can help in volunteering school activitie</w:t>
      </w:r>
      <w:r w:rsidR="0085340D">
        <w:rPr>
          <w:rFonts w:asciiTheme="minorHAnsi" w:hAnsiTheme="minorHAnsi" w:cstheme="minorHAnsi"/>
          <w:szCs w:val="22"/>
        </w:rPr>
        <w:t>s like games, cultural program</w:t>
      </w:r>
      <w:r>
        <w:rPr>
          <w:rFonts w:asciiTheme="minorHAnsi" w:hAnsiTheme="minorHAnsi" w:cstheme="minorHAnsi"/>
          <w:szCs w:val="22"/>
        </w:rPr>
        <w:t>s, helping in small repairing, provide fund for mid-day meals, etc.</w:t>
      </w:r>
    </w:p>
    <w:p w:rsidR="00A61F5E" w:rsidRPr="005F120D" w:rsidRDefault="00A61F5E" w:rsidP="00A61F5E">
      <w:pPr>
        <w:spacing w:line="276" w:lineRule="auto"/>
        <w:jc w:val="both"/>
        <w:rPr>
          <w:rFonts w:asciiTheme="minorHAnsi" w:hAnsiTheme="minorHAnsi" w:cstheme="minorHAnsi"/>
          <w:szCs w:val="22"/>
        </w:rPr>
      </w:pPr>
      <w:r w:rsidRPr="005F120D">
        <w:rPr>
          <w:rFonts w:asciiTheme="minorHAnsi" w:hAnsiTheme="minorHAnsi" w:cstheme="minorHAnsi"/>
          <w:szCs w:val="22"/>
        </w:rPr>
        <w:t xml:space="preserve">Such community services would benefit both the school and add to the wellbeing, health, and confidence of students.  While the SMC could initiate this community involvement, it would require a formal set of procedures and structures to be put in place, so that volunteers could feel </w:t>
      </w:r>
      <w:r w:rsidRPr="005F120D">
        <w:rPr>
          <w:rFonts w:asciiTheme="minorHAnsi" w:hAnsiTheme="minorHAnsi" w:cstheme="minorHAnsi"/>
          <w:szCs w:val="22"/>
        </w:rPr>
        <w:lastRenderedPageBreak/>
        <w:t>comfortable with workin</w:t>
      </w:r>
      <w:r>
        <w:rPr>
          <w:rFonts w:asciiTheme="minorHAnsi" w:hAnsiTheme="minorHAnsi" w:cstheme="minorHAnsi"/>
          <w:szCs w:val="22"/>
        </w:rPr>
        <w:t>g and collaborating with the SMCs</w:t>
      </w:r>
      <w:r w:rsidRPr="005F120D">
        <w:rPr>
          <w:rFonts w:asciiTheme="minorHAnsi" w:hAnsiTheme="minorHAnsi" w:cstheme="minorHAnsi"/>
          <w:szCs w:val="22"/>
        </w:rPr>
        <w:t>, teachers, parents, and students.  Such a formal structure would need to be approved and finalized by the DPE.</w:t>
      </w:r>
    </w:p>
    <w:p w:rsidR="00A61F5E" w:rsidRPr="005F120D" w:rsidRDefault="00A61F5E" w:rsidP="00A61F5E">
      <w:pPr>
        <w:spacing w:before="120" w:after="120" w:line="276" w:lineRule="auto"/>
        <w:jc w:val="both"/>
        <w:rPr>
          <w:rFonts w:asciiTheme="minorHAnsi" w:hAnsiTheme="minorHAnsi" w:cstheme="minorHAnsi"/>
          <w:color w:val="3333FF"/>
          <w:szCs w:val="22"/>
        </w:rPr>
      </w:pPr>
      <w:r w:rsidRPr="005F120D">
        <w:rPr>
          <w:rFonts w:asciiTheme="minorHAnsi" w:hAnsiTheme="minorHAnsi" w:cstheme="minorHAnsi"/>
          <w:b/>
          <w:color w:val="3333FF"/>
          <w:szCs w:val="22"/>
        </w:rPr>
        <w:t>Informal Communication with the Parents of Students in the Local School</w:t>
      </w:r>
    </w:p>
    <w:p w:rsidR="00A61F5E" w:rsidRPr="005F120D" w:rsidRDefault="0085340D" w:rsidP="00A61F5E">
      <w:pPr>
        <w:spacing w:before="120" w:after="120" w:line="276" w:lineRule="auto"/>
        <w:jc w:val="both"/>
        <w:rPr>
          <w:rFonts w:asciiTheme="minorHAnsi" w:hAnsiTheme="minorHAnsi" w:cstheme="minorHAnsi"/>
          <w:szCs w:val="22"/>
        </w:rPr>
      </w:pPr>
      <w:r w:rsidRPr="0085340D">
        <w:rPr>
          <w:rFonts w:asciiTheme="minorHAnsi" w:hAnsiTheme="minorHAnsi" w:cstheme="minorHAnsi"/>
          <w:szCs w:val="22"/>
        </w:rPr>
        <w:t>World-wide</w:t>
      </w:r>
      <w:r w:rsidR="00A61F5E" w:rsidRPr="0085340D">
        <w:rPr>
          <w:rFonts w:asciiTheme="minorHAnsi" w:hAnsiTheme="minorHAnsi" w:cstheme="minorHAnsi"/>
          <w:szCs w:val="22"/>
        </w:rPr>
        <w:t xml:space="preserve"> </w:t>
      </w:r>
      <w:r w:rsidRPr="0085340D">
        <w:rPr>
          <w:rFonts w:asciiTheme="minorHAnsi" w:hAnsiTheme="minorHAnsi" w:cstheme="minorHAnsi"/>
          <w:szCs w:val="22"/>
        </w:rPr>
        <w:t xml:space="preserve">research </w:t>
      </w:r>
      <w:r w:rsidR="00A61F5E" w:rsidRPr="0085340D">
        <w:rPr>
          <w:rFonts w:asciiTheme="minorHAnsi" w:hAnsiTheme="minorHAnsi" w:cstheme="minorHAnsi"/>
          <w:szCs w:val="22"/>
        </w:rPr>
        <w:t>has shown that the interest and involvement of parents in the education of their children has a positive</w:t>
      </w:r>
      <w:r w:rsidR="00A61F5E" w:rsidRPr="005F120D">
        <w:rPr>
          <w:rFonts w:asciiTheme="minorHAnsi" w:hAnsiTheme="minorHAnsi" w:cstheme="minorHAnsi"/>
          <w:szCs w:val="22"/>
        </w:rPr>
        <w:t xml:space="preserve"> effect on teaching and learning.  When parents are involved, children do better; their attendance improves; their school work is taken more seriously; and their success rate is higher.  In poor areas, both rural and urban, many parents have never been to school.  Consequently, they know little about what’s important about their children’s education, and they are very reluctant to talk to teachers or enter the school.   </w:t>
      </w:r>
    </w:p>
    <w:p w:rsidR="00A61F5E" w:rsidRPr="005F120D" w:rsidRDefault="00A61F5E" w:rsidP="00A61F5E">
      <w:pPr>
        <w:spacing w:before="120" w:after="120" w:line="276" w:lineRule="auto"/>
        <w:jc w:val="both"/>
        <w:rPr>
          <w:rFonts w:asciiTheme="minorHAnsi" w:hAnsiTheme="minorHAnsi" w:cstheme="minorHAnsi"/>
          <w:szCs w:val="22"/>
        </w:rPr>
      </w:pPr>
      <w:r>
        <w:rPr>
          <w:rFonts w:asciiTheme="minorHAnsi" w:hAnsiTheme="minorHAnsi" w:cstheme="minorHAnsi"/>
          <w:szCs w:val="22"/>
        </w:rPr>
        <w:t xml:space="preserve">The Government has taken a communication strategy where there is a scope to establish a rapport with the local community and the school management which contribute quality of education of children in different ways. There are </w:t>
      </w:r>
      <w:r w:rsidRPr="005F120D">
        <w:rPr>
          <w:rFonts w:asciiTheme="minorHAnsi" w:hAnsiTheme="minorHAnsi" w:cstheme="minorHAnsi"/>
          <w:szCs w:val="22"/>
        </w:rPr>
        <w:t xml:space="preserve">many </w:t>
      </w:r>
      <w:r>
        <w:rPr>
          <w:rFonts w:asciiTheme="minorHAnsi" w:hAnsiTheme="minorHAnsi" w:cstheme="minorHAnsi"/>
          <w:szCs w:val="22"/>
        </w:rPr>
        <w:t>ways of helping the</w:t>
      </w:r>
      <w:r w:rsidRPr="005F120D">
        <w:rPr>
          <w:rFonts w:asciiTheme="minorHAnsi" w:hAnsiTheme="minorHAnsi" w:cstheme="minorHAnsi"/>
          <w:szCs w:val="22"/>
        </w:rPr>
        <w:t xml:space="preserve"> parents/guardians</w:t>
      </w:r>
      <w:r>
        <w:rPr>
          <w:rFonts w:asciiTheme="minorHAnsi" w:hAnsiTheme="minorHAnsi" w:cstheme="minorHAnsi"/>
          <w:szCs w:val="22"/>
        </w:rPr>
        <w:t>.</w:t>
      </w:r>
      <w:r w:rsidRPr="005F120D">
        <w:rPr>
          <w:rFonts w:asciiTheme="minorHAnsi" w:hAnsiTheme="minorHAnsi" w:cstheme="minorHAnsi"/>
          <w:szCs w:val="22"/>
        </w:rPr>
        <w:t xml:space="preserve"> The SMC, for example, in collaboration with the Head and the teachers, could do some simple things such as inviting parents – particularly mothers - to special events at regular intervals, when they would be ab</w:t>
      </w:r>
      <w:r>
        <w:rPr>
          <w:rFonts w:asciiTheme="minorHAnsi" w:hAnsiTheme="minorHAnsi" w:cstheme="minorHAnsi"/>
          <w:szCs w:val="22"/>
        </w:rPr>
        <w:t>le to meet and talk to teachers and can watch their activities.</w:t>
      </w:r>
    </w:p>
    <w:p w:rsidR="00EA7313" w:rsidRDefault="00EA7313" w:rsidP="00EA7313">
      <w:pPr>
        <w:pStyle w:val="Heading1NONUM"/>
        <w:spacing w:before="120" w:after="120"/>
        <w:rPr>
          <w:rFonts w:cstheme="minorHAnsi"/>
          <w:color w:val="008000"/>
        </w:rPr>
        <w:sectPr w:rsidR="00EA7313" w:rsidSect="00EA7313">
          <w:pgSz w:w="11909" w:h="16834" w:code="9"/>
          <w:pgMar w:top="1440" w:right="1440" w:bottom="1440" w:left="1440" w:header="720" w:footer="720" w:gutter="0"/>
          <w:cols w:space="720"/>
          <w:docGrid w:linePitch="360"/>
        </w:sectPr>
      </w:pPr>
    </w:p>
    <w:p w:rsidR="00C849F0" w:rsidRPr="00EA7313" w:rsidRDefault="00EA7313" w:rsidP="00EA7313">
      <w:pPr>
        <w:pStyle w:val="Heading1NONUM"/>
        <w:spacing w:before="120" w:after="120"/>
        <w:rPr>
          <w:rFonts w:cstheme="minorHAnsi"/>
          <w:color w:val="008000"/>
        </w:rPr>
      </w:pPr>
      <w:bookmarkStart w:id="669" w:name="_Toc462837214"/>
      <w:r>
        <w:rPr>
          <w:rFonts w:cstheme="minorHAnsi"/>
          <w:color w:val="008000"/>
        </w:rPr>
        <w:lastRenderedPageBreak/>
        <w:t>Annex I</w:t>
      </w:r>
      <w:r w:rsidRPr="005F120D">
        <w:rPr>
          <w:rFonts w:cstheme="minorHAnsi"/>
          <w:color w:val="008000"/>
        </w:rPr>
        <w:t>.</w:t>
      </w:r>
      <w:r>
        <w:rPr>
          <w:rFonts w:cstheme="minorHAnsi"/>
          <w:color w:val="008000"/>
        </w:rPr>
        <w:t xml:space="preserve"> </w:t>
      </w:r>
      <w:r w:rsidR="00C849F0" w:rsidRPr="00F16B70">
        <w:rPr>
          <w:color w:val="008000"/>
        </w:rPr>
        <w:t>CDIP Intervention: in Primary Education Sector to Support for Disadvantaged First Generation Learners in Rural Areas</w:t>
      </w:r>
      <w:bookmarkEnd w:id="669"/>
    </w:p>
    <w:p w:rsidR="00C849F0" w:rsidRPr="00A33EF9" w:rsidRDefault="00C849F0" w:rsidP="00C849F0">
      <w:pPr>
        <w:spacing w:after="120"/>
        <w:jc w:val="both"/>
        <w:rPr>
          <w:rFonts w:asciiTheme="minorHAnsi" w:hAnsiTheme="minorHAnsi" w:cstheme="minorHAnsi"/>
          <w:sz w:val="20"/>
        </w:rPr>
      </w:pPr>
      <w:r w:rsidRPr="00A33EF9">
        <w:rPr>
          <w:rFonts w:asciiTheme="minorHAnsi" w:hAnsiTheme="minorHAnsi" w:cstheme="minorHAnsi"/>
          <w:sz w:val="20"/>
        </w:rPr>
        <w:t xml:space="preserve">Education is a basic right of every child in Bangladesh according to its Constitution. The Government is committed to providing all children with a quality primary education, removing gender disparity, and providing every child with the support to complete Primary Education. </w:t>
      </w:r>
    </w:p>
    <w:p w:rsidR="00C849F0" w:rsidRPr="00A33EF9" w:rsidRDefault="00C849F0" w:rsidP="00C849F0">
      <w:pPr>
        <w:pStyle w:val="ListParagraph"/>
        <w:numPr>
          <w:ilvl w:val="0"/>
          <w:numId w:val="137"/>
        </w:numPr>
        <w:spacing w:after="120"/>
        <w:jc w:val="both"/>
        <w:rPr>
          <w:rFonts w:asciiTheme="minorHAnsi" w:hAnsiTheme="minorHAnsi" w:cstheme="minorHAnsi"/>
          <w:sz w:val="20"/>
          <w:szCs w:val="20"/>
        </w:rPr>
      </w:pPr>
      <w:r w:rsidRPr="00A33EF9">
        <w:rPr>
          <w:rFonts w:asciiTheme="minorHAnsi" w:hAnsiTheme="minorHAnsi" w:cstheme="minorHAnsi"/>
          <w:b/>
          <w:sz w:val="20"/>
          <w:szCs w:val="20"/>
        </w:rPr>
        <w:t>Background</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The number of schools in our country is inadequate. So is the number of teachers, and the student-teacher ratio is higher than the recommended international one. School rooms are constantly over-crowded and teachers are seen struggling to pay adequate attention to their pupils. Classes often end before students understand the day’s lesson. To compensate, teachers assign ‘home work’ to the learners. Teachers are</w:t>
      </w:r>
      <w:r w:rsidR="0085340D">
        <w:rPr>
          <w:rFonts w:asciiTheme="minorHAnsi" w:hAnsiTheme="minorHAnsi" w:cstheme="minorHAnsi"/>
          <w:sz w:val="20"/>
        </w:rPr>
        <w:t xml:space="preserve"> </w:t>
      </w:r>
      <w:r w:rsidRPr="00A33EF9">
        <w:rPr>
          <w:rFonts w:asciiTheme="minorHAnsi" w:hAnsiTheme="minorHAnsi" w:cstheme="minorHAnsi"/>
          <w:sz w:val="20"/>
        </w:rPr>
        <w:t>pleased with those children who have done their homework and those who have failed to do so are not looked upon cordially. Such children are often ignored, end up at the back of the classroom, become dispirited, begin to skip class and this often leads to their dropping out of school. Education authorities have been at a loss to know why so many poor children were dropping out, and therefore did not know how to help Bangladesh achieve its Education For All (EFA) goals.</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In 2005, the Directorate of Primary Education hit a truth that the lack of parental support contributes to student dropout. Many poor rural parents have never been to school so often there is no one in the family to help a child read and write, and thus not able to help him/her keep up with classmates.</w:t>
      </w:r>
      <w:r w:rsidR="0085340D">
        <w:rPr>
          <w:rFonts w:asciiTheme="minorHAnsi" w:hAnsiTheme="minorHAnsi" w:cstheme="minorHAnsi"/>
          <w:sz w:val="20"/>
        </w:rPr>
        <w:t xml:space="preserve"> </w:t>
      </w:r>
      <w:r w:rsidRPr="00A33EF9">
        <w:rPr>
          <w:rFonts w:asciiTheme="minorHAnsi" w:hAnsiTheme="minorHAnsi" w:cstheme="minorHAnsi"/>
          <w:sz w:val="20"/>
        </w:rPr>
        <w:t>These children are classified as first generation learners.</w:t>
      </w:r>
    </w:p>
    <w:p w:rsidR="00C849F0" w:rsidRPr="00A33EF9" w:rsidRDefault="00C849F0" w:rsidP="00C849F0">
      <w:pPr>
        <w:pStyle w:val="Heading2"/>
        <w:keepLines/>
        <w:numPr>
          <w:ilvl w:val="1"/>
          <w:numId w:val="0"/>
        </w:numPr>
        <w:pBdr>
          <w:top w:val="none" w:sz="0" w:space="0" w:color="auto"/>
          <w:bottom w:val="none" w:sz="0" w:space="0" w:color="auto"/>
        </w:pBdr>
        <w:spacing w:before="120" w:after="120"/>
        <w:ind w:left="576" w:hanging="576"/>
        <w:rPr>
          <w:rFonts w:cstheme="minorHAnsi"/>
          <w:color w:val="auto"/>
          <w:sz w:val="20"/>
        </w:rPr>
      </w:pPr>
      <w:bookmarkStart w:id="670" w:name="_Toc455935918"/>
      <w:bookmarkStart w:id="671" w:name="_Toc462837215"/>
      <w:r w:rsidRPr="00A33EF9">
        <w:rPr>
          <w:rFonts w:cstheme="minorHAnsi"/>
          <w:color w:val="auto"/>
          <w:sz w:val="20"/>
        </w:rPr>
        <w:t>The Centre for Development, Innovation and Practices: From a Small Beginning to a National Movement</w:t>
      </w:r>
      <w:bookmarkEnd w:id="670"/>
      <w:bookmarkEnd w:id="671"/>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The Centre for Development Innovation and Practices (CDIP) was established in 1995 with the objective of developing the socio-economic condition of</w:t>
      </w:r>
      <w:r w:rsidR="0085340D">
        <w:rPr>
          <w:rFonts w:asciiTheme="minorHAnsi" w:hAnsiTheme="minorHAnsi" w:cstheme="minorHAnsi"/>
          <w:sz w:val="20"/>
        </w:rPr>
        <w:t xml:space="preserve"> </w:t>
      </w:r>
      <w:r w:rsidRPr="00A33EF9">
        <w:rPr>
          <w:rFonts w:asciiTheme="minorHAnsi" w:hAnsiTheme="minorHAnsi" w:cstheme="minorHAnsi"/>
          <w:sz w:val="20"/>
        </w:rPr>
        <w:t xml:space="preserve">village poor through providing them with financial and organizational support. CDIP realized that the people’s overall development would not improve until their education and health conditions were addressed. </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To help poor rural children to remain in school, the CDIP, at two of its branches in the Upazila of Brahmanbaria, looked for a literate village girl with at least 2 hours available to spend in preparing 20-25 children for class the following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0"/>
        <w:gridCol w:w="4255"/>
      </w:tblGrid>
      <w:tr w:rsidR="00C849F0" w:rsidRPr="00A33EF9" w:rsidTr="00C849F0">
        <w:tc>
          <w:tcPr>
            <w:tcW w:w="5058" w:type="dxa"/>
          </w:tcPr>
          <w:p w:rsidR="00C849F0" w:rsidRPr="00A33EF9" w:rsidRDefault="00C849F0" w:rsidP="00C849F0">
            <w:pPr>
              <w:spacing w:before="120" w:after="120"/>
              <w:jc w:val="both"/>
              <w:rPr>
                <w:rFonts w:asciiTheme="minorHAnsi" w:hAnsiTheme="minorHAnsi" w:cstheme="minorHAnsi"/>
                <w:sz w:val="20"/>
                <w:szCs w:val="20"/>
              </w:rPr>
            </w:pPr>
            <w:r w:rsidRPr="00A33EF9">
              <w:rPr>
                <w:rFonts w:asciiTheme="minorHAnsi" w:hAnsiTheme="minorHAnsi" w:cstheme="minorHAnsi"/>
                <w:sz w:val="20"/>
                <w:szCs w:val="20"/>
              </w:rPr>
              <w:t xml:space="preserve">To its amazement CDIP found several girls eager to do the work for a nominal honorarium. In a day, 10 Learning </w:t>
            </w:r>
            <w:r w:rsidR="00EA7313" w:rsidRPr="002E2ED5">
              <w:rPr>
                <w:rFonts w:asciiTheme="minorHAnsi" w:hAnsiTheme="minorHAnsi" w:cstheme="minorHAnsi"/>
                <w:b/>
                <w:noProof/>
                <w:sz w:val="20"/>
                <w:lang w:eastAsia="en-US"/>
              </w:rPr>
              <w:pict>
                <v:shapetype id="_x0000_t202" coordsize="21600,21600" o:spt="202" path="m,l,21600r21600,l21600,xe">
                  <v:stroke joinstyle="miter"/>
                  <v:path gradientshapeok="t" o:connecttype="rect"/>
                </v:shapetype>
                <v:shape id="Text Box 7" o:spid="_x0000_s1067" type="#_x0000_t202" alt="Description: DSC07602" style="position:absolute;left:0;text-align:left;margin-left:255.55pt;margin-top:6.8pt;width:237.5pt;height:162.35pt;z-index:251744256;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BAQAAAQEAAAEAAQAAAAAAAAAAAAAAANgAAAAA&#10;AAgAAAAIAAEAAAAAAAAAAQABAAAAbQEAAAAA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">
                  <v:fill r:id="rId83" o:title="DSC07602" recolor="t" rotate="t" type="frame"/>
                  <v:textbox>
                    <w:txbxContent>
                      <w:p w:rsidR="00704F97" w:rsidRDefault="00704F97" w:rsidP="00C849F0"/>
                    </w:txbxContent>
                  </v:textbox>
                </v:shape>
              </w:pict>
            </w:r>
            <w:r w:rsidR="0085340D" w:rsidRPr="00A33EF9">
              <w:rPr>
                <w:rFonts w:asciiTheme="minorHAnsi" w:hAnsiTheme="minorHAnsi" w:cstheme="minorHAnsi"/>
                <w:sz w:val="20"/>
                <w:szCs w:val="20"/>
              </w:rPr>
              <w:t>Centers</w:t>
            </w:r>
            <w:r w:rsidRPr="00A33EF9">
              <w:rPr>
                <w:rFonts w:asciiTheme="minorHAnsi" w:hAnsiTheme="minorHAnsi" w:cstheme="minorHAnsi"/>
                <w:sz w:val="20"/>
                <w:szCs w:val="20"/>
              </w:rPr>
              <w:t xml:space="preserve"> were opened in the villages of Salimganj and Bholachong.  Teachers had to be mentally prepared for the challenge, collect the poor children who could not get any learning support from their families and select a space where those 25 children could sit together to read and write. Word spread and an increasing number of literate girls began to come to CDIP with offers of opening such a school in their individual neighborhood. This was the humble beginning, a spark, which quickly grew into a movement, first in CDIP’s work-areas and later across the country. CDIP now has evidence that retention has increased and the drop-out rate has fallen among the children who have received this intervention.</w:t>
            </w:r>
          </w:p>
        </w:tc>
        <w:tc>
          <w:tcPr>
            <w:tcW w:w="4331" w:type="dxa"/>
          </w:tcPr>
          <w:p w:rsidR="00C849F0" w:rsidRPr="00A33EF9" w:rsidRDefault="00C849F0" w:rsidP="00C849F0">
            <w:pPr>
              <w:spacing w:before="120" w:after="120"/>
              <w:jc w:val="both"/>
              <w:rPr>
                <w:rFonts w:asciiTheme="minorHAnsi" w:hAnsiTheme="minorHAnsi" w:cstheme="minorHAnsi"/>
                <w:sz w:val="20"/>
                <w:szCs w:val="20"/>
              </w:rPr>
            </w:pPr>
          </w:p>
        </w:tc>
      </w:tr>
    </w:tbl>
    <w:p w:rsidR="00C849F0" w:rsidRPr="00A33EF9" w:rsidRDefault="00C849F0" w:rsidP="00C849F0">
      <w:pPr>
        <w:pStyle w:val="ListParagraph"/>
        <w:numPr>
          <w:ilvl w:val="0"/>
          <w:numId w:val="137"/>
        </w:numPr>
        <w:spacing w:before="120" w:after="120"/>
        <w:jc w:val="both"/>
        <w:rPr>
          <w:rFonts w:asciiTheme="minorHAnsi" w:hAnsiTheme="minorHAnsi" w:cstheme="minorHAnsi"/>
          <w:b/>
          <w:sz w:val="20"/>
          <w:szCs w:val="20"/>
        </w:rPr>
      </w:pPr>
      <w:r w:rsidRPr="00A33EF9">
        <w:rPr>
          <w:rFonts w:asciiTheme="minorHAnsi" w:hAnsiTheme="minorHAnsi" w:cstheme="minorHAnsi"/>
          <w:b/>
          <w:sz w:val="20"/>
          <w:szCs w:val="20"/>
        </w:rPr>
        <w:t>How the CDIP Learning Centre Works</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As noted, the teacher collects 20-25 children of pre-primary, Class I and Class II from her neighborhood. She selects a place and then collects plastic bags from various homes and </w:t>
      </w:r>
      <w:r w:rsidR="0085340D" w:rsidRPr="00A33EF9">
        <w:rPr>
          <w:rFonts w:asciiTheme="minorHAnsi" w:hAnsiTheme="minorHAnsi" w:cstheme="minorHAnsi"/>
          <w:sz w:val="20"/>
        </w:rPr>
        <w:t>sews these</w:t>
      </w:r>
      <w:r w:rsidRPr="00A33EF9">
        <w:rPr>
          <w:rFonts w:asciiTheme="minorHAnsi" w:hAnsiTheme="minorHAnsi" w:cstheme="minorHAnsi"/>
          <w:sz w:val="20"/>
        </w:rPr>
        <w:t xml:space="preserve"> into a single sheet for the children to sit on. The Learning Centre sits usually every afternoon, from 3 – 5pm, except at weekends and national holidays. Learners usually sit in U-shape or in another configuration preferred by the teacher. CDIP provides a blackboard and every month a packet of chalk pencils. The teacher asks the children which lessons </w:t>
      </w:r>
      <w:r w:rsidRPr="00A33EF9">
        <w:rPr>
          <w:rFonts w:asciiTheme="minorHAnsi" w:hAnsiTheme="minorHAnsi" w:cstheme="minorHAnsi"/>
          <w:sz w:val="20"/>
        </w:rPr>
        <w:lastRenderedPageBreak/>
        <w:t>they are assigned in the school and then teaches these particular lessons so that the children can perform well in school the following day.</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These poor children, who have nobody at home to help with lessons, now begin to do better in class and at examinations, and find pleasure in going to school. They have less reason to drop out. CDIP teachers make the learning joyful by telling stories, jokes, etc. during the teaching period. One day in every week is reserved for singing, dancing, drawing, recitation and other creative activities. </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CDIP gives the teacher an honorarium of Tk. 700 per month, and organizes a monthly refresher program for them at its branch office.   Families are encouraged to pay Tk</w:t>
      </w:r>
      <w:r w:rsidR="00F16B70">
        <w:rPr>
          <w:rFonts w:asciiTheme="minorHAnsi" w:hAnsiTheme="minorHAnsi" w:cstheme="minorHAnsi"/>
          <w:sz w:val="20"/>
        </w:rPr>
        <w:t>.</w:t>
      </w:r>
      <w:r w:rsidRPr="00A33EF9">
        <w:rPr>
          <w:rFonts w:asciiTheme="minorHAnsi" w:hAnsiTheme="minorHAnsi" w:cstheme="minorHAnsi"/>
          <w:sz w:val="20"/>
        </w:rPr>
        <w:t xml:space="preserve"> 40 to the teacher for each learner in the family. This ensures participation of parents and accountability of the teacher. Yet, no child is excluded from the class for his/her failure to pay. Every branch has 20 such Learning Centre’s and an Education Supervisor, also a girl, who looks after all the Centre’s at the branch level and conducts the refresher meeting. A Parent Committee is established, comprising of 20 mothers, and meets once a month to </w:t>
      </w:r>
      <w:r w:rsidR="00F16B70" w:rsidRPr="00A33EF9">
        <w:rPr>
          <w:rFonts w:asciiTheme="minorHAnsi" w:hAnsiTheme="minorHAnsi" w:cstheme="minorHAnsi"/>
          <w:sz w:val="20"/>
        </w:rPr>
        <w:t>discuss issues</w:t>
      </w:r>
      <w:r w:rsidRPr="00A33EF9">
        <w:rPr>
          <w:rFonts w:asciiTheme="minorHAnsi" w:hAnsiTheme="minorHAnsi" w:cstheme="minorHAnsi"/>
          <w:sz w:val="20"/>
        </w:rPr>
        <w:t xml:space="preserve"> that have arisen, and to decide on solutions for improvement. This is, in a nut shell, how the Education Support Program works.  </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The progress of the Education Support Program (</w:t>
      </w:r>
      <w:r w:rsidRPr="00A33EF9">
        <w:rPr>
          <w:rFonts w:asciiTheme="minorHAnsi" w:hAnsiTheme="minorHAnsi" w:cstheme="minorHAnsi"/>
          <w:i/>
          <w:sz w:val="20"/>
        </w:rPr>
        <w:t>Shikkha Shahayota Kormoshuchi</w:t>
      </w:r>
      <w:r w:rsidRPr="00A33EF9">
        <w:rPr>
          <w:rFonts w:asciiTheme="minorHAnsi" w:hAnsiTheme="minorHAnsi" w:cstheme="minorHAnsi"/>
          <w:sz w:val="20"/>
        </w:rPr>
        <w:t xml:space="preserve"> – </w:t>
      </w:r>
      <w:r w:rsidRPr="00A33EF9">
        <w:rPr>
          <w:rFonts w:asciiTheme="minorHAnsi" w:hAnsiTheme="minorHAnsi" w:cstheme="minorHAnsi"/>
          <w:i/>
          <w:sz w:val="20"/>
        </w:rPr>
        <w:t>SHISHOK</w:t>
      </w:r>
      <w:r w:rsidRPr="00A33EF9">
        <w:rPr>
          <w:rFonts w:asciiTheme="minorHAnsi" w:hAnsiTheme="minorHAnsi" w:cstheme="minorHAnsi"/>
          <w:sz w:val="20"/>
        </w:rPr>
        <w:t>, in Bengali) is shown in the following Table:</w:t>
      </w:r>
    </w:p>
    <w:tbl>
      <w:tblPr>
        <w:tblW w:w="5779"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37"/>
        <w:gridCol w:w="722"/>
        <w:gridCol w:w="2020"/>
      </w:tblGrid>
      <w:tr w:rsidR="00C849F0" w:rsidRPr="00A33EF9" w:rsidTr="00C849F0">
        <w:tc>
          <w:tcPr>
            <w:tcW w:w="3037" w:type="dxa"/>
            <w:vMerge w:val="restart"/>
          </w:tcPr>
          <w:p w:rsidR="00C849F0" w:rsidRPr="00A33EF9" w:rsidRDefault="00C849F0" w:rsidP="00C849F0">
            <w:pPr>
              <w:spacing w:after="0"/>
              <w:jc w:val="both"/>
              <w:rPr>
                <w:rFonts w:asciiTheme="minorHAnsi" w:hAnsiTheme="minorHAnsi" w:cstheme="minorHAnsi"/>
                <w:b/>
                <w:sz w:val="20"/>
              </w:rPr>
            </w:pPr>
            <w:r w:rsidRPr="00A33EF9">
              <w:rPr>
                <w:rFonts w:asciiTheme="minorHAnsi" w:hAnsiTheme="minorHAnsi" w:cstheme="minorHAnsi"/>
                <w:b/>
                <w:sz w:val="20"/>
              </w:rPr>
              <w:t>Particulars</w:t>
            </w:r>
          </w:p>
        </w:tc>
        <w:tc>
          <w:tcPr>
            <w:tcW w:w="2742" w:type="dxa"/>
            <w:gridSpan w:val="2"/>
          </w:tcPr>
          <w:p w:rsidR="00C849F0" w:rsidRPr="00A33EF9" w:rsidRDefault="00C849F0" w:rsidP="00C849F0">
            <w:pPr>
              <w:spacing w:after="0"/>
              <w:jc w:val="center"/>
              <w:rPr>
                <w:rFonts w:asciiTheme="minorHAnsi" w:hAnsiTheme="minorHAnsi" w:cstheme="minorHAnsi"/>
                <w:b/>
                <w:sz w:val="20"/>
              </w:rPr>
            </w:pPr>
            <w:r w:rsidRPr="00A33EF9">
              <w:rPr>
                <w:rFonts w:asciiTheme="minorHAnsi" w:hAnsiTheme="minorHAnsi" w:cstheme="minorHAnsi"/>
                <w:b/>
                <w:sz w:val="20"/>
              </w:rPr>
              <w:t>Yearly progress</w:t>
            </w:r>
          </w:p>
        </w:tc>
      </w:tr>
      <w:tr w:rsidR="00C849F0" w:rsidRPr="00A33EF9" w:rsidTr="00C849F0">
        <w:tc>
          <w:tcPr>
            <w:tcW w:w="3037" w:type="dxa"/>
            <w:vMerge/>
          </w:tcPr>
          <w:p w:rsidR="00C849F0" w:rsidRPr="00A33EF9" w:rsidRDefault="00C849F0" w:rsidP="00C849F0">
            <w:pPr>
              <w:spacing w:after="0"/>
              <w:jc w:val="both"/>
              <w:rPr>
                <w:rFonts w:asciiTheme="minorHAnsi" w:hAnsiTheme="minorHAnsi" w:cstheme="minorHAnsi"/>
                <w:sz w:val="20"/>
              </w:rPr>
            </w:pPr>
          </w:p>
        </w:tc>
        <w:tc>
          <w:tcPr>
            <w:tcW w:w="722"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2005</w:t>
            </w:r>
          </w:p>
        </w:tc>
        <w:tc>
          <w:tcPr>
            <w:tcW w:w="2020"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2016</w:t>
            </w:r>
          </w:p>
        </w:tc>
      </w:tr>
      <w:tr w:rsidR="00C849F0" w:rsidRPr="00A33EF9" w:rsidTr="00C849F0">
        <w:tc>
          <w:tcPr>
            <w:tcW w:w="3037" w:type="dxa"/>
          </w:tcPr>
          <w:p w:rsidR="00C849F0" w:rsidRPr="00A33EF9" w:rsidRDefault="00C849F0" w:rsidP="00C849F0">
            <w:pPr>
              <w:spacing w:after="0"/>
              <w:jc w:val="both"/>
              <w:rPr>
                <w:rFonts w:asciiTheme="minorHAnsi" w:hAnsiTheme="minorHAnsi" w:cstheme="minorHAnsi"/>
                <w:sz w:val="20"/>
              </w:rPr>
            </w:pPr>
            <w:r w:rsidRPr="00A33EF9">
              <w:rPr>
                <w:rFonts w:asciiTheme="minorHAnsi" w:hAnsiTheme="minorHAnsi" w:cstheme="minorHAnsi"/>
                <w:sz w:val="20"/>
              </w:rPr>
              <w:t>Number of CDIP Branches</w:t>
            </w:r>
          </w:p>
        </w:tc>
        <w:tc>
          <w:tcPr>
            <w:tcW w:w="722"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4</w:t>
            </w:r>
          </w:p>
        </w:tc>
        <w:tc>
          <w:tcPr>
            <w:tcW w:w="2020"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120</w:t>
            </w:r>
          </w:p>
        </w:tc>
      </w:tr>
      <w:tr w:rsidR="00C849F0" w:rsidRPr="00A33EF9" w:rsidTr="00C849F0">
        <w:tc>
          <w:tcPr>
            <w:tcW w:w="3037" w:type="dxa"/>
          </w:tcPr>
          <w:p w:rsidR="00C849F0" w:rsidRPr="00A33EF9" w:rsidRDefault="00C849F0" w:rsidP="00C849F0">
            <w:pPr>
              <w:spacing w:after="0"/>
              <w:jc w:val="both"/>
              <w:rPr>
                <w:rFonts w:asciiTheme="minorHAnsi" w:hAnsiTheme="minorHAnsi" w:cstheme="minorHAnsi"/>
                <w:sz w:val="20"/>
              </w:rPr>
            </w:pPr>
            <w:r w:rsidRPr="00A33EF9">
              <w:rPr>
                <w:rFonts w:asciiTheme="minorHAnsi" w:hAnsiTheme="minorHAnsi" w:cstheme="minorHAnsi"/>
                <w:sz w:val="20"/>
              </w:rPr>
              <w:t xml:space="preserve">Number of Learning </w:t>
            </w:r>
            <w:r w:rsidR="00EC1F70" w:rsidRPr="00A33EF9">
              <w:rPr>
                <w:rFonts w:asciiTheme="minorHAnsi" w:hAnsiTheme="minorHAnsi" w:cstheme="minorHAnsi"/>
                <w:sz w:val="20"/>
              </w:rPr>
              <w:t>Centers</w:t>
            </w:r>
          </w:p>
        </w:tc>
        <w:tc>
          <w:tcPr>
            <w:tcW w:w="722"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50</w:t>
            </w:r>
          </w:p>
        </w:tc>
        <w:tc>
          <w:tcPr>
            <w:tcW w:w="2020"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2420</w:t>
            </w:r>
          </w:p>
        </w:tc>
      </w:tr>
      <w:tr w:rsidR="00C849F0" w:rsidRPr="00A33EF9" w:rsidTr="00C849F0">
        <w:tc>
          <w:tcPr>
            <w:tcW w:w="3037" w:type="dxa"/>
          </w:tcPr>
          <w:p w:rsidR="00C849F0" w:rsidRPr="00A33EF9" w:rsidRDefault="00C849F0" w:rsidP="00C849F0">
            <w:pPr>
              <w:spacing w:after="0"/>
              <w:jc w:val="both"/>
              <w:rPr>
                <w:rFonts w:asciiTheme="minorHAnsi" w:hAnsiTheme="minorHAnsi" w:cstheme="minorHAnsi"/>
                <w:sz w:val="20"/>
              </w:rPr>
            </w:pPr>
            <w:r w:rsidRPr="00A33EF9">
              <w:rPr>
                <w:rFonts w:asciiTheme="minorHAnsi" w:hAnsiTheme="minorHAnsi" w:cstheme="minorHAnsi"/>
                <w:sz w:val="20"/>
              </w:rPr>
              <w:t>Number of Teachers</w:t>
            </w:r>
          </w:p>
        </w:tc>
        <w:tc>
          <w:tcPr>
            <w:tcW w:w="722"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50</w:t>
            </w:r>
          </w:p>
        </w:tc>
        <w:tc>
          <w:tcPr>
            <w:tcW w:w="2020"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2420</w:t>
            </w:r>
          </w:p>
        </w:tc>
      </w:tr>
      <w:tr w:rsidR="00C849F0" w:rsidRPr="00A33EF9" w:rsidTr="00C849F0">
        <w:tc>
          <w:tcPr>
            <w:tcW w:w="3037" w:type="dxa"/>
          </w:tcPr>
          <w:p w:rsidR="00C849F0" w:rsidRPr="00A33EF9" w:rsidRDefault="00C849F0" w:rsidP="00C849F0">
            <w:pPr>
              <w:spacing w:after="0"/>
              <w:jc w:val="both"/>
              <w:rPr>
                <w:rFonts w:asciiTheme="minorHAnsi" w:hAnsiTheme="minorHAnsi" w:cstheme="minorHAnsi"/>
                <w:sz w:val="20"/>
              </w:rPr>
            </w:pPr>
            <w:r w:rsidRPr="00A33EF9">
              <w:rPr>
                <w:rFonts w:asciiTheme="minorHAnsi" w:hAnsiTheme="minorHAnsi" w:cstheme="minorHAnsi"/>
                <w:sz w:val="20"/>
              </w:rPr>
              <w:t>Number of Learners</w:t>
            </w:r>
          </w:p>
        </w:tc>
        <w:tc>
          <w:tcPr>
            <w:tcW w:w="722"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1250</w:t>
            </w:r>
          </w:p>
        </w:tc>
        <w:tc>
          <w:tcPr>
            <w:tcW w:w="2020"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60,000</w:t>
            </w:r>
          </w:p>
        </w:tc>
      </w:tr>
      <w:tr w:rsidR="00C849F0" w:rsidRPr="00A33EF9" w:rsidTr="00C849F0">
        <w:tc>
          <w:tcPr>
            <w:tcW w:w="3037" w:type="dxa"/>
          </w:tcPr>
          <w:p w:rsidR="00C849F0" w:rsidRPr="00A33EF9" w:rsidRDefault="00C849F0" w:rsidP="00C849F0">
            <w:pPr>
              <w:spacing w:after="0"/>
              <w:jc w:val="both"/>
              <w:rPr>
                <w:rFonts w:asciiTheme="minorHAnsi" w:hAnsiTheme="minorHAnsi" w:cstheme="minorHAnsi"/>
                <w:sz w:val="20"/>
              </w:rPr>
            </w:pPr>
            <w:r w:rsidRPr="00A33EF9">
              <w:rPr>
                <w:rFonts w:asciiTheme="minorHAnsi" w:hAnsiTheme="minorHAnsi" w:cstheme="minorHAnsi"/>
                <w:sz w:val="20"/>
              </w:rPr>
              <w:t>Number of Education Supervisors</w:t>
            </w:r>
          </w:p>
        </w:tc>
        <w:tc>
          <w:tcPr>
            <w:tcW w:w="722"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1</w:t>
            </w:r>
          </w:p>
        </w:tc>
        <w:tc>
          <w:tcPr>
            <w:tcW w:w="2020"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121</w:t>
            </w:r>
          </w:p>
        </w:tc>
      </w:tr>
      <w:tr w:rsidR="00C849F0" w:rsidRPr="00A33EF9" w:rsidTr="00C849F0">
        <w:tc>
          <w:tcPr>
            <w:tcW w:w="3037" w:type="dxa"/>
          </w:tcPr>
          <w:p w:rsidR="00C849F0" w:rsidRPr="00A33EF9" w:rsidRDefault="00C849F0" w:rsidP="00C849F0">
            <w:pPr>
              <w:spacing w:after="0"/>
              <w:jc w:val="both"/>
              <w:rPr>
                <w:rFonts w:asciiTheme="minorHAnsi" w:hAnsiTheme="minorHAnsi" w:cstheme="minorHAnsi"/>
                <w:sz w:val="20"/>
              </w:rPr>
            </w:pPr>
            <w:r w:rsidRPr="00A33EF9">
              <w:rPr>
                <w:rFonts w:asciiTheme="minorHAnsi" w:hAnsiTheme="minorHAnsi" w:cstheme="minorHAnsi"/>
                <w:sz w:val="20"/>
              </w:rPr>
              <w:t>Yearly expense for per learner</w:t>
            </w:r>
          </w:p>
        </w:tc>
        <w:tc>
          <w:tcPr>
            <w:tcW w:w="722"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98</w:t>
            </w:r>
          </w:p>
        </w:tc>
        <w:tc>
          <w:tcPr>
            <w:tcW w:w="2020" w:type="dxa"/>
          </w:tcPr>
          <w:p w:rsidR="00C849F0" w:rsidRPr="00A33EF9" w:rsidRDefault="00C849F0" w:rsidP="00C849F0">
            <w:pPr>
              <w:pStyle w:val="BodyText"/>
              <w:spacing w:after="0"/>
              <w:jc w:val="right"/>
              <w:rPr>
                <w:rFonts w:asciiTheme="minorHAnsi" w:hAnsiTheme="minorHAnsi" w:cstheme="minorHAnsi"/>
                <w:sz w:val="20"/>
                <w:szCs w:val="20"/>
              </w:rPr>
            </w:pPr>
            <w:r w:rsidRPr="00A33EF9">
              <w:rPr>
                <w:rFonts w:asciiTheme="minorHAnsi" w:hAnsiTheme="minorHAnsi" w:cstheme="minorHAnsi"/>
                <w:sz w:val="20"/>
                <w:szCs w:val="20"/>
              </w:rPr>
              <w:t xml:space="preserve">380 (about </w:t>
            </w:r>
            <w:r w:rsidRPr="00A33EF9">
              <w:rPr>
                <w:rFonts w:asciiTheme="minorHAnsi" w:hAnsiTheme="minorHAnsi" w:cstheme="minorHAnsi"/>
                <w:b/>
                <w:sz w:val="20"/>
                <w:szCs w:val="20"/>
              </w:rPr>
              <w:t>5 dollars</w:t>
            </w:r>
            <w:r w:rsidRPr="00A33EF9">
              <w:rPr>
                <w:rFonts w:asciiTheme="minorHAnsi" w:hAnsiTheme="minorHAnsi" w:cstheme="minorHAnsi"/>
                <w:sz w:val="20"/>
                <w:szCs w:val="20"/>
              </w:rPr>
              <w:t>)</w:t>
            </w:r>
          </w:p>
        </w:tc>
      </w:tr>
    </w:tbl>
    <w:p w:rsidR="00C849F0" w:rsidRPr="00A33EF9" w:rsidRDefault="00C849F0" w:rsidP="00C849F0">
      <w:pPr>
        <w:spacing w:after="0"/>
        <w:jc w:val="both"/>
        <w:rPr>
          <w:rFonts w:asciiTheme="minorHAnsi" w:hAnsiTheme="minorHAnsi" w:cstheme="minorHAnsi"/>
          <w:b/>
          <w:sz w:val="20"/>
        </w:rPr>
      </w:pP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When CDIP takes into account similar Learning Centre’s run by its friendly organizations, the total number of Learning </w:t>
      </w:r>
      <w:r w:rsidR="0085340D" w:rsidRPr="00A33EF9">
        <w:rPr>
          <w:rFonts w:asciiTheme="minorHAnsi" w:hAnsiTheme="minorHAnsi" w:cstheme="minorHAnsi"/>
          <w:sz w:val="20"/>
        </w:rPr>
        <w:t>Centers</w:t>
      </w:r>
      <w:r w:rsidRPr="00A33EF9">
        <w:rPr>
          <w:rFonts w:asciiTheme="minorHAnsi" w:hAnsiTheme="minorHAnsi" w:cstheme="minorHAnsi"/>
          <w:sz w:val="20"/>
        </w:rPr>
        <w:t xml:space="preserve"> becomes nearly 18,000 and learners are around 500,000. </w:t>
      </w:r>
    </w:p>
    <w:p w:rsidR="00C849F0" w:rsidRPr="00A33EF9" w:rsidRDefault="00C849F0" w:rsidP="00C849F0">
      <w:pPr>
        <w:pStyle w:val="ListParagraph"/>
        <w:numPr>
          <w:ilvl w:val="1"/>
          <w:numId w:val="137"/>
        </w:numPr>
        <w:spacing w:before="120" w:after="120"/>
        <w:jc w:val="both"/>
        <w:rPr>
          <w:rFonts w:asciiTheme="minorHAnsi" w:hAnsiTheme="minorHAnsi" w:cstheme="minorHAnsi"/>
          <w:b/>
          <w:sz w:val="20"/>
          <w:szCs w:val="20"/>
        </w:rPr>
      </w:pPr>
      <w:r w:rsidRPr="00A33EF9">
        <w:rPr>
          <w:rFonts w:asciiTheme="minorHAnsi" w:hAnsiTheme="minorHAnsi" w:cstheme="minorHAnsi"/>
          <w:b/>
          <w:sz w:val="20"/>
          <w:szCs w:val="20"/>
        </w:rPr>
        <w:t>Devotion of Teachers</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The monthly payment a teacher receives from CDIP is very small. Yet, it helps those girls to continue their studies as it lessens the burden on their parents. Those who are housewives can spend the money buying small things for themselves and their families. However, it is not the money they work for. Teachers enjoy the work. Many say they like to spend time with children and help them as far as they can. They say they feel proud when children call them madam or </w:t>
      </w:r>
      <w:r w:rsidRPr="00A33EF9">
        <w:rPr>
          <w:rFonts w:asciiTheme="minorHAnsi" w:hAnsiTheme="minorHAnsi" w:cstheme="minorHAnsi"/>
          <w:i/>
          <w:sz w:val="20"/>
        </w:rPr>
        <w:t>apa</w:t>
      </w:r>
      <w:r w:rsidRPr="00A33EF9">
        <w:rPr>
          <w:rFonts w:asciiTheme="minorHAnsi" w:hAnsiTheme="minorHAnsi" w:cstheme="minorHAnsi"/>
          <w:sz w:val="20"/>
        </w:rPr>
        <w:t xml:space="preserve"> or sometimes even Ma. Being a teacher places them in a respectable position in the village. They enjoy hearing children say ‘There goes our madam,’ when they are walking along the street. When a teacher visits the house of a child to meet his/her parents, the respect she receives from the child’s family is overwhelming. Some educated, unmarried girls of poor families now feel free of the guilt of being a burden to the family. A major reason of teacher drop-out in this program is that many families receive marriage proposals for these girls and often they are married within months of their becoming teachers. Other girls later join the teaching profession.</w:t>
      </w:r>
    </w:p>
    <w:p w:rsidR="00C849F0" w:rsidRPr="00A33EF9" w:rsidRDefault="00C849F0" w:rsidP="00C849F0">
      <w:pPr>
        <w:pStyle w:val="ListParagraph"/>
        <w:numPr>
          <w:ilvl w:val="0"/>
          <w:numId w:val="137"/>
        </w:numPr>
        <w:spacing w:before="120" w:after="120"/>
        <w:jc w:val="both"/>
        <w:rPr>
          <w:rFonts w:asciiTheme="minorHAnsi" w:hAnsiTheme="minorHAnsi" w:cstheme="minorHAnsi"/>
          <w:sz w:val="20"/>
          <w:szCs w:val="20"/>
        </w:rPr>
      </w:pPr>
      <w:r w:rsidRPr="00A33EF9">
        <w:rPr>
          <w:rFonts w:asciiTheme="minorHAnsi" w:hAnsiTheme="minorHAnsi" w:cstheme="minorHAnsi"/>
          <w:b/>
          <w:sz w:val="20"/>
          <w:szCs w:val="20"/>
        </w:rPr>
        <w:t xml:space="preserve">Addition Roles of Learning </w:t>
      </w:r>
      <w:r w:rsidR="00EC1F70" w:rsidRPr="00A33EF9">
        <w:rPr>
          <w:rFonts w:asciiTheme="minorHAnsi" w:hAnsiTheme="minorHAnsi" w:cstheme="minorHAnsi"/>
          <w:b/>
          <w:sz w:val="20"/>
          <w:szCs w:val="20"/>
        </w:rPr>
        <w:t>Centers</w:t>
      </w:r>
      <w:r w:rsidRPr="00A33EF9">
        <w:rPr>
          <w:rFonts w:asciiTheme="minorHAnsi" w:hAnsiTheme="minorHAnsi" w:cstheme="minorHAnsi"/>
          <w:b/>
          <w:sz w:val="20"/>
          <w:szCs w:val="20"/>
        </w:rPr>
        <w:t>:  Hygiene, Culture and Senior Citizens</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CDIP teachers see to it that their learners wear clean clothes, brush their teeth daily, comb their hair, and maintain hygiene in their daily lives. They remind the children to wash both their hands after using the toilet and before meals. November is set aside as a month of hygiene sensitization; every day the teacher introduces and discusses a cleanliness/hygiene issue for her learners to practice. </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The last week of November is observed as a Cultural Week.  On any day of that week, a Learning </w:t>
      </w:r>
    </w:p>
    <w:p w:rsidR="00C849F0" w:rsidRPr="00A33EF9" w:rsidRDefault="00C849F0" w:rsidP="00F16B70">
      <w:pPr>
        <w:spacing w:before="120" w:after="120"/>
        <w:jc w:val="both"/>
        <w:rPr>
          <w:rFonts w:asciiTheme="minorHAnsi" w:hAnsiTheme="minorHAnsi" w:cstheme="minorHAnsi"/>
          <w:sz w:val="20"/>
        </w:rPr>
      </w:pPr>
      <w:r w:rsidRPr="00A33EF9">
        <w:rPr>
          <w:rFonts w:asciiTheme="minorHAnsi" w:hAnsiTheme="minorHAnsi" w:cstheme="minorHAnsi"/>
          <w:noProof/>
          <w:sz w:val="20"/>
          <w:lang w:eastAsia="en-US"/>
        </w:rPr>
        <w:drawing>
          <wp:anchor distT="0" distB="0" distL="114300" distR="114300" simplePos="0" relativeHeight="251743232" behindDoc="0" locked="0" layoutInCell="1" allowOverlap="1">
            <wp:simplePos x="0" y="0"/>
            <wp:positionH relativeFrom="column">
              <wp:posOffset>2457450</wp:posOffset>
            </wp:positionH>
            <wp:positionV relativeFrom="paragraph">
              <wp:posOffset>173355</wp:posOffset>
            </wp:positionV>
            <wp:extent cx="1788160" cy="997585"/>
            <wp:effectExtent l="19050" t="0" r="2540" b="0"/>
            <wp:wrapSquare wrapText="bothSides"/>
            <wp:docPr id="4" name="Picture 5" descr="Gawsia_Nar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wsia_Nara-02"/>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160" cy="997585"/>
                    </a:xfrm>
                    <a:prstGeom prst="rect">
                      <a:avLst/>
                    </a:prstGeom>
                    <a:noFill/>
                    <a:ln>
                      <a:noFill/>
                    </a:ln>
                  </pic:spPr>
                </pic:pic>
              </a:graphicData>
            </a:graphic>
          </wp:anchor>
        </w:drawing>
      </w:r>
      <w:r w:rsidRPr="00A33EF9">
        <w:rPr>
          <w:rFonts w:asciiTheme="minorHAnsi" w:hAnsiTheme="minorHAnsi" w:cstheme="minorHAnsi"/>
          <w:sz w:val="20"/>
        </w:rPr>
        <w:t xml:space="preserve">Centre organizes a cultural event. Sometimes two, three or more </w:t>
      </w:r>
      <w:r w:rsidR="0085340D" w:rsidRPr="00A33EF9">
        <w:rPr>
          <w:rFonts w:asciiTheme="minorHAnsi" w:hAnsiTheme="minorHAnsi" w:cstheme="minorHAnsi"/>
          <w:sz w:val="20"/>
        </w:rPr>
        <w:t>Centers</w:t>
      </w:r>
      <w:r w:rsidRPr="00A33EF9">
        <w:rPr>
          <w:rFonts w:asciiTheme="minorHAnsi" w:hAnsiTheme="minorHAnsi" w:cstheme="minorHAnsi"/>
          <w:sz w:val="20"/>
        </w:rPr>
        <w:t xml:space="preserve"> get together to organize one program. The programs are spread over the week with </w:t>
      </w:r>
      <w:r w:rsidR="00F14FBB" w:rsidRPr="00A33EF9">
        <w:rPr>
          <w:rFonts w:asciiTheme="minorHAnsi" w:hAnsiTheme="minorHAnsi" w:cstheme="minorHAnsi"/>
          <w:sz w:val="20"/>
        </w:rPr>
        <w:t>Centers</w:t>
      </w:r>
      <w:r w:rsidRPr="00A33EF9">
        <w:rPr>
          <w:rFonts w:asciiTheme="minorHAnsi" w:hAnsiTheme="minorHAnsi" w:cstheme="minorHAnsi"/>
          <w:sz w:val="20"/>
        </w:rPr>
        <w:t xml:space="preserve"> organizing programs on different days. Local representatives, school teachers, and distinguished persons are often invited as Guests, some of whom bring things like exercise books, pens, pencils, scales, ceramic plates, glasses, bowls, etc. as gifts for the children who </w:t>
      </w:r>
      <w:r w:rsidRPr="00A33EF9">
        <w:rPr>
          <w:rFonts w:asciiTheme="minorHAnsi" w:hAnsiTheme="minorHAnsi" w:cstheme="minorHAnsi"/>
          <w:sz w:val="20"/>
        </w:rPr>
        <w:lastRenderedPageBreak/>
        <w:t>perform in singing, dancing, recitation, drawing activities. One or two sports like cock fights, biscuit races, pillow passing, etc. are also arranged.  Boys and girls, youths, elders, parents and others in the village enjoy the children’s performances.</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An interesting aspect of these cultural programs is that CDIP spends nothing in organizing </w:t>
      </w:r>
      <w:r w:rsidRPr="00A33EF9">
        <w:rPr>
          <w:rFonts w:asciiTheme="minorHAnsi" w:hAnsiTheme="minorHAnsi" w:cstheme="minorHAnsi"/>
          <w:b/>
          <w:sz w:val="20"/>
        </w:rPr>
        <w:t>them</w:t>
      </w:r>
      <w:r w:rsidRPr="00A33EF9">
        <w:rPr>
          <w:rFonts w:asciiTheme="minorHAnsi" w:hAnsiTheme="minorHAnsi" w:cstheme="minorHAnsi"/>
          <w:sz w:val="20"/>
        </w:rPr>
        <w:t>. It is the voluntary participation of community people that makes the programs possible, and the minimum expense is voluntarily borne by well-off people in the village.</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In Bangladesh, the elderly are becoming victims of indifference, insults and mental torture both within families and in society generally. Often, there are few people to take care of old people.</w:t>
      </w:r>
      <w:r w:rsidR="00F14FBB">
        <w:rPr>
          <w:rFonts w:asciiTheme="minorHAnsi" w:hAnsiTheme="minorHAnsi" w:cstheme="minorHAnsi"/>
          <w:sz w:val="20"/>
        </w:rPr>
        <w:t xml:space="preserve"> </w:t>
      </w:r>
      <w:r w:rsidRPr="00A33EF9">
        <w:rPr>
          <w:rFonts w:asciiTheme="minorHAnsi" w:hAnsiTheme="minorHAnsi" w:cstheme="minorHAnsi"/>
          <w:sz w:val="20"/>
        </w:rPr>
        <w:t>Up to recent times, our society has been traditionally blessed with the culture of showing respect to senior citizens. In order to revive the practice of respecting and caring for old people, support to senior citizens has been made a component of the culture week. One man and one woman – seniors of the locality - are invited to the program. Children show respect towards them by showering flower petals over them. This turns into an event for all the elderly who attend the cultural event.</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In 2015, during the Cultural Week across the CDIP work-areas, the following is a summary: </w:t>
      </w:r>
    </w:p>
    <w:p w:rsidR="00C849F0" w:rsidRPr="00A33EF9" w:rsidRDefault="00C849F0" w:rsidP="00C849F0">
      <w:pPr>
        <w:numPr>
          <w:ilvl w:val="0"/>
          <w:numId w:val="136"/>
        </w:numPr>
        <w:spacing w:after="0"/>
        <w:jc w:val="both"/>
        <w:rPr>
          <w:rFonts w:asciiTheme="minorHAnsi" w:hAnsiTheme="minorHAnsi" w:cstheme="minorHAnsi"/>
          <w:sz w:val="20"/>
        </w:rPr>
      </w:pPr>
      <w:r w:rsidRPr="00A33EF9">
        <w:rPr>
          <w:rFonts w:asciiTheme="minorHAnsi" w:hAnsiTheme="minorHAnsi" w:cstheme="minorHAnsi"/>
          <w:sz w:val="20"/>
        </w:rPr>
        <w:t>30,000 marginalized children spoke publicly on microphone for the first time;</w:t>
      </w:r>
    </w:p>
    <w:p w:rsidR="00C849F0" w:rsidRPr="00A33EF9" w:rsidRDefault="00C849F0" w:rsidP="00C849F0">
      <w:pPr>
        <w:numPr>
          <w:ilvl w:val="0"/>
          <w:numId w:val="136"/>
        </w:numPr>
        <w:spacing w:after="0"/>
        <w:jc w:val="both"/>
        <w:rPr>
          <w:rFonts w:asciiTheme="minorHAnsi" w:hAnsiTheme="minorHAnsi" w:cstheme="minorHAnsi"/>
          <w:sz w:val="20"/>
        </w:rPr>
      </w:pPr>
      <w:r w:rsidRPr="00A33EF9">
        <w:rPr>
          <w:rFonts w:asciiTheme="minorHAnsi" w:hAnsiTheme="minorHAnsi" w:cstheme="minorHAnsi"/>
          <w:sz w:val="20"/>
        </w:rPr>
        <w:t>Courtyard cultural programs took place in 1,000 villages;</w:t>
      </w:r>
    </w:p>
    <w:p w:rsidR="00C849F0" w:rsidRPr="00A33EF9" w:rsidRDefault="00C849F0" w:rsidP="00C849F0">
      <w:pPr>
        <w:numPr>
          <w:ilvl w:val="0"/>
          <w:numId w:val="136"/>
        </w:numPr>
        <w:spacing w:after="0"/>
        <w:jc w:val="both"/>
        <w:rPr>
          <w:rFonts w:asciiTheme="minorHAnsi" w:hAnsiTheme="minorHAnsi" w:cstheme="minorHAnsi"/>
          <w:sz w:val="20"/>
        </w:rPr>
      </w:pPr>
      <w:r w:rsidRPr="00A33EF9">
        <w:rPr>
          <w:rFonts w:asciiTheme="minorHAnsi" w:hAnsiTheme="minorHAnsi" w:cstheme="minorHAnsi"/>
          <w:sz w:val="20"/>
        </w:rPr>
        <w:t>2,000 senior citizens received recognition;</w:t>
      </w:r>
    </w:p>
    <w:p w:rsidR="00C849F0" w:rsidRPr="00A33EF9" w:rsidRDefault="00C849F0" w:rsidP="00C849F0">
      <w:pPr>
        <w:numPr>
          <w:ilvl w:val="0"/>
          <w:numId w:val="136"/>
        </w:numPr>
        <w:spacing w:after="0"/>
        <w:jc w:val="both"/>
        <w:rPr>
          <w:rFonts w:asciiTheme="minorHAnsi" w:hAnsiTheme="minorHAnsi" w:cstheme="minorHAnsi"/>
          <w:sz w:val="20"/>
        </w:rPr>
      </w:pPr>
      <w:r w:rsidRPr="00A33EF9">
        <w:rPr>
          <w:rFonts w:asciiTheme="minorHAnsi" w:hAnsiTheme="minorHAnsi" w:cstheme="minorHAnsi"/>
          <w:sz w:val="20"/>
        </w:rPr>
        <w:t>2,000 village girls working as teachers directed the cultural programs; and</w:t>
      </w:r>
    </w:p>
    <w:p w:rsidR="00C849F0" w:rsidRPr="00A33EF9" w:rsidRDefault="00C849F0" w:rsidP="00C849F0">
      <w:pPr>
        <w:numPr>
          <w:ilvl w:val="0"/>
          <w:numId w:val="136"/>
        </w:numPr>
        <w:spacing w:after="0"/>
        <w:jc w:val="both"/>
        <w:rPr>
          <w:rFonts w:asciiTheme="minorHAnsi" w:hAnsiTheme="minorHAnsi" w:cstheme="minorHAnsi"/>
          <w:sz w:val="20"/>
        </w:rPr>
      </w:pPr>
      <w:r w:rsidRPr="00A33EF9">
        <w:rPr>
          <w:rFonts w:asciiTheme="minorHAnsi" w:hAnsiTheme="minorHAnsi" w:cstheme="minorHAnsi"/>
          <w:sz w:val="20"/>
        </w:rPr>
        <w:t>Hundreds of thousands of villagers were enchanted with the children’s performances.</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b/>
          <w:sz w:val="20"/>
        </w:rPr>
        <w:t>3.1</w:t>
      </w:r>
      <w:r w:rsidRPr="00A33EF9">
        <w:rPr>
          <w:rFonts w:asciiTheme="minorHAnsi" w:hAnsiTheme="minorHAnsi" w:cstheme="minorHAnsi"/>
          <w:b/>
          <w:sz w:val="20"/>
        </w:rPr>
        <w:tab/>
        <w:t xml:space="preserve">  Schools and Culture</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Bangladesh is rich with cultural resources. But these resources are diminishing day by day. People are preoccupied with earning a living and cultural activities are neglected. This is not good for maintaining a healthy and balanced social fabric.  </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Children are the future of a country. If cultural practices are made part of their education, a new generation enriched with more liberal humanistic views will grow. Bangladesh’s Education Policy 2010 has put emphasis on the cultural side of education. If the Government were to launch a national cultural week at the end of the school year, this would greatly contribute to achieving the broad education goals that the Country pursues.</w:t>
      </w:r>
    </w:p>
    <w:p w:rsidR="00C849F0" w:rsidRPr="00A33EF9" w:rsidRDefault="00C849F0" w:rsidP="00C849F0">
      <w:pPr>
        <w:spacing w:before="120" w:after="120"/>
        <w:jc w:val="both"/>
        <w:rPr>
          <w:rFonts w:asciiTheme="minorHAnsi" w:hAnsiTheme="minorHAnsi" w:cstheme="minorHAnsi"/>
          <w:b/>
          <w:sz w:val="20"/>
        </w:rPr>
      </w:pPr>
      <w:r w:rsidRPr="00A33EF9">
        <w:rPr>
          <w:rFonts w:asciiTheme="minorHAnsi" w:hAnsiTheme="minorHAnsi" w:cstheme="minorHAnsi"/>
          <w:b/>
          <w:sz w:val="20"/>
        </w:rPr>
        <w:t>4</w:t>
      </w:r>
      <w:r w:rsidRPr="00A33EF9">
        <w:rPr>
          <w:rFonts w:asciiTheme="minorHAnsi" w:hAnsiTheme="minorHAnsi" w:cstheme="minorHAnsi"/>
          <w:b/>
          <w:sz w:val="20"/>
        </w:rPr>
        <w:tab/>
        <w:t>Future Direction of the Education Support Program (ESP)</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The eradication of illiteracy is possible.  It does not require a great investment. There are literate people in the village ready to welcome this initiative. Other organizations with a wider network than CDIP’s across the country have launched their own programs modeled on CIDP’s. One of these is the Palli Karma-Sahayak Foundation (PKSF), the government-run provider of funds for micro-credit activities in Bangladesh. A number of officials from CDIP’s partner organizations have received training from CDIP and have started about 5,000 such Learning </w:t>
      </w:r>
      <w:r w:rsidR="00F14FBB" w:rsidRPr="00A33EF9">
        <w:rPr>
          <w:rFonts w:asciiTheme="minorHAnsi" w:hAnsiTheme="minorHAnsi" w:cstheme="minorHAnsi"/>
          <w:sz w:val="20"/>
        </w:rPr>
        <w:t>Centers</w:t>
      </w:r>
      <w:r w:rsidRPr="00A33EF9">
        <w:rPr>
          <w:rFonts w:asciiTheme="minorHAnsi" w:hAnsiTheme="minorHAnsi" w:cstheme="minorHAnsi"/>
          <w:sz w:val="20"/>
        </w:rPr>
        <w:t xml:space="preserve"> in their respective localities. In addition, the ASA (Association for Social Advancement), one of the largest NGOs, sent their people to CDIP’s work-areas to acquire practical </w:t>
      </w:r>
      <w:r w:rsidR="00F14FBB" w:rsidRPr="00A33EF9">
        <w:rPr>
          <w:rFonts w:asciiTheme="minorHAnsi" w:hAnsiTheme="minorHAnsi" w:cstheme="minorHAnsi"/>
          <w:sz w:val="20"/>
        </w:rPr>
        <w:t>knowledge in</w:t>
      </w:r>
      <w:r w:rsidRPr="00A33EF9">
        <w:rPr>
          <w:rFonts w:asciiTheme="minorHAnsi" w:hAnsiTheme="minorHAnsi" w:cstheme="minorHAnsi"/>
          <w:sz w:val="20"/>
        </w:rPr>
        <w:t xml:space="preserve"> running a Learning Centre. By now they have set up about 11,000 such Learning </w:t>
      </w:r>
      <w:r w:rsidR="00F14FBB" w:rsidRPr="00A33EF9">
        <w:rPr>
          <w:rFonts w:asciiTheme="minorHAnsi" w:hAnsiTheme="minorHAnsi" w:cstheme="minorHAnsi"/>
          <w:sz w:val="20"/>
        </w:rPr>
        <w:t>Centers</w:t>
      </w:r>
      <w:r w:rsidRPr="00A33EF9">
        <w:rPr>
          <w:rFonts w:asciiTheme="minorHAnsi" w:hAnsiTheme="minorHAnsi" w:cstheme="minorHAnsi"/>
          <w:sz w:val="20"/>
        </w:rPr>
        <w:t xml:space="preserve"> across the country. It is estimated that about 2 lakh village girls can be partially employed through this program. This can speed up the nation’s efforts to achieve its national and international goals in education by arresting the drop-out rate of first-generation learners from primary schools and thus helping Bangladesh to free itself from the curse of illiteracy. </w:t>
      </w:r>
    </w:p>
    <w:p w:rsidR="00C849F0" w:rsidRPr="00A33EF9" w:rsidRDefault="00C849F0" w:rsidP="00C849F0">
      <w:pPr>
        <w:spacing w:before="120" w:after="120"/>
        <w:jc w:val="both"/>
        <w:rPr>
          <w:rFonts w:asciiTheme="minorHAnsi" w:hAnsiTheme="minorHAnsi" w:cstheme="minorHAnsi"/>
          <w:sz w:val="20"/>
        </w:rPr>
      </w:pPr>
      <w:r w:rsidRPr="00A33EF9">
        <w:rPr>
          <w:rFonts w:asciiTheme="minorHAnsi" w:hAnsiTheme="minorHAnsi" w:cstheme="minorHAnsi"/>
          <w:sz w:val="20"/>
        </w:rPr>
        <w:t xml:space="preserve">This program does not conflict with the mainstream education system. Rather, it is a mainstream primary school strengthening program, which has to be turned into a social movement in order to remove the darkness of illiteracy from our society. If GOs and NGOs work hand in hand, </w:t>
      </w:r>
      <w:r w:rsidR="00F14FBB" w:rsidRPr="00A33EF9">
        <w:rPr>
          <w:rFonts w:asciiTheme="minorHAnsi" w:hAnsiTheme="minorHAnsi" w:cstheme="minorHAnsi"/>
          <w:sz w:val="20"/>
        </w:rPr>
        <w:t>Bangladesh shall</w:t>
      </w:r>
      <w:r w:rsidRPr="00A33EF9">
        <w:rPr>
          <w:rFonts w:asciiTheme="minorHAnsi" w:hAnsiTheme="minorHAnsi" w:cstheme="minorHAnsi"/>
          <w:sz w:val="20"/>
        </w:rPr>
        <w:t xml:space="preserve"> see a day when our slogan </w:t>
      </w:r>
      <w:r w:rsidRPr="00A33EF9">
        <w:rPr>
          <w:rFonts w:asciiTheme="minorHAnsi" w:hAnsiTheme="minorHAnsi" w:cstheme="minorHAnsi"/>
          <w:i/>
          <w:sz w:val="20"/>
        </w:rPr>
        <w:t>Kono Ganye Kono Ghor, Keu Robe Na Nirokkhor</w:t>
      </w:r>
      <w:r w:rsidRPr="00A33EF9">
        <w:rPr>
          <w:rFonts w:asciiTheme="minorHAnsi" w:hAnsiTheme="minorHAnsi" w:cstheme="minorHAnsi"/>
          <w:sz w:val="20"/>
        </w:rPr>
        <w:t xml:space="preserve"> (No person shall remain illiterate at any home in </w:t>
      </w:r>
      <w:r w:rsidR="00F14FBB">
        <w:rPr>
          <w:rFonts w:asciiTheme="minorHAnsi" w:hAnsiTheme="minorHAnsi" w:cstheme="minorHAnsi"/>
          <w:sz w:val="20"/>
        </w:rPr>
        <w:t xml:space="preserve">any village) </w:t>
      </w:r>
      <w:r w:rsidRPr="00A33EF9">
        <w:rPr>
          <w:rFonts w:asciiTheme="minorHAnsi" w:hAnsiTheme="minorHAnsi" w:cstheme="minorHAnsi"/>
          <w:sz w:val="20"/>
        </w:rPr>
        <w:t>will be a dream come true.</w:t>
      </w:r>
    </w:p>
    <w:p w:rsidR="00C849F0" w:rsidRPr="00C849F0" w:rsidRDefault="00C849F0" w:rsidP="00C849F0">
      <w:pPr>
        <w:rPr>
          <w:rFonts w:asciiTheme="minorHAnsi" w:hAnsiTheme="minorHAnsi" w:cstheme="minorHAnsi"/>
          <w:color w:val="FF0000"/>
          <w:sz w:val="20"/>
        </w:rPr>
      </w:pPr>
    </w:p>
    <w:p w:rsidR="00734030" w:rsidRDefault="00734030" w:rsidP="00B25E46">
      <w:pPr>
        <w:pStyle w:val="ListParagraph"/>
        <w:numPr>
          <w:ilvl w:val="0"/>
          <w:numId w:val="0"/>
        </w:numPr>
        <w:ind w:left="450"/>
        <w:rPr>
          <w:rFonts w:asciiTheme="minorHAnsi" w:hAnsiTheme="minorHAnsi" w:cstheme="minorHAnsi"/>
          <w:color w:val="FF0000"/>
          <w:sz w:val="20"/>
        </w:rPr>
      </w:pPr>
    </w:p>
    <w:p w:rsidR="005F120D" w:rsidRDefault="005F120D" w:rsidP="00B25E46">
      <w:pPr>
        <w:pStyle w:val="ListParagraph"/>
        <w:numPr>
          <w:ilvl w:val="0"/>
          <w:numId w:val="0"/>
        </w:numPr>
        <w:ind w:left="450"/>
        <w:rPr>
          <w:rFonts w:asciiTheme="minorHAnsi" w:hAnsiTheme="minorHAnsi" w:cstheme="minorHAnsi"/>
          <w:color w:val="FF0000"/>
          <w:sz w:val="20"/>
        </w:rPr>
      </w:pPr>
    </w:p>
    <w:p w:rsidR="00EA7313" w:rsidRPr="005F120D" w:rsidRDefault="00EA7313" w:rsidP="00B25E46">
      <w:pPr>
        <w:pStyle w:val="ListParagraph"/>
        <w:numPr>
          <w:ilvl w:val="0"/>
          <w:numId w:val="0"/>
        </w:numPr>
        <w:ind w:left="450"/>
        <w:rPr>
          <w:rFonts w:asciiTheme="minorHAnsi" w:hAnsiTheme="minorHAnsi" w:cstheme="minorHAnsi"/>
          <w:color w:val="FF0000"/>
          <w:sz w:val="20"/>
        </w:rPr>
      </w:pPr>
    </w:p>
    <w:p w:rsidR="00332BB3" w:rsidRPr="005F120D" w:rsidRDefault="00332BB3" w:rsidP="00B25E46">
      <w:pPr>
        <w:pStyle w:val="Heading1NONUM"/>
        <w:rPr>
          <w:rFonts w:cstheme="minorHAnsi"/>
          <w:color w:val="339933"/>
        </w:rPr>
      </w:pPr>
      <w:bookmarkStart w:id="672" w:name="_Toc462837216"/>
      <w:r w:rsidRPr="005F120D">
        <w:rPr>
          <w:rFonts w:cstheme="minorHAnsi"/>
          <w:color w:val="339933"/>
        </w:rPr>
        <w:lastRenderedPageBreak/>
        <w:t xml:space="preserve">Annex </w:t>
      </w:r>
      <w:r w:rsidR="00EA7313">
        <w:rPr>
          <w:rFonts w:cstheme="minorHAnsi"/>
          <w:color w:val="339933"/>
        </w:rPr>
        <w:t>J</w:t>
      </w:r>
      <w:r w:rsidRPr="005F120D">
        <w:rPr>
          <w:rFonts w:cstheme="minorHAnsi"/>
          <w:color w:val="339933"/>
        </w:rPr>
        <w:t>: Glossary</w:t>
      </w:r>
      <w:bookmarkEnd w:id="648"/>
      <w:bookmarkEnd w:id="649"/>
      <w:bookmarkEnd w:id="650"/>
      <w:bookmarkEnd w:id="660"/>
      <w:bookmarkEnd w:id="672"/>
    </w:p>
    <w:p w:rsidR="00524C05" w:rsidRPr="005F120D" w:rsidRDefault="00524C05" w:rsidP="00B25E46">
      <w:pPr>
        <w:pStyle w:val="BodyText"/>
        <w:numPr>
          <w:ilvl w:val="0"/>
          <w:numId w:val="86"/>
        </w:numPr>
        <w:spacing w:before="120"/>
        <w:jc w:val="both"/>
        <w:rPr>
          <w:rFonts w:asciiTheme="minorHAnsi" w:hAnsiTheme="minorHAnsi" w:cstheme="minorHAnsi"/>
          <w:b/>
          <w:color w:val="0033CC"/>
          <w:sz w:val="22"/>
          <w:szCs w:val="22"/>
        </w:rPr>
      </w:pPr>
      <w:r w:rsidRPr="005F120D">
        <w:rPr>
          <w:rFonts w:asciiTheme="minorHAnsi" w:hAnsiTheme="minorHAnsi" w:cstheme="minorHAnsi"/>
          <w:b/>
          <w:color w:val="0033CC"/>
          <w:sz w:val="22"/>
          <w:szCs w:val="22"/>
        </w:rPr>
        <w:t>Access in primary education</w:t>
      </w:r>
    </w:p>
    <w:p w:rsidR="00524C05" w:rsidRPr="005F120D" w:rsidRDefault="00524C05" w:rsidP="00B25E46">
      <w:pPr>
        <w:pStyle w:val="NoSpacing"/>
        <w:spacing w:before="120" w:after="120"/>
        <w:jc w:val="both"/>
        <w:rPr>
          <w:rStyle w:val="Heading9Char"/>
          <w:rFonts w:asciiTheme="minorHAnsi" w:hAnsiTheme="minorHAnsi" w:cstheme="minorHAnsi"/>
          <w:b w:val="0"/>
          <w:sz w:val="20"/>
        </w:rPr>
      </w:pPr>
      <w:r w:rsidRPr="005F120D">
        <w:rPr>
          <w:rStyle w:val="BodyTextChar0"/>
          <w:rFonts w:asciiTheme="minorHAnsi" w:hAnsiTheme="minorHAnsi" w:cstheme="minorHAnsi"/>
          <w:sz w:val="20"/>
          <w:szCs w:val="20"/>
        </w:rPr>
        <w:t>Definition:</w:t>
      </w:r>
      <w:r w:rsidRPr="005F120D">
        <w:rPr>
          <w:rStyle w:val="Heading9Char"/>
          <w:rFonts w:asciiTheme="minorHAnsi" w:hAnsiTheme="minorHAnsi" w:cstheme="minorHAnsi"/>
          <w:sz w:val="20"/>
        </w:rPr>
        <w:t xml:space="preserve"> Access means a channel, a passage, an entrance or a doorway to primary education. It has a two-way role:</w:t>
      </w:r>
    </w:p>
    <w:p w:rsidR="00524C05" w:rsidRPr="005F120D" w:rsidRDefault="00524C05" w:rsidP="00B25E46">
      <w:pPr>
        <w:pStyle w:val="Caption"/>
        <w:numPr>
          <w:ilvl w:val="0"/>
          <w:numId w:val="85"/>
        </w:numPr>
        <w:spacing w:before="120" w:after="120"/>
        <w:jc w:val="both"/>
        <w:rPr>
          <w:rFonts w:cstheme="minorHAnsi"/>
          <w:b w:val="0"/>
          <w:sz w:val="20"/>
        </w:rPr>
      </w:pPr>
      <w:r w:rsidRPr="005F120D">
        <w:rPr>
          <w:rFonts w:cstheme="minorHAnsi"/>
          <w:b w:val="0"/>
          <w:sz w:val="20"/>
        </w:rPr>
        <w:t>A physical approach;</w:t>
      </w:r>
    </w:p>
    <w:p w:rsidR="00524C05" w:rsidRPr="005F120D" w:rsidRDefault="00524C05" w:rsidP="00B25E46">
      <w:pPr>
        <w:pStyle w:val="Caption"/>
        <w:numPr>
          <w:ilvl w:val="0"/>
          <w:numId w:val="85"/>
        </w:numPr>
        <w:spacing w:before="120" w:after="120"/>
        <w:jc w:val="both"/>
        <w:rPr>
          <w:rFonts w:cstheme="minorHAnsi"/>
          <w:b w:val="0"/>
          <w:sz w:val="20"/>
        </w:rPr>
      </w:pPr>
      <w:r w:rsidRPr="005F120D">
        <w:rPr>
          <w:rFonts w:cstheme="minorHAnsi"/>
          <w:b w:val="0"/>
          <w:sz w:val="20"/>
        </w:rPr>
        <w:t xml:space="preserve">Utilization of existing facilities: It is not only essential to provide education facilities but it is equally important that these facilities to be utilized. </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Purpose:</w:t>
      </w:r>
      <w:r w:rsidRPr="005F120D">
        <w:rPr>
          <w:rFonts w:cstheme="minorHAnsi"/>
          <w:b w:val="0"/>
          <w:sz w:val="20"/>
        </w:rPr>
        <w:t xml:space="preserve"> The purpose is to provide access for all children to primary education as per the national policy and where it</w:t>
      </w:r>
      <w:r w:rsidRPr="005F120D">
        <w:rPr>
          <w:rFonts w:cstheme="minorHAnsi"/>
          <w:b w:val="0"/>
          <w:color w:val="000000"/>
          <w:sz w:val="20"/>
        </w:rPr>
        <w:t xml:space="preserve"> would not be possible to provide, alternative schooling should be introduced for their teaching learning at comparable level.</w:t>
      </w:r>
    </w:p>
    <w:p w:rsidR="00524C05" w:rsidRPr="005F120D" w:rsidRDefault="00524C05" w:rsidP="00B25E46">
      <w:pPr>
        <w:pStyle w:val="BodyText"/>
        <w:numPr>
          <w:ilvl w:val="0"/>
          <w:numId w:val="86"/>
        </w:numPr>
        <w:spacing w:before="120"/>
        <w:jc w:val="both"/>
        <w:rPr>
          <w:rFonts w:asciiTheme="minorHAnsi" w:hAnsiTheme="minorHAnsi" w:cstheme="minorHAnsi"/>
          <w:b/>
          <w:color w:val="0033CC"/>
          <w:sz w:val="22"/>
          <w:szCs w:val="22"/>
        </w:rPr>
      </w:pPr>
      <w:r w:rsidRPr="005F120D">
        <w:rPr>
          <w:rFonts w:asciiTheme="minorHAnsi" w:hAnsiTheme="minorHAnsi" w:cstheme="minorHAnsi"/>
          <w:b/>
          <w:color w:val="0033CC"/>
          <w:sz w:val="22"/>
          <w:szCs w:val="22"/>
        </w:rPr>
        <w:t>Class size</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Definition:</w:t>
      </w:r>
      <w:r w:rsidRPr="005F120D">
        <w:rPr>
          <w:rFonts w:cstheme="minorHAnsi"/>
          <w:b w:val="0"/>
          <w:sz w:val="20"/>
        </w:rPr>
        <w:t xml:space="preserve"> The average number of students enrolled per class.</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Purpose:</w:t>
      </w:r>
      <w:r w:rsidRPr="005F120D">
        <w:rPr>
          <w:rFonts w:cstheme="minorHAnsi"/>
          <w:b w:val="0"/>
          <w:sz w:val="20"/>
        </w:rPr>
        <w:t xml:space="preserve"> The purpose is to measure the average number of children taught together at one time in a room. The results can compare with established country’s national norms.</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Calculation method:</w:t>
      </w:r>
      <w:r w:rsidR="00F14FBB">
        <w:rPr>
          <w:rStyle w:val="BodyTextChar0"/>
          <w:rFonts w:cstheme="minorHAnsi"/>
          <w:color w:val="0033CC"/>
          <w:sz w:val="20"/>
          <w:szCs w:val="20"/>
        </w:rPr>
        <w:t xml:space="preserve"> </w:t>
      </w:r>
      <w:r w:rsidRPr="005F120D">
        <w:rPr>
          <w:rFonts w:cstheme="minorHAnsi"/>
          <w:b w:val="0"/>
          <w:sz w:val="20"/>
        </w:rPr>
        <w:t>Divide the total number of students enrolled by the total number of classes.</w:t>
      </w:r>
    </w:p>
    <w:p w:rsidR="00524C05" w:rsidRPr="005F120D" w:rsidRDefault="00524C05" w:rsidP="00B25E46">
      <w:pPr>
        <w:pStyle w:val="BodyText"/>
        <w:numPr>
          <w:ilvl w:val="0"/>
          <w:numId w:val="86"/>
        </w:numPr>
        <w:spacing w:before="120"/>
        <w:jc w:val="both"/>
        <w:rPr>
          <w:rFonts w:asciiTheme="minorHAnsi" w:hAnsiTheme="minorHAnsi" w:cstheme="minorHAnsi"/>
          <w:b/>
          <w:color w:val="0033CC"/>
          <w:sz w:val="22"/>
          <w:szCs w:val="22"/>
        </w:rPr>
      </w:pPr>
      <w:r w:rsidRPr="005F120D">
        <w:rPr>
          <w:rFonts w:asciiTheme="minorHAnsi" w:hAnsiTheme="minorHAnsi" w:cstheme="minorHAnsi"/>
          <w:b/>
          <w:color w:val="0033CC"/>
          <w:sz w:val="22"/>
          <w:szCs w:val="22"/>
        </w:rPr>
        <w:t>Coefficient of Efficiency</w:t>
      </w:r>
    </w:p>
    <w:p w:rsidR="00524C05" w:rsidRPr="005F120D" w:rsidRDefault="00524C05" w:rsidP="00B25E46">
      <w:pPr>
        <w:pStyle w:val="Caption"/>
        <w:spacing w:before="120" w:after="120"/>
        <w:jc w:val="both"/>
        <w:rPr>
          <w:rFonts w:cstheme="minorHAnsi"/>
          <w:b w:val="0"/>
          <w:i/>
          <w:color w:val="0033CC"/>
          <w:sz w:val="20"/>
        </w:rPr>
      </w:pPr>
      <w:r w:rsidRPr="005F120D">
        <w:rPr>
          <w:rStyle w:val="BodyTextChar0"/>
          <w:rFonts w:cstheme="minorHAnsi"/>
          <w:color w:val="0033CC"/>
          <w:sz w:val="20"/>
          <w:szCs w:val="20"/>
        </w:rPr>
        <w:t>Definition:</w:t>
      </w:r>
      <w:r w:rsidRPr="005F120D">
        <w:rPr>
          <w:rFonts w:cstheme="minorHAnsi"/>
          <w:b w:val="0"/>
          <w:sz w:val="20"/>
        </w:rPr>
        <w:t>The ideal (optimal) number of pupil years required (i.e. in the absence of repetition and dropout) to produce a number of</w:t>
      </w:r>
      <w:r w:rsidR="00E67357" w:rsidRPr="005F120D">
        <w:rPr>
          <w:rFonts w:cstheme="minorHAnsi"/>
          <w:b w:val="0"/>
          <w:sz w:val="20"/>
        </w:rPr>
        <w:t xml:space="preserve"> graduates from a given school </w:t>
      </w:r>
      <w:r w:rsidRPr="005F120D">
        <w:rPr>
          <w:rFonts w:cstheme="minorHAnsi"/>
          <w:b w:val="0"/>
          <w:sz w:val="20"/>
        </w:rPr>
        <w:t xml:space="preserve">cohort for primary education expressed as a percentage of the actual number of pupil years spent to produce the same number of graduates. </w:t>
      </w:r>
      <w:r w:rsidRPr="005F120D">
        <w:rPr>
          <w:rFonts w:cstheme="minorHAnsi"/>
          <w:b w:val="0"/>
          <w:i/>
          <w:color w:val="0033CC"/>
          <w:sz w:val="20"/>
        </w:rPr>
        <w:t>DPE uses UNESCO reconstruction cohort model for calculating Coefficient of efficiency.</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Purpose:</w:t>
      </w:r>
      <w:r w:rsidRPr="005F120D">
        <w:rPr>
          <w:rFonts w:cstheme="minorHAnsi"/>
          <w:b w:val="0"/>
          <w:sz w:val="20"/>
        </w:rPr>
        <w:t xml:space="preserve"> This is an indicator of the internal efficiency of an educational system. It </w:t>
      </w:r>
      <w:r w:rsidR="00EC3044" w:rsidRPr="005F120D">
        <w:rPr>
          <w:rFonts w:cstheme="minorHAnsi"/>
          <w:b w:val="0"/>
          <w:sz w:val="20"/>
        </w:rPr>
        <w:t>summarizes</w:t>
      </w:r>
      <w:r w:rsidRPr="005F120D">
        <w:rPr>
          <w:rFonts w:cstheme="minorHAnsi"/>
          <w:b w:val="0"/>
          <w:sz w:val="20"/>
        </w:rPr>
        <w:t xml:space="preserve"> the consequences of repetition and dropout on the efficiency of the educational process in producing graduates.</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Calculation method:</w:t>
      </w:r>
      <w:r w:rsidRPr="005F120D">
        <w:rPr>
          <w:rFonts w:cstheme="minorHAnsi"/>
          <w:b w:val="0"/>
          <w:sz w:val="20"/>
        </w:rPr>
        <w:t>Divide the ideal number of pupil years required to produce a number o</w:t>
      </w:r>
      <w:r w:rsidR="00E67357" w:rsidRPr="005F120D">
        <w:rPr>
          <w:rFonts w:cstheme="minorHAnsi"/>
          <w:b w:val="0"/>
          <w:sz w:val="20"/>
        </w:rPr>
        <w:t>f graduates from a given school</w:t>
      </w:r>
      <w:r w:rsidRPr="005F120D">
        <w:rPr>
          <w:rFonts w:cstheme="minorHAnsi"/>
          <w:b w:val="0"/>
          <w:sz w:val="20"/>
        </w:rPr>
        <w:t xml:space="preserve"> cohort for the specified level of education by the actual number of pupil years spent to produce the same number of graduates, then multiply the result by 100. The coefficient of efficiency calculated </w:t>
      </w:r>
      <w:r w:rsidR="00E67357" w:rsidRPr="005F120D">
        <w:rPr>
          <w:rFonts w:cstheme="minorHAnsi"/>
          <w:b w:val="0"/>
          <w:sz w:val="20"/>
        </w:rPr>
        <w:t xml:space="preserve">is </w:t>
      </w:r>
      <w:r w:rsidRPr="005F120D">
        <w:rPr>
          <w:rFonts w:cstheme="minorHAnsi"/>
          <w:b w:val="0"/>
          <w:sz w:val="20"/>
        </w:rPr>
        <w:t xml:space="preserve">based on the reconstructed cohort method, which uses data on </w:t>
      </w:r>
      <w:r w:rsidR="004B53A0" w:rsidRPr="005F120D">
        <w:rPr>
          <w:rFonts w:cstheme="minorHAnsi"/>
          <w:b w:val="0"/>
          <w:sz w:val="20"/>
        </w:rPr>
        <w:t>enrolment</w:t>
      </w:r>
      <w:r w:rsidRPr="005F120D">
        <w:rPr>
          <w:rFonts w:cstheme="minorHAnsi"/>
          <w:b w:val="0"/>
          <w:sz w:val="20"/>
        </w:rPr>
        <w:t xml:space="preserve"> and repeaters for two consecutive years.</w:t>
      </w:r>
    </w:p>
    <w:p w:rsidR="00524C05" w:rsidRPr="005F120D" w:rsidRDefault="00524C05" w:rsidP="00B25E46">
      <w:pPr>
        <w:pStyle w:val="BodyText"/>
        <w:numPr>
          <w:ilvl w:val="0"/>
          <w:numId w:val="86"/>
        </w:numPr>
        <w:spacing w:before="120"/>
        <w:jc w:val="both"/>
        <w:rPr>
          <w:rFonts w:asciiTheme="minorHAnsi" w:hAnsiTheme="minorHAnsi" w:cstheme="minorHAnsi"/>
          <w:b/>
          <w:color w:val="0033CC"/>
          <w:sz w:val="22"/>
          <w:szCs w:val="22"/>
        </w:rPr>
      </w:pPr>
      <w:r w:rsidRPr="005F120D">
        <w:rPr>
          <w:rFonts w:asciiTheme="minorHAnsi" w:hAnsiTheme="minorHAnsi" w:cstheme="minorHAnsi"/>
          <w:b/>
          <w:color w:val="0033CC"/>
          <w:sz w:val="22"/>
          <w:szCs w:val="22"/>
        </w:rPr>
        <w:t>Cohort Completion Rate for Primary Education (CCR)</w:t>
      </w:r>
    </w:p>
    <w:p w:rsidR="00524C05" w:rsidRPr="005F120D" w:rsidRDefault="00524C05" w:rsidP="00B25E46">
      <w:pPr>
        <w:pStyle w:val="Caption"/>
        <w:spacing w:before="120" w:after="120"/>
        <w:jc w:val="both"/>
        <w:rPr>
          <w:rFonts w:cstheme="minorHAnsi"/>
          <w:b w:val="0"/>
          <w:i/>
          <w:color w:val="0033CC"/>
          <w:sz w:val="20"/>
        </w:rPr>
      </w:pPr>
      <w:r w:rsidRPr="005F120D">
        <w:rPr>
          <w:rStyle w:val="BodyTextChar0"/>
          <w:rFonts w:cstheme="minorHAnsi"/>
          <w:color w:val="0033CC"/>
          <w:sz w:val="20"/>
          <w:szCs w:val="20"/>
        </w:rPr>
        <w:t>Definition:</w:t>
      </w:r>
      <w:r w:rsidRPr="005F120D">
        <w:rPr>
          <w:rFonts w:cstheme="minorHAnsi"/>
          <w:b w:val="0"/>
          <w:sz w:val="20"/>
        </w:rPr>
        <w:t xml:space="preserve"> Percentage of a cohort of pupils enrolled in the first grade of prim</w:t>
      </w:r>
      <w:r w:rsidR="00120792" w:rsidRPr="005F120D">
        <w:rPr>
          <w:rFonts w:cstheme="minorHAnsi"/>
          <w:b w:val="0"/>
          <w:sz w:val="20"/>
        </w:rPr>
        <w:t>ary education in a given school</w:t>
      </w:r>
      <w:r w:rsidRPr="005F120D">
        <w:rPr>
          <w:rFonts w:cstheme="minorHAnsi"/>
          <w:b w:val="0"/>
          <w:sz w:val="20"/>
        </w:rPr>
        <w:t xml:space="preserve"> year expected to complete primary education. The CCR is the product of the probability of reaching the last grade (survival rate) and the probability of graduating from the last grade. </w:t>
      </w:r>
      <w:r w:rsidRPr="005F120D">
        <w:rPr>
          <w:rFonts w:cstheme="minorHAnsi"/>
          <w:b w:val="0"/>
          <w:i/>
          <w:color w:val="0033CC"/>
          <w:sz w:val="20"/>
        </w:rPr>
        <w:t>DPE uses UNESCO reconstruction cohort model for calculating completion rate</w:t>
      </w:r>
      <w:r w:rsidR="007809B0" w:rsidRPr="005F120D">
        <w:rPr>
          <w:rFonts w:cstheme="minorHAnsi"/>
          <w:b w:val="0"/>
          <w:i/>
          <w:color w:val="0033CC"/>
          <w:sz w:val="20"/>
        </w:rPr>
        <w:t xml:space="preserve"> as opposite of dropout rate</w:t>
      </w:r>
      <w:r w:rsidRPr="005F120D">
        <w:rPr>
          <w:rFonts w:cstheme="minorHAnsi"/>
          <w:b w:val="0"/>
          <w:i/>
          <w:color w:val="0033CC"/>
          <w:sz w:val="20"/>
        </w:rPr>
        <w:t>.</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Purpose:</w:t>
      </w:r>
      <w:r w:rsidRPr="005F120D">
        <w:rPr>
          <w:rFonts w:cstheme="minorHAnsi"/>
          <w:b w:val="0"/>
          <w:sz w:val="20"/>
        </w:rPr>
        <w:t xml:space="preserve"> To assess the likelihood that pupils of the same cohort, including repeaters, complete primary education.</w:t>
      </w:r>
    </w:p>
    <w:p w:rsidR="00524C05" w:rsidRPr="005F120D" w:rsidRDefault="00524C05" w:rsidP="00B25E46">
      <w:pPr>
        <w:pStyle w:val="BodyText"/>
        <w:numPr>
          <w:ilvl w:val="0"/>
          <w:numId w:val="86"/>
        </w:numPr>
        <w:spacing w:before="120"/>
        <w:jc w:val="both"/>
        <w:rPr>
          <w:rFonts w:asciiTheme="minorHAnsi" w:hAnsiTheme="minorHAnsi" w:cstheme="minorHAnsi"/>
          <w:b/>
          <w:color w:val="0033CC"/>
          <w:sz w:val="22"/>
          <w:szCs w:val="22"/>
        </w:rPr>
      </w:pPr>
      <w:r w:rsidRPr="005F120D">
        <w:rPr>
          <w:rFonts w:asciiTheme="minorHAnsi" w:hAnsiTheme="minorHAnsi" w:cstheme="minorHAnsi"/>
          <w:b/>
          <w:color w:val="0033CC"/>
          <w:sz w:val="22"/>
          <w:szCs w:val="22"/>
        </w:rPr>
        <w:t>Dropout Rate (DR) by grade</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Definition:</w:t>
      </w:r>
      <w:r w:rsidRPr="005F120D">
        <w:rPr>
          <w:rFonts w:cstheme="minorHAnsi"/>
          <w:b w:val="0"/>
          <w:sz w:val="20"/>
        </w:rPr>
        <w:t xml:space="preserve"> Proportion of pupils from a cohort enrolled in </w:t>
      </w:r>
      <w:r w:rsidR="00892125" w:rsidRPr="005F120D">
        <w:rPr>
          <w:rFonts w:cstheme="minorHAnsi"/>
          <w:b w:val="0"/>
          <w:sz w:val="20"/>
        </w:rPr>
        <w:t>a given grade in a given school</w:t>
      </w:r>
      <w:r w:rsidRPr="005F120D">
        <w:rPr>
          <w:rFonts w:cstheme="minorHAnsi"/>
          <w:b w:val="0"/>
          <w:sz w:val="20"/>
        </w:rPr>
        <w:t xml:space="preserve"> year no longer enrolled in the following schools year.</w:t>
      </w:r>
    </w:p>
    <w:p w:rsidR="00524C05" w:rsidRPr="005F120D" w:rsidRDefault="00524C05" w:rsidP="00B25E46">
      <w:pPr>
        <w:pStyle w:val="Caption"/>
        <w:spacing w:before="120" w:after="120"/>
        <w:jc w:val="both"/>
        <w:rPr>
          <w:rFonts w:cstheme="minorHAnsi"/>
          <w:b w:val="0"/>
          <w:i/>
          <w:color w:val="0033CC"/>
          <w:sz w:val="20"/>
        </w:rPr>
      </w:pPr>
      <w:r w:rsidRPr="005F120D">
        <w:rPr>
          <w:rStyle w:val="BodyTextChar0"/>
          <w:rFonts w:cstheme="minorHAnsi"/>
          <w:color w:val="0033CC"/>
          <w:sz w:val="20"/>
          <w:szCs w:val="20"/>
        </w:rPr>
        <w:t>Purpose:</w:t>
      </w:r>
      <w:r w:rsidRPr="005F120D">
        <w:rPr>
          <w:rFonts w:cstheme="minorHAnsi"/>
          <w:b w:val="0"/>
          <w:sz w:val="20"/>
        </w:rPr>
        <w:t>The purpose is to measure the phenomenon of pupi</w:t>
      </w:r>
      <w:r w:rsidR="00892125" w:rsidRPr="005F120D">
        <w:rPr>
          <w:rFonts w:cstheme="minorHAnsi"/>
          <w:b w:val="0"/>
          <w:sz w:val="20"/>
        </w:rPr>
        <w:t>ls from a cohort leaving school</w:t>
      </w:r>
      <w:r w:rsidRPr="005F120D">
        <w:rPr>
          <w:rFonts w:cstheme="minorHAnsi"/>
          <w:b w:val="0"/>
          <w:sz w:val="20"/>
        </w:rPr>
        <w:t xml:space="preserve"> without completion, and its effect on the internal efficiency of educational systems. In addition, it is one of the key indicators for analyzing and projecting pupil flows from grade to grade within the educational cycle. </w:t>
      </w:r>
      <w:r w:rsidRPr="005F120D">
        <w:rPr>
          <w:rFonts w:cstheme="minorHAnsi"/>
          <w:b w:val="0"/>
          <w:i/>
          <w:color w:val="0033CC"/>
          <w:sz w:val="20"/>
        </w:rPr>
        <w:t>DPE uses UNESCO reconstruction cohort model for calculating Dropout rate.</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Calculation method:</w:t>
      </w:r>
      <w:r w:rsidRPr="005F120D">
        <w:rPr>
          <w:rFonts w:cstheme="minorHAnsi"/>
          <w:b w:val="0"/>
          <w:sz w:val="20"/>
        </w:rPr>
        <w:t xml:space="preserve"> Dropout rate by grade is calculated by subtracting the sum of promotion rate and repetition rate from 100 in the given schools year. The cumulative dropo</w:t>
      </w:r>
      <w:r w:rsidR="00892125" w:rsidRPr="005F120D">
        <w:rPr>
          <w:rFonts w:cstheme="minorHAnsi"/>
          <w:b w:val="0"/>
          <w:sz w:val="20"/>
        </w:rPr>
        <w:t>ut rate of primary education is</w:t>
      </w:r>
      <w:r w:rsidRPr="005F120D">
        <w:rPr>
          <w:rFonts w:cstheme="minorHAnsi"/>
          <w:b w:val="0"/>
          <w:sz w:val="20"/>
        </w:rPr>
        <w:t xml:space="preserve"> calculated by subtracting the survival rate from 100 at a given grade (see </w:t>
      </w:r>
      <w:r w:rsidRPr="005F120D">
        <w:rPr>
          <w:rFonts w:cstheme="minorHAnsi"/>
          <w:b w:val="0"/>
          <w:iCs/>
          <w:sz w:val="20"/>
        </w:rPr>
        <w:t>survival rate</w:t>
      </w:r>
      <w:r w:rsidRPr="005F120D">
        <w:rPr>
          <w:rFonts w:cstheme="minorHAnsi"/>
          <w:b w:val="0"/>
          <w:sz w:val="20"/>
        </w:rPr>
        <w:t xml:space="preserve">). </w:t>
      </w:r>
    </w:p>
    <w:p w:rsidR="00B25E46" w:rsidRPr="005F120D" w:rsidRDefault="00B25E46" w:rsidP="00B25E46">
      <w:pPr>
        <w:rPr>
          <w:rFonts w:asciiTheme="minorHAnsi" w:hAnsiTheme="minorHAnsi" w:cstheme="minorHAnsi"/>
        </w:rPr>
      </w:pPr>
    </w:p>
    <w:tbl>
      <w:tblPr>
        <w:tblW w:w="0" w:type="auto"/>
        <w:tblLook w:val="04A0"/>
      </w:tblPr>
      <w:tblGrid>
        <w:gridCol w:w="1818"/>
        <w:gridCol w:w="4680"/>
        <w:gridCol w:w="2070"/>
      </w:tblGrid>
      <w:tr w:rsidR="00524C05" w:rsidRPr="005F120D" w:rsidTr="00F0758E">
        <w:tc>
          <w:tcPr>
            <w:tcW w:w="1818" w:type="dxa"/>
            <w:vMerge w:val="restart"/>
            <w:vAlign w:val="center"/>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lastRenderedPageBreak/>
              <w:t>Formula    =</w:t>
            </w:r>
          </w:p>
        </w:tc>
        <w:tc>
          <w:tcPr>
            <w:tcW w:w="4680" w:type="dxa"/>
            <w:tcBorders>
              <w:bottom w:val="single" w:sz="12" w:space="0" w:color="3333FF"/>
            </w:tcBorders>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lang w:val="en-US"/>
              </w:rPr>
              <w:t>No. of pupils dropping out from grade g in year t</w:t>
            </w:r>
          </w:p>
        </w:tc>
        <w:tc>
          <w:tcPr>
            <w:tcW w:w="2070" w:type="dxa"/>
            <w:vMerge w:val="restart"/>
            <w:vAlign w:val="center"/>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X 100</w:t>
            </w:r>
          </w:p>
        </w:tc>
      </w:tr>
      <w:tr w:rsidR="00524C05" w:rsidRPr="005F120D" w:rsidTr="00F0758E">
        <w:tc>
          <w:tcPr>
            <w:tcW w:w="1818" w:type="dxa"/>
            <w:vMerge/>
          </w:tcPr>
          <w:p w:rsidR="00524C05" w:rsidRPr="005F120D" w:rsidRDefault="00524C05" w:rsidP="00B25E46">
            <w:pPr>
              <w:spacing w:after="0"/>
              <w:jc w:val="both"/>
              <w:rPr>
                <w:rFonts w:asciiTheme="minorHAnsi" w:hAnsiTheme="minorHAnsi" w:cstheme="minorHAnsi"/>
                <w:color w:val="0033CC"/>
                <w:sz w:val="20"/>
              </w:rPr>
            </w:pPr>
          </w:p>
        </w:tc>
        <w:tc>
          <w:tcPr>
            <w:tcW w:w="4680" w:type="dxa"/>
            <w:tcBorders>
              <w:top w:val="single" w:sz="12" w:space="0" w:color="3333FF"/>
            </w:tcBorders>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lang w:val="en-US"/>
              </w:rPr>
              <w:t>Total number of pupils in grade g in year t</w:t>
            </w:r>
          </w:p>
        </w:tc>
        <w:tc>
          <w:tcPr>
            <w:tcW w:w="2070" w:type="dxa"/>
            <w:vMerge/>
          </w:tcPr>
          <w:p w:rsidR="00524C05" w:rsidRPr="005F120D" w:rsidRDefault="00524C05" w:rsidP="00B25E46">
            <w:pPr>
              <w:pStyle w:val="BodyText"/>
              <w:spacing w:after="0"/>
              <w:jc w:val="both"/>
              <w:rPr>
                <w:rFonts w:asciiTheme="minorHAnsi" w:hAnsiTheme="minorHAnsi" w:cstheme="minorHAnsi"/>
                <w:b/>
                <w:color w:val="0033CC"/>
                <w:sz w:val="20"/>
                <w:szCs w:val="20"/>
              </w:rPr>
            </w:pPr>
          </w:p>
        </w:tc>
      </w:tr>
    </w:tbl>
    <w:p w:rsidR="006D49B9" w:rsidRPr="005F120D" w:rsidRDefault="006D49B9" w:rsidP="00B25E46">
      <w:pPr>
        <w:pStyle w:val="BodyText"/>
        <w:spacing w:after="0"/>
        <w:ind w:left="360"/>
        <w:jc w:val="both"/>
        <w:rPr>
          <w:rFonts w:asciiTheme="minorHAnsi" w:hAnsiTheme="minorHAnsi" w:cstheme="minorHAnsi"/>
          <w:b/>
          <w:color w:val="0033CC"/>
          <w:sz w:val="20"/>
          <w:szCs w:val="20"/>
        </w:rPr>
      </w:pPr>
    </w:p>
    <w:p w:rsidR="00524C05" w:rsidRPr="005F120D" w:rsidRDefault="00524C05" w:rsidP="00B25E46">
      <w:pPr>
        <w:pStyle w:val="BodyText"/>
        <w:numPr>
          <w:ilvl w:val="0"/>
          <w:numId w:val="86"/>
        </w:numPr>
        <w:spacing w:after="0"/>
        <w:jc w:val="both"/>
        <w:rPr>
          <w:rFonts w:asciiTheme="minorHAnsi" w:hAnsiTheme="minorHAnsi" w:cstheme="minorHAnsi"/>
          <w:b/>
          <w:color w:val="0033CC"/>
          <w:sz w:val="20"/>
          <w:szCs w:val="20"/>
        </w:rPr>
      </w:pPr>
      <w:r w:rsidRPr="005F120D">
        <w:rPr>
          <w:rFonts w:asciiTheme="minorHAnsi" w:hAnsiTheme="minorHAnsi" w:cstheme="minorHAnsi"/>
          <w:b/>
          <w:color w:val="0033CC"/>
          <w:sz w:val="20"/>
          <w:szCs w:val="20"/>
        </w:rPr>
        <w:t>Ebtedayee</w:t>
      </w:r>
      <w:r w:rsidR="00F14FBB">
        <w:rPr>
          <w:rFonts w:asciiTheme="minorHAnsi" w:hAnsiTheme="minorHAnsi" w:cstheme="minorHAnsi"/>
          <w:b/>
          <w:color w:val="0033CC"/>
          <w:sz w:val="20"/>
          <w:szCs w:val="20"/>
        </w:rPr>
        <w:t xml:space="preserve"> Madrasha</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sz w:val="20"/>
          <w:szCs w:val="20"/>
        </w:rPr>
        <w:t>Definition:</w:t>
      </w:r>
      <w:r w:rsidR="00F14FBB">
        <w:rPr>
          <w:rStyle w:val="BodyTextChar0"/>
          <w:rFonts w:cstheme="minorHAnsi"/>
          <w:sz w:val="20"/>
          <w:szCs w:val="20"/>
        </w:rPr>
        <w:t xml:space="preserve"> </w:t>
      </w:r>
      <w:r w:rsidRPr="005F120D">
        <w:rPr>
          <w:rFonts w:cstheme="minorHAnsi"/>
          <w:b w:val="0"/>
          <w:sz w:val="20"/>
        </w:rPr>
        <w:t>This is the level of</w:t>
      </w:r>
      <w:r w:rsidR="00892125" w:rsidRPr="005F120D">
        <w:rPr>
          <w:rFonts w:cstheme="minorHAnsi"/>
          <w:b w:val="0"/>
          <w:sz w:val="20"/>
        </w:rPr>
        <w:t xml:space="preserve"> the</w:t>
      </w:r>
      <w:r w:rsidR="00F14FBB">
        <w:rPr>
          <w:rFonts w:cstheme="minorHAnsi"/>
          <w:b w:val="0"/>
          <w:sz w:val="20"/>
        </w:rPr>
        <w:t xml:space="preserve"> Madrasha</w:t>
      </w:r>
      <w:r w:rsidRPr="005F120D">
        <w:rPr>
          <w:rFonts w:cstheme="minorHAnsi"/>
          <w:b w:val="0"/>
          <w:sz w:val="20"/>
        </w:rPr>
        <w:t xml:space="preserve"> system offering </w:t>
      </w:r>
      <w:r w:rsidR="00892125" w:rsidRPr="005F120D">
        <w:rPr>
          <w:rFonts w:cstheme="minorHAnsi"/>
          <w:b w:val="0"/>
          <w:sz w:val="20"/>
        </w:rPr>
        <w:t xml:space="preserve">the </w:t>
      </w:r>
      <w:r w:rsidRPr="005F120D">
        <w:rPr>
          <w:rFonts w:cstheme="minorHAnsi"/>
          <w:b w:val="0"/>
          <w:sz w:val="20"/>
        </w:rPr>
        <w:t>education equivalent to the primary level of general education. It offers both religious and gene</w:t>
      </w:r>
      <w:r w:rsidR="00892125" w:rsidRPr="005F120D">
        <w:rPr>
          <w:rFonts w:cstheme="minorHAnsi"/>
          <w:b w:val="0"/>
          <w:sz w:val="20"/>
        </w:rPr>
        <w:t>ral education instruction to</w:t>
      </w:r>
      <w:r w:rsidRPr="005F120D">
        <w:rPr>
          <w:rFonts w:cstheme="minorHAnsi"/>
          <w:b w:val="0"/>
          <w:sz w:val="20"/>
        </w:rPr>
        <w:t xml:space="preserve"> Muslim students.</w:t>
      </w:r>
    </w:p>
    <w:p w:rsidR="00524C05" w:rsidRPr="005F120D" w:rsidRDefault="00524C05" w:rsidP="00B25E46">
      <w:pPr>
        <w:pStyle w:val="BodyText"/>
        <w:numPr>
          <w:ilvl w:val="0"/>
          <w:numId w:val="86"/>
        </w:numPr>
        <w:spacing w:before="120"/>
        <w:jc w:val="both"/>
        <w:rPr>
          <w:rFonts w:asciiTheme="minorHAnsi" w:hAnsiTheme="minorHAnsi" w:cstheme="minorHAnsi"/>
          <w:b/>
          <w:color w:val="0033CC"/>
          <w:sz w:val="20"/>
          <w:szCs w:val="20"/>
        </w:rPr>
      </w:pPr>
      <w:r w:rsidRPr="005F120D">
        <w:rPr>
          <w:rFonts w:asciiTheme="minorHAnsi" w:hAnsiTheme="minorHAnsi" w:cstheme="minorHAnsi"/>
          <w:b/>
          <w:color w:val="0033CC"/>
          <w:sz w:val="20"/>
          <w:szCs w:val="20"/>
        </w:rPr>
        <w:t xml:space="preserve">Equity </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Definition:</w:t>
      </w:r>
      <w:r w:rsidRPr="005F120D">
        <w:rPr>
          <w:rFonts w:cstheme="minorHAnsi"/>
          <w:b w:val="0"/>
          <w:sz w:val="20"/>
        </w:rPr>
        <w:t>Equity means equitable access to</w:t>
      </w:r>
      <w:r w:rsidR="00892125" w:rsidRPr="005F120D">
        <w:rPr>
          <w:rFonts w:cstheme="minorHAnsi"/>
          <w:b w:val="0"/>
          <w:sz w:val="20"/>
        </w:rPr>
        <w:t>,</w:t>
      </w:r>
      <w:r w:rsidRPr="005F120D">
        <w:rPr>
          <w:rFonts w:cstheme="minorHAnsi"/>
          <w:b w:val="0"/>
          <w:sz w:val="20"/>
        </w:rPr>
        <w:t xml:space="preserve"> and participation in all </w:t>
      </w:r>
      <w:r w:rsidR="007809B0" w:rsidRPr="005F120D">
        <w:rPr>
          <w:rFonts w:cstheme="minorHAnsi"/>
          <w:b w:val="0"/>
          <w:sz w:val="20"/>
        </w:rPr>
        <w:t>management and program function</w:t>
      </w:r>
      <w:r w:rsidR="00892125" w:rsidRPr="005F120D">
        <w:rPr>
          <w:rFonts w:cstheme="minorHAnsi"/>
          <w:b w:val="0"/>
          <w:sz w:val="20"/>
        </w:rPr>
        <w:t>s</w:t>
      </w:r>
      <w:r w:rsidRPr="005F120D">
        <w:rPr>
          <w:rFonts w:cstheme="minorHAnsi"/>
          <w:b w:val="0"/>
          <w:sz w:val="20"/>
        </w:rPr>
        <w:t xml:space="preserve"> regardless of special characteristics including but not limited to gender, race, colour, national origin, disability and age. </w:t>
      </w:r>
    </w:p>
    <w:p w:rsidR="00524C05" w:rsidRPr="005F120D" w:rsidRDefault="00524C05" w:rsidP="00B25E46">
      <w:pPr>
        <w:pStyle w:val="BodyText"/>
        <w:numPr>
          <w:ilvl w:val="0"/>
          <w:numId w:val="86"/>
        </w:numPr>
        <w:spacing w:before="120"/>
        <w:jc w:val="both"/>
        <w:rPr>
          <w:rFonts w:asciiTheme="minorHAnsi" w:hAnsiTheme="minorHAnsi" w:cstheme="minorHAnsi"/>
          <w:b/>
          <w:color w:val="0033CC"/>
          <w:sz w:val="20"/>
          <w:szCs w:val="20"/>
        </w:rPr>
      </w:pPr>
      <w:r w:rsidRPr="005F120D">
        <w:rPr>
          <w:rFonts w:asciiTheme="minorHAnsi" w:hAnsiTheme="minorHAnsi" w:cstheme="minorHAnsi"/>
          <w:b/>
          <w:color w:val="0033CC"/>
          <w:sz w:val="20"/>
          <w:szCs w:val="20"/>
        </w:rPr>
        <w:t>Gender Parity Index (GPI)</w:t>
      </w:r>
    </w:p>
    <w:p w:rsidR="00524C05" w:rsidRPr="005F120D" w:rsidRDefault="00524C05"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color w:val="0033CC"/>
          <w:sz w:val="20"/>
          <w:szCs w:val="20"/>
        </w:rPr>
        <w:t>Definition:</w:t>
      </w:r>
      <w:r w:rsidRPr="005F120D">
        <w:rPr>
          <w:rFonts w:asciiTheme="minorHAnsi" w:hAnsiTheme="minorHAnsi" w:cstheme="minorHAnsi"/>
          <w:sz w:val="20"/>
        </w:rPr>
        <w:t xml:space="preserve"> GPI is the ratio of female to male values of a given indicator.</w:t>
      </w:r>
    </w:p>
    <w:p w:rsidR="00524C05" w:rsidRPr="005F120D" w:rsidRDefault="00524C05"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color w:val="0033CC"/>
          <w:sz w:val="20"/>
          <w:szCs w:val="20"/>
        </w:rPr>
        <w:t>Purpose:</w:t>
      </w:r>
      <w:r w:rsidRPr="005F120D">
        <w:rPr>
          <w:rFonts w:asciiTheme="minorHAnsi" w:hAnsiTheme="minorHAnsi" w:cstheme="minorHAnsi"/>
          <w:sz w:val="20"/>
        </w:rPr>
        <w:t xml:space="preserve"> The GPI measures progress towards gender parity in education participation and/or learning opportunities available for female</w:t>
      </w:r>
      <w:r w:rsidR="00892125" w:rsidRPr="005F120D">
        <w:rPr>
          <w:rFonts w:asciiTheme="minorHAnsi" w:hAnsiTheme="minorHAnsi" w:cstheme="minorHAnsi"/>
          <w:sz w:val="20"/>
        </w:rPr>
        <w:t>s</w:t>
      </w:r>
      <w:r w:rsidRPr="005F120D">
        <w:rPr>
          <w:rFonts w:asciiTheme="minorHAnsi" w:hAnsiTheme="minorHAnsi" w:cstheme="minorHAnsi"/>
          <w:sz w:val="20"/>
        </w:rPr>
        <w:t xml:space="preserve"> in relation to those available to mal</w:t>
      </w:r>
      <w:r w:rsidR="00F14FBB">
        <w:rPr>
          <w:rFonts w:asciiTheme="minorHAnsi" w:hAnsiTheme="minorHAnsi" w:cstheme="minorHAnsi"/>
          <w:sz w:val="20"/>
        </w:rPr>
        <w:t>e</w:t>
      </w:r>
      <w:r w:rsidR="00892125" w:rsidRPr="005F120D">
        <w:rPr>
          <w:rFonts w:asciiTheme="minorHAnsi" w:hAnsiTheme="minorHAnsi" w:cstheme="minorHAnsi"/>
          <w:sz w:val="20"/>
        </w:rPr>
        <w:t>s</w:t>
      </w:r>
      <w:r w:rsidRPr="005F120D">
        <w:rPr>
          <w:rFonts w:asciiTheme="minorHAnsi" w:hAnsiTheme="minorHAnsi" w:cstheme="minorHAnsi"/>
          <w:sz w:val="20"/>
        </w:rPr>
        <w:t>. It also reflects the level of women’s empowerment in society.</w:t>
      </w:r>
    </w:p>
    <w:p w:rsidR="00524C05" w:rsidRPr="005F120D" w:rsidRDefault="00524C05"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color w:val="0033CC"/>
          <w:sz w:val="20"/>
          <w:szCs w:val="20"/>
        </w:rPr>
        <w:t>Calculation Method:</w:t>
      </w:r>
      <w:r w:rsidRPr="005F120D">
        <w:rPr>
          <w:rFonts w:asciiTheme="minorHAnsi" w:hAnsiTheme="minorHAnsi" w:cstheme="minorHAnsi"/>
          <w:sz w:val="20"/>
        </w:rPr>
        <w:t xml:space="preserve"> Divide the female value of a given indicator by that of the male</w:t>
      </w:r>
    </w:p>
    <w:tbl>
      <w:tblPr>
        <w:tblW w:w="0" w:type="auto"/>
        <w:tblLook w:val="04A0"/>
      </w:tblPr>
      <w:tblGrid>
        <w:gridCol w:w="1818"/>
        <w:gridCol w:w="3780"/>
        <w:gridCol w:w="2970"/>
      </w:tblGrid>
      <w:tr w:rsidR="00524C05" w:rsidRPr="005F120D" w:rsidTr="00F0758E">
        <w:tc>
          <w:tcPr>
            <w:tcW w:w="1818" w:type="dxa"/>
            <w:vMerge w:val="restart"/>
            <w:vAlign w:val="center"/>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Formula    =</w:t>
            </w:r>
          </w:p>
        </w:tc>
        <w:tc>
          <w:tcPr>
            <w:tcW w:w="3780" w:type="dxa"/>
            <w:tcBorders>
              <w:bottom w:val="single" w:sz="12" w:space="0" w:color="3333FF"/>
            </w:tcBorders>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lang w:val="en-US"/>
              </w:rPr>
              <w:t>Ratio of Female in GER/NER in year t</w:t>
            </w:r>
          </w:p>
        </w:tc>
        <w:tc>
          <w:tcPr>
            <w:tcW w:w="2970" w:type="dxa"/>
            <w:vMerge w:val="restart"/>
            <w:vAlign w:val="center"/>
          </w:tcPr>
          <w:p w:rsidR="00524C05" w:rsidRPr="005F120D" w:rsidRDefault="00524C05" w:rsidP="00B25E46">
            <w:pPr>
              <w:pStyle w:val="BodyText"/>
              <w:spacing w:after="0"/>
              <w:jc w:val="both"/>
              <w:rPr>
                <w:rFonts w:asciiTheme="minorHAnsi" w:hAnsiTheme="minorHAnsi" w:cstheme="minorHAnsi"/>
                <w:color w:val="0033CC"/>
                <w:sz w:val="20"/>
                <w:szCs w:val="20"/>
              </w:rPr>
            </w:pPr>
          </w:p>
        </w:tc>
      </w:tr>
      <w:tr w:rsidR="00524C05" w:rsidRPr="005F120D" w:rsidTr="00F0758E">
        <w:tc>
          <w:tcPr>
            <w:tcW w:w="1818" w:type="dxa"/>
            <w:vMerge/>
          </w:tcPr>
          <w:p w:rsidR="00524C05" w:rsidRPr="005F120D" w:rsidRDefault="00524C05" w:rsidP="00B25E46">
            <w:pPr>
              <w:spacing w:after="0"/>
              <w:jc w:val="both"/>
              <w:rPr>
                <w:rFonts w:asciiTheme="minorHAnsi" w:hAnsiTheme="minorHAnsi" w:cstheme="minorHAnsi"/>
                <w:color w:val="0033CC"/>
                <w:sz w:val="20"/>
              </w:rPr>
            </w:pPr>
          </w:p>
        </w:tc>
        <w:tc>
          <w:tcPr>
            <w:tcW w:w="3780" w:type="dxa"/>
            <w:tcBorders>
              <w:top w:val="single" w:sz="12" w:space="0" w:color="3333FF"/>
            </w:tcBorders>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lang w:val="en-US"/>
              </w:rPr>
              <w:t>Ratio of Male in GER/NER in year t</w:t>
            </w:r>
          </w:p>
        </w:tc>
        <w:tc>
          <w:tcPr>
            <w:tcW w:w="2970" w:type="dxa"/>
            <w:vMerge/>
          </w:tcPr>
          <w:p w:rsidR="00524C05" w:rsidRPr="005F120D" w:rsidRDefault="00524C05" w:rsidP="00B25E46">
            <w:pPr>
              <w:pStyle w:val="BodyText"/>
              <w:spacing w:after="0"/>
              <w:jc w:val="both"/>
              <w:rPr>
                <w:rFonts w:asciiTheme="minorHAnsi" w:hAnsiTheme="minorHAnsi" w:cstheme="minorHAnsi"/>
                <w:color w:val="0033CC"/>
                <w:sz w:val="20"/>
                <w:szCs w:val="20"/>
              </w:rPr>
            </w:pPr>
          </w:p>
        </w:tc>
      </w:tr>
    </w:tbl>
    <w:p w:rsidR="006D49B9" w:rsidRPr="005F120D" w:rsidRDefault="006D49B9" w:rsidP="00B25E46">
      <w:pPr>
        <w:pStyle w:val="BodyText"/>
        <w:spacing w:after="0"/>
        <w:ind w:left="360"/>
        <w:jc w:val="both"/>
        <w:rPr>
          <w:rFonts w:asciiTheme="minorHAnsi" w:hAnsiTheme="minorHAnsi" w:cstheme="minorHAnsi"/>
          <w:b/>
          <w:color w:val="0033CC"/>
          <w:sz w:val="20"/>
          <w:szCs w:val="20"/>
        </w:rPr>
      </w:pPr>
    </w:p>
    <w:p w:rsidR="00524C05" w:rsidRPr="005F120D" w:rsidRDefault="00524C05" w:rsidP="00B25E46">
      <w:pPr>
        <w:pStyle w:val="BodyText"/>
        <w:numPr>
          <w:ilvl w:val="0"/>
          <w:numId w:val="86"/>
        </w:numPr>
        <w:spacing w:after="0"/>
        <w:jc w:val="both"/>
        <w:rPr>
          <w:rFonts w:asciiTheme="minorHAnsi" w:hAnsiTheme="minorHAnsi" w:cstheme="minorHAnsi"/>
          <w:b/>
          <w:color w:val="0033CC"/>
          <w:sz w:val="20"/>
          <w:szCs w:val="20"/>
        </w:rPr>
      </w:pPr>
      <w:r w:rsidRPr="005F120D">
        <w:rPr>
          <w:rFonts w:asciiTheme="minorHAnsi" w:hAnsiTheme="minorHAnsi" w:cstheme="minorHAnsi"/>
          <w:b/>
          <w:color w:val="0033CC"/>
          <w:sz w:val="20"/>
          <w:szCs w:val="20"/>
        </w:rPr>
        <w:t xml:space="preserve">Grade Transition </w:t>
      </w:r>
    </w:p>
    <w:p w:rsidR="00524C05" w:rsidRPr="005F120D" w:rsidRDefault="00524C05" w:rsidP="00B25E46">
      <w:pPr>
        <w:pStyle w:val="Caption"/>
        <w:spacing w:before="120" w:after="120"/>
        <w:jc w:val="both"/>
        <w:rPr>
          <w:rFonts w:cstheme="minorHAnsi"/>
          <w:b w:val="0"/>
          <w:i/>
          <w:color w:val="0033CC"/>
          <w:sz w:val="20"/>
        </w:rPr>
      </w:pPr>
      <w:r w:rsidRPr="005F120D">
        <w:rPr>
          <w:rStyle w:val="BodyTextChar0"/>
          <w:rFonts w:cstheme="minorHAnsi"/>
          <w:color w:val="0033CC"/>
          <w:sz w:val="20"/>
          <w:szCs w:val="20"/>
        </w:rPr>
        <w:t>Definition:</w:t>
      </w:r>
      <w:r w:rsidRPr="005F120D">
        <w:rPr>
          <w:rFonts w:cstheme="minorHAnsi"/>
          <w:b w:val="0"/>
          <w:sz w:val="20"/>
        </w:rPr>
        <w:t xml:space="preserve"> In education, grade transition is the number of a cohort of pupils who enters</w:t>
      </w:r>
      <w:r w:rsidR="00892125" w:rsidRPr="005F120D">
        <w:rPr>
          <w:rFonts w:cstheme="minorHAnsi"/>
          <w:b w:val="0"/>
          <w:sz w:val="20"/>
        </w:rPr>
        <w:t xml:space="preserve"> the </w:t>
      </w:r>
      <w:r w:rsidRPr="005F120D">
        <w:rPr>
          <w:rFonts w:cstheme="minorHAnsi"/>
          <w:b w:val="0"/>
          <w:sz w:val="20"/>
        </w:rPr>
        <w:t>first grade of primary education and who experience promotion, dropout and repetition from grade to grade, i.e., how many of them roll over to the next grade, next year and so on, and thus complete a particular level or stage of education.</w:t>
      </w:r>
      <w:r w:rsidR="007809B0" w:rsidRPr="005F120D">
        <w:rPr>
          <w:rFonts w:cstheme="minorHAnsi"/>
          <w:b w:val="0"/>
          <w:i/>
          <w:color w:val="0033CC"/>
          <w:sz w:val="20"/>
        </w:rPr>
        <w:t>DPE uses Transition Rate information from the BANBEIS source.</w:t>
      </w:r>
    </w:p>
    <w:p w:rsidR="00524C05" w:rsidRPr="005F120D" w:rsidRDefault="00524C05" w:rsidP="00B25E46">
      <w:pPr>
        <w:pStyle w:val="BodyText"/>
        <w:numPr>
          <w:ilvl w:val="0"/>
          <w:numId w:val="86"/>
        </w:numPr>
        <w:spacing w:before="120"/>
        <w:jc w:val="both"/>
        <w:rPr>
          <w:rFonts w:asciiTheme="minorHAnsi" w:hAnsiTheme="minorHAnsi" w:cstheme="minorHAnsi"/>
          <w:b/>
          <w:color w:val="0033CC"/>
          <w:sz w:val="20"/>
          <w:szCs w:val="20"/>
        </w:rPr>
      </w:pPr>
      <w:r w:rsidRPr="005F120D">
        <w:rPr>
          <w:rFonts w:asciiTheme="minorHAnsi" w:hAnsiTheme="minorHAnsi" w:cstheme="minorHAnsi"/>
          <w:b/>
          <w:color w:val="0033CC"/>
          <w:sz w:val="20"/>
          <w:szCs w:val="20"/>
        </w:rPr>
        <w:t xml:space="preserve">Gross </w:t>
      </w:r>
      <w:r w:rsidR="004B53A0" w:rsidRPr="005F120D">
        <w:rPr>
          <w:rFonts w:asciiTheme="minorHAnsi" w:hAnsiTheme="minorHAnsi" w:cstheme="minorHAnsi"/>
          <w:b/>
          <w:color w:val="0033CC"/>
          <w:sz w:val="20"/>
          <w:szCs w:val="20"/>
        </w:rPr>
        <w:t>Enrolment</w:t>
      </w:r>
      <w:r w:rsidRPr="005F120D">
        <w:rPr>
          <w:rFonts w:asciiTheme="minorHAnsi" w:hAnsiTheme="minorHAnsi" w:cstheme="minorHAnsi"/>
          <w:b/>
          <w:color w:val="0033CC"/>
          <w:sz w:val="20"/>
          <w:szCs w:val="20"/>
        </w:rPr>
        <w:t xml:space="preserve"> Rate (GER) for a given cycle of education </w:t>
      </w:r>
    </w:p>
    <w:p w:rsidR="00524C05" w:rsidRPr="005F120D" w:rsidRDefault="00524C05"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color w:val="0033CC"/>
          <w:sz w:val="20"/>
          <w:szCs w:val="20"/>
        </w:rPr>
        <w:t>Definition:</w:t>
      </w:r>
      <w:r w:rsidRPr="005F120D">
        <w:rPr>
          <w:rFonts w:asciiTheme="minorHAnsi" w:hAnsiTheme="minorHAnsi" w:cstheme="minorHAnsi"/>
          <w:sz w:val="20"/>
        </w:rPr>
        <w:t xml:space="preserve"> The gross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rate is the total number of pupils in a given educational cycle regardless of age expressed as a percentage of ‘the population of related school age’ (6-10 years in Bangladesh).</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Purpose:</w:t>
      </w:r>
      <w:r w:rsidRPr="005F120D">
        <w:rPr>
          <w:rFonts w:cstheme="minorHAnsi"/>
          <w:b w:val="0"/>
          <w:sz w:val="20"/>
        </w:rPr>
        <w:t xml:space="preserve"> The purpose is to show the general level of participation in a given level of education. It indicates the capacity of the education system to enroll students of a particular age group. It can also be a complementary indicator to NER by indicating the extent of over-aged and under-aged </w:t>
      </w:r>
      <w:r w:rsidR="004B53A0" w:rsidRPr="005F120D">
        <w:rPr>
          <w:rFonts w:cstheme="minorHAnsi"/>
          <w:b w:val="0"/>
          <w:sz w:val="20"/>
        </w:rPr>
        <w:t>enrolment</w:t>
      </w:r>
      <w:r w:rsidRPr="005F120D">
        <w:rPr>
          <w:rFonts w:cstheme="minorHAnsi"/>
          <w:b w:val="0"/>
          <w:sz w:val="20"/>
        </w:rPr>
        <w:t>.</w:t>
      </w:r>
    </w:p>
    <w:p w:rsidR="00524C05" w:rsidRPr="005F120D" w:rsidRDefault="00524C05" w:rsidP="00B25E46">
      <w:pPr>
        <w:pStyle w:val="Caption"/>
        <w:spacing w:before="120" w:after="120"/>
        <w:jc w:val="both"/>
        <w:rPr>
          <w:rFonts w:cstheme="minorHAnsi"/>
          <w:b w:val="0"/>
          <w:sz w:val="20"/>
        </w:rPr>
      </w:pPr>
      <w:r w:rsidRPr="005F120D">
        <w:rPr>
          <w:rStyle w:val="BodyTextChar0"/>
          <w:rFonts w:cstheme="minorHAnsi"/>
          <w:color w:val="0033CC"/>
          <w:sz w:val="20"/>
          <w:szCs w:val="20"/>
        </w:rPr>
        <w:t>Calculation method:</w:t>
      </w:r>
      <w:r w:rsidRPr="005F120D">
        <w:rPr>
          <w:rFonts w:cstheme="minorHAnsi"/>
          <w:b w:val="0"/>
          <w:sz w:val="20"/>
        </w:rPr>
        <w:t xml:space="preserve"> Divide the number of pupils (or students) enrolled in a given level of education regardless of age by the population of the age group, which officially corresponds to the given level o</w:t>
      </w:r>
      <w:r w:rsidR="00892125" w:rsidRPr="005F120D">
        <w:rPr>
          <w:rFonts w:cstheme="minorHAnsi"/>
          <w:b w:val="0"/>
          <w:sz w:val="20"/>
        </w:rPr>
        <w:t>f education, and then multiply</w:t>
      </w:r>
      <w:r w:rsidRPr="005F120D">
        <w:rPr>
          <w:rFonts w:cstheme="minorHAnsi"/>
          <w:b w:val="0"/>
          <w:sz w:val="20"/>
        </w:rPr>
        <w:t xml:space="preserve"> the result by 100.</w:t>
      </w:r>
    </w:p>
    <w:tbl>
      <w:tblPr>
        <w:tblW w:w="0" w:type="auto"/>
        <w:tblLook w:val="04A0"/>
      </w:tblPr>
      <w:tblGrid>
        <w:gridCol w:w="1458"/>
        <w:gridCol w:w="5760"/>
        <w:gridCol w:w="1710"/>
      </w:tblGrid>
      <w:tr w:rsidR="00524C05" w:rsidRPr="005F120D" w:rsidTr="00F0758E">
        <w:tc>
          <w:tcPr>
            <w:tcW w:w="1458" w:type="dxa"/>
            <w:vMerge w:val="restart"/>
            <w:vAlign w:val="center"/>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Formula   =</w:t>
            </w:r>
          </w:p>
        </w:tc>
        <w:tc>
          <w:tcPr>
            <w:tcW w:w="5760" w:type="dxa"/>
            <w:tcBorders>
              <w:bottom w:val="single" w:sz="12" w:space="0" w:color="3333FF"/>
            </w:tcBorders>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lang w:eastAsia="ja-JP"/>
              </w:rPr>
              <w:t>No. of all pupils enrolled in the primary cycle regardless of age</w:t>
            </w:r>
          </w:p>
        </w:tc>
        <w:tc>
          <w:tcPr>
            <w:tcW w:w="1710" w:type="dxa"/>
            <w:vMerge w:val="restart"/>
            <w:vAlign w:val="center"/>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X 100</w:t>
            </w:r>
          </w:p>
        </w:tc>
      </w:tr>
      <w:tr w:rsidR="00524C05" w:rsidRPr="005F120D" w:rsidTr="00F0758E">
        <w:tc>
          <w:tcPr>
            <w:tcW w:w="1458" w:type="dxa"/>
            <w:vMerge/>
          </w:tcPr>
          <w:p w:rsidR="00524C05" w:rsidRPr="005F120D" w:rsidRDefault="00524C05" w:rsidP="00B25E46">
            <w:pPr>
              <w:pStyle w:val="BodyText"/>
              <w:spacing w:after="0"/>
              <w:jc w:val="both"/>
              <w:rPr>
                <w:rFonts w:asciiTheme="minorHAnsi" w:hAnsiTheme="minorHAnsi" w:cstheme="minorHAnsi"/>
                <w:b/>
                <w:color w:val="0033CC"/>
                <w:sz w:val="20"/>
                <w:szCs w:val="20"/>
              </w:rPr>
            </w:pPr>
          </w:p>
        </w:tc>
        <w:tc>
          <w:tcPr>
            <w:tcW w:w="5760" w:type="dxa"/>
            <w:tcBorders>
              <w:top w:val="single" w:sz="12" w:space="0" w:color="3333FF"/>
            </w:tcBorders>
          </w:tcPr>
          <w:p w:rsidR="00524C05" w:rsidRPr="005F120D" w:rsidRDefault="00524C05"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lang w:eastAsia="ja-JP"/>
              </w:rPr>
              <w:t>Population of related school age (6-10 years in Bangladesh)</w:t>
            </w:r>
          </w:p>
        </w:tc>
        <w:tc>
          <w:tcPr>
            <w:tcW w:w="1710" w:type="dxa"/>
            <w:vMerge/>
          </w:tcPr>
          <w:p w:rsidR="00524C05" w:rsidRPr="005F120D" w:rsidRDefault="00524C05" w:rsidP="00B25E46">
            <w:pPr>
              <w:pStyle w:val="BodyText"/>
              <w:spacing w:after="0"/>
              <w:jc w:val="both"/>
              <w:rPr>
                <w:rFonts w:asciiTheme="minorHAnsi" w:hAnsiTheme="minorHAnsi" w:cstheme="minorHAnsi"/>
                <w:b/>
                <w:color w:val="0033CC"/>
                <w:sz w:val="20"/>
                <w:szCs w:val="20"/>
              </w:rPr>
            </w:pPr>
          </w:p>
        </w:tc>
      </w:tr>
    </w:tbl>
    <w:p w:rsidR="006D49B9" w:rsidRPr="005F120D" w:rsidRDefault="006D49B9" w:rsidP="00B25E46">
      <w:pPr>
        <w:pStyle w:val="BodyText"/>
        <w:spacing w:after="0"/>
        <w:ind w:left="360"/>
        <w:jc w:val="both"/>
        <w:rPr>
          <w:rFonts w:asciiTheme="minorHAnsi" w:hAnsiTheme="minorHAnsi" w:cstheme="minorHAnsi"/>
          <w:b/>
          <w:color w:val="0033CC"/>
          <w:sz w:val="20"/>
          <w:szCs w:val="20"/>
        </w:rPr>
      </w:pPr>
    </w:p>
    <w:p w:rsidR="00524C05" w:rsidRPr="005F120D" w:rsidRDefault="00524C05" w:rsidP="00B25E46">
      <w:pPr>
        <w:pStyle w:val="BodyText"/>
        <w:numPr>
          <w:ilvl w:val="0"/>
          <w:numId w:val="86"/>
        </w:numPr>
        <w:spacing w:after="0"/>
        <w:jc w:val="both"/>
        <w:rPr>
          <w:rFonts w:asciiTheme="minorHAnsi" w:hAnsiTheme="minorHAnsi" w:cstheme="minorHAnsi"/>
          <w:b/>
          <w:color w:val="0033CC"/>
          <w:sz w:val="20"/>
          <w:szCs w:val="20"/>
        </w:rPr>
      </w:pPr>
      <w:r w:rsidRPr="005F120D">
        <w:rPr>
          <w:rFonts w:asciiTheme="minorHAnsi" w:hAnsiTheme="minorHAnsi" w:cstheme="minorHAnsi"/>
          <w:b/>
          <w:color w:val="0033CC"/>
          <w:sz w:val="20"/>
          <w:szCs w:val="20"/>
        </w:rPr>
        <w:t>Gross Intake Rate in the First Grade of Primary Cycle (Gross Admission Rate)</w:t>
      </w:r>
    </w:p>
    <w:p w:rsidR="00226F04" w:rsidRPr="005F120D" w:rsidRDefault="00226F04"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color w:val="0033CC"/>
          <w:sz w:val="20"/>
          <w:szCs w:val="20"/>
        </w:rPr>
        <w:t>Definition:</w:t>
      </w:r>
      <w:r w:rsidRPr="005F120D">
        <w:rPr>
          <w:rFonts w:asciiTheme="minorHAnsi" w:hAnsiTheme="minorHAnsi" w:cstheme="minorHAnsi"/>
          <w:sz w:val="20"/>
        </w:rPr>
        <w:t xml:space="preserve"> Total number of new entrants in the first grade of primary education, regardless of age, expressed as a percentage of the population at the official primary school-entrance age (6 years in Bangladesh). In other words, this rate identifies the number of children newly admitted to the first year of school, regardless of age as a percentage of children who are entitled to admission.</w:t>
      </w:r>
    </w:p>
    <w:p w:rsidR="00226F04" w:rsidRPr="005F120D" w:rsidRDefault="00226F04"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color w:val="0033CC"/>
          <w:sz w:val="20"/>
          <w:szCs w:val="20"/>
        </w:rPr>
        <w:t>Purpose:</w:t>
      </w:r>
      <w:r w:rsidRPr="005F120D">
        <w:rPr>
          <w:rFonts w:asciiTheme="minorHAnsi" w:hAnsiTheme="minorHAnsi" w:cstheme="minorHAnsi"/>
          <w:color w:val="000000" w:themeColor="text1"/>
          <w:sz w:val="20"/>
        </w:rPr>
        <w:t xml:space="preserve"> Purpose is to indicate</w:t>
      </w:r>
      <w:r w:rsidRPr="005F120D">
        <w:rPr>
          <w:rFonts w:asciiTheme="minorHAnsi" w:hAnsiTheme="minorHAnsi" w:cstheme="minorHAnsi"/>
          <w:sz w:val="20"/>
        </w:rPr>
        <w:t xml:space="preserve"> the general level of access to primary education. It also indicates the capacity of the education system to provide access to grade 1 for the official school-entrance age population.</w:t>
      </w:r>
    </w:p>
    <w:p w:rsidR="00226F04" w:rsidRPr="005F120D" w:rsidRDefault="00226F04"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color w:val="0033CC"/>
          <w:sz w:val="20"/>
          <w:szCs w:val="20"/>
        </w:rPr>
        <w:t>Calculation method:</w:t>
      </w:r>
      <w:r w:rsidRPr="005F120D">
        <w:rPr>
          <w:rFonts w:asciiTheme="minorHAnsi" w:hAnsiTheme="minorHAnsi" w:cstheme="minorHAnsi"/>
          <w:sz w:val="20"/>
        </w:rPr>
        <w:t xml:space="preserve"> Divide</w:t>
      </w:r>
      <w:r w:rsidR="00892125" w:rsidRPr="005F120D">
        <w:rPr>
          <w:rFonts w:asciiTheme="minorHAnsi" w:hAnsiTheme="minorHAnsi" w:cstheme="minorHAnsi"/>
          <w:sz w:val="20"/>
        </w:rPr>
        <w:t xml:space="preserve"> the number of new entrants in G</w:t>
      </w:r>
      <w:r w:rsidRPr="005F120D">
        <w:rPr>
          <w:rFonts w:asciiTheme="minorHAnsi" w:hAnsiTheme="minorHAnsi" w:cstheme="minorHAnsi"/>
          <w:sz w:val="20"/>
        </w:rPr>
        <w:t>rade 1, irrespective of age, by the population of official school-entrance age, and multiply the result by 100.</w:t>
      </w:r>
    </w:p>
    <w:p w:rsidR="00B25E46" w:rsidRPr="005F120D" w:rsidRDefault="00B25E46" w:rsidP="00B25E46">
      <w:pPr>
        <w:autoSpaceDE w:val="0"/>
        <w:autoSpaceDN w:val="0"/>
        <w:adjustRightInd w:val="0"/>
        <w:spacing w:before="120" w:after="120"/>
        <w:jc w:val="both"/>
        <w:rPr>
          <w:rFonts w:asciiTheme="minorHAnsi" w:hAnsiTheme="minorHAnsi" w:cstheme="minorHAnsi"/>
          <w:sz w:val="20"/>
        </w:rPr>
      </w:pPr>
    </w:p>
    <w:tbl>
      <w:tblPr>
        <w:tblW w:w="0" w:type="auto"/>
        <w:tblLook w:val="04A0"/>
      </w:tblPr>
      <w:tblGrid>
        <w:gridCol w:w="1728"/>
        <w:gridCol w:w="6030"/>
        <w:gridCol w:w="1440"/>
      </w:tblGrid>
      <w:tr w:rsidR="00226F04" w:rsidRPr="005F120D" w:rsidTr="00F0758E">
        <w:tc>
          <w:tcPr>
            <w:tcW w:w="1728" w:type="dxa"/>
            <w:vMerge w:val="restart"/>
            <w:vAlign w:val="center"/>
          </w:tcPr>
          <w:p w:rsidR="00226F04" w:rsidRPr="005F120D" w:rsidRDefault="00226F04"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lastRenderedPageBreak/>
              <w:t>Formula  =</w:t>
            </w:r>
          </w:p>
        </w:tc>
        <w:tc>
          <w:tcPr>
            <w:tcW w:w="6030" w:type="dxa"/>
            <w:tcBorders>
              <w:bottom w:val="single" w:sz="12" w:space="0" w:color="3333FF"/>
            </w:tcBorders>
          </w:tcPr>
          <w:p w:rsidR="00226F04" w:rsidRPr="005F120D" w:rsidRDefault="00226F04"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No. of pupils in Grade 1 regardless of age</w:t>
            </w:r>
          </w:p>
        </w:tc>
        <w:tc>
          <w:tcPr>
            <w:tcW w:w="1440" w:type="dxa"/>
            <w:vMerge w:val="restart"/>
            <w:vAlign w:val="center"/>
          </w:tcPr>
          <w:p w:rsidR="00226F04" w:rsidRPr="005F120D" w:rsidRDefault="00226F04"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X 100</w:t>
            </w:r>
          </w:p>
        </w:tc>
      </w:tr>
      <w:tr w:rsidR="00226F04" w:rsidRPr="005F120D" w:rsidTr="00F0758E">
        <w:tc>
          <w:tcPr>
            <w:tcW w:w="1728" w:type="dxa"/>
            <w:vMerge/>
          </w:tcPr>
          <w:p w:rsidR="00226F04" w:rsidRPr="005F120D" w:rsidRDefault="00226F04" w:rsidP="00B25E46">
            <w:pPr>
              <w:pStyle w:val="BodyText"/>
              <w:spacing w:after="0"/>
              <w:jc w:val="both"/>
              <w:rPr>
                <w:rFonts w:asciiTheme="minorHAnsi" w:hAnsiTheme="minorHAnsi" w:cstheme="minorHAnsi"/>
                <w:b/>
                <w:color w:val="0033CC"/>
                <w:sz w:val="20"/>
                <w:szCs w:val="20"/>
              </w:rPr>
            </w:pPr>
          </w:p>
        </w:tc>
        <w:tc>
          <w:tcPr>
            <w:tcW w:w="6030" w:type="dxa"/>
            <w:tcBorders>
              <w:top w:val="single" w:sz="12" w:space="0" w:color="3333FF"/>
            </w:tcBorders>
          </w:tcPr>
          <w:p w:rsidR="00226F04" w:rsidRPr="005F120D" w:rsidRDefault="00226F04"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Population of legal admission age (6years in Bangladesh)</w:t>
            </w:r>
          </w:p>
        </w:tc>
        <w:tc>
          <w:tcPr>
            <w:tcW w:w="1440" w:type="dxa"/>
            <w:vMerge/>
          </w:tcPr>
          <w:p w:rsidR="00226F04" w:rsidRPr="005F120D" w:rsidRDefault="00226F04" w:rsidP="00B25E46">
            <w:pPr>
              <w:spacing w:after="0"/>
              <w:jc w:val="both"/>
              <w:rPr>
                <w:rFonts w:asciiTheme="minorHAnsi" w:hAnsiTheme="minorHAnsi" w:cstheme="minorHAnsi"/>
                <w:color w:val="0033CC"/>
                <w:sz w:val="20"/>
              </w:rPr>
            </w:pPr>
          </w:p>
        </w:tc>
      </w:tr>
    </w:tbl>
    <w:p w:rsidR="00226F04" w:rsidRPr="005F120D" w:rsidRDefault="00226F04" w:rsidP="00B25E46">
      <w:pPr>
        <w:pStyle w:val="BodyText"/>
        <w:spacing w:after="0"/>
        <w:ind w:left="360"/>
        <w:jc w:val="both"/>
        <w:rPr>
          <w:rFonts w:asciiTheme="minorHAnsi" w:hAnsiTheme="minorHAnsi" w:cstheme="minorHAnsi"/>
          <w:sz w:val="20"/>
          <w:szCs w:val="20"/>
        </w:rPr>
      </w:pPr>
    </w:p>
    <w:p w:rsidR="00226F04" w:rsidRPr="005F120D" w:rsidRDefault="00226F04" w:rsidP="00B25E46">
      <w:pPr>
        <w:pStyle w:val="BodyText"/>
        <w:numPr>
          <w:ilvl w:val="0"/>
          <w:numId w:val="86"/>
        </w:numPr>
        <w:spacing w:before="120"/>
        <w:jc w:val="both"/>
        <w:rPr>
          <w:rFonts w:asciiTheme="minorHAnsi" w:hAnsiTheme="minorHAnsi" w:cstheme="minorHAnsi"/>
          <w:b/>
          <w:color w:val="0033CC"/>
          <w:sz w:val="20"/>
          <w:szCs w:val="20"/>
        </w:rPr>
      </w:pPr>
      <w:r w:rsidRPr="005F120D">
        <w:rPr>
          <w:rFonts w:asciiTheme="minorHAnsi" w:hAnsiTheme="minorHAnsi" w:cstheme="minorHAnsi"/>
          <w:b/>
          <w:color w:val="0033CC"/>
          <w:sz w:val="20"/>
          <w:szCs w:val="20"/>
        </w:rPr>
        <w:t xml:space="preserve">Net Intake Rate in the First Grade of Primary Cycle: </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33CC"/>
          <w:sz w:val="20"/>
          <w:szCs w:val="20"/>
        </w:rPr>
        <w:t>Definition:</w:t>
      </w:r>
      <w:r w:rsidRPr="005F120D">
        <w:rPr>
          <w:rFonts w:cstheme="minorHAnsi"/>
          <w:b w:val="0"/>
          <w:sz w:val="20"/>
        </w:rPr>
        <w:t xml:space="preserve"> New entrants in the first grade of primary education who are of the official primary school entrance age (6 years), expressed as a percentage of the population of the same age (6 years in Bangladesh)</w:t>
      </w:r>
    </w:p>
    <w:p w:rsidR="00226F04" w:rsidRPr="005F120D" w:rsidRDefault="00226F04" w:rsidP="00B25E46">
      <w:pPr>
        <w:pStyle w:val="Caption"/>
        <w:spacing w:before="120" w:after="120"/>
        <w:jc w:val="left"/>
        <w:rPr>
          <w:rFonts w:cstheme="minorHAnsi"/>
          <w:b w:val="0"/>
          <w:sz w:val="20"/>
        </w:rPr>
      </w:pPr>
      <w:r w:rsidRPr="005F120D">
        <w:rPr>
          <w:rStyle w:val="BodyTextChar0"/>
          <w:rFonts w:cstheme="minorHAnsi"/>
          <w:color w:val="0033CC"/>
          <w:sz w:val="20"/>
          <w:szCs w:val="20"/>
        </w:rPr>
        <w:t>Purpose:</w:t>
      </w:r>
      <w:r w:rsidRPr="005F120D">
        <w:rPr>
          <w:rFonts w:cstheme="minorHAnsi"/>
          <w:b w:val="0"/>
          <w:sz w:val="20"/>
        </w:rPr>
        <w:t xml:space="preserve"> Purpose is to precisely measure access to primary education by the eligible population of primary school-entrance age.</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sz w:val="20"/>
          <w:szCs w:val="20"/>
        </w:rPr>
        <w:t>Calculation method:</w:t>
      </w:r>
      <w:r w:rsidRPr="005F120D">
        <w:rPr>
          <w:rFonts w:cstheme="minorHAnsi"/>
          <w:b w:val="0"/>
          <w:sz w:val="20"/>
        </w:rPr>
        <w:t xml:space="preserve"> Divide the number of children of official primary school-entrance age who enter the first grade of primary education for the first time by the population of the same age, and multiply the result by 100.</w:t>
      </w:r>
    </w:p>
    <w:tbl>
      <w:tblPr>
        <w:tblW w:w="0" w:type="auto"/>
        <w:tblLook w:val="04A0"/>
      </w:tblPr>
      <w:tblGrid>
        <w:gridCol w:w="1359"/>
        <w:gridCol w:w="6023"/>
        <w:gridCol w:w="1863"/>
      </w:tblGrid>
      <w:tr w:rsidR="00226F04" w:rsidRPr="005F120D" w:rsidTr="00F0758E">
        <w:tc>
          <w:tcPr>
            <w:tcW w:w="1368" w:type="dxa"/>
            <w:vMerge w:val="restart"/>
            <w:vAlign w:val="center"/>
          </w:tcPr>
          <w:p w:rsidR="00226F04" w:rsidRPr="005F120D" w:rsidRDefault="00226F04" w:rsidP="00B25E46">
            <w:pPr>
              <w:pStyle w:val="BodyText"/>
              <w:spacing w:before="12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Formula  =</w:t>
            </w:r>
          </w:p>
        </w:tc>
        <w:tc>
          <w:tcPr>
            <w:tcW w:w="6120" w:type="dxa"/>
            <w:tcBorders>
              <w:bottom w:val="single" w:sz="12" w:space="0" w:color="3333FF"/>
            </w:tcBorders>
          </w:tcPr>
          <w:p w:rsidR="00226F04" w:rsidRPr="005F120D" w:rsidRDefault="00226F04"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No. of pupils in Grade 1 of the legal admission age (6years)</w:t>
            </w:r>
          </w:p>
        </w:tc>
        <w:tc>
          <w:tcPr>
            <w:tcW w:w="1890" w:type="dxa"/>
            <w:vMerge w:val="restart"/>
            <w:vAlign w:val="center"/>
          </w:tcPr>
          <w:p w:rsidR="00226F04" w:rsidRPr="005F120D" w:rsidRDefault="00226F04" w:rsidP="00B25E46">
            <w:pPr>
              <w:pStyle w:val="BodyText"/>
              <w:spacing w:before="12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X 100</w:t>
            </w:r>
          </w:p>
        </w:tc>
      </w:tr>
      <w:tr w:rsidR="00226F04" w:rsidRPr="005F120D" w:rsidTr="00F0758E">
        <w:tc>
          <w:tcPr>
            <w:tcW w:w="1368" w:type="dxa"/>
            <w:vMerge/>
          </w:tcPr>
          <w:p w:rsidR="00226F04" w:rsidRPr="005F120D" w:rsidRDefault="00226F04" w:rsidP="00B25E46">
            <w:pPr>
              <w:spacing w:before="120" w:after="120"/>
              <w:jc w:val="both"/>
              <w:rPr>
                <w:rFonts w:asciiTheme="minorHAnsi" w:hAnsiTheme="minorHAnsi" w:cstheme="minorHAnsi"/>
                <w:color w:val="0033CC"/>
                <w:sz w:val="20"/>
              </w:rPr>
            </w:pPr>
          </w:p>
        </w:tc>
        <w:tc>
          <w:tcPr>
            <w:tcW w:w="6120" w:type="dxa"/>
            <w:tcBorders>
              <w:top w:val="single" w:sz="12" w:space="0" w:color="3333FF"/>
            </w:tcBorders>
          </w:tcPr>
          <w:p w:rsidR="00226F04" w:rsidRPr="005F120D" w:rsidRDefault="00226F04" w:rsidP="00B25E46">
            <w:pPr>
              <w:pStyle w:val="BodyText"/>
              <w:spacing w:after="0"/>
              <w:jc w:val="both"/>
              <w:rPr>
                <w:rFonts w:asciiTheme="minorHAnsi" w:hAnsiTheme="minorHAnsi" w:cstheme="minorHAnsi"/>
                <w:b/>
                <w:color w:val="0033CC"/>
                <w:sz w:val="20"/>
                <w:szCs w:val="20"/>
              </w:rPr>
            </w:pPr>
            <w:r w:rsidRPr="005F120D">
              <w:rPr>
                <w:rFonts w:asciiTheme="minorHAnsi" w:hAnsiTheme="minorHAnsi" w:cstheme="minorHAnsi"/>
                <w:color w:val="0033CC"/>
                <w:sz w:val="20"/>
                <w:szCs w:val="20"/>
              </w:rPr>
              <w:t>Population of same specific age (6years)</w:t>
            </w:r>
          </w:p>
        </w:tc>
        <w:tc>
          <w:tcPr>
            <w:tcW w:w="1890" w:type="dxa"/>
            <w:vMerge/>
          </w:tcPr>
          <w:p w:rsidR="00226F04" w:rsidRPr="005F120D" w:rsidRDefault="00226F04" w:rsidP="00B25E46">
            <w:pPr>
              <w:spacing w:before="120" w:after="120"/>
              <w:jc w:val="both"/>
              <w:rPr>
                <w:rFonts w:asciiTheme="minorHAnsi" w:hAnsiTheme="minorHAnsi" w:cstheme="minorHAnsi"/>
                <w:color w:val="0033CC"/>
                <w:sz w:val="20"/>
              </w:rPr>
            </w:pPr>
          </w:p>
        </w:tc>
      </w:tr>
    </w:tbl>
    <w:p w:rsidR="00226F04" w:rsidRPr="005F120D" w:rsidRDefault="00226F04" w:rsidP="00B25E46">
      <w:pPr>
        <w:pStyle w:val="BodyText"/>
        <w:numPr>
          <w:ilvl w:val="0"/>
          <w:numId w:val="86"/>
        </w:numPr>
        <w:spacing w:before="120"/>
        <w:jc w:val="both"/>
        <w:rPr>
          <w:rFonts w:asciiTheme="minorHAnsi" w:hAnsiTheme="minorHAnsi" w:cstheme="minorHAnsi"/>
          <w:b/>
          <w:color w:val="0033CC"/>
          <w:sz w:val="20"/>
          <w:szCs w:val="20"/>
        </w:rPr>
      </w:pPr>
      <w:r w:rsidRPr="005F120D">
        <w:rPr>
          <w:rFonts w:asciiTheme="minorHAnsi" w:hAnsiTheme="minorHAnsi" w:cstheme="minorHAnsi"/>
          <w:b/>
          <w:color w:val="0033CC"/>
          <w:sz w:val="20"/>
          <w:szCs w:val="20"/>
        </w:rPr>
        <w:t xml:space="preserve">Net </w:t>
      </w:r>
      <w:r w:rsidR="004B53A0" w:rsidRPr="005F120D">
        <w:rPr>
          <w:rFonts w:asciiTheme="minorHAnsi" w:hAnsiTheme="minorHAnsi" w:cstheme="minorHAnsi"/>
          <w:b/>
          <w:color w:val="0033CC"/>
          <w:sz w:val="20"/>
          <w:szCs w:val="20"/>
        </w:rPr>
        <w:t>Enrolment</w:t>
      </w:r>
      <w:r w:rsidRPr="005F120D">
        <w:rPr>
          <w:rFonts w:asciiTheme="minorHAnsi" w:hAnsiTheme="minorHAnsi" w:cstheme="minorHAnsi"/>
          <w:b/>
          <w:color w:val="0033CC"/>
          <w:sz w:val="20"/>
          <w:szCs w:val="20"/>
        </w:rPr>
        <w:t xml:space="preserve"> Rate (NER)</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33CC"/>
          <w:sz w:val="20"/>
          <w:szCs w:val="20"/>
        </w:rPr>
        <w:t>Definition:</w:t>
      </w:r>
      <w:r w:rsidR="004B53A0" w:rsidRPr="005F120D">
        <w:rPr>
          <w:rFonts w:cstheme="minorHAnsi"/>
          <w:b w:val="0"/>
          <w:sz w:val="20"/>
        </w:rPr>
        <w:t>Enrolment</w:t>
      </w:r>
      <w:r w:rsidRPr="005F120D">
        <w:rPr>
          <w:rFonts w:cstheme="minorHAnsi"/>
          <w:b w:val="0"/>
          <w:sz w:val="20"/>
        </w:rPr>
        <w:t xml:space="preserve"> of the official age group for a given level of education (6–10 years in Bangladesh) expressed as a percentage of the corresponding population (6–10 years in Bangladesh).</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33CC"/>
          <w:sz w:val="20"/>
          <w:szCs w:val="20"/>
        </w:rPr>
        <w:t>Purpose:</w:t>
      </w:r>
      <w:r w:rsidRPr="005F120D">
        <w:rPr>
          <w:rFonts w:cstheme="minorHAnsi"/>
          <w:b w:val="0"/>
          <w:sz w:val="20"/>
        </w:rPr>
        <w:t xml:space="preserve"> To show the extent of coverage in a given level of education of children and youths belonging to the official age group corresponding to the given level of education.</w:t>
      </w:r>
    </w:p>
    <w:p w:rsidR="00226F04" w:rsidRPr="005F120D" w:rsidRDefault="00226F04" w:rsidP="00B25E46">
      <w:pPr>
        <w:pStyle w:val="Caption"/>
        <w:spacing w:before="120"/>
        <w:jc w:val="both"/>
        <w:rPr>
          <w:rFonts w:cstheme="minorHAnsi"/>
          <w:b w:val="0"/>
          <w:sz w:val="20"/>
        </w:rPr>
      </w:pPr>
      <w:r w:rsidRPr="005F120D">
        <w:rPr>
          <w:rStyle w:val="BodyTextChar0"/>
          <w:rFonts w:cstheme="minorHAnsi"/>
          <w:color w:val="0033CC"/>
          <w:sz w:val="20"/>
          <w:szCs w:val="20"/>
        </w:rPr>
        <w:t>Calculation method:</w:t>
      </w:r>
      <w:r w:rsidRPr="005F120D">
        <w:rPr>
          <w:rFonts w:cstheme="minorHAnsi"/>
          <w:b w:val="0"/>
          <w:sz w:val="20"/>
        </w:rPr>
        <w:t xml:space="preserve"> Divide the number of pupils enrolled who are of the official age group for a given level of education by the population for the same age group and multiply the result by 100.</w:t>
      </w:r>
    </w:p>
    <w:tbl>
      <w:tblPr>
        <w:tblW w:w="9918" w:type="dxa"/>
        <w:tblLook w:val="04A0"/>
      </w:tblPr>
      <w:tblGrid>
        <w:gridCol w:w="1278"/>
        <w:gridCol w:w="6030"/>
        <w:gridCol w:w="2610"/>
      </w:tblGrid>
      <w:tr w:rsidR="00226F04" w:rsidRPr="005F120D" w:rsidTr="00F0758E">
        <w:tc>
          <w:tcPr>
            <w:tcW w:w="1278" w:type="dxa"/>
            <w:vMerge w:val="restart"/>
          </w:tcPr>
          <w:p w:rsidR="00226F04" w:rsidRPr="005F120D" w:rsidRDefault="00226F04" w:rsidP="00B25E46">
            <w:pPr>
              <w:spacing w:after="0"/>
              <w:jc w:val="both"/>
              <w:rPr>
                <w:rFonts w:asciiTheme="minorHAnsi" w:hAnsiTheme="minorHAnsi" w:cstheme="minorHAnsi"/>
                <w:color w:val="0033CC"/>
                <w:sz w:val="20"/>
              </w:rPr>
            </w:pPr>
            <w:r w:rsidRPr="005F120D">
              <w:rPr>
                <w:rStyle w:val="BodyTextChar0"/>
                <w:rFonts w:asciiTheme="minorHAnsi" w:hAnsiTheme="minorHAnsi" w:cstheme="minorHAnsi"/>
                <w:color w:val="0033CC"/>
                <w:sz w:val="20"/>
                <w:szCs w:val="20"/>
              </w:rPr>
              <w:t>Formula</w:t>
            </w:r>
            <w:r w:rsidRPr="005F120D">
              <w:rPr>
                <w:rFonts w:asciiTheme="minorHAnsi" w:hAnsiTheme="minorHAnsi" w:cstheme="minorHAnsi"/>
                <w:color w:val="0033CC"/>
                <w:sz w:val="20"/>
              </w:rPr>
              <w:t xml:space="preserve">  =</w:t>
            </w:r>
          </w:p>
        </w:tc>
        <w:tc>
          <w:tcPr>
            <w:tcW w:w="6030" w:type="dxa"/>
            <w:tcBorders>
              <w:bottom w:val="single" w:sz="12" w:space="0" w:color="3333FF"/>
            </w:tcBorders>
          </w:tcPr>
          <w:p w:rsidR="00226F04" w:rsidRPr="005F120D" w:rsidRDefault="00226F04" w:rsidP="00B25E46">
            <w:pPr>
              <w:spacing w:after="0"/>
              <w:jc w:val="both"/>
              <w:rPr>
                <w:rFonts w:asciiTheme="minorHAnsi" w:hAnsiTheme="minorHAnsi" w:cstheme="minorHAnsi"/>
                <w:color w:val="0033CC"/>
                <w:sz w:val="20"/>
              </w:rPr>
            </w:pPr>
            <w:r w:rsidRPr="005F120D">
              <w:rPr>
                <w:rFonts w:asciiTheme="minorHAnsi" w:hAnsiTheme="minorHAnsi" w:cstheme="minorHAnsi"/>
                <w:color w:val="0033CC"/>
                <w:sz w:val="20"/>
              </w:rPr>
              <w:t>No. of pupils of specified age in the cycle (6 to 10 years)</w:t>
            </w:r>
          </w:p>
        </w:tc>
        <w:tc>
          <w:tcPr>
            <w:tcW w:w="2610" w:type="dxa"/>
            <w:vMerge w:val="restart"/>
          </w:tcPr>
          <w:p w:rsidR="00226F04" w:rsidRPr="005F120D" w:rsidRDefault="00226F04" w:rsidP="00B25E46">
            <w:pPr>
              <w:spacing w:after="0"/>
              <w:rPr>
                <w:rFonts w:asciiTheme="minorHAnsi" w:hAnsiTheme="minorHAnsi" w:cstheme="minorHAnsi"/>
                <w:color w:val="0033CC"/>
                <w:sz w:val="20"/>
              </w:rPr>
            </w:pPr>
            <w:r w:rsidRPr="005F120D">
              <w:rPr>
                <w:rFonts w:asciiTheme="minorHAnsi" w:hAnsiTheme="minorHAnsi" w:cstheme="minorHAnsi"/>
                <w:color w:val="0033CC"/>
                <w:sz w:val="20"/>
              </w:rPr>
              <w:t>X 100</w:t>
            </w:r>
          </w:p>
        </w:tc>
      </w:tr>
      <w:tr w:rsidR="00226F04" w:rsidRPr="005F120D" w:rsidTr="00F0758E">
        <w:tc>
          <w:tcPr>
            <w:tcW w:w="1278" w:type="dxa"/>
            <w:vMerge/>
          </w:tcPr>
          <w:p w:rsidR="00226F04" w:rsidRPr="005F120D" w:rsidRDefault="00226F04" w:rsidP="00B25E46">
            <w:pPr>
              <w:spacing w:after="0"/>
              <w:jc w:val="both"/>
              <w:rPr>
                <w:rFonts w:asciiTheme="minorHAnsi" w:hAnsiTheme="minorHAnsi" w:cstheme="minorHAnsi"/>
                <w:color w:val="0033CC"/>
                <w:sz w:val="20"/>
              </w:rPr>
            </w:pPr>
          </w:p>
        </w:tc>
        <w:tc>
          <w:tcPr>
            <w:tcW w:w="6030" w:type="dxa"/>
            <w:tcBorders>
              <w:top w:val="single" w:sz="12" w:space="0" w:color="3333FF"/>
            </w:tcBorders>
          </w:tcPr>
          <w:p w:rsidR="00226F04" w:rsidRPr="005F120D" w:rsidRDefault="00226F04" w:rsidP="00B25E46">
            <w:pPr>
              <w:spacing w:after="0"/>
              <w:jc w:val="both"/>
              <w:rPr>
                <w:rFonts w:asciiTheme="minorHAnsi" w:hAnsiTheme="minorHAnsi" w:cstheme="minorHAnsi"/>
                <w:color w:val="0033CC"/>
                <w:sz w:val="20"/>
              </w:rPr>
            </w:pPr>
            <w:r w:rsidRPr="005F120D">
              <w:rPr>
                <w:rFonts w:asciiTheme="minorHAnsi" w:hAnsiTheme="minorHAnsi" w:cstheme="minorHAnsi"/>
                <w:color w:val="0033CC"/>
                <w:sz w:val="20"/>
              </w:rPr>
              <w:t>Population of related school age (6 to 10 years in Bangladesh)</w:t>
            </w:r>
          </w:p>
        </w:tc>
        <w:tc>
          <w:tcPr>
            <w:tcW w:w="2610" w:type="dxa"/>
            <w:vMerge/>
          </w:tcPr>
          <w:p w:rsidR="00226F04" w:rsidRPr="005F120D" w:rsidRDefault="00226F04" w:rsidP="00B25E46">
            <w:pPr>
              <w:spacing w:after="0"/>
              <w:jc w:val="both"/>
              <w:rPr>
                <w:rFonts w:asciiTheme="minorHAnsi" w:hAnsiTheme="minorHAnsi" w:cstheme="minorHAnsi"/>
                <w:color w:val="0033CC"/>
                <w:sz w:val="20"/>
              </w:rPr>
            </w:pPr>
          </w:p>
        </w:tc>
      </w:tr>
    </w:tbl>
    <w:p w:rsidR="00226F04" w:rsidRPr="005F120D" w:rsidRDefault="00226F04" w:rsidP="00B25E46">
      <w:pPr>
        <w:pStyle w:val="BodyText"/>
        <w:numPr>
          <w:ilvl w:val="0"/>
          <w:numId w:val="86"/>
        </w:numPr>
        <w:spacing w:before="120"/>
        <w:jc w:val="both"/>
        <w:rPr>
          <w:rFonts w:asciiTheme="minorHAnsi" w:hAnsiTheme="minorHAnsi" w:cstheme="minorHAnsi"/>
          <w:b/>
          <w:color w:val="0033CC"/>
          <w:sz w:val="20"/>
          <w:szCs w:val="20"/>
        </w:rPr>
      </w:pPr>
      <w:r w:rsidRPr="005F120D">
        <w:rPr>
          <w:rFonts w:asciiTheme="minorHAnsi" w:hAnsiTheme="minorHAnsi" w:cstheme="minorHAnsi"/>
          <w:b/>
          <w:color w:val="0033CC"/>
          <w:sz w:val="20"/>
          <w:szCs w:val="20"/>
        </w:rPr>
        <w:t>New Entrants</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sz w:val="20"/>
          <w:szCs w:val="20"/>
        </w:rPr>
        <w:t>Definition:</w:t>
      </w:r>
      <w:r w:rsidR="00C577F6" w:rsidRPr="005F120D">
        <w:rPr>
          <w:rFonts w:cstheme="minorHAnsi"/>
          <w:b w:val="0"/>
          <w:sz w:val="20"/>
        </w:rPr>
        <w:t xml:space="preserve"> Pupils who</w:t>
      </w:r>
      <w:r w:rsidR="00892125" w:rsidRPr="005F120D">
        <w:rPr>
          <w:rFonts w:cstheme="minorHAnsi"/>
          <w:b w:val="0"/>
          <w:sz w:val="20"/>
        </w:rPr>
        <w:t xml:space="preserve"> enter G</w:t>
      </w:r>
      <w:r w:rsidRPr="005F120D">
        <w:rPr>
          <w:rFonts w:cstheme="minorHAnsi"/>
          <w:b w:val="0"/>
          <w:sz w:val="20"/>
        </w:rPr>
        <w:t>rade 1 of primary education for the first time.</w:t>
      </w:r>
    </w:p>
    <w:p w:rsidR="00226F04" w:rsidRPr="005F120D" w:rsidRDefault="00226F04" w:rsidP="00B25E46">
      <w:pPr>
        <w:pStyle w:val="BodyText"/>
        <w:numPr>
          <w:ilvl w:val="0"/>
          <w:numId w:val="86"/>
        </w:numPr>
        <w:spacing w:before="240" w:after="24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 xml:space="preserve">Out-of-Schools Children (OOSC) </w:t>
      </w:r>
    </w:p>
    <w:p w:rsidR="00226F04" w:rsidRPr="005F120D" w:rsidRDefault="00226F04"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color w:val="0000FF"/>
          <w:sz w:val="20"/>
          <w:szCs w:val="20"/>
        </w:rPr>
        <w:t>Definition:</w:t>
      </w:r>
      <w:r w:rsidRPr="005F120D">
        <w:rPr>
          <w:rFonts w:asciiTheme="minorHAnsi" w:hAnsiTheme="minorHAnsi" w:cstheme="minorHAnsi"/>
          <w:sz w:val="20"/>
        </w:rPr>
        <w:t xml:space="preserve"> Out-of-school</w:t>
      </w:r>
      <w:r w:rsidR="00C577F6" w:rsidRPr="005F120D">
        <w:rPr>
          <w:rFonts w:asciiTheme="minorHAnsi" w:hAnsiTheme="minorHAnsi" w:cstheme="minorHAnsi"/>
          <w:sz w:val="20"/>
        </w:rPr>
        <w:t>s children are those children at</w:t>
      </w:r>
      <w:r w:rsidRPr="005F120D">
        <w:rPr>
          <w:rFonts w:asciiTheme="minorHAnsi" w:hAnsiTheme="minorHAnsi" w:cstheme="minorHAnsi"/>
          <w:sz w:val="20"/>
        </w:rPr>
        <w:t xml:space="preserve"> the official schools age 6</w:t>
      </w:r>
      <w:r w:rsidRPr="005F120D">
        <w:rPr>
          <w:rFonts w:asciiTheme="minorHAnsi" w:hAnsiTheme="minorHAnsi" w:cstheme="minorHAnsi"/>
          <w:sz w:val="20"/>
          <w:vertAlign w:val="superscript"/>
        </w:rPr>
        <w:t xml:space="preserve">+yrs </w:t>
      </w:r>
      <w:r w:rsidRPr="005F120D">
        <w:rPr>
          <w:rFonts w:asciiTheme="minorHAnsi" w:hAnsiTheme="minorHAnsi" w:cstheme="minorHAnsi"/>
          <w:sz w:val="20"/>
        </w:rPr>
        <w:t>to 10</w:t>
      </w:r>
      <w:r w:rsidRPr="005F120D">
        <w:rPr>
          <w:rFonts w:asciiTheme="minorHAnsi" w:hAnsiTheme="minorHAnsi" w:cstheme="minorHAnsi"/>
          <w:sz w:val="20"/>
          <w:vertAlign w:val="superscript"/>
        </w:rPr>
        <w:t xml:space="preserve">+yrs </w:t>
      </w:r>
      <w:r w:rsidR="00C577F6" w:rsidRPr="005F120D">
        <w:rPr>
          <w:rFonts w:asciiTheme="minorHAnsi" w:hAnsiTheme="minorHAnsi" w:cstheme="minorHAnsi"/>
          <w:sz w:val="20"/>
        </w:rPr>
        <w:t xml:space="preserve">range who are not enrolled </w:t>
      </w:r>
      <w:r w:rsidRPr="005F120D">
        <w:rPr>
          <w:rFonts w:asciiTheme="minorHAnsi" w:hAnsiTheme="minorHAnsi" w:cstheme="minorHAnsi"/>
          <w:sz w:val="20"/>
        </w:rPr>
        <w:t>in any ty</w:t>
      </w:r>
      <w:r w:rsidR="00C577F6" w:rsidRPr="005F120D">
        <w:rPr>
          <w:rFonts w:asciiTheme="minorHAnsi" w:hAnsiTheme="minorHAnsi" w:cstheme="minorHAnsi"/>
          <w:sz w:val="20"/>
        </w:rPr>
        <w:t>pe of school</w:t>
      </w:r>
      <w:r w:rsidRPr="005F120D">
        <w:rPr>
          <w:rFonts w:asciiTheme="minorHAnsi" w:hAnsiTheme="minorHAnsi" w:cstheme="minorHAnsi"/>
          <w:sz w:val="20"/>
        </w:rPr>
        <w:t>. This includes both the dropouts and never en</w:t>
      </w:r>
      <w:r w:rsidR="00C577F6" w:rsidRPr="005F120D">
        <w:rPr>
          <w:rFonts w:asciiTheme="minorHAnsi" w:hAnsiTheme="minorHAnsi" w:cstheme="minorHAnsi"/>
          <w:sz w:val="20"/>
        </w:rPr>
        <w:t>rolled children</w:t>
      </w:r>
      <w:r w:rsidRPr="005F120D">
        <w:rPr>
          <w:rFonts w:asciiTheme="minorHAnsi" w:hAnsiTheme="minorHAnsi" w:cstheme="minorHAnsi"/>
          <w:sz w:val="20"/>
        </w:rPr>
        <w:t>.</w:t>
      </w:r>
    </w:p>
    <w:p w:rsidR="00226F04" w:rsidRPr="005F120D" w:rsidRDefault="00226F04"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color w:val="0000FF"/>
          <w:sz w:val="20"/>
          <w:szCs w:val="20"/>
        </w:rPr>
        <w:t>Purpose:</w:t>
      </w:r>
      <w:r w:rsidRPr="005F120D">
        <w:rPr>
          <w:rFonts w:asciiTheme="minorHAnsi" w:hAnsiTheme="minorHAnsi" w:cstheme="minorHAnsi"/>
          <w:sz w:val="20"/>
        </w:rPr>
        <w:t xml:space="preserve"> To identify the size of the population in the official primary school age range who should be targeted for policies and efforts in achieving universal primary education.</w:t>
      </w:r>
    </w:p>
    <w:p w:rsidR="003B3565" w:rsidRPr="005F120D" w:rsidRDefault="00226F04"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sz w:val="20"/>
          <w:szCs w:val="20"/>
        </w:rPr>
        <w:t>Calculation method:</w:t>
      </w:r>
      <w:r w:rsidRPr="005F120D">
        <w:rPr>
          <w:rFonts w:asciiTheme="minorHAnsi" w:hAnsiTheme="minorHAnsi" w:cstheme="minorHAnsi"/>
          <w:sz w:val="20"/>
        </w:rPr>
        <w:t xml:space="preserve"> Subtract the number of primary school-</w:t>
      </w:r>
      <w:r w:rsidR="00C577F6" w:rsidRPr="005F120D">
        <w:rPr>
          <w:rFonts w:asciiTheme="minorHAnsi" w:hAnsiTheme="minorHAnsi" w:cstheme="minorHAnsi"/>
          <w:sz w:val="20"/>
        </w:rPr>
        <w:t>age pupils enrolled in any type</w:t>
      </w:r>
      <w:r w:rsidRPr="005F120D">
        <w:rPr>
          <w:rFonts w:asciiTheme="minorHAnsi" w:hAnsiTheme="minorHAnsi" w:cstheme="minorHAnsi"/>
          <w:sz w:val="20"/>
        </w:rPr>
        <w:t xml:space="preserve"> of school from the total population of the official primary school age range.</w:t>
      </w:r>
    </w:p>
    <w:p w:rsidR="00226F04" w:rsidRPr="005F120D" w:rsidRDefault="00226F04" w:rsidP="00B25E46">
      <w:pPr>
        <w:pStyle w:val="BodyText"/>
        <w:numPr>
          <w:ilvl w:val="0"/>
          <w:numId w:val="86"/>
        </w:numPr>
        <w:spacing w:before="12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Primary Education (formal)</w:t>
      </w:r>
    </w:p>
    <w:p w:rsidR="00226F04" w:rsidRPr="005F120D" w:rsidRDefault="00226F04" w:rsidP="00B25E46">
      <w:pPr>
        <w:pStyle w:val="ListParagraph"/>
        <w:numPr>
          <w:ilvl w:val="0"/>
          <w:numId w:val="0"/>
        </w:numPr>
        <w:spacing w:before="120" w:after="120"/>
        <w:jc w:val="both"/>
        <w:rPr>
          <w:rFonts w:asciiTheme="minorHAnsi" w:hAnsiTheme="minorHAnsi" w:cstheme="minorHAnsi"/>
          <w:sz w:val="20"/>
          <w:szCs w:val="20"/>
        </w:rPr>
      </w:pPr>
      <w:r w:rsidRPr="005F120D">
        <w:rPr>
          <w:rStyle w:val="BodyTextChar0"/>
          <w:rFonts w:asciiTheme="minorHAnsi" w:hAnsiTheme="minorHAnsi" w:cstheme="minorHAnsi"/>
          <w:sz w:val="20"/>
          <w:szCs w:val="20"/>
        </w:rPr>
        <w:t>Definition:</w:t>
      </w:r>
      <w:r w:rsidRPr="005F120D">
        <w:rPr>
          <w:rFonts w:asciiTheme="minorHAnsi" w:hAnsiTheme="minorHAnsi" w:cstheme="minorHAnsi"/>
          <w:sz w:val="20"/>
          <w:szCs w:val="20"/>
        </w:rPr>
        <w:t xml:space="preserve"> Formal primary education refers to education, as determined by the government for the children of age group 6</w:t>
      </w:r>
      <w:r w:rsidRPr="005F120D">
        <w:rPr>
          <w:rFonts w:asciiTheme="minorHAnsi" w:hAnsiTheme="minorHAnsi" w:cstheme="minorHAnsi"/>
          <w:sz w:val="20"/>
          <w:szCs w:val="20"/>
          <w:vertAlign w:val="superscript"/>
        </w:rPr>
        <w:t xml:space="preserve">+yrs </w:t>
      </w:r>
      <w:r w:rsidRPr="005F120D">
        <w:rPr>
          <w:rFonts w:asciiTheme="minorHAnsi" w:hAnsiTheme="minorHAnsi" w:cstheme="minorHAnsi"/>
          <w:sz w:val="20"/>
          <w:szCs w:val="20"/>
        </w:rPr>
        <w:t>to 10</w:t>
      </w:r>
      <w:r w:rsidRPr="005F120D">
        <w:rPr>
          <w:rFonts w:asciiTheme="minorHAnsi" w:hAnsiTheme="minorHAnsi" w:cstheme="minorHAnsi"/>
          <w:sz w:val="20"/>
          <w:szCs w:val="20"/>
          <w:vertAlign w:val="superscript"/>
        </w:rPr>
        <w:t xml:space="preserve">+yrs </w:t>
      </w:r>
      <w:r w:rsidR="00C577F6" w:rsidRPr="005F120D">
        <w:rPr>
          <w:rFonts w:asciiTheme="minorHAnsi" w:hAnsiTheme="minorHAnsi" w:cstheme="minorHAnsi"/>
          <w:sz w:val="20"/>
          <w:szCs w:val="20"/>
        </w:rPr>
        <w:t>years in G</w:t>
      </w:r>
      <w:r w:rsidRPr="005F120D">
        <w:rPr>
          <w:rFonts w:asciiTheme="minorHAnsi" w:hAnsiTheme="minorHAnsi" w:cstheme="minorHAnsi"/>
          <w:sz w:val="20"/>
          <w:szCs w:val="20"/>
        </w:rPr>
        <w:t>rades1-5 having a prescribed national curriculum, textbooks, schools hours and the schools year, which begins in January and ends in December.</w:t>
      </w:r>
    </w:p>
    <w:p w:rsidR="00226F04" w:rsidRPr="005F120D" w:rsidRDefault="00226F04" w:rsidP="00B25E46">
      <w:pPr>
        <w:pStyle w:val="BodyText"/>
        <w:numPr>
          <w:ilvl w:val="0"/>
          <w:numId w:val="86"/>
        </w:numPr>
        <w:spacing w:before="12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Primary Graduate:</w:t>
      </w:r>
    </w:p>
    <w:p w:rsidR="00226F04" w:rsidRPr="005F120D" w:rsidRDefault="00226F04" w:rsidP="00B25E46">
      <w:pPr>
        <w:pStyle w:val="Caption"/>
        <w:spacing w:before="120" w:after="120"/>
        <w:jc w:val="both"/>
        <w:rPr>
          <w:rFonts w:cstheme="minorHAnsi"/>
          <w:b w:val="0"/>
          <w:color w:val="000000"/>
          <w:sz w:val="20"/>
        </w:rPr>
      </w:pPr>
      <w:r w:rsidRPr="005F120D">
        <w:rPr>
          <w:rStyle w:val="BodyTextChar0"/>
          <w:rFonts w:cstheme="minorHAnsi"/>
          <w:sz w:val="20"/>
          <w:szCs w:val="20"/>
        </w:rPr>
        <w:t>Definition:</w:t>
      </w:r>
      <w:r w:rsidR="005C48B1" w:rsidRPr="005F120D">
        <w:rPr>
          <w:rFonts w:cstheme="minorHAnsi"/>
          <w:b w:val="0"/>
          <w:sz w:val="20"/>
        </w:rPr>
        <w:t xml:space="preserve"> A pupil or students who have</w:t>
      </w:r>
      <w:r w:rsidRPr="005F120D">
        <w:rPr>
          <w:rFonts w:cstheme="minorHAnsi"/>
          <w:b w:val="0"/>
          <w:sz w:val="20"/>
        </w:rPr>
        <w:t xml:space="preserve"> successfully complete</w:t>
      </w:r>
      <w:r w:rsidR="005C48B1" w:rsidRPr="005F120D">
        <w:rPr>
          <w:rFonts w:cstheme="minorHAnsi"/>
          <w:b w:val="0"/>
          <w:sz w:val="20"/>
        </w:rPr>
        <w:t>d</w:t>
      </w:r>
      <w:r w:rsidRPr="005F120D">
        <w:rPr>
          <w:rFonts w:cstheme="minorHAnsi"/>
          <w:b w:val="0"/>
          <w:sz w:val="20"/>
        </w:rPr>
        <w:t xml:space="preserve"> a level of education s</w:t>
      </w:r>
      <w:r w:rsidR="005C48B1" w:rsidRPr="005F120D">
        <w:rPr>
          <w:rFonts w:cstheme="minorHAnsi"/>
          <w:b w:val="0"/>
          <w:sz w:val="20"/>
        </w:rPr>
        <w:t>uch as primary education (from g</w:t>
      </w:r>
      <w:r w:rsidRPr="005F120D">
        <w:rPr>
          <w:rFonts w:cstheme="minorHAnsi"/>
          <w:b w:val="0"/>
          <w:sz w:val="20"/>
        </w:rPr>
        <w:t>rade 1 to 5 in Bangladesh)</w:t>
      </w:r>
      <w:r w:rsidR="005C48B1" w:rsidRPr="005F120D">
        <w:rPr>
          <w:rFonts w:cstheme="minorHAnsi"/>
          <w:b w:val="0"/>
          <w:sz w:val="20"/>
        </w:rPr>
        <w:t xml:space="preserve"> is calle</w:t>
      </w:r>
      <w:r w:rsidRPr="005F120D">
        <w:rPr>
          <w:rFonts w:cstheme="minorHAnsi"/>
          <w:b w:val="0"/>
          <w:sz w:val="20"/>
        </w:rPr>
        <w:t>d</w:t>
      </w:r>
      <w:r w:rsidR="005C48B1" w:rsidRPr="005F120D">
        <w:rPr>
          <w:rFonts w:cstheme="minorHAnsi"/>
          <w:b w:val="0"/>
          <w:sz w:val="20"/>
        </w:rPr>
        <w:t xml:space="preserve"> a </w:t>
      </w:r>
      <w:r w:rsidRPr="005F120D">
        <w:rPr>
          <w:rFonts w:cstheme="minorHAnsi"/>
          <w:b w:val="0"/>
          <w:sz w:val="20"/>
        </w:rPr>
        <w:t xml:space="preserve">primary graduate. In other words, </w:t>
      </w:r>
      <w:r w:rsidRPr="005F120D">
        <w:rPr>
          <w:rFonts w:cstheme="minorHAnsi"/>
          <w:b w:val="0"/>
          <w:color w:val="000000"/>
          <w:sz w:val="20"/>
        </w:rPr>
        <w:t>total numbers of new entrants to the first grade of primary in a given year, regardless of age, who are expect to graduate from the last grade of primary education, regardless of repetition, expressed as a percentage of the population at the official graduation age from primary education in the same year.</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Purpose:</w:t>
      </w:r>
      <w:r w:rsidRPr="005F120D">
        <w:rPr>
          <w:rFonts w:cstheme="minorHAnsi"/>
          <w:b w:val="0"/>
          <w:sz w:val="20"/>
        </w:rPr>
        <w:t xml:space="preserve">To estimate the future output of primary education based on current new entrants to the first grade of primary education assuming current grade transition and repetition rates as well as last grade graduation </w:t>
      </w:r>
      <w:r w:rsidRPr="005F120D">
        <w:rPr>
          <w:rFonts w:cstheme="minorHAnsi"/>
          <w:b w:val="0"/>
          <w:sz w:val="20"/>
        </w:rPr>
        <w:lastRenderedPageBreak/>
        <w:t>probability remain unchanged. It therefore predicts the effect on last grade graduation of current education policies on entrance to primary education and future years of schooling.</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Calculation method:</w:t>
      </w:r>
      <w:r w:rsidRPr="005F120D">
        <w:rPr>
          <w:rFonts w:cstheme="minorHAnsi"/>
          <w:b w:val="0"/>
          <w:sz w:val="20"/>
        </w:rPr>
        <w:t xml:space="preserve"> Multiply the expected gross intake ratio to the last grade of primary education by the probability of graduation at the last grade of primary. This indicator is calculated on the basis of the reconstructed cohort method</w:t>
      </w:r>
      <w:r w:rsidR="005C48B1" w:rsidRPr="005F120D">
        <w:rPr>
          <w:rFonts w:cstheme="minorHAnsi"/>
          <w:b w:val="0"/>
          <w:sz w:val="20"/>
        </w:rPr>
        <w:t>.</w:t>
      </w:r>
    </w:p>
    <w:p w:rsidR="00226F04" w:rsidRPr="005F120D" w:rsidRDefault="00226F04" w:rsidP="00B25E46">
      <w:pPr>
        <w:pStyle w:val="BodyText"/>
        <w:numPr>
          <w:ilvl w:val="0"/>
          <w:numId w:val="86"/>
        </w:numPr>
        <w:spacing w:before="12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Promotion Rate by Grade</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Definition:</w:t>
      </w:r>
      <w:r w:rsidRPr="005F120D">
        <w:rPr>
          <w:rFonts w:cstheme="minorHAnsi"/>
          <w:b w:val="0"/>
          <w:sz w:val="20"/>
        </w:rPr>
        <w:t xml:space="preserve"> Proportion of pupils from a cohort enrolled in </w:t>
      </w:r>
      <w:r w:rsidR="005C48B1" w:rsidRPr="005F120D">
        <w:rPr>
          <w:rFonts w:cstheme="minorHAnsi"/>
          <w:b w:val="0"/>
          <w:sz w:val="20"/>
        </w:rPr>
        <w:t>a given grade in a given school year, who study</w:t>
      </w:r>
      <w:r w:rsidRPr="005F120D">
        <w:rPr>
          <w:rFonts w:cstheme="minorHAnsi"/>
          <w:b w:val="0"/>
          <w:sz w:val="20"/>
        </w:rPr>
        <w:t xml:space="preserve"> in the nex</w:t>
      </w:r>
      <w:r w:rsidR="005C48B1" w:rsidRPr="005F120D">
        <w:rPr>
          <w:rFonts w:cstheme="minorHAnsi"/>
          <w:b w:val="0"/>
          <w:sz w:val="20"/>
        </w:rPr>
        <w:t>t grade in the following school</w:t>
      </w:r>
      <w:r w:rsidRPr="005F120D">
        <w:rPr>
          <w:rFonts w:cstheme="minorHAnsi"/>
          <w:b w:val="0"/>
          <w:sz w:val="20"/>
        </w:rPr>
        <w:t xml:space="preserve"> year.</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Purpose:</w:t>
      </w:r>
      <w:r w:rsidRPr="005F120D">
        <w:rPr>
          <w:rFonts w:cstheme="minorHAnsi"/>
          <w:b w:val="0"/>
          <w:sz w:val="20"/>
        </w:rPr>
        <w:t xml:space="preserve">It is </w:t>
      </w:r>
      <w:r w:rsidR="005C48B1" w:rsidRPr="005F120D">
        <w:rPr>
          <w:rFonts w:cstheme="minorHAnsi"/>
          <w:b w:val="0"/>
          <w:sz w:val="20"/>
        </w:rPr>
        <w:t xml:space="preserve">to </w:t>
      </w:r>
      <w:r w:rsidRPr="005F120D">
        <w:rPr>
          <w:rFonts w:cstheme="minorHAnsi"/>
          <w:b w:val="0"/>
          <w:sz w:val="20"/>
        </w:rPr>
        <w:t>measure the performance of the education system in promoting pupils from a cohort from grade to grade, and its effect on the internal efficiency of educational systems. It is also a key indicator for analyzing and projecting pupil flows from grade to grade within the educational cycle.</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Calculation method:</w:t>
      </w:r>
      <w:r w:rsidRPr="005F120D">
        <w:rPr>
          <w:rFonts w:cstheme="minorHAnsi"/>
          <w:b w:val="0"/>
          <w:sz w:val="20"/>
        </w:rPr>
        <w:t xml:space="preserve"> Divide the number of new </w:t>
      </w:r>
      <w:r w:rsidR="004B53A0" w:rsidRPr="005F120D">
        <w:rPr>
          <w:rFonts w:cstheme="minorHAnsi"/>
          <w:b w:val="0"/>
          <w:sz w:val="20"/>
        </w:rPr>
        <w:t>enrolment</w:t>
      </w:r>
      <w:r w:rsidRPr="005F120D">
        <w:rPr>
          <w:rFonts w:cstheme="minorHAnsi"/>
          <w:b w:val="0"/>
          <w:sz w:val="20"/>
        </w:rPr>
        <w:t xml:space="preserve">s in </w:t>
      </w:r>
      <w:r w:rsidR="005C48B1" w:rsidRPr="005F120D">
        <w:rPr>
          <w:rFonts w:cstheme="minorHAnsi"/>
          <w:b w:val="0"/>
          <w:sz w:val="20"/>
        </w:rPr>
        <w:t>a given grade in a given school</w:t>
      </w:r>
      <w:r w:rsidRPr="005F120D">
        <w:rPr>
          <w:rFonts w:cstheme="minorHAnsi"/>
          <w:b w:val="0"/>
          <w:sz w:val="20"/>
        </w:rPr>
        <w:t xml:space="preserve"> year (t+1) by the number of pupils from the same cohort enrolled in the precedi</w:t>
      </w:r>
      <w:r w:rsidR="005C48B1" w:rsidRPr="005F120D">
        <w:rPr>
          <w:rFonts w:cstheme="minorHAnsi"/>
          <w:b w:val="0"/>
          <w:sz w:val="20"/>
        </w:rPr>
        <w:t>ng grade in the previous school</w:t>
      </w:r>
      <w:r w:rsidRPr="005F120D">
        <w:rPr>
          <w:rFonts w:cstheme="minorHAnsi"/>
          <w:b w:val="0"/>
          <w:sz w:val="20"/>
        </w:rPr>
        <w:t xml:space="preserve"> year (t).</w:t>
      </w:r>
    </w:p>
    <w:tbl>
      <w:tblPr>
        <w:tblW w:w="0" w:type="auto"/>
        <w:tblLook w:val="04A0"/>
      </w:tblPr>
      <w:tblGrid>
        <w:gridCol w:w="1728"/>
        <w:gridCol w:w="4860"/>
        <w:gridCol w:w="1594"/>
      </w:tblGrid>
      <w:tr w:rsidR="00226F04" w:rsidRPr="005F120D" w:rsidTr="00F0758E">
        <w:trPr>
          <w:trHeight w:val="144"/>
        </w:trPr>
        <w:tc>
          <w:tcPr>
            <w:tcW w:w="1728" w:type="dxa"/>
            <w:vMerge w:val="restart"/>
            <w:vAlign w:val="center"/>
          </w:tcPr>
          <w:p w:rsidR="00226F04" w:rsidRPr="005F120D" w:rsidRDefault="00226F04" w:rsidP="00B25E46">
            <w:pPr>
              <w:pStyle w:val="BodyText"/>
              <w:spacing w:after="0"/>
              <w:jc w:val="both"/>
              <w:rPr>
                <w:rFonts w:asciiTheme="minorHAnsi" w:hAnsiTheme="minorHAnsi" w:cstheme="minorHAnsi"/>
                <w:b/>
                <w:color w:val="0000FF"/>
                <w:sz w:val="20"/>
                <w:szCs w:val="20"/>
              </w:rPr>
            </w:pPr>
            <w:r w:rsidRPr="005F120D">
              <w:rPr>
                <w:rFonts w:asciiTheme="minorHAnsi" w:hAnsiTheme="minorHAnsi" w:cstheme="minorHAnsi"/>
                <w:color w:val="0000FF"/>
                <w:sz w:val="20"/>
                <w:szCs w:val="20"/>
              </w:rPr>
              <w:t>Formula  =</w:t>
            </w:r>
          </w:p>
        </w:tc>
        <w:tc>
          <w:tcPr>
            <w:tcW w:w="4860" w:type="dxa"/>
            <w:tcBorders>
              <w:bottom w:val="single" w:sz="12" w:space="0" w:color="3333FF"/>
            </w:tcBorders>
          </w:tcPr>
          <w:p w:rsidR="00226F04" w:rsidRPr="005F120D" w:rsidRDefault="00226F04" w:rsidP="00B25E46">
            <w:pPr>
              <w:spacing w:after="0"/>
              <w:jc w:val="both"/>
              <w:rPr>
                <w:rFonts w:asciiTheme="minorHAnsi" w:hAnsiTheme="minorHAnsi" w:cstheme="minorHAnsi"/>
                <w:color w:val="0000FF"/>
                <w:sz w:val="20"/>
              </w:rPr>
            </w:pPr>
            <w:r w:rsidRPr="005F120D">
              <w:rPr>
                <w:rFonts w:asciiTheme="minorHAnsi" w:hAnsiTheme="minorHAnsi" w:cstheme="minorHAnsi"/>
                <w:color w:val="0000FF"/>
                <w:sz w:val="20"/>
              </w:rPr>
              <w:t>No. of pupils promoted to grade g + 1 in year t + 1</w:t>
            </w:r>
          </w:p>
        </w:tc>
        <w:tc>
          <w:tcPr>
            <w:tcW w:w="1594" w:type="dxa"/>
            <w:vMerge w:val="restart"/>
          </w:tcPr>
          <w:p w:rsidR="00226F04" w:rsidRPr="005F120D" w:rsidRDefault="00226F04" w:rsidP="00B25E46">
            <w:pPr>
              <w:spacing w:after="0"/>
              <w:rPr>
                <w:rFonts w:asciiTheme="minorHAnsi" w:hAnsiTheme="minorHAnsi" w:cstheme="minorHAnsi"/>
                <w:color w:val="0000FF"/>
                <w:sz w:val="20"/>
              </w:rPr>
            </w:pPr>
            <w:r w:rsidRPr="005F120D">
              <w:rPr>
                <w:rFonts w:asciiTheme="minorHAnsi" w:hAnsiTheme="minorHAnsi" w:cstheme="minorHAnsi"/>
                <w:color w:val="0000FF"/>
                <w:sz w:val="20"/>
              </w:rPr>
              <w:t>X 100</w:t>
            </w:r>
          </w:p>
        </w:tc>
      </w:tr>
      <w:tr w:rsidR="00226F04" w:rsidRPr="005F120D" w:rsidTr="00F0758E">
        <w:trPr>
          <w:trHeight w:val="144"/>
        </w:trPr>
        <w:tc>
          <w:tcPr>
            <w:tcW w:w="1728" w:type="dxa"/>
            <w:vMerge/>
          </w:tcPr>
          <w:p w:rsidR="00226F04" w:rsidRPr="005F120D" w:rsidRDefault="00226F04" w:rsidP="00B25E46">
            <w:pPr>
              <w:spacing w:after="0"/>
              <w:jc w:val="both"/>
              <w:rPr>
                <w:rFonts w:asciiTheme="minorHAnsi" w:hAnsiTheme="minorHAnsi" w:cstheme="minorHAnsi"/>
                <w:color w:val="0000FF"/>
                <w:sz w:val="20"/>
              </w:rPr>
            </w:pPr>
          </w:p>
        </w:tc>
        <w:tc>
          <w:tcPr>
            <w:tcW w:w="4860" w:type="dxa"/>
            <w:tcBorders>
              <w:top w:val="single" w:sz="12" w:space="0" w:color="3333FF"/>
            </w:tcBorders>
          </w:tcPr>
          <w:p w:rsidR="00226F04" w:rsidRPr="005F120D" w:rsidRDefault="00226F04" w:rsidP="00B25E46">
            <w:pPr>
              <w:spacing w:after="0"/>
              <w:jc w:val="both"/>
              <w:rPr>
                <w:rFonts w:asciiTheme="minorHAnsi" w:hAnsiTheme="minorHAnsi" w:cstheme="minorHAnsi"/>
                <w:color w:val="0000FF"/>
                <w:sz w:val="20"/>
              </w:rPr>
            </w:pPr>
            <w:r w:rsidRPr="005F120D">
              <w:rPr>
                <w:rFonts w:asciiTheme="minorHAnsi" w:hAnsiTheme="minorHAnsi" w:cstheme="minorHAnsi"/>
                <w:color w:val="0000FF"/>
                <w:sz w:val="20"/>
              </w:rPr>
              <w:t>Total number of pupils in grade g in year t</w:t>
            </w:r>
          </w:p>
        </w:tc>
        <w:tc>
          <w:tcPr>
            <w:tcW w:w="1594" w:type="dxa"/>
            <w:vMerge/>
          </w:tcPr>
          <w:p w:rsidR="00226F04" w:rsidRPr="005F120D" w:rsidRDefault="00226F04" w:rsidP="00B25E46">
            <w:pPr>
              <w:spacing w:after="0"/>
              <w:jc w:val="both"/>
              <w:rPr>
                <w:rFonts w:asciiTheme="minorHAnsi" w:hAnsiTheme="minorHAnsi" w:cstheme="minorHAnsi"/>
                <w:color w:val="0000FF"/>
                <w:sz w:val="20"/>
              </w:rPr>
            </w:pPr>
          </w:p>
        </w:tc>
      </w:tr>
    </w:tbl>
    <w:p w:rsidR="00226F04" w:rsidRPr="005F120D" w:rsidRDefault="00226F04" w:rsidP="00B25E46">
      <w:pPr>
        <w:pStyle w:val="BodyText"/>
        <w:numPr>
          <w:ilvl w:val="0"/>
          <w:numId w:val="86"/>
        </w:numPr>
        <w:spacing w:before="12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Pupil Cohort</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Definition:</w:t>
      </w:r>
      <w:r w:rsidRPr="005F120D">
        <w:rPr>
          <w:rFonts w:cstheme="minorHAnsi"/>
          <w:b w:val="0"/>
          <w:sz w:val="20"/>
        </w:rPr>
        <w:t xml:space="preserve"> Pupil-cohort is a group of pupils who enter the first grade of any level </w:t>
      </w:r>
      <w:r w:rsidR="005C48B1" w:rsidRPr="005F120D">
        <w:rPr>
          <w:rFonts w:cstheme="minorHAnsi"/>
          <w:b w:val="0"/>
          <w:sz w:val="20"/>
        </w:rPr>
        <w:t>of education in the same school</w:t>
      </w:r>
      <w:r w:rsidRPr="005F120D">
        <w:rPr>
          <w:rFonts w:cstheme="minorHAnsi"/>
          <w:b w:val="0"/>
          <w:sz w:val="20"/>
        </w:rPr>
        <w:t xml:space="preserve"> year and subsequently experienced promotion, repetition, dropout each in his or her own way.</w:t>
      </w:r>
    </w:p>
    <w:p w:rsidR="00226F04" w:rsidRPr="005F120D" w:rsidRDefault="00226F04" w:rsidP="00B25E46">
      <w:pPr>
        <w:pStyle w:val="BodyText"/>
        <w:numPr>
          <w:ilvl w:val="0"/>
          <w:numId w:val="86"/>
        </w:numPr>
        <w:spacing w:before="12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Pupil Year</w:t>
      </w:r>
    </w:p>
    <w:p w:rsidR="00226F04" w:rsidRPr="005F120D" w:rsidRDefault="00226F04" w:rsidP="00B25E46">
      <w:pPr>
        <w:pStyle w:val="Caption"/>
        <w:spacing w:before="120"/>
        <w:jc w:val="both"/>
        <w:rPr>
          <w:rFonts w:cstheme="minorHAnsi"/>
          <w:b w:val="0"/>
          <w:sz w:val="20"/>
        </w:rPr>
      </w:pPr>
      <w:r w:rsidRPr="005F120D">
        <w:rPr>
          <w:rStyle w:val="BodyTextChar0"/>
          <w:rFonts w:cstheme="minorHAnsi"/>
          <w:color w:val="0000FF"/>
          <w:sz w:val="20"/>
          <w:szCs w:val="20"/>
        </w:rPr>
        <w:t>Definition:</w:t>
      </w:r>
      <w:r w:rsidRPr="005F120D">
        <w:rPr>
          <w:rFonts w:cstheme="minorHAnsi"/>
          <w:b w:val="0"/>
          <w:sz w:val="20"/>
        </w:rPr>
        <w:t xml:space="preserve"> Pupil year is a non-monetary measure of educational inputs or resources. One pupil year denotes the resources spen</w:t>
      </w:r>
      <w:r w:rsidR="005C48B1" w:rsidRPr="005F120D">
        <w:rPr>
          <w:rFonts w:cstheme="minorHAnsi"/>
          <w:b w:val="0"/>
          <w:sz w:val="20"/>
        </w:rPr>
        <w:t>t to maintain a pupil in school</w:t>
      </w:r>
      <w:r w:rsidRPr="005F120D">
        <w:rPr>
          <w:rFonts w:cstheme="minorHAnsi"/>
          <w:b w:val="0"/>
          <w:sz w:val="20"/>
        </w:rPr>
        <w:t xml:space="preserve"> for one year.</w:t>
      </w:r>
    </w:p>
    <w:p w:rsidR="00226F04" w:rsidRPr="005F120D" w:rsidRDefault="00226F04" w:rsidP="00B25E46">
      <w:pPr>
        <w:pStyle w:val="BodyText"/>
        <w:numPr>
          <w:ilvl w:val="0"/>
          <w:numId w:val="86"/>
        </w:numPr>
        <w:spacing w:before="12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Public Expenditure as a Percentage of Total Public Expenditure on Education</w:t>
      </w:r>
    </w:p>
    <w:p w:rsidR="00392C0C" w:rsidRPr="005F120D" w:rsidRDefault="00226F04" w:rsidP="00B25E46">
      <w:pPr>
        <w:autoSpaceDE w:val="0"/>
        <w:autoSpaceDN w:val="0"/>
        <w:adjustRightInd w:val="0"/>
        <w:spacing w:before="120" w:after="120"/>
        <w:jc w:val="both"/>
        <w:rPr>
          <w:rFonts w:asciiTheme="minorHAnsi" w:hAnsiTheme="minorHAnsi" w:cstheme="minorHAnsi"/>
          <w:color w:val="000000"/>
          <w:sz w:val="20"/>
        </w:rPr>
      </w:pPr>
      <w:r w:rsidRPr="005F120D">
        <w:rPr>
          <w:rStyle w:val="BodyTextChar0"/>
          <w:rFonts w:asciiTheme="minorHAnsi" w:hAnsiTheme="minorHAnsi" w:cstheme="minorHAnsi"/>
          <w:color w:val="0000FF"/>
          <w:sz w:val="20"/>
          <w:szCs w:val="20"/>
        </w:rPr>
        <w:t>Definition:</w:t>
      </w:r>
      <w:r w:rsidRPr="005F120D">
        <w:rPr>
          <w:rFonts w:asciiTheme="minorHAnsi" w:hAnsiTheme="minorHAnsi" w:cstheme="minorHAnsi"/>
          <w:color w:val="000000"/>
          <w:sz w:val="20"/>
        </w:rPr>
        <w:t xml:space="preserve"> Total public expenditure on education (current and capital) expressed as a percentage of total government expenditure in a given financial year.</w:t>
      </w:r>
    </w:p>
    <w:p w:rsidR="00226F04" w:rsidRPr="005F120D" w:rsidRDefault="00226F04" w:rsidP="00B25E46">
      <w:pPr>
        <w:autoSpaceDE w:val="0"/>
        <w:autoSpaceDN w:val="0"/>
        <w:adjustRightInd w:val="0"/>
        <w:spacing w:before="120" w:after="120"/>
        <w:jc w:val="both"/>
        <w:rPr>
          <w:rFonts w:asciiTheme="minorHAnsi" w:hAnsiTheme="minorHAnsi" w:cstheme="minorHAnsi"/>
          <w:color w:val="000000"/>
          <w:sz w:val="20"/>
        </w:rPr>
      </w:pPr>
      <w:r w:rsidRPr="005F120D">
        <w:rPr>
          <w:rStyle w:val="BodyTextChar0"/>
          <w:rFonts w:asciiTheme="minorHAnsi" w:hAnsiTheme="minorHAnsi" w:cstheme="minorHAnsi"/>
          <w:color w:val="0000FF"/>
          <w:sz w:val="20"/>
          <w:szCs w:val="20"/>
        </w:rPr>
        <w:t>Purpose:</w:t>
      </w:r>
      <w:r w:rsidRPr="005F120D">
        <w:rPr>
          <w:rFonts w:asciiTheme="minorHAnsi" w:hAnsiTheme="minorHAnsi" w:cstheme="minorHAnsi"/>
          <w:color w:val="000000"/>
          <w:sz w:val="20"/>
        </w:rPr>
        <w:t xml:space="preserve"> Purpose is to assess a government's policy emphasis on education relative to the perceived value of other public investments. It reflects also the commitment of a government to invest in human capital development.</w:t>
      </w:r>
    </w:p>
    <w:p w:rsidR="00226F04" w:rsidRPr="005F120D" w:rsidRDefault="00226F04" w:rsidP="00B25E46">
      <w:pPr>
        <w:autoSpaceDE w:val="0"/>
        <w:autoSpaceDN w:val="0"/>
        <w:adjustRightInd w:val="0"/>
        <w:spacing w:before="120"/>
        <w:jc w:val="both"/>
        <w:rPr>
          <w:rFonts w:asciiTheme="minorHAnsi" w:hAnsiTheme="minorHAnsi" w:cstheme="minorHAnsi"/>
          <w:color w:val="000000"/>
          <w:sz w:val="20"/>
        </w:rPr>
      </w:pPr>
      <w:r w:rsidRPr="005F120D">
        <w:rPr>
          <w:rStyle w:val="BodyTextChar0"/>
          <w:rFonts w:asciiTheme="minorHAnsi" w:hAnsiTheme="minorHAnsi" w:cstheme="minorHAnsi"/>
          <w:color w:val="0000FF"/>
          <w:sz w:val="20"/>
          <w:szCs w:val="20"/>
        </w:rPr>
        <w:t>Calculation method:</w:t>
      </w:r>
      <w:r w:rsidRPr="005F120D">
        <w:rPr>
          <w:rFonts w:asciiTheme="minorHAnsi" w:hAnsiTheme="minorHAnsi" w:cstheme="minorHAnsi"/>
          <w:color w:val="000000"/>
          <w:sz w:val="20"/>
        </w:rPr>
        <w:t xml:space="preserve"> Divide total public expenditure on education incurred by all government agencies/departments in a given financial year by the total government expenditure for the same financial year and multiply by 100.</w:t>
      </w:r>
    </w:p>
    <w:p w:rsidR="00226F04" w:rsidRPr="005F120D" w:rsidRDefault="00226F04" w:rsidP="00B25E46">
      <w:pPr>
        <w:pStyle w:val="BodyText"/>
        <w:numPr>
          <w:ilvl w:val="0"/>
          <w:numId w:val="86"/>
        </w:numPr>
        <w:spacing w:before="12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Repetition Rate</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Definition:</w:t>
      </w:r>
      <w:r w:rsidRPr="005F120D">
        <w:rPr>
          <w:rFonts w:cstheme="minorHAnsi"/>
          <w:b w:val="0"/>
          <w:sz w:val="20"/>
        </w:rPr>
        <w:t xml:space="preserve"> Proportion of pupils from a cohort enrolled in </w:t>
      </w:r>
      <w:r w:rsidR="005C48B1" w:rsidRPr="005F120D">
        <w:rPr>
          <w:rFonts w:cstheme="minorHAnsi"/>
          <w:b w:val="0"/>
          <w:sz w:val="20"/>
        </w:rPr>
        <w:t>a given grade in a given school</w:t>
      </w:r>
      <w:r w:rsidRPr="005F120D">
        <w:rPr>
          <w:rFonts w:cstheme="minorHAnsi"/>
          <w:b w:val="0"/>
          <w:sz w:val="20"/>
        </w:rPr>
        <w:t xml:space="preserve"> year</w:t>
      </w:r>
      <w:r w:rsidR="005C48B1" w:rsidRPr="005F120D">
        <w:rPr>
          <w:rFonts w:cstheme="minorHAnsi"/>
          <w:b w:val="0"/>
          <w:sz w:val="20"/>
        </w:rPr>
        <w:t>, who study</w:t>
      </w:r>
      <w:r w:rsidRPr="005F120D">
        <w:rPr>
          <w:rFonts w:cstheme="minorHAnsi"/>
          <w:b w:val="0"/>
          <w:sz w:val="20"/>
        </w:rPr>
        <w:t xml:space="preserve"> in the same grade in the f</w:t>
      </w:r>
      <w:r w:rsidR="005C48B1" w:rsidRPr="005F120D">
        <w:rPr>
          <w:rFonts w:cstheme="minorHAnsi"/>
          <w:b w:val="0"/>
          <w:sz w:val="20"/>
        </w:rPr>
        <w:t>ollowing schools year. DPE uses</w:t>
      </w:r>
      <w:r w:rsidRPr="005F120D">
        <w:rPr>
          <w:rFonts w:cstheme="minorHAnsi"/>
          <w:b w:val="0"/>
          <w:sz w:val="20"/>
        </w:rPr>
        <w:t xml:space="preserve"> reconstructed cohort for calculating repetition rate</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Purpose:</w:t>
      </w:r>
      <w:r w:rsidRPr="005F120D">
        <w:rPr>
          <w:rFonts w:cstheme="minorHAnsi"/>
          <w:b w:val="0"/>
          <w:sz w:val="20"/>
        </w:rPr>
        <w:t xml:space="preserve"> To measure the rate at which pupils from a cohort repeat a grade, and its effect on the internal efficiency of educational systems. In addition, it is one of the key indicators for analyzing and projecting pupil flows from grade to grade within the educational cycle.</w:t>
      </w:r>
    </w:p>
    <w:p w:rsidR="00226F04" w:rsidRPr="005F120D" w:rsidRDefault="00226F04" w:rsidP="00B25E46">
      <w:pPr>
        <w:pStyle w:val="Caption"/>
        <w:spacing w:before="120"/>
        <w:jc w:val="both"/>
        <w:rPr>
          <w:rFonts w:cstheme="minorHAnsi"/>
          <w:b w:val="0"/>
          <w:sz w:val="20"/>
        </w:rPr>
      </w:pPr>
      <w:r w:rsidRPr="005F120D">
        <w:rPr>
          <w:rStyle w:val="BodyTextChar0"/>
          <w:rFonts w:cstheme="minorHAnsi"/>
          <w:color w:val="0000FF"/>
          <w:sz w:val="20"/>
          <w:szCs w:val="20"/>
        </w:rPr>
        <w:t>Calculation method:</w:t>
      </w:r>
      <w:r w:rsidRPr="005F120D">
        <w:rPr>
          <w:rFonts w:cstheme="minorHAnsi"/>
          <w:b w:val="0"/>
          <w:sz w:val="20"/>
        </w:rPr>
        <w:t>Divide the number of repeaters in a given grade in a given schools year (t+1) by the number of pupils from the same cohort enrolled in same grade in the previous schools year (t).</w:t>
      </w:r>
    </w:p>
    <w:tbl>
      <w:tblPr>
        <w:tblW w:w="0" w:type="auto"/>
        <w:tblLook w:val="04A0"/>
      </w:tblPr>
      <w:tblGrid>
        <w:gridCol w:w="1458"/>
        <w:gridCol w:w="4410"/>
        <w:gridCol w:w="2319"/>
      </w:tblGrid>
      <w:tr w:rsidR="00226F04" w:rsidRPr="005F120D" w:rsidTr="00F0758E">
        <w:tc>
          <w:tcPr>
            <w:tcW w:w="1458" w:type="dxa"/>
            <w:vMerge w:val="restart"/>
            <w:vAlign w:val="center"/>
          </w:tcPr>
          <w:p w:rsidR="00226F04" w:rsidRPr="005F120D" w:rsidRDefault="00226F04" w:rsidP="00B25E46">
            <w:pPr>
              <w:pStyle w:val="BodyText"/>
              <w:spacing w:after="0"/>
              <w:jc w:val="both"/>
              <w:rPr>
                <w:rFonts w:asciiTheme="minorHAnsi" w:hAnsiTheme="minorHAnsi" w:cstheme="minorHAnsi"/>
                <w:b/>
                <w:color w:val="0000FF"/>
                <w:sz w:val="20"/>
                <w:szCs w:val="20"/>
              </w:rPr>
            </w:pPr>
            <w:r w:rsidRPr="005F120D">
              <w:rPr>
                <w:rFonts w:asciiTheme="minorHAnsi" w:hAnsiTheme="minorHAnsi" w:cstheme="minorHAnsi"/>
                <w:color w:val="0000FF"/>
                <w:sz w:val="20"/>
                <w:szCs w:val="20"/>
              </w:rPr>
              <w:t>Formula  =</w:t>
            </w:r>
          </w:p>
        </w:tc>
        <w:tc>
          <w:tcPr>
            <w:tcW w:w="4410" w:type="dxa"/>
            <w:tcBorders>
              <w:bottom w:val="single" w:sz="12" w:space="0" w:color="3333FF"/>
            </w:tcBorders>
          </w:tcPr>
          <w:p w:rsidR="00226F04" w:rsidRPr="005F120D" w:rsidRDefault="00226F04" w:rsidP="00B25E46">
            <w:pPr>
              <w:spacing w:after="0"/>
              <w:jc w:val="both"/>
              <w:rPr>
                <w:rFonts w:asciiTheme="minorHAnsi" w:hAnsiTheme="minorHAnsi" w:cstheme="minorHAnsi"/>
                <w:color w:val="0000FF"/>
                <w:sz w:val="20"/>
              </w:rPr>
            </w:pPr>
            <w:r w:rsidRPr="005F120D">
              <w:rPr>
                <w:rFonts w:asciiTheme="minorHAnsi" w:hAnsiTheme="minorHAnsi" w:cstheme="minorHAnsi"/>
                <w:color w:val="0000FF"/>
                <w:sz w:val="20"/>
              </w:rPr>
              <w:t>No. of pupils repeated in grade g in year t + 1</w:t>
            </w:r>
          </w:p>
        </w:tc>
        <w:tc>
          <w:tcPr>
            <w:tcW w:w="2319" w:type="dxa"/>
            <w:vMerge w:val="restart"/>
          </w:tcPr>
          <w:p w:rsidR="00226F04" w:rsidRPr="005F120D" w:rsidRDefault="00226F04" w:rsidP="00B25E46">
            <w:pPr>
              <w:spacing w:after="0"/>
              <w:rPr>
                <w:rFonts w:asciiTheme="minorHAnsi" w:hAnsiTheme="minorHAnsi" w:cstheme="minorHAnsi"/>
                <w:color w:val="0000FF"/>
                <w:sz w:val="20"/>
              </w:rPr>
            </w:pPr>
            <w:r w:rsidRPr="005F120D">
              <w:rPr>
                <w:rFonts w:asciiTheme="minorHAnsi" w:hAnsiTheme="minorHAnsi" w:cstheme="minorHAnsi"/>
                <w:color w:val="0000FF"/>
                <w:sz w:val="20"/>
              </w:rPr>
              <w:t>X 100</w:t>
            </w:r>
          </w:p>
        </w:tc>
      </w:tr>
      <w:tr w:rsidR="00226F04" w:rsidRPr="005F120D" w:rsidTr="00F0758E">
        <w:tc>
          <w:tcPr>
            <w:tcW w:w="1458" w:type="dxa"/>
            <w:vMerge/>
          </w:tcPr>
          <w:p w:rsidR="00226F04" w:rsidRPr="005F120D" w:rsidRDefault="00226F04" w:rsidP="00B25E46">
            <w:pPr>
              <w:spacing w:after="0"/>
              <w:jc w:val="both"/>
              <w:rPr>
                <w:rFonts w:asciiTheme="minorHAnsi" w:hAnsiTheme="minorHAnsi" w:cstheme="minorHAnsi"/>
                <w:color w:val="0000FF"/>
                <w:sz w:val="20"/>
              </w:rPr>
            </w:pPr>
          </w:p>
        </w:tc>
        <w:tc>
          <w:tcPr>
            <w:tcW w:w="4410" w:type="dxa"/>
            <w:tcBorders>
              <w:top w:val="single" w:sz="12" w:space="0" w:color="3333FF"/>
            </w:tcBorders>
          </w:tcPr>
          <w:p w:rsidR="00226F04" w:rsidRPr="005F120D" w:rsidRDefault="00226F04" w:rsidP="00B25E46">
            <w:pPr>
              <w:spacing w:after="0"/>
              <w:jc w:val="both"/>
              <w:rPr>
                <w:rFonts w:asciiTheme="minorHAnsi" w:hAnsiTheme="minorHAnsi" w:cstheme="minorHAnsi"/>
                <w:color w:val="0000FF"/>
                <w:sz w:val="20"/>
              </w:rPr>
            </w:pPr>
            <w:r w:rsidRPr="005F120D">
              <w:rPr>
                <w:rFonts w:asciiTheme="minorHAnsi" w:hAnsiTheme="minorHAnsi" w:cstheme="minorHAnsi"/>
                <w:color w:val="0000FF"/>
                <w:sz w:val="20"/>
              </w:rPr>
              <w:t>Total number of pupils in grade g in year t</w:t>
            </w:r>
          </w:p>
        </w:tc>
        <w:tc>
          <w:tcPr>
            <w:tcW w:w="2319" w:type="dxa"/>
            <w:vMerge/>
          </w:tcPr>
          <w:p w:rsidR="00226F04" w:rsidRPr="005F120D" w:rsidRDefault="00226F04" w:rsidP="00B25E46">
            <w:pPr>
              <w:spacing w:after="0"/>
              <w:jc w:val="both"/>
              <w:rPr>
                <w:rFonts w:asciiTheme="minorHAnsi" w:hAnsiTheme="minorHAnsi" w:cstheme="minorHAnsi"/>
                <w:color w:val="0000FF"/>
                <w:sz w:val="20"/>
              </w:rPr>
            </w:pPr>
          </w:p>
        </w:tc>
      </w:tr>
    </w:tbl>
    <w:p w:rsidR="00242F19" w:rsidRPr="005F120D" w:rsidRDefault="00242F19" w:rsidP="00B25E46">
      <w:pPr>
        <w:pStyle w:val="BodyText"/>
        <w:spacing w:after="0"/>
        <w:ind w:left="360"/>
        <w:jc w:val="both"/>
        <w:rPr>
          <w:rFonts w:asciiTheme="minorHAnsi" w:hAnsiTheme="minorHAnsi" w:cstheme="minorHAnsi"/>
          <w:sz w:val="20"/>
          <w:szCs w:val="20"/>
        </w:rPr>
      </w:pPr>
    </w:p>
    <w:p w:rsidR="00226F04" w:rsidRPr="005F120D" w:rsidRDefault="00226F04" w:rsidP="00B25E46">
      <w:pPr>
        <w:pStyle w:val="BodyText"/>
        <w:numPr>
          <w:ilvl w:val="0"/>
          <w:numId w:val="86"/>
        </w:numPr>
        <w:spacing w:after="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Student Teacher Ratio (STR):</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Definition:</w:t>
      </w:r>
      <w:r w:rsidRPr="005F120D">
        <w:rPr>
          <w:rFonts w:cstheme="minorHAnsi"/>
          <w:b w:val="0"/>
          <w:sz w:val="20"/>
        </w:rPr>
        <w:t xml:space="preserve"> Average number of pupils (students) per teacher at a specific level</w:t>
      </w:r>
      <w:r w:rsidR="005C48B1" w:rsidRPr="005F120D">
        <w:rPr>
          <w:rFonts w:cstheme="minorHAnsi"/>
          <w:b w:val="0"/>
          <w:sz w:val="20"/>
        </w:rPr>
        <w:t xml:space="preserve"> of education in a given school</w:t>
      </w:r>
      <w:r w:rsidRPr="005F120D">
        <w:rPr>
          <w:rFonts w:cstheme="minorHAnsi"/>
          <w:b w:val="0"/>
          <w:sz w:val="20"/>
        </w:rPr>
        <w:t xml:space="preserve"> year.</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lastRenderedPageBreak/>
        <w:t>Purpose:</w:t>
      </w:r>
      <w:r w:rsidRPr="005F120D">
        <w:rPr>
          <w:rFonts w:cstheme="minorHAnsi"/>
          <w:b w:val="0"/>
          <w:sz w:val="20"/>
        </w:rPr>
        <w:t xml:space="preserve"> To measure the level of human resources input in terms of the number of teachers in relation to the size of the pupil population. The results should be compare</w:t>
      </w:r>
      <w:r w:rsidR="005C48B1" w:rsidRPr="005F120D">
        <w:rPr>
          <w:rFonts w:cstheme="minorHAnsi"/>
          <w:b w:val="0"/>
          <w:sz w:val="20"/>
        </w:rPr>
        <w:t>d</w:t>
      </w:r>
      <w:r w:rsidRPr="005F120D">
        <w:rPr>
          <w:rFonts w:cstheme="minorHAnsi"/>
          <w:b w:val="0"/>
          <w:sz w:val="20"/>
        </w:rPr>
        <w:t xml:space="preserve"> with established national norms (in Bangladesh 1:46) on the number of pupils per teacher.</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Calculation method:</w:t>
      </w:r>
      <w:r w:rsidRPr="005F120D">
        <w:rPr>
          <w:rFonts w:cstheme="minorHAnsi"/>
          <w:b w:val="0"/>
          <w:sz w:val="20"/>
        </w:rPr>
        <w:t xml:space="preserve"> Divide the total number of students enrolled at the specified level of education by the number of teachers at the same level.</w:t>
      </w:r>
    </w:p>
    <w:p w:rsidR="00226F04" w:rsidRPr="005F120D" w:rsidRDefault="00226F04" w:rsidP="00B25E46">
      <w:pPr>
        <w:pStyle w:val="BodyText"/>
        <w:numPr>
          <w:ilvl w:val="0"/>
          <w:numId w:val="86"/>
        </w:numPr>
        <w:spacing w:before="12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Survival Rate</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Definition:</w:t>
      </w:r>
      <w:r w:rsidRPr="005F120D">
        <w:rPr>
          <w:rFonts w:cstheme="minorHAnsi"/>
          <w:b w:val="0"/>
          <w:sz w:val="20"/>
        </w:rPr>
        <w:t xml:space="preserve"> Percentage of a cohort of pupils (or students) enrolled in the first grade of a given level or cycle of education in a given schools year expected to reach successive grades, regardless of repetition. DPE uses UNESCO reconstruction cohort model for calculating survival rate</w:t>
      </w:r>
      <w:r w:rsidR="00134FFD" w:rsidRPr="005F120D">
        <w:rPr>
          <w:rFonts w:cstheme="minorHAnsi"/>
          <w:b w:val="0"/>
          <w:sz w:val="20"/>
        </w:rPr>
        <w:t>.</w:t>
      </w:r>
    </w:p>
    <w:p w:rsidR="00226F04" w:rsidRPr="005F120D" w:rsidRDefault="00226F04" w:rsidP="00B25E46">
      <w:pPr>
        <w:pStyle w:val="Caption"/>
        <w:spacing w:before="120" w:after="120"/>
        <w:jc w:val="both"/>
        <w:rPr>
          <w:rFonts w:cstheme="minorHAnsi"/>
          <w:b w:val="0"/>
          <w:sz w:val="20"/>
        </w:rPr>
      </w:pPr>
      <w:r w:rsidRPr="005F120D">
        <w:rPr>
          <w:rStyle w:val="BodyTextChar0"/>
          <w:rFonts w:cstheme="minorHAnsi"/>
          <w:color w:val="0000FF"/>
          <w:sz w:val="20"/>
          <w:szCs w:val="20"/>
        </w:rPr>
        <w:t>Purpose:</w:t>
      </w:r>
      <w:r w:rsidRPr="005F120D">
        <w:rPr>
          <w:rFonts w:cstheme="minorHAnsi"/>
          <w:b w:val="0"/>
          <w:sz w:val="20"/>
        </w:rPr>
        <w:t xml:space="preserve"> The purpose is to measure the retention capacity and internal efficiency of an education system. It illustrates the situation regarding retention of pupils (or students) from grade to grade in schools, and conversely the magnitude of dropout</w:t>
      </w:r>
      <w:r w:rsidR="00134FFD" w:rsidRPr="005F120D">
        <w:rPr>
          <w:rFonts w:cstheme="minorHAnsi"/>
          <w:b w:val="0"/>
          <w:sz w:val="20"/>
        </w:rPr>
        <w:t>s</w:t>
      </w:r>
      <w:r w:rsidRPr="005F120D">
        <w:rPr>
          <w:rFonts w:cstheme="minorHAnsi"/>
          <w:b w:val="0"/>
          <w:sz w:val="20"/>
        </w:rPr>
        <w:t xml:space="preserve"> by grade.</w:t>
      </w:r>
    </w:p>
    <w:p w:rsidR="00226F04" w:rsidRPr="005F120D" w:rsidRDefault="00226F04" w:rsidP="00B25E46">
      <w:pPr>
        <w:pStyle w:val="Caption"/>
        <w:spacing w:before="120"/>
        <w:jc w:val="both"/>
        <w:rPr>
          <w:rFonts w:cstheme="minorHAnsi"/>
          <w:b w:val="0"/>
          <w:sz w:val="20"/>
        </w:rPr>
      </w:pPr>
      <w:r w:rsidRPr="005F120D">
        <w:rPr>
          <w:rStyle w:val="BodyTextChar0"/>
          <w:rFonts w:cstheme="minorHAnsi"/>
          <w:color w:val="0000FF"/>
          <w:sz w:val="20"/>
          <w:szCs w:val="20"/>
        </w:rPr>
        <w:t>Calculation method:</w:t>
      </w:r>
      <w:r w:rsidRPr="005F120D">
        <w:rPr>
          <w:rFonts w:cstheme="minorHAnsi"/>
          <w:b w:val="0"/>
          <w:sz w:val="20"/>
        </w:rPr>
        <w:t xml:space="preserve"> Divide the total number of pupils belonging to a pupil cohort who reached each successive grade of the specified level of education by the</w:t>
      </w:r>
      <w:r w:rsidR="00134FFD" w:rsidRPr="005F120D">
        <w:rPr>
          <w:rFonts w:cstheme="minorHAnsi"/>
          <w:b w:val="0"/>
          <w:sz w:val="20"/>
        </w:rPr>
        <w:t xml:space="preserve"> number of pupils in the school</w:t>
      </w:r>
      <w:r w:rsidRPr="005F120D">
        <w:rPr>
          <w:rFonts w:cstheme="minorHAnsi"/>
          <w:b w:val="0"/>
          <w:sz w:val="20"/>
        </w:rPr>
        <w:t xml:space="preserve"> cohort, i.e. those originally enrolled in the first grade of p</w:t>
      </w:r>
      <w:r w:rsidR="00BC5F5E" w:rsidRPr="005F120D">
        <w:rPr>
          <w:rFonts w:cstheme="minorHAnsi"/>
          <w:b w:val="0"/>
          <w:sz w:val="20"/>
        </w:rPr>
        <w:t>rimary education, and multiply</w:t>
      </w:r>
      <w:r w:rsidRPr="005F120D">
        <w:rPr>
          <w:rFonts w:cstheme="minorHAnsi"/>
          <w:b w:val="0"/>
          <w:sz w:val="20"/>
        </w:rPr>
        <w:t xml:space="preserve"> the result by 100. Current survival rates to be estimate</w:t>
      </w:r>
      <w:r w:rsidR="00BC5F5E" w:rsidRPr="005F120D">
        <w:rPr>
          <w:rFonts w:cstheme="minorHAnsi"/>
          <w:b w:val="0"/>
          <w:sz w:val="20"/>
        </w:rPr>
        <w:t>d by</w:t>
      </w:r>
      <w:r w:rsidRPr="005F120D">
        <w:rPr>
          <w:rFonts w:cstheme="minorHAnsi"/>
          <w:b w:val="0"/>
          <w:sz w:val="20"/>
        </w:rPr>
        <w:t xml:space="preserve"> using the reconstructed cohort method. This technique calculates the survival rate for a theoretical cohort of children who experience the current promotion, repetition and dropout rates at each grade as they move through the schooling system. It uses data on </w:t>
      </w:r>
      <w:r w:rsidR="004B53A0" w:rsidRPr="005F120D">
        <w:rPr>
          <w:rFonts w:cstheme="minorHAnsi"/>
          <w:b w:val="0"/>
          <w:sz w:val="20"/>
        </w:rPr>
        <w:t>enrolment</w:t>
      </w:r>
      <w:r w:rsidRPr="005F120D">
        <w:rPr>
          <w:rFonts w:cstheme="minorHAnsi"/>
          <w:b w:val="0"/>
          <w:sz w:val="20"/>
        </w:rPr>
        <w:t xml:space="preserve"> and repeaters for two consecutive years.</w:t>
      </w:r>
    </w:p>
    <w:p w:rsidR="00226F04" w:rsidRPr="005F120D" w:rsidRDefault="00BC5F5E" w:rsidP="00B25E46">
      <w:pPr>
        <w:pStyle w:val="BodyText"/>
        <w:numPr>
          <w:ilvl w:val="0"/>
          <w:numId w:val="86"/>
        </w:numPr>
        <w:spacing w:before="12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School</w:t>
      </w:r>
      <w:r w:rsidR="00226F04" w:rsidRPr="005F120D">
        <w:rPr>
          <w:rFonts w:asciiTheme="minorHAnsi" w:hAnsiTheme="minorHAnsi" w:cstheme="minorHAnsi"/>
          <w:b/>
          <w:color w:val="0000FF"/>
          <w:sz w:val="20"/>
          <w:szCs w:val="20"/>
        </w:rPr>
        <w:t xml:space="preserve"> Life Expectancy (SLE)</w:t>
      </w:r>
    </w:p>
    <w:p w:rsidR="00226F04" w:rsidRPr="005F120D" w:rsidRDefault="00226F04" w:rsidP="00B25E46">
      <w:pPr>
        <w:spacing w:before="120" w:after="120"/>
        <w:jc w:val="both"/>
        <w:rPr>
          <w:rFonts w:asciiTheme="minorHAnsi" w:hAnsiTheme="minorHAnsi" w:cstheme="minorHAnsi"/>
          <w:sz w:val="20"/>
        </w:rPr>
      </w:pPr>
      <w:r w:rsidRPr="005F120D">
        <w:rPr>
          <w:rStyle w:val="BodyTextChar0"/>
          <w:rFonts w:asciiTheme="minorHAnsi" w:hAnsiTheme="minorHAnsi" w:cstheme="minorHAnsi"/>
          <w:color w:val="0000FF"/>
          <w:sz w:val="20"/>
          <w:szCs w:val="20"/>
        </w:rPr>
        <w:t>Definition:</w:t>
      </w:r>
      <w:r w:rsidR="00BC5F5E" w:rsidRPr="005F120D">
        <w:rPr>
          <w:rFonts w:asciiTheme="minorHAnsi" w:hAnsiTheme="minorHAnsi" w:cstheme="minorHAnsi"/>
          <w:sz w:val="20"/>
        </w:rPr>
        <w:t xml:space="preserve"> School</w:t>
      </w:r>
      <w:r w:rsidRPr="005F120D">
        <w:rPr>
          <w:rFonts w:asciiTheme="minorHAnsi" w:hAnsiTheme="minorHAnsi" w:cstheme="minorHAnsi"/>
          <w:sz w:val="20"/>
        </w:rPr>
        <w:t xml:space="preserve"> life expectancy for a child of </w:t>
      </w:r>
      <w:r w:rsidR="00BC5F5E" w:rsidRPr="005F120D">
        <w:rPr>
          <w:rFonts w:asciiTheme="minorHAnsi" w:hAnsiTheme="minorHAnsi" w:cstheme="minorHAnsi"/>
          <w:sz w:val="20"/>
        </w:rPr>
        <w:t>a</w:t>
      </w:r>
      <w:r w:rsidRPr="005F120D">
        <w:rPr>
          <w:rFonts w:asciiTheme="minorHAnsi" w:hAnsiTheme="minorHAnsi" w:cstheme="minorHAnsi"/>
          <w:sz w:val="20"/>
        </w:rPr>
        <w:t xml:space="preserve">certain age is defined as the total number of years of schooling which a child </w:t>
      </w:r>
      <w:r w:rsidR="00BC5F5E" w:rsidRPr="005F120D">
        <w:rPr>
          <w:rFonts w:asciiTheme="minorHAnsi" w:hAnsiTheme="minorHAnsi" w:cstheme="minorHAnsi"/>
          <w:sz w:val="20"/>
        </w:rPr>
        <w:t xml:space="preserve">for a </w:t>
      </w:r>
      <w:r w:rsidRPr="005F120D">
        <w:rPr>
          <w:rFonts w:asciiTheme="minorHAnsi" w:hAnsiTheme="minorHAnsi" w:cstheme="minorHAnsi"/>
          <w:sz w:val="20"/>
        </w:rPr>
        <w:t xml:space="preserve"> certain age can expect to receive in the future, assuming that the probability of his or her being enrolled in school at any particular age is equal to the current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ratio for that age. It is the sum of the age specific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ratios for primary, secondary and higher education.</w:t>
      </w:r>
    </w:p>
    <w:p w:rsidR="00226F04" w:rsidRPr="005F120D" w:rsidRDefault="00226F04"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sz w:val="20"/>
          <w:szCs w:val="20"/>
        </w:rPr>
        <w:t>In other words,</w:t>
      </w:r>
      <w:r w:rsidRPr="005F120D">
        <w:rPr>
          <w:rFonts w:asciiTheme="minorHAnsi" w:hAnsiTheme="minorHAnsi" w:cstheme="minorHAnsi"/>
          <w:sz w:val="20"/>
        </w:rPr>
        <w:t xml:space="preserve"> the total number of years of schooling which a child of a certain age can expect to receive in the future, assuming that the probability of his or her being enrolled in school at any particular age is equal to the current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ratio for that age.</w:t>
      </w:r>
    </w:p>
    <w:p w:rsidR="00226F04" w:rsidRPr="005F120D" w:rsidRDefault="00226F04" w:rsidP="00B25E46">
      <w:pPr>
        <w:autoSpaceDE w:val="0"/>
        <w:autoSpaceDN w:val="0"/>
        <w:adjustRightInd w:val="0"/>
        <w:spacing w:before="120" w:after="120"/>
        <w:jc w:val="both"/>
        <w:rPr>
          <w:rFonts w:asciiTheme="minorHAnsi" w:hAnsiTheme="minorHAnsi" w:cstheme="minorHAnsi"/>
          <w:sz w:val="20"/>
        </w:rPr>
      </w:pPr>
      <w:r w:rsidRPr="005F120D">
        <w:rPr>
          <w:rStyle w:val="BodyTextChar0"/>
          <w:rFonts w:asciiTheme="minorHAnsi" w:hAnsiTheme="minorHAnsi" w:cstheme="minorHAnsi"/>
          <w:color w:val="0000FF"/>
          <w:sz w:val="20"/>
          <w:szCs w:val="20"/>
        </w:rPr>
        <w:t>Purpose:</w:t>
      </w:r>
      <w:r w:rsidRPr="005F120D">
        <w:rPr>
          <w:rFonts w:asciiTheme="minorHAnsi" w:hAnsiTheme="minorHAnsi" w:cstheme="minorHAnsi"/>
          <w:sz w:val="20"/>
        </w:rPr>
        <w:t xml:space="preserve"> Purpose is to show the overall level of development of an educational system in terms of the average number of years of schooling that the education system offers to the eligible population, including those who never enter school.</w:t>
      </w:r>
    </w:p>
    <w:p w:rsidR="00226F04" w:rsidRPr="005F120D" w:rsidRDefault="00226F04" w:rsidP="00B25E46">
      <w:pPr>
        <w:autoSpaceDE w:val="0"/>
        <w:autoSpaceDN w:val="0"/>
        <w:adjustRightInd w:val="0"/>
        <w:spacing w:before="120"/>
        <w:jc w:val="both"/>
        <w:rPr>
          <w:rFonts w:asciiTheme="minorHAnsi" w:hAnsiTheme="minorHAnsi" w:cstheme="minorHAnsi"/>
          <w:sz w:val="20"/>
        </w:rPr>
      </w:pPr>
      <w:r w:rsidRPr="005F120D">
        <w:rPr>
          <w:rStyle w:val="BodyTextChar0"/>
          <w:rFonts w:asciiTheme="minorHAnsi" w:hAnsiTheme="minorHAnsi" w:cstheme="minorHAnsi"/>
          <w:sz w:val="20"/>
          <w:szCs w:val="20"/>
        </w:rPr>
        <w:t>Calculation method:</w:t>
      </w:r>
      <w:r w:rsidRPr="005F120D">
        <w:rPr>
          <w:rFonts w:asciiTheme="minorHAnsi" w:hAnsiTheme="minorHAnsi" w:cstheme="minorHAnsi"/>
          <w:sz w:val="20"/>
        </w:rPr>
        <w:t xml:space="preserve"> For a child of a certain age a, the school life expectancy is calculated as the sum of the age specific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rates for the levels of education specified. The part of the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that is not distributed by age is divided by the school-age population for the level of education they are enrolled in, and multiplied by the duration of that level of education. The result is then added to the sum of the age-specific </w:t>
      </w:r>
      <w:r w:rsidR="004B53A0" w:rsidRPr="005F120D">
        <w:rPr>
          <w:rFonts w:asciiTheme="minorHAnsi" w:hAnsiTheme="minorHAnsi" w:cstheme="minorHAnsi"/>
          <w:sz w:val="20"/>
        </w:rPr>
        <w:t>enrolment</w:t>
      </w:r>
      <w:r w:rsidRPr="005F120D">
        <w:rPr>
          <w:rFonts w:asciiTheme="minorHAnsi" w:hAnsiTheme="minorHAnsi" w:cstheme="minorHAnsi"/>
          <w:sz w:val="20"/>
        </w:rPr>
        <w:t xml:space="preserve"> rates.</w:t>
      </w:r>
    </w:p>
    <w:p w:rsidR="00226F04" w:rsidRPr="005F120D" w:rsidRDefault="00226F04" w:rsidP="00B25E46">
      <w:pPr>
        <w:pStyle w:val="BodyText"/>
        <w:numPr>
          <w:ilvl w:val="0"/>
          <w:numId w:val="86"/>
        </w:numPr>
        <w:spacing w:before="12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Transition Rate (TR) from Primary to Secondary Education</w:t>
      </w:r>
    </w:p>
    <w:p w:rsidR="00226F04" w:rsidRPr="005F120D" w:rsidRDefault="00226F04" w:rsidP="00B25E46">
      <w:pPr>
        <w:pStyle w:val="BodyText"/>
        <w:spacing w:before="120"/>
        <w:jc w:val="both"/>
        <w:rPr>
          <w:rFonts w:asciiTheme="minorHAnsi" w:hAnsiTheme="minorHAnsi" w:cstheme="minorHAnsi"/>
          <w:b/>
          <w:sz w:val="20"/>
          <w:szCs w:val="20"/>
        </w:rPr>
      </w:pPr>
      <w:r w:rsidRPr="005F120D">
        <w:rPr>
          <w:rStyle w:val="BodyTextChar0"/>
          <w:rFonts w:asciiTheme="minorHAnsi" w:hAnsiTheme="minorHAnsi" w:cstheme="minorHAnsi"/>
          <w:color w:val="0000FF"/>
          <w:sz w:val="20"/>
          <w:szCs w:val="20"/>
        </w:rPr>
        <w:t>Definition:</w:t>
      </w:r>
      <w:r w:rsidRPr="005F120D">
        <w:rPr>
          <w:rFonts w:asciiTheme="minorHAnsi" w:hAnsiTheme="minorHAnsi" w:cstheme="minorHAnsi"/>
          <w:sz w:val="20"/>
          <w:szCs w:val="20"/>
        </w:rPr>
        <w:t xml:space="preserve"> The number of pupils (or students) admitted to the first grade of a higher level</w:t>
      </w:r>
      <w:r w:rsidR="00BC5F5E" w:rsidRPr="005F120D">
        <w:rPr>
          <w:rFonts w:asciiTheme="minorHAnsi" w:hAnsiTheme="minorHAnsi" w:cstheme="minorHAnsi"/>
          <w:sz w:val="20"/>
          <w:szCs w:val="20"/>
        </w:rPr>
        <w:t xml:space="preserve"> of education in a given year (G</w:t>
      </w:r>
      <w:r w:rsidRPr="005F120D">
        <w:rPr>
          <w:rFonts w:asciiTheme="minorHAnsi" w:hAnsiTheme="minorHAnsi" w:cstheme="minorHAnsi"/>
          <w:sz w:val="20"/>
          <w:szCs w:val="20"/>
        </w:rPr>
        <w:t>rade 6), expressed as a percentage of the number of pupils (or students) enrolled in the final grade of the lower level of e</w:t>
      </w:r>
      <w:r w:rsidR="00BC5F5E" w:rsidRPr="005F120D">
        <w:rPr>
          <w:rFonts w:asciiTheme="minorHAnsi" w:hAnsiTheme="minorHAnsi" w:cstheme="minorHAnsi"/>
          <w:sz w:val="20"/>
          <w:szCs w:val="20"/>
        </w:rPr>
        <w:t>ducation in the previous year (G</w:t>
      </w:r>
      <w:r w:rsidRPr="005F120D">
        <w:rPr>
          <w:rFonts w:asciiTheme="minorHAnsi" w:hAnsiTheme="minorHAnsi" w:cstheme="minorHAnsi"/>
          <w:sz w:val="20"/>
          <w:szCs w:val="20"/>
        </w:rPr>
        <w:t>rade-5).</w:t>
      </w:r>
    </w:p>
    <w:p w:rsidR="00226F04" w:rsidRPr="005F120D" w:rsidRDefault="00226F04" w:rsidP="00B25E46">
      <w:pPr>
        <w:pStyle w:val="BodyText"/>
        <w:spacing w:before="120"/>
        <w:jc w:val="both"/>
        <w:rPr>
          <w:rFonts w:asciiTheme="minorHAnsi" w:hAnsiTheme="minorHAnsi" w:cstheme="minorHAnsi"/>
          <w:b/>
          <w:sz w:val="20"/>
          <w:szCs w:val="20"/>
        </w:rPr>
      </w:pPr>
      <w:r w:rsidRPr="005F120D">
        <w:rPr>
          <w:rStyle w:val="BodyTextChar0"/>
          <w:rFonts w:asciiTheme="minorHAnsi" w:hAnsiTheme="minorHAnsi" w:cstheme="minorHAnsi"/>
          <w:color w:val="0000FF"/>
          <w:sz w:val="20"/>
          <w:szCs w:val="20"/>
        </w:rPr>
        <w:t>Purpose:</w:t>
      </w:r>
      <w:r w:rsidRPr="005F120D">
        <w:rPr>
          <w:rFonts w:asciiTheme="minorHAnsi" w:hAnsiTheme="minorHAnsi" w:cstheme="minorHAnsi"/>
          <w:sz w:val="20"/>
          <w:szCs w:val="20"/>
        </w:rPr>
        <w:t xml:space="preserve"> The purpose is to convey information on the degree of access or transition from one cycle or level of education to a higher one. Viewed from the lower cycle or level of education, it is consider as an output indicator. Viewed from the higher educational cycle or level, it constitutes an indicator of access. It can also help in assessing the relative selectivity of an education system, which can be due to pedagogical or financial requirements.</w:t>
      </w:r>
    </w:p>
    <w:p w:rsidR="00226F04" w:rsidRPr="005F120D" w:rsidRDefault="00226F04" w:rsidP="00B25E46">
      <w:pPr>
        <w:pStyle w:val="BodyText"/>
        <w:spacing w:before="120"/>
        <w:jc w:val="both"/>
        <w:rPr>
          <w:rFonts w:asciiTheme="minorHAnsi" w:hAnsiTheme="minorHAnsi" w:cstheme="minorHAnsi"/>
          <w:sz w:val="20"/>
          <w:szCs w:val="20"/>
        </w:rPr>
      </w:pPr>
      <w:r w:rsidRPr="005F120D">
        <w:rPr>
          <w:rStyle w:val="BodyTextChar0"/>
          <w:rFonts w:asciiTheme="minorHAnsi" w:hAnsiTheme="minorHAnsi" w:cstheme="minorHAnsi"/>
          <w:color w:val="0000FF"/>
          <w:sz w:val="20"/>
          <w:szCs w:val="20"/>
        </w:rPr>
        <w:t>Calculation method:</w:t>
      </w:r>
      <w:r w:rsidRPr="005F120D">
        <w:rPr>
          <w:rFonts w:asciiTheme="minorHAnsi" w:hAnsiTheme="minorHAnsi" w:cstheme="minorHAnsi"/>
          <w:sz w:val="20"/>
          <w:szCs w:val="20"/>
        </w:rPr>
        <w:t xml:space="preserve"> Divide the number of new entrants in the first grade of the specified higher cycle or level of education by the number of pupils who enrolled in the final grade of the preceding cycle or level of e</w:t>
      </w:r>
      <w:r w:rsidR="00BC5F5E" w:rsidRPr="005F120D">
        <w:rPr>
          <w:rFonts w:asciiTheme="minorHAnsi" w:hAnsiTheme="minorHAnsi" w:cstheme="minorHAnsi"/>
          <w:sz w:val="20"/>
          <w:szCs w:val="20"/>
        </w:rPr>
        <w:t>ducation in the previous school</w:t>
      </w:r>
      <w:r w:rsidRPr="005F120D">
        <w:rPr>
          <w:rFonts w:asciiTheme="minorHAnsi" w:hAnsiTheme="minorHAnsi" w:cstheme="minorHAnsi"/>
          <w:sz w:val="20"/>
          <w:szCs w:val="20"/>
        </w:rPr>
        <w:t xml:space="preserve"> year</w:t>
      </w:r>
      <w:r w:rsidR="00BC5F5E" w:rsidRPr="005F120D">
        <w:rPr>
          <w:rFonts w:asciiTheme="minorHAnsi" w:hAnsiTheme="minorHAnsi" w:cstheme="minorHAnsi"/>
          <w:sz w:val="20"/>
          <w:szCs w:val="20"/>
        </w:rPr>
        <w:t>,</w:t>
      </w:r>
      <w:r w:rsidRPr="005F120D">
        <w:rPr>
          <w:rFonts w:asciiTheme="minorHAnsi" w:hAnsiTheme="minorHAnsi" w:cstheme="minorHAnsi"/>
          <w:sz w:val="20"/>
          <w:szCs w:val="20"/>
        </w:rPr>
        <w:t>then multiply by 100.</w:t>
      </w:r>
    </w:p>
    <w:p w:rsidR="00B25E46" w:rsidRPr="005F120D" w:rsidRDefault="00B25E46" w:rsidP="00B25E46">
      <w:pPr>
        <w:pStyle w:val="BodyText"/>
        <w:spacing w:before="120"/>
        <w:jc w:val="both"/>
        <w:rPr>
          <w:rFonts w:asciiTheme="minorHAnsi" w:hAnsiTheme="minorHAnsi" w:cstheme="minorHAnsi"/>
          <w:b/>
          <w:sz w:val="20"/>
          <w:szCs w:val="20"/>
        </w:rPr>
      </w:pPr>
    </w:p>
    <w:tbl>
      <w:tblPr>
        <w:tblW w:w="0" w:type="auto"/>
        <w:tblLook w:val="04A0"/>
      </w:tblPr>
      <w:tblGrid>
        <w:gridCol w:w="1458"/>
        <w:gridCol w:w="5580"/>
        <w:gridCol w:w="2070"/>
      </w:tblGrid>
      <w:tr w:rsidR="00226F04" w:rsidRPr="005F120D" w:rsidTr="00F0758E">
        <w:tc>
          <w:tcPr>
            <w:tcW w:w="1458" w:type="dxa"/>
            <w:vMerge w:val="restart"/>
            <w:vAlign w:val="center"/>
          </w:tcPr>
          <w:p w:rsidR="00226F04" w:rsidRPr="005F120D" w:rsidRDefault="00226F04" w:rsidP="00B25E46">
            <w:pPr>
              <w:spacing w:after="0"/>
              <w:jc w:val="both"/>
              <w:rPr>
                <w:rFonts w:asciiTheme="minorHAnsi" w:hAnsiTheme="minorHAnsi" w:cstheme="minorHAnsi"/>
                <w:color w:val="0000FF"/>
                <w:sz w:val="20"/>
              </w:rPr>
            </w:pPr>
            <w:r w:rsidRPr="005F120D">
              <w:rPr>
                <w:rFonts w:asciiTheme="minorHAnsi" w:hAnsiTheme="minorHAnsi" w:cstheme="minorHAnsi"/>
                <w:color w:val="0000FF"/>
                <w:sz w:val="20"/>
              </w:rPr>
              <w:lastRenderedPageBreak/>
              <w:t>Formula  =</w:t>
            </w:r>
          </w:p>
        </w:tc>
        <w:tc>
          <w:tcPr>
            <w:tcW w:w="5580" w:type="dxa"/>
            <w:tcBorders>
              <w:bottom w:val="single" w:sz="12" w:space="0" w:color="3333FF"/>
            </w:tcBorders>
          </w:tcPr>
          <w:p w:rsidR="00226F04" w:rsidRPr="005F120D" w:rsidRDefault="00BC5F5E" w:rsidP="00B25E46">
            <w:pPr>
              <w:spacing w:after="0"/>
              <w:jc w:val="both"/>
              <w:rPr>
                <w:rFonts w:asciiTheme="minorHAnsi" w:hAnsiTheme="minorHAnsi" w:cstheme="minorHAnsi"/>
                <w:color w:val="0000FF"/>
                <w:sz w:val="20"/>
              </w:rPr>
            </w:pPr>
            <w:r w:rsidRPr="005F120D">
              <w:rPr>
                <w:rFonts w:asciiTheme="minorHAnsi" w:hAnsiTheme="minorHAnsi" w:cstheme="minorHAnsi"/>
                <w:color w:val="0000FF"/>
                <w:sz w:val="20"/>
              </w:rPr>
              <w:t>No. of new pupils in G</w:t>
            </w:r>
            <w:r w:rsidR="00226F04" w:rsidRPr="005F120D">
              <w:rPr>
                <w:rFonts w:asciiTheme="minorHAnsi" w:hAnsiTheme="minorHAnsi" w:cstheme="minorHAnsi"/>
                <w:color w:val="0000FF"/>
                <w:sz w:val="20"/>
              </w:rPr>
              <w:t>rade 6 of secondary level in year t</w:t>
            </w:r>
          </w:p>
        </w:tc>
        <w:tc>
          <w:tcPr>
            <w:tcW w:w="2070" w:type="dxa"/>
            <w:vMerge w:val="restart"/>
            <w:vAlign w:val="center"/>
          </w:tcPr>
          <w:p w:rsidR="00226F04" w:rsidRPr="005F120D" w:rsidRDefault="00226F04" w:rsidP="00B25E46">
            <w:pPr>
              <w:spacing w:after="0"/>
              <w:jc w:val="both"/>
              <w:rPr>
                <w:rFonts w:asciiTheme="minorHAnsi" w:hAnsiTheme="minorHAnsi" w:cstheme="minorHAnsi"/>
                <w:color w:val="0000FF"/>
                <w:sz w:val="20"/>
              </w:rPr>
            </w:pPr>
            <w:r w:rsidRPr="005F120D">
              <w:rPr>
                <w:rFonts w:asciiTheme="minorHAnsi" w:hAnsiTheme="minorHAnsi" w:cstheme="minorHAnsi"/>
                <w:color w:val="0000FF"/>
                <w:sz w:val="20"/>
              </w:rPr>
              <w:t>X 100</w:t>
            </w:r>
          </w:p>
        </w:tc>
      </w:tr>
      <w:tr w:rsidR="00226F04" w:rsidRPr="005F120D" w:rsidTr="00F0758E">
        <w:tc>
          <w:tcPr>
            <w:tcW w:w="1458" w:type="dxa"/>
            <w:vMerge/>
          </w:tcPr>
          <w:p w:rsidR="00226F04" w:rsidRPr="005F120D" w:rsidRDefault="00226F04" w:rsidP="00B25E46">
            <w:pPr>
              <w:spacing w:after="0"/>
              <w:jc w:val="both"/>
              <w:rPr>
                <w:rFonts w:asciiTheme="minorHAnsi" w:hAnsiTheme="minorHAnsi" w:cstheme="minorHAnsi"/>
                <w:color w:val="0000FF"/>
                <w:sz w:val="20"/>
              </w:rPr>
            </w:pPr>
          </w:p>
        </w:tc>
        <w:tc>
          <w:tcPr>
            <w:tcW w:w="5580" w:type="dxa"/>
            <w:tcBorders>
              <w:top w:val="single" w:sz="12" w:space="0" w:color="3333FF"/>
            </w:tcBorders>
          </w:tcPr>
          <w:p w:rsidR="00226F04" w:rsidRPr="005F120D" w:rsidRDefault="00BC5F5E" w:rsidP="00B25E46">
            <w:pPr>
              <w:spacing w:after="0"/>
              <w:jc w:val="both"/>
              <w:rPr>
                <w:rFonts w:asciiTheme="minorHAnsi" w:hAnsiTheme="minorHAnsi" w:cstheme="minorHAnsi"/>
                <w:color w:val="0000FF"/>
                <w:sz w:val="20"/>
              </w:rPr>
            </w:pPr>
            <w:r w:rsidRPr="005F120D">
              <w:rPr>
                <w:rFonts w:asciiTheme="minorHAnsi" w:hAnsiTheme="minorHAnsi" w:cstheme="minorHAnsi"/>
                <w:color w:val="0000FF"/>
                <w:sz w:val="20"/>
              </w:rPr>
              <w:t>No. of pupils in G</w:t>
            </w:r>
            <w:r w:rsidR="00226F04" w:rsidRPr="005F120D">
              <w:rPr>
                <w:rFonts w:asciiTheme="minorHAnsi" w:hAnsiTheme="minorHAnsi" w:cstheme="minorHAnsi"/>
                <w:color w:val="0000FF"/>
                <w:sz w:val="20"/>
              </w:rPr>
              <w:t>rade 5 of primary/ or passed  in year t – 1</w:t>
            </w:r>
          </w:p>
        </w:tc>
        <w:tc>
          <w:tcPr>
            <w:tcW w:w="2070" w:type="dxa"/>
            <w:vMerge/>
          </w:tcPr>
          <w:p w:rsidR="00226F04" w:rsidRPr="005F120D" w:rsidRDefault="00226F04" w:rsidP="00B25E46">
            <w:pPr>
              <w:spacing w:after="0"/>
              <w:jc w:val="both"/>
              <w:rPr>
                <w:rFonts w:asciiTheme="minorHAnsi" w:hAnsiTheme="minorHAnsi" w:cstheme="minorHAnsi"/>
                <w:color w:val="0000FF"/>
                <w:sz w:val="20"/>
              </w:rPr>
            </w:pPr>
          </w:p>
        </w:tc>
      </w:tr>
    </w:tbl>
    <w:p w:rsidR="00242F19" w:rsidRPr="005F120D" w:rsidRDefault="00242F19" w:rsidP="00B25E46">
      <w:pPr>
        <w:pStyle w:val="BodyText"/>
        <w:spacing w:after="0"/>
        <w:ind w:left="360"/>
        <w:jc w:val="both"/>
        <w:rPr>
          <w:rFonts w:asciiTheme="minorHAnsi" w:hAnsiTheme="minorHAnsi" w:cstheme="minorHAnsi"/>
          <w:sz w:val="20"/>
          <w:szCs w:val="20"/>
        </w:rPr>
      </w:pPr>
    </w:p>
    <w:p w:rsidR="00226F04" w:rsidRPr="005F120D" w:rsidRDefault="00226F04" w:rsidP="00B25E46">
      <w:pPr>
        <w:pStyle w:val="BodyText"/>
        <w:numPr>
          <w:ilvl w:val="0"/>
          <w:numId w:val="86"/>
        </w:numPr>
        <w:spacing w:after="0"/>
        <w:jc w:val="both"/>
        <w:rPr>
          <w:rFonts w:asciiTheme="minorHAnsi" w:hAnsiTheme="minorHAnsi" w:cstheme="minorHAnsi"/>
          <w:b/>
          <w:color w:val="0000FF"/>
          <w:sz w:val="20"/>
          <w:szCs w:val="20"/>
        </w:rPr>
      </w:pPr>
      <w:r w:rsidRPr="005F120D">
        <w:rPr>
          <w:rFonts w:asciiTheme="minorHAnsi" w:hAnsiTheme="minorHAnsi" w:cstheme="minorHAnsi"/>
          <w:b/>
          <w:color w:val="0000FF"/>
          <w:sz w:val="20"/>
          <w:szCs w:val="20"/>
        </w:rPr>
        <w:t>Years Input per Graduate</w:t>
      </w:r>
    </w:p>
    <w:p w:rsidR="00226F04" w:rsidRPr="005F120D" w:rsidRDefault="00226F04" w:rsidP="00B25E46">
      <w:pPr>
        <w:pStyle w:val="ListParagraph"/>
        <w:numPr>
          <w:ilvl w:val="0"/>
          <w:numId w:val="0"/>
        </w:numPr>
        <w:spacing w:before="120" w:after="120"/>
        <w:jc w:val="both"/>
        <w:rPr>
          <w:rFonts w:asciiTheme="minorHAnsi" w:hAnsiTheme="minorHAnsi" w:cstheme="minorHAnsi"/>
          <w:sz w:val="20"/>
          <w:szCs w:val="20"/>
        </w:rPr>
      </w:pPr>
      <w:r w:rsidRPr="005F120D">
        <w:rPr>
          <w:rStyle w:val="BodyTextChar0"/>
          <w:rFonts w:asciiTheme="minorHAnsi" w:hAnsiTheme="minorHAnsi" w:cstheme="minorHAnsi"/>
          <w:color w:val="0000FF"/>
          <w:sz w:val="20"/>
          <w:szCs w:val="20"/>
        </w:rPr>
        <w:t>Definition:</w:t>
      </w:r>
      <w:r w:rsidR="00BC5F5E" w:rsidRPr="005F120D">
        <w:rPr>
          <w:rFonts w:asciiTheme="minorHAnsi" w:hAnsiTheme="minorHAnsi" w:cstheme="minorHAnsi"/>
          <w:sz w:val="20"/>
          <w:szCs w:val="20"/>
        </w:rPr>
        <w:t xml:space="preserve"> The estimated average number</w:t>
      </w:r>
      <w:r w:rsidRPr="005F120D">
        <w:rPr>
          <w:rFonts w:asciiTheme="minorHAnsi" w:hAnsiTheme="minorHAnsi" w:cstheme="minorHAnsi"/>
          <w:sz w:val="20"/>
          <w:szCs w:val="20"/>
        </w:rPr>
        <w:t xml:space="preserve"> of pupil years spent by pupils (or students) from a given cohort who graduate from primary education, taking into account the pupil years wasted due to dro</w:t>
      </w:r>
      <w:r w:rsidR="00EE3EF6" w:rsidRPr="005F120D">
        <w:rPr>
          <w:rFonts w:asciiTheme="minorHAnsi" w:hAnsiTheme="minorHAnsi" w:cstheme="minorHAnsi"/>
          <w:sz w:val="20"/>
          <w:szCs w:val="20"/>
        </w:rPr>
        <w:t>pout and repetition. One school</w:t>
      </w:r>
      <w:r w:rsidRPr="005F120D">
        <w:rPr>
          <w:rFonts w:asciiTheme="minorHAnsi" w:hAnsiTheme="minorHAnsi" w:cstheme="minorHAnsi"/>
          <w:sz w:val="20"/>
          <w:szCs w:val="20"/>
        </w:rPr>
        <w:t xml:space="preserve"> year spent in a grade by a pupil is equal to one pupil year. DPE uses UNESCO reconstruction cohort model for calculating survival rate</w:t>
      </w:r>
    </w:p>
    <w:p w:rsidR="00226F04" w:rsidRPr="005F120D" w:rsidRDefault="00226F04" w:rsidP="00B25E46">
      <w:pPr>
        <w:pStyle w:val="ListParagraph"/>
        <w:numPr>
          <w:ilvl w:val="0"/>
          <w:numId w:val="0"/>
        </w:numPr>
        <w:spacing w:before="120" w:after="120"/>
        <w:jc w:val="both"/>
        <w:rPr>
          <w:rFonts w:asciiTheme="minorHAnsi" w:hAnsiTheme="minorHAnsi" w:cstheme="minorHAnsi"/>
          <w:sz w:val="20"/>
          <w:szCs w:val="20"/>
        </w:rPr>
      </w:pPr>
    </w:p>
    <w:p w:rsidR="00226F04" w:rsidRPr="005F120D" w:rsidRDefault="00226F04" w:rsidP="00B25E46">
      <w:pPr>
        <w:pStyle w:val="ListParagraph"/>
        <w:numPr>
          <w:ilvl w:val="0"/>
          <w:numId w:val="0"/>
        </w:numPr>
        <w:spacing w:before="120" w:after="120"/>
        <w:jc w:val="both"/>
        <w:rPr>
          <w:rFonts w:asciiTheme="minorHAnsi" w:hAnsiTheme="minorHAnsi" w:cstheme="minorHAnsi"/>
          <w:sz w:val="20"/>
          <w:szCs w:val="20"/>
        </w:rPr>
      </w:pPr>
      <w:r w:rsidRPr="005F120D">
        <w:rPr>
          <w:rStyle w:val="BodyTextChar0"/>
          <w:rFonts w:asciiTheme="minorHAnsi" w:hAnsiTheme="minorHAnsi" w:cstheme="minorHAnsi"/>
          <w:color w:val="0000FF"/>
          <w:sz w:val="20"/>
          <w:szCs w:val="20"/>
        </w:rPr>
        <w:t>Purpose:</w:t>
      </w:r>
      <w:r w:rsidRPr="005F120D">
        <w:rPr>
          <w:rFonts w:asciiTheme="minorHAnsi" w:hAnsiTheme="minorHAnsi" w:cstheme="minorHAnsi"/>
          <w:sz w:val="20"/>
          <w:szCs w:val="20"/>
        </w:rPr>
        <w:t xml:space="preserve"> The purpose is to assess the extent of educational internal efficiency in terms of the estimated average number of years to be required in producing a graduate.</w:t>
      </w:r>
    </w:p>
    <w:p w:rsidR="00226F04" w:rsidRPr="005F120D" w:rsidRDefault="00226F04" w:rsidP="00B25E46">
      <w:pPr>
        <w:pStyle w:val="ListParagraph"/>
        <w:numPr>
          <w:ilvl w:val="0"/>
          <w:numId w:val="0"/>
        </w:numPr>
        <w:spacing w:before="120" w:after="120"/>
        <w:jc w:val="both"/>
        <w:rPr>
          <w:rStyle w:val="BodyTextChar0"/>
          <w:rFonts w:asciiTheme="minorHAnsi" w:hAnsiTheme="minorHAnsi" w:cstheme="minorHAnsi"/>
          <w:sz w:val="20"/>
          <w:szCs w:val="20"/>
        </w:rPr>
      </w:pPr>
    </w:p>
    <w:p w:rsidR="00226F04" w:rsidRPr="005F120D" w:rsidRDefault="00226F04" w:rsidP="00B25E46">
      <w:pPr>
        <w:pStyle w:val="ListParagraph"/>
        <w:numPr>
          <w:ilvl w:val="0"/>
          <w:numId w:val="0"/>
        </w:numPr>
        <w:spacing w:before="120" w:after="240"/>
        <w:jc w:val="both"/>
        <w:rPr>
          <w:rFonts w:asciiTheme="minorHAnsi" w:hAnsiTheme="minorHAnsi" w:cstheme="minorHAnsi"/>
          <w:sz w:val="20"/>
          <w:szCs w:val="20"/>
        </w:rPr>
      </w:pPr>
      <w:r w:rsidRPr="005F120D">
        <w:rPr>
          <w:rStyle w:val="BodyTextChar0"/>
          <w:rFonts w:asciiTheme="minorHAnsi" w:hAnsiTheme="minorHAnsi" w:cstheme="minorHAnsi"/>
          <w:color w:val="0000FF"/>
          <w:sz w:val="20"/>
          <w:szCs w:val="20"/>
        </w:rPr>
        <w:t>Calculation method:</w:t>
      </w:r>
      <w:r w:rsidRPr="005F120D">
        <w:rPr>
          <w:rFonts w:asciiTheme="minorHAnsi" w:hAnsiTheme="minorHAnsi" w:cstheme="minorHAnsi"/>
          <w:sz w:val="20"/>
          <w:szCs w:val="20"/>
        </w:rPr>
        <w:t xml:space="preserve"> Divide the total number of pupil years spent by a pupil cohort (graduates plus dropouts) in the specified level of education by the sum of the successive batch of graduates belonging to the same cohort. This indicator is estimate using the reconstructed cohort method, which uses data on </w:t>
      </w:r>
      <w:r w:rsidR="004B53A0" w:rsidRPr="005F120D">
        <w:rPr>
          <w:rFonts w:asciiTheme="minorHAnsi" w:hAnsiTheme="minorHAnsi" w:cstheme="minorHAnsi"/>
          <w:sz w:val="20"/>
          <w:szCs w:val="20"/>
        </w:rPr>
        <w:t>enrolment</w:t>
      </w:r>
      <w:r w:rsidRPr="005F120D">
        <w:rPr>
          <w:rFonts w:asciiTheme="minorHAnsi" w:hAnsiTheme="minorHAnsi" w:cstheme="minorHAnsi"/>
          <w:sz w:val="20"/>
          <w:szCs w:val="20"/>
        </w:rPr>
        <w:t xml:space="preserve"> and repeaters for two consecutive years.</w:t>
      </w:r>
    </w:p>
    <w:p w:rsidR="00226F04" w:rsidRPr="005F120D" w:rsidRDefault="00226F04" w:rsidP="00B25E46">
      <w:pPr>
        <w:pStyle w:val="BodyText"/>
        <w:numPr>
          <w:ilvl w:val="0"/>
          <w:numId w:val="86"/>
        </w:numPr>
        <w:spacing w:before="120"/>
        <w:jc w:val="both"/>
        <w:rPr>
          <w:rFonts w:asciiTheme="minorHAnsi" w:hAnsiTheme="minorHAnsi" w:cstheme="minorHAnsi"/>
          <w:color w:val="0000FF"/>
          <w:sz w:val="20"/>
          <w:szCs w:val="20"/>
        </w:rPr>
      </w:pPr>
      <w:r w:rsidRPr="005F120D">
        <w:rPr>
          <w:rFonts w:asciiTheme="minorHAnsi" w:hAnsiTheme="minorHAnsi" w:cstheme="minorHAnsi"/>
          <w:color w:val="0000FF"/>
          <w:sz w:val="20"/>
          <w:szCs w:val="20"/>
        </w:rPr>
        <w:t>Urban Area</w:t>
      </w:r>
    </w:p>
    <w:p w:rsidR="00226F04" w:rsidRPr="005F120D" w:rsidRDefault="00226F04" w:rsidP="00B25E46">
      <w:pPr>
        <w:spacing w:before="120" w:after="120"/>
        <w:jc w:val="both"/>
        <w:rPr>
          <w:rFonts w:asciiTheme="minorHAnsi" w:hAnsiTheme="minorHAnsi" w:cstheme="minorHAnsi"/>
          <w:bCs/>
          <w:sz w:val="20"/>
        </w:rPr>
      </w:pPr>
      <w:r w:rsidRPr="005F120D">
        <w:rPr>
          <w:rStyle w:val="BodyTextChar0"/>
          <w:rFonts w:asciiTheme="minorHAnsi" w:hAnsiTheme="minorHAnsi" w:cstheme="minorHAnsi"/>
          <w:color w:val="0000FF"/>
          <w:sz w:val="20"/>
          <w:szCs w:val="20"/>
        </w:rPr>
        <w:t>Definition:</w:t>
      </w:r>
      <w:r w:rsidRPr="005F120D">
        <w:rPr>
          <w:rFonts w:asciiTheme="minorHAnsi" w:hAnsiTheme="minorHAnsi" w:cstheme="minorHAnsi"/>
          <w:sz w:val="20"/>
        </w:rPr>
        <w:t xml:space="preserve"> Urban areas of APSC refers to the area covered by municipalities, Upazila headquarters, District and divisional headquarters and City Corporations in the country</w:t>
      </w:r>
    </w:p>
    <w:p w:rsidR="00226F04" w:rsidRPr="005F120D" w:rsidRDefault="00226F04" w:rsidP="00B25E46">
      <w:pPr>
        <w:pStyle w:val="BodyText"/>
        <w:spacing w:before="120"/>
        <w:jc w:val="both"/>
        <w:rPr>
          <w:rFonts w:asciiTheme="minorHAnsi" w:hAnsiTheme="minorHAnsi" w:cstheme="minorHAnsi"/>
          <w:color w:val="215868" w:themeColor="accent5" w:themeShade="80"/>
          <w:sz w:val="20"/>
          <w:szCs w:val="20"/>
        </w:rPr>
      </w:pPr>
      <w:r w:rsidRPr="005F120D">
        <w:rPr>
          <w:rFonts w:asciiTheme="minorHAnsi" w:hAnsiTheme="minorHAnsi" w:cstheme="minorHAnsi"/>
          <w:color w:val="215868" w:themeColor="accent5" w:themeShade="80"/>
          <w:sz w:val="20"/>
          <w:szCs w:val="20"/>
        </w:rPr>
        <w:t>Source: As per “UNESCO Institute of Statistics, Education Indicators, Technical Guidelines, November 2009.</w:t>
      </w:r>
    </w:p>
    <w:p w:rsidR="00226F04" w:rsidRPr="005F120D" w:rsidRDefault="00226F04" w:rsidP="00B25E46">
      <w:pPr>
        <w:spacing w:after="0"/>
        <w:rPr>
          <w:rFonts w:asciiTheme="minorHAnsi" w:hAnsiTheme="minorHAnsi" w:cstheme="minorHAnsi"/>
        </w:rPr>
        <w:sectPr w:rsidR="00226F04" w:rsidRPr="005F120D" w:rsidSect="00EA7313">
          <w:pgSz w:w="11909" w:h="16834" w:code="9"/>
          <w:pgMar w:top="1440" w:right="1440" w:bottom="1440" w:left="1440" w:header="720" w:footer="720" w:gutter="0"/>
          <w:cols w:space="720"/>
          <w:docGrid w:linePitch="360"/>
        </w:sectPr>
      </w:pPr>
    </w:p>
    <w:p w:rsidR="000021E0" w:rsidRPr="00EA7313" w:rsidRDefault="00332BB3" w:rsidP="00B25E46">
      <w:pPr>
        <w:pStyle w:val="Heading1NONUM"/>
        <w:rPr>
          <w:rFonts w:cstheme="minorHAnsi"/>
          <w:color w:val="0000FF"/>
        </w:rPr>
      </w:pPr>
      <w:bookmarkStart w:id="673" w:name="_Toc385245774"/>
      <w:bookmarkStart w:id="674" w:name="_Toc385419540"/>
      <w:bookmarkStart w:id="675" w:name="_Toc462837217"/>
      <w:r w:rsidRPr="00EA7313">
        <w:rPr>
          <w:rFonts w:cstheme="minorHAnsi"/>
          <w:color w:val="0000FF"/>
        </w:rPr>
        <w:lastRenderedPageBreak/>
        <w:t xml:space="preserve">Annex </w:t>
      </w:r>
      <w:r w:rsidR="00EA7313" w:rsidRPr="00EA7313">
        <w:rPr>
          <w:rFonts w:cstheme="minorHAnsi"/>
          <w:color w:val="0000FF"/>
        </w:rPr>
        <w:t>K</w:t>
      </w:r>
      <w:r w:rsidRPr="00EA7313">
        <w:rPr>
          <w:rFonts w:cstheme="minorHAnsi"/>
          <w:color w:val="0000FF"/>
        </w:rPr>
        <w:t>: UNESCO Re-constructed Cohort Model</w:t>
      </w:r>
      <w:bookmarkStart w:id="676" w:name="_Toc253398266"/>
      <w:bookmarkEnd w:id="673"/>
      <w:bookmarkEnd w:id="674"/>
      <w:r w:rsidRPr="00EA7313">
        <w:rPr>
          <w:rFonts w:cstheme="minorHAnsi"/>
          <w:color w:val="0000FF"/>
        </w:rPr>
        <w:t xml:space="preserve"> 201</w:t>
      </w:r>
      <w:bookmarkEnd w:id="676"/>
      <w:r w:rsidR="00E37359" w:rsidRPr="00EA7313">
        <w:rPr>
          <w:rFonts w:cstheme="minorHAnsi"/>
          <w:color w:val="0000FF"/>
        </w:rPr>
        <w:t>4</w:t>
      </w:r>
      <w:bookmarkEnd w:id="675"/>
    </w:p>
    <w:p w:rsidR="00E37359" w:rsidRPr="005F120D" w:rsidRDefault="00524C05" w:rsidP="00C437AA">
      <w:pPr>
        <w:pStyle w:val="BodyText1"/>
        <w:jc w:val="center"/>
        <w:rPr>
          <w:rFonts w:asciiTheme="minorHAnsi" w:hAnsiTheme="minorHAnsi" w:cstheme="minorHAnsi"/>
          <w:color w:val="FF0000"/>
        </w:rPr>
      </w:pPr>
      <w:r w:rsidRPr="005F120D">
        <w:rPr>
          <w:rFonts w:asciiTheme="minorHAnsi" w:hAnsiTheme="minorHAnsi" w:cstheme="minorHAnsi"/>
          <w:noProof/>
          <w:color w:val="FF0000"/>
          <w:szCs w:val="24"/>
          <w:lang w:val="en-US" w:eastAsia="en-US"/>
        </w:rPr>
        <w:drawing>
          <wp:inline distT="0" distB="0" distL="0" distR="0">
            <wp:extent cx="8580103" cy="3854450"/>
            <wp:effectExtent l="57150" t="38100" r="30497"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l="1617" t="25650" r="12608" b="24609"/>
                    <a:stretch>
                      <a:fillRect/>
                    </a:stretch>
                  </pic:blipFill>
                  <pic:spPr bwMode="auto">
                    <a:xfrm>
                      <a:off x="0" y="0"/>
                      <a:ext cx="8580103" cy="3854450"/>
                    </a:xfrm>
                    <a:prstGeom prst="rect">
                      <a:avLst/>
                    </a:prstGeom>
                    <a:noFill/>
                    <a:ln w="31750" cmpd="dbl">
                      <a:solidFill>
                        <a:schemeClr val="accent5">
                          <a:lumMod val="50000"/>
                        </a:schemeClr>
                      </a:solidFill>
                      <a:miter lim="800000"/>
                      <a:headEnd/>
                      <a:tailEnd/>
                    </a:ln>
                  </pic:spPr>
                </pic:pic>
              </a:graphicData>
            </a:graphic>
          </wp:inline>
        </w:drawing>
      </w:r>
    </w:p>
    <w:p w:rsidR="00D77521" w:rsidRPr="005F120D" w:rsidRDefault="00D77521" w:rsidP="00C437AA">
      <w:pPr>
        <w:pStyle w:val="BodyText1"/>
        <w:rPr>
          <w:rFonts w:asciiTheme="minorHAnsi" w:hAnsiTheme="minorHAnsi" w:cstheme="minorHAnsi"/>
          <w:color w:val="FF0000"/>
        </w:rPr>
      </w:pPr>
    </w:p>
    <w:p w:rsidR="004704B5" w:rsidRPr="005F120D" w:rsidRDefault="004704B5" w:rsidP="00C437AA">
      <w:pPr>
        <w:pStyle w:val="BodyText1"/>
        <w:rPr>
          <w:rFonts w:asciiTheme="minorHAnsi" w:hAnsiTheme="minorHAnsi" w:cstheme="minorHAnsi"/>
          <w:color w:val="FF0000"/>
        </w:rPr>
        <w:sectPr w:rsidR="004704B5" w:rsidRPr="005F120D" w:rsidSect="00EA356A">
          <w:footerReference w:type="even" r:id="rId86"/>
          <w:footerReference w:type="default" r:id="rId87"/>
          <w:type w:val="nextColumn"/>
          <w:pgSz w:w="16834" w:h="11909" w:orient="landscape" w:code="9"/>
          <w:pgMar w:top="1440" w:right="1440" w:bottom="1440" w:left="1440" w:header="720" w:footer="720" w:gutter="0"/>
          <w:cols w:space="720"/>
          <w:docGrid w:linePitch="360"/>
        </w:sectPr>
      </w:pPr>
    </w:p>
    <w:p w:rsidR="004704B5" w:rsidRPr="00EA7313" w:rsidRDefault="00E37359" w:rsidP="00C437AA">
      <w:pPr>
        <w:pStyle w:val="Heading1NONUM"/>
        <w:spacing w:after="0" w:line="276" w:lineRule="auto"/>
        <w:rPr>
          <w:rFonts w:cstheme="minorHAnsi"/>
          <w:color w:val="0000FF"/>
        </w:rPr>
      </w:pPr>
      <w:bookmarkStart w:id="677" w:name="_Toc462837218"/>
      <w:r w:rsidRPr="00EA7313">
        <w:rPr>
          <w:rFonts w:cstheme="minorHAnsi"/>
          <w:color w:val="0000FF"/>
        </w:rPr>
        <w:lastRenderedPageBreak/>
        <w:t xml:space="preserve">Annex </w:t>
      </w:r>
      <w:r w:rsidR="00EA7313" w:rsidRPr="00EA7313">
        <w:rPr>
          <w:rFonts w:cstheme="minorHAnsi"/>
          <w:color w:val="0000FF"/>
        </w:rPr>
        <w:t>L</w:t>
      </w:r>
      <w:r w:rsidRPr="00EA7313">
        <w:rPr>
          <w:rFonts w:cstheme="minorHAnsi"/>
          <w:color w:val="0000FF"/>
        </w:rPr>
        <w:t xml:space="preserve">: List of </w:t>
      </w:r>
      <w:r w:rsidR="008F30A0" w:rsidRPr="00EA7313">
        <w:rPr>
          <w:rFonts w:cstheme="minorHAnsi"/>
          <w:color w:val="0000FF"/>
        </w:rPr>
        <w:t xml:space="preserve">PEDP3 </w:t>
      </w:r>
      <w:r w:rsidR="004704B5" w:rsidRPr="00EA7313">
        <w:rPr>
          <w:rFonts w:cstheme="minorHAnsi"/>
          <w:color w:val="0000FF"/>
        </w:rPr>
        <w:t>Indicators</w:t>
      </w:r>
      <w:bookmarkEnd w:id="677"/>
    </w:p>
    <w:p w:rsidR="004704B5" w:rsidRPr="005F120D" w:rsidRDefault="00EA7313" w:rsidP="00C437AA">
      <w:pPr>
        <w:spacing w:line="276" w:lineRule="auto"/>
        <w:rPr>
          <w:rFonts w:asciiTheme="minorHAnsi" w:hAnsiTheme="minorHAnsi" w:cstheme="minorHAnsi"/>
          <w:b/>
          <w:sz w:val="24"/>
          <w:szCs w:val="24"/>
        </w:rPr>
      </w:pPr>
      <w:r>
        <w:rPr>
          <w:rFonts w:asciiTheme="minorHAnsi" w:hAnsiTheme="minorHAnsi" w:cstheme="minorHAnsi"/>
          <w:b/>
          <w:sz w:val="24"/>
          <w:szCs w:val="24"/>
        </w:rPr>
        <w:t>L</w:t>
      </w:r>
      <w:r w:rsidR="00D011E9" w:rsidRPr="005F120D">
        <w:rPr>
          <w:rFonts w:asciiTheme="minorHAnsi" w:hAnsiTheme="minorHAnsi" w:cstheme="minorHAnsi"/>
          <w:b/>
          <w:sz w:val="24"/>
          <w:szCs w:val="24"/>
        </w:rPr>
        <w:t>-</w:t>
      </w:r>
      <w:r w:rsidR="004704B5" w:rsidRPr="005F120D">
        <w:rPr>
          <w:rFonts w:asciiTheme="minorHAnsi" w:hAnsiTheme="minorHAnsi" w:cstheme="minorHAnsi"/>
          <w:b/>
          <w:sz w:val="24"/>
          <w:szCs w:val="24"/>
        </w:rPr>
        <w:t>1. List of KPIs (15)</w:t>
      </w:r>
    </w:p>
    <w:tbl>
      <w:tblPr>
        <w:tblStyle w:val="TableGrid"/>
        <w:tblW w:w="9774" w:type="dxa"/>
        <w:tblBorders>
          <w:top w:val="double" w:sz="4" w:space="0" w:color="C4BC96" w:themeColor="background2" w:themeShade="BF"/>
          <w:left w:val="double" w:sz="4" w:space="0" w:color="C4BC96" w:themeColor="background2" w:themeShade="BF"/>
          <w:bottom w:val="double" w:sz="4" w:space="0" w:color="C4BC96" w:themeColor="background2" w:themeShade="BF"/>
          <w:right w:val="double" w:sz="4" w:space="0" w:color="C4BC96" w:themeColor="background2" w:themeShade="BF"/>
          <w:insideH w:val="single" w:sz="6" w:space="0" w:color="C4BC96" w:themeColor="background2" w:themeShade="BF"/>
          <w:insideV w:val="single" w:sz="6" w:space="0" w:color="C4BC96" w:themeColor="background2" w:themeShade="BF"/>
        </w:tblBorders>
        <w:tblLook w:val="04A0"/>
      </w:tblPr>
      <w:tblGrid>
        <w:gridCol w:w="575"/>
        <w:gridCol w:w="8161"/>
        <w:gridCol w:w="1038"/>
      </w:tblGrid>
      <w:tr w:rsidR="004704B5" w:rsidRPr="005F120D" w:rsidTr="00242F19">
        <w:trPr>
          <w:trHeight w:hRule="exact" w:val="288"/>
        </w:trPr>
        <w:tc>
          <w:tcPr>
            <w:tcW w:w="575" w:type="dxa"/>
            <w:shd w:val="clear" w:color="auto" w:fill="DDD9C3" w:themeFill="background2" w:themeFillShade="E6"/>
          </w:tcPr>
          <w:p w:rsidR="004704B5" w:rsidRPr="005F120D" w:rsidRDefault="004704B5" w:rsidP="00B25E46">
            <w:pPr>
              <w:jc w:val="center"/>
              <w:rPr>
                <w:rFonts w:asciiTheme="minorHAnsi" w:hAnsiTheme="minorHAnsi" w:cstheme="minorHAnsi"/>
                <w:b/>
                <w:sz w:val="20"/>
                <w:szCs w:val="20"/>
              </w:rPr>
            </w:pPr>
            <w:r w:rsidRPr="005F120D">
              <w:rPr>
                <w:rFonts w:asciiTheme="minorHAnsi" w:hAnsiTheme="minorHAnsi" w:cstheme="minorHAnsi"/>
                <w:b/>
                <w:sz w:val="20"/>
                <w:szCs w:val="20"/>
              </w:rPr>
              <w:t>SL.</w:t>
            </w:r>
          </w:p>
        </w:tc>
        <w:tc>
          <w:tcPr>
            <w:tcW w:w="8161" w:type="dxa"/>
            <w:shd w:val="clear" w:color="auto" w:fill="DDD9C3" w:themeFill="background2" w:themeFillShade="E6"/>
          </w:tcPr>
          <w:p w:rsidR="004704B5" w:rsidRPr="005F120D" w:rsidRDefault="004704B5" w:rsidP="00B25E46">
            <w:pPr>
              <w:jc w:val="center"/>
              <w:rPr>
                <w:rFonts w:asciiTheme="minorHAnsi" w:hAnsiTheme="minorHAnsi" w:cstheme="minorHAnsi"/>
                <w:b/>
                <w:sz w:val="20"/>
                <w:szCs w:val="20"/>
              </w:rPr>
            </w:pPr>
            <w:r w:rsidRPr="005F120D">
              <w:rPr>
                <w:rFonts w:asciiTheme="minorHAnsi" w:hAnsiTheme="minorHAnsi" w:cstheme="minorHAnsi"/>
                <w:b/>
                <w:sz w:val="20"/>
                <w:szCs w:val="20"/>
              </w:rPr>
              <w:t>KPIs</w:t>
            </w:r>
          </w:p>
        </w:tc>
        <w:tc>
          <w:tcPr>
            <w:tcW w:w="1038" w:type="dxa"/>
            <w:shd w:val="clear" w:color="auto" w:fill="DDD9C3" w:themeFill="background2" w:themeFillShade="E6"/>
          </w:tcPr>
          <w:p w:rsidR="004704B5" w:rsidRPr="005F120D" w:rsidRDefault="004704B5" w:rsidP="00B25E46">
            <w:pPr>
              <w:jc w:val="center"/>
              <w:rPr>
                <w:rFonts w:asciiTheme="minorHAnsi" w:hAnsiTheme="minorHAnsi" w:cstheme="minorHAnsi"/>
                <w:b/>
                <w:sz w:val="20"/>
                <w:szCs w:val="20"/>
              </w:rPr>
            </w:pPr>
            <w:r w:rsidRPr="005F120D">
              <w:rPr>
                <w:rFonts w:asciiTheme="minorHAnsi" w:hAnsiTheme="minorHAnsi" w:cstheme="minorHAnsi"/>
                <w:b/>
                <w:sz w:val="20"/>
                <w:szCs w:val="20"/>
              </w:rPr>
              <w:t>Remarks</w:t>
            </w: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sz w:val="20"/>
                <w:szCs w:val="20"/>
              </w:rPr>
              <w:t>Percentage of Grade III students achieving Grade 3 competencies (All; Boys; Girls)</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sz w:val="20"/>
                <w:szCs w:val="20"/>
              </w:rPr>
              <w:t>Percentage of Grade V students achieving Grade V competencies (All; Boys; Girls)</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sz w:val="20"/>
                <w:szCs w:val="20"/>
              </w:rPr>
              <w:t>Grade 5 Primary Education Completion examination (PECE) pass rate (%)</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sz w:val="20"/>
                <w:szCs w:val="20"/>
              </w:rPr>
              <w:t>Percentage of children out of school (boys and girls)</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GER [EFA 5]</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6.</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NER [EFA 6]</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7.</w:t>
            </w:r>
          </w:p>
        </w:tc>
        <w:tc>
          <w:tcPr>
            <w:tcW w:w="8161" w:type="dxa"/>
          </w:tcPr>
          <w:p w:rsidR="004704B5" w:rsidRPr="005F120D" w:rsidRDefault="004704B5" w:rsidP="00B25E46">
            <w:pPr>
              <w:pStyle w:val="NoSpacing"/>
              <w:rPr>
                <w:rFonts w:asciiTheme="minorHAnsi" w:hAnsiTheme="minorHAnsi" w:cstheme="minorHAnsi"/>
                <w:bCs/>
                <w:sz w:val="20"/>
                <w:szCs w:val="20"/>
              </w:rPr>
            </w:pPr>
            <w:r w:rsidRPr="005F120D">
              <w:rPr>
                <w:rFonts w:asciiTheme="minorHAnsi" w:hAnsiTheme="minorHAnsi" w:cstheme="minorHAnsi"/>
                <w:bCs/>
                <w:sz w:val="20"/>
                <w:szCs w:val="20"/>
              </w:rPr>
              <w:t>[</w:t>
            </w:r>
            <w:r w:rsidRPr="005F120D">
              <w:rPr>
                <w:rFonts w:asciiTheme="minorHAnsi" w:hAnsiTheme="minorHAnsi" w:cstheme="minorHAnsi"/>
                <w:bCs/>
                <w:i/>
                <w:iCs/>
                <w:sz w:val="20"/>
                <w:szCs w:val="20"/>
              </w:rPr>
              <w:t>Participation</w:t>
            </w:r>
            <w:r w:rsidRPr="005F120D">
              <w:rPr>
                <w:rFonts w:asciiTheme="minorHAnsi" w:hAnsiTheme="minorHAnsi" w:cstheme="minorHAnsi"/>
                <w:bCs/>
                <w:sz w:val="20"/>
                <w:szCs w:val="20"/>
              </w:rPr>
              <w:t>] Gender parity index of GER</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8.</w:t>
            </w:r>
          </w:p>
        </w:tc>
        <w:tc>
          <w:tcPr>
            <w:tcW w:w="8161" w:type="dxa"/>
          </w:tcPr>
          <w:p w:rsidR="004704B5" w:rsidRPr="005F120D" w:rsidRDefault="004704B5" w:rsidP="00B25E46">
            <w:pPr>
              <w:spacing w:after="0"/>
              <w:rPr>
                <w:rFonts w:asciiTheme="minorHAnsi" w:hAnsiTheme="minorHAnsi" w:cstheme="minorHAnsi"/>
                <w:bCs/>
                <w:sz w:val="20"/>
                <w:szCs w:val="20"/>
              </w:rPr>
            </w:pPr>
            <w:r w:rsidRPr="005F120D">
              <w:rPr>
                <w:rFonts w:asciiTheme="minorHAnsi" w:hAnsiTheme="minorHAnsi" w:cstheme="minorHAnsi"/>
                <w:bCs/>
                <w:sz w:val="20"/>
                <w:szCs w:val="20"/>
              </w:rPr>
              <w:t xml:space="preserve">Net </w:t>
            </w:r>
            <w:r w:rsidR="004B53A0" w:rsidRPr="005F120D">
              <w:rPr>
                <w:rFonts w:asciiTheme="minorHAnsi" w:hAnsiTheme="minorHAnsi" w:cstheme="minorHAnsi"/>
                <w:bCs/>
                <w:sz w:val="20"/>
                <w:szCs w:val="20"/>
              </w:rPr>
              <w:t>enrolment</w:t>
            </w:r>
            <w:r w:rsidRPr="005F120D">
              <w:rPr>
                <w:rFonts w:asciiTheme="minorHAnsi" w:hAnsiTheme="minorHAnsi" w:cstheme="minorHAnsi"/>
                <w:bCs/>
                <w:sz w:val="20"/>
                <w:szCs w:val="20"/>
              </w:rPr>
              <w:t xml:space="preserve"> rate (NER)- Top 20% of households (HHs) by consumption quintile</w:t>
            </w:r>
          </w:p>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sz w:val="20"/>
                <w:szCs w:val="20"/>
              </w:rPr>
              <w:t>Bottom20% of HHs by consumption quintile</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sz w:val="20"/>
                <w:szCs w:val="20"/>
              </w:rPr>
              <w:t>Difference between Top20% and bottom20% of Households by consumption quintile</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9.</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i/>
                <w:sz w:val="20"/>
                <w:szCs w:val="20"/>
              </w:rPr>
              <w:t xml:space="preserve">Upazila </w:t>
            </w:r>
            <w:r w:rsidRPr="005F120D">
              <w:rPr>
                <w:rFonts w:asciiTheme="minorHAnsi" w:hAnsiTheme="minorHAnsi" w:cstheme="minorHAnsi"/>
                <w:bCs/>
                <w:sz w:val="20"/>
                <w:szCs w:val="20"/>
              </w:rPr>
              <w:t xml:space="preserve">composite performance indicator - Bottom 20% of </w:t>
            </w:r>
            <w:r w:rsidRPr="005F120D">
              <w:rPr>
                <w:rFonts w:asciiTheme="minorHAnsi" w:hAnsiTheme="minorHAnsi" w:cstheme="minorHAnsi"/>
                <w:bCs/>
                <w:i/>
                <w:sz w:val="20"/>
                <w:szCs w:val="20"/>
              </w:rPr>
              <w:t xml:space="preserve">(used to derived annual improvement of bottom </w:t>
            </w:r>
            <w:r w:rsidRPr="005F120D">
              <w:rPr>
                <w:rFonts w:asciiTheme="minorHAnsi" w:hAnsiTheme="minorHAnsi" w:cstheme="minorHAnsi"/>
                <w:bCs/>
                <w:sz w:val="20"/>
                <w:szCs w:val="20"/>
              </w:rPr>
              <w:t xml:space="preserve">20% of </w:t>
            </w:r>
            <w:r w:rsidRPr="005F120D">
              <w:rPr>
                <w:rFonts w:asciiTheme="minorHAnsi" w:hAnsiTheme="minorHAnsi" w:cstheme="minorHAnsi"/>
                <w:bCs/>
                <w:i/>
                <w:sz w:val="20"/>
                <w:szCs w:val="20"/>
              </w:rPr>
              <w:t>Upazilas</w:t>
            </w:r>
            <w:r w:rsidRPr="005F120D">
              <w:rPr>
                <w:rStyle w:val="FootnoteReference"/>
                <w:rFonts w:asciiTheme="minorHAnsi" w:hAnsiTheme="minorHAnsi" w:cstheme="minorHAnsi"/>
                <w:bCs/>
                <w:sz w:val="20"/>
                <w:szCs w:val="20"/>
                <w:lang w:eastAsia="ja-JP"/>
              </w:rPr>
              <w:footnoteReference w:id="19"/>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i/>
                <w:sz w:val="20"/>
                <w:szCs w:val="20"/>
              </w:rPr>
              <w:t xml:space="preserve">Upazila </w:t>
            </w:r>
            <w:r w:rsidRPr="005F120D">
              <w:rPr>
                <w:rFonts w:asciiTheme="minorHAnsi" w:hAnsiTheme="minorHAnsi" w:cstheme="minorHAnsi"/>
                <w:bCs/>
                <w:sz w:val="20"/>
                <w:szCs w:val="20"/>
              </w:rPr>
              <w:t>composite performance indicator -Top 10%</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i/>
                <w:sz w:val="20"/>
                <w:szCs w:val="20"/>
              </w:rPr>
              <w:t xml:space="preserve">Upazila </w:t>
            </w:r>
            <w:r w:rsidRPr="005F120D">
              <w:rPr>
                <w:rFonts w:asciiTheme="minorHAnsi" w:hAnsiTheme="minorHAnsi" w:cstheme="minorHAnsi"/>
                <w:bCs/>
                <w:sz w:val="20"/>
                <w:szCs w:val="20"/>
              </w:rPr>
              <w:t>composite performance indicator - Bottom 10%</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sz w:val="20"/>
                <w:szCs w:val="20"/>
              </w:rPr>
              <w:t xml:space="preserve">Range between average value of index for top 10% and bottom 10% of </w:t>
            </w:r>
            <w:r w:rsidRPr="005F120D">
              <w:rPr>
                <w:rFonts w:asciiTheme="minorHAnsi" w:hAnsiTheme="minorHAnsi" w:cstheme="minorHAnsi"/>
                <w:bCs/>
                <w:i/>
                <w:sz w:val="20"/>
                <w:szCs w:val="20"/>
              </w:rPr>
              <w:t>Upazilas</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10.</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sz w:val="20"/>
                <w:szCs w:val="20"/>
              </w:rPr>
              <w:t xml:space="preserve">% of AOP budget allocation for unconditional block grants (SLIPs and UPEPs for schools and </w:t>
            </w:r>
            <w:r w:rsidRPr="005F120D">
              <w:rPr>
                <w:rFonts w:asciiTheme="minorHAnsi" w:hAnsiTheme="minorHAnsi" w:cstheme="minorHAnsi"/>
                <w:bCs/>
                <w:i/>
                <w:sz w:val="20"/>
                <w:szCs w:val="20"/>
              </w:rPr>
              <w:t>Upazilas</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11.</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sz w:val="20"/>
                <w:szCs w:val="20"/>
              </w:rPr>
              <w:t xml:space="preserve">Expenditure of unconditional block grants(UPEPs and SLIPs) by Schools and </w:t>
            </w:r>
            <w:r w:rsidRPr="005F120D">
              <w:rPr>
                <w:rFonts w:asciiTheme="minorHAnsi" w:hAnsiTheme="minorHAnsi" w:cstheme="minorHAnsi"/>
                <w:bCs/>
                <w:i/>
                <w:sz w:val="20"/>
                <w:szCs w:val="20"/>
              </w:rPr>
              <w:t>Upazilas</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12.</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Primary Cycle Completion rate</w:t>
            </w:r>
            <w:r w:rsidRPr="005F120D">
              <w:rPr>
                <w:rStyle w:val="FootnoteReference"/>
                <w:rFonts w:asciiTheme="minorHAnsi" w:hAnsiTheme="minorHAnsi" w:cstheme="minorHAnsi"/>
                <w:bCs/>
                <w:sz w:val="20"/>
                <w:szCs w:val="20"/>
                <w:lang w:eastAsia="ja-JP"/>
              </w:rPr>
              <w:footnoteReference w:id="20"/>
            </w:r>
            <w:r w:rsidRPr="005F120D">
              <w:rPr>
                <w:rFonts w:asciiTheme="minorHAnsi" w:hAnsiTheme="minorHAnsi" w:cstheme="minorHAnsi"/>
                <w:sz w:val="20"/>
                <w:szCs w:val="20"/>
              </w:rPr>
              <w:t xml:space="preserve"> (%)</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13.</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Primary Cycle Dropout rate (%)</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14.</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Coefficient of efficiency [EFA 14]</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Years input per graduate</w:t>
            </w:r>
          </w:p>
        </w:tc>
        <w:tc>
          <w:tcPr>
            <w:tcW w:w="1038" w:type="dxa"/>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575" w:type="dxa"/>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15.</w:t>
            </w:r>
          </w:p>
        </w:tc>
        <w:tc>
          <w:tcPr>
            <w:tcW w:w="8161" w:type="dxa"/>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bCs/>
                <w:sz w:val="20"/>
                <w:szCs w:val="20"/>
              </w:rPr>
              <w:t>Percentage of schools (GPS/NNPS) that meet three out of four PSQL indicators: (i) Girls’ toilets (PSQL 5); (ii) potable water (PSQL 7);and  (iii) SCR (PSQL 11) (iv) STR (PSQL 16)</w:t>
            </w:r>
          </w:p>
        </w:tc>
        <w:tc>
          <w:tcPr>
            <w:tcW w:w="1038" w:type="dxa"/>
          </w:tcPr>
          <w:p w:rsidR="004704B5" w:rsidRPr="005F120D" w:rsidRDefault="004704B5" w:rsidP="00B25E46">
            <w:pPr>
              <w:spacing w:after="0"/>
              <w:rPr>
                <w:rFonts w:asciiTheme="minorHAnsi" w:hAnsiTheme="minorHAnsi" w:cstheme="minorHAnsi"/>
                <w:sz w:val="20"/>
                <w:szCs w:val="20"/>
              </w:rPr>
            </w:pPr>
          </w:p>
        </w:tc>
      </w:tr>
    </w:tbl>
    <w:p w:rsidR="004704B5" w:rsidRPr="005F120D" w:rsidRDefault="004704B5" w:rsidP="00C437AA">
      <w:pPr>
        <w:spacing w:after="0" w:line="276" w:lineRule="auto"/>
        <w:rPr>
          <w:rFonts w:asciiTheme="minorHAnsi" w:hAnsiTheme="minorHAnsi" w:cstheme="minorHAnsi"/>
          <w:color w:val="FF0000"/>
          <w:sz w:val="20"/>
        </w:rPr>
      </w:pPr>
    </w:p>
    <w:p w:rsidR="004704B5" w:rsidRPr="005F120D" w:rsidRDefault="00EA7313" w:rsidP="00B25E46">
      <w:pPr>
        <w:spacing w:after="120"/>
        <w:rPr>
          <w:rFonts w:asciiTheme="minorHAnsi" w:hAnsiTheme="minorHAnsi" w:cstheme="minorHAnsi"/>
          <w:b/>
          <w:sz w:val="24"/>
          <w:szCs w:val="24"/>
        </w:rPr>
      </w:pPr>
      <w:r>
        <w:rPr>
          <w:rFonts w:asciiTheme="minorHAnsi" w:hAnsiTheme="minorHAnsi" w:cstheme="minorHAnsi"/>
          <w:b/>
          <w:sz w:val="24"/>
          <w:szCs w:val="24"/>
        </w:rPr>
        <w:t>L</w:t>
      </w:r>
      <w:r w:rsidR="00D011E9" w:rsidRPr="005F120D">
        <w:rPr>
          <w:rFonts w:asciiTheme="minorHAnsi" w:hAnsiTheme="minorHAnsi" w:cstheme="minorHAnsi"/>
          <w:b/>
          <w:sz w:val="24"/>
          <w:szCs w:val="24"/>
        </w:rPr>
        <w:t>-</w:t>
      </w:r>
      <w:r w:rsidR="004704B5" w:rsidRPr="005F120D">
        <w:rPr>
          <w:rFonts w:asciiTheme="minorHAnsi" w:hAnsiTheme="minorHAnsi" w:cstheme="minorHAnsi"/>
          <w:b/>
          <w:sz w:val="24"/>
          <w:szCs w:val="24"/>
        </w:rPr>
        <w:t>2. List of Non-KPIs (12)</w:t>
      </w:r>
    </w:p>
    <w:tbl>
      <w:tblPr>
        <w:tblStyle w:val="TableGrid"/>
        <w:tblW w:w="5132" w:type="pct"/>
        <w:tblBorders>
          <w:top w:val="double" w:sz="4" w:space="0" w:color="C4BC96" w:themeColor="background2" w:themeShade="BF"/>
          <w:left w:val="double" w:sz="4" w:space="0" w:color="C4BC96" w:themeColor="background2" w:themeShade="BF"/>
          <w:bottom w:val="double" w:sz="4" w:space="0" w:color="C4BC96" w:themeColor="background2" w:themeShade="BF"/>
          <w:right w:val="double" w:sz="4" w:space="0" w:color="C4BC96" w:themeColor="background2" w:themeShade="BF"/>
          <w:insideH w:val="single" w:sz="6" w:space="0" w:color="C4BC96" w:themeColor="background2" w:themeShade="BF"/>
          <w:insideV w:val="single" w:sz="6" w:space="0" w:color="C4BC96" w:themeColor="background2" w:themeShade="BF"/>
        </w:tblBorders>
        <w:tblLook w:val="04A0"/>
      </w:tblPr>
      <w:tblGrid>
        <w:gridCol w:w="632"/>
        <w:gridCol w:w="7813"/>
        <w:gridCol w:w="1044"/>
      </w:tblGrid>
      <w:tr w:rsidR="004704B5" w:rsidRPr="005F120D" w:rsidTr="00242F19">
        <w:trPr>
          <w:trHeight w:hRule="exact" w:val="274"/>
        </w:trPr>
        <w:tc>
          <w:tcPr>
            <w:tcW w:w="333" w:type="pct"/>
            <w:shd w:val="clear" w:color="auto" w:fill="DDD9C3" w:themeFill="background2" w:themeFillShade="E6"/>
          </w:tcPr>
          <w:p w:rsidR="004704B5" w:rsidRPr="005F120D" w:rsidRDefault="004704B5" w:rsidP="00C437AA">
            <w:pPr>
              <w:spacing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SL.</w:t>
            </w:r>
          </w:p>
        </w:tc>
        <w:tc>
          <w:tcPr>
            <w:tcW w:w="4117" w:type="pct"/>
            <w:shd w:val="clear" w:color="auto" w:fill="DDD9C3" w:themeFill="background2" w:themeFillShade="E6"/>
          </w:tcPr>
          <w:p w:rsidR="004704B5" w:rsidRPr="005F120D" w:rsidRDefault="004704B5" w:rsidP="00C437AA">
            <w:pPr>
              <w:spacing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Non-KPIs</w:t>
            </w:r>
          </w:p>
        </w:tc>
        <w:tc>
          <w:tcPr>
            <w:tcW w:w="550" w:type="pct"/>
            <w:shd w:val="clear" w:color="auto" w:fill="DDD9C3" w:themeFill="background2" w:themeFillShade="E6"/>
          </w:tcPr>
          <w:p w:rsidR="004704B5" w:rsidRPr="005F120D" w:rsidRDefault="004704B5" w:rsidP="00C437AA">
            <w:pPr>
              <w:spacing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Remarks</w:t>
            </w: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1.</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 xml:space="preserve">PECE Participation rate </w:t>
            </w:r>
            <w:r w:rsidR="00B64FEE" w:rsidRPr="005F120D">
              <w:rPr>
                <w:rFonts w:asciiTheme="minorHAnsi" w:hAnsiTheme="minorHAnsi" w:cstheme="minorHAnsi"/>
                <w:sz w:val="20"/>
                <w:szCs w:val="20"/>
              </w:rPr>
              <w:t>based on Descriptive Roll (All, boys and girls)</w:t>
            </w:r>
            <w:r w:rsidRPr="005F120D">
              <w:rPr>
                <w:rFonts w:asciiTheme="minorHAnsi" w:hAnsiTheme="minorHAnsi" w:cstheme="minorHAnsi"/>
                <w:sz w:val="20"/>
                <w:szCs w:val="20"/>
              </w:rPr>
              <w:t xml:space="preserve">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2.</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 xml:space="preserve">Repetition rate (EFA-12) </w:t>
            </w:r>
            <w:r w:rsidR="00B64FEE" w:rsidRPr="005F120D">
              <w:rPr>
                <w:rFonts w:asciiTheme="minorHAnsi" w:hAnsiTheme="minorHAnsi" w:cstheme="minorHAnsi"/>
                <w:sz w:val="20"/>
                <w:szCs w:val="20"/>
              </w:rPr>
              <w:t>(All, boys and girls)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3.</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 xml:space="preserve">Percentage of Grade1 new intakes who completed PPE (EFA-2) </w:t>
            </w:r>
            <w:r w:rsidR="00B64FEE" w:rsidRPr="005F120D">
              <w:rPr>
                <w:rFonts w:asciiTheme="minorHAnsi" w:hAnsiTheme="minorHAnsi" w:cstheme="minorHAnsi"/>
                <w:sz w:val="20"/>
                <w:szCs w:val="20"/>
              </w:rPr>
              <w:t>(All, boys and girls)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4.</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 xml:space="preserve">Student attendance rate </w:t>
            </w:r>
            <w:r w:rsidR="00B64FEE" w:rsidRPr="005F120D">
              <w:rPr>
                <w:rFonts w:asciiTheme="minorHAnsi" w:hAnsiTheme="minorHAnsi" w:cstheme="minorHAnsi"/>
                <w:sz w:val="20"/>
                <w:szCs w:val="20"/>
              </w:rPr>
              <w:t>(All, boys and girls)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5.</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 xml:space="preserve">Number of children from NFE </w:t>
            </w:r>
            <w:r w:rsidR="00183D52" w:rsidRPr="005F120D">
              <w:rPr>
                <w:rFonts w:asciiTheme="minorHAnsi" w:hAnsiTheme="minorHAnsi" w:cstheme="minorHAnsi"/>
                <w:sz w:val="20"/>
                <w:szCs w:val="20"/>
              </w:rPr>
              <w:t>institutes</w:t>
            </w:r>
            <w:r w:rsidRPr="005F120D">
              <w:rPr>
                <w:rFonts w:asciiTheme="minorHAnsi" w:hAnsiTheme="minorHAnsi" w:cstheme="minorHAnsi"/>
                <w:sz w:val="20"/>
                <w:szCs w:val="20"/>
              </w:rPr>
              <w:t xml:space="preserve"> taking Grade 5 PECE</w:t>
            </w:r>
            <w:r w:rsidR="00B64FEE" w:rsidRPr="005F120D">
              <w:rPr>
                <w:rFonts w:asciiTheme="minorHAnsi" w:hAnsiTheme="minorHAnsi" w:cstheme="minorHAnsi"/>
                <w:sz w:val="20"/>
                <w:szCs w:val="20"/>
              </w:rPr>
              <w:t xml:space="preserve"> (All, boys and girls)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6.</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 xml:space="preserve">Survival Rate </w:t>
            </w:r>
            <w:r w:rsidR="000868E2" w:rsidRPr="005F120D">
              <w:rPr>
                <w:rFonts w:asciiTheme="minorHAnsi" w:hAnsiTheme="minorHAnsi" w:cstheme="minorHAnsi"/>
                <w:sz w:val="20"/>
                <w:szCs w:val="20"/>
              </w:rPr>
              <w:t>(</w:t>
            </w:r>
            <w:r w:rsidRPr="005F120D">
              <w:rPr>
                <w:rFonts w:asciiTheme="minorHAnsi" w:hAnsiTheme="minorHAnsi" w:cstheme="minorHAnsi"/>
                <w:sz w:val="20"/>
                <w:szCs w:val="20"/>
              </w:rPr>
              <w:t>EFA-13)</w:t>
            </w:r>
            <w:r w:rsidR="00B64FEE" w:rsidRPr="005F120D">
              <w:rPr>
                <w:rFonts w:asciiTheme="minorHAnsi" w:hAnsiTheme="minorHAnsi" w:cstheme="minorHAnsi"/>
                <w:sz w:val="20"/>
                <w:szCs w:val="20"/>
              </w:rPr>
              <w:t>(All, boys and girls)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7.</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Single Shift School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8.</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sanctioned posts filled in district (staff) and upazilas (teachers) (%) (Vacant post #/Filled post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9.</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 xml:space="preserve">Gross Completion Rate </w:t>
            </w:r>
            <w:r w:rsidR="00B64FEE" w:rsidRPr="005F120D">
              <w:rPr>
                <w:rFonts w:asciiTheme="minorHAnsi" w:hAnsiTheme="minorHAnsi" w:cstheme="minorHAnsi"/>
                <w:sz w:val="20"/>
                <w:szCs w:val="20"/>
              </w:rPr>
              <w:t>(All, boys and girls)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10.</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 xml:space="preserve">Transition rate from Grade 5 to Grade 6 </w:t>
            </w:r>
            <w:r w:rsidR="00B64FEE" w:rsidRPr="005F120D">
              <w:rPr>
                <w:rFonts w:asciiTheme="minorHAnsi" w:hAnsiTheme="minorHAnsi" w:cstheme="minorHAnsi"/>
                <w:sz w:val="20"/>
                <w:szCs w:val="20"/>
              </w:rPr>
              <w:t>(All, boys and girls)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11.</w:t>
            </w:r>
          </w:p>
        </w:tc>
        <w:tc>
          <w:tcPr>
            <w:tcW w:w="4117"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Public education expenditure as percentage of GDP (EFA-7) (%)</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33"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12.</w:t>
            </w:r>
          </w:p>
        </w:tc>
        <w:tc>
          <w:tcPr>
            <w:tcW w:w="4117" w:type="pct"/>
          </w:tcPr>
          <w:p w:rsidR="004704B5" w:rsidRPr="005F120D" w:rsidRDefault="004704B5" w:rsidP="00C437AA">
            <w:pPr>
              <w:pStyle w:val="NoSpacing"/>
              <w:spacing w:line="276" w:lineRule="auto"/>
              <w:rPr>
                <w:rFonts w:asciiTheme="minorHAnsi" w:hAnsiTheme="minorHAnsi" w:cstheme="minorHAnsi"/>
                <w:sz w:val="20"/>
                <w:szCs w:val="20"/>
              </w:rPr>
            </w:pPr>
            <w:r w:rsidRPr="005F120D">
              <w:rPr>
                <w:rFonts w:asciiTheme="minorHAnsi" w:hAnsiTheme="minorHAnsi" w:cstheme="minorHAnsi"/>
                <w:sz w:val="20"/>
                <w:szCs w:val="20"/>
              </w:rPr>
              <w:t xml:space="preserve">Public expenditure on primary education as % of total public expenditure on education </w:t>
            </w:r>
            <w:r w:rsidR="000868E2" w:rsidRPr="005F120D">
              <w:rPr>
                <w:rFonts w:asciiTheme="minorHAnsi" w:hAnsiTheme="minorHAnsi" w:cstheme="minorHAnsi"/>
                <w:sz w:val="20"/>
                <w:szCs w:val="20"/>
              </w:rPr>
              <w:t>(</w:t>
            </w:r>
            <w:r w:rsidRPr="005F120D">
              <w:rPr>
                <w:rFonts w:asciiTheme="minorHAnsi" w:hAnsiTheme="minorHAnsi" w:cstheme="minorHAnsi"/>
                <w:sz w:val="20"/>
                <w:szCs w:val="20"/>
              </w:rPr>
              <w:t>EFA-8)</w:t>
            </w:r>
          </w:p>
        </w:tc>
        <w:tc>
          <w:tcPr>
            <w:tcW w:w="550" w:type="pct"/>
          </w:tcPr>
          <w:p w:rsidR="004704B5" w:rsidRPr="005F120D" w:rsidRDefault="004704B5" w:rsidP="00C437AA">
            <w:pPr>
              <w:spacing w:after="0" w:line="276" w:lineRule="auto"/>
              <w:rPr>
                <w:rFonts w:asciiTheme="minorHAnsi" w:hAnsiTheme="minorHAnsi" w:cstheme="minorHAnsi"/>
                <w:sz w:val="20"/>
                <w:szCs w:val="20"/>
              </w:rPr>
            </w:pPr>
          </w:p>
        </w:tc>
      </w:tr>
    </w:tbl>
    <w:p w:rsidR="004704B5" w:rsidRPr="005F120D" w:rsidRDefault="00EA7313" w:rsidP="00C437AA">
      <w:pPr>
        <w:spacing w:line="276" w:lineRule="auto"/>
        <w:rPr>
          <w:rFonts w:asciiTheme="minorHAnsi" w:hAnsiTheme="minorHAnsi" w:cstheme="minorHAnsi"/>
          <w:b/>
          <w:sz w:val="24"/>
          <w:szCs w:val="24"/>
        </w:rPr>
      </w:pPr>
      <w:r>
        <w:rPr>
          <w:rFonts w:asciiTheme="minorHAnsi" w:hAnsiTheme="minorHAnsi" w:cstheme="minorHAnsi"/>
          <w:b/>
          <w:sz w:val="24"/>
          <w:szCs w:val="24"/>
        </w:rPr>
        <w:lastRenderedPageBreak/>
        <w:t>L</w:t>
      </w:r>
      <w:r w:rsidR="00D011E9" w:rsidRPr="005F120D">
        <w:rPr>
          <w:rFonts w:asciiTheme="minorHAnsi" w:hAnsiTheme="minorHAnsi" w:cstheme="minorHAnsi"/>
          <w:b/>
          <w:sz w:val="24"/>
          <w:szCs w:val="24"/>
        </w:rPr>
        <w:t>-</w:t>
      </w:r>
      <w:r w:rsidR="004704B5" w:rsidRPr="005F120D">
        <w:rPr>
          <w:rFonts w:asciiTheme="minorHAnsi" w:hAnsiTheme="minorHAnsi" w:cstheme="minorHAnsi"/>
          <w:b/>
          <w:sz w:val="24"/>
          <w:szCs w:val="24"/>
        </w:rPr>
        <w:t>3. List of PSQLs (14)</w:t>
      </w:r>
    </w:p>
    <w:tbl>
      <w:tblPr>
        <w:tblStyle w:val="TableGrid"/>
        <w:tblW w:w="5000" w:type="pct"/>
        <w:tblBorders>
          <w:top w:val="double" w:sz="4" w:space="0" w:color="C4BC96" w:themeColor="background2" w:themeShade="BF"/>
          <w:left w:val="double" w:sz="4" w:space="0" w:color="C4BC96" w:themeColor="background2" w:themeShade="BF"/>
          <w:bottom w:val="double" w:sz="4" w:space="0" w:color="C4BC96" w:themeColor="background2" w:themeShade="BF"/>
          <w:right w:val="double" w:sz="4" w:space="0" w:color="C4BC96" w:themeColor="background2" w:themeShade="BF"/>
          <w:insideH w:val="single" w:sz="6" w:space="0" w:color="C4BC96" w:themeColor="background2" w:themeShade="BF"/>
          <w:insideV w:val="single" w:sz="6" w:space="0" w:color="C4BC96" w:themeColor="background2" w:themeShade="BF"/>
        </w:tblBorders>
        <w:tblLook w:val="04A0"/>
      </w:tblPr>
      <w:tblGrid>
        <w:gridCol w:w="642"/>
        <w:gridCol w:w="6571"/>
        <w:gridCol w:w="2032"/>
      </w:tblGrid>
      <w:tr w:rsidR="004704B5" w:rsidRPr="005F120D" w:rsidTr="00242F19">
        <w:tc>
          <w:tcPr>
            <w:tcW w:w="347" w:type="pct"/>
            <w:shd w:val="clear" w:color="auto" w:fill="DDD9C3" w:themeFill="background2" w:themeFillShade="E6"/>
          </w:tcPr>
          <w:p w:rsidR="004704B5" w:rsidRPr="005F120D" w:rsidRDefault="004704B5" w:rsidP="00C437AA">
            <w:pPr>
              <w:spacing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SL.</w:t>
            </w:r>
          </w:p>
        </w:tc>
        <w:tc>
          <w:tcPr>
            <w:tcW w:w="3554" w:type="pct"/>
            <w:shd w:val="clear" w:color="auto" w:fill="DDD9C3" w:themeFill="background2" w:themeFillShade="E6"/>
          </w:tcPr>
          <w:p w:rsidR="004704B5" w:rsidRPr="005F120D" w:rsidRDefault="00AE706D" w:rsidP="00C437AA">
            <w:pPr>
              <w:spacing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PSQL</w:t>
            </w:r>
            <w:r w:rsidR="004704B5" w:rsidRPr="005F120D">
              <w:rPr>
                <w:rFonts w:asciiTheme="minorHAnsi" w:hAnsiTheme="minorHAnsi" w:cstheme="minorHAnsi"/>
                <w:b/>
                <w:sz w:val="20"/>
                <w:szCs w:val="20"/>
              </w:rPr>
              <w:t>s</w:t>
            </w:r>
          </w:p>
        </w:tc>
        <w:tc>
          <w:tcPr>
            <w:tcW w:w="1099" w:type="pct"/>
            <w:shd w:val="clear" w:color="auto" w:fill="DDD9C3" w:themeFill="background2" w:themeFillShade="E6"/>
          </w:tcPr>
          <w:p w:rsidR="004704B5" w:rsidRPr="005F120D" w:rsidRDefault="004704B5" w:rsidP="00C437AA">
            <w:pPr>
              <w:spacing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Remarks</w:t>
            </w: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1.</w:t>
            </w:r>
          </w:p>
        </w:tc>
        <w:tc>
          <w:tcPr>
            <w:tcW w:w="3554"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schools which received all new textbooks by January 31</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2.</w:t>
            </w:r>
          </w:p>
        </w:tc>
        <w:tc>
          <w:tcPr>
            <w:tcW w:w="3554"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(assistant and head) teachers with</w:t>
            </w:r>
            <w:r w:rsidR="00EE3EF6" w:rsidRPr="005F120D">
              <w:rPr>
                <w:rFonts w:asciiTheme="minorHAnsi" w:hAnsiTheme="minorHAnsi" w:cstheme="minorHAnsi"/>
                <w:sz w:val="20"/>
                <w:szCs w:val="20"/>
              </w:rPr>
              <w:t xml:space="preserve"> a</w:t>
            </w:r>
            <w:r w:rsidRPr="005F120D">
              <w:rPr>
                <w:rFonts w:asciiTheme="minorHAnsi" w:hAnsiTheme="minorHAnsi" w:cstheme="minorHAnsi"/>
                <w:sz w:val="20"/>
                <w:szCs w:val="20"/>
              </w:rPr>
              <w:t xml:space="preserve"> professional Qualification (C-in-Ed/Dip-in-Ed, B.Ed., M.Ed.)</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3.</w:t>
            </w:r>
          </w:p>
        </w:tc>
        <w:tc>
          <w:tcPr>
            <w:tcW w:w="3554"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(assistant and head) teachers who receive  continuous professional development (subject based) training</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4.</w:t>
            </w:r>
          </w:p>
        </w:tc>
        <w:tc>
          <w:tcPr>
            <w:tcW w:w="3554"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(assistant and head) teachers who receive  continuous professional development (sub-cluster) training</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5.</w:t>
            </w:r>
          </w:p>
        </w:tc>
        <w:tc>
          <w:tcPr>
            <w:tcW w:w="3554"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schools (GPS/NNPS) with pre-primary classes</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6.</w:t>
            </w:r>
          </w:p>
        </w:tc>
        <w:tc>
          <w:tcPr>
            <w:tcW w:w="3554"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Number of enrolled children with disabilities</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7.</w:t>
            </w:r>
          </w:p>
        </w:tc>
        <w:tc>
          <w:tcPr>
            <w:tcW w:w="3554"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schools with at least one functioning toilet</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8.</w:t>
            </w:r>
          </w:p>
        </w:tc>
        <w:tc>
          <w:tcPr>
            <w:tcW w:w="3554"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schools with separate functioning toilets for girls</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9.</w:t>
            </w:r>
          </w:p>
        </w:tc>
        <w:tc>
          <w:tcPr>
            <w:tcW w:w="3554"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schools have safe water sources: functioning tube wells and other sources</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10.</w:t>
            </w:r>
          </w:p>
        </w:tc>
        <w:tc>
          <w:tcPr>
            <w:tcW w:w="3554" w:type="pct"/>
          </w:tcPr>
          <w:p w:rsidR="004704B5" w:rsidRPr="005F120D" w:rsidRDefault="004704B5" w:rsidP="00C437AA">
            <w:pPr>
              <w:pStyle w:val="NoSpacing"/>
              <w:spacing w:line="276" w:lineRule="auto"/>
              <w:rPr>
                <w:rFonts w:asciiTheme="minorHAnsi" w:hAnsiTheme="minorHAnsi" w:cstheme="minorHAnsi"/>
                <w:sz w:val="20"/>
                <w:szCs w:val="20"/>
              </w:rPr>
            </w:pPr>
            <w:r w:rsidRPr="005F120D">
              <w:rPr>
                <w:rFonts w:asciiTheme="minorHAnsi" w:hAnsiTheme="minorHAnsi" w:cstheme="minorHAnsi"/>
                <w:sz w:val="20"/>
                <w:szCs w:val="20"/>
              </w:rPr>
              <w:t>Percentage of schools that meet the SCR standard of 40</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11.</w:t>
            </w:r>
          </w:p>
        </w:tc>
        <w:tc>
          <w:tcPr>
            <w:tcW w:w="3554" w:type="pct"/>
          </w:tcPr>
          <w:p w:rsidR="004704B5" w:rsidRPr="005F120D" w:rsidRDefault="004704B5" w:rsidP="00C437AA">
            <w:pPr>
              <w:spacing w:after="0" w:line="276" w:lineRule="auto"/>
              <w:rPr>
                <w:rFonts w:asciiTheme="minorHAnsi" w:hAnsiTheme="minorHAnsi" w:cstheme="minorHAnsi"/>
                <w:sz w:val="20"/>
                <w:szCs w:val="20"/>
              </w:rPr>
            </w:pPr>
            <w:r w:rsidRPr="005F120D">
              <w:rPr>
                <w:rFonts w:asciiTheme="minorHAnsi" w:hAnsiTheme="minorHAnsi" w:cstheme="minorHAnsi"/>
                <w:sz w:val="20"/>
                <w:szCs w:val="20"/>
              </w:rPr>
              <w:t>Percentage of standard size classrooms (19’6’’X17’4”) and larger constructed</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12.</w:t>
            </w:r>
          </w:p>
        </w:tc>
        <w:tc>
          <w:tcPr>
            <w:tcW w:w="3554" w:type="pct"/>
          </w:tcPr>
          <w:p w:rsidR="004704B5" w:rsidRPr="005F120D" w:rsidRDefault="004704B5" w:rsidP="00C437AA">
            <w:pPr>
              <w:pStyle w:val="NoSpacing"/>
              <w:spacing w:line="276" w:lineRule="auto"/>
              <w:rPr>
                <w:rFonts w:asciiTheme="minorHAnsi" w:hAnsiTheme="minorHAnsi" w:cstheme="minorHAnsi"/>
                <w:sz w:val="20"/>
                <w:szCs w:val="20"/>
              </w:rPr>
            </w:pPr>
            <w:r w:rsidRPr="005F120D">
              <w:rPr>
                <w:rFonts w:asciiTheme="minorHAnsi" w:hAnsiTheme="minorHAnsi" w:cstheme="minorHAnsi"/>
                <w:sz w:val="20"/>
                <w:szCs w:val="20"/>
              </w:rPr>
              <w:t>Percentage of schools which receive SLIP grants</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13.</w:t>
            </w:r>
          </w:p>
        </w:tc>
        <w:tc>
          <w:tcPr>
            <w:tcW w:w="3554" w:type="pct"/>
          </w:tcPr>
          <w:p w:rsidR="004704B5" w:rsidRPr="005F120D" w:rsidRDefault="004704B5" w:rsidP="00C437AA">
            <w:pPr>
              <w:pStyle w:val="NoSpacing"/>
              <w:spacing w:line="276" w:lineRule="auto"/>
              <w:rPr>
                <w:rFonts w:asciiTheme="minorHAnsi" w:hAnsiTheme="minorHAnsi" w:cstheme="minorHAnsi"/>
                <w:sz w:val="20"/>
                <w:szCs w:val="20"/>
              </w:rPr>
            </w:pPr>
            <w:r w:rsidRPr="005F120D">
              <w:rPr>
                <w:rFonts w:asciiTheme="minorHAnsi" w:hAnsiTheme="minorHAnsi" w:cstheme="minorHAnsi"/>
                <w:sz w:val="20"/>
                <w:szCs w:val="20"/>
              </w:rPr>
              <w:t>Percentage of head teachers who received training on leadership</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r w:rsidR="004704B5" w:rsidRPr="005F120D" w:rsidTr="00242F19">
        <w:trPr>
          <w:trHeight w:val="20"/>
        </w:trPr>
        <w:tc>
          <w:tcPr>
            <w:tcW w:w="347" w:type="pct"/>
          </w:tcPr>
          <w:p w:rsidR="004704B5" w:rsidRPr="005F120D" w:rsidRDefault="004704B5" w:rsidP="00C437AA">
            <w:pPr>
              <w:spacing w:after="0" w:line="276" w:lineRule="auto"/>
              <w:jc w:val="center"/>
              <w:rPr>
                <w:rFonts w:asciiTheme="minorHAnsi" w:hAnsiTheme="minorHAnsi" w:cstheme="minorHAnsi"/>
                <w:sz w:val="20"/>
                <w:szCs w:val="20"/>
              </w:rPr>
            </w:pPr>
            <w:r w:rsidRPr="005F120D">
              <w:rPr>
                <w:rFonts w:asciiTheme="minorHAnsi" w:hAnsiTheme="minorHAnsi" w:cstheme="minorHAnsi"/>
                <w:sz w:val="20"/>
                <w:szCs w:val="20"/>
              </w:rPr>
              <w:t>14.</w:t>
            </w:r>
          </w:p>
        </w:tc>
        <w:tc>
          <w:tcPr>
            <w:tcW w:w="3554" w:type="pct"/>
          </w:tcPr>
          <w:p w:rsidR="004704B5" w:rsidRPr="005F120D" w:rsidRDefault="004704B5" w:rsidP="00C437AA">
            <w:pPr>
              <w:pStyle w:val="NoSpacing"/>
              <w:spacing w:line="276" w:lineRule="auto"/>
              <w:rPr>
                <w:rFonts w:asciiTheme="minorHAnsi" w:hAnsiTheme="minorHAnsi" w:cstheme="minorHAnsi"/>
                <w:sz w:val="20"/>
                <w:szCs w:val="20"/>
              </w:rPr>
            </w:pPr>
            <w:r w:rsidRPr="005F120D">
              <w:rPr>
                <w:rFonts w:asciiTheme="minorHAnsi" w:hAnsiTheme="minorHAnsi" w:cstheme="minorHAnsi"/>
                <w:sz w:val="20"/>
                <w:szCs w:val="20"/>
              </w:rPr>
              <w:t>Percentage of schools that meet the STR standard of 46 (EFA11)</w:t>
            </w:r>
          </w:p>
        </w:tc>
        <w:tc>
          <w:tcPr>
            <w:tcW w:w="1099" w:type="pct"/>
          </w:tcPr>
          <w:p w:rsidR="004704B5" w:rsidRPr="005F120D" w:rsidRDefault="004704B5" w:rsidP="00C437AA">
            <w:pPr>
              <w:spacing w:after="0" w:line="276" w:lineRule="auto"/>
              <w:rPr>
                <w:rFonts w:asciiTheme="minorHAnsi" w:hAnsiTheme="minorHAnsi" w:cstheme="minorHAnsi"/>
                <w:sz w:val="20"/>
                <w:szCs w:val="20"/>
              </w:rPr>
            </w:pPr>
          </w:p>
        </w:tc>
      </w:tr>
    </w:tbl>
    <w:p w:rsidR="004704B5" w:rsidRPr="005F120D" w:rsidRDefault="00EA7313" w:rsidP="00C437AA">
      <w:pPr>
        <w:spacing w:before="240" w:line="276" w:lineRule="auto"/>
        <w:rPr>
          <w:rFonts w:asciiTheme="minorHAnsi" w:hAnsiTheme="minorHAnsi" w:cstheme="minorHAnsi"/>
          <w:b/>
          <w:sz w:val="24"/>
          <w:szCs w:val="24"/>
        </w:rPr>
      </w:pPr>
      <w:r>
        <w:rPr>
          <w:rFonts w:asciiTheme="minorHAnsi" w:hAnsiTheme="minorHAnsi" w:cstheme="minorHAnsi"/>
          <w:b/>
          <w:sz w:val="24"/>
          <w:szCs w:val="24"/>
        </w:rPr>
        <w:t>L</w:t>
      </w:r>
      <w:r w:rsidR="00D011E9" w:rsidRPr="005F120D">
        <w:rPr>
          <w:rFonts w:asciiTheme="minorHAnsi" w:hAnsiTheme="minorHAnsi" w:cstheme="minorHAnsi"/>
          <w:b/>
          <w:sz w:val="24"/>
          <w:szCs w:val="24"/>
        </w:rPr>
        <w:t>-</w:t>
      </w:r>
      <w:r w:rsidR="004704B5" w:rsidRPr="005F120D">
        <w:rPr>
          <w:rFonts w:asciiTheme="minorHAnsi" w:hAnsiTheme="minorHAnsi" w:cstheme="minorHAnsi"/>
          <w:b/>
          <w:sz w:val="24"/>
          <w:szCs w:val="24"/>
        </w:rPr>
        <w:t>4. List of DLIs (9)</w:t>
      </w:r>
    </w:p>
    <w:tbl>
      <w:tblPr>
        <w:tblStyle w:val="TableGrid"/>
        <w:tblW w:w="5000" w:type="pct"/>
        <w:tblBorders>
          <w:top w:val="double" w:sz="4" w:space="0" w:color="C4BC96" w:themeColor="background2" w:themeShade="BF"/>
          <w:left w:val="double" w:sz="4" w:space="0" w:color="C4BC96" w:themeColor="background2" w:themeShade="BF"/>
          <w:bottom w:val="double" w:sz="4" w:space="0" w:color="C4BC96" w:themeColor="background2" w:themeShade="BF"/>
          <w:right w:val="double" w:sz="4" w:space="0" w:color="C4BC96" w:themeColor="background2" w:themeShade="BF"/>
          <w:insideH w:val="single" w:sz="6" w:space="0" w:color="C4BC96" w:themeColor="background2" w:themeShade="BF"/>
          <w:insideV w:val="single" w:sz="6" w:space="0" w:color="C4BC96" w:themeColor="background2" w:themeShade="BF"/>
        </w:tblBorders>
        <w:tblLook w:val="04A0"/>
      </w:tblPr>
      <w:tblGrid>
        <w:gridCol w:w="642"/>
        <w:gridCol w:w="6571"/>
        <w:gridCol w:w="2032"/>
      </w:tblGrid>
      <w:tr w:rsidR="004704B5" w:rsidRPr="005F120D" w:rsidTr="00242F19">
        <w:tc>
          <w:tcPr>
            <w:tcW w:w="347" w:type="pct"/>
            <w:shd w:val="clear" w:color="auto" w:fill="DDD9C3" w:themeFill="background2" w:themeFillShade="E6"/>
          </w:tcPr>
          <w:p w:rsidR="004704B5" w:rsidRPr="005F120D" w:rsidRDefault="004704B5" w:rsidP="00C437AA">
            <w:pPr>
              <w:spacing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SL.</w:t>
            </w:r>
          </w:p>
        </w:tc>
        <w:tc>
          <w:tcPr>
            <w:tcW w:w="3554" w:type="pct"/>
            <w:shd w:val="clear" w:color="auto" w:fill="DDD9C3" w:themeFill="background2" w:themeFillShade="E6"/>
          </w:tcPr>
          <w:p w:rsidR="004704B5" w:rsidRPr="005F120D" w:rsidRDefault="004704B5" w:rsidP="00C437AA">
            <w:pPr>
              <w:spacing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DLIs</w:t>
            </w:r>
          </w:p>
        </w:tc>
        <w:tc>
          <w:tcPr>
            <w:tcW w:w="1099" w:type="pct"/>
            <w:shd w:val="clear" w:color="auto" w:fill="DDD9C3" w:themeFill="background2" w:themeFillShade="E6"/>
          </w:tcPr>
          <w:p w:rsidR="004704B5" w:rsidRPr="005F120D" w:rsidRDefault="004704B5" w:rsidP="00C437AA">
            <w:pPr>
              <w:spacing w:line="276" w:lineRule="auto"/>
              <w:jc w:val="center"/>
              <w:rPr>
                <w:rFonts w:asciiTheme="minorHAnsi" w:hAnsiTheme="minorHAnsi" w:cstheme="minorHAnsi"/>
                <w:b/>
                <w:sz w:val="20"/>
                <w:szCs w:val="20"/>
              </w:rPr>
            </w:pPr>
            <w:r w:rsidRPr="005F120D">
              <w:rPr>
                <w:rFonts w:asciiTheme="minorHAnsi" w:hAnsiTheme="minorHAnsi" w:cstheme="minorHAnsi"/>
                <w:b/>
                <w:sz w:val="20"/>
                <w:szCs w:val="20"/>
              </w:rPr>
              <w:t>Remarks</w:t>
            </w:r>
          </w:p>
        </w:tc>
      </w:tr>
      <w:tr w:rsidR="004704B5" w:rsidRPr="005F120D" w:rsidTr="00242F19">
        <w:trPr>
          <w:trHeight w:hRule="exact" w:val="288"/>
        </w:trPr>
        <w:tc>
          <w:tcPr>
            <w:tcW w:w="347" w:type="pct"/>
          </w:tcPr>
          <w:p w:rsidR="004704B5" w:rsidRPr="005F120D" w:rsidRDefault="004704B5" w:rsidP="00C437AA">
            <w:pPr>
              <w:spacing w:line="276" w:lineRule="auto"/>
              <w:jc w:val="center"/>
              <w:rPr>
                <w:rFonts w:asciiTheme="minorHAnsi" w:hAnsiTheme="minorHAnsi" w:cstheme="minorHAnsi"/>
                <w:sz w:val="20"/>
                <w:szCs w:val="20"/>
              </w:rPr>
            </w:pPr>
            <w:r w:rsidRPr="005F120D">
              <w:rPr>
                <w:rFonts w:asciiTheme="minorHAnsi" w:hAnsiTheme="minorHAnsi" w:cstheme="minorHAnsi"/>
                <w:sz w:val="20"/>
                <w:szCs w:val="20"/>
              </w:rPr>
              <w:t>1.</w:t>
            </w:r>
          </w:p>
        </w:tc>
        <w:tc>
          <w:tcPr>
            <w:tcW w:w="3554" w:type="pct"/>
          </w:tcPr>
          <w:p w:rsidR="004704B5" w:rsidRPr="005F120D" w:rsidRDefault="004704B5" w:rsidP="00C437AA">
            <w:pPr>
              <w:spacing w:line="276" w:lineRule="auto"/>
              <w:rPr>
                <w:rFonts w:asciiTheme="minorHAnsi" w:hAnsiTheme="minorHAnsi" w:cstheme="minorHAnsi"/>
                <w:sz w:val="20"/>
                <w:szCs w:val="20"/>
              </w:rPr>
            </w:pPr>
            <w:r w:rsidRPr="005F120D">
              <w:rPr>
                <w:rFonts w:asciiTheme="minorHAnsi" w:hAnsiTheme="minorHAnsi" w:cstheme="minorHAnsi"/>
                <w:sz w:val="20"/>
                <w:szCs w:val="20"/>
              </w:rPr>
              <w:t>Textbook Production and Distribution</w:t>
            </w:r>
          </w:p>
        </w:tc>
        <w:tc>
          <w:tcPr>
            <w:tcW w:w="1099" w:type="pct"/>
          </w:tcPr>
          <w:p w:rsidR="004704B5" w:rsidRPr="005F120D" w:rsidRDefault="004704B5" w:rsidP="00C437AA">
            <w:pPr>
              <w:spacing w:line="276" w:lineRule="auto"/>
              <w:rPr>
                <w:rFonts w:asciiTheme="minorHAnsi" w:hAnsiTheme="minorHAnsi" w:cstheme="minorHAnsi"/>
                <w:sz w:val="20"/>
                <w:szCs w:val="20"/>
              </w:rPr>
            </w:pPr>
          </w:p>
        </w:tc>
      </w:tr>
      <w:tr w:rsidR="004704B5" w:rsidRPr="005F120D" w:rsidTr="00242F19">
        <w:trPr>
          <w:trHeight w:hRule="exact" w:val="288"/>
        </w:trPr>
        <w:tc>
          <w:tcPr>
            <w:tcW w:w="347" w:type="pct"/>
          </w:tcPr>
          <w:p w:rsidR="004704B5" w:rsidRPr="005F120D" w:rsidRDefault="004704B5" w:rsidP="00C437AA">
            <w:pPr>
              <w:spacing w:line="276" w:lineRule="auto"/>
              <w:jc w:val="center"/>
              <w:rPr>
                <w:rFonts w:asciiTheme="minorHAnsi" w:hAnsiTheme="minorHAnsi" w:cstheme="minorHAnsi"/>
                <w:sz w:val="20"/>
                <w:szCs w:val="20"/>
              </w:rPr>
            </w:pPr>
            <w:r w:rsidRPr="005F120D">
              <w:rPr>
                <w:rFonts w:asciiTheme="minorHAnsi" w:hAnsiTheme="minorHAnsi" w:cstheme="minorHAnsi"/>
                <w:sz w:val="20"/>
                <w:szCs w:val="20"/>
              </w:rPr>
              <w:t>2.</w:t>
            </w:r>
          </w:p>
        </w:tc>
        <w:tc>
          <w:tcPr>
            <w:tcW w:w="3554" w:type="pct"/>
          </w:tcPr>
          <w:p w:rsidR="004704B5" w:rsidRPr="005F120D" w:rsidRDefault="004704B5" w:rsidP="00C437AA">
            <w:pPr>
              <w:spacing w:line="276" w:lineRule="auto"/>
              <w:rPr>
                <w:rFonts w:asciiTheme="minorHAnsi" w:hAnsiTheme="minorHAnsi" w:cstheme="minorHAnsi"/>
                <w:sz w:val="20"/>
                <w:szCs w:val="20"/>
              </w:rPr>
            </w:pPr>
            <w:r w:rsidRPr="005F120D">
              <w:rPr>
                <w:rFonts w:asciiTheme="minorHAnsi" w:hAnsiTheme="minorHAnsi" w:cstheme="minorHAnsi"/>
                <w:sz w:val="20"/>
                <w:szCs w:val="20"/>
              </w:rPr>
              <w:t>Teacher Education and Development</w:t>
            </w:r>
          </w:p>
        </w:tc>
        <w:tc>
          <w:tcPr>
            <w:tcW w:w="1099" w:type="pct"/>
          </w:tcPr>
          <w:p w:rsidR="004704B5" w:rsidRPr="005F120D" w:rsidRDefault="004704B5" w:rsidP="00C437AA">
            <w:pPr>
              <w:spacing w:line="276" w:lineRule="auto"/>
              <w:rPr>
                <w:rFonts w:asciiTheme="minorHAnsi" w:hAnsiTheme="minorHAnsi" w:cstheme="minorHAnsi"/>
                <w:sz w:val="20"/>
                <w:szCs w:val="20"/>
              </w:rPr>
            </w:pPr>
          </w:p>
        </w:tc>
      </w:tr>
      <w:tr w:rsidR="004704B5" w:rsidRPr="005F120D" w:rsidTr="00242F19">
        <w:trPr>
          <w:trHeight w:hRule="exact" w:val="288"/>
        </w:trPr>
        <w:tc>
          <w:tcPr>
            <w:tcW w:w="347" w:type="pct"/>
          </w:tcPr>
          <w:p w:rsidR="004704B5" w:rsidRPr="005F120D" w:rsidRDefault="004704B5" w:rsidP="00C437AA">
            <w:pPr>
              <w:spacing w:line="276" w:lineRule="auto"/>
              <w:jc w:val="center"/>
              <w:rPr>
                <w:rFonts w:asciiTheme="minorHAnsi" w:hAnsiTheme="minorHAnsi" w:cstheme="minorHAnsi"/>
                <w:sz w:val="20"/>
                <w:szCs w:val="20"/>
              </w:rPr>
            </w:pPr>
            <w:r w:rsidRPr="005F120D">
              <w:rPr>
                <w:rFonts w:asciiTheme="minorHAnsi" w:hAnsiTheme="minorHAnsi" w:cstheme="minorHAnsi"/>
                <w:sz w:val="20"/>
                <w:szCs w:val="20"/>
              </w:rPr>
              <w:t>3.</w:t>
            </w:r>
          </w:p>
        </w:tc>
        <w:tc>
          <w:tcPr>
            <w:tcW w:w="3554" w:type="pct"/>
          </w:tcPr>
          <w:p w:rsidR="004704B5" w:rsidRPr="005F120D" w:rsidRDefault="004704B5" w:rsidP="00C437AA">
            <w:pPr>
              <w:spacing w:line="276" w:lineRule="auto"/>
              <w:rPr>
                <w:rFonts w:asciiTheme="minorHAnsi" w:hAnsiTheme="minorHAnsi" w:cstheme="minorHAnsi"/>
                <w:sz w:val="20"/>
                <w:szCs w:val="20"/>
              </w:rPr>
            </w:pPr>
            <w:r w:rsidRPr="005F120D">
              <w:rPr>
                <w:rFonts w:asciiTheme="minorHAnsi" w:hAnsiTheme="minorHAnsi" w:cstheme="minorHAnsi"/>
                <w:sz w:val="20"/>
                <w:szCs w:val="20"/>
              </w:rPr>
              <w:t>Pre-primary education</w:t>
            </w:r>
          </w:p>
        </w:tc>
        <w:tc>
          <w:tcPr>
            <w:tcW w:w="1099" w:type="pct"/>
          </w:tcPr>
          <w:p w:rsidR="004704B5" w:rsidRPr="005F120D" w:rsidRDefault="004704B5" w:rsidP="00C437AA">
            <w:pPr>
              <w:spacing w:line="276" w:lineRule="auto"/>
              <w:rPr>
                <w:rFonts w:asciiTheme="minorHAnsi" w:hAnsiTheme="minorHAnsi" w:cstheme="minorHAnsi"/>
                <w:sz w:val="20"/>
                <w:szCs w:val="20"/>
              </w:rPr>
            </w:pPr>
          </w:p>
        </w:tc>
      </w:tr>
      <w:tr w:rsidR="004704B5" w:rsidRPr="005F120D" w:rsidTr="00242F19">
        <w:trPr>
          <w:trHeight w:hRule="exact" w:val="288"/>
        </w:trPr>
        <w:tc>
          <w:tcPr>
            <w:tcW w:w="347" w:type="pct"/>
          </w:tcPr>
          <w:p w:rsidR="004704B5" w:rsidRPr="005F120D" w:rsidRDefault="004704B5" w:rsidP="00C437AA">
            <w:pPr>
              <w:spacing w:line="276" w:lineRule="auto"/>
              <w:jc w:val="center"/>
              <w:rPr>
                <w:rFonts w:asciiTheme="minorHAnsi" w:hAnsiTheme="minorHAnsi" w:cstheme="minorHAnsi"/>
                <w:sz w:val="20"/>
                <w:szCs w:val="20"/>
              </w:rPr>
            </w:pPr>
            <w:r w:rsidRPr="005F120D">
              <w:rPr>
                <w:rFonts w:asciiTheme="minorHAnsi" w:hAnsiTheme="minorHAnsi" w:cstheme="minorHAnsi"/>
                <w:sz w:val="20"/>
                <w:szCs w:val="20"/>
              </w:rPr>
              <w:t>4.</w:t>
            </w:r>
          </w:p>
        </w:tc>
        <w:tc>
          <w:tcPr>
            <w:tcW w:w="3554" w:type="pct"/>
          </w:tcPr>
          <w:p w:rsidR="004704B5" w:rsidRPr="005F120D" w:rsidRDefault="004704B5" w:rsidP="00C437AA">
            <w:pPr>
              <w:spacing w:line="276" w:lineRule="auto"/>
              <w:rPr>
                <w:rFonts w:asciiTheme="minorHAnsi" w:hAnsiTheme="minorHAnsi" w:cstheme="minorHAnsi"/>
                <w:sz w:val="20"/>
                <w:szCs w:val="20"/>
              </w:rPr>
            </w:pPr>
            <w:r w:rsidRPr="005F120D">
              <w:rPr>
                <w:rFonts w:asciiTheme="minorHAnsi" w:eastAsia="Times New Roman" w:hAnsiTheme="minorHAnsi" w:cstheme="minorHAnsi"/>
                <w:bCs/>
                <w:sz w:val="20"/>
                <w:szCs w:val="20"/>
              </w:rPr>
              <w:t>Needs based infrastructure development</w:t>
            </w:r>
          </w:p>
        </w:tc>
        <w:tc>
          <w:tcPr>
            <w:tcW w:w="1099" w:type="pct"/>
          </w:tcPr>
          <w:p w:rsidR="004704B5" w:rsidRPr="005F120D" w:rsidRDefault="004704B5" w:rsidP="00C437AA">
            <w:pPr>
              <w:spacing w:line="276" w:lineRule="auto"/>
              <w:rPr>
                <w:rFonts w:asciiTheme="minorHAnsi" w:hAnsiTheme="minorHAnsi" w:cstheme="minorHAnsi"/>
                <w:sz w:val="20"/>
                <w:szCs w:val="20"/>
              </w:rPr>
            </w:pPr>
          </w:p>
        </w:tc>
      </w:tr>
      <w:tr w:rsidR="004704B5" w:rsidRPr="005F120D" w:rsidTr="00242F19">
        <w:trPr>
          <w:trHeight w:hRule="exact" w:val="288"/>
        </w:trPr>
        <w:tc>
          <w:tcPr>
            <w:tcW w:w="347" w:type="pct"/>
          </w:tcPr>
          <w:p w:rsidR="004704B5" w:rsidRPr="005F120D" w:rsidRDefault="004704B5" w:rsidP="00C437AA">
            <w:pPr>
              <w:spacing w:line="276" w:lineRule="auto"/>
              <w:jc w:val="center"/>
              <w:rPr>
                <w:rFonts w:asciiTheme="minorHAnsi" w:hAnsiTheme="minorHAnsi" w:cstheme="minorHAnsi"/>
                <w:sz w:val="20"/>
                <w:szCs w:val="20"/>
              </w:rPr>
            </w:pPr>
            <w:r w:rsidRPr="005F120D">
              <w:rPr>
                <w:rFonts w:asciiTheme="minorHAnsi" w:hAnsiTheme="minorHAnsi" w:cstheme="minorHAnsi"/>
                <w:sz w:val="20"/>
                <w:szCs w:val="20"/>
              </w:rPr>
              <w:t>5.</w:t>
            </w:r>
          </w:p>
        </w:tc>
        <w:tc>
          <w:tcPr>
            <w:tcW w:w="3554" w:type="pct"/>
          </w:tcPr>
          <w:p w:rsidR="004704B5" w:rsidRPr="005F120D" w:rsidRDefault="004704B5" w:rsidP="00C437AA">
            <w:pPr>
              <w:spacing w:line="276" w:lineRule="auto"/>
              <w:rPr>
                <w:rFonts w:asciiTheme="minorHAnsi" w:hAnsiTheme="minorHAnsi" w:cstheme="minorHAnsi"/>
                <w:sz w:val="20"/>
                <w:szCs w:val="20"/>
              </w:rPr>
            </w:pPr>
            <w:r w:rsidRPr="005F120D">
              <w:rPr>
                <w:rFonts w:asciiTheme="minorHAnsi" w:eastAsia="Times New Roman" w:hAnsiTheme="minorHAnsi" w:cstheme="minorHAnsi"/>
                <w:bCs/>
                <w:sz w:val="20"/>
                <w:szCs w:val="20"/>
              </w:rPr>
              <w:t>Decentralized school management and governance</w:t>
            </w:r>
          </w:p>
        </w:tc>
        <w:tc>
          <w:tcPr>
            <w:tcW w:w="1099" w:type="pct"/>
          </w:tcPr>
          <w:p w:rsidR="004704B5" w:rsidRPr="005F120D" w:rsidRDefault="004704B5" w:rsidP="00C437AA">
            <w:pPr>
              <w:spacing w:line="276" w:lineRule="auto"/>
              <w:rPr>
                <w:rFonts w:asciiTheme="minorHAnsi" w:hAnsiTheme="minorHAnsi" w:cstheme="minorHAnsi"/>
                <w:sz w:val="20"/>
                <w:szCs w:val="20"/>
              </w:rPr>
            </w:pPr>
          </w:p>
        </w:tc>
      </w:tr>
      <w:tr w:rsidR="004704B5" w:rsidRPr="005F120D" w:rsidTr="00242F19">
        <w:trPr>
          <w:trHeight w:hRule="exact" w:val="288"/>
        </w:trPr>
        <w:tc>
          <w:tcPr>
            <w:tcW w:w="347" w:type="pct"/>
          </w:tcPr>
          <w:p w:rsidR="004704B5" w:rsidRPr="005F120D" w:rsidRDefault="004704B5" w:rsidP="00C437AA">
            <w:pPr>
              <w:spacing w:line="276" w:lineRule="auto"/>
              <w:jc w:val="center"/>
              <w:rPr>
                <w:rFonts w:asciiTheme="minorHAnsi" w:hAnsiTheme="minorHAnsi" w:cstheme="minorHAnsi"/>
                <w:sz w:val="20"/>
                <w:szCs w:val="20"/>
              </w:rPr>
            </w:pPr>
            <w:r w:rsidRPr="005F120D">
              <w:rPr>
                <w:rFonts w:asciiTheme="minorHAnsi" w:hAnsiTheme="minorHAnsi" w:cstheme="minorHAnsi"/>
                <w:sz w:val="20"/>
                <w:szCs w:val="20"/>
              </w:rPr>
              <w:t>6.</w:t>
            </w:r>
          </w:p>
        </w:tc>
        <w:tc>
          <w:tcPr>
            <w:tcW w:w="3554" w:type="pct"/>
          </w:tcPr>
          <w:p w:rsidR="004704B5" w:rsidRPr="005F120D" w:rsidRDefault="004704B5" w:rsidP="00C437AA">
            <w:pPr>
              <w:spacing w:line="276" w:lineRule="auto"/>
              <w:rPr>
                <w:rFonts w:asciiTheme="minorHAnsi" w:hAnsiTheme="minorHAnsi" w:cstheme="minorHAnsi"/>
                <w:sz w:val="20"/>
                <w:szCs w:val="20"/>
              </w:rPr>
            </w:pPr>
            <w:r w:rsidRPr="005F120D">
              <w:rPr>
                <w:rFonts w:asciiTheme="minorHAnsi" w:eastAsia="Times New Roman" w:hAnsiTheme="minorHAnsi" w:cstheme="minorHAnsi"/>
                <w:bCs/>
                <w:sz w:val="20"/>
                <w:szCs w:val="20"/>
              </w:rPr>
              <w:t>Grade V Primary Education Completion Examination (PECE)</w:t>
            </w:r>
          </w:p>
        </w:tc>
        <w:tc>
          <w:tcPr>
            <w:tcW w:w="1099" w:type="pct"/>
          </w:tcPr>
          <w:p w:rsidR="004704B5" w:rsidRPr="005F120D" w:rsidRDefault="004704B5" w:rsidP="00C437AA">
            <w:pPr>
              <w:spacing w:line="276" w:lineRule="auto"/>
              <w:rPr>
                <w:rFonts w:asciiTheme="minorHAnsi" w:hAnsiTheme="minorHAnsi" w:cstheme="minorHAnsi"/>
                <w:sz w:val="20"/>
                <w:szCs w:val="20"/>
              </w:rPr>
            </w:pPr>
          </w:p>
        </w:tc>
      </w:tr>
      <w:tr w:rsidR="004704B5" w:rsidRPr="005F120D" w:rsidTr="00242F19">
        <w:trPr>
          <w:trHeight w:hRule="exact" w:val="288"/>
        </w:trPr>
        <w:tc>
          <w:tcPr>
            <w:tcW w:w="347" w:type="pct"/>
          </w:tcPr>
          <w:p w:rsidR="004704B5" w:rsidRPr="005F120D" w:rsidRDefault="004704B5" w:rsidP="00C437AA">
            <w:pPr>
              <w:spacing w:line="276" w:lineRule="auto"/>
              <w:jc w:val="center"/>
              <w:rPr>
                <w:rFonts w:asciiTheme="minorHAnsi" w:hAnsiTheme="minorHAnsi" w:cstheme="minorHAnsi"/>
                <w:sz w:val="20"/>
                <w:szCs w:val="20"/>
              </w:rPr>
            </w:pPr>
            <w:r w:rsidRPr="005F120D">
              <w:rPr>
                <w:rFonts w:asciiTheme="minorHAnsi" w:hAnsiTheme="minorHAnsi" w:cstheme="minorHAnsi"/>
                <w:sz w:val="20"/>
                <w:szCs w:val="20"/>
              </w:rPr>
              <w:t>7.</w:t>
            </w:r>
          </w:p>
        </w:tc>
        <w:tc>
          <w:tcPr>
            <w:tcW w:w="3554" w:type="pct"/>
          </w:tcPr>
          <w:p w:rsidR="004704B5" w:rsidRPr="005F120D" w:rsidRDefault="004704B5" w:rsidP="00C437AA">
            <w:pPr>
              <w:spacing w:line="276" w:lineRule="auto"/>
              <w:rPr>
                <w:rFonts w:asciiTheme="minorHAnsi" w:hAnsiTheme="minorHAnsi" w:cstheme="minorHAnsi"/>
                <w:sz w:val="20"/>
                <w:szCs w:val="20"/>
              </w:rPr>
            </w:pPr>
            <w:r w:rsidRPr="005F120D">
              <w:rPr>
                <w:rFonts w:asciiTheme="minorHAnsi" w:eastAsia="Times New Roman" w:hAnsiTheme="minorHAnsi" w:cstheme="minorHAnsi"/>
                <w:bCs/>
                <w:sz w:val="20"/>
                <w:szCs w:val="20"/>
              </w:rPr>
              <w:t>Teacher recruitment, promotion and deployment</w:t>
            </w:r>
          </w:p>
        </w:tc>
        <w:tc>
          <w:tcPr>
            <w:tcW w:w="1099" w:type="pct"/>
          </w:tcPr>
          <w:p w:rsidR="004704B5" w:rsidRPr="005F120D" w:rsidRDefault="004704B5" w:rsidP="00C437AA">
            <w:pPr>
              <w:spacing w:line="276" w:lineRule="auto"/>
              <w:rPr>
                <w:rFonts w:asciiTheme="minorHAnsi" w:hAnsiTheme="minorHAnsi" w:cstheme="minorHAnsi"/>
                <w:sz w:val="20"/>
                <w:szCs w:val="20"/>
              </w:rPr>
            </w:pPr>
          </w:p>
        </w:tc>
      </w:tr>
      <w:tr w:rsidR="004704B5" w:rsidRPr="005F120D" w:rsidTr="00242F19">
        <w:trPr>
          <w:trHeight w:hRule="exact" w:val="288"/>
        </w:trPr>
        <w:tc>
          <w:tcPr>
            <w:tcW w:w="347" w:type="pct"/>
          </w:tcPr>
          <w:p w:rsidR="004704B5" w:rsidRPr="005F120D" w:rsidRDefault="004704B5" w:rsidP="00C437AA">
            <w:pPr>
              <w:spacing w:line="276" w:lineRule="auto"/>
              <w:jc w:val="center"/>
              <w:rPr>
                <w:rFonts w:asciiTheme="minorHAnsi" w:hAnsiTheme="minorHAnsi" w:cstheme="minorHAnsi"/>
                <w:sz w:val="20"/>
                <w:szCs w:val="20"/>
              </w:rPr>
            </w:pPr>
            <w:r w:rsidRPr="005F120D">
              <w:rPr>
                <w:rFonts w:asciiTheme="minorHAnsi" w:hAnsiTheme="minorHAnsi" w:cstheme="minorHAnsi"/>
                <w:sz w:val="20"/>
                <w:szCs w:val="20"/>
              </w:rPr>
              <w:t>8.</w:t>
            </w:r>
          </w:p>
        </w:tc>
        <w:tc>
          <w:tcPr>
            <w:tcW w:w="3554" w:type="pct"/>
          </w:tcPr>
          <w:p w:rsidR="004704B5" w:rsidRPr="005F120D" w:rsidRDefault="004704B5" w:rsidP="00C437AA">
            <w:pPr>
              <w:spacing w:line="276" w:lineRule="auto"/>
              <w:rPr>
                <w:rFonts w:asciiTheme="minorHAnsi" w:hAnsiTheme="minorHAnsi" w:cstheme="minorHAnsi"/>
                <w:sz w:val="20"/>
                <w:szCs w:val="20"/>
              </w:rPr>
            </w:pPr>
            <w:r w:rsidRPr="005F120D">
              <w:rPr>
                <w:rFonts w:asciiTheme="minorHAnsi" w:eastAsia="Times New Roman" w:hAnsiTheme="minorHAnsi" w:cstheme="minorHAnsi"/>
                <w:bCs/>
                <w:sz w:val="20"/>
                <w:szCs w:val="20"/>
              </w:rPr>
              <w:t>Annual Primary School Census (APSC)</w:t>
            </w:r>
          </w:p>
        </w:tc>
        <w:tc>
          <w:tcPr>
            <w:tcW w:w="1099" w:type="pct"/>
          </w:tcPr>
          <w:p w:rsidR="004704B5" w:rsidRPr="005F120D" w:rsidRDefault="004704B5" w:rsidP="00C437AA">
            <w:pPr>
              <w:spacing w:line="276" w:lineRule="auto"/>
              <w:rPr>
                <w:rFonts w:asciiTheme="minorHAnsi" w:hAnsiTheme="minorHAnsi" w:cstheme="minorHAnsi"/>
                <w:sz w:val="20"/>
                <w:szCs w:val="20"/>
              </w:rPr>
            </w:pPr>
          </w:p>
        </w:tc>
      </w:tr>
      <w:tr w:rsidR="004704B5" w:rsidRPr="005F120D" w:rsidTr="00242F19">
        <w:trPr>
          <w:trHeight w:hRule="exact" w:val="288"/>
        </w:trPr>
        <w:tc>
          <w:tcPr>
            <w:tcW w:w="347" w:type="pct"/>
          </w:tcPr>
          <w:p w:rsidR="004704B5" w:rsidRPr="005F120D" w:rsidRDefault="004704B5" w:rsidP="00C437AA">
            <w:pPr>
              <w:spacing w:line="276" w:lineRule="auto"/>
              <w:jc w:val="center"/>
              <w:rPr>
                <w:rFonts w:asciiTheme="minorHAnsi" w:hAnsiTheme="minorHAnsi" w:cstheme="minorHAnsi"/>
                <w:sz w:val="20"/>
                <w:szCs w:val="20"/>
              </w:rPr>
            </w:pPr>
            <w:r w:rsidRPr="005F120D">
              <w:rPr>
                <w:rFonts w:asciiTheme="minorHAnsi" w:hAnsiTheme="minorHAnsi" w:cstheme="minorHAnsi"/>
                <w:sz w:val="20"/>
                <w:szCs w:val="20"/>
              </w:rPr>
              <w:t>9.</w:t>
            </w:r>
          </w:p>
        </w:tc>
        <w:tc>
          <w:tcPr>
            <w:tcW w:w="3554" w:type="pct"/>
          </w:tcPr>
          <w:p w:rsidR="004704B5" w:rsidRPr="005F120D" w:rsidRDefault="004704B5" w:rsidP="00C437AA">
            <w:pPr>
              <w:spacing w:line="276" w:lineRule="auto"/>
              <w:rPr>
                <w:rFonts w:asciiTheme="minorHAnsi" w:hAnsiTheme="minorHAnsi" w:cstheme="minorHAnsi"/>
                <w:sz w:val="20"/>
                <w:szCs w:val="20"/>
              </w:rPr>
            </w:pPr>
            <w:r w:rsidRPr="005F120D">
              <w:rPr>
                <w:rFonts w:asciiTheme="minorHAnsi" w:hAnsiTheme="minorHAnsi" w:cstheme="minorHAnsi"/>
                <w:sz w:val="20"/>
                <w:szCs w:val="20"/>
              </w:rPr>
              <w:t>Sector Finance</w:t>
            </w:r>
          </w:p>
        </w:tc>
        <w:tc>
          <w:tcPr>
            <w:tcW w:w="1099" w:type="pct"/>
          </w:tcPr>
          <w:p w:rsidR="004704B5" w:rsidRPr="005F120D" w:rsidRDefault="004704B5" w:rsidP="00C437AA">
            <w:pPr>
              <w:spacing w:line="276" w:lineRule="auto"/>
              <w:rPr>
                <w:rFonts w:asciiTheme="minorHAnsi" w:hAnsiTheme="minorHAnsi" w:cstheme="minorHAnsi"/>
                <w:sz w:val="20"/>
                <w:szCs w:val="20"/>
              </w:rPr>
            </w:pPr>
          </w:p>
        </w:tc>
      </w:tr>
    </w:tbl>
    <w:p w:rsidR="00FC1A03" w:rsidRPr="005F120D" w:rsidRDefault="00FC1A03" w:rsidP="00C437AA">
      <w:pPr>
        <w:spacing w:line="276" w:lineRule="auto"/>
        <w:rPr>
          <w:rFonts w:asciiTheme="minorHAnsi" w:hAnsiTheme="minorHAnsi" w:cstheme="minorHAnsi"/>
          <w:b/>
          <w:sz w:val="12"/>
          <w:szCs w:val="24"/>
        </w:rPr>
      </w:pPr>
    </w:p>
    <w:p w:rsidR="00B049BC" w:rsidRPr="005F120D" w:rsidRDefault="00B049BC" w:rsidP="00C437AA">
      <w:pPr>
        <w:spacing w:line="276" w:lineRule="auto"/>
        <w:rPr>
          <w:rFonts w:asciiTheme="minorHAnsi" w:hAnsiTheme="minorHAnsi" w:cstheme="minorHAnsi"/>
          <w:b/>
          <w:sz w:val="24"/>
          <w:szCs w:val="24"/>
        </w:rPr>
      </w:pPr>
    </w:p>
    <w:p w:rsidR="00B049BC" w:rsidRPr="005F120D" w:rsidRDefault="00B049BC" w:rsidP="00C437AA">
      <w:pPr>
        <w:spacing w:line="276" w:lineRule="auto"/>
        <w:rPr>
          <w:rFonts w:asciiTheme="minorHAnsi" w:hAnsiTheme="minorHAnsi" w:cstheme="minorHAnsi"/>
          <w:b/>
          <w:color w:val="FF0000"/>
          <w:sz w:val="24"/>
          <w:szCs w:val="24"/>
        </w:rPr>
      </w:pPr>
    </w:p>
    <w:p w:rsidR="00B049BC" w:rsidRPr="005F120D" w:rsidRDefault="00B049BC" w:rsidP="00C437AA">
      <w:pPr>
        <w:spacing w:line="276" w:lineRule="auto"/>
        <w:rPr>
          <w:rFonts w:asciiTheme="minorHAnsi" w:hAnsiTheme="minorHAnsi" w:cstheme="minorHAnsi"/>
          <w:b/>
          <w:color w:val="FF0000"/>
          <w:sz w:val="24"/>
          <w:szCs w:val="24"/>
        </w:rPr>
      </w:pPr>
    </w:p>
    <w:p w:rsidR="00D34CF4" w:rsidRPr="005F120D" w:rsidRDefault="00D34CF4" w:rsidP="00C437AA">
      <w:pPr>
        <w:spacing w:line="276" w:lineRule="auto"/>
        <w:rPr>
          <w:rFonts w:asciiTheme="minorHAnsi" w:hAnsiTheme="minorHAnsi" w:cstheme="minorHAnsi"/>
          <w:b/>
          <w:color w:val="FF0000"/>
          <w:sz w:val="24"/>
          <w:szCs w:val="24"/>
        </w:rPr>
      </w:pPr>
    </w:p>
    <w:p w:rsidR="00D34CF4" w:rsidRPr="005F120D" w:rsidRDefault="00D34CF4" w:rsidP="00C437AA">
      <w:pPr>
        <w:spacing w:line="276" w:lineRule="auto"/>
        <w:rPr>
          <w:rFonts w:asciiTheme="minorHAnsi" w:hAnsiTheme="minorHAnsi" w:cstheme="minorHAnsi"/>
          <w:b/>
          <w:color w:val="FF0000"/>
          <w:sz w:val="24"/>
          <w:szCs w:val="24"/>
        </w:rPr>
      </w:pPr>
    </w:p>
    <w:p w:rsidR="004704B5" w:rsidRPr="005F120D" w:rsidRDefault="00EA7313" w:rsidP="00C437AA">
      <w:pPr>
        <w:spacing w:line="276" w:lineRule="auto"/>
        <w:rPr>
          <w:rFonts w:asciiTheme="minorHAnsi" w:hAnsiTheme="minorHAnsi" w:cstheme="minorHAnsi"/>
          <w:b/>
          <w:sz w:val="24"/>
          <w:szCs w:val="24"/>
        </w:rPr>
      </w:pPr>
      <w:r>
        <w:rPr>
          <w:rFonts w:asciiTheme="minorHAnsi" w:hAnsiTheme="minorHAnsi" w:cstheme="minorHAnsi"/>
          <w:b/>
          <w:sz w:val="24"/>
          <w:szCs w:val="24"/>
        </w:rPr>
        <w:lastRenderedPageBreak/>
        <w:t>L</w:t>
      </w:r>
      <w:r w:rsidR="00D011E9" w:rsidRPr="005F120D">
        <w:rPr>
          <w:rFonts w:asciiTheme="minorHAnsi" w:hAnsiTheme="minorHAnsi" w:cstheme="minorHAnsi"/>
          <w:b/>
          <w:sz w:val="24"/>
          <w:szCs w:val="24"/>
        </w:rPr>
        <w:t>-</w:t>
      </w:r>
      <w:r w:rsidR="004704B5" w:rsidRPr="005F120D">
        <w:rPr>
          <w:rFonts w:asciiTheme="minorHAnsi" w:hAnsiTheme="minorHAnsi" w:cstheme="minorHAnsi"/>
          <w:b/>
          <w:sz w:val="24"/>
          <w:szCs w:val="24"/>
        </w:rPr>
        <w:t>5. List of sub-component indicators</w:t>
      </w:r>
      <w:r w:rsidR="00B049BC" w:rsidRPr="005F120D">
        <w:rPr>
          <w:rFonts w:asciiTheme="minorHAnsi" w:hAnsiTheme="minorHAnsi" w:cstheme="minorHAnsi"/>
          <w:b/>
          <w:sz w:val="24"/>
          <w:szCs w:val="24"/>
        </w:rPr>
        <w:t xml:space="preserve"> (67)</w:t>
      </w:r>
    </w:p>
    <w:tbl>
      <w:tblPr>
        <w:tblStyle w:val="TableGrid"/>
        <w:tblW w:w="5000" w:type="pct"/>
        <w:tblBorders>
          <w:top w:val="double" w:sz="4" w:space="0" w:color="C4BC96" w:themeColor="background2" w:themeShade="BF"/>
          <w:left w:val="double" w:sz="4" w:space="0" w:color="C4BC96" w:themeColor="background2" w:themeShade="BF"/>
          <w:bottom w:val="double" w:sz="4" w:space="0" w:color="C4BC96" w:themeColor="background2" w:themeShade="BF"/>
          <w:right w:val="double" w:sz="4" w:space="0" w:color="C4BC96" w:themeColor="background2" w:themeShade="BF"/>
          <w:insideH w:val="single" w:sz="6" w:space="0" w:color="C4BC96" w:themeColor="background2" w:themeShade="BF"/>
          <w:insideV w:val="single" w:sz="6" w:space="0" w:color="C4BC96" w:themeColor="background2" w:themeShade="BF"/>
        </w:tblBorders>
        <w:tblLook w:val="04A0"/>
      </w:tblPr>
      <w:tblGrid>
        <w:gridCol w:w="885"/>
        <w:gridCol w:w="871"/>
        <w:gridCol w:w="5814"/>
        <w:gridCol w:w="1675"/>
      </w:tblGrid>
      <w:tr w:rsidR="004704B5" w:rsidRPr="005F120D" w:rsidTr="00242F19">
        <w:trPr>
          <w:tblHeader/>
        </w:trPr>
        <w:tc>
          <w:tcPr>
            <w:tcW w:w="429" w:type="pct"/>
            <w:shd w:val="clear" w:color="auto" w:fill="DDD9C3" w:themeFill="background2" w:themeFillShade="E6"/>
          </w:tcPr>
          <w:p w:rsidR="004704B5" w:rsidRPr="005F120D" w:rsidRDefault="004704B5" w:rsidP="00B25E46">
            <w:pPr>
              <w:jc w:val="center"/>
              <w:rPr>
                <w:rFonts w:asciiTheme="minorHAnsi" w:hAnsiTheme="minorHAnsi" w:cstheme="minorHAnsi"/>
                <w:b/>
                <w:sz w:val="20"/>
                <w:szCs w:val="20"/>
              </w:rPr>
            </w:pPr>
          </w:p>
        </w:tc>
        <w:tc>
          <w:tcPr>
            <w:tcW w:w="488" w:type="pct"/>
            <w:shd w:val="clear" w:color="auto" w:fill="DDD9C3" w:themeFill="background2" w:themeFillShade="E6"/>
          </w:tcPr>
          <w:p w:rsidR="004704B5" w:rsidRPr="005F120D" w:rsidRDefault="004704B5" w:rsidP="00B25E46">
            <w:pPr>
              <w:jc w:val="center"/>
              <w:rPr>
                <w:rFonts w:asciiTheme="minorHAnsi" w:hAnsiTheme="minorHAnsi" w:cstheme="minorHAnsi"/>
                <w:b/>
                <w:sz w:val="20"/>
                <w:szCs w:val="20"/>
              </w:rPr>
            </w:pPr>
            <w:r w:rsidRPr="005F120D">
              <w:rPr>
                <w:rFonts w:asciiTheme="minorHAnsi" w:hAnsiTheme="minorHAnsi" w:cstheme="minorHAnsi"/>
                <w:b/>
                <w:sz w:val="20"/>
                <w:szCs w:val="20"/>
              </w:rPr>
              <w:t>Sub.SL.</w:t>
            </w:r>
          </w:p>
        </w:tc>
        <w:tc>
          <w:tcPr>
            <w:tcW w:w="3161" w:type="pct"/>
            <w:shd w:val="clear" w:color="auto" w:fill="DDD9C3" w:themeFill="background2" w:themeFillShade="E6"/>
          </w:tcPr>
          <w:p w:rsidR="004704B5" w:rsidRPr="005F120D" w:rsidRDefault="004704B5" w:rsidP="00B25E46">
            <w:pPr>
              <w:jc w:val="center"/>
              <w:rPr>
                <w:rFonts w:asciiTheme="minorHAnsi" w:hAnsiTheme="minorHAnsi" w:cstheme="minorHAnsi"/>
                <w:b/>
                <w:sz w:val="20"/>
                <w:szCs w:val="20"/>
              </w:rPr>
            </w:pPr>
            <w:r w:rsidRPr="005F120D">
              <w:rPr>
                <w:rFonts w:asciiTheme="minorHAnsi" w:hAnsiTheme="minorHAnsi" w:cstheme="minorHAnsi"/>
                <w:b/>
                <w:sz w:val="20"/>
                <w:szCs w:val="20"/>
              </w:rPr>
              <w:t>Sub-component Indicators</w:t>
            </w:r>
          </w:p>
        </w:tc>
        <w:tc>
          <w:tcPr>
            <w:tcW w:w="922" w:type="pct"/>
            <w:shd w:val="clear" w:color="auto" w:fill="DDD9C3" w:themeFill="background2" w:themeFillShade="E6"/>
          </w:tcPr>
          <w:p w:rsidR="004704B5" w:rsidRPr="005F120D" w:rsidRDefault="004704B5" w:rsidP="00B25E46">
            <w:pPr>
              <w:jc w:val="center"/>
              <w:rPr>
                <w:rFonts w:asciiTheme="minorHAnsi" w:hAnsiTheme="minorHAnsi" w:cstheme="minorHAnsi"/>
                <w:b/>
                <w:sz w:val="20"/>
                <w:szCs w:val="20"/>
              </w:rPr>
            </w:pPr>
            <w:r w:rsidRPr="005F120D">
              <w:rPr>
                <w:rFonts w:asciiTheme="minorHAnsi" w:hAnsiTheme="minorHAnsi" w:cstheme="minorHAnsi"/>
                <w:b/>
                <w:sz w:val="20"/>
                <w:szCs w:val="20"/>
              </w:rPr>
              <w:t>Remarks</w:t>
            </w:r>
          </w:p>
        </w:tc>
      </w:tr>
      <w:tr w:rsidR="004704B5" w:rsidRPr="005F120D" w:rsidTr="00242F19">
        <w:trPr>
          <w:trHeight w:val="584"/>
        </w:trPr>
        <w:tc>
          <w:tcPr>
            <w:tcW w:w="429" w:type="pct"/>
            <w:shd w:val="clear" w:color="auto" w:fill="E5DFEC" w:themeFill="accent4" w:themeFillTint="33"/>
          </w:tcPr>
          <w:p w:rsidR="004704B5" w:rsidRPr="005F120D" w:rsidRDefault="004704B5" w:rsidP="00B25E46">
            <w:pPr>
              <w:jc w:val="center"/>
              <w:rPr>
                <w:rFonts w:asciiTheme="minorHAnsi" w:hAnsiTheme="minorHAnsi" w:cstheme="minorHAnsi"/>
                <w:sz w:val="20"/>
                <w:szCs w:val="20"/>
              </w:rPr>
            </w:pPr>
            <w:r w:rsidRPr="005F120D">
              <w:rPr>
                <w:rFonts w:asciiTheme="minorHAnsi" w:hAnsiTheme="minorHAnsi" w:cstheme="minorHAnsi"/>
                <w:sz w:val="20"/>
                <w:szCs w:val="20"/>
              </w:rPr>
              <w:t>Running SL.</w:t>
            </w:r>
          </w:p>
        </w:tc>
        <w:tc>
          <w:tcPr>
            <w:tcW w:w="488" w:type="pct"/>
            <w:shd w:val="clear" w:color="auto" w:fill="E5DFEC" w:themeFill="accent4" w:themeFillTint="33"/>
          </w:tcPr>
          <w:p w:rsidR="004704B5" w:rsidRPr="005F120D" w:rsidRDefault="004704B5" w:rsidP="00B25E46">
            <w:pPr>
              <w:jc w:val="center"/>
              <w:rPr>
                <w:rFonts w:asciiTheme="minorHAnsi" w:hAnsiTheme="minorHAnsi" w:cstheme="minorHAnsi"/>
                <w:b/>
                <w:sz w:val="20"/>
                <w:szCs w:val="20"/>
              </w:rPr>
            </w:pPr>
          </w:p>
        </w:tc>
        <w:tc>
          <w:tcPr>
            <w:tcW w:w="3161" w:type="pct"/>
            <w:shd w:val="clear" w:color="auto" w:fill="E5DFEC" w:themeFill="accent4" w:themeFillTint="33"/>
          </w:tcPr>
          <w:p w:rsidR="004704B5" w:rsidRPr="005F120D" w:rsidRDefault="004704B5" w:rsidP="00B25E46">
            <w:pPr>
              <w:rPr>
                <w:rFonts w:asciiTheme="minorHAnsi" w:eastAsia="Times New Roman" w:hAnsiTheme="minorHAnsi" w:cstheme="minorHAnsi"/>
                <w:b/>
                <w:bCs/>
                <w:sz w:val="20"/>
                <w:szCs w:val="20"/>
              </w:rPr>
            </w:pPr>
            <w:r w:rsidRPr="005F120D">
              <w:rPr>
                <w:rFonts w:asciiTheme="minorHAnsi" w:eastAsia="Times New Roman" w:hAnsiTheme="minorHAnsi" w:cstheme="minorHAnsi"/>
                <w:b/>
                <w:bCs/>
                <w:sz w:val="20"/>
                <w:szCs w:val="20"/>
              </w:rPr>
              <w:t>Component 1: Teaching and Learning</w:t>
            </w:r>
          </w:p>
        </w:tc>
        <w:tc>
          <w:tcPr>
            <w:tcW w:w="922" w:type="pct"/>
            <w:shd w:val="clear" w:color="auto" w:fill="E5DFEC" w:themeFill="accent4" w:themeFillTint="33"/>
          </w:tcPr>
          <w:p w:rsidR="004704B5" w:rsidRPr="005F120D" w:rsidRDefault="004704B5" w:rsidP="00B25E46">
            <w:pPr>
              <w:spacing w:after="0"/>
              <w:rPr>
                <w:rFonts w:asciiTheme="minorHAnsi" w:hAnsiTheme="minorHAnsi" w:cstheme="minorHAnsi"/>
                <w:sz w:val="16"/>
                <w:szCs w:val="16"/>
              </w:rPr>
            </w:pPr>
            <w:r w:rsidRPr="005F120D">
              <w:rPr>
                <w:rFonts w:asciiTheme="minorHAnsi" w:hAnsiTheme="minorHAnsi" w:cstheme="minorHAnsi"/>
                <w:sz w:val="16"/>
                <w:szCs w:val="16"/>
              </w:rPr>
              <w:t>In Component 1, KPIs 3, Non-KPI 1, PSQLs 4 and SCIs-22, DLIs2</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1.1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b/>
                <w:bCs/>
                <w:sz w:val="20"/>
                <w:szCs w:val="20"/>
              </w:rPr>
              <w:t>Shikhbe Protiti Shishu [Each Child Learns]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1.1.1</w:t>
            </w:r>
          </w:p>
        </w:tc>
        <w:tc>
          <w:tcPr>
            <w:tcW w:w="3161" w:type="pct"/>
          </w:tcPr>
          <w:p w:rsidR="004704B5" w:rsidRPr="005F120D" w:rsidRDefault="004704B5" w:rsidP="00B25E46">
            <w:pPr>
              <w:spacing w:after="0"/>
              <w:rPr>
                <w:rFonts w:asciiTheme="minorHAnsi" w:hAnsiTheme="minorHAnsi" w:cstheme="minorHAnsi"/>
                <w:sz w:val="20"/>
                <w:szCs w:val="20"/>
              </w:rPr>
            </w:pPr>
            <w:r w:rsidRPr="005F120D">
              <w:rPr>
                <w:rFonts w:asciiTheme="minorHAnsi" w:eastAsia="Times New Roman" w:hAnsiTheme="minorHAnsi" w:cstheme="minorHAnsi"/>
                <w:sz w:val="20"/>
                <w:szCs w:val="20"/>
              </w:rPr>
              <w:t>Number of schools participate in Each Child Learns (ECL)</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1.1.2</w:t>
            </w:r>
          </w:p>
        </w:tc>
        <w:tc>
          <w:tcPr>
            <w:tcW w:w="3161" w:type="pct"/>
          </w:tcPr>
          <w:p w:rsidR="004704B5" w:rsidRPr="005F120D" w:rsidRDefault="00EE3EF6" w:rsidP="00B25E46">
            <w:pPr>
              <w:spacing w:after="0"/>
              <w:rPr>
                <w:rFonts w:asciiTheme="minorHAnsi" w:hAnsiTheme="minorHAnsi" w:cstheme="minorHAnsi"/>
                <w:sz w:val="20"/>
                <w:szCs w:val="20"/>
              </w:rPr>
            </w:pPr>
            <w:r w:rsidRPr="005F120D">
              <w:rPr>
                <w:rFonts w:asciiTheme="minorHAnsi" w:eastAsia="Times New Roman" w:hAnsiTheme="minorHAnsi" w:cstheme="minorHAnsi"/>
                <w:sz w:val="20"/>
                <w:szCs w:val="20"/>
              </w:rPr>
              <w:t>Percentage of Grade 3 ECL students achieving G</w:t>
            </w:r>
            <w:r w:rsidR="004704B5" w:rsidRPr="005F120D">
              <w:rPr>
                <w:rFonts w:asciiTheme="minorHAnsi" w:eastAsia="Times New Roman" w:hAnsiTheme="minorHAnsi" w:cstheme="minorHAnsi"/>
                <w:sz w:val="20"/>
                <w:szCs w:val="20"/>
              </w:rPr>
              <w:t>rade 3 competency in Bangla</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1.1.3</w:t>
            </w:r>
          </w:p>
        </w:tc>
        <w:tc>
          <w:tcPr>
            <w:tcW w:w="3161" w:type="pct"/>
          </w:tcPr>
          <w:p w:rsidR="004704B5" w:rsidRPr="005F120D" w:rsidRDefault="00EE3EF6"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Grade 3 ECL students achieving G</w:t>
            </w:r>
            <w:r w:rsidR="004704B5" w:rsidRPr="005F120D">
              <w:rPr>
                <w:rFonts w:asciiTheme="minorHAnsi" w:eastAsia="Times New Roman" w:hAnsiTheme="minorHAnsi" w:cstheme="minorHAnsi"/>
                <w:sz w:val="20"/>
                <w:szCs w:val="20"/>
              </w:rPr>
              <w:t>rade 3 competency in Math</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1.1.4</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education personnel trained in ECL, including mentoring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1.1.5</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schools provided with graded supplementary reading materials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1.2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b/>
                <w:bCs/>
                <w:sz w:val="20"/>
                <w:szCs w:val="20"/>
              </w:rPr>
              <w:t>School and Classroom Based Assessment</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6</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1.2.1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schools pilot school-based assessment training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7</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1.2.2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head teachers &amp; teachers received school-based assessment training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8</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1.2.3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education officials/AUEO received school-based assessment training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1.3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b/>
                <w:bCs/>
                <w:sz w:val="20"/>
                <w:szCs w:val="20"/>
              </w:rPr>
              <w:t>Curriculum and Textbooks Strengthened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9</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1.3.1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subjects by grades where curriculum revision has been approved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10</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1.3.2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subjects by grades where new textbooks have been developed based on revised curriculum</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11</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1.3.3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subjects by grades where new teacher guides/addition  have been introduced based on revised curriculum</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12</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1.3.4</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teachers and officials participate in curriculum dissemination training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1.4</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Textbook Production and Distribution</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DLI 1, PSQL 1</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13</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1.4.1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schools which received full set of (revised) teacher guides for all teachers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1.5</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b/>
                <w:bCs/>
                <w:sz w:val="20"/>
                <w:szCs w:val="20"/>
              </w:rPr>
              <w:t>ICT in Education</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14</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1.5.1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GPS/NNGPS which have received IT equipment</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15</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1.5.2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GPS/NNGPS with a least one functional computer</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16</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1.5.3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all education personnel received ICT training by designation (e.g., teachers/head teachers, admin/supervisory staff etc.)</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17</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1.5.4</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Annual AOP allocation and actual expenditures for implementation of ICT strategy</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1.6</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Teacher Education and Development</w:t>
            </w:r>
          </w:p>
        </w:tc>
        <w:tc>
          <w:tcPr>
            <w:tcW w:w="922" w:type="pct"/>
          </w:tcPr>
          <w:p w:rsidR="004704B5" w:rsidRPr="005F120D" w:rsidRDefault="004704B5" w:rsidP="00B25E46">
            <w:pPr>
              <w:spacing w:after="0"/>
              <w:rPr>
                <w:rFonts w:asciiTheme="minorHAnsi" w:hAnsiTheme="minorHAnsi" w:cstheme="minorHAnsi"/>
                <w:sz w:val="16"/>
                <w:szCs w:val="16"/>
              </w:rPr>
            </w:pPr>
            <w:r w:rsidRPr="005F120D">
              <w:rPr>
                <w:rFonts w:asciiTheme="minorHAnsi" w:hAnsiTheme="minorHAnsi" w:cstheme="minorHAnsi"/>
                <w:sz w:val="16"/>
                <w:szCs w:val="16"/>
              </w:rPr>
              <w:t>DLI 2, PSQLs 2, 3 &amp; 4</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18</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1.6.1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&amp; Percentage of new teachers each year receiving  DPEd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19</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1.6.2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new teachers received induction training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20</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1.6.3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teachers participate in the training on Teacher Support and Networking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21</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1.6.4</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PTIs deployed 16 instructors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22</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1.6.5</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PTIs deployed 12 instructors or less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shd w:val="clear" w:color="auto" w:fill="E5DFEC" w:themeFill="accent4" w:themeFillTint="33"/>
          </w:tcPr>
          <w:p w:rsidR="004704B5" w:rsidRPr="005F120D" w:rsidRDefault="004704B5" w:rsidP="00B25E46">
            <w:pPr>
              <w:spacing w:after="0"/>
              <w:jc w:val="center"/>
              <w:rPr>
                <w:rFonts w:asciiTheme="minorHAnsi" w:hAnsiTheme="minorHAnsi" w:cstheme="minorHAnsi"/>
                <w:b/>
                <w:sz w:val="20"/>
                <w:szCs w:val="20"/>
              </w:rPr>
            </w:pPr>
          </w:p>
        </w:tc>
        <w:tc>
          <w:tcPr>
            <w:tcW w:w="488" w:type="pct"/>
            <w:shd w:val="clear" w:color="auto" w:fill="E5DFEC" w:themeFill="accent4" w:themeFillTint="33"/>
          </w:tcPr>
          <w:p w:rsidR="004704B5" w:rsidRPr="005F120D" w:rsidRDefault="004704B5" w:rsidP="00B25E46">
            <w:pPr>
              <w:spacing w:after="0"/>
              <w:jc w:val="center"/>
              <w:rPr>
                <w:rFonts w:asciiTheme="minorHAnsi" w:hAnsiTheme="minorHAnsi" w:cstheme="minorHAnsi"/>
                <w:b/>
                <w:sz w:val="20"/>
                <w:szCs w:val="20"/>
              </w:rPr>
            </w:pPr>
          </w:p>
        </w:tc>
        <w:tc>
          <w:tcPr>
            <w:tcW w:w="3161" w:type="pct"/>
            <w:shd w:val="clear" w:color="auto" w:fill="E5DFEC" w:themeFill="accent4" w:themeFillTint="33"/>
          </w:tcPr>
          <w:p w:rsidR="004704B5" w:rsidRPr="005F120D" w:rsidRDefault="004704B5" w:rsidP="00B25E46">
            <w:pPr>
              <w:spacing w:after="0"/>
              <w:rPr>
                <w:rFonts w:asciiTheme="minorHAnsi" w:eastAsia="Times New Roman" w:hAnsiTheme="minorHAnsi" w:cstheme="minorHAnsi"/>
                <w:b/>
                <w:bCs/>
                <w:sz w:val="20"/>
                <w:szCs w:val="20"/>
              </w:rPr>
            </w:pPr>
            <w:r w:rsidRPr="005F120D">
              <w:rPr>
                <w:rFonts w:asciiTheme="minorHAnsi" w:eastAsia="Times New Roman" w:hAnsiTheme="minorHAnsi" w:cstheme="minorHAnsi"/>
                <w:b/>
                <w:bCs/>
                <w:sz w:val="20"/>
                <w:szCs w:val="20"/>
              </w:rPr>
              <w:t>Component 2: Participation and Disparities</w:t>
            </w:r>
          </w:p>
        </w:tc>
        <w:tc>
          <w:tcPr>
            <w:tcW w:w="922" w:type="pct"/>
            <w:shd w:val="clear" w:color="auto" w:fill="E5DFEC" w:themeFill="accent4" w:themeFillTint="33"/>
          </w:tcPr>
          <w:p w:rsidR="004704B5" w:rsidRPr="005F120D" w:rsidRDefault="004704B5" w:rsidP="00B25E46">
            <w:pPr>
              <w:spacing w:after="0"/>
              <w:rPr>
                <w:rFonts w:asciiTheme="minorHAnsi" w:hAnsiTheme="minorHAnsi" w:cstheme="minorHAnsi"/>
                <w:sz w:val="16"/>
                <w:szCs w:val="16"/>
              </w:rPr>
            </w:pPr>
            <w:r w:rsidRPr="005F120D">
              <w:rPr>
                <w:rFonts w:asciiTheme="minorHAnsi" w:hAnsiTheme="minorHAnsi" w:cstheme="minorHAnsi"/>
                <w:sz w:val="16"/>
                <w:szCs w:val="16"/>
              </w:rPr>
              <w:t>In Component 2, KPIs 6, Non-KPI 6, PSQLs 7 and SCIs 14</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2.1.1.</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Second chance and alternative education</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23</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2.1.1.1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children access second chance education services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2.1.2</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Pre-primary education</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DLI 3, PSQL5</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24</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2.1.2.1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children enrolled in formal GPS /NNGPS PPE programs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25</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2.1.2.2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GPS providing PPE are assessed against minimum quality standards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2.1.3</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Mainstreaming inclusive education</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PSQL6</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26</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2.1.3.1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children enrolled from tribal/indigenous communities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2.1.4</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Education in emergencies (EIE)</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2.1.4.1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schools from flood/cyclone prone areas whose stakeholders received awareness raising materials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2.1.4.2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upazilas integrate EIE in UPEP planning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2.1.4.3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children in disaster struck areas accommodated in temporary schools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2.1.5</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Communications and social mobilization</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2.1.5.1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Public perception of primary education service quality</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27</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2.1.5.2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physical implementation of the annual communication plan</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2.2.1</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Targeted stipend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28</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2.2.1.1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Card holder</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29</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2.2.1.2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beneficiaries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30</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2.2.1.3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beneficiaries in the reporting quarter/previous quarter</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2.2.2</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School Health &amp; School Feeding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31</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2.2.2.1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schools participate in school feeding program</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2.2.2.2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No. of teachers receive training on school health program</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33</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2.2.2.3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schools where health check-ups are conducted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2.2.3</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Needs based school environment</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PSQLs, 7, 8 &amp; 9</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34</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2.2.3.1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schools with wash blocks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35</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2.2.3.2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schools which have a tubewell  with arsenic-free water</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2.2.4</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Needs based infrastructure development</w:t>
            </w:r>
          </w:p>
        </w:tc>
        <w:tc>
          <w:tcPr>
            <w:tcW w:w="922" w:type="pct"/>
          </w:tcPr>
          <w:p w:rsidR="004704B5" w:rsidRPr="005F120D" w:rsidRDefault="004704B5" w:rsidP="00B25E46">
            <w:pPr>
              <w:spacing w:after="0"/>
              <w:rPr>
                <w:rFonts w:asciiTheme="minorHAnsi" w:hAnsiTheme="minorHAnsi" w:cstheme="minorHAnsi"/>
                <w:sz w:val="16"/>
                <w:szCs w:val="16"/>
              </w:rPr>
            </w:pPr>
            <w:r w:rsidRPr="005F120D">
              <w:rPr>
                <w:rFonts w:asciiTheme="minorHAnsi" w:hAnsiTheme="minorHAnsi" w:cstheme="minorHAnsi"/>
                <w:sz w:val="16"/>
                <w:szCs w:val="16"/>
              </w:rPr>
              <w:t>DLI 4, PSQLs, 10 &amp; 11</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36</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2.2.4.1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classroom using for classroom teaching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p>
        </w:tc>
        <w:tc>
          <w:tcPr>
            <w:tcW w:w="3161" w:type="pct"/>
          </w:tcPr>
          <w:p w:rsidR="004704B5" w:rsidRPr="005F120D" w:rsidRDefault="004704B5" w:rsidP="00B25E46">
            <w:pPr>
              <w:spacing w:after="0"/>
              <w:rPr>
                <w:rFonts w:asciiTheme="minorHAnsi" w:eastAsia="Times New Roman" w:hAnsiTheme="minorHAnsi" w:cstheme="minorHAnsi"/>
                <w:b/>
                <w:bCs/>
                <w:sz w:val="20"/>
                <w:szCs w:val="20"/>
              </w:rPr>
            </w:pPr>
            <w:r w:rsidRPr="005F120D">
              <w:rPr>
                <w:rFonts w:asciiTheme="minorHAnsi" w:eastAsia="Times New Roman" w:hAnsiTheme="minorHAnsi" w:cstheme="minorHAnsi"/>
                <w:b/>
                <w:bCs/>
                <w:sz w:val="20"/>
                <w:szCs w:val="20"/>
              </w:rPr>
              <w:t>Component 3: Decentralization and Effectiveness</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 xml:space="preserve">In Component 3, </w:t>
            </w:r>
            <w:r w:rsidRPr="005F120D">
              <w:rPr>
                <w:rFonts w:asciiTheme="minorHAnsi" w:hAnsiTheme="minorHAnsi" w:cstheme="minorHAnsi"/>
                <w:sz w:val="16"/>
                <w:szCs w:val="16"/>
              </w:rPr>
              <w:t>KPIs 6, Non-KPIs 3, PSQLs 3 and SCIs 17</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3.1.1</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Field level offices strengthened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37</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3.1.1.1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vacant posts filled at all field levels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3.1.2</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Decentralized school management and governance</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DLI 5, PSQL12</w:t>
            </w:r>
          </w:p>
        </w:tc>
      </w:tr>
      <w:tr w:rsidR="004704B5" w:rsidRPr="005F120D" w:rsidTr="00242F19">
        <w:trPr>
          <w:trHeight w:val="20"/>
        </w:trPr>
        <w:tc>
          <w:tcPr>
            <w:tcW w:w="429" w:type="pct"/>
          </w:tcPr>
          <w:p w:rsidR="004704B5" w:rsidRPr="005F120D" w:rsidRDefault="004704B5" w:rsidP="00B25E46">
            <w:pPr>
              <w:spacing w:after="0"/>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3.1.2.1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SMCs whose members were trained (at least 3 members)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38</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3.1.2.2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Upazilas which have prepared UPEP</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3.1.3</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School level leadership development</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PSQL 13</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3.1.3.1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head teachers who received training on community mobilization</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3.1.4</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Organizational Review &amp; Strengthening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39</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3.1.4.1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 xml:space="preserve">Percentage of vacancies filled by </w:t>
            </w:r>
            <w:r w:rsidR="00183D52" w:rsidRPr="005F120D">
              <w:rPr>
                <w:rFonts w:asciiTheme="minorHAnsi" w:eastAsia="Times New Roman" w:hAnsiTheme="minorHAnsi" w:cstheme="minorHAnsi"/>
                <w:sz w:val="20"/>
                <w:szCs w:val="20"/>
              </w:rPr>
              <w:t>institutes</w:t>
            </w:r>
            <w:r w:rsidRPr="005F120D">
              <w:rPr>
                <w:rFonts w:asciiTheme="minorHAnsi" w:eastAsia="Times New Roman" w:hAnsiTheme="minorHAnsi" w:cstheme="minorHAnsi"/>
                <w:sz w:val="20"/>
                <w:szCs w:val="20"/>
              </w:rPr>
              <w:t xml:space="preserve"> and positions including an updated organogram</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40</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3.1.4.2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posts identified for post-PEDP3, including potential vacancies, transfers and creased from integration of discreet projects</w:t>
            </w:r>
          </w:p>
          <w:p w:rsidR="00FC35E5" w:rsidRPr="005F120D" w:rsidRDefault="00FC35E5" w:rsidP="00B25E46">
            <w:pPr>
              <w:spacing w:after="0"/>
              <w:rPr>
                <w:rFonts w:asciiTheme="minorHAnsi" w:eastAsia="Times New Roman" w:hAnsiTheme="minorHAnsi" w:cstheme="minorHAnsi"/>
                <w:sz w:val="20"/>
                <w:szCs w:val="20"/>
              </w:rPr>
            </w:pP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3.2.1</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Grade V Primary Education Completion Examination (PECE)</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DLI 6</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41</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3.2.1.1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test items that are  competency based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3.2.2</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Teacher recruitment, promotion and deployment</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DLI 7, PSQL 14</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42</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3.2.2.1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teacher vacancies filled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43</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3.2.2.2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head teacher vacancies filled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44</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3.2.2.3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pre-primary teachers recruited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3.2.3</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Annual Primary School Census (APSC)</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DLI 8</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45</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3.2.3.1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Timely completion of APSC report (within academic year)</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46</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3.2.3.2</w:t>
            </w:r>
          </w:p>
        </w:tc>
        <w:tc>
          <w:tcPr>
            <w:tcW w:w="3161" w:type="pct"/>
          </w:tcPr>
          <w:p w:rsidR="004704B5" w:rsidRPr="005F120D" w:rsidRDefault="005A0651" w:rsidP="00B25E46">
            <w:pPr>
              <w:spacing w:after="0"/>
              <w:rPr>
                <w:rFonts w:asciiTheme="minorHAnsi" w:eastAsia="Times New Roman" w:hAnsiTheme="minorHAnsi" w:cstheme="minorHAnsi"/>
                <w:sz w:val="20"/>
                <w:szCs w:val="20"/>
              </w:rPr>
            </w:pPr>
            <w:r w:rsidRPr="005F120D">
              <w:rPr>
                <w:rFonts w:asciiTheme="minorHAnsi" w:hAnsiTheme="minorHAnsi" w:cstheme="minorHAnsi"/>
                <w:sz w:val="20"/>
                <w:szCs w:val="20"/>
              </w:rPr>
              <w:t>Number of schools covered by APSC</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47</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3.2.3.3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APSC data accuracy according to third party validation</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3.2.4</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National Student Assessment (NSA)</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48</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3.2.4.1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Timely completion of NSA analysis and report</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49</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3.2.4.2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professional staff in National Assessment Cell (NAC)</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50</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3.2.4.3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academic supervisors (AUEO) working under NAC in the field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51</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3.2.4.4</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PTI and URC instructors working under NAC in the field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52</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3.2.4.5</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subject teachers working under NAC in the field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53</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3.2.4.6</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 xml:space="preserve">Number of actions identified </w:t>
            </w:r>
            <w:r w:rsidR="00FC35E5" w:rsidRPr="005F120D">
              <w:rPr>
                <w:rFonts w:asciiTheme="minorHAnsi" w:eastAsia="Times New Roman" w:hAnsiTheme="minorHAnsi" w:cstheme="minorHAnsi"/>
                <w:sz w:val="20"/>
                <w:szCs w:val="20"/>
              </w:rPr>
              <w:t>&amp;</w:t>
            </w:r>
            <w:r w:rsidRPr="005F120D">
              <w:rPr>
                <w:rFonts w:asciiTheme="minorHAnsi" w:eastAsia="Times New Roman" w:hAnsiTheme="minorHAnsi" w:cstheme="minorHAnsi"/>
                <w:sz w:val="20"/>
                <w:szCs w:val="20"/>
              </w:rPr>
              <w:t xml:space="preserve"> implemented based on NSA findings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p>
        </w:tc>
        <w:tc>
          <w:tcPr>
            <w:tcW w:w="3161" w:type="pct"/>
          </w:tcPr>
          <w:p w:rsidR="004704B5" w:rsidRPr="005F120D" w:rsidRDefault="004704B5" w:rsidP="00B25E46">
            <w:pPr>
              <w:spacing w:after="0"/>
              <w:rPr>
                <w:rFonts w:asciiTheme="minorHAnsi" w:eastAsia="Times New Roman" w:hAnsiTheme="minorHAnsi" w:cstheme="minorHAnsi"/>
                <w:b/>
                <w:bCs/>
                <w:sz w:val="20"/>
                <w:szCs w:val="20"/>
              </w:rPr>
            </w:pPr>
            <w:r w:rsidRPr="005F120D">
              <w:rPr>
                <w:rFonts w:asciiTheme="minorHAnsi" w:eastAsia="Times New Roman" w:hAnsiTheme="minorHAnsi" w:cstheme="minorHAnsi"/>
                <w:b/>
                <w:bCs/>
                <w:sz w:val="20"/>
                <w:szCs w:val="20"/>
              </w:rPr>
              <w:t>Component 4: Planning and Management</w:t>
            </w:r>
          </w:p>
        </w:tc>
        <w:tc>
          <w:tcPr>
            <w:tcW w:w="922" w:type="pct"/>
          </w:tcPr>
          <w:p w:rsidR="004704B5" w:rsidRPr="005F120D" w:rsidRDefault="004704B5" w:rsidP="00B25E46">
            <w:pPr>
              <w:spacing w:after="0"/>
              <w:rPr>
                <w:rFonts w:asciiTheme="minorHAnsi" w:hAnsiTheme="minorHAnsi" w:cstheme="minorHAnsi"/>
                <w:sz w:val="16"/>
                <w:szCs w:val="16"/>
              </w:rPr>
            </w:pPr>
            <w:r w:rsidRPr="005F120D">
              <w:rPr>
                <w:rFonts w:asciiTheme="minorHAnsi" w:hAnsiTheme="minorHAnsi" w:cstheme="minorHAnsi"/>
                <w:sz w:val="16"/>
                <w:szCs w:val="16"/>
              </w:rPr>
              <w:t>In Component 4, Non-KPIs 2 and SCIs 14</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b/>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4.1</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PEDP3 management and governance</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54</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4.1.1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Total number of PEDP3 management and steering committee meetings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55</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4.1.2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Annual Operational Plan implemented (by components and sub-components)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4.1.3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funds linked to DLI disbursed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4.2</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PEDP3 Financial Management</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4.2.1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Annual Operational Plan budget implementation</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56</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4.2.2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Percentage of annual implementation of PFM action plan</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57</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4.2.3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and percentage of unsettled audit observation resolved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4.3</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Sector finance</w:t>
            </w:r>
          </w:p>
        </w:tc>
        <w:tc>
          <w:tcPr>
            <w:tcW w:w="922"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DLI 9</w:t>
            </w: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58</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4.3.1</w:t>
            </w:r>
          </w:p>
        </w:tc>
        <w:tc>
          <w:tcPr>
            <w:tcW w:w="3161"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Non-Development and Development share of MoPME Budget</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59</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4.3.2</w:t>
            </w:r>
          </w:p>
        </w:tc>
        <w:tc>
          <w:tcPr>
            <w:tcW w:w="3161"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Percentage execution of both Non-Development and Development budget of MoPME</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60</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4.3.3</w:t>
            </w:r>
          </w:p>
        </w:tc>
        <w:tc>
          <w:tcPr>
            <w:tcW w:w="3161" w:type="pct"/>
          </w:tcPr>
          <w:p w:rsidR="004704B5" w:rsidRPr="005F120D" w:rsidRDefault="004704B5" w:rsidP="00B25E46">
            <w:pPr>
              <w:spacing w:after="0"/>
              <w:rPr>
                <w:rFonts w:asciiTheme="minorHAnsi" w:hAnsiTheme="minorHAnsi" w:cstheme="minorHAnsi"/>
                <w:sz w:val="20"/>
                <w:szCs w:val="20"/>
              </w:rPr>
            </w:pPr>
            <w:r w:rsidRPr="005F120D">
              <w:rPr>
                <w:rFonts w:asciiTheme="minorHAnsi" w:hAnsiTheme="minorHAnsi" w:cstheme="minorHAnsi"/>
                <w:sz w:val="20"/>
                <w:szCs w:val="20"/>
              </w:rPr>
              <w:t>Percentage of Development budget allocated to discrete projects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4.4</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Strengthen monitoring functions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61</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4.4.1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staff (central &amp; local) receive orientation in RBM approach</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62</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4.4.2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schools and offices inspected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63</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4.4.3</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inspections undertaken with support of e-Monitoring tools</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64</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4.4.4</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progress review meetings organized and activities reviewed</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4.5</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Human Resource Development</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65</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4.5.1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officers received  professional development training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66</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4.5.2</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staff received  professional development training</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p>
        </w:tc>
        <w:tc>
          <w:tcPr>
            <w:tcW w:w="488" w:type="pct"/>
          </w:tcPr>
          <w:p w:rsidR="004704B5" w:rsidRPr="005F120D" w:rsidRDefault="004704B5" w:rsidP="00B25E46">
            <w:pPr>
              <w:spacing w:after="0"/>
              <w:jc w:val="center"/>
              <w:rPr>
                <w:rFonts w:asciiTheme="minorHAnsi" w:hAnsiTheme="minorHAnsi" w:cstheme="minorHAnsi"/>
                <w:b/>
                <w:sz w:val="20"/>
                <w:szCs w:val="20"/>
              </w:rPr>
            </w:pPr>
            <w:r w:rsidRPr="005F120D">
              <w:rPr>
                <w:rFonts w:asciiTheme="minorHAnsi" w:hAnsiTheme="minorHAnsi" w:cstheme="minorHAnsi"/>
                <w:b/>
                <w:sz w:val="20"/>
                <w:szCs w:val="20"/>
              </w:rPr>
              <w:t>4.6</w:t>
            </w:r>
          </w:p>
        </w:tc>
        <w:tc>
          <w:tcPr>
            <w:tcW w:w="3161" w:type="pct"/>
          </w:tcPr>
          <w:p w:rsidR="004704B5" w:rsidRPr="005F120D" w:rsidRDefault="004704B5" w:rsidP="00B25E46">
            <w:pPr>
              <w:spacing w:after="0"/>
              <w:rPr>
                <w:rFonts w:asciiTheme="minorHAnsi" w:eastAsia="Times New Roman" w:hAnsiTheme="minorHAnsi" w:cstheme="minorHAnsi"/>
                <w:b/>
                <w:sz w:val="20"/>
                <w:szCs w:val="20"/>
              </w:rPr>
            </w:pPr>
            <w:r w:rsidRPr="005F120D">
              <w:rPr>
                <w:rFonts w:asciiTheme="minorHAnsi" w:eastAsia="Times New Roman" w:hAnsiTheme="minorHAnsi" w:cstheme="minorHAnsi"/>
                <w:b/>
                <w:bCs/>
                <w:sz w:val="20"/>
                <w:szCs w:val="20"/>
              </w:rPr>
              <w:t>Public Private Partnership</w:t>
            </w:r>
          </w:p>
        </w:tc>
        <w:tc>
          <w:tcPr>
            <w:tcW w:w="922" w:type="pct"/>
          </w:tcPr>
          <w:p w:rsidR="004704B5" w:rsidRPr="005F120D" w:rsidRDefault="004704B5" w:rsidP="00B25E46">
            <w:pPr>
              <w:spacing w:after="0"/>
              <w:rPr>
                <w:rFonts w:asciiTheme="minorHAnsi" w:hAnsiTheme="minorHAnsi" w:cstheme="minorHAnsi"/>
                <w:sz w:val="20"/>
                <w:szCs w:val="20"/>
              </w:rPr>
            </w:pPr>
          </w:p>
        </w:tc>
      </w:tr>
      <w:tr w:rsidR="004704B5" w:rsidRPr="005F120D" w:rsidTr="00242F19">
        <w:trPr>
          <w:trHeight w:val="20"/>
        </w:trPr>
        <w:tc>
          <w:tcPr>
            <w:tcW w:w="429"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67</w:t>
            </w:r>
          </w:p>
        </w:tc>
        <w:tc>
          <w:tcPr>
            <w:tcW w:w="488" w:type="pct"/>
          </w:tcPr>
          <w:p w:rsidR="004704B5" w:rsidRPr="005F120D" w:rsidRDefault="004704B5" w:rsidP="00B25E46">
            <w:pPr>
              <w:spacing w:after="0"/>
              <w:jc w:val="center"/>
              <w:rPr>
                <w:rFonts w:asciiTheme="minorHAnsi" w:hAnsiTheme="minorHAnsi" w:cstheme="minorHAnsi"/>
                <w:sz w:val="20"/>
                <w:szCs w:val="20"/>
              </w:rPr>
            </w:pPr>
            <w:r w:rsidRPr="005F120D">
              <w:rPr>
                <w:rFonts w:asciiTheme="minorHAnsi" w:hAnsiTheme="minorHAnsi" w:cstheme="minorHAnsi"/>
                <w:sz w:val="20"/>
                <w:szCs w:val="20"/>
              </w:rPr>
              <w:t>4.6.1</w:t>
            </w:r>
          </w:p>
        </w:tc>
        <w:tc>
          <w:tcPr>
            <w:tcW w:w="3161" w:type="pct"/>
          </w:tcPr>
          <w:p w:rsidR="004704B5" w:rsidRPr="005F120D" w:rsidRDefault="004704B5" w:rsidP="00B25E46">
            <w:pPr>
              <w:spacing w:after="0"/>
              <w:rPr>
                <w:rFonts w:asciiTheme="minorHAnsi" w:eastAsia="Times New Roman" w:hAnsiTheme="minorHAnsi" w:cstheme="minorHAnsi"/>
                <w:sz w:val="20"/>
                <w:szCs w:val="20"/>
              </w:rPr>
            </w:pPr>
            <w:r w:rsidRPr="005F120D">
              <w:rPr>
                <w:rFonts w:asciiTheme="minorHAnsi" w:eastAsia="Times New Roman" w:hAnsiTheme="minorHAnsi" w:cstheme="minorHAnsi"/>
                <w:sz w:val="20"/>
                <w:szCs w:val="20"/>
              </w:rPr>
              <w:t>Number of partnership agreements/MoUs following PPP framework</w:t>
            </w:r>
          </w:p>
        </w:tc>
        <w:tc>
          <w:tcPr>
            <w:tcW w:w="922" w:type="pct"/>
          </w:tcPr>
          <w:p w:rsidR="004704B5" w:rsidRPr="005F120D" w:rsidRDefault="004704B5" w:rsidP="00B25E46">
            <w:pPr>
              <w:spacing w:after="0"/>
              <w:rPr>
                <w:rFonts w:asciiTheme="minorHAnsi" w:hAnsiTheme="minorHAnsi" w:cstheme="minorHAnsi"/>
                <w:sz w:val="20"/>
                <w:szCs w:val="20"/>
              </w:rPr>
            </w:pPr>
          </w:p>
        </w:tc>
      </w:tr>
    </w:tbl>
    <w:p w:rsidR="00BD1071" w:rsidRPr="005F120D" w:rsidRDefault="00BD1071" w:rsidP="00BD1071">
      <w:pPr>
        <w:rPr>
          <w:rFonts w:asciiTheme="minorHAnsi" w:hAnsiTheme="minorHAnsi" w:cstheme="minorHAnsi"/>
        </w:rPr>
      </w:pPr>
    </w:p>
    <w:p w:rsidR="0044339A" w:rsidRPr="005F120D" w:rsidRDefault="0044339A">
      <w:pPr>
        <w:rPr>
          <w:rFonts w:asciiTheme="minorHAnsi" w:hAnsiTheme="minorHAnsi" w:cstheme="minorHAnsi"/>
        </w:rPr>
      </w:pPr>
    </w:p>
    <w:sectPr w:rsidR="0044339A" w:rsidRPr="005F120D" w:rsidSect="00EA356A">
      <w:type w:val="nextColumn"/>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F14" w:rsidRDefault="00265F14">
      <w:r>
        <w:separator/>
      </w:r>
    </w:p>
  </w:endnote>
  <w:endnote w:type="continuationSeparator" w:id="1">
    <w:p w:rsidR="00265F14" w:rsidRDefault="00265F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ont207">
    <w:altName w:val="Times New Roman"/>
    <w:panose1 w:val="00000000000000000000"/>
    <w:charset w:val="00"/>
    <w:family w:val="auto"/>
    <w:notTrueType/>
    <w:pitch w:val="default"/>
    <w:sig w:usb0="0000003F"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wiss 721 Roman">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color w:val="31849B" w:themeColor="accent5" w:themeShade="BF"/>
      </w:rPr>
      <w:id w:val="3237510"/>
      <w:docPartObj>
        <w:docPartGallery w:val="Page Numbers (Bottom of Page)"/>
        <w:docPartUnique/>
      </w:docPartObj>
    </w:sdtPr>
    <w:sdtEndPr>
      <w:rPr>
        <w:b/>
        <w:spacing w:val="60"/>
      </w:rPr>
    </w:sdtEndPr>
    <w:sdtContent>
      <w:p w:rsidR="00704F97" w:rsidRPr="00E14EE6" w:rsidRDefault="00704F97">
        <w:pPr>
          <w:pStyle w:val="Footer"/>
          <w:pBdr>
            <w:top w:val="single" w:sz="4" w:space="1" w:color="D9D9D9" w:themeColor="background1" w:themeShade="D9"/>
          </w:pBdr>
          <w:rPr>
            <w:b w:val="0"/>
            <w:bCs/>
            <w:color w:val="31849B" w:themeColor="accent5" w:themeShade="BF"/>
          </w:rPr>
        </w:pPr>
        <w:r w:rsidRPr="002E2ED5">
          <w:rPr>
            <w:b w:val="0"/>
            <w:color w:val="31849B" w:themeColor="accent5" w:themeShade="BF"/>
          </w:rPr>
          <w:fldChar w:fldCharType="begin"/>
        </w:r>
        <w:r w:rsidRPr="00E14EE6">
          <w:rPr>
            <w:color w:val="31849B" w:themeColor="accent5" w:themeShade="BF"/>
          </w:rPr>
          <w:instrText xml:space="preserve"> PAGE   \* MERGEFORMAT </w:instrText>
        </w:r>
        <w:r w:rsidRPr="002E2ED5">
          <w:rPr>
            <w:b w:val="0"/>
            <w:color w:val="31849B" w:themeColor="accent5" w:themeShade="BF"/>
          </w:rPr>
          <w:fldChar w:fldCharType="separate"/>
        </w:r>
        <w:r w:rsidR="00EE6322" w:rsidRPr="00EE6322">
          <w:rPr>
            <w:bCs/>
            <w:noProof/>
            <w:color w:val="31849B" w:themeColor="accent5" w:themeShade="BF"/>
          </w:rPr>
          <w:t>3</w:t>
        </w:r>
        <w:r w:rsidRPr="00E14EE6">
          <w:rPr>
            <w:b w:val="0"/>
            <w:bCs/>
            <w:noProof/>
            <w:color w:val="31849B" w:themeColor="accent5" w:themeShade="BF"/>
          </w:rPr>
          <w:fldChar w:fldCharType="end"/>
        </w:r>
        <w:r w:rsidRPr="00E14EE6">
          <w:rPr>
            <w:bCs/>
            <w:color w:val="31849B" w:themeColor="accent5" w:themeShade="BF"/>
          </w:rPr>
          <w:t xml:space="preserve"> | </w:t>
        </w:r>
        <w:r w:rsidRPr="00E14EE6">
          <w:rPr>
            <w:color w:val="31849B" w:themeColor="accent5" w:themeShade="BF"/>
            <w:spacing w:val="60"/>
          </w:rPr>
          <w:t>Page</w:t>
        </w:r>
      </w:p>
    </w:sdtContent>
  </w:sdt>
  <w:p w:rsidR="00704F97" w:rsidRDefault="00704F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F97" w:rsidRDefault="00704F97">
    <w:pPr>
      <w:pStyle w:val="Footer"/>
      <w:framePr w:wrap="auto" w:vAnchor="text" w:hAnchor="margin" w:xAlign="right" w:y="1"/>
      <w:rPr>
        <w:rStyle w:val="PageNumber"/>
        <w:rFonts w:cs="Arial"/>
        <w:bCs/>
      </w:rPr>
    </w:pPr>
    <w:r>
      <w:rPr>
        <w:rStyle w:val="PageNumber"/>
        <w:rFonts w:cs="Arial"/>
        <w:bCs/>
      </w:rPr>
      <w:fldChar w:fldCharType="begin"/>
    </w:r>
    <w:r>
      <w:rPr>
        <w:rStyle w:val="PageNumber"/>
        <w:rFonts w:cs="Arial"/>
      </w:rPr>
      <w:instrText xml:space="preserve">PAGE  </w:instrText>
    </w:r>
    <w:r>
      <w:rPr>
        <w:rStyle w:val="PageNumber"/>
        <w:rFonts w:cs="Arial"/>
        <w:bCs/>
      </w:rPr>
      <w:fldChar w:fldCharType="separate"/>
    </w:r>
    <w:r>
      <w:rPr>
        <w:rStyle w:val="PageNumber"/>
        <w:rFonts w:cs="Arial"/>
        <w:noProof/>
      </w:rPr>
      <w:t>98</w:t>
    </w:r>
    <w:r>
      <w:rPr>
        <w:rStyle w:val="PageNumber"/>
        <w:rFonts w:cs="Arial"/>
        <w:bCs/>
      </w:rPr>
      <w:fldChar w:fldCharType="end"/>
    </w:r>
  </w:p>
  <w:p w:rsidR="00704F97" w:rsidRDefault="00704F9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color w:val="31849B" w:themeColor="accent5" w:themeShade="BF"/>
      </w:rPr>
      <w:id w:val="1236043"/>
      <w:docPartObj>
        <w:docPartGallery w:val="Page Numbers (Bottom of Page)"/>
        <w:docPartUnique/>
      </w:docPartObj>
    </w:sdtPr>
    <w:sdtEndPr>
      <w:rPr>
        <w:b/>
        <w:spacing w:val="60"/>
      </w:rPr>
    </w:sdtEndPr>
    <w:sdtContent>
      <w:p w:rsidR="00704F97" w:rsidRDefault="00704F97" w:rsidP="00D833F3">
        <w:pPr>
          <w:pStyle w:val="Footer"/>
          <w:pBdr>
            <w:top w:val="single" w:sz="4" w:space="1" w:color="D9D9D9" w:themeColor="background1" w:themeShade="D9"/>
          </w:pBdr>
          <w:rPr>
            <w:color w:val="31849B" w:themeColor="accent5" w:themeShade="BF"/>
            <w:spacing w:val="60"/>
          </w:rPr>
        </w:pPr>
        <w:r w:rsidRPr="002E2ED5">
          <w:rPr>
            <w:b w:val="0"/>
            <w:color w:val="31849B" w:themeColor="accent5" w:themeShade="BF"/>
          </w:rPr>
          <w:fldChar w:fldCharType="begin"/>
        </w:r>
        <w:r w:rsidRPr="00E14EE6">
          <w:rPr>
            <w:color w:val="31849B" w:themeColor="accent5" w:themeShade="BF"/>
          </w:rPr>
          <w:instrText xml:space="preserve"> PAGE   \* MERGEFORMAT </w:instrText>
        </w:r>
        <w:r w:rsidRPr="002E2ED5">
          <w:rPr>
            <w:b w:val="0"/>
            <w:color w:val="31849B" w:themeColor="accent5" w:themeShade="BF"/>
          </w:rPr>
          <w:fldChar w:fldCharType="separate"/>
        </w:r>
        <w:r w:rsidR="00EE6322" w:rsidRPr="00EE6322">
          <w:rPr>
            <w:bCs/>
            <w:noProof/>
            <w:color w:val="31849B" w:themeColor="accent5" w:themeShade="BF"/>
          </w:rPr>
          <w:t>220</w:t>
        </w:r>
        <w:r w:rsidRPr="00E14EE6">
          <w:rPr>
            <w:b w:val="0"/>
            <w:bCs/>
            <w:noProof/>
            <w:color w:val="31849B" w:themeColor="accent5" w:themeShade="BF"/>
          </w:rPr>
          <w:fldChar w:fldCharType="end"/>
        </w:r>
        <w:r w:rsidRPr="00E14EE6">
          <w:rPr>
            <w:bCs/>
            <w:color w:val="31849B" w:themeColor="accent5" w:themeShade="BF"/>
          </w:rPr>
          <w:t xml:space="preserve"> | </w:t>
        </w:r>
        <w:r w:rsidRPr="00E14EE6">
          <w:rPr>
            <w:color w:val="31849B" w:themeColor="accent5" w:themeShade="BF"/>
            <w:spacing w:val="60"/>
          </w:rPr>
          <w:t>Page</w:t>
        </w:r>
      </w:p>
    </w:sdtContent>
  </w:sdt>
  <w:p w:rsidR="00704F97" w:rsidRDefault="00704F97" w:rsidP="00D748C3">
    <w:pPr>
      <w:pStyle w:val="Footer"/>
      <w:ind w:right="360"/>
      <w:jc w:val="center"/>
      <w:rPr>
        <w:b w:val="0"/>
        <w:b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F14" w:rsidRDefault="00265F14">
      <w:r>
        <w:separator/>
      </w:r>
    </w:p>
  </w:footnote>
  <w:footnote w:type="continuationSeparator" w:id="1">
    <w:p w:rsidR="00265F14" w:rsidRDefault="00265F14">
      <w:r>
        <w:continuationSeparator/>
      </w:r>
    </w:p>
  </w:footnote>
  <w:footnote w:id="2">
    <w:p w:rsidR="00704F97" w:rsidRPr="00B24CA1" w:rsidRDefault="00704F97" w:rsidP="00A804F7">
      <w:pPr>
        <w:pStyle w:val="FootnoteText"/>
        <w:rPr>
          <w:rFonts w:ascii="Calibri" w:hAnsi="Calibri" w:cs="Calibri"/>
        </w:rPr>
      </w:pPr>
      <w:r>
        <w:rPr>
          <w:rStyle w:val="FootnoteReference"/>
        </w:rPr>
        <w:footnoteRef/>
      </w:r>
      <w:r w:rsidRPr="00B24CA1">
        <w:rPr>
          <w:rFonts w:ascii="Calibri" w:hAnsi="Calibri" w:cs="Calibri"/>
        </w:rPr>
        <w:t>At the PEDP3 Mid-term Evaluation, it was jointly agreed to extend PEDP3 for another 1</w:t>
      </w:r>
      <w:r>
        <w:rPr>
          <w:rFonts w:ascii="Calibri" w:hAnsi="Calibri" w:cs="Calibri"/>
        </w:rPr>
        <w:t xml:space="preserve"> year (from 2011-</w:t>
      </w:r>
      <w:r w:rsidRPr="00B24CA1">
        <w:rPr>
          <w:rFonts w:ascii="Calibri" w:hAnsi="Calibri" w:cs="Calibri"/>
        </w:rPr>
        <w:t>2016 to 20</w:t>
      </w:r>
      <w:r>
        <w:rPr>
          <w:rFonts w:ascii="Calibri" w:hAnsi="Calibri" w:cs="Calibri"/>
        </w:rPr>
        <w:t>11-2017) and closing date is</w:t>
      </w:r>
      <w:r w:rsidRPr="00B24CA1">
        <w:rPr>
          <w:rFonts w:ascii="Calibri" w:hAnsi="Calibri" w:cs="Calibri"/>
        </w:rPr>
        <w:t xml:space="preserve"> December 2017.</w:t>
      </w:r>
    </w:p>
  </w:footnote>
  <w:footnote w:id="3">
    <w:p w:rsidR="00704F97" w:rsidRPr="001838B5" w:rsidRDefault="00704F97" w:rsidP="00234BEA">
      <w:pPr>
        <w:pStyle w:val="FootnoteText"/>
        <w:jc w:val="both"/>
      </w:pPr>
      <w:r w:rsidRPr="001838B5">
        <w:rPr>
          <w:rStyle w:val="FootnoteReference"/>
        </w:rPr>
        <w:footnoteRef/>
      </w:r>
      <w:r w:rsidRPr="001838B5">
        <w:t xml:space="preserve"> The estimate of the population of 6–10 years </w:t>
      </w:r>
      <w:r>
        <w:t>upto2011 in</w:t>
      </w:r>
      <w:bookmarkStart w:id="61" w:name="_GoBack"/>
      <w:bookmarkEnd w:id="61"/>
      <w:r>
        <w:t xml:space="preserve">APSC-2015 </w:t>
      </w:r>
      <w:r w:rsidRPr="001838B5">
        <w:t xml:space="preserve">is based on Table C04 from the 2011 population census. This table shows the population in the five-year age groups for (0–4 years, 5–9 years, 10–14 years, etc.). Hence DPE applied the Sprague multiplier for smoothing BBS 2011 data for creating a single year-age population (0-14 years) with the consent of BBS. </w:t>
      </w:r>
    </w:p>
    <w:p w:rsidR="00704F97" w:rsidRPr="00C06D4E" w:rsidRDefault="00704F97" w:rsidP="00E540FA">
      <w:pPr>
        <w:pStyle w:val="FootnoteText"/>
        <w:numPr>
          <w:ilvl w:val="0"/>
          <w:numId w:val="138"/>
        </w:numPr>
        <w:jc w:val="both"/>
      </w:pPr>
      <w:r>
        <w:t>DPE at present uses BBS data for single age population which they have projected on the basis of 2011 population census.</w:t>
      </w:r>
    </w:p>
  </w:footnote>
  <w:footnote w:id="4">
    <w:p w:rsidR="00704F97" w:rsidRDefault="00704F97" w:rsidP="00234BEA">
      <w:pPr>
        <w:pStyle w:val="FootnoteText"/>
        <w:jc w:val="both"/>
        <w:rPr>
          <w:sz w:val="16"/>
          <w:szCs w:val="16"/>
        </w:rPr>
      </w:pPr>
      <w:r w:rsidRPr="00BE3A13">
        <w:rPr>
          <w:rStyle w:val="FootnoteReference"/>
          <w:sz w:val="16"/>
          <w:szCs w:val="16"/>
        </w:rPr>
        <w:footnoteRef/>
      </w:r>
      <w:r w:rsidRPr="00900F72">
        <w:rPr>
          <w:sz w:val="16"/>
          <w:szCs w:val="16"/>
        </w:rPr>
        <w:t>The number of KPIs in the revised Program Fra</w:t>
      </w:r>
      <w:r>
        <w:rPr>
          <w:sz w:val="16"/>
          <w:szCs w:val="16"/>
        </w:rPr>
        <w:t>mework (2014 MTR) is the same</w:t>
      </w:r>
      <w:r w:rsidRPr="00900F72">
        <w:rPr>
          <w:sz w:val="16"/>
          <w:szCs w:val="16"/>
        </w:rPr>
        <w:t xml:space="preserve"> compared to the PEDP3 original list of 15 KPIs (2011) but with the r</w:t>
      </w:r>
      <w:r>
        <w:rPr>
          <w:sz w:val="16"/>
          <w:szCs w:val="16"/>
        </w:rPr>
        <w:t>emoval of the previous KPI 10; the n</w:t>
      </w:r>
      <w:r w:rsidRPr="00900F72">
        <w:rPr>
          <w:sz w:val="16"/>
          <w:szCs w:val="16"/>
        </w:rPr>
        <w:t xml:space="preserve">umber and types of functions delegated to districts, </w:t>
      </w:r>
      <w:r w:rsidR="00EE6322" w:rsidRPr="00900F72">
        <w:rPr>
          <w:sz w:val="16"/>
          <w:szCs w:val="16"/>
        </w:rPr>
        <w:t>U</w:t>
      </w:r>
      <w:r w:rsidR="00EE6322">
        <w:rPr>
          <w:sz w:val="16"/>
          <w:szCs w:val="16"/>
        </w:rPr>
        <w:t>pazilas</w:t>
      </w:r>
      <w:r>
        <w:rPr>
          <w:sz w:val="16"/>
          <w:szCs w:val="16"/>
        </w:rPr>
        <w:t xml:space="preserve"> and schools and include</w:t>
      </w:r>
      <w:r w:rsidRPr="00900F72">
        <w:rPr>
          <w:sz w:val="16"/>
          <w:szCs w:val="16"/>
        </w:rPr>
        <w:t xml:space="preserve"> current KPIs 10</w:t>
      </w:r>
      <w:r>
        <w:rPr>
          <w:sz w:val="16"/>
          <w:szCs w:val="16"/>
        </w:rPr>
        <w:t xml:space="preserve">. </w:t>
      </w:r>
      <w:r w:rsidRPr="00900F72">
        <w:rPr>
          <w:sz w:val="16"/>
          <w:szCs w:val="16"/>
        </w:rPr>
        <w:t xml:space="preserve"> In addition, the total 12 Non-KPIs are included in the revised Programme Framework of PEDP3 as decided by the MTR</w:t>
      </w:r>
      <w:r w:rsidRPr="00F379D6">
        <w:rPr>
          <w:sz w:val="16"/>
          <w:szCs w:val="16"/>
        </w:rPr>
        <w:t xml:space="preserve">. </w:t>
      </w:r>
    </w:p>
    <w:p w:rsidR="00704F97" w:rsidRPr="00F379D6" w:rsidRDefault="00704F97" w:rsidP="00234BEA">
      <w:pPr>
        <w:pStyle w:val="FootnoteText"/>
        <w:jc w:val="both"/>
        <w:rPr>
          <w:sz w:val="16"/>
          <w:szCs w:val="16"/>
        </w:rPr>
      </w:pPr>
    </w:p>
  </w:footnote>
  <w:footnote w:id="5">
    <w:p w:rsidR="00704F97" w:rsidRPr="00BE3A13" w:rsidRDefault="00704F97" w:rsidP="00234BEA">
      <w:pPr>
        <w:pStyle w:val="FootnoteText"/>
        <w:jc w:val="both"/>
        <w:rPr>
          <w:sz w:val="16"/>
          <w:szCs w:val="16"/>
        </w:rPr>
      </w:pPr>
      <w:r w:rsidRPr="00F379D6">
        <w:rPr>
          <w:rStyle w:val="FootnoteReference"/>
          <w:sz w:val="16"/>
          <w:szCs w:val="16"/>
        </w:rPr>
        <w:footnoteRef/>
      </w:r>
      <w:r w:rsidRPr="00BE3A13">
        <w:rPr>
          <w:sz w:val="16"/>
          <w:szCs w:val="16"/>
        </w:rPr>
        <w:t>The number of PSQLs in the revised Programme Framework (2014 M</w:t>
      </w:r>
      <w:r>
        <w:rPr>
          <w:sz w:val="16"/>
          <w:szCs w:val="16"/>
        </w:rPr>
        <w:t>TR) is lower (14 PSQLs) compared</w:t>
      </w:r>
      <w:r w:rsidRPr="00BE3A13">
        <w:rPr>
          <w:sz w:val="16"/>
          <w:szCs w:val="16"/>
        </w:rPr>
        <w:t xml:space="preserve"> to the </w:t>
      </w:r>
      <w:r>
        <w:rPr>
          <w:sz w:val="16"/>
          <w:szCs w:val="16"/>
        </w:rPr>
        <w:t xml:space="preserve">PEDP3 </w:t>
      </w:r>
      <w:r w:rsidRPr="00BE3A13">
        <w:rPr>
          <w:sz w:val="16"/>
          <w:szCs w:val="16"/>
        </w:rPr>
        <w:t>original</w:t>
      </w:r>
      <w:r>
        <w:rPr>
          <w:sz w:val="16"/>
          <w:szCs w:val="16"/>
        </w:rPr>
        <w:t xml:space="preserve"> document(</w:t>
      </w:r>
      <w:r w:rsidRPr="00BE3A13">
        <w:rPr>
          <w:sz w:val="16"/>
          <w:szCs w:val="16"/>
        </w:rPr>
        <w:t>18</w:t>
      </w:r>
      <w:r>
        <w:rPr>
          <w:sz w:val="16"/>
          <w:szCs w:val="16"/>
        </w:rPr>
        <w:t xml:space="preserve"> PSQLs) (2011);</w:t>
      </w:r>
      <w:r w:rsidRPr="00BE3A13">
        <w:rPr>
          <w:sz w:val="16"/>
          <w:szCs w:val="16"/>
        </w:rPr>
        <w:t xml:space="preserve"> four </w:t>
      </w:r>
      <w:r>
        <w:rPr>
          <w:sz w:val="16"/>
          <w:szCs w:val="16"/>
        </w:rPr>
        <w:t xml:space="preserve">PSQL </w:t>
      </w:r>
      <w:r w:rsidRPr="00BE3A13">
        <w:rPr>
          <w:sz w:val="16"/>
          <w:szCs w:val="16"/>
        </w:rPr>
        <w:t xml:space="preserve">indicators were removed because they could not be </w:t>
      </w:r>
      <w:r w:rsidRPr="00900F72">
        <w:rPr>
          <w:sz w:val="16"/>
          <w:szCs w:val="16"/>
        </w:rPr>
        <w:t xml:space="preserve">measured and data </w:t>
      </w:r>
      <w:r w:rsidR="00EE6322" w:rsidRPr="00900F72">
        <w:rPr>
          <w:sz w:val="16"/>
          <w:szCs w:val="16"/>
        </w:rPr>
        <w:t>were</w:t>
      </w:r>
      <w:r w:rsidR="00EE6322" w:rsidRPr="00BE3A13">
        <w:rPr>
          <w:sz w:val="16"/>
          <w:szCs w:val="16"/>
        </w:rPr>
        <w:t xml:space="preserve"> not</w:t>
      </w:r>
      <w:r w:rsidRPr="00BE3A13">
        <w:rPr>
          <w:sz w:val="16"/>
          <w:szCs w:val="16"/>
        </w:rPr>
        <w:t xml:space="preserve"> available</w:t>
      </w:r>
      <w:r>
        <w:rPr>
          <w:sz w:val="16"/>
          <w:szCs w:val="16"/>
        </w:rPr>
        <w:t xml:space="preserve"> for computing those PSQLs</w:t>
      </w:r>
      <w:r w:rsidRPr="00F379D6">
        <w:rPr>
          <w:sz w:val="16"/>
          <w:szCs w:val="16"/>
        </w:rPr>
        <w:t>.</w:t>
      </w:r>
    </w:p>
  </w:footnote>
  <w:footnote w:id="6">
    <w:p w:rsidR="00704F97" w:rsidRPr="00144CDD" w:rsidRDefault="00704F97" w:rsidP="00FD0319">
      <w:pPr>
        <w:pStyle w:val="FootnoteText"/>
      </w:pPr>
      <w:r>
        <w:rPr>
          <w:rStyle w:val="FootnoteReference"/>
        </w:rPr>
        <w:footnoteRef/>
      </w:r>
      <w:r>
        <w:t xml:space="preserve"> KPI 9B is an EU only disbursement trigger, starting in 2014.</w:t>
      </w:r>
    </w:p>
  </w:footnote>
  <w:footnote w:id="7">
    <w:p w:rsidR="00704F97" w:rsidRPr="00E925B8" w:rsidRDefault="00704F97" w:rsidP="00FD0319">
      <w:pPr>
        <w:pStyle w:val="FootnoteText"/>
        <w:rPr>
          <w:rFonts w:asciiTheme="minorHAnsi" w:hAnsiTheme="minorHAnsi" w:cstheme="minorHAnsi"/>
          <w:sz w:val="16"/>
          <w:szCs w:val="16"/>
        </w:rPr>
      </w:pPr>
      <w:r w:rsidRPr="00E925B8">
        <w:rPr>
          <w:rStyle w:val="FootnoteReference"/>
          <w:rFonts w:asciiTheme="minorHAnsi" w:hAnsiTheme="minorHAnsi" w:cstheme="minorHAnsi"/>
          <w:sz w:val="16"/>
          <w:szCs w:val="16"/>
        </w:rPr>
        <w:footnoteRef/>
      </w:r>
      <w:r w:rsidRPr="00E925B8">
        <w:rPr>
          <w:rFonts w:asciiTheme="minorHAnsi" w:hAnsiTheme="minorHAnsi" w:cstheme="minorHAnsi"/>
          <w:sz w:val="16"/>
          <w:szCs w:val="16"/>
        </w:rPr>
        <w:t xml:space="preserve"> KPI 9 and 12 is an EU </w:t>
      </w:r>
      <w:r>
        <w:rPr>
          <w:rFonts w:asciiTheme="minorHAnsi" w:hAnsiTheme="minorHAnsi" w:cstheme="minorHAnsi"/>
          <w:sz w:val="16"/>
          <w:szCs w:val="16"/>
        </w:rPr>
        <w:t xml:space="preserve">DLIs </w:t>
      </w:r>
      <w:r w:rsidRPr="00E925B8">
        <w:rPr>
          <w:rFonts w:asciiTheme="minorHAnsi" w:hAnsiTheme="minorHAnsi" w:cstheme="minorHAnsi"/>
          <w:sz w:val="16"/>
          <w:szCs w:val="16"/>
        </w:rPr>
        <w:t xml:space="preserve">only </w:t>
      </w:r>
      <w:r>
        <w:rPr>
          <w:rFonts w:asciiTheme="minorHAnsi" w:hAnsiTheme="minorHAnsi" w:cstheme="minorHAnsi"/>
          <w:sz w:val="16"/>
          <w:szCs w:val="16"/>
        </w:rPr>
        <w:t xml:space="preserve">for </w:t>
      </w:r>
      <w:r w:rsidRPr="00E925B8">
        <w:rPr>
          <w:rFonts w:asciiTheme="minorHAnsi" w:hAnsiTheme="minorHAnsi" w:cstheme="minorHAnsi"/>
          <w:sz w:val="16"/>
          <w:szCs w:val="16"/>
        </w:rPr>
        <w:t>disbursement trigger, starting in 2014.</w:t>
      </w:r>
    </w:p>
  </w:footnote>
  <w:footnote w:id="8">
    <w:p w:rsidR="00704F97" w:rsidRPr="00FD0319" w:rsidRDefault="00704F97">
      <w:pPr>
        <w:pStyle w:val="FootnoteText"/>
        <w:rPr>
          <w:lang w:val="en-US"/>
        </w:rPr>
      </w:pPr>
      <w:r>
        <w:rPr>
          <w:rStyle w:val="FootnoteReference"/>
        </w:rPr>
        <w:footnoteRef/>
      </w:r>
      <w:r w:rsidRPr="00E925B8">
        <w:rPr>
          <w:rFonts w:asciiTheme="minorHAnsi" w:hAnsiTheme="minorHAnsi" w:cstheme="minorHAnsi"/>
          <w:sz w:val="16"/>
          <w:szCs w:val="16"/>
        </w:rPr>
        <w:t>12 Non-KPIs 1</w:t>
      </w:r>
      <w:r w:rsidRPr="00E925B8">
        <w:rPr>
          <w:rFonts w:asciiTheme="minorHAnsi" w:hAnsiTheme="minorHAnsi" w:cstheme="minorHAnsi"/>
          <w:sz w:val="16"/>
          <w:szCs w:val="16"/>
          <w:vertAlign w:val="superscript"/>
        </w:rPr>
        <w:t>st</w:t>
      </w:r>
      <w:r w:rsidRPr="00E925B8">
        <w:rPr>
          <w:rFonts w:asciiTheme="minorHAnsi" w:hAnsiTheme="minorHAnsi" w:cstheme="minorHAnsi"/>
          <w:sz w:val="16"/>
          <w:szCs w:val="16"/>
        </w:rPr>
        <w:t xml:space="preserve"> time included into the PEDP3 revised document after MTR as well as ASPR from 2015</w:t>
      </w:r>
    </w:p>
  </w:footnote>
  <w:footnote w:id="9">
    <w:p w:rsidR="00704F97" w:rsidRPr="000529BD" w:rsidRDefault="00704F97" w:rsidP="00805C9D">
      <w:pPr>
        <w:pStyle w:val="FootnoteText"/>
        <w:rPr>
          <w:rFonts w:asciiTheme="minorHAnsi" w:hAnsiTheme="minorHAnsi"/>
          <w:sz w:val="16"/>
          <w:szCs w:val="16"/>
        </w:rPr>
      </w:pPr>
      <w:r>
        <w:rPr>
          <w:rStyle w:val="FootnoteReference"/>
        </w:rPr>
        <w:footnoteRef/>
      </w:r>
      <w:r w:rsidRPr="00A9149D">
        <w:rPr>
          <w:rFonts w:asciiTheme="minorHAnsi" w:hAnsiTheme="minorHAnsi"/>
          <w:sz w:val="16"/>
          <w:szCs w:val="16"/>
        </w:rPr>
        <w:t>As agreed during the MTR Closure and Additional Financing Appraisal, the Year 0 Sector Finance DLI could not be met during the life of the program. Where possible the funds allocated to achieving the Year 0 Sector Finance DLI have been reallocated</w:t>
      </w:r>
    </w:p>
  </w:footnote>
  <w:footnote w:id="10">
    <w:p w:rsidR="00704F97" w:rsidRPr="001E38AC" w:rsidRDefault="00704F97" w:rsidP="00805C9D">
      <w:pPr>
        <w:pStyle w:val="CommentText"/>
        <w:rPr>
          <w:sz w:val="18"/>
          <w:szCs w:val="18"/>
        </w:rPr>
      </w:pPr>
      <w:r w:rsidRPr="00C14B69">
        <w:rPr>
          <w:rStyle w:val="FootnoteReference"/>
          <w:sz w:val="20"/>
          <w:szCs w:val="20"/>
        </w:rPr>
        <w:footnoteRef/>
      </w:r>
      <w:r w:rsidRPr="001E38AC">
        <w:rPr>
          <w:sz w:val="18"/>
          <w:szCs w:val="18"/>
        </w:rPr>
        <w:t>“As agreed during the MTR Closure and Additional Financing Appraisal, where possible the funds allocated to achieving the Year 0 Sector Finance DLI will be reallocated.”</w:t>
      </w:r>
    </w:p>
    <w:p w:rsidR="00704F97" w:rsidRPr="00C14B69" w:rsidRDefault="00704F97" w:rsidP="00805C9D">
      <w:pPr>
        <w:pStyle w:val="FootnoteText"/>
        <w:rPr>
          <w:lang w:val="en-US"/>
        </w:rPr>
      </w:pPr>
    </w:p>
  </w:footnote>
  <w:footnote w:id="11">
    <w:p w:rsidR="00704F97" w:rsidRPr="00106AC6" w:rsidRDefault="00704F97" w:rsidP="00775F33">
      <w:pPr>
        <w:pStyle w:val="FootnoteText"/>
      </w:pPr>
      <w:r>
        <w:rPr>
          <w:rStyle w:val="FootnoteReference"/>
        </w:rPr>
        <w:footnoteRef/>
      </w:r>
      <w:r>
        <w:t xml:space="preserve"> As an example, t</w:t>
      </w:r>
      <w:r w:rsidRPr="00106AC6">
        <w:t>here is the further complication</w:t>
      </w:r>
      <w:r>
        <w:t xml:space="preserve">on </w:t>
      </w:r>
      <w:r w:rsidRPr="00106AC6">
        <w:t xml:space="preserve"> how t</w:t>
      </w:r>
      <w:r>
        <w:t>o treat those enrolled in the Q</w:t>
      </w:r>
      <w:r w:rsidRPr="00106AC6">
        <w:t>u</w:t>
      </w:r>
      <w:r>
        <w:t>a</w:t>
      </w:r>
      <w:r w:rsidRPr="00106AC6">
        <w:t>miMadrashahs</w:t>
      </w:r>
      <w:r>
        <w:t xml:space="preserve"> as in-school or out-of-school</w:t>
      </w:r>
      <w:r w:rsidRPr="00106AC6">
        <w:t xml:space="preserve">. In </w:t>
      </w:r>
      <w:r>
        <w:t>2010, a sample survey of 10% of d</w:t>
      </w:r>
      <w:r w:rsidRPr="00106AC6">
        <w:t>istricts discovered more than 60,000 students- of all ages</w:t>
      </w:r>
      <w:r>
        <w:rPr>
          <w:b/>
        </w:rPr>
        <w:t xml:space="preserve">were not included in APSC </w:t>
      </w:r>
      <w:r>
        <w:t>[ADB Madrashahs study 2011)</w:t>
      </w:r>
      <w:r w:rsidRPr="00106AC6">
        <w:t>.</w:t>
      </w:r>
    </w:p>
  </w:footnote>
  <w:footnote w:id="12">
    <w:p w:rsidR="00704F97" w:rsidRDefault="00704F97" w:rsidP="00F90FC0">
      <w:pPr>
        <w:pStyle w:val="FootnoteText"/>
      </w:pPr>
      <w:r>
        <w:rPr>
          <w:rStyle w:val="FootnoteReference"/>
        </w:rPr>
        <w:footnoteRef/>
      </w:r>
      <w:r>
        <w:t xml:space="preserve">MoF </w:t>
      </w:r>
      <w:r w:rsidRPr="006D6482">
        <w:t>Sub-delegation of Financial Power (AM/AB/BAN-</w:t>
      </w:r>
      <w:r>
        <w:t>s</w:t>
      </w:r>
      <w:r w:rsidRPr="006D6482">
        <w:t>/DP-1/2000/12</w:t>
      </w:r>
      <w:r>
        <w:t xml:space="preserve">),  Dated 03.02.2l005 </w:t>
      </w:r>
      <w:r>
        <w:tab/>
      </w:r>
    </w:p>
  </w:footnote>
  <w:footnote w:id="13">
    <w:p w:rsidR="00704F97" w:rsidRPr="00BA55F4" w:rsidRDefault="00704F97" w:rsidP="00CF13DC">
      <w:pPr>
        <w:pStyle w:val="FootnoteText"/>
      </w:pPr>
      <w:r w:rsidRPr="00BA55F4">
        <w:rPr>
          <w:rStyle w:val="FootnoteReference"/>
          <w:b/>
        </w:rPr>
        <w:footnoteRef/>
      </w:r>
      <w:r>
        <w:t xml:space="preserve"> Allocation for UPEP</w:t>
      </w:r>
      <w:r w:rsidRPr="00BA55F4">
        <w:t xml:space="preserve"> is only for UPEP planning, not for UPEP implementation</w:t>
      </w:r>
    </w:p>
  </w:footnote>
  <w:footnote w:id="14">
    <w:p w:rsidR="00704F97" w:rsidRPr="00BA55F4" w:rsidRDefault="00704F97" w:rsidP="00641449">
      <w:pPr>
        <w:pStyle w:val="FootnoteText"/>
      </w:pPr>
      <w:r w:rsidRPr="00BA55F4">
        <w:rPr>
          <w:rStyle w:val="FootnoteReference"/>
          <w:b/>
        </w:rPr>
        <w:footnoteRef/>
      </w:r>
      <w:r w:rsidRPr="00BA55F4">
        <w:t xml:space="preserve"> Allocation for UPEP in </w:t>
      </w:r>
      <w:r>
        <w:t>FY 2013/14 – 2015/16</w:t>
      </w:r>
      <w:r w:rsidRPr="00BA55F4">
        <w:t xml:space="preserve"> is only for UPEP planning, not for UPEP implementation</w:t>
      </w:r>
      <w:r>
        <w:t>.</w:t>
      </w:r>
    </w:p>
  </w:footnote>
  <w:footnote w:id="15">
    <w:p w:rsidR="00704F97" w:rsidRDefault="00704F97" w:rsidP="00992ABD">
      <w:pPr>
        <w:pStyle w:val="FootnoteText"/>
      </w:pPr>
      <w:r>
        <w:rPr>
          <w:rStyle w:val="FootnoteReference"/>
          <w:rFonts w:eastAsia="MS Mincho"/>
        </w:rPr>
        <w:footnoteRef/>
      </w:r>
      <w:r>
        <w:t>There is an important caveat to these enrolment rate figures of CELS: the population of children with a disability reported here (197,159) represents less than 1% of the population aged 3–14 years; this is much lower than would normally be expected.</w:t>
      </w:r>
    </w:p>
  </w:footnote>
  <w:footnote w:id="16">
    <w:p w:rsidR="00704F97" w:rsidRPr="007A1236" w:rsidRDefault="00704F97">
      <w:pPr>
        <w:pStyle w:val="FootnoteText"/>
        <w:rPr>
          <w:lang w:val="en-US"/>
        </w:rPr>
      </w:pPr>
      <w:r>
        <w:rPr>
          <w:rStyle w:val="FootnoteReference"/>
        </w:rPr>
        <w:footnoteRef/>
      </w:r>
      <w:r w:rsidRPr="004A14B8">
        <w:t xml:space="preserve">It was assumed that tap water is generally arsenic free. A total of 3,688 GPS and 1,649 NNPS Head Teachers reported that they have tap water and 100% of this water is arsenic free. Tap water was not arsenic tested and the number of school </w:t>
      </w:r>
      <w:r w:rsidRPr="004A14B8">
        <w:rPr>
          <w:color w:val="7F7F7F" w:themeColor="text1" w:themeTint="80"/>
          <w:sz w:val="20"/>
        </w:rPr>
        <w:t xml:space="preserve">that have been </w:t>
      </w:r>
      <w:r w:rsidRPr="004A14B8">
        <w:t>tested is significantly low, only 303 GPS and 142 NNPS tested in 2014 but no tube wells were tested</w:t>
      </w:r>
      <w:r>
        <w:t xml:space="preserve"> in 2015.</w:t>
      </w:r>
    </w:p>
  </w:footnote>
  <w:footnote w:id="17">
    <w:p w:rsidR="00704F97" w:rsidRDefault="00704F97" w:rsidP="00586EC5">
      <w:pPr>
        <w:pStyle w:val="FootnoteText"/>
        <w:rPr>
          <w:lang w:val="en-US"/>
        </w:rPr>
      </w:pPr>
      <w:r>
        <w:rPr>
          <w:rStyle w:val="FootnoteReference"/>
          <w:rFonts w:eastAsia="MS Mincho"/>
        </w:rPr>
        <w:footnoteRef/>
      </w:r>
      <w:r>
        <w:rPr>
          <w:lang w:val="en-US"/>
        </w:rPr>
        <w:t xml:space="preserve">SLIP fund used  TK. 30,00 per school until FY 2014/15, when revised </w:t>
      </w:r>
      <w:r>
        <w:rPr>
          <w:b/>
          <w:lang w:val="en-US"/>
        </w:rPr>
        <w:t>to</w:t>
      </w:r>
      <w:r>
        <w:rPr>
          <w:lang w:val="en-US"/>
        </w:rPr>
        <w:t xml:space="preserve"> TK. 40,000 per school from the 2015/16 FY based on </w:t>
      </w:r>
      <w:r>
        <w:rPr>
          <w:b/>
          <w:lang w:val="en-US"/>
        </w:rPr>
        <w:t xml:space="preserve">a recommendation of the </w:t>
      </w:r>
      <w:r>
        <w:rPr>
          <w:lang w:val="en-US"/>
        </w:rPr>
        <w:t>Public Expenditure Tracking Survey.</w:t>
      </w:r>
    </w:p>
  </w:footnote>
  <w:footnote w:id="18">
    <w:p w:rsidR="00704F97" w:rsidRDefault="00704F97" w:rsidP="00E14D24">
      <w:pPr>
        <w:pStyle w:val="FootnoteText"/>
      </w:pPr>
      <w:r>
        <w:rPr>
          <w:rStyle w:val="FootnoteReference"/>
        </w:rPr>
        <w:footnoteRef/>
      </w:r>
      <w:r>
        <w:t xml:space="preserve">Westbrook, J. Durrani, N. </w:t>
      </w:r>
      <w:r w:rsidRPr="001E7168">
        <w:t>Brown, R., Orr, D., Pryor, J., Boddy, J., and Salvi, F. (2013). Pedagogy, Curriculum, Teaching Practices and Teacher Education in Developing Countries: Final Report. Education Rigorous Literature Review, EPPI-Centre, Social Science Research Unit: Institute of Education, University of London.</w:t>
      </w:r>
    </w:p>
  </w:footnote>
  <w:footnote w:id="19">
    <w:p w:rsidR="00704F97" w:rsidRPr="00F75532" w:rsidRDefault="00704F97" w:rsidP="004704B5">
      <w:pPr>
        <w:pStyle w:val="FootnoteText"/>
        <w:rPr>
          <w:rFonts w:asciiTheme="majorHAnsi" w:hAnsiTheme="majorHAnsi"/>
        </w:rPr>
      </w:pPr>
      <w:r w:rsidRPr="00F75532">
        <w:rPr>
          <w:rStyle w:val="FootnoteReference"/>
          <w:rFonts w:asciiTheme="majorHAnsi" w:hAnsiTheme="majorHAnsi"/>
        </w:rPr>
        <w:footnoteRef/>
      </w:r>
      <w:r w:rsidRPr="00F75532">
        <w:rPr>
          <w:rFonts w:asciiTheme="majorHAnsi" w:hAnsiTheme="majorHAnsi"/>
        </w:rPr>
        <w:t xml:space="preserve"> KPI 9B is an EU only disbursement trigger, starting in 2010.</w:t>
      </w:r>
    </w:p>
  </w:footnote>
  <w:footnote w:id="20">
    <w:p w:rsidR="00704F97" w:rsidRPr="00144CDD" w:rsidRDefault="00704F97" w:rsidP="004704B5">
      <w:pPr>
        <w:pStyle w:val="FootnoteText"/>
      </w:pPr>
      <w:r w:rsidRPr="00F75532">
        <w:rPr>
          <w:rStyle w:val="FootnoteReference"/>
          <w:rFonts w:asciiTheme="majorHAnsi" w:hAnsiTheme="majorHAnsi"/>
        </w:rPr>
        <w:footnoteRef/>
      </w:r>
      <w:r w:rsidRPr="00F75532">
        <w:rPr>
          <w:rFonts w:asciiTheme="majorHAnsi" w:hAnsiTheme="majorHAnsi"/>
        </w:rPr>
        <w:t xml:space="preserve"> KPI 9 and 12 is an EU only disbursement trigger, starting in 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8.85pt;height:8.85pt" o:bullet="t">
        <v:imagedata r:id="rId1" o:title="BD14532_"/>
      </v:shape>
    </w:pict>
  </w:numPicBullet>
  <w:numPicBullet w:numPicBulletId="1">
    <w:pict>
      <v:shape id="_x0000_i1183" type="#_x0000_t75" style="width:8.85pt;height:8.85pt" o:bullet="t">
        <v:imagedata r:id="rId2" o:title="BD14532_"/>
      </v:shape>
    </w:pict>
  </w:numPicBullet>
  <w:numPicBullet w:numPicBulletId="2">
    <w:pict>
      <v:shape id="_x0000_i1184" type="#_x0000_t75" style="width:11.55pt;height:11.55pt" o:bullet="t">
        <v:imagedata r:id="rId3" o:title="mso1C5D"/>
      </v:shape>
    </w:pict>
  </w:numPicBullet>
  <w:abstractNum w:abstractNumId="0">
    <w:nsid w:val="00043817"/>
    <w:multiLevelType w:val="hybridMultilevel"/>
    <w:tmpl w:val="54CEB338"/>
    <w:lvl w:ilvl="0" w:tplc="E0D6EFD6">
      <w:start w:val="1"/>
      <w:numFmt w:val="decimal"/>
      <w:lvlText w:val="%1."/>
      <w:lvlJc w:val="left"/>
      <w:pPr>
        <w:ind w:left="360" w:hanging="360"/>
      </w:pPr>
      <w:rPr>
        <w:rFonts w:hint="default"/>
        <w:color w:val="3333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372E6"/>
    <w:multiLevelType w:val="hybridMultilevel"/>
    <w:tmpl w:val="6E52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513ADA"/>
    <w:multiLevelType w:val="hybridMultilevel"/>
    <w:tmpl w:val="002291B8"/>
    <w:lvl w:ilvl="0" w:tplc="E072160C">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8E5EE6"/>
    <w:multiLevelType w:val="hybridMultilevel"/>
    <w:tmpl w:val="4664C752"/>
    <w:lvl w:ilvl="0" w:tplc="265028C8">
      <w:start w:val="1"/>
      <w:numFmt w:val="bullet"/>
      <w:lvlText w:val=""/>
      <w:lvlPicBulletId w:val="1"/>
      <w:lvlJc w:val="left"/>
      <w:pPr>
        <w:ind w:left="810" w:hanging="360"/>
      </w:pPr>
      <w:rPr>
        <w:rFonts w:ascii="Symbol" w:hAnsi="Symbol" w:hint="default"/>
        <w:color w:val="auto"/>
        <w:sz w:val="16"/>
        <w:szCs w:val="16"/>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01C17AF6"/>
    <w:multiLevelType w:val="hybridMultilevel"/>
    <w:tmpl w:val="E4201C58"/>
    <w:lvl w:ilvl="0" w:tplc="04090005">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5">
    <w:nsid w:val="03A32A87"/>
    <w:multiLevelType w:val="hybridMultilevel"/>
    <w:tmpl w:val="B3401F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157DE6"/>
    <w:multiLevelType w:val="hybridMultilevel"/>
    <w:tmpl w:val="5D16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1B6CB9"/>
    <w:multiLevelType w:val="hybridMultilevel"/>
    <w:tmpl w:val="74CA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E3010C"/>
    <w:multiLevelType w:val="hybridMultilevel"/>
    <w:tmpl w:val="7B0E4512"/>
    <w:lvl w:ilvl="0" w:tplc="F2B46D96">
      <w:start w:val="1"/>
      <w:numFmt w:val="bullet"/>
      <w:lvlText w:val=""/>
      <w:lvlJc w:val="left"/>
      <w:pPr>
        <w:ind w:left="720" w:hanging="360"/>
      </w:pPr>
      <w:rPr>
        <w:rFonts w:ascii="Symbol" w:hAnsi="Symbol" w:hint="default"/>
      </w:rPr>
    </w:lvl>
    <w:lvl w:ilvl="1" w:tplc="78665FC6" w:tentative="1">
      <w:start w:val="1"/>
      <w:numFmt w:val="bullet"/>
      <w:lvlText w:val="o"/>
      <w:lvlJc w:val="left"/>
      <w:pPr>
        <w:ind w:left="1440" w:hanging="360"/>
      </w:pPr>
      <w:rPr>
        <w:rFonts w:ascii="Courier New" w:hAnsi="Courier New" w:cs="Courier New" w:hint="default"/>
      </w:rPr>
    </w:lvl>
    <w:lvl w:ilvl="2" w:tplc="B4EAE994" w:tentative="1">
      <w:start w:val="1"/>
      <w:numFmt w:val="bullet"/>
      <w:lvlText w:val=""/>
      <w:lvlJc w:val="left"/>
      <w:pPr>
        <w:ind w:left="2160" w:hanging="360"/>
      </w:pPr>
      <w:rPr>
        <w:rFonts w:ascii="Wingdings" w:hAnsi="Wingdings" w:hint="default"/>
      </w:rPr>
    </w:lvl>
    <w:lvl w:ilvl="3" w:tplc="61820FB8" w:tentative="1">
      <w:start w:val="1"/>
      <w:numFmt w:val="bullet"/>
      <w:lvlText w:val=""/>
      <w:lvlJc w:val="left"/>
      <w:pPr>
        <w:ind w:left="2880" w:hanging="360"/>
      </w:pPr>
      <w:rPr>
        <w:rFonts w:ascii="Symbol" w:hAnsi="Symbol" w:hint="default"/>
      </w:rPr>
    </w:lvl>
    <w:lvl w:ilvl="4" w:tplc="731C7986" w:tentative="1">
      <w:start w:val="1"/>
      <w:numFmt w:val="bullet"/>
      <w:lvlText w:val="o"/>
      <w:lvlJc w:val="left"/>
      <w:pPr>
        <w:ind w:left="3600" w:hanging="360"/>
      </w:pPr>
      <w:rPr>
        <w:rFonts w:ascii="Courier New" w:hAnsi="Courier New" w:cs="Courier New" w:hint="default"/>
      </w:rPr>
    </w:lvl>
    <w:lvl w:ilvl="5" w:tplc="7E46A75E" w:tentative="1">
      <w:start w:val="1"/>
      <w:numFmt w:val="bullet"/>
      <w:lvlText w:val=""/>
      <w:lvlJc w:val="left"/>
      <w:pPr>
        <w:ind w:left="4320" w:hanging="360"/>
      </w:pPr>
      <w:rPr>
        <w:rFonts w:ascii="Wingdings" w:hAnsi="Wingdings" w:hint="default"/>
      </w:rPr>
    </w:lvl>
    <w:lvl w:ilvl="6" w:tplc="54DAB91E" w:tentative="1">
      <w:start w:val="1"/>
      <w:numFmt w:val="bullet"/>
      <w:lvlText w:val=""/>
      <w:lvlJc w:val="left"/>
      <w:pPr>
        <w:ind w:left="5040" w:hanging="360"/>
      </w:pPr>
      <w:rPr>
        <w:rFonts w:ascii="Symbol" w:hAnsi="Symbol" w:hint="default"/>
      </w:rPr>
    </w:lvl>
    <w:lvl w:ilvl="7" w:tplc="463CF512" w:tentative="1">
      <w:start w:val="1"/>
      <w:numFmt w:val="bullet"/>
      <w:lvlText w:val="o"/>
      <w:lvlJc w:val="left"/>
      <w:pPr>
        <w:ind w:left="5760" w:hanging="360"/>
      </w:pPr>
      <w:rPr>
        <w:rFonts w:ascii="Courier New" w:hAnsi="Courier New" w:cs="Courier New" w:hint="default"/>
      </w:rPr>
    </w:lvl>
    <w:lvl w:ilvl="8" w:tplc="37981802" w:tentative="1">
      <w:start w:val="1"/>
      <w:numFmt w:val="bullet"/>
      <w:lvlText w:val=""/>
      <w:lvlJc w:val="left"/>
      <w:pPr>
        <w:ind w:left="6480" w:hanging="360"/>
      </w:pPr>
      <w:rPr>
        <w:rFonts w:ascii="Wingdings" w:hAnsi="Wingdings" w:hint="default"/>
      </w:rPr>
    </w:lvl>
  </w:abstractNum>
  <w:abstractNum w:abstractNumId="9">
    <w:nsid w:val="0D37313E"/>
    <w:multiLevelType w:val="multilevel"/>
    <w:tmpl w:val="BF14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D5412E7"/>
    <w:multiLevelType w:val="hybridMultilevel"/>
    <w:tmpl w:val="98F8DBAC"/>
    <w:lvl w:ilvl="0" w:tplc="04090005">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1">
    <w:nsid w:val="0DB92D7F"/>
    <w:multiLevelType w:val="hybridMultilevel"/>
    <w:tmpl w:val="49C0D886"/>
    <w:lvl w:ilvl="0" w:tplc="0409000F">
      <w:start w:val="1"/>
      <w:numFmt w:val="bullet"/>
      <w:lvlText w:val="-"/>
      <w:lvlJc w:val="left"/>
      <w:pPr>
        <w:ind w:left="720" w:hanging="360"/>
      </w:pPr>
      <w:rPr>
        <w:rFonts w:ascii="Arial" w:eastAsia="Calibri" w:hAnsi="Arial" w:cs="Arial" w:hint="default"/>
        <w:color w:val="00000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0EF21697"/>
    <w:multiLevelType w:val="multilevel"/>
    <w:tmpl w:val="5AAC01E8"/>
    <w:lvl w:ilvl="0">
      <w:start w:val="1"/>
      <w:numFmt w:val="decimal"/>
      <w:pStyle w:val="Heading1"/>
      <w:lvlText w:val="%1."/>
      <w:lvlJc w:val="left"/>
      <w:pPr>
        <w:tabs>
          <w:tab w:val="num" w:pos="0"/>
        </w:tabs>
        <w:ind w:left="0" w:firstLine="0"/>
      </w:pPr>
      <w:rPr>
        <w:rFonts w:ascii="Arial" w:hAnsi="Arial" w:hint="default"/>
        <w:b/>
        <w:i w:val="0"/>
        <w:sz w:val="32"/>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5580"/>
        </w:tabs>
        <w:ind w:left="558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11034B91"/>
    <w:multiLevelType w:val="hybridMultilevel"/>
    <w:tmpl w:val="5C6E505E"/>
    <w:lvl w:ilvl="0" w:tplc="5EEC00D2">
      <w:start w:val="1"/>
      <w:numFmt w:val="bullet"/>
      <w:lvlText w:val=""/>
      <w:lvlJc w:val="left"/>
      <w:pPr>
        <w:ind w:left="813" w:hanging="360"/>
      </w:pPr>
      <w:rPr>
        <w:rFonts w:ascii="Wingdings" w:hAnsi="Wingdings" w:hint="default"/>
      </w:rPr>
    </w:lvl>
    <w:lvl w:ilvl="1" w:tplc="F99C6DC2" w:tentative="1">
      <w:start w:val="1"/>
      <w:numFmt w:val="bullet"/>
      <w:lvlText w:val="o"/>
      <w:lvlJc w:val="left"/>
      <w:pPr>
        <w:ind w:left="1533" w:hanging="360"/>
      </w:pPr>
      <w:rPr>
        <w:rFonts w:ascii="Courier New" w:hAnsi="Courier New" w:cs="Courier New" w:hint="default"/>
      </w:rPr>
    </w:lvl>
    <w:lvl w:ilvl="2" w:tplc="26AE253E" w:tentative="1">
      <w:start w:val="1"/>
      <w:numFmt w:val="bullet"/>
      <w:lvlText w:val=""/>
      <w:lvlJc w:val="left"/>
      <w:pPr>
        <w:ind w:left="2253" w:hanging="360"/>
      </w:pPr>
      <w:rPr>
        <w:rFonts w:ascii="Wingdings" w:hAnsi="Wingdings" w:hint="default"/>
      </w:rPr>
    </w:lvl>
    <w:lvl w:ilvl="3" w:tplc="3470F8AA" w:tentative="1">
      <w:start w:val="1"/>
      <w:numFmt w:val="bullet"/>
      <w:lvlText w:val=""/>
      <w:lvlJc w:val="left"/>
      <w:pPr>
        <w:ind w:left="2973" w:hanging="360"/>
      </w:pPr>
      <w:rPr>
        <w:rFonts w:ascii="Symbol" w:hAnsi="Symbol" w:hint="default"/>
      </w:rPr>
    </w:lvl>
    <w:lvl w:ilvl="4" w:tplc="20C2F800" w:tentative="1">
      <w:start w:val="1"/>
      <w:numFmt w:val="bullet"/>
      <w:lvlText w:val="o"/>
      <w:lvlJc w:val="left"/>
      <w:pPr>
        <w:ind w:left="3693" w:hanging="360"/>
      </w:pPr>
      <w:rPr>
        <w:rFonts w:ascii="Courier New" w:hAnsi="Courier New" w:cs="Courier New" w:hint="default"/>
      </w:rPr>
    </w:lvl>
    <w:lvl w:ilvl="5" w:tplc="CDDC239E" w:tentative="1">
      <w:start w:val="1"/>
      <w:numFmt w:val="bullet"/>
      <w:lvlText w:val=""/>
      <w:lvlJc w:val="left"/>
      <w:pPr>
        <w:ind w:left="4413" w:hanging="360"/>
      </w:pPr>
      <w:rPr>
        <w:rFonts w:ascii="Wingdings" w:hAnsi="Wingdings" w:hint="default"/>
      </w:rPr>
    </w:lvl>
    <w:lvl w:ilvl="6" w:tplc="AC76D6C2" w:tentative="1">
      <w:start w:val="1"/>
      <w:numFmt w:val="bullet"/>
      <w:lvlText w:val=""/>
      <w:lvlJc w:val="left"/>
      <w:pPr>
        <w:ind w:left="5133" w:hanging="360"/>
      </w:pPr>
      <w:rPr>
        <w:rFonts w:ascii="Symbol" w:hAnsi="Symbol" w:hint="default"/>
      </w:rPr>
    </w:lvl>
    <w:lvl w:ilvl="7" w:tplc="5532F624" w:tentative="1">
      <w:start w:val="1"/>
      <w:numFmt w:val="bullet"/>
      <w:lvlText w:val="o"/>
      <w:lvlJc w:val="left"/>
      <w:pPr>
        <w:ind w:left="5853" w:hanging="360"/>
      </w:pPr>
      <w:rPr>
        <w:rFonts w:ascii="Courier New" w:hAnsi="Courier New" w:cs="Courier New" w:hint="default"/>
      </w:rPr>
    </w:lvl>
    <w:lvl w:ilvl="8" w:tplc="7548A604" w:tentative="1">
      <w:start w:val="1"/>
      <w:numFmt w:val="bullet"/>
      <w:lvlText w:val=""/>
      <w:lvlJc w:val="left"/>
      <w:pPr>
        <w:ind w:left="6573" w:hanging="360"/>
      </w:pPr>
      <w:rPr>
        <w:rFonts w:ascii="Wingdings" w:hAnsi="Wingdings" w:hint="default"/>
      </w:rPr>
    </w:lvl>
  </w:abstractNum>
  <w:abstractNum w:abstractNumId="14">
    <w:nsid w:val="117F596A"/>
    <w:multiLevelType w:val="hybridMultilevel"/>
    <w:tmpl w:val="40426F7A"/>
    <w:lvl w:ilvl="0" w:tplc="09F2090E">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11B75AF1"/>
    <w:multiLevelType w:val="hybridMultilevel"/>
    <w:tmpl w:val="0FD83432"/>
    <w:lvl w:ilvl="0" w:tplc="329C0F52">
      <w:start w:val="1"/>
      <w:numFmt w:val="bullet"/>
      <w:lvlText w:val=""/>
      <w:lvlJc w:val="left"/>
      <w:pPr>
        <w:ind w:left="1080" w:hanging="360"/>
      </w:pPr>
      <w:rPr>
        <w:rFonts w:ascii="Wingdings" w:hAnsi="Wingdings" w:hint="default"/>
      </w:rPr>
    </w:lvl>
    <w:lvl w:ilvl="1" w:tplc="315020E6" w:tentative="1">
      <w:start w:val="1"/>
      <w:numFmt w:val="bullet"/>
      <w:lvlText w:val="o"/>
      <w:lvlJc w:val="left"/>
      <w:pPr>
        <w:ind w:left="1800" w:hanging="360"/>
      </w:pPr>
      <w:rPr>
        <w:rFonts w:ascii="Courier New" w:hAnsi="Courier New" w:cs="Courier New" w:hint="default"/>
      </w:rPr>
    </w:lvl>
    <w:lvl w:ilvl="2" w:tplc="815AC202" w:tentative="1">
      <w:start w:val="1"/>
      <w:numFmt w:val="bullet"/>
      <w:lvlText w:val=""/>
      <w:lvlJc w:val="left"/>
      <w:pPr>
        <w:ind w:left="2520" w:hanging="360"/>
      </w:pPr>
      <w:rPr>
        <w:rFonts w:ascii="Wingdings" w:hAnsi="Wingdings" w:hint="default"/>
      </w:rPr>
    </w:lvl>
    <w:lvl w:ilvl="3" w:tplc="3BE8BD88" w:tentative="1">
      <w:start w:val="1"/>
      <w:numFmt w:val="bullet"/>
      <w:lvlText w:val=""/>
      <w:lvlJc w:val="left"/>
      <w:pPr>
        <w:ind w:left="3240" w:hanging="360"/>
      </w:pPr>
      <w:rPr>
        <w:rFonts w:ascii="Symbol" w:hAnsi="Symbol" w:hint="default"/>
      </w:rPr>
    </w:lvl>
    <w:lvl w:ilvl="4" w:tplc="8FCE421E" w:tentative="1">
      <w:start w:val="1"/>
      <w:numFmt w:val="bullet"/>
      <w:lvlText w:val="o"/>
      <w:lvlJc w:val="left"/>
      <w:pPr>
        <w:ind w:left="3960" w:hanging="360"/>
      </w:pPr>
      <w:rPr>
        <w:rFonts w:ascii="Courier New" w:hAnsi="Courier New" w:cs="Courier New" w:hint="default"/>
      </w:rPr>
    </w:lvl>
    <w:lvl w:ilvl="5" w:tplc="0B2E3A94" w:tentative="1">
      <w:start w:val="1"/>
      <w:numFmt w:val="bullet"/>
      <w:lvlText w:val=""/>
      <w:lvlJc w:val="left"/>
      <w:pPr>
        <w:ind w:left="4680" w:hanging="360"/>
      </w:pPr>
      <w:rPr>
        <w:rFonts w:ascii="Wingdings" w:hAnsi="Wingdings" w:hint="default"/>
      </w:rPr>
    </w:lvl>
    <w:lvl w:ilvl="6" w:tplc="9140DDE2" w:tentative="1">
      <w:start w:val="1"/>
      <w:numFmt w:val="bullet"/>
      <w:lvlText w:val=""/>
      <w:lvlJc w:val="left"/>
      <w:pPr>
        <w:ind w:left="5400" w:hanging="360"/>
      </w:pPr>
      <w:rPr>
        <w:rFonts w:ascii="Symbol" w:hAnsi="Symbol" w:hint="default"/>
      </w:rPr>
    </w:lvl>
    <w:lvl w:ilvl="7" w:tplc="AAB21CC4" w:tentative="1">
      <w:start w:val="1"/>
      <w:numFmt w:val="bullet"/>
      <w:lvlText w:val="o"/>
      <w:lvlJc w:val="left"/>
      <w:pPr>
        <w:ind w:left="6120" w:hanging="360"/>
      </w:pPr>
      <w:rPr>
        <w:rFonts w:ascii="Courier New" w:hAnsi="Courier New" w:cs="Courier New" w:hint="default"/>
      </w:rPr>
    </w:lvl>
    <w:lvl w:ilvl="8" w:tplc="FC12E7EC" w:tentative="1">
      <w:start w:val="1"/>
      <w:numFmt w:val="bullet"/>
      <w:lvlText w:val=""/>
      <w:lvlJc w:val="left"/>
      <w:pPr>
        <w:ind w:left="6840" w:hanging="360"/>
      </w:pPr>
      <w:rPr>
        <w:rFonts w:ascii="Wingdings" w:hAnsi="Wingdings" w:hint="default"/>
      </w:rPr>
    </w:lvl>
  </w:abstractNum>
  <w:abstractNum w:abstractNumId="16">
    <w:nsid w:val="15A17889"/>
    <w:multiLevelType w:val="hybridMultilevel"/>
    <w:tmpl w:val="8E9C9B28"/>
    <w:lvl w:ilvl="0" w:tplc="F8406E70">
      <w:start w:val="1"/>
      <w:numFmt w:val="bullet"/>
      <w:pStyle w:val="CVListsub-bullet"/>
      <w:lvlText w:val="­"/>
      <w:lvlJc w:val="left"/>
      <w:pPr>
        <w:tabs>
          <w:tab w:val="num" w:pos="2985"/>
        </w:tabs>
        <w:ind w:left="2985" w:hanging="360"/>
      </w:pPr>
      <w:rPr>
        <w:rFonts w:ascii="font207" w:hAnsi="font207" w:hint="default"/>
      </w:rPr>
    </w:lvl>
    <w:lvl w:ilvl="1" w:tplc="30CC6FB4" w:tentative="1">
      <w:start w:val="1"/>
      <w:numFmt w:val="bullet"/>
      <w:lvlText w:val="o"/>
      <w:lvlJc w:val="left"/>
      <w:pPr>
        <w:tabs>
          <w:tab w:val="num" w:pos="4422"/>
        </w:tabs>
        <w:ind w:left="4422" w:hanging="360"/>
      </w:pPr>
      <w:rPr>
        <w:rFonts w:ascii="Courier New" w:hAnsi="Courier New" w:cs="Courier New" w:hint="default"/>
      </w:rPr>
    </w:lvl>
    <w:lvl w:ilvl="2" w:tplc="CEC6405C" w:tentative="1">
      <w:start w:val="1"/>
      <w:numFmt w:val="bullet"/>
      <w:lvlText w:val=""/>
      <w:lvlJc w:val="left"/>
      <w:pPr>
        <w:tabs>
          <w:tab w:val="num" w:pos="5142"/>
        </w:tabs>
        <w:ind w:left="5142" w:hanging="360"/>
      </w:pPr>
      <w:rPr>
        <w:rFonts w:ascii="Wingdings" w:hAnsi="Wingdings" w:hint="default"/>
      </w:rPr>
    </w:lvl>
    <w:lvl w:ilvl="3" w:tplc="7384211C" w:tentative="1">
      <w:start w:val="1"/>
      <w:numFmt w:val="bullet"/>
      <w:lvlText w:val=""/>
      <w:lvlJc w:val="left"/>
      <w:pPr>
        <w:tabs>
          <w:tab w:val="num" w:pos="5862"/>
        </w:tabs>
        <w:ind w:left="5862" w:hanging="360"/>
      </w:pPr>
      <w:rPr>
        <w:rFonts w:ascii="Symbol" w:hAnsi="Symbol" w:hint="default"/>
      </w:rPr>
    </w:lvl>
    <w:lvl w:ilvl="4" w:tplc="8EF02E84" w:tentative="1">
      <w:start w:val="1"/>
      <w:numFmt w:val="bullet"/>
      <w:lvlText w:val="o"/>
      <w:lvlJc w:val="left"/>
      <w:pPr>
        <w:tabs>
          <w:tab w:val="num" w:pos="6582"/>
        </w:tabs>
        <w:ind w:left="6582" w:hanging="360"/>
      </w:pPr>
      <w:rPr>
        <w:rFonts w:ascii="Courier New" w:hAnsi="Courier New" w:cs="Courier New" w:hint="default"/>
      </w:rPr>
    </w:lvl>
    <w:lvl w:ilvl="5" w:tplc="EB1C1132" w:tentative="1">
      <w:start w:val="1"/>
      <w:numFmt w:val="bullet"/>
      <w:lvlText w:val=""/>
      <w:lvlJc w:val="left"/>
      <w:pPr>
        <w:tabs>
          <w:tab w:val="num" w:pos="7302"/>
        </w:tabs>
        <w:ind w:left="7302" w:hanging="360"/>
      </w:pPr>
      <w:rPr>
        <w:rFonts w:ascii="Wingdings" w:hAnsi="Wingdings" w:hint="default"/>
      </w:rPr>
    </w:lvl>
    <w:lvl w:ilvl="6" w:tplc="235007B2" w:tentative="1">
      <w:start w:val="1"/>
      <w:numFmt w:val="bullet"/>
      <w:lvlText w:val=""/>
      <w:lvlJc w:val="left"/>
      <w:pPr>
        <w:tabs>
          <w:tab w:val="num" w:pos="8022"/>
        </w:tabs>
        <w:ind w:left="8022" w:hanging="360"/>
      </w:pPr>
      <w:rPr>
        <w:rFonts w:ascii="Symbol" w:hAnsi="Symbol" w:hint="default"/>
      </w:rPr>
    </w:lvl>
    <w:lvl w:ilvl="7" w:tplc="B1964676" w:tentative="1">
      <w:start w:val="1"/>
      <w:numFmt w:val="bullet"/>
      <w:lvlText w:val="o"/>
      <w:lvlJc w:val="left"/>
      <w:pPr>
        <w:tabs>
          <w:tab w:val="num" w:pos="8742"/>
        </w:tabs>
        <w:ind w:left="8742" w:hanging="360"/>
      </w:pPr>
      <w:rPr>
        <w:rFonts w:ascii="Courier New" w:hAnsi="Courier New" w:cs="Courier New" w:hint="default"/>
      </w:rPr>
    </w:lvl>
    <w:lvl w:ilvl="8" w:tplc="94D05766" w:tentative="1">
      <w:start w:val="1"/>
      <w:numFmt w:val="bullet"/>
      <w:lvlText w:val=""/>
      <w:lvlJc w:val="left"/>
      <w:pPr>
        <w:tabs>
          <w:tab w:val="num" w:pos="9462"/>
        </w:tabs>
        <w:ind w:left="9462" w:hanging="360"/>
      </w:pPr>
      <w:rPr>
        <w:rFonts w:ascii="Wingdings" w:hAnsi="Wingdings" w:hint="default"/>
      </w:rPr>
    </w:lvl>
  </w:abstractNum>
  <w:abstractNum w:abstractNumId="17">
    <w:nsid w:val="161977B3"/>
    <w:multiLevelType w:val="hybridMultilevel"/>
    <w:tmpl w:val="EE7E09AA"/>
    <w:lvl w:ilvl="0" w:tplc="8C1815A6">
      <w:start w:val="6"/>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16957D69"/>
    <w:multiLevelType w:val="hybridMultilevel"/>
    <w:tmpl w:val="5412C8E8"/>
    <w:lvl w:ilvl="0" w:tplc="27288F4C">
      <w:start w:val="1"/>
      <w:numFmt w:val="upperRoman"/>
      <w:lvlText w:val="%1."/>
      <w:lvlJc w:val="right"/>
      <w:pPr>
        <w:ind w:left="720" w:hanging="360"/>
      </w:pPr>
      <w:rPr>
        <w:color w:val="00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A322A6"/>
    <w:multiLevelType w:val="hybridMultilevel"/>
    <w:tmpl w:val="CA60734E"/>
    <w:lvl w:ilvl="0" w:tplc="04090013">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16C3748B"/>
    <w:multiLevelType w:val="hybridMultilevel"/>
    <w:tmpl w:val="0EEA64AC"/>
    <w:lvl w:ilvl="0" w:tplc="43C410E0">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03629C"/>
    <w:multiLevelType w:val="hybridMultilevel"/>
    <w:tmpl w:val="E88C044E"/>
    <w:lvl w:ilvl="0" w:tplc="04090005">
      <w:start w:val="2"/>
      <w:numFmt w:val="upperRoman"/>
      <w:lvlText w:val="%1."/>
      <w:lvlJc w:val="left"/>
      <w:pPr>
        <w:ind w:left="3600" w:hanging="720"/>
      </w:pPr>
      <w:rPr>
        <w:rFonts w:hint="default"/>
        <w:sz w:val="22"/>
      </w:rPr>
    </w:lvl>
    <w:lvl w:ilvl="1" w:tplc="04090003" w:tentative="1">
      <w:start w:val="1"/>
      <w:numFmt w:val="lowerLetter"/>
      <w:lvlText w:val="%2."/>
      <w:lvlJc w:val="left"/>
      <w:pPr>
        <w:ind w:left="3960" w:hanging="360"/>
      </w:pPr>
    </w:lvl>
    <w:lvl w:ilvl="2" w:tplc="04090005" w:tentative="1">
      <w:start w:val="1"/>
      <w:numFmt w:val="lowerRoman"/>
      <w:lvlText w:val="%3."/>
      <w:lvlJc w:val="right"/>
      <w:pPr>
        <w:ind w:left="4680" w:hanging="180"/>
      </w:pPr>
    </w:lvl>
    <w:lvl w:ilvl="3" w:tplc="04090001" w:tentative="1">
      <w:start w:val="1"/>
      <w:numFmt w:val="decimal"/>
      <w:lvlText w:val="%4."/>
      <w:lvlJc w:val="left"/>
      <w:pPr>
        <w:ind w:left="5400" w:hanging="360"/>
      </w:pPr>
    </w:lvl>
    <w:lvl w:ilvl="4" w:tplc="04090003" w:tentative="1">
      <w:start w:val="1"/>
      <w:numFmt w:val="lowerLetter"/>
      <w:lvlText w:val="%5."/>
      <w:lvlJc w:val="left"/>
      <w:pPr>
        <w:ind w:left="6120" w:hanging="360"/>
      </w:pPr>
    </w:lvl>
    <w:lvl w:ilvl="5" w:tplc="04090005" w:tentative="1">
      <w:start w:val="1"/>
      <w:numFmt w:val="lowerRoman"/>
      <w:lvlText w:val="%6."/>
      <w:lvlJc w:val="right"/>
      <w:pPr>
        <w:ind w:left="6840" w:hanging="180"/>
      </w:pPr>
    </w:lvl>
    <w:lvl w:ilvl="6" w:tplc="04090001" w:tentative="1">
      <w:start w:val="1"/>
      <w:numFmt w:val="decimal"/>
      <w:lvlText w:val="%7."/>
      <w:lvlJc w:val="left"/>
      <w:pPr>
        <w:ind w:left="7560" w:hanging="360"/>
      </w:pPr>
    </w:lvl>
    <w:lvl w:ilvl="7" w:tplc="04090003" w:tentative="1">
      <w:start w:val="1"/>
      <w:numFmt w:val="lowerLetter"/>
      <w:lvlText w:val="%8."/>
      <w:lvlJc w:val="left"/>
      <w:pPr>
        <w:ind w:left="8280" w:hanging="360"/>
      </w:pPr>
    </w:lvl>
    <w:lvl w:ilvl="8" w:tplc="04090005" w:tentative="1">
      <w:start w:val="1"/>
      <w:numFmt w:val="lowerRoman"/>
      <w:lvlText w:val="%9."/>
      <w:lvlJc w:val="right"/>
      <w:pPr>
        <w:ind w:left="9000" w:hanging="180"/>
      </w:pPr>
    </w:lvl>
  </w:abstractNum>
  <w:abstractNum w:abstractNumId="22">
    <w:nsid w:val="1C9B1532"/>
    <w:multiLevelType w:val="hybridMultilevel"/>
    <w:tmpl w:val="ABA4669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FA2825"/>
    <w:multiLevelType w:val="hybridMultilevel"/>
    <w:tmpl w:val="89226E16"/>
    <w:lvl w:ilvl="0" w:tplc="0409000D">
      <w:start w:val="1"/>
      <w:numFmt w:val="bullet"/>
      <w:lvlText w:val=""/>
      <w:lvlJc w:val="left"/>
      <w:pPr>
        <w:ind w:left="720" w:hanging="360"/>
      </w:pPr>
      <w:rPr>
        <w:rFonts w:ascii="Wingdings" w:hAnsi="Wingdings" w:hint="default"/>
      </w:rPr>
    </w:lvl>
    <w:lvl w:ilvl="1" w:tplc="7F2AEA44" w:tentative="1">
      <w:start w:val="1"/>
      <w:numFmt w:val="bullet"/>
      <w:lvlText w:val="o"/>
      <w:lvlJc w:val="left"/>
      <w:pPr>
        <w:ind w:left="1440" w:hanging="360"/>
      </w:pPr>
      <w:rPr>
        <w:rFonts w:ascii="Courier New" w:hAnsi="Courier New" w:cs="Courier New" w:hint="default"/>
      </w:rPr>
    </w:lvl>
    <w:lvl w:ilvl="2" w:tplc="DAA692E0" w:tentative="1">
      <w:start w:val="1"/>
      <w:numFmt w:val="bullet"/>
      <w:lvlText w:val=""/>
      <w:lvlJc w:val="left"/>
      <w:pPr>
        <w:ind w:left="2160" w:hanging="360"/>
      </w:pPr>
      <w:rPr>
        <w:rFonts w:ascii="Wingdings" w:hAnsi="Wingdings" w:hint="default"/>
      </w:rPr>
    </w:lvl>
    <w:lvl w:ilvl="3" w:tplc="1CFAFD8A" w:tentative="1">
      <w:start w:val="1"/>
      <w:numFmt w:val="bullet"/>
      <w:lvlText w:val=""/>
      <w:lvlJc w:val="left"/>
      <w:pPr>
        <w:ind w:left="2880" w:hanging="360"/>
      </w:pPr>
      <w:rPr>
        <w:rFonts w:ascii="Symbol" w:hAnsi="Symbol" w:hint="default"/>
      </w:rPr>
    </w:lvl>
    <w:lvl w:ilvl="4" w:tplc="1B82CC0A" w:tentative="1">
      <w:start w:val="1"/>
      <w:numFmt w:val="bullet"/>
      <w:lvlText w:val="o"/>
      <w:lvlJc w:val="left"/>
      <w:pPr>
        <w:ind w:left="3600" w:hanging="360"/>
      </w:pPr>
      <w:rPr>
        <w:rFonts w:ascii="Courier New" w:hAnsi="Courier New" w:cs="Courier New" w:hint="default"/>
      </w:rPr>
    </w:lvl>
    <w:lvl w:ilvl="5" w:tplc="2AF2E13E" w:tentative="1">
      <w:start w:val="1"/>
      <w:numFmt w:val="bullet"/>
      <w:lvlText w:val=""/>
      <w:lvlJc w:val="left"/>
      <w:pPr>
        <w:ind w:left="4320" w:hanging="360"/>
      </w:pPr>
      <w:rPr>
        <w:rFonts w:ascii="Wingdings" w:hAnsi="Wingdings" w:hint="default"/>
      </w:rPr>
    </w:lvl>
    <w:lvl w:ilvl="6" w:tplc="C4A0D416" w:tentative="1">
      <w:start w:val="1"/>
      <w:numFmt w:val="bullet"/>
      <w:lvlText w:val=""/>
      <w:lvlJc w:val="left"/>
      <w:pPr>
        <w:ind w:left="5040" w:hanging="360"/>
      </w:pPr>
      <w:rPr>
        <w:rFonts w:ascii="Symbol" w:hAnsi="Symbol" w:hint="default"/>
      </w:rPr>
    </w:lvl>
    <w:lvl w:ilvl="7" w:tplc="0E10EBB0" w:tentative="1">
      <w:start w:val="1"/>
      <w:numFmt w:val="bullet"/>
      <w:lvlText w:val="o"/>
      <w:lvlJc w:val="left"/>
      <w:pPr>
        <w:ind w:left="5760" w:hanging="360"/>
      </w:pPr>
      <w:rPr>
        <w:rFonts w:ascii="Courier New" w:hAnsi="Courier New" w:cs="Courier New" w:hint="default"/>
      </w:rPr>
    </w:lvl>
    <w:lvl w:ilvl="8" w:tplc="78A82E46" w:tentative="1">
      <w:start w:val="1"/>
      <w:numFmt w:val="bullet"/>
      <w:lvlText w:val=""/>
      <w:lvlJc w:val="left"/>
      <w:pPr>
        <w:ind w:left="6480" w:hanging="360"/>
      </w:pPr>
      <w:rPr>
        <w:rFonts w:ascii="Wingdings" w:hAnsi="Wingdings" w:hint="default"/>
      </w:rPr>
    </w:lvl>
  </w:abstractNum>
  <w:abstractNum w:abstractNumId="24">
    <w:nsid w:val="1DFA36F3"/>
    <w:multiLevelType w:val="hybridMultilevel"/>
    <w:tmpl w:val="4C9A162A"/>
    <w:lvl w:ilvl="0" w:tplc="04090001">
      <w:start w:val="1"/>
      <w:numFmt w:val="bullet"/>
      <w:pStyle w:val="ListBullet"/>
      <w:lvlText w:val=""/>
      <w:lvlJc w:val="left"/>
      <w:pPr>
        <w:tabs>
          <w:tab w:val="num" w:pos="720"/>
        </w:tabs>
        <w:ind w:left="720" w:hanging="360"/>
      </w:pPr>
      <w:rPr>
        <w:rFonts w:ascii="Wingdings 2" w:hAnsi="Wingdings 2"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EB9582F"/>
    <w:multiLevelType w:val="hybridMultilevel"/>
    <w:tmpl w:val="DA6C05B0"/>
    <w:lvl w:ilvl="0" w:tplc="74F8ECFA">
      <w:start w:val="1"/>
      <w:numFmt w:val="upperRoman"/>
      <w:lvlText w:val="%1."/>
      <w:lvlJc w:val="right"/>
      <w:pPr>
        <w:ind w:left="450" w:hanging="360"/>
      </w:pPr>
      <w:rPr>
        <w:rFonts w:hint="default"/>
        <w:b/>
        <w:i/>
        <w:color w:val="00800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1ECB0750"/>
    <w:multiLevelType w:val="multilevel"/>
    <w:tmpl w:val="BF2ED8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Cambria" w:hAnsi="Cambria" w:hint="default"/>
        <w:b/>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0701D13"/>
    <w:multiLevelType w:val="hybridMultilevel"/>
    <w:tmpl w:val="3E246F98"/>
    <w:lvl w:ilvl="0" w:tplc="A54A7CAE">
      <w:start w:val="1"/>
      <w:numFmt w:val="lowerLetter"/>
      <w:lvlText w:val="%1)"/>
      <w:lvlJc w:val="left"/>
      <w:pPr>
        <w:ind w:left="720" w:hanging="360"/>
      </w:pPr>
    </w:lvl>
    <w:lvl w:ilvl="1" w:tplc="A0266CEE" w:tentative="1">
      <w:start w:val="1"/>
      <w:numFmt w:val="lowerLetter"/>
      <w:lvlText w:val="%2."/>
      <w:lvlJc w:val="left"/>
      <w:pPr>
        <w:ind w:left="1440" w:hanging="360"/>
      </w:pPr>
    </w:lvl>
    <w:lvl w:ilvl="2" w:tplc="75409CC6" w:tentative="1">
      <w:start w:val="1"/>
      <w:numFmt w:val="lowerRoman"/>
      <w:lvlText w:val="%3."/>
      <w:lvlJc w:val="right"/>
      <w:pPr>
        <w:ind w:left="2160" w:hanging="180"/>
      </w:pPr>
    </w:lvl>
    <w:lvl w:ilvl="3" w:tplc="EBFEEEE0" w:tentative="1">
      <w:start w:val="1"/>
      <w:numFmt w:val="decimal"/>
      <w:lvlText w:val="%4."/>
      <w:lvlJc w:val="left"/>
      <w:pPr>
        <w:ind w:left="2880" w:hanging="360"/>
      </w:pPr>
    </w:lvl>
    <w:lvl w:ilvl="4" w:tplc="8D28D98C" w:tentative="1">
      <w:start w:val="1"/>
      <w:numFmt w:val="lowerLetter"/>
      <w:lvlText w:val="%5."/>
      <w:lvlJc w:val="left"/>
      <w:pPr>
        <w:ind w:left="3600" w:hanging="360"/>
      </w:pPr>
    </w:lvl>
    <w:lvl w:ilvl="5" w:tplc="53647BC6" w:tentative="1">
      <w:start w:val="1"/>
      <w:numFmt w:val="lowerRoman"/>
      <w:lvlText w:val="%6."/>
      <w:lvlJc w:val="right"/>
      <w:pPr>
        <w:ind w:left="4320" w:hanging="180"/>
      </w:pPr>
    </w:lvl>
    <w:lvl w:ilvl="6" w:tplc="D4345B66" w:tentative="1">
      <w:start w:val="1"/>
      <w:numFmt w:val="decimal"/>
      <w:lvlText w:val="%7."/>
      <w:lvlJc w:val="left"/>
      <w:pPr>
        <w:ind w:left="5040" w:hanging="360"/>
      </w:pPr>
    </w:lvl>
    <w:lvl w:ilvl="7" w:tplc="C2CEE8B6" w:tentative="1">
      <w:start w:val="1"/>
      <w:numFmt w:val="lowerLetter"/>
      <w:lvlText w:val="%8."/>
      <w:lvlJc w:val="left"/>
      <w:pPr>
        <w:ind w:left="5760" w:hanging="360"/>
      </w:pPr>
    </w:lvl>
    <w:lvl w:ilvl="8" w:tplc="0FDA7A98" w:tentative="1">
      <w:start w:val="1"/>
      <w:numFmt w:val="lowerRoman"/>
      <w:lvlText w:val="%9."/>
      <w:lvlJc w:val="right"/>
      <w:pPr>
        <w:ind w:left="6480" w:hanging="180"/>
      </w:pPr>
    </w:lvl>
  </w:abstractNum>
  <w:abstractNum w:abstractNumId="28">
    <w:nsid w:val="20896966"/>
    <w:multiLevelType w:val="hybridMultilevel"/>
    <w:tmpl w:val="24448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0DC5F73"/>
    <w:multiLevelType w:val="hybridMultilevel"/>
    <w:tmpl w:val="0FAE07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705802"/>
    <w:multiLevelType w:val="hybridMultilevel"/>
    <w:tmpl w:val="E40AF5E4"/>
    <w:lvl w:ilvl="0" w:tplc="5E0C9048">
      <w:start w:val="2"/>
      <w:numFmt w:val="upperRoman"/>
      <w:lvlText w:val="%1."/>
      <w:lvlJc w:val="left"/>
      <w:pPr>
        <w:ind w:left="2880" w:hanging="720"/>
      </w:pPr>
      <w:rPr>
        <w:rFonts w:hint="default"/>
        <w:sz w:val="22"/>
      </w:rPr>
    </w:lvl>
    <w:lvl w:ilvl="1" w:tplc="08090003" w:tentative="1">
      <w:start w:val="1"/>
      <w:numFmt w:val="lowerLetter"/>
      <w:lvlText w:val="%2."/>
      <w:lvlJc w:val="left"/>
      <w:pPr>
        <w:ind w:left="3240" w:hanging="360"/>
      </w:pPr>
    </w:lvl>
    <w:lvl w:ilvl="2" w:tplc="08090005" w:tentative="1">
      <w:start w:val="1"/>
      <w:numFmt w:val="lowerRoman"/>
      <w:lvlText w:val="%3."/>
      <w:lvlJc w:val="right"/>
      <w:pPr>
        <w:ind w:left="3960" w:hanging="180"/>
      </w:pPr>
    </w:lvl>
    <w:lvl w:ilvl="3" w:tplc="08090001" w:tentative="1">
      <w:start w:val="1"/>
      <w:numFmt w:val="decimal"/>
      <w:lvlText w:val="%4."/>
      <w:lvlJc w:val="left"/>
      <w:pPr>
        <w:ind w:left="4680" w:hanging="360"/>
      </w:pPr>
    </w:lvl>
    <w:lvl w:ilvl="4" w:tplc="08090003" w:tentative="1">
      <w:start w:val="1"/>
      <w:numFmt w:val="lowerLetter"/>
      <w:lvlText w:val="%5."/>
      <w:lvlJc w:val="left"/>
      <w:pPr>
        <w:ind w:left="5400" w:hanging="360"/>
      </w:pPr>
    </w:lvl>
    <w:lvl w:ilvl="5" w:tplc="08090005" w:tentative="1">
      <w:start w:val="1"/>
      <w:numFmt w:val="lowerRoman"/>
      <w:lvlText w:val="%6."/>
      <w:lvlJc w:val="right"/>
      <w:pPr>
        <w:ind w:left="6120" w:hanging="180"/>
      </w:pPr>
    </w:lvl>
    <w:lvl w:ilvl="6" w:tplc="08090001" w:tentative="1">
      <w:start w:val="1"/>
      <w:numFmt w:val="decimal"/>
      <w:lvlText w:val="%7."/>
      <w:lvlJc w:val="left"/>
      <w:pPr>
        <w:ind w:left="6840" w:hanging="360"/>
      </w:pPr>
    </w:lvl>
    <w:lvl w:ilvl="7" w:tplc="08090003" w:tentative="1">
      <w:start w:val="1"/>
      <w:numFmt w:val="lowerLetter"/>
      <w:lvlText w:val="%8."/>
      <w:lvlJc w:val="left"/>
      <w:pPr>
        <w:ind w:left="7560" w:hanging="360"/>
      </w:pPr>
    </w:lvl>
    <w:lvl w:ilvl="8" w:tplc="08090005" w:tentative="1">
      <w:start w:val="1"/>
      <w:numFmt w:val="lowerRoman"/>
      <w:lvlText w:val="%9."/>
      <w:lvlJc w:val="right"/>
      <w:pPr>
        <w:ind w:left="8280" w:hanging="180"/>
      </w:pPr>
    </w:lvl>
  </w:abstractNum>
  <w:abstractNum w:abstractNumId="31">
    <w:nsid w:val="22D57945"/>
    <w:multiLevelType w:val="hybridMultilevel"/>
    <w:tmpl w:val="37148898"/>
    <w:lvl w:ilvl="0" w:tplc="453C87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151531"/>
    <w:multiLevelType w:val="hybridMultilevel"/>
    <w:tmpl w:val="F6CA419E"/>
    <w:lvl w:ilvl="0" w:tplc="0409000F">
      <w:start w:val="1"/>
      <w:numFmt w:val="decimal"/>
      <w:pStyle w:val="ListNumber1"/>
      <w:lvlText w:val="%1."/>
      <w:lvlJc w:val="left"/>
      <w:pPr>
        <w:tabs>
          <w:tab w:val="num" w:pos="357"/>
        </w:tabs>
        <w:ind w:left="357" w:hanging="357"/>
      </w:pPr>
      <w:rPr>
        <w:rFonts w:hint="default"/>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35A750E"/>
    <w:multiLevelType w:val="hybridMultilevel"/>
    <w:tmpl w:val="BFB2813A"/>
    <w:lvl w:ilvl="0" w:tplc="FFFFFFFF">
      <w:start w:val="14"/>
      <w:numFmt w:val="bullet"/>
      <w:lvlText w:val="-"/>
      <w:lvlJc w:val="left"/>
      <w:pPr>
        <w:ind w:left="720" w:hanging="360"/>
      </w:pPr>
      <w:rPr>
        <w:rFonts w:ascii="Arial" w:eastAsia="Times New Roman" w:hAnsi="Aria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0F7C04"/>
    <w:multiLevelType w:val="hybridMultilevel"/>
    <w:tmpl w:val="9EFA5E2C"/>
    <w:lvl w:ilvl="0" w:tplc="04090017">
      <w:start w:val="2"/>
      <w:numFmt w:val="upperRoman"/>
      <w:lvlText w:val="%1."/>
      <w:lvlJc w:val="left"/>
      <w:pPr>
        <w:ind w:left="2880" w:hanging="720"/>
      </w:pPr>
      <w:rPr>
        <w:rFonts w:hint="default"/>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24B14E9C"/>
    <w:multiLevelType w:val="hybridMultilevel"/>
    <w:tmpl w:val="693C8962"/>
    <w:lvl w:ilvl="0" w:tplc="F2541E28">
      <w:start w:val="1"/>
      <w:numFmt w:val="bullet"/>
      <w:lvlText w:val=""/>
      <w:lvlJc w:val="left"/>
      <w:pPr>
        <w:ind w:left="720" w:hanging="360"/>
      </w:pPr>
      <w:rPr>
        <w:rFonts w:ascii="Wingdings" w:hAnsi="Wingdings" w:hint="default"/>
        <w:color w:val="auto"/>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26137005"/>
    <w:multiLevelType w:val="hybridMultilevel"/>
    <w:tmpl w:val="74763CE8"/>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nsid w:val="26344905"/>
    <w:multiLevelType w:val="hybridMultilevel"/>
    <w:tmpl w:val="57E693A8"/>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8">
    <w:nsid w:val="26634FF4"/>
    <w:multiLevelType w:val="hybridMultilevel"/>
    <w:tmpl w:val="2DBE3B7E"/>
    <w:lvl w:ilvl="0" w:tplc="04090005">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nsid w:val="28562798"/>
    <w:multiLevelType w:val="hybridMultilevel"/>
    <w:tmpl w:val="9EFA5E2C"/>
    <w:lvl w:ilvl="0" w:tplc="04090001">
      <w:start w:val="2"/>
      <w:numFmt w:val="upperRoman"/>
      <w:lvlText w:val="%1."/>
      <w:lvlJc w:val="left"/>
      <w:pPr>
        <w:ind w:left="2880" w:hanging="720"/>
      </w:pPr>
      <w:rPr>
        <w:rFonts w:hint="default"/>
        <w:sz w:val="22"/>
      </w:rPr>
    </w:lvl>
    <w:lvl w:ilvl="1" w:tplc="04090003">
      <w:start w:val="1"/>
      <w:numFmt w:val="lowerLetter"/>
      <w:lvlText w:val="%2."/>
      <w:lvlJc w:val="left"/>
      <w:pPr>
        <w:ind w:left="3240" w:hanging="360"/>
      </w:pPr>
    </w:lvl>
    <w:lvl w:ilvl="2" w:tplc="04090005" w:tentative="1">
      <w:start w:val="1"/>
      <w:numFmt w:val="lowerRoman"/>
      <w:lvlText w:val="%3."/>
      <w:lvlJc w:val="right"/>
      <w:pPr>
        <w:ind w:left="3960" w:hanging="180"/>
      </w:pPr>
    </w:lvl>
    <w:lvl w:ilvl="3" w:tplc="04090001" w:tentative="1">
      <w:start w:val="1"/>
      <w:numFmt w:val="decimal"/>
      <w:lvlText w:val="%4."/>
      <w:lvlJc w:val="left"/>
      <w:pPr>
        <w:ind w:left="4680" w:hanging="360"/>
      </w:pPr>
    </w:lvl>
    <w:lvl w:ilvl="4" w:tplc="04090003" w:tentative="1">
      <w:start w:val="1"/>
      <w:numFmt w:val="lowerLetter"/>
      <w:lvlText w:val="%5."/>
      <w:lvlJc w:val="left"/>
      <w:pPr>
        <w:ind w:left="5400" w:hanging="360"/>
      </w:pPr>
    </w:lvl>
    <w:lvl w:ilvl="5" w:tplc="04090005" w:tentative="1">
      <w:start w:val="1"/>
      <w:numFmt w:val="lowerRoman"/>
      <w:lvlText w:val="%6."/>
      <w:lvlJc w:val="right"/>
      <w:pPr>
        <w:ind w:left="6120" w:hanging="180"/>
      </w:pPr>
    </w:lvl>
    <w:lvl w:ilvl="6" w:tplc="04090001" w:tentative="1">
      <w:start w:val="1"/>
      <w:numFmt w:val="decimal"/>
      <w:lvlText w:val="%7."/>
      <w:lvlJc w:val="left"/>
      <w:pPr>
        <w:ind w:left="6840" w:hanging="360"/>
      </w:pPr>
    </w:lvl>
    <w:lvl w:ilvl="7" w:tplc="04090003" w:tentative="1">
      <w:start w:val="1"/>
      <w:numFmt w:val="lowerLetter"/>
      <w:lvlText w:val="%8."/>
      <w:lvlJc w:val="left"/>
      <w:pPr>
        <w:ind w:left="7560" w:hanging="360"/>
      </w:pPr>
    </w:lvl>
    <w:lvl w:ilvl="8" w:tplc="04090005" w:tentative="1">
      <w:start w:val="1"/>
      <w:numFmt w:val="lowerRoman"/>
      <w:lvlText w:val="%9."/>
      <w:lvlJc w:val="right"/>
      <w:pPr>
        <w:ind w:left="8280" w:hanging="180"/>
      </w:pPr>
    </w:lvl>
  </w:abstractNum>
  <w:abstractNum w:abstractNumId="40">
    <w:nsid w:val="285B640E"/>
    <w:multiLevelType w:val="hybridMultilevel"/>
    <w:tmpl w:val="8DBE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7115EA"/>
    <w:multiLevelType w:val="hybridMultilevel"/>
    <w:tmpl w:val="831C533A"/>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nsid w:val="2A4675FE"/>
    <w:multiLevelType w:val="hybridMultilevel"/>
    <w:tmpl w:val="CC86DF4E"/>
    <w:lvl w:ilvl="0" w:tplc="23A4CD0E">
      <w:start w:val="1"/>
      <w:numFmt w:val="bullet"/>
      <w:lvlText w:val=""/>
      <w:lvlJc w:val="left"/>
      <w:pPr>
        <w:ind w:left="360" w:hanging="360"/>
      </w:pPr>
      <w:rPr>
        <w:rFonts w:ascii="Symbol" w:hAnsi="Symbol" w:hint="default"/>
      </w:rPr>
    </w:lvl>
    <w:lvl w:ilvl="1" w:tplc="331E58F0" w:tentative="1">
      <w:start w:val="1"/>
      <w:numFmt w:val="bullet"/>
      <w:lvlText w:val="o"/>
      <w:lvlJc w:val="left"/>
      <w:pPr>
        <w:ind w:left="1080" w:hanging="360"/>
      </w:pPr>
      <w:rPr>
        <w:rFonts w:ascii="Courier New" w:hAnsi="Courier New" w:cs="Courier New" w:hint="default"/>
      </w:rPr>
    </w:lvl>
    <w:lvl w:ilvl="2" w:tplc="4320AD7E" w:tentative="1">
      <w:start w:val="1"/>
      <w:numFmt w:val="bullet"/>
      <w:lvlText w:val=""/>
      <w:lvlJc w:val="left"/>
      <w:pPr>
        <w:ind w:left="1800" w:hanging="360"/>
      </w:pPr>
      <w:rPr>
        <w:rFonts w:ascii="Wingdings" w:hAnsi="Wingdings" w:hint="default"/>
      </w:rPr>
    </w:lvl>
    <w:lvl w:ilvl="3" w:tplc="3DF67C1A" w:tentative="1">
      <w:start w:val="1"/>
      <w:numFmt w:val="bullet"/>
      <w:lvlText w:val=""/>
      <w:lvlJc w:val="left"/>
      <w:pPr>
        <w:ind w:left="2520" w:hanging="360"/>
      </w:pPr>
      <w:rPr>
        <w:rFonts w:ascii="Symbol" w:hAnsi="Symbol" w:hint="default"/>
      </w:rPr>
    </w:lvl>
    <w:lvl w:ilvl="4" w:tplc="93C2E506" w:tentative="1">
      <w:start w:val="1"/>
      <w:numFmt w:val="bullet"/>
      <w:lvlText w:val="o"/>
      <w:lvlJc w:val="left"/>
      <w:pPr>
        <w:ind w:left="3240" w:hanging="360"/>
      </w:pPr>
      <w:rPr>
        <w:rFonts w:ascii="Courier New" w:hAnsi="Courier New" w:cs="Courier New" w:hint="default"/>
      </w:rPr>
    </w:lvl>
    <w:lvl w:ilvl="5" w:tplc="9BDE07F8" w:tentative="1">
      <w:start w:val="1"/>
      <w:numFmt w:val="bullet"/>
      <w:lvlText w:val=""/>
      <w:lvlJc w:val="left"/>
      <w:pPr>
        <w:ind w:left="3960" w:hanging="360"/>
      </w:pPr>
      <w:rPr>
        <w:rFonts w:ascii="Wingdings" w:hAnsi="Wingdings" w:hint="default"/>
      </w:rPr>
    </w:lvl>
    <w:lvl w:ilvl="6" w:tplc="15887878" w:tentative="1">
      <w:start w:val="1"/>
      <w:numFmt w:val="bullet"/>
      <w:lvlText w:val=""/>
      <w:lvlJc w:val="left"/>
      <w:pPr>
        <w:ind w:left="4680" w:hanging="360"/>
      </w:pPr>
      <w:rPr>
        <w:rFonts w:ascii="Symbol" w:hAnsi="Symbol" w:hint="default"/>
      </w:rPr>
    </w:lvl>
    <w:lvl w:ilvl="7" w:tplc="FA0C4B7A" w:tentative="1">
      <w:start w:val="1"/>
      <w:numFmt w:val="bullet"/>
      <w:lvlText w:val="o"/>
      <w:lvlJc w:val="left"/>
      <w:pPr>
        <w:ind w:left="5400" w:hanging="360"/>
      </w:pPr>
      <w:rPr>
        <w:rFonts w:ascii="Courier New" w:hAnsi="Courier New" w:cs="Courier New" w:hint="default"/>
      </w:rPr>
    </w:lvl>
    <w:lvl w:ilvl="8" w:tplc="13C497C6" w:tentative="1">
      <w:start w:val="1"/>
      <w:numFmt w:val="bullet"/>
      <w:lvlText w:val=""/>
      <w:lvlJc w:val="left"/>
      <w:pPr>
        <w:ind w:left="6120" w:hanging="360"/>
      </w:pPr>
      <w:rPr>
        <w:rFonts w:ascii="Wingdings" w:hAnsi="Wingdings" w:hint="default"/>
      </w:rPr>
    </w:lvl>
  </w:abstractNum>
  <w:abstractNum w:abstractNumId="43">
    <w:nsid w:val="2B1A3B4D"/>
    <w:multiLevelType w:val="hybridMultilevel"/>
    <w:tmpl w:val="4E7AF050"/>
    <w:lvl w:ilvl="0" w:tplc="E61AF7C0">
      <w:start w:val="1"/>
      <w:numFmt w:val="bullet"/>
      <w:lvlText w:val=""/>
      <w:lvlJc w:val="left"/>
      <w:pPr>
        <w:ind w:left="450" w:hanging="360"/>
      </w:pPr>
      <w:rPr>
        <w:rFonts w:ascii="Symbol" w:hAnsi="Symbol" w:hint="default"/>
      </w:rPr>
    </w:lvl>
    <w:lvl w:ilvl="1" w:tplc="3F24BE2A" w:tentative="1">
      <w:start w:val="1"/>
      <w:numFmt w:val="bullet"/>
      <w:lvlText w:val="o"/>
      <w:lvlJc w:val="left"/>
      <w:pPr>
        <w:ind w:left="1170" w:hanging="360"/>
      </w:pPr>
      <w:rPr>
        <w:rFonts w:ascii="Courier New" w:hAnsi="Courier New" w:cs="Courier New" w:hint="default"/>
      </w:rPr>
    </w:lvl>
    <w:lvl w:ilvl="2" w:tplc="E24C0D20" w:tentative="1">
      <w:start w:val="1"/>
      <w:numFmt w:val="bullet"/>
      <w:lvlText w:val=""/>
      <w:lvlJc w:val="left"/>
      <w:pPr>
        <w:ind w:left="1890" w:hanging="360"/>
      </w:pPr>
      <w:rPr>
        <w:rFonts w:ascii="Wingdings" w:hAnsi="Wingdings" w:hint="default"/>
      </w:rPr>
    </w:lvl>
    <w:lvl w:ilvl="3" w:tplc="C588A386" w:tentative="1">
      <w:start w:val="1"/>
      <w:numFmt w:val="bullet"/>
      <w:lvlText w:val=""/>
      <w:lvlJc w:val="left"/>
      <w:pPr>
        <w:ind w:left="2610" w:hanging="360"/>
      </w:pPr>
      <w:rPr>
        <w:rFonts w:ascii="Symbol" w:hAnsi="Symbol" w:hint="default"/>
      </w:rPr>
    </w:lvl>
    <w:lvl w:ilvl="4" w:tplc="F8383CA0" w:tentative="1">
      <w:start w:val="1"/>
      <w:numFmt w:val="bullet"/>
      <w:lvlText w:val="o"/>
      <w:lvlJc w:val="left"/>
      <w:pPr>
        <w:ind w:left="3330" w:hanging="360"/>
      </w:pPr>
      <w:rPr>
        <w:rFonts w:ascii="Courier New" w:hAnsi="Courier New" w:cs="Courier New" w:hint="default"/>
      </w:rPr>
    </w:lvl>
    <w:lvl w:ilvl="5" w:tplc="4274B706" w:tentative="1">
      <w:start w:val="1"/>
      <w:numFmt w:val="bullet"/>
      <w:lvlText w:val=""/>
      <w:lvlJc w:val="left"/>
      <w:pPr>
        <w:ind w:left="4050" w:hanging="360"/>
      </w:pPr>
      <w:rPr>
        <w:rFonts w:ascii="Wingdings" w:hAnsi="Wingdings" w:hint="default"/>
      </w:rPr>
    </w:lvl>
    <w:lvl w:ilvl="6" w:tplc="D5B03818" w:tentative="1">
      <w:start w:val="1"/>
      <w:numFmt w:val="bullet"/>
      <w:lvlText w:val=""/>
      <w:lvlJc w:val="left"/>
      <w:pPr>
        <w:ind w:left="4770" w:hanging="360"/>
      </w:pPr>
      <w:rPr>
        <w:rFonts w:ascii="Symbol" w:hAnsi="Symbol" w:hint="default"/>
      </w:rPr>
    </w:lvl>
    <w:lvl w:ilvl="7" w:tplc="58981C12" w:tentative="1">
      <w:start w:val="1"/>
      <w:numFmt w:val="bullet"/>
      <w:lvlText w:val="o"/>
      <w:lvlJc w:val="left"/>
      <w:pPr>
        <w:ind w:left="5490" w:hanging="360"/>
      </w:pPr>
      <w:rPr>
        <w:rFonts w:ascii="Courier New" w:hAnsi="Courier New" w:cs="Courier New" w:hint="default"/>
      </w:rPr>
    </w:lvl>
    <w:lvl w:ilvl="8" w:tplc="5B9868C0" w:tentative="1">
      <w:start w:val="1"/>
      <w:numFmt w:val="bullet"/>
      <w:lvlText w:val=""/>
      <w:lvlJc w:val="left"/>
      <w:pPr>
        <w:ind w:left="6210" w:hanging="360"/>
      </w:pPr>
      <w:rPr>
        <w:rFonts w:ascii="Wingdings" w:hAnsi="Wingdings" w:hint="default"/>
      </w:rPr>
    </w:lvl>
  </w:abstractNum>
  <w:abstractNum w:abstractNumId="44">
    <w:nsid w:val="2B576C91"/>
    <w:multiLevelType w:val="hybridMultilevel"/>
    <w:tmpl w:val="6F7E9EE8"/>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BE53463"/>
    <w:multiLevelType w:val="hybridMultilevel"/>
    <w:tmpl w:val="E9B0C2FC"/>
    <w:lvl w:ilvl="0" w:tplc="C4DCE0E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6">
    <w:nsid w:val="2BE53EB2"/>
    <w:multiLevelType w:val="hybridMultilevel"/>
    <w:tmpl w:val="8684188C"/>
    <w:lvl w:ilvl="0" w:tplc="04090001">
      <w:start w:val="1"/>
      <w:numFmt w:val="lowerLetter"/>
      <w:lvlText w:val="%1)"/>
      <w:lvlJc w:val="left"/>
      <w:pPr>
        <w:ind w:left="720" w:hanging="360"/>
      </w:pPr>
      <w:rPr>
        <w:rFonts w:hint="default"/>
        <w:sz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2C5B4C97"/>
    <w:multiLevelType w:val="hybridMultilevel"/>
    <w:tmpl w:val="ED80EA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F3D0430"/>
    <w:multiLevelType w:val="hybridMultilevel"/>
    <w:tmpl w:val="8730C62A"/>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1BC4613"/>
    <w:multiLevelType w:val="hybridMultilevel"/>
    <w:tmpl w:val="2C726B40"/>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1C05546"/>
    <w:multiLevelType w:val="hybridMultilevel"/>
    <w:tmpl w:val="60C6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2B544C"/>
    <w:multiLevelType w:val="hybridMultilevel"/>
    <w:tmpl w:val="57DCF3CA"/>
    <w:lvl w:ilvl="0" w:tplc="F4F4CA7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2757D37"/>
    <w:multiLevelType w:val="hybridMultilevel"/>
    <w:tmpl w:val="CCAEAE90"/>
    <w:lvl w:ilvl="0" w:tplc="04090001">
      <w:start w:val="1"/>
      <w:numFmt w:val="lowerLetter"/>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nsid w:val="36AB0134"/>
    <w:multiLevelType w:val="multilevel"/>
    <w:tmpl w:val="DA0ED158"/>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54">
    <w:nsid w:val="36B3279C"/>
    <w:multiLevelType w:val="hybridMultilevel"/>
    <w:tmpl w:val="DE98FA68"/>
    <w:lvl w:ilvl="0" w:tplc="0409000D">
      <w:start w:val="1"/>
      <w:numFmt w:val="bullet"/>
      <w:lvlText w:val=""/>
      <w:lvlJc w:val="left"/>
      <w:pPr>
        <w:tabs>
          <w:tab w:val="num" w:pos="720"/>
        </w:tabs>
        <w:ind w:left="720" w:hanging="360"/>
      </w:pPr>
      <w:rPr>
        <w:rFonts w:ascii="Wingdings" w:hAnsi="Wingdings" w:hint="default"/>
      </w:rPr>
    </w:lvl>
    <w:lvl w:ilvl="1" w:tplc="CBB44E64" w:tentative="1">
      <w:start w:val="1"/>
      <w:numFmt w:val="bullet"/>
      <w:lvlText w:val=""/>
      <w:lvlJc w:val="left"/>
      <w:pPr>
        <w:tabs>
          <w:tab w:val="num" w:pos="1440"/>
        </w:tabs>
        <w:ind w:left="1440" w:hanging="360"/>
      </w:pPr>
      <w:rPr>
        <w:rFonts w:ascii="Wingdings" w:hAnsi="Wingdings" w:hint="default"/>
      </w:rPr>
    </w:lvl>
    <w:lvl w:ilvl="2" w:tplc="ABE4CA8A" w:tentative="1">
      <w:start w:val="1"/>
      <w:numFmt w:val="bullet"/>
      <w:lvlText w:val=""/>
      <w:lvlJc w:val="left"/>
      <w:pPr>
        <w:tabs>
          <w:tab w:val="num" w:pos="2160"/>
        </w:tabs>
        <w:ind w:left="2160" w:hanging="360"/>
      </w:pPr>
      <w:rPr>
        <w:rFonts w:ascii="Wingdings" w:hAnsi="Wingdings" w:hint="default"/>
      </w:rPr>
    </w:lvl>
    <w:lvl w:ilvl="3" w:tplc="943AFFCA" w:tentative="1">
      <w:start w:val="1"/>
      <w:numFmt w:val="bullet"/>
      <w:lvlText w:val=""/>
      <w:lvlJc w:val="left"/>
      <w:pPr>
        <w:tabs>
          <w:tab w:val="num" w:pos="2880"/>
        </w:tabs>
        <w:ind w:left="2880" w:hanging="360"/>
      </w:pPr>
      <w:rPr>
        <w:rFonts w:ascii="Wingdings" w:hAnsi="Wingdings" w:hint="default"/>
      </w:rPr>
    </w:lvl>
    <w:lvl w:ilvl="4" w:tplc="7C506548" w:tentative="1">
      <w:start w:val="1"/>
      <w:numFmt w:val="bullet"/>
      <w:lvlText w:val=""/>
      <w:lvlJc w:val="left"/>
      <w:pPr>
        <w:tabs>
          <w:tab w:val="num" w:pos="3600"/>
        </w:tabs>
        <w:ind w:left="3600" w:hanging="360"/>
      </w:pPr>
      <w:rPr>
        <w:rFonts w:ascii="Wingdings" w:hAnsi="Wingdings" w:hint="default"/>
      </w:rPr>
    </w:lvl>
    <w:lvl w:ilvl="5" w:tplc="D1FA1FD6" w:tentative="1">
      <w:start w:val="1"/>
      <w:numFmt w:val="bullet"/>
      <w:lvlText w:val=""/>
      <w:lvlJc w:val="left"/>
      <w:pPr>
        <w:tabs>
          <w:tab w:val="num" w:pos="4320"/>
        </w:tabs>
        <w:ind w:left="4320" w:hanging="360"/>
      </w:pPr>
      <w:rPr>
        <w:rFonts w:ascii="Wingdings" w:hAnsi="Wingdings" w:hint="default"/>
      </w:rPr>
    </w:lvl>
    <w:lvl w:ilvl="6" w:tplc="C4EAB63C" w:tentative="1">
      <w:start w:val="1"/>
      <w:numFmt w:val="bullet"/>
      <w:lvlText w:val=""/>
      <w:lvlJc w:val="left"/>
      <w:pPr>
        <w:tabs>
          <w:tab w:val="num" w:pos="5040"/>
        </w:tabs>
        <w:ind w:left="5040" w:hanging="360"/>
      </w:pPr>
      <w:rPr>
        <w:rFonts w:ascii="Wingdings" w:hAnsi="Wingdings" w:hint="default"/>
      </w:rPr>
    </w:lvl>
    <w:lvl w:ilvl="7" w:tplc="B846FCDA" w:tentative="1">
      <w:start w:val="1"/>
      <w:numFmt w:val="bullet"/>
      <w:lvlText w:val=""/>
      <w:lvlJc w:val="left"/>
      <w:pPr>
        <w:tabs>
          <w:tab w:val="num" w:pos="5760"/>
        </w:tabs>
        <w:ind w:left="5760" w:hanging="360"/>
      </w:pPr>
      <w:rPr>
        <w:rFonts w:ascii="Wingdings" w:hAnsi="Wingdings" w:hint="default"/>
      </w:rPr>
    </w:lvl>
    <w:lvl w:ilvl="8" w:tplc="F33CDDAE" w:tentative="1">
      <w:start w:val="1"/>
      <w:numFmt w:val="bullet"/>
      <w:lvlText w:val=""/>
      <w:lvlJc w:val="left"/>
      <w:pPr>
        <w:tabs>
          <w:tab w:val="num" w:pos="6480"/>
        </w:tabs>
        <w:ind w:left="6480" w:hanging="360"/>
      </w:pPr>
      <w:rPr>
        <w:rFonts w:ascii="Wingdings" w:hAnsi="Wingdings" w:hint="default"/>
      </w:rPr>
    </w:lvl>
  </w:abstractNum>
  <w:abstractNum w:abstractNumId="55">
    <w:nsid w:val="36E65584"/>
    <w:multiLevelType w:val="hybridMultilevel"/>
    <w:tmpl w:val="DAD80F0A"/>
    <w:lvl w:ilvl="0" w:tplc="4F6A2E32">
      <w:start w:val="1"/>
      <w:numFmt w:val="bullet"/>
      <w:lvlText w:val=""/>
      <w:lvlJc w:val="left"/>
      <w:pPr>
        <w:tabs>
          <w:tab w:val="num" w:pos="720"/>
        </w:tabs>
        <w:ind w:left="720" w:hanging="360"/>
      </w:pPr>
      <w:rPr>
        <w:rFonts w:ascii="Wingdings" w:hAnsi="Wingdings" w:hint="default"/>
      </w:rPr>
    </w:lvl>
    <w:lvl w:ilvl="1" w:tplc="B6625F0A" w:tentative="1">
      <w:start w:val="1"/>
      <w:numFmt w:val="bullet"/>
      <w:lvlText w:val=""/>
      <w:lvlJc w:val="left"/>
      <w:pPr>
        <w:tabs>
          <w:tab w:val="num" w:pos="1440"/>
        </w:tabs>
        <w:ind w:left="1440" w:hanging="360"/>
      </w:pPr>
      <w:rPr>
        <w:rFonts w:ascii="Wingdings" w:hAnsi="Wingdings" w:hint="default"/>
      </w:rPr>
    </w:lvl>
    <w:lvl w:ilvl="2" w:tplc="80860536" w:tentative="1">
      <w:start w:val="1"/>
      <w:numFmt w:val="bullet"/>
      <w:lvlText w:val=""/>
      <w:lvlJc w:val="left"/>
      <w:pPr>
        <w:tabs>
          <w:tab w:val="num" w:pos="2160"/>
        </w:tabs>
        <w:ind w:left="2160" w:hanging="360"/>
      </w:pPr>
      <w:rPr>
        <w:rFonts w:ascii="Wingdings" w:hAnsi="Wingdings" w:hint="default"/>
      </w:rPr>
    </w:lvl>
    <w:lvl w:ilvl="3" w:tplc="4EDA7F1A" w:tentative="1">
      <w:start w:val="1"/>
      <w:numFmt w:val="bullet"/>
      <w:lvlText w:val=""/>
      <w:lvlJc w:val="left"/>
      <w:pPr>
        <w:tabs>
          <w:tab w:val="num" w:pos="2880"/>
        </w:tabs>
        <w:ind w:left="2880" w:hanging="360"/>
      </w:pPr>
      <w:rPr>
        <w:rFonts w:ascii="Wingdings" w:hAnsi="Wingdings" w:hint="default"/>
      </w:rPr>
    </w:lvl>
    <w:lvl w:ilvl="4" w:tplc="A934DD50" w:tentative="1">
      <w:start w:val="1"/>
      <w:numFmt w:val="bullet"/>
      <w:lvlText w:val=""/>
      <w:lvlJc w:val="left"/>
      <w:pPr>
        <w:tabs>
          <w:tab w:val="num" w:pos="3600"/>
        </w:tabs>
        <w:ind w:left="3600" w:hanging="360"/>
      </w:pPr>
      <w:rPr>
        <w:rFonts w:ascii="Wingdings" w:hAnsi="Wingdings" w:hint="default"/>
      </w:rPr>
    </w:lvl>
    <w:lvl w:ilvl="5" w:tplc="DD406714" w:tentative="1">
      <w:start w:val="1"/>
      <w:numFmt w:val="bullet"/>
      <w:lvlText w:val=""/>
      <w:lvlJc w:val="left"/>
      <w:pPr>
        <w:tabs>
          <w:tab w:val="num" w:pos="4320"/>
        </w:tabs>
        <w:ind w:left="4320" w:hanging="360"/>
      </w:pPr>
      <w:rPr>
        <w:rFonts w:ascii="Wingdings" w:hAnsi="Wingdings" w:hint="default"/>
      </w:rPr>
    </w:lvl>
    <w:lvl w:ilvl="6" w:tplc="FE92BFAA" w:tentative="1">
      <w:start w:val="1"/>
      <w:numFmt w:val="bullet"/>
      <w:lvlText w:val=""/>
      <w:lvlJc w:val="left"/>
      <w:pPr>
        <w:tabs>
          <w:tab w:val="num" w:pos="5040"/>
        </w:tabs>
        <w:ind w:left="5040" w:hanging="360"/>
      </w:pPr>
      <w:rPr>
        <w:rFonts w:ascii="Wingdings" w:hAnsi="Wingdings" w:hint="default"/>
      </w:rPr>
    </w:lvl>
    <w:lvl w:ilvl="7" w:tplc="7A0825B0" w:tentative="1">
      <w:start w:val="1"/>
      <w:numFmt w:val="bullet"/>
      <w:lvlText w:val=""/>
      <w:lvlJc w:val="left"/>
      <w:pPr>
        <w:tabs>
          <w:tab w:val="num" w:pos="5760"/>
        </w:tabs>
        <w:ind w:left="5760" w:hanging="360"/>
      </w:pPr>
      <w:rPr>
        <w:rFonts w:ascii="Wingdings" w:hAnsi="Wingdings" w:hint="default"/>
      </w:rPr>
    </w:lvl>
    <w:lvl w:ilvl="8" w:tplc="17D49AB4" w:tentative="1">
      <w:start w:val="1"/>
      <w:numFmt w:val="bullet"/>
      <w:lvlText w:val=""/>
      <w:lvlJc w:val="left"/>
      <w:pPr>
        <w:tabs>
          <w:tab w:val="num" w:pos="6480"/>
        </w:tabs>
        <w:ind w:left="6480" w:hanging="360"/>
      </w:pPr>
      <w:rPr>
        <w:rFonts w:ascii="Wingdings" w:hAnsi="Wingdings" w:hint="default"/>
      </w:rPr>
    </w:lvl>
  </w:abstractNum>
  <w:abstractNum w:abstractNumId="56">
    <w:nsid w:val="37D653EB"/>
    <w:multiLevelType w:val="hybridMultilevel"/>
    <w:tmpl w:val="454E20D8"/>
    <w:lvl w:ilvl="0" w:tplc="04090017">
      <w:start w:val="1"/>
      <w:numFmt w:val="bullet"/>
      <w:lvlText w:val=""/>
      <w:lvlJc w:val="left"/>
      <w:pPr>
        <w:ind w:left="540" w:hanging="360"/>
      </w:pPr>
      <w:rPr>
        <w:rFonts w:ascii="Wingdings" w:hAnsi="Wingdings" w:hint="default"/>
      </w:rPr>
    </w:lvl>
    <w:lvl w:ilvl="1" w:tplc="04090019" w:tentative="1">
      <w:start w:val="1"/>
      <w:numFmt w:val="bullet"/>
      <w:lvlText w:val="o"/>
      <w:lvlJc w:val="left"/>
      <w:pPr>
        <w:ind w:left="1260" w:hanging="360"/>
      </w:pPr>
      <w:rPr>
        <w:rFonts w:ascii="Courier New" w:hAnsi="Courier New" w:cs="Courier New" w:hint="default"/>
      </w:rPr>
    </w:lvl>
    <w:lvl w:ilvl="2" w:tplc="0409001B" w:tentative="1">
      <w:start w:val="1"/>
      <w:numFmt w:val="bullet"/>
      <w:lvlText w:val=""/>
      <w:lvlJc w:val="left"/>
      <w:pPr>
        <w:ind w:left="1980" w:hanging="360"/>
      </w:pPr>
      <w:rPr>
        <w:rFonts w:ascii="Wingdings" w:hAnsi="Wingdings" w:hint="default"/>
      </w:rPr>
    </w:lvl>
    <w:lvl w:ilvl="3" w:tplc="0409000F" w:tentative="1">
      <w:start w:val="1"/>
      <w:numFmt w:val="bullet"/>
      <w:lvlText w:val=""/>
      <w:lvlJc w:val="left"/>
      <w:pPr>
        <w:ind w:left="2700" w:hanging="360"/>
      </w:pPr>
      <w:rPr>
        <w:rFonts w:ascii="Symbol" w:hAnsi="Symbol" w:hint="default"/>
      </w:rPr>
    </w:lvl>
    <w:lvl w:ilvl="4" w:tplc="04090019" w:tentative="1">
      <w:start w:val="1"/>
      <w:numFmt w:val="bullet"/>
      <w:lvlText w:val="o"/>
      <w:lvlJc w:val="left"/>
      <w:pPr>
        <w:ind w:left="3420" w:hanging="360"/>
      </w:pPr>
      <w:rPr>
        <w:rFonts w:ascii="Courier New" w:hAnsi="Courier New" w:cs="Courier New" w:hint="default"/>
      </w:rPr>
    </w:lvl>
    <w:lvl w:ilvl="5" w:tplc="0409001B" w:tentative="1">
      <w:start w:val="1"/>
      <w:numFmt w:val="bullet"/>
      <w:lvlText w:val=""/>
      <w:lvlJc w:val="left"/>
      <w:pPr>
        <w:ind w:left="4140" w:hanging="360"/>
      </w:pPr>
      <w:rPr>
        <w:rFonts w:ascii="Wingdings" w:hAnsi="Wingdings" w:hint="default"/>
      </w:rPr>
    </w:lvl>
    <w:lvl w:ilvl="6" w:tplc="0409000F" w:tentative="1">
      <w:start w:val="1"/>
      <w:numFmt w:val="bullet"/>
      <w:lvlText w:val=""/>
      <w:lvlJc w:val="left"/>
      <w:pPr>
        <w:ind w:left="4860" w:hanging="360"/>
      </w:pPr>
      <w:rPr>
        <w:rFonts w:ascii="Symbol" w:hAnsi="Symbol" w:hint="default"/>
      </w:rPr>
    </w:lvl>
    <w:lvl w:ilvl="7" w:tplc="04090019" w:tentative="1">
      <w:start w:val="1"/>
      <w:numFmt w:val="bullet"/>
      <w:lvlText w:val="o"/>
      <w:lvlJc w:val="left"/>
      <w:pPr>
        <w:ind w:left="5580" w:hanging="360"/>
      </w:pPr>
      <w:rPr>
        <w:rFonts w:ascii="Courier New" w:hAnsi="Courier New" w:cs="Courier New" w:hint="default"/>
      </w:rPr>
    </w:lvl>
    <w:lvl w:ilvl="8" w:tplc="0409001B" w:tentative="1">
      <w:start w:val="1"/>
      <w:numFmt w:val="bullet"/>
      <w:lvlText w:val=""/>
      <w:lvlJc w:val="left"/>
      <w:pPr>
        <w:ind w:left="6300" w:hanging="360"/>
      </w:pPr>
      <w:rPr>
        <w:rFonts w:ascii="Wingdings" w:hAnsi="Wingdings" w:hint="default"/>
      </w:rPr>
    </w:lvl>
  </w:abstractNum>
  <w:abstractNum w:abstractNumId="57">
    <w:nsid w:val="39A1269A"/>
    <w:multiLevelType w:val="hybridMultilevel"/>
    <w:tmpl w:val="128AA866"/>
    <w:lvl w:ilvl="0" w:tplc="04090005">
      <w:start w:val="1"/>
      <w:numFmt w:val="bullet"/>
      <w:lvlText w:val=""/>
      <w:lvlJc w:val="left"/>
      <w:pPr>
        <w:ind w:left="363" w:hanging="360"/>
      </w:pPr>
      <w:rPr>
        <w:rFonts w:ascii="Wingdings" w:hAnsi="Wingding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8">
    <w:nsid w:val="3BD642D2"/>
    <w:multiLevelType w:val="hybridMultilevel"/>
    <w:tmpl w:val="831C533A"/>
    <w:lvl w:ilvl="0" w:tplc="37368F74">
      <w:start w:val="1"/>
      <w:numFmt w:val="decimal"/>
      <w:lvlText w:val="%1."/>
      <w:lvlJc w:val="left"/>
      <w:pPr>
        <w:ind w:left="720" w:hanging="360"/>
      </w:pPr>
      <w:rPr>
        <w:rFonts w:hint="default"/>
      </w:rPr>
    </w:lvl>
    <w:lvl w:ilvl="1" w:tplc="D4D44F5A" w:tentative="1">
      <w:start w:val="1"/>
      <w:numFmt w:val="bullet"/>
      <w:lvlText w:val="o"/>
      <w:lvlJc w:val="left"/>
      <w:pPr>
        <w:ind w:left="1440" w:hanging="360"/>
      </w:pPr>
      <w:rPr>
        <w:rFonts w:ascii="Courier New" w:hAnsi="Courier New" w:cs="Courier New" w:hint="default"/>
      </w:rPr>
    </w:lvl>
    <w:lvl w:ilvl="2" w:tplc="8EB0635A" w:tentative="1">
      <w:start w:val="1"/>
      <w:numFmt w:val="bullet"/>
      <w:lvlText w:val=""/>
      <w:lvlJc w:val="left"/>
      <w:pPr>
        <w:ind w:left="2160" w:hanging="360"/>
      </w:pPr>
      <w:rPr>
        <w:rFonts w:ascii="Wingdings" w:hAnsi="Wingdings" w:hint="default"/>
      </w:rPr>
    </w:lvl>
    <w:lvl w:ilvl="3" w:tplc="00CCE3BC" w:tentative="1">
      <w:start w:val="1"/>
      <w:numFmt w:val="bullet"/>
      <w:lvlText w:val=""/>
      <w:lvlJc w:val="left"/>
      <w:pPr>
        <w:ind w:left="2880" w:hanging="360"/>
      </w:pPr>
      <w:rPr>
        <w:rFonts w:ascii="Symbol" w:hAnsi="Symbol" w:hint="default"/>
      </w:rPr>
    </w:lvl>
    <w:lvl w:ilvl="4" w:tplc="5AA6F096" w:tentative="1">
      <w:start w:val="1"/>
      <w:numFmt w:val="bullet"/>
      <w:lvlText w:val="o"/>
      <w:lvlJc w:val="left"/>
      <w:pPr>
        <w:ind w:left="3600" w:hanging="360"/>
      </w:pPr>
      <w:rPr>
        <w:rFonts w:ascii="Courier New" w:hAnsi="Courier New" w:cs="Courier New" w:hint="default"/>
      </w:rPr>
    </w:lvl>
    <w:lvl w:ilvl="5" w:tplc="2F202BEC" w:tentative="1">
      <w:start w:val="1"/>
      <w:numFmt w:val="bullet"/>
      <w:lvlText w:val=""/>
      <w:lvlJc w:val="left"/>
      <w:pPr>
        <w:ind w:left="4320" w:hanging="360"/>
      </w:pPr>
      <w:rPr>
        <w:rFonts w:ascii="Wingdings" w:hAnsi="Wingdings" w:hint="default"/>
      </w:rPr>
    </w:lvl>
    <w:lvl w:ilvl="6" w:tplc="46DE1D14" w:tentative="1">
      <w:start w:val="1"/>
      <w:numFmt w:val="bullet"/>
      <w:lvlText w:val=""/>
      <w:lvlJc w:val="left"/>
      <w:pPr>
        <w:ind w:left="5040" w:hanging="360"/>
      </w:pPr>
      <w:rPr>
        <w:rFonts w:ascii="Symbol" w:hAnsi="Symbol" w:hint="default"/>
      </w:rPr>
    </w:lvl>
    <w:lvl w:ilvl="7" w:tplc="ED0EE29C" w:tentative="1">
      <w:start w:val="1"/>
      <w:numFmt w:val="bullet"/>
      <w:lvlText w:val="o"/>
      <w:lvlJc w:val="left"/>
      <w:pPr>
        <w:ind w:left="5760" w:hanging="360"/>
      </w:pPr>
      <w:rPr>
        <w:rFonts w:ascii="Courier New" w:hAnsi="Courier New" w:cs="Courier New" w:hint="default"/>
      </w:rPr>
    </w:lvl>
    <w:lvl w:ilvl="8" w:tplc="321A874E" w:tentative="1">
      <w:start w:val="1"/>
      <w:numFmt w:val="bullet"/>
      <w:lvlText w:val=""/>
      <w:lvlJc w:val="left"/>
      <w:pPr>
        <w:ind w:left="6480" w:hanging="360"/>
      </w:pPr>
      <w:rPr>
        <w:rFonts w:ascii="Wingdings" w:hAnsi="Wingdings" w:hint="default"/>
      </w:rPr>
    </w:lvl>
  </w:abstractNum>
  <w:abstractNum w:abstractNumId="59">
    <w:nsid w:val="3CF0137E"/>
    <w:multiLevelType w:val="hybridMultilevel"/>
    <w:tmpl w:val="0512C25E"/>
    <w:lvl w:ilvl="0" w:tplc="119C0F04">
      <w:start w:val="1"/>
      <w:numFmt w:val="bullet"/>
      <w:pStyle w:val="ListParagraph"/>
      <w:lvlText w:val=""/>
      <w:lvlJc w:val="left"/>
      <w:pPr>
        <w:ind w:left="360" w:hanging="360"/>
      </w:pPr>
      <w:rPr>
        <w:rFonts w:ascii="Wingdings" w:hAnsi="Wingdings" w:hint="default"/>
        <w:color w:val="auto"/>
      </w:rPr>
    </w:lvl>
    <w:lvl w:ilvl="1" w:tplc="C64008D6" w:tentative="1">
      <w:start w:val="1"/>
      <w:numFmt w:val="bullet"/>
      <w:lvlText w:val="o"/>
      <w:lvlJc w:val="left"/>
      <w:pPr>
        <w:ind w:left="2160" w:hanging="360"/>
      </w:pPr>
      <w:rPr>
        <w:rFonts w:ascii="Courier New" w:hAnsi="Courier New" w:cs="Courier New" w:hint="default"/>
      </w:rPr>
    </w:lvl>
    <w:lvl w:ilvl="2" w:tplc="76C4B430" w:tentative="1">
      <w:start w:val="1"/>
      <w:numFmt w:val="bullet"/>
      <w:lvlText w:val=""/>
      <w:lvlJc w:val="left"/>
      <w:pPr>
        <w:ind w:left="2880" w:hanging="360"/>
      </w:pPr>
      <w:rPr>
        <w:rFonts w:ascii="Wingdings" w:hAnsi="Wingdings" w:hint="default"/>
      </w:rPr>
    </w:lvl>
    <w:lvl w:ilvl="3" w:tplc="3A38E496" w:tentative="1">
      <w:start w:val="1"/>
      <w:numFmt w:val="bullet"/>
      <w:lvlText w:val=""/>
      <w:lvlJc w:val="left"/>
      <w:pPr>
        <w:ind w:left="3600" w:hanging="360"/>
      </w:pPr>
      <w:rPr>
        <w:rFonts w:ascii="Symbol" w:hAnsi="Symbol" w:hint="default"/>
      </w:rPr>
    </w:lvl>
    <w:lvl w:ilvl="4" w:tplc="0EA059D2" w:tentative="1">
      <w:start w:val="1"/>
      <w:numFmt w:val="bullet"/>
      <w:lvlText w:val="o"/>
      <w:lvlJc w:val="left"/>
      <w:pPr>
        <w:ind w:left="4320" w:hanging="360"/>
      </w:pPr>
      <w:rPr>
        <w:rFonts w:ascii="Courier New" w:hAnsi="Courier New" w:cs="Courier New" w:hint="default"/>
      </w:rPr>
    </w:lvl>
    <w:lvl w:ilvl="5" w:tplc="36282CBE" w:tentative="1">
      <w:start w:val="1"/>
      <w:numFmt w:val="bullet"/>
      <w:lvlText w:val=""/>
      <w:lvlJc w:val="left"/>
      <w:pPr>
        <w:ind w:left="5040" w:hanging="360"/>
      </w:pPr>
      <w:rPr>
        <w:rFonts w:ascii="Wingdings" w:hAnsi="Wingdings" w:hint="default"/>
      </w:rPr>
    </w:lvl>
    <w:lvl w:ilvl="6" w:tplc="B9F2F402" w:tentative="1">
      <w:start w:val="1"/>
      <w:numFmt w:val="bullet"/>
      <w:lvlText w:val=""/>
      <w:lvlJc w:val="left"/>
      <w:pPr>
        <w:ind w:left="5760" w:hanging="360"/>
      </w:pPr>
      <w:rPr>
        <w:rFonts w:ascii="Symbol" w:hAnsi="Symbol" w:hint="default"/>
      </w:rPr>
    </w:lvl>
    <w:lvl w:ilvl="7" w:tplc="AAFAD86E" w:tentative="1">
      <w:start w:val="1"/>
      <w:numFmt w:val="bullet"/>
      <w:lvlText w:val="o"/>
      <w:lvlJc w:val="left"/>
      <w:pPr>
        <w:ind w:left="6480" w:hanging="360"/>
      </w:pPr>
      <w:rPr>
        <w:rFonts w:ascii="Courier New" w:hAnsi="Courier New" w:cs="Courier New" w:hint="default"/>
      </w:rPr>
    </w:lvl>
    <w:lvl w:ilvl="8" w:tplc="A8F65082" w:tentative="1">
      <w:start w:val="1"/>
      <w:numFmt w:val="bullet"/>
      <w:lvlText w:val=""/>
      <w:lvlJc w:val="left"/>
      <w:pPr>
        <w:ind w:left="7200" w:hanging="360"/>
      </w:pPr>
      <w:rPr>
        <w:rFonts w:ascii="Wingdings" w:hAnsi="Wingdings" w:hint="default"/>
      </w:rPr>
    </w:lvl>
  </w:abstractNum>
  <w:abstractNum w:abstractNumId="60">
    <w:nsid w:val="3D76189F"/>
    <w:multiLevelType w:val="hybridMultilevel"/>
    <w:tmpl w:val="81342C4C"/>
    <w:lvl w:ilvl="0" w:tplc="04090019">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1">
    <w:nsid w:val="3D7D18C8"/>
    <w:multiLevelType w:val="hybridMultilevel"/>
    <w:tmpl w:val="EE5616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DD01A38"/>
    <w:multiLevelType w:val="hybridMultilevel"/>
    <w:tmpl w:val="134EFC1C"/>
    <w:lvl w:ilvl="0" w:tplc="415269C6">
      <w:start w:val="1"/>
      <w:numFmt w:val="bullet"/>
      <w:lvlText w:val=""/>
      <w:lvlPicBulletId w:val="1"/>
      <w:lvlJc w:val="left"/>
      <w:pPr>
        <w:ind w:left="363" w:hanging="360"/>
      </w:pPr>
      <w:rPr>
        <w:rFonts w:ascii="Symbol" w:hAnsi="Symbol" w:hint="default"/>
        <w:color w:val="auto"/>
        <w:sz w:val="16"/>
        <w:szCs w:val="16"/>
      </w:rPr>
    </w:lvl>
    <w:lvl w:ilvl="1" w:tplc="43C410E0">
      <w:start w:val="1"/>
      <w:numFmt w:val="bullet"/>
      <w:lvlText w:val=""/>
      <w:lvlPicBulletId w:val="2"/>
      <w:lvlJc w:val="left"/>
      <w:pPr>
        <w:ind w:left="450" w:hanging="360"/>
      </w:pPr>
      <w:rPr>
        <w:rFonts w:ascii="Symbol" w:hAnsi="Symbol" w:hint="default"/>
      </w:rPr>
    </w:lvl>
    <w:lvl w:ilvl="2" w:tplc="ACC4712E" w:tentative="1">
      <w:start w:val="1"/>
      <w:numFmt w:val="bullet"/>
      <w:lvlText w:val=""/>
      <w:lvlJc w:val="left"/>
      <w:pPr>
        <w:ind w:left="1803" w:hanging="360"/>
      </w:pPr>
      <w:rPr>
        <w:rFonts w:ascii="Wingdings" w:hAnsi="Wingdings" w:hint="default"/>
      </w:rPr>
    </w:lvl>
    <w:lvl w:ilvl="3" w:tplc="873A560C" w:tentative="1">
      <w:start w:val="1"/>
      <w:numFmt w:val="bullet"/>
      <w:lvlText w:val=""/>
      <w:lvlJc w:val="left"/>
      <w:pPr>
        <w:ind w:left="2523" w:hanging="360"/>
      </w:pPr>
      <w:rPr>
        <w:rFonts w:ascii="Symbol" w:hAnsi="Symbol" w:hint="default"/>
      </w:rPr>
    </w:lvl>
    <w:lvl w:ilvl="4" w:tplc="731C96C8" w:tentative="1">
      <w:start w:val="1"/>
      <w:numFmt w:val="bullet"/>
      <w:lvlText w:val="o"/>
      <w:lvlJc w:val="left"/>
      <w:pPr>
        <w:ind w:left="3243" w:hanging="360"/>
      </w:pPr>
      <w:rPr>
        <w:rFonts w:ascii="Courier New" w:hAnsi="Courier New" w:cs="Courier New" w:hint="default"/>
      </w:rPr>
    </w:lvl>
    <w:lvl w:ilvl="5" w:tplc="0F1616C4" w:tentative="1">
      <w:start w:val="1"/>
      <w:numFmt w:val="bullet"/>
      <w:lvlText w:val=""/>
      <w:lvlJc w:val="left"/>
      <w:pPr>
        <w:ind w:left="3963" w:hanging="360"/>
      </w:pPr>
      <w:rPr>
        <w:rFonts w:ascii="Wingdings" w:hAnsi="Wingdings" w:hint="default"/>
      </w:rPr>
    </w:lvl>
    <w:lvl w:ilvl="6" w:tplc="D4C2C75C" w:tentative="1">
      <w:start w:val="1"/>
      <w:numFmt w:val="bullet"/>
      <w:lvlText w:val=""/>
      <w:lvlJc w:val="left"/>
      <w:pPr>
        <w:ind w:left="4683" w:hanging="360"/>
      </w:pPr>
      <w:rPr>
        <w:rFonts w:ascii="Symbol" w:hAnsi="Symbol" w:hint="default"/>
      </w:rPr>
    </w:lvl>
    <w:lvl w:ilvl="7" w:tplc="C44404CE" w:tentative="1">
      <w:start w:val="1"/>
      <w:numFmt w:val="bullet"/>
      <w:lvlText w:val="o"/>
      <w:lvlJc w:val="left"/>
      <w:pPr>
        <w:ind w:left="5403" w:hanging="360"/>
      </w:pPr>
      <w:rPr>
        <w:rFonts w:ascii="Courier New" w:hAnsi="Courier New" w:cs="Courier New" w:hint="default"/>
      </w:rPr>
    </w:lvl>
    <w:lvl w:ilvl="8" w:tplc="CF605038" w:tentative="1">
      <w:start w:val="1"/>
      <w:numFmt w:val="bullet"/>
      <w:lvlText w:val=""/>
      <w:lvlJc w:val="left"/>
      <w:pPr>
        <w:ind w:left="6123" w:hanging="360"/>
      </w:pPr>
      <w:rPr>
        <w:rFonts w:ascii="Wingdings" w:hAnsi="Wingdings" w:hint="default"/>
      </w:rPr>
    </w:lvl>
  </w:abstractNum>
  <w:abstractNum w:abstractNumId="63">
    <w:nsid w:val="3F101536"/>
    <w:multiLevelType w:val="hybridMultilevel"/>
    <w:tmpl w:val="BBAADAD2"/>
    <w:lvl w:ilvl="0" w:tplc="3E0A7C82">
      <w:start w:val="1"/>
      <w:numFmt w:val="lowerLetter"/>
      <w:lvlText w:val="%1)"/>
      <w:lvlJc w:val="left"/>
      <w:pPr>
        <w:ind w:left="720" w:hanging="360"/>
      </w:pPr>
    </w:lvl>
    <w:lvl w:ilvl="1" w:tplc="04090007"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nsid w:val="3FE902D2"/>
    <w:multiLevelType w:val="hybridMultilevel"/>
    <w:tmpl w:val="B324E3D6"/>
    <w:lvl w:ilvl="0" w:tplc="F5BCB8BC">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5">
    <w:nsid w:val="402B791C"/>
    <w:multiLevelType w:val="hybridMultilevel"/>
    <w:tmpl w:val="122C6B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1730E7E"/>
    <w:multiLevelType w:val="hybridMultilevel"/>
    <w:tmpl w:val="E42E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660B1F"/>
    <w:multiLevelType w:val="hybridMultilevel"/>
    <w:tmpl w:val="B816AD40"/>
    <w:lvl w:ilvl="0" w:tplc="04090005">
      <w:start w:val="2"/>
      <w:numFmt w:val="upperRoman"/>
      <w:lvlText w:val="%1."/>
      <w:lvlJc w:val="left"/>
      <w:pPr>
        <w:ind w:left="3600" w:hanging="720"/>
      </w:pPr>
      <w:rPr>
        <w:rFonts w:hint="default"/>
        <w:sz w:val="22"/>
      </w:rPr>
    </w:lvl>
    <w:lvl w:ilvl="1" w:tplc="04090003" w:tentative="1">
      <w:start w:val="1"/>
      <w:numFmt w:val="lowerLetter"/>
      <w:lvlText w:val="%2."/>
      <w:lvlJc w:val="left"/>
      <w:pPr>
        <w:ind w:left="3960" w:hanging="360"/>
      </w:pPr>
    </w:lvl>
    <w:lvl w:ilvl="2" w:tplc="04090005" w:tentative="1">
      <w:start w:val="1"/>
      <w:numFmt w:val="lowerRoman"/>
      <w:lvlText w:val="%3."/>
      <w:lvlJc w:val="right"/>
      <w:pPr>
        <w:ind w:left="4680" w:hanging="180"/>
      </w:pPr>
    </w:lvl>
    <w:lvl w:ilvl="3" w:tplc="04090001" w:tentative="1">
      <w:start w:val="1"/>
      <w:numFmt w:val="decimal"/>
      <w:lvlText w:val="%4."/>
      <w:lvlJc w:val="left"/>
      <w:pPr>
        <w:ind w:left="5400" w:hanging="360"/>
      </w:pPr>
    </w:lvl>
    <w:lvl w:ilvl="4" w:tplc="04090003" w:tentative="1">
      <w:start w:val="1"/>
      <w:numFmt w:val="lowerLetter"/>
      <w:lvlText w:val="%5."/>
      <w:lvlJc w:val="left"/>
      <w:pPr>
        <w:ind w:left="6120" w:hanging="360"/>
      </w:pPr>
    </w:lvl>
    <w:lvl w:ilvl="5" w:tplc="04090005" w:tentative="1">
      <w:start w:val="1"/>
      <w:numFmt w:val="lowerRoman"/>
      <w:lvlText w:val="%6."/>
      <w:lvlJc w:val="right"/>
      <w:pPr>
        <w:ind w:left="6840" w:hanging="180"/>
      </w:pPr>
    </w:lvl>
    <w:lvl w:ilvl="6" w:tplc="04090001" w:tentative="1">
      <w:start w:val="1"/>
      <w:numFmt w:val="decimal"/>
      <w:lvlText w:val="%7."/>
      <w:lvlJc w:val="left"/>
      <w:pPr>
        <w:ind w:left="7560" w:hanging="360"/>
      </w:pPr>
    </w:lvl>
    <w:lvl w:ilvl="7" w:tplc="04090003" w:tentative="1">
      <w:start w:val="1"/>
      <w:numFmt w:val="lowerLetter"/>
      <w:lvlText w:val="%8."/>
      <w:lvlJc w:val="left"/>
      <w:pPr>
        <w:ind w:left="8280" w:hanging="360"/>
      </w:pPr>
    </w:lvl>
    <w:lvl w:ilvl="8" w:tplc="04090005" w:tentative="1">
      <w:start w:val="1"/>
      <w:numFmt w:val="lowerRoman"/>
      <w:lvlText w:val="%9."/>
      <w:lvlJc w:val="right"/>
      <w:pPr>
        <w:ind w:left="9000" w:hanging="180"/>
      </w:pPr>
    </w:lvl>
  </w:abstractNum>
  <w:abstractNum w:abstractNumId="68">
    <w:nsid w:val="43514940"/>
    <w:multiLevelType w:val="hybridMultilevel"/>
    <w:tmpl w:val="D488FCCC"/>
    <w:lvl w:ilvl="0" w:tplc="B7FE083A">
      <w:start w:val="1"/>
      <w:numFmt w:val="bullet"/>
      <w:lvlText w:val=""/>
      <w:lvlJc w:val="left"/>
      <w:pPr>
        <w:tabs>
          <w:tab w:val="num" w:pos="357"/>
        </w:tabs>
        <w:ind w:left="357" w:hanging="357"/>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nsid w:val="43DE56C2"/>
    <w:multiLevelType w:val="hybridMultilevel"/>
    <w:tmpl w:val="2C16AAB2"/>
    <w:lvl w:ilvl="0" w:tplc="27425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60B58EB"/>
    <w:multiLevelType w:val="hybridMultilevel"/>
    <w:tmpl w:val="CA22346C"/>
    <w:lvl w:ilvl="0" w:tplc="F5BCB8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68F1B5C"/>
    <w:multiLevelType w:val="hybridMultilevel"/>
    <w:tmpl w:val="78A86978"/>
    <w:lvl w:ilvl="0" w:tplc="515A845E">
      <w:start w:val="1"/>
      <w:numFmt w:val="decimal"/>
      <w:lvlText w:val="%1."/>
      <w:lvlJc w:val="left"/>
      <w:pPr>
        <w:ind w:left="360" w:hanging="360"/>
      </w:pPr>
      <w:rPr>
        <w:rFonts w:hint="default"/>
        <w:b/>
        <w:i/>
        <w:color w:val="008000"/>
      </w:rPr>
    </w:lvl>
    <w:lvl w:ilvl="1" w:tplc="96C6D738" w:tentative="1">
      <w:start w:val="1"/>
      <w:numFmt w:val="lowerLetter"/>
      <w:lvlText w:val="%2."/>
      <w:lvlJc w:val="left"/>
      <w:pPr>
        <w:ind w:left="1080" w:hanging="360"/>
      </w:pPr>
    </w:lvl>
    <w:lvl w:ilvl="2" w:tplc="17E8A134" w:tentative="1">
      <w:start w:val="1"/>
      <w:numFmt w:val="lowerRoman"/>
      <w:lvlText w:val="%3."/>
      <w:lvlJc w:val="right"/>
      <w:pPr>
        <w:ind w:left="1800" w:hanging="180"/>
      </w:pPr>
    </w:lvl>
    <w:lvl w:ilvl="3" w:tplc="B2CE3CC4" w:tentative="1">
      <w:start w:val="1"/>
      <w:numFmt w:val="decimal"/>
      <w:lvlText w:val="%4."/>
      <w:lvlJc w:val="left"/>
      <w:pPr>
        <w:ind w:left="2520" w:hanging="360"/>
      </w:pPr>
    </w:lvl>
    <w:lvl w:ilvl="4" w:tplc="95626B40" w:tentative="1">
      <w:start w:val="1"/>
      <w:numFmt w:val="lowerLetter"/>
      <w:lvlText w:val="%5."/>
      <w:lvlJc w:val="left"/>
      <w:pPr>
        <w:ind w:left="3240" w:hanging="360"/>
      </w:pPr>
    </w:lvl>
    <w:lvl w:ilvl="5" w:tplc="0B9235AE" w:tentative="1">
      <w:start w:val="1"/>
      <w:numFmt w:val="lowerRoman"/>
      <w:lvlText w:val="%6."/>
      <w:lvlJc w:val="right"/>
      <w:pPr>
        <w:ind w:left="3960" w:hanging="180"/>
      </w:pPr>
    </w:lvl>
    <w:lvl w:ilvl="6" w:tplc="B824BF08" w:tentative="1">
      <w:start w:val="1"/>
      <w:numFmt w:val="decimal"/>
      <w:lvlText w:val="%7."/>
      <w:lvlJc w:val="left"/>
      <w:pPr>
        <w:ind w:left="4680" w:hanging="360"/>
      </w:pPr>
    </w:lvl>
    <w:lvl w:ilvl="7" w:tplc="1FDA73F0" w:tentative="1">
      <w:start w:val="1"/>
      <w:numFmt w:val="lowerLetter"/>
      <w:lvlText w:val="%8."/>
      <w:lvlJc w:val="left"/>
      <w:pPr>
        <w:ind w:left="5400" w:hanging="360"/>
      </w:pPr>
    </w:lvl>
    <w:lvl w:ilvl="8" w:tplc="45F40FB4" w:tentative="1">
      <w:start w:val="1"/>
      <w:numFmt w:val="lowerRoman"/>
      <w:lvlText w:val="%9."/>
      <w:lvlJc w:val="right"/>
      <w:pPr>
        <w:ind w:left="6120" w:hanging="180"/>
      </w:pPr>
    </w:lvl>
  </w:abstractNum>
  <w:abstractNum w:abstractNumId="72">
    <w:nsid w:val="46E6318F"/>
    <w:multiLevelType w:val="hybridMultilevel"/>
    <w:tmpl w:val="DF8CBC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7E14029"/>
    <w:multiLevelType w:val="hybridMultilevel"/>
    <w:tmpl w:val="A4643D26"/>
    <w:lvl w:ilvl="0" w:tplc="9BF8E4B6">
      <w:start w:val="1"/>
      <w:numFmt w:val="bullet"/>
      <w:lvlText w:val=""/>
      <w:lvlJc w:val="left"/>
      <w:pPr>
        <w:ind w:left="720" w:hanging="360"/>
      </w:pPr>
      <w:rPr>
        <w:rFonts w:ascii="Wingdings" w:hAnsi="Wingdings" w:hint="default"/>
        <w:color w:val="215868" w:themeColor="accent5" w:themeShade="8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nsid w:val="48565DA9"/>
    <w:multiLevelType w:val="hybridMultilevel"/>
    <w:tmpl w:val="BD644262"/>
    <w:lvl w:ilvl="0" w:tplc="668C5E80">
      <w:start w:val="1"/>
      <w:numFmt w:val="decimal"/>
      <w:lvlText w:val="%1."/>
      <w:lvlJc w:val="left"/>
      <w:pPr>
        <w:ind w:left="720" w:hanging="360"/>
      </w:pPr>
      <w:rPr>
        <w:rFonts w:hint="default"/>
        <w:b/>
        <w:color w:val="3333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89E0872"/>
    <w:multiLevelType w:val="hybridMultilevel"/>
    <w:tmpl w:val="9EFA5E2C"/>
    <w:lvl w:ilvl="0" w:tplc="69822E28">
      <w:start w:val="2"/>
      <w:numFmt w:val="upperRoman"/>
      <w:lvlText w:val="%1."/>
      <w:lvlJc w:val="left"/>
      <w:pPr>
        <w:ind w:left="2880" w:hanging="720"/>
      </w:pPr>
      <w:rPr>
        <w:rFonts w:hint="default"/>
        <w:sz w:val="22"/>
      </w:rPr>
    </w:lvl>
    <w:lvl w:ilvl="1" w:tplc="04090003" w:tentative="1">
      <w:start w:val="1"/>
      <w:numFmt w:val="lowerLetter"/>
      <w:lvlText w:val="%2."/>
      <w:lvlJc w:val="left"/>
      <w:pPr>
        <w:ind w:left="3240" w:hanging="360"/>
      </w:pPr>
    </w:lvl>
    <w:lvl w:ilvl="2" w:tplc="04090005" w:tentative="1">
      <w:start w:val="1"/>
      <w:numFmt w:val="lowerRoman"/>
      <w:lvlText w:val="%3."/>
      <w:lvlJc w:val="right"/>
      <w:pPr>
        <w:ind w:left="3960" w:hanging="180"/>
      </w:pPr>
    </w:lvl>
    <w:lvl w:ilvl="3" w:tplc="04090001" w:tentative="1">
      <w:start w:val="1"/>
      <w:numFmt w:val="decimal"/>
      <w:lvlText w:val="%4."/>
      <w:lvlJc w:val="left"/>
      <w:pPr>
        <w:ind w:left="4680" w:hanging="360"/>
      </w:pPr>
    </w:lvl>
    <w:lvl w:ilvl="4" w:tplc="04090003" w:tentative="1">
      <w:start w:val="1"/>
      <w:numFmt w:val="lowerLetter"/>
      <w:lvlText w:val="%5."/>
      <w:lvlJc w:val="left"/>
      <w:pPr>
        <w:ind w:left="5400" w:hanging="360"/>
      </w:pPr>
    </w:lvl>
    <w:lvl w:ilvl="5" w:tplc="04090005" w:tentative="1">
      <w:start w:val="1"/>
      <w:numFmt w:val="lowerRoman"/>
      <w:lvlText w:val="%6."/>
      <w:lvlJc w:val="right"/>
      <w:pPr>
        <w:ind w:left="6120" w:hanging="180"/>
      </w:pPr>
    </w:lvl>
    <w:lvl w:ilvl="6" w:tplc="04090001" w:tentative="1">
      <w:start w:val="1"/>
      <w:numFmt w:val="decimal"/>
      <w:lvlText w:val="%7."/>
      <w:lvlJc w:val="left"/>
      <w:pPr>
        <w:ind w:left="6840" w:hanging="360"/>
      </w:pPr>
    </w:lvl>
    <w:lvl w:ilvl="7" w:tplc="04090003" w:tentative="1">
      <w:start w:val="1"/>
      <w:numFmt w:val="lowerLetter"/>
      <w:lvlText w:val="%8."/>
      <w:lvlJc w:val="left"/>
      <w:pPr>
        <w:ind w:left="7560" w:hanging="360"/>
      </w:pPr>
    </w:lvl>
    <w:lvl w:ilvl="8" w:tplc="04090005" w:tentative="1">
      <w:start w:val="1"/>
      <w:numFmt w:val="lowerRoman"/>
      <w:lvlText w:val="%9."/>
      <w:lvlJc w:val="right"/>
      <w:pPr>
        <w:ind w:left="8280" w:hanging="180"/>
      </w:pPr>
    </w:lvl>
  </w:abstractNum>
  <w:abstractNum w:abstractNumId="76">
    <w:nsid w:val="492D7535"/>
    <w:multiLevelType w:val="hybridMultilevel"/>
    <w:tmpl w:val="E42E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9F20229"/>
    <w:multiLevelType w:val="hybridMultilevel"/>
    <w:tmpl w:val="0B040054"/>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8">
    <w:nsid w:val="4A4F7A01"/>
    <w:multiLevelType w:val="hybridMultilevel"/>
    <w:tmpl w:val="2B081860"/>
    <w:lvl w:ilvl="0" w:tplc="052E1926">
      <w:start w:val="1"/>
      <w:numFmt w:val="decimal"/>
      <w:lvlText w:val="%1."/>
      <w:lvlJc w:val="left"/>
      <w:pPr>
        <w:ind w:left="420" w:hanging="420"/>
      </w:pPr>
      <w:rPr>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nsid w:val="4A501A72"/>
    <w:multiLevelType w:val="hybridMultilevel"/>
    <w:tmpl w:val="7D0E07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nsid w:val="4ADF1A7D"/>
    <w:multiLevelType w:val="hybridMultilevel"/>
    <w:tmpl w:val="AC385000"/>
    <w:lvl w:ilvl="0" w:tplc="E4D09E7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B1F1F34"/>
    <w:multiLevelType w:val="hybridMultilevel"/>
    <w:tmpl w:val="91421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BD61EE4"/>
    <w:multiLevelType w:val="hybridMultilevel"/>
    <w:tmpl w:val="7C02D5FC"/>
    <w:lvl w:ilvl="0" w:tplc="667ABC1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C29097B"/>
    <w:multiLevelType w:val="hybridMultilevel"/>
    <w:tmpl w:val="C97C2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DE51E9E"/>
    <w:multiLevelType w:val="hybridMultilevel"/>
    <w:tmpl w:val="DB9EB5CA"/>
    <w:lvl w:ilvl="0" w:tplc="EDB03E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F0F42F0"/>
    <w:multiLevelType w:val="hybridMultilevel"/>
    <w:tmpl w:val="535A0D62"/>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6">
    <w:nsid w:val="4FD96EBD"/>
    <w:multiLevelType w:val="hybridMultilevel"/>
    <w:tmpl w:val="F05C98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0A3490E"/>
    <w:multiLevelType w:val="hybridMultilevel"/>
    <w:tmpl w:val="93F0D03E"/>
    <w:lvl w:ilvl="0" w:tplc="0409000D">
      <w:start w:val="1"/>
      <w:numFmt w:val="bullet"/>
      <w:pStyle w:val="CVListbullet"/>
      <w:lvlText w:val=""/>
      <w:lvlJc w:val="left"/>
      <w:pPr>
        <w:tabs>
          <w:tab w:val="num" w:pos="2625"/>
        </w:tabs>
        <w:ind w:left="2625" w:hanging="357"/>
      </w:pPr>
      <w:rPr>
        <w:rFonts w:ascii="Symbol" w:hAnsi="Symbol" w:hint="default"/>
      </w:rPr>
    </w:lvl>
    <w:lvl w:ilvl="1" w:tplc="04090003" w:tentative="1">
      <w:start w:val="1"/>
      <w:numFmt w:val="bullet"/>
      <w:lvlText w:val="o"/>
      <w:lvlJc w:val="left"/>
      <w:pPr>
        <w:tabs>
          <w:tab w:val="num" w:pos="3708"/>
        </w:tabs>
        <w:ind w:left="3708" w:hanging="360"/>
      </w:pPr>
      <w:rPr>
        <w:rFonts w:ascii="Courier New" w:hAnsi="Courier New" w:cs="Courier New" w:hint="default"/>
      </w:rPr>
    </w:lvl>
    <w:lvl w:ilvl="2" w:tplc="04090005" w:tentative="1">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tentative="1">
      <w:start w:val="1"/>
      <w:numFmt w:val="bullet"/>
      <w:lvlText w:val="o"/>
      <w:lvlJc w:val="left"/>
      <w:pPr>
        <w:tabs>
          <w:tab w:val="num" w:pos="5868"/>
        </w:tabs>
        <w:ind w:left="5868" w:hanging="360"/>
      </w:pPr>
      <w:rPr>
        <w:rFonts w:ascii="Courier New" w:hAnsi="Courier New" w:cs="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cs="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88">
    <w:nsid w:val="52A666F6"/>
    <w:multiLevelType w:val="hybridMultilevel"/>
    <w:tmpl w:val="DB9EB5CA"/>
    <w:lvl w:ilvl="0" w:tplc="EDB03E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2F27F7"/>
    <w:multiLevelType w:val="hybridMultilevel"/>
    <w:tmpl w:val="BEEE423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nsid w:val="554F7CA2"/>
    <w:multiLevelType w:val="hybridMultilevel"/>
    <w:tmpl w:val="46BCFD52"/>
    <w:lvl w:ilvl="0" w:tplc="0A3CE924">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nsid w:val="5705147C"/>
    <w:multiLevelType w:val="hybridMultilevel"/>
    <w:tmpl w:val="024A3124"/>
    <w:lvl w:ilvl="0" w:tplc="EDB03EFE">
      <w:start w:val="1"/>
      <w:numFmt w:val="bullet"/>
      <w:lvlText w:val="-"/>
      <w:lvlJc w:val="left"/>
      <w:pPr>
        <w:ind w:left="1083" w:hanging="360"/>
      </w:pPr>
      <w:rPr>
        <w:rFonts w:ascii="Arial" w:eastAsia="Calibri" w:hAnsi="Arial" w:cs="Arial" w:hint="default"/>
        <w:color w:val="000000"/>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92">
    <w:nsid w:val="575F0E2D"/>
    <w:multiLevelType w:val="hybridMultilevel"/>
    <w:tmpl w:val="19E0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8C5364D"/>
    <w:multiLevelType w:val="hybridMultilevel"/>
    <w:tmpl w:val="E6F4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9C812CF"/>
    <w:multiLevelType w:val="hybridMultilevel"/>
    <w:tmpl w:val="D0B09020"/>
    <w:lvl w:ilvl="0" w:tplc="6D4428DC">
      <w:start w:val="2"/>
      <w:numFmt w:val="upperRoman"/>
      <w:lvlText w:val="%1."/>
      <w:lvlJc w:val="left"/>
      <w:pPr>
        <w:ind w:left="2880" w:hanging="720"/>
      </w:pPr>
      <w:rPr>
        <w:rFonts w:hint="default"/>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5">
    <w:nsid w:val="5AEB413D"/>
    <w:multiLevelType w:val="hybridMultilevel"/>
    <w:tmpl w:val="F6EE9982"/>
    <w:lvl w:ilvl="0" w:tplc="9BF8E4B6">
      <w:start w:val="1"/>
      <w:numFmt w:val="bullet"/>
      <w:lvlText w:val=""/>
      <w:lvlJc w:val="left"/>
      <w:pPr>
        <w:ind w:left="720" w:hanging="360"/>
      </w:pPr>
      <w:rPr>
        <w:rFonts w:ascii="Wingdings" w:hAnsi="Wingdings" w:hint="default"/>
        <w:color w:val="215868"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BF514F3"/>
    <w:multiLevelType w:val="hybridMultilevel"/>
    <w:tmpl w:val="660AF5B4"/>
    <w:lvl w:ilvl="0" w:tplc="7166F9E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nsid w:val="5D5849B0"/>
    <w:multiLevelType w:val="hybridMultilevel"/>
    <w:tmpl w:val="66B25884"/>
    <w:lvl w:ilvl="0" w:tplc="04090001">
      <w:start w:val="1"/>
      <w:numFmt w:val="decimal"/>
      <w:pStyle w:val="Numberedparagraph"/>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8">
    <w:nsid w:val="5E857037"/>
    <w:multiLevelType w:val="hybridMultilevel"/>
    <w:tmpl w:val="8424F2C6"/>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9">
    <w:nsid w:val="5FC43132"/>
    <w:multiLevelType w:val="hybridMultilevel"/>
    <w:tmpl w:val="7F126D28"/>
    <w:lvl w:ilvl="0" w:tplc="BB2C2B9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5FDB0DE2"/>
    <w:multiLevelType w:val="hybridMultilevel"/>
    <w:tmpl w:val="96A0DF7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FEA5E30"/>
    <w:multiLevelType w:val="hybridMultilevel"/>
    <w:tmpl w:val="35E01E4E"/>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2">
    <w:nsid w:val="60197187"/>
    <w:multiLevelType w:val="hybridMultilevel"/>
    <w:tmpl w:val="6C1AA88A"/>
    <w:lvl w:ilvl="0" w:tplc="04B848E2">
      <w:start w:val="2"/>
      <w:numFmt w:val="upperRoman"/>
      <w:lvlText w:val="%1."/>
      <w:lvlJc w:val="left"/>
      <w:pPr>
        <w:ind w:left="2880" w:hanging="720"/>
      </w:pPr>
      <w:rPr>
        <w:rFonts w:hint="default"/>
        <w:sz w:val="22"/>
      </w:rPr>
    </w:lvl>
    <w:lvl w:ilvl="1" w:tplc="08090003" w:tentative="1">
      <w:start w:val="1"/>
      <w:numFmt w:val="lowerLetter"/>
      <w:lvlText w:val="%2."/>
      <w:lvlJc w:val="left"/>
      <w:pPr>
        <w:ind w:left="3240" w:hanging="360"/>
      </w:pPr>
    </w:lvl>
    <w:lvl w:ilvl="2" w:tplc="08090005" w:tentative="1">
      <w:start w:val="1"/>
      <w:numFmt w:val="lowerRoman"/>
      <w:lvlText w:val="%3."/>
      <w:lvlJc w:val="right"/>
      <w:pPr>
        <w:ind w:left="3960" w:hanging="180"/>
      </w:pPr>
    </w:lvl>
    <w:lvl w:ilvl="3" w:tplc="08090001" w:tentative="1">
      <w:start w:val="1"/>
      <w:numFmt w:val="decimal"/>
      <w:lvlText w:val="%4."/>
      <w:lvlJc w:val="left"/>
      <w:pPr>
        <w:ind w:left="4680" w:hanging="360"/>
      </w:pPr>
    </w:lvl>
    <w:lvl w:ilvl="4" w:tplc="08090003" w:tentative="1">
      <w:start w:val="1"/>
      <w:numFmt w:val="lowerLetter"/>
      <w:lvlText w:val="%5."/>
      <w:lvlJc w:val="left"/>
      <w:pPr>
        <w:ind w:left="5400" w:hanging="360"/>
      </w:pPr>
    </w:lvl>
    <w:lvl w:ilvl="5" w:tplc="08090005" w:tentative="1">
      <w:start w:val="1"/>
      <w:numFmt w:val="lowerRoman"/>
      <w:lvlText w:val="%6."/>
      <w:lvlJc w:val="right"/>
      <w:pPr>
        <w:ind w:left="6120" w:hanging="180"/>
      </w:pPr>
    </w:lvl>
    <w:lvl w:ilvl="6" w:tplc="08090001" w:tentative="1">
      <w:start w:val="1"/>
      <w:numFmt w:val="decimal"/>
      <w:lvlText w:val="%7."/>
      <w:lvlJc w:val="left"/>
      <w:pPr>
        <w:ind w:left="6840" w:hanging="360"/>
      </w:pPr>
    </w:lvl>
    <w:lvl w:ilvl="7" w:tplc="08090003" w:tentative="1">
      <w:start w:val="1"/>
      <w:numFmt w:val="lowerLetter"/>
      <w:lvlText w:val="%8."/>
      <w:lvlJc w:val="left"/>
      <w:pPr>
        <w:ind w:left="7560" w:hanging="360"/>
      </w:pPr>
    </w:lvl>
    <w:lvl w:ilvl="8" w:tplc="08090005" w:tentative="1">
      <w:start w:val="1"/>
      <w:numFmt w:val="lowerRoman"/>
      <w:lvlText w:val="%9."/>
      <w:lvlJc w:val="right"/>
      <w:pPr>
        <w:ind w:left="8280" w:hanging="180"/>
      </w:pPr>
    </w:lvl>
  </w:abstractNum>
  <w:abstractNum w:abstractNumId="103">
    <w:nsid w:val="622C74F8"/>
    <w:multiLevelType w:val="hybridMultilevel"/>
    <w:tmpl w:val="3A32206E"/>
    <w:lvl w:ilvl="0" w:tplc="7CDEAD12">
      <w:start w:val="1"/>
      <w:numFmt w:val="bullet"/>
      <w:lvlText w:val=""/>
      <w:lvlJc w:val="left"/>
      <w:pPr>
        <w:ind w:left="363" w:hanging="360"/>
      </w:pPr>
      <w:rPr>
        <w:rFonts w:ascii="Symbol" w:hAnsi="Symbol" w:hint="default"/>
      </w:rPr>
    </w:lvl>
    <w:lvl w:ilvl="1" w:tplc="04090019" w:tentative="1">
      <w:start w:val="1"/>
      <w:numFmt w:val="bullet"/>
      <w:lvlText w:val="o"/>
      <w:lvlJc w:val="left"/>
      <w:pPr>
        <w:ind w:left="1083" w:hanging="360"/>
      </w:pPr>
      <w:rPr>
        <w:rFonts w:ascii="Courier New" w:hAnsi="Courier New" w:cs="Courier New" w:hint="default"/>
      </w:rPr>
    </w:lvl>
    <w:lvl w:ilvl="2" w:tplc="0409001B" w:tentative="1">
      <w:start w:val="1"/>
      <w:numFmt w:val="bullet"/>
      <w:lvlText w:val=""/>
      <w:lvlJc w:val="left"/>
      <w:pPr>
        <w:ind w:left="1803" w:hanging="360"/>
      </w:pPr>
      <w:rPr>
        <w:rFonts w:ascii="Wingdings" w:hAnsi="Wingdings" w:hint="default"/>
      </w:rPr>
    </w:lvl>
    <w:lvl w:ilvl="3" w:tplc="0409000F" w:tentative="1">
      <w:start w:val="1"/>
      <w:numFmt w:val="bullet"/>
      <w:lvlText w:val=""/>
      <w:lvlJc w:val="left"/>
      <w:pPr>
        <w:ind w:left="2523" w:hanging="360"/>
      </w:pPr>
      <w:rPr>
        <w:rFonts w:ascii="Symbol" w:hAnsi="Symbol" w:hint="default"/>
      </w:rPr>
    </w:lvl>
    <w:lvl w:ilvl="4" w:tplc="04090019" w:tentative="1">
      <w:start w:val="1"/>
      <w:numFmt w:val="bullet"/>
      <w:lvlText w:val="o"/>
      <w:lvlJc w:val="left"/>
      <w:pPr>
        <w:ind w:left="3243" w:hanging="360"/>
      </w:pPr>
      <w:rPr>
        <w:rFonts w:ascii="Courier New" w:hAnsi="Courier New" w:cs="Courier New" w:hint="default"/>
      </w:rPr>
    </w:lvl>
    <w:lvl w:ilvl="5" w:tplc="0409001B" w:tentative="1">
      <w:start w:val="1"/>
      <w:numFmt w:val="bullet"/>
      <w:lvlText w:val=""/>
      <w:lvlJc w:val="left"/>
      <w:pPr>
        <w:ind w:left="3963" w:hanging="360"/>
      </w:pPr>
      <w:rPr>
        <w:rFonts w:ascii="Wingdings" w:hAnsi="Wingdings" w:hint="default"/>
      </w:rPr>
    </w:lvl>
    <w:lvl w:ilvl="6" w:tplc="0409000F" w:tentative="1">
      <w:start w:val="1"/>
      <w:numFmt w:val="bullet"/>
      <w:lvlText w:val=""/>
      <w:lvlJc w:val="left"/>
      <w:pPr>
        <w:ind w:left="4683" w:hanging="360"/>
      </w:pPr>
      <w:rPr>
        <w:rFonts w:ascii="Symbol" w:hAnsi="Symbol" w:hint="default"/>
      </w:rPr>
    </w:lvl>
    <w:lvl w:ilvl="7" w:tplc="04090019" w:tentative="1">
      <w:start w:val="1"/>
      <w:numFmt w:val="bullet"/>
      <w:lvlText w:val="o"/>
      <w:lvlJc w:val="left"/>
      <w:pPr>
        <w:ind w:left="5403" w:hanging="360"/>
      </w:pPr>
      <w:rPr>
        <w:rFonts w:ascii="Courier New" w:hAnsi="Courier New" w:cs="Courier New" w:hint="default"/>
      </w:rPr>
    </w:lvl>
    <w:lvl w:ilvl="8" w:tplc="0409001B" w:tentative="1">
      <w:start w:val="1"/>
      <w:numFmt w:val="bullet"/>
      <w:lvlText w:val=""/>
      <w:lvlJc w:val="left"/>
      <w:pPr>
        <w:ind w:left="6123" w:hanging="360"/>
      </w:pPr>
      <w:rPr>
        <w:rFonts w:ascii="Wingdings" w:hAnsi="Wingdings" w:hint="default"/>
      </w:rPr>
    </w:lvl>
  </w:abstractNum>
  <w:abstractNum w:abstractNumId="104">
    <w:nsid w:val="62B17F43"/>
    <w:multiLevelType w:val="hybridMultilevel"/>
    <w:tmpl w:val="0E2E66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nsid w:val="635F0377"/>
    <w:multiLevelType w:val="hybridMultilevel"/>
    <w:tmpl w:val="22580436"/>
    <w:lvl w:ilvl="0" w:tplc="7CDEAD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3A50D41"/>
    <w:multiLevelType w:val="hybridMultilevel"/>
    <w:tmpl w:val="9AAADBD2"/>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7">
    <w:nsid w:val="6466750D"/>
    <w:multiLevelType w:val="hybridMultilevel"/>
    <w:tmpl w:val="6A081DE6"/>
    <w:lvl w:ilvl="0" w:tplc="04090005">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08">
    <w:nsid w:val="655B1B63"/>
    <w:multiLevelType w:val="hybridMultilevel"/>
    <w:tmpl w:val="C5C21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A2A1665"/>
    <w:multiLevelType w:val="hybridMultilevel"/>
    <w:tmpl w:val="A0185122"/>
    <w:lvl w:ilvl="0" w:tplc="477A8AB4">
      <w:start w:val="1"/>
      <w:numFmt w:val="lowerRoman"/>
      <w:lvlText w:val="%1."/>
      <w:lvlJc w:val="right"/>
      <w:pPr>
        <w:ind w:left="360" w:hanging="360"/>
      </w:pPr>
    </w:lvl>
    <w:lvl w:ilvl="1" w:tplc="C7AEDA4A" w:tentative="1">
      <w:start w:val="1"/>
      <w:numFmt w:val="lowerLetter"/>
      <w:lvlText w:val="%2."/>
      <w:lvlJc w:val="left"/>
      <w:pPr>
        <w:ind w:left="1080" w:hanging="360"/>
      </w:pPr>
    </w:lvl>
    <w:lvl w:ilvl="2" w:tplc="FFFAA400" w:tentative="1">
      <w:start w:val="1"/>
      <w:numFmt w:val="lowerRoman"/>
      <w:lvlText w:val="%3."/>
      <w:lvlJc w:val="right"/>
      <w:pPr>
        <w:ind w:left="1800" w:hanging="180"/>
      </w:pPr>
    </w:lvl>
    <w:lvl w:ilvl="3" w:tplc="1BA84E48" w:tentative="1">
      <w:start w:val="1"/>
      <w:numFmt w:val="decimal"/>
      <w:lvlText w:val="%4."/>
      <w:lvlJc w:val="left"/>
      <w:pPr>
        <w:ind w:left="2520" w:hanging="360"/>
      </w:pPr>
    </w:lvl>
    <w:lvl w:ilvl="4" w:tplc="8190E124" w:tentative="1">
      <w:start w:val="1"/>
      <w:numFmt w:val="lowerLetter"/>
      <w:lvlText w:val="%5."/>
      <w:lvlJc w:val="left"/>
      <w:pPr>
        <w:ind w:left="3240" w:hanging="360"/>
      </w:pPr>
    </w:lvl>
    <w:lvl w:ilvl="5" w:tplc="AE44E386" w:tentative="1">
      <w:start w:val="1"/>
      <w:numFmt w:val="lowerRoman"/>
      <w:lvlText w:val="%6."/>
      <w:lvlJc w:val="right"/>
      <w:pPr>
        <w:ind w:left="3960" w:hanging="180"/>
      </w:pPr>
    </w:lvl>
    <w:lvl w:ilvl="6" w:tplc="10CA6852" w:tentative="1">
      <w:start w:val="1"/>
      <w:numFmt w:val="decimal"/>
      <w:lvlText w:val="%7."/>
      <w:lvlJc w:val="left"/>
      <w:pPr>
        <w:ind w:left="4680" w:hanging="360"/>
      </w:pPr>
    </w:lvl>
    <w:lvl w:ilvl="7" w:tplc="88FA87FC" w:tentative="1">
      <w:start w:val="1"/>
      <w:numFmt w:val="lowerLetter"/>
      <w:lvlText w:val="%8."/>
      <w:lvlJc w:val="left"/>
      <w:pPr>
        <w:ind w:left="5400" w:hanging="360"/>
      </w:pPr>
    </w:lvl>
    <w:lvl w:ilvl="8" w:tplc="6EB44D3C" w:tentative="1">
      <w:start w:val="1"/>
      <w:numFmt w:val="lowerRoman"/>
      <w:lvlText w:val="%9."/>
      <w:lvlJc w:val="right"/>
      <w:pPr>
        <w:ind w:left="6120" w:hanging="180"/>
      </w:pPr>
    </w:lvl>
  </w:abstractNum>
  <w:abstractNum w:abstractNumId="110">
    <w:nsid w:val="6CDE46E7"/>
    <w:multiLevelType w:val="hybridMultilevel"/>
    <w:tmpl w:val="B8C61FC6"/>
    <w:lvl w:ilvl="0" w:tplc="C95EBC76">
      <w:start w:val="1"/>
      <w:numFmt w:val="bullet"/>
      <w:lvlText w:val=""/>
      <w:lvlJc w:val="left"/>
      <w:pPr>
        <w:ind w:left="720" w:hanging="360"/>
      </w:pPr>
      <w:rPr>
        <w:rFonts w:ascii="Wingdings" w:hAnsi="Wingdings" w:hint="default"/>
      </w:rPr>
    </w:lvl>
    <w:lvl w:ilvl="1" w:tplc="A5B48752" w:tentative="1">
      <w:start w:val="1"/>
      <w:numFmt w:val="bullet"/>
      <w:lvlText w:val="o"/>
      <w:lvlJc w:val="left"/>
      <w:pPr>
        <w:ind w:left="1440" w:hanging="360"/>
      </w:pPr>
      <w:rPr>
        <w:rFonts w:ascii="Courier New" w:hAnsi="Courier New" w:cs="Courier New" w:hint="default"/>
      </w:rPr>
    </w:lvl>
    <w:lvl w:ilvl="2" w:tplc="DF7AC734" w:tentative="1">
      <w:start w:val="1"/>
      <w:numFmt w:val="bullet"/>
      <w:lvlText w:val=""/>
      <w:lvlJc w:val="left"/>
      <w:pPr>
        <w:ind w:left="2160" w:hanging="360"/>
      </w:pPr>
      <w:rPr>
        <w:rFonts w:ascii="Wingdings" w:hAnsi="Wingdings" w:hint="default"/>
      </w:rPr>
    </w:lvl>
    <w:lvl w:ilvl="3" w:tplc="9DD43870" w:tentative="1">
      <w:start w:val="1"/>
      <w:numFmt w:val="bullet"/>
      <w:lvlText w:val=""/>
      <w:lvlJc w:val="left"/>
      <w:pPr>
        <w:ind w:left="2880" w:hanging="360"/>
      </w:pPr>
      <w:rPr>
        <w:rFonts w:ascii="Symbol" w:hAnsi="Symbol" w:hint="default"/>
      </w:rPr>
    </w:lvl>
    <w:lvl w:ilvl="4" w:tplc="877E7B38" w:tentative="1">
      <w:start w:val="1"/>
      <w:numFmt w:val="bullet"/>
      <w:lvlText w:val="o"/>
      <w:lvlJc w:val="left"/>
      <w:pPr>
        <w:ind w:left="3600" w:hanging="360"/>
      </w:pPr>
      <w:rPr>
        <w:rFonts w:ascii="Courier New" w:hAnsi="Courier New" w:cs="Courier New" w:hint="default"/>
      </w:rPr>
    </w:lvl>
    <w:lvl w:ilvl="5" w:tplc="71646868" w:tentative="1">
      <w:start w:val="1"/>
      <w:numFmt w:val="bullet"/>
      <w:lvlText w:val=""/>
      <w:lvlJc w:val="left"/>
      <w:pPr>
        <w:ind w:left="4320" w:hanging="360"/>
      </w:pPr>
      <w:rPr>
        <w:rFonts w:ascii="Wingdings" w:hAnsi="Wingdings" w:hint="default"/>
      </w:rPr>
    </w:lvl>
    <w:lvl w:ilvl="6" w:tplc="EE2A8628" w:tentative="1">
      <w:start w:val="1"/>
      <w:numFmt w:val="bullet"/>
      <w:lvlText w:val=""/>
      <w:lvlJc w:val="left"/>
      <w:pPr>
        <w:ind w:left="5040" w:hanging="360"/>
      </w:pPr>
      <w:rPr>
        <w:rFonts w:ascii="Symbol" w:hAnsi="Symbol" w:hint="default"/>
      </w:rPr>
    </w:lvl>
    <w:lvl w:ilvl="7" w:tplc="33140428" w:tentative="1">
      <w:start w:val="1"/>
      <w:numFmt w:val="bullet"/>
      <w:lvlText w:val="o"/>
      <w:lvlJc w:val="left"/>
      <w:pPr>
        <w:ind w:left="5760" w:hanging="360"/>
      </w:pPr>
      <w:rPr>
        <w:rFonts w:ascii="Courier New" w:hAnsi="Courier New" w:cs="Courier New" w:hint="default"/>
      </w:rPr>
    </w:lvl>
    <w:lvl w:ilvl="8" w:tplc="C92AECC6" w:tentative="1">
      <w:start w:val="1"/>
      <w:numFmt w:val="bullet"/>
      <w:lvlText w:val=""/>
      <w:lvlJc w:val="left"/>
      <w:pPr>
        <w:ind w:left="6480" w:hanging="360"/>
      </w:pPr>
      <w:rPr>
        <w:rFonts w:ascii="Wingdings" w:hAnsi="Wingdings" w:hint="default"/>
      </w:rPr>
    </w:lvl>
  </w:abstractNum>
  <w:abstractNum w:abstractNumId="111">
    <w:nsid w:val="6D8A26FB"/>
    <w:multiLevelType w:val="hybridMultilevel"/>
    <w:tmpl w:val="2716C2F0"/>
    <w:lvl w:ilvl="0" w:tplc="04090001">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2">
    <w:nsid w:val="70761EF1"/>
    <w:multiLevelType w:val="hybridMultilevel"/>
    <w:tmpl w:val="8B280070"/>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1F62D26"/>
    <w:multiLevelType w:val="hybridMultilevel"/>
    <w:tmpl w:val="75F0F982"/>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4">
    <w:nsid w:val="72F85424"/>
    <w:multiLevelType w:val="multilevel"/>
    <w:tmpl w:val="B0C638E8"/>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nsid w:val="74AF2896"/>
    <w:multiLevelType w:val="hybridMultilevel"/>
    <w:tmpl w:val="355ECA44"/>
    <w:lvl w:ilvl="0" w:tplc="8EFA7480">
      <w:start w:val="1"/>
      <w:numFmt w:val="bullet"/>
      <w:lvlText w:val=""/>
      <w:lvlJc w:val="left"/>
      <w:pPr>
        <w:tabs>
          <w:tab w:val="num" w:pos="360"/>
        </w:tabs>
        <w:ind w:left="360" w:hanging="360"/>
      </w:pPr>
      <w:rPr>
        <w:rFonts w:ascii="Wingdings" w:hAnsi="Wingdings" w:hint="default"/>
      </w:rPr>
    </w:lvl>
    <w:lvl w:ilvl="1" w:tplc="0409000D">
      <w:start w:val="1"/>
      <w:numFmt w:val="bullet"/>
      <w:lvlText w:val=""/>
      <w:lvlJc w:val="left"/>
      <w:pPr>
        <w:tabs>
          <w:tab w:val="num" w:pos="720"/>
        </w:tabs>
        <w:ind w:left="720" w:hanging="360"/>
      </w:pPr>
      <w:rPr>
        <w:rFonts w:ascii="Wingdings" w:hAnsi="Wingdings" w:hint="default"/>
      </w:rPr>
    </w:lvl>
    <w:lvl w:ilvl="2" w:tplc="BCD84664" w:tentative="1">
      <w:start w:val="1"/>
      <w:numFmt w:val="bullet"/>
      <w:lvlText w:val=""/>
      <w:lvlJc w:val="left"/>
      <w:pPr>
        <w:tabs>
          <w:tab w:val="num" w:pos="1800"/>
        </w:tabs>
        <w:ind w:left="1800" w:hanging="360"/>
      </w:pPr>
      <w:rPr>
        <w:rFonts w:ascii="Wingdings" w:hAnsi="Wingdings" w:hint="default"/>
      </w:rPr>
    </w:lvl>
    <w:lvl w:ilvl="3" w:tplc="CBE2289E" w:tentative="1">
      <w:start w:val="1"/>
      <w:numFmt w:val="bullet"/>
      <w:lvlText w:val=""/>
      <w:lvlJc w:val="left"/>
      <w:pPr>
        <w:tabs>
          <w:tab w:val="num" w:pos="2520"/>
        </w:tabs>
        <w:ind w:left="2520" w:hanging="360"/>
      </w:pPr>
      <w:rPr>
        <w:rFonts w:ascii="Wingdings" w:hAnsi="Wingdings" w:hint="default"/>
      </w:rPr>
    </w:lvl>
    <w:lvl w:ilvl="4" w:tplc="7B421BAA" w:tentative="1">
      <w:start w:val="1"/>
      <w:numFmt w:val="bullet"/>
      <w:lvlText w:val=""/>
      <w:lvlJc w:val="left"/>
      <w:pPr>
        <w:tabs>
          <w:tab w:val="num" w:pos="3240"/>
        </w:tabs>
        <w:ind w:left="3240" w:hanging="360"/>
      </w:pPr>
      <w:rPr>
        <w:rFonts w:ascii="Wingdings" w:hAnsi="Wingdings" w:hint="default"/>
      </w:rPr>
    </w:lvl>
    <w:lvl w:ilvl="5" w:tplc="B2723542" w:tentative="1">
      <w:start w:val="1"/>
      <w:numFmt w:val="bullet"/>
      <w:lvlText w:val=""/>
      <w:lvlJc w:val="left"/>
      <w:pPr>
        <w:tabs>
          <w:tab w:val="num" w:pos="3960"/>
        </w:tabs>
        <w:ind w:left="3960" w:hanging="360"/>
      </w:pPr>
      <w:rPr>
        <w:rFonts w:ascii="Wingdings" w:hAnsi="Wingdings" w:hint="default"/>
      </w:rPr>
    </w:lvl>
    <w:lvl w:ilvl="6" w:tplc="7C346122" w:tentative="1">
      <w:start w:val="1"/>
      <w:numFmt w:val="bullet"/>
      <w:lvlText w:val=""/>
      <w:lvlJc w:val="left"/>
      <w:pPr>
        <w:tabs>
          <w:tab w:val="num" w:pos="4680"/>
        </w:tabs>
        <w:ind w:left="4680" w:hanging="360"/>
      </w:pPr>
      <w:rPr>
        <w:rFonts w:ascii="Wingdings" w:hAnsi="Wingdings" w:hint="default"/>
      </w:rPr>
    </w:lvl>
    <w:lvl w:ilvl="7" w:tplc="EB54BA6A" w:tentative="1">
      <w:start w:val="1"/>
      <w:numFmt w:val="bullet"/>
      <w:lvlText w:val=""/>
      <w:lvlJc w:val="left"/>
      <w:pPr>
        <w:tabs>
          <w:tab w:val="num" w:pos="5400"/>
        </w:tabs>
        <w:ind w:left="5400" w:hanging="360"/>
      </w:pPr>
      <w:rPr>
        <w:rFonts w:ascii="Wingdings" w:hAnsi="Wingdings" w:hint="default"/>
      </w:rPr>
    </w:lvl>
    <w:lvl w:ilvl="8" w:tplc="1C9CE3E0" w:tentative="1">
      <w:start w:val="1"/>
      <w:numFmt w:val="bullet"/>
      <w:lvlText w:val=""/>
      <w:lvlJc w:val="left"/>
      <w:pPr>
        <w:tabs>
          <w:tab w:val="num" w:pos="6120"/>
        </w:tabs>
        <w:ind w:left="6120" w:hanging="360"/>
      </w:pPr>
      <w:rPr>
        <w:rFonts w:ascii="Wingdings" w:hAnsi="Wingdings" w:hint="default"/>
      </w:rPr>
    </w:lvl>
  </w:abstractNum>
  <w:abstractNum w:abstractNumId="116">
    <w:nsid w:val="76FD2AC6"/>
    <w:multiLevelType w:val="hybridMultilevel"/>
    <w:tmpl w:val="5D8A0A72"/>
    <w:lvl w:ilvl="0" w:tplc="2E9A2EEC">
      <w:start w:val="1"/>
      <w:numFmt w:val="bullet"/>
      <w:lvlText w:val=""/>
      <w:lvlJc w:val="left"/>
      <w:pPr>
        <w:ind w:left="360" w:hanging="360"/>
      </w:pPr>
      <w:rPr>
        <w:rFonts w:ascii="Wingdings" w:hAnsi="Wingdings" w:hint="default"/>
      </w:rPr>
    </w:lvl>
    <w:lvl w:ilvl="1" w:tplc="667ABC1C" w:tentative="1">
      <w:start w:val="1"/>
      <w:numFmt w:val="bullet"/>
      <w:lvlText w:val="o"/>
      <w:lvlJc w:val="left"/>
      <w:pPr>
        <w:ind w:left="1080" w:hanging="360"/>
      </w:pPr>
      <w:rPr>
        <w:rFonts w:ascii="Courier New" w:hAnsi="Courier New" w:cs="Courier New" w:hint="default"/>
      </w:rPr>
    </w:lvl>
    <w:lvl w:ilvl="2" w:tplc="F0F8E82E" w:tentative="1">
      <w:start w:val="1"/>
      <w:numFmt w:val="bullet"/>
      <w:lvlText w:val=""/>
      <w:lvlJc w:val="left"/>
      <w:pPr>
        <w:ind w:left="1800" w:hanging="360"/>
      </w:pPr>
      <w:rPr>
        <w:rFonts w:ascii="Wingdings" w:hAnsi="Wingdings" w:hint="default"/>
      </w:rPr>
    </w:lvl>
    <w:lvl w:ilvl="3" w:tplc="F2B819E4" w:tentative="1">
      <w:start w:val="1"/>
      <w:numFmt w:val="bullet"/>
      <w:lvlText w:val=""/>
      <w:lvlJc w:val="left"/>
      <w:pPr>
        <w:ind w:left="2520" w:hanging="360"/>
      </w:pPr>
      <w:rPr>
        <w:rFonts w:ascii="Symbol" w:hAnsi="Symbol" w:hint="default"/>
      </w:rPr>
    </w:lvl>
    <w:lvl w:ilvl="4" w:tplc="997EEFD4" w:tentative="1">
      <w:start w:val="1"/>
      <w:numFmt w:val="bullet"/>
      <w:lvlText w:val="o"/>
      <w:lvlJc w:val="left"/>
      <w:pPr>
        <w:ind w:left="3240" w:hanging="360"/>
      </w:pPr>
      <w:rPr>
        <w:rFonts w:ascii="Courier New" w:hAnsi="Courier New" w:cs="Courier New" w:hint="default"/>
      </w:rPr>
    </w:lvl>
    <w:lvl w:ilvl="5" w:tplc="37AC4AB4" w:tentative="1">
      <w:start w:val="1"/>
      <w:numFmt w:val="bullet"/>
      <w:lvlText w:val=""/>
      <w:lvlJc w:val="left"/>
      <w:pPr>
        <w:ind w:left="3960" w:hanging="360"/>
      </w:pPr>
      <w:rPr>
        <w:rFonts w:ascii="Wingdings" w:hAnsi="Wingdings" w:hint="default"/>
      </w:rPr>
    </w:lvl>
    <w:lvl w:ilvl="6" w:tplc="3D44DD96" w:tentative="1">
      <w:start w:val="1"/>
      <w:numFmt w:val="bullet"/>
      <w:lvlText w:val=""/>
      <w:lvlJc w:val="left"/>
      <w:pPr>
        <w:ind w:left="4680" w:hanging="360"/>
      </w:pPr>
      <w:rPr>
        <w:rFonts w:ascii="Symbol" w:hAnsi="Symbol" w:hint="default"/>
      </w:rPr>
    </w:lvl>
    <w:lvl w:ilvl="7" w:tplc="45427038" w:tentative="1">
      <w:start w:val="1"/>
      <w:numFmt w:val="bullet"/>
      <w:lvlText w:val="o"/>
      <w:lvlJc w:val="left"/>
      <w:pPr>
        <w:ind w:left="5400" w:hanging="360"/>
      </w:pPr>
      <w:rPr>
        <w:rFonts w:ascii="Courier New" w:hAnsi="Courier New" w:cs="Courier New" w:hint="default"/>
      </w:rPr>
    </w:lvl>
    <w:lvl w:ilvl="8" w:tplc="B740C39A" w:tentative="1">
      <w:start w:val="1"/>
      <w:numFmt w:val="bullet"/>
      <w:lvlText w:val=""/>
      <w:lvlJc w:val="left"/>
      <w:pPr>
        <w:ind w:left="6120" w:hanging="360"/>
      </w:pPr>
      <w:rPr>
        <w:rFonts w:ascii="Wingdings" w:hAnsi="Wingdings" w:hint="default"/>
      </w:rPr>
    </w:lvl>
  </w:abstractNum>
  <w:abstractNum w:abstractNumId="117">
    <w:nsid w:val="77210D95"/>
    <w:multiLevelType w:val="hybridMultilevel"/>
    <w:tmpl w:val="4AA04F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76368C6"/>
    <w:multiLevelType w:val="hybridMultilevel"/>
    <w:tmpl w:val="02F4AF52"/>
    <w:lvl w:ilvl="0" w:tplc="6D9ECE08">
      <w:start w:val="1"/>
      <w:numFmt w:val="decimal"/>
      <w:lvlText w:val="%1)"/>
      <w:lvlJc w:val="left"/>
      <w:pPr>
        <w:ind w:left="1080" w:hanging="360"/>
      </w:pPr>
      <w:rPr>
        <w:rFonts w:hint="default"/>
        <w:color w:val="auto"/>
      </w:rPr>
    </w:lvl>
    <w:lvl w:ilvl="1" w:tplc="C5AAB7A6" w:tentative="1">
      <w:start w:val="1"/>
      <w:numFmt w:val="bullet"/>
      <w:lvlText w:val="o"/>
      <w:lvlJc w:val="left"/>
      <w:pPr>
        <w:ind w:left="1800" w:hanging="360"/>
      </w:pPr>
      <w:rPr>
        <w:rFonts w:ascii="Courier New" w:hAnsi="Courier New" w:cs="Courier New" w:hint="default"/>
      </w:rPr>
    </w:lvl>
    <w:lvl w:ilvl="2" w:tplc="146CEEE4" w:tentative="1">
      <w:start w:val="1"/>
      <w:numFmt w:val="bullet"/>
      <w:lvlText w:val=""/>
      <w:lvlJc w:val="left"/>
      <w:pPr>
        <w:ind w:left="2520" w:hanging="360"/>
      </w:pPr>
      <w:rPr>
        <w:rFonts w:ascii="Wingdings" w:hAnsi="Wingdings" w:hint="default"/>
      </w:rPr>
    </w:lvl>
    <w:lvl w:ilvl="3" w:tplc="5BC63154" w:tentative="1">
      <w:start w:val="1"/>
      <w:numFmt w:val="bullet"/>
      <w:lvlText w:val=""/>
      <w:lvlJc w:val="left"/>
      <w:pPr>
        <w:ind w:left="3240" w:hanging="360"/>
      </w:pPr>
      <w:rPr>
        <w:rFonts w:ascii="Symbol" w:hAnsi="Symbol" w:hint="default"/>
      </w:rPr>
    </w:lvl>
    <w:lvl w:ilvl="4" w:tplc="D0A007E0" w:tentative="1">
      <w:start w:val="1"/>
      <w:numFmt w:val="bullet"/>
      <w:lvlText w:val="o"/>
      <w:lvlJc w:val="left"/>
      <w:pPr>
        <w:ind w:left="3960" w:hanging="360"/>
      </w:pPr>
      <w:rPr>
        <w:rFonts w:ascii="Courier New" w:hAnsi="Courier New" w:cs="Courier New" w:hint="default"/>
      </w:rPr>
    </w:lvl>
    <w:lvl w:ilvl="5" w:tplc="70A03332" w:tentative="1">
      <w:start w:val="1"/>
      <w:numFmt w:val="bullet"/>
      <w:lvlText w:val=""/>
      <w:lvlJc w:val="left"/>
      <w:pPr>
        <w:ind w:left="4680" w:hanging="360"/>
      </w:pPr>
      <w:rPr>
        <w:rFonts w:ascii="Wingdings" w:hAnsi="Wingdings" w:hint="default"/>
      </w:rPr>
    </w:lvl>
    <w:lvl w:ilvl="6" w:tplc="88662518" w:tentative="1">
      <w:start w:val="1"/>
      <w:numFmt w:val="bullet"/>
      <w:lvlText w:val=""/>
      <w:lvlJc w:val="left"/>
      <w:pPr>
        <w:ind w:left="5400" w:hanging="360"/>
      </w:pPr>
      <w:rPr>
        <w:rFonts w:ascii="Symbol" w:hAnsi="Symbol" w:hint="default"/>
      </w:rPr>
    </w:lvl>
    <w:lvl w:ilvl="7" w:tplc="93A6B9B6" w:tentative="1">
      <w:start w:val="1"/>
      <w:numFmt w:val="bullet"/>
      <w:lvlText w:val="o"/>
      <w:lvlJc w:val="left"/>
      <w:pPr>
        <w:ind w:left="6120" w:hanging="360"/>
      </w:pPr>
      <w:rPr>
        <w:rFonts w:ascii="Courier New" w:hAnsi="Courier New" w:cs="Courier New" w:hint="default"/>
      </w:rPr>
    </w:lvl>
    <w:lvl w:ilvl="8" w:tplc="33C0939E" w:tentative="1">
      <w:start w:val="1"/>
      <w:numFmt w:val="bullet"/>
      <w:lvlText w:val=""/>
      <w:lvlJc w:val="left"/>
      <w:pPr>
        <w:ind w:left="6840" w:hanging="360"/>
      </w:pPr>
      <w:rPr>
        <w:rFonts w:ascii="Wingdings" w:hAnsi="Wingdings" w:hint="default"/>
      </w:rPr>
    </w:lvl>
  </w:abstractNum>
  <w:abstractNum w:abstractNumId="119">
    <w:nsid w:val="789D6783"/>
    <w:multiLevelType w:val="hybridMultilevel"/>
    <w:tmpl w:val="905A3EBC"/>
    <w:lvl w:ilvl="0" w:tplc="0409001B">
      <w:start w:val="2"/>
      <w:numFmt w:val="upperRoman"/>
      <w:lvlText w:val="%1."/>
      <w:lvlJc w:val="left"/>
      <w:pPr>
        <w:ind w:left="3600" w:hanging="720"/>
      </w:pPr>
      <w:rPr>
        <w:rFonts w:hint="default"/>
        <w:sz w:val="22"/>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0">
    <w:nsid w:val="78CF6E04"/>
    <w:multiLevelType w:val="hybridMultilevel"/>
    <w:tmpl w:val="3E246F98"/>
    <w:lvl w:ilvl="0" w:tplc="208299B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9BC78BD"/>
    <w:multiLevelType w:val="hybridMultilevel"/>
    <w:tmpl w:val="6B505A84"/>
    <w:lvl w:ilvl="0" w:tplc="C6CC3C12">
      <w:start w:val="1"/>
      <w:numFmt w:val="bullet"/>
      <w:lvlText w:val=""/>
      <w:lvlJc w:val="left"/>
      <w:pPr>
        <w:ind w:left="630" w:hanging="360"/>
      </w:pPr>
      <w:rPr>
        <w:rFonts w:ascii="Wingdings" w:hAnsi="Wingdings" w:hint="default"/>
      </w:rPr>
    </w:lvl>
    <w:lvl w:ilvl="1" w:tplc="F306C39C" w:tentative="1">
      <w:start w:val="1"/>
      <w:numFmt w:val="bullet"/>
      <w:lvlText w:val="o"/>
      <w:lvlJc w:val="left"/>
      <w:pPr>
        <w:ind w:left="1800" w:hanging="360"/>
      </w:pPr>
      <w:rPr>
        <w:rFonts w:ascii="Courier New" w:hAnsi="Courier New" w:cs="Courier New" w:hint="default"/>
      </w:rPr>
    </w:lvl>
    <w:lvl w:ilvl="2" w:tplc="CD88585E" w:tentative="1">
      <w:start w:val="1"/>
      <w:numFmt w:val="bullet"/>
      <w:lvlText w:val=""/>
      <w:lvlJc w:val="left"/>
      <w:pPr>
        <w:ind w:left="2520" w:hanging="360"/>
      </w:pPr>
      <w:rPr>
        <w:rFonts w:ascii="Wingdings" w:hAnsi="Wingdings" w:hint="default"/>
      </w:rPr>
    </w:lvl>
    <w:lvl w:ilvl="3" w:tplc="8ECA7984" w:tentative="1">
      <w:start w:val="1"/>
      <w:numFmt w:val="bullet"/>
      <w:lvlText w:val=""/>
      <w:lvlJc w:val="left"/>
      <w:pPr>
        <w:ind w:left="3240" w:hanging="360"/>
      </w:pPr>
      <w:rPr>
        <w:rFonts w:ascii="Symbol" w:hAnsi="Symbol" w:hint="default"/>
      </w:rPr>
    </w:lvl>
    <w:lvl w:ilvl="4" w:tplc="3086F46C" w:tentative="1">
      <w:start w:val="1"/>
      <w:numFmt w:val="bullet"/>
      <w:lvlText w:val="o"/>
      <w:lvlJc w:val="left"/>
      <w:pPr>
        <w:ind w:left="3960" w:hanging="360"/>
      </w:pPr>
      <w:rPr>
        <w:rFonts w:ascii="Courier New" w:hAnsi="Courier New" w:cs="Courier New" w:hint="default"/>
      </w:rPr>
    </w:lvl>
    <w:lvl w:ilvl="5" w:tplc="643E11F4" w:tentative="1">
      <w:start w:val="1"/>
      <w:numFmt w:val="bullet"/>
      <w:lvlText w:val=""/>
      <w:lvlJc w:val="left"/>
      <w:pPr>
        <w:ind w:left="4680" w:hanging="360"/>
      </w:pPr>
      <w:rPr>
        <w:rFonts w:ascii="Wingdings" w:hAnsi="Wingdings" w:hint="default"/>
      </w:rPr>
    </w:lvl>
    <w:lvl w:ilvl="6" w:tplc="0AEAFE74" w:tentative="1">
      <w:start w:val="1"/>
      <w:numFmt w:val="bullet"/>
      <w:lvlText w:val=""/>
      <w:lvlJc w:val="left"/>
      <w:pPr>
        <w:ind w:left="5400" w:hanging="360"/>
      </w:pPr>
      <w:rPr>
        <w:rFonts w:ascii="Symbol" w:hAnsi="Symbol" w:hint="default"/>
      </w:rPr>
    </w:lvl>
    <w:lvl w:ilvl="7" w:tplc="6114D24A" w:tentative="1">
      <w:start w:val="1"/>
      <w:numFmt w:val="bullet"/>
      <w:lvlText w:val="o"/>
      <w:lvlJc w:val="left"/>
      <w:pPr>
        <w:ind w:left="6120" w:hanging="360"/>
      </w:pPr>
      <w:rPr>
        <w:rFonts w:ascii="Courier New" w:hAnsi="Courier New" w:cs="Courier New" w:hint="default"/>
      </w:rPr>
    </w:lvl>
    <w:lvl w:ilvl="8" w:tplc="D7321426" w:tentative="1">
      <w:start w:val="1"/>
      <w:numFmt w:val="bullet"/>
      <w:lvlText w:val=""/>
      <w:lvlJc w:val="left"/>
      <w:pPr>
        <w:ind w:left="6840" w:hanging="360"/>
      </w:pPr>
      <w:rPr>
        <w:rFonts w:ascii="Wingdings" w:hAnsi="Wingdings" w:hint="default"/>
      </w:rPr>
    </w:lvl>
  </w:abstractNum>
  <w:abstractNum w:abstractNumId="122">
    <w:nsid w:val="7A817BAC"/>
    <w:multiLevelType w:val="hybridMultilevel"/>
    <w:tmpl w:val="827067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C5D4099"/>
    <w:multiLevelType w:val="hybridMultilevel"/>
    <w:tmpl w:val="67CA4314"/>
    <w:lvl w:ilvl="0" w:tplc="A7FE27D2">
      <w:start w:val="1"/>
      <w:numFmt w:val="bullet"/>
      <w:lvlText w:val=""/>
      <w:lvlPicBulletId w:val="0"/>
      <w:lvlJc w:val="left"/>
      <w:pPr>
        <w:ind w:left="360" w:hanging="360"/>
      </w:pPr>
      <w:rPr>
        <w:rFonts w:ascii="Symbol" w:hAnsi="Symbol" w:hint="default"/>
        <w:color w:val="3333C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7D190EB4"/>
    <w:multiLevelType w:val="hybridMultilevel"/>
    <w:tmpl w:val="723026F8"/>
    <w:lvl w:ilvl="0" w:tplc="E072160C">
      <w:start w:val="1"/>
      <w:numFmt w:val="decimal"/>
      <w:lvlText w:val="%1)"/>
      <w:lvlJc w:val="left"/>
      <w:pPr>
        <w:ind w:left="72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DD7009F"/>
    <w:multiLevelType w:val="hybridMultilevel"/>
    <w:tmpl w:val="0F9E8DA0"/>
    <w:lvl w:ilvl="0" w:tplc="04090005">
      <w:start w:val="1"/>
      <w:numFmt w:val="bullet"/>
      <w:lvlText w:val=""/>
      <w:lvlJc w:val="left"/>
      <w:pPr>
        <w:ind w:left="720" w:hanging="360"/>
      </w:pPr>
      <w:rPr>
        <w:rFonts w:ascii="Wingdings" w:hAnsi="Wingding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6">
    <w:nsid w:val="7E560BF4"/>
    <w:multiLevelType w:val="hybridMultilevel"/>
    <w:tmpl w:val="9ACAE47C"/>
    <w:lvl w:ilvl="0" w:tplc="0409000F">
      <w:numFmt w:val="bullet"/>
      <w:lvlText w:val=""/>
      <w:lvlJc w:val="left"/>
      <w:pPr>
        <w:tabs>
          <w:tab w:val="num" w:pos="1170"/>
        </w:tabs>
        <w:ind w:left="1170" w:hanging="360"/>
      </w:pPr>
      <w:rPr>
        <w:rFonts w:ascii="Symbol" w:eastAsia="Times New Roman" w:hAnsi="Symbol" w:cs="Times New Roman" w:hint="default"/>
      </w:rPr>
    </w:lvl>
    <w:lvl w:ilvl="1" w:tplc="04090019">
      <w:start w:val="1"/>
      <w:numFmt w:val="bullet"/>
      <w:lvlText w:val=""/>
      <w:lvlJc w:val="left"/>
      <w:pPr>
        <w:tabs>
          <w:tab w:val="num" w:pos="1890"/>
        </w:tabs>
        <w:ind w:left="1890" w:hanging="360"/>
      </w:pPr>
      <w:rPr>
        <w:rFonts w:ascii="Symbol" w:hAnsi="Symbol" w:hint="default"/>
      </w:rPr>
    </w:lvl>
    <w:lvl w:ilvl="2" w:tplc="0409001B" w:tentative="1">
      <w:start w:val="1"/>
      <w:numFmt w:val="bullet"/>
      <w:lvlText w:val=""/>
      <w:lvlJc w:val="left"/>
      <w:pPr>
        <w:tabs>
          <w:tab w:val="num" w:pos="2610"/>
        </w:tabs>
        <w:ind w:left="2610" w:hanging="360"/>
      </w:pPr>
      <w:rPr>
        <w:rFonts w:ascii="Wingdings" w:hAnsi="Wingdings" w:hint="default"/>
      </w:rPr>
    </w:lvl>
    <w:lvl w:ilvl="3" w:tplc="0409000F" w:tentative="1">
      <w:start w:val="1"/>
      <w:numFmt w:val="bullet"/>
      <w:lvlText w:val=""/>
      <w:lvlJc w:val="left"/>
      <w:pPr>
        <w:tabs>
          <w:tab w:val="num" w:pos="3330"/>
        </w:tabs>
        <w:ind w:left="3330" w:hanging="360"/>
      </w:pPr>
      <w:rPr>
        <w:rFonts w:ascii="Symbol" w:hAnsi="Symbol" w:hint="default"/>
      </w:rPr>
    </w:lvl>
    <w:lvl w:ilvl="4" w:tplc="04090019" w:tentative="1">
      <w:start w:val="1"/>
      <w:numFmt w:val="bullet"/>
      <w:lvlText w:val="o"/>
      <w:lvlJc w:val="left"/>
      <w:pPr>
        <w:tabs>
          <w:tab w:val="num" w:pos="4050"/>
        </w:tabs>
        <w:ind w:left="4050" w:hanging="360"/>
      </w:pPr>
      <w:rPr>
        <w:rFonts w:ascii="Courier New" w:hAnsi="Courier New" w:hint="default"/>
      </w:rPr>
    </w:lvl>
    <w:lvl w:ilvl="5" w:tplc="0409001B" w:tentative="1">
      <w:start w:val="1"/>
      <w:numFmt w:val="bullet"/>
      <w:lvlText w:val=""/>
      <w:lvlJc w:val="left"/>
      <w:pPr>
        <w:tabs>
          <w:tab w:val="num" w:pos="4770"/>
        </w:tabs>
        <w:ind w:left="4770" w:hanging="360"/>
      </w:pPr>
      <w:rPr>
        <w:rFonts w:ascii="Wingdings" w:hAnsi="Wingdings" w:hint="default"/>
      </w:rPr>
    </w:lvl>
    <w:lvl w:ilvl="6" w:tplc="0409000F" w:tentative="1">
      <w:start w:val="1"/>
      <w:numFmt w:val="bullet"/>
      <w:lvlText w:val=""/>
      <w:lvlJc w:val="left"/>
      <w:pPr>
        <w:tabs>
          <w:tab w:val="num" w:pos="5490"/>
        </w:tabs>
        <w:ind w:left="5490" w:hanging="360"/>
      </w:pPr>
      <w:rPr>
        <w:rFonts w:ascii="Symbol" w:hAnsi="Symbol" w:hint="default"/>
      </w:rPr>
    </w:lvl>
    <w:lvl w:ilvl="7" w:tplc="04090019" w:tentative="1">
      <w:start w:val="1"/>
      <w:numFmt w:val="bullet"/>
      <w:lvlText w:val="o"/>
      <w:lvlJc w:val="left"/>
      <w:pPr>
        <w:tabs>
          <w:tab w:val="num" w:pos="6210"/>
        </w:tabs>
        <w:ind w:left="6210" w:hanging="360"/>
      </w:pPr>
      <w:rPr>
        <w:rFonts w:ascii="Courier New" w:hAnsi="Courier New" w:hint="default"/>
      </w:rPr>
    </w:lvl>
    <w:lvl w:ilvl="8" w:tplc="0409001B" w:tentative="1">
      <w:start w:val="1"/>
      <w:numFmt w:val="bullet"/>
      <w:lvlText w:val=""/>
      <w:lvlJc w:val="left"/>
      <w:pPr>
        <w:tabs>
          <w:tab w:val="num" w:pos="6930"/>
        </w:tabs>
        <w:ind w:left="6930" w:hanging="360"/>
      </w:pPr>
      <w:rPr>
        <w:rFonts w:ascii="Wingdings" w:hAnsi="Wingdings" w:hint="default"/>
      </w:rPr>
    </w:lvl>
  </w:abstractNum>
  <w:abstractNum w:abstractNumId="127">
    <w:nsid w:val="7FBE6AF8"/>
    <w:multiLevelType w:val="hybridMultilevel"/>
    <w:tmpl w:val="E436735E"/>
    <w:lvl w:ilvl="0" w:tplc="C3EEFF58">
      <w:start w:val="1"/>
      <w:numFmt w:val="lowerLetter"/>
      <w:pStyle w:val="Listletter"/>
      <w:lvlText w:val="%1."/>
      <w:lvlJc w:val="left"/>
      <w:pPr>
        <w:tabs>
          <w:tab w:val="num" w:pos="360"/>
        </w:tabs>
        <w:ind w:left="360" w:hanging="360"/>
      </w:pPr>
      <w:rPr>
        <w:rFonts w:hint="default"/>
      </w:rPr>
    </w:lvl>
    <w:lvl w:ilvl="1" w:tplc="04090001"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8">
    <w:nsid w:val="7FEE2219"/>
    <w:multiLevelType w:val="hybridMultilevel"/>
    <w:tmpl w:val="9454CA12"/>
    <w:lvl w:ilvl="0" w:tplc="C1B6079A">
      <w:start w:val="1"/>
      <w:numFmt w:val="bullet"/>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num w:numId="1">
    <w:abstractNumId w:val="24"/>
  </w:num>
  <w:num w:numId="2">
    <w:abstractNumId w:val="68"/>
  </w:num>
  <w:num w:numId="3">
    <w:abstractNumId w:val="114"/>
  </w:num>
  <w:num w:numId="4">
    <w:abstractNumId w:val="127"/>
  </w:num>
  <w:num w:numId="5">
    <w:abstractNumId w:val="32"/>
  </w:num>
  <w:num w:numId="6">
    <w:abstractNumId w:val="87"/>
  </w:num>
  <w:num w:numId="7">
    <w:abstractNumId w:val="16"/>
  </w:num>
  <w:num w:numId="8">
    <w:abstractNumId w:val="97"/>
  </w:num>
  <w:num w:numId="9">
    <w:abstractNumId w:val="20"/>
  </w:num>
  <w:num w:numId="10">
    <w:abstractNumId w:val="62"/>
  </w:num>
  <w:num w:numId="11">
    <w:abstractNumId w:val="42"/>
  </w:num>
  <w:num w:numId="12">
    <w:abstractNumId w:val="8"/>
  </w:num>
  <w:num w:numId="13">
    <w:abstractNumId w:val="123"/>
  </w:num>
  <w:num w:numId="14">
    <w:abstractNumId w:val="5"/>
  </w:num>
  <w:num w:numId="15">
    <w:abstractNumId w:val="107"/>
  </w:num>
  <w:num w:numId="16">
    <w:abstractNumId w:val="44"/>
  </w:num>
  <w:num w:numId="17">
    <w:abstractNumId w:val="64"/>
  </w:num>
  <w:num w:numId="18">
    <w:abstractNumId w:val="37"/>
  </w:num>
  <w:num w:numId="19">
    <w:abstractNumId w:val="19"/>
  </w:num>
  <w:num w:numId="20">
    <w:abstractNumId w:val="1"/>
  </w:num>
  <w:num w:numId="21">
    <w:abstractNumId w:val="81"/>
  </w:num>
  <w:num w:numId="22">
    <w:abstractNumId w:val="69"/>
  </w:num>
  <w:num w:numId="23">
    <w:abstractNumId w:val="23"/>
  </w:num>
  <w:num w:numId="24">
    <w:abstractNumId w:val="11"/>
  </w:num>
  <w:num w:numId="25">
    <w:abstractNumId w:val="50"/>
  </w:num>
  <w:num w:numId="26">
    <w:abstractNumId w:val="59"/>
  </w:num>
  <w:num w:numId="27">
    <w:abstractNumId w:val="38"/>
  </w:num>
  <w:num w:numId="28">
    <w:abstractNumId w:val="113"/>
  </w:num>
  <w:num w:numId="29">
    <w:abstractNumId w:val="111"/>
  </w:num>
  <w:num w:numId="30">
    <w:abstractNumId w:val="70"/>
  </w:num>
  <w:num w:numId="31">
    <w:abstractNumId w:val="15"/>
  </w:num>
  <w:num w:numId="32">
    <w:abstractNumId w:val="56"/>
  </w:num>
  <w:num w:numId="33">
    <w:abstractNumId w:val="128"/>
  </w:num>
  <w:num w:numId="34">
    <w:abstractNumId w:val="58"/>
  </w:num>
  <w:num w:numId="35">
    <w:abstractNumId w:val="125"/>
  </w:num>
  <w:num w:numId="36">
    <w:abstractNumId w:val="0"/>
  </w:num>
  <w:num w:numId="37">
    <w:abstractNumId w:val="60"/>
  </w:num>
  <w:num w:numId="38">
    <w:abstractNumId w:val="13"/>
  </w:num>
  <w:num w:numId="39">
    <w:abstractNumId w:val="73"/>
  </w:num>
  <w:num w:numId="40">
    <w:abstractNumId w:val="121"/>
  </w:num>
  <w:num w:numId="41">
    <w:abstractNumId w:val="4"/>
  </w:num>
  <w:num w:numId="42">
    <w:abstractNumId w:val="100"/>
  </w:num>
  <w:num w:numId="43">
    <w:abstractNumId w:val="22"/>
  </w:num>
  <w:num w:numId="44">
    <w:abstractNumId w:val="110"/>
  </w:num>
  <w:num w:numId="45">
    <w:abstractNumId w:val="57"/>
  </w:num>
  <w:num w:numId="46">
    <w:abstractNumId w:val="35"/>
  </w:num>
  <w:num w:numId="47">
    <w:abstractNumId w:val="109"/>
  </w:num>
  <w:num w:numId="48">
    <w:abstractNumId w:val="118"/>
  </w:num>
  <w:num w:numId="49">
    <w:abstractNumId w:val="12"/>
  </w:num>
  <w:num w:numId="50">
    <w:abstractNumId w:val="45"/>
  </w:num>
  <w:num w:numId="51">
    <w:abstractNumId w:val="43"/>
  </w:num>
  <w:num w:numId="52">
    <w:abstractNumId w:val="2"/>
  </w:num>
  <w:num w:numId="53">
    <w:abstractNumId w:val="96"/>
  </w:num>
  <w:num w:numId="54">
    <w:abstractNumId w:val="82"/>
  </w:num>
  <w:num w:numId="55">
    <w:abstractNumId w:val="27"/>
  </w:num>
  <w:num w:numId="56">
    <w:abstractNumId w:val="75"/>
  </w:num>
  <w:num w:numId="57">
    <w:abstractNumId w:val="39"/>
  </w:num>
  <w:num w:numId="58">
    <w:abstractNumId w:val="34"/>
  </w:num>
  <w:num w:numId="59">
    <w:abstractNumId w:val="36"/>
  </w:num>
  <w:num w:numId="60">
    <w:abstractNumId w:val="88"/>
  </w:num>
  <w:num w:numId="61">
    <w:abstractNumId w:val="46"/>
  </w:num>
  <w:num w:numId="62">
    <w:abstractNumId w:val="21"/>
  </w:num>
  <w:num w:numId="63">
    <w:abstractNumId w:val="63"/>
  </w:num>
  <w:num w:numId="64">
    <w:abstractNumId w:val="85"/>
  </w:num>
  <w:num w:numId="65">
    <w:abstractNumId w:val="51"/>
  </w:num>
  <w:num w:numId="66">
    <w:abstractNumId w:val="102"/>
  </w:num>
  <w:num w:numId="67">
    <w:abstractNumId w:val="18"/>
  </w:num>
  <w:num w:numId="68">
    <w:abstractNumId w:val="41"/>
  </w:num>
  <w:num w:numId="69">
    <w:abstractNumId w:val="124"/>
  </w:num>
  <w:num w:numId="70">
    <w:abstractNumId w:val="77"/>
  </w:num>
  <w:num w:numId="71">
    <w:abstractNumId w:val="126"/>
  </w:num>
  <w:num w:numId="72">
    <w:abstractNumId w:val="26"/>
  </w:num>
  <w:num w:numId="73">
    <w:abstractNumId w:val="105"/>
  </w:num>
  <w:num w:numId="74">
    <w:abstractNumId w:val="83"/>
  </w:num>
  <w:num w:numId="75">
    <w:abstractNumId w:val="98"/>
  </w:num>
  <w:num w:numId="76">
    <w:abstractNumId w:val="120"/>
  </w:num>
  <w:num w:numId="77">
    <w:abstractNumId w:val="101"/>
  </w:num>
  <w:num w:numId="78">
    <w:abstractNumId w:val="10"/>
  </w:num>
  <w:num w:numId="79">
    <w:abstractNumId w:val="106"/>
  </w:num>
  <w:num w:numId="80">
    <w:abstractNumId w:val="52"/>
  </w:num>
  <w:num w:numId="81">
    <w:abstractNumId w:val="30"/>
  </w:num>
  <w:num w:numId="82">
    <w:abstractNumId w:val="94"/>
  </w:num>
  <w:num w:numId="83">
    <w:abstractNumId w:val="67"/>
  </w:num>
  <w:num w:numId="84">
    <w:abstractNumId w:val="119"/>
  </w:num>
  <w:num w:numId="85">
    <w:abstractNumId w:val="80"/>
  </w:num>
  <w:num w:numId="86">
    <w:abstractNumId w:val="99"/>
  </w:num>
  <w:num w:numId="87">
    <w:abstractNumId w:val="91"/>
  </w:num>
  <w:num w:numId="88">
    <w:abstractNumId w:val="71"/>
  </w:num>
  <w:num w:numId="89">
    <w:abstractNumId w:val="12"/>
    <w:lvlOverride w:ilvl="0">
      <w:startOverride w:val="1"/>
    </w:lvlOverride>
    <w:lvlOverride w:ilvl="1">
      <w:startOverride w:val="2"/>
    </w:lvlOverride>
  </w:num>
  <w:num w:numId="90">
    <w:abstractNumId w:val="49"/>
  </w:num>
  <w:num w:numId="91">
    <w:abstractNumId w:val="3"/>
  </w:num>
  <w:num w:numId="92">
    <w:abstractNumId w:val="31"/>
  </w:num>
  <w:num w:numId="93">
    <w:abstractNumId w:val="112"/>
  </w:num>
  <w:num w:numId="94">
    <w:abstractNumId w:val="86"/>
  </w:num>
  <w:num w:numId="95">
    <w:abstractNumId w:val="17"/>
  </w:num>
  <w:num w:numId="96">
    <w:abstractNumId w:val="72"/>
  </w:num>
  <w:num w:numId="97">
    <w:abstractNumId w:val="25"/>
  </w:num>
  <w:num w:numId="9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8"/>
    <w:lvlOverride w:ilvl="0"/>
    <w:lvlOverride w:ilvl="1"/>
    <w:lvlOverride w:ilvl="2"/>
    <w:lvlOverride w:ilvl="3">
      <w:startOverride w:val="1"/>
    </w:lvlOverride>
    <w:lvlOverride w:ilvl="4"/>
    <w:lvlOverride w:ilvl="5"/>
    <w:lvlOverride w:ilvl="6">
      <w:startOverride w:val="1"/>
    </w:lvlOverride>
    <w:lvlOverride w:ilvl="7">
      <w:startOverride w:val="1"/>
    </w:lvlOverride>
    <w:lvlOverride w:ilvl="8">
      <w:startOverride w:val="1"/>
    </w:lvlOverride>
  </w:num>
  <w:num w:numId="10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7"/>
  </w:num>
  <w:num w:numId="110">
    <w:abstractNumId w:val="90"/>
  </w:num>
  <w:num w:numId="111">
    <w:abstractNumId w:val="14"/>
  </w:num>
  <w:num w:numId="112">
    <w:abstractNumId w:val="89"/>
  </w:num>
  <w:num w:numId="113">
    <w:abstractNumId w:val="104"/>
  </w:num>
  <w:num w:numId="114">
    <w:abstractNumId w:val="79"/>
  </w:num>
  <w:num w:numId="115">
    <w:abstractNumId w:val="78"/>
  </w:num>
  <w:num w:numId="116">
    <w:abstractNumId w:val="61"/>
  </w:num>
  <w:num w:numId="117">
    <w:abstractNumId w:val="84"/>
  </w:num>
  <w:num w:numId="118">
    <w:abstractNumId w:val="47"/>
  </w:num>
  <w:num w:numId="119">
    <w:abstractNumId w:val="9"/>
  </w:num>
  <w:num w:numId="120">
    <w:abstractNumId w:val="7"/>
  </w:num>
  <w:num w:numId="121">
    <w:abstractNumId w:val="40"/>
  </w:num>
  <w:num w:numId="122">
    <w:abstractNumId w:val="65"/>
  </w:num>
  <w:num w:numId="123">
    <w:abstractNumId w:val="76"/>
  </w:num>
  <w:num w:numId="124">
    <w:abstractNumId w:val="108"/>
  </w:num>
  <w:num w:numId="125">
    <w:abstractNumId w:val="28"/>
  </w:num>
  <w:num w:numId="126">
    <w:abstractNumId w:val="74"/>
  </w:num>
  <w:num w:numId="127">
    <w:abstractNumId w:val="66"/>
  </w:num>
  <w:num w:numId="128">
    <w:abstractNumId w:val="29"/>
  </w:num>
  <w:num w:numId="129">
    <w:abstractNumId w:val="115"/>
  </w:num>
  <w:num w:numId="130">
    <w:abstractNumId w:val="54"/>
  </w:num>
  <w:num w:numId="131">
    <w:abstractNumId w:val="33"/>
  </w:num>
  <w:num w:numId="132">
    <w:abstractNumId w:val="55"/>
  </w:num>
  <w:num w:numId="133">
    <w:abstractNumId w:val="95"/>
  </w:num>
  <w:num w:numId="134">
    <w:abstractNumId w:val="92"/>
  </w:num>
  <w:num w:numId="135">
    <w:abstractNumId w:val="122"/>
  </w:num>
  <w:num w:numId="136">
    <w:abstractNumId w:val="6"/>
  </w:num>
  <w:num w:numId="137">
    <w:abstractNumId w:val="53"/>
  </w:num>
  <w:num w:numId="138">
    <w:abstractNumId w:val="48"/>
  </w:num>
  <w:numIdMacAtCleanup w:val="1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ctiveWritingStyle w:appName="MSWord" w:lang="en-US" w:vendorID="64" w:dllVersion="131078" w:nlCheck="1" w:checkStyle="1"/>
  <w:activeWritingStyle w:appName="MSWord" w:lang="en-GB" w:vendorID="64" w:dllVersion="131078" w:nlCheck="1" w:checkStyle="1"/>
  <w:stylePaneFormatFilter w:val="3F01"/>
  <w:defaultTabStop w:val="720"/>
  <w:drawingGridHorizontalSpacing w:val="110"/>
  <w:displayHorizontalDrawingGridEvery w:val="2"/>
  <w:displayVerticalDrawingGridEvery w:val="2"/>
  <w:noPunctuationKerning/>
  <w:characterSpacingControl w:val="doNotCompress"/>
  <w:hdrShapeDefaults>
    <o:shapedefaults v:ext="edit" spidmax="5122" fillcolor="#ddd">
      <v:fill color="#ddd"/>
      <v:shadow on="t" opacity=".5" offset="6pt,6pt"/>
      <v:textbox style="mso-fit-shape-to-text:t"/>
      <o:colormru v:ext="edit" colors="#ddd,#036"/>
    </o:shapedefaults>
  </w:hdrShapeDefaults>
  <w:footnotePr>
    <w:footnote w:id="0"/>
    <w:footnote w:id="1"/>
  </w:footnotePr>
  <w:endnotePr>
    <w:endnote w:id="0"/>
    <w:endnote w:id="1"/>
  </w:endnotePr>
  <w:compat/>
  <w:rsids>
    <w:rsidRoot w:val="00BA3253"/>
    <w:rsid w:val="000003EE"/>
    <w:rsid w:val="00000793"/>
    <w:rsid w:val="00000A42"/>
    <w:rsid w:val="00000CF7"/>
    <w:rsid w:val="00000D7C"/>
    <w:rsid w:val="00000E7A"/>
    <w:rsid w:val="00000F21"/>
    <w:rsid w:val="000021E0"/>
    <w:rsid w:val="000024A2"/>
    <w:rsid w:val="000024C1"/>
    <w:rsid w:val="0000253A"/>
    <w:rsid w:val="0000264B"/>
    <w:rsid w:val="00002D1C"/>
    <w:rsid w:val="000032DD"/>
    <w:rsid w:val="000033AB"/>
    <w:rsid w:val="00003E13"/>
    <w:rsid w:val="0000439D"/>
    <w:rsid w:val="000043E7"/>
    <w:rsid w:val="00004760"/>
    <w:rsid w:val="00004922"/>
    <w:rsid w:val="00004B43"/>
    <w:rsid w:val="00004C22"/>
    <w:rsid w:val="00004E5C"/>
    <w:rsid w:val="00005110"/>
    <w:rsid w:val="000054C2"/>
    <w:rsid w:val="000057B9"/>
    <w:rsid w:val="00005B55"/>
    <w:rsid w:val="00005D7C"/>
    <w:rsid w:val="00005E1B"/>
    <w:rsid w:val="000062ED"/>
    <w:rsid w:val="000064AE"/>
    <w:rsid w:val="000064D2"/>
    <w:rsid w:val="00006DDA"/>
    <w:rsid w:val="00006F0E"/>
    <w:rsid w:val="00007E2E"/>
    <w:rsid w:val="00007FF4"/>
    <w:rsid w:val="0001041C"/>
    <w:rsid w:val="00010483"/>
    <w:rsid w:val="00011038"/>
    <w:rsid w:val="000110B5"/>
    <w:rsid w:val="0001130B"/>
    <w:rsid w:val="000114E4"/>
    <w:rsid w:val="00011CA7"/>
    <w:rsid w:val="00011E3B"/>
    <w:rsid w:val="00011EB0"/>
    <w:rsid w:val="00012F66"/>
    <w:rsid w:val="00012FC1"/>
    <w:rsid w:val="000130F7"/>
    <w:rsid w:val="00013402"/>
    <w:rsid w:val="00013C56"/>
    <w:rsid w:val="00013FE9"/>
    <w:rsid w:val="00014A69"/>
    <w:rsid w:val="00014CD2"/>
    <w:rsid w:val="00014DAD"/>
    <w:rsid w:val="000152BA"/>
    <w:rsid w:val="000156BF"/>
    <w:rsid w:val="000158DC"/>
    <w:rsid w:val="00015918"/>
    <w:rsid w:val="00015E92"/>
    <w:rsid w:val="000160C3"/>
    <w:rsid w:val="00016D7A"/>
    <w:rsid w:val="00017067"/>
    <w:rsid w:val="0001780B"/>
    <w:rsid w:val="00017A19"/>
    <w:rsid w:val="00017A59"/>
    <w:rsid w:val="00020163"/>
    <w:rsid w:val="00020182"/>
    <w:rsid w:val="0002046B"/>
    <w:rsid w:val="00020811"/>
    <w:rsid w:val="00020B3C"/>
    <w:rsid w:val="000211EC"/>
    <w:rsid w:val="0002122C"/>
    <w:rsid w:val="00021448"/>
    <w:rsid w:val="00021510"/>
    <w:rsid w:val="000219DD"/>
    <w:rsid w:val="00021AC5"/>
    <w:rsid w:val="00021BE0"/>
    <w:rsid w:val="00021C62"/>
    <w:rsid w:val="00022147"/>
    <w:rsid w:val="00022483"/>
    <w:rsid w:val="00023604"/>
    <w:rsid w:val="0002361D"/>
    <w:rsid w:val="00023F48"/>
    <w:rsid w:val="00024484"/>
    <w:rsid w:val="00024577"/>
    <w:rsid w:val="00024691"/>
    <w:rsid w:val="00024C1C"/>
    <w:rsid w:val="00024C51"/>
    <w:rsid w:val="00025671"/>
    <w:rsid w:val="00025B7C"/>
    <w:rsid w:val="00025D5C"/>
    <w:rsid w:val="00025E5D"/>
    <w:rsid w:val="00025F07"/>
    <w:rsid w:val="00026684"/>
    <w:rsid w:val="0002736C"/>
    <w:rsid w:val="000275BE"/>
    <w:rsid w:val="0003015A"/>
    <w:rsid w:val="0003065A"/>
    <w:rsid w:val="00030897"/>
    <w:rsid w:val="00030ED5"/>
    <w:rsid w:val="000310C5"/>
    <w:rsid w:val="0003117B"/>
    <w:rsid w:val="000312AC"/>
    <w:rsid w:val="00031797"/>
    <w:rsid w:val="00032127"/>
    <w:rsid w:val="000327CC"/>
    <w:rsid w:val="0003298A"/>
    <w:rsid w:val="00032A68"/>
    <w:rsid w:val="000333F3"/>
    <w:rsid w:val="00033819"/>
    <w:rsid w:val="0003396B"/>
    <w:rsid w:val="00033991"/>
    <w:rsid w:val="0003409B"/>
    <w:rsid w:val="0003413C"/>
    <w:rsid w:val="0003439F"/>
    <w:rsid w:val="00034A5B"/>
    <w:rsid w:val="0003509B"/>
    <w:rsid w:val="00035381"/>
    <w:rsid w:val="00035662"/>
    <w:rsid w:val="0003616A"/>
    <w:rsid w:val="0003640B"/>
    <w:rsid w:val="00036A5F"/>
    <w:rsid w:val="00036A84"/>
    <w:rsid w:val="00036FF3"/>
    <w:rsid w:val="0003739B"/>
    <w:rsid w:val="00037419"/>
    <w:rsid w:val="0003761D"/>
    <w:rsid w:val="00037CD0"/>
    <w:rsid w:val="00037E26"/>
    <w:rsid w:val="00037F65"/>
    <w:rsid w:val="00040630"/>
    <w:rsid w:val="00040935"/>
    <w:rsid w:val="00040A1A"/>
    <w:rsid w:val="00040F3B"/>
    <w:rsid w:val="00041399"/>
    <w:rsid w:val="000415C7"/>
    <w:rsid w:val="000417A0"/>
    <w:rsid w:val="00041867"/>
    <w:rsid w:val="00041B5E"/>
    <w:rsid w:val="00041C69"/>
    <w:rsid w:val="00041D91"/>
    <w:rsid w:val="0004262D"/>
    <w:rsid w:val="00042660"/>
    <w:rsid w:val="000426D8"/>
    <w:rsid w:val="0004318E"/>
    <w:rsid w:val="00043EDA"/>
    <w:rsid w:val="00043F86"/>
    <w:rsid w:val="00044B0D"/>
    <w:rsid w:val="00045BB9"/>
    <w:rsid w:val="0004603B"/>
    <w:rsid w:val="000465BF"/>
    <w:rsid w:val="00046F4D"/>
    <w:rsid w:val="000471DE"/>
    <w:rsid w:val="00047275"/>
    <w:rsid w:val="00047493"/>
    <w:rsid w:val="00047582"/>
    <w:rsid w:val="00047D8A"/>
    <w:rsid w:val="00047EE7"/>
    <w:rsid w:val="0005037A"/>
    <w:rsid w:val="00050450"/>
    <w:rsid w:val="00050521"/>
    <w:rsid w:val="00050A28"/>
    <w:rsid w:val="00050EF5"/>
    <w:rsid w:val="00050FFD"/>
    <w:rsid w:val="00051033"/>
    <w:rsid w:val="00051273"/>
    <w:rsid w:val="000517AA"/>
    <w:rsid w:val="00051E97"/>
    <w:rsid w:val="00051F77"/>
    <w:rsid w:val="000522D9"/>
    <w:rsid w:val="000527F4"/>
    <w:rsid w:val="0005294E"/>
    <w:rsid w:val="000529B3"/>
    <w:rsid w:val="00052EA2"/>
    <w:rsid w:val="00052F68"/>
    <w:rsid w:val="00053174"/>
    <w:rsid w:val="000531A9"/>
    <w:rsid w:val="000531AC"/>
    <w:rsid w:val="00053C0B"/>
    <w:rsid w:val="00053C31"/>
    <w:rsid w:val="00054170"/>
    <w:rsid w:val="000547E6"/>
    <w:rsid w:val="00054F15"/>
    <w:rsid w:val="00055158"/>
    <w:rsid w:val="00056043"/>
    <w:rsid w:val="000561CC"/>
    <w:rsid w:val="00056C07"/>
    <w:rsid w:val="00056DD4"/>
    <w:rsid w:val="00056F70"/>
    <w:rsid w:val="00056FDD"/>
    <w:rsid w:val="000572E3"/>
    <w:rsid w:val="00057C5D"/>
    <w:rsid w:val="000609ED"/>
    <w:rsid w:val="00061643"/>
    <w:rsid w:val="00061A6E"/>
    <w:rsid w:val="00061E20"/>
    <w:rsid w:val="0006210F"/>
    <w:rsid w:val="000626DD"/>
    <w:rsid w:val="00062774"/>
    <w:rsid w:val="00062A65"/>
    <w:rsid w:val="000632A1"/>
    <w:rsid w:val="00063D88"/>
    <w:rsid w:val="00063FB9"/>
    <w:rsid w:val="0006480E"/>
    <w:rsid w:val="00064A8D"/>
    <w:rsid w:val="00064BA2"/>
    <w:rsid w:val="00064C57"/>
    <w:rsid w:val="00065478"/>
    <w:rsid w:val="0006554B"/>
    <w:rsid w:val="00065856"/>
    <w:rsid w:val="00065E91"/>
    <w:rsid w:val="0006649F"/>
    <w:rsid w:val="000665C8"/>
    <w:rsid w:val="000666EA"/>
    <w:rsid w:val="000667B4"/>
    <w:rsid w:val="0006685C"/>
    <w:rsid w:val="00066CE6"/>
    <w:rsid w:val="0006721F"/>
    <w:rsid w:val="000676C9"/>
    <w:rsid w:val="00067B90"/>
    <w:rsid w:val="00067CEC"/>
    <w:rsid w:val="000703B5"/>
    <w:rsid w:val="0007066B"/>
    <w:rsid w:val="00070711"/>
    <w:rsid w:val="00070AB6"/>
    <w:rsid w:val="00070B0D"/>
    <w:rsid w:val="00071214"/>
    <w:rsid w:val="00071A3E"/>
    <w:rsid w:val="00071B7E"/>
    <w:rsid w:val="00071E2D"/>
    <w:rsid w:val="00072396"/>
    <w:rsid w:val="000729E8"/>
    <w:rsid w:val="00072DB3"/>
    <w:rsid w:val="00072DD2"/>
    <w:rsid w:val="00073866"/>
    <w:rsid w:val="00073A6D"/>
    <w:rsid w:val="00073D8F"/>
    <w:rsid w:val="0007412C"/>
    <w:rsid w:val="0007416F"/>
    <w:rsid w:val="000745D6"/>
    <w:rsid w:val="000745F3"/>
    <w:rsid w:val="000746CC"/>
    <w:rsid w:val="00074860"/>
    <w:rsid w:val="00075327"/>
    <w:rsid w:val="0007565C"/>
    <w:rsid w:val="00075A21"/>
    <w:rsid w:val="00076070"/>
    <w:rsid w:val="00076AF1"/>
    <w:rsid w:val="0007718F"/>
    <w:rsid w:val="000775CA"/>
    <w:rsid w:val="00077988"/>
    <w:rsid w:val="00077B4E"/>
    <w:rsid w:val="00077B62"/>
    <w:rsid w:val="00077C97"/>
    <w:rsid w:val="000813DC"/>
    <w:rsid w:val="00081BE6"/>
    <w:rsid w:val="00082425"/>
    <w:rsid w:val="00082469"/>
    <w:rsid w:val="0008299D"/>
    <w:rsid w:val="00082E6E"/>
    <w:rsid w:val="00083992"/>
    <w:rsid w:val="00083AF4"/>
    <w:rsid w:val="00083D51"/>
    <w:rsid w:val="00083F15"/>
    <w:rsid w:val="00083F61"/>
    <w:rsid w:val="00084247"/>
    <w:rsid w:val="000846FF"/>
    <w:rsid w:val="00084D6A"/>
    <w:rsid w:val="000856E9"/>
    <w:rsid w:val="00085C0B"/>
    <w:rsid w:val="00086050"/>
    <w:rsid w:val="000864A4"/>
    <w:rsid w:val="00086581"/>
    <w:rsid w:val="0008662B"/>
    <w:rsid w:val="000866D0"/>
    <w:rsid w:val="000868E2"/>
    <w:rsid w:val="00086919"/>
    <w:rsid w:val="00086FE0"/>
    <w:rsid w:val="00087310"/>
    <w:rsid w:val="00090808"/>
    <w:rsid w:val="00090886"/>
    <w:rsid w:val="00091639"/>
    <w:rsid w:val="0009203B"/>
    <w:rsid w:val="000924D4"/>
    <w:rsid w:val="00093882"/>
    <w:rsid w:val="000938D8"/>
    <w:rsid w:val="00093BCF"/>
    <w:rsid w:val="00093FAC"/>
    <w:rsid w:val="0009438F"/>
    <w:rsid w:val="000945FF"/>
    <w:rsid w:val="000946AA"/>
    <w:rsid w:val="00095097"/>
    <w:rsid w:val="000954B3"/>
    <w:rsid w:val="00095528"/>
    <w:rsid w:val="000956ED"/>
    <w:rsid w:val="00095773"/>
    <w:rsid w:val="0009587A"/>
    <w:rsid w:val="00095CB3"/>
    <w:rsid w:val="000963D3"/>
    <w:rsid w:val="000965C7"/>
    <w:rsid w:val="00096872"/>
    <w:rsid w:val="00096B78"/>
    <w:rsid w:val="00097562"/>
    <w:rsid w:val="000978D6"/>
    <w:rsid w:val="00097945"/>
    <w:rsid w:val="00097A1E"/>
    <w:rsid w:val="000A036A"/>
    <w:rsid w:val="000A0C60"/>
    <w:rsid w:val="000A13A8"/>
    <w:rsid w:val="000A15F8"/>
    <w:rsid w:val="000A1D91"/>
    <w:rsid w:val="000A1E14"/>
    <w:rsid w:val="000A200D"/>
    <w:rsid w:val="000A25C0"/>
    <w:rsid w:val="000A2996"/>
    <w:rsid w:val="000A2BFD"/>
    <w:rsid w:val="000A2E4B"/>
    <w:rsid w:val="000A3150"/>
    <w:rsid w:val="000A3199"/>
    <w:rsid w:val="000A36F8"/>
    <w:rsid w:val="000A3BC4"/>
    <w:rsid w:val="000A42E5"/>
    <w:rsid w:val="000A5111"/>
    <w:rsid w:val="000A52C5"/>
    <w:rsid w:val="000A5305"/>
    <w:rsid w:val="000A58A8"/>
    <w:rsid w:val="000A58F1"/>
    <w:rsid w:val="000A59EF"/>
    <w:rsid w:val="000A5B80"/>
    <w:rsid w:val="000A5B94"/>
    <w:rsid w:val="000A5D61"/>
    <w:rsid w:val="000A5F0A"/>
    <w:rsid w:val="000A5FDC"/>
    <w:rsid w:val="000A6263"/>
    <w:rsid w:val="000A6DD9"/>
    <w:rsid w:val="000A7856"/>
    <w:rsid w:val="000A7935"/>
    <w:rsid w:val="000A7B47"/>
    <w:rsid w:val="000A7B75"/>
    <w:rsid w:val="000A7F6F"/>
    <w:rsid w:val="000B0176"/>
    <w:rsid w:val="000B01BE"/>
    <w:rsid w:val="000B0977"/>
    <w:rsid w:val="000B0F9D"/>
    <w:rsid w:val="000B14A5"/>
    <w:rsid w:val="000B19E7"/>
    <w:rsid w:val="000B1CE5"/>
    <w:rsid w:val="000B20A2"/>
    <w:rsid w:val="000B273F"/>
    <w:rsid w:val="000B2C42"/>
    <w:rsid w:val="000B2F17"/>
    <w:rsid w:val="000B342C"/>
    <w:rsid w:val="000B35B6"/>
    <w:rsid w:val="000B3689"/>
    <w:rsid w:val="000B3935"/>
    <w:rsid w:val="000B3F99"/>
    <w:rsid w:val="000B3F9D"/>
    <w:rsid w:val="000B40F4"/>
    <w:rsid w:val="000B46F1"/>
    <w:rsid w:val="000B48BC"/>
    <w:rsid w:val="000B48F8"/>
    <w:rsid w:val="000B4AB3"/>
    <w:rsid w:val="000B58EC"/>
    <w:rsid w:val="000B5A40"/>
    <w:rsid w:val="000B5B57"/>
    <w:rsid w:val="000B5BD6"/>
    <w:rsid w:val="000B61BE"/>
    <w:rsid w:val="000B622B"/>
    <w:rsid w:val="000B6B31"/>
    <w:rsid w:val="000B6F05"/>
    <w:rsid w:val="000B71DE"/>
    <w:rsid w:val="000B7EAF"/>
    <w:rsid w:val="000C04AA"/>
    <w:rsid w:val="000C0537"/>
    <w:rsid w:val="000C05C0"/>
    <w:rsid w:val="000C0A45"/>
    <w:rsid w:val="000C1705"/>
    <w:rsid w:val="000C1A43"/>
    <w:rsid w:val="000C1D2C"/>
    <w:rsid w:val="000C1F45"/>
    <w:rsid w:val="000C2CA9"/>
    <w:rsid w:val="000C2CCB"/>
    <w:rsid w:val="000C2CDC"/>
    <w:rsid w:val="000C2F70"/>
    <w:rsid w:val="000C3019"/>
    <w:rsid w:val="000C3B98"/>
    <w:rsid w:val="000C425D"/>
    <w:rsid w:val="000C42FD"/>
    <w:rsid w:val="000C4A6E"/>
    <w:rsid w:val="000C4BF6"/>
    <w:rsid w:val="000C5097"/>
    <w:rsid w:val="000C585E"/>
    <w:rsid w:val="000C5871"/>
    <w:rsid w:val="000C5A71"/>
    <w:rsid w:val="000C5B5C"/>
    <w:rsid w:val="000C6035"/>
    <w:rsid w:val="000C61EE"/>
    <w:rsid w:val="000C67BA"/>
    <w:rsid w:val="000C6AE2"/>
    <w:rsid w:val="000C7016"/>
    <w:rsid w:val="000C724A"/>
    <w:rsid w:val="000C740E"/>
    <w:rsid w:val="000C76E1"/>
    <w:rsid w:val="000C7B64"/>
    <w:rsid w:val="000D0437"/>
    <w:rsid w:val="000D0480"/>
    <w:rsid w:val="000D0BF6"/>
    <w:rsid w:val="000D0E38"/>
    <w:rsid w:val="000D0F3B"/>
    <w:rsid w:val="000D0FAD"/>
    <w:rsid w:val="000D10F8"/>
    <w:rsid w:val="000D2866"/>
    <w:rsid w:val="000D29E8"/>
    <w:rsid w:val="000D2B2E"/>
    <w:rsid w:val="000D2C21"/>
    <w:rsid w:val="000D2CAD"/>
    <w:rsid w:val="000D2ECB"/>
    <w:rsid w:val="000D348A"/>
    <w:rsid w:val="000D4695"/>
    <w:rsid w:val="000D4DC5"/>
    <w:rsid w:val="000D59E6"/>
    <w:rsid w:val="000D5F04"/>
    <w:rsid w:val="000D5F57"/>
    <w:rsid w:val="000D604D"/>
    <w:rsid w:val="000D635E"/>
    <w:rsid w:val="000D65E0"/>
    <w:rsid w:val="000D6627"/>
    <w:rsid w:val="000D6670"/>
    <w:rsid w:val="000D6799"/>
    <w:rsid w:val="000D73B3"/>
    <w:rsid w:val="000E0137"/>
    <w:rsid w:val="000E0367"/>
    <w:rsid w:val="000E057F"/>
    <w:rsid w:val="000E078B"/>
    <w:rsid w:val="000E07F5"/>
    <w:rsid w:val="000E09CB"/>
    <w:rsid w:val="000E0C4D"/>
    <w:rsid w:val="000E0F29"/>
    <w:rsid w:val="000E100D"/>
    <w:rsid w:val="000E117E"/>
    <w:rsid w:val="000E132D"/>
    <w:rsid w:val="000E13B6"/>
    <w:rsid w:val="000E1949"/>
    <w:rsid w:val="000E1D65"/>
    <w:rsid w:val="000E264A"/>
    <w:rsid w:val="000E2951"/>
    <w:rsid w:val="000E2968"/>
    <w:rsid w:val="000E2B69"/>
    <w:rsid w:val="000E2C0F"/>
    <w:rsid w:val="000E3B7B"/>
    <w:rsid w:val="000E4013"/>
    <w:rsid w:val="000E4168"/>
    <w:rsid w:val="000E4445"/>
    <w:rsid w:val="000E46EA"/>
    <w:rsid w:val="000E47F0"/>
    <w:rsid w:val="000E49D1"/>
    <w:rsid w:val="000E49D7"/>
    <w:rsid w:val="000E4D66"/>
    <w:rsid w:val="000E4E5A"/>
    <w:rsid w:val="000E50A5"/>
    <w:rsid w:val="000E5254"/>
    <w:rsid w:val="000E52ED"/>
    <w:rsid w:val="000E54C7"/>
    <w:rsid w:val="000E5693"/>
    <w:rsid w:val="000E58D6"/>
    <w:rsid w:val="000E5A89"/>
    <w:rsid w:val="000E6487"/>
    <w:rsid w:val="000E676A"/>
    <w:rsid w:val="000E679E"/>
    <w:rsid w:val="000E6B5D"/>
    <w:rsid w:val="000E7C79"/>
    <w:rsid w:val="000F02C0"/>
    <w:rsid w:val="000F0741"/>
    <w:rsid w:val="000F075F"/>
    <w:rsid w:val="000F08AE"/>
    <w:rsid w:val="000F0CE3"/>
    <w:rsid w:val="000F1313"/>
    <w:rsid w:val="000F13CE"/>
    <w:rsid w:val="000F1B2E"/>
    <w:rsid w:val="000F1D47"/>
    <w:rsid w:val="000F1D8E"/>
    <w:rsid w:val="000F1DC8"/>
    <w:rsid w:val="000F1EAA"/>
    <w:rsid w:val="000F22D3"/>
    <w:rsid w:val="000F2332"/>
    <w:rsid w:val="000F2344"/>
    <w:rsid w:val="000F245A"/>
    <w:rsid w:val="000F28EC"/>
    <w:rsid w:val="000F2917"/>
    <w:rsid w:val="000F2A90"/>
    <w:rsid w:val="000F2E4B"/>
    <w:rsid w:val="000F3BBE"/>
    <w:rsid w:val="000F3C08"/>
    <w:rsid w:val="000F3EBF"/>
    <w:rsid w:val="000F4EC2"/>
    <w:rsid w:val="000F4EF6"/>
    <w:rsid w:val="000F576E"/>
    <w:rsid w:val="000F5846"/>
    <w:rsid w:val="000F5E87"/>
    <w:rsid w:val="000F6EFA"/>
    <w:rsid w:val="000F7436"/>
    <w:rsid w:val="000F76E7"/>
    <w:rsid w:val="001005E1"/>
    <w:rsid w:val="00100AB5"/>
    <w:rsid w:val="00100BCC"/>
    <w:rsid w:val="00100DE9"/>
    <w:rsid w:val="00100E2D"/>
    <w:rsid w:val="00101864"/>
    <w:rsid w:val="001021DC"/>
    <w:rsid w:val="001026A4"/>
    <w:rsid w:val="0010289F"/>
    <w:rsid w:val="00102A0D"/>
    <w:rsid w:val="00102B2B"/>
    <w:rsid w:val="00103190"/>
    <w:rsid w:val="00103676"/>
    <w:rsid w:val="00103710"/>
    <w:rsid w:val="001038CD"/>
    <w:rsid w:val="00103E63"/>
    <w:rsid w:val="00104115"/>
    <w:rsid w:val="00104301"/>
    <w:rsid w:val="00104535"/>
    <w:rsid w:val="001053D0"/>
    <w:rsid w:val="001057DF"/>
    <w:rsid w:val="0010609B"/>
    <w:rsid w:val="00106218"/>
    <w:rsid w:val="001063F7"/>
    <w:rsid w:val="0010645A"/>
    <w:rsid w:val="001064C4"/>
    <w:rsid w:val="00106695"/>
    <w:rsid w:val="00106AC6"/>
    <w:rsid w:val="00106E65"/>
    <w:rsid w:val="00106F89"/>
    <w:rsid w:val="00107034"/>
    <w:rsid w:val="0010721A"/>
    <w:rsid w:val="0010744D"/>
    <w:rsid w:val="0010745D"/>
    <w:rsid w:val="00107709"/>
    <w:rsid w:val="00107778"/>
    <w:rsid w:val="00107C80"/>
    <w:rsid w:val="001103E2"/>
    <w:rsid w:val="0011096D"/>
    <w:rsid w:val="00110F1E"/>
    <w:rsid w:val="00111078"/>
    <w:rsid w:val="00111482"/>
    <w:rsid w:val="0011191C"/>
    <w:rsid w:val="00111A5E"/>
    <w:rsid w:val="00111EBF"/>
    <w:rsid w:val="00112457"/>
    <w:rsid w:val="001124DB"/>
    <w:rsid w:val="00112A3A"/>
    <w:rsid w:val="00112A70"/>
    <w:rsid w:val="00112B71"/>
    <w:rsid w:val="00112F6C"/>
    <w:rsid w:val="001134EE"/>
    <w:rsid w:val="001135C8"/>
    <w:rsid w:val="001137E7"/>
    <w:rsid w:val="001139D0"/>
    <w:rsid w:val="00113D2B"/>
    <w:rsid w:val="0011471A"/>
    <w:rsid w:val="00114760"/>
    <w:rsid w:val="00114F40"/>
    <w:rsid w:val="00114F6E"/>
    <w:rsid w:val="00115308"/>
    <w:rsid w:val="001156E9"/>
    <w:rsid w:val="0011574E"/>
    <w:rsid w:val="00116073"/>
    <w:rsid w:val="0011625E"/>
    <w:rsid w:val="00116660"/>
    <w:rsid w:val="00116879"/>
    <w:rsid w:val="00116C33"/>
    <w:rsid w:val="00116CB0"/>
    <w:rsid w:val="00116D28"/>
    <w:rsid w:val="00117090"/>
    <w:rsid w:val="0011797F"/>
    <w:rsid w:val="00117AB5"/>
    <w:rsid w:val="00117D18"/>
    <w:rsid w:val="00117DBD"/>
    <w:rsid w:val="001206B7"/>
    <w:rsid w:val="00120792"/>
    <w:rsid w:val="001207E6"/>
    <w:rsid w:val="00120DB3"/>
    <w:rsid w:val="00120F53"/>
    <w:rsid w:val="001210D5"/>
    <w:rsid w:val="00121D23"/>
    <w:rsid w:val="00122044"/>
    <w:rsid w:val="0012270F"/>
    <w:rsid w:val="00123811"/>
    <w:rsid w:val="00123882"/>
    <w:rsid w:val="00123B44"/>
    <w:rsid w:val="00124704"/>
    <w:rsid w:val="00124BCC"/>
    <w:rsid w:val="00124E95"/>
    <w:rsid w:val="001251F2"/>
    <w:rsid w:val="00125467"/>
    <w:rsid w:val="00125525"/>
    <w:rsid w:val="0012590C"/>
    <w:rsid w:val="00125EEC"/>
    <w:rsid w:val="001261A8"/>
    <w:rsid w:val="0012628F"/>
    <w:rsid w:val="00126377"/>
    <w:rsid w:val="00126679"/>
    <w:rsid w:val="00126753"/>
    <w:rsid w:val="00126FBE"/>
    <w:rsid w:val="0012730D"/>
    <w:rsid w:val="00127323"/>
    <w:rsid w:val="00127448"/>
    <w:rsid w:val="00127569"/>
    <w:rsid w:val="00130127"/>
    <w:rsid w:val="00130AD0"/>
    <w:rsid w:val="00130CA2"/>
    <w:rsid w:val="00130F90"/>
    <w:rsid w:val="001311F5"/>
    <w:rsid w:val="001315DD"/>
    <w:rsid w:val="0013195D"/>
    <w:rsid w:val="00131AE2"/>
    <w:rsid w:val="00132393"/>
    <w:rsid w:val="00132FAF"/>
    <w:rsid w:val="00133212"/>
    <w:rsid w:val="001334AC"/>
    <w:rsid w:val="001338E4"/>
    <w:rsid w:val="00133B9D"/>
    <w:rsid w:val="00134F94"/>
    <w:rsid w:val="00134FFD"/>
    <w:rsid w:val="00135028"/>
    <w:rsid w:val="00135AA4"/>
    <w:rsid w:val="00136141"/>
    <w:rsid w:val="00136769"/>
    <w:rsid w:val="00136961"/>
    <w:rsid w:val="00136BB6"/>
    <w:rsid w:val="00137192"/>
    <w:rsid w:val="001376AA"/>
    <w:rsid w:val="00140350"/>
    <w:rsid w:val="001404A9"/>
    <w:rsid w:val="001404CC"/>
    <w:rsid w:val="0014097F"/>
    <w:rsid w:val="00140D67"/>
    <w:rsid w:val="00140E14"/>
    <w:rsid w:val="001413E5"/>
    <w:rsid w:val="00141BCB"/>
    <w:rsid w:val="00141C94"/>
    <w:rsid w:val="0014210E"/>
    <w:rsid w:val="00142598"/>
    <w:rsid w:val="0014283A"/>
    <w:rsid w:val="0014287C"/>
    <w:rsid w:val="001429C9"/>
    <w:rsid w:val="00142D2F"/>
    <w:rsid w:val="001432B8"/>
    <w:rsid w:val="001435A2"/>
    <w:rsid w:val="001437E1"/>
    <w:rsid w:val="00143919"/>
    <w:rsid w:val="00143D6C"/>
    <w:rsid w:val="00144289"/>
    <w:rsid w:val="00144850"/>
    <w:rsid w:val="00144883"/>
    <w:rsid w:val="00144CDD"/>
    <w:rsid w:val="001451A6"/>
    <w:rsid w:val="001452DE"/>
    <w:rsid w:val="00145866"/>
    <w:rsid w:val="00145964"/>
    <w:rsid w:val="00145FDE"/>
    <w:rsid w:val="00146C8A"/>
    <w:rsid w:val="001472FE"/>
    <w:rsid w:val="001474FC"/>
    <w:rsid w:val="00147810"/>
    <w:rsid w:val="0014787A"/>
    <w:rsid w:val="001479F7"/>
    <w:rsid w:val="00147D11"/>
    <w:rsid w:val="00147E34"/>
    <w:rsid w:val="001511DD"/>
    <w:rsid w:val="00151934"/>
    <w:rsid w:val="00151F84"/>
    <w:rsid w:val="001522D9"/>
    <w:rsid w:val="00152D22"/>
    <w:rsid w:val="00152E16"/>
    <w:rsid w:val="00152E6D"/>
    <w:rsid w:val="001536A7"/>
    <w:rsid w:val="00153946"/>
    <w:rsid w:val="00154C83"/>
    <w:rsid w:val="00155732"/>
    <w:rsid w:val="0015583D"/>
    <w:rsid w:val="001559D1"/>
    <w:rsid w:val="00156711"/>
    <w:rsid w:val="001568D1"/>
    <w:rsid w:val="00156B90"/>
    <w:rsid w:val="00156C94"/>
    <w:rsid w:val="00156FAF"/>
    <w:rsid w:val="00157B99"/>
    <w:rsid w:val="00157F92"/>
    <w:rsid w:val="001603C6"/>
    <w:rsid w:val="0016054E"/>
    <w:rsid w:val="00160575"/>
    <w:rsid w:val="0016083C"/>
    <w:rsid w:val="001609D2"/>
    <w:rsid w:val="00160A3B"/>
    <w:rsid w:val="00160B59"/>
    <w:rsid w:val="00160C8E"/>
    <w:rsid w:val="00160CA8"/>
    <w:rsid w:val="0016351A"/>
    <w:rsid w:val="00163599"/>
    <w:rsid w:val="001637A3"/>
    <w:rsid w:val="00163D7E"/>
    <w:rsid w:val="00164365"/>
    <w:rsid w:val="001646DF"/>
    <w:rsid w:val="00164D91"/>
    <w:rsid w:val="001656BE"/>
    <w:rsid w:val="00165B00"/>
    <w:rsid w:val="00166692"/>
    <w:rsid w:val="00166D7F"/>
    <w:rsid w:val="0016741A"/>
    <w:rsid w:val="0016764B"/>
    <w:rsid w:val="00167EB4"/>
    <w:rsid w:val="0017029F"/>
    <w:rsid w:val="00170321"/>
    <w:rsid w:val="00170630"/>
    <w:rsid w:val="001706B0"/>
    <w:rsid w:val="00170BBE"/>
    <w:rsid w:val="00170C7A"/>
    <w:rsid w:val="00170F36"/>
    <w:rsid w:val="00171988"/>
    <w:rsid w:val="00172A20"/>
    <w:rsid w:val="00172DE0"/>
    <w:rsid w:val="00172F44"/>
    <w:rsid w:val="00174257"/>
    <w:rsid w:val="001743BD"/>
    <w:rsid w:val="00174B35"/>
    <w:rsid w:val="001750E7"/>
    <w:rsid w:val="001753DD"/>
    <w:rsid w:val="00175D07"/>
    <w:rsid w:val="00175E2C"/>
    <w:rsid w:val="00176027"/>
    <w:rsid w:val="00176969"/>
    <w:rsid w:val="00176C57"/>
    <w:rsid w:val="00176EC0"/>
    <w:rsid w:val="00177C88"/>
    <w:rsid w:val="0018014F"/>
    <w:rsid w:val="001809FC"/>
    <w:rsid w:val="00180BBA"/>
    <w:rsid w:val="00180C03"/>
    <w:rsid w:val="00180C06"/>
    <w:rsid w:val="00180E51"/>
    <w:rsid w:val="001811A0"/>
    <w:rsid w:val="001814A2"/>
    <w:rsid w:val="0018159F"/>
    <w:rsid w:val="001816B8"/>
    <w:rsid w:val="0018185C"/>
    <w:rsid w:val="001819FC"/>
    <w:rsid w:val="00181A5B"/>
    <w:rsid w:val="00181AD8"/>
    <w:rsid w:val="00182178"/>
    <w:rsid w:val="0018224E"/>
    <w:rsid w:val="00182257"/>
    <w:rsid w:val="00182389"/>
    <w:rsid w:val="001823AC"/>
    <w:rsid w:val="001829FF"/>
    <w:rsid w:val="00182A56"/>
    <w:rsid w:val="00182AFF"/>
    <w:rsid w:val="001830D8"/>
    <w:rsid w:val="00183314"/>
    <w:rsid w:val="00183388"/>
    <w:rsid w:val="00183844"/>
    <w:rsid w:val="001838B5"/>
    <w:rsid w:val="00183A8C"/>
    <w:rsid w:val="00183D52"/>
    <w:rsid w:val="00183DEA"/>
    <w:rsid w:val="0018405A"/>
    <w:rsid w:val="0018483E"/>
    <w:rsid w:val="001849F3"/>
    <w:rsid w:val="00184D9B"/>
    <w:rsid w:val="00184E67"/>
    <w:rsid w:val="0018500C"/>
    <w:rsid w:val="0018534B"/>
    <w:rsid w:val="001853AF"/>
    <w:rsid w:val="001854F0"/>
    <w:rsid w:val="00186068"/>
    <w:rsid w:val="00186C15"/>
    <w:rsid w:val="00187336"/>
    <w:rsid w:val="0018784B"/>
    <w:rsid w:val="00187947"/>
    <w:rsid w:val="00187D0C"/>
    <w:rsid w:val="00187E71"/>
    <w:rsid w:val="0019051B"/>
    <w:rsid w:val="00190BE3"/>
    <w:rsid w:val="00190CA3"/>
    <w:rsid w:val="00190DD0"/>
    <w:rsid w:val="00191706"/>
    <w:rsid w:val="00191A9F"/>
    <w:rsid w:val="00191AFB"/>
    <w:rsid w:val="00191B2B"/>
    <w:rsid w:val="001921D6"/>
    <w:rsid w:val="001924C4"/>
    <w:rsid w:val="001926AA"/>
    <w:rsid w:val="0019272F"/>
    <w:rsid w:val="001929B8"/>
    <w:rsid w:val="00192EC0"/>
    <w:rsid w:val="00192EC8"/>
    <w:rsid w:val="00193435"/>
    <w:rsid w:val="001938BE"/>
    <w:rsid w:val="00193A75"/>
    <w:rsid w:val="00193AA2"/>
    <w:rsid w:val="00193AE4"/>
    <w:rsid w:val="00193DCF"/>
    <w:rsid w:val="00194032"/>
    <w:rsid w:val="00194035"/>
    <w:rsid w:val="001941AD"/>
    <w:rsid w:val="00194BD7"/>
    <w:rsid w:val="00195074"/>
    <w:rsid w:val="001950F8"/>
    <w:rsid w:val="00195387"/>
    <w:rsid w:val="00195D78"/>
    <w:rsid w:val="00195F5E"/>
    <w:rsid w:val="00196104"/>
    <w:rsid w:val="00196632"/>
    <w:rsid w:val="00196D54"/>
    <w:rsid w:val="0019710C"/>
    <w:rsid w:val="00197215"/>
    <w:rsid w:val="001976BF"/>
    <w:rsid w:val="00197952"/>
    <w:rsid w:val="00197B2D"/>
    <w:rsid w:val="00197F6B"/>
    <w:rsid w:val="001A00CD"/>
    <w:rsid w:val="001A0375"/>
    <w:rsid w:val="001A0627"/>
    <w:rsid w:val="001A0858"/>
    <w:rsid w:val="001A12A1"/>
    <w:rsid w:val="001A16EF"/>
    <w:rsid w:val="001A1859"/>
    <w:rsid w:val="001A1A5A"/>
    <w:rsid w:val="001A20BB"/>
    <w:rsid w:val="001A2258"/>
    <w:rsid w:val="001A2ABF"/>
    <w:rsid w:val="001A2CAD"/>
    <w:rsid w:val="001A2FD9"/>
    <w:rsid w:val="001A3629"/>
    <w:rsid w:val="001A38A3"/>
    <w:rsid w:val="001A3B2D"/>
    <w:rsid w:val="001A4153"/>
    <w:rsid w:val="001A42F9"/>
    <w:rsid w:val="001A4BAD"/>
    <w:rsid w:val="001A5223"/>
    <w:rsid w:val="001A5424"/>
    <w:rsid w:val="001A57BE"/>
    <w:rsid w:val="001A67CE"/>
    <w:rsid w:val="001A696D"/>
    <w:rsid w:val="001A7670"/>
    <w:rsid w:val="001A79AB"/>
    <w:rsid w:val="001A7D86"/>
    <w:rsid w:val="001B0112"/>
    <w:rsid w:val="001B0A56"/>
    <w:rsid w:val="001B0F70"/>
    <w:rsid w:val="001B13FA"/>
    <w:rsid w:val="001B1E70"/>
    <w:rsid w:val="001B2090"/>
    <w:rsid w:val="001B233F"/>
    <w:rsid w:val="001B29FE"/>
    <w:rsid w:val="001B2C7B"/>
    <w:rsid w:val="001B2E54"/>
    <w:rsid w:val="001B3074"/>
    <w:rsid w:val="001B33BC"/>
    <w:rsid w:val="001B3AD4"/>
    <w:rsid w:val="001B3DD8"/>
    <w:rsid w:val="001B3F22"/>
    <w:rsid w:val="001B411D"/>
    <w:rsid w:val="001B4500"/>
    <w:rsid w:val="001B450F"/>
    <w:rsid w:val="001B4715"/>
    <w:rsid w:val="001B47FC"/>
    <w:rsid w:val="001B5070"/>
    <w:rsid w:val="001B58A3"/>
    <w:rsid w:val="001B5B24"/>
    <w:rsid w:val="001B6150"/>
    <w:rsid w:val="001B6241"/>
    <w:rsid w:val="001B6270"/>
    <w:rsid w:val="001B6C98"/>
    <w:rsid w:val="001B717F"/>
    <w:rsid w:val="001B72E6"/>
    <w:rsid w:val="001B77E9"/>
    <w:rsid w:val="001B7E11"/>
    <w:rsid w:val="001C050A"/>
    <w:rsid w:val="001C0B05"/>
    <w:rsid w:val="001C115F"/>
    <w:rsid w:val="001C146A"/>
    <w:rsid w:val="001C2614"/>
    <w:rsid w:val="001C2DC3"/>
    <w:rsid w:val="001C31C8"/>
    <w:rsid w:val="001C3466"/>
    <w:rsid w:val="001C364F"/>
    <w:rsid w:val="001C3CE9"/>
    <w:rsid w:val="001C3F50"/>
    <w:rsid w:val="001C420E"/>
    <w:rsid w:val="001C424C"/>
    <w:rsid w:val="001C555C"/>
    <w:rsid w:val="001C5710"/>
    <w:rsid w:val="001C593B"/>
    <w:rsid w:val="001C5A28"/>
    <w:rsid w:val="001C5EFD"/>
    <w:rsid w:val="001C6C07"/>
    <w:rsid w:val="001C6FDC"/>
    <w:rsid w:val="001C794D"/>
    <w:rsid w:val="001C7BE4"/>
    <w:rsid w:val="001C7F6E"/>
    <w:rsid w:val="001D0151"/>
    <w:rsid w:val="001D0331"/>
    <w:rsid w:val="001D0568"/>
    <w:rsid w:val="001D059B"/>
    <w:rsid w:val="001D0F13"/>
    <w:rsid w:val="001D0FB0"/>
    <w:rsid w:val="001D117A"/>
    <w:rsid w:val="001D1C22"/>
    <w:rsid w:val="001D1C98"/>
    <w:rsid w:val="001D1FE4"/>
    <w:rsid w:val="001D20CD"/>
    <w:rsid w:val="001D20EE"/>
    <w:rsid w:val="001D291F"/>
    <w:rsid w:val="001D2CDE"/>
    <w:rsid w:val="001D2D89"/>
    <w:rsid w:val="001D2D90"/>
    <w:rsid w:val="001D3BDF"/>
    <w:rsid w:val="001D4580"/>
    <w:rsid w:val="001D45E4"/>
    <w:rsid w:val="001D487A"/>
    <w:rsid w:val="001D4ADF"/>
    <w:rsid w:val="001D536A"/>
    <w:rsid w:val="001D5870"/>
    <w:rsid w:val="001D5A5D"/>
    <w:rsid w:val="001D5F68"/>
    <w:rsid w:val="001D61D8"/>
    <w:rsid w:val="001D69CA"/>
    <w:rsid w:val="001D6D6A"/>
    <w:rsid w:val="001D7157"/>
    <w:rsid w:val="001D74FF"/>
    <w:rsid w:val="001D7CFC"/>
    <w:rsid w:val="001D7DAF"/>
    <w:rsid w:val="001E00CE"/>
    <w:rsid w:val="001E0153"/>
    <w:rsid w:val="001E0191"/>
    <w:rsid w:val="001E0481"/>
    <w:rsid w:val="001E05BF"/>
    <w:rsid w:val="001E0AA1"/>
    <w:rsid w:val="001E0AAC"/>
    <w:rsid w:val="001E17BC"/>
    <w:rsid w:val="001E1877"/>
    <w:rsid w:val="001E1887"/>
    <w:rsid w:val="001E1A3A"/>
    <w:rsid w:val="001E1B54"/>
    <w:rsid w:val="001E1BD6"/>
    <w:rsid w:val="001E1EE5"/>
    <w:rsid w:val="001E2DA5"/>
    <w:rsid w:val="001E2DFD"/>
    <w:rsid w:val="001E38AC"/>
    <w:rsid w:val="001E437F"/>
    <w:rsid w:val="001E4756"/>
    <w:rsid w:val="001E4B2C"/>
    <w:rsid w:val="001E4B51"/>
    <w:rsid w:val="001E4EDA"/>
    <w:rsid w:val="001E4F54"/>
    <w:rsid w:val="001E562B"/>
    <w:rsid w:val="001E587C"/>
    <w:rsid w:val="001E5CA2"/>
    <w:rsid w:val="001E5F10"/>
    <w:rsid w:val="001E6234"/>
    <w:rsid w:val="001E635E"/>
    <w:rsid w:val="001E6486"/>
    <w:rsid w:val="001E64D5"/>
    <w:rsid w:val="001E7243"/>
    <w:rsid w:val="001E731E"/>
    <w:rsid w:val="001E7673"/>
    <w:rsid w:val="001E7F49"/>
    <w:rsid w:val="001F0DD2"/>
    <w:rsid w:val="001F0F98"/>
    <w:rsid w:val="001F1947"/>
    <w:rsid w:val="001F1C88"/>
    <w:rsid w:val="001F1DE4"/>
    <w:rsid w:val="001F1F26"/>
    <w:rsid w:val="001F2275"/>
    <w:rsid w:val="001F2557"/>
    <w:rsid w:val="001F2A37"/>
    <w:rsid w:val="001F2CDC"/>
    <w:rsid w:val="001F2D61"/>
    <w:rsid w:val="001F315B"/>
    <w:rsid w:val="001F3697"/>
    <w:rsid w:val="001F3927"/>
    <w:rsid w:val="001F3E3E"/>
    <w:rsid w:val="001F44D4"/>
    <w:rsid w:val="001F44E6"/>
    <w:rsid w:val="001F4E31"/>
    <w:rsid w:val="001F54E8"/>
    <w:rsid w:val="001F5819"/>
    <w:rsid w:val="001F5E4C"/>
    <w:rsid w:val="001F6231"/>
    <w:rsid w:val="001F6248"/>
    <w:rsid w:val="001F6A6B"/>
    <w:rsid w:val="001F7436"/>
    <w:rsid w:val="002012B0"/>
    <w:rsid w:val="00201EE7"/>
    <w:rsid w:val="002020DA"/>
    <w:rsid w:val="0020246B"/>
    <w:rsid w:val="002025E0"/>
    <w:rsid w:val="00202948"/>
    <w:rsid w:val="00202C1B"/>
    <w:rsid w:val="00202F33"/>
    <w:rsid w:val="002034E3"/>
    <w:rsid w:val="002038F9"/>
    <w:rsid w:val="002040E9"/>
    <w:rsid w:val="002041B1"/>
    <w:rsid w:val="00204202"/>
    <w:rsid w:val="00204290"/>
    <w:rsid w:val="00204986"/>
    <w:rsid w:val="00205059"/>
    <w:rsid w:val="002052AF"/>
    <w:rsid w:val="00205E6B"/>
    <w:rsid w:val="00205F85"/>
    <w:rsid w:val="00205FB3"/>
    <w:rsid w:val="00205FD9"/>
    <w:rsid w:val="0020637A"/>
    <w:rsid w:val="002065DB"/>
    <w:rsid w:val="0020678B"/>
    <w:rsid w:val="00206A72"/>
    <w:rsid w:val="00206CDE"/>
    <w:rsid w:val="00206FC2"/>
    <w:rsid w:val="00207E9A"/>
    <w:rsid w:val="00207F54"/>
    <w:rsid w:val="0021031E"/>
    <w:rsid w:val="0021033F"/>
    <w:rsid w:val="00210B09"/>
    <w:rsid w:val="002110A8"/>
    <w:rsid w:val="00211A39"/>
    <w:rsid w:val="00211BF6"/>
    <w:rsid w:val="00211C3C"/>
    <w:rsid w:val="00211E6C"/>
    <w:rsid w:val="00212004"/>
    <w:rsid w:val="002121BE"/>
    <w:rsid w:val="002124EF"/>
    <w:rsid w:val="00213036"/>
    <w:rsid w:val="002136F5"/>
    <w:rsid w:val="00213822"/>
    <w:rsid w:val="00213A7E"/>
    <w:rsid w:val="002140B4"/>
    <w:rsid w:val="00214BAB"/>
    <w:rsid w:val="00214C4B"/>
    <w:rsid w:val="00214F5A"/>
    <w:rsid w:val="002152D1"/>
    <w:rsid w:val="002153B0"/>
    <w:rsid w:val="002153F4"/>
    <w:rsid w:val="00215548"/>
    <w:rsid w:val="00215735"/>
    <w:rsid w:val="00215B53"/>
    <w:rsid w:val="00215F1F"/>
    <w:rsid w:val="0021630A"/>
    <w:rsid w:val="002166CD"/>
    <w:rsid w:val="002178AA"/>
    <w:rsid w:val="00217FCD"/>
    <w:rsid w:val="00217FD6"/>
    <w:rsid w:val="00220084"/>
    <w:rsid w:val="00220199"/>
    <w:rsid w:val="00220594"/>
    <w:rsid w:val="002205AA"/>
    <w:rsid w:val="0022079F"/>
    <w:rsid w:val="00220966"/>
    <w:rsid w:val="00220F6C"/>
    <w:rsid w:val="00220FED"/>
    <w:rsid w:val="002213B8"/>
    <w:rsid w:val="002214B9"/>
    <w:rsid w:val="002218CF"/>
    <w:rsid w:val="00222703"/>
    <w:rsid w:val="00222984"/>
    <w:rsid w:val="00222B5B"/>
    <w:rsid w:val="00222EAC"/>
    <w:rsid w:val="0022326C"/>
    <w:rsid w:val="002232F8"/>
    <w:rsid w:val="00223403"/>
    <w:rsid w:val="002239F4"/>
    <w:rsid w:val="00223B21"/>
    <w:rsid w:val="002240ED"/>
    <w:rsid w:val="002249C4"/>
    <w:rsid w:val="00224A18"/>
    <w:rsid w:val="00224C3F"/>
    <w:rsid w:val="00224D9C"/>
    <w:rsid w:val="00225563"/>
    <w:rsid w:val="002256A0"/>
    <w:rsid w:val="002258C2"/>
    <w:rsid w:val="00225C14"/>
    <w:rsid w:val="002266B6"/>
    <w:rsid w:val="0022696D"/>
    <w:rsid w:val="00226E01"/>
    <w:rsid w:val="00226F04"/>
    <w:rsid w:val="0023068E"/>
    <w:rsid w:val="002309A9"/>
    <w:rsid w:val="00230A52"/>
    <w:rsid w:val="00230ACF"/>
    <w:rsid w:val="00230DFC"/>
    <w:rsid w:val="0023121D"/>
    <w:rsid w:val="002313C5"/>
    <w:rsid w:val="00231932"/>
    <w:rsid w:val="00231A67"/>
    <w:rsid w:val="00231CCC"/>
    <w:rsid w:val="002320F9"/>
    <w:rsid w:val="00232769"/>
    <w:rsid w:val="002328D9"/>
    <w:rsid w:val="00232DD5"/>
    <w:rsid w:val="00233388"/>
    <w:rsid w:val="00233B7D"/>
    <w:rsid w:val="00233BF8"/>
    <w:rsid w:val="00233C81"/>
    <w:rsid w:val="00233CA1"/>
    <w:rsid w:val="00233F56"/>
    <w:rsid w:val="0023425D"/>
    <w:rsid w:val="00234B4A"/>
    <w:rsid w:val="00234BEA"/>
    <w:rsid w:val="00234F12"/>
    <w:rsid w:val="00235748"/>
    <w:rsid w:val="002357A0"/>
    <w:rsid w:val="002358E7"/>
    <w:rsid w:val="0023607B"/>
    <w:rsid w:val="002361A5"/>
    <w:rsid w:val="002365C4"/>
    <w:rsid w:val="002369C4"/>
    <w:rsid w:val="00236D1D"/>
    <w:rsid w:val="00237244"/>
    <w:rsid w:val="00237586"/>
    <w:rsid w:val="002378F4"/>
    <w:rsid w:val="00237A83"/>
    <w:rsid w:val="00237BFB"/>
    <w:rsid w:val="00237D5E"/>
    <w:rsid w:val="00237F56"/>
    <w:rsid w:val="002405F3"/>
    <w:rsid w:val="00240AD6"/>
    <w:rsid w:val="00240E83"/>
    <w:rsid w:val="00241434"/>
    <w:rsid w:val="00241CCC"/>
    <w:rsid w:val="0024213A"/>
    <w:rsid w:val="00242150"/>
    <w:rsid w:val="00242414"/>
    <w:rsid w:val="00242C1F"/>
    <w:rsid w:val="00242DDA"/>
    <w:rsid w:val="00242F19"/>
    <w:rsid w:val="00243065"/>
    <w:rsid w:val="00243184"/>
    <w:rsid w:val="002435F9"/>
    <w:rsid w:val="002438AF"/>
    <w:rsid w:val="00243D0A"/>
    <w:rsid w:val="00244232"/>
    <w:rsid w:val="0024497D"/>
    <w:rsid w:val="00245277"/>
    <w:rsid w:val="00245314"/>
    <w:rsid w:val="00245411"/>
    <w:rsid w:val="00245AB0"/>
    <w:rsid w:val="00245D90"/>
    <w:rsid w:val="00246105"/>
    <w:rsid w:val="002461A3"/>
    <w:rsid w:val="0024652E"/>
    <w:rsid w:val="00246663"/>
    <w:rsid w:val="00246879"/>
    <w:rsid w:val="002468D5"/>
    <w:rsid w:val="00246DB5"/>
    <w:rsid w:val="0024703D"/>
    <w:rsid w:val="0024737B"/>
    <w:rsid w:val="0025012F"/>
    <w:rsid w:val="0025016E"/>
    <w:rsid w:val="002502BF"/>
    <w:rsid w:val="0025064E"/>
    <w:rsid w:val="002506F5"/>
    <w:rsid w:val="0025078A"/>
    <w:rsid w:val="00250DE9"/>
    <w:rsid w:val="00250E32"/>
    <w:rsid w:val="0025109C"/>
    <w:rsid w:val="00251625"/>
    <w:rsid w:val="002516AF"/>
    <w:rsid w:val="002517D6"/>
    <w:rsid w:val="00251C07"/>
    <w:rsid w:val="00252A3A"/>
    <w:rsid w:val="00252C51"/>
    <w:rsid w:val="00252EFE"/>
    <w:rsid w:val="002531B0"/>
    <w:rsid w:val="002534C7"/>
    <w:rsid w:val="00253AC6"/>
    <w:rsid w:val="00253E94"/>
    <w:rsid w:val="0025443F"/>
    <w:rsid w:val="0025454C"/>
    <w:rsid w:val="00254CB4"/>
    <w:rsid w:val="0025523D"/>
    <w:rsid w:val="002553B8"/>
    <w:rsid w:val="002556C3"/>
    <w:rsid w:val="00255DAD"/>
    <w:rsid w:val="00255F64"/>
    <w:rsid w:val="00256041"/>
    <w:rsid w:val="002561E4"/>
    <w:rsid w:val="002565FE"/>
    <w:rsid w:val="002569E1"/>
    <w:rsid w:val="00256A0C"/>
    <w:rsid w:val="00256A32"/>
    <w:rsid w:val="00256F3C"/>
    <w:rsid w:val="0025733D"/>
    <w:rsid w:val="00257574"/>
    <w:rsid w:val="002576D5"/>
    <w:rsid w:val="0025770D"/>
    <w:rsid w:val="00257A62"/>
    <w:rsid w:val="00257C31"/>
    <w:rsid w:val="00257C8D"/>
    <w:rsid w:val="00257D96"/>
    <w:rsid w:val="00260498"/>
    <w:rsid w:val="00260546"/>
    <w:rsid w:val="002606C1"/>
    <w:rsid w:val="002613FB"/>
    <w:rsid w:val="00261758"/>
    <w:rsid w:val="0026175A"/>
    <w:rsid w:val="00261CEF"/>
    <w:rsid w:val="0026202B"/>
    <w:rsid w:val="00263029"/>
    <w:rsid w:val="002632AA"/>
    <w:rsid w:val="00263725"/>
    <w:rsid w:val="00263E33"/>
    <w:rsid w:val="00264166"/>
    <w:rsid w:val="0026420B"/>
    <w:rsid w:val="0026497C"/>
    <w:rsid w:val="00264D60"/>
    <w:rsid w:val="00265874"/>
    <w:rsid w:val="002659A5"/>
    <w:rsid w:val="00265DCC"/>
    <w:rsid w:val="00265F14"/>
    <w:rsid w:val="0026657B"/>
    <w:rsid w:val="0026676C"/>
    <w:rsid w:val="00266AB8"/>
    <w:rsid w:val="00266CFC"/>
    <w:rsid w:val="00266D4E"/>
    <w:rsid w:val="0026728E"/>
    <w:rsid w:val="002678CF"/>
    <w:rsid w:val="00267E51"/>
    <w:rsid w:val="00267EC0"/>
    <w:rsid w:val="00267F57"/>
    <w:rsid w:val="00270345"/>
    <w:rsid w:val="0027056F"/>
    <w:rsid w:val="002705A4"/>
    <w:rsid w:val="002709D4"/>
    <w:rsid w:val="0027206D"/>
    <w:rsid w:val="0027254D"/>
    <w:rsid w:val="00272D8E"/>
    <w:rsid w:val="00272FD7"/>
    <w:rsid w:val="00273246"/>
    <w:rsid w:val="0027345F"/>
    <w:rsid w:val="00273648"/>
    <w:rsid w:val="00273955"/>
    <w:rsid w:val="0027426C"/>
    <w:rsid w:val="00274B44"/>
    <w:rsid w:val="00274BA4"/>
    <w:rsid w:val="00275607"/>
    <w:rsid w:val="002756E5"/>
    <w:rsid w:val="00275F00"/>
    <w:rsid w:val="0027602E"/>
    <w:rsid w:val="00276483"/>
    <w:rsid w:val="0027718A"/>
    <w:rsid w:val="0027740B"/>
    <w:rsid w:val="002775F4"/>
    <w:rsid w:val="00277882"/>
    <w:rsid w:val="00277A64"/>
    <w:rsid w:val="00277B62"/>
    <w:rsid w:val="00277E86"/>
    <w:rsid w:val="002802C1"/>
    <w:rsid w:val="00280D25"/>
    <w:rsid w:val="00280D67"/>
    <w:rsid w:val="00280F72"/>
    <w:rsid w:val="00280FEC"/>
    <w:rsid w:val="002811D3"/>
    <w:rsid w:val="00281AAC"/>
    <w:rsid w:val="002828E9"/>
    <w:rsid w:val="00282C89"/>
    <w:rsid w:val="00282F11"/>
    <w:rsid w:val="00283349"/>
    <w:rsid w:val="002836A2"/>
    <w:rsid w:val="00283806"/>
    <w:rsid w:val="0028478C"/>
    <w:rsid w:val="00284BBA"/>
    <w:rsid w:val="002852AB"/>
    <w:rsid w:val="0028533F"/>
    <w:rsid w:val="002855DF"/>
    <w:rsid w:val="00285C71"/>
    <w:rsid w:val="00286FAD"/>
    <w:rsid w:val="00286FF3"/>
    <w:rsid w:val="0028712F"/>
    <w:rsid w:val="00287C60"/>
    <w:rsid w:val="00287F17"/>
    <w:rsid w:val="00290017"/>
    <w:rsid w:val="002905A1"/>
    <w:rsid w:val="002906CC"/>
    <w:rsid w:val="00290ED1"/>
    <w:rsid w:val="00290F14"/>
    <w:rsid w:val="00290F1C"/>
    <w:rsid w:val="00291324"/>
    <w:rsid w:val="002915EF"/>
    <w:rsid w:val="00291989"/>
    <w:rsid w:val="00291A53"/>
    <w:rsid w:val="00291FDB"/>
    <w:rsid w:val="00292AD9"/>
    <w:rsid w:val="00292FB7"/>
    <w:rsid w:val="002932CF"/>
    <w:rsid w:val="002934BD"/>
    <w:rsid w:val="00293922"/>
    <w:rsid w:val="00293B43"/>
    <w:rsid w:val="00293CE0"/>
    <w:rsid w:val="002941B5"/>
    <w:rsid w:val="002947A7"/>
    <w:rsid w:val="002947BE"/>
    <w:rsid w:val="00294C0E"/>
    <w:rsid w:val="00294E49"/>
    <w:rsid w:val="002950B5"/>
    <w:rsid w:val="0029574A"/>
    <w:rsid w:val="00295C71"/>
    <w:rsid w:val="00295EA0"/>
    <w:rsid w:val="0029643E"/>
    <w:rsid w:val="00296D91"/>
    <w:rsid w:val="00296DE9"/>
    <w:rsid w:val="00296E52"/>
    <w:rsid w:val="00296F2A"/>
    <w:rsid w:val="00297017"/>
    <w:rsid w:val="00297AEC"/>
    <w:rsid w:val="002A0814"/>
    <w:rsid w:val="002A0869"/>
    <w:rsid w:val="002A0BF7"/>
    <w:rsid w:val="002A0E58"/>
    <w:rsid w:val="002A1276"/>
    <w:rsid w:val="002A1CF0"/>
    <w:rsid w:val="002A208B"/>
    <w:rsid w:val="002A24F5"/>
    <w:rsid w:val="002A2962"/>
    <w:rsid w:val="002A2DDF"/>
    <w:rsid w:val="002A36F0"/>
    <w:rsid w:val="002A3803"/>
    <w:rsid w:val="002A3CB3"/>
    <w:rsid w:val="002A4133"/>
    <w:rsid w:val="002A442F"/>
    <w:rsid w:val="002A4458"/>
    <w:rsid w:val="002A46E3"/>
    <w:rsid w:val="002A5410"/>
    <w:rsid w:val="002A5778"/>
    <w:rsid w:val="002A65FD"/>
    <w:rsid w:val="002A6F57"/>
    <w:rsid w:val="002A79BD"/>
    <w:rsid w:val="002A7A36"/>
    <w:rsid w:val="002A7BA0"/>
    <w:rsid w:val="002B0079"/>
    <w:rsid w:val="002B06D9"/>
    <w:rsid w:val="002B109C"/>
    <w:rsid w:val="002B19D9"/>
    <w:rsid w:val="002B1ACE"/>
    <w:rsid w:val="002B1BFD"/>
    <w:rsid w:val="002B1BFF"/>
    <w:rsid w:val="002B1D31"/>
    <w:rsid w:val="002B1D56"/>
    <w:rsid w:val="002B1DDB"/>
    <w:rsid w:val="002B1DF9"/>
    <w:rsid w:val="002B23D2"/>
    <w:rsid w:val="002B310A"/>
    <w:rsid w:val="002B3214"/>
    <w:rsid w:val="002B37D8"/>
    <w:rsid w:val="002B3EEA"/>
    <w:rsid w:val="002B425B"/>
    <w:rsid w:val="002B436B"/>
    <w:rsid w:val="002B4B6C"/>
    <w:rsid w:val="002B4E17"/>
    <w:rsid w:val="002B4E9A"/>
    <w:rsid w:val="002B5200"/>
    <w:rsid w:val="002B59F0"/>
    <w:rsid w:val="002B6370"/>
    <w:rsid w:val="002B6C9C"/>
    <w:rsid w:val="002B7745"/>
    <w:rsid w:val="002B787F"/>
    <w:rsid w:val="002B788C"/>
    <w:rsid w:val="002B7DA5"/>
    <w:rsid w:val="002C022E"/>
    <w:rsid w:val="002C0F5A"/>
    <w:rsid w:val="002C1788"/>
    <w:rsid w:val="002C1BE0"/>
    <w:rsid w:val="002C2191"/>
    <w:rsid w:val="002C2515"/>
    <w:rsid w:val="002C25C9"/>
    <w:rsid w:val="002C2D4E"/>
    <w:rsid w:val="002C3130"/>
    <w:rsid w:val="002C3293"/>
    <w:rsid w:val="002C35EE"/>
    <w:rsid w:val="002C376E"/>
    <w:rsid w:val="002C3A49"/>
    <w:rsid w:val="002C3B30"/>
    <w:rsid w:val="002C3BB4"/>
    <w:rsid w:val="002C3C2B"/>
    <w:rsid w:val="002C3CCC"/>
    <w:rsid w:val="002C3EB7"/>
    <w:rsid w:val="002C4331"/>
    <w:rsid w:val="002C4EEE"/>
    <w:rsid w:val="002C547A"/>
    <w:rsid w:val="002C54DC"/>
    <w:rsid w:val="002C577B"/>
    <w:rsid w:val="002C585C"/>
    <w:rsid w:val="002C6645"/>
    <w:rsid w:val="002C66D0"/>
    <w:rsid w:val="002C67B2"/>
    <w:rsid w:val="002C6AA6"/>
    <w:rsid w:val="002C6B00"/>
    <w:rsid w:val="002C6F01"/>
    <w:rsid w:val="002C7804"/>
    <w:rsid w:val="002C79F0"/>
    <w:rsid w:val="002D0082"/>
    <w:rsid w:val="002D0817"/>
    <w:rsid w:val="002D0DB7"/>
    <w:rsid w:val="002D0F5B"/>
    <w:rsid w:val="002D102E"/>
    <w:rsid w:val="002D13EB"/>
    <w:rsid w:val="002D1510"/>
    <w:rsid w:val="002D1B07"/>
    <w:rsid w:val="002D231A"/>
    <w:rsid w:val="002D2330"/>
    <w:rsid w:val="002D23AB"/>
    <w:rsid w:val="002D2DB0"/>
    <w:rsid w:val="002D34DD"/>
    <w:rsid w:val="002D3DB8"/>
    <w:rsid w:val="002D43E8"/>
    <w:rsid w:val="002D4554"/>
    <w:rsid w:val="002D47EB"/>
    <w:rsid w:val="002D4A00"/>
    <w:rsid w:val="002D5164"/>
    <w:rsid w:val="002D530D"/>
    <w:rsid w:val="002D68E2"/>
    <w:rsid w:val="002D7646"/>
    <w:rsid w:val="002D7659"/>
    <w:rsid w:val="002D799D"/>
    <w:rsid w:val="002D7B91"/>
    <w:rsid w:val="002E0382"/>
    <w:rsid w:val="002E05CF"/>
    <w:rsid w:val="002E05EF"/>
    <w:rsid w:val="002E0829"/>
    <w:rsid w:val="002E0B7D"/>
    <w:rsid w:val="002E1129"/>
    <w:rsid w:val="002E1369"/>
    <w:rsid w:val="002E1A3F"/>
    <w:rsid w:val="002E1B85"/>
    <w:rsid w:val="002E23EA"/>
    <w:rsid w:val="002E2AEB"/>
    <w:rsid w:val="002E2ED5"/>
    <w:rsid w:val="002E32C3"/>
    <w:rsid w:val="002E3645"/>
    <w:rsid w:val="002E3B66"/>
    <w:rsid w:val="002E41AA"/>
    <w:rsid w:val="002E480C"/>
    <w:rsid w:val="002E4B78"/>
    <w:rsid w:val="002E4CD6"/>
    <w:rsid w:val="002E50DC"/>
    <w:rsid w:val="002E6124"/>
    <w:rsid w:val="002E618E"/>
    <w:rsid w:val="002E6227"/>
    <w:rsid w:val="002E6931"/>
    <w:rsid w:val="002E69C6"/>
    <w:rsid w:val="002E6B55"/>
    <w:rsid w:val="002E72B8"/>
    <w:rsid w:val="002E754C"/>
    <w:rsid w:val="002F0A4F"/>
    <w:rsid w:val="002F0F73"/>
    <w:rsid w:val="002F0FD0"/>
    <w:rsid w:val="002F10E4"/>
    <w:rsid w:val="002F12D8"/>
    <w:rsid w:val="002F14B0"/>
    <w:rsid w:val="002F1ED5"/>
    <w:rsid w:val="002F2379"/>
    <w:rsid w:val="002F39A2"/>
    <w:rsid w:val="002F39C4"/>
    <w:rsid w:val="002F39E6"/>
    <w:rsid w:val="002F3AC3"/>
    <w:rsid w:val="002F49CB"/>
    <w:rsid w:val="002F4D3F"/>
    <w:rsid w:val="002F4F77"/>
    <w:rsid w:val="002F4FDD"/>
    <w:rsid w:val="002F5568"/>
    <w:rsid w:val="002F5694"/>
    <w:rsid w:val="002F57A2"/>
    <w:rsid w:val="002F6585"/>
    <w:rsid w:val="002F6BA5"/>
    <w:rsid w:val="002F721A"/>
    <w:rsid w:val="002F746F"/>
    <w:rsid w:val="002F75E0"/>
    <w:rsid w:val="002F7ADC"/>
    <w:rsid w:val="002F7AF4"/>
    <w:rsid w:val="002F7BFC"/>
    <w:rsid w:val="002F7F42"/>
    <w:rsid w:val="002F7FE6"/>
    <w:rsid w:val="003004C2"/>
    <w:rsid w:val="00300890"/>
    <w:rsid w:val="00300BFE"/>
    <w:rsid w:val="003013A2"/>
    <w:rsid w:val="00301565"/>
    <w:rsid w:val="0030195B"/>
    <w:rsid w:val="00301AE4"/>
    <w:rsid w:val="00301CAF"/>
    <w:rsid w:val="00302021"/>
    <w:rsid w:val="00302B69"/>
    <w:rsid w:val="00302C7E"/>
    <w:rsid w:val="00302F40"/>
    <w:rsid w:val="00303157"/>
    <w:rsid w:val="0030325C"/>
    <w:rsid w:val="0030347E"/>
    <w:rsid w:val="0030356B"/>
    <w:rsid w:val="0030370A"/>
    <w:rsid w:val="00303B7A"/>
    <w:rsid w:val="00304134"/>
    <w:rsid w:val="003042CA"/>
    <w:rsid w:val="003047DB"/>
    <w:rsid w:val="00304EE8"/>
    <w:rsid w:val="00304F74"/>
    <w:rsid w:val="003055A8"/>
    <w:rsid w:val="00305AB2"/>
    <w:rsid w:val="003060E8"/>
    <w:rsid w:val="00306324"/>
    <w:rsid w:val="003063A6"/>
    <w:rsid w:val="003072BF"/>
    <w:rsid w:val="0030731D"/>
    <w:rsid w:val="00307719"/>
    <w:rsid w:val="00307CA0"/>
    <w:rsid w:val="00307D32"/>
    <w:rsid w:val="00310136"/>
    <w:rsid w:val="0031234C"/>
    <w:rsid w:val="00312720"/>
    <w:rsid w:val="003130EA"/>
    <w:rsid w:val="0031331A"/>
    <w:rsid w:val="003133DA"/>
    <w:rsid w:val="0031358F"/>
    <w:rsid w:val="00313CF4"/>
    <w:rsid w:val="00313FF1"/>
    <w:rsid w:val="0031402E"/>
    <w:rsid w:val="003144EF"/>
    <w:rsid w:val="00314908"/>
    <w:rsid w:val="00314CF9"/>
    <w:rsid w:val="00315124"/>
    <w:rsid w:val="00315909"/>
    <w:rsid w:val="0031598F"/>
    <w:rsid w:val="00315A12"/>
    <w:rsid w:val="00316631"/>
    <w:rsid w:val="00316EB7"/>
    <w:rsid w:val="00317729"/>
    <w:rsid w:val="003178AA"/>
    <w:rsid w:val="00317B93"/>
    <w:rsid w:val="0032078E"/>
    <w:rsid w:val="003207FB"/>
    <w:rsid w:val="00321391"/>
    <w:rsid w:val="00321444"/>
    <w:rsid w:val="00321A38"/>
    <w:rsid w:val="003229BB"/>
    <w:rsid w:val="00322BF6"/>
    <w:rsid w:val="00322CC5"/>
    <w:rsid w:val="00322D73"/>
    <w:rsid w:val="003230A5"/>
    <w:rsid w:val="00323442"/>
    <w:rsid w:val="00323A16"/>
    <w:rsid w:val="00323B8C"/>
    <w:rsid w:val="003240C5"/>
    <w:rsid w:val="00324532"/>
    <w:rsid w:val="0032562E"/>
    <w:rsid w:val="00325780"/>
    <w:rsid w:val="003257E0"/>
    <w:rsid w:val="003259DC"/>
    <w:rsid w:val="003260B1"/>
    <w:rsid w:val="00326DE6"/>
    <w:rsid w:val="00327337"/>
    <w:rsid w:val="00327771"/>
    <w:rsid w:val="00327803"/>
    <w:rsid w:val="00327E5D"/>
    <w:rsid w:val="003304BC"/>
    <w:rsid w:val="0033064B"/>
    <w:rsid w:val="003309EC"/>
    <w:rsid w:val="00331606"/>
    <w:rsid w:val="003316BA"/>
    <w:rsid w:val="00331990"/>
    <w:rsid w:val="00331D38"/>
    <w:rsid w:val="003320A3"/>
    <w:rsid w:val="00332491"/>
    <w:rsid w:val="00332BB3"/>
    <w:rsid w:val="00332BD7"/>
    <w:rsid w:val="003330FE"/>
    <w:rsid w:val="00333455"/>
    <w:rsid w:val="0033368F"/>
    <w:rsid w:val="003338B0"/>
    <w:rsid w:val="00333BDE"/>
    <w:rsid w:val="003342AD"/>
    <w:rsid w:val="003345C2"/>
    <w:rsid w:val="00334AA8"/>
    <w:rsid w:val="00334ACB"/>
    <w:rsid w:val="00335212"/>
    <w:rsid w:val="0033525A"/>
    <w:rsid w:val="00335321"/>
    <w:rsid w:val="00336D1B"/>
    <w:rsid w:val="00336F7A"/>
    <w:rsid w:val="00337407"/>
    <w:rsid w:val="003377AF"/>
    <w:rsid w:val="00337F51"/>
    <w:rsid w:val="0034014C"/>
    <w:rsid w:val="003407FC"/>
    <w:rsid w:val="00340AF2"/>
    <w:rsid w:val="00340C20"/>
    <w:rsid w:val="003410E0"/>
    <w:rsid w:val="00341600"/>
    <w:rsid w:val="00341882"/>
    <w:rsid w:val="00341A5D"/>
    <w:rsid w:val="00341EB9"/>
    <w:rsid w:val="00342655"/>
    <w:rsid w:val="00342824"/>
    <w:rsid w:val="00342FE6"/>
    <w:rsid w:val="0034305C"/>
    <w:rsid w:val="0034307A"/>
    <w:rsid w:val="0034346E"/>
    <w:rsid w:val="003439C9"/>
    <w:rsid w:val="00343AF1"/>
    <w:rsid w:val="00343C7E"/>
    <w:rsid w:val="00344041"/>
    <w:rsid w:val="003448D7"/>
    <w:rsid w:val="00344E65"/>
    <w:rsid w:val="003450A2"/>
    <w:rsid w:val="0034518F"/>
    <w:rsid w:val="00345F07"/>
    <w:rsid w:val="00346A52"/>
    <w:rsid w:val="00346C64"/>
    <w:rsid w:val="003471D7"/>
    <w:rsid w:val="00347514"/>
    <w:rsid w:val="0034751B"/>
    <w:rsid w:val="0034775F"/>
    <w:rsid w:val="003500F3"/>
    <w:rsid w:val="00350425"/>
    <w:rsid w:val="00350439"/>
    <w:rsid w:val="0035073B"/>
    <w:rsid w:val="00350CF7"/>
    <w:rsid w:val="00351C5B"/>
    <w:rsid w:val="00351F65"/>
    <w:rsid w:val="003521E3"/>
    <w:rsid w:val="003525AA"/>
    <w:rsid w:val="0035357B"/>
    <w:rsid w:val="003536E2"/>
    <w:rsid w:val="00353A10"/>
    <w:rsid w:val="00354604"/>
    <w:rsid w:val="003546CE"/>
    <w:rsid w:val="00354B04"/>
    <w:rsid w:val="003553C5"/>
    <w:rsid w:val="00355D70"/>
    <w:rsid w:val="00355EDD"/>
    <w:rsid w:val="00357175"/>
    <w:rsid w:val="00357AA9"/>
    <w:rsid w:val="00357DA0"/>
    <w:rsid w:val="0036029D"/>
    <w:rsid w:val="00360355"/>
    <w:rsid w:val="00360471"/>
    <w:rsid w:val="0036088C"/>
    <w:rsid w:val="00360BB3"/>
    <w:rsid w:val="003610D9"/>
    <w:rsid w:val="00361CF7"/>
    <w:rsid w:val="00361E46"/>
    <w:rsid w:val="00361EDC"/>
    <w:rsid w:val="00362524"/>
    <w:rsid w:val="00362E85"/>
    <w:rsid w:val="003633D5"/>
    <w:rsid w:val="00363450"/>
    <w:rsid w:val="0036365A"/>
    <w:rsid w:val="00363931"/>
    <w:rsid w:val="003639EA"/>
    <w:rsid w:val="00363D12"/>
    <w:rsid w:val="00364B64"/>
    <w:rsid w:val="00365391"/>
    <w:rsid w:val="003653B0"/>
    <w:rsid w:val="0036560C"/>
    <w:rsid w:val="00365C20"/>
    <w:rsid w:val="00365F26"/>
    <w:rsid w:val="003664BF"/>
    <w:rsid w:val="003668F0"/>
    <w:rsid w:val="00366C6B"/>
    <w:rsid w:val="00367DE3"/>
    <w:rsid w:val="0037011B"/>
    <w:rsid w:val="00370933"/>
    <w:rsid w:val="00370E96"/>
    <w:rsid w:val="00371665"/>
    <w:rsid w:val="003719EE"/>
    <w:rsid w:val="0037224B"/>
    <w:rsid w:val="003725A9"/>
    <w:rsid w:val="003726BE"/>
    <w:rsid w:val="0037290F"/>
    <w:rsid w:val="00372B18"/>
    <w:rsid w:val="00372B56"/>
    <w:rsid w:val="00372E2D"/>
    <w:rsid w:val="0037331A"/>
    <w:rsid w:val="003733BB"/>
    <w:rsid w:val="00373B82"/>
    <w:rsid w:val="00373CEF"/>
    <w:rsid w:val="003741FA"/>
    <w:rsid w:val="003742BA"/>
    <w:rsid w:val="003753A0"/>
    <w:rsid w:val="003756F3"/>
    <w:rsid w:val="00375B2B"/>
    <w:rsid w:val="00375B39"/>
    <w:rsid w:val="00375DB0"/>
    <w:rsid w:val="003760B3"/>
    <w:rsid w:val="00376227"/>
    <w:rsid w:val="003766C2"/>
    <w:rsid w:val="0037685E"/>
    <w:rsid w:val="00376860"/>
    <w:rsid w:val="00376B82"/>
    <w:rsid w:val="003773B5"/>
    <w:rsid w:val="003775AC"/>
    <w:rsid w:val="003777CC"/>
    <w:rsid w:val="00377A0B"/>
    <w:rsid w:val="00377BB7"/>
    <w:rsid w:val="00377E13"/>
    <w:rsid w:val="00380E10"/>
    <w:rsid w:val="00380FDB"/>
    <w:rsid w:val="003813F5"/>
    <w:rsid w:val="00381409"/>
    <w:rsid w:val="00381BA2"/>
    <w:rsid w:val="00381FBE"/>
    <w:rsid w:val="003825A0"/>
    <w:rsid w:val="003825EC"/>
    <w:rsid w:val="0038277A"/>
    <w:rsid w:val="003827C7"/>
    <w:rsid w:val="003828AE"/>
    <w:rsid w:val="003830B1"/>
    <w:rsid w:val="0038363F"/>
    <w:rsid w:val="00383A2F"/>
    <w:rsid w:val="00383B89"/>
    <w:rsid w:val="0038439B"/>
    <w:rsid w:val="00384874"/>
    <w:rsid w:val="003853E5"/>
    <w:rsid w:val="003854D9"/>
    <w:rsid w:val="00385C72"/>
    <w:rsid w:val="00385F0D"/>
    <w:rsid w:val="003861B4"/>
    <w:rsid w:val="0038684D"/>
    <w:rsid w:val="003868FA"/>
    <w:rsid w:val="00386BB9"/>
    <w:rsid w:val="003873BB"/>
    <w:rsid w:val="00387C88"/>
    <w:rsid w:val="00387CB3"/>
    <w:rsid w:val="00387EDB"/>
    <w:rsid w:val="00387FE3"/>
    <w:rsid w:val="00390227"/>
    <w:rsid w:val="0039044F"/>
    <w:rsid w:val="00390891"/>
    <w:rsid w:val="00390C26"/>
    <w:rsid w:val="00391B16"/>
    <w:rsid w:val="00391CC2"/>
    <w:rsid w:val="00392178"/>
    <w:rsid w:val="0039223A"/>
    <w:rsid w:val="003928A7"/>
    <w:rsid w:val="00392911"/>
    <w:rsid w:val="00392C0C"/>
    <w:rsid w:val="00392F09"/>
    <w:rsid w:val="00393716"/>
    <w:rsid w:val="00393888"/>
    <w:rsid w:val="003939F7"/>
    <w:rsid w:val="00393FC2"/>
    <w:rsid w:val="00394C6D"/>
    <w:rsid w:val="0039539A"/>
    <w:rsid w:val="00395CDF"/>
    <w:rsid w:val="0039615E"/>
    <w:rsid w:val="003962A0"/>
    <w:rsid w:val="003967E3"/>
    <w:rsid w:val="00396B5E"/>
    <w:rsid w:val="00397957"/>
    <w:rsid w:val="0039798F"/>
    <w:rsid w:val="00397B47"/>
    <w:rsid w:val="003A0B24"/>
    <w:rsid w:val="003A140E"/>
    <w:rsid w:val="003A1938"/>
    <w:rsid w:val="003A1DA8"/>
    <w:rsid w:val="003A245A"/>
    <w:rsid w:val="003A260B"/>
    <w:rsid w:val="003A2650"/>
    <w:rsid w:val="003A2D5B"/>
    <w:rsid w:val="003A30B3"/>
    <w:rsid w:val="003A3560"/>
    <w:rsid w:val="003A3992"/>
    <w:rsid w:val="003A4103"/>
    <w:rsid w:val="003A4CD3"/>
    <w:rsid w:val="003A4D10"/>
    <w:rsid w:val="003A4E43"/>
    <w:rsid w:val="003A4EF6"/>
    <w:rsid w:val="003A5BE8"/>
    <w:rsid w:val="003A5EF7"/>
    <w:rsid w:val="003A6299"/>
    <w:rsid w:val="003A65C1"/>
    <w:rsid w:val="003A6695"/>
    <w:rsid w:val="003A68DE"/>
    <w:rsid w:val="003A728B"/>
    <w:rsid w:val="003B0771"/>
    <w:rsid w:val="003B07F8"/>
    <w:rsid w:val="003B1052"/>
    <w:rsid w:val="003B11F7"/>
    <w:rsid w:val="003B2260"/>
    <w:rsid w:val="003B24D7"/>
    <w:rsid w:val="003B2622"/>
    <w:rsid w:val="003B2AB6"/>
    <w:rsid w:val="003B2C53"/>
    <w:rsid w:val="003B2ECD"/>
    <w:rsid w:val="003B3103"/>
    <w:rsid w:val="003B34AA"/>
    <w:rsid w:val="003B3565"/>
    <w:rsid w:val="003B3605"/>
    <w:rsid w:val="003B36DA"/>
    <w:rsid w:val="003B371F"/>
    <w:rsid w:val="003B3A60"/>
    <w:rsid w:val="003B3BB8"/>
    <w:rsid w:val="003B4205"/>
    <w:rsid w:val="003B47A2"/>
    <w:rsid w:val="003B4B8E"/>
    <w:rsid w:val="003B4C1F"/>
    <w:rsid w:val="003B4E3C"/>
    <w:rsid w:val="003B564C"/>
    <w:rsid w:val="003B5F2C"/>
    <w:rsid w:val="003B62CD"/>
    <w:rsid w:val="003B632B"/>
    <w:rsid w:val="003B637D"/>
    <w:rsid w:val="003B661A"/>
    <w:rsid w:val="003B71E8"/>
    <w:rsid w:val="003B771B"/>
    <w:rsid w:val="003B7829"/>
    <w:rsid w:val="003B7B11"/>
    <w:rsid w:val="003C002B"/>
    <w:rsid w:val="003C00C8"/>
    <w:rsid w:val="003C053A"/>
    <w:rsid w:val="003C0596"/>
    <w:rsid w:val="003C0716"/>
    <w:rsid w:val="003C089A"/>
    <w:rsid w:val="003C0924"/>
    <w:rsid w:val="003C0BB5"/>
    <w:rsid w:val="003C0CB0"/>
    <w:rsid w:val="003C126C"/>
    <w:rsid w:val="003C1399"/>
    <w:rsid w:val="003C142E"/>
    <w:rsid w:val="003C1530"/>
    <w:rsid w:val="003C1B12"/>
    <w:rsid w:val="003C210D"/>
    <w:rsid w:val="003C2F2D"/>
    <w:rsid w:val="003C31C7"/>
    <w:rsid w:val="003C356E"/>
    <w:rsid w:val="003C3997"/>
    <w:rsid w:val="003C3B08"/>
    <w:rsid w:val="003C3F17"/>
    <w:rsid w:val="003C42F2"/>
    <w:rsid w:val="003C477D"/>
    <w:rsid w:val="003C4935"/>
    <w:rsid w:val="003C4D7A"/>
    <w:rsid w:val="003C5C7F"/>
    <w:rsid w:val="003C5CC0"/>
    <w:rsid w:val="003C62F1"/>
    <w:rsid w:val="003C66C6"/>
    <w:rsid w:val="003C6D36"/>
    <w:rsid w:val="003C700E"/>
    <w:rsid w:val="003C7462"/>
    <w:rsid w:val="003C7577"/>
    <w:rsid w:val="003C76DD"/>
    <w:rsid w:val="003C77E4"/>
    <w:rsid w:val="003C7AE3"/>
    <w:rsid w:val="003C7F89"/>
    <w:rsid w:val="003D096E"/>
    <w:rsid w:val="003D0B0F"/>
    <w:rsid w:val="003D1532"/>
    <w:rsid w:val="003D1BD5"/>
    <w:rsid w:val="003D25B5"/>
    <w:rsid w:val="003D3B84"/>
    <w:rsid w:val="003D44D9"/>
    <w:rsid w:val="003D4928"/>
    <w:rsid w:val="003D4C26"/>
    <w:rsid w:val="003D4EB5"/>
    <w:rsid w:val="003D514A"/>
    <w:rsid w:val="003D52EF"/>
    <w:rsid w:val="003D565D"/>
    <w:rsid w:val="003D5BF5"/>
    <w:rsid w:val="003D6319"/>
    <w:rsid w:val="003D6DFE"/>
    <w:rsid w:val="003D72DF"/>
    <w:rsid w:val="003D7331"/>
    <w:rsid w:val="003D74A1"/>
    <w:rsid w:val="003D7629"/>
    <w:rsid w:val="003E022D"/>
    <w:rsid w:val="003E1AFA"/>
    <w:rsid w:val="003E1E95"/>
    <w:rsid w:val="003E1EBC"/>
    <w:rsid w:val="003E2198"/>
    <w:rsid w:val="003E25F6"/>
    <w:rsid w:val="003E2F51"/>
    <w:rsid w:val="003E32F9"/>
    <w:rsid w:val="003E3C9C"/>
    <w:rsid w:val="003E43BD"/>
    <w:rsid w:val="003E46BE"/>
    <w:rsid w:val="003E47F5"/>
    <w:rsid w:val="003E4922"/>
    <w:rsid w:val="003E4957"/>
    <w:rsid w:val="003E4AA7"/>
    <w:rsid w:val="003E515D"/>
    <w:rsid w:val="003E53CF"/>
    <w:rsid w:val="003E5566"/>
    <w:rsid w:val="003E7000"/>
    <w:rsid w:val="003E72A0"/>
    <w:rsid w:val="003E7336"/>
    <w:rsid w:val="003F0016"/>
    <w:rsid w:val="003F0081"/>
    <w:rsid w:val="003F023C"/>
    <w:rsid w:val="003F04EE"/>
    <w:rsid w:val="003F0CE8"/>
    <w:rsid w:val="003F16F0"/>
    <w:rsid w:val="003F19EE"/>
    <w:rsid w:val="003F2235"/>
    <w:rsid w:val="003F28CE"/>
    <w:rsid w:val="003F3A8D"/>
    <w:rsid w:val="003F3C1F"/>
    <w:rsid w:val="003F3E7F"/>
    <w:rsid w:val="003F3F24"/>
    <w:rsid w:val="003F402C"/>
    <w:rsid w:val="003F4445"/>
    <w:rsid w:val="003F5F17"/>
    <w:rsid w:val="003F61BB"/>
    <w:rsid w:val="003F687C"/>
    <w:rsid w:val="003F6A7E"/>
    <w:rsid w:val="003F6C36"/>
    <w:rsid w:val="003F702B"/>
    <w:rsid w:val="003F7100"/>
    <w:rsid w:val="003F759A"/>
    <w:rsid w:val="003F759B"/>
    <w:rsid w:val="0040013F"/>
    <w:rsid w:val="004004A1"/>
    <w:rsid w:val="00401207"/>
    <w:rsid w:val="004013CC"/>
    <w:rsid w:val="00401750"/>
    <w:rsid w:val="00401CFB"/>
    <w:rsid w:val="00401F64"/>
    <w:rsid w:val="0040260D"/>
    <w:rsid w:val="0040269C"/>
    <w:rsid w:val="00402B2F"/>
    <w:rsid w:val="004031C6"/>
    <w:rsid w:val="0040349E"/>
    <w:rsid w:val="0040364C"/>
    <w:rsid w:val="0040364D"/>
    <w:rsid w:val="00403A6E"/>
    <w:rsid w:val="00403ADC"/>
    <w:rsid w:val="00403B69"/>
    <w:rsid w:val="00403BC5"/>
    <w:rsid w:val="004042CC"/>
    <w:rsid w:val="00405389"/>
    <w:rsid w:val="004054BB"/>
    <w:rsid w:val="004057C0"/>
    <w:rsid w:val="004060CB"/>
    <w:rsid w:val="0040669C"/>
    <w:rsid w:val="00406808"/>
    <w:rsid w:val="00406AFE"/>
    <w:rsid w:val="00406F4C"/>
    <w:rsid w:val="0040711C"/>
    <w:rsid w:val="0040767B"/>
    <w:rsid w:val="004076DE"/>
    <w:rsid w:val="00407B57"/>
    <w:rsid w:val="00407B61"/>
    <w:rsid w:val="00407CF8"/>
    <w:rsid w:val="0041031A"/>
    <w:rsid w:val="004110FA"/>
    <w:rsid w:val="00411200"/>
    <w:rsid w:val="004112CE"/>
    <w:rsid w:val="00411D91"/>
    <w:rsid w:val="00412005"/>
    <w:rsid w:val="00412207"/>
    <w:rsid w:val="00412672"/>
    <w:rsid w:val="00412B8C"/>
    <w:rsid w:val="00412C05"/>
    <w:rsid w:val="00412E86"/>
    <w:rsid w:val="00413097"/>
    <w:rsid w:val="004137A6"/>
    <w:rsid w:val="00413E15"/>
    <w:rsid w:val="00414127"/>
    <w:rsid w:val="004149CC"/>
    <w:rsid w:val="004150DC"/>
    <w:rsid w:val="0041522A"/>
    <w:rsid w:val="00415BB9"/>
    <w:rsid w:val="00415C23"/>
    <w:rsid w:val="00415E32"/>
    <w:rsid w:val="00415EE5"/>
    <w:rsid w:val="0041630F"/>
    <w:rsid w:val="004164C9"/>
    <w:rsid w:val="00416522"/>
    <w:rsid w:val="0041653F"/>
    <w:rsid w:val="00416655"/>
    <w:rsid w:val="00416792"/>
    <w:rsid w:val="0041743B"/>
    <w:rsid w:val="004201E5"/>
    <w:rsid w:val="00421373"/>
    <w:rsid w:val="00421640"/>
    <w:rsid w:val="00421771"/>
    <w:rsid w:val="00422182"/>
    <w:rsid w:val="004222E8"/>
    <w:rsid w:val="004224C0"/>
    <w:rsid w:val="004225EF"/>
    <w:rsid w:val="00422626"/>
    <w:rsid w:val="00422961"/>
    <w:rsid w:val="00422B69"/>
    <w:rsid w:val="00422D52"/>
    <w:rsid w:val="004230E7"/>
    <w:rsid w:val="00423264"/>
    <w:rsid w:val="0042340B"/>
    <w:rsid w:val="004249FF"/>
    <w:rsid w:val="00424AF3"/>
    <w:rsid w:val="00424E94"/>
    <w:rsid w:val="00425C1B"/>
    <w:rsid w:val="00425CE9"/>
    <w:rsid w:val="00425E16"/>
    <w:rsid w:val="00425FE9"/>
    <w:rsid w:val="00426700"/>
    <w:rsid w:val="00426E96"/>
    <w:rsid w:val="004271ED"/>
    <w:rsid w:val="004279B6"/>
    <w:rsid w:val="00427F71"/>
    <w:rsid w:val="004302A6"/>
    <w:rsid w:val="00430368"/>
    <w:rsid w:val="004308B5"/>
    <w:rsid w:val="00430D21"/>
    <w:rsid w:val="00430E43"/>
    <w:rsid w:val="00431062"/>
    <w:rsid w:val="0043163C"/>
    <w:rsid w:val="0043198D"/>
    <w:rsid w:val="00431A4D"/>
    <w:rsid w:val="00431E3D"/>
    <w:rsid w:val="00432A34"/>
    <w:rsid w:val="00432B57"/>
    <w:rsid w:val="00432B84"/>
    <w:rsid w:val="00433450"/>
    <w:rsid w:val="00433DEA"/>
    <w:rsid w:val="00433F95"/>
    <w:rsid w:val="0043400D"/>
    <w:rsid w:val="004344C1"/>
    <w:rsid w:val="0043515E"/>
    <w:rsid w:val="00435728"/>
    <w:rsid w:val="00435BDB"/>
    <w:rsid w:val="00435E3D"/>
    <w:rsid w:val="00436144"/>
    <w:rsid w:val="00436352"/>
    <w:rsid w:val="0043656F"/>
    <w:rsid w:val="00436A02"/>
    <w:rsid w:val="00436DD9"/>
    <w:rsid w:val="00436E07"/>
    <w:rsid w:val="004372DA"/>
    <w:rsid w:val="00437993"/>
    <w:rsid w:val="00437A8B"/>
    <w:rsid w:val="00437BEB"/>
    <w:rsid w:val="00437CE6"/>
    <w:rsid w:val="00437D5F"/>
    <w:rsid w:val="00437F93"/>
    <w:rsid w:val="00437FC0"/>
    <w:rsid w:val="0044010D"/>
    <w:rsid w:val="0044029B"/>
    <w:rsid w:val="00440404"/>
    <w:rsid w:val="0044043C"/>
    <w:rsid w:val="0044043D"/>
    <w:rsid w:val="0044198A"/>
    <w:rsid w:val="00441A17"/>
    <w:rsid w:val="00441E2E"/>
    <w:rsid w:val="00441F3D"/>
    <w:rsid w:val="00442AC6"/>
    <w:rsid w:val="00442BB7"/>
    <w:rsid w:val="00443022"/>
    <w:rsid w:val="0044339A"/>
    <w:rsid w:val="004433AA"/>
    <w:rsid w:val="00443D8E"/>
    <w:rsid w:val="00443E26"/>
    <w:rsid w:val="00444512"/>
    <w:rsid w:val="00444D61"/>
    <w:rsid w:val="00445823"/>
    <w:rsid w:val="00445977"/>
    <w:rsid w:val="004462E5"/>
    <w:rsid w:val="00446331"/>
    <w:rsid w:val="00446E0C"/>
    <w:rsid w:val="00446E99"/>
    <w:rsid w:val="0044744C"/>
    <w:rsid w:val="00447E5D"/>
    <w:rsid w:val="00450102"/>
    <w:rsid w:val="0045016E"/>
    <w:rsid w:val="004506B2"/>
    <w:rsid w:val="00450B3F"/>
    <w:rsid w:val="00450B54"/>
    <w:rsid w:val="00450C37"/>
    <w:rsid w:val="00450C9B"/>
    <w:rsid w:val="004511AC"/>
    <w:rsid w:val="004512C9"/>
    <w:rsid w:val="00451FFB"/>
    <w:rsid w:val="004520F8"/>
    <w:rsid w:val="00452342"/>
    <w:rsid w:val="00452A7A"/>
    <w:rsid w:val="004533BE"/>
    <w:rsid w:val="0045380E"/>
    <w:rsid w:val="00453C44"/>
    <w:rsid w:val="00453DC0"/>
    <w:rsid w:val="00454016"/>
    <w:rsid w:val="0045458D"/>
    <w:rsid w:val="00454E12"/>
    <w:rsid w:val="00455347"/>
    <w:rsid w:val="0045573B"/>
    <w:rsid w:val="00455BDA"/>
    <w:rsid w:val="00455C0B"/>
    <w:rsid w:val="0045653E"/>
    <w:rsid w:val="004565E6"/>
    <w:rsid w:val="00457550"/>
    <w:rsid w:val="0045780A"/>
    <w:rsid w:val="00460416"/>
    <w:rsid w:val="00460506"/>
    <w:rsid w:val="00460643"/>
    <w:rsid w:val="004607C3"/>
    <w:rsid w:val="004607EA"/>
    <w:rsid w:val="00460A98"/>
    <w:rsid w:val="00460C2E"/>
    <w:rsid w:val="004610E0"/>
    <w:rsid w:val="0046200D"/>
    <w:rsid w:val="004620F5"/>
    <w:rsid w:val="004620FB"/>
    <w:rsid w:val="00462437"/>
    <w:rsid w:val="00462486"/>
    <w:rsid w:val="00462741"/>
    <w:rsid w:val="004629CF"/>
    <w:rsid w:val="00462D1D"/>
    <w:rsid w:val="004630A6"/>
    <w:rsid w:val="00463390"/>
    <w:rsid w:val="004633AD"/>
    <w:rsid w:val="004639B8"/>
    <w:rsid w:val="00463C23"/>
    <w:rsid w:val="00463FDC"/>
    <w:rsid w:val="004641D5"/>
    <w:rsid w:val="00464FE4"/>
    <w:rsid w:val="004654BC"/>
    <w:rsid w:val="0046551A"/>
    <w:rsid w:val="00465864"/>
    <w:rsid w:val="0046594B"/>
    <w:rsid w:val="00466A29"/>
    <w:rsid w:val="00466D09"/>
    <w:rsid w:val="00466ED5"/>
    <w:rsid w:val="00467059"/>
    <w:rsid w:val="00467783"/>
    <w:rsid w:val="00470218"/>
    <w:rsid w:val="00470345"/>
    <w:rsid w:val="004704B5"/>
    <w:rsid w:val="004706BB"/>
    <w:rsid w:val="00470987"/>
    <w:rsid w:val="00470A83"/>
    <w:rsid w:val="00470E71"/>
    <w:rsid w:val="00470FE6"/>
    <w:rsid w:val="00471966"/>
    <w:rsid w:val="0047197E"/>
    <w:rsid w:val="00471A93"/>
    <w:rsid w:val="00471A98"/>
    <w:rsid w:val="00471C52"/>
    <w:rsid w:val="00472521"/>
    <w:rsid w:val="00472575"/>
    <w:rsid w:val="00472C77"/>
    <w:rsid w:val="00472DA7"/>
    <w:rsid w:val="00472DFE"/>
    <w:rsid w:val="004736E8"/>
    <w:rsid w:val="00473A2E"/>
    <w:rsid w:val="00473BC8"/>
    <w:rsid w:val="00473DBF"/>
    <w:rsid w:val="00473FCA"/>
    <w:rsid w:val="00474150"/>
    <w:rsid w:val="00474554"/>
    <w:rsid w:val="00474732"/>
    <w:rsid w:val="00475730"/>
    <w:rsid w:val="0047598C"/>
    <w:rsid w:val="00475C0D"/>
    <w:rsid w:val="00475E1E"/>
    <w:rsid w:val="0047604E"/>
    <w:rsid w:val="0047659D"/>
    <w:rsid w:val="0047718B"/>
    <w:rsid w:val="00477880"/>
    <w:rsid w:val="00477D7C"/>
    <w:rsid w:val="00477E4C"/>
    <w:rsid w:val="004802FB"/>
    <w:rsid w:val="00480BA4"/>
    <w:rsid w:val="00481676"/>
    <w:rsid w:val="004816D2"/>
    <w:rsid w:val="00481A9A"/>
    <w:rsid w:val="00482345"/>
    <w:rsid w:val="004828EF"/>
    <w:rsid w:val="00482BB6"/>
    <w:rsid w:val="00482DF2"/>
    <w:rsid w:val="00483115"/>
    <w:rsid w:val="00483DCD"/>
    <w:rsid w:val="00484255"/>
    <w:rsid w:val="0048428B"/>
    <w:rsid w:val="0048435E"/>
    <w:rsid w:val="004843E4"/>
    <w:rsid w:val="004846D1"/>
    <w:rsid w:val="004849FC"/>
    <w:rsid w:val="00484AD4"/>
    <w:rsid w:val="00484B27"/>
    <w:rsid w:val="00484B66"/>
    <w:rsid w:val="004853EB"/>
    <w:rsid w:val="004862E5"/>
    <w:rsid w:val="004865EE"/>
    <w:rsid w:val="004866A5"/>
    <w:rsid w:val="00486E57"/>
    <w:rsid w:val="00486EB9"/>
    <w:rsid w:val="00487364"/>
    <w:rsid w:val="00487384"/>
    <w:rsid w:val="00487DFD"/>
    <w:rsid w:val="00487F5F"/>
    <w:rsid w:val="00490BC6"/>
    <w:rsid w:val="004912AA"/>
    <w:rsid w:val="00491470"/>
    <w:rsid w:val="004914EA"/>
    <w:rsid w:val="00491555"/>
    <w:rsid w:val="00491582"/>
    <w:rsid w:val="00491D42"/>
    <w:rsid w:val="004923B2"/>
    <w:rsid w:val="00492730"/>
    <w:rsid w:val="00492CE4"/>
    <w:rsid w:val="00493117"/>
    <w:rsid w:val="00493536"/>
    <w:rsid w:val="0049355D"/>
    <w:rsid w:val="0049467B"/>
    <w:rsid w:val="00494702"/>
    <w:rsid w:val="004948C9"/>
    <w:rsid w:val="0049494A"/>
    <w:rsid w:val="0049499D"/>
    <w:rsid w:val="00494B26"/>
    <w:rsid w:val="00494DAB"/>
    <w:rsid w:val="00494FD7"/>
    <w:rsid w:val="004950A5"/>
    <w:rsid w:val="004951E8"/>
    <w:rsid w:val="00495C86"/>
    <w:rsid w:val="00496630"/>
    <w:rsid w:val="00496A3C"/>
    <w:rsid w:val="00496A3E"/>
    <w:rsid w:val="00496ECF"/>
    <w:rsid w:val="00496F48"/>
    <w:rsid w:val="0049716F"/>
    <w:rsid w:val="004971D7"/>
    <w:rsid w:val="00497427"/>
    <w:rsid w:val="004A054A"/>
    <w:rsid w:val="004A0634"/>
    <w:rsid w:val="004A0D21"/>
    <w:rsid w:val="004A0E2C"/>
    <w:rsid w:val="004A0F9A"/>
    <w:rsid w:val="004A14B8"/>
    <w:rsid w:val="004A1611"/>
    <w:rsid w:val="004A197C"/>
    <w:rsid w:val="004A1EF0"/>
    <w:rsid w:val="004A2441"/>
    <w:rsid w:val="004A24DA"/>
    <w:rsid w:val="004A2CA6"/>
    <w:rsid w:val="004A2E61"/>
    <w:rsid w:val="004A315C"/>
    <w:rsid w:val="004A3634"/>
    <w:rsid w:val="004A39C7"/>
    <w:rsid w:val="004A3A67"/>
    <w:rsid w:val="004A3B57"/>
    <w:rsid w:val="004A53D5"/>
    <w:rsid w:val="004A55BE"/>
    <w:rsid w:val="004A56E8"/>
    <w:rsid w:val="004A5EDD"/>
    <w:rsid w:val="004A6745"/>
    <w:rsid w:val="004A6B1F"/>
    <w:rsid w:val="004A6C92"/>
    <w:rsid w:val="004A742F"/>
    <w:rsid w:val="004A7871"/>
    <w:rsid w:val="004B072A"/>
    <w:rsid w:val="004B08B6"/>
    <w:rsid w:val="004B08F8"/>
    <w:rsid w:val="004B1109"/>
    <w:rsid w:val="004B1704"/>
    <w:rsid w:val="004B175E"/>
    <w:rsid w:val="004B1888"/>
    <w:rsid w:val="004B1CCE"/>
    <w:rsid w:val="004B2496"/>
    <w:rsid w:val="004B28DA"/>
    <w:rsid w:val="004B296C"/>
    <w:rsid w:val="004B29D4"/>
    <w:rsid w:val="004B2A07"/>
    <w:rsid w:val="004B2DEC"/>
    <w:rsid w:val="004B3819"/>
    <w:rsid w:val="004B3A73"/>
    <w:rsid w:val="004B40D5"/>
    <w:rsid w:val="004B45AC"/>
    <w:rsid w:val="004B4A22"/>
    <w:rsid w:val="004B4A8E"/>
    <w:rsid w:val="004B4BBB"/>
    <w:rsid w:val="004B4CEA"/>
    <w:rsid w:val="004B4FEE"/>
    <w:rsid w:val="004B500F"/>
    <w:rsid w:val="004B5104"/>
    <w:rsid w:val="004B5112"/>
    <w:rsid w:val="004B53A0"/>
    <w:rsid w:val="004B576D"/>
    <w:rsid w:val="004B5C78"/>
    <w:rsid w:val="004B5CB4"/>
    <w:rsid w:val="004B6252"/>
    <w:rsid w:val="004B6643"/>
    <w:rsid w:val="004B66C1"/>
    <w:rsid w:val="004B6E5B"/>
    <w:rsid w:val="004B6F8C"/>
    <w:rsid w:val="004B7421"/>
    <w:rsid w:val="004B74A7"/>
    <w:rsid w:val="004B7638"/>
    <w:rsid w:val="004B7F6C"/>
    <w:rsid w:val="004B7F84"/>
    <w:rsid w:val="004C0A13"/>
    <w:rsid w:val="004C0AD7"/>
    <w:rsid w:val="004C0F9F"/>
    <w:rsid w:val="004C102A"/>
    <w:rsid w:val="004C19AE"/>
    <w:rsid w:val="004C1C94"/>
    <w:rsid w:val="004C1CFE"/>
    <w:rsid w:val="004C263E"/>
    <w:rsid w:val="004C27E2"/>
    <w:rsid w:val="004C2AD5"/>
    <w:rsid w:val="004C2E44"/>
    <w:rsid w:val="004C2FD6"/>
    <w:rsid w:val="004C3563"/>
    <w:rsid w:val="004C35B9"/>
    <w:rsid w:val="004C35BE"/>
    <w:rsid w:val="004C407B"/>
    <w:rsid w:val="004C4086"/>
    <w:rsid w:val="004C41FE"/>
    <w:rsid w:val="004C4334"/>
    <w:rsid w:val="004C43A9"/>
    <w:rsid w:val="004C43FA"/>
    <w:rsid w:val="004C44CC"/>
    <w:rsid w:val="004C4C5A"/>
    <w:rsid w:val="004C4FE5"/>
    <w:rsid w:val="004C5448"/>
    <w:rsid w:val="004C56DC"/>
    <w:rsid w:val="004C585E"/>
    <w:rsid w:val="004C6333"/>
    <w:rsid w:val="004C67BA"/>
    <w:rsid w:val="004C6DEB"/>
    <w:rsid w:val="004C6ED7"/>
    <w:rsid w:val="004C7225"/>
    <w:rsid w:val="004C7443"/>
    <w:rsid w:val="004C75D1"/>
    <w:rsid w:val="004C7926"/>
    <w:rsid w:val="004D033D"/>
    <w:rsid w:val="004D033F"/>
    <w:rsid w:val="004D0B61"/>
    <w:rsid w:val="004D0BAB"/>
    <w:rsid w:val="004D0F86"/>
    <w:rsid w:val="004D23CB"/>
    <w:rsid w:val="004D2A63"/>
    <w:rsid w:val="004D2DF1"/>
    <w:rsid w:val="004D347A"/>
    <w:rsid w:val="004D38A8"/>
    <w:rsid w:val="004D43EC"/>
    <w:rsid w:val="004D4457"/>
    <w:rsid w:val="004D4676"/>
    <w:rsid w:val="004D47AD"/>
    <w:rsid w:val="004D4AF2"/>
    <w:rsid w:val="004D5310"/>
    <w:rsid w:val="004D5890"/>
    <w:rsid w:val="004D5E07"/>
    <w:rsid w:val="004D63EC"/>
    <w:rsid w:val="004D65C2"/>
    <w:rsid w:val="004D65F3"/>
    <w:rsid w:val="004D66A9"/>
    <w:rsid w:val="004D6D28"/>
    <w:rsid w:val="004D711F"/>
    <w:rsid w:val="004D7946"/>
    <w:rsid w:val="004D7A16"/>
    <w:rsid w:val="004D7DC9"/>
    <w:rsid w:val="004E0072"/>
    <w:rsid w:val="004E0356"/>
    <w:rsid w:val="004E0409"/>
    <w:rsid w:val="004E0802"/>
    <w:rsid w:val="004E0D5C"/>
    <w:rsid w:val="004E0DB7"/>
    <w:rsid w:val="004E118A"/>
    <w:rsid w:val="004E125D"/>
    <w:rsid w:val="004E1326"/>
    <w:rsid w:val="004E172D"/>
    <w:rsid w:val="004E186B"/>
    <w:rsid w:val="004E2221"/>
    <w:rsid w:val="004E2DAE"/>
    <w:rsid w:val="004E3568"/>
    <w:rsid w:val="004E3715"/>
    <w:rsid w:val="004E3D9D"/>
    <w:rsid w:val="004E4382"/>
    <w:rsid w:val="004E5331"/>
    <w:rsid w:val="004E5575"/>
    <w:rsid w:val="004E56B6"/>
    <w:rsid w:val="004E5D56"/>
    <w:rsid w:val="004E600E"/>
    <w:rsid w:val="004E6602"/>
    <w:rsid w:val="004E77B3"/>
    <w:rsid w:val="004E785F"/>
    <w:rsid w:val="004E7E0A"/>
    <w:rsid w:val="004E7EF3"/>
    <w:rsid w:val="004F00A7"/>
    <w:rsid w:val="004F04D9"/>
    <w:rsid w:val="004F06AD"/>
    <w:rsid w:val="004F0967"/>
    <w:rsid w:val="004F0C2E"/>
    <w:rsid w:val="004F0D10"/>
    <w:rsid w:val="004F0EB0"/>
    <w:rsid w:val="004F1162"/>
    <w:rsid w:val="004F1D39"/>
    <w:rsid w:val="004F1FDD"/>
    <w:rsid w:val="004F267F"/>
    <w:rsid w:val="004F2B40"/>
    <w:rsid w:val="004F2C6F"/>
    <w:rsid w:val="004F2CBC"/>
    <w:rsid w:val="004F34B7"/>
    <w:rsid w:val="004F37C2"/>
    <w:rsid w:val="004F396A"/>
    <w:rsid w:val="004F3B29"/>
    <w:rsid w:val="004F3E23"/>
    <w:rsid w:val="004F3FCF"/>
    <w:rsid w:val="004F436D"/>
    <w:rsid w:val="004F44A9"/>
    <w:rsid w:val="004F4F7A"/>
    <w:rsid w:val="004F5358"/>
    <w:rsid w:val="004F5C5D"/>
    <w:rsid w:val="004F5E57"/>
    <w:rsid w:val="004F6152"/>
    <w:rsid w:val="004F6286"/>
    <w:rsid w:val="004F636A"/>
    <w:rsid w:val="004F667D"/>
    <w:rsid w:val="004F6713"/>
    <w:rsid w:val="004F6928"/>
    <w:rsid w:val="004F69B4"/>
    <w:rsid w:val="004F71EF"/>
    <w:rsid w:val="004F7B1D"/>
    <w:rsid w:val="005000E7"/>
    <w:rsid w:val="00500336"/>
    <w:rsid w:val="005006A4"/>
    <w:rsid w:val="00500988"/>
    <w:rsid w:val="00500A9A"/>
    <w:rsid w:val="00500C66"/>
    <w:rsid w:val="00500D22"/>
    <w:rsid w:val="00500DB6"/>
    <w:rsid w:val="00500EF0"/>
    <w:rsid w:val="0050102B"/>
    <w:rsid w:val="00501D29"/>
    <w:rsid w:val="00501F33"/>
    <w:rsid w:val="00502439"/>
    <w:rsid w:val="00502A2B"/>
    <w:rsid w:val="00502F8F"/>
    <w:rsid w:val="005038B5"/>
    <w:rsid w:val="00503C56"/>
    <w:rsid w:val="00503E77"/>
    <w:rsid w:val="00504625"/>
    <w:rsid w:val="005050B4"/>
    <w:rsid w:val="005050FA"/>
    <w:rsid w:val="005052D2"/>
    <w:rsid w:val="00505452"/>
    <w:rsid w:val="00505561"/>
    <w:rsid w:val="005056F7"/>
    <w:rsid w:val="00505FC2"/>
    <w:rsid w:val="0050668A"/>
    <w:rsid w:val="00506F5B"/>
    <w:rsid w:val="00506FF7"/>
    <w:rsid w:val="0050702E"/>
    <w:rsid w:val="00507139"/>
    <w:rsid w:val="0050737A"/>
    <w:rsid w:val="005075E6"/>
    <w:rsid w:val="00507A70"/>
    <w:rsid w:val="0051039D"/>
    <w:rsid w:val="005117DD"/>
    <w:rsid w:val="00512298"/>
    <w:rsid w:val="00512ADA"/>
    <w:rsid w:val="00512E02"/>
    <w:rsid w:val="005138AA"/>
    <w:rsid w:val="00513B91"/>
    <w:rsid w:val="00513FD1"/>
    <w:rsid w:val="0051442D"/>
    <w:rsid w:val="00514B1A"/>
    <w:rsid w:val="00514D19"/>
    <w:rsid w:val="00514E57"/>
    <w:rsid w:val="00514F91"/>
    <w:rsid w:val="0051511D"/>
    <w:rsid w:val="0051556E"/>
    <w:rsid w:val="00515E54"/>
    <w:rsid w:val="00516127"/>
    <w:rsid w:val="00516938"/>
    <w:rsid w:val="00516EA1"/>
    <w:rsid w:val="00516EEC"/>
    <w:rsid w:val="00517185"/>
    <w:rsid w:val="0051727B"/>
    <w:rsid w:val="005175EC"/>
    <w:rsid w:val="005176CD"/>
    <w:rsid w:val="0052047D"/>
    <w:rsid w:val="0052056E"/>
    <w:rsid w:val="005207A1"/>
    <w:rsid w:val="00520C99"/>
    <w:rsid w:val="00520E6C"/>
    <w:rsid w:val="0052141F"/>
    <w:rsid w:val="005216D6"/>
    <w:rsid w:val="005216F7"/>
    <w:rsid w:val="00521A05"/>
    <w:rsid w:val="0052230D"/>
    <w:rsid w:val="005223D7"/>
    <w:rsid w:val="00522DB5"/>
    <w:rsid w:val="00523305"/>
    <w:rsid w:val="00523A23"/>
    <w:rsid w:val="00523A90"/>
    <w:rsid w:val="00523D46"/>
    <w:rsid w:val="00523DE5"/>
    <w:rsid w:val="00523DF2"/>
    <w:rsid w:val="00524140"/>
    <w:rsid w:val="00524C05"/>
    <w:rsid w:val="00524C3F"/>
    <w:rsid w:val="00525066"/>
    <w:rsid w:val="00525363"/>
    <w:rsid w:val="005253B4"/>
    <w:rsid w:val="0052554B"/>
    <w:rsid w:val="00525A81"/>
    <w:rsid w:val="00525A93"/>
    <w:rsid w:val="005264FC"/>
    <w:rsid w:val="0052731A"/>
    <w:rsid w:val="0052797B"/>
    <w:rsid w:val="00527A62"/>
    <w:rsid w:val="00530724"/>
    <w:rsid w:val="00530E80"/>
    <w:rsid w:val="005312D9"/>
    <w:rsid w:val="00531787"/>
    <w:rsid w:val="00531C56"/>
    <w:rsid w:val="00531F86"/>
    <w:rsid w:val="00532BD8"/>
    <w:rsid w:val="005330CC"/>
    <w:rsid w:val="00533121"/>
    <w:rsid w:val="005334F2"/>
    <w:rsid w:val="00533563"/>
    <w:rsid w:val="00533EE4"/>
    <w:rsid w:val="0053414D"/>
    <w:rsid w:val="0053438D"/>
    <w:rsid w:val="0053463C"/>
    <w:rsid w:val="0053473C"/>
    <w:rsid w:val="005347A2"/>
    <w:rsid w:val="00534AB0"/>
    <w:rsid w:val="00534F6D"/>
    <w:rsid w:val="005351D1"/>
    <w:rsid w:val="00535331"/>
    <w:rsid w:val="005356AD"/>
    <w:rsid w:val="005356D4"/>
    <w:rsid w:val="00535EB8"/>
    <w:rsid w:val="00536730"/>
    <w:rsid w:val="00536C38"/>
    <w:rsid w:val="00536F56"/>
    <w:rsid w:val="00537457"/>
    <w:rsid w:val="005377C6"/>
    <w:rsid w:val="00537C69"/>
    <w:rsid w:val="00537DB1"/>
    <w:rsid w:val="00540C9D"/>
    <w:rsid w:val="00540E91"/>
    <w:rsid w:val="005419B8"/>
    <w:rsid w:val="00541A96"/>
    <w:rsid w:val="00541AAA"/>
    <w:rsid w:val="00541D25"/>
    <w:rsid w:val="00542C76"/>
    <w:rsid w:val="00543528"/>
    <w:rsid w:val="00543B09"/>
    <w:rsid w:val="00543DA3"/>
    <w:rsid w:val="005440D8"/>
    <w:rsid w:val="005443CB"/>
    <w:rsid w:val="0054498C"/>
    <w:rsid w:val="00544C52"/>
    <w:rsid w:val="00544EFC"/>
    <w:rsid w:val="005452F0"/>
    <w:rsid w:val="0054551A"/>
    <w:rsid w:val="00545A58"/>
    <w:rsid w:val="00545CC4"/>
    <w:rsid w:val="00545F40"/>
    <w:rsid w:val="00546119"/>
    <w:rsid w:val="005461D7"/>
    <w:rsid w:val="0054629A"/>
    <w:rsid w:val="00546AD4"/>
    <w:rsid w:val="00546C74"/>
    <w:rsid w:val="00546D83"/>
    <w:rsid w:val="00546FF8"/>
    <w:rsid w:val="005470D6"/>
    <w:rsid w:val="0054736E"/>
    <w:rsid w:val="00547734"/>
    <w:rsid w:val="00547BBB"/>
    <w:rsid w:val="005501B7"/>
    <w:rsid w:val="005502FE"/>
    <w:rsid w:val="00550686"/>
    <w:rsid w:val="00550AB8"/>
    <w:rsid w:val="0055133D"/>
    <w:rsid w:val="0055134E"/>
    <w:rsid w:val="00551F34"/>
    <w:rsid w:val="00551F48"/>
    <w:rsid w:val="0055219A"/>
    <w:rsid w:val="005522E7"/>
    <w:rsid w:val="005523B9"/>
    <w:rsid w:val="00552748"/>
    <w:rsid w:val="00552EE5"/>
    <w:rsid w:val="00554CDB"/>
    <w:rsid w:val="00555B38"/>
    <w:rsid w:val="00555B9A"/>
    <w:rsid w:val="00555FF6"/>
    <w:rsid w:val="005560C3"/>
    <w:rsid w:val="005564DB"/>
    <w:rsid w:val="0055691C"/>
    <w:rsid w:val="0055773C"/>
    <w:rsid w:val="0055795F"/>
    <w:rsid w:val="00557B09"/>
    <w:rsid w:val="00557CC9"/>
    <w:rsid w:val="00557D8E"/>
    <w:rsid w:val="00560119"/>
    <w:rsid w:val="005606DA"/>
    <w:rsid w:val="00560C4B"/>
    <w:rsid w:val="00560E6E"/>
    <w:rsid w:val="005613B0"/>
    <w:rsid w:val="005618C6"/>
    <w:rsid w:val="00561E85"/>
    <w:rsid w:val="0056272E"/>
    <w:rsid w:val="005629F9"/>
    <w:rsid w:val="00562C2C"/>
    <w:rsid w:val="0056307C"/>
    <w:rsid w:val="005632C1"/>
    <w:rsid w:val="005636D4"/>
    <w:rsid w:val="005639BE"/>
    <w:rsid w:val="00563F69"/>
    <w:rsid w:val="00564076"/>
    <w:rsid w:val="005640C5"/>
    <w:rsid w:val="00564223"/>
    <w:rsid w:val="00564AC1"/>
    <w:rsid w:val="00565770"/>
    <w:rsid w:val="00565936"/>
    <w:rsid w:val="00565C04"/>
    <w:rsid w:val="00565D15"/>
    <w:rsid w:val="005666D5"/>
    <w:rsid w:val="005667E3"/>
    <w:rsid w:val="00566E51"/>
    <w:rsid w:val="005671BD"/>
    <w:rsid w:val="00570199"/>
    <w:rsid w:val="00570223"/>
    <w:rsid w:val="00570253"/>
    <w:rsid w:val="005702D4"/>
    <w:rsid w:val="00570317"/>
    <w:rsid w:val="00570736"/>
    <w:rsid w:val="005709E5"/>
    <w:rsid w:val="00570A17"/>
    <w:rsid w:val="00570EC8"/>
    <w:rsid w:val="00571281"/>
    <w:rsid w:val="00571778"/>
    <w:rsid w:val="005718AD"/>
    <w:rsid w:val="0057276A"/>
    <w:rsid w:val="00572855"/>
    <w:rsid w:val="00572C34"/>
    <w:rsid w:val="00572E59"/>
    <w:rsid w:val="005737CA"/>
    <w:rsid w:val="00573DC7"/>
    <w:rsid w:val="005740A8"/>
    <w:rsid w:val="00574D9B"/>
    <w:rsid w:val="00575778"/>
    <w:rsid w:val="00575CD6"/>
    <w:rsid w:val="00575D80"/>
    <w:rsid w:val="005760BF"/>
    <w:rsid w:val="00576200"/>
    <w:rsid w:val="005770DE"/>
    <w:rsid w:val="00580164"/>
    <w:rsid w:val="00580216"/>
    <w:rsid w:val="005808F2"/>
    <w:rsid w:val="005809CC"/>
    <w:rsid w:val="00580C79"/>
    <w:rsid w:val="00580DC8"/>
    <w:rsid w:val="00580FDD"/>
    <w:rsid w:val="005828EC"/>
    <w:rsid w:val="00582960"/>
    <w:rsid w:val="00582A9D"/>
    <w:rsid w:val="00582D39"/>
    <w:rsid w:val="00583287"/>
    <w:rsid w:val="005836F4"/>
    <w:rsid w:val="0058393E"/>
    <w:rsid w:val="00583AAB"/>
    <w:rsid w:val="00583B61"/>
    <w:rsid w:val="00584170"/>
    <w:rsid w:val="00584537"/>
    <w:rsid w:val="00584769"/>
    <w:rsid w:val="005854B7"/>
    <w:rsid w:val="0058555E"/>
    <w:rsid w:val="005855C6"/>
    <w:rsid w:val="0058589F"/>
    <w:rsid w:val="00585C55"/>
    <w:rsid w:val="00586189"/>
    <w:rsid w:val="00586526"/>
    <w:rsid w:val="005865F4"/>
    <w:rsid w:val="005868D7"/>
    <w:rsid w:val="00586C7B"/>
    <w:rsid w:val="00586EC5"/>
    <w:rsid w:val="005878F5"/>
    <w:rsid w:val="005879F5"/>
    <w:rsid w:val="00587E1D"/>
    <w:rsid w:val="00587FC2"/>
    <w:rsid w:val="005903D1"/>
    <w:rsid w:val="005904EF"/>
    <w:rsid w:val="00590576"/>
    <w:rsid w:val="00590A6F"/>
    <w:rsid w:val="005912AD"/>
    <w:rsid w:val="005912F5"/>
    <w:rsid w:val="00591427"/>
    <w:rsid w:val="00591B6F"/>
    <w:rsid w:val="00591C8C"/>
    <w:rsid w:val="00591EEC"/>
    <w:rsid w:val="0059218A"/>
    <w:rsid w:val="00593120"/>
    <w:rsid w:val="0059354A"/>
    <w:rsid w:val="00593B89"/>
    <w:rsid w:val="00594038"/>
    <w:rsid w:val="00594350"/>
    <w:rsid w:val="00594CB5"/>
    <w:rsid w:val="00594E38"/>
    <w:rsid w:val="0059534B"/>
    <w:rsid w:val="005959B7"/>
    <w:rsid w:val="005961A1"/>
    <w:rsid w:val="00596A63"/>
    <w:rsid w:val="005970C6"/>
    <w:rsid w:val="005976B1"/>
    <w:rsid w:val="005A02AB"/>
    <w:rsid w:val="005A02CE"/>
    <w:rsid w:val="005A03AA"/>
    <w:rsid w:val="005A0613"/>
    <w:rsid w:val="005A0651"/>
    <w:rsid w:val="005A0780"/>
    <w:rsid w:val="005A0B5D"/>
    <w:rsid w:val="005A115F"/>
    <w:rsid w:val="005A1413"/>
    <w:rsid w:val="005A1B4E"/>
    <w:rsid w:val="005A200E"/>
    <w:rsid w:val="005A28E1"/>
    <w:rsid w:val="005A29AE"/>
    <w:rsid w:val="005A2C68"/>
    <w:rsid w:val="005A2EC5"/>
    <w:rsid w:val="005A3212"/>
    <w:rsid w:val="005A36A3"/>
    <w:rsid w:val="005A4CE5"/>
    <w:rsid w:val="005A4DFC"/>
    <w:rsid w:val="005A4EFA"/>
    <w:rsid w:val="005A50A9"/>
    <w:rsid w:val="005A5EBE"/>
    <w:rsid w:val="005A6113"/>
    <w:rsid w:val="005A629C"/>
    <w:rsid w:val="005A663D"/>
    <w:rsid w:val="005A6C83"/>
    <w:rsid w:val="005A7540"/>
    <w:rsid w:val="005A78B0"/>
    <w:rsid w:val="005A7AFF"/>
    <w:rsid w:val="005A7C7E"/>
    <w:rsid w:val="005A7C89"/>
    <w:rsid w:val="005B06A2"/>
    <w:rsid w:val="005B06FD"/>
    <w:rsid w:val="005B0BCA"/>
    <w:rsid w:val="005B1077"/>
    <w:rsid w:val="005B1BD5"/>
    <w:rsid w:val="005B1EB7"/>
    <w:rsid w:val="005B1ECD"/>
    <w:rsid w:val="005B1ED2"/>
    <w:rsid w:val="005B2625"/>
    <w:rsid w:val="005B26C5"/>
    <w:rsid w:val="005B3194"/>
    <w:rsid w:val="005B33E1"/>
    <w:rsid w:val="005B361B"/>
    <w:rsid w:val="005B3772"/>
    <w:rsid w:val="005B3B8D"/>
    <w:rsid w:val="005B4035"/>
    <w:rsid w:val="005B4486"/>
    <w:rsid w:val="005B64AE"/>
    <w:rsid w:val="005B6859"/>
    <w:rsid w:val="005B6F35"/>
    <w:rsid w:val="005B72C8"/>
    <w:rsid w:val="005B7328"/>
    <w:rsid w:val="005B73DC"/>
    <w:rsid w:val="005C042B"/>
    <w:rsid w:val="005C0500"/>
    <w:rsid w:val="005C0650"/>
    <w:rsid w:val="005C09AB"/>
    <w:rsid w:val="005C11F2"/>
    <w:rsid w:val="005C17C1"/>
    <w:rsid w:val="005C18FA"/>
    <w:rsid w:val="005C1F17"/>
    <w:rsid w:val="005C2031"/>
    <w:rsid w:val="005C2306"/>
    <w:rsid w:val="005C239D"/>
    <w:rsid w:val="005C23A6"/>
    <w:rsid w:val="005C267C"/>
    <w:rsid w:val="005C2A7A"/>
    <w:rsid w:val="005C3091"/>
    <w:rsid w:val="005C36FC"/>
    <w:rsid w:val="005C3818"/>
    <w:rsid w:val="005C3DF9"/>
    <w:rsid w:val="005C40D0"/>
    <w:rsid w:val="005C48B1"/>
    <w:rsid w:val="005C49BC"/>
    <w:rsid w:val="005C4F2B"/>
    <w:rsid w:val="005C4FAC"/>
    <w:rsid w:val="005C5170"/>
    <w:rsid w:val="005C5283"/>
    <w:rsid w:val="005C59F0"/>
    <w:rsid w:val="005C62A6"/>
    <w:rsid w:val="005C672B"/>
    <w:rsid w:val="005C6842"/>
    <w:rsid w:val="005C6A0C"/>
    <w:rsid w:val="005C6D1B"/>
    <w:rsid w:val="005C75C7"/>
    <w:rsid w:val="005C76E2"/>
    <w:rsid w:val="005C7F37"/>
    <w:rsid w:val="005D00D2"/>
    <w:rsid w:val="005D0295"/>
    <w:rsid w:val="005D02ED"/>
    <w:rsid w:val="005D04A1"/>
    <w:rsid w:val="005D0864"/>
    <w:rsid w:val="005D09F0"/>
    <w:rsid w:val="005D145A"/>
    <w:rsid w:val="005D201E"/>
    <w:rsid w:val="005D23EB"/>
    <w:rsid w:val="005D2A96"/>
    <w:rsid w:val="005D2DAA"/>
    <w:rsid w:val="005D2EEF"/>
    <w:rsid w:val="005D33CD"/>
    <w:rsid w:val="005D354E"/>
    <w:rsid w:val="005D37B4"/>
    <w:rsid w:val="005D3803"/>
    <w:rsid w:val="005D3AFE"/>
    <w:rsid w:val="005D4F80"/>
    <w:rsid w:val="005D5684"/>
    <w:rsid w:val="005D59CE"/>
    <w:rsid w:val="005D6635"/>
    <w:rsid w:val="005D6662"/>
    <w:rsid w:val="005D6755"/>
    <w:rsid w:val="005D6A7A"/>
    <w:rsid w:val="005D6BC9"/>
    <w:rsid w:val="005D7516"/>
    <w:rsid w:val="005D77D8"/>
    <w:rsid w:val="005D796F"/>
    <w:rsid w:val="005D7A5F"/>
    <w:rsid w:val="005E004B"/>
    <w:rsid w:val="005E0212"/>
    <w:rsid w:val="005E0B44"/>
    <w:rsid w:val="005E128C"/>
    <w:rsid w:val="005E17D3"/>
    <w:rsid w:val="005E1A28"/>
    <w:rsid w:val="005E22F8"/>
    <w:rsid w:val="005E2506"/>
    <w:rsid w:val="005E2805"/>
    <w:rsid w:val="005E2CC2"/>
    <w:rsid w:val="005E31FE"/>
    <w:rsid w:val="005E3331"/>
    <w:rsid w:val="005E3650"/>
    <w:rsid w:val="005E37B9"/>
    <w:rsid w:val="005E3D7B"/>
    <w:rsid w:val="005E427A"/>
    <w:rsid w:val="005E45B4"/>
    <w:rsid w:val="005E46D0"/>
    <w:rsid w:val="005E48DE"/>
    <w:rsid w:val="005E4FD9"/>
    <w:rsid w:val="005E52C8"/>
    <w:rsid w:val="005E5710"/>
    <w:rsid w:val="005E58EF"/>
    <w:rsid w:val="005E5E53"/>
    <w:rsid w:val="005E6353"/>
    <w:rsid w:val="005E67E6"/>
    <w:rsid w:val="005E69C8"/>
    <w:rsid w:val="005E6AF3"/>
    <w:rsid w:val="005E7049"/>
    <w:rsid w:val="005E7202"/>
    <w:rsid w:val="005E72A3"/>
    <w:rsid w:val="005E73EA"/>
    <w:rsid w:val="005E7AA5"/>
    <w:rsid w:val="005E7B9F"/>
    <w:rsid w:val="005E7BBB"/>
    <w:rsid w:val="005E7D18"/>
    <w:rsid w:val="005F0348"/>
    <w:rsid w:val="005F0F74"/>
    <w:rsid w:val="005F120D"/>
    <w:rsid w:val="005F13F3"/>
    <w:rsid w:val="005F143B"/>
    <w:rsid w:val="005F14EB"/>
    <w:rsid w:val="005F1D62"/>
    <w:rsid w:val="005F1F27"/>
    <w:rsid w:val="005F22A8"/>
    <w:rsid w:val="005F2394"/>
    <w:rsid w:val="005F29DD"/>
    <w:rsid w:val="005F2AF1"/>
    <w:rsid w:val="005F2C7A"/>
    <w:rsid w:val="005F3395"/>
    <w:rsid w:val="005F34BD"/>
    <w:rsid w:val="005F3935"/>
    <w:rsid w:val="005F4363"/>
    <w:rsid w:val="005F43F0"/>
    <w:rsid w:val="005F471F"/>
    <w:rsid w:val="005F473A"/>
    <w:rsid w:val="005F5578"/>
    <w:rsid w:val="005F5692"/>
    <w:rsid w:val="005F5A08"/>
    <w:rsid w:val="005F5C89"/>
    <w:rsid w:val="005F6330"/>
    <w:rsid w:val="005F64B0"/>
    <w:rsid w:val="006002E6"/>
    <w:rsid w:val="00600810"/>
    <w:rsid w:val="00600F96"/>
    <w:rsid w:val="0060113A"/>
    <w:rsid w:val="00601550"/>
    <w:rsid w:val="00601771"/>
    <w:rsid w:val="006019B8"/>
    <w:rsid w:val="00601C84"/>
    <w:rsid w:val="00602EFF"/>
    <w:rsid w:val="00603033"/>
    <w:rsid w:val="006030C2"/>
    <w:rsid w:val="0060310C"/>
    <w:rsid w:val="0060361B"/>
    <w:rsid w:val="0060390F"/>
    <w:rsid w:val="0060395B"/>
    <w:rsid w:val="006039EC"/>
    <w:rsid w:val="00603D36"/>
    <w:rsid w:val="00603E18"/>
    <w:rsid w:val="00603F5A"/>
    <w:rsid w:val="00604D93"/>
    <w:rsid w:val="00605A3D"/>
    <w:rsid w:val="006064EA"/>
    <w:rsid w:val="00606AE0"/>
    <w:rsid w:val="0060719E"/>
    <w:rsid w:val="006075C1"/>
    <w:rsid w:val="006101A2"/>
    <w:rsid w:val="00611226"/>
    <w:rsid w:val="0061168D"/>
    <w:rsid w:val="00611D9C"/>
    <w:rsid w:val="006126A4"/>
    <w:rsid w:val="006127C5"/>
    <w:rsid w:val="00612955"/>
    <w:rsid w:val="006136C5"/>
    <w:rsid w:val="00613A69"/>
    <w:rsid w:val="00613BD7"/>
    <w:rsid w:val="00613C78"/>
    <w:rsid w:val="00613FDC"/>
    <w:rsid w:val="0061401D"/>
    <w:rsid w:val="00614729"/>
    <w:rsid w:val="00615077"/>
    <w:rsid w:val="00615089"/>
    <w:rsid w:val="006152BD"/>
    <w:rsid w:val="0061534B"/>
    <w:rsid w:val="006153D0"/>
    <w:rsid w:val="0061564A"/>
    <w:rsid w:val="00615B22"/>
    <w:rsid w:val="006160DB"/>
    <w:rsid w:val="00616A9C"/>
    <w:rsid w:val="00620537"/>
    <w:rsid w:val="00620622"/>
    <w:rsid w:val="00620D84"/>
    <w:rsid w:val="006210E3"/>
    <w:rsid w:val="0062202C"/>
    <w:rsid w:val="00622BBE"/>
    <w:rsid w:val="00622BC5"/>
    <w:rsid w:val="006236D1"/>
    <w:rsid w:val="00623E50"/>
    <w:rsid w:val="00623EF3"/>
    <w:rsid w:val="006244AB"/>
    <w:rsid w:val="00624F8B"/>
    <w:rsid w:val="00624F98"/>
    <w:rsid w:val="00625085"/>
    <w:rsid w:val="006257D6"/>
    <w:rsid w:val="00625A27"/>
    <w:rsid w:val="00625B20"/>
    <w:rsid w:val="00625D8E"/>
    <w:rsid w:val="00625ED4"/>
    <w:rsid w:val="006260E0"/>
    <w:rsid w:val="006267A2"/>
    <w:rsid w:val="00626FB5"/>
    <w:rsid w:val="006273DD"/>
    <w:rsid w:val="00627789"/>
    <w:rsid w:val="00627C46"/>
    <w:rsid w:val="006300CF"/>
    <w:rsid w:val="006300D3"/>
    <w:rsid w:val="00630487"/>
    <w:rsid w:val="00630B12"/>
    <w:rsid w:val="00630C1F"/>
    <w:rsid w:val="006310DC"/>
    <w:rsid w:val="00631F05"/>
    <w:rsid w:val="00632143"/>
    <w:rsid w:val="00632333"/>
    <w:rsid w:val="00633526"/>
    <w:rsid w:val="00633962"/>
    <w:rsid w:val="00633D97"/>
    <w:rsid w:val="0063446B"/>
    <w:rsid w:val="0063490E"/>
    <w:rsid w:val="00635100"/>
    <w:rsid w:val="00635183"/>
    <w:rsid w:val="006354AC"/>
    <w:rsid w:val="0063569F"/>
    <w:rsid w:val="00635BDF"/>
    <w:rsid w:val="0063607F"/>
    <w:rsid w:val="006369F1"/>
    <w:rsid w:val="00636B1C"/>
    <w:rsid w:val="00636D8A"/>
    <w:rsid w:val="00636DF2"/>
    <w:rsid w:val="006376D0"/>
    <w:rsid w:val="00637EB4"/>
    <w:rsid w:val="00640C2E"/>
    <w:rsid w:val="00641169"/>
    <w:rsid w:val="00641449"/>
    <w:rsid w:val="0064188E"/>
    <w:rsid w:val="006418E3"/>
    <w:rsid w:val="00641F9B"/>
    <w:rsid w:val="00642354"/>
    <w:rsid w:val="006423A2"/>
    <w:rsid w:val="006423AA"/>
    <w:rsid w:val="00642748"/>
    <w:rsid w:val="006436E0"/>
    <w:rsid w:val="006437DA"/>
    <w:rsid w:val="00643D43"/>
    <w:rsid w:val="0064464F"/>
    <w:rsid w:val="006449E1"/>
    <w:rsid w:val="0064515B"/>
    <w:rsid w:val="006453D7"/>
    <w:rsid w:val="006453F7"/>
    <w:rsid w:val="00645495"/>
    <w:rsid w:val="00645662"/>
    <w:rsid w:val="00646E87"/>
    <w:rsid w:val="00646FB8"/>
    <w:rsid w:val="006470C2"/>
    <w:rsid w:val="006475AE"/>
    <w:rsid w:val="00647D95"/>
    <w:rsid w:val="00647E90"/>
    <w:rsid w:val="00647F2C"/>
    <w:rsid w:val="00647F58"/>
    <w:rsid w:val="00650195"/>
    <w:rsid w:val="0065028A"/>
    <w:rsid w:val="006504D8"/>
    <w:rsid w:val="00650678"/>
    <w:rsid w:val="006512D7"/>
    <w:rsid w:val="0065177B"/>
    <w:rsid w:val="00651781"/>
    <w:rsid w:val="00652643"/>
    <w:rsid w:val="00652646"/>
    <w:rsid w:val="00652672"/>
    <w:rsid w:val="006527A6"/>
    <w:rsid w:val="006528E0"/>
    <w:rsid w:val="0065308B"/>
    <w:rsid w:val="0065335B"/>
    <w:rsid w:val="00653B98"/>
    <w:rsid w:val="00653CF1"/>
    <w:rsid w:val="006541AE"/>
    <w:rsid w:val="0065468E"/>
    <w:rsid w:val="00654C75"/>
    <w:rsid w:val="00654E64"/>
    <w:rsid w:val="0065516F"/>
    <w:rsid w:val="0065592A"/>
    <w:rsid w:val="00655D22"/>
    <w:rsid w:val="00655E58"/>
    <w:rsid w:val="00656BA5"/>
    <w:rsid w:val="0065717F"/>
    <w:rsid w:val="00657CB1"/>
    <w:rsid w:val="00657F2F"/>
    <w:rsid w:val="00660043"/>
    <w:rsid w:val="00660426"/>
    <w:rsid w:val="00660A55"/>
    <w:rsid w:val="00660BF8"/>
    <w:rsid w:val="00660C35"/>
    <w:rsid w:val="0066101E"/>
    <w:rsid w:val="00661131"/>
    <w:rsid w:val="00661356"/>
    <w:rsid w:val="006618F9"/>
    <w:rsid w:val="006619B5"/>
    <w:rsid w:val="006620B2"/>
    <w:rsid w:val="006623E7"/>
    <w:rsid w:val="006627D3"/>
    <w:rsid w:val="006628C5"/>
    <w:rsid w:val="00662BFA"/>
    <w:rsid w:val="006632C0"/>
    <w:rsid w:val="00663344"/>
    <w:rsid w:val="00663477"/>
    <w:rsid w:val="006637EA"/>
    <w:rsid w:val="00663988"/>
    <w:rsid w:val="006639C9"/>
    <w:rsid w:val="00663DB0"/>
    <w:rsid w:val="0066400B"/>
    <w:rsid w:val="0066440C"/>
    <w:rsid w:val="006646E8"/>
    <w:rsid w:val="00665101"/>
    <w:rsid w:val="0066562E"/>
    <w:rsid w:val="0066588E"/>
    <w:rsid w:val="00665D43"/>
    <w:rsid w:val="0066623A"/>
    <w:rsid w:val="00666507"/>
    <w:rsid w:val="006665F1"/>
    <w:rsid w:val="00666839"/>
    <w:rsid w:val="006672BC"/>
    <w:rsid w:val="0066741D"/>
    <w:rsid w:val="006674C5"/>
    <w:rsid w:val="006675A4"/>
    <w:rsid w:val="006676F6"/>
    <w:rsid w:val="00667E63"/>
    <w:rsid w:val="0067033C"/>
    <w:rsid w:val="0067051E"/>
    <w:rsid w:val="00670B3C"/>
    <w:rsid w:val="0067101F"/>
    <w:rsid w:val="00671A90"/>
    <w:rsid w:val="00671CB1"/>
    <w:rsid w:val="00671DC5"/>
    <w:rsid w:val="00672099"/>
    <w:rsid w:val="00672AA7"/>
    <w:rsid w:val="00673298"/>
    <w:rsid w:val="006737BF"/>
    <w:rsid w:val="00673C60"/>
    <w:rsid w:val="00674603"/>
    <w:rsid w:val="00674722"/>
    <w:rsid w:val="00674AEA"/>
    <w:rsid w:val="00674B21"/>
    <w:rsid w:val="00674EBA"/>
    <w:rsid w:val="00675682"/>
    <w:rsid w:val="006756DF"/>
    <w:rsid w:val="00675BC9"/>
    <w:rsid w:val="00676937"/>
    <w:rsid w:val="006769DF"/>
    <w:rsid w:val="00676B03"/>
    <w:rsid w:val="00676CAC"/>
    <w:rsid w:val="00677265"/>
    <w:rsid w:val="006773E1"/>
    <w:rsid w:val="00677423"/>
    <w:rsid w:val="006774C6"/>
    <w:rsid w:val="00677653"/>
    <w:rsid w:val="00677953"/>
    <w:rsid w:val="00680448"/>
    <w:rsid w:val="0068056E"/>
    <w:rsid w:val="00680E9E"/>
    <w:rsid w:val="00681490"/>
    <w:rsid w:val="00681998"/>
    <w:rsid w:val="00681C54"/>
    <w:rsid w:val="00681FAB"/>
    <w:rsid w:val="006820EA"/>
    <w:rsid w:val="006821FF"/>
    <w:rsid w:val="00682555"/>
    <w:rsid w:val="00682927"/>
    <w:rsid w:val="00683561"/>
    <w:rsid w:val="0068404A"/>
    <w:rsid w:val="00685089"/>
    <w:rsid w:val="006850D1"/>
    <w:rsid w:val="00685206"/>
    <w:rsid w:val="006854B5"/>
    <w:rsid w:val="00685E0C"/>
    <w:rsid w:val="00685E7D"/>
    <w:rsid w:val="00685EC9"/>
    <w:rsid w:val="00686653"/>
    <w:rsid w:val="00686DB8"/>
    <w:rsid w:val="00687408"/>
    <w:rsid w:val="006875F5"/>
    <w:rsid w:val="00687AD2"/>
    <w:rsid w:val="00687C3A"/>
    <w:rsid w:val="00687C88"/>
    <w:rsid w:val="00687E7A"/>
    <w:rsid w:val="00690690"/>
    <w:rsid w:val="00690AF0"/>
    <w:rsid w:val="00690F36"/>
    <w:rsid w:val="00691999"/>
    <w:rsid w:val="006919B4"/>
    <w:rsid w:val="00691C80"/>
    <w:rsid w:val="00692503"/>
    <w:rsid w:val="0069254B"/>
    <w:rsid w:val="0069267F"/>
    <w:rsid w:val="006929F1"/>
    <w:rsid w:val="0069353F"/>
    <w:rsid w:val="006936FD"/>
    <w:rsid w:val="00693714"/>
    <w:rsid w:val="006937DF"/>
    <w:rsid w:val="006939E4"/>
    <w:rsid w:val="00693CFB"/>
    <w:rsid w:val="006940D3"/>
    <w:rsid w:val="00694108"/>
    <w:rsid w:val="00694DBA"/>
    <w:rsid w:val="0069551A"/>
    <w:rsid w:val="00695A33"/>
    <w:rsid w:val="00696153"/>
    <w:rsid w:val="006969A0"/>
    <w:rsid w:val="00696D9B"/>
    <w:rsid w:val="00697167"/>
    <w:rsid w:val="00697D6F"/>
    <w:rsid w:val="00697DF6"/>
    <w:rsid w:val="006A02EB"/>
    <w:rsid w:val="006A0343"/>
    <w:rsid w:val="006A0C95"/>
    <w:rsid w:val="006A0F5E"/>
    <w:rsid w:val="006A126A"/>
    <w:rsid w:val="006A14F7"/>
    <w:rsid w:val="006A1776"/>
    <w:rsid w:val="006A1CE8"/>
    <w:rsid w:val="006A1FC6"/>
    <w:rsid w:val="006A3032"/>
    <w:rsid w:val="006A3127"/>
    <w:rsid w:val="006A372E"/>
    <w:rsid w:val="006A39AA"/>
    <w:rsid w:val="006A39FB"/>
    <w:rsid w:val="006A4807"/>
    <w:rsid w:val="006A484B"/>
    <w:rsid w:val="006A4F15"/>
    <w:rsid w:val="006A5188"/>
    <w:rsid w:val="006A542A"/>
    <w:rsid w:val="006A55B1"/>
    <w:rsid w:val="006A58E9"/>
    <w:rsid w:val="006A6953"/>
    <w:rsid w:val="006A710F"/>
    <w:rsid w:val="006A7739"/>
    <w:rsid w:val="006A797E"/>
    <w:rsid w:val="006A7DDA"/>
    <w:rsid w:val="006B0015"/>
    <w:rsid w:val="006B042C"/>
    <w:rsid w:val="006B0960"/>
    <w:rsid w:val="006B1076"/>
    <w:rsid w:val="006B15F7"/>
    <w:rsid w:val="006B1F01"/>
    <w:rsid w:val="006B21BA"/>
    <w:rsid w:val="006B27C4"/>
    <w:rsid w:val="006B29A5"/>
    <w:rsid w:val="006B2C06"/>
    <w:rsid w:val="006B2CF1"/>
    <w:rsid w:val="006B2F84"/>
    <w:rsid w:val="006B3A22"/>
    <w:rsid w:val="006B5721"/>
    <w:rsid w:val="006B5C7E"/>
    <w:rsid w:val="006B5D34"/>
    <w:rsid w:val="006B66CC"/>
    <w:rsid w:val="006B66D4"/>
    <w:rsid w:val="006B6786"/>
    <w:rsid w:val="006B6DE1"/>
    <w:rsid w:val="006B7372"/>
    <w:rsid w:val="006B76BE"/>
    <w:rsid w:val="006B777D"/>
    <w:rsid w:val="006B7CA5"/>
    <w:rsid w:val="006B7ED9"/>
    <w:rsid w:val="006C089B"/>
    <w:rsid w:val="006C116B"/>
    <w:rsid w:val="006C181A"/>
    <w:rsid w:val="006C1A12"/>
    <w:rsid w:val="006C1E90"/>
    <w:rsid w:val="006C1F38"/>
    <w:rsid w:val="006C1FB7"/>
    <w:rsid w:val="006C2404"/>
    <w:rsid w:val="006C2493"/>
    <w:rsid w:val="006C2B40"/>
    <w:rsid w:val="006C2B90"/>
    <w:rsid w:val="006C2B99"/>
    <w:rsid w:val="006C2F21"/>
    <w:rsid w:val="006C2F25"/>
    <w:rsid w:val="006C3039"/>
    <w:rsid w:val="006C3B29"/>
    <w:rsid w:val="006C3FF3"/>
    <w:rsid w:val="006C45E9"/>
    <w:rsid w:val="006C466A"/>
    <w:rsid w:val="006C49F2"/>
    <w:rsid w:val="006C50A6"/>
    <w:rsid w:val="006C5166"/>
    <w:rsid w:val="006C54E4"/>
    <w:rsid w:val="006C56A2"/>
    <w:rsid w:val="006C5F38"/>
    <w:rsid w:val="006C63DF"/>
    <w:rsid w:val="006C68EF"/>
    <w:rsid w:val="006C7162"/>
    <w:rsid w:val="006C7703"/>
    <w:rsid w:val="006C7EDD"/>
    <w:rsid w:val="006D026A"/>
    <w:rsid w:val="006D02D0"/>
    <w:rsid w:val="006D047D"/>
    <w:rsid w:val="006D116F"/>
    <w:rsid w:val="006D1216"/>
    <w:rsid w:val="006D15AD"/>
    <w:rsid w:val="006D1AB0"/>
    <w:rsid w:val="006D1BEC"/>
    <w:rsid w:val="006D1CE9"/>
    <w:rsid w:val="006D1ED8"/>
    <w:rsid w:val="006D215C"/>
    <w:rsid w:val="006D2267"/>
    <w:rsid w:val="006D22FF"/>
    <w:rsid w:val="006D2712"/>
    <w:rsid w:val="006D2AB8"/>
    <w:rsid w:val="006D3191"/>
    <w:rsid w:val="006D3439"/>
    <w:rsid w:val="006D3FBE"/>
    <w:rsid w:val="006D4457"/>
    <w:rsid w:val="006D4746"/>
    <w:rsid w:val="006D49B9"/>
    <w:rsid w:val="006D4D7F"/>
    <w:rsid w:val="006D521C"/>
    <w:rsid w:val="006D539B"/>
    <w:rsid w:val="006D5BD4"/>
    <w:rsid w:val="006D612D"/>
    <w:rsid w:val="006D6445"/>
    <w:rsid w:val="006D69A8"/>
    <w:rsid w:val="006D7205"/>
    <w:rsid w:val="006D75C4"/>
    <w:rsid w:val="006D7D10"/>
    <w:rsid w:val="006E0127"/>
    <w:rsid w:val="006E06ED"/>
    <w:rsid w:val="006E0AD9"/>
    <w:rsid w:val="006E0ECC"/>
    <w:rsid w:val="006E1163"/>
    <w:rsid w:val="006E122C"/>
    <w:rsid w:val="006E1322"/>
    <w:rsid w:val="006E1CFD"/>
    <w:rsid w:val="006E25FE"/>
    <w:rsid w:val="006E362C"/>
    <w:rsid w:val="006E3677"/>
    <w:rsid w:val="006E3A3A"/>
    <w:rsid w:val="006E3E89"/>
    <w:rsid w:val="006E4535"/>
    <w:rsid w:val="006E48D1"/>
    <w:rsid w:val="006E5080"/>
    <w:rsid w:val="006E5F33"/>
    <w:rsid w:val="006E5F56"/>
    <w:rsid w:val="006E60BA"/>
    <w:rsid w:val="006E6AB3"/>
    <w:rsid w:val="006E710D"/>
    <w:rsid w:val="006E7651"/>
    <w:rsid w:val="006E7E8F"/>
    <w:rsid w:val="006E7F3D"/>
    <w:rsid w:val="006F088C"/>
    <w:rsid w:val="006F0E90"/>
    <w:rsid w:val="006F213B"/>
    <w:rsid w:val="006F23D6"/>
    <w:rsid w:val="006F2428"/>
    <w:rsid w:val="006F249C"/>
    <w:rsid w:val="006F26D0"/>
    <w:rsid w:val="006F26E8"/>
    <w:rsid w:val="006F2C14"/>
    <w:rsid w:val="006F2C83"/>
    <w:rsid w:val="006F2C88"/>
    <w:rsid w:val="006F2EA9"/>
    <w:rsid w:val="006F2F01"/>
    <w:rsid w:val="006F2F1E"/>
    <w:rsid w:val="006F31E5"/>
    <w:rsid w:val="006F34C3"/>
    <w:rsid w:val="006F35ED"/>
    <w:rsid w:val="006F35F0"/>
    <w:rsid w:val="006F4546"/>
    <w:rsid w:val="006F4774"/>
    <w:rsid w:val="006F55AA"/>
    <w:rsid w:val="006F5C97"/>
    <w:rsid w:val="006F5F9A"/>
    <w:rsid w:val="006F6441"/>
    <w:rsid w:val="006F6755"/>
    <w:rsid w:val="006F69ED"/>
    <w:rsid w:val="006F7A1F"/>
    <w:rsid w:val="00700961"/>
    <w:rsid w:val="00700C15"/>
    <w:rsid w:val="0070160E"/>
    <w:rsid w:val="00702A67"/>
    <w:rsid w:val="00702D14"/>
    <w:rsid w:val="00702F3A"/>
    <w:rsid w:val="00703844"/>
    <w:rsid w:val="007042E5"/>
    <w:rsid w:val="00704634"/>
    <w:rsid w:val="00704707"/>
    <w:rsid w:val="0070481C"/>
    <w:rsid w:val="0070483C"/>
    <w:rsid w:val="00704B07"/>
    <w:rsid w:val="00704E9F"/>
    <w:rsid w:val="00704F97"/>
    <w:rsid w:val="00705055"/>
    <w:rsid w:val="007054C4"/>
    <w:rsid w:val="0070555A"/>
    <w:rsid w:val="00705873"/>
    <w:rsid w:val="00705B1A"/>
    <w:rsid w:val="00706383"/>
    <w:rsid w:val="0070682B"/>
    <w:rsid w:val="00706CC1"/>
    <w:rsid w:val="00706FAD"/>
    <w:rsid w:val="0070709E"/>
    <w:rsid w:val="007072CE"/>
    <w:rsid w:val="00707429"/>
    <w:rsid w:val="00707519"/>
    <w:rsid w:val="0070796B"/>
    <w:rsid w:val="00707FCB"/>
    <w:rsid w:val="007105F2"/>
    <w:rsid w:val="00710B75"/>
    <w:rsid w:val="00710FE6"/>
    <w:rsid w:val="007112B6"/>
    <w:rsid w:val="00711436"/>
    <w:rsid w:val="00711498"/>
    <w:rsid w:val="007118C9"/>
    <w:rsid w:val="00711F32"/>
    <w:rsid w:val="007122AB"/>
    <w:rsid w:val="007126D2"/>
    <w:rsid w:val="007128C4"/>
    <w:rsid w:val="007128F9"/>
    <w:rsid w:val="007130DB"/>
    <w:rsid w:val="0071320A"/>
    <w:rsid w:val="0071323A"/>
    <w:rsid w:val="00713342"/>
    <w:rsid w:val="00713633"/>
    <w:rsid w:val="007137AF"/>
    <w:rsid w:val="0071382B"/>
    <w:rsid w:val="0071385F"/>
    <w:rsid w:val="00713C68"/>
    <w:rsid w:val="00713D01"/>
    <w:rsid w:val="00713D65"/>
    <w:rsid w:val="00713E02"/>
    <w:rsid w:val="00713E13"/>
    <w:rsid w:val="00714761"/>
    <w:rsid w:val="00714A3F"/>
    <w:rsid w:val="00715792"/>
    <w:rsid w:val="00715E68"/>
    <w:rsid w:val="00716324"/>
    <w:rsid w:val="007163FF"/>
    <w:rsid w:val="00716718"/>
    <w:rsid w:val="00716785"/>
    <w:rsid w:val="00716801"/>
    <w:rsid w:val="00716B85"/>
    <w:rsid w:val="00716CFE"/>
    <w:rsid w:val="007177E1"/>
    <w:rsid w:val="00717887"/>
    <w:rsid w:val="00720235"/>
    <w:rsid w:val="0072080B"/>
    <w:rsid w:val="00720ABA"/>
    <w:rsid w:val="00720E1A"/>
    <w:rsid w:val="00720EE0"/>
    <w:rsid w:val="007214BD"/>
    <w:rsid w:val="00721598"/>
    <w:rsid w:val="007217B1"/>
    <w:rsid w:val="00722487"/>
    <w:rsid w:val="00722965"/>
    <w:rsid w:val="007230BD"/>
    <w:rsid w:val="00723403"/>
    <w:rsid w:val="00723791"/>
    <w:rsid w:val="007239F0"/>
    <w:rsid w:val="00724384"/>
    <w:rsid w:val="007247CD"/>
    <w:rsid w:val="007249F6"/>
    <w:rsid w:val="007255AD"/>
    <w:rsid w:val="00725F3C"/>
    <w:rsid w:val="007268D0"/>
    <w:rsid w:val="007275BC"/>
    <w:rsid w:val="00727679"/>
    <w:rsid w:val="007303A0"/>
    <w:rsid w:val="007303BF"/>
    <w:rsid w:val="00730446"/>
    <w:rsid w:val="0073056D"/>
    <w:rsid w:val="00730763"/>
    <w:rsid w:val="00730935"/>
    <w:rsid w:val="00730DB8"/>
    <w:rsid w:val="00731284"/>
    <w:rsid w:val="0073150E"/>
    <w:rsid w:val="00731740"/>
    <w:rsid w:val="00731743"/>
    <w:rsid w:val="00731C00"/>
    <w:rsid w:val="00731E1A"/>
    <w:rsid w:val="007325CF"/>
    <w:rsid w:val="00732AAF"/>
    <w:rsid w:val="00733193"/>
    <w:rsid w:val="0073319D"/>
    <w:rsid w:val="00733243"/>
    <w:rsid w:val="00733448"/>
    <w:rsid w:val="00733831"/>
    <w:rsid w:val="00733F49"/>
    <w:rsid w:val="00734030"/>
    <w:rsid w:val="00734319"/>
    <w:rsid w:val="007347B5"/>
    <w:rsid w:val="00734D22"/>
    <w:rsid w:val="00734E11"/>
    <w:rsid w:val="00734EC6"/>
    <w:rsid w:val="0073508C"/>
    <w:rsid w:val="0073512D"/>
    <w:rsid w:val="00735306"/>
    <w:rsid w:val="0073536F"/>
    <w:rsid w:val="007357E5"/>
    <w:rsid w:val="00735F11"/>
    <w:rsid w:val="00736AFB"/>
    <w:rsid w:val="00737304"/>
    <w:rsid w:val="00737482"/>
    <w:rsid w:val="0074071A"/>
    <w:rsid w:val="007407A6"/>
    <w:rsid w:val="0074086B"/>
    <w:rsid w:val="00740BE2"/>
    <w:rsid w:val="00740E27"/>
    <w:rsid w:val="00740E65"/>
    <w:rsid w:val="00741053"/>
    <w:rsid w:val="007414FF"/>
    <w:rsid w:val="00741587"/>
    <w:rsid w:val="00742553"/>
    <w:rsid w:val="0074296E"/>
    <w:rsid w:val="007430A3"/>
    <w:rsid w:val="00743179"/>
    <w:rsid w:val="00743261"/>
    <w:rsid w:val="00743EFE"/>
    <w:rsid w:val="0074414F"/>
    <w:rsid w:val="00744487"/>
    <w:rsid w:val="00745071"/>
    <w:rsid w:val="00745534"/>
    <w:rsid w:val="00745CFA"/>
    <w:rsid w:val="00745D58"/>
    <w:rsid w:val="00745DA0"/>
    <w:rsid w:val="0074679A"/>
    <w:rsid w:val="00746A0B"/>
    <w:rsid w:val="00746AC2"/>
    <w:rsid w:val="00747228"/>
    <w:rsid w:val="007479B0"/>
    <w:rsid w:val="00747BF8"/>
    <w:rsid w:val="00747C04"/>
    <w:rsid w:val="00747C08"/>
    <w:rsid w:val="00747FEB"/>
    <w:rsid w:val="00750049"/>
    <w:rsid w:val="007508BA"/>
    <w:rsid w:val="00750CB1"/>
    <w:rsid w:val="0075143D"/>
    <w:rsid w:val="0075176F"/>
    <w:rsid w:val="0075188F"/>
    <w:rsid w:val="007518EF"/>
    <w:rsid w:val="00751EBA"/>
    <w:rsid w:val="007523C2"/>
    <w:rsid w:val="00752446"/>
    <w:rsid w:val="00752A8A"/>
    <w:rsid w:val="00752AB3"/>
    <w:rsid w:val="00752F74"/>
    <w:rsid w:val="00753B14"/>
    <w:rsid w:val="00754095"/>
    <w:rsid w:val="00754777"/>
    <w:rsid w:val="00754A38"/>
    <w:rsid w:val="00754AB3"/>
    <w:rsid w:val="00754D6B"/>
    <w:rsid w:val="00754DE0"/>
    <w:rsid w:val="00755BD5"/>
    <w:rsid w:val="00755C97"/>
    <w:rsid w:val="007561E8"/>
    <w:rsid w:val="00756EE7"/>
    <w:rsid w:val="00757255"/>
    <w:rsid w:val="007573E4"/>
    <w:rsid w:val="0075746E"/>
    <w:rsid w:val="007602C3"/>
    <w:rsid w:val="00760518"/>
    <w:rsid w:val="00760D5A"/>
    <w:rsid w:val="0076111B"/>
    <w:rsid w:val="0076127D"/>
    <w:rsid w:val="0076134F"/>
    <w:rsid w:val="00761EB9"/>
    <w:rsid w:val="007625F3"/>
    <w:rsid w:val="0076298B"/>
    <w:rsid w:val="00762E81"/>
    <w:rsid w:val="00763762"/>
    <w:rsid w:val="00763A94"/>
    <w:rsid w:val="00763EEA"/>
    <w:rsid w:val="00764159"/>
    <w:rsid w:val="007645C6"/>
    <w:rsid w:val="00764C3D"/>
    <w:rsid w:val="00764F3D"/>
    <w:rsid w:val="00764F50"/>
    <w:rsid w:val="007657BD"/>
    <w:rsid w:val="007658C2"/>
    <w:rsid w:val="007658DE"/>
    <w:rsid w:val="00765C4B"/>
    <w:rsid w:val="00765CC8"/>
    <w:rsid w:val="00766793"/>
    <w:rsid w:val="0076736F"/>
    <w:rsid w:val="00770508"/>
    <w:rsid w:val="00770A2C"/>
    <w:rsid w:val="00770B93"/>
    <w:rsid w:val="00771004"/>
    <w:rsid w:val="00771601"/>
    <w:rsid w:val="00771B4F"/>
    <w:rsid w:val="00772050"/>
    <w:rsid w:val="007724E5"/>
    <w:rsid w:val="00772B70"/>
    <w:rsid w:val="00772C2A"/>
    <w:rsid w:val="00772F3A"/>
    <w:rsid w:val="007735C8"/>
    <w:rsid w:val="0077375E"/>
    <w:rsid w:val="00774FCB"/>
    <w:rsid w:val="007752D3"/>
    <w:rsid w:val="007755AE"/>
    <w:rsid w:val="007758AC"/>
    <w:rsid w:val="00775BD4"/>
    <w:rsid w:val="00775F33"/>
    <w:rsid w:val="0077607C"/>
    <w:rsid w:val="007764E7"/>
    <w:rsid w:val="007765C3"/>
    <w:rsid w:val="00776648"/>
    <w:rsid w:val="0077736C"/>
    <w:rsid w:val="0077782E"/>
    <w:rsid w:val="00777D8C"/>
    <w:rsid w:val="00777E41"/>
    <w:rsid w:val="0078042B"/>
    <w:rsid w:val="00780527"/>
    <w:rsid w:val="007809B0"/>
    <w:rsid w:val="00780D84"/>
    <w:rsid w:val="00781558"/>
    <w:rsid w:val="0078203D"/>
    <w:rsid w:val="00782107"/>
    <w:rsid w:val="007822E1"/>
    <w:rsid w:val="0078236A"/>
    <w:rsid w:val="00782398"/>
    <w:rsid w:val="00782C03"/>
    <w:rsid w:val="00782EA2"/>
    <w:rsid w:val="00782F9F"/>
    <w:rsid w:val="00783AEC"/>
    <w:rsid w:val="00783D2E"/>
    <w:rsid w:val="00783FAB"/>
    <w:rsid w:val="00784245"/>
    <w:rsid w:val="0078432D"/>
    <w:rsid w:val="00784B2D"/>
    <w:rsid w:val="00784E29"/>
    <w:rsid w:val="007850C5"/>
    <w:rsid w:val="00785255"/>
    <w:rsid w:val="0078531B"/>
    <w:rsid w:val="007856D3"/>
    <w:rsid w:val="00785B0D"/>
    <w:rsid w:val="00785B57"/>
    <w:rsid w:val="00785C6B"/>
    <w:rsid w:val="007866B2"/>
    <w:rsid w:val="007868FE"/>
    <w:rsid w:val="0078758E"/>
    <w:rsid w:val="007878CD"/>
    <w:rsid w:val="00787C42"/>
    <w:rsid w:val="00787D0B"/>
    <w:rsid w:val="00790A14"/>
    <w:rsid w:val="00790D4B"/>
    <w:rsid w:val="007910CA"/>
    <w:rsid w:val="007913C3"/>
    <w:rsid w:val="0079147F"/>
    <w:rsid w:val="007918C6"/>
    <w:rsid w:val="007923AE"/>
    <w:rsid w:val="007930F6"/>
    <w:rsid w:val="007931C4"/>
    <w:rsid w:val="007937CE"/>
    <w:rsid w:val="00793A8D"/>
    <w:rsid w:val="00794288"/>
    <w:rsid w:val="0079500F"/>
    <w:rsid w:val="007954E7"/>
    <w:rsid w:val="007955E6"/>
    <w:rsid w:val="007955F5"/>
    <w:rsid w:val="00795A59"/>
    <w:rsid w:val="00795DDD"/>
    <w:rsid w:val="00795FDF"/>
    <w:rsid w:val="00796062"/>
    <w:rsid w:val="00796238"/>
    <w:rsid w:val="00796378"/>
    <w:rsid w:val="00796484"/>
    <w:rsid w:val="00796C3C"/>
    <w:rsid w:val="007972D7"/>
    <w:rsid w:val="00797C9C"/>
    <w:rsid w:val="00797D1C"/>
    <w:rsid w:val="00797E20"/>
    <w:rsid w:val="00797EDF"/>
    <w:rsid w:val="00797F07"/>
    <w:rsid w:val="00797FF5"/>
    <w:rsid w:val="007A0336"/>
    <w:rsid w:val="007A0B44"/>
    <w:rsid w:val="007A0EFA"/>
    <w:rsid w:val="007A11B1"/>
    <w:rsid w:val="007A1236"/>
    <w:rsid w:val="007A13E6"/>
    <w:rsid w:val="007A1618"/>
    <w:rsid w:val="007A2F1F"/>
    <w:rsid w:val="007A347A"/>
    <w:rsid w:val="007A3920"/>
    <w:rsid w:val="007A3B1D"/>
    <w:rsid w:val="007A3CC1"/>
    <w:rsid w:val="007A4291"/>
    <w:rsid w:val="007A429E"/>
    <w:rsid w:val="007A4325"/>
    <w:rsid w:val="007A4468"/>
    <w:rsid w:val="007A4BAF"/>
    <w:rsid w:val="007A4BEC"/>
    <w:rsid w:val="007A4C39"/>
    <w:rsid w:val="007A5023"/>
    <w:rsid w:val="007A59F6"/>
    <w:rsid w:val="007A5DD6"/>
    <w:rsid w:val="007A5F88"/>
    <w:rsid w:val="007A6121"/>
    <w:rsid w:val="007A65EC"/>
    <w:rsid w:val="007A6762"/>
    <w:rsid w:val="007A6992"/>
    <w:rsid w:val="007A69F5"/>
    <w:rsid w:val="007A6BC4"/>
    <w:rsid w:val="007A6BD0"/>
    <w:rsid w:val="007A6E2D"/>
    <w:rsid w:val="007A7F05"/>
    <w:rsid w:val="007B009C"/>
    <w:rsid w:val="007B0AB1"/>
    <w:rsid w:val="007B0B47"/>
    <w:rsid w:val="007B0F1C"/>
    <w:rsid w:val="007B1032"/>
    <w:rsid w:val="007B1484"/>
    <w:rsid w:val="007B1706"/>
    <w:rsid w:val="007B1D89"/>
    <w:rsid w:val="007B2051"/>
    <w:rsid w:val="007B2183"/>
    <w:rsid w:val="007B23DD"/>
    <w:rsid w:val="007B256F"/>
    <w:rsid w:val="007B2D0E"/>
    <w:rsid w:val="007B2D85"/>
    <w:rsid w:val="007B334F"/>
    <w:rsid w:val="007B35B1"/>
    <w:rsid w:val="007B3AB6"/>
    <w:rsid w:val="007B3C3A"/>
    <w:rsid w:val="007B3CA0"/>
    <w:rsid w:val="007B4108"/>
    <w:rsid w:val="007B4344"/>
    <w:rsid w:val="007B445F"/>
    <w:rsid w:val="007B49B6"/>
    <w:rsid w:val="007B4A44"/>
    <w:rsid w:val="007B4A47"/>
    <w:rsid w:val="007B4C5E"/>
    <w:rsid w:val="007B4EDB"/>
    <w:rsid w:val="007B521A"/>
    <w:rsid w:val="007B5389"/>
    <w:rsid w:val="007B53DF"/>
    <w:rsid w:val="007B54E2"/>
    <w:rsid w:val="007B59DC"/>
    <w:rsid w:val="007B5A7E"/>
    <w:rsid w:val="007B5D6A"/>
    <w:rsid w:val="007B6089"/>
    <w:rsid w:val="007B65A5"/>
    <w:rsid w:val="007B664F"/>
    <w:rsid w:val="007B6661"/>
    <w:rsid w:val="007B6857"/>
    <w:rsid w:val="007B69E7"/>
    <w:rsid w:val="007B6A68"/>
    <w:rsid w:val="007B6ACF"/>
    <w:rsid w:val="007B6BAC"/>
    <w:rsid w:val="007B74D5"/>
    <w:rsid w:val="007B77FC"/>
    <w:rsid w:val="007C0162"/>
    <w:rsid w:val="007C0638"/>
    <w:rsid w:val="007C0733"/>
    <w:rsid w:val="007C09FB"/>
    <w:rsid w:val="007C0B0E"/>
    <w:rsid w:val="007C0BA8"/>
    <w:rsid w:val="007C0D52"/>
    <w:rsid w:val="007C0EA9"/>
    <w:rsid w:val="007C0F87"/>
    <w:rsid w:val="007C1056"/>
    <w:rsid w:val="007C1D77"/>
    <w:rsid w:val="007C2C7A"/>
    <w:rsid w:val="007C305D"/>
    <w:rsid w:val="007C31BE"/>
    <w:rsid w:val="007C3621"/>
    <w:rsid w:val="007C36E2"/>
    <w:rsid w:val="007C43B0"/>
    <w:rsid w:val="007C46C0"/>
    <w:rsid w:val="007C47C2"/>
    <w:rsid w:val="007C48D1"/>
    <w:rsid w:val="007C4A6A"/>
    <w:rsid w:val="007C4F4A"/>
    <w:rsid w:val="007C5249"/>
    <w:rsid w:val="007C54B4"/>
    <w:rsid w:val="007C582A"/>
    <w:rsid w:val="007C596D"/>
    <w:rsid w:val="007C5C85"/>
    <w:rsid w:val="007C5CF2"/>
    <w:rsid w:val="007C5CF3"/>
    <w:rsid w:val="007C5F46"/>
    <w:rsid w:val="007C62CF"/>
    <w:rsid w:val="007C6306"/>
    <w:rsid w:val="007C68F6"/>
    <w:rsid w:val="007C6BCA"/>
    <w:rsid w:val="007D0B64"/>
    <w:rsid w:val="007D0C11"/>
    <w:rsid w:val="007D0CCF"/>
    <w:rsid w:val="007D1043"/>
    <w:rsid w:val="007D12A0"/>
    <w:rsid w:val="007D12A5"/>
    <w:rsid w:val="007D14D1"/>
    <w:rsid w:val="007D1681"/>
    <w:rsid w:val="007D1744"/>
    <w:rsid w:val="007D1A43"/>
    <w:rsid w:val="007D1C44"/>
    <w:rsid w:val="007D1F57"/>
    <w:rsid w:val="007D203A"/>
    <w:rsid w:val="007D223A"/>
    <w:rsid w:val="007D22BE"/>
    <w:rsid w:val="007D2EE7"/>
    <w:rsid w:val="007D30DF"/>
    <w:rsid w:val="007D341C"/>
    <w:rsid w:val="007D3463"/>
    <w:rsid w:val="007D34E6"/>
    <w:rsid w:val="007D35E2"/>
    <w:rsid w:val="007D3939"/>
    <w:rsid w:val="007D39D3"/>
    <w:rsid w:val="007D4681"/>
    <w:rsid w:val="007D4963"/>
    <w:rsid w:val="007D4C93"/>
    <w:rsid w:val="007D4E75"/>
    <w:rsid w:val="007D4EC5"/>
    <w:rsid w:val="007D52E5"/>
    <w:rsid w:val="007D5341"/>
    <w:rsid w:val="007D5A1E"/>
    <w:rsid w:val="007D650D"/>
    <w:rsid w:val="007D6AFC"/>
    <w:rsid w:val="007D6BC0"/>
    <w:rsid w:val="007D6E96"/>
    <w:rsid w:val="007D7575"/>
    <w:rsid w:val="007D75C1"/>
    <w:rsid w:val="007D780F"/>
    <w:rsid w:val="007E01B7"/>
    <w:rsid w:val="007E0CE5"/>
    <w:rsid w:val="007E0F5E"/>
    <w:rsid w:val="007E17FC"/>
    <w:rsid w:val="007E187D"/>
    <w:rsid w:val="007E1F88"/>
    <w:rsid w:val="007E2123"/>
    <w:rsid w:val="007E288E"/>
    <w:rsid w:val="007E2DEF"/>
    <w:rsid w:val="007E35F4"/>
    <w:rsid w:val="007E3667"/>
    <w:rsid w:val="007E40FA"/>
    <w:rsid w:val="007E46D9"/>
    <w:rsid w:val="007E4791"/>
    <w:rsid w:val="007E47BD"/>
    <w:rsid w:val="007E4ADB"/>
    <w:rsid w:val="007E4BA2"/>
    <w:rsid w:val="007E505A"/>
    <w:rsid w:val="007E5301"/>
    <w:rsid w:val="007E570F"/>
    <w:rsid w:val="007E5A34"/>
    <w:rsid w:val="007E61F5"/>
    <w:rsid w:val="007E692D"/>
    <w:rsid w:val="007E6B0B"/>
    <w:rsid w:val="007E6C02"/>
    <w:rsid w:val="007E76FE"/>
    <w:rsid w:val="007E7F63"/>
    <w:rsid w:val="007F0435"/>
    <w:rsid w:val="007F0D23"/>
    <w:rsid w:val="007F0D4D"/>
    <w:rsid w:val="007F1027"/>
    <w:rsid w:val="007F17C2"/>
    <w:rsid w:val="007F1BC2"/>
    <w:rsid w:val="007F1CD8"/>
    <w:rsid w:val="007F1F50"/>
    <w:rsid w:val="007F2C66"/>
    <w:rsid w:val="007F3490"/>
    <w:rsid w:val="007F3A20"/>
    <w:rsid w:val="007F3D8B"/>
    <w:rsid w:val="007F3FC6"/>
    <w:rsid w:val="007F4297"/>
    <w:rsid w:val="007F4A15"/>
    <w:rsid w:val="007F4F6A"/>
    <w:rsid w:val="007F594A"/>
    <w:rsid w:val="007F5BC5"/>
    <w:rsid w:val="007F6290"/>
    <w:rsid w:val="007F63D7"/>
    <w:rsid w:val="007F68D0"/>
    <w:rsid w:val="007F6A17"/>
    <w:rsid w:val="007F70BA"/>
    <w:rsid w:val="007F72F9"/>
    <w:rsid w:val="00800979"/>
    <w:rsid w:val="00800B61"/>
    <w:rsid w:val="00800CA9"/>
    <w:rsid w:val="008018D2"/>
    <w:rsid w:val="00801CE2"/>
    <w:rsid w:val="00801DE6"/>
    <w:rsid w:val="00801E7C"/>
    <w:rsid w:val="008020D8"/>
    <w:rsid w:val="00802188"/>
    <w:rsid w:val="008022B9"/>
    <w:rsid w:val="008025F4"/>
    <w:rsid w:val="008026FA"/>
    <w:rsid w:val="00802B33"/>
    <w:rsid w:val="00802F08"/>
    <w:rsid w:val="0080307A"/>
    <w:rsid w:val="00803097"/>
    <w:rsid w:val="008031A4"/>
    <w:rsid w:val="008035E0"/>
    <w:rsid w:val="008037D8"/>
    <w:rsid w:val="00803933"/>
    <w:rsid w:val="00804694"/>
    <w:rsid w:val="0080487A"/>
    <w:rsid w:val="00804905"/>
    <w:rsid w:val="00804BED"/>
    <w:rsid w:val="00804C33"/>
    <w:rsid w:val="00804D84"/>
    <w:rsid w:val="00805B5C"/>
    <w:rsid w:val="00805C9D"/>
    <w:rsid w:val="00806055"/>
    <w:rsid w:val="0080623B"/>
    <w:rsid w:val="008065BC"/>
    <w:rsid w:val="008067B4"/>
    <w:rsid w:val="00806FC9"/>
    <w:rsid w:val="00807161"/>
    <w:rsid w:val="00807266"/>
    <w:rsid w:val="00807D0A"/>
    <w:rsid w:val="008101E2"/>
    <w:rsid w:val="00810346"/>
    <w:rsid w:val="00810979"/>
    <w:rsid w:val="008109AB"/>
    <w:rsid w:val="008109D6"/>
    <w:rsid w:val="00810DA2"/>
    <w:rsid w:val="00810F4C"/>
    <w:rsid w:val="008111DD"/>
    <w:rsid w:val="00811D49"/>
    <w:rsid w:val="00811EB2"/>
    <w:rsid w:val="008122F9"/>
    <w:rsid w:val="008123AE"/>
    <w:rsid w:val="00812782"/>
    <w:rsid w:val="00812DD4"/>
    <w:rsid w:val="00812F6C"/>
    <w:rsid w:val="0081313A"/>
    <w:rsid w:val="00813B23"/>
    <w:rsid w:val="00813B38"/>
    <w:rsid w:val="00813D94"/>
    <w:rsid w:val="00813E80"/>
    <w:rsid w:val="00813FF3"/>
    <w:rsid w:val="0081413B"/>
    <w:rsid w:val="0081444B"/>
    <w:rsid w:val="00814478"/>
    <w:rsid w:val="0081462E"/>
    <w:rsid w:val="00814936"/>
    <w:rsid w:val="00814CDE"/>
    <w:rsid w:val="00814CEC"/>
    <w:rsid w:val="00814D1E"/>
    <w:rsid w:val="00815464"/>
    <w:rsid w:val="00815C66"/>
    <w:rsid w:val="0081618A"/>
    <w:rsid w:val="0081672D"/>
    <w:rsid w:val="00816930"/>
    <w:rsid w:val="00817144"/>
    <w:rsid w:val="008173D9"/>
    <w:rsid w:val="00817A61"/>
    <w:rsid w:val="00817AD1"/>
    <w:rsid w:val="00820363"/>
    <w:rsid w:val="00820BC5"/>
    <w:rsid w:val="008211D5"/>
    <w:rsid w:val="00821251"/>
    <w:rsid w:val="0082176E"/>
    <w:rsid w:val="008218A4"/>
    <w:rsid w:val="00821CA7"/>
    <w:rsid w:val="00821DB6"/>
    <w:rsid w:val="0082206C"/>
    <w:rsid w:val="00822365"/>
    <w:rsid w:val="008225B1"/>
    <w:rsid w:val="008228A2"/>
    <w:rsid w:val="00822A86"/>
    <w:rsid w:val="008233DF"/>
    <w:rsid w:val="00823AD5"/>
    <w:rsid w:val="00824325"/>
    <w:rsid w:val="008245B8"/>
    <w:rsid w:val="0082461A"/>
    <w:rsid w:val="008247CF"/>
    <w:rsid w:val="00824B15"/>
    <w:rsid w:val="0082518E"/>
    <w:rsid w:val="0082537F"/>
    <w:rsid w:val="0082561B"/>
    <w:rsid w:val="00825821"/>
    <w:rsid w:val="0082605F"/>
    <w:rsid w:val="008260E9"/>
    <w:rsid w:val="0082639D"/>
    <w:rsid w:val="008266FA"/>
    <w:rsid w:val="00826D57"/>
    <w:rsid w:val="008270AF"/>
    <w:rsid w:val="00827160"/>
    <w:rsid w:val="008272BB"/>
    <w:rsid w:val="008300EE"/>
    <w:rsid w:val="00830287"/>
    <w:rsid w:val="00830438"/>
    <w:rsid w:val="00830913"/>
    <w:rsid w:val="00830AE3"/>
    <w:rsid w:val="0083191D"/>
    <w:rsid w:val="0083196D"/>
    <w:rsid w:val="00831A97"/>
    <w:rsid w:val="00831C64"/>
    <w:rsid w:val="00831D39"/>
    <w:rsid w:val="008325D8"/>
    <w:rsid w:val="00832B96"/>
    <w:rsid w:val="00832CFE"/>
    <w:rsid w:val="00832DF0"/>
    <w:rsid w:val="00833614"/>
    <w:rsid w:val="00833BA5"/>
    <w:rsid w:val="0083429F"/>
    <w:rsid w:val="0083592A"/>
    <w:rsid w:val="00835FC3"/>
    <w:rsid w:val="00836115"/>
    <w:rsid w:val="0083667A"/>
    <w:rsid w:val="008366A5"/>
    <w:rsid w:val="00836870"/>
    <w:rsid w:val="008368A7"/>
    <w:rsid w:val="008369BF"/>
    <w:rsid w:val="00836BA7"/>
    <w:rsid w:val="00836CBE"/>
    <w:rsid w:val="008373B7"/>
    <w:rsid w:val="00837AAC"/>
    <w:rsid w:val="00837CDA"/>
    <w:rsid w:val="00837F82"/>
    <w:rsid w:val="008403E4"/>
    <w:rsid w:val="00840981"/>
    <w:rsid w:val="00840B6F"/>
    <w:rsid w:val="00840BF3"/>
    <w:rsid w:val="00840D8B"/>
    <w:rsid w:val="008414D5"/>
    <w:rsid w:val="00841A7B"/>
    <w:rsid w:val="00841DF9"/>
    <w:rsid w:val="0084265F"/>
    <w:rsid w:val="008429C5"/>
    <w:rsid w:val="00842FDE"/>
    <w:rsid w:val="00843A46"/>
    <w:rsid w:val="00843A69"/>
    <w:rsid w:val="00844310"/>
    <w:rsid w:val="00844370"/>
    <w:rsid w:val="008447A0"/>
    <w:rsid w:val="00844A22"/>
    <w:rsid w:val="00844B08"/>
    <w:rsid w:val="008451FA"/>
    <w:rsid w:val="008454E0"/>
    <w:rsid w:val="008460C2"/>
    <w:rsid w:val="00846406"/>
    <w:rsid w:val="00846422"/>
    <w:rsid w:val="008465E5"/>
    <w:rsid w:val="0084688A"/>
    <w:rsid w:val="008469FC"/>
    <w:rsid w:val="00847022"/>
    <w:rsid w:val="0084708C"/>
    <w:rsid w:val="00847165"/>
    <w:rsid w:val="00847454"/>
    <w:rsid w:val="0084788E"/>
    <w:rsid w:val="008479BB"/>
    <w:rsid w:val="00847D12"/>
    <w:rsid w:val="00850A90"/>
    <w:rsid w:val="00850FCA"/>
    <w:rsid w:val="00851336"/>
    <w:rsid w:val="008514DE"/>
    <w:rsid w:val="00851B2F"/>
    <w:rsid w:val="00852552"/>
    <w:rsid w:val="008532D1"/>
    <w:rsid w:val="008533B0"/>
    <w:rsid w:val="0085340D"/>
    <w:rsid w:val="00853560"/>
    <w:rsid w:val="00853ECE"/>
    <w:rsid w:val="008541D1"/>
    <w:rsid w:val="0085435A"/>
    <w:rsid w:val="0085462B"/>
    <w:rsid w:val="008548CF"/>
    <w:rsid w:val="00854BAF"/>
    <w:rsid w:val="00855084"/>
    <w:rsid w:val="00855613"/>
    <w:rsid w:val="00855898"/>
    <w:rsid w:val="0085592D"/>
    <w:rsid w:val="0085599A"/>
    <w:rsid w:val="00855C91"/>
    <w:rsid w:val="008569AA"/>
    <w:rsid w:val="00856CE8"/>
    <w:rsid w:val="00856E26"/>
    <w:rsid w:val="00857370"/>
    <w:rsid w:val="008578FC"/>
    <w:rsid w:val="00857B69"/>
    <w:rsid w:val="00857BB0"/>
    <w:rsid w:val="00860066"/>
    <w:rsid w:val="008603F1"/>
    <w:rsid w:val="0086040E"/>
    <w:rsid w:val="008609A1"/>
    <w:rsid w:val="00860D37"/>
    <w:rsid w:val="008611B2"/>
    <w:rsid w:val="008616DC"/>
    <w:rsid w:val="00862110"/>
    <w:rsid w:val="008622E9"/>
    <w:rsid w:val="0086266C"/>
    <w:rsid w:val="00862761"/>
    <w:rsid w:val="008628F4"/>
    <w:rsid w:val="00862B6C"/>
    <w:rsid w:val="00862E31"/>
    <w:rsid w:val="00862FD5"/>
    <w:rsid w:val="00863405"/>
    <w:rsid w:val="008638FD"/>
    <w:rsid w:val="008639F8"/>
    <w:rsid w:val="00863B08"/>
    <w:rsid w:val="0086477D"/>
    <w:rsid w:val="00864884"/>
    <w:rsid w:val="00864E68"/>
    <w:rsid w:val="00865470"/>
    <w:rsid w:val="0086574A"/>
    <w:rsid w:val="00865E88"/>
    <w:rsid w:val="0086653D"/>
    <w:rsid w:val="008667C7"/>
    <w:rsid w:val="00867432"/>
    <w:rsid w:val="008677CC"/>
    <w:rsid w:val="00867F23"/>
    <w:rsid w:val="008700CC"/>
    <w:rsid w:val="00870B14"/>
    <w:rsid w:val="00872004"/>
    <w:rsid w:val="00872055"/>
    <w:rsid w:val="008720BA"/>
    <w:rsid w:val="008721BC"/>
    <w:rsid w:val="00872B33"/>
    <w:rsid w:val="00872C0B"/>
    <w:rsid w:val="00872C83"/>
    <w:rsid w:val="00872CEA"/>
    <w:rsid w:val="00872EE3"/>
    <w:rsid w:val="00873097"/>
    <w:rsid w:val="0087316F"/>
    <w:rsid w:val="008735F0"/>
    <w:rsid w:val="008738A0"/>
    <w:rsid w:val="00874682"/>
    <w:rsid w:val="00874B3F"/>
    <w:rsid w:val="0087553D"/>
    <w:rsid w:val="00875978"/>
    <w:rsid w:val="00876B76"/>
    <w:rsid w:val="0087764F"/>
    <w:rsid w:val="00877F6E"/>
    <w:rsid w:val="00877FF1"/>
    <w:rsid w:val="0088033E"/>
    <w:rsid w:val="008805E4"/>
    <w:rsid w:val="008817D9"/>
    <w:rsid w:val="00881E02"/>
    <w:rsid w:val="0088301F"/>
    <w:rsid w:val="008835F2"/>
    <w:rsid w:val="008837CF"/>
    <w:rsid w:val="008838D8"/>
    <w:rsid w:val="00883965"/>
    <w:rsid w:val="00883B79"/>
    <w:rsid w:val="0088483F"/>
    <w:rsid w:val="00884DB8"/>
    <w:rsid w:val="008858FD"/>
    <w:rsid w:val="00885B32"/>
    <w:rsid w:val="008862F5"/>
    <w:rsid w:val="0088635E"/>
    <w:rsid w:val="00886707"/>
    <w:rsid w:val="00886A15"/>
    <w:rsid w:val="00886D00"/>
    <w:rsid w:val="008874E0"/>
    <w:rsid w:val="008874F9"/>
    <w:rsid w:val="00887A66"/>
    <w:rsid w:val="00887E6E"/>
    <w:rsid w:val="0089056E"/>
    <w:rsid w:val="00890799"/>
    <w:rsid w:val="00890E00"/>
    <w:rsid w:val="00891100"/>
    <w:rsid w:val="0089183D"/>
    <w:rsid w:val="00891A18"/>
    <w:rsid w:val="00891A49"/>
    <w:rsid w:val="00892125"/>
    <w:rsid w:val="008922B5"/>
    <w:rsid w:val="008922FB"/>
    <w:rsid w:val="0089266F"/>
    <w:rsid w:val="00892AEF"/>
    <w:rsid w:val="00892D76"/>
    <w:rsid w:val="0089342E"/>
    <w:rsid w:val="00893504"/>
    <w:rsid w:val="00893BB9"/>
    <w:rsid w:val="00893BFC"/>
    <w:rsid w:val="00893DB8"/>
    <w:rsid w:val="00893EA7"/>
    <w:rsid w:val="00893EE0"/>
    <w:rsid w:val="0089421C"/>
    <w:rsid w:val="00894880"/>
    <w:rsid w:val="008948ED"/>
    <w:rsid w:val="008949C7"/>
    <w:rsid w:val="00894C22"/>
    <w:rsid w:val="00894ED4"/>
    <w:rsid w:val="00894F1C"/>
    <w:rsid w:val="00895AB9"/>
    <w:rsid w:val="00895EA4"/>
    <w:rsid w:val="00896105"/>
    <w:rsid w:val="008962C8"/>
    <w:rsid w:val="008968E7"/>
    <w:rsid w:val="00896B66"/>
    <w:rsid w:val="0089702D"/>
    <w:rsid w:val="008971DA"/>
    <w:rsid w:val="00897450"/>
    <w:rsid w:val="00897758"/>
    <w:rsid w:val="00897905"/>
    <w:rsid w:val="00897C08"/>
    <w:rsid w:val="008A0615"/>
    <w:rsid w:val="008A0653"/>
    <w:rsid w:val="008A08AF"/>
    <w:rsid w:val="008A0A51"/>
    <w:rsid w:val="008A0E0C"/>
    <w:rsid w:val="008A129F"/>
    <w:rsid w:val="008A156D"/>
    <w:rsid w:val="008A15A6"/>
    <w:rsid w:val="008A1A8D"/>
    <w:rsid w:val="008A1CF8"/>
    <w:rsid w:val="008A1E7A"/>
    <w:rsid w:val="008A1F94"/>
    <w:rsid w:val="008A207D"/>
    <w:rsid w:val="008A2555"/>
    <w:rsid w:val="008A2A61"/>
    <w:rsid w:val="008A2F5B"/>
    <w:rsid w:val="008A361E"/>
    <w:rsid w:val="008A3EA0"/>
    <w:rsid w:val="008A3EA4"/>
    <w:rsid w:val="008A49D5"/>
    <w:rsid w:val="008A4A61"/>
    <w:rsid w:val="008A5530"/>
    <w:rsid w:val="008A5970"/>
    <w:rsid w:val="008A5F59"/>
    <w:rsid w:val="008A5FDA"/>
    <w:rsid w:val="008A65B3"/>
    <w:rsid w:val="008A6FA6"/>
    <w:rsid w:val="008A7287"/>
    <w:rsid w:val="008B0D59"/>
    <w:rsid w:val="008B0D5C"/>
    <w:rsid w:val="008B2316"/>
    <w:rsid w:val="008B2696"/>
    <w:rsid w:val="008B2710"/>
    <w:rsid w:val="008B3114"/>
    <w:rsid w:val="008B3475"/>
    <w:rsid w:val="008B35A6"/>
    <w:rsid w:val="008B36F1"/>
    <w:rsid w:val="008B37A1"/>
    <w:rsid w:val="008B3A99"/>
    <w:rsid w:val="008B4DF2"/>
    <w:rsid w:val="008B4FFF"/>
    <w:rsid w:val="008B5E1B"/>
    <w:rsid w:val="008B625D"/>
    <w:rsid w:val="008B6D0F"/>
    <w:rsid w:val="008B6D92"/>
    <w:rsid w:val="008B6EB1"/>
    <w:rsid w:val="008B75BD"/>
    <w:rsid w:val="008B7878"/>
    <w:rsid w:val="008C00FD"/>
    <w:rsid w:val="008C0282"/>
    <w:rsid w:val="008C1DEF"/>
    <w:rsid w:val="008C202F"/>
    <w:rsid w:val="008C2071"/>
    <w:rsid w:val="008C245D"/>
    <w:rsid w:val="008C29FE"/>
    <w:rsid w:val="008C2B5C"/>
    <w:rsid w:val="008C2DD8"/>
    <w:rsid w:val="008C322A"/>
    <w:rsid w:val="008C3399"/>
    <w:rsid w:val="008C34E1"/>
    <w:rsid w:val="008C37BA"/>
    <w:rsid w:val="008C3D0D"/>
    <w:rsid w:val="008C3D4B"/>
    <w:rsid w:val="008C3E9B"/>
    <w:rsid w:val="008C435C"/>
    <w:rsid w:val="008C43FE"/>
    <w:rsid w:val="008C4537"/>
    <w:rsid w:val="008C4809"/>
    <w:rsid w:val="008C493B"/>
    <w:rsid w:val="008C4D1C"/>
    <w:rsid w:val="008C4E37"/>
    <w:rsid w:val="008C5676"/>
    <w:rsid w:val="008C568A"/>
    <w:rsid w:val="008C5CCC"/>
    <w:rsid w:val="008C6373"/>
    <w:rsid w:val="008C66E7"/>
    <w:rsid w:val="008C7968"/>
    <w:rsid w:val="008D018F"/>
    <w:rsid w:val="008D01B6"/>
    <w:rsid w:val="008D0298"/>
    <w:rsid w:val="008D078B"/>
    <w:rsid w:val="008D0E68"/>
    <w:rsid w:val="008D1166"/>
    <w:rsid w:val="008D11EE"/>
    <w:rsid w:val="008D17B1"/>
    <w:rsid w:val="008D19F7"/>
    <w:rsid w:val="008D1F40"/>
    <w:rsid w:val="008D1FBB"/>
    <w:rsid w:val="008D2C02"/>
    <w:rsid w:val="008D2C53"/>
    <w:rsid w:val="008D2F34"/>
    <w:rsid w:val="008D3544"/>
    <w:rsid w:val="008D3DB9"/>
    <w:rsid w:val="008D46BD"/>
    <w:rsid w:val="008D4A9A"/>
    <w:rsid w:val="008D545B"/>
    <w:rsid w:val="008D5634"/>
    <w:rsid w:val="008D5B27"/>
    <w:rsid w:val="008D60A3"/>
    <w:rsid w:val="008D62E2"/>
    <w:rsid w:val="008D6368"/>
    <w:rsid w:val="008D63F7"/>
    <w:rsid w:val="008D66D8"/>
    <w:rsid w:val="008D6B0C"/>
    <w:rsid w:val="008D7306"/>
    <w:rsid w:val="008D7686"/>
    <w:rsid w:val="008E032A"/>
    <w:rsid w:val="008E0F48"/>
    <w:rsid w:val="008E0FBF"/>
    <w:rsid w:val="008E14FD"/>
    <w:rsid w:val="008E155B"/>
    <w:rsid w:val="008E180E"/>
    <w:rsid w:val="008E256F"/>
    <w:rsid w:val="008E264B"/>
    <w:rsid w:val="008E2683"/>
    <w:rsid w:val="008E2824"/>
    <w:rsid w:val="008E2ED7"/>
    <w:rsid w:val="008E2EEB"/>
    <w:rsid w:val="008E385E"/>
    <w:rsid w:val="008E4159"/>
    <w:rsid w:val="008E4208"/>
    <w:rsid w:val="008E4DF6"/>
    <w:rsid w:val="008E53CA"/>
    <w:rsid w:val="008E5441"/>
    <w:rsid w:val="008E59DC"/>
    <w:rsid w:val="008E5A4B"/>
    <w:rsid w:val="008E5B98"/>
    <w:rsid w:val="008E6435"/>
    <w:rsid w:val="008E66BA"/>
    <w:rsid w:val="008E6A95"/>
    <w:rsid w:val="008E7101"/>
    <w:rsid w:val="008E744A"/>
    <w:rsid w:val="008E75D2"/>
    <w:rsid w:val="008E7EF9"/>
    <w:rsid w:val="008F0472"/>
    <w:rsid w:val="008F09D8"/>
    <w:rsid w:val="008F0B14"/>
    <w:rsid w:val="008F0F9C"/>
    <w:rsid w:val="008F173D"/>
    <w:rsid w:val="008F1911"/>
    <w:rsid w:val="008F271B"/>
    <w:rsid w:val="008F2DAD"/>
    <w:rsid w:val="008F303F"/>
    <w:rsid w:val="008F30A0"/>
    <w:rsid w:val="008F38B4"/>
    <w:rsid w:val="008F3A19"/>
    <w:rsid w:val="008F3DBC"/>
    <w:rsid w:val="008F3FFB"/>
    <w:rsid w:val="008F4123"/>
    <w:rsid w:val="008F448E"/>
    <w:rsid w:val="008F4D6E"/>
    <w:rsid w:val="008F4DDF"/>
    <w:rsid w:val="008F5434"/>
    <w:rsid w:val="008F5881"/>
    <w:rsid w:val="008F5A2F"/>
    <w:rsid w:val="008F5A88"/>
    <w:rsid w:val="008F6323"/>
    <w:rsid w:val="008F659E"/>
    <w:rsid w:val="008F72F4"/>
    <w:rsid w:val="008F792E"/>
    <w:rsid w:val="008F7D75"/>
    <w:rsid w:val="008F7E6B"/>
    <w:rsid w:val="00900253"/>
    <w:rsid w:val="00900B4D"/>
    <w:rsid w:val="00900F0C"/>
    <w:rsid w:val="00900F72"/>
    <w:rsid w:val="00901108"/>
    <w:rsid w:val="0090131F"/>
    <w:rsid w:val="00901BAB"/>
    <w:rsid w:val="00901BCD"/>
    <w:rsid w:val="00901F74"/>
    <w:rsid w:val="00902455"/>
    <w:rsid w:val="00902F64"/>
    <w:rsid w:val="0090310C"/>
    <w:rsid w:val="00903573"/>
    <w:rsid w:val="009036AC"/>
    <w:rsid w:val="00903849"/>
    <w:rsid w:val="00903CF2"/>
    <w:rsid w:val="00903D6B"/>
    <w:rsid w:val="00903E09"/>
    <w:rsid w:val="00904581"/>
    <w:rsid w:val="00904689"/>
    <w:rsid w:val="00904840"/>
    <w:rsid w:val="00904B82"/>
    <w:rsid w:val="00905268"/>
    <w:rsid w:val="00905391"/>
    <w:rsid w:val="009053FE"/>
    <w:rsid w:val="00906009"/>
    <w:rsid w:val="00906300"/>
    <w:rsid w:val="0090698C"/>
    <w:rsid w:val="00906C65"/>
    <w:rsid w:val="009072B2"/>
    <w:rsid w:val="00907CA2"/>
    <w:rsid w:val="00910998"/>
    <w:rsid w:val="00910AE7"/>
    <w:rsid w:val="009110E9"/>
    <w:rsid w:val="009113DA"/>
    <w:rsid w:val="0091155C"/>
    <w:rsid w:val="0091166C"/>
    <w:rsid w:val="00911929"/>
    <w:rsid w:val="0091236F"/>
    <w:rsid w:val="009123FC"/>
    <w:rsid w:val="00912682"/>
    <w:rsid w:val="00912A2D"/>
    <w:rsid w:val="00912B57"/>
    <w:rsid w:val="009131D9"/>
    <w:rsid w:val="00913230"/>
    <w:rsid w:val="00913293"/>
    <w:rsid w:val="00913830"/>
    <w:rsid w:val="00913CB2"/>
    <w:rsid w:val="00913D2B"/>
    <w:rsid w:val="009140AE"/>
    <w:rsid w:val="00914359"/>
    <w:rsid w:val="00914659"/>
    <w:rsid w:val="0091482E"/>
    <w:rsid w:val="00914AD4"/>
    <w:rsid w:val="00914DED"/>
    <w:rsid w:val="00914E0C"/>
    <w:rsid w:val="009150F7"/>
    <w:rsid w:val="00915476"/>
    <w:rsid w:val="00915572"/>
    <w:rsid w:val="00915755"/>
    <w:rsid w:val="0091596E"/>
    <w:rsid w:val="00915B6F"/>
    <w:rsid w:val="009162A8"/>
    <w:rsid w:val="00916336"/>
    <w:rsid w:val="00916B24"/>
    <w:rsid w:val="00916C16"/>
    <w:rsid w:val="009176B6"/>
    <w:rsid w:val="00917878"/>
    <w:rsid w:val="00917EC1"/>
    <w:rsid w:val="00920E7E"/>
    <w:rsid w:val="00920EE5"/>
    <w:rsid w:val="0092166A"/>
    <w:rsid w:val="00922366"/>
    <w:rsid w:val="00922368"/>
    <w:rsid w:val="00923959"/>
    <w:rsid w:val="00923B86"/>
    <w:rsid w:val="00923DC8"/>
    <w:rsid w:val="009240DF"/>
    <w:rsid w:val="00924352"/>
    <w:rsid w:val="009244BD"/>
    <w:rsid w:val="009258FD"/>
    <w:rsid w:val="00925922"/>
    <w:rsid w:val="0092593A"/>
    <w:rsid w:val="00925C9D"/>
    <w:rsid w:val="00925F1C"/>
    <w:rsid w:val="00926142"/>
    <w:rsid w:val="0092618D"/>
    <w:rsid w:val="00926201"/>
    <w:rsid w:val="0092645C"/>
    <w:rsid w:val="009265F1"/>
    <w:rsid w:val="009266DF"/>
    <w:rsid w:val="00926A75"/>
    <w:rsid w:val="00926F84"/>
    <w:rsid w:val="00926F98"/>
    <w:rsid w:val="00927103"/>
    <w:rsid w:val="0092748D"/>
    <w:rsid w:val="00927877"/>
    <w:rsid w:val="00927934"/>
    <w:rsid w:val="00927AC2"/>
    <w:rsid w:val="00927D4E"/>
    <w:rsid w:val="00930473"/>
    <w:rsid w:val="009315BA"/>
    <w:rsid w:val="00931718"/>
    <w:rsid w:val="00931735"/>
    <w:rsid w:val="0093274B"/>
    <w:rsid w:val="00932842"/>
    <w:rsid w:val="0093324B"/>
    <w:rsid w:val="00933F8D"/>
    <w:rsid w:val="0093400A"/>
    <w:rsid w:val="0093430A"/>
    <w:rsid w:val="00935A02"/>
    <w:rsid w:val="00936A17"/>
    <w:rsid w:val="00936B99"/>
    <w:rsid w:val="00936D9E"/>
    <w:rsid w:val="0093706A"/>
    <w:rsid w:val="009376A6"/>
    <w:rsid w:val="00937C62"/>
    <w:rsid w:val="00937E34"/>
    <w:rsid w:val="0094001D"/>
    <w:rsid w:val="00940648"/>
    <w:rsid w:val="00940994"/>
    <w:rsid w:val="00940BE2"/>
    <w:rsid w:val="00940FA6"/>
    <w:rsid w:val="00940FCE"/>
    <w:rsid w:val="009410DE"/>
    <w:rsid w:val="00941338"/>
    <w:rsid w:val="00941480"/>
    <w:rsid w:val="009418B1"/>
    <w:rsid w:val="00941A94"/>
    <w:rsid w:val="00941AA4"/>
    <w:rsid w:val="00941D14"/>
    <w:rsid w:val="00941FA0"/>
    <w:rsid w:val="00942289"/>
    <w:rsid w:val="009422A7"/>
    <w:rsid w:val="009426AB"/>
    <w:rsid w:val="009430CE"/>
    <w:rsid w:val="00943157"/>
    <w:rsid w:val="00944698"/>
    <w:rsid w:val="009449D7"/>
    <w:rsid w:val="00944C36"/>
    <w:rsid w:val="00944E24"/>
    <w:rsid w:val="00944F0F"/>
    <w:rsid w:val="00945A68"/>
    <w:rsid w:val="009468A0"/>
    <w:rsid w:val="00946D9E"/>
    <w:rsid w:val="009470CC"/>
    <w:rsid w:val="00947421"/>
    <w:rsid w:val="00947674"/>
    <w:rsid w:val="009500EE"/>
    <w:rsid w:val="0095030F"/>
    <w:rsid w:val="0095050D"/>
    <w:rsid w:val="00950B4F"/>
    <w:rsid w:val="00951232"/>
    <w:rsid w:val="00951695"/>
    <w:rsid w:val="009517F0"/>
    <w:rsid w:val="00951A33"/>
    <w:rsid w:val="0095265B"/>
    <w:rsid w:val="00952F0D"/>
    <w:rsid w:val="00952FDB"/>
    <w:rsid w:val="009532D4"/>
    <w:rsid w:val="0095384B"/>
    <w:rsid w:val="00954093"/>
    <w:rsid w:val="00954458"/>
    <w:rsid w:val="009545A7"/>
    <w:rsid w:val="00954BFC"/>
    <w:rsid w:val="00955112"/>
    <w:rsid w:val="00955586"/>
    <w:rsid w:val="00955A7D"/>
    <w:rsid w:val="00955BA0"/>
    <w:rsid w:val="00955DF4"/>
    <w:rsid w:val="00955E65"/>
    <w:rsid w:val="00956002"/>
    <w:rsid w:val="00956B16"/>
    <w:rsid w:val="00956F90"/>
    <w:rsid w:val="00956F92"/>
    <w:rsid w:val="009572B7"/>
    <w:rsid w:val="00957547"/>
    <w:rsid w:val="00957BF4"/>
    <w:rsid w:val="00960120"/>
    <w:rsid w:val="009601D3"/>
    <w:rsid w:val="009606E5"/>
    <w:rsid w:val="00960BD5"/>
    <w:rsid w:val="00960D60"/>
    <w:rsid w:val="00960DED"/>
    <w:rsid w:val="00960E0E"/>
    <w:rsid w:val="00961038"/>
    <w:rsid w:val="00961453"/>
    <w:rsid w:val="00961743"/>
    <w:rsid w:val="00961843"/>
    <w:rsid w:val="00961B87"/>
    <w:rsid w:val="00961EAE"/>
    <w:rsid w:val="00962815"/>
    <w:rsid w:val="00962D04"/>
    <w:rsid w:val="00962ED5"/>
    <w:rsid w:val="00962F2E"/>
    <w:rsid w:val="0096307D"/>
    <w:rsid w:val="009630B4"/>
    <w:rsid w:val="0096334E"/>
    <w:rsid w:val="0096350A"/>
    <w:rsid w:val="00963792"/>
    <w:rsid w:val="00963935"/>
    <w:rsid w:val="00963AF3"/>
    <w:rsid w:val="00963FA4"/>
    <w:rsid w:val="009640A6"/>
    <w:rsid w:val="00964EA5"/>
    <w:rsid w:val="00965361"/>
    <w:rsid w:val="009654E0"/>
    <w:rsid w:val="00965517"/>
    <w:rsid w:val="0096571A"/>
    <w:rsid w:val="009665F1"/>
    <w:rsid w:val="00966709"/>
    <w:rsid w:val="00966E3C"/>
    <w:rsid w:val="00966F50"/>
    <w:rsid w:val="00967201"/>
    <w:rsid w:val="00967487"/>
    <w:rsid w:val="009675E6"/>
    <w:rsid w:val="00967B16"/>
    <w:rsid w:val="00970462"/>
    <w:rsid w:val="00970A14"/>
    <w:rsid w:val="00970F13"/>
    <w:rsid w:val="00971A27"/>
    <w:rsid w:val="009720CF"/>
    <w:rsid w:val="009720E1"/>
    <w:rsid w:val="00972AAC"/>
    <w:rsid w:val="00972D34"/>
    <w:rsid w:val="00972F88"/>
    <w:rsid w:val="009734D8"/>
    <w:rsid w:val="00973671"/>
    <w:rsid w:val="00973909"/>
    <w:rsid w:val="0097392A"/>
    <w:rsid w:val="00974103"/>
    <w:rsid w:val="009741BF"/>
    <w:rsid w:val="009743E6"/>
    <w:rsid w:val="009746AF"/>
    <w:rsid w:val="009748CD"/>
    <w:rsid w:val="00974C56"/>
    <w:rsid w:val="00974D89"/>
    <w:rsid w:val="00974EF8"/>
    <w:rsid w:val="009753FF"/>
    <w:rsid w:val="00975710"/>
    <w:rsid w:val="0097586C"/>
    <w:rsid w:val="00975A3D"/>
    <w:rsid w:val="00975DB2"/>
    <w:rsid w:val="00975E29"/>
    <w:rsid w:val="0097706E"/>
    <w:rsid w:val="009770FD"/>
    <w:rsid w:val="00977AB8"/>
    <w:rsid w:val="00977CC2"/>
    <w:rsid w:val="0098039A"/>
    <w:rsid w:val="0098073B"/>
    <w:rsid w:val="00980797"/>
    <w:rsid w:val="00980BB4"/>
    <w:rsid w:val="00980DB5"/>
    <w:rsid w:val="009811E9"/>
    <w:rsid w:val="0098120D"/>
    <w:rsid w:val="009815FB"/>
    <w:rsid w:val="00981759"/>
    <w:rsid w:val="0098178B"/>
    <w:rsid w:val="00981BB7"/>
    <w:rsid w:val="00981BDB"/>
    <w:rsid w:val="00981CA3"/>
    <w:rsid w:val="00981CAB"/>
    <w:rsid w:val="00981CFD"/>
    <w:rsid w:val="00981EE6"/>
    <w:rsid w:val="0098232E"/>
    <w:rsid w:val="00982472"/>
    <w:rsid w:val="00982F10"/>
    <w:rsid w:val="0098311C"/>
    <w:rsid w:val="00983388"/>
    <w:rsid w:val="009835EE"/>
    <w:rsid w:val="009839C1"/>
    <w:rsid w:val="00983F3C"/>
    <w:rsid w:val="00984728"/>
    <w:rsid w:val="00984736"/>
    <w:rsid w:val="009847D1"/>
    <w:rsid w:val="009855A3"/>
    <w:rsid w:val="00985E8C"/>
    <w:rsid w:val="00986215"/>
    <w:rsid w:val="009863E3"/>
    <w:rsid w:val="00986AA2"/>
    <w:rsid w:val="009874D7"/>
    <w:rsid w:val="00987B72"/>
    <w:rsid w:val="009905F5"/>
    <w:rsid w:val="0099104D"/>
    <w:rsid w:val="00991BED"/>
    <w:rsid w:val="00992250"/>
    <w:rsid w:val="009925E4"/>
    <w:rsid w:val="00992714"/>
    <w:rsid w:val="0099288C"/>
    <w:rsid w:val="009928E3"/>
    <w:rsid w:val="00992ABD"/>
    <w:rsid w:val="00992D38"/>
    <w:rsid w:val="00993E87"/>
    <w:rsid w:val="00993E9F"/>
    <w:rsid w:val="009944CA"/>
    <w:rsid w:val="009957AA"/>
    <w:rsid w:val="00995A4E"/>
    <w:rsid w:val="00995E1C"/>
    <w:rsid w:val="00996011"/>
    <w:rsid w:val="00996294"/>
    <w:rsid w:val="00996913"/>
    <w:rsid w:val="00997048"/>
    <w:rsid w:val="0099721F"/>
    <w:rsid w:val="00997318"/>
    <w:rsid w:val="009978DE"/>
    <w:rsid w:val="009A0727"/>
    <w:rsid w:val="009A0AB2"/>
    <w:rsid w:val="009A0DB6"/>
    <w:rsid w:val="009A0FAF"/>
    <w:rsid w:val="009A12DC"/>
    <w:rsid w:val="009A1CD6"/>
    <w:rsid w:val="009A1D14"/>
    <w:rsid w:val="009A235A"/>
    <w:rsid w:val="009A2E97"/>
    <w:rsid w:val="009A363C"/>
    <w:rsid w:val="009A3F60"/>
    <w:rsid w:val="009A416F"/>
    <w:rsid w:val="009A4881"/>
    <w:rsid w:val="009A5113"/>
    <w:rsid w:val="009A5642"/>
    <w:rsid w:val="009A58B2"/>
    <w:rsid w:val="009A5B49"/>
    <w:rsid w:val="009A5B8D"/>
    <w:rsid w:val="009A63BD"/>
    <w:rsid w:val="009A693D"/>
    <w:rsid w:val="009A6F33"/>
    <w:rsid w:val="009A721C"/>
    <w:rsid w:val="009A756C"/>
    <w:rsid w:val="009B0350"/>
    <w:rsid w:val="009B0526"/>
    <w:rsid w:val="009B0B5B"/>
    <w:rsid w:val="009B0DC1"/>
    <w:rsid w:val="009B108D"/>
    <w:rsid w:val="009B1D98"/>
    <w:rsid w:val="009B1F24"/>
    <w:rsid w:val="009B2AEB"/>
    <w:rsid w:val="009B2D47"/>
    <w:rsid w:val="009B3262"/>
    <w:rsid w:val="009B32D9"/>
    <w:rsid w:val="009B3E49"/>
    <w:rsid w:val="009B3F0C"/>
    <w:rsid w:val="009B422F"/>
    <w:rsid w:val="009B4BDD"/>
    <w:rsid w:val="009B4CF5"/>
    <w:rsid w:val="009B51E8"/>
    <w:rsid w:val="009B563F"/>
    <w:rsid w:val="009B65EB"/>
    <w:rsid w:val="009B6A56"/>
    <w:rsid w:val="009B6C4F"/>
    <w:rsid w:val="009B6D05"/>
    <w:rsid w:val="009B71EA"/>
    <w:rsid w:val="009B7C53"/>
    <w:rsid w:val="009B7CC6"/>
    <w:rsid w:val="009B7EA0"/>
    <w:rsid w:val="009C052F"/>
    <w:rsid w:val="009C1183"/>
    <w:rsid w:val="009C140B"/>
    <w:rsid w:val="009C164C"/>
    <w:rsid w:val="009C175B"/>
    <w:rsid w:val="009C215F"/>
    <w:rsid w:val="009C2388"/>
    <w:rsid w:val="009C3072"/>
    <w:rsid w:val="009C3866"/>
    <w:rsid w:val="009C3A8E"/>
    <w:rsid w:val="009C3D9C"/>
    <w:rsid w:val="009C3F3D"/>
    <w:rsid w:val="009C40C9"/>
    <w:rsid w:val="009C45ED"/>
    <w:rsid w:val="009C56B9"/>
    <w:rsid w:val="009C5BFE"/>
    <w:rsid w:val="009C5DC8"/>
    <w:rsid w:val="009C6758"/>
    <w:rsid w:val="009C684D"/>
    <w:rsid w:val="009C68E3"/>
    <w:rsid w:val="009C6C22"/>
    <w:rsid w:val="009C6C50"/>
    <w:rsid w:val="009C6CE4"/>
    <w:rsid w:val="009C729D"/>
    <w:rsid w:val="009C72A1"/>
    <w:rsid w:val="009C7452"/>
    <w:rsid w:val="009C7707"/>
    <w:rsid w:val="009C7B83"/>
    <w:rsid w:val="009C7BCF"/>
    <w:rsid w:val="009C7E6D"/>
    <w:rsid w:val="009D0379"/>
    <w:rsid w:val="009D076F"/>
    <w:rsid w:val="009D0E75"/>
    <w:rsid w:val="009D0F06"/>
    <w:rsid w:val="009D172C"/>
    <w:rsid w:val="009D1911"/>
    <w:rsid w:val="009D193D"/>
    <w:rsid w:val="009D202A"/>
    <w:rsid w:val="009D21FE"/>
    <w:rsid w:val="009D24AA"/>
    <w:rsid w:val="009D25E7"/>
    <w:rsid w:val="009D2CD1"/>
    <w:rsid w:val="009D3155"/>
    <w:rsid w:val="009D32C8"/>
    <w:rsid w:val="009D32DE"/>
    <w:rsid w:val="009D3C64"/>
    <w:rsid w:val="009D425A"/>
    <w:rsid w:val="009D4CFA"/>
    <w:rsid w:val="009D5829"/>
    <w:rsid w:val="009D5CBC"/>
    <w:rsid w:val="009D61B8"/>
    <w:rsid w:val="009D66FA"/>
    <w:rsid w:val="009D6F81"/>
    <w:rsid w:val="009D70B1"/>
    <w:rsid w:val="009D7438"/>
    <w:rsid w:val="009D7785"/>
    <w:rsid w:val="009D77A9"/>
    <w:rsid w:val="009D7DC9"/>
    <w:rsid w:val="009E083A"/>
    <w:rsid w:val="009E0AA9"/>
    <w:rsid w:val="009E0FEF"/>
    <w:rsid w:val="009E11E0"/>
    <w:rsid w:val="009E12FE"/>
    <w:rsid w:val="009E1535"/>
    <w:rsid w:val="009E2904"/>
    <w:rsid w:val="009E29CC"/>
    <w:rsid w:val="009E2C89"/>
    <w:rsid w:val="009E30E8"/>
    <w:rsid w:val="009E3364"/>
    <w:rsid w:val="009E3689"/>
    <w:rsid w:val="009E3A65"/>
    <w:rsid w:val="009E44B1"/>
    <w:rsid w:val="009E475E"/>
    <w:rsid w:val="009E4989"/>
    <w:rsid w:val="009E4E98"/>
    <w:rsid w:val="009E5181"/>
    <w:rsid w:val="009E5226"/>
    <w:rsid w:val="009E54A6"/>
    <w:rsid w:val="009E5606"/>
    <w:rsid w:val="009E58DD"/>
    <w:rsid w:val="009E5910"/>
    <w:rsid w:val="009E61D0"/>
    <w:rsid w:val="009E6372"/>
    <w:rsid w:val="009E63FF"/>
    <w:rsid w:val="009E6A39"/>
    <w:rsid w:val="009E6A76"/>
    <w:rsid w:val="009E6CC1"/>
    <w:rsid w:val="009E6EE4"/>
    <w:rsid w:val="009E6F54"/>
    <w:rsid w:val="009E71D5"/>
    <w:rsid w:val="009E722F"/>
    <w:rsid w:val="009E75E8"/>
    <w:rsid w:val="009E7D24"/>
    <w:rsid w:val="009F0DAA"/>
    <w:rsid w:val="009F0DB6"/>
    <w:rsid w:val="009F0ED4"/>
    <w:rsid w:val="009F10F9"/>
    <w:rsid w:val="009F1222"/>
    <w:rsid w:val="009F12C9"/>
    <w:rsid w:val="009F138A"/>
    <w:rsid w:val="009F1669"/>
    <w:rsid w:val="009F1DE5"/>
    <w:rsid w:val="009F1E82"/>
    <w:rsid w:val="009F2271"/>
    <w:rsid w:val="009F2535"/>
    <w:rsid w:val="009F2691"/>
    <w:rsid w:val="009F2789"/>
    <w:rsid w:val="009F27FC"/>
    <w:rsid w:val="009F300B"/>
    <w:rsid w:val="009F3520"/>
    <w:rsid w:val="009F3AC4"/>
    <w:rsid w:val="009F3AFA"/>
    <w:rsid w:val="009F3D4B"/>
    <w:rsid w:val="009F3FD4"/>
    <w:rsid w:val="009F3FDE"/>
    <w:rsid w:val="009F4955"/>
    <w:rsid w:val="009F4CDD"/>
    <w:rsid w:val="009F5351"/>
    <w:rsid w:val="009F587F"/>
    <w:rsid w:val="009F607E"/>
    <w:rsid w:val="009F6249"/>
    <w:rsid w:val="009F6F55"/>
    <w:rsid w:val="009F744A"/>
    <w:rsid w:val="009F7504"/>
    <w:rsid w:val="009F7980"/>
    <w:rsid w:val="00A000F8"/>
    <w:rsid w:val="00A010FC"/>
    <w:rsid w:val="00A017A2"/>
    <w:rsid w:val="00A01A28"/>
    <w:rsid w:val="00A01B3D"/>
    <w:rsid w:val="00A01D5C"/>
    <w:rsid w:val="00A01F6F"/>
    <w:rsid w:val="00A01F87"/>
    <w:rsid w:val="00A02034"/>
    <w:rsid w:val="00A021B6"/>
    <w:rsid w:val="00A02A8E"/>
    <w:rsid w:val="00A03624"/>
    <w:rsid w:val="00A0409D"/>
    <w:rsid w:val="00A0442E"/>
    <w:rsid w:val="00A04512"/>
    <w:rsid w:val="00A04528"/>
    <w:rsid w:val="00A04A22"/>
    <w:rsid w:val="00A04ADF"/>
    <w:rsid w:val="00A0533C"/>
    <w:rsid w:val="00A056AE"/>
    <w:rsid w:val="00A05C9A"/>
    <w:rsid w:val="00A05FA7"/>
    <w:rsid w:val="00A06075"/>
    <w:rsid w:val="00A065D1"/>
    <w:rsid w:val="00A0699A"/>
    <w:rsid w:val="00A06A46"/>
    <w:rsid w:val="00A06AB2"/>
    <w:rsid w:val="00A06E7A"/>
    <w:rsid w:val="00A06FCC"/>
    <w:rsid w:val="00A07035"/>
    <w:rsid w:val="00A078BA"/>
    <w:rsid w:val="00A1001D"/>
    <w:rsid w:val="00A10873"/>
    <w:rsid w:val="00A10DF6"/>
    <w:rsid w:val="00A1141A"/>
    <w:rsid w:val="00A116A4"/>
    <w:rsid w:val="00A11898"/>
    <w:rsid w:val="00A11B14"/>
    <w:rsid w:val="00A11E43"/>
    <w:rsid w:val="00A124E9"/>
    <w:rsid w:val="00A128EB"/>
    <w:rsid w:val="00A12B56"/>
    <w:rsid w:val="00A12F22"/>
    <w:rsid w:val="00A13D82"/>
    <w:rsid w:val="00A1414B"/>
    <w:rsid w:val="00A14307"/>
    <w:rsid w:val="00A14502"/>
    <w:rsid w:val="00A14C5E"/>
    <w:rsid w:val="00A14D01"/>
    <w:rsid w:val="00A14DD4"/>
    <w:rsid w:val="00A150D7"/>
    <w:rsid w:val="00A155BF"/>
    <w:rsid w:val="00A159D7"/>
    <w:rsid w:val="00A15AA6"/>
    <w:rsid w:val="00A15EA4"/>
    <w:rsid w:val="00A15F7C"/>
    <w:rsid w:val="00A160DB"/>
    <w:rsid w:val="00A16802"/>
    <w:rsid w:val="00A16A02"/>
    <w:rsid w:val="00A1780F"/>
    <w:rsid w:val="00A178D8"/>
    <w:rsid w:val="00A209DD"/>
    <w:rsid w:val="00A20F3B"/>
    <w:rsid w:val="00A212E7"/>
    <w:rsid w:val="00A2191B"/>
    <w:rsid w:val="00A21A7A"/>
    <w:rsid w:val="00A21CD8"/>
    <w:rsid w:val="00A21DCE"/>
    <w:rsid w:val="00A22CB2"/>
    <w:rsid w:val="00A236C7"/>
    <w:rsid w:val="00A236CE"/>
    <w:rsid w:val="00A23CD4"/>
    <w:rsid w:val="00A23D0F"/>
    <w:rsid w:val="00A23DEB"/>
    <w:rsid w:val="00A23EB8"/>
    <w:rsid w:val="00A2402C"/>
    <w:rsid w:val="00A24146"/>
    <w:rsid w:val="00A2420D"/>
    <w:rsid w:val="00A24230"/>
    <w:rsid w:val="00A249AD"/>
    <w:rsid w:val="00A24C7A"/>
    <w:rsid w:val="00A25021"/>
    <w:rsid w:val="00A2572E"/>
    <w:rsid w:val="00A25A33"/>
    <w:rsid w:val="00A25AAD"/>
    <w:rsid w:val="00A25BF7"/>
    <w:rsid w:val="00A265A9"/>
    <w:rsid w:val="00A265F0"/>
    <w:rsid w:val="00A2684A"/>
    <w:rsid w:val="00A268A4"/>
    <w:rsid w:val="00A26A96"/>
    <w:rsid w:val="00A26D10"/>
    <w:rsid w:val="00A2703C"/>
    <w:rsid w:val="00A27387"/>
    <w:rsid w:val="00A273D6"/>
    <w:rsid w:val="00A302DA"/>
    <w:rsid w:val="00A305C6"/>
    <w:rsid w:val="00A308B5"/>
    <w:rsid w:val="00A309C4"/>
    <w:rsid w:val="00A30D27"/>
    <w:rsid w:val="00A31124"/>
    <w:rsid w:val="00A3113B"/>
    <w:rsid w:val="00A31593"/>
    <w:rsid w:val="00A31612"/>
    <w:rsid w:val="00A31F2A"/>
    <w:rsid w:val="00A32858"/>
    <w:rsid w:val="00A329BE"/>
    <w:rsid w:val="00A32AA2"/>
    <w:rsid w:val="00A32AE5"/>
    <w:rsid w:val="00A330F0"/>
    <w:rsid w:val="00A33554"/>
    <w:rsid w:val="00A3391A"/>
    <w:rsid w:val="00A33E1F"/>
    <w:rsid w:val="00A348E6"/>
    <w:rsid w:val="00A34E88"/>
    <w:rsid w:val="00A350CD"/>
    <w:rsid w:val="00A35200"/>
    <w:rsid w:val="00A35288"/>
    <w:rsid w:val="00A35782"/>
    <w:rsid w:val="00A35AF7"/>
    <w:rsid w:val="00A35BD5"/>
    <w:rsid w:val="00A362D4"/>
    <w:rsid w:val="00A36330"/>
    <w:rsid w:val="00A364A5"/>
    <w:rsid w:val="00A36D4D"/>
    <w:rsid w:val="00A36FAA"/>
    <w:rsid w:val="00A36FD3"/>
    <w:rsid w:val="00A370D6"/>
    <w:rsid w:val="00A37208"/>
    <w:rsid w:val="00A37475"/>
    <w:rsid w:val="00A37945"/>
    <w:rsid w:val="00A40A7D"/>
    <w:rsid w:val="00A40B3B"/>
    <w:rsid w:val="00A414E5"/>
    <w:rsid w:val="00A4159D"/>
    <w:rsid w:val="00A41BF0"/>
    <w:rsid w:val="00A420B9"/>
    <w:rsid w:val="00A429BA"/>
    <w:rsid w:val="00A42BA2"/>
    <w:rsid w:val="00A42C2C"/>
    <w:rsid w:val="00A42E4C"/>
    <w:rsid w:val="00A4344D"/>
    <w:rsid w:val="00A434BF"/>
    <w:rsid w:val="00A43950"/>
    <w:rsid w:val="00A43E1D"/>
    <w:rsid w:val="00A43EAA"/>
    <w:rsid w:val="00A43ECE"/>
    <w:rsid w:val="00A44007"/>
    <w:rsid w:val="00A44415"/>
    <w:rsid w:val="00A4479F"/>
    <w:rsid w:val="00A447F9"/>
    <w:rsid w:val="00A452C9"/>
    <w:rsid w:val="00A452E4"/>
    <w:rsid w:val="00A45485"/>
    <w:rsid w:val="00A45757"/>
    <w:rsid w:val="00A45989"/>
    <w:rsid w:val="00A45AC5"/>
    <w:rsid w:val="00A46653"/>
    <w:rsid w:val="00A467BC"/>
    <w:rsid w:val="00A46AFE"/>
    <w:rsid w:val="00A470C4"/>
    <w:rsid w:val="00A47644"/>
    <w:rsid w:val="00A47796"/>
    <w:rsid w:val="00A47BEB"/>
    <w:rsid w:val="00A50B3A"/>
    <w:rsid w:val="00A5144A"/>
    <w:rsid w:val="00A51540"/>
    <w:rsid w:val="00A51EC3"/>
    <w:rsid w:val="00A52481"/>
    <w:rsid w:val="00A52520"/>
    <w:rsid w:val="00A52954"/>
    <w:rsid w:val="00A534D4"/>
    <w:rsid w:val="00A5385A"/>
    <w:rsid w:val="00A53C1E"/>
    <w:rsid w:val="00A5463A"/>
    <w:rsid w:val="00A54767"/>
    <w:rsid w:val="00A54E24"/>
    <w:rsid w:val="00A551AD"/>
    <w:rsid w:val="00A55707"/>
    <w:rsid w:val="00A5570C"/>
    <w:rsid w:val="00A557AA"/>
    <w:rsid w:val="00A558E5"/>
    <w:rsid w:val="00A55E6C"/>
    <w:rsid w:val="00A56069"/>
    <w:rsid w:val="00A562D0"/>
    <w:rsid w:val="00A56449"/>
    <w:rsid w:val="00A567A3"/>
    <w:rsid w:val="00A56E8C"/>
    <w:rsid w:val="00A56F51"/>
    <w:rsid w:val="00A5728A"/>
    <w:rsid w:val="00A57BFF"/>
    <w:rsid w:val="00A57CCE"/>
    <w:rsid w:val="00A60893"/>
    <w:rsid w:val="00A60BB5"/>
    <w:rsid w:val="00A610E6"/>
    <w:rsid w:val="00A61398"/>
    <w:rsid w:val="00A619B1"/>
    <w:rsid w:val="00A61F5E"/>
    <w:rsid w:val="00A6211A"/>
    <w:rsid w:val="00A62182"/>
    <w:rsid w:val="00A624A5"/>
    <w:rsid w:val="00A626FC"/>
    <w:rsid w:val="00A62A20"/>
    <w:rsid w:val="00A62B47"/>
    <w:rsid w:val="00A62CAF"/>
    <w:rsid w:val="00A6353F"/>
    <w:rsid w:val="00A640EB"/>
    <w:rsid w:val="00A6452C"/>
    <w:rsid w:val="00A64601"/>
    <w:rsid w:val="00A64ECD"/>
    <w:rsid w:val="00A64F01"/>
    <w:rsid w:val="00A64F94"/>
    <w:rsid w:val="00A65030"/>
    <w:rsid w:val="00A6510D"/>
    <w:rsid w:val="00A65886"/>
    <w:rsid w:val="00A65926"/>
    <w:rsid w:val="00A65C61"/>
    <w:rsid w:val="00A65EC3"/>
    <w:rsid w:val="00A660E5"/>
    <w:rsid w:val="00A6638F"/>
    <w:rsid w:val="00A669E4"/>
    <w:rsid w:val="00A67269"/>
    <w:rsid w:val="00A67B45"/>
    <w:rsid w:val="00A67B61"/>
    <w:rsid w:val="00A67F17"/>
    <w:rsid w:val="00A67F22"/>
    <w:rsid w:val="00A702A2"/>
    <w:rsid w:val="00A70B6F"/>
    <w:rsid w:val="00A71C51"/>
    <w:rsid w:val="00A72826"/>
    <w:rsid w:val="00A737F1"/>
    <w:rsid w:val="00A738B1"/>
    <w:rsid w:val="00A7449A"/>
    <w:rsid w:val="00A7482D"/>
    <w:rsid w:val="00A74FE1"/>
    <w:rsid w:val="00A7563F"/>
    <w:rsid w:val="00A75660"/>
    <w:rsid w:val="00A75F12"/>
    <w:rsid w:val="00A7638A"/>
    <w:rsid w:val="00A76444"/>
    <w:rsid w:val="00A767DA"/>
    <w:rsid w:val="00A76966"/>
    <w:rsid w:val="00A76E54"/>
    <w:rsid w:val="00A77058"/>
    <w:rsid w:val="00A80455"/>
    <w:rsid w:val="00A804F7"/>
    <w:rsid w:val="00A80F73"/>
    <w:rsid w:val="00A810C3"/>
    <w:rsid w:val="00A821AB"/>
    <w:rsid w:val="00A82CAD"/>
    <w:rsid w:val="00A82F77"/>
    <w:rsid w:val="00A833D6"/>
    <w:rsid w:val="00A834D8"/>
    <w:rsid w:val="00A838F6"/>
    <w:rsid w:val="00A83F59"/>
    <w:rsid w:val="00A8408F"/>
    <w:rsid w:val="00A84D4B"/>
    <w:rsid w:val="00A85468"/>
    <w:rsid w:val="00A8556F"/>
    <w:rsid w:val="00A8624B"/>
    <w:rsid w:val="00A8644C"/>
    <w:rsid w:val="00A87284"/>
    <w:rsid w:val="00A872E7"/>
    <w:rsid w:val="00A873CA"/>
    <w:rsid w:val="00A876BC"/>
    <w:rsid w:val="00A87CF0"/>
    <w:rsid w:val="00A90DAA"/>
    <w:rsid w:val="00A9113F"/>
    <w:rsid w:val="00A91435"/>
    <w:rsid w:val="00A916E8"/>
    <w:rsid w:val="00A917E8"/>
    <w:rsid w:val="00A91A87"/>
    <w:rsid w:val="00A91B8A"/>
    <w:rsid w:val="00A91F0C"/>
    <w:rsid w:val="00A91F83"/>
    <w:rsid w:val="00A923D6"/>
    <w:rsid w:val="00A929A2"/>
    <w:rsid w:val="00A934D7"/>
    <w:rsid w:val="00A938D5"/>
    <w:rsid w:val="00A93C20"/>
    <w:rsid w:val="00A95952"/>
    <w:rsid w:val="00A96741"/>
    <w:rsid w:val="00A96C91"/>
    <w:rsid w:val="00A97023"/>
    <w:rsid w:val="00A970C3"/>
    <w:rsid w:val="00A9749B"/>
    <w:rsid w:val="00A97602"/>
    <w:rsid w:val="00A97EFA"/>
    <w:rsid w:val="00AA0582"/>
    <w:rsid w:val="00AA0B47"/>
    <w:rsid w:val="00AA1525"/>
    <w:rsid w:val="00AA158A"/>
    <w:rsid w:val="00AA15B8"/>
    <w:rsid w:val="00AA1B5A"/>
    <w:rsid w:val="00AA1DB5"/>
    <w:rsid w:val="00AA1EC1"/>
    <w:rsid w:val="00AA255C"/>
    <w:rsid w:val="00AA25B8"/>
    <w:rsid w:val="00AA3276"/>
    <w:rsid w:val="00AA36AB"/>
    <w:rsid w:val="00AA4AFB"/>
    <w:rsid w:val="00AA4FBA"/>
    <w:rsid w:val="00AA5313"/>
    <w:rsid w:val="00AA5669"/>
    <w:rsid w:val="00AA5CC5"/>
    <w:rsid w:val="00AA63D9"/>
    <w:rsid w:val="00AA6561"/>
    <w:rsid w:val="00AA65A1"/>
    <w:rsid w:val="00AA6C67"/>
    <w:rsid w:val="00AA6EEE"/>
    <w:rsid w:val="00AA7113"/>
    <w:rsid w:val="00AA746F"/>
    <w:rsid w:val="00AA7A75"/>
    <w:rsid w:val="00AA7E86"/>
    <w:rsid w:val="00AB0223"/>
    <w:rsid w:val="00AB064F"/>
    <w:rsid w:val="00AB0C2F"/>
    <w:rsid w:val="00AB0F21"/>
    <w:rsid w:val="00AB166B"/>
    <w:rsid w:val="00AB1DA3"/>
    <w:rsid w:val="00AB1E50"/>
    <w:rsid w:val="00AB225C"/>
    <w:rsid w:val="00AB265E"/>
    <w:rsid w:val="00AB2682"/>
    <w:rsid w:val="00AB2C0F"/>
    <w:rsid w:val="00AB2C63"/>
    <w:rsid w:val="00AB2C84"/>
    <w:rsid w:val="00AB30A1"/>
    <w:rsid w:val="00AB33A8"/>
    <w:rsid w:val="00AB381A"/>
    <w:rsid w:val="00AB4D73"/>
    <w:rsid w:val="00AB5644"/>
    <w:rsid w:val="00AB57D7"/>
    <w:rsid w:val="00AB773C"/>
    <w:rsid w:val="00AB7933"/>
    <w:rsid w:val="00AB7FE4"/>
    <w:rsid w:val="00AC02F3"/>
    <w:rsid w:val="00AC055A"/>
    <w:rsid w:val="00AC0C99"/>
    <w:rsid w:val="00AC0CF9"/>
    <w:rsid w:val="00AC15C3"/>
    <w:rsid w:val="00AC1883"/>
    <w:rsid w:val="00AC1B0A"/>
    <w:rsid w:val="00AC2057"/>
    <w:rsid w:val="00AC216C"/>
    <w:rsid w:val="00AC2716"/>
    <w:rsid w:val="00AC2BC6"/>
    <w:rsid w:val="00AC356B"/>
    <w:rsid w:val="00AC3992"/>
    <w:rsid w:val="00AC3D6F"/>
    <w:rsid w:val="00AC442A"/>
    <w:rsid w:val="00AC4710"/>
    <w:rsid w:val="00AC4BFF"/>
    <w:rsid w:val="00AC4C44"/>
    <w:rsid w:val="00AC5511"/>
    <w:rsid w:val="00AC5AFF"/>
    <w:rsid w:val="00AC5EB4"/>
    <w:rsid w:val="00AC5F61"/>
    <w:rsid w:val="00AC6339"/>
    <w:rsid w:val="00AC649B"/>
    <w:rsid w:val="00AC65C8"/>
    <w:rsid w:val="00AC69F4"/>
    <w:rsid w:val="00AC72EA"/>
    <w:rsid w:val="00AC7785"/>
    <w:rsid w:val="00AD0171"/>
    <w:rsid w:val="00AD0A21"/>
    <w:rsid w:val="00AD0C7E"/>
    <w:rsid w:val="00AD17D6"/>
    <w:rsid w:val="00AD189C"/>
    <w:rsid w:val="00AD1EE1"/>
    <w:rsid w:val="00AD25DA"/>
    <w:rsid w:val="00AD3260"/>
    <w:rsid w:val="00AD32CD"/>
    <w:rsid w:val="00AD34E1"/>
    <w:rsid w:val="00AD3885"/>
    <w:rsid w:val="00AD38AD"/>
    <w:rsid w:val="00AD3D4F"/>
    <w:rsid w:val="00AD3E29"/>
    <w:rsid w:val="00AD435A"/>
    <w:rsid w:val="00AD46EA"/>
    <w:rsid w:val="00AD4A56"/>
    <w:rsid w:val="00AD5861"/>
    <w:rsid w:val="00AD5A82"/>
    <w:rsid w:val="00AD5BC1"/>
    <w:rsid w:val="00AD5DF9"/>
    <w:rsid w:val="00AD5E2D"/>
    <w:rsid w:val="00AD6069"/>
    <w:rsid w:val="00AD6287"/>
    <w:rsid w:val="00AD6F22"/>
    <w:rsid w:val="00AD71FB"/>
    <w:rsid w:val="00AD77FA"/>
    <w:rsid w:val="00AD7D6D"/>
    <w:rsid w:val="00AE0359"/>
    <w:rsid w:val="00AE08B9"/>
    <w:rsid w:val="00AE0924"/>
    <w:rsid w:val="00AE1360"/>
    <w:rsid w:val="00AE1CFE"/>
    <w:rsid w:val="00AE226C"/>
    <w:rsid w:val="00AE2302"/>
    <w:rsid w:val="00AE240A"/>
    <w:rsid w:val="00AE26FA"/>
    <w:rsid w:val="00AE2B34"/>
    <w:rsid w:val="00AE2F8D"/>
    <w:rsid w:val="00AE30B5"/>
    <w:rsid w:val="00AE325B"/>
    <w:rsid w:val="00AE3C3C"/>
    <w:rsid w:val="00AE4512"/>
    <w:rsid w:val="00AE5356"/>
    <w:rsid w:val="00AE5751"/>
    <w:rsid w:val="00AE598E"/>
    <w:rsid w:val="00AE5F88"/>
    <w:rsid w:val="00AE62CB"/>
    <w:rsid w:val="00AE6A1C"/>
    <w:rsid w:val="00AE6BB8"/>
    <w:rsid w:val="00AE6DB4"/>
    <w:rsid w:val="00AE6E4C"/>
    <w:rsid w:val="00AE706D"/>
    <w:rsid w:val="00AE71B3"/>
    <w:rsid w:val="00AE7994"/>
    <w:rsid w:val="00AE7B36"/>
    <w:rsid w:val="00AE7C4D"/>
    <w:rsid w:val="00AF028B"/>
    <w:rsid w:val="00AF0565"/>
    <w:rsid w:val="00AF0841"/>
    <w:rsid w:val="00AF0AB5"/>
    <w:rsid w:val="00AF0F43"/>
    <w:rsid w:val="00AF10C9"/>
    <w:rsid w:val="00AF1235"/>
    <w:rsid w:val="00AF1650"/>
    <w:rsid w:val="00AF170F"/>
    <w:rsid w:val="00AF202A"/>
    <w:rsid w:val="00AF28FF"/>
    <w:rsid w:val="00AF3840"/>
    <w:rsid w:val="00AF500E"/>
    <w:rsid w:val="00AF50A4"/>
    <w:rsid w:val="00AF518C"/>
    <w:rsid w:val="00AF5807"/>
    <w:rsid w:val="00AF58F2"/>
    <w:rsid w:val="00AF5DE6"/>
    <w:rsid w:val="00AF5E50"/>
    <w:rsid w:val="00AF5E85"/>
    <w:rsid w:val="00AF5E9E"/>
    <w:rsid w:val="00AF672E"/>
    <w:rsid w:val="00AF6B41"/>
    <w:rsid w:val="00AF6CBE"/>
    <w:rsid w:val="00AF6D57"/>
    <w:rsid w:val="00AF6DAB"/>
    <w:rsid w:val="00AF7D26"/>
    <w:rsid w:val="00AF7E6E"/>
    <w:rsid w:val="00AF7EFC"/>
    <w:rsid w:val="00B00082"/>
    <w:rsid w:val="00B0023C"/>
    <w:rsid w:val="00B0050D"/>
    <w:rsid w:val="00B011F4"/>
    <w:rsid w:val="00B01208"/>
    <w:rsid w:val="00B01432"/>
    <w:rsid w:val="00B01FB9"/>
    <w:rsid w:val="00B024E1"/>
    <w:rsid w:val="00B02632"/>
    <w:rsid w:val="00B0348E"/>
    <w:rsid w:val="00B037C3"/>
    <w:rsid w:val="00B03AD4"/>
    <w:rsid w:val="00B03DE8"/>
    <w:rsid w:val="00B03FE9"/>
    <w:rsid w:val="00B044BA"/>
    <w:rsid w:val="00B0478D"/>
    <w:rsid w:val="00B049BC"/>
    <w:rsid w:val="00B04D38"/>
    <w:rsid w:val="00B051A5"/>
    <w:rsid w:val="00B0534A"/>
    <w:rsid w:val="00B0567F"/>
    <w:rsid w:val="00B0586F"/>
    <w:rsid w:val="00B058FE"/>
    <w:rsid w:val="00B05EC1"/>
    <w:rsid w:val="00B05FFE"/>
    <w:rsid w:val="00B06212"/>
    <w:rsid w:val="00B062DA"/>
    <w:rsid w:val="00B06314"/>
    <w:rsid w:val="00B06348"/>
    <w:rsid w:val="00B063BE"/>
    <w:rsid w:val="00B06630"/>
    <w:rsid w:val="00B06BB4"/>
    <w:rsid w:val="00B06BE8"/>
    <w:rsid w:val="00B074C8"/>
    <w:rsid w:val="00B078A4"/>
    <w:rsid w:val="00B07C5E"/>
    <w:rsid w:val="00B100F3"/>
    <w:rsid w:val="00B106AF"/>
    <w:rsid w:val="00B10759"/>
    <w:rsid w:val="00B10E85"/>
    <w:rsid w:val="00B10EAB"/>
    <w:rsid w:val="00B1136D"/>
    <w:rsid w:val="00B11B06"/>
    <w:rsid w:val="00B123A7"/>
    <w:rsid w:val="00B12842"/>
    <w:rsid w:val="00B12BB9"/>
    <w:rsid w:val="00B12C99"/>
    <w:rsid w:val="00B1324C"/>
    <w:rsid w:val="00B1360F"/>
    <w:rsid w:val="00B13779"/>
    <w:rsid w:val="00B13AD4"/>
    <w:rsid w:val="00B13BDD"/>
    <w:rsid w:val="00B14143"/>
    <w:rsid w:val="00B14370"/>
    <w:rsid w:val="00B14CC3"/>
    <w:rsid w:val="00B14DDE"/>
    <w:rsid w:val="00B1521B"/>
    <w:rsid w:val="00B1561C"/>
    <w:rsid w:val="00B156F3"/>
    <w:rsid w:val="00B157F3"/>
    <w:rsid w:val="00B16DD1"/>
    <w:rsid w:val="00B16EAD"/>
    <w:rsid w:val="00B17E25"/>
    <w:rsid w:val="00B20075"/>
    <w:rsid w:val="00B2051D"/>
    <w:rsid w:val="00B206CA"/>
    <w:rsid w:val="00B20774"/>
    <w:rsid w:val="00B207AB"/>
    <w:rsid w:val="00B210D1"/>
    <w:rsid w:val="00B211E0"/>
    <w:rsid w:val="00B2130A"/>
    <w:rsid w:val="00B21338"/>
    <w:rsid w:val="00B213E0"/>
    <w:rsid w:val="00B2142C"/>
    <w:rsid w:val="00B21CBA"/>
    <w:rsid w:val="00B22643"/>
    <w:rsid w:val="00B22B6F"/>
    <w:rsid w:val="00B22E0A"/>
    <w:rsid w:val="00B23534"/>
    <w:rsid w:val="00B235EB"/>
    <w:rsid w:val="00B236F0"/>
    <w:rsid w:val="00B2440C"/>
    <w:rsid w:val="00B2460C"/>
    <w:rsid w:val="00B24AC4"/>
    <w:rsid w:val="00B24CA1"/>
    <w:rsid w:val="00B25050"/>
    <w:rsid w:val="00B251E0"/>
    <w:rsid w:val="00B25441"/>
    <w:rsid w:val="00B256CC"/>
    <w:rsid w:val="00B25BBA"/>
    <w:rsid w:val="00B25D98"/>
    <w:rsid w:val="00B25E46"/>
    <w:rsid w:val="00B26106"/>
    <w:rsid w:val="00B2633E"/>
    <w:rsid w:val="00B26564"/>
    <w:rsid w:val="00B26655"/>
    <w:rsid w:val="00B26DA8"/>
    <w:rsid w:val="00B26F8A"/>
    <w:rsid w:val="00B279FC"/>
    <w:rsid w:val="00B27E70"/>
    <w:rsid w:val="00B3002B"/>
    <w:rsid w:val="00B300F9"/>
    <w:rsid w:val="00B304A4"/>
    <w:rsid w:val="00B30768"/>
    <w:rsid w:val="00B30EE2"/>
    <w:rsid w:val="00B31177"/>
    <w:rsid w:val="00B313DC"/>
    <w:rsid w:val="00B3166A"/>
    <w:rsid w:val="00B317D4"/>
    <w:rsid w:val="00B31976"/>
    <w:rsid w:val="00B31C41"/>
    <w:rsid w:val="00B31EC0"/>
    <w:rsid w:val="00B32995"/>
    <w:rsid w:val="00B32E55"/>
    <w:rsid w:val="00B32F0F"/>
    <w:rsid w:val="00B338EE"/>
    <w:rsid w:val="00B33C10"/>
    <w:rsid w:val="00B34062"/>
    <w:rsid w:val="00B34CD6"/>
    <w:rsid w:val="00B353F6"/>
    <w:rsid w:val="00B355AF"/>
    <w:rsid w:val="00B356FB"/>
    <w:rsid w:val="00B35997"/>
    <w:rsid w:val="00B35AD5"/>
    <w:rsid w:val="00B35AD8"/>
    <w:rsid w:val="00B35C78"/>
    <w:rsid w:val="00B35E94"/>
    <w:rsid w:val="00B35FB1"/>
    <w:rsid w:val="00B35FF7"/>
    <w:rsid w:val="00B3625B"/>
    <w:rsid w:val="00B370B7"/>
    <w:rsid w:val="00B3712F"/>
    <w:rsid w:val="00B37541"/>
    <w:rsid w:val="00B375C2"/>
    <w:rsid w:val="00B3767F"/>
    <w:rsid w:val="00B37868"/>
    <w:rsid w:val="00B40651"/>
    <w:rsid w:val="00B4070A"/>
    <w:rsid w:val="00B40746"/>
    <w:rsid w:val="00B4089F"/>
    <w:rsid w:val="00B40929"/>
    <w:rsid w:val="00B40CE4"/>
    <w:rsid w:val="00B41541"/>
    <w:rsid w:val="00B419FA"/>
    <w:rsid w:val="00B41EE5"/>
    <w:rsid w:val="00B4229B"/>
    <w:rsid w:val="00B42864"/>
    <w:rsid w:val="00B42CCF"/>
    <w:rsid w:val="00B435A8"/>
    <w:rsid w:val="00B442DF"/>
    <w:rsid w:val="00B443DA"/>
    <w:rsid w:val="00B4462F"/>
    <w:rsid w:val="00B4498E"/>
    <w:rsid w:val="00B44C2C"/>
    <w:rsid w:val="00B4533C"/>
    <w:rsid w:val="00B455C4"/>
    <w:rsid w:val="00B45FAE"/>
    <w:rsid w:val="00B46557"/>
    <w:rsid w:val="00B4696C"/>
    <w:rsid w:val="00B46FB7"/>
    <w:rsid w:val="00B4704B"/>
    <w:rsid w:val="00B47B7B"/>
    <w:rsid w:val="00B50B4F"/>
    <w:rsid w:val="00B51139"/>
    <w:rsid w:val="00B5119A"/>
    <w:rsid w:val="00B511A9"/>
    <w:rsid w:val="00B5152A"/>
    <w:rsid w:val="00B51AB5"/>
    <w:rsid w:val="00B51B0D"/>
    <w:rsid w:val="00B5258D"/>
    <w:rsid w:val="00B5278A"/>
    <w:rsid w:val="00B52C6B"/>
    <w:rsid w:val="00B52F73"/>
    <w:rsid w:val="00B5388D"/>
    <w:rsid w:val="00B53E1A"/>
    <w:rsid w:val="00B5405B"/>
    <w:rsid w:val="00B54232"/>
    <w:rsid w:val="00B54791"/>
    <w:rsid w:val="00B5484A"/>
    <w:rsid w:val="00B550E6"/>
    <w:rsid w:val="00B550F3"/>
    <w:rsid w:val="00B552CB"/>
    <w:rsid w:val="00B55A92"/>
    <w:rsid w:val="00B55F3E"/>
    <w:rsid w:val="00B560D9"/>
    <w:rsid w:val="00B57638"/>
    <w:rsid w:val="00B57B7F"/>
    <w:rsid w:val="00B57EFC"/>
    <w:rsid w:val="00B57F0E"/>
    <w:rsid w:val="00B601DA"/>
    <w:rsid w:val="00B606AC"/>
    <w:rsid w:val="00B6095C"/>
    <w:rsid w:val="00B611CE"/>
    <w:rsid w:val="00B6123A"/>
    <w:rsid w:val="00B617BB"/>
    <w:rsid w:val="00B617F6"/>
    <w:rsid w:val="00B6187E"/>
    <w:rsid w:val="00B61C1F"/>
    <w:rsid w:val="00B61E44"/>
    <w:rsid w:val="00B62320"/>
    <w:rsid w:val="00B62556"/>
    <w:rsid w:val="00B62904"/>
    <w:rsid w:val="00B629DF"/>
    <w:rsid w:val="00B631FE"/>
    <w:rsid w:val="00B6343B"/>
    <w:rsid w:val="00B6344A"/>
    <w:rsid w:val="00B63545"/>
    <w:rsid w:val="00B638A3"/>
    <w:rsid w:val="00B6394B"/>
    <w:rsid w:val="00B63974"/>
    <w:rsid w:val="00B6453D"/>
    <w:rsid w:val="00B64AD3"/>
    <w:rsid w:val="00B64ADD"/>
    <w:rsid w:val="00B64FEE"/>
    <w:rsid w:val="00B65057"/>
    <w:rsid w:val="00B65346"/>
    <w:rsid w:val="00B655D5"/>
    <w:rsid w:val="00B65C49"/>
    <w:rsid w:val="00B6693D"/>
    <w:rsid w:val="00B669F6"/>
    <w:rsid w:val="00B66D3E"/>
    <w:rsid w:val="00B66FF5"/>
    <w:rsid w:val="00B672F6"/>
    <w:rsid w:val="00B67A58"/>
    <w:rsid w:val="00B67B2E"/>
    <w:rsid w:val="00B67EAF"/>
    <w:rsid w:val="00B704E5"/>
    <w:rsid w:val="00B7087C"/>
    <w:rsid w:val="00B70CB8"/>
    <w:rsid w:val="00B70DC0"/>
    <w:rsid w:val="00B71271"/>
    <w:rsid w:val="00B718C3"/>
    <w:rsid w:val="00B71C7A"/>
    <w:rsid w:val="00B71E3F"/>
    <w:rsid w:val="00B71EF5"/>
    <w:rsid w:val="00B72522"/>
    <w:rsid w:val="00B725B6"/>
    <w:rsid w:val="00B72764"/>
    <w:rsid w:val="00B73112"/>
    <w:rsid w:val="00B7335F"/>
    <w:rsid w:val="00B7371C"/>
    <w:rsid w:val="00B73A4E"/>
    <w:rsid w:val="00B73BED"/>
    <w:rsid w:val="00B73C7B"/>
    <w:rsid w:val="00B73D81"/>
    <w:rsid w:val="00B74232"/>
    <w:rsid w:val="00B743D9"/>
    <w:rsid w:val="00B743FA"/>
    <w:rsid w:val="00B74E0D"/>
    <w:rsid w:val="00B74F65"/>
    <w:rsid w:val="00B750BA"/>
    <w:rsid w:val="00B75732"/>
    <w:rsid w:val="00B7649D"/>
    <w:rsid w:val="00B76B40"/>
    <w:rsid w:val="00B77FC6"/>
    <w:rsid w:val="00B809C3"/>
    <w:rsid w:val="00B810C9"/>
    <w:rsid w:val="00B81A5A"/>
    <w:rsid w:val="00B81D3E"/>
    <w:rsid w:val="00B8226F"/>
    <w:rsid w:val="00B82D45"/>
    <w:rsid w:val="00B83822"/>
    <w:rsid w:val="00B839DC"/>
    <w:rsid w:val="00B83B0F"/>
    <w:rsid w:val="00B83DCD"/>
    <w:rsid w:val="00B8494B"/>
    <w:rsid w:val="00B85263"/>
    <w:rsid w:val="00B85300"/>
    <w:rsid w:val="00B856B6"/>
    <w:rsid w:val="00B8575E"/>
    <w:rsid w:val="00B85910"/>
    <w:rsid w:val="00B86EDE"/>
    <w:rsid w:val="00B8759F"/>
    <w:rsid w:val="00B877A0"/>
    <w:rsid w:val="00B87854"/>
    <w:rsid w:val="00B87AE8"/>
    <w:rsid w:val="00B903E6"/>
    <w:rsid w:val="00B90590"/>
    <w:rsid w:val="00B915B7"/>
    <w:rsid w:val="00B916FF"/>
    <w:rsid w:val="00B92BCF"/>
    <w:rsid w:val="00B930E5"/>
    <w:rsid w:val="00B93644"/>
    <w:rsid w:val="00B938B4"/>
    <w:rsid w:val="00B939FD"/>
    <w:rsid w:val="00B93FC8"/>
    <w:rsid w:val="00B948F7"/>
    <w:rsid w:val="00B94A37"/>
    <w:rsid w:val="00B94C69"/>
    <w:rsid w:val="00B95A46"/>
    <w:rsid w:val="00B95A8F"/>
    <w:rsid w:val="00B95D5A"/>
    <w:rsid w:val="00B96376"/>
    <w:rsid w:val="00B97688"/>
    <w:rsid w:val="00B976BD"/>
    <w:rsid w:val="00B97797"/>
    <w:rsid w:val="00B97E92"/>
    <w:rsid w:val="00B97EC1"/>
    <w:rsid w:val="00B97F95"/>
    <w:rsid w:val="00BA005B"/>
    <w:rsid w:val="00BA0633"/>
    <w:rsid w:val="00BA0A9E"/>
    <w:rsid w:val="00BA1213"/>
    <w:rsid w:val="00BA1689"/>
    <w:rsid w:val="00BA199F"/>
    <w:rsid w:val="00BA1B4F"/>
    <w:rsid w:val="00BA2178"/>
    <w:rsid w:val="00BA29B9"/>
    <w:rsid w:val="00BA2C8C"/>
    <w:rsid w:val="00BA31CC"/>
    <w:rsid w:val="00BA3253"/>
    <w:rsid w:val="00BA3311"/>
    <w:rsid w:val="00BA3AF8"/>
    <w:rsid w:val="00BA4305"/>
    <w:rsid w:val="00BA453A"/>
    <w:rsid w:val="00BA4874"/>
    <w:rsid w:val="00BA525B"/>
    <w:rsid w:val="00BA5511"/>
    <w:rsid w:val="00BA574C"/>
    <w:rsid w:val="00BA595F"/>
    <w:rsid w:val="00BA5AD5"/>
    <w:rsid w:val="00BA5C4F"/>
    <w:rsid w:val="00BA6183"/>
    <w:rsid w:val="00BA6271"/>
    <w:rsid w:val="00BA6280"/>
    <w:rsid w:val="00BA6531"/>
    <w:rsid w:val="00BA6CA8"/>
    <w:rsid w:val="00BA6DB0"/>
    <w:rsid w:val="00BA702A"/>
    <w:rsid w:val="00BA73FA"/>
    <w:rsid w:val="00BA741E"/>
    <w:rsid w:val="00BA765F"/>
    <w:rsid w:val="00BA794F"/>
    <w:rsid w:val="00BA7E86"/>
    <w:rsid w:val="00BA7F42"/>
    <w:rsid w:val="00BB0098"/>
    <w:rsid w:val="00BB03E8"/>
    <w:rsid w:val="00BB05B5"/>
    <w:rsid w:val="00BB0846"/>
    <w:rsid w:val="00BB0BE4"/>
    <w:rsid w:val="00BB0D9B"/>
    <w:rsid w:val="00BB0EAA"/>
    <w:rsid w:val="00BB1863"/>
    <w:rsid w:val="00BB29B3"/>
    <w:rsid w:val="00BB3114"/>
    <w:rsid w:val="00BB3224"/>
    <w:rsid w:val="00BB3CF8"/>
    <w:rsid w:val="00BB435C"/>
    <w:rsid w:val="00BB4410"/>
    <w:rsid w:val="00BB5024"/>
    <w:rsid w:val="00BB535D"/>
    <w:rsid w:val="00BB548B"/>
    <w:rsid w:val="00BB62E9"/>
    <w:rsid w:val="00BB666A"/>
    <w:rsid w:val="00BB6AA1"/>
    <w:rsid w:val="00BB6B15"/>
    <w:rsid w:val="00BB6E2D"/>
    <w:rsid w:val="00BC0A87"/>
    <w:rsid w:val="00BC1769"/>
    <w:rsid w:val="00BC2220"/>
    <w:rsid w:val="00BC22BB"/>
    <w:rsid w:val="00BC259A"/>
    <w:rsid w:val="00BC2637"/>
    <w:rsid w:val="00BC277A"/>
    <w:rsid w:val="00BC2976"/>
    <w:rsid w:val="00BC2D6C"/>
    <w:rsid w:val="00BC37E2"/>
    <w:rsid w:val="00BC3DCD"/>
    <w:rsid w:val="00BC4162"/>
    <w:rsid w:val="00BC435A"/>
    <w:rsid w:val="00BC46F6"/>
    <w:rsid w:val="00BC4AD6"/>
    <w:rsid w:val="00BC510C"/>
    <w:rsid w:val="00BC53C0"/>
    <w:rsid w:val="00BC5D94"/>
    <w:rsid w:val="00BC5DA1"/>
    <w:rsid w:val="00BC5F5E"/>
    <w:rsid w:val="00BC669A"/>
    <w:rsid w:val="00BC6AE8"/>
    <w:rsid w:val="00BC71B1"/>
    <w:rsid w:val="00BC7284"/>
    <w:rsid w:val="00BC7448"/>
    <w:rsid w:val="00BC74B3"/>
    <w:rsid w:val="00BC7557"/>
    <w:rsid w:val="00BC7BEE"/>
    <w:rsid w:val="00BD02E2"/>
    <w:rsid w:val="00BD0AA9"/>
    <w:rsid w:val="00BD0C9A"/>
    <w:rsid w:val="00BD0DA0"/>
    <w:rsid w:val="00BD101C"/>
    <w:rsid w:val="00BD1071"/>
    <w:rsid w:val="00BD13BE"/>
    <w:rsid w:val="00BD2C85"/>
    <w:rsid w:val="00BD2CB1"/>
    <w:rsid w:val="00BD2D0D"/>
    <w:rsid w:val="00BD3463"/>
    <w:rsid w:val="00BD348E"/>
    <w:rsid w:val="00BD3852"/>
    <w:rsid w:val="00BD433A"/>
    <w:rsid w:val="00BD43B2"/>
    <w:rsid w:val="00BD47FC"/>
    <w:rsid w:val="00BD4D42"/>
    <w:rsid w:val="00BD4D59"/>
    <w:rsid w:val="00BD4F45"/>
    <w:rsid w:val="00BD518D"/>
    <w:rsid w:val="00BD53B7"/>
    <w:rsid w:val="00BD545D"/>
    <w:rsid w:val="00BD5504"/>
    <w:rsid w:val="00BD56BC"/>
    <w:rsid w:val="00BD5B0F"/>
    <w:rsid w:val="00BD5B87"/>
    <w:rsid w:val="00BD6A7F"/>
    <w:rsid w:val="00BD6EB8"/>
    <w:rsid w:val="00BD705B"/>
    <w:rsid w:val="00BD75D9"/>
    <w:rsid w:val="00BD799B"/>
    <w:rsid w:val="00BD7FF6"/>
    <w:rsid w:val="00BE048E"/>
    <w:rsid w:val="00BE068A"/>
    <w:rsid w:val="00BE0B15"/>
    <w:rsid w:val="00BE0F83"/>
    <w:rsid w:val="00BE1DBE"/>
    <w:rsid w:val="00BE206A"/>
    <w:rsid w:val="00BE20D4"/>
    <w:rsid w:val="00BE262E"/>
    <w:rsid w:val="00BE3133"/>
    <w:rsid w:val="00BE3740"/>
    <w:rsid w:val="00BE395D"/>
    <w:rsid w:val="00BE3A13"/>
    <w:rsid w:val="00BE4BE4"/>
    <w:rsid w:val="00BE4E13"/>
    <w:rsid w:val="00BE4E47"/>
    <w:rsid w:val="00BE4ECB"/>
    <w:rsid w:val="00BE4FA7"/>
    <w:rsid w:val="00BE5160"/>
    <w:rsid w:val="00BE5581"/>
    <w:rsid w:val="00BE5BB2"/>
    <w:rsid w:val="00BE63E3"/>
    <w:rsid w:val="00BE697B"/>
    <w:rsid w:val="00BE6B74"/>
    <w:rsid w:val="00BE7F5F"/>
    <w:rsid w:val="00BF0708"/>
    <w:rsid w:val="00BF0764"/>
    <w:rsid w:val="00BF0B19"/>
    <w:rsid w:val="00BF1A7C"/>
    <w:rsid w:val="00BF2465"/>
    <w:rsid w:val="00BF2590"/>
    <w:rsid w:val="00BF29FA"/>
    <w:rsid w:val="00BF4C0A"/>
    <w:rsid w:val="00BF4EC1"/>
    <w:rsid w:val="00BF53AC"/>
    <w:rsid w:val="00BF546C"/>
    <w:rsid w:val="00BF5575"/>
    <w:rsid w:val="00BF5746"/>
    <w:rsid w:val="00BF585A"/>
    <w:rsid w:val="00BF620C"/>
    <w:rsid w:val="00BF6223"/>
    <w:rsid w:val="00BF62EA"/>
    <w:rsid w:val="00BF73ED"/>
    <w:rsid w:val="00BF7604"/>
    <w:rsid w:val="00BF7796"/>
    <w:rsid w:val="00BF7A14"/>
    <w:rsid w:val="00BF7B1A"/>
    <w:rsid w:val="00BF7DD2"/>
    <w:rsid w:val="00BF7E60"/>
    <w:rsid w:val="00C00312"/>
    <w:rsid w:val="00C00581"/>
    <w:rsid w:val="00C0086A"/>
    <w:rsid w:val="00C00DB1"/>
    <w:rsid w:val="00C01218"/>
    <w:rsid w:val="00C0130F"/>
    <w:rsid w:val="00C016BC"/>
    <w:rsid w:val="00C01801"/>
    <w:rsid w:val="00C01A9D"/>
    <w:rsid w:val="00C01B94"/>
    <w:rsid w:val="00C01BCF"/>
    <w:rsid w:val="00C01E93"/>
    <w:rsid w:val="00C02961"/>
    <w:rsid w:val="00C03901"/>
    <w:rsid w:val="00C03D60"/>
    <w:rsid w:val="00C0497E"/>
    <w:rsid w:val="00C04AB5"/>
    <w:rsid w:val="00C0504D"/>
    <w:rsid w:val="00C05173"/>
    <w:rsid w:val="00C0534D"/>
    <w:rsid w:val="00C06110"/>
    <w:rsid w:val="00C06309"/>
    <w:rsid w:val="00C06434"/>
    <w:rsid w:val="00C06696"/>
    <w:rsid w:val="00C0677E"/>
    <w:rsid w:val="00C06D4E"/>
    <w:rsid w:val="00C074A8"/>
    <w:rsid w:val="00C07517"/>
    <w:rsid w:val="00C077FA"/>
    <w:rsid w:val="00C07A20"/>
    <w:rsid w:val="00C07BF0"/>
    <w:rsid w:val="00C07DCC"/>
    <w:rsid w:val="00C07E4A"/>
    <w:rsid w:val="00C10188"/>
    <w:rsid w:val="00C10339"/>
    <w:rsid w:val="00C1065C"/>
    <w:rsid w:val="00C1078B"/>
    <w:rsid w:val="00C116B3"/>
    <w:rsid w:val="00C1170E"/>
    <w:rsid w:val="00C1198E"/>
    <w:rsid w:val="00C11A58"/>
    <w:rsid w:val="00C11C9B"/>
    <w:rsid w:val="00C1222C"/>
    <w:rsid w:val="00C12A97"/>
    <w:rsid w:val="00C13187"/>
    <w:rsid w:val="00C135DB"/>
    <w:rsid w:val="00C138AF"/>
    <w:rsid w:val="00C13D20"/>
    <w:rsid w:val="00C13DAB"/>
    <w:rsid w:val="00C14B5D"/>
    <w:rsid w:val="00C14B69"/>
    <w:rsid w:val="00C14B97"/>
    <w:rsid w:val="00C14E7C"/>
    <w:rsid w:val="00C14FF6"/>
    <w:rsid w:val="00C1511E"/>
    <w:rsid w:val="00C15133"/>
    <w:rsid w:val="00C15536"/>
    <w:rsid w:val="00C155CD"/>
    <w:rsid w:val="00C15706"/>
    <w:rsid w:val="00C158E1"/>
    <w:rsid w:val="00C15964"/>
    <w:rsid w:val="00C15C4F"/>
    <w:rsid w:val="00C16461"/>
    <w:rsid w:val="00C1658B"/>
    <w:rsid w:val="00C16941"/>
    <w:rsid w:val="00C16BFC"/>
    <w:rsid w:val="00C1719E"/>
    <w:rsid w:val="00C171B9"/>
    <w:rsid w:val="00C17591"/>
    <w:rsid w:val="00C17D35"/>
    <w:rsid w:val="00C17FB8"/>
    <w:rsid w:val="00C203B0"/>
    <w:rsid w:val="00C20450"/>
    <w:rsid w:val="00C21239"/>
    <w:rsid w:val="00C21DC6"/>
    <w:rsid w:val="00C222CF"/>
    <w:rsid w:val="00C22826"/>
    <w:rsid w:val="00C22EC1"/>
    <w:rsid w:val="00C23C41"/>
    <w:rsid w:val="00C2485B"/>
    <w:rsid w:val="00C249AB"/>
    <w:rsid w:val="00C2568D"/>
    <w:rsid w:val="00C25843"/>
    <w:rsid w:val="00C2588B"/>
    <w:rsid w:val="00C25A7F"/>
    <w:rsid w:val="00C262EA"/>
    <w:rsid w:val="00C267DD"/>
    <w:rsid w:val="00C26840"/>
    <w:rsid w:val="00C26EB0"/>
    <w:rsid w:val="00C273A3"/>
    <w:rsid w:val="00C27980"/>
    <w:rsid w:val="00C27B1A"/>
    <w:rsid w:val="00C30055"/>
    <w:rsid w:val="00C304AA"/>
    <w:rsid w:val="00C30578"/>
    <w:rsid w:val="00C30703"/>
    <w:rsid w:val="00C30759"/>
    <w:rsid w:val="00C3152B"/>
    <w:rsid w:val="00C315D2"/>
    <w:rsid w:val="00C3211B"/>
    <w:rsid w:val="00C32207"/>
    <w:rsid w:val="00C3244A"/>
    <w:rsid w:val="00C32AF4"/>
    <w:rsid w:val="00C3322A"/>
    <w:rsid w:val="00C33671"/>
    <w:rsid w:val="00C33BD5"/>
    <w:rsid w:val="00C344F0"/>
    <w:rsid w:val="00C34738"/>
    <w:rsid w:val="00C34807"/>
    <w:rsid w:val="00C34838"/>
    <w:rsid w:val="00C34862"/>
    <w:rsid w:val="00C34A83"/>
    <w:rsid w:val="00C34C2C"/>
    <w:rsid w:val="00C34D32"/>
    <w:rsid w:val="00C350FF"/>
    <w:rsid w:val="00C366E3"/>
    <w:rsid w:val="00C36BBB"/>
    <w:rsid w:val="00C36BEE"/>
    <w:rsid w:val="00C37BA6"/>
    <w:rsid w:val="00C400CE"/>
    <w:rsid w:val="00C40765"/>
    <w:rsid w:val="00C40B4D"/>
    <w:rsid w:val="00C41020"/>
    <w:rsid w:val="00C41A52"/>
    <w:rsid w:val="00C41AA7"/>
    <w:rsid w:val="00C42459"/>
    <w:rsid w:val="00C42949"/>
    <w:rsid w:val="00C429B7"/>
    <w:rsid w:val="00C42D21"/>
    <w:rsid w:val="00C42DEB"/>
    <w:rsid w:val="00C43125"/>
    <w:rsid w:val="00C4327A"/>
    <w:rsid w:val="00C43378"/>
    <w:rsid w:val="00C437AA"/>
    <w:rsid w:val="00C43B79"/>
    <w:rsid w:val="00C446E6"/>
    <w:rsid w:val="00C44919"/>
    <w:rsid w:val="00C450CA"/>
    <w:rsid w:val="00C45832"/>
    <w:rsid w:val="00C4591B"/>
    <w:rsid w:val="00C46112"/>
    <w:rsid w:val="00C46463"/>
    <w:rsid w:val="00C4687C"/>
    <w:rsid w:val="00C468A4"/>
    <w:rsid w:val="00C468BC"/>
    <w:rsid w:val="00C4695C"/>
    <w:rsid w:val="00C47ADB"/>
    <w:rsid w:val="00C47C7D"/>
    <w:rsid w:val="00C5001C"/>
    <w:rsid w:val="00C50748"/>
    <w:rsid w:val="00C50E61"/>
    <w:rsid w:val="00C51086"/>
    <w:rsid w:val="00C510E6"/>
    <w:rsid w:val="00C52062"/>
    <w:rsid w:val="00C5228A"/>
    <w:rsid w:val="00C52332"/>
    <w:rsid w:val="00C5243E"/>
    <w:rsid w:val="00C52949"/>
    <w:rsid w:val="00C529E8"/>
    <w:rsid w:val="00C52A18"/>
    <w:rsid w:val="00C53E49"/>
    <w:rsid w:val="00C54614"/>
    <w:rsid w:val="00C54A61"/>
    <w:rsid w:val="00C54C2C"/>
    <w:rsid w:val="00C551A8"/>
    <w:rsid w:val="00C556D8"/>
    <w:rsid w:val="00C5609F"/>
    <w:rsid w:val="00C56364"/>
    <w:rsid w:val="00C56DA2"/>
    <w:rsid w:val="00C57160"/>
    <w:rsid w:val="00C577F6"/>
    <w:rsid w:val="00C609EC"/>
    <w:rsid w:val="00C61449"/>
    <w:rsid w:val="00C61570"/>
    <w:rsid w:val="00C615DC"/>
    <w:rsid w:val="00C61791"/>
    <w:rsid w:val="00C61AF4"/>
    <w:rsid w:val="00C61E8A"/>
    <w:rsid w:val="00C61E95"/>
    <w:rsid w:val="00C627C3"/>
    <w:rsid w:val="00C630AF"/>
    <w:rsid w:val="00C6327B"/>
    <w:rsid w:val="00C63A06"/>
    <w:rsid w:val="00C63D2C"/>
    <w:rsid w:val="00C64126"/>
    <w:rsid w:val="00C64559"/>
    <w:rsid w:val="00C64733"/>
    <w:rsid w:val="00C64872"/>
    <w:rsid w:val="00C64C3F"/>
    <w:rsid w:val="00C64E7D"/>
    <w:rsid w:val="00C65925"/>
    <w:rsid w:val="00C65B4D"/>
    <w:rsid w:val="00C65FCA"/>
    <w:rsid w:val="00C66430"/>
    <w:rsid w:val="00C6658A"/>
    <w:rsid w:val="00C66DED"/>
    <w:rsid w:val="00C66FCE"/>
    <w:rsid w:val="00C670F0"/>
    <w:rsid w:val="00C67488"/>
    <w:rsid w:val="00C67589"/>
    <w:rsid w:val="00C67998"/>
    <w:rsid w:val="00C67C83"/>
    <w:rsid w:val="00C67EB3"/>
    <w:rsid w:val="00C67EE0"/>
    <w:rsid w:val="00C7031D"/>
    <w:rsid w:val="00C7045A"/>
    <w:rsid w:val="00C70493"/>
    <w:rsid w:val="00C707AF"/>
    <w:rsid w:val="00C70CE2"/>
    <w:rsid w:val="00C7126B"/>
    <w:rsid w:val="00C71334"/>
    <w:rsid w:val="00C71481"/>
    <w:rsid w:val="00C716B3"/>
    <w:rsid w:val="00C7174A"/>
    <w:rsid w:val="00C719CE"/>
    <w:rsid w:val="00C723F9"/>
    <w:rsid w:val="00C72B9E"/>
    <w:rsid w:val="00C72BA6"/>
    <w:rsid w:val="00C7317C"/>
    <w:rsid w:val="00C7346F"/>
    <w:rsid w:val="00C73D0A"/>
    <w:rsid w:val="00C73E03"/>
    <w:rsid w:val="00C73EF0"/>
    <w:rsid w:val="00C73F68"/>
    <w:rsid w:val="00C7431D"/>
    <w:rsid w:val="00C74855"/>
    <w:rsid w:val="00C74FB0"/>
    <w:rsid w:val="00C75B74"/>
    <w:rsid w:val="00C75C7E"/>
    <w:rsid w:val="00C75E78"/>
    <w:rsid w:val="00C7611A"/>
    <w:rsid w:val="00C761CD"/>
    <w:rsid w:val="00C768CC"/>
    <w:rsid w:val="00C7698D"/>
    <w:rsid w:val="00C769A8"/>
    <w:rsid w:val="00C76A53"/>
    <w:rsid w:val="00C76AF0"/>
    <w:rsid w:val="00C76F30"/>
    <w:rsid w:val="00C772C8"/>
    <w:rsid w:val="00C77633"/>
    <w:rsid w:val="00C778E9"/>
    <w:rsid w:val="00C77AFD"/>
    <w:rsid w:val="00C77C3A"/>
    <w:rsid w:val="00C77DB6"/>
    <w:rsid w:val="00C77EF5"/>
    <w:rsid w:val="00C77FB5"/>
    <w:rsid w:val="00C80729"/>
    <w:rsid w:val="00C80936"/>
    <w:rsid w:val="00C8098D"/>
    <w:rsid w:val="00C80C1E"/>
    <w:rsid w:val="00C80DF2"/>
    <w:rsid w:val="00C81189"/>
    <w:rsid w:val="00C811A5"/>
    <w:rsid w:val="00C82267"/>
    <w:rsid w:val="00C8227B"/>
    <w:rsid w:val="00C82DF3"/>
    <w:rsid w:val="00C83619"/>
    <w:rsid w:val="00C844A4"/>
    <w:rsid w:val="00C849F0"/>
    <w:rsid w:val="00C84F44"/>
    <w:rsid w:val="00C85119"/>
    <w:rsid w:val="00C8519C"/>
    <w:rsid w:val="00C85322"/>
    <w:rsid w:val="00C85832"/>
    <w:rsid w:val="00C85928"/>
    <w:rsid w:val="00C85FBD"/>
    <w:rsid w:val="00C8641B"/>
    <w:rsid w:val="00C8678B"/>
    <w:rsid w:val="00C86D25"/>
    <w:rsid w:val="00C87507"/>
    <w:rsid w:val="00C90039"/>
    <w:rsid w:val="00C90087"/>
    <w:rsid w:val="00C90148"/>
    <w:rsid w:val="00C90189"/>
    <w:rsid w:val="00C905A0"/>
    <w:rsid w:val="00C90813"/>
    <w:rsid w:val="00C90865"/>
    <w:rsid w:val="00C90CC8"/>
    <w:rsid w:val="00C91259"/>
    <w:rsid w:val="00C91269"/>
    <w:rsid w:val="00C913DA"/>
    <w:rsid w:val="00C91489"/>
    <w:rsid w:val="00C91C0B"/>
    <w:rsid w:val="00C91DF6"/>
    <w:rsid w:val="00C92E36"/>
    <w:rsid w:val="00C935A5"/>
    <w:rsid w:val="00C94502"/>
    <w:rsid w:val="00C94649"/>
    <w:rsid w:val="00C94B08"/>
    <w:rsid w:val="00C94B4C"/>
    <w:rsid w:val="00C9507E"/>
    <w:rsid w:val="00C95318"/>
    <w:rsid w:val="00C953F8"/>
    <w:rsid w:val="00C957B9"/>
    <w:rsid w:val="00C964D9"/>
    <w:rsid w:val="00C96665"/>
    <w:rsid w:val="00C96D13"/>
    <w:rsid w:val="00C96F2D"/>
    <w:rsid w:val="00C974C9"/>
    <w:rsid w:val="00C9756D"/>
    <w:rsid w:val="00C97674"/>
    <w:rsid w:val="00C97AF0"/>
    <w:rsid w:val="00CA05E8"/>
    <w:rsid w:val="00CA0DC2"/>
    <w:rsid w:val="00CA127C"/>
    <w:rsid w:val="00CA1818"/>
    <w:rsid w:val="00CA1ACB"/>
    <w:rsid w:val="00CA21D4"/>
    <w:rsid w:val="00CA22B4"/>
    <w:rsid w:val="00CA23E5"/>
    <w:rsid w:val="00CA245E"/>
    <w:rsid w:val="00CA3DA8"/>
    <w:rsid w:val="00CA48DD"/>
    <w:rsid w:val="00CA4A97"/>
    <w:rsid w:val="00CA4AA4"/>
    <w:rsid w:val="00CA5C42"/>
    <w:rsid w:val="00CA5D5E"/>
    <w:rsid w:val="00CA61AD"/>
    <w:rsid w:val="00CA623B"/>
    <w:rsid w:val="00CA6367"/>
    <w:rsid w:val="00CA6485"/>
    <w:rsid w:val="00CA6650"/>
    <w:rsid w:val="00CA6A6F"/>
    <w:rsid w:val="00CA6F66"/>
    <w:rsid w:val="00CA723A"/>
    <w:rsid w:val="00CA775D"/>
    <w:rsid w:val="00CA780C"/>
    <w:rsid w:val="00CA7A15"/>
    <w:rsid w:val="00CA7BB2"/>
    <w:rsid w:val="00CA7BB8"/>
    <w:rsid w:val="00CB0455"/>
    <w:rsid w:val="00CB08F8"/>
    <w:rsid w:val="00CB0947"/>
    <w:rsid w:val="00CB0B5B"/>
    <w:rsid w:val="00CB0E9B"/>
    <w:rsid w:val="00CB0F12"/>
    <w:rsid w:val="00CB1A81"/>
    <w:rsid w:val="00CB2341"/>
    <w:rsid w:val="00CB2670"/>
    <w:rsid w:val="00CB2D26"/>
    <w:rsid w:val="00CB2DD9"/>
    <w:rsid w:val="00CB2FAD"/>
    <w:rsid w:val="00CB321C"/>
    <w:rsid w:val="00CB3E73"/>
    <w:rsid w:val="00CB43F1"/>
    <w:rsid w:val="00CB4513"/>
    <w:rsid w:val="00CB5120"/>
    <w:rsid w:val="00CB5C6D"/>
    <w:rsid w:val="00CB5D21"/>
    <w:rsid w:val="00CB6018"/>
    <w:rsid w:val="00CB6E11"/>
    <w:rsid w:val="00CB729C"/>
    <w:rsid w:val="00CC06E4"/>
    <w:rsid w:val="00CC06F0"/>
    <w:rsid w:val="00CC0B13"/>
    <w:rsid w:val="00CC0BD4"/>
    <w:rsid w:val="00CC1543"/>
    <w:rsid w:val="00CC1B3F"/>
    <w:rsid w:val="00CC1E90"/>
    <w:rsid w:val="00CC1ED1"/>
    <w:rsid w:val="00CC273D"/>
    <w:rsid w:val="00CC2FBC"/>
    <w:rsid w:val="00CC3033"/>
    <w:rsid w:val="00CC3785"/>
    <w:rsid w:val="00CC3B38"/>
    <w:rsid w:val="00CC417E"/>
    <w:rsid w:val="00CC56E2"/>
    <w:rsid w:val="00CC5BBC"/>
    <w:rsid w:val="00CC6107"/>
    <w:rsid w:val="00CC6663"/>
    <w:rsid w:val="00CC67AB"/>
    <w:rsid w:val="00CD008B"/>
    <w:rsid w:val="00CD0171"/>
    <w:rsid w:val="00CD01C9"/>
    <w:rsid w:val="00CD08AB"/>
    <w:rsid w:val="00CD0BB6"/>
    <w:rsid w:val="00CD0E7D"/>
    <w:rsid w:val="00CD0F97"/>
    <w:rsid w:val="00CD10E7"/>
    <w:rsid w:val="00CD1C42"/>
    <w:rsid w:val="00CD1EFB"/>
    <w:rsid w:val="00CD2831"/>
    <w:rsid w:val="00CD29EF"/>
    <w:rsid w:val="00CD331B"/>
    <w:rsid w:val="00CD3954"/>
    <w:rsid w:val="00CD42A8"/>
    <w:rsid w:val="00CD46C5"/>
    <w:rsid w:val="00CD4AEF"/>
    <w:rsid w:val="00CD4FE6"/>
    <w:rsid w:val="00CD4FFD"/>
    <w:rsid w:val="00CD59F8"/>
    <w:rsid w:val="00CD5B06"/>
    <w:rsid w:val="00CD5C65"/>
    <w:rsid w:val="00CD6255"/>
    <w:rsid w:val="00CD6350"/>
    <w:rsid w:val="00CD6613"/>
    <w:rsid w:val="00CD6A72"/>
    <w:rsid w:val="00CD6EAB"/>
    <w:rsid w:val="00CD7DD1"/>
    <w:rsid w:val="00CE0024"/>
    <w:rsid w:val="00CE014A"/>
    <w:rsid w:val="00CE022D"/>
    <w:rsid w:val="00CE0616"/>
    <w:rsid w:val="00CE0629"/>
    <w:rsid w:val="00CE0F09"/>
    <w:rsid w:val="00CE10D2"/>
    <w:rsid w:val="00CE1979"/>
    <w:rsid w:val="00CE1D34"/>
    <w:rsid w:val="00CE2250"/>
    <w:rsid w:val="00CE2335"/>
    <w:rsid w:val="00CE2D43"/>
    <w:rsid w:val="00CE32E5"/>
    <w:rsid w:val="00CE3559"/>
    <w:rsid w:val="00CE3721"/>
    <w:rsid w:val="00CE4D9F"/>
    <w:rsid w:val="00CE544D"/>
    <w:rsid w:val="00CE5945"/>
    <w:rsid w:val="00CE5D19"/>
    <w:rsid w:val="00CE5E4B"/>
    <w:rsid w:val="00CE5F47"/>
    <w:rsid w:val="00CE65FA"/>
    <w:rsid w:val="00CE6B2C"/>
    <w:rsid w:val="00CE6C02"/>
    <w:rsid w:val="00CE70FD"/>
    <w:rsid w:val="00CE712B"/>
    <w:rsid w:val="00CE7255"/>
    <w:rsid w:val="00CE73A1"/>
    <w:rsid w:val="00CE768C"/>
    <w:rsid w:val="00CE782D"/>
    <w:rsid w:val="00CF024A"/>
    <w:rsid w:val="00CF06D4"/>
    <w:rsid w:val="00CF072D"/>
    <w:rsid w:val="00CF07A4"/>
    <w:rsid w:val="00CF094B"/>
    <w:rsid w:val="00CF0D58"/>
    <w:rsid w:val="00CF0DF2"/>
    <w:rsid w:val="00CF10A7"/>
    <w:rsid w:val="00CF1264"/>
    <w:rsid w:val="00CF13DC"/>
    <w:rsid w:val="00CF18EE"/>
    <w:rsid w:val="00CF1A4B"/>
    <w:rsid w:val="00CF1D2D"/>
    <w:rsid w:val="00CF1DE7"/>
    <w:rsid w:val="00CF1EF8"/>
    <w:rsid w:val="00CF282A"/>
    <w:rsid w:val="00CF2E0D"/>
    <w:rsid w:val="00CF2EF7"/>
    <w:rsid w:val="00CF3020"/>
    <w:rsid w:val="00CF303F"/>
    <w:rsid w:val="00CF36F0"/>
    <w:rsid w:val="00CF40E6"/>
    <w:rsid w:val="00CF4AEA"/>
    <w:rsid w:val="00CF4C24"/>
    <w:rsid w:val="00CF57C7"/>
    <w:rsid w:val="00CF5DD9"/>
    <w:rsid w:val="00CF60F5"/>
    <w:rsid w:val="00CF6665"/>
    <w:rsid w:val="00CF6718"/>
    <w:rsid w:val="00CF67F9"/>
    <w:rsid w:val="00CF6DB6"/>
    <w:rsid w:val="00CF6F63"/>
    <w:rsid w:val="00CF7737"/>
    <w:rsid w:val="00CF77DF"/>
    <w:rsid w:val="00CF78BD"/>
    <w:rsid w:val="00CF7B2E"/>
    <w:rsid w:val="00D0042B"/>
    <w:rsid w:val="00D0052A"/>
    <w:rsid w:val="00D00AAF"/>
    <w:rsid w:val="00D00F06"/>
    <w:rsid w:val="00D00F95"/>
    <w:rsid w:val="00D011E9"/>
    <w:rsid w:val="00D01A98"/>
    <w:rsid w:val="00D02007"/>
    <w:rsid w:val="00D02F25"/>
    <w:rsid w:val="00D031CA"/>
    <w:rsid w:val="00D03A9C"/>
    <w:rsid w:val="00D03C0C"/>
    <w:rsid w:val="00D03D3E"/>
    <w:rsid w:val="00D03D65"/>
    <w:rsid w:val="00D03EDE"/>
    <w:rsid w:val="00D03FEE"/>
    <w:rsid w:val="00D04356"/>
    <w:rsid w:val="00D04E6B"/>
    <w:rsid w:val="00D05108"/>
    <w:rsid w:val="00D0553C"/>
    <w:rsid w:val="00D05829"/>
    <w:rsid w:val="00D0583B"/>
    <w:rsid w:val="00D0583F"/>
    <w:rsid w:val="00D059C5"/>
    <w:rsid w:val="00D0625A"/>
    <w:rsid w:val="00D06997"/>
    <w:rsid w:val="00D06BCE"/>
    <w:rsid w:val="00D06E85"/>
    <w:rsid w:val="00D071B7"/>
    <w:rsid w:val="00D07669"/>
    <w:rsid w:val="00D07A02"/>
    <w:rsid w:val="00D07FB7"/>
    <w:rsid w:val="00D106B2"/>
    <w:rsid w:val="00D107EB"/>
    <w:rsid w:val="00D10A27"/>
    <w:rsid w:val="00D110CE"/>
    <w:rsid w:val="00D120A8"/>
    <w:rsid w:val="00D12464"/>
    <w:rsid w:val="00D12498"/>
    <w:rsid w:val="00D12EFF"/>
    <w:rsid w:val="00D1324D"/>
    <w:rsid w:val="00D13312"/>
    <w:rsid w:val="00D13B2D"/>
    <w:rsid w:val="00D14023"/>
    <w:rsid w:val="00D1444B"/>
    <w:rsid w:val="00D14639"/>
    <w:rsid w:val="00D14B52"/>
    <w:rsid w:val="00D14B72"/>
    <w:rsid w:val="00D15BC4"/>
    <w:rsid w:val="00D15C67"/>
    <w:rsid w:val="00D15EEB"/>
    <w:rsid w:val="00D16193"/>
    <w:rsid w:val="00D161E9"/>
    <w:rsid w:val="00D1655E"/>
    <w:rsid w:val="00D16A1B"/>
    <w:rsid w:val="00D16AFB"/>
    <w:rsid w:val="00D16F08"/>
    <w:rsid w:val="00D17094"/>
    <w:rsid w:val="00D200E0"/>
    <w:rsid w:val="00D2022B"/>
    <w:rsid w:val="00D20AE5"/>
    <w:rsid w:val="00D21A48"/>
    <w:rsid w:val="00D21B0E"/>
    <w:rsid w:val="00D21D06"/>
    <w:rsid w:val="00D21EC9"/>
    <w:rsid w:val="00D22225"/>
    <w:rsid w:val="00D2239B"/>
    <w:rsid w:val="00D224C5"/>
    <w:rsid w:val="00D23071"/>
    <w:rsid w:val="00D2310D"/>
    <w:rsid w:val="00D231AC"/>
    <w:rsid w:val="00D24036"/>
    <w:rsid w:val="00D24467"/>
    <w:rsid w:val="00D244F7"/>
    <w:rsid w:val="00D24506"/>
    <w:rsid w:val="00D2504E"/>
    <w:rsid w:val="00D25205"/>
    <w:rsid w:val="00D25274"/>
    <w:rsid w:val="00D25E30"/>
    <w:rsid w:val="00D25E7A"/>
    <w:rsid w:val="00D26386"/>
    <w:rsid w:val="00D264CA"/>
    <w:rsid w:val="00D2671F"/>
    <w:rsid w:val="00D26EC0"/>
    <w:rsid w:val="00D272E7"/>
    <w:rsid w:val="00D27514"/>
    <w:rsid w:val="00D30ABA"/>
    <w:rsid w:val="00D30F3F"/>
    <w:rsid w:val="00D30F5F"/>
    <w:rsid w:val="00D3101B"/>
    <w:rsid w:val="00D318A9"/>
    <w:rsid w:val="00D31ABA"/>
    <w:rsid w:val="00D31B53"/>
    <w:rsid w:val="00D31FA6"/>
    <w:rsid w:val="00D32338"/>
    <w:rsid w:val="00D32A07"/>
    <w:rsid w:val="00D32AD1"/>
    <w:rsid w:val="00D32AD4"/>
    <w:rsid w:val="00D32FEC"/>
    <w:rsid w:val="00D336D7"/>
    <w:rsid w:val="00D33C37"/>
    <w:rsid w:val="00D34517"/>
    <w:rsid w:val="00D34CF4"/>
    <w:rsid w:val="00D34D03"/>
    <w:rsid w:val="00D353D0"/>
    <w:rsid w:val="00D35658"/>
    <w:rsid w:val="00D364BA"/>
    <w:rsid w:val="00D369DD"/>
    <w:rsid w:val="00D36D63"/>
    <w:rsid w:val="00D36E02"/>
    <w:rsid w:val="00D373CD"/>
    <w:rsid w:val="00D403DD"/>
    <w:rsid w:val="00D406DC"/>
    <w:rsid w:val="00D40A51"/>
    <w:rsid w:val="00D41B4C"/>
    <w:rsid w:val="00D4214A"/>
    <w:rsid w:val="00D42365"/>
    <w:rsid w:val="00D427BC"/>
    <w:rsid w:val="00D42A30"/>
    <w:rsid w:val="00D43149"/>
    <w:rsid w:val="00D43278"/>
    <w:rsid w:val="00D43C00"/>
    <w:rsid w:val="00D43F2D"/>
    <w:rsid w:val="00D441C8"/>
    <w:rsid w:val="00D4427F"/>
    <w:rsid w:val="00D4429E"/>
    <w:rsid w:val="00D443EE"/>
    <w:rsid w:val="00D44CFB"/>
    <w:rsid w:val="00D456BB"/>
    <w:rsid w:val="00D4587D"/>
    <w:rsid w:val="00D45A95"/>
    <w:rsid w:val="00D45AC2"/>
    <w:rsid w:val="00D45B5C"/>
    <w:rsid w:val="00D4653B"/>
    <w:rsid w:val="00D4670D"/>
    <w:rsid w:val="00D46AC3"/>
    <w:rsid w:val="00D46D47"/>
    <w:rsid w:val="00D47897"/>
    <w:rsid w:val="00D5016C"/>
    <w:rsid w:val="00D5035D"/>
    <w:rsid w:val="00D50571"/>
    <w:rsid w:val="00D5066E"/>
    <w:rsid w:val="00D50AFB"/>
    <w:rsid w:val="00D51131"/>
    <w:rsid w:val="00D5119F"/>
    <w:rsid w:val="00D515D1"/>
    <w:rsid w:val="00D519F1"/>
    <w:rsid w:val="00D51ED3"/>
    <w:rsid w:val="00D522ED"/>
    <w:rsid w:val="00D52538"/>
    <w:rsid w:val="00D5285D"/>
    <w:rsid w:val="00D52AFF"/>
    <w:rsid w:val="00D52BBF"/>
    <w:rsid w:val="00D52D39"/>
    <w:rsid w:val="00D52F4F"/>
    <w:rsid w:val="00D52FF8"/>
    <w:rsid w:val="00D532B3"/>
    <w:rsid w:val="00D53689"/>
    <w:rsid w:val="00D53AC4"/>
    <w:rsid w:val="00D53F0B"/>
    <w:rsid w:val="00D54059"/>
    <w:rsid w:val="00D5493F"/>
    <w:rsid w:val="00D54B3D"/>
    <w:rsid w:val="00D54C14"/>
    <w:rsid w:val="00D54E79"/>
    <w:rsid w:val="00D5570F"/>
    <w:rsid w:val="00D55753"/>
    <w:rsid w:val="00D55827"/>
    <w:rsid w:val="00D56074"/>
    <w:rsid w:val="00D56435"/>
    <w:rsid w:val="00D56807"/>
    <w:rsid w:val="00D568D8"/>
    <w:rsid w:val="00D56978"/>
    <w:rsid w:val="00D56B21"/>
    <w:rsid w:val="00D56C94"/>
    <w:rsid w:val="00D57D6A"/>
    <w:rsid w:val="00D60666"/>
    <w:rsid w:val="00D6068D"/>
    <w:rsid w:val="00D60ACB"/>
    <w:rsid w:val="00D60D07"/>
    <w:rsid w:val="00D61186"/>
    <w:rsid w:val="00D6270F"/>
    <w:rsid w:val="00D628CD"/>
    <w:rsid w:val="00D62E76"/>
    <w:rsid w:val="00D62FA9"/>
    <w:rsid w:val="00D633A6"/>
    <w:rsid w:val="00D63627"/>
    <w:rsid w:val="00D63D61"/>
    <w:rsid w:val="00D642A2"/>
    <w:rsid w:val="00D64312"/>
    <w:rsid w:val="00D64840"/>
    <w:rsid w:val="00D649AF"/>
    <w:rsid w:val="00D650C6"/>
    <w:rsid w:val="00D65389"/>
    <w:rsid w:val="00D65451"/>
    <w:rsid w:val="00D654AD"/>
    <w:rsid w:val="00D65511"/>
    <w:rsid w:val="00D65815"/>
    <w:rsid w:val="00D658C3"/>
    <w:rsid w:val="00D65D24"/>
    <w:rsid w:val="00D66458"/>
    <w:rsid w:val="00D66917"/>
    <w:rsid w:val="00D66A87"/>
    <w:rsid w:val="00D66F36"/>
    <w:rsid w:val="00D67525"/>
    <w:rsid w:val="00D67A2D"/>
    <w:rsid w:val="00D67C90"/>
    <w:rsid w:val="00D7069C"/>
    <w:rsid w:val="00D70A2D"/>
    <w:rsid w:val="00D717F5"/>
    <w:rsid w:val="00D7226D"/>
    <w:rsid w:val="00D7269D"/>
    <w:rsid w:val="00D73A22"/>
    <w:rsid w:val="00D73B6C"/>
    <w:rsid w:val="00D73D9E"/>
    <w:rsid w:val="00D73F76"/>
    <w:rsid w:val="00D740F8"/>
    <w:rsid w:val="00D747F1"/>
    <w:rsid w:val="00D748C3"/>
    <w:rsid w:val="00D74A25"/>
    <w:rsid w:val="00D74D42"/>
    <w:rsid w:val="00D74EBB"/>
    <w:rsid w:val="00D757B6"/>
    <w:rsid w:val="00D75A28"/>
    <w:rsid w:val="00D75D19"/>
    <w:rsid w:val="00D7615D"/>
    <w:rsid w:val="00D7627E"/>
    <w:rsid w:val="00D77042"/>
    <w:rsid w:val="00D77521"/>
    <w:rsid w:val="00D77950"/>
    <w:rsid w:val="00D779D4"/>
    <w:rsid w:val="00D77D6F"/>
    <w:rsid w:val="00D80022"/>
    <w:rsid w:val="00D8002F"/>
    <w:rsid w:val="00D8023E"/>
    <w:rsid w:val="00D80339"/>
    <w:rsid w:val="00D805BC"/>
    <w:rsid w:val="00D8095D"/>
    <w:rsid w:val="00D811E2"/>
    <w:rsid w:val="00D8203B"/>
    <w:rsid w:val="00D820C2"/>
    <w:rsid w:val="00D82987"/>
    <w:rsid w:val="00D82D0E"/>
    <w:rsid w:val="00D82D35"/>
    <w:rsid w:val="00D82D60"/>
    <w:rsid w:val="00D82FBF"/>
    <w:rsid w:val="00D833F3"/>
    <w:rsid w:val="00D83493"/>
    <w:rsid w:val="00D834D5"/>
    <w:rsid w:val="00D8374F"/>
    <w:rsid w:val="00D83B72"/>
    <w:rsid w:val="00D8480C"/>
    <w:rsid w:val="00D84C3F"/>
    <w:rsid w:val="00D85AFA"/>
    <w:rsid w:val="00D85CE8"/>
    <w:rsid w:val="00D86223"/>
    <w:rsid w:val="00D86742"/>
    <w:rsid w:val="00D869CB"/>
    <w:rsid w:val="00D86CC6"/>
    <w:rsid w:val="00D86F44"/>
    <w:rsid w:val="00D8718A"/>
    <w:rsid w:val="00D874CD"/>
    <w:rsid w:val="00D87535"/>
    <w:rsid w:val="00D877FC"/>
    <w:rsid w:val="00D87C87"/>
    <w:rsid w:val="00D9056B"/>
    <w:rsid w:val="00D90867"/>
    <w:rsid w:val="00D90FB1"/>
    <w:rsid w:val="00D916E8"/>
    <w:rsid w:val="00D91705"/>
    <w:rsid w:val="00D9198A"/>
    <w:rsid w:val="00D91EE2"/>
    <w:rsid w:val="00D91FAC"/>
    <w:rsid w:val="00D920C1"/>
    <w:rsid w:val="00D92439"/>
    <w:rsid w:val="00D9268C"/>
    <w:rsid w:val="00D929C6"/>
    <w:rsid w:val="00D92F4D"/>
    <w:rsid w:val="00D93392"/>
    <w:rsid w:val="00D9344C"/>
    <w:rsid w:val="00D9375C"/>
    <w:rsid w:val="00D93775"/>
    <w:rsid w:val="00D9390B"/>
    <w:rsid w:val="00D93AEC"/>
    <w:rsid w:val="00D93FBC"/>
    <w:rsid w:val="00D94162"/>
    <w:rsid w:val="00D94B0C"/>
    <w:rsid w:val="00D94C1A"/>
    <w:rsid w:val="00D9550A"/>
    <w:rsid w:val="00D957D4"/>
    <w:rsid w:val="00D957F9"/>
    <w:rsid w:val="00D9586F"/>
    <w:rsid w:val="00D95C0E"/>
    <w:rsid w:val="00D960CB"/>
    <w:rsid w:val="00D96559"/>
    <w:rsid w:val="00D96B58"/>
    <w:rsid w:val="00D97318"/>
    <w:rsid w:val="00D97388"/>
    <w:rsid w:val="00D9743A"/>
    <w:rsid w:val="00D977FF"/>
    <w:rsid w:val="00D978CB"/>
    <w:rsid w:val="00DA044C"/>
    <w:rsid w:val="00DA0F3C"/>
    <w:rsid w:val="00DA13C3"/>
    <w:rsid w:val="00DA14BC"/>
    <w:rsid w:val="00DA16DA"/>
    <w:rsid w:val="00DA19FC"/>
    <w:rsid w:val="00DA1E2E"/>
    <w:rsid w:val="00DA2496"/>
    <w:rsid w:val="00DA29F4"/>
    <w:rsid w:val="00DA2E0D"/>
    <w:rsid w:val="00DA2F11"/>
    <w:rsid w:val="00DA36A0"/>
    <w:rsid w:val="00DA39C3"/>
    <w:rsid w:val="00DA3BBE"/>
    <w:rsid w:val="00DA403D"/>
    <w:rsid w:val="00DA40A6"/>
    <w:rsid w:val="00DA4F3B"/>
    <w:rsid w:val="00DA50ED"/>
    <w:rsid w:val="00DA5143"/>
    <w:rsid w:val="00DA51B0"/>
    <w:rsid w:val="00DA5599"/>
    <w:rsid w:val="00DA57B5"/>
    <w:rsid w:val="00DA5F89"/>
    <w:rsid w:val="00DA60EE"/>
    <w:rsid w:val="00DA611F"/>
    <w:rsid w:val="00DA62A7"/>
    <w:rsid w:val="00DA68ED"/>
    <w:rsid w:val="00DA6E67"/>
    <w:rsid w:val="00DA7047"/>
    <w:rsid w:val="00DA7109"/>
    <w:rsid w:val="00DA77F9"/>
    <w:rsid w:val="00DA7934"/>
    <w:rsid w:val="00DA7BD8"/>
    <w:rsid w:val="00DA7CC9"/>
    <w:rsid w:val="00DB09A3"/>
    <w:rsid w:val="00DB11F7"/>
    <w:rsid w:val="00DB1602"/>
    <w:rsid w:val="00DB1777"/>
    <w:rsid w:val="00DB1DCE"/>
    <w:rsid w:val="00DB2404"/>
    <w:rsid w:val="00DB2EF7"/>
    <w:rsid w:val="00DB315B"/>
    <w:rsid w:val="00DB323C"/>
    <w:rsid w:val="00DB392E"/>
    <w:rsid w:val="00DB3BD6"/>
    <w:rsid w:val="00DB3D08"/>
    <w:rsid w:val="00DB5203"/>
    <w:rsid w:val="00DB520A"/>
    <w:rsid w:val="00DB563F"/>
    <w:rsid w:val="00DB5AB6"/>
    <w:rsid w:val="00DB6183"/>
    <w:rsid w:val="00DB61EE"/>
    <w:rsid w:val="00DB6218"/>
    <w:rsid w:val="00DB64D8"/>
    <w:rsid w:val="00DB64FF"/>
    <w:rsid w:val="00DB65DE"/>
    <w:rsid w:val="00DB6DF0"/>
    <w:rsid w:val="00DB7188"/>
    <w:rsid w:val="00DB723E"/>
    <w:rsid w:val="00DB75B1"/>
    <w:rsid w:val="00DB76EB"/>
    <w:rsid w:val="00DB77AE"/>
    <w:rsid w:val="00DB7885"/>
    <w:rsid w:val="00DB799F"/>
    <w:rsid w:val="00DB79A5"/>
    <w:rsid w:val="00DB7FC2"/>
    <w:rsid w:val="00DC0007"/>
    <w:rsid w:val="00DC046F"/>
    <w:rsid w:val="00DC0578"/>
    <w:rsid w:val="00DC12CF"/>
    <w:rsid w:val="00DC2350"/>
    <w:rsid w:val="00DC282E"/>
    <w:rsid w:val="00DC2B1F"/>
    <w:rsid w:val="00DC2B6A"/>
    <w:rsid w:val="00DC2E2F"/>
    <w:rsid w:val="00DC3839"/>
    <w:rsid w:val="00DC3CDE"/>
    <w:rsid w:val="00DC533C"/>
    <w:rsid w:val="00DC57E2"/>
    <w:rsid w:val="00DC5F7E"/>
    <w:rsid w:val="00DC60BC"/>
    <w:rsid w:val="00DC691D"/>
    <w:rsid w:val="00DC6D88"/>
    <w:rsid w:val="00DC7B8F"/>
    <w:rsid w:val="00DD07AB"/>
    <w:rsid w:val="00DD090E"/>
    <w:rsid w:val="00DD0C79"/>
    <w:rsid w:val="00DD0E26"/>
    <w:rsid w:val="00DD1071"/>
    <w:rsid w:val="00DD141D"/>
    <w:rsid w:val="00DD16B6"/>
    <w:rsid w:val="00DD27EB"/>
    <w:rsid w:val="00DD2824"/>
    <w:rsid w:val="00DD2960"/>
    <w:rsid w:val="00DD30B7"/>
    <w:rsid w:val="00DD3422"/>
    <w:rsid w:val="00DD356A"/>
    <w:rsid w:val="00DD3CDC"/>
    <w:rsid w:val="00DD4020"/>
    <w:rsid w:val="00DD426D"/>
    <w:rsid w:val="00DD4619"/>
    <w:rsid w:val="00DD4AE8"/>
    <w:rsid w:val="00DD5679"/>
    <w:rsid w:val="00DD59C4"/>
    <w:rsid w:val="00DD5F60"/>
    <w:rsid w:val="00DD61E7"/>
    <w:rsid w:val="00DD6299"/>
    <w:rsid w:val="00DD6865"/>
    <w:rsid w:val="00DD68FD"/>
    <w:rsid w:val="00DD6F4C"/>
    <w:rsid w:val="00DD7280"/>
    <w:rsid w:val="00DD7463"/>
    <w:rsid w:val="00DD74BE"/>
    <w:rsid w:val="00DD76C8"/>
    <w:rsid w:val="00DD7714"/>
    <w:rsid w:val="00DD7EC5"/>
    <w:rsid w:val="00DE027E"/>
    <w:rsid w:val="00DE1341"/>
    <w:rsid w:val="00DE14C0"/>
    <w:rsid w:val="00DE15CF"/>
    <w:rsid w:val="00DE1988"/>
    <w:rsid w:val="00DE1E0B"/>
    <w:rsid w:val="00DE2483"/>
    <w:rsid w:val="00DE2502"/>
    <w:rsid w:val="00DE2850"/>
    <w:rsid w:val="00DE2D58"/>
    <w:rsid w:val="00DE2EE2"/>
    <w:rsid w:val="00DE2F77"/>
    <w:rsid w:val="00DE3015"/>
    <w:rsid w:val="00DE3018"/>
    <w:rsid w:val="00DE34F0"/>
    <w:rsid w:val="00DE3836"/>
    <w:rsid w:val="00DE3AAC"/>
    <w:rsid w:val="00DE3AB6"/>
    <w:rsid w:val="00DE3BB8"/>
    <w:rsid w:val="00DE3CB4"/>
    <w:rsid w:val="00DE4052"/>
    <w:rsid w:val="00DE4382"/>
    <w:rsid w:val="00DE45BA"/>
    <w:rsid w:val="00DE55AD"/>
    <w:rsid w:val="00DE5F4B"/>
    <w:rsid w:val="00DE6495"/>
    <w:rsid w:val="00DE6E52"/>
    <w:rsid w:val="00DE6EF1"/>
    <w:rsid w:val="00DE6F8B"/>
    <w:rsid w:val="00DE710B"/>
    <w:rsid w:val="00DE775D"/>
    <w:rsid w:val="00DE7A06"/>
    <w:rsid w:val="00DF03B9"/>
    <w:rsid w:val="00DF0510"/>
    <w:rsid w:val="00DF088E"/>
    <w:rsid w:val="00DF0C45"/>
    <w:rsid w:val="00DF0DD7"/>
    <w:rsid w:val="00DF1438"/>
    <w:rsid w:val="00DF162F"/>
    <w:rsid w:val="00DF16D8"/>
    <w:rsid w:val="00DF28B8"/>
    <w:rsid w:val="00DF28D6"/>
    <w:rsid w:val="00DF2CA9"/>
    <w:rsid w:val="00DF2F77"/>
    <w:rsid w:val="00DF338B"/>
    <w:rsid w:val="00DF34D6"/>
    <w:rsid w:val="00DF35C4"/>
    <w:rsid w:val="00DF37FB"/>
    <w:rsid w:val="00DF40AC"/>
    <w:rsid w:val="00DF433C"/>
    <w:rsid w:val="00DF435F"/>
    <w:rsid w:val="00DF4432"/>
    <w:rsid w:val="00DF494E"/>
    <w:rsid w:val="00DF4E47"/>
    <w:rsid w:val="00DF4F3E"/>
    <w:rsid w:val="00DF59D4"/>
    <w:rsid w:val="00DF6363"/>
    <w:rsid w:val="00DF6367"/>
    <w:rsid w:val="00DF64DA"/>
    <w:rsid w:val="00DF6719"/>
    <w:rsid w:val="00DF7181"/>
    <w:rsid w:val="00DF7254"/>
    <w:rsid w:val="00E00F13"/>
    <w:rsid w:val="00E01137"/>
    <w:rsid w:val="00E01ABF"/>
    <w:rsid w:val="00E01B7A"/>
    <w:rsid w:val="00E01F2F"/>
    <w:rsid w:val="00E0288E"/>
    <w:rsid w:val="00E02FA6"/>
    <w:rsid w:val="00E03F86"/>
    <w:rsid w:val="00E04051"/>
    <w:rsid w:val="00E044C0"/>
    <w:rsid w:val="00E047C5"/>
    <w:rsid w:val="00E04B6E"/>
    <w:rsid w:val="00E052A9"/>
    <w:rsid w:val="00E0530E"/>
    <w:rsid w:val="00E05316"/>
    <w:rsid w:val="00E05417"/>
    <w:rsid w:val="00E05518"/>
    <w:rsid w:val="00E059B4"/>
    <w:rsid w:val="00E05ABE"/>
    <w:rsid w:val="00E05FF0"/>
    <w:rsid w:val="00E061B9"/>
    <w:rsid w:val="00E064EC"/>
    <w:rsid w:val="00E065F6"/>
    <w:rsid w:val="00E0666D"/>
    <w:rsid w:val="00E06B6B"/>
    <w:rsid w:val="00E07A8D"/>
    <w:rsid w:val="00E07B2B"/>
    <w:rsid w:val="00E10371"/>
    <w:rsid w:val="00E106BB"/>
    <w:rsid w:val="00E10770"/>
    <w:rsid w:val="00E107BD"/>
    <w:rsid w:val="00E10C87"/>
    <w:rsid w:val="00E10DC7"/>
    <w:rsid w:val="00E10E71"/>
    <w:rsid w:val="00E11446"/>
    <w:rsid w:val="00E117BE"/>
    <w:rsid w:val="00E11DCC"/>
    <w:rsid w:val="00E11E4D"/>
    <w:rsid w:val="00E1219B"/>
    <w:rsid w:val="00E1239E"/>
    <w:rsid w:val="00E124A4"/>
    <w:rsid w:val="00E125DD"/>
    <w:rsid w:val="00E1349A"/>
    <w:rsid w:val="00E1354E"/>
    <w:rsid w:val="00E1394D"/>
    <w:rsid w:val="00E13A3E"/>
    <w:rsid w:val="00E13B55"/>
    <w:rsid w:val="00E13F3A"/>
    <w:rsid w:val="00E13FAA"/>
    <w:rsid w:val="00E1413A"/>
    <w:rsid w:val="00E1486C"/>
    <w:rsid w:val="00E14B46"/>
    <w:rsid w:val="00E14BC1"/>
    <w:rsid w:val="00E14D24"/>
    <w:rsid w:val="00E14EE6"/>
    <w:rsid w:val="00E15691"/>
    <w:rsid w:val="00E15A4A"/>
    <w:rsid w:val="00E15B73"/>
    <w:rsid w:val="00E15C4F"/>
    <w:rsid w:val="00E162C0"/>
    <w:rsid w:val="00E163CA"/>
    <w:rsid w:val="00E16612"/>
    <w:rsid w:val="00E16C51"/>
    <w:rsid w:val="00E17176"/>
    <w:rsid w:val="00E17267"/>
    <w:rsid w:val="00E1744D"/>
    <w:rsid w:val="00E1757A"/>
    <w:rsid w:val="00E17716"/>
    <w:rsid w:val="00E17B75"/>
    <w:rsid w:val="00E201F7"/>
    <w:rsid w:val="00E20208"/>
    <w:rsid w:val="00E203DC"/>
    <w:rsid w:val="00E210DC"/>
    <w:rsid w:val="00E21447"/>
    <w:rsid w:val="00E214D0"/>
    <w:rsid w:val="00E21575"/>
    <w:rsid w:val="00E21F3A"/>
    <w:rsid w:val="00E22446"/>
    <w:rsid w:val="00E22D02"/>
    <w:rsid w:val="00E22EB6"/>
    <w:rsid w:val="00E2331F"/>
    <w:rsid w:val="00E2334F"/>
    <w:rsid w:val="00E237B8"/>
    <w:rsid w:val="00E23824"/>
    <w:rsid w:val="00E23E79"/>
    <w:rsid w:val="00E24018"/>
    <w:rsid w:val="00E24425"/>
    <w:rsid w:val="00E24510"/>
    <w:rsid w:val="00E251D9"/>
    <w:rsid w:val="00E254CB"/>
    <w:rsid w:val="00E2553D"/>
    <w:rsid w:val="00E25700"/>
    <w:rsid w:val="00E25879"/>
    <w:rsid w:val="00E258AB"/>
    <w:rsid w:val="00E26478"/>
    <w:rsid w:val="00E271CE"/>
    <w:rsid w:val="00E27949"/>
    <w:rsid w:val="00E27E7F"/>
    <w:rsid w:val="00E30009"/>
    <w:rsid w:val="00E30521"/>
    <w:rsid w:val="00E30DDF"/>
    <w:rsid w:val="00E3174A"/>
    <w:rsid w:val="00E31B32"/>
    <w:rsid w:val="00E31BB8"/>
    <w:rsid w:val="00E31DE1"/>
    <w:rsid w:val="00E3269E"/>
    <w:rsid w:val="00E330CD"/>
    <w:rsid w:val="00E33273"/>
    <w:rsid w:val="00E3355A"/>
    <w:rsid w:val="00E338EE"/>
    <w:rsid w:val="00E338F1"/>
    <w:rsid w:val="00E3390A"/>
    <w:rsid w:val="00E339CE"/>
    <w:rsid w:val="00E33CF9"/>
    <w:rsid w:val="00E341A0"/>
    <w:rsid w:val="00E345EB"/>
    <w:rsid w:val="00E3507F"/>
    <w:rsid w:val="00E350B5"/>
    <w:rsid w:val="00E3539F"/>
    <w:rsid w:val="00E355B6"/>
    <w:rsid w:val="00E35E09"/>
    <w:rsid w:val="00E36D59"/>
    <w:rsid w:val="00E371D5"/>
    <w:rsid w:val="00E37291"/>
    <w:rsid w:val="00E37359"/>
    <w:rsid w:val="00E37912"/>
    <w:rsid w:val="00E40758"/>
    <w:rsid w:val="00E40D52"/>
    <w:rsid w:val="00E40DBB"/>
    <w:rsid w:val="00E41052"/>
    <w:rsid w:val="00E410C9"/>
    <w:rsid w:val="00E410D7"/>
    <w:rsid w:val="00E4110F"/>
    <w:rsid w:val="00E4113E"/>
    <w:rsid w:val="00E4185B"/>
    <w:rsid w:val="00E41A66"/>
    <w:rsid w:val="00E41E03"/>
    <w:rsid w:val="00E420C3"/>
    <w:rsid w:val="00E424BA"/>
    <w:rsid w:val="00E4262D"/>
    <w:rsid w:val="00E42A3C"/>
    <w:rsid w:val="00E43157"/>
    <w:rsid w:val="00E4371B"/>
    <w:rsid w:val="00E4373F"/>
    <w:rsid w:val="00E4419D"/>
    <w:rsid w:val="00E44B16"/>
    <w:rsid w:val="00E44C71"/>
    <w:rsid w:val="00E453C9"/>
    <w:rsid w:val="00E459D2"/>
    <w:rsid w:val="00E45B48"/>
    <w:rsid w:val="00E45D2C"/>
    <w:rsid w:val="00E45F77"/>
    <w:rsid w:val="00E46D94"/>
    <w:rsid w:val="00E478F8"/>
    <w:rsid w:val="00E47C29"/>
    <w:rsid w:val="00E5049F"/>
    <w:rsid w:val="00E51699"/>
    <w:rsid w:val="00E517CD"/>
    <w:rsid w:val="00E518D6"/>
    <w:rsid w:val="00E51F2C"/>
    <w:rsid w:val="00E52201"/>
    <w:rsid w:val="00E522B6"/>
    <w:rsid w:val="00E523CD"/>
    <w:rsid w:val="00E524BA"/>
    <w:rsid w:val="00E52886"/>
    <w:rsid w:val="00E52A3D"/>
    <w:rsid w:val="00E52E4B"/>
    <w:rsid w:val="00E530DF"/>
    <w:rsid w:val="00E534CE"/>
    <w:rsid w:val="00E53539"/>
    <w:rsid w:val="00E53B61"/>
    <w:rsid w:val="00E540FA"/>
    <w:rsid w:val="00E543AE"/>
    <w:rsid w:val="00E543F1"/>
    <w:rsid w:val="00E54C46"/>
    <w:rsid w:val="00E54DCA"/>
    <w:rsid w:val="00E554A4"/>
    <w:rsid w:val="00E55BA4"/>
    <w:rsid w:val="00E55BE9"/>
    <w:rsid w:val="00E55FD9"/>
    <w:rsid w:val="00E5651B"/>
    <w:rsid w:val="00E56E5C"/>
    <w:rsid w:val="00E56F9E"/>
    <w:rsid w:val="00E57033"/>
    <w:rsid w:val="00E57133"/>
    <w:rsid w:val="00E57B68"/>
    <w:rsid w:val="00E57EB4"/>
    <w:rsid w:val="00E57F2B"/>
    <w:rsid w:val="00E608C7"/>
    <w:rsid w:val="00E61B10"/>
    <w:rsid w:val="00E61D46"/>
    <w:rsid w:val="00E62098"/>
    <w:rsid w:val="00E6238C"/>
    <w:rsid w:val="00E6243B"/>
    <w:rsid w:val="00E62B9A"/>
    <w:rsid w:val="00E6329F"/>
    <w:rsid w:val="00E63B2E"/>
    <w:rsid w:val="00E63CE5"/>
    <w:rsid w:val="00E640A2"/>
    <w:rsid w:val="00E640D3"/>
    <w:rsid w:val="00E64362"/>
    <w:rsid w:val="00E65675"/>
    <w:rsid w:val="00E65EBD"/>
    <w:rsid w:val="00E66402"/>
    <w:rsid w:val="00E666F5"/>
    <w:rsid w:val="00E66750"/>
    <w:rsid w:val="00E66A3B"/>
    <w:rsid w:val="00E670BE"/>
    <w:rsid w:val="00E67351"/>
    <w:rsid w:val="00E67357"/>
    <w:rsid w:val="00E67C22"/>
    <w:rsid w:val="00E67C75"/>
    <w:rsid w:val="00E70270"/>
    <w:rsid w:val="00E70AE6"/>
    <w:rsid w:val="00E70D9F"/>
    <w:rsid w:val="00E70F39"/>
    <w:rsid w:val="00E711FF"/>
    <w:rsid w:val="00E714E5"/>
    <w:rsid w:val="00E71C81"/>
    <w:rsid w:val="00E720E9"/>
    <w:rsid w:val="00E72165"/>
    <w:rsid w:val="00E72526"/>
    <w:rsid w:val="00E728F2"/>
    <w:rsid w:val="00E72E67"/>
    <w:rsid w:val="00E72E7F"/>
    <w:rsid w:val="00E72F7B"/>
    <w:rsid w:val="00E735C1"/>
    <w:rsid w:val="00E73740"/>
    <w:rsid w:val="00E737EF"/>
    <w:rsid w:val="00E73D07"/>
    <w:rsid w:val="00E73E0F"/>
    <w:rsid w:val="00E73E62"/>
    <w:rsid w:val="00E73EDB"/>
    <w:rsid w:val="00E757C0"/>
    <w:rsid w:val="00E7663E"/>
    <w:rsid w:val="00E7665A"/>
    <w:rsid w:val="00E7685C"/>
    <w:rsid w:val="00E76B03"/>
    <w:rsid w:val="00E76CCF"/>
    <w:rsid w:val="00E77325"/>
    <w:rsid w:val="00E773EA"/>
    <w:rsid w:val="00E77A41"/>
    <w:rsid w:val="00E802BF"/>
    <w:rsid w:val="00E8048F"/>
    <w:rsid w:val="00E8093E"/>
    <w:rsid w:val="00E81070"/>
    <w:rsid w:val="00E8128A"/>
    <w:rsid w:val="00E81C79"/>
    <w:rsid w:val="00E82149"/>
    <w:rsid w:val="00E82184"/>
    <w:rsid w:val="00E82DB2"/>
    <w:rsid w:val="00E834CF"/>
    <w:rsid w:val="00E83761"/>
    <w:rsid w:val="00E837C8"/>
    <w:rsid w:val="00E84B57"/>
    <w:rsid w:val="00E84BCD"/>
    <w:rsid w:val="00E85638"/>
    <w:rsid w:val="00E85AC1"/>
    <w:rsid w:val="00E85C8E"/>
    <w:rsid w:val="00E85ECA"/>
    <w:rsid w:val="00E866FD"/>
    <w:rsid w:val="00E87230"/>
    <w:rsid w:val="00E8732B"/>
    <w:rsid w:val="00E873B2"/>
    <w:rsid w:val="00E87C26"/>
    <w:rsid w:val="00E87D4C"/>
    <w:rsid w:val="00E90167"/>
    <w:rsid w:val="00E909F9"/>
    <w:rsid w:val="00E90A92"/>
    <w:rsid w:val="00E91259"/>
    <w:rsid w:val="00E912FA"/>
    <w:rsid w:val="00E913D7"/>
    <w:rsid w:val="00E9144A"/>
    <w:rsid w:val="00E91694"/>
    <w:rsid w:val="00E91788"/>
    <w:rsid w:val="00E91AE6"/>
    <w:rsid w:val="00E9214C"/>
    <w:rsid w:val="00E925B8"/>
    <w:rsid w:val="00E93221"/>
    <w:rsid w:val="00E9341F"/>
    <w:rsid w:val="00E93488"/>
    <w:rsid w:val="00E93830"/>
    <w:rsid w:val="00E93A6E"/>
    <w:rsid w:val="00E93AF3"/>
    <w:rsid w:val="00E93D02"/>
    <w:rsid w:val="00E93D46"/>
    <w:rsid w:val="00E943DC"/>
    <w:rsid w:val="00E94AB5"/>
    <w:rsid w:val="00E95136"/>
    <w:rsid w:val="00E952D2"/>
    <w:rsid w:val="00E95CE5"/>
    <w:rsid w:val="00E95DF1"/>
    <w:rsid w:val="00E95FCA"/>
    <w:rsid w:val="00E9612B"/>
    <w:rsid w:val="00E962CE"/>
    <w:rsid w:val="00E965E8"/>
    <w:rsid w:val="00E96E7D"/>
    <w:rsid w:val="00E977E5"/>
    <w:rsid w:val="00E97940"/>
    <w:rsid w:val="00E97D65"/>
    <w:rsid w:val="00EA025C"/>
    <w:rsid w:val="00EA033C"/>
    <w:rsid w:val="00EA082D"/>
    <w:rsid w:val="00EA08B8"/>
    <w:rsid w:val="00EA11A7"/>
    <w:rsid w:val="00EA120C"/>
    <w:rsid w:val="00EA1995"/>
    <w:rsid w:val="00EA1E5D"/>
    <w:rsid w:val="00EA1FC1"/>
    <w:rsid w:val="00EA23FE"/>
    <w:rsid w:val="00EA26FE"/>
    <w:rsid w:val="00EA2728"/>
    <w:rsid w:val="00EA2946"/>
    <w:rsid w:val="00EA2A4C"/>
    <w:rsid w:val="00EA2A8C"/>
    <w:rsid w:val="00EA2AFE"/>
    <w:rsid w:val="00EA3145"/>
    <w:rsid w:val="00EA3172"/>
    <w:rsid w:val="00EA356A"/>
    <w:rsid w:val="00EA357A"/>
    <w:rsid w:val="00EA403F"/>
    <w:rsid w:val="00EA4838"/>
    <w:rsid w:val="00EA4E0E"/>
    <w:rsid w:val="00EA4FD6"/>
    <w:rsid w:val="00EA52D0"/>
    <w:rsid w:val="00EA5D59"/>
    <w:rsid w:val="00EA5E2B"/>
    <w:rsid w:val="00EA61DD"/>
    <w:rsid w:val="00EA67BF"/>
    <w:rsid w:val="00EA713F"/>
    <w:rsid w:val="00EA7313"/>
    <w:rsid w:val="00EA737D"/>
    <w:rsid w:val="00EA77DB"/>
    <w:rsid w:val="00EA7806"/>
    <w:rsid w:val="00EA78D5"/>
    <w:rsid w:val="00EA7962"/>
    <w:rsid w:val="00EA7C90"/>
    <w:rsid w:val="00EB02F4"/>
    <w:rsid w:val="00EB0591"/>
    <w:rsid w:val="00EB077C"/>
    <w:rsid w:val="00EB0ADE"/>
    <w:rsid w:val="00EB0D33"/>
    <w:rsid w:val="00EB0FDC"/>
    <w:rsid w:val="00EB1292"/>
    <w:rsid w:val="00EB1B25"/>
    <w:rsid w:val="00EB1B70"/>
    <w:rsid w:val="00EB2145"/>
    <w:rsid w:val="00EB22B4"/>
    <w:rsid w:val="00EB2760"/>
    <w:rsid w:val="00EB27A2"/>
    <w:rsid w:val="00EB2A25"/>
    <w:rsid w:val="00EB2ADB"/>
    <w:rsid w:val="00EB2F31"/>
    <w:rsid w:val="00EB3281"/>
    <w:rsid w:val="00EB3729"/>
    <w:rsid w:val="00EB3AB1"/>
    <w:rsid w:val="00EB3FF9"/>
    <w:rsid w:val="00EB40E3"/>
    <w:rsid w:val="00EB40EC"/>
    <w:rsid w:val="00EB4BA6"/>
    <w:rsid w:val="00EB5794"/>
    <w:rsid w:val="00EB57E1"/>
    <w:rsid w:val="00EB5F5F"/>
    <w:rsid w:val="00EB66F8"/>
    <w:rsid w:val="00EB6726"/>
    <w:rsid w:val="00EB6A6E"/>
    <w:rsid w:val="00EB6F9D"/>
    <w:rsid w:val="00EB7342"/>
    <w:rsid w:val="00EB7B9D"/>
    <w:rsid w:val="00EB7CFC"/>
    <w:rsid w:val="00EC03A6"/>
    <w:rsid w:val="00EC0C45"/>
    <w:rsid w:val="00EC10A3"/>
    <w:rsid w:val="00EC13B3"/>
    <w:rsid w:val="00EC1465"/>
    <w:rsid w:val="00EC1F70"/>
    <w:rsid w:val="00EC2263"/>
    <w:rsid w:val="00EC23C6"/>
    <w:rsid w:val="00EC290C"/>
    <w:rsid w:val="00EC2AF2"/>
    <w:rsid w:val="00EC2D16"/>
    <w:rsid w:val="00EC3044"/>
    <w:rsid w:val="00EC3206"/>
    <w:rsid w:val="00EC330A"/>
    <w:rsid w:val="00EC3389"/>
    <w:rsid w:val="00EC3C0B"/>
    <w:rsid w:val="00EC3C77"/>
    <w:rsid w:val="00EC45B5"/>
    <w:rsid w:val="00EC4620"/>
    <w:rsid w:val="00EC4778"/>
    <w:rsid w:val="00EC4798"/>
    <w:rsid w:val="00EC4C7B"/>
    <w:rsid w:val="00EC5202"/>
    <w:rsid w:val="00EC52F3"/>
    <w:rsid w:val="00EC5302"/>
    <w:rsid w:val="00EC5772"/>
    <w:rsid w:val="00EC59D2"/>
    <w:rsid w:val="00EC5DA8"/>
    <w:rsid w:val="00EC5FF2"/>
    <w:rsid w:val="00EC6935"/>
    <w:rsid w:val="00EC721E"/>
    <w:rsid w:val="00EC7CE4"/>
    <w:rsid w:val="00EC7EDE"/>
    <w:rsid w:val="00ED06FE"/>
    <w:rsid w:val="00ED0BED"/>
    <w:rsid w:val="00ED18A9"/>
    <w:rsid w:val="00ED22A1"/>
    <w:rsid w:val="00ED22A3"/>
    <w:rsid w:val="00ED239B"/>
    <w:rsid w:val="00ED2E59"/>
    <w:rsid w:val="00ED2F24"/>
    <w:rsid w:val="00ED2F72"/>
    <w:rsid w:val="00ED3360"/>
    <w:rsid w:val="00ED37AA"/>
    <w:rsid w:val="00ED3AF7"/>
    <w:rsid w:val="00ED40BA"/>
    <w:rsid w:val="00ED43F0"/>
    <w:rsid w:val="00ED4B76"/>
    <w:rsid w:val="00ED607B"/>
    <w:rsid w:val="00ED61DD"/>
    <w:rsid w:val="00ED69C0"/>
    <w:rsid w:val="00ED6BCB"/>
    <w:rsid w:val="00ED6D66"/>
    <w:rsid w:val="00ED7A03"/>
    <w:rsid w:val="00ED7A9C"/>
    <w:rsid w:val="00ED7D28"/>
    <w:rsid w:val="00ED7D5A"/>
    <w:rsid w:val="00EE02DE"/>
    <w:rsid w:val="00EE088B"/>
    <w:rsid w:val="00EE0FA4"/>
    <w:rsid w:val="00EE1027"/>
    <w:rsid w:val="00EE1098"/>
    <w:rsid w:val="00EE17BD"/>
    <w:rsid w:val="00EE1AA0"/>
    <w:rsid w:val="00EE1C88"/>
    <w:rsid w:val="00EE21A2"/>
    <w:rsid w:val="00EE21E8"/>
    <w:rsid w:val="00EE25DB"/>
    <w:rsid w:val="00EE2911"/>
    <w:rsid w:val="00EE2C7C"/>
    <w:rsid w:val="00EE310B"/>
    <w:rsid w:val="00EE3182"/>
    <w:rsid w:val="00EE399E"/>
    <w:rsid w:val="00EE3B6D"/>
    <w:rsid w:val="00EE3D97"/>
    <w:rsid w:val="00EE3EF6"/>
    <w:rsid w:val="00EE4218"/>
    <w:rsid w:val="00EE4520"/>
    <w:rsid w:val="00EE4CE0"/>
    <w:rsid w:val="00EE4F93"/>
    <w:rsid w:val="00EE5118"/>
    <w:rsid w:val="00EE5219"/>
    <w:rsid w:val="00EE5838"/>
    <w:rsid w:val="00EE58CE"/>
    <w:rsid w:val="00EE60C4"/>
    <w:rsid w:val="00EE6132"/>
    <w:rsid w:val="00EE6287"/>
    <w:rsid w:val="00EE6322"/>
    <w:rsid w:val="00EE63BD"/>
    <w:rsid w:val="00EE733F"/>
    <w:rsid w:val="00EE73AA"/>
    <w:rsid w:val="00EE747F"/>
    <w:rsid w:val="00EE7652"/>
    <w:rsid w:val="00EE79EE"/>
    <w:rsid w:val="00EE7AF8"/>
    <w:rsid w:val="00EE7E90"/>
    <w:rsid w:val="00EF0714"/>
    <w:rsid w:val="00EF0858"/>
    <w:rsid w:val="00EF0B01"/>
    <w:rsid w:val="00EF1CA0"/>
    <w:rsid w:val="00EF1CA8"/>
    <w:rsid w:val="00EF2196"/>
    <w:rsid w:val="00EF21DD"/>
    <w:rsid w:val="00EF2242"/>
    <w:rsid w:val="00EF273F"/>
    <w:rsid w:val="00EF27A4"/>
    <w:rsid w:val="00EF2979"/>
    <w:rsid w:val="00EF29E1"/>
    <w:rsid w:val="00EF2CE8"/>
    <w:rsid w:val="00EF2F4A"/>
    <w:rsid w:val="00EF3BF0"/>
    <w:rsid w:val="00EF3BFD"/>
    <w:rsid w:val="00EF41EA"/>
    <w:rsid w:val="00EF5511"/>
    <w:rsid w:val="00EF59F6"/>
    <w:rsid w:val="00EF6178"/>
    <w:rsid w:val="00EF6B36"/>
    <w:rsid w:val="00EF6EC3"/>
    <w:rsid w:val="00EF7871"/>
    <w:rsid w:val="00EF7F05"/>
    <w:rsid w:val="00F0053C"/>
    <w:rsid w:val="00F01056"/>
    <w:rsid w:val="00F012DD"/>
    <w:rsid w:val="00F0175B"/>
    <w:rsid w:val="00F02788"/>
    <w:rsid w:val="00F02B3F"/>
    <w:rsid w:val="00F02DB3"/>
    <w:rsid w:val="00F0300A"/>
    <w:rsid w:val="00F032BB"/>
    <w:rsid w:val="00F0348C"/>
    <w:rsid w:val="00F035A1"/>
    <w:rsid w:val="00F035F8"/>
    <w:rsid w:val="00F03806"/>
    <w:rsid w:val="00F042BB"/>
    <w:rsid w:val="00F0472A"/>
    <w:rsid w:val="00F04777"/>
    <w:rsid w:val="00F048E9"/>
    <w:rsid w:val="00F04ABE"/>
    <w:rsid w:val="00F04B6E"/>
    <w:rsid w:val="00F04C0C"/>
    <w:rsid w:val="00F05C06"/>
    <w:rsid w:val="00F06730"/>
    <w:rsid w:val="00F06BFC"/>
    <w:rsid w:val="00F06E0B"/>
    <w:rsid w:val="00F07321"/>
    <w:rsid w:val="00F0758E"/>
    <w:rsid w:val="00F07F30"/>
    <w:rsid w:val="00F10290"/>
    <w:rsid w:val="00F106E9"/>
    <w:rsid w:val="00F10B40"/>
    <w:rsid w:val="00F10FBD"/>
    <w:rsid w:val="00F11D5E"/>
    <w:rsid w:val="00F1237F"/>
    <w:rsid w:val="00F126DE"/>
    <w:rsid w:val="00F12D57"/>
    <w:rsid w:val="00F13134"/>
    <w:rsid w:val="00F13A9E"/>
    <w:rsid w:val="00F14A51"/>
    <w:rsid w:val="00F14F37"/>
    <w:rsid w:val="00F14FBB"/>
    <w:rsid w:val="00F15AE3"/>
    <w:rsid w:val="00F15C0F"/>
    <w:rsid w:val="00F15D7C"/>
    <w:rsid w:val="00F16652"/>
    <w:rsid w:val="00F16732"/>
    <w:rsid w:val="00F16901"/>
    <w:rsid w:val="00F16AA7"/>
    <w:rsid w:val="00F16B70"/>
    <w:rsid w:val="00F17572"/>
    <w:rsid w:val="00F1758C"/>
    <w:rsid w:val="00F20247"/>
    <w:rsid w:val="00F204DA"/>
    <w:rsid w:val="00F20C11"/>
    <w:rsid w:val="00F20CCB"/>
    <w:rsid w:val="00F21019"/>
    <w:rsid w:val="00F21113"/>
    <w:rsid w:val="00F21135"/>
    <w:rsid w:val="00F2185B"/>
    <w:rsid w:val="00F2196A"/>
    <w:rsid w:val="00F22344"/>
    <w:rsid w:val="00F2294D"/>
    <w:rsid w:val="00F22BCB"/>
    <w:rsid w:val="00F22C88"/>
    <w:rsid w:val="00F22CCC"/>
    <w:rsid w:val="00F235C3"/>
    <w:rsid w:val="00F23866"/>
    <w:rsid w:val="00F23D07"/>
    <w:rsid w:val="00F23E74"/>
    <w:rsid w:val="00F242F1"/>
    <w:rsid w:val="00F24A61"/>
    <w:rsid w:val="00F24BE9"/>
    <w:rsid w:val="00F24CEE"/>
    <w:rsid w:val="00F25220"/>
    <w:rsid w:val="00F253CE"/>
    <w:rsid w:val="00F25716"/>
    <w:rsid w:val="00F25A5F"/>
    <w:rsid w:val="00F26511"/>
    <w:rsid w:val="00F26602"/>
    <w:rsid w:val="00F26771"/>
    <w:rsid w:val="00F26CB2"/>
    <w:rsid w:val="00F2763B"/>
    <w:rsid w:val="00F305CA"/>
    <w:rsid w:val="00F309D6"/>
    <w:rsid w:val="00F30B77"/>
    <w:rsid w:val="00F30E3C"/>
    <w:rsid w:val="00F31427"/>
    <w:rsid w:val="00F323E6"/>
    <w:rsid w:val="00F3251E"/>
    <w:rsid w:val="00F3253F"/>
    <w:rsid w:val="00F32E3C"/>
    <w:rsid w:val="00F3335C"/>
    <w:rsid w:val="00F33821"/>
    <w:rsid w:val="00F339C2"/>
    <w:rsid w:val="00F33D2C"/>
    <w:rsid w:val="00F33EF3"/>
    <w:rsid w:val="00F35152"/>
    <w:rsid w:val="00F351DE"/>
    <w:rsid w:val="00F353FC"/>
    <w:rsid w:val="00F3547A"/>
    <w:rsid w:val="00F359AA"/>
    <w:rsid w:val="00F365DF"/>
    <w:rsid w:val="00F36795"/>
    <w:rsid w:val="00F36D05"/>
    <w:rsid w:val="00F3700A"/>
    <w:rsid w:val="00F37109"/>
    <w:rsid w:val="00F37455"/>
    <w:rsid w:val="00F37825"/>
    <w:rsid w:val="00F378BF"/>
    <w:rsid w:val="00F379D6"/>
    <w:rsid w:val="00F37F9D"/>
    <w:rsid w:val="00F40C98"/>
    <w:rsid w:val="00F40E46"/>
    <w:rsid w:val="00F413E8"/>
    <w:rsid w:val="00F417AB"/>
    <w:rsid w:val="00F41C49"/>
    <w:rsid w:val="00F41F36"/>
    <w:rsid w:val="00F425EA"/>
    <w:rsid w:val="00F42CC9"/>
    <w:rsid w:val="00F42DCA"/>
    <w:rsid w:val="00F42DF2"/>
    <w:rsid w:val="00F42E51"/>
    <w:rsid w:val="00F43228"/>
    <w:rsid w:val="00F432DC"/>
    <w:rsid w:val="00F436E6"/>
    <w:rsid w:val="00F44241"/>
    <w:rsid w:val="00F4489F"/>
    <w:rsid w:val="00F44D1E"/>
    <w:rsid w:val="00F44E69"/>
    <w:rsid w:val="00F44F9E"/>
    <w:rsid w:val="00F450B5"/>
    <w:rsid w:val="00F45237"/>
    <w:rsid w:val="00F45B3A"/>
    <w:rsid w:val="00F464EB"/>
    <w:rsid w:val="00F469CB"/>
    <w:rsid w:val="00F469DB"/>
    <w:rsid w:val="00F46E0C"/>
    <w:rsid w:val="00F4714E"/>
    <w:rsid w:val="00F475DC"/>
    <w:rsid w:val="00F47A36"/>
    <w:rsid w:val="00F47AE9"/>
    <w:rsid w:val="00F47D43"/>
    <w:rsid w:val="00F47E01"/>
    <w:rsid w:val="00F50155"/>
    <w:rsid w:val="00F50180"/>
    <w:rsid w:val="00F5046E"/>
    <w:rsid w:val="00F504FD"/>
    <w:rsid w:val="00F505EC"/>
    <w:rsid w:val="00F50F3D"/>
    <w:rsid w:val="00F50FAF"/>
    <w:rsid w:val="00F510C9"/>
    <w:rsid w:val="00F51225"/>
    <w:rsid w:val="00F513C2"/>
    <w:rsid w:val="00F5176E"/>
    <w:rsid w:val="00F51E2F"/>
    <w:rsid w:val="00F51F24"/>
    <w:rsid w:val="00F52149"/>
    <w:rsid w:val="00F52403"/>
    <w:rsid w:val="00F5262A"/>
    <w:rsid w:val="00F527B3"/>
    <w:rsid w:val="00F5281F"/>
    <w:rsid w:val="00F52867"/>
    <w:rsid w:val="00F52CE6"/>
    <w:rsid w:val="00F52FC6"/>
    <w:rsid w:val="00F530FA"/>
    <w:rsid w:val="00F53287"/>
    <w:rsid w:val="00F53BBE"/>
    <w:rsid w:val="00F547E9"/>
    <w:rsid w:val="00F54AF8"/>
    <w:rsid w:val="00F54B41"/>
    <w:rsid w:val="00F54F42"/>
    <w:rsid w:val="00F55A69"/>
    <w:rsid w:val="00F55AC4"/>
    <w:rsid w:val="00F55B12"/>
    <w:rsid w:val="00F55E8D"/>
    <w:rsid w:val="00F56019"/>
    <w:rsid w:val="00F56619"/>
    <w:rsid w:val="00F568D5"/>
    <w:rsid w:val="00F5703D"/>
    <w:rsid w:val="00F57260"/>
    <w:rsid w:val="00F57322"/>
    <w:rsid w:val="00F5751A"/>
    <w:rsid w:val="00F577A2"/>
    <w:rsid w:val="00F577F8"/>
    <w:rsid w:val="00F578B9"/>
    <w:rsid w:val="00F606C9"/>
    <w:rsid w:val="00F61226"/>
    <w:rsid w:val="00F61541"/>
    <w:rsid w:val="00F62465"/>
    <w:rsid w:val="00F63507"/>
    <w:rsid w:val="00F638B2"/>
    <w:rsid w:val="00F6433F"/>
    <w:rsid w:val="00F64400"/>
    <w:rsid w:val="00F64619"/>
    <w:rsid w:val="00F64989"/>
    <w:rsid w:val="00F64FBC"/>
    <w:rsid w:val="00F65088"/>
    <w:rsid w:val="00F651AC"/>
    <w:rsid w:val="00F656C7"/>
    <w:rsid w:val="00F65711"/>
    <w:rsid w:val="00F65851"/>
    <w:rsid w:val="00F65B32"/>
    <w:rsid w:val="00F65B65"/>
    <w:rsid w:val="00F65D66"/>
    <w:rsid w:val="00F65E82"/>
    <w:rsid w:val="00F66A24"/>
    <w:rsid w:val="00F66A5B"/>
    <w:rsid w:val="00F66EA1"/>
    <w:rsid w:val="00F67277"/>
    <w:rsid w:val="00F6742E"/>
    <w:rsid w:val="00F674CC"/>
    <w:rsid w:val="00F67DE7"/>
    <w:rsid w:val="00F67EB7"/>
    <w:rsid w:val="00F70060"/>
    <w:rsid w:val="00F707A8"/>
    <w:rsid w:val="00F7083B"/>
    <w:rsid w:val="00F70A3D"/>
    <w:rsid w:val="00F70B96"/>
    <w:rsid w:val="00F710E9"/>
    <w:rsid w:val="00F715D2"/>
    <w:rsid w:val="00F71637"/>
    <w:rsid w:val="00F71FBF"/>
    <w:rsid w:val="00F7286A"/>
    <w:rsid w:val="00F7310D"/>
    <w:rsid w:val="00F7312A"/>
    <w:rsid w:val="00F732E2"/>
    <w:rsid w:val="00F73553"/>
    <w:rsid w:val="00F738CE"/>
    <w:rsid w:val="00F738D7"/>
    <w:rsid w:val="00F7442D"/>
    <w:rsid w:val="00F747AB"/>
    <w:rsid w:val="00F74B8C"/>
    <w:rsid w:val="00F74BDB"/>
    <w:rsid w:val="00F763BE"/>
    <w:rsid w:val="00F7646E"/>
    <w:rsid w:val="00F76663"/>
    <w:rsid w:val="00F771F2"/>
    <w:rsid w:val="00F7767B"/>
    <w:rsid w:val="00F77B88"/>
    <w:rsid w:val="00F77E57"/>
    <w:rsid w:val="00F77F38"/>
    <w:rsid w:val="00F803A0"/>
    <w:rsid w:val="00F8062C"/>
    <w:rsid w:val="00F80AE5"/>
    <w:rsid w:val="00F80BB7"/>
    <w:rsid w:val="00F80E45"/>
    <w:rsid w:val="00F80E8D"/>
    <w:rsid w:val="00F810CA"/>
    <w:rsid w:val="00F81108"/>
    <w:rsid w:val="00F8111F"/>
    <w:rsid w:val="00F816D9"/>
    <w:rsid w:val="00F817AF"/>
    <w:rsid w:val="00F81C60"/>
    <w:rsid w:val="00F82512"/>
    <w:rsid w:val="00F82719"/>
    <w:rsid w:val="00F8291C"/>
    <w:rsid w:val="00F82CA2"/>
    <w:rsid w:val="00F82FC1"/>
    <w:rsid w:val="00F835AF"/>
    <w:rsid w:val="00F837F6"/>
    <w:rsid w:val="00F8389A"/>
    <w:rsid w:val="00F83E43"/>
    <w:rsid w:val="00F83FFC"/>
    <w:rsid w:val="00F84E00"/>
    <w:rsid w:val="00F84FF6"/>
    <w:rsid w:val="00F85299"/>
    <w:rsid w:val="00F853C9"/>
    <w:rsid w:val="00F858CB"/>
    <w:rsid w:val="00F8591C"/>
    <w:rsid w:val="00F85B35"/>
    <w:rsid w:val="00F85C85"/>
    <w:rsid w:val="00F85EA2"/>
    <w:rsid w:val="00F8692E"/>
    <w:rsid w:val="00F87458"/>
    <w:rsid w:val="00F876A8"/>
    <w:rsid w:val="00F877A6"/>
    <w:rsid w:val="00F878EC"/>
    <w:rsid w:val="00F87BC5"/>
    <w:rsid w:val="00F87EF5"/>
    <w:rsid w:val="00F90C01"/>
    <w:rsid w:val="00F90FC0"/>
    <w:rsid w:val="00F91185"/>
    <w:rsid w:val="00F91480"/>
    <w:rsid w:val="00F914BA"/>
    <w:rsid w:val="00F91BD8"/>
    <w:rsid w:val="00F92880"/>
    <w:rsid w:val="00F92911"/>
    <w:rsid w:val="00F92A18"/>
    <w:rsid w:val="00F92B76"/>
    <w:rsid w:val="00F92E43"/>
    <w:rsid w:val="00F92F22"/>
    <w:rsid w:val="00F934B1"/>
    <w:rsid w:val="00F939B6"/>
    <w:rsid w:val="00F93B2F"/>
    <w:rsid w:val="00F94338"/>
    <w:rsid w:val="00F94734"/>
    <w:rsid w:val="00F94DBE"/>
    <w:rsid w:val="00F94E36"/>
    <w:rsid w:val="00F9545D"/>
    <w:rsid w:val="00F95F77"/>
    <w:rsid w:val="00F9607F"/>
    <w:rsid w:val="00F96814"/>
    <w:rsid w:val="00F97594"/>
    <w:rsid w:val="00F97673"/>
    <w:rsid w:val="00F978E7"/>
    <w:rsid w:val="00F97BA9"/>
    <w:rsid w:val="00FA0D0F"/>
    <w:rsid w:val="00FA105B"/>
    <w:rsid w:val="00FA1431"/>
    <w:rsid w:val="00FA170B"/>
    <w:rsid w:val="00FA1A29"/>
    <w:rsid w:val="00FA1F88"/>
    <w:rsid w:val="00FA2246"/>
    <w:rsid w:val="00FA23F6"/>
    <w:rsid w:val="00FA2CA4"/>
    <w:rsid w:val="00FA2F12"/>
    <w:rsid w:val="00FA38F5"/>
    <w:rsid w:val="00FA4673"/>
    <w:rsid w:val="00FA484C"/>
    <w:rsid w:val="00FA4A77"/>
    <w:rsid w:val="00FA5158"/>
    <w:rsid w:val="00FA5163"/>
    <w:rsid w:val="00FA52D6"/>
    <w:rsid w:val="00FA5473"/>
    <w:rsid w:val="00FA5698"/>
    <w:rsid w:val="00FA56DE"/>
    <w:rsid w:val="00FA683B"/>
    <w:rsid w:val="00FA6A29"/>
    <w:rsid w:val="00FA7825"/>
    <w:rsid w:val="00FA796C"/>
    <w:rsid w:val="00FB0380"/>
    <w:rsid w:val="00FB0BAA"/>
    <w:rsid w:val="00FB1222"/>
    <w:rsid w:val="00FB127D"/>
    <w:rsid w:val="00FB143C"/>
    <w:rsid w:val="00FB26CB"/>
    <w:rsid w:val="00FB26FA"/>
    <w:rsid w:val="00FB286D"/>
    <w:rsid w:val="00FB2D69"/>
    <w:rsid w:val="00FB3108"/>
    <w:rsid w:val="00FB34C7"/>
    <w:rsid w:val="00FB36BE"/>
    <w:rsid w:val="00FB3A7D"/>
    <w:rsid w:val="00FB3E2E"/>
    <w:rsid w:val="00FB449C"/>
    <w:rsid w:val="00FB470F"/>
    <w:rsid w:val="00FB48C5"/>
    <w:rsid w:val="00FB51E5"/>
    <w:rsid w:val="00FB52D8"/>
    <w:rsid w:val="00FB55D7"/>
    <w:rsid w:val="00FB6259"/>
    <w:rsid w:val="00FB64D0"/>
    <w:rsid w:val="00FB6C0B"/>
    <w:rsid w:val="00FB7318"/>
    <w:rsid w:val="00FB74EE"/>
    <w:rsid w:val="00FC01E5"/>
    <w:rsid w:val="00FC03EB"/>
    <w:rsid w:val="00FC04C4"/>
    <w:rsid w:val="00FC05AB"/>
    <w:rsid w:val="00FC06EF"/>
    <w:rsid w:val="00FC07FE"/>
    <w:rsid w:val="00FC0A62"/>
    <w:rsid w:val="00FC0E79"/>
    <w:rsid w:val="00FC15FF"/>
    <w:rsid w:val="00FC162E"/>
    <w:rsid w:val="00FC1A03"/>
    <w:rsid w:val="00FC1B05"/>
    <w:rsid w:val="00FC1FB3"/>
    <w:rsid w:val="00FC2176"/>
    <w:rsid w:val="00FC2184"/>
    <w:rsid w:val="00FC21B7"/>
    <w:rsid w:val="00FC2B1D"/>
    <w:rsid w:val="00FC2E09"/>
    <w:rsid w:val="00FC2FCD"/>
    <w:rsid w:val="00FC35E5"/>
    <w:rsid w:val="00FC3EFC"/>
    <w:rsid w:val="00FC447B"/>
    <w:rsid w:val="00FC44A6"/>
    <w:rsid w:val="00FC45B8"/>
    <w:rsid w:val="00FC4D04"/>
    <w:rsid w:val="00FC4E0B"/>
    <w:rsid w:val="00FC53A7"/>
    <w:rsid w:val="00FC5950"/>
    <w:rsid w:val="00FC5BC8"/>
    <w:rsid w:val="00FC6156"/>
    <w:rsid w:val="00FC6357"/>
    <w:rsid w:val="00FC67F4"/>
    <w:rsid w:val="00FC6B35"/>
    <w:rsid w:val="00FC7D7E"/>
    <w:rsid w:val="00FC7E24"/>
    <w:rsid w:val="00FD0319"/>
    <w:rsid w:val="00FD04BC"/>
    <w:rsid w:val="00FD06CD"/>
    <w:rsid w:val="00FD08B3"/>
    <w:rsid w:val="00FD0BDC"/>
    <w:rsid w:val="00FD111F"/>
    <w:rsid w:val="00FD138B"/>
    <w:rsid w:val="00FD17F8"/>
    <w:rsid w:val="00FD1A82"/>
    <w:rsid w:val="00FD1FFD"/>
    <w:rsid w:val="00FD2B00"/>
    <w:rsid w:val="00FD2DAF"/>
    <w:rsid w:val="00FD382B"/>
    <w:rsid w:val="00FD3B41"/>
    <w:rsid w:val="00FD3EAF"/>
    <w:rsid w:val="00FD40B9"/>
    <w:rsid w:val="00FD41D8"/>
    <w:rsid w:val="00FD4803"/>
    <w:rsid w:val="00FD4B9B"/>
    <w:rsid w:val="00FD4EE4"/>
    <w:rsid w:val="00FD4F13"/>
    <w:rsid w:val="00FD52CA"/>
    <w:rsid w:val="00FD576A"/>
    <w:rsid w:val="00FD576B"/>
    <w:rsid w:val="00FD58DD"/>
    <w:rsid w:val="00FD595A"/>
    <w:rsid w:val="00FD5AB6"/>
    <w:rsid w:val="00FD5AC5"/>
    <w:rsid w:val="00FD5C50"/>
    <w:rsid w:val="00FD5E0B"/>
    <w:rsid w:val="00FD5EB0"/>
    <w:rsid w:val="00FD61B3"/>
    <w:rsid w:val="00FD643B"/>
    <w:rsid w:val="00FD6625"/>
    <w:rsid w:val="00FD7103"/>
    <w:rsid w:val="00FD7528"/>
    <w:rsid w:val="00FD7650"/>
    <w:rsid w:val="00FD792F"/>
    <w:rsid w:val="00FD7B93"/>
    <w:rsid w:val="00FE0875"/>
    <w:rsid w:val="00FE0A64"/>
    <w:rsid w:val="00FE0B1E"/>
    <w:rsid w:val="00FE127F"/>
    <w:rsid w:val="00FE19ED"/>
    <w:rsid w:val="00FE1BD9"/>
    <w:rsid w:val="00FE1C5C"/>
    <w:rsid w:val="00FE1D89"/>
    <w:rsid w:val="00FE2321"/>
    <w:rsid w:val="00FE2520"/>
    <w:rsid w:val="00FE273F"/>
    <w:rsid w:val="00FE2A58"/>
    <w:rsid w:val="00FE393E"/>
    <w:rsid w:val="00FE397F"/>
    <w:rsid w:val="00FE412F"/>
    <w:rsid w:val="00FE4377"/>
    <w:rsid w:val="00FE4408"/>
    <w:rsid w:val="00FE4913"/>
    <w:rsid w:val="00FE4EA1"/>
    <w:rsid w:val="00FE543B"/>
    <w:rsid w:val="00FE5574"/>
    <w:rsid w:val="00FE5D45"/>
    <w:rsid w:val="00FE6C95"/>
    <w:rsid w:val="00FE6E67"/>
    <w:rsid w:val="00FE720B"/>
    <w:rsid w:val="00FE7461"/>
    <w:rsid w:val="00FE755F"/>
    <w:rsid w:val="00FE7A19"/>
    <w:rsid w:val="00FE7D24"/>
    <w:rsid w:val="00FE7D85"/>
    <w:rsid w:val="00FE7EC8"/>
    <w:rsid w:val="00FF0E92"/>
    <w:rsid w:val="00FF1FBB"/>
    <w:rsid w:val="00FF1FE1"/>
    <w:rsid w:val="00FF26FE"/>
    <w:rsid w:val="00FF2C3E"/>
    <w:rsid w:val="00FF2EE2"/>
    <w:rsid w:val="00FF3054"/>
    <w:rsid w:val="00FF3237"/>
    <w:rsid w:val="00FF323D"/>
    <w:rsid w:val="00FF3CF3"/>
    <w:rsid w:val="00FF3DEC"/>
    <w:rsid w:val="00FF3F16"/>
    <w:rsid w:val="00FF41ED"/>
    <w:rsid w:val="00FF492F"/>
    <w:rsid w:val="00FF4C27"/>
    <w:rsid w:val="00FF4EBA"/>
    <w:rsid w:val="00FF5007"/>
    <w:rsid w:val="00FF5030"/>
    <w:rsid w:val="00FF5490"/>
    <w:rsid w:val="00FF54D6"/>
    <w:rsid w:val="00FF5535"/>
    <w:rsid w:val="00FF5635"/>
    <w:rsid w:val="00FF59C1"/>
    <w:rsid w:val="00FF5B90"/>
    <w:rsid w:val="00FF6108"/>
    <w:rsid w:val="00FF6308"/>
    <w:rsid w:val="00FF64D8"/>
    <w:rsid w:val="00FF659F"/>
    <w:rsid w:val="00FF73F3"/>
    <w:rsid w:val="00FF77D5"/>
    <w:rsid w:val="00FF795D"/>
    <w:rsid w:val="00FF7E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ddd">
      <v:fill color="#ddd"/>
      <v:shadow on="t" opacity=".5" offset="6pt,6pt"/>
      <v:textbox style="mso-fit-shape-to-text:t"/>
      <o:colormru v:ext="edit" colors="#ddd,#036"/>
    </o:shapedefaults>
    <o:shapelayout v:ext="edit">
      <o:idmap v:ext="edit" data="1"/>
      <o:rules v:ext="edit">
        <o:r id="V:Rule44" type="connector" idref="#AutoShape 221"/>
        <o:r id="V:Rule45" type="connector" idref="#AutoShape 225"/>
        <o:r id="V:Rule46" type="connector" idref="#AutoShape 280"/>
        <o:r id="V:Rule47" type="connector" idref="#AutoShape 384"/>
        <o:r id="V:Rule48" type="connector" idref="#AutoShape 235"/>
        <o:r id="V:Rule49" type="connector" idref="#AutoShape 403"/>
        <o:r id="V:Rule50" type="connector" idref="#AutoShape 396"/>
        <o:r id="V:Rule51" type="connector" idref="#AutoShape 260"/>
        <o:r id="V:Rule52" type="connector" idref="#AutoShape 266"/>
        <o:r id="V:Rule53" type="connector" idref="#AutoShape 282"/>
        <o:r id="V:Rule54" type="connector" idref="#AutoShape 404"/>
        <o:r id="V:Rule55" type="connector" idref="#AutoShape 223"/>
        <o:r id="V:Rule56" type="connector" idref="#AutoShape 277"/>
        <o:r id="V:Rule57" type="connector" idref="#AutoShape 267"/>
        <o:r id="V:Rule58" type="connector" idref="#AutoShape 281"/>
        <o:r id="V:Rule59" type="connector" idref="#AutoShape 262"/>
        <o:r id="V:Rule60" type="connector" idref="#AutoShape 236"/>
        <o:r id="V:Rule61" type="connector" idref="#AutoShape 386"/>
        <o:r id="V:Rule62" type="connector" idref="#AutoShape 222"/>
        <o:r id="V:Rule63" type="connector" idref="#AutoShape 238"/>
        <o:r id="V:Rule64" type="connector" idref="#AutoShape 270"/>
        <o:r id="V:Rule65" type="connector" idref="#AutoShape 264"/>
        <o:r id="V:Rule66" type="connector" idref="#AutoShape 390"/>
        <o:r id="V:Rule67" type="connector" idref="#AutoShape 261"/>
        <o:r id="V:Rule68" type="connector" idref="#AutoShape 391"/>
        <o:r id="V:Rule69" type="connector" idref="#AutoShape 389"/>
        <o:r id="V:Rule70" type="connector" idref="#AutoShape 268"/>
        <o:r id="V:Rule71" type="connector" idref="#AutoShape 275"/>
        <o:r id="V:Rule72" type="connector" idref="#AutoShape 276"/>
        <o:r id="V:Rule73" type="connector" idref="#AutoShape 388"/>
        <o:r id="V:Rule74" type="connector" idref="#AutoShape 284"/>
        <o:r id="V:Rule75" type="connector" idref="#AutoShape 224"/>
        <o:r id="V:Rule76" type="connector" idref="#AutoShape 274"/>
        <o:r id="V:Rule77" type="connector" idref="#AutoShape 259"/>
        <o:r id="V:Rule78" type="connector" idref="#AutoShape 265"/>
        <o:r id="V:Rule79" type="connector" idref="#AutoShape 220"/>
        <o:r id="V:Rule80" type="connector" idref="#AutoShape 263"/>
        <o:r id="V:Rule81" type="connector" idref="#AutoShape 269"/>
        <o:r id="V:Rule82" type="connector" idref="#AutoShape 278"/>
        <o:r id="V:Rule83" type="connector" idref="#AutoShape 237"/>
        <o:r id="V:Rule84" type="connector" idref="#AutoShape 283"/>
        <o:r id="V:Rule85" type="connector" idref="#AutoShape 273"/>
        <o:r id="V:Rule86" type="connector" idref="#AutoShape 2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3" w:uiPriority="0"/>
    <w:lsdException w:name="Table List 7" w:uiPriority="0"/>
    <w:lsdException w:name="Table List 8"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3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72"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368"/>
    <w:pPr>
      <w:spacing w:after="240"/>
    </w:pPr>
    <w:rPr>
      <w:rFonts w:ascii="Cambria" w:hAnsi="Cambria"/>
      <w:sz w:val="22"/>
      <w:lang w:eastAsia="en-GB"/>
    </w:rPr>
  </w:style>
  <w:style w:type="paragraph" w:styleId="Heading1">
    <w:name w:val="heading 1"/>
    <w:aliases w:val="1. Pre-Primary Education"/>
    <w:basedOn w:val="Normal"/>
    <w:next w:val="Normal"/>
    <w:link w:val="Heading1Char"/>
    <w:autoRedefine/>
    <w:qFormat/>
    <w:rsid w:val="003F5F17"/>
    <w:pPr>
      <w:keepNext/>
      <w:pageBreakBefore/>
      <w:numPr>
        <w:numId w:val="49"/>
      </w:numPr>
      <w:pBdr>
        <w:top w:val="single" w:sz="8" w:space="0" w:color="auto"/>
        <w:bottom w:val="single" w:sz="12" w:space="1" w:color="215868" w:themeColor="accent5" w:themeShade="80"/>
      </w:pBdr>
      <w:kinsoku w:val="0"/>
      <w:overflowPunct w:val="0"/>
      <w:autoSpaceDE w:val="0"/>
      <w:autoSpaceDN w:val="0"/>
      <w:spacing w:before="120" w:after="120" w:line="276" w:lineRule="auto"/>
      <w:jc w:val="both"/>
      <w:outlineLvl w:val="0"/>
    </w:pPr>
    <w:rPr>
      <w:rFonts w:asciiTheme="minorHAnsi" w:hAnsiTheme="minorHAnsi" w:cstheme="minorHAnsi"/>
      <w:b/>
      <w:smallCaps/>
      <w:color w:val="000000" w:themeColor="text1"/>
      <w:sz w:val="32"/>
    </w:rPr>
  </w:style>
  <w:style w:type="paragraph" w:styleId="Heading2">
    <w:name w:val="heading 2"/>
    <w:aliases w:val="Heading 1.1"/>
    <w:basedOn w:val="Normal"/>
    <w:next w:val="Normal"/>
    <w:link w:val="Heading2Char"/>
    <w:qFormat/>
    <w:rsid w:val="0090131F"/>
    <w:pPr>
      <w:keepNext/>
      <w:numPr>
        <w:ilvl w:val="1"/>
        <w:numId w:val="49"/>
      </w:numPr>
      <w:pBdr>
        <w:top w:val="dotted" w:sz="12" w:space="1" w:color="008000"/>
        <w:bottom w:val="dotted" w:sz="12" w:space="1" w:color="008000"/>
      </w:pBdr>
      <w:spacing w:before="240"/>
      <w:outlineLvl w:val="1"/>
    </w:pPr>
    <w:rPr>
      <w:rFonts w:asciiTheme="minorHAnsi" w:hAnsiTheme="minorHAnsi"/>
      <w:b/>
      <w:i/>
      <w:color w:val="008000"/>
      <w:sz w:val="26"/>
    </w:rPr>
  </w:style>
  <w:style w:type="paragraph" w:styleId="Heading3">
    <w:name w:val="heading 3"/>
    <w:basedOn w:val="Normal"/>
    <w:next w:val="Normal"/>
    <w:link w:val="Heading3Char"/>
    <w:autoRedefine/>
    <w:qFormat/>
    <w:rsid w:val="004E77B3"/>
    <w:pPr>
      <w:keepNext/>
      <w:numPr>
        <w:ilvl w:val="2"/>
        <w:numId w:val="49"/>
      </w:numPr>
      <w:tabs>
        <w:tab w:val="clear" w:pos="5580"/>
        <w:tab w:val="num" w:pos="720"/>
      </w:tabs>
      <w:spacing w:before="120" w:after="120" w:line="276" w:lineRule="auto"/>
      <w:ind w:left="720"/>
      <w:outlineLvl w:val="2"/>
    </w:pPr>
    <w:rPr>
      <w:rFonts w:asciiTheme="minorHAnsi" w:hAnsiTheme="minorHAnsi" w:cstheme="minorHAnsi"/>
      <w:b/>
      <w:smallCaps/>
      <w:color w:val="008000"/>
      <w:sz w:val="24"/>
      <w:szCs w:val="24"/>
      <w:lang w:eastAsia="ja-JP"/>
    </w:rPr>
  </w:style>
  <w:style w:type="paragraph" w:styleId="Heading4">
    <w:name w:val="heading 4"/>
    <w:basedOn w:val="Normal"/>
    <w:next w:val="Normal"/>
    <w:link w:val="Heading4Char"/>
    <w:qFormat/>
    <w:rsid w:val="000D2C21"/>
    <w:pPr>
      <w:keepNext/>
      <w:numPr>
        <w:ilvl w:val="3"/>
        <w:numId w:val="49"/>
      </w:numPr>
      <w:tabs>
        <w:tab w:val="clear" w:pos="1224"/>
        <w:tab w:val="num" w:pos="864"/>
        <w:tab w:val="num" w:pos="3294"/>
      </w:tabs>
      <w:ind w:left="864"/>
      <w:outlineLvl w:val="3"/>
    </w:pPr>
    <w:rPr>
      <w:i/>
    </w:rPr>
  </w:style>
  <w:style w:type="paragraph" w:styleId="Heading5">
    <w:name w:val="heading 5"/>
    <w:basedOn w:val="Normal"/>
    <w:next w:val="Normal"/>
    <w:link w:val="Heading5Char"/>
    <w:qFormat/>
    <w:rsid w:val="00613FDC"/>
    <w:pPr>
      <w:keepNext/>
      <w:numPr>
        <w:ilvl w:val="4"/>
        <w:numId w:val="49"/>
      </w:numPr>
      <w:spacing w:after="0"/>
      <w:outlineLvl w:val="4"/>
    </w:pPr>
    <w:rPr>
      <w:rFonts w:ascii="Times New Roman" w:hAnsi="Times New Roman"/>
      <w:i/>
      <w:sz w:val="24"/>
      <w:lang w:val="en-GB"/>
    </w:rPr>
  </w:style>
  <w:style w:type="paragraph" w:styleId="Heading6">
    <w:name w:val="heading 6"/>
    <w:basedOn w:val="Normal"/>
    <w:next w:val="Normal"/>
    <w:link w:val="Heading6Char"/>
    <w:qFormat/>
    <w:rsid w:val="00613FDC"/>
    <w:pPr>
      <w:keepNext/>
      <w:numPr>
        <w:ilvl w:val="5"/>
        <w:numId w:val="49"/>
      </w:numPr>
      <w:spacing w:after="0"/>
      <w:jc w:val="center"/>
      <w:outlineLvl w:val="5"/>
    </w:pPr>
    <w:rPr>
      <w:rFonts w:ascii="Times New Roman" w:hAnsi="Times New Roman"/>
      <w:b/>
      <w:sz w:val="28"/>
      <w:lang w:val="en-GB"/>
    </w:rPr>
  </w:style>
  <w:style w:type="paragraph" w:styleId="Heading7">
    <w:name w:val="heading 7"/>
    <w:basedOn w:val="Normal"/>
    <w:next w:val="Normal"/>
    <w:link w:val="Heading7Char"/>
    <w:uiPriority w:val="99"/>
    <w:qFormat/>
    <w:rsid w:val="00613FDC"/>
    <w:pPr>
      <w:keepNext/>
      <w:numPr>
        <w:ilvl w:val="6"/>
        <w:numId w:val="49"/>
      </w:numPr>
      <w:jc w:val="center"/>
      <w:outlineLvl w:val="6"/>
    </w:pPr>
    <w:rPr>
      <w:b/>
    </w:rPr>
  </w:style>
  <w:style w:type="paragraph" w:styleId="Heading8">
    <w:name w:val="heading 8"/>
    <w:basedOn w:val="Normal"/>
    <w:next w:val="Normal"/>
    <w:link w:val="Heading8Char"/>
    <w:uiPriority w:val="99"/>
    <w:qFormat/>
    <w:rsid w:val="00613FDC"/>
    <w:pPr>
      <w:keepNext/>
      <w:numPr>
        <w:ilvl w:val="7"/>
        <w:numId w:val="49"/>
      </w:numPr>
      <w:spacing w:after="0"/>
      <w:jc w:val="center"/>
      <w:outlineLvl w:val="7"/>
    </w:pPr>
    <w:rPr>
      <w:rFonts w:ascii="Times New Roman" w:hAnsi="Times New Roman"/>
      <w:b/>
      <w:sz w:val="24"/>
      <w:lang w:val="en-GB"/>
    </w:rPr>
  </w:style>
  <w:style w:type="paragraph" w:styleId="Heading9">
    <w:name w:val="heading 9"/>
    <w:basedOn w:val="Normal"/>
    <w:next w:val="Normal"/>
    <w:link w:val="Heading9Char"/>
    <w:uiPriority w:val="99"/>
    <w:qFormat/>
    <w:rsid w:val="00613FDC"/>
    <w:pPr>
      <w:keepNext/>
      <w:numPr>
        <w:ilvl w:val="8"/>
        <w:numId w:val="49"/>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F759A"/>
    <w:rPr>
      <w:color w:val="0000FF"/>
      <w:u w:val="single"/>
    </w:rPr>
  </w:style>
  <w:style w:type="paragraph" w:styleId="ListBullet">
    <w:name w:val="List Bullet"/>
    <w:basedOn w:val="Normal"/>
    <w:autoRedefine/>
    <w:rsid w:val="00AF170F"/>
    <w:pPr>
      <w:numPr>
        <w:numId w:val="1"/>
      </w:numPr>
    </w:pPr>
  </w:style>
  <w:style w:type="paragraph" w:styleId="Title">
    <w:name w:val="Title"/>
    <w:basedOn w:val="Normal"/>
    <w:link w:val="TitleChar"/>
    <w:qFormat/>
    <w:rsid w:val="006B6DE1"/>
    <w:pPr>
      <w:jc w:val="center"/>
    </w:pPr>
    <w:rPr>
      <w:rFonts w:ascii="Arial" w:hAnsi="Arial"/>
      <w:b/>
      <w:sz w:val="28"/>
    </w:rPr>
  </w:style>
  <w:style w:type="paragraph" w:styleId="TOC1">
    <w:name w:val="toc 1"/>
    <w:basedOn w:val="Normal"/>
    <w:next w:val="Normal"/>
    <w:autoRedefine/>
    <w:uiPriority w:val="39"/>
    <w:qFormat/>
    <w:rsid w:val="006B6DE1"/>
    <w:pPr>
      <w:spacing w:before="120"/>
    </w:pPr>
    <w:rPr>
      <w:b/>
      <w:caps/>
      <w:sz w:val="20"/>
    </w:rPr>
  </w:style>
  <w:style w:type="paragraph" w:styleId="TOC2">
    <w:name w:val="toc 2"/>
    <w:basedOn w:val="Normal"/>
    <w:next w:val="Normal"/>
    <w:autoRedefine/>
    <w:uiPriority w:val="39"/>
    <w:qFormat/>
    <w:rsid w:val="00CE6C02"/>
    <w:pPr>
      <w:tabs>
        <w:tab w:val="left" w:pos="960"/>
        <w:tab w:val="right" w:leader="dot" w:pos="9350"/>
      </w:tabs>
      <w:spacing w:after="0" w:line="276" w:lineRule="auto"/>
      <w:jc w:val="both"/>
    </w:pPr>
    <w:rPr>
      <w:rFonts w:asciiTheme="majorHAnsi" w:eastAsia="Calibri" w:hAnsiTheme="majorHAnsi" w:cstheme="minorHAnsi"/>
      <w:b/>
      <w:smallCaps/>
      <w:noProof/>
      <w:sz w:val="20"/>
    </w:rPr>
  </w:style>
  <w:style w:type="paragraph" w:styleId="TOC3">
    <w:name w:val="toc 3"/>
    <w:basedOn w:val="Normal"/>
    <w:next w:val="Normal"/>
    <w:autoRedefine/>
    <w:uiPriority w:val="39"/>
    <w:qFormat/>
    <w:rsid w:val="00741053"/>
    <w:pPr>
      <w:tabs>
        <w:tab w:val="left" w:pos="1200"/>
        <w:tab w:val="right" w:leader="dot" w:pos="9561"/>
      </w:tabs>
      <w:ind w:left="480"/>
    </w:pPr>
    <w:rPr>
      <w:i/>
      <w:sz w:val="20"/>
    </w:rPr>
  </w:style>
  <w:style w:type="paragraph" w:styleId="TOC4">
    <w:name w:val="toc 4"/>
    <w:basedOn w:val="Normal"/>
    <w:next w:val="Normal"/>
    <w:autoRedefine/>
    <w:uiPriority w:val="39"/>
    <w:rsid w:val="006B6DE1"/>
    <w:pPr>
      <w:ind w:left="720"/>
    </w:pPr>
    <w:rPr>
      <w:sz w:val="18"/>
    </w:rPr>
  </w:style>
  <w:style w:type="paragraph" w:styleId="TOC5">
    <w:name w:val="toc 5"/>
    <w:basedOn w:val="Normal"/>
    <w:next w:val="Normal"/>
    <w:autoRedefine/>
    <w:uiPriority w:val="39"/>
    <w:rsid w:val="006B6DE1"/>
    <w:pPr>
      <w:ind w:left="960"/>
    </w:pPr>
    <w:rPr>
      <w:sz w:val="18"/>
    </w:rPr>
  </w:style>
  <w:style w:type="paragraph" w:styleId="TOC6">
    <w:name w:val="toc 6"/>
    <w:basedOn w:val="Normal"/>
    <w:next w:val="Normal"/>
    <w:autoRedefine/>
    <w:uiPriority w:val="39"/>
    <w:rsid w:val="006B6DE1"/>
    <w:pPr>
      <w:ind w:left="1200"/>
    </w:pPr>
    <w:rPr>
      <w:sz w:val="18"/>
    </w:rPr>
  </w:style>
  <w:style w:type="paragraph" w:styleId="TOC7">
    <w:name w:val="toc 7"/>
    <w:basedOn w:val="Normal"/>
    <w:next w:val="Normal"/>
    <w:autoRedefine/>
    <w:uiPriority w:val="39"/>
    <w:rsid w:val="006B6DE1"/>
    <w:pPr>
      <w:ind w:left="1440"/>
    </w:pPr>
    <w:rPr>
      <w:sz w:val="18"/>
    </w:rPr>
  </w:style>
  <w:style w:type="paragraph" w:styleId="TOC8">
    <w:name w:val="toc 8"/>
    <w:basedOn w:val="Normal"/>
    <w:next w:val="Normal"/>
    <w:autoRedefine/>
    <w:uiPriority w:val="39"/>
    <w:rsid w:val="006B6DE1"/>
    <w:pPr>
      <w:ind w:left="1680"/>
    </w:pPr>
    <w:rPr>
      <w:sz w:val="18"/>
    </w:rPr>
  </w:style>
  <w:style w:type="paragraph" w:styleId="TOC9">
    <w:name w:val="toc 9"/>
    <w:basedOn w:val="Normal"/>
    <w:next w:val="Normal"/>
    <w:autoRedefine/>
    <w:uiPriority w:val="39"/>
    <w:rsid w:val="006B6DE1"/>
    <w:pPr>
      <w:ind w:left="1920"/>
    </w:pPr>
    <w:rPr>
      <w:sz w:val="18"/>
    </w:rPr>
  </w:style>
  <w:style w:type="paragraph" w:styleId="FootnoteText">
    <w:name w:val="footnote text"/>
    <w:aliases w:val="single space,Footnote"/>
    <w:basedOn w:val="Normal"/>
    <w:link w:val="FootnoteTextChar"/>
    <w:uiPriority w:val="99"/>
    <w:rsid w:val="006B6DE1"/>
    <w:pPr>
      <w:overflowPunct w:val="0"/>
      <w:autoSpaceDE w:val="0"/>
      <w:autoSpaceDN w:val="0"/>
      <w:adjustRightInd w:val="0"/>
      <w:spacing w:after="0"/>
      <w:textAlignment w:val="baseline"/>
    </w:pPr>
    <w:rPr>
      <w:rFonts w:ascii="Times New Roman" w:hAnsi="Times New Roman"/>
      <w:sz w:val="18"/>
      <w:lang w:val="en-GB"/>
    </w:rPr>
  </w:style>
  <w:style w:type="character" w:styleId="FootnoteReference">
    <w:name w:val="footnote reference"/>
    <w:aliases w:val="ftref"/>
    <w:uiPriority w:val="99"/>
    <w:rsid w:val="006B6DE1"/>
    <w:rPr>
      <w:vertAlign w:val="superscript"/>
    </w:rPr>
  </w:style>
  <w:style w:type="paragraph" w:styleId="TableofFigures">
    <w:name w:val="table of figures"/>
    <w:basedOn w:val="Normal"/>
    <w:next w:val="Normal"/>
    <w:uiPriority w:val="99"/>
    <w:rsid w:val="0078042B"/>
    <w:pPr>
      <w:ind w:left="440" w:hanging="440"/>
    </w:pPr>
    <w:rPr>
      <w:smallCaps/>
      <w:sz w:val="18"/>
    </w:rPr>
  </w:style>
  <w:style w:type="paragraph" w:styleId="Caption">
    <w:name w:val="caption"/>
    <w:basedOn w:val="Normal"/>
    <w:next w:val="Normal"/>
    <w:uiPriority w:val="99"/>
    <w:qFormat/>
    <w:rsid w:val="007D52E5"/>
    <w:pPr>
      <w:jc w:val="center"/>
    </w:pPr>
    <w:rPr>
      <w:rFonts w:asciiTheme="minorHAnsi" w:hAnsiTheme="minorHAnsi"/>
      <w:b/>
    </w:rPr>
  </w:style>
  <w:style w:type="paragraph" w:styleId="BalloonText">
    <w:name w:val="Balloon Text"/>
    <w:basedOn w:val="Normal"/>
    <w:link w:val="BalloonTextChar"/>
    <w:uiPriority w:val="99"/>
    <w:semiHidden/>
    <w:rsid w:val="006B6DE1"/>
    <w:rPr>
      <w:rFonts w:ascii="Tahoma" w:hAnsi="Tahoma" w:cs="Tahoma"/>
      <w:sz w:val="16"/>
      <w:szCs w:val="16"/>
    </w:rPr>
  </w:style>
  <w:style w:type="character" w:customStyle="1" w:styleId="BalloonTextChar">
    <w:name w:val="Balloon Text Char"/>
    <w:link w:val="BalloonText"/>
    <w:uiPriority w:val="99"/>
    <w:semiHidden/>
    <w:rsid w:val="00D748C3"/>
    <w:rPr>
      <w:rFonts w:ascii="Tahoma" w:hAnsi="Tahoma" w:cs="Tahoma"/>
      <w:sz w:val="16"/>
      <w:szCs w:val="16"/>
      <w:lang w:eastAsia="en-GB"/>
    </w:rPr>
  </w:style>
  <w:style w:type="paragraph" w:customStyle="1" w:styleId="Secondarytext">
    <w:name w:val="Secondary text"/>
    <w:basedOn w:val="Normal"/>
    <w:rsid w:val="00D748C3"/>
    <w:pPr>
      <w:spacing w:line="360" w:lineRule="auto"/>
      <w:jc w:val="center"/>
    </w:pPr>
    <w:rPr>
      <w:rFonts w:ascii="Calibri" w:hAnsi="Calibri"/>
      <w:sz w:val="28"/>
      <w:lang w:val="en-GB"/>
    </w:rPr>
  </w:style>
  <w:style w:type="character" w:customStyle="1" w:styleId="TitleChar">
    <w:name w:val="Title Char"/>
    <w:link w:val="Title"/>
    <w:rsid w:val="00D748C3"/>
    <w:rPr>
      <w:rFonts w:ascii="Arial" w:hAnsi="Arial"/>
      <w:b/>
      <w:sz w:val="28"/>
      <w:lang w:eastAsia="en-GB"/>
    </w:rPr>
  </w:style>
  <w:style w:type="table" w:styleId="TableGrid">
    <w:name w:val="Table Grid"/>
    <w:basedOn w:val="TableNormal"/>
    <w:uiPriority w:val="39"/>
    <w:rsid w:val="00D748C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aliases w:val="OPM,Body text"/>
    <w:basedOn w:val="Normal"/>
    <w:link w:val="BodytextChar"/>
    <w:qFormat/>
    <w:rsid w:val="00D748C3"/>
    <w:pPr>
      <w:tabs>
        <w:tab w:val="left" w:pos="720"/>
      </w:tabs>
      <w:spacing w:line="276" w:lineRule="auto"/>
    </w:pPr>
    <w:rPr>
      <w:rFonts w:ascii="Calibri" w:hAnsi="Calibri"/>
      <w:b/>
      <w:szCs w:val="22"/>
      <w:lang w:val="en-GB"/>
    </w:rPr>
  </w:style>
  <w:style w:type="character" w:customStyle="1" w:styleId="BodytextChar">
    <w:name w:val="Body text Char"/>
    <w:aliases w:val="OPM Char"/>
    <w:link w:val="BodyText1"/>
    <w:rsid w:val="00D748C3"/>
    <w:rPr>
      <w:rFonts w:ascii="Calibri" w:hAnsi="Calibri"/>
      <w:b/>
      <w:sz w:val="22"/>
      <w:szCs w:val="22"/>
      <w:lang w:val="en-GB" w:eastAsia="en-GB"/>
    </w:rPr>
  </w:style>
  <w:style w:type="paragraph" w:styleId="BodyText">
    <w:name w:val="Body Text"/>
    <w:basedOn w:val="Normal"/>
    <w:link w:val="BodyTextChar0"/>
    <w:rsid w:val="00D748C3"/>
    <w:pPr>
      <w:spacing w:after="120"/>
    </w:pPr>
    <w:rPr>
      <w:rFonts w:ascii="Times New Roman" w:eastAsia="MS Mincho" w:hAnsi="Times New Roman"/>
      <w:sz w:val="24"/>
      <w:szCs w:val="24"/>
      <w:lang w:val="en-GB" w:eastAsia="en-US"/>
    </w:rPr>
  </w:style>
  <w:style w:type="character" w:customStyle="1" w:styleId="BodyTextChar0">
    <w:name w:val="Body Text Char"/>
    <w:link w:val="BodyText"/>
    <w:rsid w:val="00D748C3"/>
    <w:rPr>
      <w:rFonts w:eastAsia="MS Mincho"/>
      <w:sz w:val="24"/>
      <w:szCs w:val="24"/>
      <w:lang w:val="en-GB" w:eastAsia="en-US"/>
    </w:rPr>
  </w:style>
  <w:style w:type="character" w:customStyle="1" w:styleId="Heading1Char">
    <w:name w:val="Heading 1 Char"/>
    <w:aliases w:val="1. Pre-Primary Education Char"/>
    <w:link w:val="Heading1"/>
    <w:rsid w:val="003F5F17"/>
    <w:rPr>
      <w:rFonts w:asciiTheme="minorHAnsi" w:hAnsiTheme="minorHAnsi" w:cstheme="minorHAnsi"/>
      <w:b/>
      <w:smallCaps/>
      <w:color w:val="000000" w:themeColor="text1"/>
      <w:sz w:val="32"/>
      <w:lang w:eastAsia="en-GB"/>
    </w:rPr>
  </w:style>
  <w:style w:type="character" w:customStyle="1" w:styleId="Heading2Char">
    <w:name w:val="Heading 2 Char"/>
    <w:aliases w:val="Heading 1.1 Char"/>
    <w:link w:val="Heading2"/>
    <w:rsid w:val="0090131F"/>
    <w:rPr>
      <w:rFonts w:asciiTheme="minorHAnsi" w:hAnsiTheme="minorHAnsi"/>
      <w:b/>
      <w:i/>
      <w:color w:val="008000"/>
      <w:sz w:val="26"/>
      <w:lang w:eastAsia="en-GB"/>
    </w:rPr>
  </w:style>
  <w:style w:type="character" w:customStyle="1" w:styleId="Heading3Char">
    <w:name w:val="Heading 3 Char"/>
    <w:link w:val="Heading3"/>
    <w:rsid w:val="004E77B3"/>
    <w:rPr>
      <w:rFonts w:asciiTheme="minorHAnsi" w:hAnsiTheme="minorHAnsi" w:cstheme="minorHAnsi"/>
      <w:b/>
      <w:smallCaps/>
      <w:color w:val="008000"/>
      <w:sz w:val="24"/>
      <w:szCs w:val="24"/>
    </w:rPr>
  </w:style>
  <w:style w:type="paragraph" w:styleId="ListParagraph">
    <w:name w:val="List Paragraph"/>
    <w:aliases w:val="Normal 2,List Paragraph (numbered (a)),Main numbered paragraph"/>
    <w:basedOn w:val="Normal"/>
    <w:link w:val="ListParagraphChar"/>
    <w:uiPriority w:val="34"/>
    <w:qFormat/>
    <w:rsid w:val="00935A02"/>
    <w:pPr>
      <w:numPr>
        <w:numId w:val="26"/>
      </w:numPr>
      <w:spacing w:after="200"/>
      <w:ind w:left="450"/>
      <w:contextualSpacing/>
    </w:pPr>
    <w:rPr>
      <w:rFonts w:eastAsia="Calibri"/>
      <w:szCs w:val="22"/>
      <w:lang w:eastAsia="en-US"/>
    </w:rPr>
  </w:style>
  <w:style w:type="paragraph" w:customStyle="1" w:styleId="Figure">
    <w:name w:val="Figure"/>
    <w:basedOn w:val="Normal"/>
    <w:next w:val="BodyText1"/>
    <w:rsid w:val="00D748C3"/>
    <w:pPr>
      <w:keepNext/>
      <w:tabs>
        <w:tab w:val="num" w:pos="1440"/>
      </w:tabs>
      <w:spacing w:after="120"/>
      <w:ind w:left="1440" w:hanging="1440"/>
      <w:outlineLvl w:val="1"/>
    </w:pPr>
    <w:rPr>
      <w:rFonts w:ascii="Calibri" w:hAnsi="Calibri"/>
      <w:b/>
      <w:i/>
      <w:lang w:val="en-GB"/>
    </w:rPr>
  </w:style>
  <w:style w:type="paragraph" w:customStyle="1" w:styleId="Table">
    <w:name w:val="Table"/>
    <w:basedOn w:val="Normal"/>
    <w:next w:val="BodyText1"/>
    <w:qFormat/>
    <w:rsid w:val="00D748C3"/>
    <w:pPr>
      <w:keepNext/>
      <w:tabs>
        <w:tab w:val="left" w:pos="1134"/>
        <w:tab w:val="num" w:pos="1440"/>
      </w:tabs>
      <w:spacing w:after="120"/>
      <w:ind w:left="1440" w:hanging="1440"/>
      <w:outlineLvl w:val="1"/>
    </w:pPr>
    <w:rPr>
      <w:rFonts w:ascii="Calibri" w:hAnsi="Calibri"/>
      <w:b/>
      <w:i/>
      <w:lang w:val="en-GB"/>
    </w:rPr>
  </w:style>
  <w:style w:type="paragraph" w:customStyle="1" w:styleId="Boxtitle">
    <w:name w:val="Box title"/>
    <w:basedOn w:val="Normal"/>
    <w:next w:val="Normal"/>
    <w:rsid w:val="00D748C3"/>
    <w:pPr>
      <w:keepNext/>
      <w:tabs>
        <w:tab w:val="num" w:pos="1440"/>
      </w:tabs>
      <w:spacing w:before="160"/>
      <w:ind w:left="1440" w:hanging="1440"/>
      <w:outlineLvl w:val="1"/>
    </w:pPr>
    <w:rPr>
      <w:rFonts w:ascii="Calibri" w:hAnsi="Calibri"/>
      <w:b/>
      <w:sz w:val="24"/>
      <w:lang w:val="en-GB"/>
    </w:rPr>
  </w:style>
  <w:style w:type="paragraph" w:customStyle="1" w:styleId="Section">
    <w:name w:val="Section"/>
    <w:basedOn w:val="Normal"/>
    <w:next w:val="Heading1"/>
    <w:qFormat/>
    <w:rsid w:val="00D748C3"/>
    <w:pPr>
      <w:keepNext/>
      <w:pageBreakBefore/>
      <w:tabs>
        <w:tab w:val="num" w:pos="993"/>
      </w:tabs>
      <w:spacing w:after="400"/>
      <w:ind w:left="993" w:hanging="993"/>
      <w:outlineLvl w:val="0"/>
    </w:pPr>
    <w:rPr>
      <w:rFonts w:ascii="Calibri" w:hAnsi="Calibri"/>
      <w:b/>
      <w:kern w:val="32"/>
      <w:sz w:val="32"/>
      <w:lang w:val="en-GB"/>
    </w:rPr>
  </w:style>
  <w:style w:type="paragraph" w:customStyle="1" w:styleId="Tabletext">
    <w:name w:val="Table text"/>
    <w:basedOn w:val="Normal"/>
    <w:link w:val="TabletextChar"/>
    <w:rsid w:val="00D748C3"/>
    <w:pPr>
      <w:spacing w:before="40" w:after="40"/>
    </w:pPr>
    <w:rPr>
      <w:rFonts w:ascii="Calibri" w:hAnsi="Calibri"/>
      <w:sz w:val="20"/>
      <w:lang w:val="en-GB"/>
    </w:rPr>
  </w:style>
  <w:style w:type="character" w:customStyle="1" w:styleId="TabletextChar">
    <w:name w:val="Table text Char"/>
    <w:link w:val="Tabletext"/>
    <w:rsid w:val="00D748C3"/>
    <w:rPr>
      <w:rFonts w:ascii="Calibri" w:hAnsi="Calibri"/>
      <w:lang w:val="en-GB" w:eastAsia="en-GB"/>
    </w:rPr>
  </w:style>
  <w:style w:type="paragraph" w:customStyle="1" w:styleId="ListBullet1">
    <w:name w:val="List Bullet1"/>
    <w:basedOn w:val="Normal"/>
    <w:link w:val="ListbulletChar"/>
    <w:rsid w:val="00D748C3"/>
    <w:pPr>
      <w:spacing w:after="60"/>
    </w:pPr>
    <w:rPr>
      <w:rFonts w:ascii="Calibri" w:hAnsi="Calibri"/>
      <w:lang w:val="en-GB"/>
    </w:rPr>
  </w:style>
  <w:style w:type="character" w:customStyle="1" w:styleId="ListbulletChar">
    <w:name w:val="List bullet Char"/>
    <w:link w:val="ListBullet1"/>
    <w:rsid w:val="00D748C3"/>
    <w:rPr>
      <w:rFonts w:ascii="Calibri" w:hAnsi="Calibri"/>
      <w:sz w:val="22"/>
      <w:lang w:val="en-GB" w:eastAsia="en-GB"/>
    </w:rPr>
  </w:style>
  <w:style w:type="paragraph" w:customStyle="1" w:styleId="Heading2NONUM">
    <w:name w:val="Heading 2 NO NUM"/>
    <w:basedOn w:val="Normal"/>
    <w:next w:val="BodyText1"/>
    <w:qFormat/>
    <w:rsid w:val="00D748C3"/>
    <w:pPr>
      <w:keepNext/>
      <w:spacing w:before="160"/>
      <w:outlineLvl w:val="2"/>
    </w:pPr>
    <w:rPr>
      <w:rFonts w:ascii="Calibri" w:hAnsi="Calibri"/>
      <w:b/>
      <w:sz w:val="24"/>
      <w:lang w:val="en-GB"/>
    </w:rPr>
  </w:style>
  <w:style w:type="paragraph" w:customStyle="1" w:styleId="Tablenotes">
    <w:name w:val="Table notes"/>
    <w:basedOn w:val="Normal"/>
    <w:next w:val="BodyText1"/>
    <w:link w:val="TablenotesChar"/>
    <w:autoRedefine/>
    <w:rsid w:val="000A5B80"/>
    <w:pPr>
      <w:tabs>
        <w:tab w:val="left" w:pos="2495"/>
      </w:tabs>
      <w:spacing w:before="40" w:line="276" w:lineRule="auto"/>
    </w:pPr>
    <w:rPr>
      <w:rFonts w:asciiTheme="minorHAnsi" w:hAnsiTheme="minorHAnsi" w:cstheme="minorHAnsi"/>
      <w:b/>
      <w:sz w:val="16"/>
      <w:szCs w:val="16"/>
    </w:rPr>
  </w:style>
  <w:style w:type="character" w:customStyle="1" w:styleId="TablenotesChar">
    <w:name w:val="Table notes Char"/>
    <w:link w:val="Tablenotes"/>
    <w:rsid w:val="000A5B80"/>
    <w:rPr>
      <w:rFonts w:asciiTheme="minorHAnsi" w:hAnsiTheme="minorHAnsi" w:cstheme="minorHAnsi"/>
      <w:b/>
      <w:sz w:val="16"/>
      <w:szCs w:val="16"/>
      <w:lang w:eastAsia="en-GB"/>
    </w:rPr>
  </w:style>
  <w:style w:type="paragraph" w:customStyle="1" w:styleId="Heading3NONUM">
    <w:name w:val="Heading 3 NO NUM"/>
    <w:basedOn w:val="Normal"/>
    <w:next w:val="BodyText1"/>
    <w:qFormat/>
    <w:rsid w:val="00D805BC"/>
    <w:pPr>
      <w:keepNext/>
      <w:outlineLvl w:val="3"/>
    </w:pPr>
    <w:rPr>
      <w:rFonts w:asciiTheme="majorHAnsi" w:hAnsiTheme="majorHAnsi"/>
      <w:b/>
      <w:i/>
      <w:color w:val="008000"/>
      <w:sz w:val="24"/>
      <w:u w:val="single"/>
      <w:lang w:val="en-GB"/>
    </w:rPr>
  </w:style>
  <w:style w:type="paragraph" w:customStyle="1" w:styleId="Listsub-bullet">
    <w:name w:val="List sub-bullet"/>
    <w:basedOn w:val="Normal"/>
    <w:autoRedefine/>
    <w:rsid w:val="004A315C"/>
    <w:pPr>
      <w:spacing w:after="60"/>
      <w:jc w:val="both"/>
    </w:pPr>
    <w:rPr>
      <w:rFonts w:cs="Arial"/>
      <w:color w:val="0000CC"/>
      <w:szCs w:val="22"/>
      <w:lang w:val="en-GB"/>
    </w:rPr>
  </w:style>
  <w:style w:type="paragraph" w:customStyle="1" w:styleId="Tabletext-Small">
    <w:name w:val="Table text - Small"/>
    <w:basedOn w:val="Tabletext"/>
    <w:link w:val="Tabletext-SmallChar"/>
    <w:rsid w:val="00D748C3"/>
    <w:rPr>
      <w:sz w:val="16"/>
    </w:rPr>
  </w:style>
  <w:style w:type="character" w:customStyle="1" w:styleId="Tabletext-SmallChar">
    <w:name w:val="Table text - Small Char"/>
    <w:link w:val="Tabletext-Small"/>
    <w:rsid w:val="00D748C3"/>
    <w:rPr>
      <w:rFonts w:ascii="Calibri" w:hAnsi="Calibri"/>
      <w:sz w:val="16"/>
      <w:lang w:val="en-GB" w:eastAsia="en-GB"/>
    </w:rPr>
  </w:style>
  <w:style w:type="paragraph" w:customStyle="1" w:styleId="Annexbox">
    <w:name w:val="Annex box"/>
    <w:basedOn w:val="Normal"/>
    <w:next w:val="Normal"/>
    <w:rsid w:val="00D748C3"/>
    <w:pPr>
      <w:keepNext/>
      <w:numPr>
        <w:ilvl w:val="6"/>
        <w:numId w:val="3"/>
      </w:numPr>
      <w:spacing w:before="160"/>
      <w:outlineLvl w:val="1"/>
    </w:pPr>
    <w:rPr>
      <w:rFonts w:ascii="Calibri" w:hAnsi="Calibri"/>
      <w:b/>
      <w:sz w:val="24"/>
      <w:lang w:val="en-GB"/>
    </w:rPr>
  </w:style>
  <w:style w:type="paragraph" w:customStyle="1" w:styleId="Annexfigure">
    <w:name w:val="Annex figure"/>
    <w:basedOn w:val="Normal"/>
    <w:next w:val="Normal"/>
    <w:rsid w:val="00D748C3"/>
    <w:pPr>
      <w:keepNext/>
      <w:numPr>
        <w:ilvl w:val="5"/>
        <w:numId w:val="3"/>
      </w:numPr>
      <w:outlineLvl w:val="1"/>
    </w:pPr>
    <w:rPr>
      <w:rFonts w:ascii="Calibri" w:hAnsi="Calibri"/>
      <w:b/>
      <w:sz w:val="24"/>
      <w:lang w:val="en-GB"/>
    </w:rPr>
  </w:style>
  <w:style w:type="paragraph" w:customStyle="1" w:styleId="Annextable">
    <w:name w:val="Annex table"/>
    <w:basedOn w:val="Normal"/>
    <w:next w:val="Normal"/>
    <w:rsid w:val="00D748C3"/>
    <w:pPr>
      <w:keepNext/>
      <w:numPr>
        <w:ilvl w:val="4"/>
        <w:numId w:val="3"/>
      </w:numPr>
      <w:outlineLvl w:val="1"/>
    </w:pPr>
    <w:rPr>
      <w:rFonts w:ascii="Calibri" w:hAnsi="Calibri"/>
      <w:b/>
      <w:sz w:val="24"/>
      <w:lang w:val="en-GB"/>
    </w:rPr>
  </w:style>
  <w:style w:type="paragraph" w:customStyle="1" w:styleId="Annexheading3">
    <w:name w:val="Annex heading 3"/>
    <w:basedOn w:val="Normal"/>
    <w:next w:val="Normal"/>
    <w:rsid w:val="00D748C3"/>
    <w:pPr>
      <w:keepNext/>
      <w:numPr>
        <w:ilvl w:val="3"/>
        <w:numId w:val="3"/>
      </w:numPr>
      <w:outlineLvl w:val="3"/>
    </w:pPr>
    <w:rPr>
      <w:rFonts w:ascii="Calibri" w:hAnsi="Calibri"/>
      <w:b/>
      <w:lang w:val="en-GB"/>
    </w:rPr>
  </w:style>
  <w:style w:type="paragraph" w:customStyle="1" w:styleId="Annexheading2">
    <w:name w:val="Annex heading 2"/>
    <w:basedOn w:val="Normal"/>
    <w:next w:val="Normal"/>
    <w:rsid w:val="00D748C3"/>
    <w:pPr>
      <w:keepNext/>
      <w:numPr>
        <w:ilvl w:val="2"/>
        <w:numId w:val="3"/>
      </w:numPr>
      <w:spacing w:before="160"/>
      <w:outlineLvl w:val="2"/>
    </w:pPr>
    <w:rPr>
      <w:rFonts w:ascii="Calibri" w:hAnsi="Calibri"/>
      <w:b/>
      <w:kern w:val="32"/>
      <w:sz w:val="24"/>
      <w:lang w:val="en-GB"/>
    </w:rPr>
  </w:style>
  <w:style w:type="paragraph" w:customStyle="1" w:styleId="Annexheading1">
    <w:name w:val="Annex heading 1"/>
    <w:basedOn w:val="Normal"/>
    <w:next w:val="Normal"/>
    <w:rsid w:val="00D748C3"/>
    <w:pPr>
      <w:keepNext/>
      <w:numPr>
        <w:ilvl w:val="1"/>
        <w:numId w:val="3"/>
      </w:numPr>
      <w:spacing w:before="240"/>
      <w:outlineLvl w:val="1"/>
    </w:pPr>
    <w:rPr>
      <w:rFonts w:ascii="Calibri" w:hAnsi="Calibri"/>
      <w:b/>
      <w:sz w:val="28"/>
      <w:lang w:val="en-GB"/>
    </w:rPr>
  </w:style>
  <w:style w:type="paragraph" w:customStyle="1" w:styleId="Annextitle">
    <w:name w:val="Annex title"/>
    <w:basedOn w:val="Normal"/>
    <w:next w:val="Annexheading1"/>
    <w:rsid w:val="00D748C3"/>
    <w:pPr>
      <w:keepNext/>
      <w:pageBreakBefore/>
      <w:numPr>
        <w:numId w:val="3"/>
      </w:numPr>
      <w:tabs>
        <w:tab w:val="left" w:pos="1701"/>
      </w:tabs>
      <w:spacing w:after="400"/>
      <w:outlineLvl w:val="0"/>
    </w:pPr>
    <w:rPr>
      <w:rFonts w:ascii="Calibri" w:hAnsi="Calibri"/>
      <w:b/>
      <w:kern w:val="32"/>
      <w:sz w:val="32"/>
      <w:lang w:val="en-GB"/>
    </w:rPr>
  </w:style>
  <w:style w:type="character" w:customStyle="1" w:styleId="Heading4Char">
    <w:name w:val="Heading 4 Char"/>
    <w:link w:val="Heading4"/>
    <w:rsid w:val="000D2C21"/>
    <w:rPr>
      <w:rFonts w:ascii="Cambria" w:hAnsi="Cambria"/>
      <w:i/>
      <w:sz w:val="22"/>
      <w:lang w:eastAsia="en-GB"/>
    </w:rPr>
  </w:style>
  <w:style w:type="character" w:customStyle="1" w:styleId="Heading5Char">
    <w:name w:val="Heading 5 Char"/>
    <w:link w:val="Heading5"/>
    <w:rsid w:val="00D748C3"/>
    <w:rPr>
      <w:i/>
      <w:sz w:val="24"/>
      <w:lang w:val="en-GB" w:eastAsia="en-GB"/>
    </w:rPr>
  </w:style>
  <w:style w:type="character" w:customStyle="1" w:styleId="Heading6Char">
    <w:name w:val="Heading 6 Char"/>
    <w:link w:val="Heading6"/>
    <w:rsid w:val="00D748C3"/>
    <w:rPr>
      <w:b/>
      <w:sz w:val="28"/>
      <w:lang w:val="en-GB" w:eastAsia="en-GB"/>
    </w:rPr>
  </w:style>
  <w:style w:type="character" w:customStyle="1" w:styleId="Heading7Char">
    <w:name w:val="Heading 7 Char"/>
    <w:link w:val="Heading7"/>
    <w:uiPriority w:val="99"/>
    <w:rsid w:val="00D748C3"/>
    <w:rPr>
      <w:rFonts w:ascii="Cambria" w:hAnsi="Cambria"/>
      <w:b/>
      <w:sz w:val="22"/>
      <w:lang w:eastAsia="en-GB"/>
    </w:rPr>
  </w:style>
  <w:style w:type="character" w:customStyle="1" w:styleId="Heading8Char">
    <w:name w:val="Heading 8 Char"/>
    <w:link w:val="Heading8"/>
    <w:uiPriority w:val="99"/>
    <w:rsid w:val="00D748C3"/>
    <w:rPr>
      <w:b/>
      <w:sz w:val="24"/>
      <w:lang w:val="en-GB" w:eastAsia="en-GB"/>
    </w:rPr>
  </w:style>
  <w:style w:type="character" w:customStyle="1" w:styleId="Heading9Char">
    <w:name w:val="Heading 9 Char"/>
    <w:link w:val="Heading9"/>
    <w:uiPriority w:val="99"/>
    <w:rsid w:val="00D748C3"/>
    <w:rPr>
      <w:rFonts w:ascii="Cambria" w:hAnsi="Cambria"/>
      <w:b/>
      <w:sz w:val="22"/>
      <w:lang w:eastAsia="en-GB"/>
    </w:rPr>
  </w:style>
  <w:style w:type="paragraph" w:customStyle="1" w:styleId="Tabletitle">
    <w:name w:val="Table title"/>
    <w:basedOn w:val="Tabletext"/>
    <w:rsid w:val="00D748C3"/>
    <w:rPr>
      <w:b/>
    </w:rPr>
  </w:style>
  <w:style w:type="paragraph" w:customStyle="1" w:styleId="Listbulletfinal">
    <w:name w:val="List bullet final"/>
    <w:basedOn w:val="ListBullet1"/>
    <w:next w:val="BodyText1"/>
    <w:rsid w:val="00D748C3"/>
    <w:pPr>
      <w:tabs>
        <w:tab w:val="num" w:pos="360"/>
      </w:tabs>
      <w:spacing w:after="240"/>
      <w:ind w:left="360" w:hanging="360"/>
    </w:pPr>
  </w:style>
  <w:style w:type="paragraph" w:customStyle="1" w:styleId="Listsub-bulletfinal">
    <w:name w:val="List sub-bullet final"/>
    <w:basedOn w:val="Listsub-bullet"/>
    <w:next w:val="BodyText1"/>
    <w:rsid w:val="00D748C3"/>
    <w:pPr>
      <w:tabs>
        <w:tab w:val="decimal" w:pos="216"/>
      </w:tabs>
      <w:spacing w:after="240"/>
      <w:ind w:left="720" w:hanging="363"/>
    </w:pPr>
  </w:style>
  <w:style w:type="character" w:styleId="PageNumber">
    <w:name w:val="page number"/>
    <w:uiPriority w:val="99"/>
    <w:rsid w:val="00D748C3"/>
    <w:rPr>
      <w:rFonts w:ascii="Arial" w:hAnsi="Arial"/>
      <w:b/>
      <w:color w:val="000000"/>
      <w:sz w:val="20"/>
      <w:u w:val="none"/>
    </w:rPr>
  </w:style>
  <w:style w:type="paragraph" w:customStyle="1" w:styleId="Boxtext">
    <w:name w:val="Box text"/>
    <w:basedOn w:val="BodyText1"/>
    <w:rsid w:val="00D748C3"/>
    <w:pPr>
      <w:keepNext/>
      <w:spacing w:after="200"/>
    </w:pPr>
    <w:rPr>
      <w:sz w:val="20"/>
    </w:rPr>
  </w:style>
  <w:style w:type="paragraph" w:customStyle="1" w:styleId="Abbreviation">
    <w:name w:val="Abbreviation"/>
    <w:basedOn w:val="Normal"/>
    <w:rsid w:val="00D748C3"/>
    <w:pPr>
      <w:tabs>
        <w:tab w:val="left" w:pos="1701"/>
      </w:tabs>
      <w:spacing w:after="120"/>
      <w:ind w:left="1134" w:hanging="1134"/>
    </w:pPr>
    <w:rPr>
      <w:rFonts w:ascii="Calibri" w:hAnsi="Calibri"/>
      <w:lang w:val="en-GB"/>
    </w:rPr>
  </w:style>
  <w:style w:type="paragraph" w:customStyle="1" w:styleId="BlockText1">
    <w:name w:val="Block Text1"/>
    <w:basedOn w:val="Normal"/>
    <w:rsid w:val="00D748C3"/>
    <w:pPr>
      <w:ind w:left="1440" w:right="1440"/>
    </w:pPr>
    <w:rPr>
      <w:rFonts w:ascii="Calibri" w:hAnsi="Calibri"/>
      <w:lang w:val="en-GB"/>
    </w:rPr>
  </w:style>
  <w:style w:type="paragraph" w:styleId="Footer">
    <w:name w:val="footer"/>
    <w:basedOn w:val="Normal"/>
    <w:link w:val="FooterChar"/>
    <w:rsid w:val="00D748C3"/>
    <w:pPr>
      <w:tabs>
        <w:tab w:val="right" w:pos="9066"/>
      </w:tabs>
    </w:pPr>
    <w:rPr>
      <w:rFonts w:eastAsia="Times"/>
      <w:b/>
      <w:sz w:val="20"/>
      <w:lang w:val="en-GB"/>
    </w:rPr>
  </w:style>
  <w:style w:type="character" w:customStyle="1" w:styleId="FooterChar">
    <w:name w:val="Footer Char"/>
    <w:link w:val="Footer"/>
    <w:rsid w:val="00D748C3"/>
    <w:rPr>
      <w:rFonts w:ascii="Arial" w:eastAsia="Times" w:hAnsi="Arial"/>
      <w:b/>
      <w:lang w:val="en-GB" w:eastAsia="en-GB"/>
    </w:rPr>
  </w:style>
  <w:style w:type="paragraph" w:styleId="Header">
    <w:name w:val="header"/>
    <w:basedOn w:val="Normal"/>
    <w:link w:val="HeaderChar"/>
    <w:uiPriority w:val="99"/>
    <w:rsid w:val="00D748C3"/>
    <w:pPr>
      <w:tabs>
        <w:tab w:val="right" w:pos="9066"/>
      </w:tabs>
    </w:pPr>
    <w:rPr>
      <w:rFonts w:eastAsia="Times"/>
      <w:b/>
      <w:i/>
      <w:color w:val="000000"/>
      <w:sz w:val="20"/>
      <w:lang w:val="en-GB"/>
    </w:rPr>
  </w:style>
  <w:style w:type="character" w:customStyle="1" w:styleId="HeaderChar">
    <w:name w:val="Header Char"/>
    <w:link w:val="Header"/>
    <w:uiPriority w:val="99"/>
    <w:rsid w:val="00D748C3"/>
    <w:rPr>
      <w:rFonts w:ascii="Arial" w:eastAsia="Times" w:hAnsi="Arial"/>
      <w:b/>
      <w:i/>
      <w:color w:val="000000"/>
      <w:lang w:val="en-GB" w:eastAsia="en-GB"/>
    </w:rPr>
  </w:style>
  <w:style w:type="paragraph" w:customStyle="1" w:styleId="SectionNONUM">
    <w:name w:val="Section NO NUM"/>
    <w:basedOn w:val="Normal"/>
    <w:next w:val="BodyText1"/>
    <w:qFormat/>
    <w:rsid w:val="00D748C3"/>
    <w:pPr>
      <w:keepNext/>
      <w:pageBreakBefore/>
      <w:spacing w:after="400"/>
      <w:outlineLvl w:val="0"/>
    </w:pPr>
    <w:rPr>
      <w:rFonts w:ascii="Calibri" w:hAnsi="Calibri"/>
      <w:b/>
      <w:kern w:val="32"/>
      <w:sz w:val="32"/>
      <w:lang w:val="en-GB"/>
    </w:rPr>
  </w:style>
  <w:style w:type="paragraph" w:customStyle="1" w:styleId="Heading1NONUM">
    <w:name w:val="Heading 1 NO NUM"/>
    <w:basedOn w:val="Normal"/>
    <w:next w:val="BodyText1"/>
    <w:qFormat/>
    <w:rsid w:val="00524C05"/>
    <w:pPr>
      <w:keepNext/>
      <w:spacing w:before="240"/>
      <w:outlineLvl w:val="1"/>
    </w:pPr>
    <w:rPr>
      <w:rFonts w:asciiTheme="minorHAnsi" w:hAnsiTheme="minorHAnsi"/>
      <w:b/>
      <w:sz w:val="32"/>
      <w:lang w:val="en-GB"/>
    </w:rPr>
  </w:style>
  <w:style w:type="paragraph" w:customStyle="1" w:styleId="Listletter">
    <w:name w:val="List letter"/>
    <w:basedOn w:val="Normal"/>
    <w:rsid w:val="00D748C3"/>
    <w:pPr>
      <w:numPr>
        <w:numId w:val="4"/>
      </w:numPr>
      <w:spacing w:after="60"/>
    </w:pPr>
    <w:rPr>
      <w:rFonts w:ascii="Calibri" w:hAnsi="Calibri"/>
      <w:lang w:val="en-GB"/>
    </w:rPr>
  </w:style>
  <w:style w:type="paragraph" w:customStyle="1" w:styleId="Listletterfinal">
    <w:name w:val="List letter final"/>
    <w:basedOn w:val="Listletter"/>
    <w:next w:val="BodyText1"/>
    <w:rsid w:val="00D748C3"/>
    <w:pPr>
      <w:spacing w:after="240"/>
      <w:ind w:left="357" w:hanging="357"/>
    </w:pPr>
  </w:style>
  <w:style w:type="paragraph" w:customStyle="1" w:styleId="ListNumber1">
    <w:name w:val="List Number1"/>
    <w:basedOn w:val="Normal"/>
    <w:autoRedefine/>
    <w:rsid w:val="00D748C3"/>
    <w:pPr>
      <w:numPr>
        <w:numId w:val="5"/>
      </w:numPr>
      <w:spacing w:after="60"/>
    </w:pPr>
    <w:rPr>
      <w:rFonts w:ascii="Calibri" w:hAnsi="Calibri"/>
      <w:lang w:val="en-GB"/>
    </w:rPr>
  </w:style>
  <w:style w:type="paragraph" w:customStyle="1" w:styleId="Listnumberfinal">
    <w:name w:val="List number final"/>
    <w:basedOn w:val="ListNumber1"/>
    <w:next w:val="BodyText1"/>
    <w:rsid w:val="00D748C3"/>
    <w:pPr>
      <w:spacing w:after="240"/>
    </w:pPr>
  </w:style>
  <w:style w:type="character" w:customStyle="1" w:styleId="FootnoteTextChar">
    <w:name w:val="Footnote Text Char"/>
    <w:aliases w:val="single space Char,Footnote Char"/>
    <w:link w:val="FootnoteText"/>
    <w:uiPriority w:val="99"/>
    <w:rsid w:val="00D748C3"/>
    <w:rPr>
      <w:sz w:val="18"/>
      <w:lang w:val="en-GB" w:eastAsia="en-GB"/>
    </w:rPr>
  </w:style>
  <w:style w:type="paragraph" w:customStyle="1" w:styleId="CVVitalsheading">
    <w:name w:val="CV_Vitals heading"/>
    <w:basedOn w:val="Normal"/>
    <w:rsid w:val="00D748C3"/>
    <w:pPr>
      <w:spacing w:afterLines="100"/>
    </w:pPr>
    <w:rPr>
      <w:rFonts w:ascii="Calibri" w:hAnsi="Calibri"/>
      <w:b/>
      <w:caps/>
      <w:lang w:val="en-GB"/>
    </w:rPr>
  </w:style>
  <w:style w:type="paragraph" w:customStyle="1" w:styleId="CVEntryblocktext">
    <w:name w:val="CV_Entry block text"/>
    <w:basedOn w:val="Normal"/>
    <w:rsid w:val="00D748C3"/>
    <w:pPr>
      <w:ind w:left="2268"/>
    </w:pPr>
    <w:rPr>
      <w:rFonts w:ascii="Calibri" w:hAnsi="Calibri"/>
      <w:lang w:val="en-GB"/>
    </w:rPr>
  </w:style>
  <w:style w:type="paragraph" w:customStyle="1" w:styleId="CVEntrytitlerow">
    <w:name w:val="CV_Entry title row"/>
    <w:basedOn w:val="Normal"/>
    <w:next w:val="CVEntryblocktext"/>
    <w:rsid w:val="00D748C3"/>
    <w:pPr>
      <w:keepNext/>
      <w:tabs>
        <w:tab w:val="left" w:pos="2268"/>
      </w:tabs>
      <w:spacing w:before="240"/>
      <w:ind w:left="2268" w:hanging="2268"/>
    </w:pPr>
    <w:rPr>
      <w:rFonts w:ascii="Calibri" w:hAnsi="Calibri"/>
      <w:b/>
      <w:lang w:val="en-GB"/>
    </w:rPr>
  </w:style>
  <w:style w:type="paragraph" w:customStyle="1" w:styleId="CVHeading">
    <w:name w:val="CV_Heading"/>
    <w:basedOn w:val="Normal"/>
    <w:next w:val="CVEntrytitlerow"/>
    <w:rsid w:val="00D748C3"/>
    <w:pPr>
      <w:keepNext/>
      <w:pBdr>
        <w:top w:val="single" w:sz="4" w:space="6" w:color="auto"/>
      </w:pBdr>
      <w:spacing w:before="240"/>
    </w:pPr>
    <w:rPr>
      <w:rFonts w:ascii="Calibri" w:hAnsi="Calibri"/>
      <w:b/>
      <w:caps/>
      <w:lang w:val="en-GB"/>
    </w:rPr>
  </w:style>
  <w:style w:type="paragraph" w:customStyle="1" w:styleId="CVListbullet">
    <w:name w:val="CV_List bullet"/>
    <w:basedOn w:val="Normal"/>
    <w:rsid w:val="00D748C3"/>
    <w:pPr>
      <w:numPr>
        <w:numId w:val="6"/>
      </w:numPr>
      <w:spacing w:after="60"/>
    </w:pPr>
    <w:rPr>
      <w:rFonts w:ascii="Calibri" w:hAnsi="Calibri"/>
      <w:lang w:val="en-GB"/>
    </w:rPr>
  </w:style>
  <w:style w:type="paragraph" w:customStyle="1" w:styleId="CVListsub-bullet">
    <w:name w:val="CV_List sub-bullet"/>
    <w:basedOn w:val="Normal"/>
    <w:rsid w:val="00D748C3"/>
    <w:pPr>
      <w:numPr>
        <w:numId w:val="7"/>
      </w:numPr>
      <w:spacing w:after="60"/>
    </w:pPr>
    <w:rPr>
      <w:rFonts w:ascii="Calibri" w:hAnsi="Calibri"/>
      <w:lang w:val="en-GB"/>
    </w:rPr>
  </w:style>
  <w:style w:type="paragraph" w:customStyle="1" w:styleId="CVOPMcontactdetails">
    <w:name w:val="CV_OPM contact details"/>
    <w:basedOn w:val="Normal"/>
    <w:rsid w:val="00D748C3"/>
    <w:pPr>
      <w:keepNext/>
      <w:tabs>
        <w:tab w:val="left" w:pos="2268"/>
      </w:tabs>
      <w:ind w:right="4820"/>
      <w:contextualSpacing/>
    </w:pPr>
    <w:rPr>
      <w:rFonts w:ascii="Calibri" w:hAnsi="Calibri"/>
      <w:color w:val="48B8CE"/>
      <w:sz w:val="16"/>
      <w:lang w:val="en-GB"/>
    </w:rPr>
  </w:style>
  <w:style w:type="paragraph" w:customStyle="1" w:styleId="CVTitle">
    <w:name w:val="CV_Title"/>
    <w:basedOn w:val="Normal"/>
    <w:next w:val="CVOPMcontactdetails"/>
    <w:rsid w:val="00D748C3"/>
    <w:pPr>
      <w:keepNext/>
      <w:pageBreakBefore/>
      <w:spacing w:after="400"/>
      <w:outlineLvl w:val="2"/>
    </w:pPr>
    <w:rPr>
      <w:rFonts w:ascii="Calibri" w:hAnsi="Calibri"/>
      <w:b/>
      <w:color w:val="003366"/>
      <w:sz w:val="28"/>
      <w:lang w:val="en-GB"/>
    </w:rPr>
  </w:style>
  <w:style w:type="paragraph" w:styleId="DocumentMap">
    <w:name w:val="Document Map"/>
    <w:basedOn w:val="Normal"/>
    <w:link w:val="DocumentMapChar"/>
    <w:semiHidden/>
    <w:rsid w:val="00D748C3"/>
    <w:rPr>
      <w:rFonts w:ascii="Tahoma" w:hAnsi="Tahoma" w:cs="Tahoma"/>
      <w:sz w:val="16"/>
      <w:szCs w:val="16"/>
      <w:lang w:val="en-GB"/>
    </w:rPr>
  </w:style>
  <w:style w:type="character" w:customStyle="1" w:styleId="DocumentMapChar">
    <w:name w:val="Document Map Char"/>
    <w:link w:val="DocumentMap"/>
    <w:semiHidden/>
    <w:rsid w:val="00D748C3"/>
    <w:rPr>
      <w:rFonts w:ascii="Tahoma" w:hAnsi="Tahoma" w:cs="Tahoma"/>
      <w:sz w:val="16"/>
      <w:szCs w:val="16"/>
      <w:lang w:val="en-GB" w:eastAsia="en-GB"/>
    </w:rPr>
  </w:style>
  <w:style w:type="paragraph" w:customStyle="1" w:styleId="Reference">
    <w:name w:val="Reference"/>
    <w:basedOn w:val="Normal"/>
    <w:rsid w:val="00D748C3"/>
    <w:pPr>
      <w:tabs>
        <w:tab w:val="left" w:pos="357"/>
      </w:tabs>
      <w:ind w:left="357" w:hanging="357"/>
    </w:pPr>
    <w:rPr>
      <w:rFonts w:ascii="Calibri" w:hAnsi="Calibri"/>
      <w:lang w:val="en-GB"/>
    </w:rPr>
  </w:style>
  <w:style w:type="paragraph" w:customStyle="1" w:styleId="Numberedparagraph">
    <w:name w:val="Numbered paragraph"/>
    <w:basedOn w:val="Normal"/>
    <w:uiPriority w:val="99"/>
    <w:qFormat/>
    <w:rsid w:val="00D748C3"/>
    <w:pPr>
      <w:numPr>
        <w:numId w:val="8"/>
      </w:numPr>
      <w:tabs>
        <w:tab w:val="left" w:pos="1077"/>
      </w:tabs>
      <w:ind w:left="0" w:firstLine="0"/>
    </w:pPr>
    <w:rPr>
      <w:rFonts w:ascii="Calibri" w:hAnsi="Calibri"/>
      <w:lang w:val="en-GB"/>
    </w:rPr>
  </w:style>
  <w:style w:type="character" w:styleId="CommentReference">
    <w:name w:val="annotation reference"/>
    <w:uiPriority w:val="99"/>
    <w:rsid w:val="00D748C3"/>
    <w:rPr>
      <w:sz w:val="18"/>
      <w:szCs w:val="18"/>
    </w:rPr>
  </w:style>
  <w:style w:type="paragraph" w:styleId="CommentText">
    <w:name w:val="annotation text"/>
    <w:basedOn w:val="Normal"/>
    <w:link w:val="CommentTextChar"/>
    <w:uiPriority w:val="99"/>
    <w:rsid w:val="00D748C3"/>
    <w:rPr>
      <w:sz w:val="24"/>
      <w:szCs w:val="24"/>
      <w:lang w:val="en-GB" w:eastAsia="sv-SE"/>
    </w:rPr>
  </w:style>
  <w:style w:type="character" w:customStyle="1" w:styleId="CommentTextChar">
    <w:name w:val="Comment Text Char"/>
    <w:link w:val="CommentText"/>
    <w:uiPriority w:val="99"/>
    <w:rsid w:val="00D748C3"/>
    <w:rPr>
      <w:rFonts w:ascii="Arial" w:hAnsi="Arial"/>
      <w:sz w:val="24"/>
      <w:szCs w:val="24"/>
      <w:lang w:val="en-GB" w:eastAsia="sv-SE"/>
    </w:rPr>
  </w:style>
  <w:style w:type="paragraph" w:styleId="CommentSubject">
    <w:name w:val="annotation subject"/>
    <w:basedOn w:val="CommentText"/>
    <w:next w:val="CommentText"/>
    <w:link w:val="CommentSubjectChar"/>
    <w:rsid w:val="00D748C3"/>
    <w:rPr>
      <w:b/>
      <w:bCs/>
    </w:rPr>
  </w:style>
  <w:style w:type="character" w:customStyle="1" w:styleId="CommentSubjectChar">
    <w:name w:val="Comment Subject Char"/>
    <w:link w:val="CommentSubject"/>
    <w:rsid w:val="00D748C3"/>
    <w:rPr>
      <w:rFonts w:ascii="Arial" w:hAnsi="Arial"/>
      <w:b/>
      <w:bCs/>
      <w:sz w:val="24"/>
      <w:szCs w:val="24"/>
      <w:lang w:val="en-GB" w:eastAsia="sv-SE"/>
    </w:rPr>
  </w:style>
  <w:style w:type="paragraph" w:customStyle="1" w:styleId="RightPar3">
    <w:name w:val="Right Par 3"/>
    <w:rsid w:val="00D748C3"/>
    <w:pPr>
      <w:tabs>
        <w:tab w:val="left" w:pos="-720"/>
        <w:tab w:val="left" w:pos="0"/>
        <w:tab w:val="left" w:pos="720"/>
        <w:tab w:val="left" w:pos="1440"/>
        <w:tab w:val="decimal" w:pos="2160"/>
      </w:tabs>
      <w:ind w:left="2160"/>
    </w:pPr>
    <w:rPr>
      <w:rFonts w:ascii="Swiss 721 Roman" w:eastAsia="MS Mincho" w:hAnsi="Swiss 721 Roman"/>
      <w:sz w:val="18"/>
      <w:lang w:val="en-GB" w:eastAsia="en-GB"/>
    </w:rPr>
  </w:style>
  <w:style w:type="paragraph" w:styleId="NormalWeb">
    <w:name w:val="Normal (Web)"/>
    <w:basedOn w:val="Normal"/>
    <w:uiPriority w:val="99"/>
    <w:rsid w:val="00D748C3"/>
    <w:pPr>
      <w:spacing w:before="100" w:beforeAutospacing="1" w:after="100" w:afterAutospacing="1"/>
    </w:pPr>
    <w:rPr>
      <w:rFonts w:ascii="Verdana" w:hAnsi="Verdana"/>
      <w:sz w:val="18"/>
      <w:szCs w:val="18"/>
      <w:lang w:val="en-GB"/>
    </w:rPr>
  </w:style>
  <w:style w:type="paragraph" w:customStyle="1" w:styleId="yiv969351067tabletext">
    <w:name w:val="yiv969351067tabletext"/>
    <w:basedOn w:val="Normal"/>
    <w:rsid w:val="00D748C3"/>
    <w:rPr>
      <w:rFonts w:ascii="Times New Roman" w:hAnsi="Times New Roman"/>
      <w:sz w:val="24"/>
      <w:szCs w:val="24"/>
      <w:lang w:val="en-GB"/>
    </w:rPr>
  </w:style>
  <w:style w:type="table" w:styleId="LightShading-Accent2">
    <w:name w:val="Light Shading Accent 2"/>
    <w:basedOn w:val="TableNormal"/>
    <w:uiPriority w:val="30"/>
    <w:qFormat/>
    <w:rsid w:val="00D748C3"/>
    <w:rPr>
      <w:color w:val="943634"/>
      <w:lang w:val="en-GB" w:eastAsia="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Classic3">
    <w:name w:val="Table Classic 3"/>
    <w:basedOn w:val="TableNormal"/>
    <w:rsid w:val="00D748C3"/>
    <w:rPr>
      <w:color w:val="00008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7">
    <w:name w:val="Table List 7"/>
    <w:basedOn w:val="TableNormal"/>
    <w:rsid w:val="00D748C3"/>
    <w:rPr>
      <w:lang w:val="en-GB"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748C3"/>
    <w:rPr>
      <w:lang w:val="en-GB"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MediumGrid1-Accent2">
    <w:name w:val="Medium Grid 1 Accent 2"/>
    <w:basedOn w:val="TableNormal"/>
    <w:uiPriority w:val="72"/>
    <w:rsid w:val="00D748C3"/>
    <w:rPr>
      <w:lang w:val="en-GB" w:eastAsia="en-GB"/>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6">
    <w:name w:val="Medium Grid 1 Accent 6"/>
    <w:basedOn w:val="TableNormal"/>
    <w:uiPriority w:val="72"/>
    <w:rsid w:val="00D748C3"/>
    <w:rPr>
      <w:lang w:val="en-GB" w:eastAsia="en-GB"/>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0"/>
    <w:rsid w:val="00D748C3"/>
    <w:rPr>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ListBullet11">
    <w:name w:val="List Bullet11"/>
    <w:basedOn w:val="Normal"/>
    <w:uiPriority w:val="99"/>
    <w:rsid w:val="00D748C3"/>
    <w:pPr>
      <w:tabs>
        <w:tab w:val="num" w:pos="357"/>
      </w:tabs>
      <w:spacing w:after="60"/>
      <w:ind w:left="357" w:hanging="357"/>
    </w:pPr>
    <w:rPr>
      <w:rFonts w:ascii="Calibri" w:hAnsi="Calibri"/>
      <w:lang w:val="en-GB"/>
    </w:rPr>
  </w:style>
  <w:style w:type="character" w:styleId="PlaceholderText">
    <w:name w:val="Placeholder Text"/>
    <w:uiPriority w:val="99"/>
    <w:semiHidden/>
    <w:rsid w:val="00D748C3"/>
    <w:rPr>
      <w:color w:val="808080"/>
    </w:rPr>
  </w:style>
  <w:style w:type="table" w:customStyle="1" w:styleId="OPMtable">
    <w:name w:val="OPM table"/>
    <w:basedOn w:val="TableNormal"/>
    <w:rsid w:val="00D748C3"/>
    <w:pPr>
      <w:jc w:val="right"/>
    </w:pPr>
    <w:rPr>
      <w:rFonts w:ascii="Arial" w:hAnsi="Arial"/>
      <w:lang w:val="en-GB" w:eastAsia="en-GB"/>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customStyle="1" w:styleId="ListBullet2">
    <w:name w:val="List Bullet2"/>
    <w:basedOn w:val="Normal"/>
    <w:rsid w:val="00D748C3"/>
    <w:pPr>
      <w:tabs>
        <w:tab w:val="num" w:pos="357"/>
      </w:tabs>
      <w:spacing w:after="60"/>
      <w:ind w:left="357" w:hanging="357"/>
    </w:pPr>
    <w:rPr>
      <w:rFonts w:ascii="Calibri" w:hAnsi="Calibri"/>
      <w:lang w:val="en-GB" w:eastAsia="en-US"/>
    </w:rPr>
  </w:style>
  <w:style w:type="paragraph" w:customStyle="1" w:styleId="Default">
    <w:name w:val="Default"/>
    <w:rsid w:val="00D748C3"/>
    <w:pPr>
      <w:autoSpaceDE w:val="0"/>
      <w:autoSpaceDN w:val="0"/>
      <w:adjustRightInd w:val="0"/>
    </w:pPr>
    <w:rPr>
      <w:rFonts w:ascii="Calibri" w:eastAsia="MS Mincho" w:hAnsi="Calibri" w:cs="Calibri"/>
      <w:color w:val="000000"/>
      <w:sz w:val="24"/>
      <w:szCs w:val="24"/>
      <w:lang w:val="en-GB" w:eastAsia="en-GB"/>
    </w:rPr>
  </w:style>
  <w:style w:type="table" w:customStyle="1" w:styleId="LightShading1">
    <w:name w:val="Light Shading1"/>
    <w:basedOn w:val="TableNormal"/>
    <w:uiPriority w:val="60"/>
    <w:rsid w:val="00D748C3"/>
    <w:rPr>
      <w:rFonts w:ascii="Calibri" w:eastAsia="MS Mincho" w:hAnsi="Calibri"/>
      <w:color w:val="000000"/>
      <w:sz w:val="22"/>
      <w:szCs w:val="22"/>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D748C3"/>
    <w:rPr>
      <w:rFonts w:ascii="Calibri" w:eastAsia="MS Mincho" w:hAnsi="Calibri"/>
      <w:sz w:val="22"/>
      <w:szCs w:val="22"/>
      <w:lang w:val="en-GB" w:eastAsia="en-GB"/>
    </w:rPr>
  </w:style>
  <w:style w:type="character" w:styleId="FollowedHyperlink">
    <w:name w:val="FollowedHyperlink"/>
    <w:uiPriority w:val="99"/>
    <w:semiHidden/>
    <w:unhideWhenUsed/>
    <w:rsid w:val="00D748C3"/>
    <w:rPr>
      <w:color w:val="800080"/>
      <w:u w:val="single"/>
    </w:rPr>
  </w:style>
  <w:style w:type="table" w:styleId="LightGrid-Accent6">
    <w:name w:val="Light Grid Accent 6"/>
    <w:basedOn w:val="TableNormal"/>
    <w:uiPriority w:val="62"/>
    <w:rsid w:val="00D748C3"/>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MS Gothic"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EndnoteText">
    <w:name w:val="endnote text"/>
    <w:basedOn w:val="Normal"/>
    <w:link w:val="EndnoteTextChar"/>
    <w:uiPriority w:val="99"/>
    <w:semiHidden/>
    <w:unhideWhenUsed/>
    <w:rsid w:val="00D748C3"/>
    <w:rPr>
      <w:rFonts w:eastAsia="Calibri"/>
      <w:sz w:val="20"/>
      <w:lang w:eastAsia="en-US"/>
    </w:rPr>
  </w:style>
  <w:style w:type="character" w:customStyle="1" w:styleId="EndnoteTextChar">
    <w:name w:val="Endnote Text Char"/>
    <w:link w:val="EndnoteText"/>
    <w:uiPriority w:val="99"/>
    <w:semiHidden/>
    <w:rsid w:val="00D748C3"/>
    <w:rPr>
      <w:rFonts w:ascii="Arial" w:eastAsia="Calibri" w:hAnsi="Arial"/>
      <w:lang w:eastAsia="en-US"/>
    </w:rPr>
  </w:style>
  <w:style w:type="character" w:styleId="EndnoteReference">
    <w:name w:val="endnote reference"/>
    <w:uiPriority w:val="99"/>
    <w:semiHidden/>
    <w:unhideWhenUsed/>
    <w:rsid w:val="00D748C3"/>
    <w:rPr>
      <w:vertAlign w:val="superscript"/>
    </w:rPr>
  </w:style>
  <w:style w:type="character" w:customStyle="1" w:styleId="Corpsdutexte">
    <w:name w:val="Corps du texte_"/>
    <w:link w:val="Corpsdutexte1"/>
    <w:rsid w:val="00D748C3"/>
    <w:rPr>
      <w:spacing w:val="10"/>
      <w:sz w:val="19"/>
      <w:szCs w:val="19"/>
      <w:shd w:val="clear" w:color="auto" w:fill="FFFFFF"/>
    </w:rPr>
  </w:style>
  <w:style w:type="paragraph" w:customStyle="1" w:styleId="Corpsdutexte1">
    <w:name w:val="Corps du texte1"/>
    <w:basedOn w:val="Normal"/>
    <w:link w:val="Corpsdutexte"/>
    <w:rsid w:val="00D748C3"/>
    <w:pPr>
      <w:widowControl w:val="0"/>
      <w:shd w:val="clear" w:color="auto" w:fill="FFFFFF"/>
      <w:spacing w:after="60" w:line="240" w:lineRule="atLeast"/>
      <w:ind w:hanging="1440"/>
    </w:pPr>
    <w:rPr>
      <w:rFonts w:ascii="Times New Roman" w:hAnsi="Times New Roman"/>
      <w:spacing w:val="10"/>
      <w:sz w:val="19"/>
      <w:szCs w:val="19"/>
      <w:lang w:eastAsia="ja-JP"/>
    </w:rPr>
  </w:style>
  <w:style w:type="character" w:customStyle="1" w:styleId="textexposedshow">
    <w:name w:val="text_exposed_show"/>
    <w:uiPriority w:val="99"/>
    <w:rsid w:val="00D748C3"/>
    <w:rPr>
      <w:rFonts w:cs="Times New Roman"/>
    </w:rPr>
  </w:style>
  <w:style w:type="paragraph" w:styleId="TOCHeading">
    <w:name w:val="TOC Heading"/>
    <w:basedOn w:val="Heading1"/>
    <w:next w:val="Normal"/>
    <w:uiPriority w:val="39"/>
    <w:unhideWhenUsed/>
    <w:qFormat/>
    <w:rsid w:val="00E0666D"/>
    <w:pPr>
      <w:keepLines/>
      <w:spacing w:before="480" w:after="0"/>
      <w:outlineLvl w:val="9"/>
    </w:pPr>
    <w:rPr>
      <w:rFonts w:eastAsia="MS Gothic"/>
      <w:bCs/>
      <w:smallCaps w:val="0"/>
      <w:color w:val="365F91"/>
      <w:lang w:eastAsia="ja-JP"/>
    </w:rPr>
  </w:style>
  <w:style w:type="paragraph" w:styleId="NoSpacing">
    <w:name w:val="No Spacing"/>
    <w:uiPriority w:val="1"/>
    <w:qFormat/>
    <w:rsid w:val="00C20450"/>
    <w:rPr>
      <w:rFonts w:asciiTheme="majorHAnsi" w:hAnsiTheme="majorHAnsi"/>
      <w:sz w:val="22"/>
      <w:lang w:eastAsia="en-GB"/>
    </w:rPr>
  </w:style>
  <w:style w:type="table" w:styleId="LightList-Accent2">
    <w:name w:val="Light List Accent 2"/>
    <w:basedOn w:val="TableNormal"/>
    <w:uiPriority w:val="61"/>
    <w:rsid w:val="007918C6"/>
    <w:rPr>
      <w:rFonts w:asciiTheme="minorHAnsi" w:eastAsiaTheme="minorEastAsia"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34AC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59142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F0477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0477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F0477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04777"/>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5">
    <w:name w:val="Light Grid Accent 5"/>
    <w:basedOn w:val="TableNormal"/>
    <w:uiPriority w:val="62"/>
    <w:rsid w:val="0054736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ottTextsChar">
    <w:name w:val="Mott Texts Char"/>
    <w:link w:val="MottTexts"/>
    <w:locked/>
    <w:rsid w:val="007658DE"/>
    <w:rPr>
      <w:rFonts w:ascii="Arial" w:hAnsi="Arial" w:cs="Arial"/>
      <w:szCs w:val="24"/>
      <w:lang w:val="en-GB" w:eastAsia="en-GB"/>
    </w:rPr>
  </w:style>
  <w:style w:type="paragraph" w:customStyle="1" w:styleId="MottTexts">
    <w:name w:val="Mott Texts"/>
    <w:basedOn w:val="Normal"/>
    <w:link w:val="MottTextsChar"/>
    <w:rsid w:val="007658DE"/>
    <w:pPr>
      <w:spacing w:after="0" w:line="260" w:lineRule="atLeast"/>
    </w:pPr>
    <w:rPr>
      <w:rFonts w:ascii="Arial" w:hAnsi="Arial" w:cs="Arial"/>
      <w:sz w:val="20"/>
      <w:szCs w:val="24"/>
      <w:lang w:val="en-GB"/>
    </w:rPr>
  </w:style>
  <w:style w:type="character" w:customStyle="1" w:styleId="MottTableBulletsChar">
    <w:name w:val="Mott Table Bullets Char"/>
    <w:link w:val="MottTableBullets"/>
    <w:locked/>
    <w:rsid w:val="007658DE"/>
    <w:rPr>
      <w:rFonts w:ascii="Arial" w:hAnsi="Arial" w:cs="Arial"/>
      <w:sz w:val="18"/>
      <w:szCs w:val="24"/>
      <w:lang w:val="en-GB" w:eastAsia="en-GB"/>
    </w:rPr>
  </w:style>
  <w:style w:type="paragraph" w:customStyle="1" w:styleId="MottTableBullets">
    <w:name w:val="Mott Table Bullets"/>
    <w:basedOn w:val="MottTexts"/>
    <w:link w:val="MottTableBulletsChar"/>
    <w:rsid w:val="007658DE"/>
    <w:rPr>
      <w:sz w:val="18"/>
    </w:rPr>
  </w:style>
  <w:style w:type="table" w:styleId="LightShading-Accent6">
    <w:name w:val="Light Shading Accent 6"/>
    <w:basedOn w:val="TableNormal"/>
    <w:uiPriority w:val="60"/>
    <w:rsid w:val="00D633A6"/>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trong">
    <w:name w:val="Strong"/>
    <w:basedOn w:val="DefaultParagraphFont"/>
    <w:uiPriority w:val="22"/>
    <w:qFormat/>
    <w:rsid w:val="005A4CE5"/>
    <w:rPr>
      <w:b/>
      <w:bCs/>
    </w:rPr>
  </w:style>
  <w:style w:type="table" w:customStyle="1" w:styleId="LightShading-Accent111">
    <w:name w:val="Light Shading - Accent 111"/>
    <w:basedOn w:val="TableNormal"/>
    <w:uiPriority w:val="60"/>
    <w:rsid w:val="007D4963"/>
    <w:rPr>
      <w:rFonts w:asciiTheme="minorHAnsi" w:eastAsiaTheme="minorHAnsi" w:hAnsiTheme="minorHAnsi" w:cstheme="minorBidi"/>
      <w:color w:val="365F91" w:themeColor="accent1" w:themeShade="BF"/>
      <w:sz w:val="22"/>
      <w:szCs w:val="22"/>
      <w:lang w:val="en-AU"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tenseQuote">
    <w:name w:val="Intense Quote"/>
    <w:basedOn w:val="Normal"/>
    <w:next w:val="Normal"/>
    <w:link w:val="IntenseQuoteChar"/>
    <w:uiPriority w:val="30"/>
    <w:qFormat/>
    <w:rsid w:val="000938D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938D8"/>
    <w:rPr>
      <w:rFonts w:ascii="Cambria" w:hAnsi="Cambria"/>
      <w:b/>
      <w:bCs/>
      <w:i/>
      <w:iCs/>
      <w:color w:val="4F81BD" w:themeColor="accent1"/>
      <w:sz w:val="22"/>
      <w:lang w:eastAsia="en-GB"/>
    </w:rPr>
  </w:style>
  <w:style w:type="character" w:customStyle="1" w:styleId="A6">
    <w:name w:val="A6"/>
    <w:uiPriority w:val="99"/>
    <w:rsid w:val="00B2142C"/>
    <w:rPr>
      <w:color w:val="000000"/>
      <w:sz w:val="14"/>
      <w:szCs w:val="14"/>
    </w:rPr>
  </w:style>
  <w:style w:type="paragraph" w:customStyle="1" w:styleId="ListBullet3">
    <w:name w:val="List Bullet3"/>
    <w:basedOn w:val="Normal"/>
    <w:autoRedefine/>
    <w:uiPriority w:val="99"/>
    <w:rsid w:val="005560C3"/>
    <w:pPr>
      <w:spacing w:before="240"/>
      <w:jc w:val="both"/>
    </w:pPr>
    <w:rPr>
      <w:rFonts w:asciiTheme="minorHAnsi" w:hAnsiTheme="minorHAnsi" w:cstheme="minorHAnsi"/>
      <w:lang w:val="en-GB" w:eastAsia="en-US"/>
    </w:rPr>
  </w:style>
  <w:style w:type="character" w:customStyle="1" w:styleId="field-content">
    <w:name w:val="field-content"/>
    <w:basedOn w:val="DefaultParagraphFont"/>
    <w:rsid w:val="0013195D"/>
  </w:style>
  <w:style w:type="table" w:customStyle="1" w:styleId="LightShading2">
    <w:name w:val="Light Shading2"/>
    <w:basedOn w:val="TableNormal"/>
    <w:uiPriority w:val="60"/>
    <w:rsid w:val="00190BE3"/>
    <w:rPr>
      <w:rFonts w:asciiTheme="minorHAnsi" w:eastAsiaTheme="minorEastAsia"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Normal 2 Char,List Paragraph (numbered (a)) Char,Main numbered paragraph Char"/>
    <w:basedOn w:val="DefaultParagraphFont"/>
    <w:link w:val="ListParagraph"/>
    <w:uiPriority w:val="34"/>
    <w:locked/>
    <w:rsid w:val="00524C05"/>
    <w:rPr>
      <w:rFonts w:ascii="Cambria" w:eastAsia="Calibri" w:hAnsi="Cambria"/>
      <w:sz w:val="22"/>
      <w:szCs w:val="22"/>
      <w:lang w:eastAsia="en-US"/>
    </w:rPr>
  </w:style>
  <w:style w:type="table" w:styleId="MediumGrid1-Accent5">
    <w:name w:val="Medium Grid 1 Accent 5"/>
    <w:basedOn w:val="TableNormal"/>
    <w:uiPriority w:val="67"/>
    <w:rsid w:val="0057285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LineNumber">
    <w:name w:val="line number"/>
    <w:basedOn w:val="DefaultParagraphFont"/>
    <w:uiPriority w:val="99"/>
    <w:semiHidden/>
    <w:unhideWhenUsed/>
    <w:rsid w:val="00C96665"/>
  </w:style>
  <w:style w:type="paragraph" w:customStyle="1" w:styleId="ListBullet4">
    <w:name w:val="List Bullet4"/>
    <w:basedOn w:val="Normal"/>
    <w:autoRedefine/>
    <w:rsid w:val="00531C56"/>
    <w:pPr>
      <w:spacing w:before="120" w:after="120"/>
      <w:jc w:val="both"/>
    </w:pPr>
    <w:rPr>
      <w:rFonts w:asciiTheme="minorHAnsi" w:hAnsiTheme="minorHAnsi" w:cstheme="minorHAnsi"/>
      <w:b/>
      <w:color w:val="008000"/>
      <w:lang w:val="en-GB" w:eastAsia="en-US"/>
    </w:rPr>
  </w:style>
  <w:style w:type="character" w:customStyle="1" w:styleId="BalloonTextChar1">
    <w:name w:val="Balloon Text Char1"/>
    <w:uiPriority w:val="99"/>
    <w:semiHidden/>
    <w:rsid w:val="005D7516"/>
    <w:rPr>
      <w:rFonts w:ascii="Tahoma" w:hAnsi="Tahoma" w:cs="Tahoma"/>
      <w:sz w:val="16"/>
      <w:szCs w:val="16"/>
      <w:lang w:eastAsia="en-GB"/>
    </w:rPr>
  </w:style>
  <w:style w:type="table" w:customStyle="1" w:styleId="LightList-Accent11">
    <w:name w:val="Light List - Accent 11"/>
    <w:basedOn w:val="TableNormal"/>
    <w:uiPriority w:val="61"/>
    <w:rsid w:val="0027740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27740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5">
    <w:name w:val="Medium Shading 1 Accent 5"/>
    <w:basedOn w:val="TableNormal"/>
    <w:uiPriority w:val="63"/>
    <w:rsid w:val="00F2111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FD5EB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Accent4">
    <w:name w:val="Light List Accent 4"/>
    <w:basedOn w:val="TableNormal"/>
    <w:uiPriority w:val="61"/>
    <w:rsid w:val="003B661A"/>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ListNumber2">
    <w:name w:val="List Number2"/>
    <w:basedOn w:val="Normal"/>
    <w:autoRedefine/>
    <w:rsid w:val="009D66FA"/>
    <w:pPr>
      <w:tabs>
        <w:tab w:val="num" w:pos="357"/>
      </w:tabs>
      <w:spacing w:after="60"/>
      <w:ind w:left="357" w:hanging="357"/>
    </w:pPr>
    <w:rPr>
      <w:rFonts w:ascii="Calibri" w:hAnsi="Calibri"/>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868784">
      <w:bodyDiv w:val="1"/>
      <w:marLeft w:val="0"/>
      <w:marRight w:val="0"/>
      <w:marTop w:val="0"/>
      <w:marBottom w:val="0"/>
      <w:divBdr>
        <w:top w:val="none" w:sz="0" w:space="0" w:color="auto"/>
        <w:left w:val="none" w:sz="0" w:space="0" w:color="auto"/>
        <w:bottom w:val="none" w:sz="0" w:space="0" w:color="auto"/>
        <w:right w:val="none" w:sz="0" w:space="0" w:color="auto"/>
      </w:divBdr>
    </w:div>
    <w:div w:id="35012412">
      <w:bodyDiv w:val="1"/>
      <w:marLeft w:val="0"/>
      <w:marRight w:val="0"/>
      <w:marTop w:val="0"/>
      <w:marBottom w:val="0"/>
      <w:divBdr>
        <w:top w:val="none" w:sz="0" w:space="0" w:color="auto"/>
        <w:left w:val="none" w:sz="0" w:space="0" w:color="auto"/>
        <w:bottom w:val="none" w:sz="0" w:space="0" w:color="auto"/>
        <w:right w:val="none" w:sz="0" w:space="0" w:color="auto"/>
      </w:divBdr>
    </w:div>
    <w:div w:id="49621808">
      <w:bodyDiv w:val="1"/>
      <w:marLeft w:val="0"/>
      <w:marRight w:val="0"/>
      <w:marTop w:val="0"/>
      <w:marBottom w:val="0"/>
      <w:divBdr>
        <w:top w:val="none" w:sz="0" w:space="0" w:color="auto"/>
        <w:left w:val="none" w:sz="0" w:space="0" w:color="auto"/>
        <w:bottom w:val="none" w:sz="0" w:space="0" w:color="auto"/>
        <w:right w:val="none" w:sz="0" w:space="0" w:color="auto"/>
      </w:divBdr>
    </w:div>
    <w:div w:id="52776896">
      <w:bodyDiv w:val="1"/>
      <w:marLeft w:val="0"/>
      <w:marRight w:val="0"/>
      <w:marTop w:val="0"/>
      <w:marBottom w:val="0"/>
      <w:divBdr>
        <w:top w:val="none" w:sz="0" w:space="0" w:color="auto"/>
        <w:left w:val="none" w:sz="0" w:space="0" w:color="auto"/>
        <w:bottom w:val="none" w:sz="0" w:space="0" w:color="auto"/>
        <w:right w:val="none" w:sz="0" w:space="0" w:color="auto"/>
      </w:divBdr>
    </w:div>
    <w:div w:id="59910445">
      <w:bodyDiv w:val="1"/>
      <w:marLeft w:val="0"/>
      <w:marRight w:val="0"/>
      <w:marTop w:val="0"/>
      <w:marBottom w:val="0"/>
      <w:divBdr>
        <w:top w:val="none" w:sz="0" w:space="0" w:color="auto"/>
        <w:left w:val="none" w:sz="0" w:space="0" w:color="auto"/>
        <w:bottom w:val="none" w:sz="0" w:space="0" w:color="auto"/>
        <w:right w:val="none" w:sz="0" w:space="0" w:color="auto"/>
      </w:divBdr>
    </w:div>
    <w:div w:id="60178121">
      <w:bodyDiv w:val="1"/>
      <w:marLeft w:val="0"/>
      <w:marRight w:val="0"/>
      <w:marTop w:val="0"/>
      <w:marBottom w:val="0"/>
      <w:divBdr>
        <w:top w:val="none" w:sz="0" w:space="0" w:color="auto"/>
        <w:left w:val="none" w:sz="0" w:space="0" w:color="auto"/>
        <w:bottom w:val="none" w:sz="0" w:space="0" w:color="auto"/>
        <w:right w:val="none" w:sz="0" w:space="0" w:color="auto"/>
      </w:divBdr>
    </w:div>
    <w:div w:id="65149123">
      <w:bodyDiv w:val="1"/>
      <w:marLeft w:val="0"/>
      <w:marRight w:val="0"/>
      <w:marTop w:val="0"/>
      <w:marBottom w:val="0"/>
      <w:divBdr>
        <w:top w:val="none" w:sz="0" w:space="0" w:color="auto"/>
        <w:left w:val="none" w:sz="0" w:space="0" w:color="auto"/>
        <w:bottom w:val="none" w:sz="0" w:space="0" w:color="auto"/>
        <w:right w:val="none" w:sz="0" w:space="0" w:color="auto"/>
      </w:divBdr>
    </w:div>
    <w:div w:id="80378315">
      <w:bodyDiv w:val="1"/>
      <w:marLeft w:val="0"/>
      <w:marRight w:val="0"/>
      <w:marTop w:val="0"/>
      <w:marBottom w:val="0"/>
      <w:divBdr>
        <w:top w:val="none" w:sz="0" w:space="0" w:color="auto"/>
        <w:left w:val="none" w:sz="0" w:space="0" w:color="auto"/>
        <w:bottom w:val="none" w:sz="0" w:space="0" w:color="auto"/>
        <w:right w:val="none" w:sz="0" w:space="0" w:color="auto"/>
      </w:divBdr>
    </w:div>
    <w:div w:id="94136958">
      <w:bodyDiv w:val="1"/>
      <w:marLeft w:val="0"/>
      <w:marRight w:val="0"/>
      <w:marTop w:val="0"/>
      <w:marBottom w:val="0"/>
      <w:divBdr>
        <w:top w:val="none" w:sz="0" w:space="0" w:color="auto"/>
        <w:left w:val="none" w:sz="0" w:space="0" w:color="auto"/>
        <w:bottom w:val="none" w:sz="0" w:space="0" w:color="auto"/>
        <w:right w:val="none" w:sz="0" w:space="0" w:color="auto"/>
      </w:divBdr>
    </w:div>
    <w:div w:id="120616778">
      <w:bodyDiv w:val="1"/>
      <w:marLeft w:val="0"/>
      <w:marRight w:val="0"/>
      <w:marTop w:val="0"/>
      <w:marBottom w:val="0"/>
      <w:divBdr>
        <w:top w:val="none" w:sz="0" w:space="0" w:color="auto"/>
        <w:left w:val="none" w:sz="0" w:space="0" w:color="auto"/>
        <w:bottom w:val="none" w:sz="0" w:space="0" w:color="auto"/>
        <w:right w:val="none" w:sz="0" w:space="0" w:color="auto"/>
      </w:divBdr>
    </w:div>
    <w:div w:id="137067881">
      <w:bodyDiv w:val="1"/>
      <w:marLeft w:val="0"/>
      <w:marRight w:val="0"/>
      <w:marTop w:val="0"/>
      <w:marBottom w:val="0"/>
      <w:divBdr>
        <w:top w:val="none" w:sz="0" w:space="0" w:color="auto"/>
        <w:left w:val="none" w:sz="0" w:space="0" w:color="auto"/>
        <w:bottom w:val="none" w:sz="0" w:space="0" w:color="auto"/>
        <w:right w:val="none" w:sz="0" w:space="0" w:color="auto"/>
      </w:divBdr>
    </w:div>
    <w:div w:id="141581902">
      <w:bodyDiv w:val="1"/>
      <w:marLeft w:val="0"/>
      <w:marRight w:val="0"/>
      <w:marTop w:val="0"/>
      <w:marBottom w:val="0"/>
      <w:divBdr>
        <w:top w:val="none" w:sz="0" w:space="0" w:color="auto"/>
        <w:left w:val="none" w:sz="0" w:space="0" w:color="auto"/>
        <w:bottom w:val="none" w:sz="0" w:space="0" w:color="auto"/>
        <w:right w:val="none" w:sz="0" w:space="0" w:color="auto"/>
      </w:divBdr>
    </w:div>
    <w:div w:id="150173901">
      <w:bodyDiv w:val="1"/>
      <w:marLeft w:val="0"/>
      <w:marRight w:val="0"/>
      <w:marTop w:val="0"/>
      <w:marBottom w:val="0"/>
      <w:divBdr>
        <w:top w:val="none" w:sz="0" w:space="0" w:color="auto"/>
        <w:left w:val="none" w:sz="0" w:space="0" w:color="auto"/>
        <w:bottom w:val="none" w:sz="0" w:space="0" w:color="auto"/>
        <w:right w:val="none" w:sz="0" w:space="0" w:color="auto"/>
      </w:divBdr>
    </w:div>
    <w:div w:id="166596359">
      <w:bodyDiv w:val="1"/>
      <w:marLeft w:val="0"/>
      <w:marRight w:val="0"/>
      <w:marTop w:val="0"/>
      <w:marBottom w:val="0"/>
      <w:divBdr>
        <w:top w:val="none" w:sz="0" w:space="0" w:color="auto"/>
        <w:left w:val="none" w:sz="0" w:space="0" w:color="auto"/>
        <w:bottom w:val="none" w:sz="0" w:space="0" w:color="auto"/>
        <w:right w:val="none" w:sz="0" w:space="0" w:color="auto"/>
      </w:divBdr>
    </w:div>
    <w:div w:id="178392112">
      <w:bodyDiv w:val="1"/>
      <w:marLeft w:val="0"/>
      <w:marRight w:val="0"/>
      <w:marTop w:val="0"/>
      <w:marBottom w:val="0"/>
      <w:divBdr>
        <w:top w:val="none" w:sz="0" w:space="0" w:color="auto"/>
        <w:left w:val="none" w:sz="0" w:space="0" w:color="auto"/>
        <w:bottom w:val="none" w:sz="0" w:space="0" w:color="auto"/>
        <w:right w:val="none" w:sz="0" w:space="0" w:color="auto"/>
      </w:divBdr>
    </w:div>
    <w:div w:id="183714736">
      <w:bodyDiv w:val="1"/>
      <w:marLeft w:val="0"/>
      <w:marRight w:val="0"/>
      <w:marTop w:val="0"/>
      <w:marBottom w:val="0"/>
      <w:divBdr>
        <w:top w:val="none" w:sz="0" w:space="0" w:color="auto"/>
        <w:left w:val="none" w:sz="0" w:space="0" w:color="auto"/>
        <w:bottom w:val="none" w:sz="0" w:space="0" w:color="auto"/>
        <w:right w:val="none" w:sz="0" w:space="0" w:color="auto"/>
      </w:divBdr>
    </w:div>
    <w:div w:id="193546264">
      <w:bodyDiv w:val="1"/>
      <w:marLeft w:val="0"/>
      <w:marRight w:val="0"/>
      <w:marTop w:val="0"/>
      <w:marBottom w:val="0"/>
      <w:divBdr>
        <w:top w:val="none" w:sz="0" w:space="0" w:color="auto"/>
        <w:left w:val="none" w:sz="0" w:space="0" w:color="auto"/>
        <w:bottom w:val="none" w:sz="0" w:space="0" w:color="auto"/>
        <w:right w:val="none" w:sz="0" w:space="0" w:color="auto"/>
      </w:divBdr>
    </w:div>
    <w:div w:id="220675254">
      <w:bodyDiv w:val="1"/>
      <w:marLeft w:val="0"/>
      <w:marRight w:val="0"/>
      <w:marTop w:val="0"/>
      <w:marBottom w:val="0"/>
      <w:divBdr>
        <w:top w:val="none" w:sz="0" w:space="0" w:color="auto"/>
        <w:left w:val="none" w:sz="0" w:space="0" w:color="auto"/>
        <w:bottom w:val="none" w:sz="0" w:space="0" w:color="auto"/>
        <w:right w:val="none" w:sz="0" w:space="0" w:color="auto"/>
      </w:divBdr>
    </w:div>
    <w:div w:id="230039300">
      <w:bodyDiv w:val="1"/>
      <w:marLeft w:val="0"/>
      <w:marRight w:val="0"/>
      <w:marTop w:val="0"/>
      <w:marBottom w:val="0"/>
      <w:divBdr>
        <w:top w:val="none" w:sz="0" w:space="0" w:color="auto"/>
        <w:left w:val="none" w:sz="0" w:space="0" w:color="auto"/>
        <w:bottom w:val="none" w:sz="0" w:space="0" w:color="auto"/>
        <w:right w:val="none" w:sz="0" w:space="0" w:color="auto"/>
      </w:divBdr>
    </w:div>
    <w:div w:id="238684231">
      <w:bodyDiv w:val="1"/>
      <w:marLeft w:val="0"/>
      <w:marRight w:val="0"/>
      <w:marTop w:val="0"/>
      <w:marBottom w:val="0"/>
      <w:divBdr>
        <w:top w:val="none" w:sz="0" w:space="0" w:color="auto"/>
        <w:left w:val="none" w:sz="0" w:space="0" w:color="auto"/>
        <w:bottom w:val="none" w:sz="0" w:space="0" w:color="auto"/>
        <w:right w:val="none" w:sz="0" w:space="0" w:color="auto"/>
      </w:divBdr>
    </w:div>
    <w:div w:id="252519655">
      <w:bodyDiv w:val="1"/>
      <w:marLeft w:val="0"/>
      <w:marRight w:val="0"/>
      <w:marTop w:val="0"/>
      <w:marBottom w:val="0"/>
      <w:divBdr>
        <w:top w:val="none" w:sz="0" w:space="0" w:color="auto"/>
        <w:left w:val="none" w:sz="0" w:space="0" w:color="auto"/>
        <w:bottom w:val="none" w:sz="0" w:space="0" w:color="auto"/>
        <w:right w:val="none" w:sz="0" w:space="0" w:color="auto"/>
      </w:divBdr>
    </w:div>
    <w:div w:id="262491653">
      <w:bodyDiv w:val="1"/>
      <w:marLeft w:val="0"/>
      <w:marRight w:val="0"/>
      <w:marTop w:val="0"/>
      <w:marBottom w:val="0"/>
      <w:divBdr>
        <w:top w:val="none" w:sz="0" w:space="0" w:color="auto"/>
        <w:left w:val="none" w:sz="0" w:space="0" w:color="auto"/>
        <w:bottom w:val="none" w:sz="0" w:space="0" w:color="auto"/>
        <w:right w:val="none" w:sz="0" w:space="0" w:color="auto"/>
      </w:divBdr>
    </w:div>
    <w:div w:id="297419171">
      <w:bodyDiv w:val="1"/>
      <w:marLeft w:val="0"/>
      <w:marRight w:val="0"/>
      <w:marTop w:val="0"/>
      <w:marBottom w:val="0"/>
      <w:divBdr>
        <w:top w:val="none" w:sz="0" w:space="0" w:color="auto"/>
        <w:left w:val="none" w:sz="0" w:space="0" w:color="auto"/>
        <w:bottom w:val="none" w:sz="0" w:space="0" w:color="auto"/>
        <w:right w:val="none" w:sz="0" w:space="0" w:color="auto"/>
      </w:divBdr>
    </w:div>
    <w:div w:id="326057330">
      <w:bodyDiv w:val="1"/>
      <w:marLeft w:val="0"/>
      <w:marRight w:val="0"/>
      <w:marTop w:val="0"/>
      <w:marBottom w:val="0"/>
      <w:divBdr>
        <w:top w:val="none" w:sz="0" w:space="0" w:color="auto"/>
        <w:left w:val="none" w:sz="0" w:space="0" w:color="auto"/>
        <w:bottom w:val="none" w:sz="0" w:space="0" w:color="auto"/>
        <w:right w:val="none" w:sz="0" w:space="0" w:color="auto"/>
      </w:divBdr>
    </w:div>
    <w:div w:id="336809105">
      <w:bodyDiv w:val="1"/>
      <w:marLeft w:val="0"/>
      <w:marRight w:val="0"/>
      <w:marTop w:val="0"/>
      <w:marBottom w:val="0"/>
      <w:divBdr>
        <w:top w:val="none" w:sz="0" w:space="0" w:color="auto"/>
        <w:left w:val="none" w:sz="0" w:space="0" w:color="auto"/>
        <w:bottom w:val="none" w:sz="0" w:space="0" w:color="auto"/>
        <w:right w:val="none" w:sz="0" w:space="0" w:color="auto"/>
      </w:divBdr>
    </w:div>
    <w:div w:id="358816782">
      <w:bodyDiv w:val="1"/>
      <w:marLeft w:val="0"/>
      <w:marRight w:val="0"/>
      <w:marTop w:val="0"/>
      <w:marBottom w:val="0"/>
      <w:divBdr>
        <w:top w:val="none" w:sz="0" w:space="0" w:color="auto"/>
        <w:left w:val="none" w:sz="0" w:space="0" w:color="auto"/>
        <w:bottom w:val="none" w:sz="0" w:space="0" w:color="auto"/>
        <w:right w:val="none" w:sz="0" w:space="0" w:color="auto"/>
      </w:divBdr>
      <w:divsChild>
        <w:div w:id="1024865699">
          <w:marLeft w:val="734"/>
          <w:marRight w:val="0"/>
          <w:marTop w:val="77"/>
          <w:marBottom w:val="0"/>
          <w:divBdr>
            <w:top w:val="none" w:sz="0" w:space="0" w:color="auto"/>
            <w:left w:val="none" w:sz="0" w:space="0" w:color="auto"/>
            <w:bottom w:val="none" w:sz="0" w:space="0" w:color="auto"/>
            <w:right w:val="none" w:sz="0" w:space="0" w:color="auto"/>
          </w:divBdr>
        </w:div>
        <w:div w:id="1324817213">
          <w:marLeft w:val="734"/>
          <w:marRight w:val="0"/>
          <w:marTop w:val="77"/>
          <w:marBottom w:val="0"/>
          <w:divBdr>
            <w:top w:val="none" w:sz="0" w:space="0" w:color="auto"/>
            <w:left w:val="none" w:sz="0" w:space="0" w:color="auto"/>
            <w:bottom w:val="none" w:sz="0" w:space="0" w:color="auto"/>
            <w:right w:val="none" w:sz="0" w:space="0" w:color="auto"/>
          </w:divBdr>
        </w:div>
        <w:div w:id="2003239543">
          <w:marLeft w:val="734"/>
          <w:marRight w:val="0"/>
          <w:marTop w:val="77"/>
          <w:marBottom w:val="0"/>
          <w:divBdr>
            <w:top w:val="none" w:sz="0" w:space="0" w:color="auto"/>
            <w:left w:val="none" w:sz="0" w:space="0" w:color="auto"/>
            <w:bottom w:val="none" w:sz="0" w:space="0" w:color="auto"/>
            <w:right w:val="none" w:sz="0" w:space="0" w:color="auto"/>
          </w:divBdr>
        </w:div>
      </w:divsChild>
    </w:div>
    <w:div w:id="408625824">
      <w:bodyDiv w:val="1"/>
      <w:marLeft w:val="0"/>
      <w:marRight w:val="0"/>
      <w:marTop w:val="0"/>
      <w:marBottom w:val="0"/>
      <w:divBdr>
        <w:top w:val="none" w:sz="0" w:space="0" w:color="auto"/>
        <w:left w:val="none" w:sz="0" w:space="0" w:color="auto"/>
        <w:bottom w:val="none" w:sz="0" w:space="0" w:color="auto"/>
        <w:right w:val="none" w:sz="0" w:space="0" w:color="auto"/>
      </w:divBdr>
    </w:div>
    <w:div w:id="414403950">
      <w:bodyDiv w:val="1"/>
      <w:marLeft w:val="0"/>
      <w:marRight w:val="0"/>
      <w:marTop w:val="0"/>
      <w:marBottom w:val="0"/>
      <w:divBdr>
        <w:top w:val="none" w:sz="0" w:space="0" w:color="auto"/>
        <w:left w:val="none" w:sz="0" w:space="0" w:color="auto"/>
        <w:bottom w:val="none" w:sz="0" w:space="0" w:color="auto"/>
        <w:right w:val="none" w:sz="0" w:space="0" w:color="auto"/>
      </w:divBdr>
    </w:div>
    <w:div w:id="415594679">
      <w:bodyDiv w:val="1"/>
      <w:marLeft w:val="0"/>
      <w:marRight w:val="0"/>
      <w:marTop w:val="0"/>
      <w:marBottom w:val="0"/>
      <w:divBdr>
        <w:top w:val="none" w:sz="0" w:space="0" w:color="auto"/>
        <w:left w:val="none" w:sz="0" w:space="0" w:color="auto"/>
        <w:bottom w:val="none" w:sz="0" w:space="0" w:color="auto"/>
        <w:right w:val="none" w:sz="0" w:space="0" w:color="auto"/>
      </w:divBdr>
    </w:div>
    <w:div w:id="423963453">
      <w:bodyDiv w:val="1"/>
      <w:marLeft w:val="0"/>
      <w:marRight w:val="0"/>
      <w:marTop w:val="0"/>
      <w:marBottom w:val="0"/>
      <w:divBdr>
        <w:top w:val="none" w:sz="0" w:space="0" w:color="auto"/>
        <w:left w:val="none" w:sz="0" w:space="0" w:color="auto"/>
        <w:bottom w:val="none" w:sz="0" w:space="0" w:color="auto"/>
        <w:right w:val="none" w:sz="0" w:space="0" w:color="auto"/>
      </w:divBdr>
    </w:div>
    <w:div w:id="457257565">
      <w:bodyDiv w:val="1"/>
      <w:marLeft w:val="0"/>
      <w:marRight w:val="0"/>
      <w:marTop w:val="0"/>
      <w:marBottom w:val="0"/>
      <w:divBdr>
        <w:top w:val="none" w:sz="0" w:space="0" w:color="auto"/>
        <w:left w:val="none" w:sz="0" w:space="0" w:color="auto"/>
        <w:bottom w:val="none" w:sz="0" w:space="0" w:color="auto"/>
        <w:right w:val="none" w:sz="0" w:space="0" w:color="auto"/>
      </w:divBdr>
    </w:div>
    <w:div w:id="470751619">
      <w:bodyDiv w:val="1"/>
      <w:marLeft w:val="0"/>
      <w:marRight w:val="0"/>
      <w:marTop w:val="0"/>
      <w:marBottom w:val="0"/>
      <w:divBdr>
        <w:top w:val="none" w:sz="0" w:space="0" w:color="auto"/>
        <w:left w:val="none" w:sz="0" w:space="0" w:color="auto"/>
        <w:bottom w:val="none" w:sz="0" w:space="0" w:color="auto"/>
        <w:right w:val="none" w:sz="0" w:space="0" w:color="auto"/>
      </w:divBdr>
    </w:div>
    <w:div w:id="484591963">
      <w:bodyDiv w:val="1"/>
      <w:marLeft w:val="0"/>
      <w:marRight w:val="0"/>
      <w:marTop w:val="0"/>
      <w:marBottom w:val="0"/>
      <w:divBdr>
        <w:top w:val="none" w:sz="0" w:space="0" w:color="auto"/>
        <w:left w:val="none" w:sz="0" w:space="0" w:color="auto"/>
        <w:bottom w:val="none" w:sz="0" w:space="0" w:color="auto"/>
        <w:right w:val="none" w:sz="0" w:space="0" w:color="auto"/>
      </w:divBdr>
    </w:div>
    <w:div w:id="487937211">
      <w:bodyDiv w:val="1"/>
      <w:marLeft w:val="0"/>
      <w:marRight w:val="0"/>
      <w:marTop w:val="0"/>
      <w:marBottom w:val="0"/>
      <w:divBdr>
        <w:top w:val="none" w:sz="0" w:space="0" w:color="auto"/>
        <w:left w:val="none" w:sz="0" w:space="0" w:color="auto"/>
        <w:bottom w:val="none" w:sz="0" w:space="0" w:color="auto"/>
        <w:right w:val="none" w:sz="0" w:space="0" w:color="auto"/>
      </w:divBdr>
    </w:div>
    <w:div w:id="487983741">
      <w:bodyDiv w:val="1"/>
      <w:marLeft w:val="0"/>
      <w:marRight w:val="0"/>
      <w:marTop w:val="0"/>
      <w:marBottom w:val="0"/>
      <w:divBdr>
        <w:top w:val="none" w:sz="0" w:space="0" w:color="auto"/>
        <w:left w:val="none" w:sz="0" w:space="0" w:color="auto"/>
        <w:bottom w:val="none" w:sz="0" w:space="0" w:color="auto"/>
        <w:right w:val="none" w:sz="0" w:space="0" w:color="auto"/>
      </w:divBdr>
    </w:div>
    <w:div w:id="494535115">
      <w:bodyDiv w:val="1"/>
      <w:marLeft w:val="0"/>
      <w:marRight w:val="0"/>
      <w:marTop w:val="0"/>
      <w:marBottom w:val="0"/>
      <w:divBdr>
        <w:top w:val="none" w:sz="0" w:space="0" w:color="auto"/>
        <w:left w:val="none" w:sz="0" w:space="0" w:color="auto"/>
        <w:bottom w:val="none" w:sz="0" w:space="0" w:color="auto"/>
        <w:right w:val="none" w:sz="0" w:space="0" w:color="auto"/>
      </w:divBdr>
    </w:div>
    <w:div w:id="520508094">
      <w:bodyDiv w:val="1"/>
      <w:marLeft w:val="0"/>
      <w:marRight w:val="0"/>
      <w:marTop w:val="0"/>
      <w:marBottom w:val="0"/>
      <w:divBdr>
        <w:top w:val="none" w:sz="0" w:space="0" w:color="auto"/>
        <w:left w:val="none" w:sz="0" w:space="0" w:color="auto"/>
        <w:bottom w:val="none" w:sz="0" w:space="0" w:color="auto"/>
        <w:right w:val="none" w:sz="0" w:space="0" w:color="auto"/>
      </w:divBdr>
    </w:div>
    <w:div w:id="521625526">
      <w:bodyDiv w:val="1"/>
      <w:marLeft w:val="0"/>
      <w:marRight w:val="0"/>
      <w:marTop w:val="0"/>
      <w:marBottom w:val="0"/>
      <w:divBdr>
        <w:top w:val="none" w:sz="0" w:space="0" w:color="auto"/>
        <w:left w:val="none" w:sz="0" w:space="0" w:color="auto"/>
        <w:bottom w:val="none" w:sz="0" w:space="0" w:color="auto"/>
        <w:right w:val="none" w:sz="0" w:space="0" w:color="auto"/>
      </w:divBdr>
    </w:div>
    <w:div w:id="534200639">
      <w:bodyDiv w:val="1"/>
      <w:marLeft w:val="0"/>
      <w:marRight w:val="0"/>
      <w:marTop w:val="0"/>
      <w:marBottom w:val="0"/>
      <w:divBdr>
        <w:top w:val="none" w:sz="0" w:space="0" w:color="auto"/>
        <w:left w:val="none" w:sz="0" w:space="0" w:color="auto"/>
        <w:bottom w:val="none" w:sz="0" w:space="0" w:color="auto"/>
        <w:right w:val="none" w:sz="0" w:space="0" w:color="auto"/>
      </w:divBdr>
    </w:div>
    <w:div w:id="539124105">
      <w:bodyDiv w:val="1"/>
      <w:marLeft w:val="0"/>
      <w:marRight w:val="0"/>
      <w:marTop w:val="0"/>
      <w:marBottom w:val="0"/>
      <w:divBdr>
        <w:top w:val="none" w:sz="0" w:space="0" w:color="auto"/>
        <w:left w:val="none" w:sz="0" w:space="0" w:color="auto"/>
        <w:bottom w:val="none" w:sz="0" w:space="0" w:color="auto"/>
        <w:right w:val="none" w:sz="0" w:space="0" w:color="auto"/>
      </w:divBdr>
      <w:divsChild>
        <w:div w:id="1229530893">
          <w:marLeft w:val="0"/>
          <w:marRight w:val="0"/>
          <w:marTop w:val="0"/>
          <w:marBottom w:val="0"/>
          <w:divBdr>
            <w:top w:val="none" w:sz="0" w:space="0" w:color="auto"/>
            <w:left w:val="none" w:sz="0" w:space="0" w:color="auto"/>
            <w:bottom w:val="none" w:sz="0" w:space="0" w:color="auto"/>
            <w:right w:val="none" w:sz="0" w:space="0" w:color="auto"/>
          </w:divBdr>
        </w:div>
        <w:div w:id="1269969061">
          <w:marLeft w:val="0"/>
          <w:marRight w:val="0"/>
          <w:marTop w:val="0"/>
          <w:marBottom w:val="0"/>
          <w:divBdr>
            <w:top w:val="none" w:sz="0" w:space="0" w:color="auto"/>
            <w:left w:val="none" w:sz="0" w:space="0" w:color="auto"/>
            <w:bottom w:val="none" w:sz="0" w:space="0" w:color="auto"/>
            <w:right w:val="none" w:sz="0" w:space="0" w:color="auto"/>
          </w:divBdr>
        </w:div>
        <w:div w:id="1943105289">
          <w:marLeft w:val="0"/>
          <w:marRight w:val="0"/>
          <w:marTop w:val="0"/>
          <w:marBottom w:val="0"/>
          <w:divBdr>
            <w:top w:val="none" w:sz="0" w:space="0" w:color="auto"/>
            <w:left w:val="none" w:sz="0" w:space="0" w:color="auto"/>
            <w:bottom w:val="none" w:sz="0" w:space="0" w:color="auto"/>
            <w:right w:val="none" w:sz="0" w:space="0" w:color="auto"/>
          </w:divBdr>
        </w:div>
      </w:divsChild>
    </w:div>
    <w:div w:id="551385448">
      <w:bodyDiv w:val="1"/>
      <w:marLeft w:val="0"/>
      <w:marRight w:val="0"/>
      <w:marTop w:val="0"/>
      <w:marBottom w:val="0"/>
      <w:divBdr>
        <w:top w:val="none" w:sz="0" w:space="0" w:color="auto"/>
        <w:left w:val="none" w:sz="0" w:space="0" w:color="auto"/>
        <w:bottom w:val="none" w:sz="0" w:space="0" w:color="auto"/>
        <w:right w:val="none" w:sz="0" w:space="0" w:color="auto"/>
      </w:divBdr>
    </w:div>
    <w:div w:id="643582837">
      <w:bodyDiv w:val="1"/>
      <w:marLeft w:val="0"/>
      <w:marRight w:val="0"/>
      <w:marTop w:val="0"/>
      <w:marBottom w:val="0"/>
      <w:divBdr>
        <w:top w:val="none" w:sz="0" w:space="0" w:color="auto"/>
        <w:left w:val="none" w:sz="0" w:space="0" w:color="auto"/>
        <w:bottom w:val="none" w:sz="0" w:space="0" w:color="auto"/>
        <w:right w:val="none" w:sz="0" w:space="0" w:color="auto"/>
      </w:divBdr>
    </w:div>
    <w:div w:id="670720580">
      <w:bodyDiv w:val="1"/>
      <w:marLeft w:val="0"/>
      <w:marRight w:val="0"/>
      <w:marTop w:val="0"/>
      <w:marBottom w:val="0"/>
      <w:divBdr>
        <w:top w:val="none" w:sz="0" w:space="0" w:color="auto"/>
        <w:left w:val="none" w:sz="0" w:space="0" w:color="auto"/>
        <w:bottom w:val="none" w:sz="0" w:space="0" w:color="auto"/>
        <w:right w:val="none" w:sz="0" w:space="0" w:color="auto"/>
      </w:divBdr>
    </w:div>
    <w:div w:id="674379432">
      <w:bodyDiv w:val="1"/>
      <w:marLeft w:val="0"/>
      <w:marRight w:val="0"/>
      <w:marTop w:val="0"/>
      <w:marBottom w:val="0"/>
      <w:divBdr>
        <w:top w:val="none" w:sz="0" w:space="0" w:color="auto"/>
        <w:left w:val="none" w:sz="0" w:space="0" w:color="auto"/>
        <w:bottom w:val="none" w:sz="0" w:space="0" w:color="auto"/>
        <w:right w:val="none" w:sz="0" w:space="0" w:color="auto"/>
      </w:divBdr>
    </w:div>
    <w:div w:id="698745513">
      <w:bodyDiv w:val="1"/>
      <w:marLeft w:val="0"/>
      <w:marRight w:val="0"/>
      <w:marTop w:val="0"/>
      <w:marBottom w:val="0"/>
      <w:divBdr>
        <w:top w:val="none" w:sz="0" w:space="0" w:color="auto"/>
        <w:left w:val="none" w:sz="0" w:space="0" w:color="auto"/>
        <w:bottom w:val="none" w:sz="0" w:space="0" w:color="auto"/>
        <w:right w:val="none" w:sz="0" w:space="0" w:color="auto"/>
      </w:divBdr>
    </w:div>
    <w:div w:id="702098749">
      <w:bodyDiv w:val="1"/>
      <w:marLeft w:val="0"/>
      <w:marRight w:val="0"/>
      <w:marTop w:val="0"/>
      <w:marBottom w:val="0"/>
      <w:divBdr>
        <w:top w:val="none" w:sz="0" w:space="0" w:color="auto"/>
        <w:left w:val="none" w:sz="0" w:space="0" w:color="auto"/>
        <w:bottom w:val="none" w:sz="0" w:space="0" w:color="auto"/>
        <w:right w:val="none" w:sz="0" w:space="0" w:color="auto"/>
      </w:divBdr>
    </w:div>
    <w:div w:id="708382001">
      <w:bodyDiv w:val="1"/>
      <w:marLeft w:val="0"/>
      <w:marRight w:val="0"/>
      <w:marTop w:val="0"/>
      <w:marBottom w:val="0"/>
      <w:divBdr>
        <w:top w:val="none" w:sz="0" w:space="0" w:color="auto"/>
        <w:left w:val="none" w:sz="0" w:space="0" w:color="auto"/>
        <w:bottom w:val="none" w:sz="0" w:space="0" w:color="auto"/>
        <w:right w:val="none" w:sz="0" w:space="0" w:color="auto"/>
      </w:divBdr>
    </w:div>
    <w:div w:id="726537806">
      <w:bodyDiv w:val="1"/>
      <w:marLeft w:val="0"/>
      <w:marRight w:val="0"/>
      <w:marTop w:val="0"/>
      <w:marBottom w:val="0"/>
      <w:divBdr>
        <w:top w:val="none" w:sz="0" w:space="0" w:color="auto"/>
        <w:left w:val="none" w:sz="0" w:space="0" w:color="auto"/>
        <w:bottom w:val="none" w:sz="0" w:space="0" w:color="auto"/>
        <w:right w:val="none" w:sz="0" w:space="0" w:color="auto"/>
      </w:divBdr>
    </w:div>
    <w:div w:id="745421557">
      <w:bodyDiv w:val="1"/>
      <w:marLeft w:val="0"/>
      <w:marRight w:val="0"/>
      <w:marTop w:val="0"/>
      <w:marBottom w:val="0"/>
      <w:divBdr>
        <w:top w:val="none" w:sz="0" w:space="0" w:color="auto"/>
        <w:left w:val="none" w:sz="0" w:space="0" w:color="auto"/>
        <w:bottom w:val="none" w:sz="0" w:space="0" w:color="auto"/>
        <w:right w:val="none" w:sz="0" w:space="0" w:color="auto"/>
      </w:divBdr>
    </w:div>
    <w:div w:id="753285786">
      <w:bodyDiv w:val="1"/>
      <w:marLeft w:val="0"/>
      <w:marRight w:val="0"/>
      <w:marTop w:val="0"/>
      <w:marBottom w:val="0"/>
      <w:divBdr>
        <w:top w:val="none" w:sz="0" w:space="0" w:color="auto"/>
        <w:left w:val="none" w:sz="0" w:space="0" w:color="auto"/>
        <w:bottom w:val="none" w:sz="0" w:space="0" w:color="auto"/>
        <w:right w:val="none" w:sz="0" w:space="0" w:color="auto"/>
      </w:divBdr>
    </w:div>
    <w:div w:id="759639400">
      <w:bodyDiv w:val="1"/>
      <w:marLeft w:val="0"/>
      <w:marRight w:val="0"/>
      <w:marTop w:val="0"/>
      <w:marBottom w:val="0"/>
      <w:divBdr>
        <w:top w:val="none" w:sz="0" w:space="0" w:color="auto"/>
        <w:left w:val="none" w:sz="0" w:space="0" w:color="auto"/>
        <w:bottom w:val="none" w:sz="0" w:space="0" w:color="auto"/>
        <w:right w:val="none" w:sz="0" w:space="0" w:color="auto"/>
      </w:divBdr>
    </w:div>
    <w:div w:id="799614088">
      <w:bodyDiv w:val="1"/>
      <w:marLeft w:val="0"/>
      <w:marRight w:val="0"/>
      <w:marTop w:val="0"/>
      <w:marBottom w:val="0"/>
      <w:divBdr>
        <w:top w:val="none" w:sz="0" w:space="0" w:color="auto"/>
        <w:left w:val="none" w:sz="0" w:space="0" w:color="auto"/>
        <w:bottom w:val="none" w:sz="0" w:space="0" w:color="auto"/>
        <w:right w:val="none" w:sz="0" w:space="0" w:color="auto"/>
      </w:divBdr>
    </w:div>
    <w:div w:id="809442787">
      <w:bodyDiv w:val="1"/>
      <w:marLeft w:val="0"/>
      <w:marRight w:val="0"/>
      <w:marTop w:val="0"/>
      <w:marBottom w:val="0"/>
      <w:divBdr>
        <w:top w:val="none" w:sz="0" w:space="0" w:color="auto"/>
        <w:left w:val="none" w:sz="0" w:space="0" w:color="auto"/>
        <w:bottom w:val="none" w:sz="0" w:space="0" w:color="auto"/>
        <w:right w:val="none" w:sz="0" w:space="0" w:color="auto"/>
      </w:divBdr>
    </w:div>
    <w:div w:id="815490576">
      <w:bodyDiv w:val="1"/>
      <w:marLeft w:val="0"/>
      <w:marRight w:val="0"/>
      <w:marTop w:val="0"/>
      <w:marBottom w:val="0"/>
      <w:divBdr>
        <w:top w:val="none" w:sz="0" w:space="0" w:color="auto"/>
        <w:left w:val="none" w:sz="0" w:space="0" w:color="auto"/>
        <w:bottom w:val="none" w:sz="0" w:space="0" w:color="auto"/>
        <w:right w:val="none" w:sz="0" w:space="0" w:color="auto"/>
      </w:divBdr>
    </w:div>
    <w:div w:id="845829879">
      <w:bodyDiv w:val="1"/>
      <w:marLeft w:val="0"/>
      <w:marRight w:val="0"/>
      <w:marTop w:val="0"/>
      <w:marBottom w:val="0"/>
      <w:divBdr>
        <w:top w:val="none" w:sz="0" w:space="0" w:color="auto"/>
        <w:left w:val="none" w:sz="0" w:space="0" w:color="auto"/>
        <w:bottom w:val="none" w:sz="0" w:space="0" w:color="auto"/>
        <w:right w:val="none" w:sz="0" w:space="0" w:color="auto"/>
      </w:divBdr>
    </w:div>
    <w:div w:id="902759850">
      <w:bodyDiv w:val="1"/>
      <w:marLeft w:val="0"/>
      <w:marRight w:val="0"/>
      <w:marTop w:val="0"/>
      <w:marBottom w:val="0"/>
      <w:divBdr>
        <w:top w:val="none" w:sz="0" w:space="0" w:color="auto"/>
        <w:left w:val="none" w:sz="0" w:space="0" w:color="auto"/>
        <w:bottom w:val="none" w:sz="0" w:space="0" w:color="auto"/>
        <w:right w:val="none" w:sz="0" w:space="0" w:color="auto"/>
      </w:divBdr>
    </w:div>
    <w:div w:id="912860494">
      <w:bodyDiv w:val="1"/>
      <w:marLeft w:val="0"/>
      <w:marRight w:val="0"/>
      <w:marTop w:val="0"/>
      <w:marBottom w:val="0"/>
      <w:divBdr>
        <w:top w:val="none" w:sz="0" w:space="0" w:color="auto"/>
        <w:left w:val="none" w:sz="0" w:space="0" w:color="auto"/>
        <w:bottom w:val="none" w:sz="0" w:space="0" w:color="auto"/>
        <w:right w:val="none" w:sz="0" w:space="0" w:color="auto"/>
      </w:divBdr>
    </w:div>
    <w:div w:id="917783364">
      <w:bodyDiv w:val="1"/>
      <w:marLeft w:val="0"/>
      <w:marRight w:val="0"/>
      <w:marTop w:val="0"/>
      <w:marBottom w:val="0"/>
      <w:divBdr>
        <w:top w:val="none" w:sz="0" w:space="0" w:color="auto"/>
        <w:left w:val="none" w:sz="0" w:space="0" w:color="auto"/>
        <w:bottom w:val="none" w:sz="0" w:space="0" w:color="auto"/>
        <w:right w:val="none" w:sz="0" w:space="0" w:color="auto"/>
      </w:divBdr>
    </w:div>
    <w:div w:id="926959130">
      <w:bodyDiv w:val="1"/>
      <w:marLeft w:val="0"/>
      <w:marRight w:val="0"/>
      <w:marTop w:val="0"/>
      <w:marBottom w:val="0"/>
      <w:divBdr>
        <w:top w:val="none" w:sz="0" w:space="0" w:color="auto"/>
        <w:left w:val="none" w:sz="0" w:space="0" w:color="auto"/>
        <w:bottom w:val="none" w:sz="0" w:space="0" w:color="auto"/>
        <w:right w:val="none" w:sz="0" w:space="0" w:color="auto"/>
      </w:divBdr>
    </w:div>
    <w:div w:id="941885820">
      <w:bodyDiv w:val="1"/>
      <w:marLeft w:val="0"/>
      <w:marRight w:val="0"/>
      <w:marTop w:val="0"/>
      <w:marBottom w:val="0"/>
      <w:divBdr>
        <w:top w:val="none" w:sz="0" w:space="0" w:color="auto"/>
        <w:left w:val="none" w:sz="0" w:space="0" w:color="auto"/>
        <w:bottom w:val="none" w:sz="0" w:space="0" w:color="auto"/>
        <w:right w:val="none" w:sz="0" w:space="0" w:color="auto"/>
      </w:divBdr>
      <w:divsChild>
        <w:div w:id="514881255">
          <w:marLeft w:val="0"/>
          <w:marRight w:val="0"/>
          <w:marTop w:val="0"/>
          <w:marBottom w:val="0"/>
          <w:divBdr>
            <w:top w:val="none" w:sz="0" w:space="0" w:color="auto"/>
            <w:left w:val="none" w:sz="0" w:space="0" w:color="auto"/>
            <w:bottom w:val="none" w:sz="0" w:space="0" w:color="auto"/>
            <w:right w:val="none" w:sz="0" w:space="0" w:color="auto"/>
          </w:divBdr>
        </w:div>
        <w:div w:id="827551094">
          <w:marLeft w:val="0"/>
          <w:marRight w:val="0"/>
          <w:marTop w:val="0"/>
          <w:marBottom w:val="0"/>
          <w:divBdr>
            <w:top w:val="none" w:sz="0" w:space="0" w:color="auto"/>
            <w:left w:val="none" w:sz="0" w:space="0" w:color="auto"/>
            <w:bottom w:val="none" w:sz="0" w:space="0" w:color="auto"/>
            <w:right w:val="none" w:sz="0" w:space="0" w:color="auto"/>
          </w:divBdr>
        </w:div>
        <w:div w:id="2007006671">
          <w:marLeft w:val="0"/>
          <w:marRight w:val="0"/>
          <w:marTop w:val="0"/>
          <w:marBottom w:val="0"/>
          <w:divBdr>
            <w:top w:val="none" w:sz="0" w:space="0" w:color="auto"/>
            <w:left w:val="none" w:sz="0" w:space="0" w:color="auto"/>
            <w:bottom w:val="none" w:sz="0" w:space="0" w:color="auto"/>
            <w:right w:val="none" w:sz="0" w:space="0" w:color="auto"/>
          </w:divBdr>
        </w:div>
      </w:divsChild>
    </w:div>
    <w:div w:id="955407050">
      <w:bodyDiv w:val="1"/>
      <w:marLeft w:val="0"/>
      <w:marRight w:val="0"/>
      <w:marTop w:val="0"/>
      <w:marBottom w:val="0"/>
      <w:divBdr>
        <w:top w:val="none" w:sz="0" w:space="0" w:color="auto"/>
        <w:left w:val="none" w:sz="0" w:space="0" w:color="auto"/>
        <w:bottom w:val="none" w:sz="0" w:space="0" w:color="auto"/>
        <w:right w:val="none" w:sz="0" w:space="0" w:color="auto"/>
      </w:divBdr>
    </w:div>
    <w:div w:id="956445231">
      <w:bodyDiv w:val="1"/>
      <w:marLeft w:val="0"/>
      <w:marRight w:val="0"/>
      <w:marTop w:val="0"/>
      <w:marBottom w:val="0"/>
      <w:divBdr>
        <w:top w:val="none" w:sz="0" w:space="0" w:color="auto"/>
        <w:left w:val="none" w:sz="0" w:space="0" w:color="auto"/>
        <w:bottom w:val="none" w:sz="0" w:space="0" w:color="auto"/>
        <w:right w:val="none" w:sz="0" w:space="0" w:color="auto"/>
      </w:divBdr>
    </w:div>
    <w:div w:id="957564846">
      <w:bodyDiv w:val="1"/>
      <w:marLeft w:val="0"/>
      <w:marRight w:val="0"/>
      <w:marTop w:val="0"/>
      <w:marBottom w:val="0"/>
      <w:divBdr>
        <w:top w:val="none" w:sz="0" w:space="0" w:color="auto"/>
        <w:left w:val="none" w:sz="0" w:space="0" w:color="auto"/>
        <w:bottom w:val="none" w:sz="0" w:space="0" w:color="auto"/>
        <w:right w:val="none" w:sz="0" w:space="0" w:color="auto"/>
      </w:divBdr>
    </w:div>
    <w:div w:id="961761679">
      <w:bodyDiv w:val="1"/>
      <w:marLeft w:val="0"/>
      <w:marRight w:val="0"/>
      <w:marTop w:val="0"/>
      <w:marBottom w:val="0"/>
      <w:divBdr>
        <w:top w:val="none" w:sz="0" w:space="0" w:color="auto"/>
        <w:left w:val="none" w:sz="0" w:space="0" w:color="auto"/>
        <w:bottom w:val="none" w:sz="0" w:space="0" w:color="auto"/>
        <w:right w:val="none" w:sz="0" w:space="0" w:color="auto"/>
      </w:divBdr>
    </w:div>
    <w:div w:id="962615473">
      <w:bodyDiv w:val="1"/>
      <w:marLeft w:val="0"/>
      <w:marRight w:val="0"/>
      <w:marTop w:val="0"/>
      <w:marBottom w:val="0"/>
      <w:divBdr>
        <w:top w:val="none" w:sz="0" w:space="0" w:color="auto"/>
        <w:left w:val="none" w:sz="0" w:space="0" w:color="auto"/>
        <w:bottom w:val="none" w:sz="0" w:space="0" w:color="auto"/>
        <w:right w:val="none" w:sz="0" w:space="0" w:color="auto"/>
      </w:divBdr>
    </w:div>
    <w:div w:id="968511644">
      <w:bodyDiv w:val="1"/>
      <w:marLeft w:val="0"/>
      <w:marRight w:val="0"/>
      <w:marTop w:val="0"/>
      <w:marBottom w:val="0"/>
      <w:divBdr>
        <w:top w:val="none" w:sz="0" w:space="0" w:color="auto"/>
        <w:left w:val="none" w:sz="0" w:space="0" w:color="auto"/>
        <w:bottom w:val="none" w:sz="0" w:space="0" w:color="auto"/>
        <w:right w:val="none" w:sz="0" w:space="0" w:color="auto"/>
      </w:divBdr>
    </w:div>
    <w:div w:id="998196037">
      <w:bodyDiv w:val="1"/>
      <w:marLeft w:val="0"/>
      <w:marRight w:val="0"/>
      <w:marTop w:val="0"/>
      <w:marBottom w:val="0"/>
      <w:divBdr>
        <w:top w:val="none" w:sz="0" w:space="0" w:color="auto"/>
        <w:left w:val="none" w:sz="0" w:space="0" w:color="auto"/>
        <w:bottom w:val="none" w:sz="0" w:space="0" w:color="auto"/>
        <w:right w:val="none" w:sz="0" w:space="0" w:color="auto"/>
      </w:divBdr>
    </w:div>
    <w:div w:id="1001010356">
      <w:bodyDiv w:val="1"/>
      <w:marLeft w:val="0"/>
      <w:marRight w:val="0"/>
      <w:marTop w:val="0"/>
      <w:marBottom w:val="0"/>
      <w:divBdr>
        <w:top w:val="none" w:sz="0" w:space="0" w:color="auto"/>
        <w:left w:val="none" w:sz="0" w:space="0" w:color="auto"/>
        <w:bottom w:val="none" w:sz="0" w:space="0" w:color="auto"/>
        <w:right w:val="none" w:sz="0" w:space="0" w:color="auto"/>
      </w:divBdr>
    </w:div>
    <w:div w:id="1031997537">
      <w:bodyDiv w:val="1"/>
      <w:marLeft w:val="0"/>
      <w:marRight w:val="0"/>
      <w:marTop w:val="0"/>
      <w:marBottom w:val="0"/>
      <w:divBdr>
        <w:top w:val="none" w:sz="0" w:space="0" w:color="auto"/>
        <w:left w:val="none" w:sz="0" w:space="0" w:color="auto"/>
        <w:bottom w:val="none" w:sz="0" w:space="0" w:color="auto"/>
        <w:right w:val="none" w:sz="0" w:space="0" w:color="auto"/>
      </w:divBdr>
    </w:div>
    <w:div w:id="1062483860">
      <w:bodyDiv w:val="1"/>
      <w:marLeft w:val="0"/>
      <w:marRight w:val="0"/>
      <w:marTop w:val="0"/>
      <w:marBottom w:val="0"/>
      <w:divBdr>
        <w:top w:val="none" w:sz="0" w:space="0" w:color="auto"/>
        <w:left w:val="none" w:sz="0" w:space="0" w:color="auto"/>
        <w:bottom w:val="none" w:sz="0" w:space="0" w:color="auto"/>
        <w:right w:val="none" w:sz="0" w:space="0" w:color="auto"/>
      </w:divBdr>
    </w:div>
    <w:div w:id="1068839376">
      <w:bodyDiv w:val="1"/>
      <w:marLeft w:val="0"/>
      <w:marRight w:val="0"/>
      <w:marTop w:val="0"/>
      <w:marBottom w:val="0"/>
      <w:divBdr>
        <w:top w:val="none" w:sz="0" w:space="0" w:color="auto"/>
        <w:left w:val="none" w:sz="0" w:space="0" w:color="auto"/>
        <w:bottom w:val="none" w:sz="0" w:space="0" w:color="auto"/>
        <w:right w:val="none" w:sz="0" w:space="0" w:color="auto"/>
      </w:divBdr>
    </w:div>
    <w:div w:id="1083604598">
      <w:bodyDiv w:val="1"/>
      <w:marLeft w:val="0"/>
      <w:marRight w:val="0"/>
      <w:marTop w:val="0"/>
      <w:marBottom w:val="0"/>
      <w:divBdr>
        <w:top w:val="none" w:sz="0" w:space="0" w:color="auto"/>
        <w:left w:val="none" w:sz="0" w:space="0" w:color="auto"/>
        <w:bottom w:val="none" w:sz="0" w:space="0" w:color="auto"/>
        <w:right w:val="none" w:sz="0" w:space="0" w:color="auto"/>
      </w:divBdr>
    </w:div>
    <w:div w:id="1094402397">
      <w:bodyDiv w:val="1"/>
      <w:marLeft w:val="0"/>
      <w:marRight w:val="0"/>
      <w:marTop w:val="0"/>
      <w:marBottom w:val="0"/>
      <w:divBdr>
        <w:top w:val="none" w:sz="0" w:space="0" w:color="auto"/>
        <w:left w:val="none" w:sz="0" w:space="0" w:color="auto"/>
        <w:bottom w:val="none" w:sz="0" w:space="0" w:color="auto"/>
        <w:right w:val="none" w:sz="0" w:space="0" w:color="auto"/>
      </w:divBdr>
    </w:div>
    <w:div w:id="1097562777">
      <w:bodyDiv w:val="1"/>
      <w:marLeft w:val="0"/>
      <w:marRight w:val="0"/>
      <w:marTop w:val="0"/>
      <w:marBottom w:val="0"/>
      <w:divBdr>
        <w:top w:val="none" w:sz="0" w:space="0" w:color="auto"/>
        <w:left w:val="none" w:sz="0" w:space="0" w:color="auto"/>
        <w:bottom w:val="none" w:sz="0" w:space="0" w:color="auto"/>
        <w:right w:val="none" w:sz="0" w:space="0" w:color="auto"/>
      </w:divBdr>
    </w:div>
    <w:div w:id="1112937733">
      <w:bodyDiv w:val="1"/>
      <w:marLeft w:val="0"/>
      <w:marRight w:val="0"/>
      <w:marTop w:val="0"/>
      <w:marBottom w:val="0"/>
      <w:divBdr>
        <w:top w:val="none" w:sz="0" w:space="0" w:color="auto"/>
        <w:left w:val="none" w:sz="0" w:space="0" w:color="auto"/>
        <w:bottom w:val="none" w:sz="0" w:space="0" w:color="auto"/>
        <w:right w:val="none" w:sz="0" w:space="0" w:color="auto"/>
      </w:divBdr>
    </w:div>
    <w:div w:id="1128470284">
      <w:bodyDiv w:val="1"/>
      <w:marLeft w:val="0"/>
      <w:marRight w:val="0"/>
      <w:marTop w:val="0"/>
      <w:marBottom w:val="0"/>
      <w:divBdr>
        <w:top w:val="none" w:sz="0" w:space="0" w:color="auto"/>
        <w:left w:val="none" w:sz="0" w:space="0" w:color="auto"/>
        <w:bottom w:val="none" w:sz="0" w:space="0" w:color="auto"/>
        <w:right w:val="none" w:sz="0" w:space="0" w:color="auto"/>
      </w:divBdr>
    </w:div>
    <w:div w:id="1155027431">
      <w:bodyDiv w:val="1"/>
      <w:marLeft w:val="0"/>
      <w:marRight w:val="0"/>
      <w:marTop w:val="0"/>
      <w:marBottom w:val="0"/>
      <w:divBdr>
        <w:top w:val="none" w:sz="0" w:space="0" w:color="auto"/>
        <w:left w:val="none" w:sz="0" w:space="0" w:color="auto"/>
        <w:bottom w:val="none" w:sz="0" w:space="0" w:color="auto"/>
        <w:right w:val="none" w:sz="0" w:space="0" w:color="auto"/>
      </w:divBdr>
    </w:div>
    <w:div w:id="1158424973">
      <w:bodyDiv w:val="1"/>
      <w:marLeft w:val="0"/>
      <w:marRight w:val="0"/>
      <w:marTop w:val="0"/>
      <w:marBottom w:val="0"/>
      <w:divBdr>
        <w:top w:val="none" w:sz="0" w:space="0" w:color="auto"/>
        <w:left w:val="none" w:sz="0" w:space="0" w:color="auto"/>
        <w:bottom w:val="none" w:sz="0" w:space="0" w:color="auto"/>
        <w:right w:val="none" w:sz="0" w:space="0" w:color="auto"/>
      </w:divBdr>
      <w:divsChild>
        <w:div w:id="278149739">
          <w:marLeft w:val="0"/>
          <w:marRight w:val="0"/>
          <w:marTop w:val="0"/>
          <w:marBottom w:val="0"/>
          <w:divBdr>
            <w:top w:val="none" w:sz="0" w:space="0" w:color="auto"/>
            <w:left w:val="none" w:sz="0" w:space="0" w:color="auto"/>
            <w:bottom w:val="none" w:sz="0" w:space="0" w:color="auto"/>
            <w:right w:val="none" w:sz="0" w:space="0" w:color="auto"/>
          </w:divBdr>
        </w:div>
        <w:div w:id="1176503428">
          <w:marLeft w:val="0"/>
          <w:marRight w:val="0"/>
          <w:marTop w:val="0"/>
          <w:marBottom w:val="0"/>
          <w:divBdr>
            <w:top w:val="none" w:sz="0" w:space="0" w:color="auto"/>
            <w:left w:val="none" w:sz="0" w:space="0" w:color="auto"/>
            <w:bottom w:val="none" w:sz="0" w:space="0" w:color="auto"/>
            <w:right w:val="none" w:sz="0" w:space="0" w:color="auto"/>
          </w:divBdr>
        </w:div>
        <w:div w:id="1993214253">
          <w:marLeft w:val="0"/>
          <w:marRight w:val="0"/>
          <w:marTop w:val="0"/>
          <w:marBottom w:val="0"/>
          <w:divBdr>
            <w:top w:val="none" w:sz="0" w:space="0" w:color="auto"/>
            <w:left w:val="none" w:sz="0" w:space="0" w:color="auto"/>
            <w:bottom w:val="none" w:sz="0" w:space="0" w:color="auto"/>
            <w:right w:val="none" w:sz="0" w:space="0" w:color="auto"/>
          </w:divBdr>
        </w:div>
      </w:divsChild>
    </w:div>
    <w:div w:id="1171992519">
      <w:bodyDiv w:val="1"/>
      <w:marLeft w:val="0"/>
      <w:marRight w:val="0"/>
      <w:marTop w:val="0"/>
      <w:marBottom w:val="0"/>
      <w:divBdr>
        <w:top w:val="none" w:sz="0" w:space="0" w:color="auto"/>
        <w:left w:val="none" w:sz="0" w:space="0" w:color="auto"/>
        <w:bottom w:val="none" w:sz="0" w:space="0" w:color="auto"/>
        <w:right w:val="none" w:sz="0" w:space="0" w:color="auto"/>
      </w:divBdr>
    </w:div>
    <w:div w:id="1177962583">
      <w:bodyDiv w:val="1"/>
      <w:marLeft w:val="0"/>
      <w:marRight w:val="0"/>
      <w:marTop w:val="0"/>
      <w:marBottom w:val="0"/>
      <w:divBdr>
        <w:top w:val="none" w:sz="0" w:space="0" w:color="auto"/>
        <w:left w:val="none" w:sz="0" w:space="0" w:color="auto"/>
        <w:bottom w:val="none" w:sz="0" w:space="0" w:color="auto"/>
        <w:right w:val="none" w:sz="0" w:space="0" w:color="auto"/>
      </w:divBdr>
    </w:div>
    <w:div w:id="1187405795">
      <w:bodyDiv w:val="1"/>
      <w:marLeft w:val="0"/>
      <w:marRight w:val="0"/>
      <w:marTop w:val="0"/>
      <w:marBottom w:val="0"/>
      <w:divBdr>
        <w:top w:val="none" w:sz="0" w:space="0" w:color="auto"/>
        <w:left w:val="none" w:sz="0" w:space="0" w:color="auto"/>
        <w:bottom w:val="none" w:sz="0" w:space="0" w:color="auto"/>
        <w:right w:val="none" w:sz="0" w:space="0" w:color="auto"/>
      </w:divBdr>
    </w:div>
    <w:div w:id="1192837669">
      <w:bodyDiv w:val="1"/>
      <w:marLeft w:val="0"/>
      <w:marRight w:val="0"/>
      <w:marTop w:val="0"/>
      <w:marBottom w:val="0"/>
      <w:divBdr>
        <w:top w:val="none" w:sz="0" w:space="0" w:color="auto"/>
        <w:left w:val="none" w:sz="0" w:space="0" w:color="auto"/>
        <w:bottom w:val="none" w:sz="0" w:space="0" w:color="auto"/>
        <w:right w:val="none" w:sz="0" w:space="0" w:color="auto"/>
      </w:divBdr>
    </w:div>
    <w:div w:id="1194460017">
      <w:bodyDiv w:val="1"/>
      <w:marLeft w:val="0"/>
      <w:marRight w:val="0"/>
      <w:marTop w:val="0"/>
      <w:marBottom w:val="0"/>
      <w:divBdr>
        <w:top w:val="none" w:sz="0" w:space="0" w:color="auto"/>
        <w:left w:val="none" w:sz="0" w:space="0" w:color="auto"/>
        <w:bottom w:val="none" w:sz="0" w:space="0" w:color="auto"/>
        <w:right w:val="none" w:sz="0" w:space="0" w:color="auto"/>
      </w:divBdr>
    </w:div>
    <w:div w:id="1202748779">
      <w:bodyDiv w:val="1"/>
      <w:marLeft w:val="0"/>
      <w:marRight w:val="0"/>
      <w:marTop w:val="0"/>
      <w:marBottom w:val="0"/>
      <w:divBdr>
        <w:top w:val="none" w:sz="0" w:space="0" w:color="auto"/>
        <w:left w:val="none" w:sz="0" w:space="0" w:color="auto"/>
        <w:bottom w:val="none" w:sz="0" w:space="0" w:color="auto"/>
        <w:right w:val="none" w:sz="0" w:space="0" w:color="auto"/>
      </w:divBdr>
    </w:div>
    <w:div w:id="1209075198">
      <w:bodyDiv w:val="1"/>
      <w:marLeft w:val="0"/>
      <w:marRight w:val="0"/>
      <w:marTop w:val="0"/>
      <w:marBottom w:val="0"/>
      <w:divBdr>
        <w:top w:val="none" w:sz="0" w:space="0" w:color="auto"/>
        <w:left w:val="none" w:sz="0" w:space="0" w:color="auto"/>
        <w:bottom w:val="none" w:sz="0" w:space="0" w:color="auto"/>
        <w:right w:val="none" w:sz="0" w:space="0" w:color="auto"/>
      </w:divBdr>
    </w:div>
    <w:div w:id="1237277203">
      <w:bodyDiv w:val="1"/>
      <w:marLeft w:val="0"/>
      <w:marRight w:val="0"/>
      <w:marTop w:val="0"/>
      <w:marBottom w:val="0"/>
      <w:divBdr>
        <w:top w:val="none" w:sz="0" w:space="0" w:color="auto"/>
        <w:left w:val="none" w:sz="0" w:space="0" w:color="auto"/>
        <w:bottom w:val="none" w:sz="0" w:space="0" w:color="auto"/>
        <w:right w:val="none" w:sz="0" w:space="0" w:color="auto"/>
      </w:divBdr>
    </w:div>
    <w:div w:id="1238708152">
      <w:bodyDiv w:val="1"/>
      <w:marLeft w:val="0"/>
      <w:marRight w:val="0"/>
      <w:marTop w:val="0"/>
      <w:marBottom w:val="0"/>
      <w:divBdr>
        <w:top w:val="none" w:sz="0" w:space="0" w:color="auto"/>
        <w:left w:val="none" w:sz="0" w:space="0" w:color="auto"/>
        <w:bottom w:val="none" w:sz="0" w:space="0" w:color="auto"/>
        <w:right w:val="none" w:sz="0" w:space="0" w:color="auto"/>
      </w:divBdr>
    </w:div>
    <w:div w:id="1249584059">
      <w:bodyDiv w:val="1"/>
      <w:marLeft w:val="0"/>
      <w:marRight w:val="0"/>
      <w:marTop w:val="0"/>
      <w:marBottom w:val="0"/>
      <w:divBdr>
        <w:top w:val="none" w:sz="0" w:space="0" w:color="auto"/>
        <w:left w:val="none" w:sz="0" w:space="0" w:color="auto"/>
        <w:bottom w:val="none" w:sz="0" w:space="0" w:color="auto"/>
        <w:right w:val="none" w:sz="0" w:space="0" w:color="auto"/>
      </w:divBdr>
    </w:div>
    <w:div w:id="1279683243">
      <w:bodyDiv w:val="1"/>
      <w:marLeft w:val="0"/>
      <w:marRight w:val="0"/>
      <w:marTop w:val="0"/>
      <w:marBottom w:val="0"/>
      <w:divBdr>
        <w:top w:val="none" w:sz="0" w:space="0" w:color="auto"/>
        <w:left w:val="none" w:sz="0" w:space="0" w:color="auto"/>
        <w:bottom w:val="none" w:sz="0" w:space="0" w:color="auto"/>
        <w:right w:val="none" w:sz="0" w:space="0" w:color="auto"/>
      </w:divBdr>
      <w:divsChild>
        <w:div w:id="1388381079">
          <w:marLeft w:val="0"/>
          <w:marRight w:val="0"/>
          <w:marTop w:val="0"/>
          <w:marBottom w:val="0"/>
          <w:divBdr>
            <w:top w:val="none" w:sz="0" w:space="0" w:color="auto"/>
            <w:left w:val="none" w:sz="0" w:space="0" w:color="auto"/>
            <w:bottom w:val="none" w:sz="0" w:space="0" w:color="auto"/>
            <w:right w:val="none" w:sz="0" w:space="0" w:color="auto"/>
          </w:divBdr>
          <w:divsChild>
            <w:div w:id="1883395991">
              <w:marLeft w:val="0"/>
              <w:marRight w:val="0"/>
              <w:marTop w:val="0"/>
              <w:marBottom w:val="0"/>
              <w:divBdr>
                <w:top w:val="none" w:sz="0" w:space="0" w:color="auto"/>
                <w:left w:val="none" w:sz="0" w:space="0" w:color="auto"/>
                <w:bottom w:val="none" w:sz="0" w:space="0" w:color="auto"/>
                <w:right w:val="none" w:sz="0" w:space="0" w:color="auto"/>
              </w:divBdr>
              <w:divsChild>
                <w:div w:id="1671833125">
                  <w:marLeft w:val="0"/>
                  <w:marRight w:val="0"/>
                  <w:marTop w:val="0"/>
                  <w:marBottom w:val="0"/>
                  <w:divBdr>
                    <w:top w:val="none" w:sz="0" w:space="0" w:color="auto"/>
                    <w:left w:val="none" w:sz="0" w:space="0" w:color="auto"/>
                    <w:bottom w:val="none" w:sz="0" w:space="0" w:color="auto"/>
                    <w:right w:val="none" w:sz="0" w:space="0" w:color="auto"/>
                  </w:divBdr>
                  <w:divsChild>
                    <w:div w:id="896478377">
                      <w:marLeft w:val="0"/>
                      <w:marRight w:val="0"/>
                      <w:marTop w:val="0"/>
                      <w:marBottom w:val="0"/>
                      <w:divBdr>
                        <w:top w:val="none" w:sz="0" w:space="0" w:color="auto"/>
                        <w:left w:val="none" w:sz="0" w:space="0" w:color="auto"/>
                        <w:bottom w:val="none" w:sz="0" w:space="0" w:color="auto"/>
                        <w:right w:val="none" w:sz="0" w:space="0" w:color="auto"/>
                      </w:divBdr>
                      <w:divsChild>
                        <w:div w:id="761799464">
                          <w:marLeft w:val="0"/>
                          <w:marRight w:val="0"/>
                          <w:marTop w:val="0"/>
                          <w:marBottom w:val="0"/>
                          <w:divBdr>
                            <w:top w:val="none" w:sz="0" w:space="0" w:color="auto"/>
                            <w:left w:val="none" w:sz="0" w:space="0" w:color="auto"/>
                            <w:bottom w:val="none" w:sz="0" w:space="0" w:color="auto"/>
                            <w:right w:val="none" w:sz="0" w:space="0" w:color="auto"/>
                          </w:divBdr>
                          <w:divsChild>
                            <w:div w:id="1011182888">
                              <w:marLeft w:val="0"/>
                              <w:marRight w:val="0"/>
                              <w:marTop w:val="0"/>
                              <w:marBottom w:val="0"/>
                              <w:divBdr>
                                <w:top w:val="none" w:sz="0" w:space="0" w:color="auto"/>
                                <w:left w:val="none" w:sz="0" w:space="0" w:color="auto"/>
                                <w:bottom w:val="none" w:sz="0" w:space="0" w:color="auto"/>
                                <w:right w:val="none" w:sz="0" w:space="0" w:color="auto"/>
                              </w:divBdr>
                            </w:div>
                          </w:divsChild>
                        </w:div>
                        <w:div w:id="20172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811012">
          <w:marLeft w:val="0"/>
          <w:marRight w:val="0"/>
          <w:marTop w:val="0"/>
          <w:marBottom w:val="0"/>
          <w:divBdr>
            <w:top w:val="none" w:sz="0" w:space="0" w:color="auto"/>
            <w:left w:val="none" w:sz="0" w:space="0" w:color="auto"/>
            <w:bottom w:val="none" w:sz="0" w:space="0" w:color="auto"/>
            <w:right w:val="none" w:sz="0" w:space="0" w:color="auto"/>
          </w:divBdr>
          <w:divsChild>
            <w:div w:id="2112966453">
              <w:marLeft w:val="0"/>
              <w:marRight w:val="0"/>
              <w:marTop w:val="0"/>
              <w:marBottom w:val="0"/>
              <w:divBdr>
                <w:top w:val="none" w:sz="0" w:space="0" w:color="auto"/>
                <w:left w:val="none" w:sz="0" w:space="0" w:color="auto"/>
                <w:bottom w:val="none" w:sz="0" w:space="0" w:color="auto"/>
                <w:right w:val="none" w:sz="0" w:space="0" w:color="auto"/>
              </w:divBdr>
              <w:divsChild>
                <w:div w:id="273026763">
                  <w:marLeft w:val="0"/>
                  <w:marRight w:val="0"/>
                  <w:marTop w:val="0"/>
                  <w:marBottom w:val="0"/>
                  <w:divBdr>
                    <w:top w:val="none" w:sz="0" w:space="0" w:color="auto"/>
                    <w:left w:val="none" w:sz="0" w:space="0" w:color="auto"/>
                    <w:bottom w:val="none" w:sz="0" w:space="0" w:color="auto"/>
                    <w:right w:val="none" w:sz="0" w:space="0" w:color="auto"/>
                  </w:divBdr>
                  <w:divsChild>
                    <w:div w:id="265357994">
                      <w:marLeft w:val="0"/>
                      <w:marRight w:val="0"/>
                      <w:marTop w:val="0"/>
                      <w:marBottom w:val="0"/>
                      <w:divBdr>
                        <w:top w:val="none" w:sz="0" w:space="0" w:color="auto"/>
                        <w:left w:val="none" w:sz="0" w:space="0" w:color="auto"/>
                        <w:bottom w:val="none" w:sz="0" w:space="0" w:color="auto"/>
                        <w:right w:val="none" w:sz="0" w:space="0" w:color="auto"/>
                      </w:divBdr>
                      <w:divsChild>
                        <w:div w:id="246156764">
                          <w:marLeft w:val="0"/>
                          <w:marRight w:val="0"/>
                          <w:marTop w:val="0"/>
                          <w:marBottom w:val="0"/>
                          <w:divBdr>
                            <w:top w:val="none" w:sz="0" w:space="0" w:color="auto"/>
                            <w:left w:val="none" w:sz="0" w:space="0" w:color="auto"/>
                            <w:bottom w:val="none" w:sz="0" w:space="0" w:color="auto"/>
                            <w:right w:val="none" w:sz="0" w:space="0" w:color="auto"/>
                          </w:divBdr>
                        </w:div>
                        <w:div w:id="780346008">
                          <w:marLeft w:val="0"/>
                          <w:marRight w:val="0"/>
                          <w:marTop w:val="0"/>
                          <w:marBottom w:val="0"/>
                          <w:divBdr>
                            <w:top w:val="none" w:sz="0" w:space="0" w:color="auto"/>
                            <w:left w:val="none" w:sz="0" w:space="0" w:color="auto"/>
                            <w:bottom w:val="none" w:sz="0" w:space="0" w:color="auto"/>
                            <w:right w:val="none" w:sz="0" w:space="0" w:color="auto"/>
                          </w:divBdr>
                        </w:div>
                        <w:div w:id="1247418533">
                          <w:marLeft w:val="0"/>
                          <w:marRight w:val="0"/>
                          <w:marTop w:val="0"/>
                          <w:marBottom w:val="0"/>
                          <w:divBdr>
                            <w:top w:val="none" w:sz="0" w:space="0" w:color="auto"/>
                            <w:left w:val="none" w:sz="0" w:space="0" w:color="auto"/>
                            <w:bottom w:val="none" w:sz="0" w:space="0" w:color="auto"/>
                            <w:right w:val="none" w:sz="0" w:space="0" w:color="auto"/>
                          </w:divBdr>
                        </w:div>
                        <w:div w:id="1729917675">
                          <w:marLeft w:val="0"/>
                          <w:marRight w:val="0"/>
                          <w:marTop w:val="0"/>
                          <w:marBottom w:val="0"/>
                          <w:divBdr>
                            <w:top w:val="none" w:sz="0" w:space="0" w:color="auto"/>
                            <w:left w:val="none" w:sz="0" w:space="0" w:color="auto"/>
                            <w:bottom w:val="none" w:sz="0" w:space="0" w:color="auto"/>
                            <w:right w:val="none" w:sz="0" w:space="0" w:color="auto"/>
                          </w:divBdr>
                          <w:divsChild>
                            <w:div w:id="6328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442">
                      <w:marLeft w:val="0"/>
                      <w:marRight w:val="0"/>
                      <w:marTop w:val="0"/>
                      <w:marBottom w:val="0"/>
                      <w:divBdr>
                        <w:top w:val="none" w:sz="0" w:space="0" w:color="auto"/>
                        <w:left w:val="none" w:sz="0" w:space="0" w:color="auto"/>
                        <w:bottom w:val="none" w:sz="0" w:space="0" w:color="auto"/>
                        <w:right w:val="none" w:sz="0" w:space="0" w:color="auto"/>
                      </w:divBdr>
                      <w:divsChild>
                        <w:div w:id="157735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636">
      <w:bodyDiv w:val="1"/>
      <w:marLeft w:val="0"/>
      <w:marRight w:val="0"/>
      <w:marTop w:val="0"/>
      <w:marBottom w:val="0"/>
      <w:divBdr>
        <w:top w:val="none" w:sz="0" w:space="0" w:color="auto"/>
        <w:left w:val="none" w:sz="0" w:space="0" w:color="auto"/>
        <w:bottom w:val="none" w:sz="0" w:space="0" w:color="auto"/>
        <w:right w:val="none" w:sz="0" w:space="0" w:color="auto"/>
      </w:divBdr>
    </w:div>
    <w:div w:id="1309280584">
      <w:bodyDiv w:val="1"/>
      <w:marLeft w:val="0"/>
      <w:marRight w:val="0"/>
      <w:marTop w:val="0"/>
      <w:marBottom w:val="0"/>
      <w:divBdr>
        <w:top w:val="none" w:sz="0" w:space="0" w:color="auto"/>
        <w:left w:val="none" w:sz="0" w:space="0" w:color="auto"/>
        <w:bottom w:val="none" w:sz="0" w:space="0" w:color="auto"/>
        <w:right w:val="none" w:sz="0" w:space="0" w:color="auto"/>
      </w:divBdr>
      <w:divsChild>
        <w:div w:id="74979288">
          <w:marLeft w:val="0"/>
          <w:marRight w:val="0"/>
          <w:marTop w:val="0"/>
          <w:marBottom w:val="0"/>
          <w:divBdr>
            <w:top w:val="none" w:sz="0" w:space="0" w:color="auto"/>
            <w:left w:val="none" w:sz="0" w:space="0" w:color="auto"/>
            <w:bottom w:val="none" w:sz="0" w:space="0" w:color="auto"/>
            <w:right w:val="none" w:sz="0" w:space="0" w:color="auto"/>
          </w:divBdr>
          <w:divsChild>
            <w:div w:id="156966490">
              <w:marLeft w:val="0"/>
              <w:marRight w:val="0"/>
              <w:marTop w:val="0"/>
              <w:marBottom w:val="0"/>
              <w:divBdr>
                <w:top w:val="none" w:sz="0" w:space="0" w:color="auto"/>
                <w:left w:val="none" w:sz="0" w:space="0" w:color="auto"/>
                <w:bottom w:val="none" w:sz="0" w:space="0" w:color="auto"/>
                <w:right w:val="none" w:sz="0" w:space="0" w:color="auto"/>
              </w:divBdr>
              <w:divsChild>
                <w:div w:id="19819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4984">
          <w:marLeft w:val="0"/>
          <w:marRight w:val="0"/>
          <w:marTop w:val="0"/>
          <w:marBottom w:val="0"/>
          <w:divBdr>
            <w:top w:val="none" w:sz="0" w:space="0" w:color="auto"/>
            <w:left w:val="none" w:sz="0" w:space="0" w:color="auto"/>
            <w:bottom w:val="none" w:sz="0" w:space="0" w:color="auto"/>
            <w:right w:val="none" w:sz="0" w:space="0" w:color="auto"/>
          </w:divBdr>
        </w:div>
        <w:div w:id="145129248">
          <w:marLeft w:val="0"/>
          <w:marRight w:val="0"/>
          <w:marTop w:val="0"/>
          <w:marBottom w:val="0"/>
          <w:divBdr>
            <w:top w:val="none" w:sz="0" w:space="0" w:color="auto"/>
            <w:left w:val="none" w:sz="0" w:space="0" w:color="auto"/>
            <w:bottom w:val="none" w:sz="0" w:space="0" w:color="auto"/>
            <w:right w:val="none" w:sz="0" w:space="0" w:color="auto"/>
          </w:divBdr>
        </w:div>
        <w:div w:id="241986493">
          <w:marLeft w:val="0"/>
          <w:marRight w:val="0"/>
          <w:marTop w:val="0"/>
          <w:marBottom w:val="0"/>
          <w:divBdr>
            <w:top w:val="none" w:sz="0" w:space="0" w:color="auto"/>
            <w:left w:val="none" w:sz="0" w:space="0" w:color="auto"/>
            <w:bottom w:val="none" w:sz="0" w:space="0" w:color="auto"/>
            <w:right w:val="none" w:sz="0" w:space="0" w:color="auto"/>
          </w:divBdr>
        </w:div>
        <w:div w:id="491530948">
          <w:marLeft w:val="0"/>
          <w:marRight w:val="0"/>
          <w:marTop w:val="0"/>
          <w:marBottom w:val="0"/>
          <w:divBdr>
            <w:top w:val="none" w:sz="0" w:space="0" w:color="auto"/>
            <w:left w:val="none" w:sz="0" w:space="0" w:color="auto"/>
            <w:bottom w:val="none" w:sz="0" w:space="0" w:color="auto"/>
            <w:right w:val="none" w:sz="0" w:space="0" w:color="auto"/>
          </w:divBdr>
        </w:div>
        <w:div w:id="695959040">
          <w:marLeft w:val="0"/>
          <w:marRight w:val="0"/>
          <w:marTop w:val="0"/>
          <w:marBottom w:val="0"/>
          <w:divBdr>
            <w:top w:val="none" w:sz="0" w:space="0" w:color="auto"/>
            <w:left w:val="none" w:sz="0" w:space="0" w:color="auto"/>
            <w:bottom w:val="none" w:sz="0" w:space="0" w:color="auto"/>
            <w:right w:val="none" w:sz="0" w:space="0" w:color="auto"/>
          </w:divBdr>
        </w:div>
        <w:div w:id="842165214">
          <w:marLeft w:val="0"/>
          <w:marRight w:val="0"/>
          <w:marTop w:val="0"/>
          <w:marBottom w:val="0"/>
          <w:divBdr>
            <w:top w:val="none" w:sz="0" w:space="0" w:color="auto"/>
            <w:left w:val="none" w:sz="0" w:space="0" w:color="auto"/>
            <w:bottom w:val="none" w:sz="0" w:space="0" w:color="auto"/>
            <w:right w:val="none" w:sz="0" w:space="0" w:color="auto"/>
          </w:divBdr>
        </w:div>
        <w:div w:id="1151212196">
          <w:marLeft w:val="0"/>
          <w:marRight w:val="0"/>
          <w:marTop w:val="0"/>
          <w:marBottom w:val="0"/>
          <w:divBdr>
            <w:top w:val="none" w:sz="0" w:space="0" w:color="auto"/>
            <w:left w:val="none" w:sz="0" w:space="0" w:color="auto"/>
            <w:bottom w:val="none" w:sz="0" w:space="0" w:color="auto"/>
            <w:right w:val="none" w:sz="0" w:space="0" w:color="auto"/>
          </w:divBdr>
        </w:div>
        <w:div w:id="1217933844">
          <w:marLeft w:val="0"/>
          <w:marRight w:val="0"/>
          <w:marTop w:val="0"/>
          <w:marBottom w:val="0"/>
          <w:divBdr>
            <w:top w:val="none" w:sz="0" w:space="0" w:color="auto"/>
            <w:left w:val="none" w:sz="0" w:space="0" w:color="auto"/>
            <w:bottom w:val="none" w:sz="0" w:space="0" w:color="auto"/>
            <w:right w:val="none" w:sz="0" w:space="0" w:color="auto"/>
          </w:divBdr>
        </w:div>
        <w:div w:id="1406534380">
          <w:marLeft w:val="0"/>
          <w:marRight w:val="0"/>
          <w:marTop w:val="0"/>
          <w:marBottom w:val="0"/>
          <w:divBdr>
            <w:top w:val="none" w:sz="0" w:space="0" w:color="auto"/>
            <w:left w:val="none" w:sz="0" w:space="0" w:color="auto"/>
            <w:bottom w:val="none" w:sz="0" w:space="0" w:color="auto"/>
            <w:right w:val="none" w:sz="0" w:space="0" w:color="auto"/>
          </w:divBdr>
        </w:div>
        <w:div w:id="1698044179">
          <w:marLeft w:val="0"/>
          <w:marRight w:val="0"/>
          <w:marTop w:val="0"/>
          <w:marBottom w:val="0"/>
          <w:divBdr>
            <w:top w:val="none" w:sz="0" w:space="0" w:color="auto"/>
            <w:left w:val="none" w:sz="0" w:space="0" w:color="auto"/>
            <w:bottom w:val="none" w:sz="0" w:space="0" w:color="auto"/>
            <w:right w:val="none" w:sz="0" w:space="0" w:color="auto"/>
          </w:divBdr>
        </w:div>
        <w:div w:id="1867519521">
          <w:marLeft w:val="0"/>
          <w:marRight w:val="0"/>
          <w:marTop w:val="0"/>
          <w:marBottom w:val="0"/>
          <w:divBdr>
            <w:top w:val="none" w:sz="0" w:space="0" w:color="auto"/>
            <w:left w:val="none" w:sz="0" w:space="0" w:color="auto"/>
            <w:bottom w:val="none" w:sz="0" w:space="0" w:color="auto"/>
            <w:right w:val="none" w:sz="0" w:space="0" w:color="auto"/>
          </w:divBdr>
        </w:div>
        <w:div w:id="2055232675">
          <w:marLeft w:val="0"/>
          <w:marRight w:val="0"/>
          <w:marTop w:val="0"/>
          <w:marBottom w:val="0"/>
          <w:divBdr>
            <w:top w:val="none" w:sz="0" w:space="0" w:color="auto"/>
            <w:left w:val="none" w:sz="0" w:space="0" w:color="auto"/>
            <w:bottom w:val="none" w:sz="0" w:space="0" w:color="auto"/>
            <w:right w:val="none" w:sz="0" w:space="0" w:color="auto"/>
          </w:divBdr>
        </w:div>
      </w:divsChild>
    </w:div>
    <w:div w:id="1334991250">
      <w:bodyDiv w:val="1"/>
      <w:marLeft w:val="0"/>
      <w:marRight w:val="0"/>
      <w:marTop w:val="0"/>
      <w:marBottom w:val="0"/>
      <w:divBdr>
        <w:top w:val="none" w:sz="0" w:space="0" w:color="auto"/>
        <w:left w:val="none" w:sz="0" w:space="0" w:color="auto"/>
        <w:bottom w:val="none" w:sz="0" w:space="0" w:color="auto"/>
        <w:right w:val="none" w:sz="0" w:space="0" w:color="auto"/>
      </w:divBdr>
    </w:div>
    <w:div w:id="1337614164">
      <w:bodyDiv w:val="1"/>
      <w:marLeft w:val="0"/>
      <w:marRight w:val="0"/>
      <w:marTop w:val="0"/>
      <w:marBottom w:val="0"/>
      <w:divBdr>
        <w:top w:val="none" w:sz="0" w:space="0" w:color="auto"/>
        <w:left w:val="none" w:sz="0" w:space="0" w:color="auto"/>
        <w:bottom w:val="none" w:sz="0" w:space="0" w:color="auto"/>
        <w:right w:val="none" w:sz="0" w:space="0" w:color="auto"/>
      </w:divBdr>
    </w:div>
    <w:div w:id="1342513781">
      <w:bodyDiv w:val="1"/>
      <w:marLeft w:val="0"/>
      <w:marRight w:val="0"/>
      <w:marTop w:val="0"/>
      <w:marBottom w:val="0"/>
      <w:divBdr>
        <w:top w:val="none" w:sz="0" w:space="0" w:color="auto"/>
        <w:left w:val="none" w:sz="0" w:space="0" w:color="auto"/>
        <w:bottom w:val="none" w:sz="0" w:space="0" w:color="auto"/>
        <w:right w:val="none" w:sz="0" w:space="0" w:color="auto"/>
      </w:divBdr>
    </w:div>
    <w:div w:id="1343896789">
      <w:bodyDiv w:val="1"/>
      <w:marLeft w:val="0"/>
      <w:marRight w:val="0"/>
      <w:marTop w:val="0"/>
      <w:marBottom w:val="0"/>
      <w:divBdr>
        <w:top w:val="none" w:sz="0" w:space="0" w:color="auto"/>
        <w:left w:val="none" w:sz="0" w:space="0" w:color="auto"/>
        <w:bottom w:val="none" w:sz="0" w:space="0" w:color="auto"/>
        <w:right w:val="none" w:sz="0" w:space="0" w:color="auto"/>
      </w:divBdr>
    </w:div>
    <w:div w:id="1356615540">
      <w:bodyDiv w:val="1"/>
      <w:marLeft w:val="0"/>
      <w:marRight w:val="0"/>
      <w:marTop w:val="0"/>
      <w:marBottom w:val="0"/>
      <w:divBdr>
        <w:top w:val="none" w:sz="0" w:space="0" w:color="auto"/>
        <w:left w:val="none" w:sz="0" w:space="0" w:color="auto"/>
        <w:bottom w:val="none" w:sz="0" w:space="0" w:color="auto"/>
        <w:right w:val="none" w:sz="0" w:space="0" w:color="auto"/>
      </w:divBdr>
    </w:div>
    <w:div w:id="1371150782">
      <w:bodyDiv w:val="1"/>
      <w:marLeft w:val="0"/>
      <w:marRight w:val="0"/>
      <w:marTop w:val="0"/>
      <w:marBottom w:val="0"/>
      <w:divBdr>
        <w:top w:val="none" w:sz="0" w:space="0" w:color="auto"/>
        <w:left w:val="none" w:sz="0" w:space="0" w:color="auto"/>
        <w:bottom w:val="none" w:sz="0" w:space="0" w:color="auto"/>
        <w:right w:val="none" w:sz="0" w:space="0" w:color="auto"/>
      </w:divBdr>
    </w:div>
    <w:div w:id="1377774230">
      <w:bodyDiv w:val="1"/>
      <w:marLeft w:val="0"/>
      <w:marRight w:val="0"/>
      <w:marTop w:val="0"/>
      <w:marBottom w:val="0"/>
      <w:divBdr>
        <w:top w:val="none" w:sz="0" w:space="0" w:color="auto"/>
        <w:left w:val="none" w:sz="0" w:space="0" w:color="auto"/>
        <w:bottom w:val="none" w:sz="0" w:space="0" w:color="auto"/>
        <w:right w:val="none" w:sz="0" w:space="0" w:color="auto"/>
      </w:divBdr>
    </w:div>
    <w:div w:id="1381979993">
      <w:bodyDiv w:val="1"/>
      <w:marLeft w:val="0"/>
      <w:marRight w:val="0"/>
      <w:marTop w:val="0"/>
      <w:marBottom w:val="0"/>
      <w:divBdr>
        <w:top w:val="none" w:sz="0" w:space="0" w:color="auto"/>
        <w:left w:val="none" w:sz="0" w:space="0" w:color="auto"/>
        <w:bottom w:val="none" w:sz="0" w:space="0" w:color="auto"/>
        <w:right w:val="none" w:sz="0" w:space="0" w:color="auto"/>
      </w:divBdr>
    </w:div>
    <w:div w:id="1383944350">
      <w:bodyDiv w:val="1"/>
      <w:marLeft w:val="0"/>
      <w:marRight w:val="0"/>
      <w:marTop w:val="0"/>
      <w:marBottom w:val="0"/>
      <w:divBdr>
        <w:top w:val="none" w:sz="0" w:space="0" w:color="auto"/>
        <w:left w:val="none" w:sz="0" w:space="0" w:color="auto"/>
        <w:bottom w:val="none" w:sz="0" w:space="0" w:color="auto"/>
        <w:right w:val="none" w:sz="0" w:space="0" w:color="auto"/>
      </w:divBdr>
    </w:div>
    <w:div w:id="1388645993">
      <w:bodyDiv w:val="1"/>
      <w:marLeft w:val="0"/>
      <w:marRight w:val="0"/>
      <w:marTop w:val="0"/>
      <w:marBottom w:val="0"/>
      <w:divBdr>
        <w:top w:val="none" w:sz="0" w:space="0" w:color="auto"/>
        <w:left w:val="none" w:sz="0" w:space="0" w:color="auto"/>
        <w:bottom w:val="none" w:sz="0" w:space="0" w:color="auto"/>
        <w:right w:val="none" w:sz="0" w:space="0" w:color="auto"/>
      </w:divBdr>
    </w:div>
    <w:div w:id="1397625246">
      <w:bodyDiv w:val="1"/>
      <w:marLeft w:val="0"/>
      <w:marRight w:val="0"/>
      <w:marTop w:val="0"/>
      <w:marBottom w:val="0"/>
      <w:divBdr>
        <w:top w:val="none" w:sz="0" w:space="0" w:color="auto"/>
        <w:left w:val="none" w:sz="0" w:space="0" w:color="auto"/>
        <w:bottom w:val="none" w:sz="0" w:space="0" w:color="auto"/>
        <w:right w:val="none" w:sz="0" w:space="0" w:color="auto"/>
      </w:divBdr>
    </w:div>
    <w:div w:id="1407263875">
      <w:bodyDiv w:val="1"/>
      <w:marLeft w:val="0"/>
      <w:marRight w:val="0"/>
      <w:marTop w:val="0"/>
      <w:marBottom w:val="0"/>
      <w:divBdr>
        <w:top w:val="none" w:sz="0" w:space="0" w:color="auto"/>
        <w:left w:val="none" w:sz="0" w:space="0" w:color="auto"/>
        <w:bottom w:val="none" w:sz="0" w:space="0" w:color="auto"/>
        <w:right w:val="none" w:sz="0" w:space="0" w:color="auto"/>
      </w:divBdr>
    </w:div>
    <w:div w:id="1413550400">
      <w:bodyDiv w:val="1"/>
      <w:marLeft w:val="0"/>
      <w:marRight w:val="0"/>
      <w:marTop w:val="0"/>
      <w:marBottom w:val="0"/>
      <w:divBdr>
        <w:top w:val="none" w:sz="0" w:space="0" w:color="auto"/>
        <w:left w:val="none" w:sz="0" w:space="0" w:color="auto"/>
        <w:bottom w:val="none" w:sz="0" w:space="0" w:color="auto"/>
        <w:right w:val="none" w:sz="0" w:space="0" w:color="auto"/>
      </w:divBdr>
    </w:div>
    <w:div w:id="1414858127">
      <w:bodyDiv w:val="1"/>
      <w:marLeft w:val="0"/>
      <w:marRight w:val="0"/>
      <w:marTop w:val="0"/>
      <w:marBottom w:val="0"/>
      <w:divBdr>
        <w:top w:val="none" w:sz="0" w:space="0" w:color="auto"/>
        <w:left w:val="none" w:sz="0" w:space="0" w:color="auto"/>
        <w:bottom w:val="none" w:sz="0" w:space="0" w:color="auto"/>
        <w:right w:val="none" w:sz="0" w:space="0" w:color="auto"/>
      </w:divBdr>
    </w:div>
    <w:div w:id="1420907768">
      <w:bodyDiv w:val="1"/>
      <w:marLeft w:val="0"/>
      <w:marRight w:val="0"/>
      <w:marTop w:val="0"/>
      <w:marBottom w:val="0"/>
      <w:divBdr>
        <w:top w:val="none" w:sz="0" w:space="0" w:color="auto"/>
        <w:left w:val="none" w:sz="0" w:space="0" w:color="auto"/>
        <w:bottom w:val="none" w:sz="0" w:space="0" w:color="auto"/>
        <w:right w:val="none" w:sz="0" w:space="0" w:color="auto"/>
      </w:divBdr>
    </w:div>
    <w:div w:id="1425153934">
      <w:bodyDiv w:val="1"/>
      <w:marLeft w:val="0"/>
      <w:marRight w:val="0"/>
      <w:marTop w:val="0"/>
      <w:marBottom w:val="0"/>
      <w:divBdr>
        <w:top w:val="none" w:sz="0" w:space="0" w:color="auto"/>
        <w:left w:val="none" w:sz="0" w:space="0" w:color="auto"/>
        <w:bottom w:val="none" w:sz="0" w:space="0" w:color="auto"/>
        <w:right w:val="none" w:sz="0" w:space="0" w:color="auto"/>
      </w:divBdr>
    </w:div>
    <w:div w:id="1428233051">
      <w:bodyDiv w:val="1"/>
      <w:marLeft w:val="0"/>
      <w:marRight w:val="0"/>
      <w:marTop w:val="0"/>
      <w:marBottom w:val="0"/>
      <w:divBdr>
        <w:top w:val="none" w:sz="0" w:space="0" w:color="auto"/>
        <w:left w:val="none" w:sz="0" w:space="0" w:color="auto"/>
        <w:bottom w:val="none" w:sz="0" w:space="0" w:color="auto"/>
        <w:right w:val="none" w:sz="0" w:space="0" w:color="auto"/>
      </w:divBdr>
    </w:div>
    <w:div w:id="1428425169">
      <w:bodyDiv w:val="1"/>
      <w:marLeft w:val="0"/>
      <w:marRight w:val="0"/>
      <w:marTop w:val="0"/>
      <w:marBottom w:val="0"/>
      <w:divBdr>
        <w:top w:val="none" w:sz="0" w:space="0" w:color="auto"/>
        <w:left w:val="none" w:sz="0" w:space="0" w:color="auto"/>
        <w:bottom w:val="none" w:sz="0" w:space="0" w:color="auto"/>
        <w:right w:val="none" w:sz="0" w:space="0" w:color="auto"/>
      </w:divBdr>
    </w:div>
    <w:div w:id="1430655817">
      <w:bodyDiv w:val="1"/>
      <w:marLeft w:val="0"/>
      <w:marRight w:val="0"/>
      <w:marTop w:val="0"/>
      <w:marBottom w:val="0"/>
      <w:divBdr>
        <w:top w:val="none" w:sz="0" w:space="0" w:color="auto"/>
        <w:left w:val="none" w:sz="0" w:space="0" w:color="auto"/>
        <w:bottom w:val="none" w:sz="0" w:space="0" w:color="auto"/>
        <w:right w:val="none" w:sz="0" w:space="0" w:color="auto"/>
      </w:divBdr>
    </w:div>
    <w:div w:id="1460301219">
      <w:bodyDiv w:val="1"/>
      <w:marLeft w:val="0"/>
      <w:marRight w:val="0"/>
      <w:marTop w:val="0"/>
      <w:marBottom w:val="0"/>
      <w:divBdr>
        <w:top w:val="none" w:sz="0" w:space="0" w:color="auto"/>
        <w:left w:val="none" w:sz="0" w:space="0" w:color="auto"/>
        <w:bottom w:val="none" w:sz="0" w:space="0" w:color="auto"/>
        <w:right w:val="none" w:sz="0" w:space="0" w:color="auto"/>
      </w:divBdr>
    </w:div>
    <w:div w:id="1461872879">
      <w:bodyDiv w:val="1"/>
      <w:marLeft w:val="0"/>
      <w:marRight w:val="0"/>
      <w:marTop w:val="0"/>
      <w:marBottom w:val="0"/>
      <w:divBdr>
        <w:top w:val="none" w:sz="0" w:space="0" w:color="auto"/>
        <w:left w:val="none" w:sz="0" w:space="0" w:color="auto"/>
        <w:bottom w:val="none" w:sz="0" w:space="0" w:color="auto"/>
        <w:right w:val="none" w:sz="0" w:space="0" w:color="auto"/>
      </w:divBdr>
    </w:div>
    <w:div w:id="1466655786">
      <w:bodyDiv w:val="1"/>
      <w:marLeft w:val="0"/>
      <w:marRight w:val="0"/>
      <w:marTop w:val="0"/>
      <w:marBottom w:val="0"/>
      <w:divBdr>
        <w:top w:val="none" w:sz="0" w:space="0" w:color="auto"/>
        <w:left w:val="none" w:sz="0" w:space="0" w:color="auto"/>
        <w:bottom w:val="none" w:sz="0" w:space="0" w:color="auto"/>
        <w:right w:val="none" w:sz="0" w:space="0" w:color="auto"/>
      </w:divBdr>
    </w:div>
    <w:div w:id="1475832279">
      <w:bodyDiv w:val="1"/>
      <w:marLeft w:val="0"/>
      <w:marRight w:val="0"/>
      <w:marTop w:val="0"/>
      <w:marBottom w:val="0"/>
      <w:divBdr>
        <w:top w:val="none" w:sz="0" w:space="0" w:color="auto"/>
        <w:left w:val="none" w:sz="0" w:space="0" w:color="auto"/>
        <w:bottom w:val="none" w:sz="0" w:space="0" w:color="auto"/>
        <w:right w:val="none" w:sz="0" w:space="0" w:color="auto"/>
      </w:divBdr>
    </w:div>
    <w:div w:id="1545675119">
      <w:bodyDiv w:val="1"/>
      <w:marLeft w:val="0"/>
      <w:marRight w:val="0"/>
      <w:marTop w:val="0"/>
      <w:marBottom w:val="0"/>
      <w:divBdr>
        <w:top w:val="none" w:sz="0" w:space="0" w:color="auto"/>
        <w:left w:val="none" w:sz="0" w:space="0" w:color="auto"/>
        <w:bottom w:val="none" w:sz="0" w:space="0" w:color="auto"/>
        <w:right w:val="none" w:sz="0" w:space="0" w:color="auto"/>
      </w:divBdr>
    </w:div>
    <w:div w:id="1553426702">
      <w:bodyDiv w:val="1"/>
      <w:marLeft w:val="0"/>
      <w:marRight w:val="0"/>
      <w:marTop w:val="0"/>
      <w:marBottom w:val="0"/>
      <w:divBdr>
        <w:top w:val="none" w:sz="0" w:space="0" w:color="auto"/>
        <w:left w:val="none" w:sz="0" w:space="0" w:color="auto"/>
        <w:bottom w:val="none" w:sz="0" w:space="0" w:color="auto"/>
        <w:right w:val="none" w:sz="0" w:space="0" w:color="auto"/>
      </w:divBdr>
    </w:div>
    <w:div w:id="1573345453">
      <w:bodyDiv w:val="1"/>
      <w:marLeft w:val="0"/>
      <w:marRight w:val="0"/>
      <w:marTop w:val="0"/>
      <w:marBottom w:val="0"/>
      <w:divBdr>
        <w:top w:val="none" w:sz="0" w:space="0" w:color="auto"/>
        <w:left w:val="none" w:sz="0" w:space="0" w:color="auto"/>
        <w:bottom w:val="none" w:sz="0" w:space="0" w:color="auto"/>
        <w:right w:val="none" w:sz="0" w:space="0" w:color="auto"/>
      </w:divBdr>
    </w:div>
    <w:div w:id="1580865502">
      <w:bodyDiv w:val="1"/>
      <w:marLeft w:val="0"/>
      <w:marRight w:val="0"/>
      <w:marTop w:val="0"/>
      <w:marBottom w:val="0"/>
      <w:divBdr>
        <w:top w:val="none" w:sz="0" w:space="0" w:color="auto"/>
        <w:left w:val="none" w:sz="0" w:space="0" w:color="auto"/>
        <w:bottom w:val="none" w:sz="0" w:space="0" w:color="auto"/>
        <w:right w:val="none" w:sz="0" w:space="0" w:color="auto"/>
      </w:divBdr>
    </w:div>
    <w:div w:id="1649360257">
      <w:bodyDiv w:val="1"/>
      <w:marLeft w:val="0"/>
      <w:marRight w:val="0"/>
      <w:marTop w:val="0"/>
      <w:marBottom w:val="0"/>
      <w:divBdr>
        <w:top w:val="none" w:sz="0" w:space="0" w:color="auto"/>
        <w:left w:val="none" w:sz="0" w:space="0" w:color="auto"/>
        <w:bottom w:val="none" w:sz="0" w:space="0" w:color="auto"/>
        <w:right w:val="none" w:sz="0" w:space="0" w:color="auto"/>
      </w:divBdr>
    </w:div>
    <w:div w:id="1660958650">
      <w:bodyDiv w:val="1"/>
      <w:marLeft w:val="0"/>
      <w:marRight w:val="0"/>
      <w:marTop w:val="0"/>
      <w:marBottom w:val="0"/>
      <w:divBdr>
        <w:top w:val="none" w:sz="0" w:space="0" w:color="auto"/>
        <w:left w:val="none" w:sz="0" w:space="0" w:color="auto"/>
        <w:bottom w:val="none" w:sz="0" w:space="0" w:color="auto"/>
        <w:right w:val="none" w:sz="0" w:space="0" w:color="auto"/>
      </w:divBdr>
    </w:div>
    <w:div w:id="1684629293">
      <w:bodyDiv w:val="1"/>
      <w:marLeft w:val="0"/>
      <w:marRight w:val="0"/>
      <w:marTop w:val="0"/>
      <w:marBottom w:val="0"/>
      <w:divBdr>
        <w:top w:val="none" w:sz="0" w:space="0" w:color="auto"/>
        <w:left w:val="none" w:sz="0" w:space="0" w:color="auto"/>
        <w:bottom w:val="none" w:sz="0" w:space="0" w:color="auto"/>
        <w:right w:val="none" w:sz="0" w:space="0" w:color="auto"/>
      </w:divBdr>
    </w:div>
    <w:div w:id="1717195498">
      <w:bodyDiv w:val="1"/>
      <w:marLeft w:val="0"/>
      <w:marRight w:val="0"/>
      <w:marTop w:val="0"/>
      <w:marBottom w:val="0"/>
      <w:divBdr>
        <w:top w:val="none" w:sz="0" w:space="0" w:color="auto"/>
        <w:left w:val="none" w:sz="0" w:space="0" w:color="auto"/>
        <w:bottom w:val="none" w:sz="0" w:space="0" w:color="auto"/>
        <w:right w:val="none" w:sz="0" w:space="0" w:color="auto"/>
      </w:divBdr>
    </w:div>
    <w:div w:id="1718049411">
      <w:bodyDiv w:val="1"/>
      <w:marLeft w:val="0"/>
      <w:marRight w:val="0"/>
      <w:marTop w:val="0"/>
      <w:marBottom w:val="0"/>
      <w:divBdr>
        <w:top w:val="none" w:sz="0" w:space="0" w:color="auto"/>
        <w:left w:val="none" w:sz="0" w:space="0" w:color="auto"/>
        <w:bottom w:val="none" w:sz="0" w:space="0" w:color="auto"/>
        <w:right w:val="none" w:sz="0" w:space="0" w:color="auto"/>
      </w:divBdr>
    </w:div>
    <w:div w:id="1730759975">
      <w:bodyDiv w:val="1"/>
      <w:marLeft w:val="0"/>
      <w:marRight w:val="0"/>
      <w:marTop w:val="0"/>
      <w:marBottom w:val="0"/>
      <w:divBdr>
        <w:top w:val="none" w:sz="0" w:space="0" w:color="auto"/>
        <w:left w:val="none" w:sz="0" w:space="0" w:color="auto"/>
        <w:bottom w:val="none" w:sz="0" w:space="0" w:color="auto"/>
        <w:right w:val="none" w:sz="0" w:space="0" w:color="auto"/>
      </w:divBdr>
    </w:div>
    <w:div w:id="1773744222">
      <w:bodyDiv w:val="1"/>
      <w:marLeft w:val="0"/>
      <w:marRight w:val="0"/>
      <w:marTop w:val="0"/>
      <w:marBottom w:val="0"/>
      <w:divBdr>
        <w:top w:val="none" w:sz="0" w:space="0" w:color="auto"/>
        <w:left w:val="none" w:sz="0" w:space="0" w:color="auto"/>
        <w:bottom w:val="none" w:sz="0" w:space="0" w:color="auto"/>
        <w:right w:val="none" w:sz="0" w:space="0" w:color="auto"/>
      </w:divBdr>
    </w:div>
    <w:div w:id="1783918455">
      <w:bodyDiv w:val="1"/>
      <w:marLeft w:val="0"/>
      <w:marRight w:val="0"/>
      <w:marTop w:val="0"/>
      <w:marBottom w:val="0"/>
      <w:divBdr>
        <w:top w:val="none" w:sz="0" w:space="0" w:color="auto"/>
        <w:left w:val="none" w:sz="0" w:space="0" w:color="auto"/>
        <w:bottom w:val="none" w:sz="0" w:space="0" w:color="auto"/>
        <w:right w:val="none" w:sz="0" w:space="0" w:color="auto"/>
      </w:divBdr>
    </w:div>
    <w:div w:id="1806318136">
      <w:bodyDiv w:val="1"/>
      <w:marLeft w:val="0"/>
      <w:marRight w:val="0"/>
      <w:marTop w:val="0"/>
      <w:marBottom w:val="0"/>
      <w:divBdr>
        <w:top w:val="none" w:sz="0" w:space="0" w:color="auto"/>
        <w:left w:val="none" w:sz="0" w:space="0" w:color="auto"/>
        <w:bottom w:val="none" w:sz="0" w:space="0" w:color="auto"/>
        <w:right w:val="none" w:sz="0" w:space="0" w:color="auto"/>
      </w:divBdr>
    </w:div>
    <w:div w:id="1815676599">
      <w:bodyDiv w:val="1"/>
      <w:marLeft w:val="0"/>
      <w:marRight w:val="0"/>
      <w:marTop w:val="0"/>
      <w:marBottom w:val="0"/>
      <w:divBdr>
        <w:top w:val="none" w:sz="0" w:space="0" w:color="auto"/>
        <w:left w:val="none" w:sz="0" w:space="0" w:color="auto"/>
        <w:bottom w:val="none" w:sz="0" w:space="0" w:color="auto"/>
        <w:right w:val="none" w:sz="0" w:space="0" w:color="auto"/>
      </w:divBdr>
    </w:div>
    <w:div w:id="1847938703">
      <w:bodyDiv w:val="1"/>
      <w:marLeft w:val="0"/>
      <w:marRight w:val="0"/>
      <w:marTop w:val="0"/>
      <w:marBottom w:val="0"/>
      <w:divBdr>
        <w:top w:val="none" w:sz="0" w:space="0" w:color="auto"/>
        <w:left w:val="none" w:sz="0" w:space="0" w:color="auto"/>
        <w:bottom w:val="none" w:sz="0" w:space="0" w:color="auto"/>
        <w:right w:val="none" w:sz="0" w:space="0" w:color="auto"/>
      </w:divBdr>
    </w:div>
    <w:div w:id="1864249203">
      <w:bodyDiv w:val="1"/>
      <w:marLeft w:val="0"/>
      <w:marRight w:val="0"/>
      <w:marTop w:val="0"/>
      <w:marBottom w:val="0"/>
      <w:divBdr>
        <w:top w:val="none" w:sz="0" w:space="0" w:color="auto"/>
        <w:left w:val="none" w:sz="0" w:space="0" w:color="auto"/>
        <w:bottom w:val="none" w:sz="0" w:space="0" w:color="auto"/>
        <w:right w:val="none" w:sz="0" w:space="0" w:color="auto"/>
      </w:divBdr>
    </w:div>
    <w:div w:id="1883856441">
      <w:bodyDiv w:val="1"/>
      <w:marLeft w:val="0"/>
      <w:marRight w:val="0"/>
      <w:marTop w:val="0"/>
      <w:marBottom w:val="0"/>
      <w:divBdr>
        <w:top w:val="none" w:sz="0" w:space="0" w:color="auto"/>
        <w:left w:val="none" w:sz="0" w:space="0" w:color="auto"/>
        <w:bottom w:val="none" w:sz="0" w:space="0" w:color="auto"/>
        <w:right w:val="none" w:sz="0" w:space="0" w:color="auto"/>
      </w:divBdr>
    </w:div>
    <w:div w:id="1893930271">
      <w:bodyDiv w:val="1"/>
      <w:marLeft w:val="0"/>
      <w:marRight w:val="0"/>
      <w:marTop w:val="0"/>
      <w:marBottom w:val="0"/>
      <w:divBdr>
        <w:top w:val="none" w:sz="0" w:space="0" w:color="auto"/>
        <w:left w:val="none" w:sz="0" w:space="0" w:color="auto"/>
        <w:bottom w:val="none" w:sz="0" w:space="0" w:color="auto"/>
        <w:right w:val="none" w:sz="0" w:space="0" w:color="auto"/>
      </w:divBdr>
    </w:div>
    <w:div w:id="1904484130">
      <w:bodyDiv w:val="1"/>
      <w:marLeft w:val="0"/>
      <w:marRight w:val="0"/>
      <w:marTop w:val="0"/>
      <w:marBottom w:val="0"/>
      <w:divBdr>
        <w:top w:val="none" w:sz="0" w:space="0" w:color="auto"/>
        <w:left w:val="none" w:sz="0" w:space="0" w:color="auto"/>
        <w:bottom w:val="none" w:sz="0" w:space="0" w:color="auto"/>
        <w:right w:val="none" w:sz="0" w:space="0" w:color="auto"/>
      </w:divBdr>
    </w:div>
    <w:div w:id="1917473628">
      <w:bodyDiv w:val="1"/>
      <w:marLeft w:val="0"/>
      <w:marRight w:val="0"/>
      <w:marTop w:val="0"/>
      <w:marBottom w:val="0"/>
      <w:divBdr>
        <w:top w:val="none" w:sz="0" w:space="0" w:color="auto"/>
        <w:left w:val="none" w:sz="0" w:space="0" w:color="auto"/>
        <w:bottom w:val="none" w:sz="0" w:space="0" w:color="auto"/>
        <w:right w:val="none" w:sz="0" w:space="0" w:color="auto"/>
      </w:divBdr>
    </w:div>
    <w:div w:id="1923836337">
      <w:bodyDiv w:val="1"/>
      <w:marLeft w:val="0"/>
      <w:marRight w:val="0"/>
      <w:marTop w:val="0"/>
      <w:marBottom w:val="0"/>
      <w:divBdr>
        <w:top w:val="none" w:sz="0" w:space="0" w:color="auto"/>
        <w:left w:val="none" w:sz="0" w:space="0" w:color="auto"/>
        <w:bottom w:val="none" w:sz="0" w:space="0" w:color="auto"/>
        <w:right w:val="none" w:sz="0" w:space="0" w:color="auto"/>
      </w:divBdr>
    </w:div>
    <w:div w:id="1926959337">
      <w:bodyDiv w:val="1"/>
      <w:marLeft w:val="0"/>
      <w:marRight w:val="0"/>
      <w:marTop w:val="0"/>
      <w:marBottom w:val="0"/>
      <w:divBdr>
        <w:top w:val="none" w:sz="0" w:space="0" w:color="auto"/>
        <w:left w:val="none" w:sz="0" w:space="0" w:color="auto"/>
        <w:bottom w:val="none" w:sz="0" w:space="0" w:color="auto"/>
        <w:right w:val="none" w:sz="0" w:space="0" w:color="auto"/>
      </w:divBdr>
    </w:div>
    <w:div w:id="1932081060">
      <w:bodyDiv w:val="1"/>
      <w:marLeft w:val="0"/>
      <w:marRight w:val="0"/>
      <w:marTop w:val="0"/>
      <w:marBottom w:val="0"/>
      <w:divBdr>
        <w:top w:val="none" w:sz="0" w:space="0" w:color="auto"/>
        <w:left w:val="none" w:sz="0" w:space="0" w:color="auto"/>
        <w:bottom w:val="none" w:sz="0" w:space="0" w:color="auto"/>
        <w:right w:val="none" w:sz="0" w:space="0" w:color="auto"/>
      </w:divBdr>
    </w:div>
    <w:div w:id="1944144404">
      <w:bodyDiv w:val="1"/>
      <w:marLeft w:val="0"/>
      <w:marRight w:val="0"/>
      <w:marTop w:val="0"/>
      <w:marBottom w:val="0"/>
      <w:divBdr>
        <w:top w:val="none" w:sz="0" w:space="0" w:color="auto"/>
        <w:left w:val="none" w:sz="0" w:space="0" w:color="auto"/>
        <w:bottom w:val="none" w:sz="0" w:space="0" w:color="auto"/>
        <w:right w:val="none" w:sz="0" w:space="0" w:color="auto"/>
      </w:divBdr>
    </w:div>
    <w:div w:id="1948075297">
      <w:bodyDiv w:val="1"/>
      <w:marLeft w:val="0"/>
      <w:marRight w:val="0"/>
      <w:marTop w:val="0"/>
      <w:marBottom w:val="0"/>
      <w:divBdr>
        <w:top w:val="none" w:sz="0" w:space="0" w:color="auto"/>
        <w:left w:val="none" w:sz="0" w:space="0" w:color="auto"/>
        <w:bottom w:val="none" w:sz="0" w:space="0" w:color="auto"/>
        <w:right w:val="none" w:sz="0" w:space="0" w:color="auto"/>
      </w:divBdr>
    </w:div>
    <w:div w:id="1979646846">
      <w:bodyDiv w:val="1"/>
      <w:marLeft w:val="0"/>
      <w:marRight w:val="0"/>
      <w:marTop w:val="0"/>
      <w:marBottom w:val="0"/>
      <w:divBdr>
        <w:top w:val="none" w:sz="0" w:space="0" w:color="auto"/>
        <w:left w:val="none" w:sz="0" w:space="0" w:color="auto"/>
        <w:bottom w:val="none" w:sz="0" w:space="0" w:color="auto"/>
        <w:right w:val="none" w:sz="0" w:space="0" w:color="auto"/>
      </w:divBdr>
    </w:div>
    <w:div w:id="2040737967">
      <w:bodyDiv w:val="1"/>
      <w:marLeft w:val="0"/>
      <w:marRight w:val="0"/>
      <w:marTop w:val="0"/>
      <w:marBottom w:val="0"/>
      <w:divBdr>
        <w:top w:val="none" w:sz="0" w:space="0" w:color="auto"/>
        <w:left w:val="none" w:sz="0" w:space="0" w:color="auto"/>
        <w:bottom w:val="none" w:sz="0" w:space="0" w:color="auto"/>
        <w:right w:val="none" w:sz="0" w:space="0" w:color="auto"/>
      </w:divBdr>
    </w:div>
    <w:div w:id="2050952064">
      <w:bodyDiv w:val="1"/>
      <w:marLeft w:val="0"/>
      <w:marRight w:val="0"/>
      <w:marTop w:val="0"/>
      <w:marBottom w:val="0"/>
      <w:divBdr>
        <w:top w:val="none" w:sz="0" w:space="0" w:color="auto"/>
        <w:left w:val="none" w:sz="0" w:space="0" w:color="auto"/>
        <w:bottom w:val="none" w:sz="0" w:space="0" w:color="auto"/>
        <w:right w:val="none" w:sz="0" w:space="0" w:color="auto"/>
      </w:divBdr>
    </w:div>
    <w:div w:id="2057192710">
      <w:bodyDiv w:val="1"/>
      <w:marLeft w:val="0"/>
      <w:marRight w:val="0"/>
      <w:marTop w:val="0"/>
      <w:marBottom w:val="0"/>
      <w:divBdr>
        <w:top w:val="none" w:sz="0" w:space="0" w:color="auto"/>
        <w:left w:val="none" w:sz="0" w:space="0" w:color="auto"/>
        <w:bottom w:val="none" w:sz="0" w:space="0" w:color="auto"/>
        <w:right w:val="none" w:sz="0" w:space="0" w:color="auto"/>
      </w:divBdr>
    </w:div>
    <w:div w:id="2058240091">
      <w:bodyDiv w:val="1"/>
      <w:marLeft w:val="0"/>
      <w:marRight w:val="0"/>
      <w:marTop w:val="0"/>
      <w:marBottom w:val="0"/>
      <w:divBdr>
        <w:top w:val="none" w:sz="0" w:space="0" w:color="auto"/>
        <w:left w:val="none" w:sz="0" w:space="0" w:color="auto"/>
        <w:bottom w:val="none" w:sz="0" w:space="0" w:color="auto"/>
        <w:right w:val="none" w:sz="0" w:space="0" w:color="auto"/>
      </w:divBdr>
    </w:div>
    <w:div w:id="2059475241">
      <w:bodyDiv w:val="1"/>
      <w:marLeft w:val="0"/>
      <w:marRight w:val="0"/>
      <w:marTop w:val="0"/>
      <w:marBottom w:val="0"/>
      <w:divBdr>
        <w:top w:val="none" w:sz="0" w:space="0" w:color="auto"/>
        <w:left w:val="none" w:sz="0" w:space="0" w:color="auto"/>
        <w:bottom w:val="none" w:sz="0" w:space="0" w:color="auto"/>
        <w:right w:val="none" w:sz="0" w:space="0" w:color="auto"/>
      </w:divBdr>
    </w:div>
    <w:div w:id="2063745982">
      <w:bodyDiv w:val="1"/>
      <w:marLeft w:val="0"/>
      <w:marRight w:val="0"/>
      <w:marTop w:val="0"/>
      <w:marBottom w:val="0"/>
      <w:divBdr>
        <w:top w:val="none" w:sz="0" w:space="0" w:color="auto"/>
        <w:left w:val="none" w:sz="0" w:space="0" w:color="auto"/>
        <w:bottom w:val="none" w:sz="0" w:space="0" w:color="auto"/>
        <w:right w:val="none" w:sz="0" w:space="0" w:color="auto"/>
      </w:divBdr>
    </w:div>
    <w:div w:id="2074966195">
      <w:bodyDiv w:val="1"/>
      <w:marLeft w:val="0"/>
      <w:marRight w:val="0"/>
      <w:marTop w:val="0"/>
      <w:marBottom w:val="0"/>
      <w:divBdr>
        <w:top w:val="none" w:sz="0" w:space="0" w:color="auto"/>
        <w:left w:val="none" w:sz="0" w:space="0" w:color="auto"/>
        <w:bottom w:val="none" w:sz="0" w:space="0" w:color="auto"/>
        <w:right w:val="none" w:sz="0" w:space="0" w:color="auto"/>
      </w:divBdr>
    </w:div>
    <w:div w:id="2080445360">
      <w:bodyDiv w:val="1"/>
      <w:marLeft w:val="0"/>
      <w:marRight w:val="0"/>
      <w:marTop w:val="0"/>
      <w:marBottom w:val="0"/>
      <w:divBdr>
        <w:top w:val="none" w:sz="0" w:space="0" w:color="auto"/>
        <w:left w:val="none" w:sz="0" w:space="0" w:color="auto"/>
        <w:bottom w:val="none" w:sz="0" w:space="0" w:color="auto"/>
        <w:right w:val="none" w:sz="0" w:space="0" w:color="auto"/>
      </w:divBdr>
    </w:div>
    <w:div w:id="2105417687">
      <w:bodyDiv w:val="1"/>
      <w:marLeft w:val="0"/>
      <w:marRight w:val="0"/>
      <w:marTop w:val="0"/>
      <w:marBottom w:val="0"/>
      <w:divBdr>
        <w:top w:val="none" w:sz="0" w:space="0" w:color="auto"/>
        <w:left w:val="none" w:sz="0" w:space="0" w:color="auto"/>
        <w:bottom w:val="none" w:sz="0" w:space="0" w:color="auto"/>
        <w:right w:val="none" w:sz="0" w:space="0" w:color="auto"/>
      </w:divBdr>
    </w:div>
    <w:div w:id="2116361049">
      <w:bodyDiv w:val="1"/>
      <w:marLeft w:val="0"/>
      <w:marRight w:val="0"/>
      <w:marTop w:val="0"/>
      <w:marBottom w:val="0"/>
      <w:divBdr>
        <w:top w:val="none" w:sz="0" w:space="0" w:color="auto"/>
        <w:left w:val="none" w:sz="0" w:space="0" w:color="auto"/>
        <w:bottom w:val="none" w:sz="0" w:space="0" w:color="auto"/>
        <w:right w:val="none" w:sz="0" w:space="0" w:color="auto"/>
      </w:divBdr>
    </w:div>
    <w:div w:id="21208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4.xml"/><Relationship Id="rId39" Type="http://schemas.openxmlformats.org/officeDocument/2006/relationships/image" Target="media/image8.png"/><Relationship Id="rId21" Type="http://schemas.openxmlformats.org/officeDocument/2006/relationships/chart" Target="charts/chart10.xml"/><Relationship Id="rId34" Type="http://schemas.openxmlformats.org/officeDocument/2006/relationships/chart" Target="charts/chart22.xml"/><Relationship Id="rId42" Type="http://schemas.openxmlformats.org/officeDocument/2006/relationships/chart" Target="charts/chart29.xml"/><Relationship Id="rId47" Type="http://schemas.openxmlformats.org/officeDocument/2006/relationships/chart" Target="charts/chart33.xml"/><Relationship Id="rId50" Type="http://schemas.openxmlformats.org/officeDocument/2006/relationships/chart" Target="charts/chart35.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chart" Target="charts/chart50.xml"/><Relationship Id="rId76" Type="http://schemas.openxmlformats.org/officeDocument/2006/relationships/hyperlink" Target="http://unesdoc.unesco.org/images/0017/001775/177568e.pdf%20accessed%2015%20January%202012" TargetMode="External"/><Relationship Id="rId84" Type="http://schemas.openxmlformats.org/officeDocument/2006/relationships/image" Target="media/image15.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3.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7.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7.xml"/><Relationship Id="rId45" Type="http://schemas.openxmlformats.org/officeDocument/2006/relationships/chart" Target="charts/chart31.xml"/><Relationship Id="rId53" Type="http://schemas.openxmlformats.org/officeDocument/2006/relationships/hyperlink" Target="http://data.worldbank.org/indicator/SE.PRM.CMPT.ZS/countries?display=default" TargetMode="External"/><Relationship Id="rId58" Type="http://schemas.openxmlformats.org/officeDocument/2006/relationships/chart" Target="charts/chart40.xml"/><Relationship Id="rId66" Type="http://schemas.openxmlformats.org/officeDocument/2006/relationships/chart" Target="charts/chart48.xml"/><Relationship Id="rId74" Type="http://schemas.openxmlformats.org/officeDocument/2006/relationships/chart" Target="charts/chart56.xml"/><Relationship Id="rId79" Type="http://schemas.openxmlformats.org/officeDocument/2006/relationships/diagramData" Target="diagrams/data1.xm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chart" Target="charts/chart43.xml"/><Relationship Id="rId82" Type="http://schemas.openxmlformats.org/officeDocument/2006/relationships/diagramColors" Target="diagrams/colors1.xml"/><Relationship Id="rId90" Type="http://schemas.microsoft.com/office/2007/relationships/diagramDrawing" Target="diagrams/drawing1.xml"/><Relationship Id="rId1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9.png"/><Relationship Id="rId48" Type="http://schemas.openxmlformats.org/officeDocument/2006/relationships/image" Target="media/image10.png"/><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chart" Target="charts/chart51.xml"/><Relationship Id="rId77" Type="http://schemas.openxmlformats.org/officeDocument/2006/relationships/hyperlink" Target="http://unesdoc.unesco.org/images/0014/001447/144783e.pdf" TargetMode="External"/><Relationship Id="rId8" Type="http://schemas.openxmlformats.org/officeDocument/2006/relationships/image" Target="media/image4.emf"/><Relationship Id="rId51" Type="http://schemas.openxmlformats.org/officeDocument/2006/relationships/image" Target="media/image11.png"/><Relationship Id="rId72" Type="http://schemas.openxmlformats.org/officeDocument/2006/relationships/chart" Target="charts/chart54.xml"/><Relationship Id="rId80" Type="http://schemas.openxmlformats.org/officeDocument/2006/relationships/diagramLayout" Target="diagrams/layout1.xml"/><Relationship Id="rId85"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7.png"/><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2.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9.xml"/><Relationship Id="rId41" Type="http://schemas.openxmlformats.org/officeDocument/2006/relationships/chart" Target="charts/chart28.xml"/><Relationship Id="rId54" Type="http://schemas.openxmlformats.org/officeDocument/2006/relationships/image" Target="media/image12.png"/><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image" Target="media/image14.jpeg"/><Relationship Id="rId88" Type="http://schemas.openxmlformats.org/officeDocument/2006/relationships/fontTable" Target="fontTable.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4.xml"/><Relationship Id="rId57" Type="http://schemas.openxmlformats.org/officeDocument/2006/relationships/chart" Target="charts/chart39.xml"/><Relationship Id="rId10" Type="http://schemas.openxmlformats.org/officeDocument/2006/relationships/image" Target="media/image6.emf"/><Relationship Id="rId31" Type="http://schemas.openxmlformats.org/officeDocument/2006/relationships/chart" Target="charts/chart19.xml"/><Relationship Id="rId44" Type="http://schemas.openxmlformats.org/officeDocument/2006/relationships/chart" Target="charts/chart30.xml"/><Relationship Id="rId52" Type="http://schemas.openxmlformats.org/officeDocument/2006/relationships/chart" Target="charts/chart36.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image" Target="media/image13.emf"/><Relationship Id="rId81" Type="http://schemas.openxmlformats.org/officeDocument/2006/relationships/diagramQuickStyle" Target="diagrams/quickStyle1.xm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G:\ADB%20-%20RBM%20TA%20Project\RBM%20PINZ\RBM%20Interim%20Period,%20Dec'14\ASPR%202016%20SI\Table%20and%20Charts%20for%20ASPR%20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Rudra\ACER_13\BD_Primary_NSA\Primary%20_cycle2_2013\Report\Public%20report\Maths_Achievement_1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DTCL\Table%20and%20Charts%20for%20ASPR%20201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ADB%20-%20RBM%20TA%20Project\RBM%20PINZ\RBM%20Interim%20Period,%20Dec'14\ASPR%202016%20SI\Table%20and%20Charts%20for%20ASPR%20201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DTCL\Table%20and%20Charts%20for%20ASPR%202016.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DTCL\Table%20and%20Charts%20for%20ASPR%202016.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DTCL\Table%20and%20Charts%20for%20ASPR%20201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DTCL\Table%20and%20Charts%20for%20ASPR%202016%20(Final).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ADB%20-%20RBM%20TA%20Project\RBM%20PINZ\RBM%20Interim%20Period,%20Dec'14\ASPR%202016%20SI\Table%20and%20Charts%20for%20ASPR%202016.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APSC%202015%20SI\Data%20of%202015%20APSC.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DTCL\Table%20and%20Charts%20for%20ASPR%202016%20(Final).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DTCL\Table%20and%20Charts%20for%20ASPR%202016%20(Final).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F:\DTCL\Table%20and%20Charts%20for%20ASPR%202016%20(Final).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DTCL\Table%20and%20Charts%20for%20ASPR%202016%20(Final).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DTCL\ASPR\ASPR%2016\ASPR%202016%20-%20KPI%209%20&amp;%2015.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April%202016\Table%20and%20Charts%20for%20ASPR%202016%20(Final,%2025.04.2016).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ADB%20-%20RBM%20TA%20Project\RBM%20PINZ\RBM%20Interim%20Period,%20Dec'14\ASPR%202016%20SI\Table%20and%20Charts%20for%20ASPR%202016.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F:\DTCL\Table%20and%20Charts%20for%20ASPR%202016%20(Final).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F:\DTCL\Table%20and%20Charts%20for%20ASPR%202016%20(Final).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DTCL\April%202016\Table%20and%20Charts%20for%20ASPR%202016%20(Final,%2025.04.2016).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F:\DTCL\Table%20and%20Charts%20for%20ASPR%202016%20(Final).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F:\DTCL\Table%20and%20Charts%20for%20ASPR%202016%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ADB%20-%20RBM%20TA%20Project\RBM%20PINZ\RBM%20Interim%20Period,%20Dec'14\ASPR%202016%20SI\Table%20and%20Charts%20for%20ASPR%202016.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F:\DTCL\Table%20and%20Charts%20for%20ASPR%202016%20(Final).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TCL\Table%20and%20Charts%20for%20ASPR%202016%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TCL\Table%20and%20Charts%20for%20ASPR%20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Rudra\ACER_13\BD_Primary_NSA\Primary%20_cycle2_2013\Report\Public%20report\Bangla_Achievement_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32660544167103628"/>
          <c:y val="0.15512729861951938"/>
          <c:w val="0.46175916361883734"/>
          <c:h val="0.66052158347721945"/>
        </c:manualLayout>
      </c:layout>
      <c:pieChart>
        <c:varyColors val="1"/>
        <c:ser>
          <c:idx val="0"/>
          <c:order val="0"/>
          <c:dPt>
            <c:idx val="0"/>
            <c:spPr>
              <a:solidFill>
                <a:schemeClr val="accent6">
                  <a:lumMod val="75000"/>
                </a:schemeClr>
              </a:solidFill>
            </c:spPr>
          </c:dPt>
          <c:dPt>
            <c:idx val="1"/>
            <c:spPr>
              <a:solidFill>
                <a:srgbClr val="339933"/>
              </a:solidFill>
            </c:spPr>
          </c:dPt>
          <c:dLbls>
            <c:dLbl>
              <c:idx val="0"/>
              <c:layout>
                <c:manualLayout>
                  <c:x val="6.7576668337467033E-2"/>
                  <c:y val="-0.1789471885845085"/>
                </c:manualLayout>
              </c:layout>
              <c:tx>
                <c:rich>
                  <a:bodyPr/>
                  <a:lstStyle/>
                  <a:p>
                    <a:pPr>
                      <a:defRPr lang="en-US" sz="800" b="1">
                        <a:solidFill>
                          <a:schemeClr val="accent6">
                            <a:lumMod val="75000"/>
                          </a:schemeClr>
                        </a:solidFill>
                      </a:defRPr>
                    </a:pPr>
                    <a:r>
                      <a:rPr lang="en-US" b="1">
                        <a:solidFill>
                          <a:schemeClr val="accent6">
                            <a:lumMod val="75000"/>
                          </a:schemeClr>
                        </a:solidFill>
                      </a:rPr>
                      <a:t>GPS </a:t>
                    </a:r>
                    <a:r>
                      <a:rPr lang="en-US" b="1" baseline="0">
                        <a:solidFill>
                          <a:schemeClr val="accent6">
                            <a:lumMod val="75000"/>
                          </a:schemeClr>
                        </a:solidFill>
                      </a:rPr>
                      <a:t> </a:t>
                    </a:r>
                    <a:r>
                      <a:rPr lang="en-US" b="1">
                        <a:solidFill>
                          <a:schemeClr val="accent6">
                            <a:lumMod val="75000"/>
                          </a:schemeClr>
                        </a:solidFill>
                      </a:rPr>
                      <a:t>31.4%</a:t>
                    </a:r>
                  </a:p>
                </c:rich>
              </c:tx>
              <c:spPr/>
              <c:showCatName val="1"/>
              <c:showPercent val="1"/>
            </c:dLbl>
            <c:dLbl>
              <c:idx val="1"/>
              <c:layout>
                <c:manualLayout>
                  <c:x val="0.10545765986030745"/>
                  <c:y val="-9.954333399129589E-2"/>
                </c:manualLayout>
              </c:layout>
              <c:tx>
                <c:rich>
                  <a:bodyPr/>
                  <a:lstStyle/>
                  <a:p>
                    <a:pPr>
                      <a:defRPr lang="en-US" sz="800" b="1">
                        <a:solidFill>
                          <a:srgbClr val="00B050"/>
                        </a:solidFill>
                      </a:defRPr>
                    </a:pPr>
                    <a:r>
                      <a:rPr lang="en-US" b="1">
                        <a:solidFill>
                          <a:srgbClr val="00B050"/>
                        </a:solidFill>
                      </a:rPr>
                      <a:t>NNPS</a:t>
                    </a:r>
                    <a:r>
                      <a:rPr lang="en-US" b="1" baseline="0">
                        <a:solidFill>
                          <a:srgbClr val="00B050"/>
                        </a:solidFill>
                      </a:rPr>
                      <a:t> </a:t>
                    </a:r>
                    <a:r>
                      <a:rPr lang="en-US" b="1">
                        <a:solidFill>
                          <a:srgbClr val="00B050"/>
                        </a:solidFill>
                      </a:rPr>
                      <a:t>20.7%</a:t>
                    </a:r>
                  </a:p>
                </c:rich>
              </c:tx>
              <c:spPr/>
              <c:showCatName val="1"/>
              <c:showPercent val="1"/>
            </c:dLbl>
            <c:dLbl>
              <c:idx val="2"/>
              <c:layout>
                <c:manualLayout>
                  <c:x val="0.20502815766752724"/>
                  <c:y val="1.3027738021166121E-2"/>
                </c:manualLayout>
              </c:layout>
              <c:tx>
                <c:rich>
                  <a:bodyPr/>
                  <a:lstStyle/>
                  <a:p>
                    <a:r>
                      <a:rPr lang="en-US"/>
                      <a:t>RNGPS</a:t>
                    </a:r>
                    <a:r>
                      <a:rPr lang="en-US" baseline="0"/>
                      <a:t> </a:t>
                    </a:r>
                    <a:r>
                      <a:rPr lang="en-US"/>
                      <a:t>0.1%</a:t>
                    </a:r>
                  </a:p>
                </c:rich>
              </c:tx>
              <c:showCatName val="1"/>
              <c:showPercent val="1"/>
            </c:dLbl>
            <c:dLbl>
              <c:idx val="3"/>
              <c:layout>
                <c:manualLayout>
                  <c:x val="0.1748693828660858"/>
                  <c:y val="0.11030259909958998"/>
                </c:manualLayout>
              </c:layout>
              <c:tx>
                <c:rich>
                  <a:bodyPr/>
                  <a:lstStyle/>
                  <a:p>
                    <a:r>
                      <a:rPr lang="en-US"/>
                      <a:t>NRNGPS</a:t>
                    </a:r>
                    <a:r>
                      <a:rPr lang="en-US" baseline="0"/>
                      <a:t> 1.6</a:t>
                    </a:r>
                    <a:r>
                      <a:rPr lang="en-US"/>
                      <a:t>%</a:t>
                    </a:r>
                  </a:p>
                </c:rich>
              </c:tx>
              <c:showCatName val="1"/>
              <c:showPercent val="1"/>
            </c:dLbl>
            <c:dLbl>
              <c:idx val="4"/>
              <c:layout>
                <c:manualLayout>
                  <c:x val="-9.2922807113524145E-2"/>
                  <c:y val="0.10690196212427246"/>
                </c:manualLayout>
              </c:layout>
              <c:tx>
                <c:rich>
                  <a:bodyPr/>
                  <a:lstStyle/>
                  <a:p>
                    <a:r>
                      <a:rPr lang="en-US"/>
                      <a:t>Experimental </a:t>
                    </a:r>
                    <a:r>
                      <a:rPr lang="en-US" baseline="0"/>
                      <a:t> </a:t>
                    </a:r>
                    <a:r>
                      <a:rPr lang="en-US"/>
                      <a:t>0.05%</a:t>
                    </a:r>
                  </a:p>
                </c:rich>
              </c:tx>
              <c:showCatName val="1"/>
              <c:showPercent val="1"/>
            </c:dLbl>
            <c:dLbl>
              <c:idx val="5"/>
              <c:layout>
                <c:manualLayout>
                  <c:x val="-0.29495411978058284"/>
                  <c:y val="8.5360369421438265E-2"/>
                </c:manualLayout>
              </c:layout>
              <c:tx>
                <c:rich>
                  <a:bodyPr/>
                  <a:lstStyle/>
                  <a:p>
                    <a:r>
                      <a:rPr lang="en-US"/>
                      <a:t>Community </a:t>
                    </a:r>
                    <a:r>
                      <a:rPr lang="en-US" baseline="0"/>
                      <a:t> </a:t>
                    </a:r>
                    <a:r>
                      <a:rPr lang="en-US"/>
                      <a:t>0.1%</a:t>
                    </a:r>
                  </a:p>
                </c:rich>
              </c:tx>
              <c:showCatName val="1"/>
              <c:showPercent val="1"/>
            </c:dLbl>
            <c:dLbl>
              <c:idx val="6"/>
              <c:layout>
                <c:manualLayout>
                  <c:x val="-0.18059145549541514"/>
                  <c:y val="3.0330452303180003E-2"/>
                </c:manualLayout>
              </c:layout>
              <c:tx>
                <c:rich>
                  <a:bodyPr/>
                  <a:lstStyle/>
                  <a:p>
                    <a:r>
                      <a:rPr lang="en-US"/>
                      <a:t>ROSC 5.1%</a:t>
                    </a:r>
                  </a:p>
                </c:rich>
              </c:tx>
              <c:showCatName val="1"/>
              <c:showPercent val="1"/>
            </c:dLbl>
            <c:dLbl>
              <c:idx val="7"/>
              <c:layout>
                <c:manualLayout>
                  <c:x val="-0.2510023836832318"/>
                  <c:y val="-9.0316244634235186E-3"/>
                </c:manualLayout>
              </c:layout>
              <c:tx>
                <c:rich>
                  <a:bodyPr/>
                  <a:lstStyle/>
                  <a:p>
                    <a:r>
                      <a:rPr lang="en-US"/>
                      <a:t>Shishu Kollyan </a:t>
                    </a:r>
                    <a:r>
                      <a:rPr lang="en-US" baseline="0"/>
                      <a:t> </a:t>
                    </a:r>
                    <a:r>
                      <a:rPr lang="en-US"/>
                      <a:t>0.1%</a:t>
                    </a:r>
                  </a:p>
                </c:rich>
              </c:tx>
              <c:showCatName val="1"/>
              <c:showPercent val="1"/>
            </c:dLbl>
            <c:dLbl>
              <c:idx val="8"/>
              <c:layout>
                <c:manualLayout>
                  <c:x val="-0.20705931622542958"/>
                  <c:y val="-0.12224216635538022"/>
                </c:manualLayout>
              </c:layout>
              <c:tx>
                <c:rich>
                  <a:bodyPr/>
                  <a:lstStyle/>
                  <a:p>
                    <a:r>
                      <a:rPr lang="en-US"/>
                      <a:t>High Madrashahs Attached Ebtedayee</a:t>
                    </a:r>
                    <a:r>
                      <a:rPr lang="en-US" baseline="0"/>
                      <a:t> 4.6</a:t>
                    </a:r>
                    <a:r>
                      <a:rPr lang="en-US"/>
                      <a:t>%</a:t>
                    </a:r>
                  </a:p>
                </c:rich>
              </c:tx>
              <c:showCatName val="1"/>
              <c:showPercent val="1"/>
            </c:dLbl>
            <c:dLbl>
              <c:idx val="9"/>
              <c:layout>
                <c:manualLayout>
                  <c:x val="-0.21104436911454724"/>
                  <c:y val="-0.21351402391684141"/>
                </c:manualLayout>
              </c:layout>
              <c:tx>
                <c:rich>
                  <a:bodyPr/>
                  <a:lstStyle/>
                  <a:p>
                    <a:r>
                      <a:rPr lang="en-US"/>
                      <a:t>High School Attach Primary</a:t>
                    </a:r>
                    <a:r>
                      <a:rPr lang="en-US" baseline="0"/>
                      <a:t> </a:t>
                    </a:r>
                    <a:r>
                      <a:rPr lang="en-US"/>
                      <a:t>1.3%</a:t>
                    </a:r>
                  </a:p>
                </c:rich>
              </c:tx>
              <c:showCatName val="1"/>
              <c:showPercent val="1"/>
            </c:dLbl>
            <c:dLbl>
              <c:idx val="10"/>
              <c:layout>
                <c:manualLayout>
                  <c:x val="-0.2387495506755182"/>
                  <c:y val="-0.31909922355262132"/>
                </c:manualLayout>
              </c:layout>
              <c:tx>
                <c:rich>
                  <a:bodyPr/>
                  <a:lstStyle/>
                  <a:p>
                    <a:r>
                      <a:rPr lang="en-US"/>
                      <a:t>Ebtedayee Madrashahs (MoE)</a:t>
                    </a:r>
                    <a:r>
                      <a:rPr lang="en-US" baseline="0"/>
                      <a:t> </a:t>
                    </a:r>
                    <a:r>
                      <a:rPr lang="en-US"/>
                      <a:t>2.4%</a:t>
                    </a:r>
                  </a:p>
                </c:rich>
              </c:tx>
              <c:showCatName val="1"/>
              <c:showPercent val="1"/>
            </c:dLbl>
            <c:dLbl>
              <c:idx val="11"/>
              <c:layout>
                <c:manualLayout>
                  <c:x val="-0.10065585979868499"/>
                  <c:y val="-0.25783910451620379"/>
                </c:manualLayout>
              </c:layout>
              <c:tx>
                <c:rich>
                  <a:bodyPr/>
                  <a:lstStyle/>
                  <a:p>
                    <a:r>
                      <a:rPr lang="en-US"/>
                      <a:t>Kindergarten</a:t>
                    </a:r>
                    <a:r>
                      <a:rPr lang="en-US" baseline="0"/>
                      <a:t> </a:t>
                    </a:r>
                    <a:r>
                      <a:rPr lang="en-US"/>
                      <a:t>15%</a:t>
                    </a:r>
                  </a:p>
                </c:rich>
              </c:tx>
              <c:showCatName val="1"/>
              <c:showPercent val="1"/>
            </c:dLbl>
            <c:dLbl>
              <c:idx val="12"/>
              <c:layout>
                <c:manualLayout>
                  <c:x val="-8.5792562153192753E-2"/>
                  <c:y val="-0.14401410251913649"/>
                </c:manualLayout>
              </c:layout>
              <c:tx>
                <c:rich>
                  <a:bodyPr/>
                  <a:lstStyle/>
                  <a:p>
                    <a:r>
                      <a:rPr lang="en-US"/>
                      <a:t>NGO School (Grade1-5)</a:t>
                    </a:r>
                    <a:r>
                      <a:rPr lang="en-US" baseline="0"/>
                      <a:t> </a:t>
                    </a:r>
                    <a:r>
                      <a:rPr lang="en-US"/>
                      <a:t>2.2%</a:t>
                    </a:r>
                  </a:p>
                </c:rich>
              </c:tx>
              <c:showCatName val="1"/>
              <c:showPercent val="1"/>
            </c:dLbl>
            <c:dLbl>
              <c:idx val="13"/>
              <c:layout>
                <c:manualLayout>
                  <c:x val="-3.5614238606424466E-2"/>
                  <c:y val="-0.14328722928725984"/>
                </c:manualLayout>
              </c:layout>
              <c:tx>
                <c:rich>
                  <a:bodyPr/>
                  <a:lstStyle/>
                  <a:p>
                    <a:r>
                      <a:rPr lang="en-US"/>
                      <a:t>BRAC Center </a:t>
                    </a:r>
                    <a:r>
                      <a:rPr lang="en-US" baseline="0"/>
                      <a:t> </a:t>
                    </a:r>
                    <a:r>
                      <a:rPr lang="en-US"/>
                      <a:t>11.1%</a:t>
                    </a:r>
                  </a:p>
                </c:rich>
              </c:tx>
              <c:showCatName val="1"/>
              <c:showPercent val="1"/>
            </c:dLbl>
            <c:dLbl>
              <c:idx val="14"/>
              <c:layout>
                <c:manualLayout>
                  <c:x val="0.11353509816560278"/>
                  <c:y val="-8.9296135493028228E-2"/>
                </c:manualLayout>
              </c:layout>
              <c:tx>
                <c:rich>
                  <a:bodyPr/>
                  <a:lstStyle/>
                  <a:p>
                    <a:r>
                      <a:rPr lang="en-US"/>
                      <a:t>OTHERS</a:t>
                    </a:r>
                    <a:r>
                      <a:rPr lang="en-US" baseline="0"/>
                      <a:t> 4.</a:t>
                    </a:r>
                    <a:r>
                      <a:rPr lang="en-US"/>
                      <a:t>5%</a:t>
                    </a:r>
                  </a:p>
                </c:rich>
              </c:tx>
              <c:showCatName val="1"/>
              <c:showPercent val="1"/>
            </c:dLbl>
            <c:dLbl>
              <c:idx val="23"/>
              <c:layout>
                <c:manualLayout>
                  <c:x val="0.15965110459657544"/>
                  <c:y val="-8.0266956503514647E-2"/>
                </c:manualLayout>
              </c:layout>
              <c:showCatName val="1"/>
              <c:showPercent val="1"/>
            </c:dLbl>
            <c:dLbl>
              <c:idx val="24"/>
              <c:layout>
                <c:manualLayout>
                  <c:x val="0.14940226840958976"/>
                  <c:y val="-3.7849328583596457E-2"/>
                </c:manualLayout>
              </c:layout>
              <c:showCatName val="1"/>
              <c:showPercent val="1"/>
            </c:dLbl>
            <c:txPr>
              <a:bodyPr/>
              <a:lstStyle/>
              <a:p>
                <a:pPr>
                  <a:defRPr lang="en-US" sz="800"/>
                </a:pPr>
                <a:endParaRPr lang="en-US"/>
              </a:p>
            </c:txPr>
            <c:showCatName val="1"/>
            <c:showPercent val="1"/>
            <c:showLeaderLines val="1"/>
            <c:leaderLines>
              <c:spPr>
                <a:ln w="12700">
                  <a:solidFill>
                    <a:srgbClr val="4BACC6">
                      <a:lumMod val="50000"/>
                    </a:srgbClr>
                  </a:solidFill>
                </a:ln>
              </c:spPr>
            </c:leaderLines>
          </c:dLbls>
          <c:cat>
            <c:strRef>
              <c:f>'Figure 1.1'!$B$6:$B$20</c:f>
              <c:strCache>
                <c:ptCount val="15"/>
                <c:pt idx="0">
                  <c:v>GPS </c:v>
                </c:pt>
                <c:pt idx="1">
                  <c:v>NNPS</c:v>
                </c:pt>
                <c:pt idx="2">
                  <c:v>RNGPS</c:v>
                </c:pt>
                <c:pt idx="3">
                  <c:v>NRNGPS</c:v>
                </c:pt>
                <c:pt idx="4">
                  <c:v>Experimental </c:v>
                </c:pt>
                <c:pt idx="5">
                  <c:v>Community </c:v>
                </c:pt>
                <c:pt idx="6">
                  <c:v>ROSC </c:v>
                </c:pt>
                <c:pt idx="7">
                  <c:v>Shishu Kollyan </c:v>
                </c:pt>
                <c:pt idx="8">
                  <c:v>High Madrashahs Attached Ebtedayee</c:v>
                </c:pt>
                <c:pt idx="9">
                  <c:v>High School Attach Primary</c:v>
                </c:pt>
                <c:pt idx="10">
                  <c:v>Ebtedayee Madrashahs (MoE)</c:v>
                </c:pt>
                <c:pt idx="11">
                  <c:v>Kindergarten</c:v>
                </c:pt>
                <c:pt idx="12">
                  <c:v>NGO School (Grade1-5)</c:v>
                </c:pt>
                <c:pt idx="13">
                  <c:v>BRAC Center </c:v>
                </c:pt>
                <c:pt idx="14">
                  <c:v>Others LCs</c:v>
                </c:pt>
              </c:strCache>
            </c:strRef>
          </c:cat>
          <c:val>
            <c:numRef>
              <c:f>'Figure 1.1'!$C$6:$C$20</c:f>
              <c:numCache>
                <c:formatCode>#,##0</c:formatCode>
                <c:ptCount val="15"/>
                <c:pt idx="0">
                  <c:v>38306</c:v>
                </c:pt>
                <c:pt idx="1">
                  <c:v>25240</c:v>
                </c:pt>
                <c:pt idx="2" formatCode="General">
                  <c:v>112</c:v>
                </c:pt>
                <c:pt idx="3">
                  <c:v>1926</c:v>
                </c:pt>
                <c:pt idx="4" formatCode="General">
                  <c:v>55</c:v>
                </c:pt>
                <c:pt idx="5" formatCode="General">
                  <c:v>106</c:v>
                </c:pt>
                <c:pt idx="6">
                  <c:v>6258</c:v>
                </c:pt>
                <c:pt idx="7" formatCode="General">
                  <c:v>152</c:v>
                </c:pt>
                <c:pt idx="8">
                  <c:v>5599</c:v>
                </c:pt>
                <c:pt idx="9">
                  <c:v>1554</c:v>
                </c:pt>
                <c:pt idx="10">
                  <c:v>2877</c:v>
                </c:pt>
                <c:pt idx="11">
                  <c:v>18318</c:v>
                </c:pt>
                <c:pt idx="12">
                  <c:v>2680</c:v>
                </c:pt>
                <c:pt idx="13">
                  <c:v>13522</c:v>
                </c:pt>
                <c:pt idx="14">
                  <c:v>8221</c:v>
                </c:pt>
              </c:numCache>
            </c:numRef>
          </c:val>
        </c:ser>
        <c:firstSliceAng val="0"/>
      </c:pieChart>
    </c:plotArea>
    <c:plotVisOnly val="1"/>
    <c:dispBlanksAs val="zero"/>
  </c:chart>
  <c:spPr>
    <a:ln w="31750" cmpd="dbl">
      <a:solidFill>
        <a:schemeClr val="accent5">
          <a:lumMod val="50000"/>
        </a:schemeClr>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5"/>
  <c:chart>
    <c:plotArea>
      <c:layout/>
      <c:barChart>
        <c:barDir val="bar"/>
        <c:grouping val="stacked"/>
        <c:ser>
          <c:idx val="0"/>
          <c:order val="0"/>
          <c:tx>
            <c:strRef>
              <c:f>NSA_Maths_BAND!$U$4</c:f>
              <c:strCache>
                <c:ptCount val="1"/>
                <c:pt idx="0">
                  <c:v>Band 1</c:v>
                </c:pt>
              </c:strCache>
            </c:strRef>
          </c:tx>
          <c:dLbls>
            <c:dLbl>
              <c:idx val="3"/>
              <c:layout>
                <c:manualLayout>
                  <c:x val="8.7089048552144374E-3"/>
                  <c:y val="0"/>
                </c:manualLayout>
              </c:layout>
              <c:showVal val="1"/>
              <c:extLst>
                <c:ext xmlns:c15="http://schemas.microsoft.com/office/drawing/2012/chart" uri="{CE6537A1-D6FC-4f65-9D91-7224C49458BB}"/>
              </c:extLst>
            </c:dLbl>
            <c:spPr>
              <a:noFill/>
              <a:ln>
                <a:noFill/>
              </a:ln>
              <a:effectLst/>
            </c:spPr>
            <c:txPr>
              <a:bodyPr/>
              <a:lstStyle/>
              <a:p>
                <a:pPr>
                  <a:defRPr lang="en-US" sz="800"/>
                </a:pPr>
                <a:endParaRPr lang="en-US"/>
              </a:p>
            </c:txPr>
            <c:showVal val="1"/>
            <c:extLst>
              <c:ext xmlns:c15="http://schemas.microsoft.com/office/drawing/2012/chart" uri="{CE6537A1-D6FC-4f65-9D91-7224C49458BB}">
                <c15:showLeaderLines val="0"/>
              </c:ext>
            </c:extLst>
          </c:dLbls>
          <c:cat>
            <c:multiLvlStrRef>
              <c:f>NSA_Maths_BAND!$S$5:$T$8</c:f>
              <c:multiLvlStrCache>
                <c:ptCount val="4"/>
                <c:lvl>
                  <c:pt idx="0">
                    <c:v>Yr 2011</c:v>
                  </c:pt>
                  <c:pt idx="1">
                    <c:v>Yr 2013</c:v>
                  </c:pt>
                  <c:pt idx="2">
                    <c:v>Yr 2011</c:v>
                  </c:pt>
                  <c:pt idx="3">
                    <c:v>Yr 2013</c:v>
                  </c:pt>
                </c:lvl>
                <c:lvl>
                  <c:pt idx="0">
                    <c:v>Grade 3</c:v>
                  </c:pt>
                  <c:pt idx="2">
                    <c:v>Grade 5</c:v>
                  </c:pt>
                </c:lvl>
              </c:multiLvlStrCache>
            </c:multiLvlStrRef>
          </c:cat>
          <c:val>
            <c:numRef>
              <c:f>NSA_Maths_BAND!$U$5:$U$8</c:f>
              <c:numCache>
                <c:formatCode>###0%</c:formatCode>
                <c:ptCount val="4"/>
                <c:pt idx="0" formatCode="0%">
                  <c:v>0.18000000000000024</c:v>
                </c:pt>
                <c:pt idx="1">
                  <c:v>0.14693895248008587</c:v>
                </c:pt>
                <c:pt idx="3" formatCode="####%">
                  <c:v>9.5473435920476243E-3</c:v>
                </c:pt>
              </c:numCache>
            </c:numRef>
          </c:val>
        </c:ser>
        <c:ser>
          <c:idx val="1"/>
          <c:order val="1"/>
          <c:tx>
            <c:strRef>
              <c:f>NSA_Maths_BAND!$V$4</c:f>
              <c:strCache>
                <c:ptCount val="1"/>
                <c:pt idx="0">
                  <c:v>Band 2</c:v>
                </c:pt>
              </c:strCache>
            </c:strRef>
          </c:tx>
          <c:dLbls>
            <c:dLbl>
              <c:idx val="3"/>
              <c:layout>
                <c:manualLayout>
                  <c:x val="1.3390178918798921E-2"/>
                  <c:y val="0"/>
                </c:manualLayout>
              </c:layout>
              <c:showVal val="1"/>
              <c:extLst>
                <c:ext xmlns:c15="http://schemas.microsoft.com/office/drawing/2012/chart" uri="{CE6537A1-D6FC-4f65-9D91-7224C49458BB}"/>
              </c:extLst>
            </c:dLbl>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multiLvlStrRef>
              <c:f>NSA_Maths_BAND!$S$5:$T$8</c:f>
              <c:multiLvlStrCache>
                <c:ptCount val="4"/>
                <c:lvl>
                  <c:pt idx="0">
                    <c:v>Yr 2011</c:v>
                  </c:pt>
                  <c:pt idx="1">
                    <c:v>Yr 2013</c:v>
                  </c:pt>
                  <c:pt idx="2">
                    <c:v>Yr 2011</c:v>
                  </c:pt>
                  <c:pt idx="3">
                    <c:v>Yr 2013</c:v>
                  </c:pt>
                </c:lvl>
                <c:lvl>
                  <c:pt idx="0">
                    <c:v>Grade 3</c:v>
                  </c:pt>
                  <c:pt idx="2">
                    <c:v>Grade 5</c:v>
                  </c:pt>
                </c:lvl>
              </c:multiLvlStrCache>
            </c:multiLvlStrRef>
          </c:cat>
          <c:val>
            <c:numRef>
              <c:f>NSA_Maths_BAND!$V$5:$V$8</c:f>
              <c:numCache>
                <c:formatCode>###0%</c:formatCode>
                <c:ptCount val="4"/>
                <c:pt idx="0" formatCode="0%">
                  <c:v>0.32000000000001338</c:v>
                </c:pt>
                <c:pt idx="1">
                  <c:v>0.27909295872355183</c:v>
                </c:pt>
                <c:pt idx="2" formatCode="0%">
                  <c:v>0.05</c:v>
                </c:pt>
                <c:pt idx="3" formatCode="####%">
                  <c:v>9.9685499269910244E-2</c:v>
                </c:pt>
              </c:numCache>
            </c:numRef>
          </c:val>
        </c:ser>
        <c:ser>
          <c:idx val="2"/>
          <c:order val="2"/>
          <c:tx>
            <c:strRef>
              <c:f>NSA_Maths_BAND!$W$4</c:f>
              <c:strCache>
                <c:ptCount val="1"/>
                <c:pt idx="0">
                  <c:v>Band 3</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multiLvlStrRef>
              <c:f>NSA_Maths_BAND!$S$5:$T$8</c:f>
              <c:multiLvlStrCache>
                <c:ptCount val="4"/>
                <c:lvl>
                  <c:pt idx="0">
                    <c:v>Yr 2011</c:v>
                  </c:pt>
                  <c:pt idx="1">
                    <c:v>Yr 2013</c:v>
                  </c:pt>
                  <c:pt idx="2">
                    <c:v>Yr 2011</c:v>
                  </c:pt>
                  <c:pt idx="3">
                    <c:v>Yr 2013</c:v>
                  </c:pt>
                </c:lvl>
                <c:lvl>
                  <c:pt idx="0">
                    <c:v>Grade 3</c:v>
                  </c:pt>
                  <c:pt idx="2">
                    <c:v>Grade 5</c:v>
                  </c:pt>
                </c:lvl>
              </c:multiLvlStrCache>
            </c:multiLvlStrRef>
          </c:cat>
          <c:val>
            <c:numRef>
              <c:f>NSA_Maths_BAND!$W$5:$W$8</c:f>
              <c:numCache>
                <c:formatCode>###0%</c:formatCode>
                <c:ptCount val="4"/>
                <c:pt idx="0" formatCode="0%">
                  <c:v>0.35000000000000031</c:v>
                </c:pt>
                <c:pt idx="1">
                  <c:v>0.32691640652102238</c:v>
                </c:pt>
                <c:pt idx="2" formatCode="0%">
                  <c:v>0.29000000000000031</c:v>
                </c:pt>
                <c:pt idx="3" formatCode="####%">
                  <c:v>0.3039424912951304</c:v>
                </c:pt>
              </c:numCache>
            </c:numRef>
          </c:val>
        </c:ser>
        <c:ser>
          <c:idx val="3"/>
          <c:order val="3"/>
          <c:tx>
            <c:strRef>
              <c:f>NSA_Maths_BAND!$X$4</c:f>
              <c:strCache>
                <c:ptCount val="1"/>
                <c:pt idx="0">
                  <c:v>Band 4</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multiLvlStrRef>
              <c:f>NSA_Maths_BAND!$S$5:$T$8</c:f>
              <c:multiLvlStrCache>
                <c:ptCount val="4"/>
                <c:lvl>
                  <c:pt idx="0">
                    <c:v>Yr 2011</c:v>
                  </c:pt>
                  <c:pt idx="1">
                    <c:v>Yr 2013</c:v>
                  </c:pt>
                  <c:pt idx="2">
                    <c:v>Yr 2011</c:v>
                  </c:pt>
                  <c:pt idx="3">
                    <c:v>Yr 2013</c:v>
                  </c:pt>
                </c:lvl>
                <c:lvl>
                  <c:pt idx="0">
                    <c:v>Grade 3</c:v>
                  </c:pt>
                  <c:pt idx="2">
                    <c:v>Grade 5</c:v>
                  </c:pt>
                </c:lvl>
              </c:multiLvlStrCache>
            </c:multiLvlStrRef>
          </c:cat>
          <c:val>
            <c:numRef>
              <c:f>NSA_Maths_BAND!$X$5:$X$8</c:f>
              <c:numCache>
                <c:formatCode>###0%</c:formatCode>
                <c:ptCount val="4"/>
                <c:pt idx="0" formatCode="0%">
                  <c:v>0.14000000000000001</c:v>
                </c:pt>
                <c:pt idx="1">
                  <c:v>0.20356399583768744</c:v>
                </c:pt>
                <c:pt idx="2" formatCode="0%">
                  <c:v>0.34</c:v>
                </c:pt>
                <c:pt idx="3" formatCode="####%">
                  <c:v>0.3393799842750711</c:v>
                </c:pt>
              </c:numCache>
            </c:numRef>
          </c:val>
        </c:ser>
        <c:ser>
          <c:idx val="4"/>
          <c:order val="4"/>
          <c:tx>
            <c:strRef>
              <c:f>NSA_Maths_BAND!$Y$4</c:f>
              <c:strCache>
                <c:ptCount val="1"/>
                <c:pt idx="0">
                  <c:v>Band 5</c:v>
                </c:pt>
              </c:strCache>
            </c:strRef>
          </c:tx>
          <c:dLbls>
            <c:dLbl>
              <c:idx val="0"/>
              <c:layout>
                <c:manualLayout>
                  <c:x val="4.4633929729327934E-3"/>
                  <c:y val="0"/>
                </c:manualLayout>
              </c:layout>
              <c:showVal val="1"/>
              <c:extLst>
                <c:ext xmlns:c15="http://schemas.microsoft.com/office/drawing/2012/chart" uri="{CE6537A1-D6FC-4f65-9D91-7224C49458BB}"/>
              </c:extLst>
            </c:dLbl>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multiLvlStrRef>
              <c:f>NSA_Maths_BAND!$S$5:$T$8</c:f>
              <c:multiLvlStrCache>
                <c:ptCount val="4"/>
                <c:lvl>
                  <c:pt idx="0">
                    <c:v>Yr 2011</c:v>
                  </c:pt>
                  <c:pt idx="1">
                    <c:v>Yr 2013</c:v>
                  </c:pt>
                  <c:pt idx="2">
                    <c:v>Yr 2011</c:v>
                  </c:pt>
                  <c:pt idx="3">
                    <c:v>Yr 2013</c:v>
                  </c:pt>
                </c:lvl>
                <c:lvl>
                  <c:pt idx="0">
                    <c:v>Grade 3</c:v>
                  </c:pt>
                  <c:pt idx="2">
                    <c:v>Grade 5</c:v>
                  </c:pt>
                </c:lvl>
              </c:multiLvlStrCache>
            </c:multiLvlStrRef>
          </c:cat>
          <c:val>
            <c:numRef>
              <c:f>NSA_Maths_BAND!$Y$5:$Y$8</c:f>
              <c:numCache>
                <c:formatCode>###0%</c:formatCode>
                <c:ptCount val="4"/>
                <c:pt idx="0" formatCode="0%">
                  <c:v>1.0000000000000005E-2</c:v>
                </c:pt>
                <c:pt idx="1">
                  <c:v>4.3487686437739134E-2</c:v>
                </c:pt>
                <c:pt idx="2" formatCode="0%">
                  <c:v>0.32000000000001338</c:v>
                </c:pt>
                <c:pt idx="3" formatCode="####%">
                  <c:v>0.24744468156805069</c:v>
                </c:pt>
              </c:numCache>
            </c:numRef>
          </c:val>
        </c:ser>
        <c:gapWidth val="49"/>
        <c:overlap val="100"/>
        <c:axId val="134615040"/>
        <c:axId val="134616576"/>
      </c:barChart>
      <c:catAx>
        <c:axId val="134615040"/>
        <c:scaling>
          <c:orientation val="minMax"/>
        </c:scaling>
        <c:axPos val="l"/>
        <c:numFmt formatCode="General" sourceLinked="0"/>
        <c:tickLblPos val="nextTo"/>
        <c:txPr>
          <a:bodyPr/>
          <a:lstStyle/>
          <a:p>
            <a:pPr>
              <a:defRPr lang="en-US"/>
            </a:pPr>
            <a:endParaRPr lang="en-US"/>
          </a:p>
        </c:txPr>
        <c:crossAx val="134616576"/>
        <c:crosses val="autoZero"/>
        <c:auto val="1"/>
        <c:lblAlgn val="ctr"/>
        <c:lblOffset val="100"/>
      </c:catAx>
      <c:valAx>
        <c:axId val="134616576"/>
        <c:scaling>
          <c:orientation val="minMax"/>
          <c:max val="1"/>
        </c:scaling>
        <c:delete val="1"/>
        <c:axPos val="b"/>
        <c:numFmt formatCode="0%" sourceLinked="1"/>
        <c:tickLblPos val="none"/>
        <c:crossAx val="134615040"/>
        <c:crosses val="autoZero"/>
        <c:crossBetween val="between"/>
      </c:valAx>
    </c:plotArea>
    <c:legend>
      <c:legendPos val="b"/>
      <c:txPr>
        <a:bodyPr/>
        <a:lstStyle/>
        <a:p>
          <a:pPr>
            <a:defRPr lang="en-US"/>
          </a:pPr>
          <a:endParaRPr lang="en-US"/>
        </a:p>
      </c:txPr>
    </c:legend>
    <c:plotVisOnly val="1"/>
    <c:dispBlanksAs val="gap"/>
  </c:chart>
  <c:spPr>
    <a:solidFill>
      <a:srgbClr val="9BBB59">
        <a:lumMod val="20000"/>
        <a:lumOff val="80000"/>
      </a:srgbClr>
    </a:solidFill>
    <a:ln w="31750" cmpd="dbl">
      <a:solidFill>
        <a:srgbClr val="4BACC6">
          <a:lumMod val="50000"/>
        </a:srgbClr>
      </a:solidFill>
    </a:ln>
  </c:spPr>
  <c:txPr>
    <a:bodyPr/>
    <a:lstStyle/>
    <a:p>
      <a:pPr>
        <a:defRPr>
          <a:latin typeface="+mj-lt"/>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900"/>
            </a:pPr>
            <a:r>
              <a:rPr lang="en-US" sz="900" b="1" i="0" u="none" strike="noStrike" baseline="0"/>
              <a:t>By school Type </a:t>
            </a:r>
            <a:r>
              <a:rPr lang="en-US" sz="900"/>
              <a:t>Mean number of competencies</a:t>
            </a:r>
            <a:r>
              <a:rPr lang="en-US" sz="900" baseline="0"/>
              <a:t> </a:t>
            </a:r>
            <a:r>
              <a:rPr lang="en-US" sz="900"/>
              <a:t>achieved, 2000,</a:t>
            </a:r>
            <a:r>
              <a:rPr lang="en-US" sz="900" baseline="0"/>
              <a:t> 2008 and </a:t>
            </a:r>
            <a:r>
              <a:rPr lang="en-US" sz="900"/>
              <a:t>2014 </a:t>
            </a:r>
          </a:p>
        </c:rich>
      </c:tx>
    </c:title>
    <c:plotArea>
      <c:layout>
        <c:manualLayout>
          <c:layoutTarget val="inner"/>
          <c:xMode val="edge"/>
          <c:yMode val="edge"/>
          <c:x val="0.14238558415492344"/>
          <c:y val="0.22529749067991442"/>
          <c:w val="0.57982708043851372"/>
          <c:h val="0.63677951084143192"/>
        </c:manualLayout>
      </c:layout>
      <c:lineChart>
        <c:grouping val="standard"/>
        <c:ser>
          <c:idx val="0"/>
          <c:order val="0"/>
          <c:tx>
            <c:v>GPS</c:v>
          </c:tx>
          <c:marker>
            <c:symbol val="none"/>
          </c:marker>
          <c:dLbls>
            <c:dLbl>
              <c:idx val="0"/>
              <c:layout>
                <c:manualLayout>
                  <c:x val="-0.15126050420168066"/>
                  <c:y val="1.2738853503184714E-2"/>
                </c:manualLayout>
              </c:layout>
              <c:showVal val="1"/>
            </c:dLbl>
            <c:dLbl>
              <c:idx val="1"/>
              <c:layout>
                <c:manualLayout>
                  <c:x val="-1.120448179271847E-2"/>
                  <c:y val="-2.9723991507430998E-2"/>
                </c:manualLayout>
              </c:layout>
              <c:showVal val="1"/>
            </c:dLbl>
            <c:txPr>
              <a:bodyPr/>
              <a:lstStyle/>
              <a:p>
                <a:pPr>
                  <a:defRPr lang="en-US" sz="800"/>
                </a:pPr>
                <a:endParaRPr lang="en-US"/>
              </a:p>
            </c:txPr>
            <c:showVal val="1"/>
          </c:dLbls>
          <c:cat>
            <c:numLit>
              <c:formatCode>General</c:formatCode>
              <c:ptCount val="2"/>
              <c:pt idx="0">
                <c:v>2000</c:v>
              </c:pt>
              <c:pt idx="1">
                <c:v>2014</c:v>
              </c:pt>
            </c:numLit>
          </c:cat>
          <c:val>
            <c:numRef>
              <c:f>'Fig3.3 '!$B$5:$C$5</c:f>
              <c:numCache>
                <c:formatCode>General</c:formatCode>
                <c:ptCount val="2"/>
                <c:pt idx="0">
                  <c:v>16.100000000000001</c:v>
                </c:pt>
                <c:pt idx="1">
                  <c:v>20.399999999999999</c:v>
                </c:pt>
              </c:numCache>
            </c:numRef>
          </c:val>
        </c:ser>
        <c:ser>
          <c:idx val="1"/>
          <c:order val="1"/>
          <c:tx>
            <c:v>NNPS</c:v>
          </c:tx>
          <c:marker>
            <c:symbol val="none"/>
          </c:marker>
          <c:dLbls>
            <c:dLbl>
              <c:idx val="0"/>
              <c:layout>
                <c:manualLayout>
                  <c:x val="-0.14565826330532244"/>
                  <c:y val="3.8216560509554152E-2"/>
                </c:manualLayout>
              </c:layout>
              <c:spPr/>
              <c:txPr>
                <a:bodyPr/>
                <a:lstStyle/>
                <a:p>
                  <a:pPr>
                    <a:defRPr lang="en-US" sz="800"/>
                  </a:pPr>
                  <a:endParaRPr lang="en-US"/>
                </a:p>
              </c:txPr>
              <c:showVal val="1"/>
            </c:dLbl>
            <c:dLbl>
              <c:idx val="1"/>
              <c:layout>
                <c:manualLayout>
                  <c:x val="-1.6806722689076101E-2"/>
                  <c:y val="1.6985138004246343E-2"/>
                </c:manualLayout>
              </c:layout>
              <c:spPr/>
              <c:txPr>
                <a:bodyPr/>
                <a:lstStyle/>
                <a:p>
                  <a:pPr>
                    <a:defRPr lang="en-US" sz="800"/>
                  </a:pPr>
                  <a:endParaRPr lang="en-US"/>
                </a:p>
              </c:txPr>
              <c:showVal val="1"/>
            </c:dLbl>
            <c:txPr>
              <a:bodyPr/>
              <a:lstStyle/>
              <a:p>
                <a:pPr>
                  <a:defRPr lang="en-US"/>
                </a:pPr>
                <a:endParaRPr lang="en-US"/>
              </a:p>
            </c:txPr>
            <c:showVal val="1"/>
          </c:dLbls>
          <c:cat>
            <c:numLit>
              <c:formatCode>General</c:formatCode>
              <c:ptCount val="2"/>
              <c:pt idx="0">
                <c:v>2000</c:v>
              </c:pt>
              <c:pt idx="1">
                <c:v>2014</c:v>
              </c:pt>
            </c:numLit>
          </c:cat>
          <c:val>
            <c:numRef>
              <c:f>'Fig3.3 '!$B$6:$C$6</c:f>
              <c:numCache>
                <c:formatCode>General</c:formatCode>
                <c:ptCount val="2"/>
                <c:pt idx="0">
                  <c:v>15.2</c:v>
                </c:pt>
                <c:pt idx="1">
                  <c:v>18.3</c:v>
                </c:pt>
              </c:numCache>
            </c:numRef>
          </c:val>
        </c:ser>
        <c:ser>
          <c:idx val="2"/>
          <c:order val="2"/>
          <c:tx>
            <c:v>Non-Formal</c:v>
          </c:tx>
          <c:marker>
            <c:symbol val="none"/>
          </c:marker>
          <c:dLbls>
            <c:dLbl>
              <c:idx val="0"/>
              <c:layout>
                <c:manualLayout>
                  <c:x val="-0.14565826330532244"/>
                  <c:y val="-1.2738853503184714E-2"/>
                </c:manualLayout>
              </c:layout>
              <c:showVal val="1"/>
            </c:dLbl>
            <c:dLbl>
              <c:idx val="1"/>
              <c:layout>
                <c:manualLayout>
                  <c:x val="-1.6806722689076101E-2"/>
                  <c:y val="1.2738853503184714E-2"/>
                </c:manualLayout>
              </c:layout>
              <c:showVal val="1"/>
            </c:dLbl>
            <c:txPr>
              <a:bodyPr/>
              <a:lstStyle/>
              <a:p>
                <a:pPr>
                  <a:defRPr lang="en-US" sz="800"/>
                </a:pPr>
                <a:endParaRPr lang="en-US"/>
              </a:p>
            </c:txPr>
            <c:showVal val="1"/>
          </c:dLbls>
          <c:cat>
            <c:numLit>
              <c:formatCode>General</c:formatCode>
              <c:ptCount val="2"/>
              <c:pt idx="0">
                <c:v>2000</c:v>
              </c:pt>
              <c:pt idx="1">
                <c:v>2014</c:v>
              </c:pt>
            </c:numLit>
          </c:cat>
          <c:val>
            <c:numRef>
              <c:f>'Fig3.3 '!$B$7:$C$7</c:f>
              <c:numCache>
                <c:formatCode>General</c:formatCode>
                <c:ptCount val="2"/>
                <c:pt idx="0">
                  <c:v>17.2</c:v>
                </c:pt>
                <c:pt idx="1">
                  <c:v>19.899999999999999</c:v>
                </c:pt>
              </c:numCache>
            </c:numRef>
          </c:val>
        </c:ser>
        <c:marker val="1"/>
        <c:axId val="134664576"/>
        <c:axId val="134666112"/>
      </c:lineChart>
      <c:catAx>
        <c:axId val="134664576"/>
        <c:scaling>
          <c:orientation val="minMax"/>
        </c:scaling>
        <c:axPos val="b"/>
        <c:numFmt formatCode="General" sourceLinked="1"/>
        <c:majorTickMark val="none"/>
        <c:tickLblPos val="nextTo"/>
        <c:txPr>
          <a:bodyPr/>
          <a:lstStyle/>
          <a:p>
            <a:pPr>
              <a:defRPr lang="en-US" sz="800"/>
            </a:pPr>
            <a:endParaRPr lang="en-US"/>
          </a:p>
        </c:txPr>
        <c:crossAx val="134666112"/>
        <c:crosses val="autoZero"/>
        <c:auto val="1"/>
        <c:lblAlgn val="ctr"/>
        <c:lblOffset val="100"/>
      </c:catAx>
      <c:valAx>
        <c:axId val="134666112"/>
        <c:scaling>
          <c:orientation val="minMax"/>
          <c:max val="27"/>
          <c:min val="0"/>
        </c:scaling>
        <c:axPos val="l"/>
        <c:numFmt formatCode="General" sourceLinked="1"/>
        <c:majorTickMark val="none"/>
        <c:tickLblPos val="nextTo"/>
        <c:txPr>
          <a:bodyPr/>
          <a:lstStyle/>
          <a:p>
            <a:pPr>
              <a:defRPr lang="en-US" sz="800"/>
            </a:pPr>
            <a:endParaRPr lang="en-US"/>
          </a:p>
        </c:txPr>
        <c:crossAx val="134664576"/>
        <c:crosses val="autoZero"/>
        <c:crossBetween val="between"/>
        <c:majorUnit val="9"/>
        <c:minorUnit val="0.60000000000000064"/>
      </c:valAx>
    </c:plotArea>
    <c:legend>
      <c:legendPos val="r"/>
      <c:layout>
        <c:manualLayout>
          <c:xMode val="edge"/>
          <c:yMode val="edge"/>
          <c:x val="0.53422870921622556"/>
          <c:y val="0.56748282260895733"/>
          <c:w val="0.46577129078377399"/>
          <c:h val="0.18129595265560094"/>
        </c:manualLayout>
      </c:layout>
      <c:txPr>
        <a:bodyPr/>
        <a:lstStyle/>
        <a:p>
          <a:pPr>
            <a:defRPr lang="en-US" sz="800" b="1"/>
          </a:pPr>
          <a:endParaRPr lang="en-US"/>
        </a:p>
      </c:txPr>
    </c:legend>
    <c:plotVisOnly val="1"/>
    <c:dispBlanksAs val="gap"/>
  </c:chart>
  <c:spPr>
    <a:ln w="31750" cmpd="dbl">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US" sz="1000"/>
            </a:pPr>
            <a:r>
              <a:rPr lang="en-GB" sz="1000" b="1"/>
              <a:t>Trends in Mean No. of </a:t>
            </a:r>
            <a:r>
              <a:rPr lang="en-GB" sz="900" b="1"/>
              <a:t>Competencies</a:t>
            </a:r>
            <a:r>
              <a:rPr lang="en-GB" sz="1000" b="1"/>
              <a:t> Achieved by School Type and Gender 2000, 2008 and 2014</a:t>
            </a:r>
            <a:endParaRPr lang="en-US" sz="1000" b="1"/>
          </a:p>
        </c:rich>
      </c:tx>
      <c:layout>
        <c:manualLayout>
          <c:xMode val="edge"/>
          <c:yMode val="edge"/>
          <c:x val="0.10679316888046021"/>
          <c:y val="4.2105263157894736E-2"/>
        </c:manualLayout>
      </c:layout>
    </c:title>
    <c:plotArea>
      <c:layout>
        <c:manualLayout>
          <c:layoutTarget val="inner"/>
          <c:xMode val="edge"/>
          <c:yMode val="edge"/>
          <c:x val="0.17081026162052323"/>
          <c:y val="0.23452034811438044"/>
          <c:w val="0.78744400782919965"/>
          <c:h val="0.45846100290095332"/>
        </c:manualLayout>
      </c:layout>
      <c:barChart>
        <c:barDir val="col"/>
        <c:grouping val="clustered"/>
        <c:ser>
          <c:idx val="0"/>
          <c:order val="0"/>
          <c:tx>
            <c:strRef>
              <c:f>'Fig3.3 '!$A$20</c:f>
              <c:strCache>
                <c:ptCount val="1"/>
                <c:pt idx="0">
                  <c:v>2000</c:v>
                </c:pt>
              </c:strCache>
            </c:strRef>
          </c:tx>
          <c:cat>
            <c:strRef>
              <c:f>'Fig3.3 '!$B$19:$D$19</c:f>
              <c:strCache>
                <c:ptCount val="3"/>
                <c:pt idx="0">
                  <c:v>Boys</c:v>
                </c:pt>
                <c:pt idx="1">
                  <c:v>Girls</c:v>
                </c:pt>
                <c:pt idx="2">
                  <c:v>All</c:v>
                </c:pt>
              </c:strCache>
            </c:strRef>
          </c:cat>
          <c:val>
            <c:numRef>
              <c:f>'Fig3.3 '!$B$20:$D$20</c:f>
              <c:numCache>
                <c:formatCode>General</c:formatCode>
                <c:ptCount val="3"/>
                <c:pt idx="0">
                  <c:v>16.7</c:v>
                </c:pt>
                <c:pt idx="1">
                  <c:v>15.5</c:v>
                </c:pt>
                <c:pt idx="2">
                  <c:v>16.100000000000001</c:v>
                </c:pt>
              </c:numCache>
            </c:numRef>
          </c:val>
        </c:ser>
        <c:ser>
          <c:idx val="1"/>
          <c:order val="1"/>
          <c:tx>
            <c:strRef>
              <c:f>'Fig3.3 '!$A$21</c:f>
              <c:strCache>
                <c:ptCount val="1"/>
                <c:pt idx="0">
                  <c:v>2008</c:v>
                </c:pt>
              </c:strCache>
            </c:strRef>
          </c:tx>
          <c:cat>
            <c:strRef>
              <c:f>'Fig3.3 '!$B$19:$D$19</c:f>
              <c:strCache>
                <c:ptCount val="3"/>
                <c:pt idx="0">
                  <c:v>Boys</c:v>
                </c:pt>
                <c:pt idx="1">
                  <c:v>Girls</c:v>
                </c:pt>
                <c:pt idx="2">
                  <c:v>All</c:v>
                </c:pt>
              </c:strCache>
            </c:strRef>
          </c:cat>
          <c:val>
            <c:numRef>
              <c:f>'Fig3.3 '!$B$21:$D$21</c:f>
              <c:numCache>
                <c:formatCode>General</c:formatCode>
                <c:ptCount val="3"/>
                <c:pt idx="0">
                  <c:v>19.3</c:v>
                </c:pt>
                <c:pt idx="1">
                  <c:v>18.2</c:v>
                </c:pt>
                <c:pt idx="2">
                  <c:v>18.7</c:v>
                </c:pt>
              </c:numCache>
            </c:numRef>
          </c:val>
        </c:ser>
        <c:ser>
          <c:idx val="2"/>
          <c:order val="2"/>
          <c:tx>
            <c:strRef>
              <c:f>'Fig3.3 '!$A$22</c:f>
              <c:strCache>
                <c:ptCount val="1"/>
                <c:pt idx="0">
                  <c:v>2014</c:v>
                </c:pt>
              </c:strCache>
            </c:strRef>
          </c:tx>
          <c:cat>
            <c:strRef>
              <c:f>'Fig3.3 '!$B$19:$D$19</c:f>
              <c:strCache>
                <c:ptCount val="3"/>
                <c:pt idx="0">
                  <c:v>Boys</c:v>
                </c:pt>
                <c:pt idx="1">
                  <c:v>Girls</c:v>
                </c:pt>
                <c:pt idx="2">
                  <c:v>All</c:v>
                </c:pt>
              </c:strCache>
            </c:strRef>
          </c:cat>
          <c:val>
            <c:numRef>
              <c:f>'Fig3.3 '!$B$22:$D$22</c:f>
              <c:numCache>
                <c:formatCode>General</c:formatCode>
                <c:ptCount val="3"/>
                <c:pt idx="0">
                  <c:v>19.8</c:v>
                </c:pt>
                <c:pt idx="1">
                  <c:v>21.6</c:v>
                </c:pt>
                <c:pt idx="2">
                  <c:v>20.100000000000001</c:v>
                </c:pt>
              </c:numCache>
            </c:numRef>
          </c:val>
        </c:ser>
        <c:axId val="134708224"/>
        <c:axId val="134714112"/>
      </c:barChart>
      <c:catAx>
        <c:axId val="134708224"/>
        <c:scaling>
          <c:orientation val="minMax"/>
        </c:scaling>
        <c:axPos val="b"/>
        <c:majorTickMark val="none"/>
        <c:tickLblPos val="nextTo"/>
        <c:txPr>
          <a:bodyPr/>
          <a:lstStyle/>
          <a:p>
            <a:pPr>
              <a:defRPr lang="en-US"/>
            </a:pPr>
            <a:endParaRPr lang="en-US"/>
          </a:p>
        </c:txPr>
        <c:crossAx val="134714112"/>
        <c:crosses val="autoZero"/>
        <c:auto val="1"/>
        <c:lblAlgn val="ctr"/>
        <c:lblOffset val="100"/>
      </c:catAx>
      <c:valAx>
        <c:axId val="134714112"/>
        <c:scaling>
          <c:orientation val="minMax"/>
          <c:max val="27"/>
        </c:scaling>
        <c:axPos val="l"/>
        <c:majorGridlines/>
        <c:numFmt formatCode="General" sourceLinked="1"/>
        <c:majorTickMark val="none"/>
        <c:tickLblPos val="nextTo"/>
        <c:txPr>
          <a:bodyPr/>
          <a:lstStyle/>
          <a:p>
            <a:pPr>
              <a:defRPr lang="en-US" sz="800"/>
            </a:pPr>
            <a:endParaRPr lang="en-US"/>
          </a:p>
        </c:txPr>
        <c:crossAx val="134708224"/>
        <c:crosses val="autoZero"/>
        <c:crossBetween val="between"/>
        <c:majorUnit val="3"/>
      </c:valAx>
      <c:dTable>
        <c:showHorzBorder val="1"/>
        <c:showVertBorder val="1"/>
        <c:showOutline val="1"/>
        <c:showKeys val="1"/>
        <c:txPr>
          <a:bodyPr/>
          <a:lstStyle/>
          <a:p>
            <a:pPr rtl="0">
              <a:defRPr lang="en-US" sz="800"/>
            </a:pPr>
            <a:endParaRPr lang="en-US"/>
          </a:p>
        </c:txPr>
      </c:dTable>
    </c:plotArea>
    <c:plotVisOnly val="1"/>
    <c:dispBlanksAs val="gap"/>
  </c:chart>
  <c:spPr>
    <a:ln w="31750" cmpd="dbl">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4092034405549049E-2"/>
          <c:y val="0.11774377981792312"/>
          <c:w val="0.89142271239467363"/>
          <c:h val="0.58231770567612329"/>
        </c:manualLayout>
      </c:layout>
      <c:barChart>
        <c:barDir val="col"/>
        <c:grouping val="clustered"/>
        <c:ser>
          <c:idx val="0"/>
          <c:order val="0"/>
          <c:spPr>
            <a:solidFill>
              <a:srgbClr val="008000"/>
            </a:solidFill>
          </c:spPr>
          <c:dPt>
            <c:idx val="0"/>
            <c:spPr>
              <a:solidFill>
                <a:schemeClr val="accent6">
                  <a:lumMod val="75000"/>
                </a:schemeClr>
              </a:solidFill>
            </c:spPr>
          </c:dPt>
          <c:dPt>
            <c:idx val="1"/>
            <c:spPr>
              <a:solidFill>
                <a:schemeClr val="accent6">
                  <a:lumMod val="75000"/>
                </a:schemeClr>
              </a:solidFill>
            </c:spPr>
          </c:dPt>
          <c:dPt>
            <c:idx val="2"/>
            <c:spPr>
              <a:solidFill>
                <a:schemeClr val="accent6">
                  <a:lumMod val="75000"/>
                </a:schemeClr>
              </a:solidFill>
            </c:spPr>
          </c:dPt>
          <c:dPt>
            <c:idx val="3"/>
            <c:spPr>
              <a:solidFill>
                <a:schemeClr val="accent6">
                  <a:lumMod val="75000"/>
                </a:schemeClr>
              </a:solidFill>
            </c:spPr>
          </c:dPt>
          <c:dPt>
            <c:idx val="4"/>
            <c:spPr>
              <a:solidFill>
                <a:schemeClr val="accent6">
                  <a:lumMod val="75000"/>
                </a:schemeClr>
              </a:solidFill>
            </c:spPr>
          </c:dPt>
          <c:dPt>
            <c:idx val="7"/>
            <c:spPr>
              <a:solidFill>
                <a:schemeClr val="accent6">
                  <a:lumMod val="75000"/>
                </a:schemeClr>
              </a:solidFill>
            </c:spPr>
          </c:dPt>
          <c:dPt>
            <c:idx val="8"/>
            <c:spPr>
              <a:solidFill>
                <a:schemeClr val="accent6">
                  <a:lumMod val="75000"/>
                </a:schemeClr>
              </a:solidFill>
            </c:spPr>
          </c:dPt>
          <c:dPt>
            <c:idx val="11"/>
            <c:spPr>
              <a:solidFill>
                <a:schemeClr val="accent6">
                  <a:lumMod val="60000"/>
                  <a:lumOff val="40000"/>
                </a:schemeClr>
              </a:solidFill>
            </c:spPr>
          </c:dPt>
          <c:dPt>
            <c:idx val="12"/>
            <c:spPr>
              <a:solidFill>
                <a:schemeClr val="accent6">
                  <a:lumMod val="60000"/>
                  <a:lumOff val="40000"/>
                </a:schemeClr>
              </a:solidFill>
            </c:spPr>
          </c:dPt>
          <c:dPt>
            <c:idx val="14"/>
            <c:spPr>
              <a:solidFill>
                <a:schemeClr val="accent6">
                  <a:lumMod val="75000"/>
                </a:schemeClr>
              </a:solidFill>
            </c:spPr>
          </c:dPt>
          <c:dPt>
            <c:idx val="15"/>
            <c:spPr>
              <a:solidFill>
                <a:schemeClr val="accent6">
                  <a:lumMod val="75000"/>
                </a:schemeClr>
              </a:solidFill>
            </c:spPr>
          </c:dPt>
          <c:dPt>
            <c:idx val="16"/>
            <c:spPr>
              <a:solidFill>
                <a:srgbClr val="3333FF"/>
              </a:solidFill>
            </c:spPr>
          </c:dPt>
          <c:dPt>
            <c:idx val="17"/>
            <c:spPr>
              <a:solidFill>
                <a:srgbClr val="3333FF"/>
              </a:solidFill>
            </c:spPr>
          </c:dPt>
          <c:dLbls>
            <c:dLbl>
              <c:idx val="0"/>
              <c:layout>
                <c:manualLayout>
                  <c:x val="-2.2259321090706652E-3"/>
                  <c:y val="2.1929479209835588E-2"/>
                </c:manualLayout>
              </c:layout>
              <c:tx>
                <c:rich>
                  <a:bodyPr/>
                  <a:lstStyle/>
                  <a:p>
                    <a:pPr>
                      <a:defRPr lang="en-US" sz="800" b="1">
                        <a:solidFill>
                          <a:schemeClr val="accent6">
                            <a:lumMod val="75000"/>
                          </a:schemeClr>
                        </a:solidFill>
                      </a:defRPr>
                    </a:pPr>
                    <a:r>
                      <a:rPr lang="en-US" sz="800">
                        <a:solidFill>
                          <a:schemeClr val="accent6">
                            <a:lumMod val="75000"/>
                          </a:schemeClr>
                        </a:solidFill>
                      </a:rPr>
                      <a:t>98.8</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1"/>
              <c:tx>
                <c:rich>
                  <a:bodyPr/>
                  <a:lstStyle/>
                  <a:p>
                    <a:pPr>
                      <a:defRPr lang="en-US" sz="800" b="1">
                        <a:solidFill>
                          <a:schemeClr val="accent6">
                            <a:lumMod val="75000"/>
                          </a:schemeClr>
                        </a:solidFill>
                      </a:defRPr>
                    </a:pPr>
                    <a:r>
                      <a:rPr lang="en-US" sz="800">
                        <a:solidFill>
                          <a:schemeClr val="accent6">
                            <a:lumMod val="75000"/>
                          </a:schemeClr>
                        </a:solidFill>
                      </a:rPr>
                      <a:t>97.6</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2"/>
              <c:layout>
                <c:manualLayout>
                  <c:x val="0"/>
                  <c:y val="2.1929824561403542E-2"/>
                </c:manualLayout>
              </c:layout>
              <c:tx>
                <c:rich>
                  <a:bodyPr/>
                  <a:lstStyle/>
                  <a:p>
                    <a:pPr>
                      <a:defRPr lang="en-US" sz="800" b="1">
                        <a:solidFill>
                          <a:schemeClr val="accent6">
                            <a:lumMod val="75000"/>
                          </a:schemeClr>
                        </a:solidFill>
                      </a:defRPr>
                    </a:pPr>
                    <a:r>
                      <a:rPr lang="en-US" sz="800">
                        <a:solidFill>
                          <a:schemeClr val="accent6">
                            <a:lumMod val="75000"/>
                          </a:schemeClr>
                        </a:solidFill>
                      </a:rPr>
                      <a:t>99.2</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3"/>
              <c:layout>
                <c:manualLayout>
                  <c:x val="4.4301694539820979E-3"/>
                  <c:y val="1.87916158367528E-2"/>
                </c:manualLayout>
              </c:layout>
              <c:tx>
                <c:rich>
                  <a:bodyPr/>
                  <a:lstStyle/>
                  <a:p>
                    <a:pPr>
                      <a:defRPr lang="en-US" sz="800" b="1">
                        <a:solidFill>
                          <a:schemeClr val="accent6">
                            <a:lumMod val="75000"/>
                          </a:schemeClr>
                        </a:solidFill>
                      </a:defRPr>
                    </a:pPr>
                    <a:r>
                      <a:rPr lang="en-US" sz="800">
                        <a:solidFill>
                          <a:schemeClr val="accent6">
                            <a:lumMod val="75000"/>
                          </a:schemeClr>
                        </a:solidFill>
                      </a:rPr>
                      <a:t>99.7</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4"/>
              <c:layout>
                <c:manualLayout>
                  <c:x val="0"/>
                  <c:y val="1.3157894736842111E-2"/>
                </c:manualLayout>
              </c:layout>
              <c:tx>
                <c:rich>
                  <a:bodyPr/>
                  <a:lstStyle/>
                  <a:p>
                    <a:pPr>
                      <a:defRPr lang="en-US" sz="800" b="1">
                        <a:solidFill>
                          <a:schemeClr val="accent6">
                            <a:lumMod val="75000"/>
                          </a:schemeClr>
                        </a:solidFill>
                      </a:defRPr>
                    </a:pPr>
                    <a:r>
                      <a:rPr lang="en-US" sz="800">
                        <a:solidFill>
                          <a:schemeClr val="accent6">
                            <a:lumMod val="75000"/>
                          </a:schemeClr>
                        </a:solidFill>
                      </a:rPr>
                      <a:t>98.4</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5"/>
              <c:layout>
                <c:manualLayout>
                  <c:x val="4.0609417538050246E-17"/>
                  <c:y val="1.1267605633803517E-2"/>
                </c:manualLayout>
              </c:layout>
              <c:tx>
                <c:rich>
                  <a:bodyPr/>
                  <a:lstStyle/>
                  <a:p>
                    <a:r>
                      <a:rPr lang="en-US" sz="800"/>
                      <a:t>99.4</a:t>
                    </a:r>
                    <a:r>
                      <a:rPr lang="en-US" sz="800" b="1" i="0" u="none" strike="noStrike" baseline="0"/>
                      <a:t>%</a:t>
                    </a:r>
                    <a:endParaRPr lang="en-US" sz="800"/>
                  </a:p>
                </c:rich>
              </c:tx>
              <c:showVal val="1"/>
            </c:dLbl>
            <c:dLbl>
              <c:idx val="6"/>
              <c:layout>
                <c:manualLayout>
                  <c:x val="0"/>
                  <c:y val="3.1306643007652214E-2"/>
                </c:manualLayout>
              </c:layout>
              <c:tx>
                <c:rich>
                  <a:bodyPr/>
                  <a:lstStyle/>
                  <a:p>
                    <a:r>
                      <a:rPr lang="en-US" sz="800"/>
                      <a:t>97.2</a:t>
                    </a:r>
                    <a:r>
                      <a:rPr lang="en-US" sz="800" b="1" i="0" u="none" strike="noStrike" baseline="0"/>
                      <a:t>%</a:t>
                    </a:r>
                    <a:endParaRPr lang="en-US" sz="800"/>
                  </a:p>
                </c:rich>
              </c:tx>
              <c:showVal val="1"/>
            </c:dLbl>
            <c:dLbl>
              <c:idx val="7"/>
              <c:layout>
                <c:manualLayout>
                  <c:x val="-3.2615814484041259E-5"/>
                  <c:y val="1.87916158367528E-2"/>
                </c:manualLayout>
              </c:layout>
              <c:tx>
                <c:rich>
                  <a:bodyPr/>
                  <a:lstStyle/>
                  <a:p>
                    <a:pPr>
                      <a:defRPr lang="en-US" sz="800" b="1">
                        <a:solidFill>
                          <a:schemeClr val="accent6">
                            <a:lumMod val="75000"/>
                          </a:schemeClr>
                        </a:solidFill>
                      </a:defRPr>
                    </a:pPr>
                    <a:r>
                      <a:rPr lang="en-US" sz="800">
                        <a:solidFill>
                          <a:schemeClr val="accent6">
                            <a:lumMod val="75000"/>
                          </a:schemeClr>
                        </a:solidFill>
                      </a:rPr>
                      <a:t>96.5</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8"/>
              <c:layout>
                <c:manualLayout>
                  <c:x val="0"/>
                  <c:y val="2.2535211267607012E-2"/>
                </c:manualLayout>
              </c:layout>
              <c:tx>
                <c:rich>
                  <a:bodyPr/>
                  <a:lstStyle/>
                  <a:p>
                    <a:pPr>
                      <a:defRPr lang="en-US" sz="800" b="1">
                        <a:solidFill>
                          <a:schemeClr val="accent6">
                            <a:lumMod val="75000"/>
                          </a:schemeClr>
                        </a:solidFill>
                      </a:defRPr>
                    </a:pPr>
                    <a:r>
                      <a:rPr lang="en-US" sz="800">
                        <a:solidFill>
                          <a:schemeClr val="accent6">
                            <a:lumMod val="75000"/>
                          </a:schemeClr>
                        </a:solidFill>
                      </a:rPr>
                      <a:t>96.2</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9"/>
              <c:layout>
                <c:manualLayout>
                  <c:x val="-2.2259321090706751E-3"/>
                  <c:y val="1.3157894736842111E-2"/>
                </c:manualLayout>
              </c:layout>
              <c:tx>
                <c:rich>
                  <a:bodyPr/>
                  <a:lstStyle/>
                  <a:p>
                    <a:r>
                      <a:rPr lang="en-US" sz="800"/>
                      <a:t>99.4</a:t>
                    </a:r>
                    <a:r>
                      <a:rPr lang="en-US" sz="800" b="1" i="0" u="none" strike="noStrike" baseline="0"/>
                      <a:t>%</a:t>
                    </a:r>
                    <a:endParaRPr lang="en-US" sz="800"/>
                  </a:p>
                </c:rich>
              </c:tx>
              <c:showVal val="1"/>
            </c:dLbl>
            <c:dLbl>
              <c:idx val="10"/>
              <c:layout>
                <c:manualLayout>
                  <c:x val="4.4301694539820979E-3"/>
                  <c:y val="1.6901408450704241E-2"/>
                </c:manualLayout>
              </c:layout>
              <c:tx>
                <c:rich>
                  <a:bodyPr/>
                  <a:lstStyle/>
                  <a:p>
                    <a:r>
                      <a:rPr lang="en-US" sz="800"/>
                      <a:t>99.7</a:t>
                    </a:r>
                    <a:r>
                      <a:rPr lang="en-US" sz="800" b="1" i="0" u="none" strike="noStrike" baseline="0"/>
                      <a:t>%</a:t>
                    </a:r>
                    <a:endParaRPr lang="en-US" sz="800"/>
                  </a:p>
                </c:rich>
              </c:tx>
              <c:showVal val="1"/>
            </c:dLbl>
            <c:dLbl>
              <c:idx val="11"/>
              <c:layout>
                <c:manualLayout>
                  <c:x val="2.2150847269908082E-3"/>
                  <c:y val="2.2535211267607012E-2"/>
                </c:manualLayout>
              </c:layout>
              <c:tx>
                <c:rich>
                  <a:bodyPr/>
                  <a:lstStyle/>
                  <a:p>
                    <a:pPr>
                      <a:defRPr lang="en-US" sz="800" b="1">
                        <a:solidFill>
                          <a:schemeClr val="accent6">
                            <a:lumMod val="75000"/>
                          </a:schemeClr>
                        </a:solidFill>
                      </a:defRPr>
                    </a:pPr>
                    <a:r>
                      <a:rPr lang="en-US" sz="800">
                        <a:solidFill>
                          <a:schemeClr val="accent6">
                            <a:lumMod val="75000"/>
                          </a:schemeClr>
                        </a:solidFill>
                      </a:rPr>
                      <a:t>91.9</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12"/>
              <c:tx>
                <c:rich>
                  <a:bodyPr/>
                  <a:lstStyle/>
                  <a:p>
                    <a:pPr>
                      <a:defRPr lang="en-US" sz="800" b="1">
                        <a:solidFill>
                          <a:schemeClr val="accent6">
                            <a:lumMod val="75000"/>
                          </a:schemeClr>
                        </a:solidFill>
                      </a:defRPr>
                    </a:pPr>
                    <a:r>
                      <a:rPr lang="en-US" sz="800">
                        <a:solidFill>
                          <a:schemeClr val="accent6">
                            <a:lumMod val="75000"/>
                          </a:schemeClr>
                        </a:solidFill>
                      </a:rPr>
                      <a:t>95.6</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13"/>
              <c:layout>
                <c:manualLayout>
                  <c:x val="0"/>
                  <c:y val="2.2535211267607012E-2"/>
                </c:manualLayout>
              </c:layout>
              <c:tx>
                <c:rich>
                  <a:bodyPr/>
                  <a:lstStyle/>
                  <a:p>
                    <a:r>
                      <a:rPr lang="en-US" sz="800"/>
                      <a:t>100%</a:t>
                    </a:r>
                  </a:p>
                </c:rich>
              </c:tx>
              <c:showVal val="1"/>
            </c:dLbl>
            <c:dLbl>
              <c:idx val="14"/>
              <c:layout>
                <c:manualLayout>
                  <c:x val="0"/>
                  <c:y val="2.2535211267607012E-2"/>
                </c:manualLayout>
              </c:layout>
              <c:tx>
                <c:rich>
                  <a:bodyPr/>
                  <a:lstStyle/>
                  <a:p>
                    <a:pPr>
                      <a:defRPr lang="en-US" sz="800" b="1">
                        <a:solidFill>
                          <a:schemeClr val="accent6">
                            <a:lumMod val="75000"/>
                          </a:schemeClr>
                        </a:solidFill>
                      </a:defRPr>
                    </a:pPr>
                    <a:r>
                      <a:rPr lang="en-US" sz="800">
                        <a:solidFill>
                          <a:schemeClr val="accent6">
                            <a:lumMod val="75000"/>
                          </a:schemeClr>
                        </a:solidFill>
                      </a:rPr>
                      <a:t>98.1</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15"/>
              <c:layout>
                <c:manualLayout>
                  <c:x val="2.2150847269908082E-3"/>
                  <c:y val="2.2535211267607012E-2"/>
                </c:manualLayout>
              </c:layout>
              <c:tx>
                <c:rich>
                  <a:bodyPr/>
                  <a:lstStyle/>
                  <a:p>
                    <a:pPr>
                      <a:defRPr lang="en-US" sz="800" b="1">
                        <a:solidFill>
                          <a:schemeClr val="accent6">
                            <a:lumMod val="75000"/>
                          </a:schemeClr>
                        </a:solidFill>
                      </a:defRPr>
                    </a:pPr>
                    <a:r>
                      <a:rPr lang="en-US" sz="800">
                        <a:solidFill>
                          <a:schemeClr val="accent6">
                            <a:lumMod val="75000"/>
                          </a:schemeClr>
                        </a:solidFill>
                      </a:rPr>
                      <a:t>97.6</a:t>
                    </a:r>
                    <a:r>
                      <a:rPr lang="en-US" sz="800" b="1" i="0" u="none" strike="noStrike" baseline="0">
                        <a:solidFill>
                          <a:schemeClr val="accent6">
                            <a:lumMod val="75000"/>
                          </a:schemeClr>
                        </a:solidFill>
                      </a:rPr>
                      <a:t>%</a:t>
                    </a:r>
                    <a:endParaRPr lang="en-US" sz="800">
                      <a:solidFill>
                        <a:schemeClr val="accent6">
                          <a:lumMod val="75000"/>
                        </a:schemeClr>
                      </a:solidFill>
                    </a:endParaRPr>
                  </a:p>
                </c:rich>
              </c:tx>
              <c:spPr/>
              <c:showVal val="1"/>
            </c:dLbl>
            <c:dLbl>
              <c:idx val="16"/>
              <c:layout>
                <c:manualLayout>
                  <c:x val="0"/>
                  <c:y val="2.2535211267607012E-2"/>
                </c:manualLayout>
              </c:layout>
              <c:tx>
                <c:rich>
                  <a:bodyPr/>
                  <a:lstStyle/>
                  <a:p>
                    <a:pPr>
                      <a:defRPr lang="en-US" sz="800" b="1">
                        <a:solidFill>
                          <a:srgbClr val="3333FF"/>
                        </a:solidFill>
                      </a:defRPr>
                    </a:pPr>
                    <a:r>
                      <a:rPr lang="en-US" sz="800">
                        <a:solidFill>
                          <a:srgbClr val="3333FF"/>
                        </a:solidFill>
                      </a:rPr>
                      <a:t>95.9%</a:t>
                    </a:r>
                  </a:p>
                </c:rich>
              </c:tx>
              <c:spPr/>
              <c:showVal val="1"/>
            </c:dLbl>
            <c:dLbl>
              <c:idx val="17"/>
              <c:layout>
                <c:manualLayout>
                  <c:x val="0"/>
                  <c:y val="2.7784268901871252E-2"/>
                </c:manualLayout>
              </c:layout>
              <c:tx>
                <c:rich>
                  <a:bodyPr/>
                  <a:lstStyle/>
                  <a:p>
                    <a:pPr>
                      <a:defRPr lang="en-US" sz="800" b="1">
                        <a:solidFill>
                          <a:srgbClr val="3333FF"/>
                        </a:solidFill>
                      </a:defRPr>
                    </a:pPr>
                    <a:r>
                      <a:rPr lang="en-US" sz="800">
                        <a:solidFill>
                          <a:srgbClr val="3333FF"/>
                        </a:solidFill>
                      </a:rPr>
                      <a:t>95%</a:t>
                    </a:r>
                  </a:p>
                </c:rich>
              </c:tx>
              <c:spPr/>
              <c:showVal val="1"/>
            </c:dLbl>
            <c:txPr>
              <a:bodyPr/>
              <a:lstStyle/>
              <a:p>
                <a:pPr>
                  <a:defRPr lang="en-US" sz="800" b="1">
                    <a:solidFill>
                      <a:srgbClr val="008000"/>
                    </a:solidFill>
                  </a:defRPr>
                </a:pPr>
                <a:endParaRPr lang="en-US"/>
              </a:p>
            </c:txPr>
            <c:showVal val="1"/>
          </c:dLbls>
          <c:cat>
            <c:strRef>
              <c:f>'Fig. 3.4'!$A$5:$A$22</c:f>
              <c:strCache>
                <c:ptCount val="18"/>
                <c:pt idx="0">
                  <c:v>GPS</c:v>
                </c:pt>
                <c:pt idx="1">
                  <c:v>RNGPS </c:v>
                </c:pt>
                <c:pt idx="2">
                  <c:v>Model GPS</c:v>
                </c:pt>
                <c:pt idx="3">
                  <c:v>Experimental</c:v>
                </c:pt>
                <c:pt idx="4">
                  <c:v>Temp. NGPS </c:v>
                </c:pt>
                <c:pt idx="5">
                  <c:v>Kindergarten</c:v>
                </c:pt>
                <c:pt idx="6">
                  <c:v>NGO School</c:v>
                </c:pt>
                <c:pt idx="7">
                  <c:v>Community </c:v>
                </c:pt>
                <c:pt idx="8">
                  <c:v>NRNGPS </c:v>
                </c:pt>
                <c:pt idx="9">
                  <c:v>High School Attach </c:v>
                </c:pt>
                <c:pt idx="10">
                  <c:v>BRAC Centre </c:v>
                </c:pt>
                <c:pt idx="11">
                  <c:v>ROSC </c:v>
                </c:pt>
                <c:pt idx="12">
                  <c:v>Shishu Kollyan</c:v>
                </c:pt>
                <c:pt idx="13">
                  <c:v>Government High</c:v>
                </c:pt>
                <c:pt idx="14">
                  <c:v>1500 GPS </c:v>
                </c:pt>
                <c:pt idx="15">
                  <c:v>NNPS</c:v>
                </c:pt>
                <c:pt idx="16">
                  <c:v>Ebtedayee</c:v>
                </c:pt>
                <c:pt idx="17">
                  <c:v>High Madrashahs Attached</c:v>
                </c:pt>
              </c:strCache>
            </c:strRef>
          </c:cat>
          <c:val>
            <c:numRef>
              <c:f>'Fig. 3.4'!$B$5:$B$22</c:f>
              <c:numCache>
                <c:formatCode>#,##0.0</c:formatCode>
                <c:ptCount val="18"/>
                <c:pt idx="0">
                  <c:v>98.8</c:v>
                </c:pt>
                <c:pt idx="1">
                  <c:v>97.61999999999999</c:v>
                </c:pt>
                <c:pt idx="2">
                  <c:v>99.169999999999987</c:v>
                </c:pt>
                <c:pt idx="3">
                  <c:v>99.69</c:v>
                </c:pt>
                <c:pt idx="4">
                  <c:v>98.36999999999999</c:v>
                </c:pt>
                <c:pt idx="5">
                  <c:v>99.36</c:v>
                </c:pt>
                <c:pt idx="6">
                  <c:v>97.2</c:v>
                </c:pt>
                <c:pt idx="7">
                  <c:v>96.54</c:v>
                </c:pt>
                <c:pt idx="8">
                  <c:v>96.179999999999978</c:v>
                </c:pt>
                <c:pt idx="9">
                  <c:v>99.36</c:v>
                </c:pt>
                <c:pt idx="10">
                  <c:v>99.66</c:v>
                </c:pt>
                <c:pt idx="11">
                  <c:v>91.85</c:v>
                </c:pt>
                <c:pt idx="12">
                  <c:v>95.58</c:v>
                </c:pt>
                <c:pt idx="13">
                  <c:v>99.97</c:v>
                </c:pt>
                <c:pt idx="14">
                  <c:v>98.06</c:v>
                </c:pt>
                <c:pt idx="15">
                  <c:v>97.57</c:v>
                </c:pt>
                <c:pt idx="16">
                  <c:v>95.93</c:v>
                </c:pt>
                <c:pt idx="17">
                  <c:v>95.02</c:v>
                </c:pt>
              </c:numCache>
            </c:numRef>
          </c:val>
        </c:ser>
        <c:gapWidth val="75"/>
        <c:overlap val="-25"/>
        <c:axId val="140444032"/>
        <c:axId val="140445568"/>
      </c:barChart>
      <c:catAx>
        <c:axId val="140444032"/>
        <c:scaling>
          <c:orientation val="minMax"/>
        </c:scaling>
        <c:axPos val="b"/>
        <c:majorTickMark val="none"/>
        <c:tickLblPos val="nextTo"/>
        <c:txPr>
          <a:bodyPr/>
          <a:lstStyle/>
          <a:p>
            <a:pPr>
              <a:defRPr lang="en-US" sz="700"/>
            </a:pPr>
            <a:endParaRPr lang="en-US"/>
          </a:p>
        </c:txPr>
        <c:crossAx val="140445568"/>
        <c:crosses val="autoZero"/>
        <c:auto val="1"/>
        <c:lblAlgn val="ctr"/>
        <c:lblOffset val="100"/>
      </c:catAx>
      <c:valAx>
        <c:axId val="140445568"/>
        <c:scaling>
          <c:orientation val="minMax"/>
          <c:max val="100"/>
        </c:scaling>
        <c:axPos val="l"/>
        <c:majorGridlines/>
        <c:numFmt formatCode="#,##0.0" sourceLinked="1"/>
        <c:majorTickMark val="none"/>
        <c:tickLblPos val="nextTo"/>
        <c:spPr>
          <a:ln w="9525">
            <a:noFill/>
          </a:ln>
        </c:spPr>
        <c:txPr>
          <a:bodyPr/>
          <a:lstStyle/>
          <a:p>
            <a:pPr>
              <a:defRPr lang="en-US" sz="800"/>
            </a:pPr>
            <a:endParaRPr lang="en-US"/>
          </a:p>
        </c:txPr>
        <c:crossAx val="140444032"/>
        <c:crosses val="autoZero"/>
        <c:crossBetween val="between"/>
      </c:valAx>
    </c:plotArea>
    <c:plotVisOnly val="1"/>
    <c:dispBlanksAs val="gap"/>
  </c:chart>
  <c:spPr>
    <a:solidFill>
      <a:srgbClr val="9BBB59">
        <a:lumMod val="20000"/>
        <a:lumOff val="80000"/>
      </a:srgbClr>
    </a:solidFill>
    <a:ln w="31750" cmpd="dbl">
      <a:solidFill>
        <a:schemeClr val="accent3">
          <a:lumMod val="50000"/>
        </a:schemeClr>
      </a:solid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31"/>
  <c:chart>
    <c:autoTitleDeleted val="1"/>
    <c:plotArea>
      <c:layout>
        <c:manualLayout>
          <c:layoutTarget val="inner"/>
          <c:xMode val="edge"/>
          <c:yMode val="edge"/>
          <c:x val="0.16747069116360455"/>
          <c:y val="0.28329870224555281"/>
          <c:w val="0.78605860606946765"/>
          <c:h val="0.53145815106445027"/>
        </c:manualLayout>
      </c:layout>
      <c:barChart>
        <c:barDir val="col"/>
        <c:grouping val="clustered"/>
        <c:ser>
          <c:idx val="0"/>
          <c:order val="0"/>
          <c:tx>
            <c:v>NFE Students</c:v>
          </c:tx>
          <c:cat>
            <c:numLit>
              <c:formatCode>General</c:formatCode>
              <c:ptCount val="6"/>
              <c:pt idx="0">
                <c:v>2010</c:v>
              </c:pt>
              <c:pt idx="1">
                <c:v>2011</c:v>
              </c:pt>
              <c:pt idx="2">
                <c:v>2012</c:v>
              </c:pt>
              <c:pt idx="3">
                <c:v>2013</c:v>
              </c:pt>
              <c:pt idx="4">
                <c:v>2014</c:v>
              </c:pt>
              <c:pt idx="5">
                <c:v>2015</c:v>
              </c:pt>
            </c:numLit>
          </c:cat>
          <c:val>
            <c:numRef>
              <c:f>'Figure 3.5'!$B$4:$G$4</c:f>
              <c:numCache>
                <c:formatCode>_(* #,##0_);_(* \(#,##0\);_(* "-"??_);_(@_)</c:formatCode>
                <c:ptCount val="6"/>
                <c:pt idx="0">
                  <c:v>283161</c:v>
                </c:pt>
                <c:pt idx="1">
                  <c:v>218299</c:v>
                </c:pt>
                <c:pt idx="2">
                  <c:v>275952</c:v>
                </c:pt>
                <c:pt idx="3">
                  <c:v>112383</c:v>
                </c:pt>
                <c:pt idx="4">
                  <c:v>78643</c:v>
                </c:pt>
                <c:pt idx="5">
                  <c:v>152429</c:v>
                </c:pt>
              </c:numCache>
            </c:numRef>
          </c:val>
        </c:ser>
        <c:axId val="140493568"/>
        <c:axId val="140495104"/>
      </c:barChart>
      <c:catAx>
        <c:axId val="140493568"/>
        <c:scaling>
          <c:orientation val="minMax"/>
        </c:scaling>
        <c:axPos val="b"/>
        <c:numFmt formatCode="General" sourceLinked="1"/>
        <c:majorTickMark val="none"/>
        <c:tickLblPos val="nextTo"/>
        <c:txPr>
          <a:bodyPr/>
          <a:lstStyle/>
          <a:p>
            <a:pPr>
              <a:defRPr lang="en-US"/>
            </a:pPr>
            <a:endParaRPr lang="en-US"/>
          </a:p>
        </c:txPr>
        <c:crossAx val="140495104"/>
        <c:crosses val="autoZero"/>
        <c:auto val="1"/>
        <c:lblAlgn val="ctr"/>
        <c:lblOffset val="100"/>
      </c:catAx>
      <c:valAx>
        <c:axId val="140495104"/>
        <c:scaling>
          <c:orientation val="minMax"/>
        </c:scaling>
        <c:axPos val="l"/>
        <c:majorGridlines/>
        <c:numFmt formatCode="_(* #,##0_);_(* \(#,##0\);_(* &quot;-&quot;??_);_(@_)" sourceLinked="1"/>
        <c:majorTickMark val="none"/>
        <c:tickLblPos val="nextTo"/>
        <c:txPr>
          <a:bodyPr/>
          <a:lstStyle/>
          <a:p>
            <a:pPr>
              <a:defRPr lang="en-US" sz="900"/>
            </a:pPr>
            <a:endParaRPr lang="en-US"/>
          </a:p>
        </c:txPr>
        <c:crossAx val="140493568"/>
        <c:crosses val="autoZero"/>
        <c:crossBetween val="between"/>
      </c:valAx>
      <c:dTable>
        <c:showHorzBorder val="1"/>
        <c:showVertBorder val="1"/>
        <c:showOutline val="1"/>
        <c:showKeys val="1"/>
        <c:txPr>
          <a:bodyPr/>
          <a:lstStyle/>
          <a:p>
            <a:pPr rtl="0">
              <a:defRPr lang="en-US" sz="900"/>
            </a:pPr>
            <a:endParaRPr lang="en-US"/>
          </a:p>
        </c:txPr>
      </c:dTable>
    </c:plotArea>
    <c:plotVisOnly val="1"/>
    <c:dispBlanksAs val="gap"/>
  </c:chart>
  <c:spPr>
    <a:ln w="31750" cmpd="dbl">
      <a:solidFill>
        <a:srgbClr val="00B0F0"/>
      </a:solidFill>
    </a:ln>
  </c:spPr>
  <c:txPr>
    <a:bodyPr/>
    <a:lstStyle/>
    <a:p>
      <a:pPr>
        <a:defRPr b="1">
          <a:solidFill>
            <a:srgbClr val="00B0F0"/>
          </a:solidFill>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312593182903702"/>
          <c:y val="9.8329845755584289E-2"/>
          <c:w val="0.56003041805030473"/>
          <c:h val="0.69399633265020622"/>
        </c:manualLayout>
      </c:layout>
      <c:lineChart>
        <c:grouping val="standard"/>
        <c:ser>
          <c:idx val="0"/>
          <c:order val="0"/>
          <c:tx>
            <c:strRef>
              <c:f>'Fig 3.5'!$A$7</c:f>
              <c:strCache>
                <c:ptCount val="1"/>
                <c:pt idx="0">
                  <c:v>Total Enrolled students</c:v>
                </c:pt>
              </c:strCache>
            </c:strRef>
          </c:tx>
          <c:spPr>
            <a:ln>
              <a:solidFill>
                <a:srgbClr val="006600"/>
              </a:solidFill>
            </a:ln>
          </c:spPr>
          <c:marker>
            <c:symbol val="triangle"/>
            <c:size val="5"/>
          </c:marker>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3.5'!$B$7:$L$7</c:f>
              <c:numCache>
                <c:formatCode>#,##0.00</c:formatCode>
                <c:ptCount val="11"/>
                <c:pt idx="0">
                  <c:v>16.225657999999989</c:v>
                </c:pt>
                <c:pt idx="1">
                  <c:v>16.385846999999789</c:v>
                </c:pt>
                <c:pt idx="2">
                  <c:v>16.312906999999999</c:v>
                </c:pt>
                <c:pt idx="3">
                  <c:v>16.001605000000001</c:v>
                </c:pt>
                <c:pt idx="4">
                  <c:v>16.539363000000005</c:v>
                </c:pt>
                <c:pt idx="5">
                  <c:v>16.957894000000035</c:v>
                </c:pt>
                <c:pt idx="6">
                  <c:v>18.432498999999989</c:v>
                </c:pt>
                <c:pt idx="7">
                  <c:v>19.003209999999989</c:v>
                </c:pt>
                <c:pt idx="8">
                  <c:v>19.584972</c:v>
                </c:pt>
                <c:pt idx="9">
                  <c:v>19.55</c:v>
                </c:pt>
                <c:pt idx="10">
                  <c:v>19.059999999999999</c:v>
                </c:pt>
              </c:numCache>
            </c:numRef>
          </c:val>
        </c:ser>
        <c:ser>
          <c:idx val="1"/>
          <c:order val="1"/>
          <c:tx>
            <c:strRef>
              <c:f>'Fig 3.5'!$A$8</c:f>
              <c:strCache>
                <c:ptCount val="1"/>
                <c:pt idx="0">
                  <c:v>Enrolled students aged 6-10</c:v>
                </c:pt>
              </c:strCache>
            </c:strRef>
          </c:tx>
          <c:spPr>
            <a:ln>
              <a:solidFill>
                <a:srgbClr val="0000FF"/>
              </a:solidFill>
            </a:ln>
          </c:spPr>
          <c:marker>
            <c:symbol val="x"/>
            <c:size val="4"/>
            <c:spPr>
              <a:solidFill>
                <a:srgbClr val="0000FF"/>
              </a:solidFill>
            </c:spPr>
          </c:marker>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3.5'!$B$8:$L$8</c:f>
              <c:numCache>
                <c:formatCode>#,##0.00</c:formatCode>
                <c:ptCount val="11"/>
                <c:pt idx="0">
                  <c:v>15.114102000000001</c:v>
                </c:pt>
                <c:pt idx="1">
                  <c:v>15.244630000000001</c:v>
                </c:pt>
                <c:pt idx="2">
                  <c:v>15.041742999999999</c:v>
                </c:pt>
                <c:pt idx="3">
                  <c:v>14.880249000000006</c:v>
                </c:pt>
                <c:pt idx="4">
                  <c:v>14.947001999999999</c:v>
                </c:pt>
                <c:pt idx="5">
                  <c:v>14.937517</c:v>
                </c:pt>
                <c:pt idx="6">
                  <c:v>17.239809999999999</c:v>
                </c:pt>
                <c:pt idx="7">
                  <c:v>17.609096000000001</c:v>
                </c:pt>
                <c:pt idx="8">
                  <c:v>17.551060000000035</c:v>
                </c:pt>
                <c:pt idx="9">
                  <c:v>17.600000000000001</c:v>
                </c:pt>
                <c:pt idx="10">
                  <c:v>17.110000000000031</c:v>
                </c:pt>
              </c:numCache>
            </c:numRef>
          </c:val>
        </c:ser>
        <c:ser>
          <c:idx val="2"/>
          <c:order val="2"/>
          <c:tx>
            <c:strRef>
              <c:f>'Fig 3.5'!$A$9</c:f>
              <c:strCache>
                <c:ptCount val="1"/>
                <c:pt idx="0">
                  <c:v>Population cohort aged 6-10, BBS</c:v>
                </c:pt>
              </c:strCache>
            </c:strRef>
          </c:tx>
          <c:spPr>
            <a:ln>
              <a:solidFill>
                <a:schemeClr val="accent6">
                  <a:lumMod val="50000"/>
                </a:schemeClr>
              </a:solidFill>
            </a:ln>
          </c:spPr>
          <c:marker>
            <c:symbol val="circle"/>
            <c:size val="4"/>
            <c:spPr>
              <a:solidFill>
                <a:schemeClr val="accent6">
                  <a:lumMod val="50000"/>
                </a:schemeClr>
              </a:solidFill>
            </c:spPr>
          </c:marker>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3.5'!$B$9:$L$9</c:f>
              <c:numCache>
                <c:formatCode>#,##0.00</c:formatCode>
                <c:ptCount val="11"/>
                <c:pt idx="0">
                  <c:v>17.315296</c:v>
                </c:pt>
                <c:pt idx="1">
                  <c:v>16.771775999999999</c:v>
                </c:pt>
                <c:pt idx="2">
                  <c:v>16.514419</c:v>
                </c:pt>
                <c:pt idx="3">
                  <c:v>16.390221</c:v>
                </c:pt>
                <c:pt idx="4">
                  <c:v>15.982744000000126</c:v>
                </c:pt>
                <c:pt idx="5">
                  <c:v>15.751788000000001</c:v>
                </c:pt>
                <c:pt idx="6">
                  <c:v>18.168787999999989</c:v>
                </c:pt>
                <c:pt idx="7">
                  <c:v>18.209966999999999</c:v>
                </c:pt>
                <c:pt idx="8">
                  <c:v>18.033491000000001</c:v>
                </c:pt>
                <c:pt idx="9">
                  <c:v>18.03</c:v>
                </c:pt>
                <c:pt idx="10">
                  <c:v>17.47</c:v>
                </c:pt>
              </c:numCache>
            </c:numRef>
          </c:val>
        </c:ser>
        <c:marker val="1"/>
        <c:axId val="140546048"/>
        <c:axId val="140547968"/>
      </c:lineChart>
      <c:catAx>
        <c:axId val="140546048"/>
        <c:scaling>
          <c:orientation val="minMax"/>
        </c:scaling>
        <c:axPos val="b"/>
        <c:numFmt formatCode="General" sourceLinked="1"/>
        <c:majorTickMark val="none"/>
        <c:tickLblPos val="nextTo"/>
        <c:txPr>
          <a:bodyPr/>
          <a:lstStyle/>
          <a:p>
            <a:pPr>
              <a:defRPr lang="en-US" sz="900"/>
            </a:pPr>
            <a:endParaRPr lang="en-US"/>
          </a:p>
        </c:txPr>
        <c:crossAx val="140547968"/>
        <c:crosses val="autoZero"/>
        <c:auto val="1"/>
        <c:lblAlgn val="ctr"/>
        <c:lblOffset val="100"/>
      </c:catAx>
      <c:valAx>
        <c:axId val="140547968"/>
        <c:scaling>
          <c:orientation val="minMax"/>
          <c:max val="20.5"/>
          <c:min val="13.5"/>
        </c:scaling>
        <c:axPos val="l"/>
        <c:majorGridlines/>
        <c:numFmt formatCode="#,##0.00" sourceLinked="1"/>
        <c:majorTickMark val="none"/>
        <c:tickLblPos val="nextTo"/>
        <c:txPr>
          <a:bodyPr/>
          <a:lstStyle/>
          <a:p>
            <a:pPr>
              <a:defRPr lang="en-US" sz="900"/>
            </a:pPr>
            <a:endParaRPr lang="en-US"/>
          </a:p>
        </c:txPr>
        <c:crossAx val="140546048"/>
        <c:crosses val="autoZero"/>
        <c:crossBetween val="between"/>
        <c:majorUnit val="1"/>
      </c:valAx>
    </c:plotArea>
    <c:legend>
      <c:legendPos val="r"/>
      <c:legendEntry>
        <c:idx val="0"/>
        <c:txPr>
          <a:bodyPr/>
          <a:lstStyle/>
          <a:p>
            <a:pPr>
              <a:defRPr sz="900" b="1"/>
            </a:pPr>
            <a:endParaRPr lang="en-US"/>
          </a:p>
        </c:txPr>
      </c:legendEntry>
      <c:legendEntry>
        <c:idx val="1"/>
        <c:txPr>
          <a:bodyPr/>
          <a:lstStyle/>
          <a:p>
            <a:pPr>
              <a:defRPr sz="900" b="1">
                <a:solidFill>
                  <a:srgbClr val="0033CC"/>
                </a:solidFill>
              </a:defRPr>
            </a:pPr>
            <a:endParaRPr lang="en-US"/>
          </a:p>
        </c:txPr>
      </c:legendEntry>
      <c:legendEntry>
        <c:idx val="2"/>
        <c:txPr>
          <a:bodyPr/>
          <a:lstStyle/>
          <a:p>
            <a:pPr>
              <a:defRPr sz="900" b="1">
                <a:solidFill>
                  <a:schemeClr val="accent6">
                    <a:lumMod val="50000"/>
                  </a:schemeClr>
                </a:solidFill>
              </a:defRPr>
            </a:pPr>
            <a:endParaRPr lang="en-US"/>
          </a:p>
        </c:txPr>
      </c:legendEntry>
      <c:layout>
        <c:manualLayout>
          <c:xMode val="edge"/>
          <c:yMode val="edge"/>
          <c:x val="0.67622004806102665"/>
          <c:y val="0.30286312156186357"/>
          <c:w val="0.32094303494496473"/>
          <c:h val="0.37387813009862264"/>
        </c:manualLayout>
      </c:layout>
      <c:txPr>
        <a:bodyPr/>
        <a:lstStyle/>
        <a:p>
          <a:pPr>
            <a:defRPr lang="en-US" sz="900"/>
          </a:pPr>
          <a:endParaRPr lang="en-US"/>
        </a:p>
      </c:txPr>
    </c:legend>
    <c:plotVisOnly val="1"/>
    <c:dispBlanksAs val="gap"/>
  </c:chart>
  <c:spPr>
    <a:ln w="31750" cmpd="dbl">
      <a:solidFill>
        <a:schemeClr val="accent5">
          <a:lumMod val="75000"/>
        </a:schemeClr>
      </a:solidFill>
    </a:ln>
  </c:spPr>
  <c:txPr>
    <a:bodyPr/>
    <a:lstStyle/>
    <a:p>
      <a:pPr>
        <a:defRPr>
          <a:solidFill>
            <a:srgbClr val="006600"/>
          </a:solidFil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'Fig 3.7 and 3.8'!$B$3:$B$4</c:f>
              <c:strCache>
                <c:ptCount val="1"/>
                <c:pt idx="0">
                  <c:v>GIR (%) Boys</c:v>
                </c:pt>
              </c:strCache>
            </c:strRef>
          </c:tx>
          <c:cat>
            <c:numLit>
              <c:formatCode>General</c:formatCode>
              <c:ptCount val="7"/>
              <c:pt idx="0">
                <c:v>2005</c:v>
              </c:pt>
              <c:pt idx="1">
                <c:v>2010</c:v>
              </c:pt>
              <c:pt idx="2">
                <c:v>2011</c:v>
              </c:pt>
              <c:pt idx="3">
                <c:v>2012</c:v>
              </c:pt>
              <c:pt idx="4">
                <c:v>2013</c:v>
              </c:pt>
              <c:pt idx="5">
                <c:v>2014</c:v>
              </c:pt>
              <c:pt idx="6">
                <c:v>2015</c:v>
              </c:pt>
            </c:numLit>
          </c:cat>
          <c:val>
            <c:numRef>
              <c:f>'Fig 3.7 and 3.8'!$B$5:$B$11</c:f>
              <c:numCache>
                <c:formatCode>General</c:formatCode>
                <c:ptCount val="7"/>
                <c:pt idx="0">
                  <c:v>105.9</c:v>
                </c:pt>
                <c:pt idx="1">
                  <c:v>115.4</c:v>
                </c:pt>
                <c:pt idx="2">
                  <c:v>125.6</c:v>
                </c:pt>
                <c:pt idx="3">
                  <c:v>105</c:v>
                </c:pt>
                <c:pt idx="4">
                  <c:v>111.5</c:v>
                </c:pt>
                <c:pt idx="5">
                  <c:v>109.1</c:v>
                </c:pt>
                <c:pt idx="6">
                  <c:v>109.5</c:v>
                </c:pt>
              </c:numCache>
            </c:numRef>
          </c:val>
        </c:ser>
        <c:ser>
          <c:idx val="1"/>
          <c:order val="1"/>
          <c:tx>
            <c:strRef>
              <c:f>'Fig 3.7 and 3.8'!$C$3:$C$4</c:f>
              <c:strCache>
                <c:ptCount val="1"/>
                <c:pt idx="0">
                  <c:v>GIR (%) Girls</c:v>
                </c:pt>
              </c:strCache>
            </c:strRef>
          </c:tx>
          <c:cat>
            <c:numLit>
              <c:formatCode>General</c:formatCode>
              <c:ptCount val="7"/>
              <c:pt idx="0">
                <c:v>2005</c:v>
              </c:pt>
              <c:pt idx="1">
                <c:v>2010</c:v>
              </c:pt>
              <c:pt idx="2">
                <c:v>2011</c:v>
              </c:pt>
              <c:pt idx="3">
                <c:v>2012</c:v>
              </c:pt>
              <c:pt idx="4">
                <c:v>2013</c:v>
              </c:pt>
              <c:pt idx="5">
                <c:v>2014</c:v>
              </c:pt>
              <c:pt idx="6">
                <c:v>2015</c:v>
              </c:pt>
            </c:numLit>
          </c:cat>
          <c:val>
            <c:numRef>
              <c:f>'Fig 3.7 and 3.8'!$C$5:$C$11</c:f>
              <c:numCache>
                <c:formatCode>General</c:formatCode>
                <c:ptCount val="7"/>
                <c:pt idx="0">
                  <c:v>111</c:v>
                </c:pt>
                <c:pt idx="1">
                  <c:v>118.5</c:v>
                </c:pt>
                <c:pt idx="2">
                  <c:v>126.2</c:v>
                </c:pt>
                <c:pt idx="3">
                  <c:v>106.7</c:v>
                </c:pt>
                <c:pt idx="4">
                  <c:v>112.6</c:v>
                </c:pt>
                <c:pt idx="5">
                  <c:v>108.3</c:v>
                </c:pt>
                <c:pt idx="6">
                  <c:v>109</c:v>
                </c:pt>
              </c:numCache>
            </c:numRef>
          </c:val>
        </c:ser>
        <c:ser>
          <c:idx val="2"/>
          <c:order val="2"/>
          <c:tx>
            <c:strRef>
              <c:f>'Fig 3.7 and 3.8'!$D$3:$D$4</c:f>
              <c:strCache>
                <c:ptCount val="1"/>
                <c:pt idx="0">
                  <c:v>GIR (%) All</c:v>
                </c:pt>
              </c:strCache>
            </c:strRef>
          </c:tx>
          <c:cat>
            <c:numLit>
              <c:formatCode>General</c:formatCode>
              <c:ptCount val="7"/>
              <c:pt idx="0">
                <c:v>2005</c:v>
              </c:pt>
              <c:pt idx="1">
                <c:v>2010</c:v>
              </c:pt>
              <c:pt idx="2">
                <c:v>2011</c:v>
              </c:pt>
              <c:pt idx="3">
                <c:v>2012</c:v>
              </c:pt>
              <c:pt idx="4">
                <c:v>2013</c:v>
              </c:pt>
              <c:pt idx="5">
                <c:v>2014</c:v>
              </c:pt>
              <c:pt idx="6">
                <c:v>2015</c:v>
              </c:pt>
            </c:numLit>
          </c:cat>
          <c:val>
            <c:numRef>
              <c:f>'Fig 3.7 and 3.8'!$D$5:$D$11</c:f>
              <c:numCache>
                <c:formatCode>General</c:formatCode>
                <c:ptCount val="7"/>
                <c:pt idx="0">
                  <c:v>108.4</c:v>
                </c:pt>
                <c:pt idx="1">
                  <c:v>116.9</c:v>
                </c:pt>
                <c:pt idx="2">
                  <c:v>125.9</c:v>
                </c:pt>
                <c:pt idx="3">
                  <c:v>105.8</c:v>
                </c:pt>
                <c:pt idx="4">
                  <c:v>112</c:v>
                </c:pt>
                <c:pt idx="5">
                  <c:v>108.7</c:v>
                </c:pt>
                <c:pt idx="6">
                  <c:v>109.2</c:v>
                </c:pt>
              </c:numCache>
            </c:numRef>
          </c:val>
        </c:ser>
        <c:axId val="140648448"/>
        <c:axId val="140649984"/>
      </c:barChart>
      <c:catAx>
        <c:axId val="140648448"/>
        <c:scaling>
          <c:orientation val="minMax"/>
        </c:scaling>
        <c:axPos val="b"/>
        <c:numFmt formatCode="General" sourceLinked="1"/>
        <c:majorTickMark val="none"/>
        <c:tickLblPos val="nextTo"/>
        <c:txPr>
          <a:bodyPr/>
          <a:lstStyle/>
          <a:p>
            <a:pPr>
              <a:defRPr lang="en-US"/>
            </a:pPr>
            <a:endParaRPr lang="en-US"/>
          </a:p>
        </c:txPr>
        <c:crossAx val="140649984"/>
        <c:crosses val="autoZero"/>
        <c:auto val="1"/>
        <c:lblAlgn val="ctr"/>
        <c:lblOffset val="100"/>
      </c:catAx>
      <c:valAx>
        <c:axId val="140649984"/>
        <c:scaling>
          <c:orientation val="minMax"/>
        </c:scaling>
        <c:axPos val="l"/>
        <c:majorGridlines/>
        <c:numFmt formatCode="General" sourceLinked="1"/>
        <c:majorTickMark val="none"/>
        <c:tickLblPos val="nextTo"/>
        <c:txPr>
          <a:bodyPr/>
          <a:lstStyle/>
          <a:p>
            <a:pPr>
              <a:defRPr lang="en-US"/>
            </a:pPr>
            <a:endParaRPr lang="en-US"/>
          </a:p>
        </c:txPr>
        <c:crossAx val="140648448"/>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plotArea>
      <c:layout/>
      <c:barChart>
        <c:barDir val="col"/>
        <c:grouping val="clustered"/>
        <c:ser>
          <c:idx val="0"/>
          <c:order val="0"/>
          <c:tx>
            <c:strRef>
              <c:f>'Fig 3.7 and 3.8'!$E$3:$E$4</c:f>
              <c:strCache>
                <c:ptCount val="1"/>
                <c:pt idx="0">
                  <c:v>NIR (%) Boys</c:v>
                </c:pt>
              </c:strCache>
            </c:strRef>
          </c:tx>
          <c:cat>
            <c:numLit>
              <c:formatCode>General</c:formatCode>
              <c:ptCount val="7"/>
              <c:pt idx="0">
                <c:v>2005</c:v>
              </c:pt>
              <c:pt idx="1">
                <c:v>2010</c:v>
              </c:pt>
              <c:pt idx="2">
                <c:v>2011</c:v>
              </c:pt>
              <c:pt idx="3">
                <c:v>2012</c:v>
              </c:pt>
              <c:pt idx="4">
                <c:v>2013</c:v>
              </c:pt>
              <c:pt idx="5">
                <c:v>2014</c:v>
              </c:pt>
              <c:pt idx="6">
                <c:v>2015</c:v>
              </c:pt>
            </c:numLit>
          </c:cat>
          <c:val>
            <c:numRef>
              <c:f>'Fig 3.7 and 3.8'!$E$5:$E$11</c:f>
              <c:numCache>
                <c:formatCode>General</c:formatCode>
                <c:ptCount val="7"/>
                <c:pt idx="0">
                  <c:v>93.3</c:v>
                </c:pt>
                <c:pt idx="1">
                  <c:v>98.8</c:v>
                </c:pt>
                <c:pt idx="2">
                  <c:v>99.9</c:v>
                </c:pt>
                <c:pt idx="3">
                  <c:v>97</c:v>
                </c:pt>
                <c:pt idx="4">
                  <c:v>97.5</c:v>
                </c:pt>
                <c:pt idx="5">
                  <c:v>97.6</c:v>
                </c:pt>
                <c:pt idx="6">
                  <c:v>97.63</c:v>
                </c:pt>
              </c:numCache>
            </c:numRef>
          </c:val>
        </c:ser>
        <c:ser>
          <c:idx val="1"/>
          <c:order val="1"/>
          <c:tx>
            <c:strRef>
              <c:f>'Fig 3.7 and 3.8'!$F$3:$F$4</c:f>
              <c:strCache>
                <c:ptCount val="1"/>
                <c:pt idx="0">
                  <c:v>NIR (%) Girls</c:v>
                </c:pt>
              </c:strCache>
            </c:strRef>
          </c:tx>
          <c:cat>
            <c:numLit>
              <c:formatCode>General</c:formatCode>
              <c:ptCount val="7"/>
              <c:pt idx="0">
                <c:v>2005</c:v>
              </c:pt>
              <c:pt idx="1">
                <c:v>2010</c:v>
              </c:pt>
              <c:pt idx="2">
                <c:v>2011</c:v>
              </c:pt>
              <c:pt idx="3">
                <c:v>2012</c:v>
              </c:pt>
              <c:pt idx="4">
                <c:v>2013</c:v>
              </c:pt>
              <c:pt idx="5">
                <c:v>2014</c:v>
              </c:pt>
              <c:pt idx="6">
                <c:v>2015</c:v>
              </c:pt>
            </c:numLit>
          </c:cat>
          <c:val>
            <c:numRef>
              <c:f>'Fig 3.7 and 3.8'!$F$5:$F$11</c:f>
              <c:numCache>
                <c:formatCode>General</c:formatCode>
                <c:ptCount val="7"/>
                <c:pt idx="0">
                  <c:v>96.1</c:v>
                </c:pt>
                <c:pt idx="1">
                  <c:v>99.5</c:v>
                </c:pt>
                <c:pt idx="2">
                  <c:v>99.8</c:v>
                </c:pt>
                <c:pt idx="3">
                  <c:v>97.9</c:v>
                </c:pt>
                <c:pt idx="4">
                  <c:v>98.2</c:v>
                </c:pt>
                <c:pt idx="5">
                  <c:v>98.1</c:v>
                </c:pt>
                <c:pt idx="6">
                  <c:v>98.07</c:v>
                </c:pt>
              </c:numCache>
            </c:numRef>
          </c:val>
        </c:ser>
        <c:ser>
          <c:idx val="2"/>
          <c:order val="2"/>
          <c:tx>
            <c:strRef>
              <c:f>'Fig 3.7 and 3.8'!$G$3:$G$4</c:f>
              <c:strCache>
                <c:ptCount val="1"/>
                <c:pt idx="0">
                  <c:v>NIR (%) All</c:v>
                </c:pt>
              </c:strCache>
            </c:strRef>
          </c:tx>
          <c:cat>
            <c:numLit>
              <c:formatCode>General</c:formatCode>
              <c:ptCount val="7"/>
              <c:pt idx="0">
                <c:v>2005</c:v>
              </c:pt>
              <c:pt idx="1">
                <c:v>2010</c:v>
              </c:pt>
              <c:pt idx="2">
                <c:v>2011</c:v>
              </c:pt>
              <c:pt idx="3">
                <c:v>2012</c:v>
              </c:pt>
              <c:pt idx="4">
                <c:v>2013</c:v>
              </c:pt>
              <c:pt idx="5">
                <c:v>2014</c:v>
              </c:pt>
              <c:pt idx="6">
                <c:v>2015</c:v>
              </c:pt>
            </c:numLit>
          </c:cat>
          <c:val>
            <c:numRef>
              <c:f>'Fig 3.7 and 3.8'!$G$5:$G$11</c:f>
              <c:numCache>
                <c:formatCode>General</c:formatCode>
                <c:ptCount val="7"/>
                <c:pt idx="0">
                  <c:v>94.7</c:v>
                </c:pt>
                <c:pt idx="1">
                  <c:v>99.1</c:v>
                </c:pt>
                <c:pt idx="2">
                  <c:v>99.9</c:v>
                </c:pt>
                <c:pt idx="3">
                  <c:v>97.4</c:v>
                </c:pt>
                <c:pt idx="4">
                  <c:v>97.8</c:v>
                </c:pt>
                <c:pt idx="5">
                  <c:v>97.9</c:v>
                </c:pt>
                <c:pt idx="6">
                  <c:v>97.910000000000025</c:v>
                </c:pt>
              </c:numCache>
            </c:numRef>
          </c:val>
        </c:ser>
        <c:axId val="140672384"/>
        <c:axId val="140678272"/>
      </c:barChart>
      <c:catAx>
        <c:axId val="140672384"/>
        <c:scaling>
          <c:orientation val="minMax"/>
        </c:scaling>
        <c:axPos val="b"/>
        <c:numFmt formatCode="General" sourceLinked="1"/>
        <c:majorTickMark val="none"/>
        <c:tickLblPos val="nextTo"/>
        <c:txPr>
          <a:bodyPr/>
          <a:lstStyle/>
          <a:p>
            <a:pPr>
              <a:defRPr lang="en-US"/>
            </a:pPr>
            <a:endParaRPr lang="en-US"/>
          </a:p>
        </c:txPr>
        <c:crossAx val="140678272"/>
        <c:crosses val="autoZero"/>
        <c:auto val="1"/>
        <c:lblAlgn val="ctr"/>
        <c:lblOffset val="100"/>
      </c:catAx>
      <c:valAx>
        <c:axId val="140678272"/>
        <c:scaling>
          <c:orientation val="minMax"/>
        </c:scaling>
        <c:axPos val="l"/>
        <c:majorGridlines/>
        <c:numFmt formatCode="General" sourceLinked="1"/>
        <c:majorTickMark val="none"/>
        <c:tickLblPos val="nextTo"/>
        <c:txPr>
          <a:bodyPr/>
          <a:lstStyle/>
          <a:p>
            <a:pPr>
              <a:defRPr lang="en-US" sz="800"/>
            </a:pPr>
            <a:endParaRPr lang="en-US"/>
          </a:p>
        </c:txPr>
        <c:crossAx val="140672384"/>
        <c:crosses val="autoZero"/>
        <c:crossBetween val="between"/>
      </c:valAx>
      <c:dTable>
        <c:showHorzBorder val="1"/>
        <c:showVertBorder val="1"/>
        <c:showOutline val="1"/>
        <c:showKeys val="1"/>
        <c:txPr>
          <a:bodyPr/>
          <a:lstStyle/>
          <a:p>
            <a:pPr rtl="0">
              <a:defRPr lang="en-US" sz="800"/>
            </a:pPr>
            <a:endParaRPr lang="en-US"/>
          </a:p>
        </c:txPr>
      </c:dTable>
    </c:plotArea>
    <c:plotVisOnly val="1"/>
    <c:dispBlanksAs val="gap"/>
  </c:chart>
  <c:spPr>
    <a:ln w="31750" cmpd="dbl">
      <a:solidFill>
        <a:schemeClr val="accent5">
          <a:lumMod val="50000"/>
        </a:schemeClr>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31"/>
  <c:chart>
    <c:autoTitleDeleted val="1"/>
    <c:plotArea>
      <c:layout>
        <c:manualLayout>
          <c:layoutTarget val="inner"/>
          <c:xMode val="edge"/>
          <c:yMode val="edge"/>
          <c:x val="6.7742109159432184E-2"/>
          <c:y val="0.18780778241647392"/>
          <c:w val="0.90875361733631665"/>
          <c:h val="0.50451337878061209"/>
        </c:manualLayout>
      </c:layout>
      <c:barChart>
        <c:barDir val="col"/>
        <c:grouping val="clustered"/>
        <c:ser>
          <c:idx val="0"/>
          <c:order val="0"/>
          <c:tx>
            <c:v>2005</c:v>
          </c:tx>
          <c:cat>
            <c:multiLvlStrRef>
              <c:f>'Fig 3.6'!$B$14:$G$15</c:f>
              <c:multiLvlStrCache>
                <c:ptCount val="6"/>
                <c:lvl>
                  <c:pt idx="0">
                    <c:v>All</c:v>
                  </c:pt>
                  <c:pt idx="1">
                    <c:v>Boys</c:v>
                  </c:pt>
                  <c:pt idx="2">
                    <c:v>Girls</c:v>
                  </c:pt>
                  <c:pt idx="3">
                    <c:v>All</c:v>
                  </c:pt>
                  <c:pt idx="4">
                    <c:v>Boys</c:v>
                  </c:pt>
                  <c:pt idx="5">
                    <c:v>Girls</c:v>
                  </c:pt>
                </c:lvl>
                <c:lvl>
                  <c:pt idx="0">
                    <c:v>GER (%)                     </c:v>
                  </c:pt>
                  <c:pt idx="3">
                    <c:v>NER (%)                    </c:v>
                  </c:pt>
                </c:lvl>
              </c:multiLvlStrCache>
            </c:multiLvlStrRef>
          </c:cat>
          <c:val>
            <c:numRef>
              <c:f>'Fig 3.6'!$B$16:$G$16</c:f>
              <c:numCache>
                <c:formatCode>General</c:formatCode>
                <c:ptCount val="6"/>
                <c:pt idx="0">
                  <c:v>93.7</c:v>
                </c:pt>
                <c:pt idx="1">
                  <c:v>91.2</c:v>
                </c:pt>
                <c:pt idx="2">
                  <c:v>96.2</c:v>
                </c:pt>
                <c:pt idx="3">
                  <c:v>87.2</c:v>
                </c:pt>
                <c:pt idx="4">
                  <c:v>84.6</c:v>
                </c:pt>
                <c:pt idx="5">
                  <c:v>90.1</c:v>
                </c:pt>
              </c:numCache>
            </c:numRef>
          </c:val>
        </c:ser>
        <c:ser>
          <c:idx val="1"/>
          <c:order val="1"/>
          <c:tx>
            <c:v>2010</c:v>
          </c:tx>
          <c:cat>
            <c:multiLvlStrRef>
              <c:f>'Fig 3.6'!$B$14:$G$15</c:f>
              <c:multiLvlStrCache>
                <c:ptCount val="6"/>
                <c:lvl>
                  <c:pt idx="0">
                    <c:v>All</c:v>
                  </c:pt>
                  <c:pt idx="1">
                    <c:v>Boys</c:v>
                  </c:pt>
                  <c:pt idx="2">
                    <c:v>Girls</c:v>
                  </c:pt>
                  <c:pt idx="3">
                    <c:v>All</c:v>
                  </c:pt>
                  <c:pt idx="4">
                    <c:v>Boys</c:v>
                  </c:pt>
                  <c:pt idx="5">
                    <c:v>Girls</c:v>
                  </c:pt>
                </c:lvl>
                <c:lvl>
                  <c:pt idx="0">
                    <c:v>GER (%)                     </c:v>
                  </c:pt>
                  <c:pt idx="3">
                    <c:v>NER (%)                    </c:v>
                  </c:pt>
                </c:lvl>
              </c:multiLvlStrCache>
            </c:multiLvlStrRef>
          </c:cat>
          <c:val>
            <c:numRef>
              <c:f>'Fig 3.6'!$B$17:$G$17</c:f>
              <c:numCache>
                <c:formatCode>General</c:formatCode>
                <c:ptCount val="6"/>
                <c:pt idx="0">
                  <c:v>107.7</c:v>
                </c:pt>
                <c:pt idx="1">
                  <c:v>103.2</c:v>
                </c:pt>
                <c:pt idx="2">
                  <c:v>112.4</c:v>
                </c:pt>
                <c:pt idx="3">
                  <c:v>94.8</c:v>
                </c:pt>
                <c:pt idx="4">
                  <c:v>92.2</c:v>
                </c:pt>
                <c:pt idx="5">
                  <c:v>97.6</c:v>
                </c:pt>
              </c:numCache>
            </c:numRef>
          </c:val>
        </c:ser>
        <c:ser>
          <c:idx val="2"/>
          <c:order val="2"/>
          <c:tx>
            <c:v>2011</c:v>
          </c:tx>
          <c:cat>
            <c:multiLvlStrRef>
              <c:f>'Fig 3.6'!$B$14:$G$15</c:f>
              <c:multiLvlStrCache>
                <c:ptCount val="6"/>
                <c:lvl>
                  <c:pt idx="0">
                    <c:v>All</c:v>
                  </c:pt>
                  <c:pt idx="1">
                    <c:v>Boys</c:v>
                  </c:pt>
                  <c:pt idx="2">
                    <c:v>Girls</c:v>
                  </c:pt>
                  <c:pt idx="3">
                    <c:v>All</c:v>
                  </c:pt>
                  <c:pt idx="4">
                    <c:v>Boys</c:v>
                  </c:pt>
                  <c:pt idx="5">
                    <c:v>Girls</c:v>
                  </c:pt>
                </c:lvl>
                <c:lvl>
                  <c:pt idx="0">
                    <c:v>GER (%)                     </c:v>
                  </c:pt>
                  <c:pt idx="3">
                    <c:v>NER (%)                    </c:v>
                  </c:pt>
                </c:lvl>
              </c:multiLvlStrCache>
            </c:multiLvlStrRef>
          </c:cat>
          <c:val>
            <c:numRef>
              <c:f>'Fig 3.6'!$B$18:$G$18</c:f>
              <c:numCache>
                <c:formatCode>General</c:formatCode>
                <c:ptCount val="6"/>
                <c:pt idx="0">
                  <c:v>101.5</c:v>
                </c:pt>
                <c:pt idx="1">
                  <c:v>97.5</c:v>
                </c:pt>
                <c:pt idx="2">
                  <c:v>105.6</c:v>
                </c:pt>
                <c:pt idx="3">
                  <c:v>94.9</c:v>
                </c:pt>
                <c:pt idx="4">
                  <c:v>92.7</c:v>
                </c:pt>
                <c:pt idx="5">
                  <c:v>97.3</c:v>
                </c:pt>
              </c:numCache>
            </c:numRef>
          </c:val>
        </c:ser>
        <c:ser>
          <c:idx val="3"/>
          <c:order val="3"/>
          <c:tx>
            <c:v>2012</c:v>
          </c:tx>
          <c:cat>
            <c:multiLvlStrRef>
              <c:f>'Fig 3.6'!$B$14:$G$15</c:f>
              <c:multiLvlStrCache>
                <c:ptCount val="6"/>
                <c:lvl>
                  <c:pt idx="0">
                    <c:v>All</c:v>
                  </c:pt>
                  <c:pt idx="1">
                    <c:v>Boys</c:v>
                  </c:pt>
                  <c:pt idx="2">
                    <c:v>Girls</c:v>
                  </c:pt>
                  <c:pt idx="3">
                    <c:v>All</c:v>
                  </c:pt>
                  <c:pt idx="4">
                    <c:v>Boys</c:v>
                  </c:pt>
                  <c:pt idx="5">
                    <c:v>Girls</c:v>
                  </c:pt>
                </c:lvl>
                <c:lvl>
                  <c:pt idx="0">
                    <c:v>GER (%)                     </c:v>
                  </c:pt>
                  <c:pt idx="3">
                    <c:v>NER (%)                    </c:v>
                  </c:pt>
                </c:lvl>
              </c:multiLvlStrCache>
            </c:multiLvlStrRef>
          </c:cat>
          <c:val>
            <c:numRef>
              <c:f>'Fig 3.6'!$B$19:$G$19</c:f>
              <c:numCache>
                <c:formatCode>General</c:formatCode>
                <c:ptCount val="6"/>
                <c:pt idx="0">
                  <c:v>104.4</c:v>
                </c:pt>
                <c:pt idx="1">
                  <c:v>101.3</c:v>
                </c:pt>
                <c:pt idx="2">
                  <c:v>107.6</c:v>
                </c:pt>
                <c:pt idx="3">
                  <c:v>96.7</c:v>
                </c:pt>
                <c:pt idx="4">
                  <c:v>95.4</c:v>
                </c:pt>
                <c:pt idx="5">
                  <c:v>98.1</c:v>
                </c:pt>
              </c:numCache>
            </c:numRef>
          </c:val>
        </c:ser>
        <c:ser>
          <c:idx val="4"/>
          <c:order val="4"/>
          <c:tx>
            <c:v>2013</c:v>
          </c:tx>
          <c:cat>
            <c:multiLvlStrRef>
              <c:f>'Fig 3.6'!$B$14:$G$15</c:f>
              <c:multiLvlStrCache>
                <c:ptCount val="6"/>
                <c:lvl>
                  <c:pt idx="0">
                    <c:v>All</c:v>
                  </c:pt>
                  <c:pt idx="1">
                    <c:v>Boys</c:v>
                  </c:pt>
                  <c:pt idx="2">
                    <c:v>Girls</c:v>
                  </c:pt>
                  <c:pt idx="3">
                    <c:v>All</c:v>
                  </c:pt>
                  <c:pt idx="4">
                    <c:v>Boys</c:v>
                  </c:pt>
                  <c:pt idx="5">
                    <c:v>Girls</c:v>
                  </c:pt>
                </c:lvl>
                <c:lvl>
                  <c:pt idx="0">
                    <c:v>GER (%)                     </c:v>
                  </c:pt>
                  <c:pt idx="3">
                    <c:v>NER (%)                    </c:v>
                  </c:pt>
                </c:lvl>
              </c:multiLvlStrCache>
            </c:multiLvlStrRef>
          </c:cat>
          <c:val>
            <c:numRef>
              <c:f>'Fig 3.6'!$B$20:$G$20</c:f>
              <c:numCache>
                <c:formatCode>General</c:formatCode>
                <c:ptCount val="6"/>
                <c:pt idx="0">
                  <c:v>108.6</c:v>
                </c:pt>
                <c:pt idx="1">
                  <c:v>106.8</c:v>
                </c:pt>
                <c:pt idx="2">
                  <c:v>110.5</c:v>
                </c:pt>
                <c:pt idx="3">
                  <c:v>97.3</c:v>
                </c:pt>
                <c:pt idx="4">
                  <c:v>96.2</c:v>
                </c:pt>
                <c:pt idx="5">
                  <c:v>98.4</c:v>
                </c:pt>
              </c:numCache>
            </c:numRef>
          </c:val>
        </c:ser>
        <c:ser>
          <c:idx val="5"/>
          <c:order val="5"/>
          <c:tx>
            <c:v>2014</c:v>
          </c:tx>
          <c:cat>
            <c:multiLvlStrRef>
              <c:f>'Fig 3.6'!$B$14:$G$15</c:f>
              <c:multiLvlStrCache>
                <c:ptCount val="6"/>
                <c:lvl>
                  <c:pt idx="0">
                    <c:v>All</c:v>
                  </c:pt>
                  <c:pt idx="1">
                    <c:v>Boys</c:v>
                  </c:pt>
                  <c:pt idx="2">
                    <c:v>Girls</c:v>
                  </c:pt>
                  <c:pt idx="3">
                    <c:v>All</c:v>
                  </c:pt>
                  <c:pt idx="4">
                    <c:v>Boys</c:v>
                  </c:pt>
                  <c:pt idx="5">
                    <c:v>Girls</c:v>
                  </c:pt>
                </c:lvl>
                <c:lvl>
                  <c:pt idx="0">
                    <c:v>GER (%)                     </c:v>
                  </c:pt>
                  <c:pt idx="3">
                    <c:v>NER (%)                    </c:v>
                  </c:pt>
                </c:lvl>
              </c:multiLvlStrCache>
            </c:multiLvlStrRef>
          </c:cat>
          <c:val>
            <c:numRef>
              <c:f>'Fig 3.6'!$B$21:$G$21</c:f>
              <c:numCache>
                <c:formatCode>0.0</c:formatCode>
                <c:ptCount val="6"/>
                <c:pt idx="0">
                  <c:v>108.38883834901245</c:v>
                </c:pt>
                <c:pt idx="1">
                  <c:v>104.63298434667225</c:v>
                </c:pt>
                <c:pt idx="2">
                  <c:v>112.30846786754825</c:v>
                </c:pt>
                <c:pt idx="3">
                  <c:v>97.686386678773758</c:v>
                </c:pt>
                <c:pt idx="4">
                  <c:v>96.645145056749158</c:v>
                </c:pt>
                <c:pt idx="5">
                  <c:v>98.773032058246088</c:v>
                </c:pt>
              </c:numCache>
            </c:numRef>
          </c:val>
        </c:ser>
        <c:ser>
          <c:idx val="6"/>
          <c:order val="6"/>
          <c:tx>
            <c:v>2015</c:v>
          </c:tx>
          <c:spPr>
            <a:solidFill>
              <a:schemeClr val="accent5">
                <a:lumMod val="50000"/>
              </a:schemeClr>
            </a:solidFill>
          </c:spPr>
          <c:cat>
            <c:multiLvlStrRef>
              <c:f>'Fig 3.6'!$B$14:$G$15</c:f>
              <c:multiLvlStrCache>
                <c:ptCount val="6"/>
                <c:lvl>
                  <c:pt idx="0">
                    <c:v>All</c:v>
                  </c:pt>
                  <c:pt idx="1">
                    <c:v>Boys</c:v>
                  </c:pt>
                  <c:pt idx="2">
                    <c:v>Girls</c:v>
                  </c:pt>
                  <c:pt idx="3">
                    <c:v>All</c:v>
                  </c:pt>
                  <c:pt idx="4">
                    <c:v>Boys</c:v>
                  </c:pt>
                  <c:pt idx="5">
                    <c:v>Girls</c:v>
                  </c:pt>
                </c:lvl>
                <c:lvl>
                  <c:pt idx="0">
                    <c:v>GER (%)                     </c:v>
                  </c:pt>
                  <c:pt idx="3">
                    <c:v>NER (%)                    </c:v>
                  </c:pt>
                </c:lvl>
              </c:multiLvlStrCache>
            </c:multiLvlStrRef>
          </c:cat>
          <c:val>
            <c:numRef>
              <c:f>'Fig 3.6'!$B$22:$G$22</c:f>
              <c:numCache>
                <c:formatCode>General</c:formatCode>
                <c:ptCount val="6"/>
                <c:pt idx="0">
                  <c:v>109.2</c:v>
                </c:pt>
                <c:pt idx="1">
                  <c:v>105</c:v>
                </c:pt>
                <c:pt idx="2">
                  <c:v>113.4</c:v>
                </c:pt>
                <c:pt idx="3">
                  <c:v>97.940000000000026</c:v>
                </c:pt>
                <c:pt idx="4">
                  <c:v>97.09</c:v>
                </c:pt>
                <c:pt idx="5">
                  <c:v>98.79</c:v>
                </c:pt>
              </c:numCache>
            </c:numRef>
          </c:val>
        </c:ser>
        <c:gapWidth val="75"/>
        <c:overlap val="-25"/>
        <c:axId val="140724480"/>
        <c:axId val="140738560"/>
      </c:barChart>
      <c:catAx>
        <c:axId val="140724480"/>
        <c:scaling>
          <c:orientation val="minMax"/>
        </c:scaling>
        <c:axPos val="b"/>
        <c:majorTickMark val="none"/>
        <c:tickLblPos val="nextTo"/>
        <c:txPr>
          <a:bodyPr/>
          <a:lstStyle/>
          <a:p>
            <a:pPr>
              <a:defRPr lang="en-US" sz="900"/>
            </a:pPr>
            <a:endParaRPr lang="en-US"/>
          </a:p>
        </c:txPr>
        <c:crossAx val="140738560"/>
        <c:crosses val="autoZero"/>
        <c:auto val="1"/>
        <c:lblAlgn val="ctr"/>
        <c:lblOffset val="100"/>
      </c:catAx>
      <c:valAx>
        <c:axId val="140738560"/>
        <c:scaling>
          <c:orientation val="minMax"/>
        </c:scaling>
        <c:axPos val="l"/>
        <c:majorGridlines/>
        <c:numFmt formatCode="General" sourceLinked="1"/>
        <c:majorTickMark val="none"/>
        <c:tickLblPos val="nextTo"/>
        <c:txPr>
          <a:bodyPr/>
          <a:lstStyle/>
          <a:p>
            <a:pPr>
              <a:defRPr lang="en-US" sz="800"/>
            </a:pPr>
            <a:endParaRPr lang="en-US"/>
          </a:p>
        </c:txPr>
        <c:crossAx val="140724480"/>
        <c:crosses val="autoZero"/>
        <c:crossBetween val="between"/>
        <c:majorUnit val="10"/>
      </c:valAx>
    </c:plotArea>
    <c:legend>
      <c:legendPos val="b"/>
      <c:layout>
        <c:manualLayout>
          <c:xMode val="edge"/>
          <c:yMode val="edge"/>
          <c:x val="1.0019516791170344E-2"/>
          <c:y val="0.90566929133860063"/>
          <c:w val="0.97996079816945969"/>
          <c:h val="8.090788986947102E-2"/>
        </c:manualLayout>
      </c:layout>
      <c:txPr>
        <a:bodyPr/>
        <a:lstStyle/>
        <a:p>
          <a:pPr>
            <a:defRPr lang="en-US"/>
          </a:pPr>
          <a:endParaRPr lang="en-US"/>
        </a:p>
      </c:txPr>
    </c:legend>
    <c:plotVisOnly val="1"/>
    <c:dispBlanksAs val="gap"/>
  </c:chart>
  <c:spPr>
    <a:ln w="38100" cmpd="dbl">
      <a:solidFill>
        <a:schemeClr val="accent5">
          <a:lumMod val="50000"/>
        </a:schemeClr>
      </a:solidFill>
    </a:ln>
  </c:sp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0115261393037614"/>
          <c:y val="0.15465873680683961"/>
          <c:w val="0.87275011442078698"/>
          <c:h val="0.6253422683866644"/>
        </c:manualLayout>
      </c:layout>
      <c:barChart>
        <c:barDir val="col"/>
        <c:grouping val="percentStacked"/>
        <c:ser>
          <c:idx val="0"/>
          <c:order val="0"/>
          <c:tx>
            <c:v>Attending school</c:v>
          </c:tx>
          <c:spPr>
            <a:solidFill>
              <a:srgbClr val="008000"/>
            </a:solidFill>
          </c:spPr>
          <c:dLbls>
            <c:dLbl>
              <c:idx val="0"/>
              <c:tx>
                <c:rich>
                  <a:bodyPr/>
                  <a:lstStyle/>
                  <a:p>
                    <a:r>
                      <a:rPr lang="en-US"/>
                      <a:t>77%</a:t>
                    </a:r>
                  </a:p>
                </c:rich>
              </c:tx>
              <c:showVal val="1"/>
            </c:dLbl>
            <c:dLbl>
              <c:idx val="1"/>
              <c:tx>
                <c:rich>
                  <a:bodyPr/>
                  <a:lstStyle/>
                  <a:p>
                    <a:r>
                      <a:rPr lang="en-US"/>
                      <a:t>79.8%</a:t>
                    </a:r>
                  </a:p>
                </c:rich>
              </c:tx>
              <c:showVal val="1"/>
            </c:dLbl>
            <c:dLbl>
              <c:idx val="2"/>
              <c:tx>
                <c:rich>
                  <a:bodyPr/>
                  <a:lstStyle/>
                  <a:p>
                    <a:r>
                      <a:rPr lang="en-US"/>
                      <a:t>86.8%</a:t>
                    </a:r>
                  </a:p>
                </c:rich>
              </c:tx>
              <c:showVal val="1"/>
            </c:dLbl>
            <c:dLbl>
              <c:idx val="3"/>
              <c:tx>
                <c:rich>
                  <a:bodyPr/>
                  <a:lstStyle/>
                  <a:p>
                    <a:r>
                      <a:rPr lang="en-US"/>
                      <a:t>82%</a:t>
                    </a:r>
                  </a:p>
                </c:rich>
              </c:tx>
              <c:showVal val="1"/>
            </c:dLbl>
            <c:dLbl>
              <c:idx val="4"/>
              <c:tx>
                <c:rich>
                  <a:bodyPr/>
                  <a:lstStyle/>
                  <a:p>
                    <a:r>
                      <a:rPr lang="en-US"/>
                      <a:t>85.4%</a:t>
                    </a:r>
                  </a:p>
                </c:rich>
              </c:tx>
              <c:showVal val="1"/>
            </c:dLbl>
            <c:dLbl>
              <c:idx val="5"/>
              <c:tx>
                <c:rich>
                  <a:bodyPr/>
                  <a:lstStyle/>
                  <a:p>
                    <a:r>
                      <a:rPr lang="en-US"/>
                      <a:t>81%</a:t>
                    </a:r>
                  </a:p>
                </c:rich>
              </c:tx>
              <c:showVal val="1"/>
            </c:dLbl>
            <c:dLbl>
              <c:idx val="6"/>
              <c:tx>
                <c:rich>
                  <a:bodyPr/>
                  <a:lstStyle/>
                  <a:p>
                    <a:r>
                      <a:rPr lang="en-US"/>
                      <a:t>73.2%</a:t>
                    </a:r>
                  </a:p>
                </c:rich>
              </c:tx>
              <c:showVal val="1"/>
            </c:dLbl>
            <c:dLbl>
              <c:idx val="7"/>
              <c:tx>
                <c:rich>
                  <a:bodyPr/>
                  <a:lstStyle/>
                  <a:p>
                    <a:r>
                      <a:rPr lang="en-US"/>
                      <a:t>85%</a:t>
                    </a:r>
                  </a:p>
                </c:rich>
              </c:tx>
              <c:showVal val="1"/>
            </c:dLbl>
            <c:dLbl>
              <c:idx val="8"/>
              <c:tx>
                <c:rich>
                  <a:bodyPr/>
                  <a:lstStyle/>
                  <a:p>
                    <a:r>
                      <a:rPr lang="en-US"/>
                      <a:t>77%</a:t>
                    </a:r>
                  </a:p>
                </c:rich>
              </c:tx>
              <c:showVal val="1"/>
            </c:dLbl>
            <c:dLbl>
              <c:idx val="9"/>
              <c:tx>
                <c:rich>
                  <a:bodyPr/>
                  <a:lstStyle/>
                  <a:p>
                    <a:r>
                      <a:rPr lang="en-US"/>
                      <a:t>94.3%</a:t>
                    </a:r>
                  </a:p>
                </c:rich>
              </c:tx>
              <c:showVal val="1"/>
            </c:dLbl>
            <c:dLbl>
              <c:idx val="10"/>
              <c:tx>
                <c:rich>
                  <a:bodyPr/>
                  <a:lstStyle/>
                  <a:p>
                    <a:r>
                      <a:rPr lang="en-US"/>
                      <a:t>91.4%</a:t>
                    </a:r>
                  </a:p>
                </c:rich>
              </c:tx>
              <c:showVal val="1"/>
            </c:dLbl>
            <c:txPr>
              <a:bodyPr/>
              <a:lstStyle/>
              <a:p>
                <a:pPr>
                  <a:defRPr lang="en-US" b="1">
                    <a:solidFill>
                      <a:schemeClr val="bg1"/>
                    </a:solidFill>
                  </a:defRPr>
                </a:pPr>
                <a:endParaRPr lang="en-US"/>
              </a:p>
            </c:txPr>
            <c:showVal val="1"/>
          </c:dLbls>
          <c:cat>
            <c:strRef>
              <c:f>'Fig 3.10'!$B$5:$L$5</c:f>
              <c:strCache>
                <c:ptCount val="11"/>
                <c:pt idx="0">
                  <c:v>CAMPE 1998</c:v>
                </c:pt>
                <c:pt idx="1">
                  <c:v>CAMPE 2000</c:v>
                </c:pt>
                <c:pt idx="2">
                  <c:v>CAMPE 2005</c:v>
                </c:pt>
                <c:pt idx="3">
                  <c:v>MICS 2006</c:v>
                </c:pt>
                <c:pt idx="4">
                  <c:v>CAMPE 2008</c:v>
                </c:pt>
                <c:pt idx="5">
                  <c:v>MICS 2009</c:v>
                </c:pt>
                <c:pt idx="6">
                  <c:v>MICS 2013</c:v>
                </c:pt>
                <c:pt idx="7">
                  <c:v>HIES 2010</c:v>
                </c:pt>
                <c:pt idx="8">
                  <c:v>BBS 2011</c:v>
                </c:pt>
                <c:pt idx="9">
                  <c:v>CAMPE 2013</c:v>
                </c:pt>
                <c:pt idx="10">
                  <c:v>EHS 2014</c:v>
                </c:pt>
              </c:strCache>
            </c:strRef>
          </c:cat>
          <c:val>
            <c:numRef>
              <c:f>'Fig 3.10'!$B$7:$L$7</c:f>
              <c:numCache>
                <c:formatCode>0.0</c:formatCode>
                <c:ptCount val="11"/>
                <c:pt idx="0">
                  <c:v>77</c:v>
                </c:pt>
                <c:pt idx="1">
                  <c:v>79.8</c:v>
                </c:pt>
                <c:pt idx="2">
                  <c:v>86.8</c:v>
                </c:pt>
                <c:pt idx="3">
                  <c:v>82</c:v>
                </c:pt>
                <c:pt idx="4">
                  <c:v>85.4</c:v>
                </c:pt>
                <c:pt idx="5">
                  <c:v>81</c:v>
                </c:pt>
                <c:pt idx="6">
                  <c:v>73.2</c:v>
                </c:pt>
                <c:pt idx="7" formatCode="General">
                  <c:v>85</c:v>
                </c:pt>
                <c:pt idx="8" formatCode="General">
                  <c:v>77</c:v>
                </c:pt>
                <c:pt idx="9">
                  <c:v>94.3</c:v>
                </c:pt>
                <c:pt idx="10">
                  <c:v>91.4</c:v>
                </c:pt>
              </c:numCache>
            </c:numRef>
          </c:val>
        </c:ser>
        <c:ser>
          <c:idx val="1"/>
          <c:order val="1"/>
          <c:tx>
            <c:v>Not Attending school</c:v>
          </c:tx>
          <c:spPr>
            <a:noFill/>
            <a:ln>
              <a:solidFill>
                <a:schemeClr val="tx1"/>
              </a:solidFill>
            </a:ln>
          </c:spPr>
          <c:dLbls>
            <c:dLbl>
              <c:idx val="0"/>
              <c:tx>
                <c:rich>
                  <a:bodyPr/>
                  <a:lstStyle/>
                  <a:p>
                    <a:r>
                      <a:rPr lang="en-US" b="1"/>
                      <a:t>23%</a:t>
                    </a:r>
                  </a:p>
                </c:rich>
              </c:tx>
              <c:showVal val="1"/>
            </c:dLbl>
            <c:dLbl>
              <c:idx val="1"/>
              <c:tx>
                <c:rich>
                  <a:bodyPr/>
                  <a:lstStyle/>
                  <a:p>
                    <a:r>
                      <a:rPr lang="en-US" b="1"/>
                      <a:t>20.2%</a:t>
                    </a:r>
                  </a:p>
                </c:rich>
              </c:tx>
              <c:showVal val="1"/>
            </c:dLbl>
            <c:dLbl>
              <c:idx val="2"/>
              <c:tx>
                <c:rich>
                  <a:bodyPr/>
                  <a:lstStyle/>
                  <a:p>
                    <a:r>
                      <a:rPr lang="en-US" b="1"/>
                      <a:t>13.2%</a:t>
                    </a:r>
                  </a:p>
                </c:rich>
              </c:tx>
              <c:showVal val="1"/>
            </c:dLbl>
            <c:dLbl>
              <c:idx val="3"/>
              <c:tx>
                <c:rich>
                  <a:bodyPr/>
                  <a:lstStyle/>
                  <a:p>
                    <a:r>
                      <a:rPr lang="en-US" b="1"/>
                      <a:t>18%</a:t>
                    </a:r>
                  </a:p>
                </c:rich>
              </c:tx>
              <c:showVal val="1"/>
            </c:dLbl>
            <c:dLbl>
              <c:idx val="4"/>
              <c:tx>
                <c:rich>
                  <a:bodyPr/>
                  <a:lstStyle/>
                  <a:p>
                    <a:r>
                      <a:rPr lang="en-US" b="1"/>
                      <a:t>13.6%</a:t>
                    </a:r>
                  </a:p>
                </c:rich>
              </c:tx>
              <c:showVal val="1"/>
            </c:dLbl>
            <c:dLbl>
              <c:idx val="5"/>
              <c:tx>
                <c:rich>
                  <a:bodyPr/>
                  <a:lstStyle/>
                  <a:p>
                    <a:r>
                      <a:rPr lang="en-US" b="1"/>
                      <a:t>19%</a:t>
                    </a:r>
                  </a:p>
                </c:rich>
              </c:tx>
              <c:showVal val="1"/>
            </c:dLbl>
            <c:dLbl>
              <c:idx val="6"/>
              <c:tx>
                <c:rich>
                  <a:bodyPr/>
                  <a:lstStyle/>
                  <a:p>
                    <a:r>
                      <a:rPr lang="en-US" b="1"/>
                      <a:t>26.8%</a:t>
                    </a:r>
                  </a:p>
                </c:rich>
              </c:tx>
              <c:showVal val="1"/>
            </c:dLbl>
            <c:dLbl>
              <c:idx val="7"/>
              <c:tx>
                <c:rich>
                  <a:bodyPr/>
                  <a:lstStyle/>
                  <a:p>
                    <a:r>
                      <a:rPr lang="en-US" b="1"/>
                      <a:t>15%</a:t>
                    </a:r>
                  </a:p>
                </c:rich>
              </c:tx>
              <c:showVal val="1"/>
            </c:dLbl>
            <c:dLbl>
              <c:idx val="8"/>
              <c:tx>
                <c:rich>
                  <a:bodyPr/>
                  <a:lstStyle/>
                  <a:p>
                    <a:r>
                      <a:rPr lang="en-US" b="1"/>
                      <a:t>23%</a:t>
                    </a:r>
                  </a:p>
                </c:rich>
              </c:tx>
              <c:showVal val="1"/>
            </c:dLbl>
            <c:dLbl>
              <c:idx val="9"/>
              <c:tx>
                <c:rich>
                  <a:bodyPr/>
                  <a:lstStyle/>
                  <a:p>
                    <a:r>
                      <a:rPr lang="en-US" b="1"/>
                      <a:t>5.7%</a:t>
                    </a:r>
                  </a:p>
                </c:rich>
              </c:tx>
              <c:showVal val="1"/>
            </c:dLbl>
            <c:dLbl>
              <c:idx val="10"/>
              <c:tx>
                <c:rich>
                  <a:bodyPr/>
                  <a:lstStyle/>
                  <a:p>
                    <a:r>
                      <a:rPr lang="en-US" b="1"/>
                      <a:t>8.6%</a:t>
                    </a:r>
                  </a:p>
                </c:rich>
              </c:tx>
              <c:showVal val="1"/>
            </c:dLbl>
            <c:txPr>
              <a:bodyPr/>
              <a:lstStyle/>
              <a:p>
                <a:pPr>
                  <a:defRPr lang="en-US" b="1"/>
                </a:pPr>
                <a:endParaRPr lang="en-US"/>
              </a:p>
            </c:txPr>
            <c:showVal val="1"/>
          </c:dLbls>
          <c:cat>
            <c:strRef>
              <c:f>'Fig 3.10'!$B$5:$L$5</c:f>
              <c:strCache>
                <c:ptCount val="11"/>
                <c:pt idx="0">
                  <c:v>CAMPE 1998</c:v>
                </c:pt>
                <c:pt idx="1">
                  <c:v>CAMPE 2000</c:v>
                </c:pt>
                <c:pt idx="2">
                  <c:v>CAMPE 2005</c:v>
                </c:pt>
                <c:pt idx="3">
                  <c:v>MICS 2006</c:v>
                </c:pt>
                <c:pt idx="4">
                  <c:v>CAMPE 2008</c:v>
                </c:pt>
                <c:pt idx="5">
                  <c:v>MICS 2009</c:v>
                </c:pt>
                <c:pt idx="6">
                  <c:v>MICS 2013</c:v>
                </c:pt>
                <c:pt idx="7">
                  <c:v>HIES 2010</c:v>
                </c:pt>
                <c:pt idx="8">
                  <c:v>BBS 2011</c:v>
                </c:pt>
                <c:pt idx="9">
                  <c:v>CAMPE 2013</c:v>
                </c:pt>
                <c:pt idx="10">
                  <c:v>EHS 2014</c:v>
                </c:pt>
              </c:strCache>
            </c:strRef>
          </c:cat>
          <c:val>
            <c:numRef>
              <c:f>'Fig 3.10'!$B$8:$L$8</c:f>
              <c:numCache>
                <c:formatCode>0.0</c:formatCode>
                <c:ptCount val="11"/>
                <c:pt idx="0">
                  <c:v>23</c:v>
                </c:pt>
                <c:pt idx="1">
                  <c:v>20.2</c:v>
                </c:pt>
                <c:pt idx="2">
                  <c:v>13.2</c:v>
                </c:pt>
                <c:pt idx="3">
                  <c:v>18</c:v>
                </c:pt>
                <c:pt idx="4">
                  <c:v>13.6</c:v>
                </c:pt>
                <c:pt idx="5">
                  <c:v>19</c:v>
                </c:pt>
                <c:pt idx="6">
                  <c:v>26.799999999999986</c:v>
                </c:pt>
                <c:pt idx="7" formatCode="General">
                  <c:v>15</c:v>
                </c:pt>
                <c:pt idx="8" formatCode="General">
                  <c:v>23</c:v>
                </c:pt>
                <c:pt idx="9">
                  <c:v>5.7</c:v>
                </c:pt>
                <c:pt idx="10" formatCode="General">
                  <c:v>8.6</c:v>
                </c:pt>
              </c:numCache>
            </c:numRef>
          </c:val>
        </c:ser>
        <c:gapWidth val="75"/>
        <c:overlap val="100"/>
        <c:axId val="140788480"/>
        <c:axId val="140790016"/>
      </c:barChart>
      <c:catAx>
        <c:axId val="140788480"/>
        <c:scaling>
          <c:orientation val="minMax"/>
        </c:scaling>
        <c:axPos val="b"/>
        <c:majorTickMark val="none"/>
        <c:tickLblPos val="nextTo"/>
        <c:txPr>
          <a:bodyPr/>
          <a:lstStyle/>
          <a:p>
            <a:pPr>
              <a:defRPr lang="en-US" sz="900"/>
            </a:pPr>
            <a:endParaRPr lang="en-US"/>
          </a:p>
        </c:txPr>
        <c:crossAx val="140790016"/>
        <c:crosses val="autoZero"/>
        <c:auto val="1"/>
        <c:lblAlgn val="ctr"/>
        <c:lblOffset val="100"/>
      </c:catAx>
      <c:valAx>
        <c:axId val="140790016"/>
        <c:scaling>
          <c:orientation val="minMax"/>
        </c:scaling>
        <c:axPos val="l"/>
        <c:numFmt formatCode="0%" sourceLinked="1"/>
        <c:tickLblPos val="nextTo"/>
        <c:txPr>
          <a:bodyPr/>
          <a:lstStyle/>
          <a:p>
            <a:pPr>
              <a:defRPr lang="en-US"/>
            </a:pPr>
            <a:endParaRPr lang="en-US"/>
          </a:p>
        </c:txPr>
        <c:crossAx val="140788480"/>
        <c:crosses val="autoZero"/>
        <c:crossBetween val="between"/>
      </c:valAx>
    </c:plotArea>
    <c:legend>
      <c:legendPos val="t"/>
      <c:overlay val="1"/>
      <c:txPr>
        <a:bodyPr/>
        <a:lstStyle/>
        <a:p>
          <a:pPr>
            <a:defRPr lang="en-US" sz="1000" b="1"/>
          </a:pPr>
          <a:endParaRPr lang="en-US"/>
        </a:p>
      </c:txPr>
    </c:legend>
    <c:plotVisOnly val="1"/>
    <c:dispBlanksAs val="gap"/>
  </c:chart>
  <c:spPr>
    <a:ln w="31750" cmpd="dbl">
      <a:solidFill>
        <a:srgbClr val="006600"/>
      </a:solidFill>
    </a:ln>
  </c:spPr>
  <c:txPr>
    <a:bodyPr/>
    <a:lstStyle/>
    <a:p>
      <a:pPr>
        <a:defRPr sz="8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25618608018826688"/>
          <c:y val="0.2656391912229808"/>
          <c:w val="0.45953097816797717"/>
          <c:h val="0.66447415679690003"/>
        </c:manualLayout>
      </c:layout>
      <c:pieChart>
        <c:varyColors val="1"/>
        <c:ser>
          <c:idx val="0"/>
          <c:order val="0"/>
          <c:dPt>
            <c:idx val="5"/>
            <c:spPr>
              <a:solidFill>
                <a:srgbClr val="FFFF00"/>
              </a:solidFill>
            </c:spPr>
          </c:dPt>
          <c:dPt>
            <c:idx val="7"/>
            <c:spPr>
              <a:solidFill>
                <a:srgbClr val="C00000"/>
              </a:solidFill>
            </c:spPr>
          </c:dPt>
          <c:dPt>
            <c:idx val="8"/>
            <c:spPr>
              <a:solidFill>
                <a:schemeClr val="accent6">
                  <a:lumMod val="75000"/>
                </a:schemeClr>
              </a:solidFill>
            </c:spPr>
          </c:dPt>
          <c:dPt>
            <c:idx val="9"/>
            <c:spPr>
              <a:solidFill>
                <a:srgbClr val="339933"/>
              </a:solidFill>
            </c:spPr>
          </c:dPt>
          <c:dLbls>
            <c:dLbl>
              <c:idx val="0"/>
              <c:layout>
                <c:manualLayout>
                  <c:x val="-0.31354939456097397"/>
                  <c:y val="-0.13025816445075514"/>
                </c:manualLayout>
              </c:layout>
              <c:tx>
                <c:rich>
                  <a:bodyPr/>
                  <a:lstStyle/>
                  <a:p>
                    <a:r>
                      <a:rPr lang="en-US" sz="800"/>
                      <a:t>Tea-Garden</a:t>
                    </a:r>
                    <a:r>
                      <a:rPr lang="en-US" sz="800" baseline="0"/>
                      <a:t> </a:t>
                    </a:r>
                    <a:r>
                      <a:rPr lang="en-US" sz="800"/>
                      <a:t>1%</a:t>
                    </a:r>
                  </a:p>
                </c:rich>
              </c:tx>
              <c:showCatName val="1"/>
              <c:showPercent val="1"/>
            </c:dLbl>
            <c:dLbl>
              <c:idx val="1"/>
              <c:layout>
                <c:manualLayout>
                  <c:x val="-0.38165843975387787"/>
                  <c:y val="-3.7210102835507452E-3"/>
                </c:manualLayout>
              </c:layout>
              <c:tx>
                <c:rich>
                  <a:bodyPr/>
                  <a:lstStyle/>
                  <a:p>
                    <a:r>
                      <a:rPr lang="en-US" sz="800"/>
                      <a:t>Social Welfare Based LCs</a:t>
                    </a:r>
                    <a:r>
                      <a:rPr lang="en-US" sz="800" baseline="0"/>
                      <a:t> </a:t>
                    </a:r>
                    <a:r>
                      <a:rPr lang="en-US" sz="800"/>
                      <a:t>0.2%</a:t>
                    </a:r>
                  </a:p>
                </c:rich>
              </c:tx>
              <c:showCatName val="1"/>
              <c:showPercent val="1"/>
            </c:dLbl>
            <c:dLbl>
              <c:idx val="2"/>
              <c:layout>
                <c:manualLayout>
                  <c:x val="-0.16104969231787244"/>
                  <c:y val="-0.12780474162041219"/>
                </c:manualLayout>
              </c:layout>
              <c:tx>
                <c:rich>
                  <a:bodyPr/>
                  <a:lstStyle/>
                  <a:p>
                    <a:r>
                      <a:rPr lang="en-US" sz="800"/>
                      <a:t>Deaf &amp; Dumb School</a:t>
                    </a:r>
                    <a:r>
                      <a:rPr lang="en-US" sz="800" baseline="0"/>
                      <a:t> </a:t>
                    </a:r>
                    <a:r>
                      <a:rPr lang="en-US" sz="800"/>
                      <a:t>0.2%</a:t>
                    </a:r>
                  </a:p>
                </c:rich>
              </c:tx>
              <c:showCatName val="1"/>
              <c:showPercent val="1"/>
            </c:dLbl>
            <c:dLbl>
              <c:idx val="3"/>
              <c:layout>
                <c:manualLayout>
                  <c:x val="0.31287836220476967"/>
                  <c:y val="-7.2709435910675524E-2"/>
                </c:manualLayout>
              </c:layout>
              <c:tx>
                <c:rich>
                  <a:bodyPr/>
                  <a:lstStyle/>
                  <a:p>
                    <a:r>
                      <a:rPr lang="en-US" sz="800"/>
                      <a:t>School</a:t>
                    </a:r>
                    <a:r>
                      <a:rPr lang="en-US" sz="800" baseline="0"/>
                      <a:t> for the </a:t>
                    </a:r>
                    <a:r>
                      <a:rPr lang="en-US" sz="800" b="0" i="0" u="none" strike="noStrike" baseline="0"/>
                      <a:t>Blind </a:t>
                    </a:r>
                    <a:r>
                      <a:rPr lang="en-US" sz="800"/>
                      <a:t>0.1%</a:t>
                    </a:r>
                  </a:p>
                </c:rich>
              </c:tx>
              <c:showCatName val="1"/>
              <c:showPercent val="1"/>
            </c:dLbl>
            <c:dLbl>
              <c:idx val="4"/>
              <c:layout>
                <c:manualLayout>
                  <c:x val="0.1283006682988051"/>
                  <c:y val="-0.1694552730089067"/>
                </c:manualLayout>
              </c:layout>
              <c:tx>
                <c:rich>
                  <a:bodyPr/>
                  <a:lstStyle/>
                  <a:p>
                    <a:r>
                      <a:rPr lang="en-US" sz="800"/>
                      <a:t>Jail Attached</a:t>
                    </a:r>
                    <a:r>
                      <a:rPr lang="en-US" sz="800" baseline="0"/>
                      <a:t> </a:t>
                    </a:r>
                    <a:r>
                      <a:rPr lang="en-US" sz="800"/>
                      <a:t>0%</a:t>
                    </a:r>
                  </a:p>
                </c:rich>
              </c:tx>
              <c:showCatName val="1"/>
              <c:showPercent val="1"/>
            </c:dLbl>
            <c:dLbl>
              <c:idx val="5"/>
              <c:layout>
                <c:manualLayout>
                  <c:x val="0.18498325944551094"/>
                  <c:y val="0.10156275547524556"/>
                </c:manualLayout>
              </c:layout>
              <c:tx>
                <c:rich>
                  <a:bodyPr/>
                  <a:lstStyle/>
                  <a:p>
                    <a:r>
                      <a:rPr lang="en-US" sz="800"/>
                      <a:t>CHTs  Managed Schools</a:t>
                    </a:r>
                    <a:r>
                      <a:rPr lang="en-US" sz="800" baseline="0"/>
                      <a:t> </a:t>
                    </a:r>
                    <a:r>
                      <a:rPr lang="en-US" sz="800"/>
                      <a:t>3%</a:t>
                    </a:r>
                  </a:p>
                </c:rich>
              </c:tx>
              <c:showCatName val="1"/>
              <c:showPercent val="1"/>
            </c:dLbl>
            <c:dLbl>
              <c:idx val="6"/>
              <c:layout>
                <c:manualLayout>
                  <c:x val="8.1029312512406748E-2"/>
                  <c:y val="3.3936147325846606E-2"/>
                </c:manualLayout>
              </c:layout>
              <c:tx>
                <c:rich>
                  <a:bodyPr/>
                  <a:lstStyle/>
                  <a:p>
                    <a:r>
                      <a:rPr lang="en-US" sz="800"/>
                      <a:t>Others Types of Schools/LCs55%</a:t>
                    </a:r>
                  </a:p>
                </c:rich>
              </c:tx>
              <c:showCatName val="1"/>
              <c:showPercent val="1"/>
            </c:dLbl>
            <c:dLbl>
              <c:idx val="7"/>
              <c:layout>
                <c:manualLayout>
                  <c:x val="-8.4921901745977565E-2"/>
                  <c:y val="-3.8334918932048663E-2"/>
                </c:manualLayout>
              </c:layout>
              <c:tx>
                <c:rich>
                  <a:bodyPr/>
                  <a:lstStyle/>
                  <a:p>
                    <a:r>
                      <a:rPr lang="en-US" sz="800"/>
                      <a:t>Quami Madrashahs</a:t>
                    </a:r>
                    <a:r>
                      <a:rPr lang="en-US" sz="800" baseline="0"/>
                      <a:t> </a:t>
                    </a:r>
                    <a:r>
                      <a:rPr lang="en-US" sz="800"/>
                      <a:t>2%</a:t>
                    </a:r>
                  </a:p>
                </c:rich>
              </c:tx>
              <c:showCatName val="1"/>
              <c:showPercent val="1"/>
            </c:dLbl>
            <c:dLbl>
              <c:idx val="8"/>
              <c:layout>
                <c:manualLayout>
                  <c:x val="-0.13302430586981226"/>
                  <c:y val="-9.8825804669155068E-2"/>
                </c:manualLayout>
              </c:layout>
              <c:tx>
                <c:rich>
                  <a:bodyPr/>
                  <a:lstStyle/>
                  <a:p>
                    <a:r>
                      <a:rPr lang="en-US" sz="800"/>
                      <a:t>Temple Based </a:t>
                    </a:r>
                  </a:p>
                  <a:p>
                    <a:r>
                      <a:rPr lang="en-US" sz="800"/>
                      <a:t>LCs</a:t>
                    </a:r>
                    <a:r>
                      <a:rPr lang="en-US" sz="800" baseline="0"/>
                      <a:t> </a:t>
                    </a:r>
                    <a:r>
                      <a:rPr lang="en-US" sz="800"/>
                      <a:t>10%</a:t>
                    </a:r>
                  </a:p>
                </c:rich>
              </c:tx>
              <c:showCatName val="1"/>
              <c:showPercent val="1"/>
            </c:dLbl>
            <c:dLbl>
              <c:idx val="9"/>
              <c:layout>
                <c:manualLayout>
                  <c:x val="-0.12024720439356845"/>
                  <c:y val="0.11804870702637582"/>
                </c:manualLayout>
              </c:layout>
              <c:tx>
                <c:rich>
                  <a:bodyPr/>
                  <a:lstStyle/>
                  <a:p>
                    <a:r>
                      <a:rPr lang="en-US" sz="800"/>
                      <a:t>Mosque Based LCs</a:t>
                    </a:r>
                    <a:r>
                      <a:rPr lang="en-US" sz="800" baseline="0"/>
                      <a:t> </a:t>
                    </a:r>
                    <a:r>
                      <a:rPr lang="en-US" sz="800"/>
                      <a:t>29%</a:t>
                    </a:r>
                  </a:p>
                </c:rich>
              </c:tx>
              <c:showCatName val="1"/>
              <c:showPercent val="1"/>
            </c:dLbl>
            <c:txPr>
              <a:bodyPr/>
              <a:lstStyle/>
              <a:p>
                <a:pPr>
                  <a:defRPr lang="en-US" sz="800"/>
                </a:pPr>
                <a:endParaRPr lang="en-US"/>
              </a:p>
            </c:txPr>
            <c:showCatName val="1"/>
            <c:showPercent val="1"/>
            <c:showLeaderLines val="1"/>
          </c:dLbls>
          <c:cat>
            <c:strRef>
              <c:f>'Figure 1.1'!$B$26:$B$35</c:f>
              <c:strCache>
                <c:ptCount val="10"/>
                <c:pt idx="0">
                  <c:v>Tea-Garden</c:v>
                </c:pt>
                <c:pt idx="1">
                  <c:v>Social Welfare Based LCs</c:v>
                </c:pt>
                <c:pt idx="2">
                  <c:v>Deaf &amp; Dumb School</c:v>
                </c:pt>
                <c:pt idx="3">
                  <c:v>Blind School </c:v>
                </c:pt>
                <c:pt idx="4">
                  <c:v>Jail Attached</c:v>
                </c:pt>
                <c:pt idx="5">
                  <c:v>CHTs  Managed Schools</c:v>
                </c:pt>
                <c:pt idx="6">
                  <c:v>Others Types of Schools/LCs</c:v>
                </c:pt>
                <c:pt idx="7">
                  <c:v>Quami Madrashahs</c:v>
                </c:pt>
                <c:pt idx="8">
                  <c:v>Temple Based LCs</c:v>
                </c:pt>
                <c:pt idx="9">
                  <c:v>Mosque Based LCs</c:v>
                </c:pt>
              </c:strCache>
            </c:strRef>
          </c:cat>
          <c:val>
            <c:numRef>
              <c:f>'Figure 1.1'!$C$26:$C$35</c:f>
              <c:numCache>
                <c:formatCode>General</c:formatCode>
                <c:ptCount val="10"/>
                <c:pt idx="0">
                  <c:v>53</c:v>
                </c:pt>
                <c:pt idx="1">
                  <c:v>13</c:v>
                </c:pt>
                <c:pt idx="2">
                  <c:v>12</c:v>
                </c:pt>
                <c:pt idx="3">
                  <c:v>3</c:v>
                </c:pt>
                <c:pt idx="4">
                  <c:v>2</c:v>
                </c:pt>
                <c:pt idx="5">
                  <c:v>137</c:v>
                </c:pt>
                <c:pt idx="6">
                  <c:v>3015</c:v>
                </c:pt>
                <c:pt idx="7">
                  <c:v>103</c:v>
                </c:pt>
                <c:pt idx="8">
                  <c:v>554</c:v>
                </c:pt>
                <c:pt idx="9" formatCode="#,##0">
                  <c:v>1579</c:v>
                </c:pt>
              </c:numCache>
            </c:numRef>
          </c:val>
        </c:ser>
        <c:firstSliceAng val="0"/>
      </c:pieChart>
    </c:plotArea>
    <c:plotVisOnly val="1"/>
    <c:dispBlanksAs val="zero"/>
  </c:chart>
  <c:spPr>
    <a:ln w="41275" cmpd="dbl">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0115261393037614"/>
          <c:y val="0.10439309509388249"/>
          <c:w val="0.65354610922744949"/>
          <c:h val="0.68025984251969485"/>
        </c:manualLayout>
      </c:layout>
      <c:barChart>
        <c:barDir val="col"/>
        <c:grouping val="percentStacked"/>
        <c:ser>
          <c:idx val="0"/>
          <c:order val="0"/>
          <c:tx>
            <c:v>Attending School</c:v>
          </c:tx>
          <c:dLbls>
            <c:dLbl>
              <c:idx val="0"/>
              <c:tx>
                <c:rich>
                  <a:bodyPr/>
                  <a:lstStyle/>
                  <a:p>
                    <a:r>
                      <a:rPr lang="en-US"/>
                      <a:t>85%</a:t>
                    </a:r>
                  </a:p>
                </c:rich>
              </c:tx>
              <c:showVal val="1"/>
            </c:dLbl>
            <c:dLbl>
              <c:idx val="1"/>
              <c:tx>
                <c:rich>
                  <a:bodyPr/>
                  <a:lstStyle/>
                  <a:p>
                    <a:r>
                      <a:rPr lang="en-US"/>
                      <a:t>82.1%</a:t>
                    </a:r>
                  </a:p>
                </c:rich>
              </c:tx>
              <c:showVal val="1"/>
            </c:dLbl>
            <c:dLbl>
              <c:idx val="3"/>
              <c:tx>
                <c:rich>
                  <a:bodyPr/>
                  <a:lstStyle/>
                  <a:p>
                    <a:r>
                      <a:rPr lang="en-US"/>
                      <a:t>78%</a:t>
                    </a:r>
                  </a:p>
                </c:rich>
              </c:tx>
              <c:showVal val="1"/>
            </c:dLbl>
            <c:dLbl>
              <c:idx val="4"/>
              <c:tx>
                <c:rich>
                  <a:bodyPr/>
                  <a:lstStyle/>
                  <a:p>
                    <a:r>
                      <a:rPr lang="en-US"/>
                      <a:t>85.6%</a:t>
                    </a:r>
                  </a:p>
                </c:rich>
              </c:tx>
              <c:showVal val="1"/>
            </c:dLbl>
            <c:txPr>
              <a:bodyPr/>
              <a:lstStyle/>
              <a:p>
                <a:pPr>
                  <a:defRPr lang="en-US" b="1">
                    <a:solidFill>
                      <a:schemeClr val="bg1"/>
                    </a:solidFill>
                  </a:defRPr>
                </a:pPr>
                <a:endParaRPr lang="en-US"/>
              </a:p>
            </c:txPr>
            <c:showVal val="1"/>
          </c:dLbls>
          <c:cat>
            <c:multiLvlStrRef>
              <c:f>'Fig 3.11'!$B$6:$E$7</c:f>
              <c:multiLvlStrCache>
                <c:ptCount val="4"/>
                <c:lvl>
                  <c:pt idx="0">
                    <c:v>HIES 2010</c:v>
                  </c:pt>
                  <c:pt idx="1">
                    <c:v>EHS 2014</c:v>
                  </c:pt>
                  <c:pt idx="2">
                    <c:v>HIES 2010</c:v>
                  </c:pt>
                  <c:pt idx="3">
                    <c:v>EHS 2014</c:v>
                  </c:pt>
                </c:lvl>
                <c:lvl>
                  <c:pt idx="0">
                    <c:v>6-10 years</c:v>
                  </c:pt>
                  <c:pt idx="2">
                    <c:v>11-14 years</c:v>
                  </c:pt>
                </c:lvl>
              </c:multiLvlStrCache>
            </c:multiLvlStrRef>
          </c:cat>
          <c:val>
            <c:numRef>
              <c:f>'Fig 3.11'!$B$8:$E$8</c:f>
              <c:numCache>
                <c:formatCode>0.00</c:formatCode>
                <c:ptCount val="4"/>
                <c:pt idx="0" formatCode="General">
                  <c:v>84.6</c:v>
                </c:pt>
                <c:pt idx="1">
                  <c:v>82.11999999999999</c:v>
                </c:pt>
                <c:pt idx="2" formatCode="General">
                  <c:v>77.599999999999994</c:v>
                </c:pt>
                <c:pt idx="3" formatCode="0.0">
                  <c:v>85.61999999999999</c:v>
                </c:pt>
              </c:numCache>
            </c:numRef>
          </c:val>
        </c:ser>
        <c:ser>
          <c:idx val="1"/>
          <c:order val="1"/>
          <c:tx>
            <c:v>Dropped Out</c:v>
          </c:tx>
          <c:dLbls>
            <c:dLbl>
              <c:idx val="0"/>
              <c:tx>
                <c:rich>
                  <a:bodyPr/>
                  <a:lstStyle/>
                  <a:p>
                    <a:r>
                      <a:rPr lang="en-US" b="1"/>
                      <a:t>6.2%</a:t>
                    </a:r>
                  </a:p>
                </c:rich>
              </c:tx>
              <c:showVal val="1"/>
            </c:dLbl>
            <c:dLbl>
              <c:idx val="1"/>
              <c:tx>
                <c:rich>
                  <a:bodyPr/>
                  <a:lstStyle/>
                  <a:p>
                    <a:r>
                      <a:rPr lang="en-US" b="1"/>
                      <a:t>9.4%</a:t>
                    </a:r>
                  </a:p>
                </c:rich>
              </c:tx>
              <c:showVal val="1"/>
            </c:dLbl>
            <c:dLbl>
              <c:idx val="2"/>
              <c:tx>
                <c:rich>
                  <a:bodyPr/>
                  <a:lstStyle/>
                  <a:p>
                    <a:r>
                      <a:rPr lang="en-US" b="1"/>
                      <a:t>6.29%</a:t>
                    </a:r>
                  </a:p>
                </c:rich>
              </c:tx>
              <c:showVal val="1"/>
            </c:dLbl>
            <c:dLbl>
              <c:idx val="3"/>
              <c:tx>
                <c:rich>
                  <a:bodyPr/>
                  <a:lstStyle/>
                  <a:p>
                    <a:r>
                      <a:rPr lang="en-US" b="1"/>
                      <a:t>6.3%</a:t>
                    </a:r>
                  </a:p>
                </c:rich>
              </c:tx>
              <c:showVal val="1"/>
            </c:dLbl>
            <c:dLbl>
              <c:idx val="4"/>
              <c:tx>
                <c:rich>
                  <a:bodyPr/>
                  <a:lstStyle/>
                  <a:p>
                    <a:r>
                      <a:rPr lang="en-US" b="1"/>
                      <a:t>5.1%</a:t>
                    </a:r>
                  </a:p>
                </c:rich>
              </c:tx>
              <c:showVal val="1"/>
            </c:dLbl>
            <c:txPr>
              <a:bodyPr/>
              <a:lstStyle/>
              <a:p>
                <a:pPr>
                  <a:defRPr lang="en-US" b="1">
                    <a:solidFill>
                      <a:schemeClr val="bg1"/>
                    </a:solidFill>
                  </a:defRPr>
                </a:pPr>
                <a:endParaRPr lang="en-US"/>
              </a:p>
            </c:txPr>
            <c:showVal val="1"/>
          </c:dLbls>
          <c:cat>
            <c:multiLvlStrRef>
              <c:f>'Fig 3.11'!$B$6:$E$7</c:f>
              <c:multiLvlStrCache>
                <c:ptCount val="4"/>
                <c:lvl>
                  <c:pt idx="0">
                    <c:v>HIES 2010</c:v>
                  </c:pt>
                  <c:pt idx="1">
                    <c:v>EHS 2014</c:v>
                  </c:pt>
                  <c:pt idx="2">
                    <c:v>HIES 2010</c:v>
                  </c:pt>
                  <c:pt idx="3">
                    <c:v>EHS 2014</c:v>
                  </c:pt>
                </c:lvl>
                <c:lvl>
                  <c:pt idx="0">
                    <c:v>6-10 years</c:v>
                  </c:pt>
                  <c:pt idx="2">
                    <c:v>11-14 years</c:v>
                  </c:pt>
                </c:lvl>
              </c:multiLvlStrCache>
            </c:multiLvlStrRef>
          </c:cat>
          <c:val>
            <c:numRef>
              <c:f>'Fig 3.11'!$B$9:$E$9</c:f>
              <c:numCache>
                <c:formatCode>General</c:formatCode>
                <c:ptCount val="4"/>
                <c:pt idx="0">
                  <c:v>6.21</c:v>
                </c:pt>
                <c:pt idx="1">
                  <c:v>9.41</c:v>
                </c:pt>
                <c:pt idx="2">
                  <c:v>6.29</c:v>
                </c:pt>
                <c:pt idx="3">
                  <c:v>5.1099999999999985</c:v>
                </c:pt>
              </c:numCache>
            </c:numRef>
          </c:val>
        </c:ser>
        <c:ser>
          <c:idx val="2"/>
          <c:order val="2"/>
          <c:tx>
            <c:v>Never Enrolled</c:v>
          </c:tx>
          <c:dLbls>
            <c:dLbl>
              <c:idx val="0"/>
              <c:tx>
                <c:rich>
                  <a:bodyPr/>
                  <a:lstStyle/>
                  <a:p>
                    <a:r>
                      <a:rPr lang="en-US" b="1"/>
                      <a:t>9.2%</a:t>
                    </a:r>
                  </a:p>
                </c:rich>
              </c:tx>
              <c:showVal val="1"/>
            </c:dLbl>
            <c:dLbl>
              <c:idx val="1"/>
              <c:tx>
                <c:rich>
                  <a:bodyPr/>
                  <a:lstStyle/>
                  <a:p>
                    <a:r>
                      <a:rPr lang="en-US" b="1"/>
                      <a:t>8.5%</a:t>
                    </a:r>
                  </a:p>
                </c:rich>
              </c:tx>
              <c:showVal val="1"/>
            </c:dLbl>
            <c:dLbl>
              <c:idx val="2"/>
              <c:tx>
                <c:rich>
                  <a:bodyPr/>
                  <a:lstStyle/>
                  <a:p>
                    <a:r>
                      <a:rPr lang="en-US" b="1"/>
                      <a:t>16.17%</a:t>
                    </a:r>
                  </a:p>
                </c:rich>
              </c:tx>
              <c:showVal val="1"/>
            </c:dLbl>
            <c:dLbl>
              <c:idx val="3"/>
              <c:tx>
                <c:rich>
                  <a:bodyPr/>
                  <a:lstStyle/>
                  <a:p>
                    <a:r>
                      <a:rPr lang="en-US" b="1"/>
                      <a:t>16.2%</a:t>
                    </a:r>
                  </a:p>
                </c:rich>
              </c:tx>
              <c:showVal val="1"/>
            </c:dLbl>
            <c:dLbl>
              <c:idx val="4"/>
              <c:tx>
                <c:rich>
                  <a:bodyPr/>
                  <a:lstStyle/>
                  <a:p>
                    <a:r>
                      <a:rPr lang="en-US" b="1"/>
                      <a:t>9.3%</a:t>
                    </a:r>
                  </a:p>
                </c:rich>
              </c:tx>
              <c:showVal val="1"/>
            </c:dLbl>
            <c:txPr>
              <a:bodyPr/>
              <a:lstStyle/>
              <a:p>
                <a:pPr>
                  <a:defRPr lang="en-US" b="1"/>
                </a:pPr>
                <a:endParaRPr lang="en-US"/>
              </a:p>
            </c:txPr>
            <c:showVal val="1"/>
          </c:dLbls>
          <c:cat>
            <c:multiLvlStrRef>
              <c:f>'Fig 3.11'!$B$6:$E$7</c:f>
              <c:multiLvlStrCache>
                <c:ptCount val="4"/>
                <c:lvl>
                  <c:pt idx="0">
                    <c:v>HIES 2010</c:v>
                  </c:pt>
                  <c:pt idx="1">
                    <c:v>EHS 2014</c:v>
                  </c:pt>
                  <c:pt idx="2">
                    <c:v>HIES 2010</c:v>
                  </c:pt>
                  <c:pt idx="3">
                    <c:v>EHS 2014</c:v>
                  </c:pt>
                </c:lvl>
                <c:lvl>
                  <c:pt idx="0">
                    <c:v>6-10 years</c:v>
                  </c:pt>
                  <c:pt idx="2">
                    <c:v>11-14 years</c:v>
                  </c:pt>
                </c:lvl>
              </c:multiLvlStrCache>
            </c:multiLvlStrRef>
          </c:cat>
          <c:val>
            <c:numRef>
              <c:f>'Fig 3.11'!$B$10:$E$10</c:f>
              <c:numCache>
                <c:formatCode>General</c:formatCode>
                <c:ptCount val="4"/>
                <c:pt idx="0">
                  <c:v>9.2299999999999986</c:v>
                </c:pt>
                <c:pt idx="1">
                  <c:v>8.4700000000000006</c:v>
                </c:pt>
                <c:pt idx="2">
                  <c:v>16.170000000000005</c:v>
                </c:pt>
                <c:pt idx="3">
                  <c:v>9.27</c:v>
                </c:pt>
              </c:numCache>
            </c:numRef>
          </c:val>
        </c:ser>
        <c:gapWidth val="55"/>
        <c:overlap val="100"/>
        <c:axId val="140816768"/>
        <c:axId val="140818304"/>
      </c:barChart>
      <c:catAx>
        <c:axId val="140816768"/>
        <c:scaling>
          <c:orientation val="minMax"/>
        </c:scaling>
        <c:axPos val="b"/>
        <c:majorTickMark val="none"/>
        <c:tickLblPos val="nextTo"/>
        <c:txPr>
          <a:bodyPr/>
          <a:lstStyle/>
          <a:p>
            <a:pPr>
              <a:defRPr lang="en-US" sz="900" b="1"/>
            </a:pPr>
            <a:endParaRPr lang="en-US"/>
          </a:p>
        </c:txPr>
        <c:crossAx val="140818304"/>
        <c:crosses val="autoZero"/>
        <c:auto val="1"/>
        <c:lblAlgn val="ctr"/>
        <c:lblOffset val="100"/>
      </c:catAx>
      <c:valAx>
        <c:axId val="140818304"/>
        <c:scaling>
          <c:orientation val="minMax"/>
        </c:scaling>
        <c:axPos val="l"/>
        <c:majorGridlines/>
        <c:numFmt formatCode="0%" sourceLinked="1"/>
        <c:majorTickMark val="none"/>
        <c:tickLblPos val="nextTo"/>
        <c:txPr>
          <a:bodyPr/>
          <a:lstStyle/>
          <a:p>
            <a:pPr>
              <a:defRPr lang="en-US" sz="900"/>
            </a:pPr>
            <a:endParaRPr lang="en-US"/>
          </a:p>
        </c:txPr>
        <c:crossAx val="140816768"/>
        <c:crosses val="autoZero"/>
        <c:crossBetween val="between"/>
      </c:valAx>
    </c:plotArea>
    <c:legend>
      <c:legendPos val="r"/>
      <c:layout>
        <c:manualLayout>
          <c:xMode val="edge"/>
          <c:yMode val="edge"/>
          <c:x val="0.77367855708433086"/>
          <c:y val="0.36112826805742576"/>
          <c:w val="0.20496912974846984"/>
          <c:h val="0.23484303098476444"/>
        </c:manualLayout>
      </c:layout>
      <c:txPr>
        <a:bodyPr/>
        <a:lstStyle/>
        <a:p>
          <a:pPr>
            <a:defRPr lang="en-US"/>
          </a:pPr>
          <a:endParaRPr lang="en-US"/>
        </a:p>
      </c:txPr>
    </c:legend>
    <c:plotVisOnly val="1"/>
    <c:dispBlanksAs val="gap"/>
  </c:chart>
  <c:spPr>
    <a:ln w="31750" cmpd="dbl">
      <a:solidFill>
        <a:schemeClr val="accent5">
          <a:lumMod val="50000"/>
        </a:schemeClr>
      </a:solid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9.1302021346485254E-2"/>
          <c:y val="9.0173226392943895E-2"/>
          <c:w val="0.77672814175132587"/>
          <c:h val="0.72466897475771408"/>
        </c:manualLayout>
      </c:layout>
      <c:barChart>
        <c:barDir val="col"/>
        <c:grouping val="clustered"/>
        <c:ser>
          <c:idx val="0"/>
          <c:order val="0"/>
          <c:tx>
            <c:strRef>
              <c:f>'Fig 3.13'!$B$3</c:f>
              <c:strCache>
                <c:ptCount val="1"/>
                <c:pt idx="0">
                  <c:v>Boys</c:v>
                </c:pt>
              </c:strCache>
            </c:strRef>
          </c:tx>
          <c:spPr>
            <a:solidFill>
              <a:srgbClr val="0000FF"/>
            </a:solidFill>
          </c:spPr>
          <c:cat>
            <c:strRef>
              <c:f>'Fig 3.13'!$A$4:$A$10</c:f>
              <c:strCache>
                <c:ptCount val="7"/>
                <c:pt idx="0">
                  <c:v>Physical  Handicap</c:v>
                </c:pt>
                <c:pt idx="1">
                  <c:v>Poor Eyesight</c:v>
                </c:pt>
                <c:pt idx="2">
                  <c:v>Short of Hearing</c:v>
                </c:pt>
                <c:pt idx="3">
                  <c:v>Problem in Speech</c:v>
                </c:pt>
                <c:pt idx="4">
                  <c:v>Intellectual/ Mental</c:v>
                </c:pt>
                <c:pt idx="5">
                  <c:v>Autistics</c:v>
                </c:pt>
                <c:pt idx="6">
                  <c:v>Others</c:v>
                </c:pt>
              </c:strCache>
            </c:strRef>
          </c:cat>
          <c:val>
            <c:numRef>
              <c:f>'Fig 3.13'!$B$4:$B$10</c:f>
              <c:numCache>
                <c:formatCode>General</c:formatCode>
                <c:ptCount val="7"/>
                <c:pt idx="0" formatCode="#,##0">
                  <c:v>2067</c:v>
                </c:pt>
                <c:pt idx="1">
                  <c:v>607</c:v>
                </c:pt>
                <c:pt idx="2">
                  <c:v>258</c:v>
                </c:pt>
                <c:pt idx="3" formatCode="#,##0">
                  <c:v>1633</c:v>
                </c:pt>
                <c:pt idx="4" formatCode="#,##0">
                  <c:v>1329</c:v>
                </c:pt>
                <c:pt idx="5">
                  <c:v>324</c:v>
                </c:pt>
                <c:pt idx="6">
                  <c:v>116</c:v>
                </c:pt>
              </c:numCache>
            </c:numRef>
          </c:val>
        </c:ser>
        <c:ser>
          <c:idx val="1"/>
          <c:order val="1"/>
          <c:tx>
            <c:strRef>
              <c:f>'Fig 3.13'!$C$3</c:f>
              <c:strCache>
                <c:ptCount val="1"/>
                <c:pt idx="0">
                  <c:v>Girls</c:v>
                </c:pt>
              </c:strCache>
            </c:strRef>
          </c:tx>
          <c:spPr>
            <a:solidFill>
              <a:srgbClr val="00CC00"/>
            </a:solidFill>
          </c:spPr>
          <c:cat>
            <c:strRef>
              <c:f>'Fig 3.13'!$A$4:$A$10</c:f>
              <c:strCache>
                <c:ptCount val="7"/>
                <c:pt idx="0">
                  <c:v>Physical  Handicap</c:v>
                </c:pt>
                <c:pt idx="1">
                  <c:v>Poor Eyesight</c:v>
                </c:pt>
                <c:pt idx="2">
                  <c:v>Short of Hearing</c:v>
                </c:pt>
                <c:pt idx="3">
                  <c:v>Problem in Speech</c:v>
                </c:pt>
                <c:pt idx="4">
                  <c:v>Intellectual/ Mental</c:v>
                </c:pt>
                <c:pt idx="5">
                  <c:v>Autistics</c:v>
                </c:pt>
                <c:pt idx="6">
                  <c:v>Others</c:v>
                </c:pt>
              </c:strCache>
            </c:strRef>
          </c:cat>
          <c:val>
            <c:numRef>
              <c:f>'Fig 3.13'!$C$4:$C$10</c:f>
              <c:numCache>
                <c:formatCode>General</c:formatCode>
                <c:ptCount val="7"/>
                <c:pt idx="0" formatCode="#,##0">
                  <c:v>1596</c:v>
                </c:pt>
                <c:pt idx="1">
                  <c:v>545</c:v>
                </c:pt>
                <c:pt idx="2">
                  <c:v>263</c:v>
                </c:pt>
                <c:pt idx="3" formatCode="#,##0">
                  <c:v>1210</c:v>
                </c:pt>
                <c:pt idx="4" formatCode="#,##0">
                  <c:v>1038</c:v>
                </c:pt>
                <c:pt idx="5">
                  <c:v>206</c:v>
                </c:pt>
                <c:pt idx="6">
                  <c:v>80</c:v>
                </c:pt>
              </c:numCache>
            </c:numRef>
          </c:val>
        </c:ser>
        <c:ser>
          <c:idx val="2"/>
          <c:order val="2"/>
          <c:tx>
            <c:strRef>
              <c:f>'Fig 3.13'!$D$3</c:f>
              <c:strCache>
                <c:ptCount val="1"/>
                <c:pt idx="0">
                  <c:v>Total</c:v>
                </c:pt>
              </c:strCache>
            </c:strRef>
          </c:tx>
          <c:spPr>
            <a:solidFill>
              <a:schemeClr val="accent6">
                <a:lumMod val="75000"/>
              </a:schemeClr>
            </a:solidFill>
          </c:spPr>
          <c:cat>
            <c:strRef>
              <c:f>'Fig 3.13'!$A$4:$A$10</c:f>
              <c:strCache>
                <c:ptCount val="7"/>
                <c:pt idx="0">
                  <c:v>Physical  Handicap</c:v>
                </c:pt>
                <c:pt idx="1">
                  <c:v>Poor Eyesight</c:v>
                </c:pt>
                <c:pt idx="2">
                  <c:v>Short of Hearing</c:v>
                </c:pt>
                <c:pt idx="3">
                  <c:v>Problem in Speech</c:v>
                </c:pt>
                <c:pt idx="4">
                  <c:v>Intellectual/ Mental</c:v>
                </c:pt>
                <c:pt idx="5">
                  <c:v>Autistics</c:v>
                </c:pt>
                <c:pt idx="6">
                  <c:v>Others</c:v>
                </c:pt>
              </c:strCache>
            </c:strRef>
          </c:cat>
          <c:val>
            <c:numRef>
              <c:f>'Fig 3.13'!$D$4:$D$10</c:f>
              <c:numCache>
                <c:formatCode>#,##0</c:formatCode>
                <c:ptCount val="7"/>
                <c:pt idx="0">
                  <c:v>3663</c:v>
                </c:pt>
                <c:pt idx="1">
                  <c:v>1152</c:v>
                </c:pt>
                <c:pt idx="2" formatCode="General">
                  <c:v>521</c:v>
                </c:pt>
                <c:pt idx="3">
                  <c:v>2843</c:v>
                </c:pt>
                <c:pt idx="4">
                  <c:v>2367</c:v>
                </c:pt>
                <c:pt idx="5" formatCode="General">
                  <c:v>530</c:v>
                </c:pt>
                <c:pt idx="6" formatCode="General">
                  <c:v>196</c:v>
                </c:pt>
              </c:numCache>
            </c:numRef>
          </c:val>
        </c:ser>
        <c:axId val="140913280"/>
        <c:axId val="140923264"/>
      </c:barChart>
      <c:catAx>
        <c:axId val="140913280"/>
        <c:scaling>
          <c:orientation val="minMax"/>
        </c:scaling>
        <c:axPos val="b"/>
        <c:majorTickMark val="none"/>
        <c:tickLblPos val="nextTo"/>
        <c:txPr>
          <a:bodyPr/>
          <a:lstStyle/>
          <a:p>
            <a:pPr>
              <a:defRPr lang="en-US" sz="800"/>
            </a:pPr>
            <a:endParaRPr lang="en-US"/>
          </a:p>
        </c:txPr>
        <c:crossAx val="140923264"/>
        <c:crosses val="autoZero"/>
        <c:auto val="1"/>
        <c:lblAlgn val="ctr"/>
        <c:lblOffset val="100"/>
      </c:catAx>
      <c:valAx>
        <c:axId val="140923264"/>
        <c:scaling>
          <c:orientation val="minMax"/>
          <c:max val="5000"/>
        </c:scaling>
        <c:axPos val="l"/>
        <c:majorGridlines>
          <c:spPr>
            <a:ln w="9525">
              <a:solidFill>
                <a:schemeClr val="accent5">
                  <a:lumMod val="40000"/>
                  <a:lumOff val="60000"/>
                </a:schemeClr>
              </a:solidFill>
            </a:ln>
          </c:spPr>
        </c:majorGridlines>
        <c:numFmt formatCode="#,##0" sourceLinked="1"/>
        <c:majorTickMark val="none"/>
        <c:tickLblPos val="nextTo"/>
        <c:txPr>
          <a:bodyPr/>
          <a:lstStyle/>
          <a:p>
            <a:pPr>
              <a:defRPr lang="en-US" sz="800"/>
            </a:pPr>
            <a:endParaRPr lang="en-US"/>
          </a:p>
        </c:txPr>
        <c:crossAx val="140913280"/>
        <c:crosses val="autoZero"/>
        <c:crossBetween val="between"/>
        <c:majorUnit val="1000"/>
      </c:valAx>
    </c:plotArea>
    <c:legend>
      <c:legendPos val="r"/>
      <c:layout>
        <c:manualLayout>
          <c:xMode val="edge"/>
          <c:yMode val="edge"/>
          <c:x val="0.88389929284320923"/>
          <c:y val="0.32604387601838786"/>
          <c:w val="9.5718541551733025E-2"/>
          <c:h val="0.31357653270219837"/>
        </c:manualLayout>
      </c:layout>
      <c:txPr>
        <a:bodyPr/>
        <a:lstStyle/>
        <a:p>
          <a:pPr>
            <a:defRPr lang="en-US"/>
          </a:pPr>
          <a:endParaRPr lang="en-US"/>
        </a:p>
      </c:txPr>
    </c:legend>
    <c:plotVisOnly val="1"/>
    <c:dispBlanksAs val="gap"/>
  </c:chart>
  <c:spPr>
    <a:ln w="31750" cmpd="dbl">
      <a:solidFill>
        <a:schemeClr val="accent5">
          <a:lumMod val="50000"/>
        </a:schemeClr>
      </a:solid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1843285214348206"/>
          <c:y val="8.8322032662583844E-2"/>
          <c:w val="0.87008245844269461"/>
          <c:h val="0.65019247594051377"/>
        </c:manualLayout>
      </c:layout>
      <c:barChart>
        <c:barDir val="col"/>
        <c:grouping val="clustered"/>
        <c:ser>
          <c:idx val="0"/>
          <c:order val="0"/>
          <c:tx>
            <c:strRef>
              <c:f>'Table 3.13'!$A$5</c:f>
              <c:strCache>
                <c:ptCount val="1"/>
                <c:pt idx="0">
                  <c:v>All</c:v>
                </c:pt>
              </c:strCache>
            </c:strRef>
          </c:tx>
          <c:dLbls>
            <c:dLbl>
              <c:idx val="3"/>
              <c:delete val="1"/>
            </c:dLbl>
            <c:txPr>
              <a:bodyPr/>
              <a:lstStyle/>
              <a:p>
                <a:pPr>
                  <a:defRPr lang="en-US">
                    <a:solidFill>
                      <a:srgbClr val="3333FF"/>
                    </a:solidFill>
                  </a:defRPr>
                </a:pPr>
                <a:endParaRPr lang="en-US"/>
              </a:p>
            </c:txPr>
            <c:showVal val="1"/>
          </c:dLbls>
          <c:cat>
            <c:numRef>
              <c:f>'Table 3.13'!$B$4:$G$4</c:f>
              <c:numCache>
                <c:formatCode>General</c:formatCode>
                <c:ptCount val="6"/>
                <c:pt idx="0">
                  <c:v>2010</c:v>
                </c:pt>
                <c:pt idx="1">
                  <c:v>2011</c:v>
                </c:pt>
                <c:pt idx="2">
                  <c:v>2012</c:v>
                </c:pt>
                <c:pt idx="3">
                  <c:v>2013</c:v>
                </c:pt>
                <c:pt idx="4">
                  <c:v>2014</c:v>
                </c:pt>
                <c:pt idx="5">
                  <c:v>2015</c:v>
                </c:pt>
              </c:numCache>
            </c:numRef>
          </c:cat>
          <c:val>
            <c:numRef>
              <c:f>'Table 3.13'!$B$5:$G$5</c:f>
              <c:numCache>
                <c:formatCode>0%</c:formatCode>
                <c:ptCount val="6"/>
                <c:pt idx="0">
                  <c:v>0.42250000000000032</c:v>
                </c:pt>
                <c:pt idx="1">
                  <c:v>0.39020000000000032</c:v>
                </c:pt>
                <c:pt idx="2">
                  <c:v>0.50029999999999997</c:v>
                </c:pt>
                <c:pt idx="3">
                  <c:v>0</c:v>
                </c:pt>
                <c:pt idx="4">
                  <c:v>0.51070000000000004</c:v>
                </c:pt>
                <c:pt idx="5">
                  <c:v>0.96000000000000063</c:v>
                </c:pt>
              </c:numCache>
            </c:numRef>
          </c:val>
        </c:ser>
        <c:ser>
          <c:idx val="1"/>
          <c:order val="1"/>
          <c:tx>
            <c:strRef>
              <c:f>'Table 3.13'!$A$6</c:f>
              <c:strCache>
                <c:ptCount val="1"/>
                <c:pt idx="0">
                  <c:v>Boys</c:v>
                </c:pt>
              </c:strCache>
            </c:strRef>
          </c:tx>
          <c:dLbls>
            <c:dLbl>
              <c:idx val="0"/>
              <c:layout>
                <c:manualLayout>
                  <c:x val="7.2065869339471914E-3"/>
                  <c:y val="1.390443964013427E-2"/>
                </c:manualLayout>
              </c:layout>
              <c:showVal val="1"/>
            </c:dLbl>
            <c:dLbl>
              <c:idx val="1"/>
              <c:layout>
                <c:manualLayout>
                  <c:x val="7.2065869339471914E-3"/>
                  <c:y val="2.3174066066890198E-2"/>
                </c:manualLayout>
              </c:layout>
              <c:showVal val="1"/>
            </c:dLbl>
            <c:dLbl>
              <c:idx val="2"/>
              <c:layout>
                <c:manualLayout>
                  <c:x val="7.2065869339471914E-3"/>
                  <c:y val="2.7808879280268296E-2"/>
                </c:manualLayout>
              </c:layout>
              <c:showVal val="1"/>
            </c:dLbl>
            <c:dLbl>
              <c:idx val="4"/>
              <c:layout>
                <c:manualLayout>
                  <c:x val="2.4021956446490618E-3"/>
                  <c:y val="2.3174066066890198E-2"/>
                </c:manualLayout>
              </c:layout>
              <c:showVal val="1"/>
            </c:dLbl>
            <c:dLbl>
              <c:idx val="5"/>
              <c:layout>
                <c:manualLayout>
                  <c:x val="9.6087825785963251E-3"/>
                  <c:y val="2.3174066066890198E-2"/>
                </c:manualLayout>
              </c:layout>
              <c:showVal val="1"/>
            </c:dLbl>
            <c:txPr>
              <a:bodyPr/>
              <a:lstStyle/>
              <a:p>
                <a:pPr>
                  <a:defRPr lang="en-US" sz="900" baseline="0">
                    <a:solidFill>
                      <a:srgbClr val="FF0000"/>
                    </a:solidFill>
                  </a:defRPr>
                </a:pPr>
                <a:endParaRPr lang="en-US"/>
              </a:p>
            </c:txPr>
            <c:showVal val="1"/>
          </c:dLbls>
          <c:cat>
            <c:numRef>
              <c:f>'Table 3.13'!$B$4:$G$4</c:f>
              <c:numCache>
                <c:formatCode>General</c:formatCode>
                <c:ptCount val="6"/>
                <c:pt idx="0">
                  <c:v>2010</c:v>
                </c:pt>
                <c:pt idx="1">
                  <c:v>2011</c:v>
                </c:pt>
                <c:pt idx="2">
                  <c:v>2012</c:v>
                </c:pt>
                <c:pt idx="3">
                  <c:v>2013</c:v>
                </c:pt>
                <c:pt idx="4">
                  <c:v>2014</c:v>
                </c:pt>
                <c:pt idx="5">
                  <c:v>2015</c:v>
                </c:pt>
              </c:numCache>
            </c:numRef>
          </c:cat>
          <c:val>
            <c:numRef>
              <c:f>'Table 3.13'!$B$6:$G$6</c:f>
              <c:numCache>
                <c:formatCode>0%</c:formatCode>
                <c:ptCount val="6"/>
                <c:pt idx="0">
                  <c:v>0.40580000000000038</c:v>
                </c:pt>
                <c:pt idx="1">
                  <c:v>0.37730000000001607</c:v>
                </c:pt>
                <c:pt idx="2">
                  <c:v>0.50009999999999999</c:v>
                </c:pt>
                <c:pt idx="3">
                  <c:v>0.46500000000000002</c:v>
                </c:pt>
                <c:pt idx="4">
                  <c:v>0.50549999999999951</c:v>
                </c:pt>
                <c:pt idx="5">
                  <c:v>0.95000000000000062</c:v>
                </c:pt>
              </c:numCache>
            </c:numRef>
          </c:val>
        </c:ser>
        <c:ser>
          <c:idx val="2"/>
          <c:order val="2"/>
          <c:tx>
            <c:strRef>
              <c:f>'Table 3.13'!$A$7</c:f>
              <c:strCache>
                <c:ptCount val="1"/>
                <c:pt idx="0">
                  <c:v>Girls</c:v>
                </c:pt>
              </c:strCache>
            </c:strRef>
          </c:tx>
          <c:dLbls>
            <c:dLbl>
              <c:idx val="0"/>
              <c:layout>
                <c:manualLayout>
                  <c:x val="1.4413173867894372E-2"/>
                  <c:y val="3.2443692493646523E-2"/>
                </c:manualLayout>
              </c:layout>
              <c:showVal val="1"/>
            </c:dLbl>
            <c:dLbl>
              <c:idx val="1"/>
              <c:layout>
                <c:manualLayout>
                  <c:x val="1.4413173867894372E-2"/>
                  <c:y val="2.3174066066890198E-2"/>
                </c:manualLayout>
              </c:layout>
              <c:showVal val="1"/>
            </c:dLbl>
            <c:dLbl>
              <c:idx val="2"/>
              <c:layout>
                <c:manualLayout>
                  <c:x val="1.6815369512543435E-2"/>
                  <c:y val="2.7808879280268296E-2"/>
                </c:manualLayout>
              </c:layout>
              <c:showVal val="1"/>
            </c:dLbl>
            <c:dLbl>
              <c:idx val="3"/>
              <c:layout>
                <c:manualLayout>
                  <c:x val="7.2065869339470994E-3"/>
                  <c:y val="1.3904439640134309E-2"/>
                </c:manualLayout>
              </c:layout>
              <c:showVal val="1"/>
            </c:dLbl>
            <c:dLbl>
              <c:idx val="4"/>
              <c:layout>
                <c:manualLayout>
                  <c:x val="1.9217565157192501E-2"/>
                  <c:y val="9.2696264267561265E-3"/>
                </c:manualLayout>
              </c:layout>
              <c:showVal val="1"/>
            </c:dLbl>
            <c:dLbl>
              <c:idx val="5"/>
              <c:layout>
                <c:manualLayout>
                  <c:x val="2.1619760801841591E-2"/>
                  <c:y val="1.390443964013427E-2"/>
                </c:manualLayout>
              </c:layout>
              <c:showVal val="1"/>
            </c:dLbl>
            <c:txPr>
              <a:bodyPr/>
              <a:lstStyle/>
              <a:p>
                <a:pPr>
                  <a:defRPr lang="en-US">
                    <a:solidFill>
                      <a:srgbClr val="92D050"/>
                    </a:solidFill>
                  </a:defRPr>
                </a:pPr>
                <a:endParaRPr lang="en-US"/>
              </a:p>
            </c:txPr>
            <c:showVal val="1"/>
          </c:dLbls>
          <c:cat>
            <c:numRef>
              <c:f>'Table 3.13'!$B$4:$G$4</c:f>
              <c:numCache>
                <c:formatCode>General</c:formatCode>
                <c:ptCount val="6"/>
                <c:pt idx="0">
                  <c:v>2010</c:v>
                </c:pt>
                <c:pt idx="1">
                  <c:v>2011</c:v>
                </c:pt>
                <c:pt idx="2">
                  <c:v>2012</c:v>
                </c:pt>
                <c:pt idx="3">
                  <c:v>2013</c:v>
                </c:pt>
                <c:pt idx="4">
                  <c:v>2014</c:v>
                </c:pt>
                <c:pt idx="5">
                  <c:v>2015</c:v>
                </c:pt>
              </c:numCache>
            </c:numRef>
          </c:cat>
          <c:val>
            <c:numRef>
              <c:f>'Table 3.13'!$B$7:$G$7</c:f>
              <c:numCache>
                <c:formatCode>0%</c:formatCode>
                <c:ptCount val="6"/>
                <c:pt idx="0">
                  <c:v>0.43940000000001422</c:v>
                </c:pt>
                <c:pt idx="1">
                  <c:v>0.4037</c:v>
                </c:pt>
                <c:pt idx="2">
                  <c:v>0.51829999999999998</c:v>
                </c:pt>
                <c:pt idx="3">
                  <c:v>0.48090000000000038</c:v>
                </c:pt>
                <c:pt idx="4">
                  <c:v>0.51629999999999998</c:v>
                </c:pt>
                <c:pt idx="5">
                  <c:v>0.97000000000000064</c:v>
                </c:pt>
              </c:numCache>
            </c:numRef>
          </c:val>
        </c:ser>
        <c:axId val="140945664"/>
        <c:axId val="140972032"/>
      </c:barChart>
      <c:catAx>
        <c:axId val="140945664"/>
        <c:scaling>
          <c:orientation val="minMax"/>
        </c:scaling>
        <c:axPos val="b"/>
        <c:numFmt formatCode="General" sourceLinked="1"/>
        <c:majorTickMark val="none"/>
        <c:tickLblPos val="nextTo"/>
        <c:txPr>
          <a:bodyPr/>
          <a:lstStyle/>
          <a:p>
            <a:pPr>
              <a:defRPr lang="en-US" sz="900"/>
            </a:pPr>
            <a:endParaRPr lang="en-US"/>
          </a:p>
        </c:txPr>
        <c:crossAx val="140972032"/>
        <c:crossesAt val="0"/>
        <c:auto val="1"/>
        <c:lblAlgn val="ctr"/>
        <c:lblOffset val="100"/>
      </c:catAx>
      <c:valAx>
        <c:axId val="140972032"/>
        <c:scaling>
          <c:orientation val="minMax"/>
          <c:max val="1"/>
        </c:scaling>
        <c:axPos val="l"/>
        <c:majorGridlines>
          <c:spPr>
            <a:ln>
              <a:solidFill>
                <a:schemeClr val="bg2">
                  <a:lumMod val="75000"/>
                </a:schemeClr>
              </a:solidFill>
            </a:ln>
          </c:spPr>
        </c:majorGridlines>
        <c:numFmt formatCode="0%" sourceLinked="1"/>
        <c:tickLblPos val="nextTo"/>
        <c:txPr>
          <a:bodyPr/>
          <a:lstStyle/>
          <a:p>
            <a:pPr>
              <a:defRPr lang="en-US" sz="900"/>
            </a:pPr>
            <a:endParaRPr lang="en-US"/>
          </a:p>
        </c:txPr>
        <c:crossAx val="140945664"/>
        <c:crosses val="autoZero"/>
        <c:crossBetween val="between"/>
      </c:valAx>
    </c:plotArea>
    <c:legend>
      <c:legendPos val="r"/>
      <c:layout>
        <c:manualLayout>
          <c:xMode val="edge"/>
          <c:yMode val="edge"/>
          <c:x val="4.1293088363954247E-2"/>
          <c:y val="0.86279235928845277"/>
          <c:w val="0.95037357830271219"/>
          <c:h val="0.10763305628463828"/>
        </c:manualLayout>
      </c:layout>
      <c:txPr>
        <a:bodyPr/>
        <a:lstStyle/>
        <a:p>
          <a:pPr>
            <a:defRPr lang="en-US" sz="1000"/>
          </a:pPr>
          <a:endParaRPr lang="en-US"/>
        </a:p>
      </c:txPr>
    </c:legend>
    <c:plotVisOnly val="1"/>
    <c:dispBlanksAs val="gap"/>
  </c:chart>
  <c:spPr>
    <a:ln w="31750" cmpd="dbl">
      <a:solidFill>
        <a:srgbClr val="EEECE1">
          <a:lumMod val="50000"/>
        </a:srgbClr>
      </a:solid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v>Boys</c:v>
          </c:tx>
          <c:cat>
            <c:numLit>
              <c:formatCode>General</c:formatCode>
              <c:ptCount val="7"/>
              <c:pt idx="0">
                <c:v>2005</c:v>
              </c:pt>
              <c:pt idx="1">
                <c:v>2010</c:v>
              </c:pt>
              <c:pt idx="2">
                <c:v>2011</c:v>
              </c:pt>
              <c:pt idx="3">
                <c:v>2012</c:v>
              </c:pt>
              <c:pt idx="4">
                <c:v>2013</c:v>
              </c:pt>
              <c:pt idx="5">
                <c:v>2014</c:v>
              </c:pt>
              <c:pt idx="6">
                <c:v>2015</c:v>
              </c:pt>
            </c:numLit>
          </c:cat>
          <c:val>
            <c:numRef>
              <c:f>'Table 3.17, Fig3.15'!$B$15:$H$15</c:f>
              <c:numCache>
                <c:formatCode>0.0%</c:formatCode>
                <c:ptCount val="7"/>
                <c:pt idx="0">
                  <c:v>0.10700000000000012</c:v>
                </c:pt>
                <c:pt idx="1">
                  <c:v>0.128</c:v>
                </c:pt>
                <c:pt idx="2">
                  <c:v>0.11600000000000002</c:v>
                </c:pt>
                <c:pt idx="3">
                  <c:v>7.6999999999999999E-2</c:v>
                </c:pt>
                <c:pt idx="4">
                  <c:v>7.3000000000000009E-2</c:v>
                </c:pt>
                <c:pt idx="5">
                  <c:v>6.9000000000000034E-2</c:v>
                </c:pt>
                <c:pt idx="6">
                  <c:v>6.4000000000000112E-2</c:v>
                </c:pt>
              </c:numCache>
            </c:numRef>
          </c:val>
        </c:ser>
        <c:ser>
          <c:idx val="1"/>
          <c:order val="1"/>
          <c:tx>
            <c:v>Girls</c:v>
          </c:tx>
          <c:cat>
            <c:numLit>
              <c:formatCode>General</c:formatCode>
              <c:ptCount val="7"/>
              <c:pt idx="0">
                <c:v>2005</c:v>
              </c:pt>
              <c:pt idx="1">
                <c:v>2010</c:v>
              </c:pt>
              <c:pt idx="2">
                <c:v>2011</c:v>
              </c:pt>
              <c:pt idx="3">
                <c:v>2012</c:v>
              </c:pt>
              <c:pt idx="4">
                <c:v>2013</c:v>
              </c:pt>
              <c:pt idx="5">
                <c:v>2014</c:v>
              </c:pt>
              <c:pt idx="6">
                <c:v>2015</c:v>
              </c:pt>
            </c:numLit>
          </c:cat>
          <c:val>
            <c:numRef>
              <c:f>'Table 3.17, Fig3.15'!$B$16:$H$16</c:f>
              <c:numCache>
                <c:formatCode>0.0%</c:formatCode>
                <c:ptCount val="7"/>
                <c:pt idx="0">
                  <c:v>9.6000000000000002E-2</c:v>
                </c:pt>
                <c:pt idx="1">
                  <c:v>0.12400000000000012</c:v>
                </c:pt>
                <c:pt idx="2">
                  <c:v>0.10600000000000002</c:v>
                </c:pt>
                <c:pt idx="3">
                  <c:v>6.9000000000000034E-2</c:v>
                </c:pt>
                <c:pt idx="4">
                  <c:v>6.5000000000000002E-2</c:v>
                </c:pt>
                <c:pt idx="5">
                  <c:v>6.0000000000000032E-2</c:v>
                </c:pt>
                <c:pt idx="6">
                  <c:v>6.0000000000000032E-2</c:v>
                </c:pt>
              </c:numCache>
            </c:numRef>
          </c:val>
        </c:ser>
        <c:ser>
          <c:idx val="2"/>
          <c:order val="2"/>
          <c:tx>
            <c:v>All</c:v>
          </c:tx>
          <c:cat>
            <c:numLit>
              <c:formatCode>General</c:formatCode>
              <c:ptCount val="7"/>
              <c:pt idx="0">
                <c:v>2005</c:v>
              </c:pt>
              <c:pt idx="1">
                <c:v>2010</c:v>
              </c:pt>
              <c:pt idx="2">
                <c:v>2011</c:v>
              </c:pt>
              <c:pt idx="3">
                <c:v>2012</c:v>
              </c:pt>
              <c:pt idx="4">
                <c:v>2013</c:v>
              </c:pt>
              <c:pt idx="5">
                <c:v>2014</c:v>
              </c:pt>
              <c:pt idx="6">
                <c:v>2015</c:v>
              </c:pt>
            </c:numLit>
          </c:cat>
          <c:val>
            <c:numRef>
              <c:f>'Table 3.17, Fig3.15'!$B$17:$H$17</c:f>
              <c:numCache>
                <c:formatCode>0.0%</c:formatCode>
                <c:ptCount val="7"/>
                <c:pt idx="0">
                  <c:v>0.10199999999999998</c:v>
                </c:pt>
                <c:pt idx="1">
                  <c:v>0.126</c:v>
                </c:pt>
                <c:pt idx="2">
                  <c:v>0.111</c:v>
                </c:pt>
                <c:pt idx="3">
                  <c:v>7.3000000000000009E-2</c:v>
                </c:pt>
                <c:pt idx="4">
                  <c:v>6.9000000000000034E-2</c:v>
                </c:pt>
                <c:pt idx="5">
                  <c:v>6.4000000000000112E-2</c:v>
                </c:pt>
                <c:pt idx="6">
                  <c:v>6.2000000000000034E-2</c:v>
                </c:pt>
              </c:numCache>
            </c:numRef>
          </c:val>
        </c:ser>
        <c:axId val="141021952"/>
        <c:axId val="141023488"/>
      </c:barChart>
      <c:catAx>
        <c:axId val="141021952"/>
        <c:scaling>
          <c:orientation val="minMax"/>
        </c:scaling>
        <c:axPos val="b"/>
        <c:numFmt formatCode="General" sourceLinked="1"/>
        <c:majorTickMark val="none"/>
        <c:tickLblPos val="nextTo"/>
        <c:txPr>
          <a:bodyPr/>
          <a:lstStyle/>
          <a:p>
            <a:pPr>
              <a:defRPr lang="en-US"/>
            </a:pPr>
            <a:endParaRPr lang="en-US"/>
          </a:p>
        </c:txPr>
        <c:crossAx val="141023488"/>
        <c:crosses val="autoZero"/>
        <c:auto val="1"/>
        <c:lblAlgn val="ctr"/>
        <c:lblOffset val="100"/>
      </c:catAx>
      <c:valAx>
        <c:axId val="141023488"/>
        <c:scaling>
          <c:orientation val="minMax"/>
          <c:max val="0.14000000000000001"/>
        </c:scaling>
        <c:axPos val="l"/>
        <c:majorGridlines>
          <c:spPr>
            <a:ln>
              <a:solidFill>
                <a:srgbClr val="EEECE1">
                  <a:lumMod val="75000"/>
                </a:srgbClr>
              </a:solidFill>
            </a:ln>
          </c:spPr>
        </c:majorGridlines>
        <c:numFmt formatCode="0.0%" sourceLinked="1"/>
        <c:majorTickMark val="none"/>
        <c:tickLblPos val="nextTo"/>
        <c:txPr>
          <a:bodyPr/>
          <a:lstStyle/>
          <a:p>
            <a:pPr>
              <a:defRPr lang="en-US" sz="900"/>
            </a:pPr>
            <a:endParaRPr lang="en-US"/>
          </a:p>
        </c:txPr>
        <c:crossAx val="141021952"/>
        <c:crosses val="autoZero"/>
        <c:crossBetween val="between"/>
      </c:valAx>
      <c:dTable>
        <c:showHorzBorder val="1"/>
        <c:showVertBorder val="1"/>
        <c:showOutline val="1"/>
        <c:showKeys val="1"/>
        <c:txPr>
          <a:bodyPr/>
          <a:lstStyle/>
          <a:p>
            <a:pPr rtl="0">
              <a:defRPr lang="en-US" sz="900"/>
            </a:pPr>
            <a:endParaRPr lang="en-US"/>
          </a:p>
        </c:txPr>
      </c:dTable>
    </c:plotArea>
    <c:plotVisOnly val="1"/>
    <c:dispBlanksAs val="gap"/>
  </c:chart>
  <c:spPr>
    <a:ln w="31750" cmpd="dbl">
      <a:solidFill>
        <a:schemeClr val="bg2">
          <a:lumMod val="50000"/>
        </a:schemeClr>
      </a:solidFill>
    </a:ln>
  </c:sp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8.8064741907261768E-2"/>
          <c:y val="0.15263455455819094"/>
          <c:w val="0.8813797025372001"/>
          <c:h val="0.55578119747753063"/>
        </c:manualLayout>
      </c:layout>
      <c:barChart>
        <c:barDir val="col"/>
        <c:grouping val="clustered"/>
        <c:ser>
          <c:idx val="0"/>
          <c:order val="0"/>
          <c:tx>
            <c:v>All</c:v>
          </c:tx>
          <c:spPr>
            <a:solidFill>
              <a:srgbClr val="0033CC"/>
            </a:solidFill>
          </c:spPr>
          <c:dLbls>
            <c:dLbl>
              <c:idx val="5"/>
              <c:layout>
                <c:manualLayout>
                  <c:x val="2.777829248472103E-3"/>
                  <c:y val="-1.4214342575212844E-2"/>
                </c:manualLayout>
              </c:layout>
              <c:tx>
                <c:rich>
                  <a:bodyPr/>
                  <a:lstStyle/>
                  <a:p>
                    <a:r>
                      <a:rPr lang="en-US" sz="900"/>
                      <a:t>86%</a:t>
                    </a:r>
                  </a:p>
                </c:rich>
              </c:tx>
              <c:showVal val="1"/>
            </c:dLbl>
            <c:dLbl>
              <c:idx val="6"/>
              <c:layout>
                <c:manualLayout>
                  <c:x val="0"/>
                  <c:y val="-1.5311020903164933E-2"/>
                </c:manualLayout>
              </c:layout>
              <c:tx>
                <c:rich>
                  <a:bodyPr/>
                  <a:lstStyle/>
                  <a:p>
                    <a:r>
                      <a:rPr lang="en-US" sz="900"/>
                      <a:t>86.3%</a:t>
                    </a:r>
                  </a:p>
                </c:rich>
              </c:tx>
              <c:showVal val="1"/>
            </c:dLbl>
            <c:dLbl>
              <c:idx val="7"/>
              <c:layout>
                <c:manualLayout>
                  <c:x val="0"/>
                  <c:y val="2.7902133085119359E-2"/>
                </c:manualLayout>
              </c:layout>
              <c:tx>
                <c:rich>
                  <a:bodyPr/>
                  <a:lstStyle/>
                  <a:p>
                    <a:r>
                      <a:rPr lang="en-US" sz="900"/>
                      <a:t>74.5%</a:t>
                    </a:r>
                  </a:p>
                </c:rich>
              </c:tx>
              <c:showVal val="1"/>
            </c:dLbl>
            <c:dLbl>
              <c:idx val="8"/>
              <c:layout>
                <c:manualLayout>
                  <c:x val="0"/>
                  <c:y val="2.3251777570932611E-2"/>
                </c:manualLayout>
              </c:layout>
              <c:tx>
                <c:rich>
                  <a:bodyPr/>
                  <a:lstStyle/>
                  <a:p>
                    <a:r>
                      <a:rPr lang="en-US" sz="900"/>
                      <a:t>73.2%</a:t>
                    </a:r>
                  </a:p>
                </c:rich>
              </c:tx>
              <c:showVal val="1"/>
            </c:dLbl>
            <c:dLbl>
              <c:idx val="9"/>
              <c:layout>
                <c:manualLayout>
                  <c:x val="0"/>
                  <c:y val="-9.5639870610266606E-3"/>
                </c:manualLayout>
              </c:layout>
              <c:tx>
                <c:rich>
                  <a:bodyPr/>
                  <a:lstStyle/>
                  <a:p>
                    <a:r>
                      <a:rPr lang="en-US" sz="900"/>
                      <a:t>86.7%</a:t>
                    </a:r>
                  </a:p>
                </c:rich>
              </c:tx>
              <c:showVal val="1"/>
            </c:dLbl>
            <c:dLbl>
              <c:idx val="10"/>
              <c:layout>
                <c:manualLayout>
                  <c:x val="0"/>
                  <c:y val="-6.0103098747919404E-3"/>
                </c:manualLayout>
              </c:layout>
              <c:tx>
                <c:rich>
                  <a:bodyPr/>
                  <a:lstStyle/>
                  <a:p>
                    <a:r>
                      <a:rPr lang="en-US" sz="900"/>
                      <a:t>86.9%</a:t>
                    </a:r>
                  </a:p>
                </c:rich>
              </c:tx>
              <c:showVal val="1"/>
            </c:dLbl>
            <c:txPr>
              <a:bodyPr/>
              <a:lstStyle/>
              <a:p>
                <a:pPr>
                  <a:defRPr lang="en-US" sz="900">
                    <a:solidFill>
                      <a:srgbClr val="0033CC"/>
                    </a:solidFill>
                  </a:defRPr>
                </a:pPr>
                <a:endParaRPr lang="en-US"/>
              </a:p>
            </c:txPr>
            <c:showVal val="1"/>
          </c:dLbls>
          <c:cat>
            <c:strRef>
              <c:f>'Fig 3.16'!$B$13:$L$13</c:f>
              <c:strCache>
                <c:ptCount val="11"/>
                <c:pt idx="0">
                  <c:v>2000 CAMPE</c:v>
                </c:pt>
                <c:pt idx="1">
                  <c:v>2005 SSPS</c:v>
                </c:pt>
                <c:pt idx="2">
                  <c:v>2008 CAMPE</c:v>
                </c:pt>
                <c:pt idx="3">
                  <c:v>2010 APSC</c:v>
                </c:pt>
                <c:pt idx="4">
                  <c:v>2011 APSC</c:v>
                </c:pt>
                <c:pt idx="5">
                  <c:v>2012 APSC</c:v>
                </c:pt>
                <c:pt idx="6">
                  <c:v>2013 APSC</c:v>
                </c:pt>
                <c:pt idx="7">
                  <c:v>2014 CAMPE</c:v>
                </c:pt>
                <c:pt idx="8">
                  <c:v>2013 MICS</c:v>
                </c:pt>
                <c:pt idx="9">
                  <c:v>2014 APSC</c:v>
                </c:pt>
                <c:pt idx="10">
                  <c:v>2015 APSC</c:v>
                </c:pt>
              </c:strCache>
            </c:strRef>
          </c:cat>
          <c:val>
            <c:numRef>
              <c:f>'Fig 3.16'!$B$14:$L$14</c:f>
              <c:numCache>
                <c:formatCode>General</c:formatCode>
                <c:ptCount val="11"/>
                <c:pt idx="5">
                  <c:v>86</c:v>
                </c:pt>
                <c:pt idx="6">
                  <c:v>86.3</c:v>
                </c:pt>
                <c:pt idx="7">
                  <c:v>74.5</c:v>
                </c:pt>
                <c:pt idx="8">
                  <c:v>73.2</c:v>
                </c:pt>
                <c:pt idx="9">
                  <c:v>86.7</c:v>
                </c:pt>
                <c:pt idx="10">
                  <c:v>86.9</c:v>
                </c:pt>
              </c:numCache>
            </c:numRef>
          </c:val>
        </c:ser>
        <c:ser>
          <c:idx val="1"/>
          <c:order val="1"/>
          <c:tx>
            <c:v>GPS</c:v>
          </c:tx>
          <c:dLbls>
            <c:dLbl>
              <c:idx val="0"/>
              <c:layout>
                <c:manualLayout>
                  <c:x val="-8.3333333333333367E-3"/>
                  <c:y val="1.7241379310344827E-2"/>
                </c:manualLayout>
              </c:layout>
              <c:tx>
                <c:rich>
                  <a:bodyPr/>
                  <a:lstStyle/>
                  <a:p>
                    <a:r>
                      <a:rPr lang="en-US" sz="900"/>
                      <a:t>59%</a:t>
                    </a:r>
                  </a:p>
                </c:rich>
              </c:tx>
              <c:showVal val="1"/>
            </c:dLbl>
            <c:dLbl>
              <c:idx val="1"/>
              <c:layout>
                <c:manualLayout>
                  <c:x val="-2.7777777777780841E-3"/>
                  <c:y val="2.2988505747126436E-2"/>
                </c:manualLayout>
              </c:layout>
              <c:tx>
                <c:rich>
                  <a:bodyPr/>
                  <a:lstStyle/>
                  <a:p>
                    <a:r>
                      <a:rPr lang="en-US" sz="900"/>
                      <a:t>67%</a:t>
                    </a:r>
                  </a:p>
                </c:rich>
              </c:tx>
              <c:showVal val="1"/>
            </c:dLbl>
            <c:dLbl>
              <c:idx val="2"/>
              <c:layout>
                <c:manualLayout>
                  <c:x val="-2.7777777777780841E-3"/>
                  <c:y val="1.1494252873563218E-2"/>
                </c:manualLayout>
              </c:layout>
              <c:tx>
                <c:rich>
                  <a:bodyPr/>
                  <a:lstStyle/>
                  <a:p>
                    <a:r>
                      <a:rPr lang="en-US" sz="900"/>
                      <a:t>67.7%</a:t>
                    </a:r>
                  </a:p>
                </c:rich>
              </c:tx>
              <c:showVal val="1"/>
            </c:dLbl>
            <c:dLbl>
              <c:idx val="3"/>
              <c:layout>
                <c:manualLayout>
                  <c:x val="0"/>
                  <c:y val="5.7471264367816334E-3"/>
                </c:manualLayout>
              </c:layout>
              <c:tx>
                <c:rich>
                  <a:bodyPr/>
                  <a:lstStyle/>
                  <a:p>
                    <a:r>
                      <a:rPr lang="en-US" sz="900"/>
                      <a:t>78%</a:t>
                    </a:r>
                  </a:p>
                </c:rich>
              </c:tx>
              <c:showVal val="1"/>
            </c:dLbl>
            <c:dLbl>
              <c:idx val="4"/>
              <c:layout>
                <c:manualLayout>
                  <c:x val="-5.5555555555555046E-3"/>
                  <c:y val="2.2988505747126412E-2"/>
                </c:manualLayout>
              </c:layout>
              <c:tx>
                <c:rich>
                  <a:bodyPr/>
                  <a:lstStyle/>
                  <a:p>
                    <a:r>
                      <a:rPr lang="en-US" sz="900"/>
                      <a:t>81%</a:t>
                    </a:r>
                  </a:p>
                </c:rich>
              </c:tx>
              <c:showVal val="1"/>
            </c:dLbl>
            <c:txPr>
              <a:bodyPr/>
              <a:lstStyle/>
              <a:p>
                <a:pPr>
                  <a:defRPr lang="en-US" sz="900">
                    <a:solidFill>
                      <a:srgbClr val="FF0000"/>
                    </a:solidFill>
                  </a:defRPr>
                </a:pPr>
                <a:endParaRPr lang="en-US"/>
              </a:p>
            </c:txPr>
            <c:showVal val="1"/>
          </c:dLbls>
          <c:cat>
            <c:strRef>
              <c:f>'Fig 3.16'!$B$13:$L$13</c:f>
              <c:strCache>
                <c:ptCount val="11"/>
                <c:pt idx="0">
                  <c:v>2000 CAMPE</c:v>
                </c:pt>
                <c:pt idx="1">
                  <c:v>2005 SSPS</c:v>
                </c:pt>
                <c:pt idx="2">
                  <c:v>2008 CAMPE</c:v>
                </c:pt>
                <c:pt idx="3">
                  <c:v>2010 APSC</c:v>
                </c:pt>
                <c:pt idx="4">
                  <c:v>2011 APSC</c:v>
                </c:pt>
                <c:pt idx="5">
                  <c:v>2012 APSC</c:v>
                </c:pt>
                <c:pt idx="6">
                  <c:v>2013 APSC</c:v>
                </c:pt>
                <c:pt idx="7">
                  <c:v>2014 CAMPE</c:v>
                </c:pt>
                <c:pt idx="8">
                  <c:v>2013 MICS</c:v>
                </c:pt>
                <c:pt idx="9">
                  <c:v>2014 APSC</c:v>
                </c:pt>
                <c:pt idx="10">
                  <c:v>2015 APSC</c:v>
                </c:pt>
              </c:strCache>
            </c:strRef>
          </c:cat>
          <c:val>
            <c:numRef>
              <c:f>'Fig 3.16'!$B$15:$L$15</c:f>
              <c:numCache>
                <c:formatCode>General</c:formatCode>
                <c:ptCount val="11"/>
                <c:pt idx="0">
                  <c:v>59</c:v>
                </c:pt>
                <c:pt idx="1">
                  <c:v>67</c:v>
                </c:pt>
                <c:pt idx="2">
                  <c:v>67.7</c:v>
                </c:pt>
                <c:pt idx="3">
                  <c:v>78</c:v>
                </c:pt>
                <c:pt idx="4">
                  <c:v>81</c:v>
                </c:pt>
              </c:numCache>
            </c:numRef>
          </c:val>
        </c:ser>
        <c:ser>
          <c:idx val="2"/>
          <c:order val="2"/>
          <c:tx>
            <c:v>NNPS</c:v>
          </c:tx>
          <c:spPr>
            <a:solidFill>
              <a:srgbClr val="008000"/>
            </a:solidFill>
          </c:spPr>
          <c:dLbls>
            <c:dLbl>
              <c:idx val="0"/>
              <c:layout>
                <c:manualLayout>
                  <c:x val="7.7966631107770756E-3"/>
                  <c:y val="-1.3603205303309453E-3"/>
                </c:manualLayout>
              </c:layout>
              <c:tx>
                <c:rich>
                  <a:bodyPr/>
                  <a:lstStyle/>
                  <a:p>
                    <a:r>
                      <a:rPr lang="en-US" sz="900"/>
                      <a:t>56%</a:t>
                    </a:r>
                  </a:p>
                </c:rich>
              </c:tx>
              <c:showVal val="1"/>
            </c:dLbl>
            <c:dLbl>
              <c:idx val="1"/>
              <c:layout>
                <c:manualLayout>
                  <c:x val="1.1111111111111125E-2"/>
                  <c:y val="2.2988505747126436E-2"/>
                </c:manualLayout>
              </c:layout>
              <c:tx>
                <c:rich>
                  <a:bodyPr/>
                  <a:lstStyle/>
                  <a:p>
                    <a:r>
                      <a:rPr lang="en-US" sz="900"/>
                      <a:t>63%</a:t>
                    </a:r>
                  </a:p>
                </c:rich>
              </c:tx>
              <c:showVal val="1"/>
            </c:dLbl>
            <c:dLbl>
              <c:idx val="2"/>
              <c:layout>
                <c:manualLayout>
                  <c:x val="7.2601914180411963E-3"/>
                  <c:y val="2.8735535380417392E-2"/>
                </c:manualLayout>
              </c:layout>
              <c:tx>
                <c:rich>
                  <a:bodyPr/>
                  <a:lstStyle/>
                  <a:p>
                    <a:r>
                      <a:rPr lang="en-US" sz="900"/>
                      <a:t>65%</a:t>
                    </a:r>
                  </a:p>
                </c:rich>
              </c:tx>
              <c:showVal val="1"/>
            </c:dLbl>
            <c:dLbl>
              <c:idx val="3"/>
              <c:layout>
                <c:manualLayout>
                  <c:x val="1.2279025280346164E-2"/>
                  <c:y val="9.0374349957195246E-3"/>
                </c:manualLayout>
              </c:layout>
              <c:tx>
                <c:rich>
                  <a:bodyPr/>
                  <a:lstStyle/>
                  <a:p>
                    <a:r>
                      <a:rPr lang="en-US" sz="900"/>
                      <a:t>67%</a:t>
                    </a:r>
                  </a:p>
                </c:rich>
              </c:tx>
              <c:showVal val="1"/>
            </c:dLbl>
            <c:dLbl>
              <c:idx val="4"/>
              <c:layout>
                <c:manualLayout>
                  <c:x val="5.5555555555555558E-3"/>
                  <c:y val="2.2988505747126436E-2"/>
                </c:manualLayout>
              </c:layout>
              <c:tx>
                <c:rich>
                  <a:bodyPr/>
                  <a:lstStyle/>
                  <a:p>
                    <a:r>
                      <a:rPr lang="en-US" sz="900"/>
                      <a:t>69%</a:t>
                    </a:r>
                  </a:p>
                </c:rich>
              </c:tx>
              <c:showVal val="1"/>
            </c:dLbl>
            <c:txPr>
              <a:bodyPr/>
              <a:lstStyle/>
              <a:p>
                <a:pPr>
                  <a:defRPr lang="en-US" sz="900">
                    <a:solidFill>
                      <a:srgbClr val="00B050"/>
                    </a:solidFill>
                  </a:defRPr>
                </a:pPr>
                <a:endParaRPr lang="en-US"/>
              </a:p>
            </c:txPr>
            <c:showVal val="1"/>
          </c:dLbls>
          <c:cat>
            <c:strRef>
              <c:f>'Fig 3.16'!$B$13:$L$13</c:f>
              <c:strCache>
                <c:ptCount val="11"/>
                <c:pt idx="0">
                  <c:v>2000 CAMPE</c:v>
                </c:pt>
                <c:pt idx="1">
                  <c:v>2005 SSPS</c:v>
                </c:pt>
                <c:pt idx="2">
                  <c:v>2008 CAMPE</c:v>
                </c:pt>
                <c:pt idx="3">
                  <c:v>2010 APSC</c:v>
                </c:pt>
                <c:pt idx="4">
                  <c:v>2011 APSC</c:v>
                </c:pt>
                <c:pt idx="5">
                  <c:v>2012 APSC</c:v>
                </c:pt>
                <c:pt idx="6">
                  <c:v>2013 APSC</c:v>
                </c:pt>
                <c:pt idx="7">
                  <c:v>2014 CAMPE</c:v>
                </c:pt>
                <c:pt idx="8">
                  <c:v>2013 MICS</c:v>
                </c:pt>
                <c:pt idx="9">
                  <c:v>2014 APSC</c:v>
                </c:pt>
                <c:pt idx="10">
                  <c:v>2015 APSC</c:v>
                </c:pt>
              </c:strCache>
            </c:strRef>
          </c:cat>
          <c:val>
            <c:numRef>
              <c:f>'Fig 3.16'!$B$16:$L$16</c:f>
              <c:numCache>
                <c:formatCode>General</c:formatCode>
                <c:ptCount val="11"/>
                <c:pt idx="0">
                  <c:v>56</c:v>
                </c:pt>
                <c:pt idx="1">
                  <c:v>63</c:v>
                </c:pt>
                <c:pt idx="2">
                  <c:v>65</c:v>
                </c:pt>
                <c:pt idx="3">
                  <c:v>67</c:v>
                </c:pt>
                <c:pt idx="4">
                  <c:v>69</c:v>
                </c:pt>
              </c:numCache>
            </c:numRef>
          </c:val>
        </c:ser>
        <c:gapWidth val="2"/>
        <c:overlap val="10"/>
        <c:axId val="141276672"/>
        <c:axId val="141278208"/>
      </c:barChart>
      <c:catAx>
        <c:axId val="141276672"/>
        <c:scaling>
          <c:orientation val="minMax"/>
        </c:scaling>
        <c:axPos val="b"/>
        <c:majorTickMark val="none"/>
        <c:tickLblPos val="nextTo"/>
        <c:txPr>
          <a:bodyPr/>
          <a:lstStyle/>
          <a:p>
            <a:pPr>
              <a:defRPr lang="en-US" sz="1000"/>
            </a:pPr>
            <a:endParaRPr lang="en-US"/>
          </a:p>
        </c:txPr>
        <c:crossAx val="141278208"/>
        <c:crosses val="autoZero"/>
        <c:auto val="1"/>
        <c:lblAlgn val="ctr"/>
        <c:lblOffset val="100"/>
      </c:catAx>
      <c:valAx>
        <c:axId val="141278208"/>
        <c:scaling>
          <c:orientation val="minMax"/>
        </c:scaling>
        <c:axPos val="l"/>
        <c:majorGridlines>
          <c:spPr>
            <a:ln>
              <a:solidFill>
                <a:schemeClr val="accent5">
                  <a:lumMod val="75000"/>
                </a:schemeClr>
              </a:solidFill>
            </a:ln>
          </c:spPr>
        </c:majorGridlines>
        <c:numFmt formatCode="General" sourceLinked="1"/>
        <c:majorTickMark val="none"/>
        <c:tickLblPos val="nextTo"/>
        <c:txPr>
          <a:bodyPr/>
          <a:lstStyle/>
          <a:p>
            <a:pPr>
              <a:defRPr lang="en-US"/>
            </a:pPr>
            <a:endParaRPr lang="en-US"/>
          </a:p>
        </c:txPr>
        <c:crossAx val="141276672"/>
        <c:crosses val="autoZero"/>
        <c:crossBetween val="between"/>
      </c:valAx>
    </c:plotArea>
    <c:legend>
      <c:legendPos val="b"/>
      <c:layout>
        <c:manualLayout>
          <c:xMode val="edge"/>
          <c:yMode val="edge"/>
          <c:x val="0.3905658355205735"/>
          <c:y val="0.9099579147434157"/>
          <c:w val="0.21886832895888014"/>
          <c:h val="9.0042085256584303E-2"/>
        </c:manualLayout>
      </c:layout>
      <c:txPr>
        <a:bodyPr/>
        <a:lstStyle/>
        <a:p>
          <a:pPr>
            <a:defRPr lang="en-US"/>
          </a:pPr>
          <a:endParaRPr lang="en-US"/>
        </a:p>
      </c:txPr>
    </c:legend>
    <c:plotVisOnly val="1"/>
    <c:dispBlanksAs val="gap"/>
  </c:chart>
  <c:spPr>
    <a:ln w="31750" cmpd="dbl">
      <a:solidFill>
        <a:schemeClr val="accent5">
          <a:lumMod val="50000"/>
        </a:schemeClr>
      </a:solidFill>
    </a:ln>
  </c:spPr>
  <c:txPr>
    <a:bodyPr/>
    <a:lstStyle/>
    <a:p>
      <a:pPr>
        <a:defRPr sz="800"/>
      </a:pPr>
      <a:endParaRPr lang="en-US"/>
    </a:p>
  </c:tx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711111111111141"/>
          <c:y val="4.7319321305309414E-2"/>
          <c:w val="0.76233333333333364"/>
          <c:h val="0.68176369686072702"/>
        </c:manualLayout>
      </c:layout>
      <c:lineChart>
        <c:grouping val="standard"/>
        <c:ser>
          <c:idx val="0"/>
          <c:order val="0"/>
          <c:tx>
            <c:strRef>
              <c:f>'Fig 3.17'!$A$6</c:f>
              <c:strCache>
                <c:ptCount val="1"/>
                <c:pt idx="0">
                  <c:v>GPI - GER</c:v>
                </c:pt>
              </c:strCache>
            </c:strRef>
          </c:tx>
          <c:spPr>
            <a:ln w="25400">
              <a:solidFill>
                <a:srgbClr val="008000"/>
              </a:solidFill>
            </a:ln>
          </c:spPr>
          <c:marker>
            <c:symbol val="diamond"/>
            <c:size val="5"/>
            <c:spPr>
              <a:solidFill>
                <a:srgbClr val="008000"/>
              </a:solidFill>
              <a:ln w="12700"/>
            </c:spPr>
          </c:marker>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3.17'!$B$6:$L$6</c:f>
              <c:numCache>
                <c:formatCode>General</c:formatCode>
                <c:ptCount val="11"/>
                <c:pt idx="0">
                  <c:v>1.05</c:v>
                </c:pt>
                <c:pt idx="1">
                  <c:v>1.1100000000000001</c:v>
                </c:pt>
                <c:pt idx="2">
                  <c:v>1.1200000000000001</c:v>
                </c:pt>
                <c:pt idx="3">
                  <c:v>1.1100000000000001</c:v>
                </c:pt>
                <c:pt idx="4">
                  <c:v>1.07</c:v>
                </c:pt>
                <c:pt idx="5">
                  <c:v>1.0900000000000001</c:v>
                </c:pt>
                <c:pt idx="6">
                  <c:v>1.08</c:v>
                </c:pt>
                <c:pt idx="7">
                  <c:v>1.06</c:v>
                </c:pt>
                <c:pt idx="8">
                  <c:v>1.03</c:v>
                </c:pt>
                <c:pt idx="9">
                  <c:v>1.03</c:v>
                </c:pt>
                <c:pt idx="10">
                  <c:v>1.08</c:v>
                </c:pt>
              </c:numCache>
            </c:numRef>
          </c:val>
        </c:ser>
        <c:ser>
          <c:idx val="1"/>
          <c:order val="1"/>
          <c:tx>
            <c:strRef>
              <c:f>'Fig 3.17'!$A$7</c:f>
              <c:strCache>
                <c:ptCount val="1"/>
                <c:pt idx="0">
                  <c:v>GPI -NER</c:v>
                </c:pt>
              </c:strCache>
            </c:strRef>
          </c:tx>
          <c:spPr>
            <a:ln w="25400">
              <a:solidFill>
                <a:srgbClr val="0033CC"/>
              </a:solidFill>
            </a:ln>
          </c:spPr>
          <c:marker>
            <c:symbol val="circle"/>
            <c:size val="5"/>
            <c:spPr>
              <a:solidFill>
                <a:srgbClr val="0033CC"/>
              </a:solidFill>
              <a:ln w="12700"/>
            </c:spPr>
          </c:marker>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3.17'!$B$7:$L$7</c:f>
              <c:numCache>
                <c:formatCode>General</c:formatCode>
                <c:ptCount val="11"/>
                <c:pt idx="0">
                  <c:v>1.07</c:v>
                </c:pt>
                <c:pt idx="1">
                  <c:v>1.08</c:v>
                </c:pt>
                <c:pt idx="2">
                  <c:v>1.08</c:v>
                </c:pt>
                <c:pt idx="3">
                  <c:v>1.07</c:v>
                </c:pt>
                <c:pt idx="4">
                  <c:v>1.1100000000000001</c:v>
                </c:pt>
                <c:pt idx="5">
                  <c:v>1.06</c:v>
                </c:pt>
                <c:pt idx="6">
                  <c:v>1.06</c:v>
                </c:pt>
                <c:pt idx="7">
                  <c:v>1.04</c:v>
                </c:pt>
                <c:pt idx="8">
                  <c:v>1.02</c:v>
                </c:pt>
                <c:pt idx="9">
                  <c:v>1.02</c:v>
                </c:pt>
                <c:pt idx="10">
                  <c:v>1.02</c:v>
                </c:pt>
              </c:numCache>
            </c:numRef>
          </c:val>
        </c:ser>
        <c:marker val="1"/>
        <c:axId val="141347456"/>
        <c:axId val="141366016"/>
      </c:lineChart>
      <c:catAx>
        <c:axId val="141347456"/>
        <c:scaling>
          <c:orientation val="minMax"/>
        </c:scaling>
        <c:axPos val="b"/>
        <c:numFmt formatCode="General" sourceLinked="1"/>
        <c:majorTickMark val="none"/>
        <c:tickLblPos val="nextTo"/>
        <c:txPr>
          <a:bodyPr/>
          <a:lstStyle/>
          <a:p>
            <a:pPr>
              <a:defRPr lang="en-US"/>
            </a:pPr>
            <a:endParaRPr lang="en-US"/>
          </a:p>
        </c:txPr>
        <c:crossAx val="141366016"/>
        <c:crosses val="autoZero"/>
        <c:auto val="1"/>
        <c:lblAlgn val="ctr"/>
        <c:lblOffset val="100"/>
      </c:catAx>
      <c:valAx>
        <c:axId val="141366016"/>
        <c:scaling>
          <c:orientation val="minMax"/>
          <c:max val="1.1600000000000001"/>
        </c:scaling>
        <c:axPos val="l"/>
        <c:majorGridlines>
          <c:spPr>
            <a:ln>
              <a:solidFill>
                <a:schemeClr val="accent5">
                  <a:lumMod val="75000"/>
                </a:schemeClr>
              </a:solidFill>
            </a:ln>
          </c:spPr>
        </c:majorGridlines>
        <c:numFmt formatCode="General" sourceLinked="1"/>
        <c:majorTickMark val="none"/>
        <c:tickLblPos val="nextTo"/>
        <c:txPr>
          <a:bodyPr/>
          <a:lstStyle/>
          <a:p>
            <a:pPr>
              <a:defRPr lang="en-US"/>
            </a:pPr>
            <a:endParaRPr lang="en-US"/>
          </a:p>
        </c:txPr>
        <c:crossAx val="141347456"/>
        <c:crosses val="autoZero"/>
        <c:crossBetween val="between"/>
        <c:majorUnit val="4.0000000000000022E-2"/>
      </c:valAx>
      <c:dTable>
        <c:showHorzBorder val="1"/>
        <c:showVertBorder val="1"/>
        <c:showOutline val="1"/>
        <c:showKeys val="1"/>
        <c:txPr>
          <a:bodyPr/>
          <a:lstStyle/>
          <a:p>
            <a:pPr rtl="0">
              <a:defRPr lang="en-US"/>
            </a:pPr>
            <a:endParaRPr lang="en-US"/>
          </a:p>
        </c:txPr>
      </c:dTable>
    </c:plotArea>
    <c:plotVisOnly val="1"/>
    <c:dispBlanksAs val="gap"/>
  </c:chart>
  <c:spPr>
    <a:ln w="31750" cmpd="dbl">
      <a:solidFill>
        <a:schemeClr val="accent5">
          <a:lumMod val="50000"/>
        </a:schemeClr>
      </a:solidFill>
    </a:ln>
  </c:spPr>
  <c:txPr>
    <a:bodyPr/>
    <a:lstStyle/>
    <a:p>
      <a:pPr>
        <a:defRPr sz="800"/>
      </a:pPr>
      <a:endParaRPr lang="en-US"/>
    </a:p>
  </c:tx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3382340698602121"/>
          <c:y val="0.16603803430821149"/>
          <c:w val="0.6188178570190086"/>
          <c:h val="0.6889580989876265"/>
        </c:manualLayout>
      </c:layout>
      <c:barChart>
        <c:barDir val="col"/>
        <c:grouping val="clustered"/>
        <c:ser>
          <c:idx val="0"/>
          <c:order val="0"/>
          <c:tx>
            <c:strRef>
              <c:f>Fig3.18!$B$3</c:f>
              <c:strCache>
                <c:ptCount val="1"/>
                <c:pt idx="0">
                  <c:v>Boys</c:v>
                </c:pt>
              </c:strCache>
            </c:strRef>
          </c:tx>
          <c:spPr>
            <a:solidFill>
              <a:schemeClr val="accent5">
                <a:lumMod val="75000"/>
              </a:schemeClr>
            </a:solidFill>
          </c:spPr>
          <c:cat>
            <c:strRef>
              <c:f>Fig3.18!$A$4:$A$8</c:f>
              <c:strCache>
                <c:ptCount val="5"/>
                <c:pt idx="0">
                  <c:v>Grade 1</c:v>
                </c:pt>
                <c:pt idx="1">
                  <c:v>Grade 2</c:v>
                </c:pt>
                <c:pt idx="2">
                  <c:v>Grade 3</c:v>
                </c:pt>
                <c:pt idx="3">
                  <c:v>Grade 4</c:v>
                </c:pt>
                <c:pt idx="4">
                  <c:v>Grade 5</c:v>
                </c:pt>
              </c:strCache>
            </c:strRef>
          </c:cat>
          <c:val>
            <c:numRef>
              <c:f>Fig3.18!$B$4:$B$8</c:f>
              <c:numCache>
                <c:formatCode>#,##0</c:formatCode>
                <c:ptCount val="5"/>
                <c:pt idx="0">
                  <c:v>1925458</c:v>
                </c:pt>
                <c:pt idx="1">
                  <c:v>1997603</c:v>
                </c:pt>
                <c:pt idx="2">
                  <c:v>1996236</c:v>
                </c:pt>
                <c:pt idx="3">
                  <c:v>1917719</c:v>
                </c:pt>
                <c:pt idx="4">
                  <c:v>1532063</c:v>
                </c:pt>
              </c:numCache>
            </c:numRef>
          </c:val>
        </c:ser>
        <c:ser>
          <c:idx val="1"/>
          <c:order val="1"/>
          <c:tx>
            <c:strRef>
              <c:f>Fig3.18!$C$3</c:f>
              <c:strCache>
                <c:ptCount val="1"/>
                <c:pt idx="0">
                  <c:v>Girls</c:v>
                </c:pt>
              </c:strCache>
            </c:strRef>
          </c:tx>
          <c:spPr>
            <a:solidFill>
              <a:schemeClr val="accent6">
                <a:lumMod val="75000"/>
              </a:schemeClr>
            </a:solidFill>
          </c:spPr>
          <c:cat>
            <c:strRef>
              <c:f>Fig3.18!$A$4:$A$8</c:f>
              <c:strCache>
                <c:ptCount val="5"/>
                <c:pt idx="0">
                  <c:v>Grade 1</c:v>
                </c:pt>
                <c:pt idx="1">
                  <c:v>Grade 2</c:v>
                </c:pt>
                <c:pt idx="2">
                  <c:v>Grade 3</c:v>
                </c:pt>
                <c:pt idx="3">
                  <c:v>Grade 4</c:v>
                </c:pt>
                <c:pt idx="4">
                  <c:v>Grade 5</c:v>
                </c:pt>
              </c:strCache>
            </c:strRef>
          </c:cat>
          <c:val>
            <c:numRef>
              <c:f>Fig3.18!$C$4:$C$8</c:f>
              <c:numCache>
                <c:formatCode>#,##0</c:formatCode>
                <c:ptCount val="5"/>
                <c:pt idx="0">
                  <c:v>1853131</c:v>
                </c:pt>
                <c:pt idx="1">
                  <c:v>2019967</c:v>
                </c:pt>
                <c:pt idx="2">
                  <c:v>2035148</c:v>
                </c:pt>
                <c:pt idx="3">
                  <c:v>2060731</c:v>
                </c:pt>
                <c:pt idx="4">
                  <c:v>1729705</c:v>
                </c:pt>
              </c:numCache>
            </c:numRef>
          </c:val>
        </c:ser>
        <c:axId val="141427072"/>
        <c:axId val="141428608"/>
      </c:barChart>
      <c:lineChart>
        <c:grouping val="standard"/>
        <c:ser>
          <c:idx val="2"/>
          <c:order val="2"/>
          <c:tx>
            <c:strRef>
              <c:f>Fig3.18!$D$3</c:f>
              <c:strCache>
                <c:ptCount val="1"/>
                <c:pt idx="0">
                  <c:v>% of Girls</c:v>
                </c:pt>
              </c:strCache>
            </c:strRef>
          </c:tx>
          <c:spPr>
            <a:ln w="25400" cap="flat">
              <a:solidFill>
                <a:srgbClr val="C00000"/>
              </a:solidFill>
            </a:ln>
          </c:spPr>
          <c:marker>
            <c:symbol val="triangle"/>
            <c:size val="4"/>
            <c:spPr>
              <a:solidFill>
                <a:srgbClr val="C00000"/>
              </a:solidFill>
              <a:ln w="12700">
                <a:solidFill>
                  <a:srgbClr val="C00000"/>
                </a:solidFill>
              </a:ln>
            </c:spPr>
          </c:marker>
          <c:dLbls>
            <c:dLbl>
              <c:idx val="0"/>
              <c:layout>
                <c:manualLayout>
                  <c:x val="-5.2866181205905076E-2"/>
                  <c:y val="3.0723772620133243E-2"/>
                </c:manualLayout>
              </c:layout>
              <c:tx>
                <c:rich>
                  <a:bodyPr/>
                  <a:lstStyle/>
                  <a:p>
                    <a:r>
                      <a:rPr lang="en-US">
                        <a:solidFill>
                          <a:sysClr val="windowText" lastClr="000000"/>
                        </a:solidFill>
                      </a:rPr>
                      <a:t>49%</a:t>
                    </a:r>
                  </a:p>
                </c:rich>
              </c:tx>
              <c:showVal val="1"/>
            </c:dLbl>
            <c:dLbl>
              <c:idx val="1"/>
              <c:layout>
                <c:manualLayout>
                  <c:x val="-2.8634361233480208E-2"/>
                  <c:y val="4.0178571428571425E-2"/>
                </c:manualLayout>
              </c:layout>
              <c:tx>
                <c:rich>
                  <a:bodyPr/>
                  <a:lstStyle/>
                  <a:p>
                    <a:r>
                      <a:rPr lang="en-US">
                        <a:solidFill>
                          <a:sysClr val="windowText" lastClr="000000"/>
                        </a:solidFill>
                      </a:rPr>
                      <a:t>50.3%</a:t>
                    </a:r>
                  </a:p>
                </c:rich>
              </c:tx>
              <c:showVal val="1"/>
            </c:dLbl>
            <c:dLbl>
              <c:idx val="2"/>
              <c:layout>
                <c:manualLayout>
                  <c:x val="-2.863436123348018E-2"/>
                  <c:y val="3.5714285714285712E-2"/>
                </c:manualLayout>
              </c:layout>
              <c:tx>
                <c:rich>
                  <a:bodyPr/>
                  <a:lstStyle/>
                  <a:p>
                    <a:r>
                      <a:rPr lang="en-US">
                        <a:solidFill>
                          <a:sysClr val="windowText" lastClr="000000"/>
                        </a:solidFill>
                      </a:rPr>
                      <a:t>50.5%</a:t>
                    </a:r>
                  </a:p>
                </c:rich>
              </c:tx>
              <c:showVal val="1"/>
            </c:dLbl>
            <c:dLbl>
              <c:idx val="3"/>
              <c:layout>
                <c:manualLayout>
                  <c:x val="-3.0837004405286656E-2"/>
                  <c:y val="4.9107142857142912E-2"/>
                </c:manualLayout>
              </c:layout>
              <c:tx>
                <c:rich>
                  <a:bodyPr/>
                  <a:lstStyle/>
                  <a:p>
                    <a:r>
                      <a:rPr lang="en-US">
                        <a:solidFill>
                          <a:sysClr val="windowText" lastClr="000000"/>
                        </a:solidFill>
                      </a:rPr>
                      <a:t>51.8%</a:t>
                    </a:r>
                  </a:p>
                </c:rich>
              </c:tx>
              <c:showVal val="1"/>
            </c:dLbl>
            <c:dLbl>
              <c:idx val="4"/>
              <c:tx>
                <c:rich>
                  <a:bodyPr/>
                  <a:lstStyle/>
                  <a:p>
                    <a:r>
                      <a:rPr lang="en-US">
                        <a:solidFill>
                          <a:sysClr val="windowText" lastClr="000000"/>
                        </a:solidFill>
                      </a:rPr>
                      <a:t>53%</a:t>
                    </a:r>
                  </a:p>
                </c:rich>
              </c:tx>
              <c:showVal val="1"/>
            </c:dLbl>
            <c:txPr>
              <a:bodyPr/>
              <a:lstStyle/>
              <a:p>
                <a:pPr>
                  <a:defRPr lang="en-US" sz="800" b="1">
                    <a:solidFill>
                      <a:sysClr val="windowText" lastClr="000000"/>
                    </a:solidFill>
                  </a:defRPr>
                </a:pPr>
                <a:endParaRPr lang="en-US"/>
              </a:p>
            </c:txPr>
            <c:showVal val="1"/>
          </c:dLbls>
          <c:cat>
            <c:strRef>
              <c:f>Fig3.18!$A$4:$A$8</c:f>
              <c:strCache>
                <c:ptCount val="5"/>
                <c:pt idx="0">
                  <c:v>Grade 1</c:v>
                </c:pt>
                <c:pt idx="1">
                  <c:v>Grade 2</c:v>
                </c:pt>
                <c:pt idx="2">
                  <c:v>Grade 3</c:v>
                </c:pt>
                <c:pt idx="3">
                  <c:v>Grade 4</c:v>
                </c:pt>
                <c:pt idx="4">
                  <c:v>Grade 5</c:v>
                </c:pt>
              </c:strCache>
            </c:strRef>
          </c:cat>
          <c:val>
            <c:numRef>
              <c:f>Fig3.18!$D$4:$D$8</c:f>
              <c:numCache>
                <c:formatCode>0.0</c:formatCode>
                <c:ptCount val="5"/>
                <c:pt idx="0">
                  <c:v>49.042936397687079</c:v>
                </c:pt>
                <c:pt idx="1">
                  <c:v>50.278327446690405</c:v>
                </c:pt>
                <c:pt idx="2">
                  <c:v>50.482613415144755</c:v>
                </c:pt>
                <c:pt idx="3">
                  <c:v>51.797333132252113</c:v>
                </c:pt>
                <c:pt idx="4">
                  <c:v>53.029675930356063</c:v>
                </c:pt>
              </c:numCache>
            </c:numRef>
          </c:val>
        </c:ser>
        <c:marker val="1"/>
        <c:axId val="141444224"/>
        <c:axId val="141430144"/>
      </c:lineChart>
      <c:catAx>
        <c:axId val="141427072"/>
        <c:scaling>
          <c:orientation val="minMax"/>
        </c:scaling>
        <c:axPos val="b"/>
        <c:majorTickMark val="none"/>
        <c:tickLblPos val="nextTo"/>
        <c:txPr>
          <a:bodyPr/>
          <a:lstStyle/>
          <a:p>
            <a:pPr>
              <a:defRPr lang="en-US" sz="900"/>
            </a:pPr>
            <a:endParaRPr lang="en-US"/>
          </a:p>
        </c:txPr>
        <c:crossAx val="141428608"/>
        <c:crosses val="autoZero"/>
        <c:auto val="1"/>
        <c:lblAlgn val="ctr"/>
        <c:lblOffset val="100"/>
      </c:catAx>
      <c:valAx>
        <c:axId val="141428608"/>
        <c:scaling>
          <c:orientation val="minMax"/>
          <c:max val="2500000"/>
        </c:scaling>
        <c:axPos val="l"/>
        <c:majorGridlines>
          <c:spPr>
            <a:ln>
              <a:solidFill>
                <a:schemeClr val="accent5">
                  <a:lumMod val="75000"/>
                </a:schemeClr>
              </a:solidFill>
            </a:ln>
          </c:spPr>
        </c:majorGridlines>
        <c:numFmt formatCode="#,##0" sourceLinked="1"/>
        <c:majorTickMark val="none"/>
        <c:tickLblPos val="nextTo"/>
        <c:txPr>
          <a:bodyPr/>
          <a:lstStyle/>
          <a:p>
            <a:pPr>
              <a:defRPr lang="en-US" sz="800"/>
            </a:pPr>
            <a:endParaRPr lang="en-US"/>
          </a:p>
        </c:txPr>
        <c:crossAx val="141427072"/>
        <c:crosses val="autoZero"/>
        <c:crossBetween val="between"/>
      </c:valAx>
      <c:valAx>
        <c:axId val="141430144"/>
        <c:scaling>
          <c:orientation val="minMax"/>
        </c:scaling>
        <c:axPos val="r"/>
        <c:numFmt formatCode="0.0" sourceLinked="1"/>
        <c:tickLblPos val="nextTo"/>
        <c:txPr>
          <a:bodyPr/>
          <a:lstStyle/>
          <a:p>
            <a:pPr>
              <a:defRPr lang="en-US" sz="800"/>
            </a:pPr>
            <a:endParaRPr lang="en-US"/>
          </a:p>
        </c:txPr>
        <c:crossAx val="141444224"/>
        <c:crosses val="max"/>
        <c:crossBetween val="between"/>
      </c:valAx>
      <c:catAx>
        <c:axId val="141444224"/>
        <c:scaling>
          <c:orientation val="minMax"/>
        </c:scaling>
        <c:delete val="1"/>
        <c:axPos val="b"/>
        <c:tickLblPos val="nextTo"/>
        <c:crossAx val="141430144"/>
        <c:crosses val="autoZero"/>
        <c:auto val="1"/>
        <c:lblAlgn val="ctr"/>
        <c:lblOffset val="100"/>
      </c:catAx>
    </c:plotArea>
    <c:legend>
      <c:legendPos val="r"/>
      <c:layout>
        <c:manualLayout>
          <c:xMode val="edge"/>
          <c:yMode val="edge"/>
          <c:x val="0.82094713656392082"/>
          <c:y val="0.37464566929133858"/>
          <c:w val="0.15041850220264341"/>
          <c:h val="0.24218187570303712"/>
        </c:manualLayout>
      </c:layout>
      <c:txPr>
        <a:bodyPr/>
        <a:lstStyle/>
        <a:p>
          <a:pPr>
            <a:defRPr lang="en-US" b="1"/>
          </a:pPr>
          <a:endParaRPr lang="en-US"/>
        </a:p>
      </c:txPr>
    </c:legend>
    <c:plotVisOnly val="1"/>
    <c:dispBlanksAs val="gap"/>
  </c:chart>
  <c:spPr>
    <a:ln w="31750" cmpd="dbl">
      <a:solidFill>
        <a:schemeClr val="accent5">
          <a:lumMod val="50000"/>
        </a:schemeClr>
      </a:solid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5953580515079726E-2"/>
          <c:y val="0.11459777205268813"/>
          <c:w val="0.66837582083853375"/>
          <c:h val="0.69949018469465507"/>
        </c:manualLayout>
      </c:layout>
      <c:lineChart>
        <c:grouping val="standard"/>
        <c:ser>
          <c:idx val="0"/>
          <c:order val="0"/>
          <c:tx>
            <c:v>GPS - HTs</c:v>
          </c:tx>
          <c:spPr>
            <a:ln>
              <a:solidFill>
                <a:srgbClr val="3333FF"/>
              </a:solidFill>
            </a:ln>
          </c:spPr>
          <c:marker>
            <c:symbol val="diamond"/>
            <c:size val="4"/>
            <c:spPr>
              <a:solidFill>
                <a:srgbClr val="3333FF"/>
              </a:solidFill>
            </c:spPr>
          </c:marker>
          <c:dLbls>
            <c:dLbl>
              <c:idx val="0"/>
              <c:layout>
                <c:manualLayout>
                  <c:x val="-5.1085568326947654E-2"/>
                  <c:y val="0"/>
                </c:manualLayout>
              </c:layout>
              <c:showVal val="1"/>
            </c:dLbl>
            <c:dLbl>
              <c:idx val="1"/>
              <c:layout>
                <c:manualLayout>
                  <c:x val="-2.8097062579822699E-2"/>
                  <c:y val="2.1881838074400001E-2"/>
                </c:manualLayout>
              </c:layout>
              <c:showVal val="1"/>
            </c:dLbl>
            <c:dLbl>
              <c:idx val="2"/>
              <c:layout>
                <c:manualLayout>
                  <c:x val="-2.5542784163473831E-2"/>
                  <c:y val="2.1881838074400001E-2"/>
                </c:manualLayout>
              </c:layout>
              <c:showVal val="1"/>
            </c:dLbl>
            <c:dLbl>
              <c:idx val="3"/>
              <c:layout>
                <c:manualLayout>
                  <c:x val="-3.0651340996168612E-2"/>
                  <c:y val="3.0634573304157472E-2"/>
                </c:manualLayout>
              </c:layout>
              <c:showVal val="1"/>
            </c:dLbl>
            <c:dLbl>
              <c:idx val="4"/>
              <c:layout>
                <c:manualLayout>
                  <c:x val="-2.5542784163473831E-2"/>
                  <c:y val="3.0634573304157631E-2"/>
                </c:manualLayout>
              </c:layout>
              <c:showVal val="1"/>
            </c:dLbl>
            <c:dLbl>
              <c:idx val="5"/>
              <c:layout>
                <c:manualLayout>
                  <c:x val="-2.8097062579822748E-2"/>
                  <c:y val="2.6258205689279994E-2"/>
                </c:manualLayout>
              </c:layout>
              <c:showVal val="1"/>
            </c:dLbl>
            <c:dLbl>
              <c:idx val="6"/>
              <c:layout>
                <c:manualLayout>
                  <c:x val="-3.0651340996168612E-2"/>
                  <c:y val="2.6258205689279994E-2"/>
                </c:manualLayout>
              </c:layout>
              <c:showVal val="1"/>
            </c:dLbl>
            <c:dLbl>
              <c:idx val="7"/>
              <c:layout>
                <c:manualLayout>
                  <c:x val="-2.5542784163473831E-2"/>
                  <c:y val="1.7505470459519341E-2"/>
                </c:manualLayout>
              </c:layout>
              <c:showVal val="1"/>
            </c:dLbl>
            <c:dLbl>
              <c:idx val="8"/>
              <c:layout>
                <c:manualLayout>
                  <c:x val="-2.8097062579822699E-2"/>
                  <c:y val="2.1881838074400001E-2"/>
                </c:manualLayout>
              </c:layout>
              <c:showVal val="1"/>
            </c:dLbl>
            <c:dLbl>
              <c:idx val="9"/>
              <c:layout>
                <c:manualLayout>
                  <c:x val="-2.8097062579822699E-2"/>
                  <c:y val="2.6258205689279994E-2"/>
                </c:manualLayout>
              </c:layout>
              <c:showVal val="1"/>
            </c:dLbl>
            <c:dLbl>
              <c:idx val="10"/>
              <c:layout>
                <c:manualLayout>
                  <c:x val="-7.6628352490421452E-3"/>
                  <c:y val="0"/>
                </c:manualLayout>
              </c:layout>
              <c:showVal val="1"/>
            </c:dLbl>
            <c:txPr>
              <a:bodyPr/>
              <a:lstStyle/>
              <a:p>
                <a:pPr>
                  <a:defRPr lang="en-US" sz="800" b="1">
                    <a:solidFill>
                      <a:srgbClr val="3333FF"/>
                    </a:solidFill>
                  </a:defRPr>
                </a:pPr>
                <a:endParaRPr lang="en-US"/>
              </a:p>
            </c:txPr>
            <c:showVal val="1"/>
          </c:dLbls>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3.20'!$B$6:$L$6</c:f>
              <c:numCache>
                <c:formatCode>0%</c:formatCode>
                <c:ptCount val="11"/>
                <c:pt idx="0">
                  <c:v>0.224</c:v>
                </c:pt>
                <c:pt idx="1">
                  <c:v>0.24800000000000041</c:v>
                </c:pt>
                <c:pt idx="2">
                  <c:v>0.28000000000000008</c:v>
                </c:pt>
                <c:pt idx="3">
                  <c:v>0.29800000000000032</c:v>
                </c:pt>
                <c:pt idx="4">
                  <c:v>0.3330000000000139</c:v>
                </c:pt>
                <c:pt idx="5">
                  <c:v>0.36100000000000032</c:v>
                </c:pt>
                <c:pt idx="6">
                  <c:v>0.39000000000001317</c:v>
                </c:pt>
                <c:pt idx="7">
                  <c:v>0.39500000000001384</c:v>
                </c:pt>
                <c:pt idx="8">
                  <c:v>0.4</c:v>
                </c:pt>
                <c:pt idx="9">
                  <c:v>0.42300000000000032</c:v>
                </c:pt>
                <c:pt idx="10">
                  <c:v>0.45</c:v>
                </c:pt>
              </c:numCache>
            </c:numRef>
          </c:val>
        </c:ser>
        <c:ser>
          <c:idx val="1"/>
          <c:order val="1"/>
          <c:tx>
            <c:v>GPS - ATs</c:v>
          </c:tx>
          <c:spPr>
            <a:ln>
              <a:solidFill>
                <a:srgbClr val="008000"/>
              </a:solidFill>
            </a:ln>
          </c:spPr>
          <c:marker>
            <c:symbol val="square"/>
            <c:size val="4"/>
            <c:spPr>
              <a:solidFill>
                <a:srgbClr val="008000"/>
              </a:solidFill>
              <a:ln>
                <a:solidFill>
                  <a:srgbClr val="008000"/>
                </a:solidFill>
              </a:ln>
            </c:spPr>
          </c:marker>
          <c:dLbls>
            <c:dLbl>
              <c:idx val="0"/>
              <c:layout>
                <c:manualLayout>
                  <c:x val="-5.8748403575989767E-2"/>
                  <c:y val="-1.7505470459519341E-2"/>
                </c:manualLayout>
              </c:layout>
              <c:showVal val="1"/>
            </c:dLbl>
            <c:dLbl>
              <c:idx val="1"/>
              <c:layout>
                <c:manualLayout>
                  <c:x val="-4.0868454661558105E-2"/>
                  <c:y val="-3.06345733041576E-2"/>
                </c:manualLayout>
              </c:layout>
              <c:showVal val="1"/>
            </c:dLbl>
            <c:dLbl>
              <c:idx val="2"/>
              <c:layout>
                <c:manualLayout>
                  <c:x val="-4.0868454661558105E-2"/>
                  <c:y val="-3.0634573304157552E-2"/>
                </c:manualLayout>
              </c:layout>
              <c:showVal val="1"/>
            </c:dLbl>
            <c:dLbl>
              <c:idx val="3"/>
              <c:layout>
                <c:manualLayout>
                  <c:x val="-4.0868454661558105E-2"/>
                  <c:y val="-3.9387308533916851E-2"/>
                </c:manualLayout>
              </c:layout>
              <c:showVal val="1"/>
            </c:dLbl>
            <c:dLbl>
              <c:idx val="4"/>
              <c:layout>
                <c:manualLayout>
                  <c:x val="-3.5759897828865315E-2"/>
                  <c:y val="-3.0634573304157552E-2"/>
                </c:manualLayout>
              </c:layout>
              <c:showVal val="1"/>
            </c:dLbl>
            <c:dLbl>
              <c:idx val="5"/>
              <c:layout>
                <c:manualLayout>
                  <c:x val="-3.8314176245210774E-2"/>
                  <c:y val="-4.3763676148800015E-2"/>
                </c:manualLayout>
              </c:layout>
              <c:showVal val="1"/>
            </c:dLbl>
            <c:dLbl>
              <c:idx val="6"/>
              <c:layout>
                <c:manualLayout>
                  <c:x val="-4.0868454661558105E-2"/>
                  <c:y val="-2.6258205689279994E-2"/>
                </c:manualLayout>
              </c:layout>
              <c:showVal val="1"/>
            </c:dLbl>
            <c:dLbl>
              <c:idx val="7"/>
              <c:layout>
                <c:manualLayout>
                  <c:x val="-4.3422733077905493E-2"/>
                  <c:y val="-2.6258205689279994E-2"/>
                </c:manualLayout>
              </c:layout>
              <c:showVal val="1"/>
            </c:dLbl>
            <c:dLbl>
              <c:idx val="8"/>
              <c:layout>
                <c:manualLayout>
                  <c:x val="-4.0868454661558105E-2"/>
                  <c:y val="-4.3763676148800015E-2"/>
                </c:manualLayout>
              </c:layout>
              <c:showVal val="1"/>
            </c:dLbl>
            <c:dLbl>
              <c:idx val="9"/>
              <c:layout>
                <c:manualLayout>
                  <c:x val="-3.8314176245210725E-2"/>
                  <c:y val="-3.5010940919037205E-2"/>
                </c:manualLayout>
              </c:layout>
              <c:showVal val="1"/>
            </c:dLbl>
            <c:dLbl>
              <c:idx val="10"/>
              <c:layout>
                <c:manualLayout>
                  <c:x val="-7.6628352490421452E-3"/>
                  <c:y val="-1.3129102844638961E-2"/>
                </c:manualLayout>
              </c:layout>
              <c:showVal val="1"/>
            </c:dLbl>
            <c:txPr>
              <a:bodyPr/>
              <a:lstStyle/>
              <a:p>
                <a:pPr>
                  <a:defRPr lang="en-US" sz="800" b="1">
                    <a:solidFill>
                      <a:srgbClr val="008000"/>
                    </a:solidFill>
                  </a:defRPr>
                </a:pPr>
                <a:endParaRPr lang="en-US"/>
              </a:p>
            </c:txPr>
            <c:showVal val="1"/>
          </c:dLbls>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3.20'!$B$7:$L$7</c:f>
              <c:numCache>
                <c:formatCode>0%</c:formatCode>
                <c:ptCount val="11"/>
                <c:pt idx="0">
                  <c:v>0.49700000000000188</c:v>
                </c:pt>
                <c:pt idx="1">
                  <c:v>0.52100000000000002</c:v>
                </c:pt>
                <c:pt idx="2">
                  <c:v>0.55300000000000005</c:v>
                </c:pt>
                <c:pt idx="3">
                  <c:v>0.57900000000000063</c:v>
                </c:pt>
                <c:pt idx="4">
                  <c:v>0.59199999999999997</c:v>
                </c:pt>
                <c:pt idx="5">
                  <c:v>0.62600000000001665</c:v>
                </c:pt>
                <c:pt idx="6">
                  <c:v>0.65800000000002756</c:v>
                </c:pt>
                <c:pt idx="7">
                  <c:v>0.68899999999999995</c:v>
                </c:pt>
                <c:pt idx="8">
                  <c:v>0.68</c:v>
                </c:pt>
                <c:pt idx="9">
                  <c:v>0.68600000000000005</c:v>
                </c:pt>
                <c:pt idx="10">
                  <c:v>0.72000000000000064</c:v>
                </c:pt>
              </c:numCache>
            </c:numRef>
          </c:val>
        </c:ser>
        <c:ser>
          <c:idx val="2"/>
          <c:order val="2"/>
          <c:tx>
            <c:v>NNPS - HTs</c:v>
          </c:tx>
          <c:spPr>
            <a:ln>
              <a:solidFill>
                <a:schemeClr val="accent6">
                  <a:lumMod val="75000"/>
                </a:schemeClr>
              </a:solidFill>
            </a:ln>
          </c:spPr>
          <c:marker>
            <c:symbol val="triangle"/>
            <c:size val="4"/>
            <c:spPr>
              <a:solidFill>
                <a:schemeClr val="accent6">
                  <a:lumMod val="60000"/>
                  <a:lumOff val="40000"/>
                </a:schemeClr>
              </a:solidFill>
              <a:ln>
                <a:solidFill>
                  <a:srgbClr val="F79646">
                    <a:lumMod val="60000"/>
                    <a:lumOff val="40000"/>
                  </a:srgbClr>
                </a:solidFill>
              </a:ln>
            </c:spPr>
          </c:marker>
          <c:dLbls>
            <c:dLbl>
              <c:idx val="0"/>
              <c:layout>
                <c:manualLayout>
                  <c:x val="-3.8314176245210725E-2"/>
                  <c:y val="3.0634573304157552E-2"/>
                </c:manualLayout>
              </c:layout>
              <c:showVal val="1"/>
            </c:dLbl>
            <c:dLbl>
              <c:idx val="1"/>
              <c:layout>
                <c:manualLayout>
                  <c:x val="-2.8097062579822699E-2"/>
                  <c:y val="2.6258205689279994E-2"/>
                </c:manualLayout>
              </c:layout>
              <c:showVal val="1"/>
            </c:dLbl>
            <c:dLbl>
              <c:idx val="2"/>
              <c:layout>
                <c:manualLayout>
                  <c:x val="-3.5759897828865315E-2"/>
                  <c:y val="3.9387308533916851E-2"/>
                </c:manualLayout>
              </c:layout>
              <c:showVal val="1"/>
            </c:dLbl>
            <c:dLbl>
              <c:idx val="3"/>
              <c:layout>
                <c:manualLayout>
                  <c:x val="-3.0651340996168612E-2"/>
                  <c:y val="4.3763676148800015E-2"/>
                </c:manualLayout>
              </c:layout>
              <c:showVal val="1"/>
            </c:dLbl>
            <c:dLbl>
              <c:idx val="4"/>
              <c:layout>
                <c:manualLayout>
                  <c:x val="-2.5542784163473831E-2"/>
                  <c:y val="4.3763676148800015E-2"/>
                </c:manualLayout>
              </c:layout>
              <c:showVal val="1"/>
            </c:dLbl>
            <c:dLbl>
              <c:idx val="5"/>
              <c:layout>
                <c:manualLayout>
                  <c:x val="-2.8097062579822748E-2"/>
                  <c:y val="4.8140043763672716E-2"/>
                </c:manualLayout>
              </c:layout>
              <c:showVal val="1"/>
            </c:dLbl>
            <c:dLbl>
              <c:idx val="6"/>
              <c:layout>
                <c:manualLayout>
                  <c:x val="-2.5542784163473831E-2"/>
                  <c:y val="3.9387308533916851E-2"/>
                </c:manualLayout>
              </c:layout>
              <c:showVal val="1"/>
            </c:dLbl>
            <c:dLbl>
              <c:idx val="7"/>
              <c:layout>
                <c:manualLayout>
                  <c:x val="-2.8097062579822699E-2"/>
                  <c:y val="2.6258205689279994E-2"/>
                </c:manualLayout>
              </c:layout>
              <c:showVal val="1"/>
            </c:dLbl>
            <c:dLbl>
              <c:idx val="8"/>
              <c:layout>
                <c:manualLayout>
                  <c:x val="-2.8097062579822699E-2"/>
                  <c:y val="3.0634573304157552E-2"/>
                </c:manualLayout>
              </c:layout>
              <c:showVal val="1"/>
            </c:dLbl>
            <c:dLbl>
              <c:idx val="9"/>
              <c:layout>
                <c:manualLayout>
                  <c:x val="-2.5542784163473831E-2"/>
                  <c:y val="2.6258205689279994E-2"/>
                </c:manualLayout>
              </c:layout>
              <c:showVal val="1"/>
            </c:dLbl>
            <c:dLbl>
              <c:idx val="10"/>
              <c:layout>
                <c:manualLayout>
                  <c:x val="-1.2771392081736898E-2"/>
                  <c:y val="8.0232479420358143E-17"/>
                </c:manualLayout>
              </c:layout>
              <c:showVal val="1"/>
            </c:dLbl>
            <c:txPr>
              <a:bodyPr/>
              <a:lstStyle/>
              <a:p>
                <a:pPr>
                  <a:defRPr lang="en-US" sz="800" b="1">
                    <a:solidFill>
                      <a:schemeClr val="accent6">
                        <a:lumMod val="75000"/>
                      </a:schemeClr>
                    </a:solidFill>
                  </a:defRPr>
                </a:pPr>
                <a:endParaRPr lang="en-US"/>
              </a:p>
            </c:txPr>
            <c:showVal val="1"/>
          </c:dLbls>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3.20'!$B$8:$L$8</c:f>
              <c:numCache>
                <c:formatCode>0%</c:formatCode>
                <c:ptCount val="11"/>
                <c:pt idx="0">
                  <c:v>8.8000000000000064E-2</c:v>
                </c:pt>
                <c:pt idx="1">
                  <c:v>9.0000000000000024E-2</c:v>
                </c:pt>
                <c:pt idx="2">
                  <c:v>0.10199999999999998</c:v>
                </c:pt>
                <c:pt idx="3">
                  <c:v>9.8000000000000226E-2</c:v>
                </c:pt>
                <c:pt idx="4">
                  <c:v>0.10100000000000002</c:v>
                </c:pt>
                <c:pt idx="5">
                  <c:v>0.11</c:v>
                </c:pt>
                <c:pt idx="6">
                  <c:v>0.115</c:v>
                </c:pt>
                <c:pt idx="7">
                  <c:v>0.14900000000000024</c:v>
                </c:pt>
                <c:pt idx="8">
                  <c:v>0.18000000000000024</c:v>
                </c:pt>
                <c:pt idx="9">
                  <c:v>0.21300000000000024</c:v>
                </c:pt>
                <c:pt idx="10">
                  <c:v>0.23</c:v>
                </c:pt>
              </c:numCache>
            </c:numRef>
          </c:val>
        </c:ser>
        <c:ser>
          <c:idx val="3"/>
          <c:order val="3"/>
          <c:tx>
            <c:v>NNPS - ATs</c:v>
          </c:tx>
          <c:spPr>
            <a:ln>
              <a:solidFill>
                <a:schemeClr val="accent6">
                  <a:lumMod val="50000"/>
                </a:schemeClr>
              </a:solidFill>
            </a:ln>
          </c:spPr>
          <c:marker>
            <c:symbol val="circle"/>
            <c:size val="4"/>
            <c:spPr>
              <a:solidFill>
                <a:schemeClr val="accent6">
                  <a:lumMod val="75000"/>
                </a:schemeClr>
              </a:solidFill>
            </c:spPr>
          </c:marker>
          <c:dLbls>
            <c:dLbl>
              <c:idx val="0"/>
              <c:layout>
                <c:manualLayout>
                  <c:x val="-5.6194125159642422E-2"/>
                  <c:y val="4.3763676148800392E-3"/>
                </c:manualLayout>
              </c:layout>
              <c:showVal val="1"/>
            </c:dLbl>
            <c:dLbl>
              <c:idx val="1"/>
              <c:layout>
                <c:manualLayout>
                  <c:x val="-3.3205619412516492E-2"/>
                  <c:y val="-2.6258205689279994E-2"/>
                </c:manualLayout>
              </c:layout>
              <c:showVal val="1"/>
            </c:dLbl>
            <c:dLbl>
              <c:idx val="2"/>
              <c:layout>
                <c:manualLayout>
                  <c:x val="-3.3205619412516492E-2"/>
                  <c:y val="-2.1881838074400001E-2"/>
                </c:manualLayout>
              </c:layout>
              <c:showVal val="1"/>
            </c:dLbl>
            <c:dLbl>
              <c:idx val="3"/>
              <c:layout>
                <c:manualLayout>
                  <c:x val="-3.3205619412516492E-2"/>
                  <c:y val="-2.6258205689279994E-2"/>
                </c:manualLayout>
              </c:layout>
              <c:showVal val="1"/>
            </c:dLbl>
            <c:dLbl>
              <c:idx val="4"/>
              <c:layout>
                <c:manualLayout>
                  <c:x val="-3.0651340996168612E-2"/>
                  <c:y val="-3.0634573304157552E-2"/>
                </c:manualLayout>
              </c:layout>
              <c:showVal val="1"/>
            </c:dLbl>
            <c:dLbl>
              <c:idx val="5"/>
              <c:layout>
                <c:manualLayout>
                  <c:x val="-3.3205619412516492E-2"/>
                  <c:y val="-2.6258205689279994E-2"/>
                </c:manualLayout>
              </c:layout>
              <c:showVal val="1"/>
            </c:dLbl>
            <c:dLbl>
              <c:idx val="6"/>
              <c:layout>
                <c:manualLayout>
                  <c:x val="-3.5759897828865315E-2"/>
                  <c:y val="-2.6258205689279994E-2"/>
                </c:manualLayout>
              </c:layout>
              <c:showVal val="1"/>
            </c:dLbl>
            <c:dLbl>
              <c:idx val="7"/>
              <c:layout>
                <c:manualLayout>
                  <c:x val="-4.3422733077905493E-2"/>
                  <c:y val="-3.0634573304157552E-2"/>
                </c:manualLayout>
              </c:layout>
              <c:showVal val="1"/>
            </c:dLbl>
            <c:dLbl>
              <c:idx val="8"/>
              <c:layout>
                <c:manualLayout>
                  <c:x val="-3.0651340996168612E-2"/>
                  <c:y val="-2.1881838074400001E-2"/>
                </c:manualLayout>
              </c:layout>
              <c:showVal val="1"/>
            </c:dLbl>
            <c:dLbl>
              <c:idx val="9"/>
              <c:layout>
                <c:manualLayout>
                  <c:x val="-3.5759897828865315E-2"/>
                  <c:y val="-2.6258205689279994E-2"/>
                </c:manualLayout>
              </c:layout>
              <c:showVal val="1"/>
            </c:dLbl>
            <c:dLbl>
              <c:idx val="10"/>
              <c:layout>
                <c:manualLayout>
                  <c:x val="-1.0217113665389528E-2"/>
                  <c:y val="-8.7527352297600697E-3"/>
                </c:manualLayout>
              </c:layout>
              <c:showVal val="1"/>
            </c:dLbl>
            <c:txPr>
              <a:bodyPr/>
              <a:lstStyle/>
              <a:p>
                <a:pPr>
                  <a:defRPr lang="en-US" sz="800" b="1">
                    <a:solidFill>
                      <a:schemeClr val="accent6">
                        <a:lumMod val="50000"/>
                      </a:schemeClr>
                    </a:solidFill>
                  </a:defRPr>
                </a:pPr>
                <a:endParaRPr lang="en-US"/>
              </a:p>
            </c:txPr>
            <c:showVal val="1"/>
          </c:dLbls>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3.20'!$B$9:$L$9</c:f>
              <c:numCache>
                <c:formatCode>0%</c:formatCode>
                <c:ptCount val="11"/>
                <c:pt idx="0">
                  <c:v>0.35900000000000032</c:v>
                </c:pt>
                <c:pt idx="1">
                  <c:v>0.37200000000000188</c:v>
                </c:pt>
                <c:pt idx="2">
                  <c:v>0.38300000000001233</c:v>
                </c:pt>
                <c:pt idx="3">
                  <c:v>0.38400000000001244</c:v>
                </c:pt>
                <c:pt idx="4">
                  <c:v>0.40400000000000008</c:v>
                </c:pt>
                <c:pt idx="5">
                  <c:v>0.41700000000000031</c:v>
                </c:pt>
                <c:pt idx="6">
                  <c:v>0.42600000000000032</c:v>
                </c:pt>
                <c:pt idx="7">
                  <c:v>0.49600000000000088</c:v>
                </c:pt>
                <c:pt idx="8">
                  <c:v>0.54</c:v>
                </c:pt>
                <c:pt idx="9">
                  <c:v>0.57200000000000062</c:v>
                </c:pt>
                <c:pt idx="10">
                  <c:v>0.60000000000000064</c:v>
                </c:pt>
              </c:numCache>
            </c:numRef>
          </c:val>
        </c:ser>
        <c:marker val="1"/>
        <c:axId val="141595008"/>
        <c:axId val="141596544"/>
      </c:lineChart>
      <c:catAx>
        <c:axId val="141595008"/>
        <c:scaling>
          <c:orientation val="minMax"/>
        </c:scaling>
        <c:axPos val="b"/>
        <c:numFmt formatCode="General" sourceLinked="1"/>
        <c:majorTickMark val="none"/>
        <c:tickLblPos val="nextTo"/>
        <c:txPr>
          <a:bodyPr/>
          <a:lstStyle/>
          <a:p>
            <a:pPr>
              <a:defRPr lang="en-US" sz="900"/>
            </a:pPr>
            <a:endParaRPr lang="en-US"/>
          </a:p>
        </c:txPr>
        <c:crossAx val="141596544"/>
        <c:crossesAt val="0"/>
        <c:auto val="1"/>
        <c:lblAlgn val="ctr"/>
        <c:lblOffset val="100"/>
      </c:catAx>
      <c:valAx>
        <c:axId val="141596544"/>
        <c:scaling>
          <c:orientation val="minMax"/>
        </c:scaling>
        <c:axPos val="l"/>
        <c:majorGridlines>
          <c:spPr>
            <a:ln>
              <a:solidFill>
                <a:srgbClr val="F79646">
                  <a:lumMod val="50000"/>
                </a:srgbClr>
              </a:solidFill>
            </a:ln>
          </c:spPr>
        </c:majorGridlines>
        <c:numFmt formatCode="0%" sourceLinked="1"/>
        <c:majorTickMark val="none"/>
        <c:tickLblPos val="nextTo"/>
        <c:txPr>
          <a:bodyPr/>
          <a:lstStyle/>
          <a:p>
            <a:pPr>
              <a:defRPr lang="en-US" sz="900"/>
            </a:pPr>
            <a:endParaRPr lang="en-US"/>
          </a:p>
        </c:txPr>
        <c:crossAx val="141595008"/>
        <c:crosses val="autoZero"/>
        <c:crossBetween val="between"/>
      </c:valAx>
    </c:plotArea>
    <c:legend>
      <c:legendPos val="r"/>
      <c:legendEntry>
        <c:idx val="0"/>
        <c:txPr>
          <a:bodyPr/>
          <a:lstStyle/>
          <a:p>
            <a:pPr>
              <a:defRPr b="1">
                <a:solidFill>
                  <a:schemeClr val="accent5">
                    <a:lumMod val="75000"/>
                  </a:schemeClr>
                </a:solidFill>
              </a:defRPr>
            </a:pPr>
            <a:endParaRPr lang="en-US"/>
          </a:p>
        </c:txPr>
      </c:legendEntry>
      <c:legendEntry>
        <c:idx val="1"/>
        <c:txPr>
          <a:bodyPr/>
          <a:lstStyle/>
          <a:p>
            <a:pPr>
              <a:defRPr b="1">
                <a:solidFill>
                  <a:srgbClr val="008000"/>
                </a:solidFill>
              </a:defRPr>
            </a:pPr>
            <a:endParaRPr lang="en-US"/>
          </a:p>
        </c:txPr>
      </c:legendEntry>
      <c:legendEntry>
        <c:idx val="2"/>
        <c:txPr>
          <a:bodyPr/>
          <a:lstStyle/>
          <a:p>
            <a:pPr>
              <a:defRPr b="1">
                <a:solidFill>
                  <a:schemeClr val="accent6">
                    <a:lumMod val="75000"/>
                  </a:schemeClr>
                </a:solidFill>
              </a:defRPr>
            </a:pPr>
            <a:endParaRPr lang="en-US"/>
          </a:p>
        </c:txPr>
      </c:legendEntry>
      <c:legendEntry>
        <c:idx val="3"/>
        <c:txPr>
          <a:bodyPr/>
          <a:lstStyle/>
          <a:p>
            <a:pPr>
              <a:defRPr b="1">
                <a:solidFill>
                  <a:schemeClr val="accent6">
                    <a:lumMod val="50000"/>
                  </a:schemeClr>
                </a:solidFill>
              </a:defRPr>
            </a:pPr>
            <a:endParaRPr lang="en-US"/>
          </a:p>
        </c:txPr>
      </c:legendEntry>
      <c:layout>
        <c:manualLayout>
          <c:xMode val="edge"/>
          <c:yMode val="edge"/>
          <c:x val="0.79043412676863656"/>
          <c:y val="0.26882107478500838"/>
          <c:w val="0.19424020273327924"/>
          <c:h val="0.33332559236548009"/>
        </c:manualLayout>
      </c:layout>
      <c:txPr>
        <a:bodyPr/>
        <a:lstStyle/>
        <a:p>
          <a:pPr>
            <a:defRPr lang="en-US" b="1"/>
          </a:pPr>
          <a:endParaRPr lang="en-US"/>
        </a:p>
      </c:txPr>
    </c:legend>
    <c:plotVisOnly val="1"/>
    <c:dispBlanksAs val="gap"/>
  </c:chart>
  <c:spPr>
    <a:ln w="31750" cmpd="dbl">
      <a:solidFill>
        <a:schemeClr val="accent5">
          <a:lumMod val="50000"/>
        </a:schemeClr>
      </a:solid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v>Boys</c:v>
          </c:tx>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3.21'!$B$5:$L$5</c:f>
              <c:numCache>
                <c:formatCode>General</c:formatCode>
                <c:ptCount val="11"/>
                <c:pt idx="0">
                  <c:v>51.7</c:v>
                </c:pt>
                <c:pt idx="1">
                  <c:v>47.1</c:v>
                </c:pt>
                <c:pt idx="2">
                  <c:v>48.9</c:v>
                </c:pt>
                <c:pt idx="3">
                  <c:v>52.9</c:v>
                </c:pt>
                <c:pt idx="4">
                  <c:v>57.1</c:v>
                </c:pt>
                <c:pt idx="5">
                  <c:v>65.900000000000006</c:v>
                </c:pt>
                <c:pt idx="6">
                  <c:v>77</c:v>
                </c:pt>
                <c:pt idx="7">
                  <c:v>73.5</c:v>
                </c:pt>
                <c:pt idx="8">
                  <c:v>77.7</c:v>
                </c:pt>
                <c:pt idx="9">
                  <c:v>77.599999999999994</c:v>
                </c:pt>
                <c:pt idx="10">
                  <c:v>77.900000000000006</c:v>
                </c:pt>
              </c:numCache>
            </c:numRef>
          </c:val>
        </c:ser>
        <c:ser>
          <c:idx val="1"/>
          <c:order val="1"/>
          <c:tx>
            <c:v>Girls</c:v>
          </c:tx>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3.21'!$B$6:$L$6</c:f>
              <c:numCache>
                <c:formatCode>General</c:formatCode>
                <c:ptCount val="11"/>
                <c:pt idx="0">
                  <c:v>56.1</c:v>
                </c:pt>
                <c:pt idx="1">
                  <c:v>53.3</c:v>
                </c:pt>
                <c:pt idx="2">
                  <c:v>54.9</c:v>
                </c:pt>
                <c:pt idx="3">
                  <c:v>57</c:v>
                </c:pt>
                <c:pt idx="4">
                  <c:v>62.2</c:v>
                </c:pt>
                <c:pt idx="5">
                  <c:v>68.599999999999994</c:v>
                </c:pt>
                <c:pt idx="6">
                  <c:v>82.1</c:v>
                </c:pt>
                <c:pt idx="7">
                  <c:v>77</c:v>
                </c:pt>
                <c:pt idx="8">
                  <c:v>83.3</c:v>
                </c:pt>
                <c:pt idx="9">
                  <c:v>84.4</c:v>
                </c:pt>
                <c:pt idx="10">
                  <c:v>84.7</c:v>
                </c:pt>
              </c:numCache>
            </c:numRef>
          </c:val>
        </c:ser>
        <c:ser>
          <c:idx val="2"/>
          <c:order val="2"/>
          <c:tx>
            <c:v>All</c:v>
          </c:tx>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3.21'!$B$7:$L$7</c:f>
              <c:numCache>
                <c:formatCode>General</c:formatCode>
                <c:ptCount val="11"/>
                <c:pt idx="0">
                  <c:v>53.9</c:v>
                </c:pt>
                <c:pt idx="1">
                  <c:v>50.2</c:v>
                </c:pt>
                <c:pt idx="2">
                  <c:v>51.9</c:v>
                </c:pt>
                <c:pt idx="3">
                  <c:v>55</c:v>
                </c:pt>
                <c:pt idx="4">
                  <c:v>59.7</c:v>
                </c:pt>
                <c:pt idx="5">
                  <c:v>67.3</c:v>
                </c:pt>
                <c:pt idx="6">
                  <c:v>79.599999999999994</c:v>
                </c:pt>
                <c:pt idx="7">
                  <c:v>75.3</c:v>
                </c:pt>
                <c:pt idx="8">
                  <c:v>80.5</c:v>
                </c:pt>
                <c:pt idx="9">
                  <c:v>81</c:v>
                </c:pt>
                <c:pt idx="10">
                  <c:v>81.3</c:v>
                </c:pt>
              </c:numCache>
            </c:numRef>
          </c:val>
        </c:ser>
        <c:axId val="141648256"/>
        <c:axId val="141649792"/>
      </c:barChart>
      <c:catAx>
        <c:axId val="141648256"/>
        <c:scaling>
          <c:orientation val="minMax"/>
        </c:scaling>
        <c:axPos val="b"/>
        <c:numFmt formatCode="General" sourceLinked="1"/>
        <c:majorTickMark val="none"/>
        <c:tickLblPos val="nextTo"/>
        <c:txPr>
          <a:bodyPr/>
          <a:lstStyle/>
          <a:p>
            <a:pPr>
              <a:defRPr lang="en-US"/>
            </a:pPr>
            <a:endParaRPr lang="en-US"/>
          </a:p>
        </c:txPr>
        <c:crossAx val="141649792"/>
        <c:crosses val="autoZero"/>
        <c:auto val="1"/>
        <c:lblAlgn val="ctr"/>
        <c:lblOffset val="100"/>
      </c:catAx>
      <c:valAx>
        <c:axId val="141649792"/>
        <c:scaling>
          <c:orientation val="minMax"/>
          <c:max val="100"/>
        </c:scaling>
        <c:axPos val="l"/>
        <c:majorGridlines/>
        <c:numFmt formatCode="General" sourceLinked="1"/>
        <c:majorTickMark val="none"/>
        <c:tickLblPos val="nextTo"/>
        <c:txPr>
          <a:bodyPr/>
          <a:lstStyle/>
          <a:p>
            <a:pPr>
              <a:defRPr lang="en-US"/>
            </a:pPr>
            <a:endParaRPr lang="en-US"/>
          </a:p>
        </c:txPr>
        <c:crossAx val="141648256"/>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chart>
  <c:spPr>
    <a:ln w="31750" cmpd="dbl">
      <a:solidFill>
        <a:schemeClr val="accent5">
          <a:lumMod val="50000"/>
        </a:schemeClr>
      </a:solidFill>
    </a:ln>
  </c:sp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'Fig 3.22'!$B$2</c:f>
              <c:strCache>
                <c:ptCount val="1"/>
                <c:pt idx="0">
                  <c:v>SR 2015</c:v>
                </c:pt>
              </c:strCache>
            </c:strRef>
          </c:tx>
          <c:spPr>
            <a:solidFill>
              <a:schemeClr val="tx2">
                <a:lumMod val="60000"/>
                <a:lumOff val="40000"/>
              </a:schemeClr>
            </a:solidFill>
          </c:spPr>
          <c:cat>
            <c:strRef>
              <c:f>'Fig 3.22'!$A$3:$A$9</c:f>
              <c:strCache>
                <c:ptCount val="7"/>
                <c:pt idx="0">
                  <c:v>Haor</c:v>
                </c:pt>
                <c:pt idx="1">
                  <c:v>Hilly</c:v>
                </c:pt>
                <c:pt idx="2">
                  <c:v>Coast</c:v>
                </c:pt>
                <c:pt idx="3">
                  <c:v>Char</c:v>
                </c:pt>
                <c:pt idx="4">
                  <c:v>Slum</c:v>
                </c:pt>
                <c:pt idx="5">
                  <c:v>Tribal</c:v>
                </c:pt>
                <c:pt idx="6">
                  <c:v>National</c:v>
                </c:pt>
              </c:strCache>
            </c:strRef>
          </c:cat>
          <c:val>
            <c:numRef>
              <c:f>'Fig 3.22'!$B$3:$B$9</c:f>
              <c:numCache>
                <c:formatCode>0%</c:formatCode>
                <c:ptCount val="7"/>
                <c:pt idx="0">
                  <c:v>0.72670000000002521</c:v>
                </c:pt>
                <c:pt idx="1">
                  <c:v>0.80980000000000063</c:v>
                </c:pt>
                <c:pt idx="2">
                  <c:v>0.72170000000002466</c:v>
                </c:pt>
                <c:pt idx="3">
                  <c:v>0.68990000000000062</c:v>
                </c:pt>
                <c:pt idx="4">
                  <c:v>0.90890000000000004</c:v>
                </c:pt>
                <c:pt idx="5">
                  <c:v>0.81559999999999999</c:v>
                </c:pt>
                <c:pt idx="6">
                  <c:v>0.81299999999999994</c:v>
                </c:pt>
              </c:numCache>
            </c:numRef>
          </c:val>
        </c:ser>
        <c:axId val="141670656"/>
        <c:axId val="141705216"/>
      </c:barChart>
      <c:catAx>
        <c:axId val="141670656"/>
        <c:scaling>
          <c:orientation val="minMax"/>
        </c:scaling>
        <c:axPos val="b"/>
        <c:majorTickMark val="none"/>
        <c:tickLblPos val="nextTo"/>
        <c:txPr>
          <a:bodyPr/>
          <a:lstStyle/>
          <a:p>
            <a:pPr>
              <a:defRPr lang="en-US"/>
            </a:pPr>
            <a:endParaRPr lang="en-US"/>
          </a:p>
        </c:txPr>
        <c:crossAx val="141705216"/>
        <c:crosses val="autoZero"/>
        <c:auto val="1"/>
        <c:lblAlgn val="ctr"/>
        <c:lblOffset val="100"/>
      </c:catAx>
      <c:valAx>
        <c:axId val="141705216"/>
        <c:scaling>
          <c:orientation val="minMax"/>
        </c:scaling>
        <c:axPos val="l"/>
        <c:majorGridlines/>
        <c:numFmt formatCode="0%" sourceLinked="1"/>
        <c:majorTickMark val="none"/>
        <c:tickLblPos val="nextTo"/>
        <c:txPr>
          <a:bodyPr/>
          <a:lstStyle/>
          <a:p>
            <a:pPr>
              <a:defRPr lang="en-US">
                <a:solidFill>
                  <a:schemeClr val="tx2">
                    <a:lumMod val="75000"/>
                  </a:schemeClr>
                </a:solidFill>
              </a:defRPr>
            </a:pPr>
            <a:endParaRPr lang="en-US"/>
          </a:p>
        </c:txPr>
        <c:crossAx val="141670656"/>
        <c:crosses val="autoZero"/>
        <c:crossBetween val="between"/>
      </c:valAx>
      <c:dTable>
        <c:showHorzBorder val="1"/>
        <c:showVertBorder val="1"/>
        <c:showOutline val="1"/>
        <c:showKeys val="1"/>
        <c:txPr>
          <a:bodyPr/>
          <a:lstStyle/>
          <a:p>
            <a:pPr rtl="0">
              <a:defRPr lang="en-US">
                <a:solidFill>
                  <a:schemeClr val="tx2">
                    <a:lumMod val="75000"/>
                  </a:schemeClr>
                </a:solidFill>
              </a:defRPr>
            </a:pPr>
            <a:endParaRPr lang="en-US"/>
          </a:p>
        </c:txPr>
      </c:dTable>
    </c:plotArea>
    <c:plotVisOnly val="1"/>
    <c:dispBlanksAs val="gap"/>
  </c:chart>
  <c:spPr>
    <a:ln w="31750" cmpd="dbl">
      <a:solidFill>
        <a:schemeClr val="accent5">
          <a:lumMod val="50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manualLayout>
          <c:layoutTarget val="inner"/>
          <c:xMode val="edge"/>
          <c:yMode val="edge"/>
          <c:x val="0.36125437445319325"/>
          <c:y val="0.2617548848060659"/>
          <c:w val="0.38860258092741207"/>
          <c:h val="0.64767096821230674"/>
        </c:manualLayout>
      </c:layout>
      <c:pieChart>
        <c:varyColors val="1"/>
        <c:ser>
          <c:idx val="0"/>
          <c:order val="0"/>
          <c:dPt>
            <c:idx val="0"/>
            <c:spPr>
              <a:solidFill>
                <a:schemeClr val="tx2">
                  <a:lumMod val="60000"/>
                  <a:lumOff val="40000"/>
                </a:schemeClr>
              </a:solidFill>
            </c:spPr>
          </c:dPt>
          <c:dPt>
            <c:idx val="1"/>
            <c:spPr>
              <a:solidFill>
                <a:srgbClr val="C00000"/>
              </a:solidFill>
            </c:spPr>
          </c:dPt>
          <c:dPt>
            <c:idx val="2"/>
            <c:spPr>
              <a:solidFill>
                <a:srgbClr val="00CC00"/>
              </a:solidFill>
            </c:spPr>
          </c:dPt>
          <c:dPt>
            <c:idx val="3"/>
            <c:spPr>
              <a:solidFill>
                <a:srgbClr val="00B0F0"/>
              </a:solidFill>
            </c:spPr>
          </c:dPt>
          <c:dPt>
            <c:idx val="4"/>
            <c:spPr>
              <a:solidFill>
                <a:schemeClr val="accent4">
                  <a:lumMod val="60000"/>
                  <a:lumOff val="40000"/>
                </a:schemeClr>
              </a:solidFill>
            </c:spPr>
          </c:dPt>
          <c:dLbls>
            <c:dLbl>
              <c:idx val="0"/>
              <c:layout>
                <c:manualLayout>
                  <c:x val="5.8007383223438534E-2"/>
                  <c:y val="5.0579851661022246E-2"/>
                </c:manualLayout>
              </c:layout>
              <c:tx>
                <c:rich>
                  <a:bodyPr/>
                  <a:lstStyle/>
                  <a:p>
                    <a:r>
                      <a:rPr lang="en-US"/>
                      <a:t>MoPME/DPE managed
59.1%</a:t>
                    </a:r>
                  </a:p>
                </c:rich>
              </c:tx>
              <c:showCatName val="1"/>
              <c:showPercent val="1"/>
            </c:dLbl>
            <c:dLbl>
              <c:idx val="1"/>
              <c:layout>
                <c:manualLayout>
                  <c:x val="-1.3460192475940507E-3"/>
                  <c:y val="6.8834937299504323E-2"/>
                </c:manualLayout>
              </c:layout>
              <c:tx>
                <c:rich>
                  <a:bodyPr/>
                  <a:lstStyle/>
                  <a:p>
                    <a:r>
                      <a:rPr lang="en-US" sz="900"/>
                      <a:t>MoE Managed</a:t>
                    </a:r>
                    <a:r>
                      <a:rPr lang="en-US" sz="900" baseline="0"/>
                      <a:t> </a:t>
                    </a:r>
                    <a:r>
                      <a:rPr lang="en-US" sz="900"/>
                      <a:t>8.2%</a:t>
                    </a:r>
                  </a:p>
                </c:rich>
              </c:tx>
              <c:showCatName val="1"/>
              <c:showPercent val="1"/>
            </c:dLbl>
            <c:dLbl>
              <c:idx val="2"/>
              <c:layout>
                <c:manualLayout>
                  <c:x val="-6.9757874015750024E-2"/>
                  <c:y val="8.3588145231847766E-2"/>
                </c:manualLayout>
              </c:layout>
              <c:showCatName val="1"/>
              <c:showPercent val="1"/>
            </c:dLbl>
            <c:dLbl>
              <c:idx val="3"/>
              <c:layout>
                <c:manualLayout>
                  <c:x val="-0.12597147689829941"/>
                  <c:y val="6.3366588096129023E-2"/>
                </c:manualLayout>
              </c:layout>
              <c:tx>
                <c:rich>
                  <a:bodyPr/>
                  <a:lstStyle/>
                  <a:p>
                    <a:r>
                      <a:rPr lang="en-US" sz="900"/>
                      <a:t>Other Authorities Managed</a:t>
                    </a:r>
                    <a:r>
                      <a:rPr lang="en-US" sz="900" baseline="0"/>
                      <a:t> </a:t>
                    </a:r>
                    <a:r>
                      <a:rPr lang="en-US" sz="900"/>
                      <a:t>4.5%</a:t>
                    </a:r>
                  </a:p>
                </c:rich>
              </c:tx>
              <c:showCatName val="1"/>
              <c:showPercent val="1"/>
            </c:dLbl>
            <c:dLbl>
              <c:idx val="4"/>
              <c:layout>
                <c:manualLayout>
                  <c:x val="-9.4827490420468452E-2"/>
                  <c:y val="-8.1157161371128397E-2"/>
                </c:manualLayout>
              </c:layout>
              <c:tx>
                <c:rich>
                  <a:bodyPr/>
                  <a:lstStyle/>
                  <a:p>
                    <a:r>
                      <a:rPr lang="en-US" sz="900"/>
                      <a:t>NGO Bureau Managed</a:t>
                    </a:r>
                    <a:r>
                      <a:rPr lang="en-US" sz="900" baseline="0"/>
                      <a:t> </a:t>
                    </a:r>
                    <a:r>
                      <a:rPr lang="en-US" sz="900"/>
                      <a:t>13.3%</a:t>
                    </a:r>
                  </a:p>
                </c:rich>
              </c:tx>
              <c:showCatName val="1"/>
              <c:showPercent val="1"/>
            </c:dLbl>
            <c:txPr>
              <a:bodyPr/>
              <a:lstStyle/>
              <a:p>
                <a:pPr>
                  <a:defRPr lang="en-US" sz="900"/>
                </a:pPr>
                <a:endParaRPr lang="en-US"/>
              </a:p>
            </c:txPr>
            <c:showCatName val="1"/>
            <c:showPercent val="1"/>
            <c:showLeaderLines val="1"/>
          </c:dLbls>
          <c:cat>
            <c:strRef>
              <c:f>'Figure 1.2, 1.3, 1.4'!$A$40:$A$44</c:f>
              <c:strCache>
                <c:ptCount val="5"/>
                <c:pt idx="0">
                  <c:v>MoPME/DPE managed</c:v>
                </c:pt>
                <c:pt idx="1">
                  <c:v>MoE Managed</c:v>
                </c:pt>
                <c:pt idx="2">
                  <c:v>MoC Managed</c:v>
                </c:pt>
                <c:pt idx="3">
                  <c:v>Other Authorities Managed</c:v>
                </c:pt>
                <c:pt idx="4">
                  <c:v>NGO Bureau Managed</c:v>
                </c:pt>
              </c:strCache>
            </c:strRef>
          </c:cat>
          <c:val>
            <c:numRef>
              <c:f>'Figure 1.2, 1.3, 1.4'!$B$40:$B$44</c:f>
              <c:numCache>
                <c:formatCode>#,##0</c:formatCode>
                <c:ptCount val="5"/>
                <c:pt idx="0">
                  <c:v>72155</c:v>
                </c:pt>
                <c:pt idx="1">
                  <c:v>10030</c:v>
                </c:pt>
                <c:pt idx="2">
                  <c:v>18371</c:v>
                </c:pt>
                <c:pt idx="3">
                  <c:v>2668</c:v>
                </c:pt>
                <c:pt idx="4">
                  <c:v>18952</c:v>
                </c:pt>
              </c:numCache>
            </c:numRef>
          </c:val>
        </c:ser>
        <c:dLbls>
          <c:showCatName val="1"/>
        </c:dLbls>
        <c:firstSliceAng val="0"/>
      </c:pieChart>
    </c:plotArea>
    <c:plotVisOnly val="1"/>
    <c:dispBlanksAs val="zero"/>
  </c:chart>
  <c:spPr>
    <a:ln w="47625" cmpd="dbl">
      <a:solidFill>
        <a:schemeClr val="accent5">
          <a:lumMod val="50000"/>
        </a:schemeClr>
      </a:solid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0256683742088279"/>
          <c:y val="0.10803976377952759"/>
          <c:w val="0.83529928904520001"/>
          <c:h val="0.6119629921259846"/>
        </c:manualLayout>
      </c:layout>
      <c:barChart>
        <c:barDir val="col"/>
        <c:grouping val="clustered"/>
        <c:ser>
          <c:idx val="0"/>
          <c:order val="0"/>
          <c:tx>
            <c:strRef>
              <c:f>'Single Shift'!$C$24</c:f>
              <c:strCache>
                <c:ptCount val="1"/>
                <c:pt idx="0">
                  <c:v>GPS</c:v>
                </c:pt>
              </c:strCache>
            </c:strRef>
          </c:tx>
          <c:spPr>
            <a:solidFill>
              <a:srgbClr val="008000"/>
            </a:solidFill>
          </c:spPr>
          <c:dLbls>
            <c:dLbl>
              <c:idx val="0"/>
              <c:tx>
                <c:rich>
                  <a:bodyPr/>
                  <a:lstStyle/>
                  <a:p>
                    <a:r>
                      <a:rPr lang="en-US"/>
                      <a:t>12.1%</a:t>
                    </a:r>
                  </a:p>
                </c:rich>
              </c:tx>
              <c:showVal val="1"/>
            </c:dLbl>
            <c:dLbl>
              <c:idx val="1"/>
              <c:layout>
                <c:manualLayout>
                  <c:x val="0"/>
                  <c:y val="1.5584415584416061E-2"/>
                </c:manualLayout>
              </c:layout>
              <c:tx>
                <c:rich>
                  <a:bodyPr/>
                  <a:lstStyle/>
                  <a:p>
                    <a:r>
                      <a:rPr lang="en-US"/>
                      <a:t>20.4%</a:t>
                    </a:r>
                  </a:p>
                </c:rich>
              </c:tx>
              <c:showVal val="1"/>
            </c:dLbl>
            <c:dLbl>
              <c:idx val="2"/>
              <c:layout>
                <c:manualLayout>
                  <c:x val="4.5542470618686594E-17"/>
                  <c:y val="2.5974025974026042E-2"/>
                </c:manualLayout>
              </c:layout>
              <c:tx>
                <c:rich>
                  <a:bodyPr/>
                  <a:lstStyle/>
                  <a:p>
                    <a:r>
                      <a:rPr lang="en-US"/>
                      <a:t>21.7%</a:t>
                    </a:r>
                  </a:p>
                </c:rich>
              </c:tx>
              <c:showVal val="1"/>
            </c:dLbl>
            <c:dLbl>
              <c:idx val="3"/>
              <c:layout>
                <c:manualLayout>
                  <c:x val="0"/>
                  <c:y val="2.0779220779222052E-2"/>
                </c:manualLayout>
              </c:layout>
              <c:tx>
                <c:rich>
                  <a:bodyPr/>
                  <a:lstStyle/>
                  <a:p>
                    <a:r>
                      <a:rPr lang="en-US"/>
                      <a:t>21.3%</a:t>
                    </a:r>
                  </a:p>
                </c:rich>
              </c:tx>
              <c:showVal val="1"/>
            </c:dLbl>
            <c:dLbl>
              <c:idx val="4"/>
              <c:layout>
                <c:manualLayout>
                  <c:x val="0"/>
                  <c:y val="2.0779220779222052E-2"/>
                </c:manualLayout>
              </c:layout>
              <c:tx>
                <c:rich>
                  <a:bodyPr/>
                  <a:lstStyle/>
                  <a:p>
                    <a:r>
                      <a:rPr lang="en-US"/>
                      <a:t>21.77%</a:t>
                    </a:r>
                  </a:p>
                </c:rich>
              </c:tx>
              <c:showVal val="1"/>
            </c:dLbl>
            <c:dLbl>
              <c:idx val="5"/>
              <c:layout>
                <c:manualLayout>
                  <c:x val="0"/>
                  <c:y val="1.5584415584416061E-2"/>
                </c:manualLayout>
              </c:layout>
              <c:tx>
                <c:rich>
                  <a:bodyPr/>
                  <a:lstStyle/>
                  <a:p>
                    <a:r>
                      <a:rPr lang="en-US"/>
                      <a:t>21.7%</a:t>
                    </a:r>
                  </a:p>
                </c:rich>
              </c:tx>
              <c:showVal val="1"/>
            </c:dLbl>
            <c:dLbl>
              <c:idx val="6"/>
              <c:layout>
                <c:manualLayout>
                  <c:x val="0"/>
                  <c:y val="1.5584415584416061E-2"/>
                </c:manualLayout>
              </c:layout>
              <c:tx>
                <c:rich>
                  <a:bodyPr/>
                  <a:lstStyle/>
                  <a:p>
                    <a:r>
                      <a:rPr lang="en-US"/>
                      <a:t>21.6%</a:t>
                    </a:r>
                  </a:p>
                </c:rich>
              </c:tx>
              <c:showVal val="1"/>
            </c:dLbl>
            <c:txPr>
              <a:bodyPr/>
              <a:lstStyle/>
              <a:p>
                <a:pPr>
                  <a:defRPr lang="en-US" sz="900" b="1">
                    <a:solidFill>
                      <a:srgbClr val="008000"/>
                    </a:solidFill>
                  </a:defRPr>
                </a:pPr>
                <a:endParaRPr lang="en-US"/>
              </a:p>
            </c:txPr>
            <c:showVal val="1"/>
          </c:dLbls>
          <c:cat>
            <c:numRef>
              <c:f>'Single Shift'!$B$25:$B$31</c:f>
              <c:numCache>
                <c:formatCode>General</c:formatCode>
                <c:ptCount val="7"/>
                <c:pt idx="0">
                  <c:v>2005</c:v>
                </c:pt>
                <c:pt idx="1">
                  <c:v>2010</c:v>
                </c:pt>
                <c:pt idx="2">
                  <c:v>2011</c:v>
                </c:pt>
                <c:pt idx="3">
                  <c:v>2012</c:v>
                </c:pt>
                <c:pt idx="4">
                  <c:v>2013</c:v>
                </c:pt>
                <c:pt idx="5">
                  <c:v>2014</c:v>
                </c:pt>
                <c:pt idx="6">
                  <c:v>2015</c:v>
                </c:pt>
              </c:numCache>
            </c:numRef>
          </c:cat>
          <c:val>
            <c:numRef>
              <c:f>'Single Shift'!$C$25:$C$31</c:f>
              <c:numCache>
                <c:formatCode>0.0</c:formatCode>
                <c:ptCount val="7"/>
                <c:pt idx="0">
                  <c:v>12.1</c:v>
                </c:pt>
                <c:pt idx="1">
                  <c:v>20.399999999999999</c:v>
                </c:pt>
                <c:pt idx="2" formatCode="General">
                  <c:v>21.7</c:v>
                </c:pt>
                <c:pt idx="3" formatCode="General">
                  <c:v>21.3</c:v>
                </c:pt>
                <c:pt idx="4" formatCode="General">
                  <c:v>21.77</c:v>
                </c:pt>
                <c:pt idx="5" formatCode="General">
                  <c:v>21.7</c:v>
                </c:pt>
                <c:pt idx="6">
                  <c:v>21.6</c:v>
                </c:pt>
              </c:numCache>
            </c:numRef>
          </c:val>
        </c:ser>
        <c:ser>
          <c:idx val="1"/>
          <c:order val="1"/>
          <c:tx>
            <c:strRef>
              <c:f>'Single Shift'!$D$24</c:f>
              <c:strCache>
                <c:ptCount val="1"/>
                <c:pt idx="0">
                  <c:v>NNPS</c:v>
                </c:pt>
              </c:strCache>
            </c:strRef>
          </c:tx>
          <c:spPr>
            <a:solidFill>
              <a:srgbClr val="0033CC"/>
            </a:solidFill>
          </c:spPr>
          <c:dLbls>
            <c:dLbl>
              <c:idx val="0"/>
              <c:layout>
                <c:manualLayout>
                  <c:x val="4.8543689320388814E-3"/>
                  <c:y val="5.1948051948051974E-3"/>
                </c:manualLayout>
              </c:layout>
              <c:tx>
                <c:rich>
                  <a:bodyPr/>
                  <a:lstStyle/>
                  <a:p>
                    <a:r>
                      <a:rPr lang="en-US"/>
                      <a:t>3.6%</a:t>
                    </a:r>
                  </a:p>
                </c:rich>
              </c:tx>
              <c:showVal val="1"/>
            </c:dLbl>
            <c:dLbl>
              <c:idx val="1"/>
              <c:tx>
                <c:rich>
                  <a:bodyPr/>
                  <a:lstStyle/>
                  <a:p>
                    <a:r>
                      <a:rPr lang="en-US"/>
                      <a:t>2.6%</a:t>
                    </a:r>
                  </a:p>
                </c:rich>
              </c:tx>
              <c:showVal val="1"/>
            </c:dLbl>
            <c:dLbl>
              <c:idx val="2"/>
              <c:layout>
                <c:manualLayout>
                  <c:x val="7.2815533980585476E-3"/>
                  <c:y val="0"/>
                </c:manualLayout>
              </c:layout>
              <c:tx>
                <c:rich>
                  <a:bodyPr/>
                  <a:lstStyle/>
                  <a:p>
                    <a:r>
                      <a:rPr lang="en-US"/>
                      <a:t>2.4%</a:t>
                    </a:r>
                  </a:p>
                </c:rich>
              </c:tx>
              <c:showVal val="1"/>
            </c:dLbl>
            <c:dLbl>
              <c:idx val="3"/>
              <c:layout>
                <c:manualLayout>
                  <c:x val="7.2815533980586048E-3"/>
                  <c:y val="5.1948051948051974E-3"/>
                </c:manualLayout>
              </c:layout>
              <c:tx>
                <c:rich>
                  <a:bodyPr/>
                  <a:lstStyle/>
                  <a:p>
                    <a:r>
                      <a:rPr lang="en-US"/>
                      <a:t>2.5%</a:t>
                    </a:r>
                  </a:p>
                </c:rich>
              </c:tx>
              <c:showVal val="1"/>
            </c:dLbl>
            <c:dLbl>
              <c:idx val="4"/>
              <c:layout>
                <c:manualLayout>
                  <c:x val="9.7087378640776708E-3"/>
                  <c:y val="5.1948051948051974E-3"/>
                </c:manualLayout>
              </c:layout>
              <c:tx>
                <c:rich>
                  <a:bodyPr/>
                  <a:lstStyle/>
                  <a:p>
                    <a:r>
                      <a:rPr lang="en-US"/>
                      <a:t>2.59%</a:t>
                    </a:r>
                  </a:p>
                </c:rich>
              </c:tx>
              <c:showVal val="1"/>
            </c:dLbl>
            <c:dLbl>
              <c:idx val="5"/>
              <c:layout>
                <c:manualLayout>
                  <c:x val="1.2135922330097084E-2"/>
                  <c:y val="5.1948051948051974E-3"/>
                </c:manualLayout>
              </c:layout>
              <c:tx>
                <c:rich>
                  <a:bodyPr/>
                  <a:lstStyle/>
                  <a:p>
                    <a:r>
                      <a:rPr lang="en-US"/>
                      <a:t>2.4%</a:t>
                    </a:r>
                  </a:p>
                </c:rich>
              </c:tx>
              <c:showVal val="1"/>
            </c:dLbl>
            <c:dLbl>
              <c:idx val="6"/>
              <c:layout>
                <c:manualLayout>
                  <c:x val="1.2135922330097084E-2"/>
                  <c:y val="0"/>
                </c:manualLayout>
              </c:layout>
              <c:tx>
                <c:rich>
                  <a:bodyPr/>
                  <a:lstStyle/>
                  <a:p>
                    <a:r>
                      <a:rPr lang="en-US"/>
                      <a:t>2.2%</a:t>
                    </a:r>
                  </a:p>
                </c:rich>
              </c:tx>
              <c:showVal val="1"/>
            </c:dLbl>
            <c:txPr>
              <a:bodyPr/>
              <a:lstStyle/>
              <a:p>
                <a:pPr>
                  <a:defRPr lang="en-US" sz="800" b="1">
                    <a:solidFill>
                      <a:srgbClr val="0000FF"/>
                    </a:solidFill>
                  </a:defRPr>
                </a:pPr>
                <a:endParaRPr lang="en-US"/>
              </a:p>
            </c:txPr>
            <c:showVal val="1"/>
          </c:dLbls>
          <c:cat>
            <c:numRef>
              <c:f>'Single Shift'!$B$25:$B$31</c:f>
              <c:numCache>
                <c:formatCode>General</c:formatCode>
                <c:ptCount val="7"/>
                <c:pt idx="0">
                  <c:v>2005</c:v>
                </c:pt>
                <c:pt idx="1">
                  <c:v>2010</c:v>
                </c:pt>
                <c:pt idx="2">
                  <c:v>2011</c:v>
                </c:pt>
                <c:pt idx="3">
                  <c:v>2012</c:v>
                </c:pt>
                <c:pt idx="4">
                  <c:v>2013</c:v>
                </c:pt>
                <c:pt idx="5">
                  <c:v>2014</c:v>
                </c:pt>
                <c:pt idx="6">
                  <c:v>2015</c:v>
                </c:pt>
              </c:numCache>
            </c:numRef>
          </c:cat>
          <c:val>
            <c:numRef>
              <c:f>'Single Shift'!$D$25:$D$31</c:f>
              <c:numCache>
                <c:formatCode>0.0</c:formatCode>
                <c:ptCount val="7"/>
                <c:pt idx="0">
                  <c:v>3.6</c:v>
                </c:pt>
                <c:pt idx="1">
                  <c:v>2.6</c:v>
                </c:pt>
                <c:pt idx="2" formatCode="General">
                  <c:v>2.4</c:v>
                </c:pt>
                <c:pt idx="3" formatCode="General">
                  <c:v>2.5</c:v>
                </c:pt>
                <c:pt idx="4" formatCode="General">
                  <c:v>2.59</c:v>
                </c:pt>
                <c:pt idx="5" formatCode="General">
                  <c:v>2.4</c:v>
                </c:pt>
                <c:pt idx="6">
                  <c:v>2.2000000000000002</c:v>
                </c:pt>
              </c:numCache>
            </c:numRef>
          </c:val>
        </c:ser>
        <c:axId val="141853056"/>
        <c:axId val="141854592"/>
      </c:barChart>
      <c:lineChart>
        <c:grouping val="standard"/>
        <c:ser>
          <c:idx val="2"/>
          <c:order val="2"/>
          <c:tx>
            <c:strRef>
              <c:f>'Single Shift'!$E$24</c:f>
              <c:strCache>
                <c:ptCount val="1"/>
                <c:pt idx="0">
                  <c:v>Target</c:v>
                </c:pt>
              </c:strCache>
            </c:strRef>
          </c:tx>
          <c:spPr>
            <a:ln w="31750">
              <a:solidFill>
                <a:srgbClr val="C00000"/>
              </a:solidFill>
            </a:ln>
          </c:spPr>
          <c:marker>
            <c:symbol val="none"/>
          </c:marker>
          <c:dLbls>
            <c:dLbl>
              <c:idx val="0"/>
              <c:delete val="1"/>
            </c:dLbl>
            <c:dLbl>
              <c:idx val="1"/>
              <c:delete val="1"/>
            </c:dLbl>
            <c:dLbl>
              <c:idx val="2"/>
              <c:delete val="1"/>
            </c:dLbl>
            <c:dLbl>
              <c:idx val="3"/>
              <c:layout>
                <c:manualLayout>
                  <c:x val="-6.7079742980240678E-2"/>
                  <c:y val="-7.332874015748031E-2"/>
                </c:manualLayout>
              </c:layout>
              <c:tx>
                <c:rich>
                  <a:bodyPr/>
                  <a:lstStyle/>
                  <a:p>
                    <a:r>
                      <a:rPr lang="en-US" sz="1200" b="1">
                        <a:solidFill>
                          <a:srgbClr val="C00000"/>
                        </a:solidFill>
                      </a:rPr>
                      <a:t>Target 28%</a:t>
                    </a:r>
                  </a:p>
                </c:rich>
              </c:tx>
              <c:showVal val="1"/>
            </c:dLbl>
            <c:dLbl>
              <c:idx val="4"/>
              <c:delete val="1"/>
            </c:dLbl>
            <c:dLbl>
              <c:idx val="5"/>
              <c:delete val="1"/>
            </c:dLbl>
            <c:dLbl>
              <c:idx val="6"/>
              <c:delete val="1"/>
            </c:dLbl>
            <c:txPr>
              <a:bodyPr/>
              <a:lstStyle/>
              <a:p>
                <a:pPr>
                  <a:defRPr lang="en-US" sz="1200" b="1">
                    <a:solidFill>
                      <a:srgbClr val="C00000"/>
                    </a:solidFill>
                  </a:defRPr>
                </a:pPr>
                <a:endParaRPr lang="en-US"/>
              </a:p>
            </c:txPr>
            <c:showVal val="1"/>
          </c:dLbls>
          <c:cat>
            <c:numRef>
              <c:f>'Single Shift'!$B$25:$B$31</c:f>
              <c:numCache>
                <c:formatCode>General</c:formatCode>
                <c:ptCount val="7"/>
                <c:pt idx="0">
                  <c:v>2005</c:v>
                </c:pt>
                <c:pt idx="1">
                  <c:v>2010</c:v>
                </c:pt>
                <c:pt idx="2">
                  <c:v>2011</c:v>
                </c:pt>
                <c:pt idx="3">
                  <c:v>2012</c:v>
                </c:pt>
                <c:pt idx="4">
                  <c:v>2013</c:v>
                </c:pt>
                <c:pt idx="5">
                  <c:v>2014</c:v>
                </c:pt>
                <c:pt idx="6">
                  <c:v>2015</c:v>
                </c:pt>
              </c:numCache>
            </c:numRef>
          </c:cat>
          <c:val>
            <c:numRef>
              <c:f>'Single Shift'!$E$25:$E$31</c:f>
              <c:numCache>
                <c:formatCode>0.0</c:formatCode>
                <c:ptCount val="7"/>
                <c:pt idx="0">
                  <c:v>28</c:v>
                </c:pt>
                <c:pt idx="1">
                  <c:v>28</c:v>
                </c:pt>
                <c:pt idx="2">
                  <c:v>28</c:v>
                </c:pt>
                <c:pt idx="3">
                  <c:v>28</c:v>
                </c:pt>
                <c:pt idx="4">
                  <c:v>28</c:v>
                </c:pt>
                <c:pt idx="5">
                  <c:v>28</c:v>
                </c:pt>
                <c:pt idx="6">
                  <c:v>28</c:v>
                </c:pt>
              </c:numCache>
            </c:numRef>
          </c:val>
        </c:ser>
        <c:marker val="1"/>
        <c:axId val="141874304"/>
        <c:axId val="141856128"/>
      </c:lineChart>
      <c:catAx>
        <c:axId val="141853056"/>
        <c:scaling>
          <c:orientation val="minMax"/>
        </c:scaling>
        <c:axPos val="b"/>
        <c:numFmt formatCode="General" sourceLinked="1"/>
        <c:majorTickMark val="none"/>
        <c:tickLblPos val="nextTo"/>
        <c:txPr>
          <a:bodyPr/>
          <a:lstStyle/>
          <a:p>
            <a:pPr>
              <a:defRPr lang="en-US"/>
            </a:pPr>
            <a:endParaRPr lang="en-US"/>
          </a:p>
        </c:txPr>
        <c:crossAx val="141854592"/>
        <c:crosses val="autoZero"/>
        <c:auto val="1"/>
        <c:lblAlgn val="ctr"/>
        <c:lblOffset val="100"/>
      </c:catAx>
      <c:valAx>
        <c:axId val="141854592"/>
        <c:scaling>
          <c:orientation val="minMax"/>
          <c:max val="40"/>
          <c:min val="0"/>
        </c:scaling>
        <c:axPos val="l"/>
        <c:majorGridlines>
          <c:spPr>
            <a:ln>
              <a:solidFill>
                <a:schemeClr val="accent5">
                  <a:lumMod val="75000"/>
                </a:schemeClr>
              </a:solidFill>
            </a:ln>
          </c:spPr>
        </c:majorGridlines>
        <c:numFmt formatCode="0.0" sourceLinked="1"/>
        <c:majorTickMark val="none"/>
        <c:tickLblPos val="nextTo"/>
        <c:txPr>
          <a:bodyPr/>
          <a:lstStyle/>
          <a:p>
            <a:pPr>
              <a:defRPr lang="en-US"/>
            </a:pPr>
            <a:endParaRPr lang="en-US"/>
          </a:p>
        </c:txPr>
        <c:crossAx val="141853056"/>
        <c:crosses val="autoZero"/>
        <c:crossBetween val="between"/>
        <c:majorUnit val="10"/>
      </c:valAx>
      <c:valAx>
        <c:axId val="141856128"/>
        <c:scaling>
          <c:orientation val="minMax"/>
          <c:max val="40"/>
        </c:scaling>
        <c:delete val="1"/>
        <c:axPos val="r"/>
        <c:numFmt formatCode="0.0" sourceLinked="1"/>
        <c:tickLblPos val="none"/>
        <c:crossAx val="141874304"/>
        <c:crosses val="max"/>
        <c:crossBetween val="between"/>
        <c:majorUnit val="10"/>
      </c:valAx>
      <c:catAx>
        <c:axId val="141874304"/>
        <c:scaling>
          <c:orientation val="minMax"/>
        </c:scaling>
        <c:delete val="1"/>
        <c:axPos val="b"/>
        <c:numFmt formatCode="General" sourceLinked="1"/>
        <c:tickLblPos val="none"/>
        <c:crossAx val="141856128"/>
        <c:crosses val="autoZero"/>
        <c:auto val="1"/>
        <c:lblAlgn val="ctr"/>
        <c:lblOffset val="100"/>
      </c:catAx>
    </c:plotArea>
    <c:legend>
      <c:legendPos val="r"/>
      <c:legendEntry>
        <c:idx val="0"/>
        <c:txPr>
          <a:bodyPr/>
          <a:lstStyle/>
          <a:p>
            <a:pPr>
              <a:defRPr sz="1100">
                <a:solidFill>
                  <a:srgbClr val="008000"/>
                </a:solidFill>
              </a:defRPr>
            </a:pPr>
            <a:endParaRPr lang="en-US"/>
          </a:p>
        </c:txPr>
      </c:legendEntry>
      <c:legendEntry>
        <c:idx val="1"/>
        <c:txPr>
          <a:bodyPr/>
          <a:lstStyle/>
          <a:p>
            <a:pPr>
              <a:defRPr sz="1100">
                <a:solidFill>
                  <a:srgbClr val="0000FF"/>
                </a:solidFill>
              </a:defRPr>
            </a:pPr>
            <a:endParaRPr lang="en-US"/>
          </a:p>
        </c:txPr>
      </c:legendEntry>
      <c:legendEntry>
        <c:idx val="2"/>
        <c:txPr>
          <a:bodyPr/>
          <a:lstStyle/>
          <a:p>
            <a:pPr>
              <a:defRPr sz="1100">
                <a:solidFill>
                  <a:srgbClr val="C00000"/>
                </a:solidFill>
              </a:defRPr>
            </a:pPr>
            <a:endParaRPr lang="en-US"/>
          </a:p>
        </c:txPr>
      </c:legendEntry>
      <c:layout>
        <c:manualLayout>
          <c:xMode val="edge"/>
          <c:yMode val="edge"/>
          <c:x val="1.1226835046893064E-3"/>
          <c:y val="0.89293338878379858"/>
          <c:w val="0.99887731405248403"/>
          <c:h val="7.7805039444697133E-2"/>
        </c:manualLayout>
      </c:layout>
      <c:txPr>
        <a:bodyPr/>
        <a:lstStyle/>
        <a:p>
          <a:pPr>
            <a:defRPr lang="en-US" sz="1100"/>
          </a:pPr>
          <a:endParaRPr lang="en-US"/>
        </a:p>
      </c:txPr>
    </c:legend>
    <c:plotVisOnly val="1"/>
    <c:dispBlanksAs val="gap"/>
  </c:chart>
  <c:spPr>
    <a:ln w="31750" cmpd="dbl">
      <a:solidFill>
        <a:schemeClr val="accent5">
          <a:lumMod val="50000"/>
        </a:schemeClr>
      </a:solidFill>
    </a:ln>
  </c:spPr>
  <c:txPr>
    <a:bodyPr/>
    <a:lstStyle/>
    <a:p>
      <a:pPr>
        <a:defRPr>
          <a:solidFill>
            <a:schemeClr val="accent5">
              <a:lumMod val="50000"/>
            </a:schemeClr>
          </a:solidFill>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manualLayout>
          <c:layoutTarget val="inner"/>
          <c:xMode val="edge"/>
          <c:yMode val="edge"/>
          <c:x val="6.1848927061715527E-2"/>
          <c:y val="0.10049550164611089"/>
          <c:w val="0.91897896227966169"/>
          <c:h val="0.58396522688999131"/>
        </c:manualLayout>
      </c:layout>
      <c:barChart>
        <c:barDir val="col"/>
        <c:grouping val="clustered"/>
        <c:ser>
          <c:idx val="0"/>
          <c:order val="0"/>
          <c:tx>
            <c:strRef>
              <c:f>Sheet2!$A$5</c:f>
              <c:strCache>
                <c:ptCount val="1"/>
                <c:pt idx="0">
                  <c:v>All</c:v>
                </c:pt>
              </c:strCache>
            </c:strRef>
          </c:tx>
          <c:spPr>
            <a:solidFill>
              <a:srgbClr val="008000"/>
            </a:solidFill>
          </c:spPr>
          <c:dPt>
            <c:idx val="0"/>
            <c:spPr>
              <a:solidFill>
                <a:srgbClr val="FF0000"/>
              </a:solidFill>
            </c:spPr>
          </c:dPt>
          <c:dPt>
            <c:idx val="1"/>
            <c:spPr>
              <a:solidFill>
                <a:srgbClr val="FF9900"/>
              </a:solidFill>
            </c:spPr>
          </c:dPt>
          <c:dPt>
            <c:idx val="2"/>
            <c:spPr>
              <a:solidFill>
                <a:schemeClr val="tx1">
                  <a:lumMod val="65000"/>
                  <a:lumOff val="35000"/>
                </a:schemeClr>
              </a:solidFill>
            </c:spPr>
          </c:dPt>
          <c:dPt>
            <c:idx val="3"/>
            <c:spPr>
              <a:solidFill>
                <a:schemeClr val="accent6">
                  <a:lumMod val="75000"/>
                </a:schemeClr>
              </a:solidFill>
            </c:spPr>
          </c:dPt>
          <c:dPt>
            <c:idx val="4"/>
            <c:spPr>
              <a:solidFill>
                <a:srgbClr val="0066FF"/>
              </a:solidFill>
            </c:spPr>
          </c:dPt>
          <c:dPt>
            <c:idx val="6"/>
            <c:spPr>
              <a:solidFill>
                <a:schemeClr val="accent4">
                  <a:lumMod val="60000"/>
                  <a:lumOff val="40000"/>
                </a:schemeClr>
              </a:solidFill>
            </c:spPr>
          </c:dPt>
          <c:dPt>
            <c:idx val="7"/>
            <c:spPr>
              <a:solidFill>
                <a:schemeClr val="accent2">
                  <a:lumMod val="75000"/>
                </a:schemeClr>
              </a:solidFill>
            </c:spPr>
          </c:dPt>
          <c:dPt>
            <c:idx val="8"/>
            <c:spPr>
              <a:solidFill>
                <a:schemeClr val="bg2">
                  <a:lumMod val="50000"/>
                </a:schemeClr>
              </a:solidFill>
            </c:spPr>
          </c:dPt>
          <c:dLbls>
            <c:dLbl>
              <c:idx val="0"/>
              <c:layout>
                <c:manualLayout>
                  <c:x val="-2.136752136752127E-3"/>
                  <c:y val="2.1705368647101052E-2"/>
                </c:manualLayout>
              </c:layout>
              <c:tx>
                <c:rich>
                  <a:bodyPr/>
                  <a:lstStyle/>
                  <a:p>
                    <a:pPr>
                      <a:defRPr lang="en-US" sz="900" b="1">
                        <a:solidFill>
                          <a:srgbClr val="FF0000"/>
                        </a:solidFill>
                      </a:defRPr>
                    </a:pPr>
                    <a:r>
                      <a:rPr lang="en-US" sz="900" b="1">
                        <a:solidFill>
                          <a:srgbClr val="FF0000"/>
                        </a:solidFill>
                      </a:rPr>
                      <a:t>6.2%</a:t>
                    </a:r>
                  </a:p>
                </c:rich>
              </c:tx>
              <c:spPr/>
              <c:showVal val="1"/>
            </c:dLbl>
            <c:dLbl>
              <c:idx val="1"/>
              <c:layout>
                <c:manualLayout>
                  <c:x val="0"/>
                  <c:y val="-4.2883801374539194E-3"/>
                </c:manualLayout>
              </c:layout>
              <c:tx>
                <c:rich>
                  <a:bodyPr/>
                  <a:lstStyle/>
                  <a:p>
                    <a:r>
                      <a:rPr lang="en-US" sz="900" b="1">
                        <a:solidFill>
                          <a:schemeClr val="accent6">
                            <a:lumMod val="75000"/>
                          </a:schemeClr>
                        </a:solidFill>
                      </a:rPr>
                      <a:t>6.2 yrs</a:t>
                    </a:r>
                  </a:p>
                </c:rich>
              </c:tx>
              <c:showVal val="1"/>
            </c:dLbl>
            <c:dLbl>
              <c:idx val="2"/>
              <c:layout>
                <c:manualLayout>
                  <c:x val="-3.9173336640069753E-17"/>
                  <c:y val="1.0909090909090839E-2"/>
                </c:manualLayout>
              </c:layout>
              <c:tx>
                <c:rich>
                  <a:bodyPr/>
                  <a:lstStyle/>
                  <a:p>
                    <a:pPr>
                      <a:defRPr lang="en-US" sz="900" b="1">
                        <a:solidFill>
                          <a:sysClr val="windowText" lastClr="000000"/>
                        </a:solidFill>
                      </a:defRPr>
                    </a:pPr>
                    <a:r>
                      <a:rPr lang="en-US" sz="900" b="1">
                        <a:solidFill>
                          <a:sysClr val="windowText" lastClr="000000"/>
                        </a:solidFill>
                      </a:rPr>
                      <a:t>20.4%</a:t>
                    </a:r>
                  </a:p>
                </c:rich>
              </c:tx>
              <c:spPr/>
              <c:showVal val="1"/>
            </c:dLbl>
            <c:dLbl>
              <c:idx val="3"/>
              <c:layout>
                <c:manualLayout>
                  <c:x val="0"/>
                  <c:y val="7.2727272727272814E-3"/>
                </c:manualLayout>
              </c:layout>
              <c:tx>
                <c:rich>
                  <a:bodyPr/>
                  <a:lstStyle/>
                  <a:p>
                    <a:r>
                      <a:rPr lang="en-US" sz="900" b="1"/>
                      <a:t>79.6%</a:t>
                    </a:r>
                  </a:p>
                </c:rich>
              </c:tx>
              <c:showVal val="1"/>
            </c:dLbl>
            <c:dLbl>
              <c:idx val="4"/>
              <c:layout>
                <c:manualLayout>
                  <c:x val="0"/>
                  <c:y val="1.090909090909091E-2"/>
                </c:manualLayout>
              </c:layout>
              <c:tx>
                <c:rich>
                  <a:bodyPr/>
                  <a:lstStyle/>
                  <a:p>
                    <a:pPr>
                      <a:defRPr lang="en-US" sz="900" b="1">
                        <a:solidFill>
                          <a:srgbClr val="3333CC"/>
                        </a:solidFill>
                      </a:defRPr>
                    </a:pPr>
                    <a:r>
                      <a:rPr lang="en-US" sz="900" b="1">
                        <a:solidFill>
                          <a:srgbClr val="3333CC"/>
                        </a:solidFill>
                      </a:rPr>
                      <a:t>80.1%</a:t>
                    </a:r>
                  </a:p>
                </c:rich>
              </c:tx>
              <c:spPr/>
              <c:showVal val="1"/>
            </c:dLbl>
            <c:dLbl>
              <c:idx val="5"/>
              <c:layout>
                <c:manualLayout>
                  <c:x val="-2.1367521367522137E-3"/>
                  <c:y val="1.4545454545454545E-2"/>
                </c:manualLayout>
              </c:layout>
              <c:tx>
                <c:rich>
                  <a:bodyPr/>
                  <a:lstStyle/>
                  <a:p>
                    <a:pPr>
                      <a:defRPr lang="en-US" sz="900" b="1">
                        <a:solidFill>
                          <a:srgbClr val="008000"/>
                        </a:solidFill>
                      </a:defRPr>
                    </a:pPr>
                    <a:r>
                      <a:rPr lang="en-US" sz="900" b="1">
                        <a:solidFill>
                          <a:srgbClr val="008000"/>
                        </a:solidFill>
                      </a:rPr>
                      <a:t>81.3%</a:t>
                    </a:r>
                  </a:p>
                </c:rich>
              </c:tx>
              <c:spPr/>
              <c:showVal val="1"/>
            </c:dLbl>
            <c:dLbl>
              <c:idx val="6"/>
              <c:layout>
                <c:manualLayout>
                  <c:x val="0"/>
                  <c:y val="3.6363636363636372E-3"/>
                </c:manualLayout>
              </c:layout>
              <c:tx>
                <c:rich>
                  <a:bodyPr/>
                  <a:lstStyle/>
                  <a:p>
                    <a:pPr>
                      <a:defRPr lang="en-US" sz="900" b="1">
                        <a:solidFill>
                          <a:schemeClr val="accent4">
                            <a:lumMod val="60000"/>
                            <a:lumOff val="40000"/>
                          </a:schemeClr>
                        </a:solidFill>
                      </a:defRPr>
                    </a:pPr>
                    <a:r>
                      <a:rPr lang="en-US" sz="900" b="1">
                        <a:solidFill>
                          <a:schemeClr val="accent4">
                            <a:lumMod val="60000"/>
                            <a:lumOff val="40000"/>
                          </a:schemeClr>
                        </a:solidFill>
                      </a:rPr>
                      <a:t>86.9%</a:t>
                    </a:r>
                  </a:p>
                </c:rich>
              </c:tx>
              <c:spPr/>
              <c:showVal val="1"/>
            </c:dLbl>
            <c:dLbl>
              <c:idx val="7"/>
              <c:layout>
                <c:manualLayout>
                  <c:x val="0"/>
                  <c:y val="1.090909090909091E-2"/>
                </c:manualLayout>
              </c:layout>
              <c:tx>
                <c:rich>
                  <a:bodyPr/>
                  <a:lstStyle/>
                  <a:p>
                    <a:pPr>
                      <a:defRPr lang="en-US" sz="900" b="1">
                        <a:solidFill>
                          <a:srgbClr val="C00000"/>
                        </a:solidFill>
                      </a:defRPr>
                    </a:pPr>
                    <a:r>
                      <a:rPr lang="en-US" sz="900" b="1">
                        <a:solidFill>
                          <a:srgbClr val="C00000"/>
                        </a:solidFill>
                      </a:rPr>
                      <a:t>90%</a:t>
                    </a:r>
                  </a:p>
                </c:rich>
              </c:tx>
              <c:spPr/>
              <c:showVal val="1"/>
            </c:dLbl>
            <c:dLbl>
              <c:idx val="8"/>
              <c:tx>
                <c:rich>
                  <a:bodyPr/>
                  <a:lstStyle/>
                  <a:p>
                    <a:pPr>
                      <a:defRPr lang="en-US" sz="900" b="1">
                        <a:solidFill>
                          <a:schemeClr val="bg2">
                            <a:lumMod val="50000"/>
                          </a:schemeClr>
                        </a:solidFill>
                      </a:defRPr>
                    </a:pPr>
                    <a:r>
                      <a:rPr lang="en-US" sz="900" b="1">
                        <a:solidFill>
                          <a:schemeClr val="bg2">
                            <a:lumMod val="50000"/>
                          </a:schemeClr>
                        </a:solidFill>
                      </a:rPr>
                      <a:t>98.5%</a:t>
                    </a:r>
                  </a:p>
                </c:rich>
              </c:tx>
              <c:spPr/>
              <c:showVal val="1"/>
            </c:dLbl>
            <c:txPr>
              <a:bodyPr/>
              <a:lstStyle/>
              <a:p>
                <a:pPr>
                  <a:defRPr lang="en-US" sz="900" b="1">
                    <a:solidFill>
                      <a:schemeClr val="accent6">
                        <a:lumMod val="75000"/>
                      </a:schemeClr>
                    </a:solidFill>
                  </a:defRPr>
                </a:pPr>
                <a:endParaRPr lang="en-US"/>
              </a:p>
            </c:txPr>
            <c:showVal val="1"/>
          </c:dLbls>
          <c:cat>
            <c:strRef>
              <c:f>Sheet2!$B$4:$J$4</c:f>
              <c:strCache>
                <c:ptCount val="9"/>
                <c:pt idx="0">
                  <c:v>Repetition Rate (%)</c:v>
                </c:pt>
                <c:pt idx="1">
                  <c:v>Years input per Graduate</c:v>
                </c:pt>
                <c:pt idx="2">
                  <c:v>Dropout Rate (%)</c:v>
                </c:pt>
                <c:pt idx="3">
                  <c:v>Completion Rate (%)</c:v>
                </c:pt>
                <c:pt idx="4">
                  <c:v>Coefficient of Efficiency (%)</c:v>
                </c:pt>
                <c:pt idx="5">
                  <c:v>Survival Rate (%)</c:v>
                </c:pt>
                <c:pt idx="6">
                  <c:v>Attendance Rate (%)</c:v>
                </c:pt>
                <c:pt idx="7">
                  <c:v>Promotion Rate (%)</c:v>
                </c:pt>
                <c:pt idx="8">
                  <c:v>PECE Pass Rate (%)</c:v>
                </c:pt>
              </c:strCache>
            </c:strRef>
          </c:cat>
          <c:val>
            <c:numRef>
              <c:f>Sheet2!$B$5:$J$5</c:f>
              <c:numCache>
                <c:formatCode>General</c:formatCode>
                <c:ptCount val="9"/>
                <c:pt idx="0">
                  <c:v>6.2</c:v>
                </c:pt>
                <c:pt idx="1">
                  <c:v>6.2</c:v>
                </c:pt>
                <c:pt idx="2">
                  <c:v>20.399999999999999</c:v>
                </c:pt>
                <c:pt idx="3">
                  <c:v>79.599999999999994</c:v>
                </c:pt>
                <c:pt idx="4">
                  <c:v>80.099999999999994</c:v>
                </c:pt>
                <c:pt idx="5">
                  <c:v>81.3</c:v>
                </c:pt>
                <c:pt idx="6">
                  <c:v>86.9</c:v>
                </c:pt>
                <c:pt idx="7">
                  <c:v>90</c:v>
                </c:pt>
                <c:pt idx="8">
                  <c:v>98.5</c:v>
                </c:pt>
              </c:numCache>
            </c:numRef>
          </c:val>
        </c:ser>
        <c:gapWidth val="75"/>
        <c:overlap val="-25"/>
        <c:axId val="141934592"/>
        <c:axId val="141936128"/>
      </c:barChart>
      <c:catAx>
        <c:axId val="141934592"/>
        <c:scaling>
          <c:orientation val="minMax"/>
        </c:scaling>
        <c:axPos val="b"/>
        <c:majorTickMark val="none"/>
        <c:tickLblPos val="nextTo"/>
        <c:txPr>
          <a:bodyPr/>
          <a:lstStyle/>
          <a:p>
            <a:pPr>
              <a:defRPr lang="en-US" sz="800"/>
            </a:pPr>
            <a:endParaRPr lang="en-US"/>
          </a:p>
        </c:txPr>
        <c:crossAx val="141936128"/>
        <c:crosses val="autoZero"/>
        <c:auto val="1"/>
        <c:lblAlgn val="ctr"/>
        <c:lblOffset val="100"/>
      </c:catAx>
      <c:valAx>
        <c:axId val="141936128"/>
        <c:scaling>
          <c:orientation val="minMax"/>
          <c:max val="100"/>
        </c:scaling>
        <c:axPos val="l"/>
        <c:majorGridlines/>
        <c:numFmt formatCode="General" sourceLinked="1"/>
        <c:majorTickMark val="none"/>
        <c:tickLblPos val="nextTo"/>
        <c:spPr>
          <a:ln w="9525">
            <a:noFill/>
          </a:ln>
        </c:spPr>
        <c:txPr>
          <a:bodyPr/>
          <a:lstStyle/>
          <a:p>
            <a:pPr>
              <a:defRPr lang="en-US" sz="900"/>
            </a:pPr>
            <a:endParaRPr lang="en-US"/>
          </a:p>
        </c:txPr>
        <c:crossAx val="141934592"/>
        <c:crosses val="autoZero"/>
        <c:crossBetween val="between"/>
        <c:majorUnit val="10"/>
      </c:valAx>
    </c:plotArea>
    <c:legend>
      <c:legendPos val="b"/>
      <c:legendEntry>
        <c:idx val="0"/>
        <c:txPr>
          <a:bodyPr/>
          <a:lstStyle/>
          <a:p>
            <a:pPr>
              <a:defRPr sz="900">
                <a:solidFill>
                  <a:srgbClr val="FF0000"/>
                </a:solidFill>
              </a:defRPr>
            </a:pPr>
            <a:endParaRPr lang="en-US"/>
          </a:p>
        </c:txPr>
      </c:legendEntry>
      <c:legendEntry>
        <c:idx val="1"/>
        <c:txPr>
          <a:bodyPr/>
          <a:lstStyle/>
          <a:p>
            <a:pPr>
              <a:defRPr sz="900" b="1">
                <a:solidFill>
                  <a:schemeClr val="accent6">
                    <a:lumMod val="60000"/>
                    <a:lumOff val="40000"/>
                  </a:schemeClr>
                </a:solidFill>
              </a:defRPr>
            </a:pPr>
            <a:endParaRPr lang="en-US"/>
          </a:p>
        </c:txPr>
      </c:legendEntry>
      <c:legendEntry>
        <c:idx val="3"/>
        <c:txPr>
          <a:bodyPr/>
          <a:lstStyle/>
          <a:p>
            <a:pPr>
              <a:defRPr sz="900" b="1">
                <a:solidFill>
                  <a:schemeClr val="accent6">
                    <a:lumMod val="75000"/>
                  </a:schemeClr>
                </a:solidFill>
              </a:defRPr>
            </a:pPr>
            <a:endParaRPr lang="en-US"/>
          </a:p>
        </c:txPr>
      </c:legendEntry>
      <c:legendEntry>
        <c:idx val="4"/>
        <c:txPr>
          <a:bodyPr/>
          <a:lstStyle/>
          <a:p>
            <a:pPr>
              <a:defRPr sz="900" b="1">
                <a:solidFill>
                  <a:srgbClr val="0066FF"/>
                </a:solidFill>
              </a:defRPr>
            </a:pPr>
            <a:endParaRPr lang="en-US"/>
          </a:p>
        </c:txPr>
      </c:legendEntry>
      <c:legendEntry>
        <c:idx val="5"/>
        <c:txPr>
          <a:bodyPr/>
          <a:lstStyle/>
          <a:p>
            <a:pPr>
              <a:defRPr sz="900">
                <a:solidFill>
                  <a:srgbClr val="008000"/>
                </a:solidFill>
              </a:defRPr>
            </a:pPr>
            <a:endParaRPr lang="en-US"/>
          </a:p>
        </c:txPr>
      </c:legendEntry>
      <c:legendEntry>
        <c:idx val="6"/>
        <c:txPr>
          <a:bodyPr/>
          <a:lstStyle/>
          <a:p>
            <a:pPr>
              <a:defRPr sz="900">
                <a:solidFill>
                  <a:schemeClr val="accent4">
                    <a:lumMod val="75000"/>
                  </a:schemeClr>
                </a:solidFill>
              </a:defRPr>
            </a:pPr>
            <a:endParaRPr lang="en-US"/>
          </a:p>
        </c:txPr>
      </c:legendEntry>
      <c:legendEntry>
        <c:idx val="7"/>
        <c:txPr>
          <a:bodyPr/>
          <a:lstStyle/>
          <a:p>
            <a:pPr>
              <a:defRPr sz="900" b="1">
                <a:solidFill>
                  <a:schemeClr val="accent6">
                    <a:lumMod val="50000"/>
                  </a:schemeClr>
                </a:solidFill>
              </a:defRPr>
            </a:pPr>
            <a:endParaRPr lang="en-US"/>
          </a:p>
        </c:txPr>
      </c:legendEntry>
      <c:legendEntry>
        <c:idx val="8"/>
        <c:txPr>
          <a:bodyPr/>
          <a:lstStyle/>
          <a:p>
            <a:pPr>
              <a:defRPr sz="900" b="1">
                <a:solidFill>
                  <a:schemeClr val="bg2">
                    <a:lumMod val="50000"/>
                  </a:schemeClr>
                </a:solidFill>
              </a:defRPr>
            </a:pPr>
            <a:endParaRPr lang="en-US"/>
          </a:p>
        </c:txPr>
      </c:legendEntry>
      <c:layout>
        <c:manualLayout>
          <c:xMode val="edge"/>
          <c:yMode val="edge"/>
          <c:x val="4.0054848913116683E-2"/>
          <c:y val="0.84818639942731899"/>
          <c:w val="0.95835167238713581"/>
          <c:h val="0.12999541875448137"/>
        </c:manualLayout>
      </c:layout>
      <c:txPr>
        <a:bodyPr/>
        <a:lstStyle/>
        <a:p>
          <a:pPr>
            <a:defRPr lang="en-US" sz="900"/>
          </a:pPr>
          <a:endParaRPr lang="en-US"/>
        </a:p>
      </c:txPr>
    </c:legend>
    <c:plotVisOnly val="1"/>
    <c:dispBlanksAs val="gap"/>
  </c:chart>
  <c:spPr>
    <a:ln w="31750" cmpd="dbl">
      <a:solidFill>
        <a:schemeClr val="accent5">
          <a:lumMod val="50000"/>
        </a:schemeClr>
      </a:solid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7.9353022723590932E-2"/>
          <c:y val="0.14126195094998223"/>
          <c:w val="0.89311410041991057"/>
          <c:h val="0.62643764262016965"/>
        </c:manualLayout>
      </c:layout>
      <c:barChart>
        <c:barDir val="col"/>
        <c:grouping val="clustered"/>
        <c:ser>
          <c:idx val="0"/>
          <c:order val="0"/>
          <c:tx>
            <c:strRef>
              <c:f>'Fig 3.26'!$A$4:$B$4</c:f>
              <c:strCache>
                <c:ptCount val="1"/>
                <c:pt idx="0">
                  <c:v>Cycle completion rate All (%)</c:v>
                </c:pt>
              </c:strCache>
            </c:strRef>
          </c:tx>
          <c:spPr>
            <a:solidFill>
              <a:srgbClr val="008000"/>
            </a:solidFill>
          </c:spPr>
          <c:cat>
            <c:numRef>
              <c:f>'Fig 3.26'!$C$3:$M$3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'Fig 3.26'!$C$4:$M$4</c:f>
              <c:numCache>
                <c:formatCode>General</c:formatCode>
                <c:ptCount val="11"/>
                <c:pt idx="0">
                  <c:v>52.8</c:v>
                </c:pt>
                <c:pt idx="1">
                  <c:v>49.5</c:v>
                </c:pt>
                <c:pt idx="2">
                  <c:v>49.5</c:v>
                </c:pt>
                <c:pt idx="3">
                  <c:v>50.7</c:v>
                </c:pt>
                <c:pt idx="4">
                  <c:v>54.9</c:v>
                </c:pt>
                <c:pt idx="5">
                  <c:v>60.2</c:v>
                </c:pt>
                <c:pt idx="6">
                  <c:v>70.3</c:v>
                </c:pt>
                <c:pt idx="7">
                  <c:v>73.8</c:v>
                </c:pt>
                <c:pt idx="8">
                  <c:v>78.599999999999994</c:v>
                </c:pt>
                <c:pt idx="9">
                  <c:v>79.099999999999994</c:v>
                </c:pt>
                <c:pt idx="10">
                  <c:v>79.599999999999994</c:v>
                </c:pt>
              </c:numCache>
            </c:numRef>
          </c:val>
        </c:ser>
        <c:ser>
          <c:idx val="1"/>
          <c:order val="1"/>
          <c:tx>
            <c:strRef>
              <c:f>'Fig 3.26'!$A$5:$B$5</c:f>
              <c:strCache>
                <c:ptCount val="1"/>
                <c:pt idx="0">
                  <c:v>Cycle completion rate Boys (%)</c:v>
                </c:pt>
              </c:strCache>
            </c:strRef>
          </c:tx>
          <c:cat>
            <c:numRef>
              <c:f>'Fig 3.26'!$C$3:$M$3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'Fig 3.26'!$C$5:$M$5</c:f>
              <c:numCache>
                <c:formatCode>General</c:formatCode>
                <c:ptCount val="11"/>
                <c:pt idx="0">
                  <c:v>0</c:v>
                </c:pt>
                <c:pt idx="1">
                  <c:v>0</c:v>
                </c:pt>
                <c:pt idx="2">
                  <c:v>0</c:v>
                </c:pt>
                <c:pt idx="3">
                  <c:v>0</c:v>
                </c:pt>
                <c:pt idx="4">
                  <c:v>0</c:v>
                </c:pt>
                <c:pt idx="5">
                  <c:v>59.8</c:v>
                </c:pt>
                <c:pt idx="6">
                  <c:v>67.599999999999994</c:v>
                </c:pt>
                <c:pt idx="7">
                  <c:v>71.7</c:v>
                </c:pt>
                <c:pt idx="8">
                  <c:v>75.099999999999994</c:v>
                </c:pt>
                <c:pt idx="9">
                  <c:v>75.7</c:v>
                </c:pt>
                <c:pt idx="10">
                  <c:v>75.099999999999994</c:v>
                </c:pt>
              </c:numCache>
            </c:numRef>
          </c:val>
        </c:ser>
        <c:ser>
          <c:idx val="2"/>
          <c:order val="2"/>
          <c:tx>
            <c:strRef>
              <c:f>'Fig 3.26'!$A$6:$B$6</c:f>
              <c:strCache>
                <c:ptCount val="1"/>
                <c:pt idx="0">
                  <c:v>Cycle completion rate Girls (%)</c:v>
                </c:pt>
              </c:strCache>
            </c:strRef>
          </c:tx>
          <c:spPr>
            <a:solidFill>
              <a:srgbClr val="0033CC"/>
            </a:solidFill>
          </c:spPr>
          <c:cat>
            <c:numRef>
              <c:f>'Fig 3.26'!$C$3:$M$3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'Fig 3.26'!$C$6:$M$6</c:f>
              <c:numCache>
                <c:formatCode>General</c:formatCode>
                <c:ptCount val="11"/>
                <c:pt idx="0">
                  <c:v>0</c:v>
                </c:pt>
                <c:pt idx="1">
                  <c:v>0</c:v>
                </c:pt>
                <c:pt idx="2">
                  <c:v>0</c:v>
                </c:pt>
                <c:pt idx="3">
                  <c:v>0</c:v>
                </c:pt>
                <c:pt idx="4">
                  <c:v>0</c:v>
                </c:pt>
                <c:pt idx="5">
                  <c:v>60.8</c:v>
                </c:pt>
                <c:pt idx="6">
                  <c:v>73</c:v>
                </c:pt>
                <c:pt idx="7">
                  <c:v>75.8</c:v>
                </c:pt>
                <c:pt idx="8">
                  <c:v>82.1</c:v>
                </c:pt>
                <c:pt idx="9">
                  <c:v>82.5</c:v>
                </c:pt>
                <c:pt idx="10">
                  <c:v>83</c:v>
                </c:pt>
              </c:numCache>
            </c:numRef>
          </c:val>
        </c:ser>
        <c:gapWidth val="75"/>
        <c:overlap val="-25"/>
        <c:axId val="142005760"/>
        <c:axId val="142007296"/>
      </c:barChart>
      <c:catAx>
        <c:axId val="142005760"/>
        <c:scaling>
          <c:orientation val="minMax"/>
        </c:scaling>
        <c:axPos val="b"/>
        <c:numFmt formatCode="General" sourceLinked="1"/>
        <c:majorTickMark val="none"/>
        <c:tickLblPos val="nextTo"/>
        <c:txPr>
          <a:bodyPr/>
          <a:lstStyle/>
          <a:p>
            <a:pPr>
              <a:defRPr lang="en-US" sz="800"/>
            </a:pPr>
            <a:endParaRPr lang="en-US"/>
          </a:p>
        </c:txPr>
        <c:crossAx val="142007296"/>
        <c:crosses val="autoZero"/>
        <c:auto val="1"/>
        <c:lblAlgn val="ctr"/>
        <c:lblOffset val="100"/>
      </c:catAx>
      <c:valAx>
        <c:axId val="142007296"/>
        <c:scaling>
          <c:orientation val="minMax"/>
        </c:scaling>
        <c:axPos val="l"/>
        <c:majorGridlines/>
        <c:numFmt formatCode="General" sourceLinked="1"/>
        <c:majorTickMark val="none"/>
        <c:tickLblPos val="nextTo"/>
        <c:spPr>
          <a:ln w="9525">
            <a:noFill/>
          </a:ln>
        </c:spPr>
        <c:txPr>
          <a:bodyPr/>
          <a:lstStyle/>
          <a:p>
            <a:pPr>
              <a:defRPr lang="en-US" sz="800"/>
            </a:pPr>
            <a:endParaRPr lang="en-US"/>
          </a:p>
        </c:txPr>
        <c:crossAx val="142005760"/>
        <c:crosses val="autoZero"/>
        <c:crossBetween val="between"/>
      </c:valAx>
    </c:plotArea>
    <c:legend>
      <c:legendPos val="b"/>
      <c:txPr>
        <a:bodyPr/>
        <a:lstStyle/>
        <a:p>
          <a:pPr>
            <a:defRPr lang="en-US" sz="800"/>
          </a:pPr>
          <a:endParaRPr lang="en-US"/>
        </a:p>
      </c:txPr>
    </c:legend>
    <c:plotVisOnly val="1"/>
    <c:dispBlanksAs val="gap"/>
  </c:chart>
  <c:spPr>
    <a:ln w="31750" cmpd="dbl">
      <a:solidFill>
        <a:schemeClr val="bg2">
          <a:lumMod val="50000"/>
        </a:schemeClr>
      </a:solidFill>
    </a:ln>
  </c:spPr>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style val="30"/>
  <c:chart>
    <c:autoTitleDeleted val="1"/>
    <c:plotArea>
      <c:layout/>
      <c:barChart>
        <c:barDir val="col"/>
        <c:grouping val="clustered"/>
        <c:ser>
          <c:idx val="0"/>
          <c:order val="0"/>
          <c:spPr>
            <a:solidFill>
              <a:schemeClr val="accent5">
                <a:lumMod val="75000"/>
              </a:schemeClr>
            </a:solidFill>
          </c:spPr>
          <c:dLbls>
            <c:dLbl>
              <c:idx val="0"/>
              <c:tx>
                <c:rich>
                  <a:bodyPr/>
                  <a:lstStyle/>
                  <a:p>
                    <a:r>
                      <a:rPr lang="en-US" sz="800" b="1">
                        <a:solidFill>
                          <a:schemeClr val="accent5">
                            <a:lumMod val="50000"/>
                          </a:schemeClr>
                        </a:solidFill>
                      </a:rPr>
                      <a:t>47.2%</a:t>
                    </a:r>
                  </a:p>
                </c:rich>
              </c:tx>
              <c:showVal val="1"/>
              <c:separator>%</c:separator>
            </c:dLbl>
            <c:dLbl>
              <c:idx val="1"/>
              <c:tx>
                <c:rich>
                  <a:bodyPr/>
                  <a:lstStyle/>
                  <a:p>
                    <a:r>
                      <a:rPr lang="en-US" sz="800" b="1">
                        <a:solidFill>
                          <a:schemeClr val="accent5">
                            <a:lumMod val="50000"/>
                          </a:schemeClr>
                        </a:solidFill>
                      </a:rPr>
                      <a:t>50.5%</a:t>
                    </a:r>
                  </a:p>
                </c:rich>
              </c:tx>
              <c:showVal val="1"/>
              <c:separator>%</c:separator>
            </c:dLbl>
            <c:dLbl>
              <c:idx val="2"/>
              <c:tx>
                <c:rich>
                  <a:bodyPr/>
                  <a:lstStyle/>
                  <a:p>
                    <a:r>
                      <a:rPr lang="en-US" sz="800" b="1">
                        <a:solidFill>
                          <a:schemeClr val="accent5">
                            <a:lumMod val="50000"/>
                          </a:schemeClr>
                        </a:solidFill>
                      </a:rPr>
                      <a:t>50.5%</a:t>
                    </a:r>
                  </a:p>
                </c:rich>
              </c:tx>
              <c:showVal val="1"/>
              <c:separator>%</c:separator>
            </c:dLbl>
            <c:dLbl>
              <c:idx val="3"/>
              <c:tx>
                <c:rich>
                  <a:bodyPr/>
                  <a:lstStyle/>
                  <a:p>
                    <a:r>
                      <a:rPr lang="en-US" sz="800" b="1">
                        <a:solidFill>
                          <a:schemeClr val="accent5">
                            <a:lumMod val="50000"/>
                          </a:schemeClr>
                        </a:solidFill>
                      </a:rPr>
                      <a:t>49.3%</a:t>
                    </a:r>
                  </a:p>
                </c:rich>
              </c:tx>
              <c:showVal val="1"/>
              <c:separator>%</c:separator>
            </c:dLbl>
            <c:dLbl>
              <c:idx val="4"/>
              <c:tx>
                <c:rich>
                  <a:bodyPr/>
                  <a:lstStyle/>
                  <a:p>
                    <a:r>
                      <a:rPr lang="en-US" sz="800" b="1">
                        <a:solidFill>
                          <a:schemeClr val="accent5">
                            <a:lumMod val="50000"/>
                          </a:schemeClr>
                        </a:solidFill>
                      </a:rPr>
                      <a:t>45.1%</a:t>
                    </a:r>
                  </a:p>
                </c:rich>
              </c:tx>
              <c:showVal val="1"/>
              <c:separator>%</c:separator>
            </c:dLbl>
            <c:dLbl>
              <c:idx val="5"/>
              <c:tx>
                <c:rich>
                  <a:bodyPr/>
                  <a:lstStyle/>
                  <a:p>
                    <a:r>
                      <a:rPr lang="en-US" sz="800" b="1">
                        <a:solidFill>
                          <a:schemeClr val="accent5">
                            <a:lumMod val="50000"/>
                          </a:schemeClr>
                        </a:solidFill>
                      </a:rPr>
                      <a:t>39.8%</a:t>
                    </a:r>
                  </a:p>
                </c:rich>
              </c:tx>
              <c:showVal val="1"/>
              <c:separator>%</c:separator>
            </c:dLbl>
            <c:dLbl>
              <c:idx val="6"/>
              <c:tx>
                <c:rich>
                  <a:bodyPr/>
                  <a:lstStyle/>
                  <a:p>
                    <a:r>
                      <a:rPr lang="en-US" sz="800" b="1">
                        <a:solidFill>
                          <a:schemeClr val="accent5">
                            <a:lumMod val="50000"/>
                          </a:schemeClr>
                        </a:solidFill>
                      </a:rPr>
                      <a:t>29.7%</a:t>
                    </a:r>
                  </a:p>
                </c:rich>
              </c:tx>
              <c:showVal val="1"/>
              <c:separator>%</c:separator>
            </c:dLbl>
            <c:dLbl>
              <c:idx val="7"/>
              <c:tx>
                <c:rich>
                  <a:bodyPr/>
                  <a:lstStyle/>
                  <a:p>
                    <a:r>
                      <a:rPr lang="en-US" sz="800" b="1">
                        <a:solidFill>
                          <a:schemeClr val="accent5">
                            <a:lumMod val="50000"/>
                          </a:schemeClr>
                        </a:solidFill>
                      </a:rPr>
                      <a:t>26.2%</a:t>
                    </a:r>
                  </a:p>
                </c:rich>
              </c:tx>
              <c:showVal val="1"/>
              <c:separator>%</c:separator>
            </c:dLbl>
            <c:dLbl>
              <c:idx val="8"/>
              <c:tx>
                <c:rich>
                  <a:bodyPr/>
                  <a:lstStyle/>
                  <a:p>
                    <a:r>
                      <a:rPr lang="en-US" sz="800" b="1">
                        <a:solidFill>
                          <a:schemeClr val="accent5">
                            <a:lumMod val="50000"/>
                          </a:schemeClr>
                        </a:solidFill>
                      </a:rPr>
                      <a:t>21.4%</a:t>
                    </a:r>
                  </a:p>
                </c:rich>
              </c:tx>
              <c:showVal val="1"/>
              <c:separator>%</c:separator>
            </c:dLbl>
            <c:dLbl>
              <c:idx val="9"/>
              <c:tx>
                <c:rich>
                  <a:bodyPr/>
                  <a:lstStyle/>
                  <a:p>
                    <a:r>
                      <a:rPr lang="en-US" sz="800" b="1">
                        <a:solidFill>
                          <a:schemeClr val="accent5">
                            <a:lumMod val="50000"/>
                          </a:schemeClr>
                        </a:solidFill>
                      </a:rPr>
                      <a:t>20.9%</a:t>
                    </a:r>
                  </a:p>
                </c:rich>
              </c:tx>
              <c:showVal val="1"/>
              <c:separator>%</c:separator>
            </c:dLbl>
            <c:dLbl>
              <c:idx val="10"/>
              <c:tx>
                <c:rich>
                  <a:bodyPr/>
                  <a:lstStyle/>
                  <a:p>
                    <a:r>
                      <a:rPr lang="en-US" sz="800" b="1">
                        <a:solidFill>
                          <a:schemeClr val="accent5">
                            <a:lumMod val="50000"/>
                          </a:schemeClr>
                        </a:solidFill>
                      </a:rPr>
                      <a:t>20.4%</a:t>
                    </a:r>
                  </a:p>
                </c:rich>
              </c:tx>
              <c:showVal val="1"/>
              <c:separator>%</c:separator>
            </c:dLbl>
            <c:txPr>
              <a:bodyPr/>
              <a:lstStyle/>
              <a:p>
                <a:pPr>
                  <a:defRPr lang="en-US">
                    <a:solidFill>
                      <a:schemeClr val="accent5">
                        <a:lumMod val="50000"/>
                      </a:schemeClr>
                    </a:solidFill>
                  </a:defRPr>
                </a:pPr>
                <a:endParaRPr lang="en-US"/>
              </a:p>
            </c:txPr>
            <c:showVal val="1"/>
            <c:separator>%</c:separator>
          </c:dLbls>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3.27'!$B$4:$L$4</c:f>
              <c:numCache>
                <c:formatCode>General</c:formatCode>
                <c:ptCount val="11"/>
                <c:pt idx="0">
                  <c:v>47.2</c:v>
                </c:pt>
                <c:pt idx="1">
                  <c:v>50.5</c:v>
                </c:pt>
                <c:pt idx="2">
                  <c:v>50.5</c:v>
                </c:pt>
                <c:pt idx="3">
                  <c:v>49.3</c:v>
                </c:pt>
                <c:pt idx="4">
                  <c:v>45.1</c:v>
                </c:pt>
                <c:pt idx="5">
                  <c:v>39.800000000000004</c:v>
                </c:pt>
                <c:pt idx="6">
                  <c:v>29.7</c:v>
                </c:pt>
                <c:pt idx="7">
                  <c:v>26.2</c:v>
                </c:pt>
                <c:pt idx="8">
                  <c:v>21.4</c:v>
                </c:pt>
                <c:pt idx="9">
                  <c:v>20.9</c:v>
                </c:pt>
                <c:pt idx="10">
                  <c:v>20.399999999999999</c:v>
                </c:pt>
              </c:numCache>
            </c:numRef>
          </c:val>
        </c:ser>
        <c:axId val="142035584"/>
        <c:axId val="142123392"/>
      </c:barChart>
      <c:catAx>
        <c:axId val="142035584"/>
        <c:scaling>
          <c:orientation val="minMax"/>
        </c:scaling>
        <c:axPos val="b"/>
        <c:numFmt formatCode="General" sourceLinked="1"/>
        <c:tickLblPos val="nextTo"/>
        <c:txPr>
          <a:bodyPr/>
          <a:lstStyle/>
          <a:p>
            <a:pPr>
              <a:defRPr lang="en-US" b="1">
                <a:solidFill>
                  <a:schemeClr val="accent5">
                    <a:lumMod val="50000"/>
                  </a:schemeClr>
                </a:solidFill>
              </a:defRPr>
            </a:pPr>
            <a:endParaRPr lang="en-US"/>
          </a:p>
        </c:txPr>
        <c:crossAx val="142123392"/>
        <c:crosses val="autoZero"/>
        <c:auto val="1"/>
        <c:lblAlgn val="ctr"/>
        <c:lblOffset val="100"/>
      </c:catAx>
      <c:valAx>
        <c:axId val="142123392"/>
        <c:scaling>
          <c:orientation val="minMax"/>
          <c:max val="60"/>
        </c:scaling>
        <c:axPos val="l"/>
        <c:numFmt formatCode="General" sourceLinked="1"/>
        <c:tickLblPos val="nextTo"/>
        <c:txPr>
          <a:bodyPr/>
          <a:lstStyle/>
          <a:p>
            <a:pPr>
              <a:defRPr lang="en-US">
                <a:solidFill>
                  <a:schemeClr val="accent5">
                    <a:lumMod val="50000"/>
                  </a:schemeClr>
                </a:solidFill>
              </a:defRPr>
            </a:pPr>
            <a:endParaRPr lang="en-US"/>
          </a:p>
        </c:txPr>
        <c:crossAx val="142035584"/>
        <c:crosses val="autoZero"/>
        <c:crossBetween val="between"/>
      </c:valAx>
    </c:plotArea>
    <c:plotVisOnly val="1"/>
    <c:dispBlanksAs val="gap"/>
  </c:chart>
  <c:spPr>
    <a:ln w="31750" cmpd="dbl">
      <a:solidFill>
        <a:schemeClr val="accent3">
          <a:lumMod val="50000"/>
        </a:schemeClr>
      </a:solidFill>
    </a:ln>
  </c:spPr>
  <c:txPr>
    <a:bodyPr/>
    <a:lstStyle/>
    <a:p>
      <a:pPr>
        <a:defRPr>
          <a:solidFill>
            <a:schemeClr val="accent5">
              <a:lumMod val="50000"/>
            </a:schemeClr>
          </a:solidFill>
        </a:defRPr>
      </a:pPr>
      <a:endParaRPr lang="en-US"/>
    </a:p>
  </c:tx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'Fig 3.29'!$A$5</c:f>
              <c:strCache>
                <c:ptCount val="1"/>
                <c:pt idx="0">
                  <c:v>Total (%)</c:v>
                </c:pt>
              </c:strCache>
            </c:strRef>
          </c:tx>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3.29'!$B$5:$L$5</c:f>
              <c:numCache>
                <c:formatCode>General</c:formatCode>
                <c:ptCount val="11"/>
                <c:pt idx="0">
                  <c:v>61.8</c:v>
                </c:pt>
                <c:pt idx="1">
                  <c:v>59</c:v>
                </c:pt>
                <c:pt idx="2">
                  <c:v>58.8</c:v>
                </c:pt>
                <c:pt idx="3">
                  <c:v>58.3</c:v>
                </c:pt>
                <c:pt idx="4">
                  <c:v>61</c:v>
                </c:pt>
                <c:pt idx="5">
                  <c:v>62.2</c:v>
                </c:pt>
                <c:pt idx="6">
                  <c:v>69.099999999999994</c:v>
                </c:pt>
                <c:pt idx="7">
                  <c:v>77.400000000000006</c:v>
                </c:pt>
                <c:pt idx="8">
                  <c:v>79.7</c:v>
                </c:pt>
                <c:pt idx="9">
                  <c:v>80</c:v>
                </c:pt>
                <c:pt idx="10">
                  <c:v>80.099999999999994</c:v>
                </c:pt>
              </c:numCache>
            </c:numRef>
          </c:val>
        </c:ser>
        <c:ser>
          <c:idx val="1"/>
          <c:order val="1"/>
          <c:tx>
            <c:strRef>
              <c:f>'Fig 3.29'!$A$6</c:f>
              <c:strCache>
                <c:ptCount val="1"/>
                <c:pt idx="0">
                  <c:v>Boy (%)</c:v>
                </c:pt>
              </c:strCache>
            </c:strRef>
          </c:tx>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3.29'!$B$6:$L$6</c:f>
              <c:numCache>
                <c:formatCode>General</c:formatCode>
                <c:ptCount val="11"/>
                <c:pt idx="0">
                  <c:v>58</c:v>
                </c:pt>
                <c:pt idx="1">
                  <c:v>56.6</c:v>
                </c:pt>
                <c:pt idx="2">
                  <c:v>56.5</c:v>
                </c:pt>
                <c:pt idx="3">
                  <c:v>57.5</c:v>
                </c:pt>
                <c:pt idx="4">
                  <c:v>59.1</c:v>
                </c:pt>
                <c:pt idx="5">
                  <c:v>62.8</c:v>
                </c:pt>
                <c:pt idx="6">
                  <c:v>67.7</c:v>
                </c:pt>
                <c:pt idx="7">
                  <c:v>75.599999999999994</c:v>
                </c:pt>
                <c:pt idx="8">
                  <c:v>77.3</c:v>
                </c:pt>
                <c:pt idx="9">
                  <c:v>77.3</c:v>
                </c:pt>
                <c:pt idx="10">
                  <c:v>77.8</c:v>
                </c:pt>
              </c:numCache>
            </c:numRef>
          </c:val>
        </c:ser>
        <c:ser>
          <c:idx val="2"/>
          <c:order val="2"/>
          <c:tx>
            <c:strRef>
              <c:f>'Fig 3.29'!$A$7</c:f>
              <c:strCache>
                <c:ptCount val="1"/>
                <c:pt idx="0">
                  <c:v>Girl (%)</c:v>
                </c:pt>
              </c:strCache>
            </c:strRef>
          </c:tx>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3.29'!$B$7:$L$7</c:f>
              <c:numCache>
                <c:formatCode>General</c:formatCode>
                <c:ptCount val="11"/>
                <c:pt idx="0">
                  <c:v>63.2</c:v>
                </c:pt>
                <c:pt idx="1">
                  <c:v>61.3</c:v>
                </c:pt>
                <c:pt idx="2">
                  <c:v>61.1</c:v>
                </c:pt>
                <c:pt idx="3">
                  <c:v>59.1</c:v>
                </c:pt>
                <c:pt idx="4">
                  <c:v>62.8</c:v>
                </c:pt>
                <c:pt idx="5">
                  <c:v>61.8</c:v>
                </c:pt>
                <c:pt idx="6">
                  <c:v>70.5</c:v>
                </c:pt>
                <c:pt idx="7">
                  <c:v>79.2</c:v>
                </c:pt>
                <c:pt idx="8">
                  <c:v>82</c:v>
                </c:pt>
                <c:pt idx="9">
                  <c:v>82.7</c:v>
                </c:pt>
                <c:pt idx="10">
                  <c:v>82.3</c:v>
                </c:pt>
              </c:numCache>
            </c:numRef>
          </c:val>
        </c:ser>
        <c:axId val="142196736"/>
        <c:axId val="142199040"/>
      </c:barChart>
      <c:catAx>
        <c:axId val="142196736"/>
        <c:scaling>
          <c:orientation val="minMax"/>
        </c:scaling>
        <c:axPos val="b"/>
        <c:numFmt formatCode="General" sourceLinked="1"/>
        <c:majorTickMark val="none"/>
        <c:tickLblPos val="nextTo"/>
        <c:txPr>
          <a:bodyPr/>
          <a:lstStyle/>
          <a:p>
            <a:pPr>
              <a:defRPr lang="en-US"/>
            </a:pPr>
            <a:endParaRPr lang="en-US"/>
          </a:p>
        </c:txPr>
        <c:crossAx val="142199040"/>
        <c:crosses val="autoZero"/>
        <c:auto val="1"/>
        <c:lblAlgn val="ctr"/>
        <c:lblOffset val="100"/>
      </c:catAx>
      <c:valAx>
        <c:axId val="142199040"/>
        <c:scaling>
          <c:orientation val="minMax"/>
        </c:scaling>
        <c:axPos val="l"/>
        <c:majorGridlines/>
        <c:numFmt formatCode="General" sourceLinked="1"/>
        <c:majorTickMark val="none"/>
        <c:tickLblPos val="nextTo"/>
        <c:txPr>
          <a:bodyPr/>
          <a:lstStyle/>
          <a:p>
            <a:pPr>
              <a:defRPr lang="en-US"/>
            </a:pPr>
            <a:endParaRPr lang="en-US"/>
          </a:p>
        </c:txPr>
        <c:crossAx val="142196736"/>
        <c:crosses val="autoZero"/>
        <c:crossBetween val="between"/>
      </c:valAx>
    </c:plotArea>
    <c:legend>
      <c:legendPos val="r"/>
      <c:txPr>
        <a:bodyPr/>
        <a:lstStyle/>
        <a:p>
          <a:pPr>
            <a:defRPr lang="en-US"/>
          </a:pPr>
          <a:endParaRPr lang="en-US"/>
        </a:p>
      </c:txPr>
    </c:legend>
    <c:plotVisOnly val="1"/>
    <c:dispBlanksAs val="gap"/>
  </c:chart>
  <c:spPr>
    <a:ln w="31750" cmpd="dbl">
      <a:solidFill>
        <a:schemeClr val="accent3">
          <a:lumMod val="75000"/>
        </a:schemeClr>
      </a:solidFill>
    </a:ln>
  </c:sp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4610031941761997"/>
          <c:y val="0.15363444152814948"/>
          <c:w val="0.83267326548804665"/>
          <c:h val="0.52951407115777149"/>
        </c:manualLayout>
      </c:layout>
      <c:barChart>
        <c:barDir val="col"/>
        <c:grouping val="clustered"/>
        <c:ser>
          <c:idx val="0"/>
          <c:order val="0"/>
          <c:tx>
            <c:strRef>
              <c:f>'Fig 3.30'!$A$6</c:f>
              <c:strCache>
                <c:ptCount val="1"/>
                <c:pt idx="0">
                  <c:v>Total (Yrs)</c:v>
                </c:pt>
              </c:strCache>
            </c:strRef>
          </c:tx>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3.30'!$B$6:$L$6</c:f>
              <c:numCache>
                <c:formatCode>General</c:formatCode>
                <c:ptCount val="11"/>
                <c:pt idx="0">
                  <c:v>8.1</c:v>
                </c:pt>
                <c:pt idx="1">
                  <c:v>8.5</c:v>
                </c:pt>
                <c:pt idx="2">
                  <c:v>8.5</c:v>
                </c:pt>
                <c:pt idx="3">
                  <c:v>8.6</c:v>
                </c:pt>
                <c:pt idx="4">
                  <c:v>8.2000000000000011</c:v>
                </c:pt>
                <c:pt idx="5">
                  <c:v>8</c:v>
                </c:pt>
                <c:pt idx="6">
                  <c:v>7.2</c:v>
                </c:pt>
                <c:pt idx="7">
                  <c:v>6.5</c:v>
                </c:pt>
                <c:pt idx="8">
                  <c:v>6.3</c:v>
                </c:pt>
                <c:pt idx="9">
                  <c:v>6.2</c:v>
                </c:pt>
                <c:pt idx="10">
                  <c:v>6.2</c:v>
                </c:pt>
              </c:numCache>
            </c:numRef>
          </c:val>
        </c:ser>
        <c:ser>
          <c:idx val="1"/>
          <c:order val="1"/>
          <c:tx>
            <c:strRef>
              <c:f>'Fig 3.30'!$A$7</c:f>
              <c:strCache>
                <c:ptCount val="1"/>
                <c:pt idx="0">
                  <c:v>Boy (Yrs)</c:v>
                </c:pt>
              </c:strCache>
            </c:strRef>
          </c:tx>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3.30'!$B$7:$L$7</c:f>
              <c:numCache>
                <c:formatCode>General</c:formatCode>
                <c:ptCount val="11"/>
                <c:pt idx="0">
                  <c:v>8.6</c:v>
                </c:pt>
                <c:pt idx="1">
                  <c:v>8.8000000000000007</c:v>
                </c:pt>
                <c:pt idx="2">
                  <c:v>8.9</c:v>
                </c:pt>
                <c:pt idx="3">
                  <c:v>8.7000000000000011</c:v>
                </c:pt>
                <c:pt idx="4">
                  <c:v>8.5</c:v>
                </c:pt>
                <c:pt idx="5">
                  <c:v>8</c:v>
                </c:pt>
                <c:pt idx="6">
                  <c:v>7.4</c:v>
                </c:pt>
                <c:pt idx="7">
                  <c:v>6.6</c:v>
                </c:pt>
                <c:pt idx="8">
                  <c:v>6.5</c:v>
                </c:pt>
                <c:pt idx="9">
                  <c:v>6.5</c:v>
                </c:pt>
                <c:pt idx="10">
                  <c:v>6.4</c:v>
                </c:pt>
              </c:numCache>
            </c:numRef>
          </c:val>
        </c:ser>
        <c:ser>
          <c:idx val="2"/>
          <c:order val="2"/>
          <c:tx>
            <c:strRef>
              <c:f>'Fig 3.30'!$A$8</c:f>
              <c:strCache>
                <c:ptCount val="1"/>
                <c:pt idx="0">
                  <c:v>Girl (Yrs)</c:v>
                </c:pt>
              </c:strCache>
            </c:strRef>
          </c:tx>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3.30'!$B$8:$L$8</c:f>
              <c:numCache>
                <c:formatCode>General</c:formatCode>
                <c:ptCount val="11"/>
                <c:pt idx="0">
                  <c:v>7.9</c:v>
                </c:pt>
                <c:pt idx="1">
                  <c:v>8.2000000000000011</c:v>
                </c:pt>
                <c:pt idx="2">
                  <c:v>8.2000000000000011</c:v>
                </c:pt>
                <c:pt idx="3">
                  <c:v>8.5</c:v>
                </c:pt>
                <c:pt idx="4">
                  <c:v>8</c:v>
                </c:pt>
                <c:pt idx="5">
                  <c:v>8.1</c:v>
                </c:pt>
                <c:pt idx="6">
                  <c:v>7.1</c:v>
                </c:pt>
                <c:pt idx="7">
                  <c:v>6.3</c:v>
                </c:pt>
                <c:pt idx="8">
                  <c:v>6.1</c:v>
                </c:pt>
                <c:pt idx="9">
                  <c:v>6</c:v>
                </c:pt>
                <c:pt idx="10">
                  <c:v>6.1</c:v>
                </c:pt>
              </c:numCache>
            </c:numRef>
          </c:val>
        </c:ser>
        <c:axId val="142470144"/>
        <c:axId val="142476032"/>
      </c:barChart>
      <c:catAx>
        <c:axId val="142470144"/>
        <c:scaling>
          <c:orientation val="minMax"/>
        </c:scaling>
        <c:axPos val="b"/>
        <c:numFmt formatCode="General" sourceLinked="1"/>
        <c:majorTickMark val="none"/>
        <c:tickLblPos val="nextTo"/>
        <c:txPr>
          <a:bodyPr/>
          <a:lstStyle/>
          <a:p>
            <a:pPr>
              <a:defRPr lang="en-US"/>
            </a:pPr>
            <a:endParaRPr lang="en-US"/>
          </a:p>
        </c:txPr>
        <c:crossAx val="142476032"/>
        <c:crosses val="autoZero"/>
        <c:auto val="1"/>
        <c:lblAlgn val="ctr"/>
        <c:lblOffset val="100"/>
      </c:catAx>
      <c:valAx>
        <c:axId val="142476032"/>
        <c:scaling>
          <c:orientation val="minMax"/>
        </c:scaling>
        <c:axPos val="l"/>
        <c:majorGridlines/>
        <c:numFmt formatCode="General" sourceLinked="1"/>
        <c:majorTickMark val="none"/>
        <c:tickLblPos val="nextTo"/>
        <c:txPr>
          <a:bodyPr/>
          <a:lstStyle/>
          <a:p>
            <a:pPr>
              <a:defRPr lang="en-US"/>
            </a:pPr>
            <a:endParaRPr lang="en-US"/>
          </a:p>
        </c:txPr>
        <c:crossAx val="142470144"/>
        <c:crosses val="autoZero"/>
        <c:crossBetween val="between"/>
        <c:majorUnit val="2"/>
      </c:valAx>
      <c:dTable>
        <c:showHorzBorder val="1"/>
        <c:showVertBorder val="1"/>
        <c:showOutline val="1"/>
        <c:showKeys val="1"/>
        <c:txPr>
          <a:bodyPr/>
          <a:lstStyle/>
          <a:p>
            <a:pPr rtl="0">
              <a:defRPr lang="en-US"/>
            </a:pPr>
            <a:endParaRPr lang="en-US"/>
          </a:p>
        </c:txPr>
      </c:dTable>
    </c:plotArea>
    <c:plotVisOnly val="1"/>
    <c:dispBlanksAs val="gap"/>
  </c:chart>
  <c:spPr>
    <a:ln w="31750" cmpd="dbl">
      <a:solidFill>
        <a:schemeClr val="accent3">
          <a:lumMod val="50000"/>
        </a:schemeClr>
      </a:solidFill>
    </a:ln>
  </c:spPr>
  <c:txPr>
    <a:bodyPr/>
    <a:lstStyle/>
    <a:p>
      <a:pPr>
        <a:defRPr sz="900"/>
      </a:pPr>
      <a:endParaRPr lang="en-US"/>
    </a:p>
  </c:tx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0.10694444444444449"/>
          <c:y val="0.18750000000000044"/>
          <c:w val="0.74722222222222223"/>
          <c:h val="0.71296296296293726"/>
        </c:manualLayout>
      </c:layout>
      <c:pie3DChart>
        <c:varyColors val="1"/>
        <c:ser>
          <c:idx val="0"/>
          <c:order val="0"/>
          <c:explosion val="16"/>
          <c:dPt>
            <c:idx val="1"/>
            <c:explosion val="8"/>
          </c:dPt>
          <c:dPt>
            <c:idx val="2"/>
            <c:spPr>
              <a:solidFill>
                <a:srgbClr val="008000"/>
              </a:solidFill>
            </c:spPr>
          </c:dPt>
          <c:dPt>
            <c:idx val="3"/>
            <c:explosion val="8"/>
          </c:dPt>
          <c:dLbls>
            <c:dLbl>
              <c:idx val="0"/>
              <c:layout>
                <c:manualLayout>
                  <c:x val="-3.0788495188101488E-2"/>
                  <c:y val="-2.8420822397200347E-2"/>
                </c:manualLayout>
              </c:layout>
              <c:spPr/>
              <c:txPr>
                <a:bodyPr/>
                <a:lstStyle/>
                <a:p>
                  <a:pPr>
                    <a:defRPr lang="en-US">
                      <a:solidFill>
                        <a:srgbClr val="0000FF"/>
                      </a:solidFill>
                    </a:defRPr>
                  </a:pPr>
                  <a:endParaRPr lang="en-US"/>
                </a:p>
              </c:txPr>
              <c:showCatName val="1"/>
              <c:showPercent val="1"/>
            </c:dLbl>
            <c:dLbl>
              <c:idx val="1"/>
              <c:layout>
                <c:manualLayout>
                  <c:x val="-2.9986111111111116E-2"/>
                  <c:y val="-0.16937080781568967"/>
                </c:manualLayout>
              </c:layout>
              <c:spPr/>
              <c:txPr>
                <a:bodyPr/>
                <a:lstStyle/>
                <a:p>
                  <a:pPr>
                    <a:defRPr lang="en-US">
                      <a:solidFill>
                        <a:srgbClr val="C00000"/>
                      </a:solidFill>
                    </a:defRPr>
                  </a:pPr>
                  <a:endParaRPr lang="en-US"/>
                </a:p>
              </c:txPr>
              <c:showCatName val="1"/>
              <c:showPercent val="1"/>
            </c:dLbl>
            <c:dLbl>
              <c:idx val="2"/>
              <c:layout>
                <c:manualLayout>
                  <c:x val="-0.20207874015748536"/>
                  <c:y val="-2.4726596675415575E-3"/>
                </c:manualLayout>
              </c:layout>
              <c:spPr/>
              <c:txPr>
                <a:bodyPr/>
                <a:lstStyle/>
                <a:p>
                  <a:pPr>
                    <a:defRPr lang="en-US">
                      <a:solidFill>
                        <a:srgbClr val="008000"/>
                      </a:solidFill>
                    </a:defRPr>
                  </a:pPr>
                  <a:endParaRPr lang="en-US"/>
                </a:p>
              </c:txPr>
              <c:showCatName val="1"/>
              <c:showPercent val="1"/>
            </c:dLbl>
            <c:dLbl>
              <c:idx val="3"/>
              <c:layout>
                <c:manualLayout>
                  <c:x val="-1.7024278215223183E-2"/>
                  <c:y val="-2.5565398075240602E-2"/>
                </c:manualLayout>
              </c:layout>
              <c:spPr/>
              <c:txPr>
                <a:bodyPr/>
                <a:lstStyle/>
                <a:p>
                  <a:pPr>
                    <a:defRPr lang="en-US">
                      <a:solidFill>
                        <a:schemeClr val="accent4">
                          <a:lumMod val="75000"/>
                        </a:schemeClr>
                      </a:solidFill>
                    </a:defRPr>
                  </a:pPr>
                  <a:endParaRPr lang="en-US"/>
                </a:p>
              </c:txPr>
              <c:showCatName val="1"/>
              <c:showPercent val="1"/>
            </c:dLbl>
            <c:dLbl>
              <c:idx val="4"/>
              <c:layout>
                <c:manualLayout>
                  <c:x val="1.1424978127734041E-2"/>
                  <c:y val="-2.2633785360164634E-2"/>
                </c:manualLayout>
              </c:layout>
              <c:spPr/>
              <c:txPr>
                <a:bodyPr/>
                <a:lstStyle/>
                <a:p>
                  <a:pPr>
                    <a:defRPr lang="en-US">
                      <a:solidFill>
                        <a:schemeClr val="accent5">
                          <a:lumMod val="50000"/>
                        </a:schemeClr>
                      </a:solidFill>
                    </a:defRPr>
                  </a:pPr>
                  <a:endParaRPr lang="en-US"/>
                </a:p>
              </c:txPr>
              <c:showCatName val="1"/>
              <c:showPercent val="1"/>
            </c:dLbl>
            <c:txPr>
              <a:bodyPr/>
              <a:lstStyle/>
              <a:p>
                <a:pPr>
                  <a:defRPr lang="en-US"/>
                </a:pPr>
                <a:endParaRPr lang="en-US"/>
              </a:p>
            </c:txPr>
            <c:showCatName val="1"/>
            <c:showPercent val="1"/>
            <c:showLeaderLines val="1"/>
          </c:dLbls>
          <c:cat>
            <c:strRef>
              <c:f>'KPI15 Fig'!$D$10:$H$10</c:f>
              <c:strCache>
                <c:ptCount val="5"/>
                <c:pt idx="0">
                  <c:v>0 PSQL Met</c:v>
                </c:pt>
                <c:pt idx="1">
                  <c:v>1 PSQL Met</c:v>
                </c:pt>
                <c:pt idx="2">
                  <c:v>2 PSQL Met</c:v>
                </c:pt>
                <c:pt idx="3">
                  <c:v>3 PSQL Met</c:v>
                </c:pt>
                <c:pt idx="4">
                  <c:v>4 PSQL Met</c:v>
                </c:pt>
              </c:strCache>
            </c:strRef>
          </c:cat>
          <c:val>
            <c:numRef>
              <c:f>'KPI15 Fig'!$D$11:$H$11</c:f>
              <c:numCache>
                <c:formatCode>0.0%</c:formatCode>
                <c:ptCount val="5"/>
                <c:pt idx="0">
                  <c:v>7.2592567418309134E-2</c:v>
                </c:pt>
                <c:pt idx="1">
                  <c:v>0.25273156723138879</c:v>
                </c:pt>
                <c:pt idx="2">
                  <c:v>0.38235144182569808</c:v>
                </c:pt>
                <c:pt idx="3">
                  <c:v>0.22617206749477467</c:v>
                </c:pt>
                <c:pt idx="4">
                  <c:v>6.6118370745467211E-2</c:v>
                </c:pt>
              </c:numCache>
            </c:numRef>
          </c:val>
        </c:ser>
      </c:pie3DChart>
    </c:plotArea>
    <c:plotVisOnly val="1"/>
    <c:dispBlanksAs val="zero"/>
  </c:chart>
  <c:spPr>
    <a:ln w="31750" cmpd="dbl">
      <a:solidFill>
        <a:schemeClr val="accent5">
          <a:lumMod val="50000"/>
        </a:schemeClr>
      </a:solid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9454843003276362"/>
          <c:y val="0.12351892985759565"/>
          <c:w val="0.78012928635766454"/>
          <c:h val="0.57822841858530571"/>
        </c:manualLayout>
      </c:layout>
      <c:barChart>
        <c:barDir val="col"/>
        <c:grouping val="clustered"/>
        <c:ser>
          <c:idx val="0"/>
          <c:order val="0"/>
          <c:tx>
            <c:strRef>
              <c:f>'Fig 3.34'!$A$5</c:f>
              <c:strCache>
                <c:ptCount val="1"/>
                <c:pt idx="0">
                  <c:v>Transition Rate (%)</c:v>
                </c:pt>
              </c:strCache>
            </c:strRef>
          </c:tx>
          <c:cat>
            <c:strRef>
              <c:f>'Fig 3.34'!$B$4:$J$4</c:f>
              <c:strCache>
                <c:ptCount val="9"/>
                <c:pt idx="0">
                  <c:v>APSC 2002</c:v>
                </c:pt>
                <c:pt idx="1">
                  <c:v>APSC 2003</c:v>
                </c:pt>
                <c:pt idx="2">
                  <c:v>APSC 2004</c:v>
                </c:pt>
                <c:pt idx="3">
                  <c:v>APSC 2005</c:v>
                </c:pt>
                <c:pt idx="4">
                  <c:v>APSC 2008</c:v>
                </c:pt>
                <c:pt idx="5">
                  <c:v>MICS 2013</c:v>
                </c:pt>
                <c:pt idx="6">
                  <c:v>BANBEIS 2013</c:v>
                </c:pt>
                <c:pt idx="7">
                  <c:v>BANBEIS 2014</c:v>
                </c:pt>
                <c:pt idx="8">
                  <c:v>BANBEIS 2015</c:v>
                </c:pt>
              </c:strCache>
            </c:strRef>
          </c:cat>
          <c:val>
            <c:numRef>
              <c:f>'Fig 3.34'!$B$5:$J$5</c:f>
              <c:numCache>
                <c:formatCode>General</c:formatCode>
                <c:ptCount val="9"/>
                <c:pt idx="0">
                  <c:v>88.4</c:v>
                </c:pt>
                <c:pt idx="1">
                  <c:v>92.4</c:v>
                </c:pt>
                <c:pt idx="2">
                  <c:v>83.3</c:v>
                </c:pt>
                <c:pt idx="3">
                  <c:v>92.4</c:v>
                </c:pt>
                <c:pt idx="4">
                  <c:v>97.5</c:v>
                </c:pt>
                <c:pt idx="5">
                  <c:v>94.7</c:v>
                </c:pt>
                <c:pt idx="6" formatCode="0.0">
                  <c:v>95.149999999999991</c:v>
                </c:pt>
                <c:pt idx="7" formatCode="0.0">
                  <c:v>95.61</c:v>
                </c:pt>
                <c:pt idx="8" formatCode="0.0">
                  <c:v>96.07</c:v>
                </c:pt>
              </c:numCache>
            </c:numRef>
          </c:val>
        </c:ser>
        <c:axId val="143181312"/>
        <c:axId val="143182848"/>
      </c:barChart>
      <c:catAx>
        <c:axId val="143181312"/>
        <c:scaling>
          <c:orientation val="minMax"/>
        </c:scaling>
        <c:axPos val="b"/>
        <c:majorTickMark val="none"/>
        <c:tickLblPos val="nextTo"/>
        <c:txPr>
          <a:bodyPr/>
          <a:lstStyle/>
          <a:p>
            <a:pPr>
              <a:defRPr lang="en-US"/>
            </a:pPr>
            <a:endParaRPr lang="en-US"/>
          </a:p>
        </c:txPr>
        <c:crossAx val="143182848"/>
        <c:crosses val="autoZero"/>
        <c:auto val="1"/>
        <c:lblAlgn val="ctr"/>
        <c:lblOffset val="100"/>
      </c:catAx>
      <c:valAx>
        <c:axId val="143182848"/>
        <c:scaling>
          <c:orientation val="minMax"/>
          <c:min val="50"/>
        </c:scaling>
        <c:axPos val="l"/>
        <c:majorGridlines/>
        <c:numFmt formatCode="General" sourceLinked="1"/>
        <c:majorTickMark val="none"/>
        <c:tickLblPos val="nextTo"/>
        <c:txPr>
          <a:bodyPr/>
          <a:lstStyle/>
          <a:p>
            <a:pPr>
              <a:defRPr lang="en-US"/>
            </a:pPr>
            <a:endParaRPr lang="en-US"/>
          </a:p>
        </c:txPr>
        <c:crossAx val="143181312"/>
        <c:crosses val="autoZero"/>
        <c:crossBetween val="between"/>
        <c:majorUnit val="10"/>
      </c:valAx>
      <c:dTable>
        <c:showHorzBorder val="1"/>
        <c:showVertBorder val="1"/>
        <c:showOutline val="1"/>
        <c:showKeys val="1"/>
        <c:txPr>
          <a:bodyPr/>
          <a:lstStyle/>
          <a:p>
            <a:pPr rtl="0">
              <a:defRPr lang="en-US" sz="800"/>
            </a:pPr>
            <a:endParaRPr lang="en-US"/>
          </a:p>
        </c:txPr>
      </c:dTable>
    </c:plotArea>
    <c:plotVisOnly val="1"/>
    <c:dispBlanksAs val="gap"/>
  </c:chart>
  <c:spPr>
    <a:ln w="31750" cmpd="dbl">
      <a:solidFill>
        <a:srgbClr val="4F81BD">
          <a:lumMod val="75000"/>
        </a:srgbClr>
      </a:solid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3800390335823406"/>
          <c:y val="6.4856100526955812E-2"/>
          <c:w val="0.70134009691096311"/>
          <c:h val="0.75889393538009908"/>
        </c:manualLayout>
      </c:layout>
      <c:barChart>
        <c:barDir val="bar"/>
        <c:grouping val="percentStacked"/>
        <c:ser>
          <c:idx val="0"/>
          <c:order val="0"/>
          <c:tx>
            <c:v>Dec-14</c:v>
          </c:tx>
          <c:dLbls>
            <c:dLbl>
              <c:idx val="0"/>
              <c:layout>
                <c:manualLayout>
                  <c:x val="-1.282051282051282E-2"/>
                  <c:y val="0"/>
                </c:manualLayout>
              </c:layout>
              <c:tx>
                <c:rich>
                  <a:bodyPr/>
                  <a:lstStyle/>
                  <a:p>
                    <a:r>
                      <a:rPr lang="en-US" sz="900"/>
                      <a:t>91.4%</a:t>
                    </a:r>
                  </a:p>
                </c:rich>
              </c:tx>
              <c:showVal val="1"/>
            </c:dLbl>
            <c:dLbl>
              <c:idx val="1"/>
              <c:layout>
                <c:manualLayout>
                  <c:x val="1.0683760683761001E-2"/>
                  <c:y val="4.0535062829347504E-3"/>
                </c:manualLayout>
              </c:layout>
              <c:tx>
                <c:rich>
                  <a:bodyPr/>
                  <a:lstStyle/>
                  <a:p>
                    <a:r>
                      <a:rPr lang="en-US" sz="900"/>
                      <a:t>84.5%</a:t>
                    </a:r>
                  </a:p>
                </c:rich>
              </c:tx>
              <c:showVal val="1"/>
            </c:dLbl>
            <c:dLbl>
              <c:idx val="2"/>
              <c:tx>
                <c:rich>
                  <a:bodyPr/>
                  <a:lstStyle/>
                  <a:p>
                    <a:r>
                      <a:rPr lang="en-US" sz="900"/>
                      <a:t>88.1%</a:t>
                    </a:r>
                  </a:p>
                </c:rich>
              </c:tx>
              <c:showVal val="1"/>
            </c:dLbl>
            <c:dLbl>
              <c:idx val="3"/>
              <c:tx>
                <c:rich>
                  <a:bodyPr/>
                  <a:lstStyle/>
                  <a:p>
                    <a:r>
                      <a:rPr lang="en-US" sz="900"/>
                      <a:t>91.5%</a:t>
                    </a:r>
                  </a:p>
                </c:rich>
              </c:tx>
              <c:showVal val="1"/>
            </c:dLbl>
            <c:dLbl>
              <c:idx val="4"/>
              <c:tx>
                <c:rich>
                  <a:bodyPr/>
                  <a:lstStyle/>
                  <a:p>
                    <a:r>
                      <a:rPr lang="en-US" sz="900"/>
                      <a:t>87.1%</a:t>
                    </a:r>
                  </a:p>
                </c:rich>
              </c:tx>
              <c:showVal val="1"/>
            </c:dLbl>
            <c:dLbl>
              <c:idx val="5"/>
              <c:tx>
                <c:rich>
                  <a:bodyPr/>
                  <a:lstStyle/>
                  <a:p>
                    <a:r>
                      <a:rPr lang="en-US" sz="900"/>
                      <a:t>89.7%</a:t>
                    </a:r>
                  </a:p>
                </c:rich>
              </c:tx>
              <c:showVal val="1"/>
            </c:dLbl>
            <c:dLbl>
              <c:idx val="6"/>
              <c:layout>
                <c:manualLayout>
                  <c:x val="-1.7094017094017103E-2"/>
                  <c:y val="4.0535062829347834E-3"/>
                </c:manualLayout>
              </c:layout>
              <c:tx>
                <c:rich>
                  <a:bodyPr/>
                  <a:lstStyle/>
                  <a:p>
                    <a:r>
                      <a:rPr lang="en-US" sz="900"/>
                      <a:t>95.4%</a:t>
                    </a:r>
                  </a:p>
                </c:rich>
              </c:tx>
              <c:showVal val="1"/>
            </c:dLbl>
            <c:dLbl>
              <c:idx val="7"/>
              <c:tx>
                <c:rich>
                  <a:bodyPr/>
                  <a:lstStyle/>
                  <a:p>
                    <a:r>
                      <a:rPr lang="en-US" sz="900"/>
                      <a:t>88.7%</a:t>
                    </a:r>
                  </a:p>
                </c:rich>
              </c:tx>
              <c:showVal val="1"/>
            </c:dLbl>
            <c:txPr>
              <a:bodyPr/>
              <a:lstStyle/>
              <a:p>
                <a:pPr>
                  <a:defRPr lang="en-US" sz="900" b="1">
                    <a:solidFill>
                      <a:schemeClr val="bg1"/>
                    </a:solidFill>
                  </a:defRPr>
                </a:pPr>
                <a:endParaRPr lang="en-US"/>
              </a:p>
            </c:txPr>
            <c:showVal val="1"/>
          </c:dLbls>
          <c:cat>
            <c:strRef>
              <c:f>'Tab 4.3'!$A$34:$A$41</c:f>
              <c:strCache>
                <c:ptCount val="8"/>
                <c:pt idx="0">
                  <c:v>Barisal</c:v>
                </c:pt>
                <c:pt idx="1">
                  <c:v>Chittagong</c:v>
                </c:pt>
                <c:pt idx="2">
                  <c:v>Dhaka</c:v>
                </c:pt>
                <c:pt idx="3">
                  <c:v>Khulna</c:v>
                </c:pt>
                <c:pt idx="4">
                  <c:v>Rajshahi</c:v>
                </c:pt>
                <c:pt idx="5">
                  <c:v>Rangpur</c:v>
                </c:pt>
                <c:pt idx="6">
                  <c:v>Sylhet</c:v>
                </c:pt>
                <c:pt idx="7">
                  <c:v>National</c:v>
                </c:pt>
              </c:strCache>
            </c:strRef>
          </c:cat>
          <c:val>
            <c:numRef>
              <c:f>'Tab 4.3'!$B$34:$B$41</c:f>
              <c:numCache>
                <c:formatCode>0%</c:formatCode>
                <c:ptCount val="8"/>
                <c:pt idx="0">
                  <c:v>0.91420000000000001</c:v>
                </c:pt>
                <c:pt idx="1">
                  <c:v>0.84540000000000004</c:v>
                </c:pt>
                <c:pt idx="2">
                  <c:v>0.88060000000000005</c:v>
                </c:pt>
                <c:pt idx="3">
                  <c:v>0.91470000000000062</c:v>
                </c:pt>
                <c:pt idx="4">
                  <c:v>0.87130000000000063</c:v>
                </c:pt>
                <c:pt idx="5">
                  <c:v>0.89659999999999951</c:v>
                </c:pt>
                <c:pt idx="6">
                  <c:v>0.95440000000000003</c:v>
                </c:pt>
                <c:pt idx="7">
                  <c:v>0.88649999999999951</c:v>
                </c:pt>
              </c:numCache>
            </c:numRef>
          </c:val>
        </c:ser>
        <c:ser>
          <c:idx val="1"/>
          <c:order val="1"/>
          <c:tx>
            <c:v>Jan-15</c:v>
          </c:tx>
          <c:dLbls>
            <c:dLbl>
              <c:idx val="0"/>
              <c:tx>
                <c:rich>
                  <a:bodyPr/>
                  <a:lstStyle/>
                  <a:p>
                    <a:r>
                      <a:rPr lang="en-US" sz="900"/>
                      <a:t>8.6%</a:t>
                    </a:r>
                  </a:p>
                </c:rich>
              </c:tx>
              <c:showVal val="1"/>
            </c:dLbl>
            <c:dLbl>
              <c:idx val="1"/>
              <c:tx>
                <c:rich>
                  <a:bodyPr/>
                  <a:lstStyle/>
                  <a:p>
                    <a:r>
                      <a:rPr lang="en-US" sz="900"/>
                      <a:t>14.8%</a:t>
                    </a:r>
                  </a:p>
                </c:rich>
              </c:tx>
              <c:showVal val="1"/>
            </c:dLbl>
            <c:dLbl>
              <c:idx val="2"/>
              <c:tx>
                <c:rich>
                  <a:bodyPr/>
                  <a:lstStyle/>
                  <a:p>
                    <a:r>
                      <a:rPr lang="en-US" sz="900"/>
                      <a:t>11.9%</a:t>
                    </a:r>
                  </a:p>
                </c:rich>
              </c:tx>
              <c:showVal val="1"/>
            </c:dLbl>
            <c:dLbl>
              <c:idx val="3"/>
              <c:tx>
                <c:rich>
                  <a:bodyPr/>
                  <a:lstStyle/>
                  <a:p>
                    <a:r>
                      <a:rPr lang="en-US" sz="900"/>
                      <a:t>8.3%</a:t>
                    </a:r>
                  </a:p>
                </c:rich>
              </c:tx>
              <c:showVal val="1"/>
            </c:dLbl>
            <c:dLbl>
              <c:idx val="4"/>
              <c:tx>
                <c:rich>
                  <a:bodyPr/>
                  <a:lstStyle/>
                  <a:p>
                    <a:r>
                      <a:rPr lang="en-US" sz="900"/>
                      <a:t>12.8%</a:t>
                    </a:r>
                  </a:p>
                </c:rich>
              </c:tx>
              <c:showVal val="1"/>
            </c:dLbl>
            <c:dLbl>
              <c:idx val="5"/>
              <c:tx>
                <c:rich>
                  <a:bodyPr/>
                  <a:lstStyle/>
                  <a:p>
                    <a:r>
                      <a:rPr lang="en-US" sz="900"/>
                      <a:t>10.3%</a:t>
                    </a:r>
                  </a:p>
                </c:rich>
              </c:tx>
              <c:showVal val="1"/>
            </c:dLbl>
            <c:dLbl>
              <c:idx val="6"/>
              <c:tx>
                <c:rich>
                  <a:bodyPr/>
                  <a:lstStyle/>
                  <a:p>
                    <a:r>
                      <a:rPr lang="en-US" sz="900"/>
                      <a:t>4.5%</a:t>
                    </a:r>
                  </a:p>
                </c:rich>
              </c:tx>
              <c:showVal val="1"/>
            </c:dLbl>
            <c:dLbl>
              <c:idx val="7"/>
              <c:tx>
                <c:rich>
                  <a:bodyPr/>
                  <a:lstStyle/>
                  <a:p>
                    <a:r>
                      <a:rPr lang="en-US" sz="900"/>
                      <a:t>11.1%</a:t>
                    </a:r>
                  </a:p>
                </c:rich>
              </c:tx>
              <c:showVal val="1"/>
            </c:dLbl>
            <c:txPr>
              <a:bodyPr/>
              <a:lstStyle/>
              <a:p>
                <a:pPr>
                  <a:defRPr lang="en-US" sz="900" b="1">
                    <a:solidFill>
                      <a:schemeClr val="bg1"/>
                    </a:solidFill>
                  </a:defRPr>
                </a:pPr>
                <a:endParaRPr lang="en-US"/>
              </a:p>
            </c:txPr>
            <c:showVal val="1"/>
          </c:dLbls>
          <c:cat>
            <c:strRef>
              <c:f>'Tab 4.3'!$A$34:$A$41</c:f>
              <c:strCache>
                <c:ptCount val="8"/>
                <c:pt idx="0">
                  <c:v>Barisal</c:v>
                </c:pt>
                <c:pt idx="1">
                  <c:v>Chittagong</c:v>
                </c:pt>
                <c:pt idx="2">
                  <c:v>Dhaka</c:v>
                </c:pt>
                <c:pt idx="3">
                  <c:v>Khulna</c:v>
                </c:pt>
                <c:pt idx="4">
                  <c:v>Rajshahi</c:v>
                </c:pt>
                <c:pt idx="5">
                  <c:v>Rangpur</c:v>
                </c:pt>
                <c:pt idx="6">
                  <c:v>Sylhet</c:v>
                </c:pt>
                <c:pt idx="7">
                  <c:v>National</c:v>
                </c:pt>
              </c:strCache>
            </c:strRef>
          </c:cat>
          <c:val>
            <c:numRef>
              <c:f>'Tab 4.3'!$C$34:$C$41</c:f>
              <c:numCache>
                <c:formatCode>0%</c:formatCode>
                <c:ptCount val="8"/>
                <c:pt idx="0">
                  <c:v>8.5800000000000043E-2</c:v>
                </c:pt>
                <c:pt idx="1">
                  <c:v>0.14750000000000021</c:v>
                </c:pt>
                <c:pt idx="2">
                  <c:v>0.1188</c:v>
                </c:pt>
                <c:pt idx="3">
                  <c:v>8.2600000000000007E-2</c:v>
                </c:pt>
                <c:pt idx="4">
                  <c:v>0.1278</c:v>
                </c:pt>
                <c:pt idx="5">
                  <c:v>0.10260000000000002</c:v>
                </c:pt>
                <c:pt idx="6">
                  <c:v>4.4600000000000022E-2</c:v>
                </c:pt>
                <c:pt idx="7">
                  <c:v>0.1114</c:v>
                </c:pt>
              </c:numCache>
            </c:numRef>
          </c:val>
        </c:ser>
        <c:ser>
          <c:idx val="2"/>
          <c:order val="2"/>
          <c:tx>
            <c:v>Feb-15</c:v>
          </c:tx>
          <c:cat>
            <c:strRef>
              <c:f>'Tab 4.3'!$A$34:$A$41</c:f>
              <c:strCache>
                <c:ptCount val="8"/>
                <c:pt idx="0">
                  <c:v>Barisal</c:v>
                </c:pt>
                <c:pt idx="1">
                  <c:v>Chittagong</c:v>
                </c:pt>
                <c:pt idx="2">
                  <c:v>Dhaka</c:v>
                </c:pt>
                <c:pt idx="3">
                  <c:v>Khulna</c:v>
                </c:pt>
                <c:pt idx="4">
                  <c:v>Rajshahi</c:v>
                </c:pt>
                <c:pt idx="5">
                  <c:v>Rangpur</c:v>
                </c:pt>
                <c:pt idx="6">
                  <c:v>Sylhet</c:v>
                </c:pt>
                <c:pt idx="7">
                  <c:v>National</c:v>
                </c:pt>
              </c:strCache>
            </c:strRef>
          </c:cat>
          <c:val>
            <c:numRef>
              <c:f>'Tab 4.3'!$D$34:$D$41</c:f>
              <c:numCache>
                <c:formatCode>0%</c:formatCode>
                <c:ptCount val="8"/>
                <c:pt idx="0">
                  <c:v>0</c:v>
                </c:pt>
                <c:pt idx="1">
                  <c:v>1.5000000000000221E-3</c:v>
                </c:pt>
                <c:pt idx="2">
                  <c:v>2.0000000000000052E-4</c:v>
                </c:pt>
                <c:pt idx="3">
                  <c:v>1.1999999999999999E-3</c:v>
                </c:pt>
                <c:pt idx="4">
                  <c:v>5.0000000000000034E-4</c:v>
                </c:pt>
                <c:pt idx="5">
                  <c:v>8.0000000000000264E-4</c:v>
                </c:pt>
                <c:pt idx="6">
                  <c:v>1.0000000000000041E-3</c:v>
                </c:pt>
                <c:pt idx="7">
                  <c:v>7.0000000000002124E-4</c:v>
                </c:pt>
              </c:numCache>
            </c:numRef>
          </c:val>
        </c:ser>
        <c:ser>
          <c:idx val="3"/>
          <c:order val="3"/>
          <c:tx>
            <c:v>Mar-15</c:v>
          </c:tx>
          <c:dLbls>
            <c:dLbl>
              <c:idx val="0"/>
              <c:delete val="1"/>
            </c:dLbl>
            <c:dLbl>
              <c:idx val="1"/>
              <c:layout>
                <c:manualLayout>
                  <c:x val="2.3504273504274652E-2"/>
                  <c:y val="4.0535062829347504E-3"/>
                </c:manualLayout>
              </c:layout>
              <c:tx>
                <c:rich>
                  <a:bodyPr/>
                  <a:lstStyle/>
                  <a:p>
                    <a:r>
                      <a:rPr lang="en-US"/>
                      <a:t>0.7%</a:t>
                    </a:r>
                  </a:p>
                </c:rich>
              </c:tx>
              <c:showVal val="1"/>
            </c:dLbl>
            <c:dLbl>
              <c:idx val="2"/>
              <c:delete val="1"/>
            </c:dLbl>
            <c:dLbl>
              <c:idx val="3"/>
              <c:layout>
                <c:manualLayout>
                  <c:x val="1.9230769230770089E-2"/>
                  <c:y val="0"/>
                </c:manualLayout>
              </c:layout>
              <c:tx>
                <c:rich>
                  <a:bodyPr/>
                  <a:lstStyle/>
                  <a:p>
                    <a:r>
                      <a:rPr lang="en-US"/>
                      <a:t>0.2%</a:t>
                    </a:r>
                  </a:p>
                </c:rich>
              </c:tx>
              <c:showVal val="1"/>
            </c:dLbl>
            <c:dLbl>
              <c:idx val="4"/>
              <c:layout>
                <c:manualLayout>
                  <c:x val="1.7094017094017103E-2"/>
                  <c:y val="0"/>
                </c:manualLayout>
              </c:layout>
              <c:tx>
                <c:rich>
                  <a:bodyPr/>
                  <a:lstStyle/>
                  <a:p>
                    <a:r>
                      <a:rPr lang="en-US"/>
                      <a:t>0.1%</a:t>
                    </a:r>
                  </a:p>
                </c:rich>
              </c:tx>
              <c:showVal val="1"/>
            </c:dLbl>
            <c:dLbl>
              <c:idx val="5"/>
              <c:delete val="1"/>
            </c:dLbl>
            <c:dLbl>
              <c:idx val="6"/>
              <c:layout>
                <c:manualLayout>
                  <c:x val="2.1367521367521368E-2"/>
                  <c:y val="3.7156711689404667E-17"/>
                </c:manualLayout>
              </c:layout>
              <c:tx>
                <c:rich>
                  <a:bodyPr/>
                  <a:lstStyle/>
                  <a:p>
                    <a:r>
                      <a:rPr lang="en-US"/>
                      <a:t>0.1%</a:t>
                    </a:r>
                  </a:p>
                </c:rich>
              </c:tx>
              <c:showVal val="1"/>
            </c:dLbl>
            <c:dLbl>
              <c:idx val="7"/>
              <c:layout>
                <c:manualLayout>
                  <c:x val="2.1367521367521368E-2"/>
                  <c:y val="4.0535062829347504E-3"/>
                </c:manualLayout>
              </c:layout>
              <c:tx>
                <c:rich>
                  <a:bodyPr/>
                  <a:lstStyle/>
                  <a:p>
                    <a:r>
                      <a:rPr lang="en-US" sz="800"/>
                      <a:t>0.2%</a:t>
                    </a:r>
                  </a:p>
                </c:rich>
              </c:tx>
              <c:showVal val="1"/>
            </c:dLbl>
            <c:txPr>
              <a:bodyPr/>
              <a:lstStyle/>
              <a:p>
                <a:pPr>
                  <a:defRPr lang="en-US" sz="800"/>
                </a:pPr>
                <a:endParaRPr lang="en-US"/>
              </a:p>
            </c:txPr>
            <c:showVal val="1"/>
          </c:dLbls>
          <c:cat>
            <c:strRef>
              <c:f>'Tab 4.3'!$A$34:$A$41</c:f>
              <c:strCache>
                <c:ptCount val="8"/>
                <c:pt idx="0">
                  <c:v>Barisal</c:v>
                </c:pt>
                <c:pt idx="1">
                  <c:v>Chittagong</c:v>
                </c:pt>
                <c:pt idx="2">
                  <c:v>Dhaka</c:v>
                </c:pt>
                <c:pt idx="3">
                  <c:v>Khulna</c:v>
                </c:pt>
                <c:pt idx="4">
                  <c:v>Rajshahi</c:v>
                </c:pt>
                <c:pt idx="5">
                  <c:v>Rangpur</c:v>
                </c:pt>
                <c:pt idx="6">
                  <c:v>Sylhet</c:v>
                </c:pt>
                <c:pt idx="7">
                  <c:v>National</c:v>
                </c:pt>
              </c:strCache>
            </c:strRef>
          </c:cat>
          <c:val>
            <c:numRef>
              <c:f>'Tab 4.3'!$E$34:$E$41</c:f>
              <c:numCache>
                <c:formatCode>0%</c:formatCode>
                <c:ptCount val="8"/>
                <c:pt idx="0">
                  <c:v>0</c:v>
                </c:pt>
                <c:pt idx="1">
                  <c:v>5.6000000000000034E-3</c:v>
                </c:pt>
                <c:pt idx="2">
                  <c:v>4.0000000000000034E-4</c:v>
                </c:pt>
                <c:pt idx="3">
                  <c:v>1.5000000000000221E-3</c:v>
                </c:pt>
                <c:pt idx="4">
                  <c:v>3.0000000000001092E-4</c:v>
                </c:pt>
                <c:pt idx="5">
                  <c:v>0</c:v>
                </c:pt>
                <c:pt idx="6">
                  <c:v>0</c:v>
                </c:pt>
                <c:pt idx="7">
                  <c:v>1.4000000000000041E-3</c:v>
                </c:pt>
              </c:numCache>
            </c:numRef>
          </c:val>
        </c:ser>
        <c:gapWidth val="55"/>
        <c:overlap val="100"/>
        <c:axId val="143227904"/>
        <c:axId val="143291136"/>
      </c:barChart>
      <c:catAx>
        <c:axId val="143227904"/>
        <c:scaling>
          <c:orientation val="minMax"/>
        </c:scaling>
        <c:axPos val="l"/>
        <c:majorTickMark val="none"/>
        <c:tickLblPos val="nextTo"/>
        <c:txPr>
          <a:bodyPr/>
          <a:lstStyle/>
          <a:p>
            <a:pPr>
              <a:defRPr lang="en-US"/>
            </a:pPr>
            <a:endParaRPr lang="en-US"/>
          </a:p>
        </c:txPr>
        <c:crossAx val="143291136"/>
        <c:crosses val="autoZero"/>
        <c:auto val="1"/>
        <c:lblAlgn val="ctr"/>
        <c:lblOffset val="100"/>
      </c:catAx>
      <c:valAx>
        <c:axId val="143291136"/>
        <c:scaling>
          <c:orientation val="minMax"/>
          <c:min val="0"/>
        </c:scaling>
        <c:axPos val="b"/>
        <c:majorGridlines/>
        <c:numFmt formatCode="0%" sourceLinked="1"/>
        <c:majorTickMark val="none"/>
        <c:tickLblPos val="nextTo"/>
        <c:txPr>
          <a:bodyPr/>
          <a:lstStyle/>
          <a:p>
            <a:pPr>
              <a:defRPr lang="en-US"/>
            </a:pPr>
            <a:endParaRPr lang="en-US"/>
          </a:p>
        </c:txPr>
        <c:crossAx val="143227904"/>
        <c:crosses val="autoZero"/>
        <c:crossBetween val="between"/>
      </c:valAx>
    </c:plotArea>
    <c:legend>
      <c:legendPos val="r"/>
      <c:txPr>
        <a:bodyPr/>
        <a:lstStyle/>
        <a:p>
          <a:pPr>
            <a:defRPr lang="en-US"/>
          </a:pPr>
          <a:endParaRPr lang="en-US"/>
        </a:p>
      </c:txPr>
    </c:legend>
    <c:plotVisOnly val="1"/>
    <c:dispBlanksAs val="gap"/>
  </c:chart>
  <c:spPr>
    <a:ln w="31750" cmpd="dbl">
      <a:solidFill>
        <a:schemeClr val="accent5">
          <a:lumMod val="50000"/>
        </a:schemeClr>
      </a:solid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3448247626845919"/>
          <c:y val="0.20031963470319641"/>
          <c:w val="0.83891534718982375"/>
          <c:h val="0.48722647682739523"/>
        </c:manualLayout>
      </c:layout>
      <c:barChart>
        <c:barDir val="col"/>
        <c:grouping val="clustered"/>
        <c:ser>
          <c:idx val="0"/>
          <c:order val="0"/>
          <c:tx>
            <c:v>Males</c:v>
          </c:tx>
          <c:spPr>
            <a:solidFill>
              <a:schemeClr val="accent5">
                <a:lumMod val="75000"/>
              </a:schemeClr>
            </a:solidFill>
          </c:spPr>
          <c:cat>
            <c:strRef>
              <c:f>'Fig 4.3'!$A$5:$A$9</c:f>
              <c:strCache>
                <c:ptCount val="5"/>
                <c:pt idx="0">
                  <c:v>SSC</c:v>
                </c:pt>
                <c:pt idx="1">
                  <c:v>HSC</c:v>
                </c:pt>
                <c:pt idx="2">
                  <c:v>Graduates/ Honors</c:v>
                </c:pt>
                <c:pt idx="3">
                  <c:v>Masters</c:v>
                </c:pt>
                <c:pt idx="4">
                  <c:v>Others</c:v>
                </c:pt>
              </c:strCache>
            </c:strRef>
          </c:cat>
          <c:val>
            <c:numRef>
              <c:f>'Fig 4.3'!$B$5:$B$9</c:f>
              <c:numCache>
                <c:formatCode>General</c:formatCode>
                <c:ptCount val="5"/>
                <c:pt idx="0">
                  <c:v>10.9</c:v>
                </c:pt>
                <c:pt idx="1">
                  <c:v>20.100000000000001</c:v>
                </c:pt>
                <c:pt idx="2">
                  <c:v>40.5</c:v>
                </c:pt>
                <c:pt idx="3">
                  <c:v>26.9</c:v>
                </c:pt>
                <c:pt idx="4">
                  <c:v>1.6</c:v>
                </c:pt>
              </c:numCache>
            </c:numRef>
          </c:val>
        </c:ser>
        <c:ser>
          <c:idx val="1"/>
          <c:order val="1"/>
          <c:tx>
            <c:v>Females</c:v>
          </c:tx>
          <c:spPr>
            <a:solidFill>
              <a:schemeClr val="accent6">
                <a:lumMod val="75000"/>
              </a:schemeClr>
            </a:solidFill>
          </c:spPr>
          <c:cat>
            <c:strRef>
              <c:f>'Fig 4.3'!$A$5:$A$9</c:f>
              <c:strCache>
                <c:ptCount val="5"/>
                <c:pt idx="0">
                  <c:v>SSC</c:v>
                </c:pt>
                <c:pt idx="1">
                  <c:v>HSC</c:v>
                </c:pt>
                <c:pt idx="2">
                  <c:v>Graduates/ Honors</c:v>
                </c:pt>
                <c:pt idx="3">
                  <c:v>Masters</c:v>
                </c:pt>
                <c:pt idx="4">
                  <c:v>Others</c:v>
                </c:pt>
              </c:strCache>
            </c:strRef>
          </c:cat>
          <c:val>
            <c:numRef>
              <c:f>'Fig 4.3'!$C$5:$C$9</c:f>
              <c:numCache>
                <c:formatCode>General</c:formatCode>
                <c:ptCount val="5"/>
                <c:pt idx="0">
                  <c:v>14.1</c:v>
                </c:pt>
                <c:pt idx="1">
                  <c:v>36</c:v>
                </c:pt>
                <c:pt idx="2">
                  <c:v>30.1</c:v>
                </c:pt>
                <c:pt idx="3">
                  <c:v>18.100000000000001</c:v>
                </c:pt>
                <c:pt idx="4">
                  <c:v>1.7</c:v>
                </c:pt>
              </c:numCache>
            </c:numRef>
          </c:val>
        </c:ser>
        <c:ser>
          <c:idx val="2"/>
          <c:order val="2"/>
          <c:tx>
            <c:v>Both</c:v>
          </c:tx>
          <c:spPr>
            <a:solidFill>
              <a:srgbClr val="006600"/>
            </a:solidFill>
          </c:spPr>
          <c:cat>
            <c:strRef>
              <c:f>'Fig 4.3'!$A$5:$A$9</c:f>
              <c:strCache>
                <c:ptCount val="5"/>
                <c:pt idx="0">
                  <c:v>SSC</c:v>
                </c:pt>
                <c:pt idx="1">
                  <c:v>HSC</c:v>
                </c:pt>
                <c:pt idx="2">
                  <c:v>Graduates/ Honors</c:v>
                </c:pt>
                <c:pt idx="3">
                  <c:v>Masters</c:v>
                </c:pt>
                <c:pt idx="4">
                  <c:v>Others</c:v>
                </c:pt>
              </c:strCache>
            </c:strRef>
          </c:cat>
          <c:val>
            <c:numRef>
              <c:f>'Fig 4.3'!$D$5:$D$9</c:f>
              <c:numCache>
                <c:formatCode>General</c:formatCode>
                <c:ptCount val="5"/>
                <c:pt idx="0">
                  <c:v>12.9</c:v>
                </c:pt>
                <c:pt idx="1">
                  <c:v>29.9</c:v>
                </c:pt>
                <c:pt idx="2">
                  <c:v>34.1</c:v>
                </c:pt>
                <c:pt idx="3">
                  <c:v>21.5</c:v>
                </c:pt>
                <c:pt idx="4">
                  <c:v>1.7</c:v>
                </c:pt>
              </c:numCache>
            </c:numRef>
          </c:val>
        </c:ser>
        <c:axId val="143332864"/>
        <c:axId val="143334400"/>
      </c:barChart>
      <c:catAx>
        <c:axId val="143332864"/>
        <c:scaling>
          <c:orientation val="minMax"/>
        </c:scaling>
        <c:axPos val="b"/>
        <c:majorTickMark val="none"/>
        <c:tickLblPos val="nextTo"/>
        <c:txPr>
          <a:bodyPr/>
          <a:lstStyle/>
          <a:p>
            <a:pPr>
              <a:defRPr lang="en-US"/>
            </a:pPr>
            <a:endParaRPr lang="en-US"/>
          </a:p>
        </c:txPr>
        <c:crossAx val="143334400"/>
        <c:crosses val="autoZero"/>
        <c:auto val="1"/>
        <c:lblAlgn val="ctr"/>
        <c:lblOffset val="100"/>
      </c:catAx>
      <c:valAx>
        <c:axId val="143334400"/>
        <c:scaling>
          <c:orientation val="minMax"/>
          <c:max val="45"/>
          <c:min val="0"/>
        </c:scaling>
        <c:axPos val="l"/>
        <c:majorGridlines>
          <c:spPr>
            <a:ln w="6350">
              <a:solidFill>
                <a:srgbClr val="006600"/>
              </a:solidFill>
            </a:ln>
          </c:spPr>
        </c:majorGridlines>
        <c:title>
          <c:tx>
            <c:rich>
              <a:bodyPr/>
              <a:lstStyle/>
              <a:p>
                <a:pPr>
                  <a:defRPr lang="en-US" b="0"/>
                </a:pPr>
                <a:r>
                  <a:rPr lang="en-US" b="0"/>
                  <a:t>Percentage (%)</a:t>
                </a:r>
              </a:p>
            </c:rich>
          </c:tx>
          <c:layout>
            <c:manualLayout>
              <c:xMode val="edge"/>
              <c:yMode val="edge"/>
              <c:x val="2.6602176541717096E-2"/>
              <c:y val="0.28359040736347735"/>
            </c:manualLayout>
          </c:layout>
        </c:title>
        <c:numFmt formatCode="General" sourceLinked="1"/>
        <c:majorTickMark val="none"/>
        <c:tickLblPos val="nextTo"/>
        <c:txPr>
          <a:bodyPr/>
          <a:lstStyle/>
          <a:p>
            <a:pPr>
              <a:defRPr lang="en-US" sz="800"/>
            </a:pPr>
            <a:endParaRPr lang="en-US"/>
          </a:p>
        </c:txPr>
        <c:crossAx val="143332864"/>
        <c:crosses val="autoZero"/>
        <c:crossBetween val="between"/>
        <c:majorUnit val="5"/>
      </c:valAx>
      <c:dTable>
        <c:showHorzBorder val="1"/>
        <c:showVertBorder val="1"/>
        <c:showOutline val="1"/>
        <c:showKeys val="1"/>
        <c:txPr>
          <a:bodyPr/>
          <a:lstStyle/>
          <a:p>
            <a:pPr rtl="0">
              <a:defRPr lang="en-US" sz="900"/>
            </a:pPr>
            <a:endParaRPr lang="en-US"/>
          </a:p>
        </c:txPr>
      </c:dTable>
    </c:plotArea>
    <c:plotVisOnly val="1"/>
    <c:dispBlanksAs val="gap"/>
  </c:chart>
  <c:spPr>
    <a:ln w="31750" cmpd="dbl">
      <a:solidFill>
        <a:srgbClr val="00660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manualLayout>
          <c:layoutTarget val="inner"/>
          <c:xMode val="edge"/>
          <c:yMode val="edge"/>
          <c:x val="0.41927732427941938"/>
          <c:y val="0.29207725378413718"/>
          <c:w val="0.32780601507383972"/>
          <c:h val="0.64033791474990354"/>
        </c:manualLayout>
      </c:layout>
      <c:pieChart>
        <c:varyColors val="1"/>
        <c:ser>
          <c:idx val="0"/>
          <c:order val="0"/>
          <c:dLbls>
            <c:dLbl>
              <c:idx val="0"/>
              <c:layout>
                <c:manualLayout>
                  <c:x val="4.5388042091068885E-2"/>
                  <c:y val="7.9333954223464134E-2"/>
                </c:manualLayout>
              </c:layout>
              <c:tx>
                <c:rich>
                  <a:bodyPr/>
                  <a:lstStyle/>
                  <a:p>
                    <a:r>
                      <a:rPr lang="en-US"/>
                      <a:t>MoPME/DPE managed</a:t>
                    </a:r>
                    <a:r>
                      <a:rPr lang="en-US" baseline="0"/>
                      <a:t> </a:t>
                    </a:r>
                    <a:r>
                      <a:rPr lang="en-US"/>
                      <a:t>64%</a:t>
                    </a:r>
                  </a:p>
                </c:rich>
              </c:tx>
              <c:showCatName val="1"/>
              <c:showPercent val="1"/>
            </c:dLbl>
            <c:dLbl>
              <c:idx val="1"/>
              <c:layout>
                <c:manualLayout>
                  <c:x val="-4.4883527173782432E-2"/>
                  <c:y val="1.6710599347126112E-2"/>
                </c:manualLayout>
              </c:layout>
              <c:tx>
                <c:rich>
                  <a:bodyPr/>
                  <a:lstStyle/>
                  <a:p>
                    <a:r>
                      <a:rPr lang="en-US"/>
                      <a:t>MoE Managed</a:t>
                    </a:r>
                    <a:r>
                      <a:rPr lang="en-US" baseline="0"/>
                      <a:t> 8.5</a:t>
                    </a:r>
                    <a:r>
                      <a:rPr lang="en-US"/>
                      <a:t>%</a:t>
                    </a:r>
                  </a:p>
                </c:rich>
              </c:tx>
              <c:showCatName val="1"/>
              <c:showPercent val="1"/>
            </c:dLbl>
            <c:dLbl>
              <c:idx val="2"/>
              <c:layout>
                <c:manualLayout>
                  <c:x val="-0.10519396084664435"/>
                  <c:y val="0.18885076315607191"/>
                </c:manualLayout>
              </c:layout>
              <c:tx>
                <c:rich>
                  <a:bodyPr/>
                  <a:lstStyle/>
                  <a:p>
                    <a:r>
                      <a:rPr lang="en-US"/>
                      <a:t>MoC Managed</a:t>
                    </a:r>
                    <a:r>
                      <a:rPr lang="en-US" baseline="0"/>
                      <a:t> </a:t>
                    </a:r>
                    <a:r>
                      <a:rPr lang="en-US"/>
                      <a:t>22.4%</a:t>
                    </a:r>
                  </a:p>
                </c:rich>
              </c:tx>
              <c:showCatName val="1"/>
              <c:showPercent val="1"/>
            </c:dLbl>
            <c:dLbl>
              <c:idx val="3"/>
              <c:layout>
                <c:manualLayout>
                  <c:x val="-0.1626025018114709"/>
                  <c:y val="-9.5264620337695768E-2"/>
                </c:manualLayout>
              </c:layout>
              <c:tx>
                <c:rich>
                  <a:bodyPr/>
                  <a:lstStyle/>
                  <a:p>
                    <a:r>
                      <a:rPr lang="en-US"/>
                      <a:t>Other Authorities Managed</a:t>
                    </a:r>
                    <a:r>
                      <a:rPr lang="en-US" baseline="0"/>
                      <a:t> 0.8</a:t>
                    </a:r>
                    <a:r>
                      <a:rPr lang="en-US"/>
                      <a:t>%</a:t>
                    </a:r>
                  </a:p>
                </c:rich>
              </c:tx>
              <c:showCatName val="1"/>
              <c:showPercent val="1"/>
            </c:dLbl>
            <c:dLbl>
              <c:idx val="4"/>
              <c:layout>
                <c:manualLayout>
                  <c:x val="0.24149584301738086"/>
                  <c:y val="-0.12919781604973987"/>
                </c:manualLayout>
              </c:layout>
              <c:tx>
                <c:rich>
                  <a:bodyPr/>
                  <a:lstStyle/>
                  <a:p>
                    <a:r>
                      <a:rPr lang="en-US"/>
                      <a:t>NGO Bureau Managed</a:t>
                    </a:r>
                    <a:r>
                      <a:rPr lang="en-US" baseline="0"/>
                      <a:t> 4.3</a:t>
                    </a:r>
                    <a:r>
                      <a:rPr lang="en-US"/>
                      <a:t>%</a:t>
                    </a:r>
                  </a:p>
                </c:rich>
              </c:tx>
              <c:showCatName val="1"/>
              <c:showPercent val="1"/>
            </c:dLbl>
            <c:txPr>
              <a:bodyPr/>
              <a:lstStyle/>
              <a:p>
                <a:pPr>
                  <a:defRPr lang="en-US"/>
                </a:pPr>
                <a:endParaRPr lang="en-US"/>
              </a:p>
            </c:txPr>
            <c:showCatName val="1"/>
            <c:showPercent val="1"/>
            <c:showLeaderLines val="1"/>
          </c:dLbls>
          <c:cat>
            <c:strRef>
              <c:f>'Figure 1.2, 1.3, 1.4'!$A$40:$A$44</c:f>
              <c:strCache>
                <c:ptCount val="5"/>
                <c:pt idx="0">
                  <c:v>MoPME/DPE managed</c:v>
                </c:pt>
                <c:pt idx="1">
                  <c:v>MoE Managed</c:v>
                </c:pt>
                <c:pt idx="2">
                  <c:v>MoC Managed</c:v>
                </c:pt>
                <c:pt idx="3">
                  <c:v>Other Authorities Managed</c:v>
                </c:pt>
                <c:pt idx="4">
                  <c:v>NGO Bureau Managed</c:v>
                </c:pt>
              </c:strCache>
            </c:strRef>
          </c:cat>
          <c:val>
            <c:numRef>
              <c:f>'Figure 1.2, 1.3, 1.4'!$E$40:$E$44</c:f>
              <c:numCache>
                <c:formatCode>#,##0</c:formatCode>
                <c:ptCount val="5"/>
                <c:pt idx="0">
                  <c:v>337531</c:v>
                </c:pt>
                <c:pt idx="1">
                  <c:v>45062</c:v>
                </c:pt>
                <c:pt idx="2">
                  <c:v>118306</c:v>
                </c:pt>
                <c:pt idx="3">
                  <c:v>4111</c:v>
                </c:pt>
                <c:pt idx="4">
                  <c:v>22788</c:v>
                </c:pt>
              </c:numCache>
            </c:numRef>
          </c:val>
        </c:ser>
        <c:dLbls>
          <c:showCatName val="1"/>
        </c:dLbls>
        <c:firstSliceAng val="0"/>
      </c:pieChart>
    </c:plotArea>
    <c:plotVisOnly val="1"/>
    <c:dispBlanksAs val="zero"/>
  </c:chart>
  <c:spPr>
    <a:ln w="34925" cmpd="dbl">
      <a:solidFill>
        <a:schemeClr val="accent5">
          <a:lumMod val="50000"/>
        </a:schemeClr>
      </a:solid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spPr>
            <a:solidFill>
              <a:srgbClr val="FF0000"/>
            </a:solidFill>
          </c:spPr>
          <c:dPt>
            <c:idx val="0"/>
            <c:spPr>
              <a:solidFill>
                <a:schemeClr val="accent6">
                  <a:lumMod val="75000"/>
                </a:schemeClr>
              </a:solidFill>
            </c:spPr>
          </c:dPt>
          <c:dPt>
            <c:idx val="1"/>
            <c:spPr>
              <a:solidFill>
                <a:schemeClr val="accent6">
                  <a:lumMod val="75000"/>
                </a:schemeClr>
              </a:solidFill>
            </c:spPr>
          </c:dPt>
          <c:dPt>
            <c:idx val="2"/>
            <c:spPr>
              <a:solidFill>
                <a:schemeClr val="accent6">
                  <a:lumMod val="75000"/>
                </a:schemeClr>
              </a:solidFill>
            </c:spPr>
          </c:dPt>
          <c:dPt>
            <c:idx val="3"/>
            <c:spPr>
              <a:solidFill>
                <a:srgbClr val="006600"/>
              </a:solidFill>
            </c:spPr>
          </c:dPt>
          <c:dPt>
            <c:idx val="4"/>
            <c:spPr>
              <a:solidFill>
                <a:srgbClr val="006600"/>
              </a:solidFill>
            </c:spPr>
          </c:dPt>
          <c:dPt>
            <c:idx val="5"/>
            <c:spPr>
              <a:solidFill>
                <a:srgbClr val="006600"/>
              </a:solidFill>
            </c:spPr>
          </c:dPt>
          <c:dLbls>
            <c:dLbl>
              <c:idx val="0"/>
              <c:layout>
                <c:manualLayout>
                  <c:x val="0"/>
                  <c:y val="-2.3148148148148147E-2"/>
                </c:manualLayout>
              </c:layout>
              <c:spPr/>
              <c:txPr>
                <a:bodyPr/>
                <a:lstStyle/>
                <a:p>
                  <a:pPr>
                    <a:defRPr lang="en-US" sz="1000" b="1">
                      <a:solidFill>
                        <a:schemeClr val="accent6">
                          <a:lumMod val="75000"/>
                        </a:schemeClr>
                      </a:solidFill>
                    </a:defRPr>
                  </a:pPr>
                  <a:endParaRPr lang="en-US"/>
                </a:p>
              </c:txPr>
              <c:showVal val="1"/>
            </c:dLbl>
            <c:dLbl>
              <c:idx val="1"/>
              <c:spPr/>
              <c:txPr>
                <a:bodyPr/>
                <a:lstStyle/>
                <a:p>
                  <a:pPr>
                    <a:defRPr lang="en-US" sz="1000" b="1">
                      <a:solidFill>
                        <a:schemeClr val="accent6">
                          <a:lumMod val="75000"/>
                        </a:schemeClr>
                      </a:solidFill>
                    </a:defRPr>
                  </a:pPr>
                  <a:endParaRPr lang="en-US"/>
                </a:p>
              </c:txPr>
            </c:dLbl>
            <c:dLbl>
              <c:idx val="2"/>
              <c:layout>
                <c:manualLayout>
                  <c:x val="2.0963725688135201E-3"/>
                  <c:y val="-4.9882391411788249E-3"/>
                </c:manualLayout>
              </c:layout>
              <c:spPr/>
              <c:txPr>
                <a:bodyPr/>
                <a:lstStyle/>
                <a:p>
                  <a:pPr>
                    <a:defRPr lang="en-US" sz="1000" b="1">
                      <a:solidFill>
                        <a:schemeClr val="accent6">
                          <a:lumMod val="75000"/>
                        </a:schemeClr>
                      </a:solidFill>
                    </a:defRPr>
                  </a:pPr>
                  <a:endParaRPr lang="en-US"/>
                </a:p>
              </c:txPr>
              <c:showVal val="1"/>
            </c:dLbl>
            <c:dLbl>
              <c:idx val="3"/>
              <c:layout>
                <c:manualLayout>
                  <c:x val="0"/>
                  <c:y val="1.3888888888889379E-2"/>
                </c:manualLayout>
              </c:layout>
              <c:spPr/>
              <c:txPr>
                <a:bodyPr/>
                <a:lstStyle/>
                <a:p>
                  <a:pPr>
                    <a:defRPr lang="en-US" sz="1000" b="1">
                      <a:solidFill>
                        <a:srgbClr val="008000"/>
                      </a:solidFill>
                    </a:defRPr>
                  </a:pPr>
                  <a:endParaRPr lang="en-US"/>
                </a:p>
              </c:txPr>
              <c:showVal val="1"/>
            </c:dLbl>
            <c:dLbl>
              <c:idx val="4"/>
              <c:layout>
                <c:manualLayout>
                  <c:x val="2.0963725688135201E-3"/>
                  <c:y val="1.8429061398000605E-2"/>
                </c:manualLayout>
              </c:layout>
              <c:spPr/>
              <c:txPr>
                <a:bodyPr/>
                <a:lstStyle/>
                <a:p>
                  <a:pPr>
                    <a:defRPr lang="en-US" sz="1000" b="1">
                      <a:solidFill>
                        <a:srgbClr val="008000"/>
                      </a:solidFill>
                    </a:defRPr>
                  </a:pPr>
                  <a:endParaRPr lang="en-US"/>
                </a:p>
              </c:txPr>
              <c:showVal val="1"/>
            </c:dLbl>
            <c:dLbl>
              <c:idx val="5"/>
              <c:spPr/>
              <c:txPr>
                <a:bodyPr/>
                <a:lstStyle/>
                <a:p>
                  <a:pPr>
                    <a:defRPr lang="en-US" sz="1000" b="1">
                      <a:solidFill>
                        <a:srgbClr val="008000"/>
                      </a:solidFill>
                    </a:defRPr>
                  </a:pPr>
                  <a:endParaRPr lang="en-US"/>
                </a:p>
              </c:txPr>
            </c:dLbl>
            <c:dLbl>
              <c:idx val="6"/>
              <c:layout>
                <c:manualLayout>
                  <c:x val="-6.2893081761008548E-3"/>
                  <c:y val="2.7777777777779504E-2"/>
                </c:manualLayout>
              </c:layout>
              <c:showVal val="1"/>
            </c:dLbl>
            <c:dLbl>
              <c:idx val="7"/>
              <c:layout>
                <c:manualLayout>
                  <c:x val="0"/>
                  <c:y val="1.3888888888889379E-2"/>
                </c:manualLayout>
              </c:layout>
              <c:showVal val="1"/>
            </c:dLbl>
            <c:dLbl>
              <c:idx val="8"/>
              <c:layout>
                <c:manualLayout>
                  <c:x val="0"/>
                  <c:y val="1.3888888888889379E-2"/>
                </c:manualLayout>
              </c:layout>
              <c:showVal val="1"/>
            </c:dLbl>
            <c:txPr>
              <a:bodyPr/>
              <a:lstStyle/>
              <a:p>
                <a:pPr>
                  <a:defRPr lang="en-US" sz="1000" b="1">
                    <a:solidFill>
                      <a:srgbClr val="FF0000"/>
                    </a:solidFill>
                  </a:defRPr>
                </a:pPr>
                <a:endParaRPr lang="en-US"/>
              </a:p>
            </c:txPr>
            <c:showVal val="1"/>
          </c:dLbls>
          <c:cat>
            <c:multiLvlStrRef>
              <c:f>'Fig 4.4'!$B$7:$J$8</c:f>
              <c:multiLvlStrCache>
                <c:ptCount val="9"/>
                <c:lvl>
                  <c:pt idx="0">
                    <c:v>Male</c:v>
                  </c:pt>
                  <c:pt idx="1">
                    <c:v>Female</c:v>
                  </c:pt>
                  <c:pt idx="2">
                    <c:v>Total</c:v>
                  </c:pt>
                  <c:pt idx="3">
                    <c:v>Male </c:v>
                  </c:pt>
                  <c:pt idx="4">
                    <c:v>Female </c:v>
                  </c:pt>
                  <c:pt idx="5">
                    <c:v>Total</c:v>
                  </c:pt>
                  <c:pt idx="6">
                    <c:v>Male </c:v>
                  </c:pt>
                  <c:pt idx="7">
                    <c:v>Female </c:v>
                  </c:pt>
                  <c:pt idx="8">
                    <c:v>Total</c:v>
                  </c:pt>
                </c:lvl>
                <c:lvl>
                  <c:pt idx="0">
                    <c:v>GPS and NNPS Teacher</c:v>
                  </c:pt>
                  <c:pt idx="3">
                    <c:v>C-in-Ed Teacher (GPS &amp; NNPS)</c:v>
                  </c:pt>
                  <c:pt idx="6">
                    <c:v>DPEd Teacher (GPS &amp; NNPS)</c:v>
                  </c:pt>
                </c:lvl>
              </c:multiLvlStrCache>
            </c:multiLvlStrRef>
          </c:cat>
          <c:val>
            <c:numRef>
              <c:f>'Fig 4.4'!$B$9:$J$9</c:f>
              <c:numCache>
                <c:formatCode>_(* #,##0_);_(* \(#,##0\);_(* "-"??_);_(@_)</c:formatCode>
                <c:ptCount val="9"/>
                <c:pt idx="0">
                  <c:v>125588</c:v>
                </c:pt>
                <c:pt idx="1">
                  <c:v>205179</c:v>
                </c:pt>
                <c:pt idx="2">
                  <c:v>330767</c:v>
                </c:pt>
                <c:pt idx="3">
                  <c:v>96958</c:v>
                </c:pt>
                <c:pt idx="4">
                  <c:v>144109</c:v>
                </c:pt>
                <c:pt idx="5">
                  <c:v>241067</c:v>
                </c:pt>
                <c:pt idx="6">
                  <c:v>2969</c:v>
                </c:pt>
                <c:pt idx="7">
                  <c:v>6787</c:v>
                </c:pt>
                <c:pt idx="8">
                  <c:v>9756</c:v>
                </c:pt>
              </c:numCache>
            </c:numRef>
          </c:val>
        </c:ser>
        <c:axId val="143381632"/>
        <c:axId val="143383168"/>
      </c:barChart>
      <c:catAx>
        <c:axId val="143381632"/>
        <c:scaling>
          <c:orientation val="minMax"/>
        </c:scaling>
        <c:axPos val="b"/>
        <c:majorTickMark val="none"/>
        <c:tickLblPos val="nextTo"/>
        <c:txPr>
          <a:bodyPr/>
          <a:lstStyle/>
          <a:p>
            <a:pPr>
              <a:defRPr lang="en-US"/>
            </a:pPr>
            <a:endParaRPr lang="en-US"/>
          </a:p>
        </c:txPr>
        <c:crossAx val="143383168"/>
        <c:crosses val="autoZero"/>
        <c:auto val="1"/>
        <c:lblAlgn val="ctr"/>
        <c:lblOffset val="100"/>
      </c:catAx>
      <c:valAx>
        <c:axId val="143383168"/>
        <c:scaling>
          <c:orientation val="minMax"/>
        </c:scaling>
        <c:axPos val="l"/>
        <c:majorGridlines/>
        <c:numFmt formatCode="_(* #,##0_);_(* \(#,##0\);_(* &quot;-&quot;??_);_(@_)" sourceLinked="1"/>
        <c:majorTickMark val="none"/>
        <c:tickLblPos val="nextTo"/>
        <c:txPr>
          <a:bodyPr/>
          <a:lstStyle/>
          <a:p>
            <a:pPr>
              <a:defRPr lang="en-US"/>
            </a:pPr>
            <a:endParaRPr lang="en-US"/>
          </a:p>
        </c:txPr>
        <c:crossAx val="143381632"/>
        <c:crosses val="autoZero"/>
        <c:crossBetween val="between"/>
        <c:majorUnit val="50000"/>
      </c:valAx>
    </c:plotArea>
    <c:plotVisOnly val="1"/>
    <c:dispBlanksAs val="gap"/>
  </c:chart>
  <c:spPr>
    <a:ln w="31750" cmpd="dbl">
      <a:solidFill>
        <a:schemeClr val="accent5">
          <a:lumMod val="50000"/>
        </a:schemeClr>
      </a:solid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7.581267775612148E-2"/>
          <c:y val="7.6671184916198704E-2"/>
          <c:w val="0.80891055016836722"/>
          <c:h val="0.48912182434095813"/>
        </c:manualLayout>
      </c:layout>
      <c:barChart>
        <c:barDir val="col"/>
        <c:grouping val="clustered"/>
        <c:ser>
          <c:idx val="0"/>
          <c:order val="0"/>
          <c:tx>
            <c:strRef>
              <c:f>'Fig 4.5'!$D$5</c:f>
              <c:strCache>
                <c:ptCount val="1"/>
                <c:pt idx="0">
                  <c:v>2005</c:v>
                </c:pt>
              </c:strCache>
            </c:strRef>
          </c:tx>
          <c:cat>
            <c:multiLvlStrRef>
              <c:f>'Fig 4.5'!$A$6:$C$13</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NNPS</c:v>
                  </c:pt>
                </c:lvl>
              </c:multiLvlStrCache>
            </c:multiLvlStrRef>
          </c:cat>
          <c:val>
            <c:numRef>
              <c:f>'Fig 4.5'!$D$6:$D$13</c:f>
              <c:numCache>
                <c:formatCode>0.0</c:formatCode>
                <c:ptCount val="8"/>
                <c:pt idx="0">
                  <c:v>91.517075752025079</c:v>
                </c:pt>
                <c:pt idx="1">
                  <c:v>87.195722527081116</c:v>
                </c:pt>
                <c:pt idx="2">
                  <c:v>77.908399841414848</c:v>
                </c:pt>
                <c:pt idx="3">
                  <c:v>71.873690825303711</c:v>
                </c:pt>
                <c:pt idx="4">
                  <c:v>76.184698348500149</c:v>
                </c:pt>
                <c:pt idx="5">
                  <c:v>70.699300699300707</c:v>
                </c:pt>
                <c:pt idx="6">
                  <c:v>72.102877122278073</c:v>
                </c:pt>
                <c:pt idx="7">
                  <c:v>67.85240947887398</c:v>
                </c:pt>
              </c:numCache>
            </c:numRef>
          </c:val>
        </c:ser>
        <c:ser>
          <c:idx val="1"/>
          <c:order val="1"/>
          <c:tx>
            <c:strRef>
              <c:f>'Fig 4.5'!$E$5</c:f>
              <c:strCache>
                <c:ptCount val="1"/>
                <c:pt idx="0">
                  <c:v>2010</c:v>
                </c:pt>
              </c:strCache>
            </c:strRef>
          </c:tx>
          <c:cat>
            <c:multiLvlStrRef>
              <c:f>'Fig 4.5'!$A$6:$C$13</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NNPS</c:v>
                  </c:pt>
                </c:lvl>
              </c:multiLvlStrCache>
            </c:multiLvlStrRef>
          </c:cat>
          <c:val>
            <c:numRef>
              <c:f>'Fig 4.5'!$E$6:$E$13</c:f>
              <c:numCache>
                <c:formatCode>0.0</c:formatCode>
                <c:ptCount val="8"/>
                <c:pt idx="0">
                  <c:v>96.669437805257758</c:v>
                </c:pt>
                <c:pt idx="1">
                  <c:v>93.584315169366732</c:v>
                </c:pt>
                <c:pt idx="2">
                  <c:v>86.175769162539055</c:v>
                </c:pt>
                <c:pt idx="3">
                  <c:v>82.090834215790082</c:v>
                </c:pt>
                <c:pt idx="4">
                  <c:v>89.621423231156115</c:v>
                </c:pt>
                <c:pt idx="5">
                  <c:v>82.993946064943827</c:v>
                </c:pt>
                <c:pt idx="6">
                  <c:v>84.520381613178529</c:v>
                </c:pt>
                <c:pt idx="7">
                  <c:v>79.926138296320858</c:v>
                </c:pt>
              </c:numCache>
            </c:numRef>
          </c:val>
        </c:ser>
        <c:ser>
          <c:idx val="2"/>
          <c:order val="2"/>
          <c:tx>
            <c:strRef>
              <c:f>'Fig 4.5'!$F$5</c:f>
              <c:strCache>
                <c:ptCount val="1"/>
                <c:pt idx="0">
                  <c:v>2011</c:v>
                </c:pt>
              </c:strCache>
            </c:strRef>
          </c:tx>
          <c:spPr>
            <a:solidFill>
              <a:schemeClr val="accent3">
                <a:lumMod val="60000"/>
                <a:lumOff val="40000"/>
              </a:schemeClr>
            </a:solidFill>
          </c:spPr>
          <c:cat>
            <c:multiLvlStrRef>
              <c:f>'Fig 4.5'!$A$6:$C$13</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NNPS</c:v>
                  </c:pt>
                </c:lvl>
              </c:multiLvlStrCache>
            </c:multiLvlStrRef>
          </c:cat>
          <c:val>
            <c:numRef>
              <c:f>'Fig 4.5'!$F$6:$F$13</c:f>
              <c:numCache>
                <c:formatCode>0.0</c:formatCode>
                <c:ptCount val="8"/>
                <c:pt idx="0">
                  <c:v>95.299098306575758</c:v>
                </c:pt>
                <c:pt idx="1">
                  <c:v>92.086516178868749</c:v>
                </c:pt>
                <c:pt idx="2">
                  <c:v>82.25583272475204</c:v>
                </c:pt>
                <c:pt idx="3">
                  <c:v>75.35494027040221</c:v>
                </c:pt>
                <c:pt idx="4">
                  <c:v>90.686516616100988</c:v>
                </c:pt>
                <c:pt idx="5">
                  <c:v>86.413043478261727</c:v>
                </c:pt>
                <c:pt idx="6">
                  <c:v>85.489122391593909</c:v>
                </c:pt>
                <c:pt idx="7">
                  <c:v>81.997607655503927</c:v>
                </c:pt>
              </c:numCache>
            </c:numRef>
          </c:val>
        </c:ser>
        <c:ser>
          <c:idx val="3"/>
          <c:order val="3"/>
          <c:tx>
            <c:strRef>
              <c:f>'Fig 4.5'!$G$5</c:f>
              <c:strCache>
                <c:ptCount val="1"/>
                <c:pt idx="0">
                  <c:v>2012</c:v>
                </c:pt>
              </c:strCache>
            </c:strRef>
          </c:tx>
          <c:cat>
            <c:multiLvlStrRef>
              <c:f>'Fig 4.5'!$A$6:$C$13</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NNPS</c:v>
                  </c:pt>
                </c:lvl>
              </c:multiLvlStrCache>
            </c:multiLvlStrRef>
          </c:cat>
          <c:val>
            <c:numRef>
              <c:f>'Fig 4.5'!$G$6:$G$13</c:f>
              <c:numCache>
                <c:formatCode>0.0</c:formatCode>
                <c:ptCount val="8"/>
                <c:pt idx="0">
                  <c:v>78.879289064428519</c:v>
                </c:pt>
                <c:pt idx="1">
                  <c:v>75.682140988263441</c:v>
                </c:pt>
                <c:pt idx="2">
                  <c:v>81.574984312905258</c:v>
                </c:pt>
                <c:pt idx="3">
                  <c:v>78.919176622356829</c:v>
                </c:pt>
                <c:pt idx="4">
                  <c:v>89.258239149017427</c:v>
                </c:pt>
                <c:pt idx="5">
                  <c:v>79.568733153633985</c:v>
                </c:pt>
                <c:pt idx="6">
                  <c:v>85.02438444153681</c:v>
                </c:pt>
                <c:pt idx="7">
                  <c:v>66.806848903572558</c:v>
                </c:pt>
              </c:numCache>
            </c:numRef>
          </c:val>
        </c:ser>
        <c:ser>
          <c:idx val="4"/>
          <c:order val="4"/>
          <c:tx>
            <c:strRef>
              <c:f>'Fig 4.5'!$H$5</c:f>
              <c:strCache>
                <c:ptCount val="1"/>
                <c:pt idx="0">
                  <c:v>2013</c:v>
                </c:pt>
              </c:strCache>
            </c:strRef>
          </c:tx>
          <c:cat>
            <c:multiLvlStrRef>
              <c:f>'Fig 4.5'!$A$6:$C$13</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NNPS</c:v>
                  </c:pt>
                </c:lvl>
              </c:multiLvlStrCache>
            </c:multiLvlStrRef>
          </c:cat>
          <c:val>
            <c:numRef>
              <c:f>'Fig 4.5'!$H$6:$H$13</c:f>
              <c:numCache>
                <c:formatCode>0.0</c:formatCode>
                <c:ptCount val="8"/>
                <c:pt idx="0">
                  <c:v>95.84</c:v>
                </c:pt>
                <c:pt idx="1">
                  <c:v>94.92</c:v>
                </c:pt>
                <c:pt idx="2">
                  <c:v>88.45</c:v>
                </c:pt>
                <c:pt idx="3">
                  <c:v>84.9</c:v>
                </c:pt>
                <c:pt idx="4">
                  <c:v>90.58</c:v>
                </c:pt>
                <c:pt idx="5">
                  <c:v>86.29</c:v>
                </c:pt>
                <c:pt idx="6">
                  <c:v>84.460000000000022</c:v>
                </c:pt>
                <c:pt idx="7">
                  <c:v>69.989999999999995</c:v>
                </c:pt>
              </c:numCache>
            </c:numRef>
          </c:val>
        </c:ser>
        <c:ser>
          <c:idx val="5"/>
          <c:order val="5"/>
          <c:tx>
            <c:strRef>
              <c:f>'Fig 4.5'!$I$5</c:f>
              <c:strCache>
                <c:ptCount val="1"/>
                <c:pt idx="0">
                  <c:v>2014</c:v>
                </c:pt>
              </c:strCache>
            </c:strRef>
          </c:tx>
          <c:cat>
            <c:multiLvlStrRef>
              <c:f>'Fig 4.5'!$A$6:$C$13</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NNPS</c:v>
                  </c:pt>
                </c:lvl>
              </c:multiLvlStrCache>
            </c:multiLvlStrRef>
          </c:cat>
          <c:val>
            <c:numRef>
              <c:f>'Fig 4.5'!$I$6:$I$13</c:f>
              <c:numCache>
                <c:formatCode>0.0</c:formatCode>
                <c:ptCount val="8"/>
                <c:pt idx="0">
                  <c:v>72.900000000000006</c:v>
                </c:pt>
                <c:pt idx="1">
                  <c:v>68.099999999999994</c:v>
                </c:pt>
                <c:pt idx="2">
                  <c:v>78.400000000000006</c:v>
                </c:pt>
                <c:pt idx="3">
                  <c:v>77.900000000000006</c:v>
                </c:pt>
                <c:pt idx="4">
                  <c:v>83.8</c:v>
                </c:pt>
                <c:pt idx="5">
                  <c:v>74.8</c:v>
                </c:pt>
                <c:pt idx="6">
                  <c:v>81.099999999999994</c:v>
                </c:pt>
                <c:pt idx="7">
                  <c:v>64.7</c:v>
                </c:pt>
              </c:numCache>
            </c:numRef>
          </c:val>
        </c:ser>
        <c:ser>
          <c:idx val="6"/>
          <c:order val="6"/>
          <c:tx>
            <c:strRef>
              <c:f>'Fig 4.5'!$J$5</c:f>
              <c:strCache>
                <c:ptCount val="1"/>
                <c:pt idx="0">
                  <c:v>2015</c:v>
                </c:pt>
              </c:strCache>
            </c:strRef>
          </c:tx>
          <c:spPr>
            <a:solidFill>
              <a:srgbClr val="33CC33"/>
            </a:solidFill>
          </c:spPr>
          <c:dLbls>
            <c:dLbl>
              <c:idx val="0"/>
              <c:layout>
                <c:manualLayout>
                  <c:x val="6.4277836816287034E-3"/>
                  <c:y val="1.6872855395311886E-2"/>
                </c:manualLayout>
              </c:layout>
              <c:showVal val="1"/>
            </c:dLbl>
            <c:dLbl>
              <c:idx val="1"/>
              <c:layout>
                <c:manualLayout>
                  <c:x val="6.4277836816287034E-3"/>
                  <c:y val="1.6872855395311886E-2"/>
                </c:manualLayout>
              </c:layout>
              <c:showVal val="1"/>
            </c:dLbl>
            <c:dLbl>
              <c:idx val="2"/>
              <c:layout>
                <c:manualLayout>
                  <c:x val="6.4277836816287034E-3"/>
                  <c:y val="1.6872855395311886E-2"/>
                </c:manualLayout>
              </c:layout>
              <c:showVal val="1"/>
            </c:dLbl>
            <c:dLbl>
              <c:idx val="3"/>
              <c:layout>
                <c:manualLayout>
                  <c:x val="6.4277836816287034E-3"/>
                  <c:y val="1.6872855395311886E-2"/>
                </c:manualLayout>
              </c:layout>
              <c:showVal val="1"/>
            </c:dLbl>
            <c:dLbl>
              <c:idx val="4"/>
              <c:layout>
                <c:manualLayout>
                  <c:x val="8.5703782421715589E-3"/>
                  <c:y val="1.6872855395311886E-2"/>
                </c:manualLayout>
              </c:layout>
              <c:showVal val="1"/>
            </c:dLbl>
            <c:dLbl>
              <c:idx val="5"/>
              <c:layout>
                <c:manualLayout>
                  <c:x val="6.4277836816287034E-3"/>
                  <c:y val="1.6872855395311886E-2"/>
                </c:manualLayout>
              </c:layout>
              <c:showVal val="1"/>
            </c:dLbl>
            <c:dLbl>
              <c:idx val="6"/>
              <c:layout>
                <c:manualLayout>
                  <c:x val="1.2855567363257481E-2"/>
                  <c:y val="1.2654641546483559E-2"/>
                </c:manualLayout>
              </c:layout>
              <c:showVal val="1"/>
            </c:dLbl>
            <c:dLbl>
              <c:idx val="7"/>
              <c:layout>
                <c:manualLayout>
                  <c:x val="4.2851891210857794E-3"/>
                  <c:y val="2.1091069244139258E-2"/>
                </c:manualLayout>
              </c:layout>
              <c:showVal val="1"/>
            </c:dLbl>
            <c:txPr>
              <a:bodyPr/>
              <a:lstStyle/>
              <a:p>
                <a:pPr>
                  <a:defRPr lang="en-US" sz="900">
                    <a:solidFill>
                      <a:srgbClr val="00B050"/>
                    </a:solidFill>
                  </a:defRPr>
                </a:pPr>
                <a:endParaRPr lang="en-US"/>
              </a:p>
            </c:txPr>
            <c:showVal val="1"/>
          </c:dLbls>
          <c:cat>
            <c:multiLvlStrRef>
              <c:f>'Fig 4.5'!$A$6:$C$13</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NNPS</c:v>
                  </c:pt>
                </c:lvl>
              </c:multiLvlStrCache>
            </c:multiLvlStrRef>
          </c:cat>
          <c:val>
            <c:numRef>
              <c:f>'Fig 4.5'!$J$6:$J$13</c:f>
              <c:numCache>
                <c:formatCode>0.0</c:formatCode>
                <c:ptCount val="8"/>
                <c:pt idx="0">
                  <c:v>96.5</c:v>
                </c:pt>
                <c:pt idx="1">
                  <c:v>91.4</c:v>
                </c:pt>
                <c:pt idx="2">
                  <c:v>91.3</c:v>
                </c:pt>
                <c:pt idx="3">
                  <c:v>85.6</c:v>
                </c:pt>
                <c:pt idx="4">
                  <c:v>89.8</c:v>
                </c:pt>
                <c:pt idx="5">
                  <c:v>86.3</c:v>
                </c:pt>
                <c:pt idx="6">
                  <c:v>75.2</c:v>
                </c:pt>
                <c:pt idx="7">
                  <c:v>88.1</c:v>
                </c:pt>
              </c:numCache>
            </c:numRef>
          </c:val>
        </c:ser>
        <c:axId val="143436416"/>
        <c:axId val="143450496"/>
      </c:barChart>
      <c:catAx>
        <c:axId val="143436416"/>
        <c:scaling>
          <c:orientation val="minMax"/>
        </c:scaling>
        <c:axPos val="b"/>
        <c:tickLblPos val="nextTo"/>
        <c:txPr>
          <a:bodyPr/>
          <a:lstStyle/>
          <a:p>
            <a:pPr>
              <a:defRPr lang="en-US"/>
            </a:pPr>
            <a:endParaRPr lang="en-US"/>
          </a:p>
        </c:txPr>
        <c:crossAx val="143450496"/>
        <c:crosses val="autoZero"/>
        <c:auto val="1"/>
        <c:lblAlgn val="ctr"/>
        <c:lblOffset val="100"/>
      </c:catAx>
      <c:valAx>
        <c:axId val="143450496"/>
        <c:scaling>
          <c:orientation val="minMax"/>
        </c:scaling>
        <c:axPos val="l"/>
        <c:majorGridlines>
          <c:spPr>
            <a:ln>
              <a:solidFill>
                <a:schemeClr val="accent5">
                  <a:lumMod val="60000"/>
                  <a:lumOff val="40000"/>
                </a:schemeClr>
              </a:solidFill>
            </a:ln>
          </c:spPr>
        </c:majorGridlines>
        <c:numFmt formatCode="0.0" sourceLinked="1"/>
        <c:tickLblPos val="nextTo"/>
        <c:txPr>
          <a:bodyPr/>
          <a:lstStyle/>
          <a:p>
            <a:pPr>
              <a:defRPr lang="en-US" sz="900"/>
            </a:pPr>
            <a:endParaRPr lang="en-US"/>
          </a:p>
        </c:txPr>
        <c:crossAx val="143436416"/>
        <c:crosses val="autoZero"/>
        <c:crossBetween val="between"/>
      </c:valAx>
    </c:plotArea>
    <c:legend>
      <c:legendPos val="r"/>
      <c:txPr>
        <a:bodyPr/>
        <a:lstStyle/>
        <a:p>
          <a:pPr>
            <a:defRPr lang="en-US"/>
          </a:pPr>
          <a:endParaRPr lang="en-US"/>
        </a:p>
      </c:txPr>
    </c:legend>
    <c:plotVisOnly val="1"/>
    <c:dispBlanksAs val="gap"/>
  </c:chart>
  <c:spPr>
    <a:ln w="31750" cmpd="dbl">
      <a:solidFill>
        <a:schemeClr val="accent5">
          <a:lumMod val="50000"/>
        </a:schemeClr>
      </a:solid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1966885389326334"/>
          <c:y val="0.13293631985322593"/>
          <c:w val="0.72959645669291362"/>
          <c:h val="0.60025915449890499"/>
        </c:manualLayout>
      </c:layout>
      <c:barChart>
        <c:barDir val="col"/>
        <c:grouping val="clustered"/>
        <c:ser>
          <c:idx val="0"/>
          <c:order val="0"/>
          <c:tx>
            <c:v>2005</c:v>
          </c:tx>
          <c:cat>
            <c:multiLvlStrRef>
              <c:f>'Fig 4.6'!$B$7:$D$8</c:f>
              <c:multiLvlStrCache>
                <c:ptCount val="3"/>
                <c:lvl>
                  <c:pt idx="0">
                    <c:v>Male teachers</c:v>
                  </c:pt>
                  <c:pt idx="1">
                    <c:v>Female teachers</c:v>
                  </c:pt>
                  <c:pt idx="2">
                    <c:v>All</c:v>
                  </c:pt>
                </c:lvl>
                <c:lvl>
                  <c:pt idx="0">
                    <c:v>Subject-based Training</c:v>
                  </c:pt>
                </c:lvl>
              </c:multiLvlStrCache>
            </c:multiLvlStrRef>
          </c:cat>
          <c:val>
            <c:numRef>
              <c:f>'Fig 4.6'!$B$9:$D$9</c:f>
              <c:numCache>
                <c:formatCode>0.0</c:formatCode>
                <c:ptCount val="3"/>
                <c:pt idx="0">
                  <c:v>28.620658107407635</c:v>
                </c:pt>
                <c:pt idx="1">
                  <c:v>26.346181096783329</c:v>
                </c:pt>
                <c:pt idx="2">
                  <c:v>28</c:v>
                </c:pt>
              </c:numCache>
            </c:numRef>
          </c:val>
        </c:ser>
        <c:ser>
          <c:idx val="1"/>
          <c:order val="1"/>
          <c:tx>
            <c:v>2010</c:v>
          </c:tx>
          <c:cat>
            <c:multiLvlStrRef>
              <c:f>'Fig 4.6'!$B$7:$D$8</c:f>
              <c:multiLvlStrCache>
                <c:ptCount val="3"/>
                <c:lvl>
                  <c:pt idx="0">
                    <c:v>Male teachers</c:v>
                  </c:pt>
                  <c:pt idx="1">
                    <c:v>Female teachers</c:v>
                  </c:pt>
                  <c:pt idx="2">
                    <c:v>All</c:v>
                  </c:pt>
                </c:lvl>
                <c:lvl>
                  <c:pt idx="0">
                    <c:v>Subject-based Training</c:v>
                  </c:pt>
                </c:lvl>
              </c:multiLvlStrCache>
            </c:multiLvlStrRef>
          </c:cat>
          <c:val>
            <c:numRef>
              <c:f>'Fig 4.6'!$B$10:$D$10</c:f>
              <c:numCache>
                <c:formatCode>0.0</c:formatCode>
                <c:ptCount val="3"/>
                <c:pt idx="0">
                  <c:v>86.149699174602063</c:v>
                </c:pt>
                <c:pt idx="1">
                  <c:v>83.308526292644089</c:v>
                </c:pt>
                <c:pt idx="2">
                  <c:v>84.714808185270527</c:v>
                </c:pt>
              </c:numCache>
            </c:numRef>
          </c:val>
        </c:ser>
        <c:ser>
          <c:idx val="2"/>
          <c:order val="2"/>
          <c:tx>
            <c:v>2011</c:v>
          </c:tx>
          <c:cat>
            <c:multiLvlStrRef>
              <c:f>'Fig 4.6'!$B$7:$D$8</c:f>
              <c:multiLvlStrCache>
                <c:ptCount val="3"/>
                <c:lvl>
                  <c:pt idx="0">
                    <c:v>Male teachers</c:v>
                  </c:pt>
                  <c:pt idx="1">
                    <c:v>Female teachers</c:v>
                  </c:pt>
                  <c:pt idx="2">
                    <c:v>All</c:v>
                  </c:pt>
                </c:lvl>
                <c:lvl>
                  <c:pt idx="0">
                    <c:v>Subject-based Training</c:v>
                  </c:pt>
                </c:lvl>
              </c:multiLvlStrCache>
            </c:multiLvlStrRef>
          </c:cat>
          <c:val>
            <c:numRef>
              <c:f>'Fig 4.6'!$B$11:$D$11</c:f>
              <c:numCache>
                <c:formatCode>0.0</c:formatCode>
                <c:ptCount val="3"/>
                <c:pt idx="0">
                  <c:v>82.158979743857458</c:v>
                </c:pt>
                <c:pt idx="1">
                  <c:v>70.648894862603058</c:v>
                </c:pt>
                <c:pt idx="2">
                  <c:v>75.887527709718796</c:v>
                </c:pt>
              </c:numCache>
            </c:numRef>
          </c:val>
        </c:ser>
        <c:ser>
          <c:idx val="3"/>
          <c:order val="3"/>
          <c:tx>
            <c:v>2012</c:v>
          </c:tx>
          <c:cat>
            <c:multiLvlStrRef>
              <c:f>'Fig 4.6'!$B$7:$D$8</c:f>
              <c:multiLvlStrCache>
                <c:ptCount val="3"/>
                <c:lvl>
                  <c:pt idx="0">
                    <c:v>Male teachers</c:v>
                  </c:pt>
                  <c:pt idx="1">
                    <c:v>Female teachers</c:v>
                  </c:pt>
                  <c:pt idx="2">
                    <c:v>All</c:v>
                  </c:pt>
                </c:lvl>
                <c:lvl>
                  <c:pt idx="0">
                    <c:v>Subject-based Training</c:v>
                  </c:pt>
                </c:lvl>
              </c:multiLvlStrCache>
            </c:multiLvlStrRef>
          </c:cat>
          <c:val>
            <c:numRef>
              <c:f>'Fig 4.6'!$B$12:$D$12</c:f>
              <c:numCache>
                <c:formatCode>0.0</c:formatCode>
                <c:ptCount val="3"/>
                <c:pt idx="0">
                  <c:v>64.393790878792558</c:v>
                </c:pt>
                <c:pt idx="1">
                  <c:v>58.831321191541896</c:v>
                </c:pt>
                <c:pt idx="2">
                  <c:v>61.106296448111813</c:v>
                </c:pt>
              </c:numCache>
            </c:numRef>
          </c:val>
        </c:ser>
        <c:ser>
          <c:idx val="4"/>
          <c:order val="4"/>
          <c:tx>
            <c:v>2013</c:v>
          </c:tx>
          <c:cat>
            <c:multiLvlStrRef>
              <c:f>'Fig 4.6'!$B$7:$D$8</c:f>
              <c:multiLvlStrCache>
                <c:ptCount val="3"/>
                <c:lvl>
                  <c:pt idx="0">
                    <c:v>Male teachers</c:v>
                  </c:pt>
                  <c:pt idx="1">
                    <c:v>Female teachers</c:v>
                  </c:pt>
                  <c:pt idx="2">
                    <c:v>All</c:v>
                  </c:pt>
                </c:lvl>
                <c:lvl>
                  <c:pt idx="0">
                    <c:v>Subject-based Training</c:v>
                  </c:pt>
                </c:lvl>
              </c:multiLvlStrCache>
            </c:multiLvlStrRef>
          </c:cat>
          <c:val>
            <c:numRef>
              <c:f>'Fig 4.6'!$B$13:$D$13</c:f>
              <c:numCache>
                <c:formatCode>0.0</c:formatCode>
                <c:ptCount val="3"/>
                <c:pt idx="0">
                  <c:v>65.86999999999999</c:v>
                </c:pt>
                <c:pt idx="1">
                  <c:v>58.98</c:v>
                </c:pt>
                <c:pt idx="2">
                  <c:v>62.42</c:v>
                </c:pt>
              </c:numCache>
            </c:numRef>
          </c:val>
        </c:ser>
        <c:ser>
          <c:idx val="5"/>
          <c:order val="5"/>
          <c:tx>
            <c:v>2014</c:v>
          </c:tx>
          <c:cat>
            <c:multiLvlStrRef>
              <c:f>'Fig 4.6'!$B$7:$D$8</c:f>
              <c:multiLvlStrCache>
                <c:ptCount val="3"/>
                <c:lvl>
                  <c:pt idx="0">
                    <c:v>Male teachers</c:v>
                  </c:pt>
                  <c:pt idx="1">
                    <c:v>Female teachers</c:v>
                  </c:pt>
                  <c:pt idx="2">
                    <c:v>All</c:v>
                  </c:pt>
                </c:lvl>
                <c:lvl>
                  <c:pt idx="0">
                    <c:v>Subject-based Training</c:v>
                  </c:pt>
                </c:lvl>
              </c:multiLvlStrCache>
            </c:multiLvlStrRef>
          </c:cat>
          <c:val>
            <c:numRef>
              <c:f>'Fig 4.6'!$B$14:$D$14</c:f>
              <c:numCache>
                <c:formatCode>0.0</c:formatCode>
                <c:ptCount val="3"/>
                <c:pt idx="0">
                  <c:v>65.7</c:v>
                </c:pt>
                <c:pt idx="1">
                  <c:v>58.2</c:v>
                </c:pt>
                <c:pt idx="2">
                  <c:v>61.2</c:v>
                </c:pt>
              </c:numCache>
            </c:numRef>
          </c:val>
        </c:ser>
        <c:ser>
          <c:idx val="6"/>
          <c:order val="6"/>
          <c:tx>
            <c:v>2015</c:v>
          </c:tx>
          <c:spPr>
            <a:solidFill>
              <a:srgbClr val="CCCC00"/>
            </a:solidFill>
          </c:spPr>
          <c:cat>
            <c:multiLvlStrRef>
              <c:f>'Fig 4.6'!$B$7:$D$8</c:f>
              <c:multiLvlStrCache>
                <c:ptCount val="3"/>
                <c:lvl>
                  <c:pt idx="0">
                    <c:v>Male teachers</c:v>
                  </c:pt>
                  <c:pt idx="1">
                    <c:v>Female teachers</c:v>
                  </c:pt>
                  <c:pt idx="2">
                    <c:v>All</c:v>
                  </c:pt>
                </c:lvl>
                <c:lvl>
                  <c:pt idx="0">
                    <c:v>Subject-based Training</c:v>
                  </c:pt>
                </c:lvl>
              </c:multiLvlStrCache>
            </c:multiLvlStrRef>
          </c:cat>
          <c:val>
            <c:numRef>
              <c:f>'Fig 4.6'!$B$15:$D$15</c:f>
              <c:numCache>
                <c:formatCode>0.0</c:formatCode>
                <c:ptCount val="3"/>
                <c:pt idx="0">
                  <c:v>79.099999999999994</c:v>
                </c:pt>
                <c:pt idx="1">
                  <c:v>69.900000000000006</c:v>
                </c:pt>
                <c:pt idx="2">
                  <c:v>73.400000000000006</c:v>
                </c:pt>
              </c:numCache>
            </c:numRef>
          </c:val>
        </c:ser>
        <c:axId val="144073088"/>
        <c:axId val="144074624"/>
      </c:barChart>
      <c:catAx>
        <c:axId val="144073088"/>
        <c:scaling>
          <c:orientation val="minMax"/>
        </c:scaling>
        <c:axPos val="b"/>
        <c:tickLblPos val="nextTo"/>
        <c:txPr>
          <a:bodyPr/>
          <a:lstStyle/>
          <a:p>
            <a:pPr>
              <a:defRPr lang="en-US"/>
            </a:pPr>
            <a:endParaRPr lang="en-US"/>
          </a:p>
        </c:txPr>
        <c:crossAx val="144074624"/>
        <c:crosses val="autoZero"/>
        <c:auto val="1"/>
        <c:lblAlgn val="ctr"/>
        <c:lblOffset val="100"/>
      </c:catAx>
      <c:valAx>
        <c:axId val="144074624"/>
        <c:scaling>
          <c:orientation val="minMax"/>
        </c:scaling>
        <c:axPos val="l"/>
        <c:majorGridlines>
          <c:spPr>
            <a:ln>
              <a:solidFill>
                <a:srgbClr val="4BACC6">
                  <a:lumMod val="60000"/>
                  <a:lumOff val="40000"/>
                </a:srgbClr>
              </a:solidFill>
            </a:ln>
          </c:spPr>
        </c:majorGridlines>
        <c:numFmt formatCode="0.0" sourceLinked="1"/>
        <c:tickLblPos val="nextTo"/>
        <c:txPr>
          <a:bodyPr/>
          <a:lstStyle/>
          <a:p>
            <a:pPr>
              <a:defRPr lang="en-US" sz="900"/>
            </a:pPr>
            <a:endParaRPr lang="en-US"/>
          </a:p>
        </c:txPr>
        <c:crossAx val="144073088"/>
        <c:crosses val="autoZero"/>
        <c:crossBetween val="between"/>
        <c:majorUnit val="10"/>
      </c:valAx>
    </c:plotArea>
    <c:legend>
      <c:legendPos val="r"/>
      <c:txPr>
        <a:bodyPr/>
        <a:lstStyle/>
        <a:p>
          <a:pPr>
            <a:defRPr lang="en-US"/>
          </a:pPr>
          <a:endParaRPr lang="en-US"/>
        </a:p>
      </c:txPr>
    </c:legend>
    <c:plotVisOnly val="1"/>
    <c:dispBlanksAs val="gap"/>
  </c:chart>
  <c:spPr>
    <a:ln w="31750" cmpd="dbl">
      <a:solidFill>
        <a:schemeClr val="accent5">
          <a:lumMod val="50000"/>
        </a:schemeClr>
      </a:solidFill>
    </a:ln>
  </c:spPr>
  <c:externalData r:id="rId1"/>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1966885389326334"/>
          <c:y val="0.11741857157723126"/>
          <c:w val="0.70452690288713848"/>
          <c:h val="0.60498074855180561"/>
        </c:manualLayout>
      </c:layout>
      <c:barChart>
        <c:barDir val="col"/>
        <c:grouping val="clustered"/>
        <c:ser>
          <c:idx val="0"/>
          <c:order val="0"/>
          <c:tx>
            <c:v>2005</c:v>
          </c:tx>
          <c:cat>
            <c:multiLvlStrRef>
              <c:f>'Fig 4.7'!$B$7:$D$8</c:f>
              <c:multiLvlStrCache>
                <c:ptCount val="3"/>
                <c:lvl>
                  <c:pt idx="0">
                    <c:v>Male teachers</c:v>
                  </c:pt>
                  <c:pt idx="1">
                    <c:v>Female teachers</c:v>
                  </c:pt>
                  <c:pt idx="2">
                    <c:v>Total</c:v>
                  </c:pt>
                </c:lvl>
                <c:lvl>
                  <c:pt idx="0">
                    <c:v>Sub-cluster</c:v>
                  </c:pt>
                </c:lvl>
              </c:multiLvlStrCache>
            </c:multiLvlStrRef>
          </c:cat>
          <c:val>
            <c:numRef>
              <c:f>'Fig 4.7'!$B$9:$D$9</c:f>
              <c:numCache>
                <c:formatCode>0.0</c:formatCode>
                <c:ptCount val="3"/>
                <c:pt idx="0">
                  <c:v>81.231130493123132</c:v>
                </c:pt>
                <c:pt idx="1">
                  <c:v>79.216853242643296</c:v>
                </c:pt>
                <c:pt idx="2">
                  <c:v>80.2</c:v>
                </c:pt>
              </c:numCache>
            </c:numRef>
          </c:val>
        </c:ser>
        <c:ser>
          <c:idx val="1"/>
          <c:order val="1"/>
          <c:tx>
            <c:v>2010</c:v>
          </c:tx>
          <c:cat>
            <c:multiLvlStrRef>
              <c:f>'Fig 4.7'!$B$7:$D$8</c:f>
              <c:multiLvlStrCache>
                <c:ptCount val="3"/>
                <c:lvl>
                  <c:pt idx="0">
                    <c:v>Male teachers</c:v>
                  </c:pt>
                  <c:pt idx="1">
                    <c:v>Female teachers</c:v>
                  </c:pt>
                  <c:pt idx="2">
                    <c:v>Total</c:v>
                  </c:pt>
                </c:lvl>
                <c:lvl>
                  <c:pt idx="0">
                    <c:v>Sub-cluster</c:v>
                  </c:pt>
                </c:lvl>
              </c:multiLvlStrCache>
            </c:multiLvlStrRef>
          </c:cat>
          <c:val>
            <c:numRef>
              <c:f>'Fig 4.7'!$B$10:$D$10</c:f>
              <c:numCache>
                <c:formatCode>0.0</c:formatCode>
                <c:ptCount val="3"/>
                <c:pt idx="0">
                  <c:v>87</c:v>
                </c:pt>
                <c:pt idx="1">
                  <c:v>88</c:v>
                </c:pt>
                <c:pt idx="2">
                  <c:v>88</c:v>
                </c:pt>
              </c:numCache>
            </c:numRef>
          </c:val>
        </c:ser>
        <c:ser>
          <c:idx val="2"/>
          <c:order val="2"/>
          <c:tx>
            <c:v>2011</c:v>
          </c:tx>
          <c:cat>
            <c:multiLvlStrRef>
              <c:f>'Fig 4.7'!$B$7:$D$8</c:f>
              <c:multiLvlStrCache>
                <c:ptCount val="3"/>
                <c:lvl>
                  <c:pt idx="0">
                    <c:v>Male teachers</c:v>
                  </c:pt>
                  <c:pt idx="1">
                    <c:v>Female teachers</c:v>
                  </c:pt>
                  <c:pt idx="2">
                    <c:v>Total</c:v>
                  </c:pt>
                </c:lvl>
                <c:lvl>
                  <c:pt idx="0">
                    <c:v>Sub-cluster</c:v>
                  </c:pt>
                </c:lvl>
              </c:multiLvlStrCache>
            </c:multiLvlStrRef>
          </c:cat>
          <c:val>
            <c:numRef>
              <c:f>'Fig 4.7'!$B$11:$D$11</c:f>
              <c:numCache>
                <c:formatCode>0.0</c:formatCode>
                <c:ptCount val="3"/>
                <c:pt idx="0">
                  <c:v>75</c:v>
                </c:pt>
                <c:pt idx="1">
                  <c:v>87</c:v>
                </c:pt>
                <c:pt idx="2">
                  <c:v>78</c:v>
                </c:pt>
              </c:numCache>
            </c:numRef>
          </c:val>
        </c:ser>
        <c:ser>
          <c:idx val="3"/>
          <c:order val="3"/>
          <c:tx>
            <c:v>2012</c:v>
          </c:tx>
          <c:cat>
            <c:multiLvlStrRef>
              <c:f>'Fig 4.7'!$B$7:$D$8</c:f>
              <c:multiLvlStrCache>
                <c:ptCount val="3"/>
                <c:lvl>
                  <c:pt idx="0">
                    <c:v>Male teachers</c:v>
                  </c:pt>
                  <c:pt idx="1">
                    <c:v>Female teachers</c:v>
                  </c:pt>
                  <c:pt idx="2">
                    <c:v>Total</c:v>
                  </c:pt>
                </c:lvl>
                <c:lvl>
                  <c:pt idx="0">
                    <c:v>Sub-cluster</c:v>
                  </c:pt>
                </c:lvl>
              </c:multiLvlStrCache>
            </c:multiLvlStrRef>
          </c:cat>
          <c:val>
            <c:numRef>
              <c:f>'Fig 4.7'!$B$12:$D$12</c:f>
              <c:numCache>
                <c:formatCode>0.0</c:formatCode>
                <c:ptCount val="3"/>
                <c:pt idx="0">
                  <c:v>86</c:v>
                </c:pt>
                <c:pt idx="1">
                  <c:v>76.922879045120112</c:v>
                </c:pt>
                <c:pt idx="2">
                  <c:v>86</c:v>
                </c:pt>
              </c:numCache>
            </c:numRef>
          </c:val>
        </c:ser>
        <c:ser>
          <c:idx val="4"/>
          <c:order val="4"/>
          <c:tx>
            <c:v>2013</c:v>
          </c:tx>
          <c:cat>
            <c:multiLvlStrRef>
              <c:f>'Fig 4.7'!$B$7:$D$8</c:f>
              <c:multiLvlStrCache>
                <c:ptCount val="3"/>
                <c:lvl>
                  <c:pt idx="0">
                    <c:v>Male teachers</c:v>
                  </c:pt>
                  <c:pt idx="1">
                    <c:v>Female teachers</c:v>
                  </c:pt>
                  <c:pt idx="2">
                    <c:v>Total</c:v>
                  </c:pt>
                </c:lvl>
                <c:lvl>
                  <c:pt idx="0">
                    <c:v>Sub-cluster</c:v>
                  </c:pt>
                </c:lvl>
              </c:multiLvlStrCache>
            </c:multiLvlStrRef>
          </c:cat>
          <c:val>
            <c:numRef>
              <c:f>'Fig 4.7'!$B$13:$D$13</c:f>
              <c:numCache>
                <c:formatCode>0.0</c:formatCode>
                <c:ptCount val="3"/>
                <c:pt idx="0">
                  <c:v>89</c:v>
                </c:pt>
                <c:pt idx="1">
                  <c:v>87.63</c:v>
                </c:pt>
                <c:pt idx="2">
                  <c:v>89</c:v>
                </c:pt>
              </c:numCache>
            </c:numRef>
          </c:val>
        </c:ser>
        <c:ser>
          <c:idx val="5"/>
          <c:order val="5"/>
          <c:tx>
            <c:v>2014</c:v>
          </c:tx>
          <c:cat>
            <c:multiLvlStrRef>
              <c:f>'Fig 4.7'!$B$7:$D$8</c:f>
              <c:multiLvlStrCache>
                <c:ptCount val="3"/>
                <c:lvl>
                  <c:pt idx="0">
                    <c:v>Male teachers</c:v>
                  </c:pt>
                  <c:pt idx="1">
                    <c:v>Female teachers</c:v>
                  </c:pt>
                  <c:pt idx="2">
                    <c:v>Total</c:v>
                  </c:pt>
                </c:lvl>
                <c:lvl>
                  <c:pt idx="0">
                    <c:v>Sub-cluster</c:v>
                  </c:pt>
                </c:lvl>
              </c:multiLvlStrCache>
            </c:multiLvlStrRef>
          </c:cat>
          <c:val>
            <c:numRef>
              <c:f>'Fig 4.7'!$B$14:$D$14</c:f>
              <c:numCache>
                <c:formatCode>0.0</c:formatCode>
                <c:ptCount val="3"/>
                <c:pt idx="0">
                  <c:v>74.599999999999994</c:v>
                </c:pt>
                <c:pt idx="1">
                  <c:v>73.010000000000005</c:v>
                </c:pt>
                <c:pt idx="2">
                  <c:v>73.7</c:v>
                </c:pt>
              </c:numCache>
            </c:numRef>
          </c:val>
        </c:ser>
        <c:ser>
          <c:idx val="6"/>
          <c:order val="6"/>
          <c:tx>
            <c:v>2015</c:v>
          </c:tx>
          <c:cat>
            <c:multiLvlStrRef>
              <c:f>'Fig 4.7'!$B$7:$D$8</c:f>
              <c:multiLvlStrCache>
                <c:ptCount val="3"/>
                <c:lvl>
                  <c:pt idx="0">
                    <c:v>Male teachers</c:v>
                  </c:pt>
                  <c:pt idx="1">
                    <c:v>Female teachers</c:v>
                  </c:pt>
                  <c:pt idx="2">
                    <c:v>Total</c:v>
                  </c:pt>
                </c:lvl>
                <c:lvl>
                  <c:pt idx="0">
                    <c:v>Sub-cluster</c:v>
                  </c:pt>
                </c:lvl>
              </c:multiLvlStrCache>
            </c:multiLvlStrRef>
          </c:cat>
          <c:val>
            <c:numRef>
              <c:f>'Fig 4.7'!$B$15:$D$15</c:f>
              <c:numCache>
                <c:formatCode>0.0</c:formatCode>
                <c:ptCount val="3"/>
                <c:pt idx="0">
                  <c:v>90</c:v>
                </c:pt>
                <c:pt idx="1">
                  <c:v>89.2</c:v>
                </c:pt>
                <c:pt idx="2">
                  <c:v>89.7</c:v>
                </c:pt>
              </c:numCache>
            </c:numRef>
          </c:val>
        </c:ser>
        <c:axId val="144164736"/>
        <c:axId val="144166272"/>
      </c:barChart>
      <c:catAx>
        <c:axId val="144164736"/>
        <c:scaling>
          <c:orientation val="minMax"/>
        </c:scaling>
        <c:axPos val="b"/>
        <c:tickLblPos val="nextTo"/>
        <c:txPr>
          <a:bodyPr/>
          <a:lstStyle/>
          <a:p>
            <a:pPr>
              <a:defRPr lang="en-US"/>
            </a:pPr>
            <a:endParaRPr lang="en-US"/>
          </a:p>
        </c:txPr>
        <c:crossAx val="144166272"/>
        <c:crosses val="autoZero"/>
        <c:auto val="1"/>
        <c:lblAlgn val="ctr"/>
        <c:lblOffset val="100"/>
      </c:catAx>
      <c:valAx>
        <c:axId val="144166272"/>
        <c:scaling>
          <c:orientation val="minMax"/>
        </c:scaling>
        <c:axPos val="l"/>
        <c:majorGridlines>
          <c:spPr>
            <a:ln>
              <a:solidFill>
                <a:srgbClr val="4BACC6">
                  <a:lumMod val="60000"/>
                  <a:lumOff val="40000"/>
                </a:srgbClr>
              </a:solidFill>
            </a:ln>
          </c:spPr>
        </c:majorGridlines>
        <c:numFmt formatCode="0.0" sourceLinked="1"/>
        <c:tickLblPos val="nextTo"/>
        <c:txPr>
          <a:bodyPr/>
          <a:lstStyle/>
          <a:p>
            <a:pPr>
              <a:defRPr lang="en-US" sz="900"/>
            </a:pPr>
            <a:endParaRPr lang="en-US"/>
          </a:p>
        </c:txPr>
        <c:crossAx val="144164736"/>
        <c:crosses val="autoZero"/>
        <c:crossBetween val="between"/>
      </c:valAx>
    </c:plotArea>
    <c:legend>
      <c:legendPos val="r"/>
      <c:txPr>
        <a:bodyPr/>
        <a:lstStyle/>
        <a:p>
          <a:pPr>
            <a:defRPr lang="en-US"/>
          </a:pPr>
          <a:endParaRPr lang="en-US"/>
        </a:p>
      </c:txPr>
    </c:legend>
    <c:plotVisOnly val="1"/>
    <c:dispBlanksAs val="gap"/>
  </c:chart>
  <c:spPr>
    <a:ln w="31750" cmpd="dbl">
      <a:solidFill>
        <a:schemeClr val="accent5">
          <a:lumMod val="50000"/>
        </a:schemeClr>
      </a:solidFill>
    </a:ln>
  </c:spPr>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style val="30"/>
  <c:chart>
    <c:plotArea>
      <c:layout>
        <c:manualLayout>
          <c:layoutTarget val="inner"/>
          <c:xMode val="edge"/>
          <c:yMode val="edge"/>
          <c:x val="0.11966885389326334"/>
          <c:y val="0.11819597428553409"/>
          <c:w val="0.70452690288713848"/>
          <c:h val="0.54959873993087682"/>
        </c:manualLayout>
      </c:layout>
      <c:barChart>
        <c:barDir val="col"/>
        <c:grouping val="clustered"/>
        <c:ser>
          <c:idx val="0"/>
          <c:order val="0"/>
          <c:tx>
            <c:v>2005</c:v>
          </c:tx>
          <c:cat>
            <c:multiLvlStrRef>
              <c:f>'Fig 4.8'!$B$3:$E$4</c:f>
              <c:multiLvlStrCache>
                <c:ptCount val="4"/>
                <c:lvl>
                  <c:pt idx="0">
                    <c:v>GPS</c:v>
                  </c:pt>
                  <c:pt idx="1">
                    <c:v>NNPS</c:v>
                  </c:pt>
                  <c:pt idx="2">
                    <c:v>GPS</c:v>
                  </c:pt>
                  <c:pt idx="3">
                    <c:v>NNPS</c:v>
                  </c:pt>
                </c:lvl>
                <c:lvl>
                  <c:pt idx="0">
                    <c:v>Subject-based</c:v>
                  </c:pt>
                  <c:pt idx="2">
                    <c:v>Sub-cluster</c:v>
                  </c:pt>
                </c:lvl>
              </c:multiLvlStrCache>
            </c:multiLvlStrRef>
          </c:cat>
          <c:val>
            <c:numRef>
              <c:f>'Fig 4.8'!$B$5:$E$5</c:f>
              <c:numCache>
                <c:formatCode>0.0</c:formatCode>
                <c:ptCount val="4"/>
                <c:pt idx="0">
                  <c:v>26.626296989283887</c:v>
                </c:pt>
                <c:pt idx="1">
                  <c:v>30.08000232311646</c:v>
                </c:pt>
                <c:pt idx="2">
                  <c:v>80.804218404490555</c:v>
                </c:pt>
                <c:pt idx="3">
                  <c:v>79.665471229652397</c:v>
                </c:pt>
              </c:numCache>
            </c:numRef>
          </c:val>
        </c:ser>
        <c:ser>
          <c:idx val="1"/>
          <c:order val="1"/>
          <c:tx>
            <c:v>2010</c:v>
          </c:tx>
          <c:cat>
            <c:multiLvlStrRef>
              <c:f>'Fig 4.8'!$B$3:$E$4</c:f>
              <c:multiLvlStrCache>
                <c:ptCount val="4"/>
                <c:lvl>
                  <c:pt idx="0">
                    <c:v>GPS</c:v>
                  </c:pt>
                  <c:pt idx="1">
                    <c:v>NNPS</c:v>
                  </c:pt>
                  <c:pt idx="2">
                    <c:v>GPS</c:v>
                  </c:pt>
                  <c:pt idx="3">
                    <c:v>NNPS</c:v>
                  </c:pt>
                </c:lvl>
                <c:lvl>
                  <c:pt idx="0">
                    <c:v>Subject-based</c:v>
                  </c:pt>
                  <c:pt idx="2">
                    <c:v>Sub-cluster</c:v>
                  </c:pt>
                </c:lvl>
              </c:multiLvlStrCache>
            </c:multiLvlStrRef>
          </c:cat>
          <c:val>
            <c:numRef>
              <c:f>'Fig 4.8'!$B$6:$E$6</c:f>
              <c:numCache>
                <c:formatCode>0.0</c:formatCode>
                <c:ptCount val="4"/>
                <c:pt idx="0">
                  <c:v>84.363561810692858</c:v>
                </c:pt>
                <c:pt idx="1">
                  <c:v>85.546792052176258</c:v>
                </c:pt>
                <c:pt idx="2">
                  <c:v>87.728914536562158</c:v>
                </c:pt>
                <c:pt idx="3">
                  <c:v>87.4078568178371</c:v>
                </c:pt>
              </c:numCache>
            </c:numRef>
          </c:val>
        </c:ser>
        <c:ser>
          <c:idx val="2"/>
          <c:order val="2"/>
          <c:tx>
            <c:v>2011</c:v>
          </c:tx>
          <c:cat>
            <c:multiLvlStrRef>
              <c:f>'Fig 4.8'!$B$3:$E$4</c:f>
              <c:multiLvlStrCache>
                <c:ptCount val="4"/>
                <c:lvl>
                  <c:pt idx="0">
                    <c:v>GPS</c:v>
                  </c:pt>
                  <c:pt idx="1">
                    <c:v>NNPS</c:v>
                  </c:pt>
                  <c:pt idx="2">
                    <c:v>GPS</c:v>
                  </c:pt>
                  <c:pt idx="3">
                    <c:v>NNPS</c:v>
                  </c:pt>
                </c:lvl>
                <c:lvl>
                  <c:pt idx="0">
                    <c:v>Subject-based</c:v>
                  </c:pt>
                  <c:pt idx="2">
                    <c:v>Sub-cluster</c:v>
                  </c:pt>
                </c:lvl>
              </c:multiLvlStrCache>
            </c:multiLvlStrRef>
          </c:cat>
          <c:val>
            <c:numRef>
              <c:f>'Fig 4.8'!$B$7:$E$7</c:f>
              <c:numCache>
                <c:formatCode>0.0</c:formatCode>
                <c:ptCount val="4"/>
                <c:pt idx="0">
                  <c:v>72.483840168567099</c:v>
                </c:pt>
                <c:pt idx="1">
                  <c:v>85.673761113133082</c:v>
                </c:pt>
                <c:pt idx="2">
                  <c:v>74.924002150985658</c:v>
                </c:pt>
                <c:pt idx="3">
                  <c:v>87.412243863013927</c:v>
                </c:pt>
              </c:numCache>
            </c:numRef>
          </c:val>
        </c:ser>
        <c:ser>
          <c:idx val="3"/>
          <c:order val="3"/>
          <c:tx>
            <c:v>2012</c:v>
          </c:tx>
          <c:cat>
            <c:multiLvlStrRef>
              <c:f>'Fig 4.8'!$B$3:$E$4</c:f>
              <c:multiLvlStrCache>
                <c:ptCount val="4"/>
                <c:lvl>
                  <c:pt idx="0">
                    <c:v>GPS</c:v>
                  </c:pt>
                  <c:pt idx="1">
                    <c:v>NNPS</c:v>
                  </c:pt>
                  <c:pt idx="2">
                    <c:v>GPS</c:v>
                  </c:pt>
                  <c:pt idx="3">
                    <c:v>NNPS</c:v>
                  </c:pt>
                </c:lvl>
                <c:lvl>
                  <c:pt idx="0">
                    <c:v>Subject-based</c:v>
                  </c:pt>
                  <c:pt idx="2">
                    <c:v>Sub-cluster</c:v>
                  </c:pt>
                </c:lvl>
              </c:multiLvlStrCache>
            </c:multiLvlStrRef>
          </c:cat>
          <c:val>
            <c:numRef>
              <c:f>'Fig 4.8'!$B$8:$E$8</c:f>
              <c:numCache>
                <c:formatCode>0.0</c:formatCode>
                <c:ptCount val="4"/>
                <c:pt idx="0">
                  <c:v>60.684918459568394</c:v>
                </c:pt>
                <c:pt idx="1">
                  <c:v>62.006163134394065</c:v>
                </c:pt>
                <c:pt idx="2">
                  <c:v>78.804250050268294</c:v>
                </c:pt>
                <c:pt idx="3">
                  <c:v>75.926042387271238</c:v>
                </c:pt>
              </c:numCache>
            </c:numRef>
          </c:val>
        </c:ser>
        <c:ser>
          <c:idx val="4"/>
          <c:order val="4"/>
          <c:tx>
            <c:v>2013</c:v>
          </c:tx>
          <c:cat>
            <c:multiLvlStrRef>
              <c:f>'Fig 4.8'!$B$3:$E$4</c:f>
              <c:multiLvlStrCache>
                <c:ptCount val="4"/>
                <c:lvl>
                  <c:pt idx="0">
                    <c:v>GPS</c:v>
                  </c:pt>
                  <c:pt idx="1">
                    <c:v>NNPS</c:v>
                  </c:pt>
                  <c:pt idx="2">
                    <c:v>GPS</c:v>
                  </c:pt>
                  <c:pt idx="3">
                    <c:v>NNPS</c:v>
                  </c:pt>
                </c:lvl>
                <c:lvl>
                  <c:pt idx="0">
                    <c:v>Subject-based</c:v>
                  </c:pt>
                  <c:pt idx="2">
                    <c:v>Sub-cluster</c:v>
                  </c:pt>
                </c:lvl>
              </c:multiLvlStrCache>
            </c:multiLvlStrRef>
          </c:cat>
          <c:val>
            <c:numRef>
              <c:f>'Fig 4.8'!$B$9:$E$9</c:f>
              <c:numCache>
                <c:formatCode>0.0</c:formatCode>
                <c:ptCount val="4"/>
                <c:pt idx="0">
                  <c:v>85</c:v>
                </c:pt>
                <c:pt idx="1">
                  <c:v>60.32</c:v>
                </c:pt>
                <c:pt idx="2">
                  <c:v>92.54</c:v>
                </c:pt>
                <c:pt idx="3">
                  <c:v>87.85</c:v>
                </c:pt>
              </c:numCache>
            </c:numRef>
          </c:val>
        </c:ser>
        <c:ser>
          <c:idx val="5"/>
          <c:order val="5"/>
          <c:tx>
            <c:v>2014</c:v>
          </c:tx>
          <c:cat>
            <c:multiLvlStrRef>
              <c:f>'Fig 4.8'!$B$3:$E$4</c:f>
              <c:multiLvlStrCache>
                <c:ptCount val="4"/>
                <c:lvl>
                  <c:pt idx="0">
                    <c:v>GPS</c:v>
                  </c:pt>
                  <c:pt idx="1">
                    <c:v>NNPS</c:v>
                  </c:pt>
                  <c:pt idx="2">
                    <c:v>GPS</c:v>
                  </c:pt>
                  <c:pt idx="3">
                    <c:v>NNPS</c:v>
                  </c:pt>
                </c:lvl>
                <c:lvl>
                  <c:pt idx="0">
                    <c:v>Subject-based</c:v>
                  </c:pt>
                  <c:pt idx="2">
                    <c:v>Sub-cluster</c:v>
                  </c:pt>
                </c:lvl>
              </c:multiLvlStrCache>
            </c:multiLvlStrRef>
          </c:cat>
          <c:val>
            <c:numRef>
              <c:f>'Fig 4.8'!$B$10:$E$10</c:f>
              <c:numCache>
                <c:formatCode>0.0</c:formatCode>
                <c:ptCount val="4"/>
                <c:pt idx="0">
                  <c:v>62.2</c:v>
                </c:pt>
                <c:pt idx="1">
                  <c:v>59.9</c:v>
                </c:pt>
                <c:pt idx="2">
                  <c:v>76.2</c:v>
                </c:pt>
                <c:pt idx="3">
                  <c:v>68</c:v>
                </c:pt>
              </c:numCache>
            </c:numRef>
          </c:val>
        </c:ser>
        <c:ser>
          <c:idx val="6"/>
          <c:order val="6"/>
          <c:tx>
            <c:v>2015</c:v>
          </c:tx>
          <c:cat>
            <c:multiLvlStrRef>
              <c:f>'Fig 4.8'!$B$3:$E$4</c:f>
              <c:multiLvlStrCache>
                <c:ptCount val="4"/>
                <c:lvl>
                  <c:pt idx="0">
                    <c:v>GPS</c:v>
                  </c:pt>
                  <c:pt idx="1">
                    <c:v>NNPS</c:v>
                  </c:pt>
                  <c:pt idx="2">
                    <c:v>GPS</c:v>
                  </c:pt>
                  <c:pt idx="3">
                    <c:v>NNPS</c:v>
                  </c:pt>
                </c:lvl>
                <c:lvl>
                  <c:pt idx="0">
                    <c:v>Subject-based</c:v>
                  </c:pt>
                  <c:pt idx="2">
                    <c:v>Sub-cluster</c:v>
                  </c:pt>
                </c:lvl>
              </c:multiLvlStrCache>
            </c:multiLvlStrRef>
          </c:cat>
          <c:val>
            <c:numRef>
              <c:f>'Fig 4.8'!$B$11:$E$11</c:f>
              <c:numCache>
                <c:formatCode>0.0</c:formatCode>
                <c:ptCount val="4"/>
                <c:pt idx="0">
                  <c:v>72</c:v>
                </c:pt>
                <c:pt idx="1">
                  <c:v>77</c:v>
                </c:pt>
                <c:pt idx="2">
                  <c:v>91</c:v>
                </c:pt>
                <c:pt idx="3">
                  <c:v>89</c:v>
                </c:pt>
              </c:numCache>
            </c:numRef>
          </c:val>
        </c:ser>
        <c:axId val="146034048"/>
        <c:axId val="146039936"/>
      </c:barChart>
      <c:catAx>
        <c:axId val="146034048"/>
        <c:scaling>
          <c:orientation val="minMax"/>
        </c:scaling>
        <c:axPos val="b"/>
        <c:tickLblPos val="nextTo"/>
        <c:txPr>
          <a:bodyPr/>
          <a:lstStyle/>
          <a:p>
            <a:pPr>
              <a:defRPr lang="en-US"/>
            </a:pPr>
            <a:endParaRPr lang="en-US"/>
          </a:p>
        </c:txPr>
        <c:crossAx val="146039936"/>
        <c:crosses val="autoZero"/>
        <c:auto val="1"/>
        <c:lblAlgn val="ctr"/>
        <c:lblOffset val="100"/>
      </c:catAx>
      <c:valAx>
        <c:axId val="146039936"/>
        <c:scaling>
          <c:orientation val="minMax"/>
        </c:scaling>
        <c:axPos val="l"/>
        <c:majorGridlines/>
        <c:numFmt formatCode="0.0" sourceLinked="1"/>
        <c:tickLblPos val="nextTo"/>
        <c:txPr>
          <a:bodyPr/>
          <a:lstStyle/>
          <a:p>
            <a:pPr>
              <a:defRPr lang="en-US"/>
            </a:pPr>
            <a:endParaRPr lang="en-US"/>
          </a:p>
        </c:txPr>
        <c:crossAx val="146034048"/>
        <c:crosses val="autoZero"/>
        <c:crossBetween val="between"/>
      </c:valAx>
    </c:plotArea>
    <c:legend>
      <c:legendPos val="r"/>
      <c:txPr>
        <a:bodyPr/>
        <a:lstStyle/>
        <a:p>
          <a:pPr>
            <a:defRPr lang="en-US"/>
          </a:pPr>
          <a:endParaRPr lang="en-US"/>
        </a:p>
      </c:txPr>
    </c:legend>
    <c:plotVisOnly val="1"/>
    <c:dispBlanksAs val="gap"/>
  </c:chart>
  <c:spPr>
    <a:ln w="31750" cmpd="dbl">
      <a:solidFill>
        <a:schemeClr val="accent4">
          <a:lumMod val="75000"/>
        </a:schemeClr>
      </a:solid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style val="31"/>
  <c:chart>
    <c:plotArea>
      <c:layout>
        <c:manualLayout>
          <c:layoutTarget val="inner"/>
          <c:xMode val="edge"/>
          <c:yMode val="edge"/>
          <c:x val="7.8806116885786592E-2"/>
          <c:y val="0.12025381135868662"/>
          <c:w val="0.78171190576203786"/>
          <c:h val="0.54895376109901151"/>
        </c:manualLayout>
      </c:layout>
      <c:barChart>
        <c:barDir val="col"/>
        <c:grouping val="clustered"/>
        <c:ser>
          <c:idx val="0"/>
          <c:order val="0"/>
          <c:tx>
            <c:v>2005</c:v>
          </c:tx>
          <c:cat>
            <c:multiLvlStrRef>
              <c:f>'Fig 4.9'!$B$3:$E$4</c:f>
              <c:multiLvlStrCache>
                <c:ptCount val="4"/>
                <c:lvl>
                  <c:pt idx="0">
                    <c:v>Head teachers</c:v>
                  </c:pt>
                  <c:pt idx="1">
                    <c:v>Assistant teachers</c:v>
                  </c:pt>
                  <c:pt idx="2">
                    <c:v>Head teachers</c:v>
                  </c:pt>
                  <c:pt idx="3">
                    <c:v>Assistant teachers</c:v>
                  </c:pt>
                </c:lvl>
                <c:lvl>
                  <c:pt idx="0">
                    <c:v>Subject-based</c:v>
                  </c:pt>
                  <c:pt idx="2">
                    <c:v>Sub-cluster</c:v>
                  </c:pt>
                </c:lvl>
              </c:multiLvlStrCache>
            </c:multiLvlStrRef>
          </c:cat>
          <c:val>
            <c:numRef>
              <c:f>'Fig 4.9'!$B$5:$E$5</c:f>
              <c:numCache>
                <c:formatCode>0</c:formatCode>
                <c:ptCount val="4"/>
                <c:pt idx="0">
                  <c:v>31.296674871708689</c:v>
                </c:pt>
                <c:pt idx="1">
                  <c:v>26.709546781013589</c:v>
                </c:pt>
                <c:pt idx="2">
                  <c:v>84.628061245775783</c:v>
                </c:pt>
                <c:pt idx="3">
                  <c:v>79.245429098922727</c:v>
                </c:pt>
              </c:numCache>
            </c:numRef>
          </c:val>
        </c:ser>
        <c:ser>
          <c:idx val="1"/>
          <c:order val="1"/>
          <c:tx>
            <c:v>2010</c:v>
          </c:tx>
          <c:cat>
            <c:multiLvlStrRef>
              <c:f>'Fig 4.9'!$B$3:$E$4</c:f>
              <c:multiLvlStrCache>
                <c:ptCount val="4"/>
                <c:lvl>
                  <c:pt idx="0">
                    <c:v>Head teachers</c:v>
                  </c:pt>
                  <c:pt idx="1">
                    <c:v>Assistant teachers</c:v>
                  </c:pt>
                  <c:pt idx="2">
                    <c:v>Head teachers</c:v>
                  </c:pt>
                  <c:pt idx="3">
                    <c:v>Assistant teachers</c:v>
                  </c:pt>
                </c:lvl>
                <c:lvl>
                  <c:pt idx="0">
                    <c:v>Subject-based</c:v>
                  </c:pt>
                  <c:pt idx="2">
                    <c:v>Sub-cluster</c:v>
                  </c:pt>
                </c:lvl>
              </c:multiLvlStrCache>
            </c:multiLvlStrRef>
          </c:cat>
          <c:val>
            <c:numRef>
              <c:f>'Fig 4.9'!$B$6:$E$6</c:f>
              <c:numCache>
                <c:formatCode>0</c:formatCode>
                <c:ptCount val="4"/>
                <c:pt idx="0">
                  <c:v>89.916164583289827</c:v>
                </c:pt>
                <c:pt idx="1">
                  <c:v>83.386089624476028</c:v>
                </c:pt>
                <c:pt idx="2">
                  <c:v>92.780719998284681</c:v>
                </c:pt>
                <c:pt idx="3">
                  <c:v>86.341882373276789</c:v>
                </c:pt>
              </c:numCache>
            </c:numRef>
          </c:val>
        </c:ser>
        <c:ser>
          <c:idx val="2"/>
          <c:order val="2"/>
          <c:tx>
            <c:v>2011</c:v>
          </c:tx>
          <c:cat>
            <c:multiLvlStrRef>
              <c:f>'Fig 4.9'!$B$3:$E$4</c:f>
              <c:multiLvlStrCache>
                <c:ptCount val="4"/>
                <c:lvl>
                  <c:pt idx="0">
                    <c:v>Head teachers</c:v>
                  </c:pt>
                  <c:pt idx="1">
                    <c:v>Assistant teachers</c:v>
                  </c:pt>
                  <c:pt idx="2">
                    <c:v>Head teachers</c:v>
                  </c:pt>
                  <c:pt idx="3">
                    <c:v>Assistant teachers</c:v>
                  </c:pt>
                </c:lvl>
                <c:lvl>
                  <c:pt idx="0">
                    <c:v>Subject-based</c:v>
                  </c:pt>
                  <c:pt idx="2">
                    <c:v>Sub-cluster</c:v>
                  </c:pt>
                </c:lvl>
              </c:multiLvlStrCache>
            </c:multiLvlStrRef>
          </c:cat>
          <c:val>
            <c:numRef>
              <c:f>'Fig 4.9'!$B$7:$E$7</c:f>
              <c:numCache>
                <c:formatCode>0</c:formatCode>
                <c:ptCount val="4"/>
                <c:pt idx="0">
                  <c:v>90.314278859783258</c:v>
                </c:pt>
                <c:pt idx="1">
                  <c:v>72.557796803878958</c:v>
                </c:pt>
                <c:pt idx="2">
                  <c:v>93.241150683740997</c:v>
                </c:pt>
                <c:pt idx="3">
                  <c:v>74.66414693321039</c:v>
                </c:pt>
              </c:numCache>
            </c:numRef>
          </c:val>
        </c:ser>
        <c:ser>
          <c:idx val="3"/>
          <c:order val="3"/>
          <c:tx>
            <c:v>2012</c:v>
          </c:tx>
          <c:cat>
            <c:multiLvlStrRef>
              <c:f>'Fig 4.9'!$B$3:$E$4</c:f>
              <c:multiLvlStrCache>
                <c:ptCount val="4"/>
                <c:lvl>
                  <c:pt idx="0">
                    <c:v>Head teachers</c:v>
                  </c:pt>
                  <c:pt idx="1">
                    <c:v>Assistant teachers</c:v>
                  </c:pt>
                  <c:pt idx="2">
                    <c:v>Head teachers</c:v>
                  </c:pt>
                  <c:pt idx="3">
                    <c:v>Assistant teachers</c:v>
                  </c:pt>
                </c:lvl>
                <c:lvl>
                  <c:pt idx="0">
                    <c:v>Subject-based</c:v>
                  </c:pt>
                  <c:pt idx="2">
                    <c:v>Sub-cluster</c:v>
                  </c:pt>
                </c:lvl>
              </c:multiLvlStrCache>
            </c:multiLvlStrRef>
          </c:cat>
          <c:val>
            <c:numRef>
              <c:f>'Fig 4.9'!$B$8:$E$8</c:f>
              <c:numCache>
                <c:formatCode>0</c:formatCode>
                <c:ptCount val="4"/>
                <c:pt idx="0">
                  <c:v>65.891121192482089</c:v>
                </c:pt>
                <c:pt idx="1">
                  <c:v>59.814312266821482</c:v>
                </c:pt>
                <c:pt idx="2">
                  <c:v>80.866277813777813</c:v>
                </c:pt>
                <c:pt idx="3">
                  <c:v>77.108563867849384</c:v>
                </c:pt>
              </c:numCache>
            </c:numRef>
          </c:val>
        </c:ser>
        <c:ser>
          <c:idx val="4"/>
          <c:order val="4"/>
          <c:tx>
            <c:v>2013</c:v>
          </c:tx>
          <c:cat>
            <c:multiLvlStrRef>
              <c:f>'Fig 4.9'!$B$3:$E$4</c:f>
              <c:multiLvlStrCache>
                <c:ptCount val="4"/>
                <c:lvl>
                  <c:pt idx="0">
                    <c:v>Head teachers</c:v>
                  </c:pt>
                  <c:pt idx="1">
                    <c:v>Assistant teachers</c:v>
                  </c:pt>
                  <c:pt idx="2">
                    <c:v>Head teachers</c:v>
                  </c:pt>
                  <c:pt idx="3">
                    <c:v>Assistant teachers</c:v>
                  </c:pt>
                </c:lvl>
                <c:lvl>
                  <c:pt idx="0">
                    <c:v>Subject-based</c:v>
                  </c:pt>
                  <c:pt idx="2">
                    <c:v>Sub-cluster</c:v>
                  </c:pt>
                </c:lvl>
              </c:multiLvlStrCache>
            </c:multiLvlStrRef>
          </c:cat>
          <c:val>
            <c:numRef>
              <c:f>'Fig 4.9'!$B$9:$E$9</c:f>
              <c:numCache>
                <c:formatCode>0</c:formatCode>
                <c:ptCount val="4"/>
                <c:pt idx="0">
                  <c:v>66.849999999999994</c:v>
                </c:pt>
                <c:pt idx="1">
                  <c:v>60.32</c:v>
                </c:pt>
                <c:pt idx="2">
                  <c:v>92.54</c:v>
                </c:pt>
                <c:pt idx="3">
                  <c:v>87.85</c:v>
                </c:pt>
              </c:numCache>
            </c:numRef>
          </c:val>
        </c:ser>
        <c:ser>
          <c:idx val="5"/>
          <c:order val="5"/>
          <c:tx>
            <c:v>2014</c:v>
          </c:tx>
          <c:cat>
            <c:multiLvlStrRef>
              <c:f>'Fig 4.9'!$B$3:$E$4</c:f>
              <c:multiLvlStrCache>
                <c:ptCount val="4"/>
                <c:lvl>
                  <c:pt idx="0">
                    <c:v>Head teachers</c:v>
                  </c:pt>
                  <c:pt idx="1">
                    <c:v>Assistant teachers</c:v>
                  </c:pt>
                  <c:pt idx="2">
                    <c:v>Head teachers</c:v>
                  </c:pt>
                  <c:pt idx="3">
                    <c:v>Assistant teachers</c:v>
                  </c:pt>
                </c:lvl>
                <c:lvl>
                  <c:pt idx="0">
                    <c:v>Subject-based</c:v>
                  </c:pt>
                  <c:pt idx="2">
                    <c:v>Sub-cluster</c:v>
                  </c:pt>
                </c:lvl>
              </c:multiLvlStrCache>
            </c:multiLvlStrRef>
          </c:cat>
          <c:val>
            <c:numRef>
              <c:f>'Fig 4.9'!$B$10:$E$10</c:f>
              <c:numCache>
                <c:formatCode>0</c:formatCode>
                <c:ptCount val="4"/>
                <c:pt idx="0">
                  <c:v>62.2</c:v>
                </c:pt>
                <c:pt idx="1">
                  <c:v>59.9</c:v>
                </c:pt>
                <c:pt idx="2">
                  <c:v>76.2</c:v>
                </c:pt>
                <c:pt idx="3">
                  <c:v>68</c:v>
                </c:pt>
              </c:numCache>
            </c:numRef>
          </c:val>
        </c:ser>
        <c:ser>
          <c:idx val="6"/>
          <c:order val="6"/>
          <c:tx>
            <c:v>2015</c:v>
          </c:tx>
          <c:cat>
            <c:multiLvlStrRef>
              <c:f>'Fig 4.9'!$B$3:$E$4</c:f>
              <c:multiLvlStrCache>
                <c:ptCount val="4"/>
                <c:lvl>
                  <c:pt idx="0">
                    <c:v>Head teachers</c:v>
                  </c:pt>
                  <c:pt idx="1">
                    <c:v>Assistant teachers</c:v>
                  </c:pt>
                  <c:pt idx="2">
                    <c:v>Head teachers</c:v>
                  </c:pt>
                  <c:pt idx="3">
                    <c:v>Assistant teachers</c:v>
                  </c:pt>
                </c:lvl>
                <c:lvl>
                  <c:pt idx="0">
                    <c:v>Subject-based</c:v>
                  </c:pt>
                  <c:pt idx="2">
                    <c:v>Sub-cluster</c:v>
                  </c:pt>
                </c:lvl>
              </c:multiLvlStrCache>
            </c:multiLvlStrRef>
          </c:cat>
          <c:val>
            <c:numRef>
              <c:f>'Fig 4.9'!$B$11:$E$11</c:f>
              <c:numCache>
                <c:formatCode>0</c:formatCode>
                <c:ptCount val="4"/>
                <c:pt idx="0">
                  <c:v>81</c:v>
                </c:pt>
                <c:pt idx="1">
                  <c:v>72</c:v>
                </c:pt>
                <c:pt idx="2">
                  <c:v>91</c:v>
                </c:pt>
                <c:pt idx="3">
                  <c:v>89</c:v>
                </c:pt>
              </c:numCache>
            </c:numRef>
          </c:val>
        </c:ser>
        <c:axId val="148399232"/>
        <c:axId val="148400768"/>
      </c:barChart>
      <c:catAx>
        <c:axId val="148399232"/>
        <c:scaling>
          <c:orientation val="minMax"/>
        </c:scaling>
        <c:axPos val="b"/>
        <c:tickLblPos val="nextTo"/>
        <c:txPr>
          <a:bodyPr/>
          <a:lstStyle/>
          <a:p>
            <a:pPr>
              <a:defRPr lang="en-US"/>
            </a:pPr>
            <a:endParaRPr lang="en-US"/>
          </a:p>
        </c:txPr>
        <c:crossAx val="148400768"/>
        <c:crosses val="autoZero"/>
        <c:auto val="1"/>
        <c:lblAlgn val="ctr"/>
        <c:lblOffset val="100"/>
      </c:catAx>
      <c:valAx>
        <c:axId val="148400768"/>
        <c:scaling>
          <c:orientation val="minMax"/>
        </c:scaling>
        <c:axPos val="l"/>
        <c:majorGridlines>
          <c:spPr>
            <a:ln>
              <a:solidFill>
                <a:schemeClr val="accent1">
                  <a:lumMod val="60000"/>
                  <a:lumOff val="40000"/>
                </a:schemeClr>
              </a:solidFill>
            </a:ln>
          </c:spPr>
        </c:majorGridlines>
        <c:numFmt formatCode="0" sourceLinked="1"/>
        <c:tickLblPos val="nextTo"/>
        <c:txPr>
          <a:bodyPr/>
          <a:lstStyle/>
          <a:p>
            <a:pPr>
              <a:defRPr lang="en-US" sz="800"/>
            </a:pPr>
            <a:endParaRPr lang="en-US"/>
          </a:p>
        </c:txPr>
        <c:crossAx val="148399232"/>
        <c:crosses val="autoZero"/>
        <c:crossBetween val="between"/>
      </c:valAx>
    </c:plotArea>
    <c:legend>
      <c:legendPos val="r"/>
      <c:txPr>
        <a:bodyPr/>
        <a:lstStyle/>
        <a:p>
          <a:pPr>
            <a:defRPr lang="en-US" sz="800"/>
          </a:pPr>
          <a:endParaRPr lang="en-US"/>
        </a:p>
      </c:txPr>
    </c:legend>
    <c:plotVisOnly val="1"/>
    <c:dispBlanksAs val="gap"/>
  </c:chart>
  <c:spPr>
    <a:ln w="31750" cmpd="dbl">
      <a:solidFill>
        <a:schemeClr val="accent5">
          <a:lumMod val="50000"/>
        </a:schemeClr>
      </a:solidFill>
    </a:ln>
  </c:spPr>
  <c:txPr>
    <a:bodyPr/>
    <a:lstStyle/>
    <a:p>
      <a:pPr>
        <a:defRPr>
          <a:solidFill>
            <a:schemeClr val="accent5">
              <a:lumMod val="50000"/>
            </a:schemeClr>
          </a:solidFill>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style val="32"/>
  <c:chart>
    <c:plotArea>
      <c:layout>
        <c:manualLayout>
          <c:layoutTarget val="inner"/>
          <c:xMode val="edge"/>
          <c:yMode val="edge"/>
          <c:x val="0.11966885389326334"/>
          <c:y val="0.13145372531950922"/>
          <c:w val="0.70452690288713848"/>
          <c:h val="0.59094567324813974"/>
        </c:manualLayout>
      </c:layout>
      <c:barChart>
        <c:barDir val="col"/>
        <c:grouping val="clustered"/>
        <c:ser>
          <c:idx val="0"/>
          <c:order val="0"/>
          <c:tx>
            <c:v>2005</c:v>
          </c:tx>
          <c:cat>
            <c:multiLvlStrRef>
              <c:f>'Fig 4.10'!$B$3:$E$4</c:f>
              <c:multiLvlStrCache>
                <c:ptCount val="4"/>
                <c:lvl>
                  <c:pt idx="0">
                    <c:v>Male teachers</c:v>
                  </c:pt>
                  <c:pt idx="1">
                    <c:v>Female teachers</c:v>
                  </c:pt>
                  <c:pt idx="2">
                    <c:v>Male teachers</c:v>
                  </c:pt>
                  <c:pt idx="3">
                    <c:v>Female teachers</c:v>
                  </c:pt>
                </c:lvl>
                <c:lvl>
                  <c:pt idx="0">
                    <c:v>Subject-based</c:v>
                  </c:pt>
                  <c:pt idx="2">
                    <c:v>Sub-cluster</c:v>
                  </c:pt>
                </c:lvl>
              </c:multiLvlStrCache>
            </c:multiLvlStrRef>
          </c:cat>
          <c:val>
            <c:numRef>
              <c:f>'Fig 4.10'!$B$5:$E$5</c:f>
              <c:numCache>
                <c:formatCode>0</c:formatCode>
                <c:ptCount val="4"/>
                <c:pt idx="0">
                  <c:v>28.620658107407635</c:v>
                </c:pt>
                <c:pt idx="1">
                  <c:v>26.346181096783329</c:v>
                </c:pt>
                <c:pt idx="2">
                  <c:v>81.231130493123132</c:v>
                </c:pt>
                <c:pt idx="3">
                  <c:v>79.216853242643296</c:v>
                </c:pt>
              </c:numCache>
            </c:numRef>
          </c:val>
        </c:ser>
        <c:ser>
          <c:idx val="1"/>
          <c:order val="1"/>
          <c:tx>
            <c:v>2010</c:v>
          </c:tx>
          <c:cat>
            <c:multiLvlStrRef>
              <c:f>'Fig 4.10'!$B$3:$E$4</c:f>
              <c:multiLvlStrCache>
                <c:ptCount val="4"/>
                <c:lvl>
                  <c:pt idx="0">
                    <c:v>Male teachers</c:v>
                  </c:pt>
                  <c:pt idx="1">
                    <c:v>Female teachers</c:v>
                  </c:pt>
                  <c:pt idx="2">
                    <c:v>Male teachers</c:v>
                  </c:pt>
                  <c:pt idx="3">
                    <c:v>Female teachers</c:v>
                  </c:pt>
                </c:lvl>
                <c:lvl>
                  <c:pt idx="0">
                    <c:v>Subject-based</c:v>
                  </c:pt>
                  <c:pt idx="2">
                    <c:v>Sub-cluster</c:v>
                  </c:pt>
                </c:lvl>
              </c:multiLvlStrCache>
            </c:multiLvlStrRef>
          </c:cat>
          <c:val>
            <c:numRef>
              <c:f>'Fig 4.10'!$B$6:$E$6</c:f>
              <c:numCache>
                <c:formatCode>0</c:formatCode>
                <c:ptCount val="4"/>
                <c:pt idx="0">
                  <c:v>86.149699174602063</c:v>
                </c:pt>
                <c:pt idx="1">
                  <c:v>83.308526292644089</c:v>
                </c:pt>
                <c:pt idx="2">
                  <c:v>86.927253353178997</c:v>
                </c:pt>
                <c:pt idx="3">
                  <c:v>88</c:v>
                </c:pt>
              </c:numCache>
            </c:numRef>
          </c:val>
        </c:ser>
        <c:ser>
          <c:idx val="2"/>
          <c:order val="2"/>
          <c:tx>
            <c:v>2011</c:v>
          </c:tx>
          <c:cat>
            <c:multiLvlStrRef>
              <c:f>'Fig 4.10'!$B$3:$E$4</c:f>
              <c:multiLvlStrCache>
                <c:ptCount val="4"/>
                <c:lvl>
                  <c:pt idx="0">
                    <c:v>Male teachers</c:v>
                  </c:pt>
                  <c:pt idx="1">
                    <c:v>Female teachers</c:v>
                  </c:pt>
                  <c:pt idx="2">
                    <c:v>Male teachers</c:v>
                  </c:pt>
                  <c:pt idx="3">
                    <c:v>Female teachers</c:v>
                  </c:pt>
                </c:lvl>
                <c:lvl>
                  <c:pt idx="0">
                    <c:v>Subject-based</c:v>
                  </c:pt>
                  <c:pt idx="2">
                    <c:v>Sub-cluster</c:v>
                  </c:pt>
                </c:lvl>
              </c:multiLvlStrCache>
            </c:multiLvlStrRef>
          </c:cat>
          <c:val>
            <c:numRef>
              <c:f>'Fig 4.10'!$B$7:$E$7</c:f>
              <c:numCache>
                <c:formatCode>0</c:formatCode>
                <c:ptCount val="4"/>
                <c:pt idx="0">
                  <c:v>82.158979743857458</c:v>
                </c:pt>
                <c:pt idx="1">
                  <c:v>70.648894862603058</c:v>
                </c:pt>
                <c:pt idx="2">
                  <c:v>75</c:v>
                </c:pt>
                <c:pt idx="3">
                  <c:v>87</c:v>
                </c:pt>
              </c:numCache>
            </c:numRef>
          </c:val>
        </c:ser>
        <c:ser>
          <c:idx val="3"/>
          <c:order val="3"/>
          <c:tx>
            <c:v>2012</c:v>
          </c:tx>
          <c:cat>
            <c:multiLvlStrRef>
              <c:f>'Fig 4.10'!$B$3:$E$4</c:f>
              <c:multiLvlStrCache>
                <c:ptCount val="4"/>
                <c:lvl>
                  <c:pt idx="0">
                    <c:v>Male teachers</c:v>
                  </c:pt>
                  <c:pt idx="1">
                    <c:v>Female teachers</c:v>
                  </c:pt>
                  <c:pt idx="2">
                    <c:v>Male teachers</c:v>
                  </c:pt>
                  <c:pt idx="3">
                    <c:v>Female teachers</c:v>
                  </c:pt>
                </c:lvl>
                <c:lvl>
                  <c:pt idx="0">
                    <c:v>Subject-based</c:v>
                  </c:pt>
                  <c:pt idx="2">
                    <c:v>Sub-cluster</c:v>
                  </c:pt>
                </c:lvl>
              </c:multiLvlStrCache>
            </c:multiLvlStrRef>
          </c:cat>
          <c:val>
            <c:numRef>
              <c:f>'Fig 4.10'!$B$8:$E$8</c:f>
              <c:numCache>
                <c:formatCode>0</c:formatCode>
                <c:ptCount val="4"/>
                <c:pt idx="0">
                  <c:v>64.393790878792558</c:v>
                </c:pt>
                <c:pt idx="1">
                  <c:v>58.861321191541904</c:v>
                </c:pt>
                <c:pt idx="2">
                  <c:v>86</c:v>
                </c:pt>
                <c:pt idx="3">
                  <c:v>87</c:v>
                </c:pt>
              </c:numCache>
            </c:numRef>
          </c:val>
        </c:ser>
        <c:ser>
          <c:idx val="4"/>
          <c:order val="4"/>
          <c:tx>
            <c:v>2013</c:v>
          </c:tx>
          <c:cat>
            <c:multiLvlStrRef>
              <c:f>'Fig 4.10'!$B$3:$E$4</c:f>
              <c:multiLvlStrCache>
                <c:ptCount val="4"/>
                <c:lvl>
                  <c:pt idx="0">
                    <c:v>Male teachers</c:v>
                  </c:pt>
                  <c:pt idx="1">
                    <c:v>Female teachers</c:v>
                  </c:pt>
                  <c:pt idx="2">
                    <c:v>Male teachers</c:v>
                  </c:pt>
                  <c:pt idx="3">
                    <c:v>Female teachers</c:v>
                  </c:pt>
                </c:lvl>
                <c:lvl>
                  <c:pt idx="0">
                    <c:v>Subject-based</c:v>
                  </c:pt>
                  <c:pt idx="2">
                    <c:v>Sub-cluster</c:v>
                  </c:pt>
                </c:lvl>
              </c:multiLvlStrCache>
            </c:multiLvlStrRef>
          </c:cat>
          <c:val>
            <c:numRef>
              <c:f>'Fig 4.10'!$B$9:$E$9</c:f>
              <c:numCache>
                <c:formatCode>0</c:formatCode>
                <c:ptCount val="4"/>
                <c:pt idx="0">
                  <c:v>65.86999999999999</c:v>
                </c:pt>
                <c:pt idx="1">
                  <c:v>58.98</c:v>
                </c:pt>
                <c:pt idx="2">
                  <c:v>88.63</c:v>
                </c:pt>
                <c:pt idx="3">
                  <c:v>87</c:v>
                </c:pt>
              </c:numCache>
            </c:numRef>
          </c:val>
        </c:ser>
        <c:ser>
          <c:idx val="5"/>
          <c:order val="5"/>
          <c:tx>
            <c:v>2014</c:v>
          </c:tx>
          <c:cat>
            <c:multiLvlStrRef>
              <c:f>'Fig 4.10'!$B$3:$E$4</c:f>
              <c:multiLvlStrCache>
                <c:ptCount val="4"/>
                <c:lvl>
                  <c:pt idx="0">
                    <c:v>Male teachers</c:v>
                  </c:pt>
                  <c:pt idx="1">
                    <c:v>Female teachers</c:v>
                  </c:pt>
                  <c:pt idx="2">
                    <c:v>Male teachers</c:v>
                  </c:pt>
                  <c:pt idx="3">
                    <c:v>Female teachers</c:v>
                  </c:pt>
                </c:lvl>
                <c:lvl>
                  <c:pt idx="0">
                    <c:v>Subject-based</c:v>
                  </c:pt>
                  <c:pt idx="2">
                    <c:v>Sub-cluster</c:v>
                  </c:pt>
                </c:lvl>
              </c:multiLvlStrCache>
            </c:multiLvlStrRef>
          </c:cat>
          <c:val>
            <c:numRef>
              <c:f>'Fig 4.10'!$B$10:$E$10</c:f>
              <c:numCache>
                <c:formatCode>0</c:formatCode>
                <c:ptCount val="4"/>
                <c:pt idx="0">
                  <c:v>65.7</c:v>
                </c:pt>
                <c:pt idx="1">
                  <c:v>58</c:v>
                </c:pt>
                <c:pt idx="2">
                  <c:v>74.599999999999994</c:v>
                </c:pt>
                <c:pt idx="3">
                  <c:v>73</c:v>
                </c:pt>
              </c:numCache>
            </c:numRef>
          </c:val>
        </c:ser>
        <c:ser>
          <c:idx val="6"/>
          <c:order val="6"/>
          <c:tx>
            <c:v>2015</c:v>
          </c:tx>
          <c:cat>
            <c:multiLvlStrRef>
              <c:f>'Fig 4.10'!$B$3:$E$4</c:f>
              <c:multiLvlStrCache>
                <c:ptCount val="4"/>
                <c:lvl>
                  <c:pt idx="0">
                    <c:v>Male teachers</c:v>
                  </c:pt>
                  <c:pt idx="1">
                    <c:v>Female teachers</c:v>
                  </c:pt>
                  <c:pt idx="2">
                    <c:v>Male teachers</c:v>
                  </c:pt>
                  <c:pt idx="3">
                    <c:v>Female teachers</c:v>
                  </c:pt>
                </c:lvl>
                <c:lvl>
                  <c:pt idx="0">
                    <c:v>Subject-based</c:v>
                  </c:pt>
                  <c:pt idx="2">
                    <c:v>Sub-cluster</c:v>
                  </c:pt>
                </c:lvl>
              </c:multiLvlStrCache>
            </c:multiLvlStrRef>
          </c:cat>
          <c:val>
            <c:numRef>
              <c:f>'Fig 4.10'!$B$11:$E$11</c:f>
              <c:numCache>
                <c:formatCode>0</c:formatCode>
                <c:ptCount val="4"/>
                <c:pt idx="0">
                  <c:v>79.099999999999994</c:v>
                </c:pt>
                <c:pt idx="1">
                  <c:v>69.900000000000006</c:v>
                </c:pt>
                <c:pt idx="2">
                  <c:v>90</c:v>
                </c:pt>
                <c:pt idx="3">
                  <c:v>89</c:v>
                </c:pt>
              </c:numCache>
            </c:numRef>
          </c:val>
        </c:ser>
        <c:axId val="148441728"/>
        <c:axId val="148451712"/>
      </c:barChart>
      <c:catAx>
        <c:axId val="148441728"/>
        <c:scaling>
          <c:orientation val="minMax"/>
        </c:scaling>
        <c:axPos val="b"/>
        <c:tickLblPos val="nextTo"/>
        <c:txPr>
          <a:bodyPr/>
          <a:lstStyle/>
          <a:p>
            <a:pPr>
              <a:defRPr lang="en-US" b="1"/>
            </a:pPr>
            <a:endParaRPr lang="en-US"/>
          </a:p>
        </c:txPr>
        <c:crossAx val="148451712"/>
        <c:crosses val="autoZero"/>
        <c:auto val="1"/>
        <c:lblAlgn val="ctr"/>
        <c:lblOffset val="100"/>
      </c:catAx>
      <c:valAx>
        <c:axId val="148451712"/>
        <c:scaling>
          <c:orientation val="minMax"/>
        </c:scaling>
        <c:axPos val="l"/>
        <c:majorGridlines>
          <c:spPr>
            <a:ln>
              <a:solidFill>
                <a:schemeClr val="accent6">
                  <a:lumMod val="60000"/>
                  <a:lumOff val="40000"/>
                </a:schemeClr>
              </a:solidFill>
            </a:ln>
          </c:spPr>
        </c:majorGridlines>
        <c:numFmt formatCode="0" sourceLinked="1"/>
        <c:tickLblPos val="nextTo"/>
        <c:txPr>
          <a:bodyPr/>
          <a:lstStyle/>
          <a:p>
            <a:pPr>
              <a:defRPr lang="en-US"/>
            </a:pPr>
            <a:endParaRPr lang="en-US"/>
          </a:p>
        </c:txPr>
        <c:crossAx val="148441728"/>
        <c:crosses val="autoZero"/>
        <c:crossBetween val="between"/>
        <c:majorUnit val="10"/>
      </c:valAx>
    </c:plotArea>
    <c:legend>
      <c:legendPos val="r"/>
      <c:txPr>
        <a:bodyPr/>
        <a:lstStyle/>
        <a:p>
          <a:pPr>
            <a:defRPr lang="en-US"/>
          </a:pPr>
          <a:endParaRPr lang="en-US"/>
        </a:p>
      </c:txPr>
    </c:legend>
    <c:plotVisOnly val="1"/>
    <c:dispBlanksAs val="gap"/>
  </c:chart>
  <c:spPr>
    <a:ln w="31750" cmpd="dbl">
      <a:solidFill>
        <a:schemeClr val="accent6">
          <a:lumMod val="75000"/>
        </a:schemeClr>
      </a:solidFill>
    </a:ln>
  </c:spPr>
  <c:txPr>
    <a:bodyPr/>
    <a:lstStyle/>
    <a:p>
      <a:pPr>
        <a:defRPr>
          <a:solidFill>
            <a:schemeClr val="accent6">
              <a:lumMod val="50000"/>
            </a:schemeClr>
          </a:solidFill>
        </a:defRPr>
      </a:pPr>
      <a:endParaRPr lang="en-U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040507436570441"/>
          <c:y val="9.4170699992776247E-2"/>
          <c:w val="0.69931032134494131"/>
          <c:h val="0.70871920826411361"/>
        </c:manualLayout>
      </c:layout>
      <c:lineChart>
        <c:grouping val="standard"/>
        <c:ser>
          <c:idx val="0"/>
          <c:order val="0"/>
          <c:tx>
            <c:strRef>
              <c:f>'Fig 4.11'!$B$5</c:f>
              <c:strCache>
                <c:ptCount val="1"/>
                <c:pt idx="0">
                  <c:v>GPS</c:v>
                </c:pt>
              </c:strCache>
            </c:strRef>
          </c:tx>
          <c:spPr>
            <a:ln>
              <a:solidFill>
                <a:srgbClr val="006600"/>
              </a:solidFill>
            </a:ln>
          </c:spPr>
          <c:marker>
            <c:symbol val="none"/>
          </c:marker>
          <c:dLbls>
            <c:dLbl>
              <c:idx val="0"/>
              <c:layout>
                <c:manualLayout>
                  <c:x val="-7.9879123217705891E-3"/>
                  <c:y val="1.9204446503010657E-2"/>
                </c:manualLayout>
              </c:layout>
              <c:showVal val="1"/>
            </c:dLbl>
            <c:dLbl>
              <c:idx val="1"/>
              <c:layout>
                <c:manualLayout>
                  <c:x val="-1.2342370717173881E-2"/>
                  <c:y val="1.8670866141732283E-2"/>
                </c:manualLayout>
              </c:layout>
              <c:showVal val="1"/>
            </c:dLbl>
            <c:dLbl>
              <c:idx val="2"/>
              <c:layout>
                <c:manualLayout>
                  <c:x val="-1.2972972972972912E-2"/>
                  <c:y val="3.7647058823530012E-2"/>
                </c:manualLayout>
              </c:layout>
              <c:showVal val="1"/>
            </c:dLbl>
            <c:dLbl>
              <c:idx val="3"/>
              <c:layout>
                <c:manualLayout>
                  <c:x val="-1.0810810810810825E-2"/>
                  <c:y val="2.8235294117647081E-2"/>
                </c:manualLayout>
              </c:layout>
              <c:showVal val="1"/>
            </c:dLbl>
            <c:dLbl>
              <c:idx val="4"/>
              <c:layout>
                <c:manualLayout>
                  <c:x val="-8.6486486486486505E-3"/>
                  <c:y val="2.3529411764705879E-2"/>
                </c:manualLayout>
              </c:layout>
              <c:showVal val="1"/>
            </c:dLbl>
            <c:dLbl>
              <c:idx val="5"/>
              <c:layout>
                <c:manualLayout>
                  <c:x val="-8.6486486486486505E-3"/>
                  <c:y val="6.1176470588235304E-2"/>
                </c:manualLayout>
              </c:layout>
              <c:showVal val="1"/>
            </c:dLbl>
            <c:dLbl>
              <c:idx val="6"/>
              <c:layout>
                <c:manualLayout>
                  <c:x val="-6.4864864864864914E-3"/>
                  <c:y val="2.8235294117647112E-2"/>
                </c:manualLayout>
              </c:layout>
              <c:showVal val="1"/>
            </c:dLbl>
            <c:dLbl>
              <c:idx val="7"/>
              <c:layout>
                <c:manualLayout>
                  <c:x val="-1.0810810810810825E-2"/>
                  <c:y val="3.2941176470588612E-2"/>
                </c:manualLayout>
              </c:layout>
              <c:showVal val="1"/>
            </c:dLbl>
            <c:dLbl>
              <c:idx val="8"/>
              <c:layout>
                <c:manualLayout>
                  <c:x val="-6.4864864864867134E-3"/>
                  <c:y val="2.8235294117647081E-2"/>
                </c:manualLayout>
              </c:layout>
              <c:showVal val="1"/>
            </c:dLbl>
            <c:dLbl>
              <c:idx val="9"/>
              <c:layout>
                <c:manualLayout>
                  <c:x val="-1.0810810810810825E-2"/>
                  <c:y val="2.7777674849467401E-2"/>
                </c:manualLayout>
              </c:layout>
              <c:showVal val="1"/>
            </c:dLbl>
            <c:dLbl>
              <c:idx val="10"/>
              <c:layout>
                <c:manualLayout>
                  <c:x val="-1.0810810810810825E-2"/>
                  <c:y val="2.3529411764705879E-2"/>
                </c:manualLayout>
              </c:layout>
              <c:showVal val="1"/>
            </c:dLbl>
            <c:txPr>
              <a:bodyPr/>
              <a:lstStyle/>
              <a:p>
                <a:pPr>
                  <a:defRPr lang="en-US" sz="800" b="1">
                    <a:solidFill>
                      <a:srgbClr val="00B050"/>
                    </a:solidFill>
                  </a:defRPr>
                </a:pPr>
                <a:endParaRPr lang="en-US"/>
              </a:p>
            </c:txPr>
            <c:showVal val="1"/>
          </c:dLbls>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4.11'!$C$5:$M$5</c:f>
              <c:numCache>
                <c:formatCode>General</c:formatCode>
                <c:ptCount val="11"/>
                <c:pt idx="0">
                  <c:v>4.2</c:v>
                </c:pt>
                <c:pt idx="1">
                  <c:v>4.3</c:v>
                </c:pt>
                <c:pt idx="2">
                  <c:v>4.8</c:v>
                </c:pt>
                <c:pt idx="3">
                  <c:v>4.7</c:v>
                </c:pt>
                <c:pt idx="4">
                  <c:v>4.8</c:v>
                </c:pt>
                <c:pt idx="5">
                  <c:v>5.6</c:v>
                </c:pt>
                <c:pt idx="6">
                  <c:v>5.3</c:v>
                </c:pt>
                <c:pt idx="7">
                  <c:v>5.5</c:v>
                </c:pt>
                <c:pt idx="8">
                  <c:v>5.7</c:v>
                </c:pt>
                <c:pt idx="9">
                  <c:v>5.9</c:v>
                </c:pt>
                <c:pt idx="10">
                  <c:v>5.9</c:v>
                </c:pt>
              </c:numCache>
            </c:numRef>
          </c:val>
        </c:ser>
        <c:ser>
          <c:idx val="1"/>
          <c:order val="1"/>
          <c:tx>
            <c:strRef>
              <c:f>'Fig 4.11'!$B$6</c:f>
              <c:strCache>
                <c:ptCount val="1"/>
                <c:pt idx="0">
                  <c:v>NNPS</c:v>
                </c:pt>
              </c:strCache>
            </c:strRef>
          </c:tx>
          <c:spPr>
            <a:ln>
              <a:solidFill>
                <a:schemeClr val="accent6">
                  <a:lumMod val="75000"/>
                </a:schemeClr>
              </a:solidFill>
            </a:ln>
          </c:spPr>
          <c:marker>
            <c:symbol val="none"/>
          </c:marker>
          <c:dLbls>
            <c:dLbl>
              <c:idx val="0"/>
              <c:layout>
                <c:manualLayout>
                  <c:x val="-1.2972972972972938E-2"/>
                  <c:y val="2.3529411764705879E-2"/>
                </c:manualLayout>
              </c:layout>
              <c:showVal val="1"/>
            </c:dLbl>
            <c:dLbl>
              <c:idx val="1"/>
              <c:layout>
                <c:manualLayout>
                  <c:x val="-1.5135135135135223E-2"/>
                  <c:y val="2.3529411764705879E-2"/>
                </c:manualLayout>
              </c:layout>
              <c:showVal val="1"/>
            </c:dLbl>
            <c:dLbl>
              <c:idx val="2"/>
              <c:layout>
                <c:manualLayout>
                  <c:x val="-1.5135135135135223E-2"/>
                  <c:y val="4.7058823529411813E-2"/>
                </c:manualLayout>
              </c:layout>
              <c:showVal val="1"/>
            </c:dLbl>
            <c:dLbl>
              <c:idx val="3"/>
              <c:layout>
                <c:manualLayout>
                  <c:x val="-8.6486486486486505E-3"/>
                  <c:y val="2.8235294117647081E-2"/>
                </c:manualLayout>
              </c:layout>
              <c:showVal val="1"/>
            </c:dLbl>
            <c:dLbl>
              <c:idx val="4"/>
              <c:layout>
                <c:manualLayout>
                  <c:x val="-1.0810810810810825E-2"/>
                  <c:y val="4.7058823529411813E-2"/>
                </c:manualLayout>
              </c:layout>
              <c:showVal val="1"/>
            </c:dLbl>
            <c:dLbl>
              <c:idx val="5"/>
              <c:layout>
                <c:manualLayout>
                  <c:x val="-8.6486486486486505E-3"/>
                  <c:y val="-1.8823529411766082E-2"/>
                </c:manualLayout>
              </c:layout>
              <c:showVal val="1"/>
            </c:dLbl>
            <c:dLbl>
              <c:idx val="6"/>
              <c:layout>
                <c:manualLayout>
                  <c:x val="-8.6486486486486505E-3"/>
                  <c:y val="-3.7647058823530012E-2"/>
                </c:manualLayout>
              </c:layout>
              <c:showVal val="1"/>
            </c:dLbl>
            <c:dLbl>
              <c:idx val="7"/>
              <c:layout>
                <c:manualLayout>
                  <c:x val="-1.5135135135135223E-2"/>
                  <c:y val="1.8823529411766082E-2"/>
                </c:manualLayout>
              </c:layout>
              <c:showVal val="1"/>
            </c:dLbl>
            <c:dLbl>
              <c:idx val="8"/>
              <c:layout>
                <c:manualLayout>
                  <c:x val="-1.5135305384124279E-2"/>
                  <c:y val="3.2941176470588612E-2"/>
                </c:manualLayout>
              </c:layout>
              <c:showVal val="1"/>
            </c:dLbl>
            <c:dLbl>
              <c:idx val="9"/>
              <c:layout>
                <c:manualLayout>
                  <c:x val="-1.2972972972972938E-2"/>
                  <c:y val="3.2941176470588612E-2"/>
                </c:manualLayout>
              </c:layout>
              <c:showVal val="1"/>
            </c:dLbl>
            <c:dLbl>
              <c:idx val="10"/>
              <c:layout>
                <c:manualLayout>
                  <c:x val="-1.0810810810810825E-2"/>
                  <c:y val="1.4117647058822989E-2"/>
                </c:manualLayout>
              </c:layout>
              <c:showVal val="1"/>
            </c:dLbl>
            <c:txPr>
              <a:bodyPr/>
              <a:lstStyle/>
              <a:p>
                <a:pPr>
                  <a:defRPr lang="en-US" sz="800">
                    <a:solidFill>
                      <a:schemeClr val="accent6">
                        <a:lumMod val="75000"/>
                      </a:schemeClr>
                    </a:solidFill>
                  </a:defRPr>
                </a:pPr>
                <a:endParaRPr lang="en-US"/>
              </a:p>
            </c:txPr>
            <c:showVal val="1"/>
          </c:dLbls>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'Fig 4.11'!$C$6:$M$6</c:f>
              <c:numCache>
                <c:formatCode>General</c:formatCode>
                <c:ptCount val="11"/>
                <c:pt idx="0">
                  <c:v>3.8</c:v>
                </c:pt>
                <c:pt idx="1">
                  <c:v>3.8</c:v>
                </c:pt>
                <c:pt idx="2">
                  <c:v>3.9</c:v>
                </c:pt>
                <c:pt idx="3">
                  <c:v>3.7</c:v>
                </c:pt>
                <c:pt idx="4">
                  <c:v>3.8</c:v>
                </c:pt>
                <c:pt idx="5">
                  <c:v>3.6</c:v>
                </c:pt>
                <c:pt idx="6">
                  <c:v>3.6</c:v>
                </c:pt>
                <c:pt idx="7">
                  <c:v>3.7</c:v>
                </c:pt>
                <c:pt idx="8">
                  <c:v>3.9</c:v>
                </c:pt>
                <c:pt idx="9">
                  <c:v>3.9</c:v>
                </c:pt>
                <c:pt idx="10">
                  <c:v>3.8</c:v>
                </c:pt>
              </c:numCache>
            </c:numRef>
          </c:val>
        </c:ser>
        <c:dropLines>
          <c:spPr>
            <a:ln w="3175"/>
          </c:spPr>
        </c:dropLines>
        <c:marker val="1"/>
        <c:axId val="148665856"/>
        <c:axId val="148667392"/>
      </c:lineChart>
      <c:catAx>
        <c:axId val="148665856"/>
        <c:scaling>
          <c:orientation val="minMax"/>
        </c:scaling>
        <c:axPos val="b"/>
        <c:numFmt formatCode="General" sourceLinked="1"/>
        <c:majorTickMark val="none"/>
        <c:tickLblPos val="nextTo"/>
        <c:txPr>
          <a:bodyPr/>
          <a:lstStyle/>
          <a:p>
            <a:pPr>
              <a:defRPr lang="en-US"/>
            </a:pPr>
            <a:endParaRPr lang="en-US"/>
          </a:p>
        </c:txPr>
        <c:crossAx val="148667392"/>
        <c:crosses val="autoZero"/>
        <c:auto val="1"/>
        <c:lblAlgn val="ctr"/>
        <c:lblOffset val="100"/>
      </c:catAx>
      <c:valAx>
        <c:axId val="148667392"/>
        <c:scaling>
          <c:orientation val="minMax"/>
          <c:max val="6"/>
          <c:min val="3.5"/>
        </c:scaling>
        <c:axPos val="l"/>
        <c:majorGridlines>
          <c:spPr>
            <a:ln w="3175"/>
          </c:spPr>
        </c:majorGridlines>
        <c:title>
          <c:tx>
            <c:rich>
              <a:bodyPr/>
              <a:lstStyle/>
              <a:p>
                <a:pPr>
                  <a:defRPr lang="en-US" sz="1100" b="0"/>
                </a:pPr>
                <a:r>
                  <a:rPr lang="en-US" sz="1100" b="0"/>
                  <a:t>No. of Teacher per School</a:t>
                </a:r>
              </a:p>
            </c:rich>
          </c:tx>
        </c:title>
        <c:numFmt formatCode="General" sourceLinked="1"/>
        <c:tickLblPos val="nextTo"/>
        <c:txPr>
          <a:bodyPr/>
          <a:lstStyle/>
          <a:p>
            <a:pPr>
              <a:defRPr lang="en-US"/>
            </a:pPr>
            <a:endParaRPr lang="en-US"/>
          </a:p>
        </c:txPr>
        <c:crossAx val="148665856"/>
        <c:crosses val="autoZero"/>
        <c:crossBetween val="between"/>
        <c:majorUnit val="0.5"/>
      </c:valAx>
    </c:plotArea>
    <c:legend>
      <c:legendPos val="r"/>
      <c:txPr>
        <a:bodyPr/>
        <a:lstStyle/>
        <a:p>
          <a:pPr>
            <a:defRPr lang="en-US"/>
          </a:pPr>
          <a:endParaRPr lang="en-US"/>
        </a:p>
      </c:txPr>
    </c:legend>
    <c:plotVisOnly val="1"/>
    <c:dispBlanksAs val="gap"/>
  </c:chart>
  <c:spPr>
    <a:ln w="31750" cmpd="dbl">
      <a:solidFill>
        <a:schemeClr val="accent5">
          <a:lumMod val="50000"/>
        </a:schemeClr>
      </a:solid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2673840769903771"/>
          <c:y val="0.17177092446777489"/>
          <c:w val="0.72252690288713906"/>
          <c:h val="0.67785469524645492"/>
        </c:manualLayout>
      </c:layout>
      <c:barChart>
        <c:barDir val="col"/>
        <c:grouping val="clustered"/>
        <c:ser>
          <c:idx val="0"/>
          <c:order val="0"/>
          <c:tx>
            <c:v>2005</c:v>
          </c:tx>
          <c:cat>
            <c:strRef>
              <c:f>('Fig 4.12'!$A$6,'Fig 4.12'!$A$7,'Fig 4.12'!$A$8,'Fig 4.12'!$A$9,'Fig 4.12'!$A$10,'Fig 4.12'!$A$11,'Fig 4.12'!$A$12)</c:f>
              <c:strCache>
                <c:ptCount val="7"/>
                <c:pt idx="0">
                  <c:v>Physical</c:v>
                </c:pt>
                <c:pt idx="1">
                  <c:v>Visual</c:v>
                </c:pt>
                <c:pt idx="2">
                  <c:v>Hearing</c:v>
                </c:pt>
                <c:pt idx="3">
                  <c:v>Speaking</c:v>
                </c:pt>
                <c:pt idx="4">
                  <c:v>Mental</c:v>
                </c:pt>
                <c:pt idx="5">
                  <c:v>Autistics</c:v>
                </c:pt>
                <c:pt idx="6">
                  <c:v>Other</c:v>
                </c:pt>
              </c:strCache>
            </c:strRef>
          </c:cat>
          <c:val>
            <c:numRef>
              <c:f>'Fig 4.12'!$B$6:$B$12</c:f>
              <c:numCache>
                <c:formatCode>General</c:formatCode>
                <c:ptCount val="7"/>
                <c:pt idx="0">
                  <c:v>11060</c:v>
                </c:pt>
                <c:pt idx="1">
                  <c:v>5728</c:v>
                </c:pt>
                <c:pt idx="2">
                  <c:v>3749</c:v>
                </c:pt>
                <c:pt idx="3">
                  <c:v>11377</c:v>
                </c:pt>
                <c:pt idx="4">
                  <c:v>13979</c:v>
                </c:pt>
                <c:pt idx="6">
                  <c:v>452</c:v>
                </c:pt>
              </c:numCache>
            </c:numRef>
          </c:val>
        </c:ser>
        <c:ser>
          <c:idx val="1"/>
          <c:order val="1"/>
          <c:tx>
            <c:v>2010</c:v>
          </c:tx>
          <c:cat>
            <c:strRef>
              <c:f>('Fig 4.12'!$A$6,'Fig 4.12'!$A$7,'Fig 4.12'!$A$8,'Fig 4.12'!$A$9,'Fig 4.12'!$A$10,'Fig 4.12'!$A$11,'Fig 4.12'!$A$12)</c:f>
              <c:strCache>
                <c:ptCount val="7"/>
                <c:pt idx="0">
                  <c:v>Physical</c:v>
                </c:pt>
                <c:pt idx="1">
                  <c:v>Visual</c:v>
                </c:pt>
                <c:pt idx="2">
                  <c:v>Hearing</c:v>
                </c:pt>
                <c:pt idx="3">
                  <c:v>Speaking</c:v>
                </c:pt>
                <c:pt idx="4">
                  <c:v>Mental</c:v>
                </c:pt>
                <c:pt idx="5">
                  <c:v>Autistics</c:v>
                </c:pt>
                <c:pt idx="6">
                  <c:v>Other</c:v>
                </c:pt>
              </c:strCache>
            </c:strRef>
          </c:cat>
          <c:val>
            <c:numRef>
              <c:f>'Fig 4.12'!$C$6:$C$12</c:f>
              <c:numCache>
                <c:formatCode>General</c:formatCode>
                <c:ptCount val="7"/>
                <c:pt idx="0">
                  <c:v>21496</c:v>
                </c:pt>
                <c:pt idx="1">
                  <c:v>11350</c:v>
                </c:pt>
                <c:pt idx="2">
                  <c:v>5773</c:v>
                </c:pt>
                <c:pt idx="3">
                  <c:v>17041</c:v>
                </c:pt>
                <c:pt idx="4">
                  <c:v>20496</c:v>
                </c:pt>
                <c:pt idx="6">
                  <c:v>2043</c:v>
                </c:pt>
              </c:numCache>
            </c:numRef>
          </c:val>
        </c:ser>
        <c:ser>
          <c:idx val="2"/>
          <c:order val="2"/>
          <c:tx>
            <c:v>2011</c:v>
          </c:tx>
          <c:cat>
            <c:strRef>
              <c:f>('Fig 4.12'!$A$6,'Fig 4.12'!$A$7,'Fig 4.12'!$A$8,'Fig 4.12'!$A$9,'Fig 4.12'!$A$10,'Fig 4.12'!$A$11,'Fig 4.12'!$A$12)</c:f>
              <c:strCache>
                <c:ptCount val="7"/>
                <c:pt idx="0">
                  <c:v>Physical</c:v>
                </c:pt>
                <c:pt idx="1">
                  <c:v>Visual</c:v>
                </c:pt>
                <c:pt idx="2">
                  <c:v>Hearing</c:v>
                </c:pt>
                <c:pt idx="3">
                  <c:v>Speaking</c:v>
                </c:pt>
                <c:pt idx="4">
                  <c:v>Mental</c:v>
                </c:pt>
                <c:pt idx="5">
                  <c:v>Autistics</c:v>
                </c:pt>
                <c:pt idx="6">
                  <c:v>Other</c:v>
                </c:pt>
              </c:strCache>
            </c:strRef>
          </c:cat>
          <c:val>
            <c:numRef>
              <c:f>'Fig 4.12'!$D$6:$D$12</c:f>
              <c:numCache>
                <c:formatCode>General</c:formatCode>
                <c:ptCount val="7"/>
                <c:pt idx="0">
                  <c:v>33219</c:v>
                </c:pt>
                <c:pt idx="1">
                  <c:v>15224</c:v>
                </c:pt>
                <c:pt idx="2">
                  <c:v>5979</c:v>
                </c:pt>
                <c:pt idx="3">
                  <c:v>23352</c:v>
                </c:pt>
                <c:pt idx="4">
                  <c:v>24050</c:v>
                </c:pt>
              </c:numCache>
            </c:numRef>
          </c:val>
        </c:ser>
        <c:ser>
          <c:idx val="3"/>
          <c:order val="3"/>
          <c:tx>
            <c:v>2012</c:v>
          </c:tx>
          <c:cat>
            <c:strRef>
              <c:f>('Fig 4.12'!$A$6,'Fig 4.12'!$A$7,'Fig 4.12'!$A$8,'Fig 4.12'!$A$9,'Fig 4.12'!$A$10,'Fig 4.12'!$A$11,'Fig 4.12'!$A$12)</c:f>
              <c:strCache>
                <c:ptCount val="7"/>
                <c:pt idx="0">
                  <c:v>Physical</c:v>
                </c:pt>
                <c:pt idx="1">
                  <c:v>Visual</c:v>
                </c:pt>
                <c:pt idx="2">
                  <c:v>Hearing</c:v>
                </c:pt>
                <c:pt idx="3">
                  <c:v>Speaking</c:v>
                </c:pt>
                <c:pt idx="4">
                  <c:v>Mental</c:v>
                </c:pt>
                <c:pt idx="5">
                  <c:v>Autistics</c:v>
                </c:pt>
                <c:pt idx="6">
                  <c:v>Other</c:v>
                </c:pt>
              </c:strCache>
            </c:strRef>
          </c:cat>
          <c:val>
            <c:numRef>
              <c:f>'Fig 4.12'!$E$6:$E$12</c:f>
              <c:numCache>
                <c:formatCode>General</c:formatCode>
                <c:ptCount val="7"/>
                <c:pt idx="0">
                  <c:v>29759</c:v>
                </c:pt>
                <c:pt idx="1">
                  <c:v>12538</c:v>
                </c:pt>
                <c:pt idx="2">
                  <c:v>5302</c:v>
                </c:pt>
                <c:pt idx="3">
                  <c:v>20942</c:v>
                </c:pt>
                <c:pt idx="4">
                  <c:v>19583</c:v>
                </c:pt>
                <c:pt idx="6">
                  <c:v>1870</c:v>
                </c:pt>
              </c:numCache>
            </c:numRef>
          </c:val>
        </c:ser>
        <c:ser>
          <c:idx val="4"/>
          <c:order val="4"/>
          <c:tx>
            <c:v>2013</c:v>
          </c:tx>
          <c:cat>
            <c:strRef>
              <c:f>('Fig 4.12'!$A$6,'Fig 4.12'!$A$7,'Fig 4.12'!$A$8,'Fig 4.12'!$A$9,'Fig 4.12'!$A$10,'Fig 4.12'!$A$11,'Fig 4.12'!$A$12)</c:f>
              <c:strCache>
                <c:ptCount val="7"/>
                <c:pt idx="0">
                  <c:v>Physical</c:v>
                </c:pt>
                <c:pt idx="1">
                  <c:v>Visual</c:v>
                </c:pt>
                <c:pt idx="2">
                  <c:v>Hearing</c:v>
                </c:pt>
                <c:pt idx="3">
                  <c:v>Speaking</c:v>
                </c:pt>
                <c:pt idx="4">
                  <c:v>Mental</c:v>
                </c:pt>
                <c:pt idx="5">
                  <c:v>Autistics</c:v>
                </c:pt>
                <c:pt idx="6">
                  <c:v>Other</c:v>
                </c:pt>
              </c:strCache>
            </c:strRef>
          </c:cat>
          <c:val>
            <c:numRef>
              <c:f>'Fig 4.12'!$F$6:$F$12</c:f>
              <c:numCache>
                <c:formatCode>General</c:formatCode>
                <c:ptCount val="7"/>
                <c:pt idx="0">
                  <c:v>28450</c:v>
                </c:pt>
                <c:pt idx="1">
                  <c:v>11454</c:v>
                </c:pt>
                <c:pt idx="2">
                  <c:v>3904</c:v>
                </c:pt>
                <c:pt idx="3">
                  <c:v>18976</c:v>
                </c:pt>
                <c:pt idx="4">
                  <c:v>17315</c:v>
                </c:pt>
                <c:pt idx="5">
                  <c:v>1504</c:v>
                </c:pt>
                <c:pt idx="6">
                  <c:v>1105</c:v>
                </c:pt>
              </c:numCache>
            </c:numRef>
          </c:val>
        </c:ser>
        <c:ser>
          <c:idx val="5"/>
          <c:order val="5"/>
          <c:tx>
            <c:v>2014</c:v>
          </c:tx>
          <c:cat>
            <c:strRef>
              <c:f>('Fig 4.12'!$A$6,'Fig 4.12'!$A$7,'Fig 4.12'!$A$8,'Fig 4.12'!$A$9,'Fig 4.12'!$A$10,'Fig 4.12'!$A$11,'Fig 4.12'!$A$12)</c:f>
              <c:strCache>
                <c:ptCount val="7"/>
                <c:pt idx="0">
                  <c:v>Physical</c:v>
                </c:pt>
                <c:pt idx="1">
                  <c:v>Visual</c:v>
                </c:pt>
                <c:pt idx="2">
                  <c:v>Hearing</c:v>
                </c:pt>
                <c:pt idx="3">
                  <c:v>Speaking</c:v>
                </c:pt>
                <c:pt idx="4">
                  <c:v>Mental</c:v>
                </c:pt>
                <c:pt idx="5">
                  <c:v>Autistics</c:v>
                </c:pt>
                <c:pt idx="6">
                  <c:v>Other</c:v>
                </c:pt>
              </c:strCache>
            </c:strRef>
          </c:cat>
          <c:val>
            <c:numRef>
              <c:f>'Fig 4.12'!$G$6:$G$12</c:f>
              <c:numCache>
                <c:formatCode>General</c:formatCode>
                <c:ptCount val="7"/>
                <c:pt idx="0">
                  <c:v>38361</c:v>
                </c:pt>
                <c:pt idx="1">
                  <c:v>13944</c:v>
                </c:pt>
                <c:pt idx="2">
                  <c:v>6270</c:v>
                </c:pt>
                <c:pt idx="3">
                  <c:v>21795</c:v>
                </c:pt>
                <c:pt idx="4">
                  <c:v>21460</c:v>
                </c:pt>
                <c:pt idx="5">
                  <c:v>2863</c:v>
                </c:pt>
                <c:pt idx="6">
                  <c:v>4451</c:v>
                </c:pt>
              </c:numCache>
            </c:numRef>
          </c:val>
        </c:ser>
        <c:ser>
          <c:idx val="6"/>
          <c:order val="6"/>
          <c:tx>
            <c:v>2015</c:v>
          </c:tx>
          <c:cat>
            <c:strRef>
              <c:f>('Fig 4.12'!$A$6,'Fig 4.12'!$A$7,'Fig 4.12'!$A$8,'Fig 4.12'!$A$9,'Fig 4.12'!$A$10,'Fig 4.12'!$A$11,'Fig 4.12'!$A$12)</c:f>
              <c:strCache>
                <c:ptCount val="7"/>
                <c:pt idx="0">
                  <c:v>Physical</c:v>
                </c:pt>
                <c:pt idx="1">
                  <c:v>Visual</c:v>
                </c:pt>
                <c:pt idx="2">
                  <c:v>Hearing</c:v>
                </c:pt>
                <c:pt idx="3">
                  <c:v>Speaking</c:v>
                </c:pt>
                <c:pt idx="4">
                  <c:v>Mental</c:v>
                </c:pt>
                <c:pt idx="5">
                  <c:v>Autistics</c:v>
                </c:pt>
                <c:pt idx="6">
                  <c:v>Other</c:v>
                </c:pt>
              </c:strCache>
            </c:strRef>
          </c:cat>
          <c:val>
            <c:numRef>
              <c:f>'Fig 4.12'!$H$6:$H$12</c:f>
              <c:numCache>
                <c:formatCode>#,##0</c:formatCode>
                <c:ptCount val="7"/>
                <c:pt idx="0">
                  <c:v>23177</c:v>
                </c:pt>
                <c:pt idx="1">
                  <c:v>9560</c:v>
                </c:pt>
                <c:pt idx="2">
                  <c:v>2818</c:v>
                </c:pt>
                <c:pt idx="3">
                  <c:v>14727</c:v>
                </c:pt>
                <c:pt idx="4">
                  <c:v>15228</c:v>
                </c:pt>
                <c:pt idx="5">
                  <c:v>1516</c:v>
                </c:pt>
                <c:pt idx="6" formatCode="General">
                  <c:v>767</c:v>
                </c:pt>
              </c:numCache>
            </c:numRef>
          </c:val>
        </c:ser>
        <c:gapWidth val="300"/>
        <c:axId val="149986688"/>
        <c:axId val="150144128"/>
      </c:barChart>
      <c:catAx>
        <c:axId val="149986688"/>
        <c:scaling>
          <c:orientation val="minMax"/>
        </c:scaling>
        <c:axPos val="b"/>
        <c:numFmt formatCode="General" sourceLinked="1"/>
        <c:majorTickMark val="none"/>
        <c:tickLblPos val="nextTo"/>
        <c:txPr>
          <a:bodyPr/>
          <a:lstStyle/>
          <a:p>
            <a:pPr>
              <a:defRPr lang="en-US"/>
            </a:pPr>
            <a:endParaRPr lang="en-US"/>
          </a:p>
        </c:txPr>
        <c:crossAx val="150144128"/>
        <c:crosses val="autoZero"/>
        <c:auto val="1"/>
        <c:lblAlgn val="ctr"/>
        <c:lblOffset val="100"/>
      </c:catAx>
      <c:valAx>
        <c:axId val="150144128"/>
        <c:scaling>
          <c:orientation val="minMax"/>
        </c:scaling>
        <c:axPos val="l"/>
        <c:majorGridlines>
          <c:spPr>
            <a:ln w="3175">
              <a:solidFill>
                <a:schemeClr val="accent5">
                  <a:lumMod val="50000"/>
                </a:schemeClr>
              </a:solidFill>
            </a:ln>
          </c:spPr>
        </c:majorGridlines>
        <c:minorGridlines>
          <c:spPr>
            <a:ln w="3175">
              <a:solidFill>
                <a:schemeClr val="accent5">
                  <a:lumMod val="40000"/>
                  <a:lumOff val="60000"/>
                </a:schemeClr>
              </a:solidFill>
            </a:ln>
          </c:spPr>
        </c:minorGridlines>
        <c:numFmt formatCode="General" sourceLinked="1"/>
        <c:tickLblPos val="nextTo"/>
        <c:txPr>
          <a:bodyPr/>
          <a:lstStyle/>
          <a:p>
            <a:pPr>
              <a:defRPr lang="en-US"/>
            </a:pPr>
            <a:endParaRPr lang="en-US"/>
          </a:p>
        </c:txPr>
        <c:crossAx val="149986688"/>
        <c:crosses val="autoZero"/>
        <c:crossBetween val="between"/>
      </c:valAx>
    </c:plotArea>
    <c:legend>
      <c:legendPos val="r"/>
      <c:txPr>
        <a:bodyPr/>
        <a:lstStyle/>
        <a:p>
          <a:pPr>
            <a:defRPr lang="en-US"/>
          </a:pPr>
          <a:endParaRPr lang="en-US"/>
        </a:p>
      </c:txPr>
    </c:legend>
    <c:plotVisOnly val="1"/>
    <c:dispBlanksAs val="gap"/>
  </c:chart>
  <c:spPr>
    <a:ln w="31750" cmpd="dbl">
      <a:solidFill>
        <a:schemeClr val="accent5">
          <a:lumMod val="50000"/>
        </a:schemeClr>
      </a:solidFill>
    </a:ln>
  </c:spPr>
  <c:externalData r:id="rId1"/>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6.9363392174945609E-2"/>
          <c:y val="0.10445062060545025"/>
          <c:w val="0.80143599780928187"/>
          <c:h val="0.75039982702391916"/>
        </c:manualLayout>
      </c:layout>
      <c:barChart>
        <c:barDir val="col"/>
        <c:grouping val="clustered"/>
        <c:ser>
          <c:idx val="0"/>
          <c:order val="0"/>
          <c:tx>
            <c:strRef>
              <c:f>'Fig 4.13'!$A$6</c:f>
              <c:strCache>
                <c:ptCount val="1"/>
                <c:pt idx="0">
                  <c:v>Total</c:v>
                </c:pt>
              </c:strCache>
            </c:strRef>
          </c:tx>
          <c:spPr>
            <a:solidFill>
              <a:schemeClr val="tx2">
                <a:lumMod val="60000"/>
                <a:lumOff val="40000"/>
              </a:schemeClr>
            </a:solidFill>
          </c:spPr>
          <c:cat>
            <c:numLit>
              <c:formatCode>General</c:formatCode>
              <c:ptCount val="6"/>
              <c:pt idx="0">
                <c:v>2010</c:v>
              </c:pt>
              <c:pt idx="1">
                <c:v>2011</c:v>
              </c:pt>
              <c:pt idx="2">
                <c:v>2012</c:v>
              </c:pt>
              <c:pt idx="3">
                <c:v>2013</c:v>
              </c:pt>
              <c:pt idx="4">
                <c:v>2014</c:v>
              </c:pt>
              <c:pt idx="5">
                <c:v>2015</c:v>
              </c:pt>
            </c:numLit>
          </c:cat>
          <c:val>
            <c:numRef>
              <c:f>'Fig 4.13'!$B$6:$G$6</c:f>
              <c:numCache>
                <c:formatCode>General</c:formatCode>
                <c:ptCount val="6"/>
                <c:pt idx="0">
                  <c:v>43</c:v>
                </c:pt>
                <c:pt idx="1">
                  <c:v>40</c:v>
                </c:pt>
                <c:pt idx="2">
                  <c:v>38</c:v>
                </c:pt>
                <c:pt idx="3">
                  <c:v>38</c:v>
                </c:pt>
                <c:pt idx="4">
                  <c:v>71</c:v>
                </c:pt>
                <c:pt idx="5">
                  <c:v>71.400000000000006</c:v>
                </c:pt>
              </c:numCache>
            </c:numRef>
          </c:val>
        </c:ser>
        <c:ser>
          <c:idx val="1"/>
          <c:order val="1"/>
          <c:tx>
            <c:strRef>
              <c:f>'Fig 4.13'!$A$7</c:f>
              <c:strCache>
                <c:ptCount val="1"/>
                <c:pt idx="0">
                  <c:v>GPS</c:v>
                </c:pt>
              </c:strCache>
            </c:strRef>
          </c:tx>
          <c:cat>
            <c:numLit>
              <c:formatCode>General</c:formatCode>
              <c:ptCount val="6"/>
              <c:pt idx="0">
                <c:v>2010</c:v>
              </c:pt>
              <c:pt idx="1">
                <c:v>2011</c:v>
              </c:pt>
              <c:pt idx="2">
                <c:v>2012</c:v>
              </c:pt>
              <c:pt idx="3">
                <c:v>2013</c:v>
              </c:pt>
              <c:pt idx="4">
                <c:v>2014</c:v>
              </c:pt>
              <c:pt idx="5">
                <c:v>2015</c:v>
              </c:pt>
            </c:numLit>
          </c:cat>
          <c:val>
            <c:numRef>
              <c:f>'Fig 4.13'!$B$7:$G$7</c:f>
              <c:numCache>
                <c:formatCode>General</c:formatCode>
                <c:ptCount val="6"/>
                <c:pt idx="0">
                  <c:v>46</c:v>
                </c:pt>
                <c:pt idx="1">
                  <c:v>44</c:v>
                </c:pt>
                <c:pt idx="2">
                  <c:v>42</c:v>
                </c:pt>
                <c:pt idx="3">
                  <c:v>42</c:v>
                </c:pt>
                <c:pt idx="4">
                  <c:v>72</c:v>
                </c:pt>
                <c:pt idx="5">
                  <c:v>72.599999999999994</c:v>
                </c:pt>
              </c:numCache>
            </c:numRef>
          </c:val>
        </c:ser>
        <c:ser>
          <c:idx val="2"/>
          <c:order val="2"/>
          <c:tx>
            <c:strRef>
              <c:f>'Fig 4.13'!$A$8</c:f>
              <c:strCache>
                <c:ptCount val="1"/>
                <c:pt idx="0">
                  <c:v>NNPS</c:v>
                </c:pt>
              </c:strCache>
            </c:strRef>
          </c:tx>
          <c:cat>
            <c:numLit>
              <c:formatCode>General</c:formatCode>
              <c:ptCount val="6"/>
              <c:pt idx="0">
                <c:v>2010</c:v>
              </c:pt>
              <c:pt idx="1">
                <c:v>2011</c:v>
              </c:pt>
              <c:pt idx="2">
                <c:v>2012</c:v>
              </c:pt>
              <c:pt idx="3">
                <c:v>2013</c:v>
              </c:pt>
              <c:pt idx="4">
                <c:v>2014</c:v>
              </c:pt>
              <c:pt idx="5">
                <c:v>2015</c:v>
              </c:pt>
            </c:numLit>
          </c:cat>
          <c:val>
            <c:numRef>
              <c:f>'Fig 4.13'!$B$8:$G$8</c:f>
              <c:numCache>
                <c:formatCode>General</c:formatCode>
                <c:ptCount val="6"/>
                <c:pt idx="0">
                  <c:v>37</c:v>
                </c:pt>
                <c:pt idx="1">
                  <c:v>32</c:v>
                </c:pt>
                <c:pt idx="2">
                  <c:v>31</c:v>
                </c:pt>
                <c:pt idx="3">
                  <c:v>31</c:v>
                </c:pt>
                <c:pt idx="4">
                  <c:v>68</c:v>
                </c:pt>
                <c:pt idx="5">
                  <c:v>69</c:v>
                </c:pt>
              </c:numCache>
            </c:numRef>
          </c:val>
        </c:ser>
        <c:axId val="150308736"/>
        <c:axId val="150310272"/>
      </c:barChart>
      <c:catAx>
        <c:axId val="150308736"/>
        <c:scaling>
          <c:orientation val="minMax"/>
        </c:scaling>
        <c:axPos val="b"/>
        <c:numFmt formatCode="General" sourceLinked="1"/>
        <c:majorTickMark val="none"/>
        <c:tickLblPos val="nextTo"/>
        <c:txPr>
          <a:bodyPr/>
          <a:lstStyle/>
          <a:p>
            <a:pPr>
              <a:defRPr lang="en-US"/>
            </a:pPr>
            <a:endParaRPr lang="en-US"/>
          </a:p>
        </c:txPr>
        <c:crossAx val="150310272"/>
        <c:crosses val="autoZero"/>
        <c:auto val="1"/>
        <c:lblAlgn val="ctr"/>
        <c:lblOffset val="100"/>
      </c:catAx>
      <c:valAx>
        <c:axId val="150310272"/>
        <c:scaling>
          <c:orientation val="minMax"/>
        </c:scaling>
        <c:axPos val="l"/>
        <c:majorGridlines>
          <c:spPr>
            <a:ln>
              <a:solidFill>
                <a:srgbClr val="4F81BD">
                  <a:lumMod val="60000"/>
                  <a:lumOff val="40000"/>
                </a:srgbClr>
              </a:solidFill>
            </a:ln>
          </c:spPr>
        </c:majorGridlines>
        <c:numFmt formatCode="General" sourceLinked="1"/>
        <c:majorTickMark val="none"/>
        <c:tickLblPos val="nextTo"/>
        <c:txPr>
          <a:bodyPr/>
          <a:lstStyle/>
          <a:p>
            <a:pPr>
              <a:defRPr lang="en-US"/>
            </a:pPr>
            <a:endParaRPr lang="en-US"/>
          </a:p>
        </c:txPr>
        <c:crossAx val="150308736"/>
        <c:crosses val="autoZero"/>
        <c:crossBetween val="between"/>
      </c:valAx>
    </c:plotArea>
    <c:legend>
      <c:legendPos val="r"/>
      <c:txPr>
        <a:bodyPr/>
        <a:lstStyle/>
        <a:p>
          <a:pPr>
            <a:defRPr lang="en-US"/>
          </a:pPr>
          <a:endParaRPr lang="en-US"/>
        </a:p>
      </c:txPr>
    </c:legend>
    <c:plotVisOnly val="1"/>
    <c:dispBlanksAs val="gap"/>
  </c:chart>
  <c:spPr>
    <a:ln w="31750" cmpd="dbl">
      <a:solidFill>
        <a:schemeClr val="accent5">
          <a:lumMod val="50000"/>
        </a:schemeClr>
      </a:solid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manualLayout>
          <c:layoutTarget val="inner"/>
          <c:xMode val="edge"/>
          <c:yMode val="edge"/>
          <c:x val="0.36629312640267775"/>
          <c:y val="0.27193593501542235"/>
          <c:w val="0.35920137700178784"/>
          <c:h val="0.72364656972620856"/>
        </c:manualLayout>
      </c:layout>
      <c:pieChart>
        <c:varyColors val="1"/>
        <c:ser>
          <c:idx val="0"/>
          <c:order val="0"/>
          <c:dPt>
            <c:idx val="3"/>
            <c:spPr>
              <a:solidFill>
                <a:srgbClr val="FFFF00"/>
              </a:solidFill>
            </c:spPr>
          </c:dPt>
          <c:dLbls>
            <c:dLbl>
              <c:idx val="0"/>
              <c:layout>
                <c:manualLayout>
                  <c:x val="7.8409030392940032E-2"/>
                  <c:y val="-0.14420905416021379"/>
                </c:manualLayout>
              </c:layout>
              <c:tx>
                <c:rich>
                  <a:bodyPr/>
                  <a:lstStyle/>
                  <a:p>
                    <a:r>
                      <a:rPr lang="en-US"/>
                      <a:t>MoPME/DPE managed
75.1%</a:t>
                    </a:r>
                  </a:p>
                </c:rich>
              </c:tx>
              <c:showCatName val="1"/>
              <c:showPercent val="1"/>
            </c:dLbl>
            <c:dLbl>
              <c:idx val="1"/>
              <c:layout>
                <c:manualLayout>
                  <c:x val="-4.0864049602495386E-2"/>
                  <c:y val="0.29360652911089352"/>
                </c:manualLayout>
              </c:layout>
              <c:tx>
                <c:rich>
                  <a:bodyPr/>
                  <a:lstStyle/>
                  <a:p>
                    <a:r>
                      <a:rPr lang="en-US"/>
                      <a:t>MoE Managed
9.3%</a:t>
                    </a:r>
                  </a:p>
                </c:rich>
              </c:tx>
              <c:showCatName val="1"/>
              <c:showPercent val="1"/>
            </c:dLbl>
            <c:dLbl>
              <c:idx val="2"/>
              <c:layout>
                <c:manualLayout>
                  <c:x val="-0.15766480659028836"/>
                  <c:y val="0.13898724696552894"/>
                </c:manualLayout>
              </c:layout>
              <c:showCatName val="1"/>
              <c:showPercent val="1"/>
            </c:dLbl>
            <c:dLbl>
              <c:idx val="3"/>
              <c:layout>
                <c:manualLayout>
                  <c:x val="-0.10142728894197232"/>
                  <c:y val="-9.9970537544126215E-2"/>
                </c:manualLayout>
              </c:layout>
              <c:tx>
                <c:rich>
                  <a:bodyPr/>
                  <a:lstStyle/>
                  <a:p>
                    <a:r>
                      <a:rPr lang="en-US"/>
                      <a:t>Other Authorities Managed</a:t>
                    </a:r>
                    <a:r>
                      <a:rPr lang="en-US" baseline="0"/>
                      <a:t> </a:t>
                    </a:r>
                    <a:r>
                      <a:rPr lang="en-US"/>
                      <a:t>0.3%</a:t>
                    </a:r>
                  </a:p>
                </c:rich>
              </c:tx>
              <c:showCatName val="1"/>
              <c:showPercent val="1"/>
            </c:dLbl>
            <c:dLbl>
              <c:idx val="4"/>
              <c:layout>
                <c:manualLayout>
                  <c:x val="0.20944229347022797"/>
                  <c:y val="-9.4851840540125409E-2"/>
                </c:manualLayout>
              </c:layout>
              <c:tx>
                <c:rich>
                  <a:bodyPr/>
                  <a:lstStyle/>
                  <a:p>
                    <a:r>
                      <a:rPr lang="en-US"/>
                      <a:t>NGO Bureau Managed</a:t>
                    </a:r>
                    <a:r>
                      <a:rPr lang="en-US" baseline="0"/>
                      <a:t> 3.3</a:t>
                    </a:r>
                    <a:r>
                      <a:rPr lang="en-US"/>
                      <a:t>%</a:t>
                    </a:r>
                  </a:p>
                </c:rich>
              </c:tx>
              <c:showCatName val="1"/>
              <c:showPercent val="1"/>
            </c:dLbl>
            <c:txPr>
              <a:bodyPr/>
              <a:lstStyle/>
              <a:p>
                <a:pPr>
                  <a:defRPr lang="en-US"/>
                </a:pPr>
                <a:endParaRPr lang="en-US"/>
              </a:p>
            </c:txPr>
            <c:showCatName val="1"/>
            <c:showPercent val="1"/>
            <c:showLeaderLines val="1"/>
          </c:dLbls>
          <c:cat>
            <c:strRef>
              <c:f>'Figure 1.2, 1.3, 1.4'!$A$40:$A$44</c:f>
              <c:strCache>
                <c:ptCount val="5"/>
                <c:pt idx="0">
                  <c:v>MoPME/DPE managed</c:v>
                </c:pt>
                <c:pt idx="1">
                  <c:v>MoE Managed</c:v>
                </c:pt>
                <c:pt idx="2">
                  <c:v>MoC Managed</c:v>
                </c:pt>
                <c:pt idx="3">
                  <c:v>Other Authorities Managed</c:v>
                </c:pt>
                <c:pt idx="4">
                  <c:v>NGO Bureau Managed</c:v>
                </c:pt>
              </c:strCache>
            </c:strRef>
          </c:cat>
          <c:val>
            <c:numRef>
              <c:f>'Figure 1.2, 1.3, 1.4'!$I$40:$I$44</c:f>
              <c:numCache>
                <c:formatCode>#,##0</c:formatCode>
                <c:ptCount val="5"/>
                <c:pt idx="0">
                  <c:v>14312281</c:v>
                </c:pt>
                <c:pt idx="1">
                  <c:v>1782202</c:v>
                </c:pt>
                <c:pt idx="2">
                  <c:v>2286041</c:v>
                </c:pt>
                <c:pt idx="3">
                  <c:v>51684</c:v>
                </c:pt>
                <c:pt idx="4">
                  <c:v>635553</c:v>
                </c:pt>
              </c:numCache>
            </c:numRef>
          </c:val>
        </c:ser>
        <c:dLbls>
          <c:showCatName val="1"/>
          <c:showPercent val="1"/>
        </c:dLbls>
        <c:firstSliceAng val="0"/>
      </c:pieChart>
    </c:plotArea>
    <c:plotVisOnly val="1"/>
    <c:dispBlanksAs val="zero"/>
  </c:chart>
  <c:spPr>
    <a:ln w="34925" cmpd="dbl">
      <a:solidFill>
        <a:schemeClr val="accent5">
          <a:lumMod val="50000"/>
        </a:schemeClr>
      </a:solid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0434951881014488"/>
          <c:y val="0.15788203557888641"/>
          <c:w val="0.77588931084942614"/>
          <c:h val="0.48583202099737532"/>
        </c:manualLayout>
      </c:layout>
      <c:barChart>
        <c:barDir val="col"/>
        <c:grouping val="clustered"/>
        <c:ser>
          <c:idx val="0"/>
          <c:order val="0"/>
          <c:tx>
            <c:strRef>
              <c:f>'Fig 4.14'!$A$9</c:f>
              <c:strCache>
                <c:ptCount val="1"/>
                <c:pt idx="0">
                  <c:v>2014</c:v>
                </c:pt>
              </c:strCache>
            </c:strRef>
          </c:tx>
          <c:dLbls>
            <c:dLbl>
              <c:idx val="0"/>
              <c:layout>
                <c:manualLayout>
                  <c:x val="-8.8495575221241747E-3"/>
                  <c:y val="2.2222222222222251E-2"/>
                </c:manualLayout>
              </c:layout>
              <c:showVal val="1"/>
            </c:dLbl>
            <c:dLbl>
              <c:idx val="3"/>
              <c:layout>
                <c:manualLayout>
                  <c:x val="-6.6371681415929524E-3"/>
                  <c:y val="8.8888888888891248E-3"/>
                </c:manualLayout>
              </c:layout>
              <c:showVal val="1"/>
            </c:dLbl>
            <c:dLbl>
              <c:idx val="4"/>
              <c:layout>
                <c:manualLayout>
                  <c:x val="-1.1061946902654616E-2"/>
                  <c:y val="1.7777777777777781E-2"/>
                </c:manualLayout>
              </c:layout>
              <c:showVal val="1"/>
            </c:dLbl>
            <c:dLbl>
              <c:idx val="5"/>
              <c:layout>
                <c:manualLayout>
                  <c:x val="-4.4247787610619494E-3"/>
                  <c:y val="2.2222222222222251E-2"/>
                </c:manualLayout>
              </c:layout>
              <c:showVal val="1"/>
            </c:dLbl>
            <c:txPr>
              <a:bodyPr/>
              <a:lstStyle/>
              <a:p>
                <a:pPr>
                  <a:defRPr lang="en-US" sz="900">
                    <a:solidFill>
                      <a:srgbClr val="3333CC"/>
                    </a:solidFill>
                  </a:defRPr>
                </a:pPr>
                <a:endParaRPr lang="en-US"/>
              </a:p>
            </c:txPr>
            <c:showVal val="1"/>
          </c:dLbls>
          <c:cat>
            <c:multiLvlStrRef>
              <c:f>'Fig 4.14'!$B$7:$G$8</c:f>
              <c:multiLvlStrCache>
                <c:ptCount val="6"/>
                <c:lvl>
                  <c:pt idx="0">
                    <c:v>Classrooms</c:v>
                  </c:pt>
                  <c:pt idx="1">
                    <c:v>Office rooms</c:v>
                  </c:pt>
                  <c:pt idx="2">
                    <c:v>Others</c:v>
                  </c:pt>
                  <c:pt idx="3">
                    <c:v>Classrooms</c:v>
                  </c:pt>
                  <c:pt idx="4">
                    <c:v>Office rooms</c:v>
                  </c:pt>
                  <c:pt idx="5">
                    <c:v>Others</c:v>
                  </c:pt>
                </c:lvl>
                <c:lvl>
                  <c:pt idx="0">
                    <c:v>GPS</c:v>
                  </c:pt>
                  <c:pt idx="3">
                    <c:v>NNPS</c:v>
                  </c:pt>
                </c:lvl>
              </c:multiLvlStrCache>
            </c:multiLvlStrRef>
          </c:cat>
          <c:val>
            <c:numRef>
              <c:f>'Fig 4.14'!$B$9:$G$9</c:f>
              <c:numCache>
                <c:formatCode>0%</c:formatCode>
                <c:ptCount val="6"/>
                <c:pt idx="0">
                  <c:v>0.79</c:v>
                </c:pt>
                <c:pt idx="1">
                  <c:v>0.15000000000000024</c:v>
                </c:pt>
                <c:pt idx="2">
                  <c:v>6.0000000000000032E-2</c:v>
                </c:pt>
                <c:pt idx="3">
                  <c:v>0.78</c:v>
                </c:pt>
                <c:pt idx="4">
                  <c:v>0.19</c:v>
                </c:pt>
                <c:pt idx="5">
                  <c:v>2.0000000000000011E-2</c:v>
                </c:pt>
              </c:numCache>
            </c:numRef>
          </c:val>
        </c:ser>
        <c:ser>
          <c:idx val="1"/>
          <c:order val="1"/>
          <c:tx>
            <c:strRef>
              <c:f>'Fig 4.14'!$A$10</c:f>
              <c:strCache>
                <c:ptCount val="1"/>
                <c:pt idx="0">
                  <c:v>2015</c:v>
                </c:pt>
              </c:strCache>
            </c:strRef>
          </c:tx>
          <c:dLbls>
            <c:dLbl>
              <c:idx val="0"/>
              <c:layout>
                <c:manualLayout>
                  <c:x val="1.1061946902654878E-2"/>
                  <c:y val="2.2221872265967901E-2"/>
                </c:manualLayout>
              </c:layout>
              <c:showVal val="1"/>
            </c:dLbl>
            <c:dLbl>
              <c:idx val="1"/>
              <c:layout>
                <c:manualLayout>
                  <c:x val="2.2123893805310211E-3"/>
                  <c:y val="1.7777777777777781E-2"/>
                </c:manualLayout>
              </c:layout>
              <c:showVal val="1"/>
            </c:dLbl>
            <c:dLbl>
              <c:idx val="2"/>
              <c:layout>
                <c:manualLayout>
                  <c:x val="4.4247787610619494E-3"/>
                  <c:y val="1.7777777777777781E-2"/>
                </c:manualLayout>
              </c:layout>
              <c:showVal val="1"/>
            </c:dLbl>
            <c:dLbl>
              <c:idx val="3"/>
              <c:layout>
                <c:manualLayout>
                  <c:x val="6.6371681415929524E-3"/>
                  <c:y val="4.4440944881889814E-3"/>
                </c:manualLayout>
              </c:layout>
              <c:showVal val="1"/>
            </c:dLbl>
            <c:dLbl>
              <c:idx val="4"/>
              <c:layout>
                <c:manualLayout>
                  <c:x val="8.112000684757165E-17"/>
                  <c:y val="8.8888888888891248E-3"/>
                </c:manualLayout>
              </c:layout>
              <c:showVal val="1"/>
            </c:dLbl>
            <c:dLbl>
              <c:idx val="5"/>
              <c:layout>
                <c:manualLayout>
                  <c:x val="0"/>
                  <c:y val="8.8888888888891248E-3"/>
                </c:manualLayout>
              </c:layout>
              <c:showVal val="1"/>
            </c:dLbl>
            <c:txPr>
              <a:bodyPr/>
              <a:lstStyle/>
              <a:p>
                <a:pPr>
                  <a:defRPr lang="en-US" sz="900">
                    <a:solidFill>
                      <a:srgbClr val="C00000"/>
                    </a:solidFill>
                  </a:defRPr>
                </a:pPr>
                <a:endParaRPr lang="en-US"/>
              </a:p>
            </c:txPr>
            <c:showVal val="1"/>
          </c:dLbls>
          <c:cat>
            <c:multiLvlStrRef>
              <c:f>'Fig 4.14'!$B$7:$G$8</c:f>
              <c:multiLvlStrCache>
                <c:ptCount val="6"/>
                <c:lvl>
                  <c:pt idx="0">
                    <c:v>Classrooms</c:v>
                  </c:pt>
                  <c:pt idx="1">
                    <c:v>Office rooms</c:v>
                  </c:pt>
                  <c:pt idx="2">
                    <c:v>Others</c:v>
                  </c:pt>
                  <c:pt idx="3">
                    <c:v>Classrooms</c:v>
                  </c:pt>
                  <c:pt idx="4">
                    <c:v>Office rooms</c:v>
                  </c:pt>
                  <c:pt idx="5">
                    <c:v>Others</c:v>
                  </c:pt>
                </c:lvl>
                <c:lvl>
                  <c:pt idx="0">
                    <c:v>GPS</c:v>
                  </c:pt>
                  <c:pt idx="3">
                    <c:v>NNPS</c:v>
                  </c:pt>
                </c:lvl>
              </c:multiLvlStrCache>
            </c:multiLvlStrRef>
          </c:cat>
          <c:val>
            <c:numRef>
              <c:f>'Fig 4.14'!$B$10:$G$10</c:f>
              <c:numCache>
                <c:formatCode>0%</c:formatCode>
                <c:ptCount val="6"/>
                <c:pt idx="0">
                  <c:v>0.73000000000000065</c:v>
                </c:pt>
                <c:pt idx="1">
                  <c:v>0.14000000000000001</c:v>
                </c:pt>
                <c:pt idx="2">
                  <c:v>0.13</c:v>
                </c:pt>
                <c:pt idx="3">
                  <c:v>0.7600000000000221</c:v>
                </c:pt>
                <c:pt idx="4">
                  <c:v>0.18000000000000024</c:v>
                </c:pt>
                <c:pt idx="5">
                  <c:v>6.0000000000000032E-2</c:v>
                </c:pt>
              </c:numCache>
            </c:numRef>
          </c:val>
        </c:ser>
        <c:axId val="150389120"/>
        <c:axId val="150390656"/>
      </c:barChart>
      <c:catAx>
        <c:axId val="150389120"/>
        <c:scaling>
          <c:orientation val="minMax"/>
        </c:scaling>
        <c:axPos val="b"/>
        <c:tickLblPos val="nextTo"/>
        <c:txPr>
          <a:bodyPr/>
          <a:lstStyle/>
          <a:p>
            <a:pPr>
              <a:defRPr lang="en-US" sz="900" b="1"/>
            </a:pPr>
            <a:endParaRPr lang="en-US"/>
          </a:p>
        </c:txPr>
        <c:crossAx val="150390656"/>
        <c:crosses val="autoZero"/>
        <c:auto val="1"/>
        <c:lblAlgn val="ctr"/>
        <c:lblOffset val="100"/>
      </c:catAx>
      <c:valAx>
        <c:axId val="150390656"/>
        <c:scaling>
          <c:orientation val="minMax"/>
        </c:scaling>
        <c:axPos val="l"/>
        <c:majorGridlines>
          <c:spPr>
            <a:ln>
              <a:solidFill>
                <a:srgbClr val="4F81BD">
                  <a:lumMod val="60000"/>
                  <a:lumOff val="40000"/>
                </a:srgbClr>
              </a:solidFill>
            </a:ln>
          </c:spPr>
        </c:majorGridlines>
        <c:numFmt formatCode="0%" sourceLinked="1"/>
        <c:tickLblPos val="nextTo"/>
        <c:txPr>
          <a:bodyPr/>
          <a:lstStyle/>
          <a:p>
            <a:pPr>
              <a:defRPr lang="en-US" sz="800"/>
            </a:pPr>
            <a:endParaRPr lang="en-US"/>
          </a:p>
        </c:txPr>
        <c:crossAx val="150389120"/>
        <c:crosses val="autoZero"/>
        <c:crossBetween val="between"/>
      </c:valAx>
    </c:plotArea>
    <c:legend>
      <c:legendPos val="r"/>
      <c:txPr>
        <a:bodyPr/>
        <a:lstStyle/>
        <a:p>
          <a:pPr>
            <a:defRPr lang="en-US"/>
          </a:pPr>
          <a:endParaRPr lang="en-US"/>
        </a:p>
      </c:txPr>
    </c:legend>
    <c:plotVisOnly val="1"/>
    <c:dispBlanksAs val="gap"/>
  </c:chart>
  <c:spPr>
    <a:ln w="31750" cmpd="dbl">
      <a:solidFill>
        <a:schemeClr val="accent5">
          <a:lumMod val="50000"/>
        </a:schemeClr>
      </a:solid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21768909525011676"/>
          <c:y val="0.34312187726095178"/>
          <c:w val="0.27146102947883971"/>
          <c:h val="0.58553616670130504"/>
        </c:manualLayout>
      </c:layout>
      <c:pieChart>
        <c:varyColors val="1"/>
        <c:ser>
          <c:idx val="0"/>
          <c:order val="0"/>
          <c:spPr>
            <a:solidFill>
              <a:srgbClr val="0066FF"/>
            </a:solidFill>
          </c:spPr>
          <c:dPt>
            <c:idx val="0"/>
            <c:spPr>
              <a:solidFill>
                <a:srgbClr val="CC00CC"/>
              </a:solidFill>
            </c:spPr>
          </c:dPt>
          <c:dLbls>
            <c:dLbl>
              <c:idx val="0"/>
              <c:layout>
                <c:manualLayout>
                  <c:x val="9.0993562840270728E-2"/>
                  <c:y val="1.3501977554665721E-2"/>
                </c:manualLayout>
              </c:layout>
              <c:tx>
                <c:rich>
                  <a:bodyPr/>
                  <a:lstStyle/>
                  <a:p>
                    <a:r>
                      <a:rPr lang="en-US"/>
                      <a:t>Received, </a:t>
                    </a:r>
                  </a:p>
                  <a:p>
                    <a:r>
                      <a:rPr lang="en-US"/>
                      <a:t>11.8%</a:t>
                    </a:r>
                  </a:p>
                </c:rich>
              </c:tx>
              <c:showSerName val="1"/>
              <c:showPercent val="1"/>
            </c:dLbl>
            <c:dLbl>
              <c:idx val="1"/>
              <c:layout>
                <c:manualLayout>
                  <c:x val="-8.2088931286284014E-2"/>
                  <c:y val="-9.5653752269523024E-2"/>
                </c:manualLayout>
              </c:layout>
              <c:tx>
                <c:rich>
                  <a:bodyPr/>
                  <a:lstStyle/>
                  <a:p>
                    <a:r>
                      <a:rPr lang="en-US"/>
                      <a:t>Not received, </a:t>
                    </a:r>
                  </a:p>
                  <a:p>
                    <a:r>
                      <a:rPr lang="en-US"/>
                      <a:t>88.2%</a:t>
                    </a:r>
                  </a:p>
                </c:rich>
              </c:tx>
              <c:showSerName val="1"/>
              <c:showPercent val="1"/>
            </c:dLbl>
            <c:txPr>
              <a:bodyPr/>
              <a:lstStyle/>
              <a:p>
                <a:pPr>
                  <a:defRPr lang="en-US"/>
                </a:pPr>
                <a:endParaRPr lang="en-US"/>
              </a:p>
            </c:txPr>
            <c:showSerName val="1"/>
            <c:showPercent val="1"/>
            <c:showLeaderLines val="1"/>
          </c:dLbls>
          <c:cat>
            <c:strRef>
              <c:f>Sheet1!$K$30:$K$31</c:f>
              <c:strCache>
                <c:ptCount val="2"/>
                <c:pt idx="0">
                  <c:v>Local contribution received 11.8% (GPS 9.2% and NNPS 35.5%)</c:v>
                </c:pt>
                <c:pt idx="1">
                  <c:v>Local contribution not received 88.2% Schools</c:v>
                </c:pt>
              </c:strCache>
            </c:strRef>
          </c:cat>
          <c:val>
            <c:numRef>
              <c:f>Sheet1!$L$30:$L$31</c:f>
              <c:numCache>
                <c:formatCode>0.00%</c:formatCode>
                <c:ptCount val="2"/>
                <c:pt idx="0">
                  <c:v>0.11799999999999998</c:v>
                </c:pt>
                <c:pt idx="1">
                  <c:v>0.88200000000000001</c:v>
                </c:pt>
              </c:numCache>
            </c:numRef>
          </c:val>
        </c:ser>
        <c:dLbls>
          <c:showPercent val="1"/>
        </c:dLbls>
        <c:firstSliceAng val="0"/>
      </c:pieChart>
    </c:plotArea>
    <c:legend>
      <c:legendPos val="r"/>
      <c:txPr>
        <a:bodyPr/>
        <a:lstStyle/>
        <a:p>
          <a:pPr>
            <a:defRPr lang="en-US" sz="900"/>
          </a:pPr>
          <a:endParaRPr lang="en-US"/>
        </a:p>
      </c:txPr>
    </c:legend>
    <c:plotVisOnly val="1"/>
    <c:dispBlanksAs val="zero"/>
  </c:chart>
  <c:spPr>
    <a:ln w="31750" cmpd="dbl">
      <a:solidFill>
        <a:schemeClr val="accent5">
          <a:lumMod val="50000"/>
        </a:schemeClr>
      </a:solid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1281972111518598"/>
          <c:y val="9.1014363124636344E-2"/>
          <c:w val="0.86250380215578482"/>
          <c:h val="0.59295969184896458"/>
        </c:manualLayout>
      </c:layout>
      <c:barChart>
        <c:barDir val="col"/>
        <c:grouping val="clustered"/>
        <c:ser>
          <c:idx val="0"/>
          <c:order val="0"/>
          <c:tx>
            <c:strRef>
              <c:f>'Fig 4.16'!$A$4</c:f>
              <c:strCache>
                <c:ptCount val="1"/>
                <c:pt idx="0">
                  <c:v>Total</c:v>
                </c:pt>
              </c:strCache>
            </c:strRef>
          </c:tx>
          <c:cat>
            <c:numLit>
              <c:formatCode>General</c:formatCode>
              <c:ptCount val="6"/>
              <c:pt idx="0">
                <c:v>2010</c:v>
              </c:pt>
              <c:pt idx="1">
                <c:v>2011</c:v>
              </c:pt>
              <c:pt idx="2">
                <c:v>2012</c:v>
              </c:pt>
              <c:pt idx="3">
                <c:v>2013</c:v>
              </c:pt>
              <c:pt idx="4">
                <c:v>2014</c:v>
              </c:pt>
              <c:pt idx="5">
                <c:v>2015</c:v>
              </c:pt>
            </c:numLit>
          </c:cat>
          <c:val>
            <c:numRef>
              <c:f>'Fig 4.16'!$B$4:$G$4</c:f>
              <c:numCache>
                <c:formatCode>General</c:formatCode>
                <c:ptCount val="6"/>
                <c:pt idx="0">
                  <c:v>71</c:v>
                </c:pt>
                <c:pt idx="1">
                  <c:v>77</c:v>
                </c:pt>
                <c:pt idx="2">
                  <c:v>46</c:v>
                </c:pt>
                <c:pt idx="3">
                  <c:v>65</c:v>
                </c:pt>
                <c:pt idx="4">
                  <c:v>26</c:v>
                </c:pt>
                <c:pt idx="5">
                  <c:v>49.3</c:v>
                </c:pt>
              </c:numCache>
            </c:numRef>
          </c:val>
        </c:ser>
        <c:ser>
          <c:idx val="1"/>
          <c:order val="1"/>
          <c:tx>
            <c:strRef>
              <c:f>'Fig 4.16'!$A$5</c:f>
              <c:strCache>
                <c:ptCount val="1"/>
                <c:pt idx="0">
                  <c:v>GPS</c:v>
                </c:pt>
              </c:strCache>
            </c:strRef>
          </c:tx>
          <c:cat>
            <c:numLit>
              <c:formatCode>General</c:formatCode>
              <c:ptCount val="6"/>
              <c:pt idx="0">
                <c:v>2010</c:v>
              </c:pt>
              <c:pt idx="1">
                <c:v>2011</c:v>
              </c:pt>
              <c:pt idx="2">
                <c:v>2012</c:v>
              </c:pt>
              <c:pt idx="3">
                <c:v>2013</c:v>
              </c:pt>
              <c:pt idx="4">
                <c:v>2014</c:v>
              </c:pt>
              <c:pt idx="5">
                <c:v>2015</c:v>
              </c:pt>
            </c:numLit>
          </c:cat>
          <c:val>
            <c:numRef>
              <c:f>'Fig 4.16'!$B$5:$G$5</c:f>
              <c:numCache>
                <c:formatCode>General</c:formatCode>
                <c:ptCount val="6"/>
                <c:pt idx="0">
                  <c:v>75</c:v>
                </c:pt>
                <c:pt idx="1">
                  <c:v>84</c:v>
                </c:pt>
                <c:pt idx="2">
                  <c:v>45</c:v>
                </c:pt>
                <c:pt idx="3">
                  <c:v>65</c:v>
                </c:pt>
                <c:pt idx="4">
                  <c:v>25</c:v>
                </c:pt>
                <c:pt idx="5">
                  <c:v>50</c:v>
                </c:pt>
              </c:numCache>
            </c:numRef>
          </c:val>
        </c:ser>
        <c:ser>
          <c:idx val="2"/>
          <c:order val="2"/>
          <c:tx>
            <c:strRef>
              <c:f>'Fig 4.16'!$A$6</c:f>
              <c:strCache>
                <c:ptCount val="1"/>
                <c:pt idx="0">
                  <c:v>NNPS</c:v>
                </c:pt>
              </c:strCache>
            </c:strRef>
          </c:tx>
          <c:cat>
            <c:numLit>
              <c:formatCode>General</c:formatCode>
              <c:ptCount val="6"/>
              <c:pt idx="0">
                <c:v>2010</c:v>
              </c:pt>
              <c:pt idx="1">
                <c:v>2011</c:v>
              </c:pt>
              <c:pt idx="2">
                <c:v>2012</c:v>
              </c:pt>
              <c:pt idx="3">
                <c:v>2013</c:v>
              </c:pt>
              <c:pt idx="4">
                <c:v>2014</c:v>
              </c:pt>
              <c:pt idx="5">
                <c:v>2015</c:v>
              </c:pt>
            </c:numLit>
          </c:cat>
          <c:val>
            <c:numRef>
              <c:f>'Fig 4.16'!$B$6:$G$6</c:f>
              <c:numCache>
                <c:formatCode>General</c:formatCode>
                <c:ptCount val="6"/>
                <c:pt idx="0">
                  <c:v>64</c:v>
                </c:pt>
                <c:pt idx="1">
                  <c:v>68</c:v>
                </c:pt>
                <c:pt idx="2">
                  <c:v>47</c:v>
                </c:pt>
                <c:pt idx="3">
                  <c:v>64</c:v>
                </c:pt>
                <c:pt idx="4">
                  <c:v>26</c:v>
                </c:pt>
                <c:pt idx="5">
                  <c:v>49</c:v>
                </c:pt>
              </c:numCache>
            </c:numRef>
          </c:val>
        </c:ser>
        <c:axId val="150709376"/>
        <c:axId val="150710912"/>
      </c:barChart>
      <c:catAx>
        <c:axId val="150709376"/>
        <c:scaling>
          <c:orientation val="minMax"/>
        </c:scaling>
        <c:axPos val="b"/>
        <c:numFmt formatCode="General" sourceLinked="1"/>
        <c:majorTickMark val="none"/>
        <c:tickLblPos val="nextTo"/>
        <c:txPr>
          <a:bodyPr/>
          <a:lstStyle/>
          <a:p>
            <a:pPr>
              <a:defRPr lang="en-US"/>
            </a:pPr>
            <a:endParaRPr lang="en-US"/>
          </a:p>
        </c:txPr>
        <c:crossAx val="150710912"/>
        <c:crosses val="autoZero"/>
        <c:auto val="1"/>
        <c:lblAlgn val="ctr"/>
        <c:lblOffset val="100"/>
      </c:catAx>
      <c:valAx>
        <c:axId val="150710912"/>
        <c:scaling>
          <c:orientation val="minMax"/>
          <c:max val="100"/>
        </c:scaling>
        <c:axPos val="l"/>
        <c:majorGridlines>
          <c:spPr>
            <a:ln>
              <a:solidFill>
                <a:schemeClr val="accent5">
                  <a:lumMod val="60000"/>
                  <a:lumOff val="40000"/>
                </a:schemeClr>
              </a:solidFill>
            </a:ln>
          </c:spPr>
        </c:majorGridlines>
        <c:title>
          <c:tx>
            <c:rich>
              <a:bodyPr/>
              <a:lstStyle/>
              <a:p>
                <a:pPr>
                  <a:defRPr lang="en-US"/>
                </a:pPr>
                <a:r>
                  <a:rPr lang="en-US"/>
                  <a:t>% </a:t>
                </a:r>
              </a:p>
            </c:rich>
          </c:tx>
          <c:layout>
            <c:manualLayout>
              <c:xMode val="edge"/>
              <c:yMode val="edge"/>
              <c:x val="3.0555596438295678E-2"/>
              <c:y val="0.42043232803447794"/>
            </c:manualLayout>
          </c:layout>
        </c:title>
        <c:numFmt formatCode="General" sourceLinked="1"/>
        <c:majorTickMark val="none"/>
        <c:tickLblPos val="nextTo"/>
        <c:txPr>
          <a:bodyPr/>
          <a:lstStyle/>
          <a:p>
            <a:pPr>
              <a:defRPr lang="en-US" sz="900"/>
            </a:pPr>
            <a:endParaRPr lang="en-US"/>
          </a:p>
        </c:txPr>
        <c:crossAx val="150709376"/>
        <c:crosses val="autoZero"/>
        <c:crossBetween val="between"/>
      </c:valAx>
      <c:dTable>
        <c:showHorzBorder val="1"/>
        <c:showVertBorder val="1"/>
        <c:showOutline val="1"/>
        <c:showKeys val="1"/>
        <c:txPr>
          <a:bodyPr/>
          <a:lstStyle/>
          <a:p>
            <a:pPr rtl="0">
              <a:defRPr lang="en-US" sz="900"/>
            </a:pPr>
            <a:endParaRPr lang="en-US"/>
          </a:p>
        </c:txPr>
      </c:dTable>
    </c:plotArea>
    <c:plotVisOnly val="1"/>
    <c:dispBlanksAs val="gap"/>
  </c:chart>
  <c:spPr>
    <a:ln w="31750" cmpd="dbl">
      <a:solidFill>
        <a:schemeClr val="accent5">
          <a:lumMod val="50000"/>
        </a:schemeClr>
      </a:solidFill>
    </a:ln>
  </c:spPr>
  <c:externalData r:id="rId1"/>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style val="26"/>
  <c:chart>
    <c:title>
      <c:layout>
        <c:manualLayout>
          <c:xMode val="edge"/>
          <c:yMode val="edge"/>
          <c:x val="0.23036876355748892"/>
          <c:y val="1.7241379310344827E-2"/>
        </c:manualLayout>
      </c:layout>
      <c:txPr>
        <a:bodyPr/>
        <a:lstStyle/>
        <a:p>
          <a:pPr>
            <a:defRPr lang="en-US" sz="1200"/>
          </a:pPr>
          <a:endParaRPr lang="en-US"/>
        </a:p>
      </c:txPr>
    </c:title>
    <c:plotArea>
      <c:layout>
        <c:manualLayout>
          <c:layoutTarget val="inner"/>
          <c:xMode val="edge"/>
          <c:yMode val="edge"/>
          <c:x val="0.25360852680634544"/>
          <c:y val="0.29435668476827076"/>
          <c:w val="0.5908787811501871"/>
          <c:h val="0.58278801478441644"/>
        </c:manualLayout>
      </c:layout>
      <c:pieChart>
        <c:varyColors val="1"/>
        <c:ser>
          <c:idx val="0"/>
          <c:order val="0"/>
          <c:tx>
            <c:strRef>
              <c:f>Sheet1!$C$29</c:f>
              <c:strCache>
                <c:ptCount val="1"/>
                <c:pt idx="0">
                  <c:v>Original Budget 2011-2016</c:v>
                </c:pt>
              </c:strCache>
            </c:strRef>
          </c:tx>
          <c:dPt>
            <c:idx val="0"/>
            <c:spPr>
              <a:solidFill>
                <a:schemeClr val="accent6">
                  <a:lumMod val="75000"/>
                </a:schemeClr>
              </a:solidFill>
            </c:spPr>
          </c:dPt>
          <c:dPt>
            <c:idx val="1"/>
            <c:spPr>
              <a:solidFill>
                <a:srgbClr val="006600"/>
              </a:solidFill>
            </c:spPr>
          </c:dPt>
          <c:dPt>
            <c:idx val="2"/>
            <c:spPr>
              <a:solidFill>
                <a:schemeClr val="tx2">
                  <a:lumMod val="60000"/>
                  <a:lumOff val="40000"/>
                </a:schemeClr>
              </a:solidFill>
            </c:spPr>
          </c:dPt>
          <c:dLbls>
            <c:dLbl>
              <c:idx val="0"/>
              <c:layout>
                <c:manualLayout>
                  <c:x val="7.0993560728986993E-2"/>
                  <c:y val="-0.21068603493528826"/>
                </c:manualLayout>
              </c:layout>
              <c:tx>
                <c:rich>
                  <a:bodyPr/>
                  <a:lstStyle/>
                  <a:p>
                    <a:r>
                      <a:rPr lang="en-US"/>
                      <a:t>Non-Dev. 
50%</a:t>
                    </a:r>
                  </a:p>
                </c:rich>
              </c:tx>
              <c:showCatName val="1"/>
              <c:showPercent val="1"/>
            </c:dLbl>
            <c:dLbl>
              <c:idx val="1"/>
              <c:layout>
                <c:manualLayout>
                  <c:x val="4.8026743135981334E-3"/>
                  <c:y val="0.15767539648045295"/>
                </c:manualLayout>
              </c:layout>
              <c:tx>
                <c:rich>
                  <a:bodyPr/>
                  <a:lstStyle/>
                  <a:p>
                    <a:r>
                      <a:rPr lang="en-US"/>
                      <a:t>Dev. (PEDP3) - DPP 38%</a:t>
                    </a:r>
                  </a:p>
                </c:rich>
              </c:tx>
              <c:showCatName val="1"/>
              <c:showPercent val="1"/>
            </c:dLbl>
            <c:dLbl>
              <c:idx val="2"/>
              <c:layout>
                <c:manualLayout>
                  <c:x val="-0.21925359113191628"/>
                  <c:y val="1.90881527740067E-2"/>
                </c:manualLayout>
              </c:layout>
              <c:tx>
                <c:rich>
                  <a:bodyPr/>
                  <a:lstStyle/>
                  <a:p>
                    <a:r>
                      <a:rPr lang="en-US"/>
                      <a:t>Discrete Projects </a:t>
                    </a:r>
                    <a:r>
                      <a:rPr lang="en-US" baseline="0"/>
                      <a:t> </a:t>
                    </a:r>
                    <a:r>
                      <a:rPr lang="en-US"/>
                      <a:t>12%</a:t>
                    </a:r>
                  </a:p>
                </c:rich>
              </c:tx>
              <c:showCatName val="1"/>
              <c:showPercent val="1"/>
            </c:dLbl>
            <c:txPr>
              <a:bodyPr/>
              <a:lstStyle/>
              <a:p>
                <a:pPr>
                  <a:defRPr lang="en-US" sz="800" b="1"/>
                </a:pPr>
                <a:endParaRPr lang="en-US"/>
              </a:p>
            </c:txPr>
            <c:showCatName val="1"/>
            <c:showPercent val="1"/>
            <c:showLeaderLines val="1"/>
          </c:dLbls>
          <c:cat>
            <c:strRef>
              <c:f>Sheet1!$B$30:$B$32</c:f>
              <c:strCache>
                <c:ptCount val="3"/>
                <c:pt idx="0">
                  <c:v>Non-Development </c:v>
                </c:pt>
                <c:pt idx="1">
                  <c:v>Development (PEDP3) - DPP </c:v>
                </c:pt>
                <c:pt idx="2">
                  <c:v>Discrete Projects </c:v>
                </c:pt>
              </c:strCache>
            </c:strRef>
          </c:cat>
          <c:val>
            <c:numRef>
              <c:f>Sheet1!$C$30:$C$32</c:f>
              <c:numCache>
                <c:formatCode>#,##0</c:formatCode>
                <c:ptCount val="3"/>
                <c:pt idx="0">
                  <c:v>29308.860100000005</c:v>
                </c:pt>
                <c:pt idx="1">
                  <c:v>22196.647199999999</c:v>
                </c:pt>
                <c:pt idx="2">
                  <c:v>6853.6247000000003</c:v>
                </c:pt>
              </c:numCache>
            </c:numRef>
          </c:val>
        </c:ser>
        <c:firstSliceAng val="0"/>
      </c:pieChart>
    </c:plotArea>
    <c:plotVisOnly val="1"/>
    <c:dispBlanksAs val="zero"/>
  </c:chart>
  <c:spPr>
    <a:ln w="31750" cmpd="dbl">
      <a:solidFill>
        <a:schemeClr val="accent5">
          <a:lumMod val="50000"/>
        </a:schemeClr>
      </a:solid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style val="26"/>
  <c:chart>
    <c:title>
      <c:layout>
        <c:manualLayout>
          <c:xMode val="edge"/>
          <c:yMode val="edge"/>
          <c:x val="0.20349991251094326"/>
          <c:y val="0"/>
        </c:manualLayout>
      </c:layout>
      <c:txPr>
        <a:bodyPr/>
        <a:lstStyle/>
        <a:p>
          <a:pPr>
            <a:defRPr lang="en-US" sz="1200"/>
          </a:pPr>
          <a:endParaRPr lang="en-US"/>
        </a:p>
      </c:txPr>
    </c:title>
    <c:plotArea>
      <c:layout>
        <c:manualLayout>
          <c:layoutTarget val="inner"/>
          <c:xMode val="edge"/>
          <c:yMode val="edge"/>
          <c:x val="0.29765113983246388"/>
          <c:y val="0.2798137480028059"/>
          <c:w val="0.57856272965879252"/>
          <c:h val="0.55631031697960842"/>
        </c:manualLayout>
      </c:layout>
      <c:pieChart>
        <c:varyColors val="1"/>
        <c:ser>
          <c:idx val="0"/>
          <c:order val="0"/>
          <c:tx>
            <c:strRef>
              <c:f>Sheet1!$C$154</c:f>
              <c:strCache>
                <c:ptCount val="1"/>
                <c:pt idx="0">
                  <c:v>Revised Budget 2011-2017</c:v>
                </c:pt>
              </c:strCache>
            </c:strRef>
          </c:tx>
          <c:spPr>
            <a:solidFill>
              <a:srgbClr val="006600"/>
            </a:solidFill>
          </c:spPr>
          <c:dPt>
            <c:idx val="0"/>
            <c:spPr>
              <a:solidFill>
                <a:schemeClr val="accent6">
                  <a:lumMod val="75000"/>
                </a:schemeClr>
              </a:solidFill>
            </c:spPr>
          </c:dPt>
          <c:dPt>
            <c:idx val="2"/>
            <c:spPr>
              <a:solidFill>
                <a:schemeClr val="tx2">
                  <a:lumMod val="60000"/>
                  <a:lumOff val="40000"/>
                </a:schemeClr>
              </a:solidFill>
            </c:spPr>
          </c:dPt>
          <c:dLbls>
            <c:dLbl>
              <c:idx val="0"/>
              <c:layout>
                <c:manualLayout>
                  <c:x val="3.9999650043744533E-2"/>
                  <c:y val="-0.18736718255046914"/>
                </c:manualLayout>
              </c:layout>
              <c:tx>
                <c:rich>
                  <a:bodyPr/>
                  <a:lstStyle/>
                  <a:p>
                    <a:r>
                      <a:rPr lang="en-US"/>
                      <a:t>Non-Dev. 
56%</a:t>
                    </a:r>
                  </a:p>
                </c:rich>
              </c:tx>
              <c:showCatName val="1"/>
              <c:showPercent val="1"/>
            </c:dLbl>
            <c:dLbl>
              <c:idx val="1"/>
              <c:layout>
                <c:manualLayout>
                  <c:x val="-1.6391303702142677E-2"/>
                  <c:y val="0.12986226505171242"/>
                </c:manualLayout>
              </c:layout>
              <c:tx>
                <c:rich>
                  <a:bodyPr/>
                  <a:lstStyle/>
                  <a:p>
                    <a:r>
                      <a:rPr lang="en-US"/>
                      <a:t>Dev.</a:t>
                    </a:r>
                    <a:r>
                      <a:rPr lang="en-US" baseline="0"/>
                      <a:t> </a:t>
                    </a:r>
                    <a:r>
                      <a:rPr lang="en-US"/>
                      <a:t>(PEDP3) - RDPP 24%</a:t>
                    </a:r>
                  </a:p>
                </c:rich>
              </c:tx>
              <c:showCatName val="1"/>
              <c:showPercent val="1"/>
            </c:dLbl>
            <c:dLbl>
              <c:idx val="2"/>
              <c:layout>
                <c:manualLayout>
                  <c:x val="-0.17262467191600867"/>
                  <c:y val="6.3422029142909023E-2"/>
                </c:manualLayout>
              </c:layout>
              <c:showCatName val="1"/>
              <c:showPercent val="1"/>
            </c:dLbl>
            <c:txPr>
              <a:bodyPr/>
              <a:lstStyle/>
              <a:p>
                <a:pPr>
                  <a:defRPr lang="en-US" sz="900" b="1"/>
                </a:pPr>
                <a:endParaRPr lang="en-US"/>
              </a:p>
            </c:txPr>
            <c:showCatName val="1"/>
            <c:showPercent val="1"/>
            <c:showLeaderLines val="1"/>
          </c:dLbls>
          <c:cat>
            <c:strRef>
              <c:f>Sheet1!$B$155:$B$157</c:f>
              <c:strCache>
                <c:ptCount val="3"/>
                <c:pt idx="0">
                  <c:v>Non-Development </c:v>
                </c:pt>
                <c:pt idx="1">
                  <c:v>Development (PEDP3) - DPP </c:v>
                </c:pt>
                <c:pt idx="2">
                  <c:v>Discrete Projects </c:v>
                </c:pt>
              </c:strCache>
            </c:strRef>
          </c:cat>
          <c:val>
            <c:numRef>
              <c:f>Sheet1!$C$155:$C$157</c:f>
              <c:numCache>
                <c:formatCode>#,##0</c:formatCode>
                <c:ptCount val="3"/>
                <c:pt idx="0">
                  <c:v>43280.206400000003</c:v>
                </c:pt>
                <c:pt idx="1">
                  <c:v>18153.883600000001</c:v>
                </c:pt>
                <c:pt idx="2">
                  <c:v>15065.91</c:v>
                </c:pt>
              </c:numCache>
            </c:numRef>
          </c:val>
        </c:ser>
        <c:firstSliceAng val="0"/>
      </c:pieChart>
    </c:plotArea>
    <c:plotVisOnly val="1"/>
    <c:dispBlanksAs val="zero"/>
  </c:chart>
  <c:spPr>
    <a:ln w="31750" cmpd="dbl">
      <a:solidFill>
        <a:schemeClr val="accent5">
          <a:lumMod val="50000"/>
        </a:schemeClr>
      </a:solid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US"/>
            </a:pPr>
            <a:r>
              <a:rPr lang="en-US"/>
              <a:t>Budget f/y 2014-15</a:t>
            </a:r>
          </a:p>
        </c:rich>
      </c:tx>
    </c:title>
    <c:plotArea>
      <c:layout>
        <c:manualLayout>
          <c:layoutTarget val="inner"/>
          <c:xMode val="edge"/>
          <c:yMode val="edge"/>
          <c:x val="0.2651197832452144"/>
          <c:y val="0.24919734224527734"/>
          <c:w val="0.43868024297513436"/>
          <c:h val="0.5118368309264818"/>
        </c:manualLayout>
      </c:layout>
      <c:pieChart>
        <c:varyColors val="1"/>
        <c:ser>
          <c:idx val="0"/>
          <c:order val="0"/>
          <c:tx>
            <c:strRef>
              <c:f>Sheet1!$B$113</c:f>
              <c:strCache>
                <c:ptCount val="1"/>
                <c:pt idx="0">
                  <c:v>2014-15</c:v>
                </c:pt>
              </c:strCache>
            </c:strRef>
          </c:tx>
          <c:dPt>
            <c:idx val="0"/>
            <c:spPr>
              <a:solidFill>
                <a:srgbClr val="3333CC"/>
              </a:solidFill>
            </c:spPr>
          </c:dPt>
          <c:dPt>
            <c:idx val="1"/>
            <c:spPr>
              <a:solidFill>
                <a:srgbClr val="C00000"/>
              </a:solidFill>
            </c:spPr>
          </c:dPt>
          <c:dLbls>
            <c:dLbl>
              <c:idx val="0"/>
              <c:layout>
                <c:manualLayout>
                  <c:x val="7.9532578770266135E-2"/>
                  <c:y val="-4.6454008761012675E-2"/>
                </c:manualLayout>
              </c:layout>
              <c:tx>
                <c:rich>
                  <a:bodyPr/>
                  <a:lstStyle/>
                  <a:p>
                    <a:pPr>
                      <a:defRPr lang="en-US" sz="700" b="1">
                        <a:solidFill>
                          <a:srgbClr val="3333CC"/>
                        </a:solidFill>
                      </a:defRPr>
                    </a:pPr>
                    <a:r>
                      <a:rPr lang="en-US" sz="700" b="1">
                        <a:solidFill>
                          <a:srgbClr val="3333CC"/>
                        </a:solidFill>
                      </a:rPr>
                      <a:t>PEDP3 (DPE)</a:t>
                    </a:r>
                    <a:r>
                      <a:rPr lang="en-US" sz="700" b="1" baseline="0">
                        <a:solidFill>
                          <a:srgbClr val="3333CC"/>
                        </a:solidFill>
                      </a:rPr>
                      <a:t> </a:t>
                    </a:r>
                    <a:r>
                      <a:rPr lang="en-US" sz="700" b="1">
                        <a:solidFill>
                          <a:srgbClr val="3333CC"/>
                        </a:solidFill>
                      </a:rPr>
                      <a:t>25%</a:t>
                    </a:r>
                  </a:p>
                </c:rich>
              </c:tx>
              <c:spPr/>
              <c:showPercent val="1"/>
            </c:dLbl>
            <c:dLbl>
              <c:idx val="1"/>
              <c:layout>
                <c:manualLayout>
                  <c:x val="8.3973604859502685E-2"/>
                  <c:y val="-0.22100366993358042"/>
                </c:manualLayout>
              </c:layout>
              <c:tx>
                <c:rich>
                  <a:bodyPr/>
                  <a:lstStyle/>
                  <a:p>
                    <a:pPr>
                      <a:defRPr lang="en-US" sz="700" b="0">
                        <a:solidFill>
                          <a:srgbClr val="C00000"/>
                        </a:solidFill>
                      </a:defRPr>
                    </a:pPr>
                    <a:r>
                      <a:rPr lang="en-US" sz="700" b="0">
                        <a:solidFill>
                          <a:srgbClr val="C00000"/>
                        </a:solidFill>
                      </a:rPr>
                      <a:t>Discrete projects</a:t>
                    </a:r>
                    <a:r>
                      <a:rPr lang="en-US" sz="700" b="0" baseline="0">
                        <a:solidFill>
                          <a:srgbClr val="C00000"/>
                        </a:solidFill>
                      </a:rPr>
                      <a:t> </a:t>
                    </a:r>
                    <a:r>
                      <a:rPr lang="en-US" sz="700" b="0">
                        <a:solidFill>
                          <a:srgbClr val="C00000"/>
                        </a:solidFill>
                      </a:rPr>
                      <a:t>16%</a:t>
                    </a:r>
                  </a:p>
                </c:rich>
              </c:tx>
              <c:spPr/>
              <c:showPercent val="1"/>
            </c:dLbl>
            <c:dLbl>
              <c:idx val="2"/>
              <c:layout>
                <c:manualLayout>
                  <c:x val="0.13981486789526607"/>
                  <c:y val="-1.9421288720328593E-3"/>
                </c:manualLayout>
              </c:layout>
              <c:tx>
                <c:rich>
                  <a:bodyPr/>
                  <a:lstStyle/>
                  <a:p>
                    <a:r>
                      <a:rPr lang="en-US" sz="700" b="0"/>
                      <a:t>Block Fund</a:t>
                    </a:r>
                    <a:r>
                      <a:rPr lang="en-US" sz="700" b="0" baseline="0"/>
                      <a:t> </a:t>
                    </a:r>
                    <a:r>
                      <a:rPr lang="en-US" sz="700" b="0"/>
                      <a:t>1%</a:t>
                    </a:r>
                  </a:p>
                </c:rich>
              </c:tx>
              <c:showPercent val="1"/>
            </c:dLbl>
            <c:dLbl>
              <c:idx val="3"/>
              <c:layout>
                <c:manualLayout>
                  <c:x val="5.2527728007691413E-2"/>
                  <c:y val="0.12683399801675918"/>
                </c:manualLayout>
              </c:layout>
              <c:tx>
                <c:rich>
                  <a:bodyPr/>
                  <a:lstStyle/>
                  <a:p>
                    <a:r>
                      <a:rPr lang="en-US" sz="700" b="0"/>
                      <a:t>BNFE</a:t>
                    </a:r>
                    <a:r>
                      <a:rPr lang="en-US" sz="700" b="0" baseline="0"/>
                      <a:t> </a:t>
                    </a:r>
                    <a:r>
                      <a:rPr lang="en-US" sz="700" b="0"/>
                      <a:t>0.5%</a:t>
                    </a:r>
                  </a:p>
                </c:rich>
              </c:tx>
              <c:showPercent val="1"/>
            </c:dLbl>
            <c:dLbl>
              <c:idx val="4"/>
              <c:layout>
                <c:manualLayout>
                  <c:x val="-0.10030363151684657"/>
                  <c:y val="0.13312880908064817"/>
                </c:manualLayout>
              </c:layout>
              <c:tx>
                <c:rich>
                  <a:bodyPr/>
                  <a:lstStyle/>
                  <a:p>
                    <a:pPr>
                      <a:defRPr lang="en-US" sz="700" b="0">
                        <a:solidFill>
                          <a:schemeClr val="accent5">
                            <a:lumMod val="75000"/>
                          </a:schemeClr>
                        </a:solidFill>
                      </a:defRPr>
                    </a:pPr>
                    <a:r>
                      <a:rPr lang="en-US" sz="700" b="0">
                        <a:solidFill>
                          <a:schemeClr val="accent5">
                            <a:lumMod val="75000"/>
                          </a:schemeClr>
                        </a:solidFill>
                      </a:rPr>
                      <a:t>Non-</a:t>
                    </a:r>
                    <a:r>
                      <a:rPr lang="en-US" sz="700" b="0" baseline="0">
                        <a:solidFill>
                          <a:schemeClr val="accent5">
                            <a:lumMod val="75000"/>
                          </a:schemeClr>
                        </a:solidFill>
                      </a:rPr>
                      <a:t> </a:t>
                    </a:r>
                    <a:r>
                      <a:rPr lang="en-US" sz="700" b="0">
                        <a:solidFill>
                          <a:schemeClr val="accent5">
                            <a:lumMod val="75000"/>
                          </a:schemeClr>
                        </a:solidFill>
                      </a:rPr>
                      <a:t>development</a:t>
                    </a:r>
                    <a:r>
                      <a:rPr lang="en-US" sz="700" b="0" baseline="0">
                        <a:solidFill>
                          <a:schemeClr val="accent5">
                            <a:lumMod val="75000"/>
                          </a:schemeClr>
                        </a:solidFill>
                      </a:rPr>
                      <a:t> </a:t>
                    </a:r>
                    <a:r>
                      <a:rPr lang="en-US" sz="700" b="0">
                        <a:solidFill>
                          <a:schemeClr val="accent5">
                            <a:lumMod val="75000"/>
                          </a:schemeClr>
                        </a:solidFill>
                      </a:rPr>
                      <a:t>57%</a:t>
                    </a:r>
                  </a:p>
                </c:rich>
              </c:tx>
              <c:spPr/>
              <c:showPercent val="1"/>
            </c:dLbl>
            <c:txPr>
              <a:bodyPr/>
              <a:lstStyle/>
              <a:p>
                <a:pPr>
                  <a:defRPr lang="en-US" sz="700" b="0"/>
                </a:pPr>
                <a:endParaRPr lang="en-US"/>
              </a:p>
            </c:txPr>
            <c:showPercent val="1"/>
            <c:showLeaderLines val="1"/>
          </c:dLbls>
          <c:cat>
            <c:strRef>
              <c:f>Sheet1!$A$114:$A$118</c:f>
              <c:strCache>
                <c:ptCount val="5"/>
                <c:pt idx="0">
                  <c:v>-   PEDP3 (DPE)</c:v>
                </c:pt>
                <c:pt idx="1">
                  <c:v>-   Discrete projects</c:v>
                </c:pt>
                <c:pt idx="2">
                  <c:v>-   Block allocation</c:v>
                </c:pt>
                <c:pt idx="3">
                  <c:v>-   BNFE</c:v>
                </c:pt>
                <c:pt idx="4">
                  <c:v>Non-development</c:v>
                </c:pt>
              </c:strCache>
            </c:strRef>
          </c:cat>
          <c:val>
            <c:numRef>
              <c:f>Sheet1!$B$114:$B$118</c:f>
              <c:numCache>
                <c:formatCode>#,##0</c:formatCode>
                <c:ptCount val="5"/>
                <c:pt idx="0">
                  <c:v>3400</c:v>
                </c:pt>
                <c:pt idx="1">
                  <c:v>2135</c:v>
                </c:pt>
                <c:pt idx="2" formatCode="General">
                  <c:v>173</c:v>
                </c:pt>
                <c:pt idx="3" formatCode="General">
                  <c:v>70</c:v>
                </c:pt>
                <c:pt idx="4">
                  <c:v>7898</c:v>
                </c:pt>
              </c:numCache>
            </c:numRef>
          </c:val>
        </c:ser>
        <c:dLbls>
          <c:showPercent val="1"/>
        </c:dLbls>
        <c:firstSliceAng val="0"/>
      </c:pieChart>
    </c:plotArea>
    <c:plotVisOnly val="1"/>
    <c:dispBlanksAs val="zero"/>
  </c:chart>
  <c:spPr>
    <a:ln w="31750" cmpd="dbl">
      <a:solidFill>
        <a:schemeClr val="accent5">
          <a:lumMod val="50000"/>
        </a:schemeClr>
      </a:solid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US" sz="1400"/>
            </a:pPr>
            <a:r>
              <a:rPr lang="en-US" sz="1400"/>
              <a:t>Budget f/y 2015/16</a:t>
            </a:r>
          </a:p>
        </c:rich>
      </c:tx>
    </c:title>
    <c:plotArea>
      <c:layout>
        <c:manualLayout>
          <c:layoutTarget val="inner"/>
          <c:xMode val="edge"/>
          <c:yMode val="edge"/>
          <c:x val="0.28380498235135915"/>
          <c:y val="0.26902901403628893"/>
          <c:w val="0.42739580505023927"/>
          <c:h val="0.5388903628894216"/>
        </c:manualLayout>
      </c:layout>
      <c:pieChart>
        <c:varyColors val="1"/>
        <c:ser>
          <c:idx val="0"/>
          <c:order val="0"/>
          <c:dPt>
            <c:idx val="0"/>
            <c:spPr>
              <a:solidFill>
                <a:srgbClr val="3333CC"/>
              </a:solidFill>
            </c:spPr>
          </c:dPt>
          <c:dPt>
            <c:idx val="1"/>
            <c:spPr>
              <a:solidFill>
                <a:schemeClr val="accent4">
                  <a:lumMod val="75000"/>
                </a:schemeClr>
              </a:solidFill>
            </c:spPr>
          </c:dPt>
          <c:dPt>
            <c:idx val="3"/>
            <c:spPr>
              <a:solidFill>
                <a:srgbClr val="C00000"/>
              </a:solidFill>
            </c:spPr>
          </c:dPt>
          <c:dLbls>
            <c:dLbl>
              <c:idx val="0"/>
              <c:layout>
                <c:manualLayout>
                  <c:x val="6.8876195163104614E-2"/>
                  <c:y val="-5.2740889051460314E-2"/>
                </c:manualLayout>
              </c:layout>
              <c:tx>
                <c:rich>
                  <a:bodyPr/>
                  <a:lstStyle/>
                  <a:p>
                    <a:pPr>
                      <a:defRPr lang="en-US" sz="800" b="1">
                        <a:solidFill>
                          <a:srgbClr val="3333CC"/>
                        </a:solidFill>
                      </a:defRPr>
                    </a:pPr>
                    <a:r>
                      <a:rPr lang="en-US" b="1">
                        <a:solidFill>
                          <a:srgbClr val="3333CC"/>
                        </a:solidFill>
                      </a:rPr>
                      <a:t>PEDP3 (DPE)</a:t>
                    </a:r>
                    <a:r>
                      <a:rPr lang="en-US" b="1" baseline="0">
                        <a:solidFill>
                          <a:srgbClr val="3333CC"/>
                        </a:solidFill>
                      </a:rPr>
                      <a:t> </a:t>
                    </a:r>
                    <a:r>
                      <a:rPr lang="en-US" b="1">
                        <a:solidFill>
                          <a:srgbClr val="3333CC"/>
                        </a:solidFill>
                      </a:rPr>
                      <a:t>35%</a:t>
                    </a:r>
                  </a:p>
                </c:rich>
              </c:tx>
              <c:spPr/>
              <c:showCatName val="1"/>
              <c:showPercent val="1"/>
            </c:dLbl>
            <c:dLbl>
              <c:idx val="1"/>
              <c:layout>
                <c:manualLayout>
                  <c:x val="0.15120553896280672"/>
                  <c:y val="-8.5700102704553263E-2"/>
                </c:manualLayout>
              </c:layout>
              <c:showCatName val="1"/>
              <c:showPercent val="1"/>
            </c:dLbl>
            <c:dLbl>
              <c:idx val="2"/>
              <c:layout>
                <c:manualLayout>
                  <c:x val="0.13959645669291879"/>
                  <c:y val="3.5081531678955856E-2"/>
                </c:manualLayout>
              </c:layout>
              <c:tx>
                <c:rich>
                  <a:bodyPr/>
                  <a:lstStyle/>
                  <a:p>
                    <a:r>
                      <a:rPr lang="en-US"/>
                      <a:t>Block Fund</a:t>
                    </a:r>
                    <a:r>
                      <a:rPr lang="en-US" baseline="0"/>
                      <a:t> </a:t>
                    </a:r>
                    <a:r>
                      <a:rPr lang="en-US"/>
                      <a:t>4%</a:t>
                    </a:r>
                  </a:p>
                </c:rich>
              </c:tx>
              <c:showCatName val="1"/>
              <c:showPercent val="1"/>
            </c:dLbl>
            <c:dLbl>
              <c:idx val="3"/>
              <c:layout>
                <c:manualLayout>
                  <c:x val="6.5900239032620933E-2"/>
                  <c:y val="4.4009779951100933E-2"/>
                </c:manualLayout>
              </c:layout>
              <c:tx>
                <c:rich>
                  <a:bodyPr/>
                  <a:lstStyle/>
                  <a:p>
                    <a:pPr>
                      <a:defRPr lang="en-US" sz="800">
                        <a:solidFill>
                          <a:srgbClr val="C00000"/>
                        </a:solidFill>
                      </a:defRPr>
                    </a:pPr>
                    <a:r>
                      <a:rPr lang="en-US">
                        <a:solidFill>
                          <a:srgbClr val="C00000"/>
                        </a:solidFill>
                      </a:rPr>
                      <a:t>Discrete</a:t>
                    </a:r>
                    <a:r>
                      <a:rPr lang="en-US" baseline="0">
                        <a:solidFill>
                          <a:srgbClr val="C00000"/>
                        </a:solidFill>
                      </a:rPr>
                      <a:t> </a:t>
                    </a:r>
                    <a:r>
                      <a:rPr lang="en-US">
                        <a:solidFill>
                          <a:srgbClr val="C00000"/>
                        </a:solidFill>
                      </a:rPr>
                      <a:t>Project</a:t>
                    </a:r>
                    <a:r>
                      <a:rPr lang="en-US" baseline="0">
                        <a:solidFill>
                          <a:srgbClr val="C00000"/>
                        </a:solidFill>
                      </a:rPr>
                      <a:t> </a:t>
                    </a:r>
                    <a:r>
                      <a:rPr lang="en-US">
                        <a:solidFill>
                          <a:srgbClr val="C00000"/>
                        </a:solidFill>
                      </a:rPr>
                      <a:t>12%</a:t>
                    </a:r>
                  </a:p>
                </c:rich>
              </c:tx>
              <c:spPr/>
              <c:showCatName val="1"/>
              <c:showPercent val="1"/>
            </c:dLbl>
            <c:dLbl>
              <c:idx val="4"/>
              <c:layout>
                <c:manualLayout>
                  <c:x val="-3.5131346728212352E-2"/>
                  <c:y val="-0.23347740499828826"/>
                </c:manualLayout>
              </c:layout>
              <c:tx>
                <c:rich>
                  <a:bodyPr/>
                  <a:lstStyle/>
                  <a:p>
                    <a:pPr>
                      <a:defRPr lang="en-US" sz="800">
                        <a:solidFill>
                          <a:schemeClr val="accent5">
                            <a:lumMod val="75000"/>
                          </a:schemeClr>
                        </a:solidFill>
                      </a:defRPr>
                    </a:pPr>
                    <a:r>
                      <a:rPr lang="en-US">
                        <a:solidFill>
                          <a:schemeClr val="accent5">
                            <a:lumMod val="75000"/>
                          </a:schemeClr>
                        </a:solidFill>
                      </a:rPr>
                      <a:t>NonDevelopment</a:t>
                    </a:r>
                    <a:r>
                      <a:rPr lang="en-US" baseline="0">
                        <a:solidFill>
                          <a:schemeClr val="accent5">
                            <a:lumMod val="75000"/>
                          </a:schemeClr>
                        </a:solidFill>
                      </a:rPr>
                      <a:t> </a:t>
                    </a:r>
                    <a:r>
                      <a:rPr lang="en-US">
                        <a:solidFill>
                          <a:schemeClr val="accent5">
                            <a:lumMod val="75000"/>
                          </a:schemeClr>
                        </a:solidFill>
                      </a:rPr>
                      <a:t>48%</a:t>
                    </a:r>
                  </a:p>
                </c:rich>
              </c:tx>
              <c:spPr/>
              <c:showCatName val="1"/>
              <c:showPercent val="1"/>
            </c:dLbl>
            <c:txPr>
              <a:bodyPr/>
              <a:lstStyle/>
              <a:p>
                <a:pPr>
                  <a:defRPr lang="en-US" sz="800"/>
                </a:pPr>
                <a:endParaRPr lang="en-US"/>
              </a:p>
            </c:txPr>
            <c:showCatName val="1"/>
            <c:showPercent val="1"/>
            <c:showLeaderLines val="1"/>
          </c:dLbls>
          <c:cat>
            <c:strRef>
              <c:f>'Fig 6.2'!$A$23:$A$27</c:f>
              <c:strCache>
                <c:ptCount val="5"/>
                <c:pt idx="0">
                  <c:v>PEDP3</c:v>
                </c:pt>
                <c:pt idx="1">
                  <c:v>BNFE</c:v>
                </c:pt>
                <c:pt idx="2">
                  <c:v>Block Allocation</c:v>
                </c:pt>
                <c:pt idx="3">
                  <c:v>Discrete Project</c:v>
                </c:pt>
                <c:pt idx="4">
                  <c:v>Non-Development</c:v>
                </c:pt>
              </c:strCache>
            </c:strRef>
          </c:cat>
          <c:val>
            <c:numRef>
              <c:f>'Fig 6.2'!$C$23:$C$27</c:f>
              <c:numCache>
                <c:formatCode>0</c:formatCode>
                <c:ptCount val="5"/>
                <c:pt idx="0">
                  <c:v>34.927320355436848</c:v>
                </c:pt>
                <c:pt idx="1">
                  <c:v>1.167356963751301</c:v>
                </c:pt>
                <c:pt idx="2">
                  <c:v>3.8849639753640988</c:v>
                </c:pt>
                <c:pt idx="3">
                  <c:v>11.773495393609426</c:v>
                </c:pt>
                <c:pt idx="4">
                  <c:v>48.246863311838396</c:v>
                </c:pt>
              </c:numCache>
            </c:numRef>
          </c:val>
        </c:ser>
        <c:dLbls>
          <c:showPercent val="1"/>
        </c:dLbls>
        <c:firstSliceAng val="0"/>
      </c:pieChart>
    </c:plotArea>
    <c:plotVisOnly val="1"/>
    <c:dispBlanksAs val="zero"/>
  </c:chart>
  <c:spPr>
    <a:ln w="31750" cmpd="dbl">
      <a:solidFill>
        <a:schemeClr val="accent5">
          <a:lumMod val="50000"/>
        </a:schemeClr>
      </a:solid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2528175288067816"/>
          <c:y val="0.22265605491913718"/>
          <c:w val="0.33911657234396153"/>
          <c:h val="0.64830846503564676"/>
        </c:manualLayout>
      </c:layout>
      <c:pieChart>
        <c:varyColors val="1"/>
        <c:ser>
          <c:idx val="0"/>
          <c:order val="0"/>
          <c:dLbls>
            <c:dLbl>
              <c:idx val="0"/>
              <c:layout>
                <c:manualLayout>
                  <c:x val="-0.26674014404412344"/>
                  <c:y val="1.5340480499024861E-2"/>
                </c:manualLayout>
              </c:layout>
              <c:showCatName val="1"/>
              <c:showPercent val="1"/>
            </c:dLbl>
            <c:dLbl>
              <c:idx val="1"/>
              <c:layout>
                <c:manualLayout>
                  <c:x val="0.11256824146981817"/>
                  <c:y val="2.9011009040536599E-2"/>
                </c:manualLayout>
              </c:layout>
              <c:showCatName val="1"/>
              <c:showPercent val="1"/>
            </c:dLbl>
            <c:dLbl>
              <c:idx val="2"/>
              <c:layout>
                <c:manualLayout>
                  <c:x val="-0.16034033245844631"/>
                  <c:y val="-4.7645086030912803E-4"/>
                </c:manualLayout>
              </c:layout>
              <c:showCatName val="1"/>
              <c:showPercent val="1"/>
            </c:dLbl>
            <c:txPr>
              <a:bodyPr/>
              <a:lstStyle/>
              <a:p>
                <a:pPr>
                  <a:defRPr lang="en-US"/>
                </a:pPr>
                <a:endParaRPr lang="en-US"/>
              </a:p>
            </c:txPr>
            <c:showCatName val="1"/>
            <c:showPercent val="1"/>
            <c:showLeaderLines val="1"/>
          </c:dLbls>
          <c:cat>
            <c:strRef>
              <c:f>'D Project'!$L$17:$L$19</c:f>
              <c:strCache>
                <c:ptCount val="3"/>
                <c:pt idx="0">
                  <c:v>Learning Outcomes</c:v>
                </c:pt>
                <c:pt idx="1">
                  <c:v>Participation</c:v>
                </c:pt>
                <c:pt idx="2">
                  <c:v>Disparity</c:v>
                </c:pt>
              </c:strCache>
            </c:strRef>
          </c:cat>
          <c:val>
            <c:numRef>
              <c:f>'D Project'!$N$17:$N$19</c:f>
              <c:numCache>
                <c:formatCode>0.0</c:formatCode>
                <c:ptCount val="3"/>
                <c:pt idx="0">
                  <c:v>4.7640199888950345</c:v>
                </c:pt>
                <c:pt idx="1">
                  <c:v>13.484572063139519</c:v>
                </c:pt>
                <c:pt idx="2">
                  <c:v>81.751407947965433</c:v>
                </c:pt>
              </c:numCache>
            </c:numRef>
          </c:val>
        </c:ser>
        <c:dLbls>
          <c:showPercent val="1"/>
        </c:dLbls>
        <c:firstSliceAng val="0"/>
      </c:pieChart>
    </c:plotArea>
    <c:legend>
      <c:legendPos val="r"/>
      <c:layout>
        <c:manualLayout>
          <c:xMode val="edge"/>
          <c:yMode val="edge"/>
          <c:x val="0.68031343886392948"/>
          <c:y val="0.51854819342771696"/>
          <c:w val="0.2764133529535498"/>
          <c:h val="0.29919213316709592"/>
        </c:manualLayout>
      </c:layout>
      <c:txPr>
        <a:bodyPr/>
        <a:lstStyle/>
        <a:p>
          <a:pPr>
            <a:defRPr lang="en-US"/>
          </a:pPr>
          <a:endParaRPr lang="en-US"/>
        </a:p>
      </c:txPr>
    </c:legend>
    <c:plotVisOnly val="1"/>
    <c:dispBlanksAs val="zero"/>
  </c:chart>
  <c:spPr>
    <a:ln w="31750" cmpd="dbl">
      <a:solidFill>
        <a:srgbClr val="4BACC6">
          <a:lumMod val="50000"/>
        </a:srgbClr>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20018561859414088"/>
          <c:y val="0.19753466467067518"/>
          <c:w val="0.4341064841121795"/>
          <c:h val="0.65115954997441661"/>
        </c:manualLayout>
      </c:layout>
      <c:pieChart>
        <c:varyColors val="1"/>
        <c:ser>
          <c:idx val="0"/>
          <c:order val="0"/>
          <c:dPt>
            <c:idx val="11"/>
            <c:spPr>
              <a:solidFill>
                <a:srgbClr val="008000"/>
              </a:solidFill>
            </c:spPr>
          </c:dPt>
          <c:dLbls>
            <c:dLbl>
              <c:idx val="0"/>
              <c:layout>
                <c:manualLayout>
                  <c:x val="-0.22510345581802274"/>
                  <c:y val="-2.9122004910676468E-2"/>
                </c:manualLayout>
              </c:layout>
              <c:tx>
                <c:rich>
                  <a:bodyPr/>
                  <a:lstStyle/>
                  <a:p>
                    <a:pPr>
                      <a:defRPr lang="en-US" sz="1000" b="1">
                        <a:solidFill>
                          <a:srgbClr val="0033CC"/>
                        </a:solidFill>
                      </a:defRPr>
                    </a:pPr>
                    <a:r>
                      <a:rPr lang="en-US" sz="1000" b="1">
                        <a:solidFill>
                          <a:srgbClr val="0033CC"/>
                        </a:solidFill>
                      </a:rPr>
                      <a:t>Haor</a:t>
                    </a:r>
                    <a:r>
                      <a:rPr lang="en-US" sz="1000" b="1" baseline="0">
                        <a:solidFill>
                          <a:srgbClr val="0033CC"/>
                        </a:solidFill>
                      </a:rPr>
                      <a:t> </a:t>
                    </a:r>
                    <a:r>
                      <a:rPr lang="en-US" sz="1000" b="1">
                        <a:solidFill>
                          <a:srgbClr val="0033CC"/>
                        </a:solidFill>
                      </a:rPr>
                      <a:t>5.1%</a:t>
                    </a:r>
                  </a:p>
                </c:rich>
              </c:tx>
              <c:spPr/>
              <c:showCatName val="1"/>
              <c:showPercent val="1"/>
            </c:dLbl>
            <c:dLbl>
              <c:idx val="1"/>
              <c:layout>
                <c:manualLayout>
                  <c:x val="-0.25334601924759431"/>
                  <c:y val="-9.9340368377707766E-2"/>
                </c:manualLayout>
              </c:layout>
              <c:tx>
                <c:rich>
                  <a:bodyPr/>
                  <a:lstStyle/>
                  <a:p>
                    <a:pPr>
                      <a:defRPr lang="en-US" sz="1000" b="1">
                        <a:solidFill>
                          <a:schemeClr val="accent6">
                            <a:lumMod val="50000"/>
                          </a:schemeClr>
                        </a:solidFill>
                      </a:defRPr>
                    </a:pPr>
                    <a:r>
                      <a:rPr lang="en-US" sz="1000" b="1">
                        <a:solidFill>
                          <a:schemeClr val="accent6">
                            <a:lumMod val="50000"/>
                          </a:schemeClr>
                        </a:solidFill>
                      </a:rPr>
                      <a:t>Boarder</a:t>
                    </a:r>
                    <a:r>
                      <a:rPr lang="en-US" sz="1000" b="1" baseline="0">
                        <a:solidFill>
                          <a:schemeClr val="accent6">
                            <a:lumMod val="50000"/>
                          </a:schemeClr>
                        </a:solidFill>
                      </a:rPr>
                      <a:t> </a:t>
                    </a:r>
                    <a:r>
                      <a:rPr lang="en-US" sz="1000" b="1">
                        <a:solidFill>
                          <a:schemeClr val="accent6">
                            <a:lumMod val="50000"/>
                          </a:schemeClr>
                        </a:solidFill>
                      </a:rPr>
                      <a:t>0.4%</a:t>
                    </a:r>
                  </a:p>
                </c:rich>
              </c:tx>
              <c:spPr/>
              <c:showCatName val="1"/>
              <c:showPercent val="1"/>
            </c:dLbl>
            <c:dLbl>
              <c:idx val="2"/>
              <c:layout>
                <c:manualLayout>
                  <c:x val="1.8202537182852321E-2"/>
                  <c:y val="-0.14077085781560789"/>
                </c:manualLayout>
              </c:layout>
              <c:tx>
                <c:rich>
                  <a:bodyPr/>
                  <a:lstStyle/>
                  <a:p>
                    <a:pPr>
                      <a:defRPr lang="en-US" sz="1000" b="1">
                        <a:solidFill>
                          <a:schemeClr val="accent3">
                            <a:lumMod val="75000"/>
                          </a:schemeClr>
                        </a:solidFill>
                      </a:defRPr>
                    </a:pPr>
                    <a:r>
                      <a:rPr lang="en-US" sz="1000" b="1">
                        <a:solidFill>
                          <a:schemeClr val="accent3">
                            <a:lumMod val="75000"/>
                          </a:schemeClr>
                        </a:solidFill>
                      </a:rPr>
                      <a:t>Island</a:t>
                    </a:r>
                    <a:r>
                      <a:rPr lang="en-US" sz="1000" b="1" baseline="0">
                        <a:solidFill>
                          <a:schemeClr val="accent3">
                            <a:lumMod val="75000"/>
                          </a:schemeClr>
                        </a:solidFill>
                      </a:rPr>
                      <a:t> </a:t>
                    </a:r>
                    <a:r>
                      <a:rPr lang="en-US" sz="1000" b="1">
                        <a:solidFill>
                          <a:schemeClr val="accent3">
                            <a:lumMod val="75000"/>
                          </a:schemeClr>
                        </a:solidFill>
                      </a:rPr>
                      <a:t>0.3%</a:t>
                    </a:r>
                  </a:p>
                </c:rich>
              </c:tx>
              <c:spPr/>
              <c:showCatName val="1"/>
              <c:showPercent val="1"/>
            </c:dLbl>
            <c:dLbl>
              <c:idx val="3"/>
              <c:layout>
                <c:manualLayout>
                  <c:x val="0.14417913385826794"/>
                  <c:y val="-0.1007021401352593"/>
                </c:manualLayout>
              </c:layout>
              <c:tx>
                <c:rich>
                  <a:bodyPr/>
                  <a:lstStyle/>
                  <a:p>
                    <a:pPr>
                      <a:defRPr lang="en-US" sz="1000">
                        <a:solidFill>
                          <a:schemeClr val="accent4">
                            <a:lumMod val="75000"/>
                          </a:schemeClr>
                        </a:solidFill>
                      </a:defRPr>
                    </a:pPr>
                    <a:r>
                      <a:rPr lang="en-US" sz="1000">
                        <a:solidFill>
                          <a:schemeClr val="accent4">
                            <a:lumMod val="75000"/>
                          </a:schemeClr>
                        </a:solidFill>
                      </a:rPr>
                      <a:t>Other0.7%</a:t>
                    </a:r>
                  </a:p>
                </c:rich>
              </c:tx>
              <c:spPr/>
              <c:showCatName val="1"/>
              <c:showPercent val="1"/>
            </c:dLbl>
            <c:dLbl>
              <c:idx val="4"/>
              <c:layout>
                <c:manualLayout>
                  <c:x val="0.15678543307087853"/>
                  <c:y val="-5.5335645389061515E-2"/>
                </c:manualLayout>
              </c:layout>
              <c:tx>
                <c:rich>
                  <a:bodyPr/>
                  <a:lstStyle/>
                  <a:p>
                    <a:pPr>
                      <a:defRPr lang="en-US" sz="1000">
                        <a:solidFill>
                          <a:schemeClr val="accent5">
                            <a:lumMod val="75000"/>
                          </a:schemeClr>
                        </a:solidFill>
                      </a:defRPr>
                    </a:pPr>
                    <a:r>
                      <a:rPr lang="en-US" sz="1000">
                        <a:solidFill>
                          <a:schemeClr val="accent5">
                            <a:lumMod val="75000"/>
                          </a:schemeClr>
                        </a:solidFill>
                      </a:rPr>
                      <a:t>Hilly</a:t>
                    </a:r>
                    <a:r>
                      <a:rPr lang="en-US" sz="1000" baseline="0">
                        <a:solidFill>
                          <a:schemeClr val="accent5">
                            <a:lumMod val="75000"/>
                          </a:schemeClr>
                        </a:solidFill>
                      </a:rPr>
                      <a:t> 3.7</a:t>
                    </a:r>
                    <a:r>
                      <a:rPr lang="en-US" sz="1000">
                        <a:solidFill>
                          <a:schemeClr val="accent5">
                            <a:lumMod val="75000"/>
                          </a:schemeClr>
                        </a:solidFill>
                      </a:rPr>
                      <a:t>%</a:t>
                    </a:r>
                  </a:p>
                </c:rich>
              </c:tx>
              <c:spPr/>
              <c:showCatName val="1"/>
              <c:showPercent val="1"/>
            </c:dLbl>
            <c:dLbl>
              <c:idx val="5"/>
              <c:layout>
                <c:manualLayout>
                  <c:x val="0.15404505686790629"/>
                  <c:y val="-6.7207547363815415E-2"/>
                </c:manualLayout>
              </c:layout>
              <c:tx>
                <c:rich>
                  <a:bodyPr/>
                  <a:lstStyle/>
                  <a:p>
                    <a:pPr>
                      <a:defRPr lang="en-US" sz="1000">
                        <a:solidFill>
                          <a:schemeClr val="accent6">
                            <a:lumMod val="75000"/>
                          </a:schemeClr>
                        </a:solidFill>
                      </a:defRPr>
                    </a:pPr>
                    <a:r>
                      <a:rPr lang="en-US" sz="1000">
                        <a:solidFill>
                          <a:schemeClr val="accent6">
                            <a:lumMod val="75000"/>
                          </a:schemeClr>
                        </a:solidFill>
                      </a:rPr>
                      <a:t>Coastal</a:t>
                    </a:r>
                    <a:r>
                      <a:rPr lang="en-US" sz="1000" baseline="0">
                        <a:solidFill>
                          <a:schemeClr val="accent6">
                            <a:lumMod val="75000"/>
                          </a:schemeClr>
                        </a:solidFill>
                      </a:rPr>
                      <a:t> </a:t>
                    </a:r>
                    <a:r>
                      <a:rPr lang="en-US" sz="1000">
                        <a:solidFill>
                          <a:schemeClr val="accent6">
                            <a:lumMod val="75000"/>
                          </a:schemeClr>
                        </a:solidFill>
                      </a:rPr>
                      <a:t>7.2%</a:t>
                    </a:r>
                  </a:p>
                </c:rich>
              </c:tx>
              <c:spPr/>
              <c:showCatName val="1"/>
              <c:showPercent val="1"/>
            </c:dLbl>
            <c:dLbl>
              <c:idx val="6"/>
              <c:layout>
                <c:manualLayout>
                  <c:x val="0.14631102362204723"/>
                  <c:y val="-8.7663206520224496E-2"/>
                </c:manualLayout>
              </c:layout>
              <c:tx>
                <c:rich>
                  <a:bodyPr/>
                  <a:lstStyle/>
                  <a:p>
                    <a:pPr>
                      <a:defRPr lang="en-US" sz="1000" b="1">
                        <a:solidFill>
                          <a:schemeClr val="accent5">
                            <a:lumMod val="50000"/>
                          </a:schemeClr>
                        </a:solidFill>
                      </a:defRPr>
                    </a:pPr>
                    <a:r>
                      <a:rPr lang="en-US" sz="1000" b="1">
                        <a:solidFill>
                          <a:schemeClr val="accent5">
                            <a:lumMod val="50000"/>
                          </a:schemeClr>
                        </a:solidFill>
                      </a:rPr>
                      <a:t>Char</a:t>
                    </a:r>
                    <a:r>
                      <a:rPr lang="en-US" sz="1000" b="1" baseline="0">
                        <a:solidFill>
                          <a:schemeClr val="accent5">
                            <a:lumMod val="50000"/>
                          </a:schemeClr>
                        </a:solidFill>
                      </a:rPr>
                      <a:t> </a:t>
                    </a:r>
                    <a:r>
                      <a:rPr lang="en-US" sz="1000" b="1">
                        <a:solidFill>
                          <a:schemeClr val="accent5">
                            <a:lumMod val="50000"/>
                          </a:schemeClr>
                        </a:solidFill>
                      </a:rPr>
                      <a:t>4.1%</a:t>
                    </a:r>
                  </a:p>
                </c:rich>
              </c:tx>
              <c:spPr/>
              <c:showCatName val="1"/>
              <c:showPercent val="1"/>
            </c:dLbl>
            <c:dLbl>
              <c:idx val="7"/>
              <c:layout>
                <c:manualLayout>
                  <c:x val="0.15931999125110446"/>
                  <c:y val="-6.5995869254574444E-2"/>
                </c:manualLayout>
              </c:layout>
              <c:tx>
                <c:rich>
                  <a:bodyPr/>
                  <a:lstStyle/>
                  <a:p>
                    <a:pPr>
                      <a:defRPr lang="en-US" sz="1000">
                        <a:solidFill>
                          <a:srgbClr val="C00000"/>
                        </a:solidFill>
                      </a:defRPr>
                    </a:pPr>
                    <a:r>
                      <a:rPr lang="en-US" sz="1000">
                        <a:solidFill>
                          <a:srgbClr val="C00000"/>
                        </a:solidFill>
                      </a:rPr>
                      <a:t>Slum</a:t>
                    </a:r>
                    <a:r>
                      <a:rPr lang="en-US" sz="1000" baseline="0">
                        <a:solidFill>
                          <a:srgbClr val="C00000"/>
                        </a:solidFill>
                      </a:rPr>
                      <a:t> 0.9</a:t>
                    </a:r>
                    <a:r>
                      <a:rPr lang="en-US" sz="1000">
                        <a:solidFill>
                          <a:srgbClr val="C00000"/>
                        </a:solidFill>
                      </a:rPr>
                      <a:t>%</a:t>
                    </a:r>
                  </a:p>
                </c:rich>
              </c:tx>
              <c:spPr/>
              <c:showCatName val="1"/>
              <c:showPercent val="1"/>
            </c:dLbl>
            <c:dLbl>
              <c:idx val="8"/>
              <c:layout>
                <c:manualLayout>
                  <c:x val="0.13153630796150481"/>
                  <c:y val="2.8570763706263092E-2"/>
                </c:manualLayout>
              </c:layout>
              <c:tx>
                <c:rich>
                  <a:bodyPr/>
                  <a:lstStyle/>
                  <a:p>
                    <a:r>
                      <a:rPr lang="en-US" sz="1000">
                        <a:solidFill>
                          <a:srgbClr val="008000"/>
                        </a:solidFill>
                      </a:rPr>
                      <a:t>Tribal</a:t>
                    </a:r>
                    <a:r>
                      <a:rPr lang="en-US" sz="1000" baseline="0">
                        <a:solidFill>
                          <a:srgbClr val="008000"/>
                        </a:solidFill>
                      </a:rPr>
                      <a:t> 0.9</a:t>
                    </a:r>
                    <a:r>
                      <a:rPr lang="en-US" sz="1000">
                        <a:solidFill>
                          <a:srgbClr val="008000"/>
                        </a:solidFill>
                      </a:rPr>
                      <a:t>%</a:t>
                    </a:r>
                  </a:p>
                </c:rich>
              </c:tx>
              <c:showCatName val="1"/>
              <c:showPercent val="1"/>
            </c:dLbl>
            <c:dLbl>
              <c:idx val="9"/>
              <c:layout>
                <c:manualLayout>
                  <c:x val="0.12397353455818511"/>
                  <c:y val="0.12220225608078718"/>
                </c:manualLayout>
              </c:layout>
              <c:tx>
                <c:rich>
                  <a:bodyPr/>
                  <a:lstStyle/>
                  <a:p>
                    <a:r>
                      <a:rPr lang="en-US" sz="1000">
                        <a:solidFill>
                          <a:srgbClr val="008000"/>
                        </a:solidFill>
                      </a:rPr>
                      <a:t>Tea</a:t>
                    </a:r>
                    <a:r>
                      <a:rPr lang="en-US" sz="1000" baseline="0">
                        <a:solidFill>
                          <a:srgbClr val="008000"/>
                        </a:solidFill>
                      </a:rPr>
                      <a:t> </a:t>
                    </a:r>
                    <a:r>
                      <a:rPr lang="en-US" sz="1000">
                        <a:solidFill>
                          <a:srgbClr val="008000"/>
                        </a:solidFill>
                      </a:rPr>
                      <a:t>0.8%</a:t>
                    </a:r>
                  </a:p>
                </c:rich>
              </c:tx>
              <c:showCatName val="1"/>
              <c:showPercent val="1"/>
            </c:dLbl>
            <c:dLbl>
              <c:idx val="10"/>
              <c:layout>
                <c:manualLayout>
                  <c:x val="4.6374453193350797E-2"/>
                  <c:y val="0.22730059035875017"/>
                </c:manualLayout>
              </c:layout>
              <c:tx>
                <c:rich>
                  <a:bodyPr/>
                  <a:lstStyle/>
                  <a:p>
                    <a:pPr>
                      <a:defRPr lang="en-US" sz="1000">
                        <a:solidFill>
                          <a:schemeClr val="accent4">
                            <a:lumMod val="75000"/>
                          </a:schemeClr>
                        </a:solidFill>
                      </a:defRPr>
                    </a:pPr>
                    <a:r>
                      <a:rPr lang="en-US" sz="1000">
                        <a:solidFill>
                          <a:schemeClr val="accent4">
                            <a:lumMod val="75000"/>
                          </a:schemeClr>
                        </a:solidFill>
                      </a:rPr>
                      <a:t>Hilly Tea
0.2%%</a:t>
                    </a:r>
                  </a:p>
                </c:rich>
              </c:tx>
              <c:spPr/>
              <c:showCatName val="1"/>
              <c:showPercent val="1"/>
            </c:dLbl>
            <c:dLbl>
              <c:idx val="11"/>
              <c:layout>
                <c:manualLayout>
                  <c:x val="-7.2762038765772863E-2"/>
                  <c:y val="3.1432467074582082E-2"/>
                </c:manualLayout>
              </c:layout>
              <c:tx>
                <c:rich>
                  <a:bodyPr/>
                  <a:lstStyle/>
                  <a:p>
                    <a:pPr>
                      <a:defRPr lang="en-US" sz="1000" b="1">
                        <a:solidFill>
                          <a:srgbClr val="008000"/>
                        </a:solidFill>
                      </a:defRPr>
                    </a:pPr>
                    <a:r>
                      <a:rPr lang="en-US" sz="1000" b="1">
                        <a:solidFill>
                          <a:srgbClr val="008000"/>
                        </a:solidFill>
                      </a:rPr>
                      <a:t>Plain</a:t>
                    </a:r>
                    <a:r>
                      <a:rPr lang="en-US" sz="1000" b="1" baseline="0">
                        <a:solidFill>
                          <a:srgbClr val="008000"/>
                        </a:solidFill>
                      </a:rPr>
                      <a:t> </a:t>
                    </a:r>
                    <a:r>
                      <a:rPr lang="en-US" sz="1000" b="1">
                        <a:solidFill>
                          <a:srgbClr val="008000"/>
                        </a:solidFill>
                      </a:rPr>
                      <a:t>75.7%</a:t>
                    </a:r>
                  </a:p>
                </c:rich>
              </c:tx>
              <c:spPr/>
              <c:showCatName val="1"/>
              <c:showPercent val="1"/>
            </c:dLbl>
            <c:txPr>
              <a:bodyPr/>
              <a:lstStyle/>
              <a:p>
                <a:pPr>
                  <a:defRPr lang="en-US" sz="1000">
                    <a:solidFill>
                      <a:srgbClr val="008000"/>
                    </a:solidFill>
                  </a:defRPr>
                </a:pPr>
                <a:endParaRPr lang="en-US"/>
              </a:p>
            </c:txPr>
            <c:showCatName val="1"/>
            <c:showPercent val="1"/>
            <c:showLeaderLines val="1"/>
          </c:dLbls>
          <c:cat>
            <c:strRef>
              <c:f>'Figure 1.6 '!$A$5:$A$16</c:f>
              <c:strCache>
                <c:ptCount val="12"/>
                <c:pt idx="0">
                  <c:v>Haor</c:v>
                </c:pt>
                <c:pt idx="1">
                  <c:v>Boarder</c:v>
                </c:pt>
                <c:pt idx="2">
                  <c:v>Island</c:v>
                </c:pt>
                <c:pt idx="3">
                  <c:v>Other</c:v>
                </c:pt>
                <c:pt idx="4">
                  <c:v>Hilly</c:v>
                </c:pt>
                <c:pt idx="5">
                  <c:v>Coastal</c:v>
                </c:pt>
                <c:pt idx="6">
                  <c:v>Char</c:v>
                </c:pt>
                <c:pt idx="7">
                  <c:v>Slum</c:v>
                </c:pt>
                <c:pt idx="8">
                  <c:v>Tribal</c:v>
                </c:pt>
                <c:pt idx="9">
                  <c:v>Tea</c:v>
                </c:pt>
                <c:pt idx="10">
                  <c:v>Hilly Tea</c:v>
                </c:pt>
                <c:pt idx="11">
                  <c:v>Plain</c:v>
                </c:pt>
              </c:strCache>
            </c:strRef>
          </c:cat>
          <c:val>
            <c:numRef>
              <c:f>'Figure 1.6 '!$C$5:$C$16</c:f>
              <c:numCache>
                <c:formatCode>0.0</c:formatCode>
                <c:ptCount val="12"/>
                <c:pt idx="0">
                  <c:v>5.1129991826804284</c:v>
                </c:pt>
                <c:pt idx="1">
                  <c:v>0.43622056223986899</c:v>
                </c:pt>
                <c:pt idx="2">
                  <c:v>0.3041189104940179</c:v>
                </c:pt>
                <c:pt idx="3">
                  <c:v>0.70897721008917747</c:v>
                </c:pt>
                <c:pt idx="4">
                  <c:v>3.7064492216456637</c:v>
                </c:pt>
                <c:pt idx="5">
                  <c:v>7.1581988557526</c:v>
                </c:pt>
                <c:pt idx="6">
                  <c:v>4.1265134667651742</c:v>
                </c:pt>
                <c:pt idx="7">
                  <c:v>0.90665450191023556</c:v>
                </c:pt>
                <c:pt idx="8">
                  <c:v>0.90475375871965857</c:v>
                </c:pt>
                <c:pt idx="9">
                  <c:v>0.77265210697385289</c:v>
                </c:pt>
                <c:pt idx="10">
                  <c:v>0.20432989298815837</c:v>
                </c:pt>
                <c:pt idx="11">
                  <c:v>75.658132329736347</c:v>
                </c:pt>
              </c:numCache>
            </c:numRef>
          </c:val>
        </c:ser>
        <c:firstSliceAng val="0"/>
      </c:pieChart>
    </c:plotArea>
    <c:legend>
      <c:legendPos val="r"/>
      <c:layout>
        <c:manualLayout>
          <c:xMode val="edge"/>
          <c:yMode val="edge"/>
          <c:x val="0.2156265626749263"/>
          <c:y val="0.87051485133273299"/>
          <c:w val="0.71360805314031328"/>
          <c:h val="0.11494969378827646"/>
        </c:manualLayout>
      </c:layout>
      <c:txPr>
        <a:bodyPr/>
        <a:lstStyle/>
        <a:p>
          <a:pPr>
            <a:defRPr lang="en-US"/>
          </a:pPr>
          <a:endParaRPr lang="en-US"/>
        </a:p>
      </c:txPr>
    </c:legend>
    <c:plotVisOnly val="1"/>
    <c:dispBlanksAs val="zero"/>
  </c:chart>
  <c:spPr>
    <a:ln w="31750" cmpd="dbl">
      <a:solidFill>
        <a:schemeClr val="accent5">
          <a:lumMod val="50000"/>
        </a:schemeClr>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9.3710953175021747E-2"/>
          <c:y val="9.4240837696335081E-2"/>
          <c:w val="0.88137398453731453"/>
          <c:h val="0.73570227150925505"/>
        </c:manualLayout>
      </c:layout>
      <c:barChart>
        <c:barDir val="col"/>
        <c:grouping val="clustered"/>
        <c:ser>
          <c:idx val="0"/>
          <c:order val="0"/>
          <c:dPt>
            <c:idx val="0"/>
            <c:spPr>
              <a:solidFill>
                <a:srgbClr val="008000"/>
              </a:solidFill>
            </c:spPr>
          </c:dPt>
          <c:dPt>
            <c:idx val="1"/>
            <c:spPr>
              <a:solidFill>
                <a:schemeClr val="accent6">
                  <a:lumMod val="75000"/>
                </a:schemeClr>
              </a:solidFill>
            </c:spPr>
          </c:dPt>
          <c:dPt>
            <c:idx val="2"/>
            <c:spPr>
              <a:solidFill>
                <a:schemeClr val="accent2">
                  <a:lumMod val="75000"/>
                </a:schemeClr>
              </a:solidFill>
            </c:spPr>
          </c:dPt>
          <c:dPt>
            <c:idx val="3"/>
            <c:spPr>
              <a:solidFill>
                <a:srgbClr val="C00000"/>
              </a:solidFill>
            </c:spPr>
          </c:dPt>
          <c:dPt>
            <c:idx val="5"/>
            <c:spPr>
              <a:solidFill>
                <a:schemeClr val="accent2">
                  <a:lumMod val="60000"/>
                  <a:lumOff val="40000"/>
                </a:schemeClr>
              </a:solidFill>
            </c:spPr>
          </c:dPt>
          <c:dPt>
            <c:idx val="6"/>
            <c:spPr>
              <a:solidFill>
                <a:schemeClr val="accent4">
                  <a:lumMod val="60000"/>
                  <a:lumOff val="40000"/>
                </a:schemeClr>
              </a:solidFill>
            </c:spPr>
          </c:dPt>
          <c:dPt>
            <c:idx val="7"/>
            <c:spPr>
              <a:solidFill>
                <a:srgbClr val="33CCCC"/>
              </a:solidFill>
            </c:spPr>
          </c:dPt>
          <c:dPt>
            <c:idx val="8"/>
            <c:spPr>
              <a:solidFill>
                <a:srgbClr val="FFC000"/>
              </a:solidFill>
            </c:spPr>
          </c:dPt>
          <c:dPt>
            <c:idx val="9"/>
            <c:spPr>
              <a:solidFill>
                <a:srgbClr val="92D050"/>
              </a:solidFill>
            </c:spPr>
          </c:dPt>
          <c:dPt>
            <c:idx val="10"/>
            <c:spPr>
              <a:solidFill>
                <a:srgbClr val="FF0000"/>
              </a:solidFill>
            </c:spPr>
          </c:dPt>
          <c:dLbls>
            <c:dLbl>
              <c:idx val="0"/>
              <c:layout>
                <c:manualLayout>
                  <c:x val="0"/>
                  <c:y val="2.6178010471205906E-2"/>
                </c:manualLayout>
              </c:layout>
              <c:spPr/>
              <c:txPr>
                <a:bodyPr/>
                <a:lstStyle/>
                <a:p>
                  <a:pPr>
                    <a:defRPr lang="en-US" sz="900" b="1">
                      <a:solidFill>
                        <a:srgbClr val="008000"/>
                      </a:solidFill>
                    </a:defRPr>
                  </a:pPr>
                  <a:endParaRPr lang="en-US"/>
                </a:p>
              </c:txPr>
              <c:showVal val="1"/>
            </c:dLbl>
            <c:dLbl>
              <c:idx val="1"/>
              <c:layout>
                <c:manualLayout>
                  <c:x val="0"/>
                  <c:y val="2.617801047120601E-2"/>
                </c:manualLayout>
              </c:layout>
              <c:spPr/>
              <c:txPr>
                <a:bodyPr/>
                <a:lstStyle/>
                <a:p>
                  <a:pPr>
                    <a:defRPr lang="en-US" sz="900" b="1">
                      <a:solidFill>
                        <a:schemeClr val="accent6">
                          <a:lumMod val="75000"/>
                        </a:schemeClr>
                      </a:solidFill>
                    </a:defRPr>
                  </a:pPr>
                  <a:endParaRPr lang="en-US"/>
                </a:p>
              </c:txPr>
              <c:showVal val="1"/>
            </c:dLbl>
            <c:dLbl>
              <c:idx val="2"/>
              <c:layout>
                <c:manualLayout>
                  <c:x val="0"/>
                  <c:y val="2.6178010471205906E-2"/>
                </c:manualLayout>
              </c:layout>
              <c:spPr/>
              <c:txPr>
                <a:bodyPr/>
                <a:lstStyle/>
                <a:p>
                  <a:pPr>
                    <a:defRPr lang="en-US" sz="900" b="1">
                      <a:solidFill>
                        <a:schemeClr val="accent6">
                          <a:lumMod val="50000"/>
                        </a:schemeClr>
                      </a:solidFill>
                    </a:defRPr>
                  </a:pPr>
                  <a:endParaRPr lang="en-US"/>
                </a:p>
              </c:txPr>
              <c:showVal val="1"/>
            </c:dLbl>
            <c:dLbl>
              <c:idx val="3"/>
              <c:layout>
                <c:manualLayout>
                  <c:x val="0"/>
                  <c:y val="1.0471204188481676E-2"/>
                </c:manualLayout>
              </c:layout>
              <c:spPr/>
              <c:txPr>
                <a:bodyPr/>
                <a:lstStyle/>
                <a:p>
                  <a:pPr>
                    <a:defRPr lang="en-US" sz="900" b="1">
                      <a:solidFill>
                        <a:srgbClr val="C00000"/>
                      </a:solidFill>
                    </a:defRPr>
                  </a:pPr>
                  <a:endParaRPr lang="en-US"/>
                </a:p>
              </c:txPr>
              <c:showVal val="1"/>
            </c:dLbl>
            <c:dLbl>
              <c:idx val="4"/>
              <c:layout>
                <c:manualLayout>
                  <c:x val="2.3584905660377492E-3"/>
                  <c:y val="1.0471204188481719E-2"/>
                </c:manualLayout>
              </c:layout>
              <c:spPr/>
              <c:txPr>
                <a:bodyPr/>
                <a:lstStyle/>
                <a:p>
                  <a:pPr>
                    <a:defRPr lang="en-US" sz="900" b="1">
                      <a:solidFill>
                        <a:srgbClr val="0000FF"/>
                      </a:solidFill>
                    </a:defRPr>
                  </a:pPr>
                  <a:endParaRPr lang="en-US"/>
                </a:p>
              </c:txPr>
              <c:showVal val="1"/>
            </c:dLbl>
            <c:dLbl>
              <c:idx val="5"/>
              <c:layout>
                <c:manualLayout>
                  <c:x val="0"/>
                  <c:y val="-1.5706806282722561E-2"/>
                </c:manualLayout>
              </c:layout>
              <c:spPr/>
              <c:txPr>
                <a:bodyPr/>
                <a:lstStyle/>
                <a:p>
                  <a:pPr>
                    <a:defRPr lang="en-US" sz="900" b="1">
                      <a:solidFill>
                        <a:schemeClr val="accent6">
                          <a:lumMod val="75000"/>
                        </a:schemeClr>
                      </a:solidFill>
                    </a:defRPr>
                  </a:pPr>
                  <a:endParaRPr lang="en-US"/>
                </a:p>
              </c:txPr>
              <c:showVal val="1"/>
            </c:dLbl>
            <c:dLbl>
              <c:idx val="6"/>
              <c:layout>
                <c:manualLayout>
                  <c:x val="-2.3584905660377492E-3"/>
                  <c:y val="2.0942408376963352E-2"/>
                </c:manualLayout>
              </c:layout>
              <c:spPr/>
              <c:txPr>
                <a:bodyPr/>
                <a:lstStyle/>
                <a:p>
                  <a:pPr>
                    <a:defRPr lang="en-US" sz="900" b="1">
                      <a:solidFill>
                        <a:schemeClr val="accent4">
                          <a:lumMod val="75000"/>
                        </a:schemeClr>
                      </a:solidFill>
                    </a:defRPr>
                  </a:pPr>
                  <a:endParaRPr lang="en-US"/>
                </a:p>
              </c:txPr>
              <c:showVal val="1"/>
            </c:dLbl>
            <c:dLbl>
              <c:idx val="7"/>
              <c:layout>
                <c:manualLayout>
                  <c:x val="-8.6476988431848565E-17"/>
                  <c:y val="1.5706806282722561E-2"/>
                </c:manualLayout>
              </c:layout>
              <c:spPr/>
              <c:txPr>
                <a:bodyPr/>
                <a:lstStyle/>
                <a:p>
                  <a:pPr>
                    <a:defRPr lang="en-US" sz="900" b="1">
                      <a:solidFill>
                        <a:srgbClr val="0099FF"/>
                      </a:solidFill>
                    </a:defRPr>
                  </a:pPr>
                  <a:endParaRPr lang="en-US"/>
                </a:p>
              </c:txPr>
              <c:showVal val="1"/>
            </c:dLbl>
            <c:dLbl>
              <c:idx val="8"/>
              <c:layout>
                <c:manualLayout>
                  <c:x val="0"/>
                  <c:y val="2.0942408376963352E-2"/>
                </c:manualLayout>
              </c:layout>
              <c:spPr/>
              <c:txPr>
                <a:bodyPr/>
                <a:lstStyle/>
                <a:p>
                  <a:pPr>
                    <a:defRPr lang="en-US" sz="900" b="1">
                      <a:solidFill>
                        <a:srgbClr val="CCCC00"/>
                      </a:solidFill>
                    </a:defRPr>
                  </a:pPr>
                  <a:endParaRPr lang="en-US"/>
                </a:p>
              </c:txPr>
              <c:showVal val="1"/>
            </c:dLbl>
            <c:dLbl>
              <c:idx val="9"/>
              <c:layout>
                <c:manualLayout>
                  <c:x val="-4.7169811320754715E-3"/>
                  <c:y val="1.0471204188481676E-2"/>
                </c:manualLayout>
              </c:layout>
              <c:spPr/>
              <c:txPr>
                <a:bodyPr/>
                <a:lstStyle/>
                <a:p>
                  <a:pPr>
                    <a:defRPr lang="en-US" sz="900" b="1">
                      <a:solidFill>
                        <a:srgbClr val="92D050"/>
                      </a:solidFill>
                    </a:defRPr>
                  </a:pPr>
                  <a:endParaRPr lang="en-US"/>
                </a:p>
              </c:txPr>
              <c:showVal val="1"/>
            </c:dLbl>
            <c:dLbl>
              <c:idx val="10"/>
              <c:layout>
                <c:manualLayout>
                  <c:x val="-4.7169811320754715E-3"/>
                  <c:y val="2.0942408376963446E-2"/>
                </c:manualLayout>
              </c:layout>
              <c:spPr/>
              <c:txPr>
                <a:bodyPr/>
                <a:lstStyle/>
                <a:p>
                  <a:pPr>
                    <a:defRPr lang="en-US" sz="900" b="1">
                      <a:solidFill>
                        <a:srgbClr val="FF0000"/>
                      </a:solidFill>
                    </a:defRPr>
                  </a:pPr>
                  <a:endParaRPr lang="en-US"/>
                </a:p>
              </c:txPr>
              <c:showVal val="1"/>
            </c:dLbl>
            <c:txPr>
              <a:bodyPr/>
              <a:lstStyle/>
              <a:p>
                <a:pPr>
                  <a:defRPr lang="en-US" sz="900" b="1"/>
                </a:pPr>
                <a:endParaRPr lang="en-US"/>
              </a:p>
            </c:txPr>
            <c:showVal val="1"/>
          </c:dLbls>
          <c:cat>
            <c:strRef>
              <c:f>'Figure 1.6 '!$A$5:$A$15</c:f>
              <c:strCache>
                <c:ptCount val="11"/>
                <c:pt idx="0">
                  <c:v>Haor</c:v>
                </c:pt>
                <c:pt idx="1">
                  <c:v>Boarder</c:v>
                </c:pt>
                <c:pt idx="2">
                  <c:v>Island</c:v>
                </c:pt>
                <c:pt idx="3">
                  <c:v>Other</c:v>
                </c:pt>
                <c:pt idx="4">
                  <c:v>Hilly</c:v>
                </c:pt>
                <c:pt idx="5">
                  <c:v>Coastal</c:v>
                </c:pt>
                <c:pt idx="6">
                  <c:v>Char</c:v>
                </c:pt>
                <c:pt idx="7">
                  <c:v>Slum</c:v>
                </c:pt>
                <c:pt idx="8">
                  <c:v>Tribal</c:v>
                </c:pt>
                <c:pt idx="9">
                  <c:v>Tea</c:v>
                </c:pt>
                <c:pt idx="10">
                  <c:v>Hilly Tea</c:v>
                </c:pt>
              </c:strCache>
            </c:strRef>
          </c:cat>
          <c:val>
            <c:numRef>
              <c:f>'Figure 1.6 '!$B$5:$B$15</c:f>
              <c:numCache>
                <c:formatCode>_(* #,##0_);_(* \(#,##0\);_(* "-"??_);_(@_)</c:formatCode>
                <c:ptCount val="11"/>
                <c:pt idx="0">
                  <c:v>5380</c:v>
                </c:pt>
                <c:pt idx="1">
                  <c:v>459</c:v>
                </c:pt>
                <c:pt idx="2">
                  <c:v>320</c:v>
                </c:pt>
                <c:pt idx="3">
                  <c:v>746</c:v>
                </c:pt>
                <c:pt idx="4">
                  <c:v>3900</c:v>
                </c:pt>
                <c:pt idx="5">
                  <c:v>7532</c:v>
                </c:pt>
                <c:pt idx="6">
                  <c:v>4342</c:v>
                </c:pt>
                <c:pt idx="7">
                  <c:v>954</c:v>
                </c:pt>
                <c:pt idx="8">
                  <c:v>952</c:v>
                </c:pt>
                <c:pt idx="9">
                  <c:v>813</c:v>
                </c:pt>
                <c:pt idx="10">
                  <c:v>215</c:v>
                </c:pt>
              </c:numCache>
            </c:numRef>
          </c:val>
        </c:ser>
        <c:gapWidth val="75"/>
        <c:overlap val="-25"/>
        <c:axId val="134353664"/>
        <c:axId val="134355200"/>
      </c:barChart>
      <c:catAx>
        <c:axId val="134353664"/>
        <c:scaling>
          <c:orientation val="minMax"/>
        </c:scaling>
        <c:axPos val="b"/>
        <c:majorTickMark val="none"/>
        <c:tickLblPos val="nextTo"/>
        <c:txPr>
          <a:bodyPr/>
          <a:lstStyle/>
          <a:p>
            <a:pPr>
              <a:defRPr lang="en-US"/>
            </a:pPr>
            <a:endParaRPr lang="en-US"/>
          </a:p>
        </c:txPr>
        <c:crossAx val="134355200"/>
        <c:crosses val="autoZero"/>
        <c:auto val="1"/>
        <c:lblAlgn val="ctr"/>
        <c:lblOffset val="100"/>
      </c:catAx>
      <c:valAx>
        <c:axId val="134355200"/>
        <c:scaling>
          <c:orientation val="minMax"/>
        </c:scaling>
        <c:axPos val="l"/>
        <c:majorGridlines/>
        <c:numFmt formatCode="_(* #,##0_);_(* \(#,##0\);_(* &quot;-&quot;??_);_(@_)" sourceLinked="1"/>
        <c:majorTickMark val="none"/>
        <c:tickLblPos val="nextTo"/>
        <c:spPr>
          <a:ln w="9525">
            <a:noFill/>
          </a:ln>
        </c:spPr>
        <c:txPr>
          <a:bodyPr/>
          <a:lstStyle/>
          <a:p>
            <a:pPr>
              <a:defRPr lang="en-US" sz="800"/>
            </a:pPr>
            <a:endParaRPr lang="en-US"/>
          </a:p>
        </c:txPr>
        <c:crossAx val="134353664"/>
        <c:crosses val="autoZero"/>
        <c:crossBetween val="between"/>
      </c:valAx>
    </c:plotArea>
    <c:plotVisOnly val="1"/>
    <c:dispBlanksAs val="gap"/>
  </c:chart>
  <c:spPr>
    <a:ln w="31750" cmpd="dbl">
      <a:solidFill>
        <a:schemeClr val="accent5">
          <a:lumMod val="50000"/>
        </a:schemeClr>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'Figure 1.8'!$A$5</c:f>
              <c:strCache>
                <c:ptCount val="1"/>
                <c:pt idx="0">
                  <c:v>APSC</c:v>
                </c:pt>
              </c:strCache>
            </c:strRef>
          </c:tx>
          <c:spPr>
            <a:solidFill>
              <a:srgbClr val="339966"/>
            </a:solidFill>
          </c:spPr>
          <c:cat>
            <c:numRef>
              <c:f>'Figure 1.8'!$B$4:$G$4</c:f>
              <c:numCache>
                <c:formatCode>General</c:formatCode>
                <c:ptCount val="6"/>
                <c:pt idx="0">
                  <c:v>2010</c:v>
                </c:pt>
                <c:pt idx="1">
                  <c:v>2011</c:v>
                </c:pt>
                <c:pt idx="2">
                  <c:v>2012</c:v>
                </c:pt>
                <c:pt idx="3">
                  <c:v>2013</c:v>
                </c:pt>
                <c:pt idx="4">
                  <c:v>2014</c:v>
                </c:pt>
                <c:pt idx="5">
                  <c:v>2015</c:v>
                </c:pt>
              </c:numCache>
            </c:numRef>
          </c:cat>
          <c:val>
            <c:numRef>
              <c:f>'Figure 1.8'!$B$5:$G$5</c:f>
              <c:numCache>
                <c:formatCode>#,##0</c:formatCode>
                <c:ptCount val="6"/>
                <c:pt idx="0" formatCode="_(* #,##0_);_(* \(#,##0\);_(* &quot;-&quot;??_);_(@_)">
                  <c:v>78685</c:v>
                </c:pt>
                <c:pt idx="1">
                  <c:v>89714</c:v>
                </c:pt>
                <c:pt idx="2">
                  <c:v>104017</c:v>
                </c:pt>
                <c:pt idx="3">
                  <c:v>106858</c:v>
                </c:pt>
                <c:pt idx="4">
                  <c:v>108537</c:v>
                </c:pt>
                <c:pt idx="5" formatCode="_(* #,##0_);_(* \(#,##0\);_(* &quot;-&quot;??_);_(@_)">
                  <c:v>122176</c:v>
                </c:pt>
              </c:numCache>
            </c:numRef>
          </c:val>
        </c:ser>
        <c:ser>
          <c:idx val="1"/>
          <c:order val="1"/>
          <c:tx>
            <c:strRef>
              <c:f>'Figure 1.8'!$A$6</c:f>
              <c:strCache>
                <c:ptCount val="1"/>
                <c:pt idx="0">
                  <c:v>PECE</c:v>
                </c:pt>
              </c:strCache>
            </c:strRef>
          </c:tx>
          <c:spPr>
            <a:solidFill>
              <a:srgbClr val="9900FF"/>
            </a:solidFill>
          </c:spPr>
          <c:cat>
            <c:numRef>
              <c:f>'Figure 1.8'!$B$4:$G$4</c:f>
              <c:numCache>
                <c:formatCode>General</c:formatCode>
                <c:ptCount val="6"/>
                <c:pt idx="0">
                  <c:v>2010</c:v>
                </c:pt>
                <c:pt idx="1">
                  <c:v>2011</c:v>
                </c:pt>
                <c:pt idx="2">
                  <c:v>2012</c:v>
                </c:pt>
                <c:pt idx="3">
                  <c:v>2013</c:v>
                </c:pt>
                <c:pt idx="4">
                  <c:v>2014</c:v>
                </c:pt>
                <c:pt idx="5">
                  <c:v>2015</c:v>
                </c:pt>
              </c:numCache>
            </c:numRef>
          </c:cat>
          <c:val>
            <c:numRef>
              <c:f>'Figure 1.8'!$B$6:$G$6</c:f>
              <c:numCache>
                <c:formatCode>#,##0</c:formatCode>
                <c:ptCount val="6"/>
                <c:pt idx="0" formatCode="_(* #,##0_);_(* \(#,##0\);_(* &quot;-&quot;??_);_(@_)">
                  <c:v>97344</c:v>
                </c:pt>
                <c:pt idx="1">
                  <c:v>99351</c:v>
                </c:pt>
                <c:pt idx="2">
                  <c:v>103930</c:v>
                </c:pt>
                <c:pt idx="3">
                  <c:v>98968</c:v>
                </c:pt>
                <c:pt idx="4" formatCode="_(* #,##0_);_(* \(#,##0\);_(* &quot;-&quot;??_);_(@_)">
                  <c:v>101322</c:v>
                </c:pt>
                <c:pt idx="5" formatCode="_(* #,##0_);_(* \(#,##0\);_(* &quot;-&quot;??_);_(@_)">
                  <c:v>110770</c:v>
                </c:pt>
              </c:numCache>
            </c:numRef>
          </c:val>
        </c:ser>
        <c:axId val="134367104"/>
        <c:axId val="134368640"/>
      </c:barChart>
      <c:catAx>
        <c:axId val="134367104"/>
        <c:scaling>
          <c:orientation val="minMax"/>
        </c:scaling>
        <c:axPos val="b"/>
        <c:numFmt formatCode="General" sourceLinked="1"/>
        <c:majorTickMark val="none"/>
        <c:tickLblPos val="nextTo"/>
        <c:txPr>
          <a:bodyPr/>
          <a:lstStyle/>
          <a:p>
            <a:pPr>
              <a:defRPr lang="en-US"/>
            </a:pPr>
            <a:endParaRPr lang="en-US"/>
          </a:p>
        </c:txPr>
        <c:crossAx val="134368640"/>
        <c:crosses val="autoZero"/>
        <c:auto val="1"/>
        <c:lblAlgn val="ctr"/>
        <c:lblOffset val="100"/>
      </c:catAx>
      <c:valAx>
        <c:axId val="134368640"/>
        <c:scaling>
          <c:orientation val="minMax"/>
        </c:scaling>
        <c:delete val="1"/>
        <c:axPos val="l"/>
        <c:majorGridlines/>
        <c:numFmt formatCode="_(* #,##0_);_(* \(#,##0\);_(* &quot;-&quot;??_);_(@_)" sourceLinked="1"/>
        <c:majorTickMark val="none"/>
        <c:tickLblPos val="nextTo"/>
        <c:crossAx val="134367104"/>
        <c:crosses val="autoZero"/>
        <c:crossBetween val="between"/>
        <c:majorUnit val="5000"/>
      </c:valAx>
      <c:dTable>
        <c:showHorzBorder val="1"/>
        <c:showVertBorder val="1"/>
        <c:showOutline val="1"/>
        <c:showKeys val="1"/>
        <c:txPr>
          <a:bodyPr/>
          <a:lstStyle/>
          <a:p>
            <a:pPr rtl="0">
              <a:defRPr lang="en-US"/>
            </a:pPr>
            <a:endParaRPr lang="en-US"/>
          </a:p>
        </c:txPr>
      </c:dTable>
    </c:plotArea>
    <c:plotVisOnly val="1"/>
    <c:dispBlanksAs val="gap"/>
  </c:chart>
  <c:spPr>
    <a:ln w="38100" cmpd="dbl">
      <a:solidFill>
        <a:schemeClr val="accent5">
          <a:lumMod val="50000"/>
        </a:schemeClr>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manualLayout>
          <c:layoutTarget val="inner"/>
          <c:xMode val="edge"/>
          <c:yMode val="edge"/>
          <c:x val="0.18068414155848475"/>
          <c:y val="0.10267858145452342"/>
          <c:w val="0.77952474133401761"/>
          <c:h val="0.78553491633924644"/>
        </c:manualLayout>
      </c:layout>
      <c:barChart>
        <c:barDir val="bar"/>
        <c:grouping val="percentStacked"/>
        <c:ser>
          <c:idx val="0"/>
          <c:order val="0"/>
          <c:tx>
            <c:strRef>
              <c:f>NSA_Bangla_BAND!$M$4</c:f>
              <c:strCache>
                <c:ptCount val="1"/>
                <c:pt idx="0">
                  <c:v>Band 1</c:v>
                </c:pt>
              </c:strCache>
            </c:strRef>
          </c:tx>
          <c:dLbls>
            <c:dLbl>
              <c:idx val="3"/>
              <c:delete val="1"/>
              <c:extLst>
                <c:ext xmlns:c15="http://schemas.microsoft.com/office/drawing/2012/chart" uri="{CE6537A1-D6FC-4f65-9D91-7224C49458BB}"/>
              </c:extLst>
            </c:dLbl>
            <c:spPr>
              <a:noFill/>
              <a:ln>
                <a:noFill/>
              </a:ln>
              <a:effectLst/>
            </c:spPr>
            <c:txPr>
              <a:bodyPr/>
              <a:lstStyle/>
              <a:p>
                <a:pPr>
                  <a:defRPr lang="en-US" sz="800">
                    <a:solidFill>
                      <a:schemeClr val="bg1"/>
                    </a:solidFill>
                  </a:defRPr>
                </a:pPr>
                <a:endParaRPr lang="en-US"/>
              </a:p>
            </c:txPr>
            <c:showVal val="1"/>
            <c:extLst>
              <c:ext xmlns:c15="http://schemas.microsoft.com/office/drawing/2012/chart" uri="{CE6537A1-D6FC-4f65-9D91-7224C49458BB}">
                <c15:showLeaderLines val="0"/>
              </c:ext>
            </c:extLst>
          </c:dLbls>
          <c:cat>
            <c:multiLvlStrRef>
              <c:f>NSA_Bangla_BAND!$K$5:$L$8</c:f>
              <c:multiLvlStrCache>
                <c:ptCount val="4"/>
                <c:lvl>
                  <c:pt idx="0">
                    <c:v>Yr 2011</c:v>
                  </c:pt>
                  <c:pt idx="1">
                    <c:v>Yr 2013</c:v>
                  </c:pt>
                  <c:pt idx="2">
                    <c:v>Yr 2011</c:v>
                  </c:pt>
                  <c:pt idx="3">
                    <c:v>Yr 2013</c:v>
                  </c:pt>
                </c:lvl>
                <c:lvl>
                  <c:pt idx="0">
                    <c:v>Grade 3</c:v>
                  </c:pt>
                  <c:pt idx="2">
                    <c:v>Grade 5</c:v>
                  </c:pt>
                </c:lvl>
              </c:multiLvlStrCache>
            </c:multiLvlStrRef>
          </c:cat>
          <c:val>
            <c:numRef>
              <c:f>NSA_Bangla_BAND!$M$5:$M$8</c:f>
              <c:numCache>
                <c:formatCode>###0%</c:formatCode>
                <c:ptCount val="4"/>
                <c:pt idx="0" formatCode="0%">
                  <c:v>6.3000000000000014E-2</c:v>
                </c:pt>
                <c:pt idx="1">
                  <c:v>5.0417595872142534E-2</c:v>
                </c:pt>
                <c:pt idx="3" formatCode="####%">
                  <c:v>2.3558447386134202E-3</c:v>
                </c:pt>
              </c:numCache>
            </c:numRef>
          </c:val>
        </c:ser>
        <c:ser>
          <c:idx val="1"/>
          <c:order val="1"/>
          <c:tx>
            <c:strRef>
              <c:f>NSA_Bangla_BAND!$N$4</c:f>
              <c:strCache>
                <c:ptCount val="1"/>
                <c:pt idx="0">
                  <c:v>Band 2</c:v>
                </c:pt>
              </c:strCache>
            </c:strRef>
          </c:tx>
          <c:dLbls>
            <c:dLbl>
              <c:idx val="2"/>
              <c:layout>
                <c:manualLayout>
                  <c:x val="6.9115708948489134E-3"/>
                  <c:y val="0"/>
                </c:manualLayout>
              </c:layout>
              <c:spPr/>
              <c:txPr>
                <a:bodyPr/>
                <a:lstStyle/>
                <a:p>
                  <a:pPr>
                    <a:defRPr lang="en-US" sz="800" b="1">
                      <a:solidFill>
                        <a:schemeClr val="bg1"/>
                      </a:solidFill>
                    </a:defRPr>
                  </a:pPr>
                  <a:endParaRPr lang="en-US"/>
                </a:p>
              </c:txPr>
              <c:showVal val="1"/>
              <c:extLst>
                <c:ext xmlns:c15="http://schemas.microsoft.com/office/drawing/2012/chart" uri="{CE6537A1-D6FC-4f65-9D91-7224C49458BB}"/>
              </c:extLst>
            </c:dLbl>
            <c:dLbl>
              <c:idx val="3"/>
              <c:spPr/>
              <c:txPr>
                <a:bodyPr/>
                <a:lstStyle/>
                <a:p>
                  <a:pPr>
                    <a:defRPr lang="en-US" sz="800" b="1">
                      <a:solidFill>
                        <a:schemeClr val="bg1"/>
                      </a:solidFill>
                    </a:defRPr>
                  </a:pPr>
                  <a:endParaRPr lang="en-US"/>
                </a:p>
              </c:txPr>
            </c:dLbl>
            <c:spPr>
              <a:noFill/>
              <a:ln>
                <a:noFill/>
              </a:ln>
              <a:effectLst/>
            </c:spPr>
            <c:txPr>
              <a:bodyPr/>
              <a:lstStyle/>
              <a:p>
                <a:pPr>
                  <a:defRPr lang="en-US" b="1"/>
                </a:pPr>
                <a:endParaRPr lang="en-US"/>
              </a:p>
            </c:txPr>
            <c:showVal val="1"/>
            <c:extLst>
              <c:ext xmlns:c15="http://schemas.microsoft.com/office/drawing/2012/chart" uri="{CE6537A1-D6FC-4f65-9D91-7224C49458BB}">
                <c15:showLeaderLines val="0"/>
              </c:ext>
            </c:extLst>
          </c:dLbls>
          <c:cat>
            <c:multiLvlStrRef>
              <c:f>NSA_Bangla_BAND!$K$5:$L$8</c:f>
              <c:multiLvlStrCache>
                <c:ptCount val="4"/>
                <c:lvl>
                  <c:pt idx="0">
                    <c:v>Yr 2011</c:v>
                  </c:pt>
                  <c:pt idx="1">
                    <c:v>Yr 2013</c:v>
                  </c:pt>
                  <c:pt idx="2">
                    <c:v>Yr 2011</c:v>
                  </c:pt>
                  <c:pt idx="3">
                    <c:v>Yr 2013</c:v>
                  </c:pt>
                </c:lvl>
                <c:lvl>
                  <c:pt idx="0">
                    <c:v>Grade 3</c:v>
                  </c:pt>
                  <c:pt idx="2">
                    <c:v>Grade 5</c:v>
                  </c:pt>
                </c:lvl>
              </c:multiLvlStrCache>
            </c:multiLvlStrRef>
          </c:cat>
          <c:val>
            <c:numRef>
              <c:f>NSA_Bangla_BAND!$N$5:$N$8</c:f>
              <c:numCache>
                <c:formatCode>###0%</c:formatCode>
                <c:ptCount val="4"/>
                <c:pt idx="0" formatCode="0%">
                  <c:v>0.26400000000000001</c:v>
                </c:pt>
                <c:pt idx="1">
                  <c:v>0.20215138396956578</c:v>
                </c:pt>
                <c:pt idx="2" formatCode="0%">
                  <c:v>1.2000000000000021E-2</c:v>
                </c:pt>
                <c:pt idx="3" formatCode="####%">
                  <c:v>3.4103657168498995E-2</c:v>
                </c:pt>
              </c:numCache>
            </c:numRef>
          </c:val>
        </c:ser>
        <c:ser>
          <c:idx val="2"/>
          <c:order val="2"/>
          <c:tx>
            <c:strRef>
              <c:f>NSA_Bangla_BAND!$O$4</c:f>
              <c:strCache>
                <c:ptCount val="1"/>
                <c:pt idx="0">
                  <c:v>Band 3</c:v>
                </c:pt>
              </c:strCache>
            </c:strRef>
          </c:tx>
          <c:dLbls>
            <c:dLbl>
              <c:idx val="2"/>
              <c:layout>
                <c:manualLayout>
                  <c:x val="2.5342426614445909E-2"/>
                  <c:y val="6.9118392186465413E-3"/>
                </c:manualLayout>
              </c:layout>
              <c:showVal val="1"/>
              <c:extLst>
                <c:ext xmlns:c15="http://schemas.microsoft.com/office/drawing/2012/chart" uri="{CE6537A1-D6FC-4f65-9D91-7224C49458BB}"/>
              </c:extLst>
            </c:dLbl>
            <c:spPr>
              <a:noFill/>
              <a:ln>
                <a:noFill/>
              </a:ln>
              <a:effectLst/>
            </c:spPr>
            <c:txPr>
              <a:bodyPr/>
              <a:lstStyle/>
              <a:p>
                <a:pPr>
                  <a:defRPr lang="en-US" b="1"/>
                </a:pPr>
                <a:endParaRPr lang="en-US"/>
              </a:p>
            </c:txPr>
            <c:showVal val="1"/>
            <c:extLst>
              <c:ext xmlns:c15="http://schemas.microsoft.com/office/drawing/2012/chart" uri="{CE6537A1-D6FC-4f65-9D91-7224C49458BB}">
                <c15:showLeaderLines val="0"/>
              </c:ext>
            </c:extLst>
          </c:dLbls>
          <c:cat>
            <c:multiLvlStrRef>
              <c:f>NSA_Bangla_BAND!$K$5:$L$8</c:f>
              <c:multiLvlStrCache>
                <c:ptCount val="4"/>
                <c:lvl>
                  <c:pt idx="0">
                    <c:v>Yr 2011</c:v>
                  </c:pt>
                  <c:pt idx="1">
                    <c:v>Yr 2013</c:v>
                  </c:pt>
                  <c:pt idx="2">
                    <c:v>Yr 2011</c:v>
                  </c:pt>
                  <c:pt idx="3">
                    <c:v>Yr 2013</c:v>
                  </c:pt>
                </c:lvl>
                <c:lvl>
                  <c:pt idx="0">
                    <c:v>Grade 3</c:v>
                  </c:pt>
                  <c:pt idx="2">
                    <c:v>Grade 5</c:v>
                  </c:pt>
                </c:lvl>
              </c:multiLvlStrCache>
            </c:multiLvlStrRef>
          </c:cat>
          <c:val>
            <c:numRef>
              <c:f>NSA_Bangla_BAND!$O$5:$O$8</c:f>
              <c:numCache>
                <c:formatCode>###0%</c:formatCode>
                <c:ptCount val="4"/>
                <c:pt idx="0" formatCode="0%">
                  <c:v>0.46700000000000008</c:v>
                </c:pt>
                <c:pt idx="1">
                  <c:v>0.40019240019240032</c:v>
                </c:pt>
                <c:pt idx="2" formatCode="0%">
                  <c:v>0.16900000000000023</c:v>
                </c:pt>
                <c:pt idx="3" formatCode="####%">
                  <c:v>0.19581557101189154</c:v>
                </c:pt>
              </c:numCache>
            </c:numRef>
          </c:val>
        </c:ser>
        <c:ser>
          <c:idx val="3"/>
          <c:order val="3"/>
          <c:tx>
            <c:strRef>
              <c:f>NSA_Bangla_BAND!$P$4</c:f>
              <c:strCache>
                <c:ptCount val="1"/>
                <c:pt idx="0">
                  <c:v>Band 4</c:v>
                </c:pt>
              </c:strCache>
            </c:strRef>
          </c:tx>
          <c:dLbls>
            <c:spPr>
              <a:noFill/>
              <a:ln>
                <a:noFill/>
              </a:ln>
              <a:effectLst/>
            </c:spPr>
            <c:txPr>
              <a:bodyPr/>
              <a:lstStyle/>
              <a:p>
                <a:pPr>
                  <a:defRPr lang="en-US" b="1"/>
                </a:pPr>
                <a:endParaRPr lang="en-US"/>
              </a:p>
            </c:txPr>
            <c:showVal val="1"/>
            <c:extLst>
              <c:ext xmlns:c15="http://schemas.microsoft.com/office/drawing/2012/chart" uri="{CE6537A1-D6FC-4f65-9D91-7224C49458BB}">
                <c15:showLeaderLines val="0"/>
              </c:ext>
            </c:extLst>
          </c:dLbls>
          <c:cat>
            <c:multiLvlStrRef>
              <c:f>NSA_Bangla_BAND!$K$5:$L$8</c:f>
              <c:multiLvlStrCache>
                <c:ptCount val="4"/>
                <c:lvl>
                  <c:pt idx="0">
                    <c:v>Yr 2011</c:v>
                  </c:pt>
                  <c:pt idx="1">
                    <c:v>Yr 2013</c:v>
                  </c:pt>
                  <c:pt idx="2">
                    <c:v>Yr 2011</c:v>
                  </c:pt>
                  <c:pt idx="3">
                    <c:v>Yr 2013</c:v>
                  </c:pt>
                </c:lvl>
                <c:lvl>
                  <c:pt idx="0">
                    <c:v>Grade 3</c:v>
                  </c:pt>
                  <c:pt idx="2">
                    <c:v>Grade 5</c:v>
                  </c:pt>
                </c:lvl>
              </c:multiLvlStrCache>
            </c:multiLvlStrRef>
          </c:cat>
          <c:val>
            <c:numRef>
              <c:f>NSA_Bangla_BAND!$P$5:$P$8</c:f>
              <c:numCache>
                <c:formatCode>###0%</c:formatCode>
                <c:ptCount val="4"/>
                <c:pt idx="0" formatCode="0%">
                  <c:v>0.1980000000000002</c:v>
                </c:pt>
                <c:pt idx="1">
                  <c:v>0.27054090690457488</c:v>
                </c:pt>
                <c:pt idx="2" formatCode="0%">
                  <c:v>0.56799999999999995</c:v>
                </c:pt>
                <c:pt idx="3" formatCode="####%">
                  <c:v>0.52092214494054256</c:v>
                </c:pt>
              </c:numCache>
            </c:numRef>
          </c:val>
        </c:ser>
        <c:ser>
          <c:idx val="4"/>
          <c:order val="4"/>
          <c:tx>
            <c:strRef>
              <c:f>NSA_Bangla_BAND!$Q$4</c:f>
              <c:strCache>
                <c:ptCount val="1"/>
                <c:pt idx="0">
                  <c:v>Band 5</c:v>
                </c:pt>
              </c:strCache>
            </c:strRef>
          </c:tx>
          <c:dLbls>
            <c:spPr>
              <a:noFill/>
              <a:ln>
                <a:noFill/>
              </a:ln>
              <a:effectLst/>
            </c:spPr>
            <c:txPr>
              <a:bodyPr/>
              <a:lstStyle/>
              <a:p>
                <a:pPr>
                  <a:defRPr lang="en-US" b="1"/>
                </a:pPr>
                <a:endParaRPr lang="en-US"/>
              </a:p>
            </c:txPr>
            <c:showVal val="1"/>
            <c:extLst>
              <c:ext xmlns:c15="http://schemas.microsoft.com/office/drawing/2012/chart" uri="{CE6537A1-D6FC-4f65-9D91-7224C49458BB}">
                <c15:showLeaderLines val="0"/>
              </c:ext>
            </c:extLst>
          </c:dLbls>
          <c:cat>
            <c:multiLvlStrRef>
              <c:f>NSA_Bangla_BAND!$K$5:$L$8</c:f>
              <c:multiLvlStrCache>
                <c:ptCount val="4"/>
                <c:lvl>
                  <c:pt idx="0">
                    <c:v>Yr 2011</c:v>
                  </c:pt>
                  <c:pt idx="1">
                    <c:v>Yr 2013</c:v>
                  </c:pt>
                  <c:pt idx="2">
                    <c:v>Yr 2011</c:v>
                  </c:pt>
                  <c:pt idx="3">
                    <c:v>Yr 2013</c:v>
                  </c:pt>
                </c:lvl>
                <c:lvl>
                  <c:pt idx="0">
                    <c:v>Grade 3</c:v>
                  </c:pt>
                  <c:pt idx="2">
                    <c:v>Grade 5</c:v>
                  </c:pt>
                </c:lvl>
              </c:multiLvlStrCache>
            </c:multiLvlStrRef>
          </c:cat>
          <c:val>
            <c:numRef>
              <c:f>NSA_Bangla_BAND!$Q$5:$Q$8</c:f>
              <c:numCache>
                <c:formatCode>###0%</c:formatCode>
                <c:ptCount val="4"/>
                <c:pt idx="0" formatCode="0%">
                  <c:v>8.0000000000000227E-3</c:v>
                </c:pt>
                <c:pt idx="1">
                  <c:v>7.669771306134951E-2</c:v>
                </c:pt>
                <c:pt idx="2" formatCode="0%">
                  <c:v>0.251</c:v>
                </c:pt>
                <c:pt idx="3" formatCode="####%">
                  <c:v>0.24680278214048287</c:v>
                </c:pt>
              </c:numCache>
            </c:numRef>
          </c:val>
        </c:ser>
        <c:gapWidth val="69"/>
        <c:overlap val="100"/>
        <c:axId val="134543232"/>
        <c:axId val="134544768"/>
      </c:barChart>
      <c:catAx>
        <c:axId val="134543232"/>
        <c:scaling>
          <c:orientation val="minMax"/>
        </c:scaling>
        <c:axPos val="l"/>
        <c:numFmt formatCode="General" sourceLinked="1"/>
        <c:tickLblPos val="nextTo"/>
        <c:txPr>
          <a:bodyPr/>
          <a:lstStyle/>
          <a:p>
            <a:pPr>
              <a:defRPr lang="en-US" sz="900" b="1"/>
            </a:pPr>
            <a:endParaRPr lang="en-US"/>
          </a:p>
        </c:txPr>
        <c:crossAx val="134544768"/>
        <c:crosses val="autoZero"/>
        <c:auto val="1"/>
        <c:lblAlgn val="ctr"/>
        <c:lblOffset val="100"/>
      </c:catAx>
      <c:valAx>
        <c:axId val="134544768"/>
        <c:scaling>
          <c:orientation val="minMax"/>
        </c:scaling>
        <c:delete val="1"/>
        <c:axPos val="b"/>
        <c:numFmt formatCode="0%" sourceLinked="1"/>
        <c:tickLblPos val="none"/>
        <c:crossAx val="134543232"/>
        <c:crosses val="autoZero"/>
        <c:crossBetween val="between"/>
      </c:valAx>
      <c:spPr>
        <a:noFill/>
        <a:ln w="25400">
          <a:noFill/>
        </a:ln>
      </c:spPr>
    </c:plotArea>
    <c:legend>
      <c:legendPos val="b"/>
      <c:layout>
        <c:manualLayout>
          <c:xMode val="edge"/>
          <c:yMode val="edge"/>
          <c:x val="0.23462121619553122"/>
          <c:y val="0.89379265080064352"/>
          <c:w val="0.53075756760893755"/>
          <c:h val="0.10049809841489588"/>
        </c:manualLayout>
      </c:layout>
      <c:txPr>
        <a:bodyPr/>
        <a:lstStyle/>
        <a:p>
          <a:pPr>
            <a:defRPr lang="en-US"/>
          </a:pPr>
          <a:endParaRPr lang="en-US"/>
        </a:p>
      </c:txPr>
    </c:legend>
    <c:plotVisOnly val="1"/>
    <c:dispBlanksAs val="gap"/>
  </c:chart>
  <c:spPr>
    <a:solidFill>
      <a:schemeClr val="accent3">
        <a:lumMod val="20000"/>
        <a:lumOff val="80000"/>
      </a:schemeClr>
    </a:solidFill>
    <a:ln w="31750" cmpd="dbl">
      <a:solidFill>
        <a:schemeClr val="accent5">
          <a:lumMod val="50000"/>
        </a:schemeClr>
      </a:solidFill>
    </a:ln>
  </c:spPr>
  <c:txPr>
    <a:bodyPr/>
    <a:lstStyle/>
    <a:p>
      <a:pPr>
        <a:defRPr sz="1000">
          <a:latin typeface="+mj-lt"/>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652554-BCCC-487E-8511-8B5FBE170E2E}"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4BA7DD25-565D-4D2E-8160-F8559FE1356A}">
      <dgm:prSet phldrT="[Text]" custT="1"/>
      <dgm:spPr>
        <a:solidFill>
          <a:schemeClr val="accent3">
            <a:lumMod val="75000"/>
          </a:schemeClr>
        </a:solidFill>
      </dgm:spPr>
      <dgm:t>
        <a:bodyPr/>
        <a:lstStyle/>
        <a:p>
          <a:r>
            <a:rPr lang="en-US" sz="900" b="1">
              <a:solidFill>
                <a:sysClr val="windowText" lastClr="000000"/>
              </a:solidFill>
            </a:rPr>
            <a:t>Parents</a:t>
          </a:r>
        </a:p>
      </dgm:t>
    </dgm:pt>
    <dgm:pt modelId="{DF20D432-E9F4-4073-847B-09A1C5A700BE}" type="parTrans" cxnId="{A781B930-6B4F-4090-A3DD-436AF97BF582}">
      <dgm:prSet/>
      <dgm:spPr/>
      <dgm:t>
        <a:bodyPr/>
        <a:lstStyle/>
        <a:p>
          <a:endParaRPr lang="en-US"/>
        </a:p>
      </dgm:t>
    </dgm:pt>
    <dgm:pt modelId="{1473FC52-70CB-4909-88C4-C7EF59E5959F}" type="sibTrans" cxnId="{A781B930-6B4F-4090-A3DD-436AF97BF582}">
      <dgm:prSet/>
      <dgm:spPr/>
      <dgm:t>
        <a:bodyPr/>
        <a:lstStyle/>
        <a:p>
          <a:endParaRPr lang="en-US"/>
        </a:p>
      </dgm:t>
    </dgm:pt>
    <dgm:pt modelId="{BE5C4BBC-43AB-424F-BC63-3564D190056F}">
      <dgm:prSet phldrT="[Text]" custT="1"/>
      <dgm:spPr>
        <a:solidFill>
          <a:schemeClr val="accent2">
            <a:lumMod val="75000"/>
          </a:schemeClr>
        </a:solidFill>
      </dgm:spPr>
      <dgm:t>
        <a:bodyPr/>
        <a:lstStyle/>
        <a:p>
          <a:r>
            <a:rPr lang="en-US" sz="900" b="1">
              <a:solidFill>
                <a:schemeClr val="bg1"/>
              </a:solidFill>
            </a:rPr>
            <a:t>Teachers</a:t>
          </a:r>
        </a:p>
      </dgm:t>
    </dgm:pt>
    <dgm:pt modelId="{310DF8F9-65EB-4036-BA05-0E3D6FB91660}" type="parTrans" cxnId="{93FE177A-8712-4B12-83F9-77BF0EB53500}">
      <dgm:prSet/>
      <dgm:spPr/>
      <dgm:t>
        <a:bodyPr/>
        <a:lstStyle/>
        <a:p>
          <a:endParaRPr lang="en-US"/>
        </a:p>
      </dgm:t>
    </dgm:pt>
    <dgm:pt modelId="{CB829F1E-A7D9-4E1E-B2AF-CB7567399A37}" type="sibTrans" cxnId="{93FE177A-8712-4B12-83F9-77BF0EB53500}">
      <dgm:prSet/>
      <dgm:spPr/>
      <dgm:t>
        <a:bodyPr/>
        <a:lstStyle/>
        <a:p>
          <a:endParaRPr lang="en-US"/>
        </a:p>
      </dgm:t>
    </dgm:pt>
    <dgm:pt modelId="{D8BA6D33-C3B7-465D-8BDA-3FD15FCC9223}">
      <dgm:prSet phldrT="[Text]" custT="1"/>
      <dgm:spPr>
        <a:solidFill>
          <a:schemeClr val="tx2">
            <a:lumMod val="40000"/>
            <a:lumOff val="60000"/>
          </a:schemeClr>
        </a:solidFill>
      </dgm:spPr>
      <dgm:t>
        <a:bodyPr/>
        <a:lstStyle/>
        <a:p>
          <a:r>
            <a:rPr lang="en-US" sz="800" b="1">
              <a:solidFill>
                <a:sysClr val="windowText" lastClr="000000"/>
              </a:solidFill>
            </a:rPr>
            <a:t>Students</a:t>
          </a:r>
        </a:p>
      </dgm:t>
    </dgm:pt>
    <dgm:pt modelId="{5ACC664C-E3DC-4180-AE32-BD89ECB728E2}" type="parTrans" cxnId="{A426214F-07D5-4C19-9985-2B6C41080AD6}">
      <dgm:prSet/>
      <dgm:spPr/>
      <dgm:t>
        <a:bodyPr/>
        <a:lstStyle/>
        <a:p>
          <a:endParaRPr lang="en-US"/>
        </a:p>
      </dgm:t>
    </dgm:pt>
    <dgm:pt modelId="{3C326DA7-0919-4EE0-9AFE-29BB4DED1EAD}" type="sibTrans" cxnId="{A426214F-07D5-4C19-9985-2B6C41080AD6}">
      <dgm:prSet/>
      <dgm:spPr/>
      <dgm:t>
        <a:bodyPr/>
        <a:lstStyle/>
        <a:p>
          <a:endParaRPr lang="en-US"/>
        </a:p>
      </dgm:t>
    </dgm:pt>
    <dgm:pt modelId="{38D2FA7E-2CBF-4FE2-8025-786D83B08025}">
      <dgm:prSet phldrT="[Text]" custT="1"/>
      <dgm:spPr>
        <a:solidFill>
          <a:schemeClr val="bg2">
            <a:lumMod val="50000"/>
          </a:schemeClr>
        </a:solidFill>
      </dgm:spPr>
      <dgm:t>
        <a:bodyPr/>
        <a:lstStyle/>
        <a:p>
          <a:r>
            <a:rPr lang="en-US" sz="800" b="1">
              <a:solidFill>
                <a:sysClr val="windowText" lastClr="000000"/>
              </a:solidFill>
            </a:rPr>
            <a:t>School</a:t>
          </a:r>
        </a:p>
      </dgm:t>
    </dgm:pt>
    <dgm:pt modelId="{0996DAB3-5377-400F-BE38-6080F3324604}" type="parTrans" cxnId="{33E5C798-01E3-4D58-AFF4-BA07194C1A22}">
      <dgm:prSet/>
      <dgm:spPr/>
      <dgm:t>
        <a:bodyPr/>
        <a:lstStyle/>
        <a:p>
          <a:endParaRPr lang="en-US"/>
        </a:p>
      </dgm:t>
    </dgm:pt>
    <dgm:pt modelId="{80485AD5-AF34-49B0-8CDE-B8E89137CABB}" type="sibTrans" cxnId="{33E5C798-01E3-4D58-AFF4-BA07194C1A22}">
      <dgm:prSet/>
      <dgm:spPr/>
      <dgm:t>
        <a:bodyPr/>
        <a:lstStyle/>
        <a:p>
          <a:endParaRPr lang="en-US"/>
        </a:p>
      </dgm:t>
    </dgm:pt>
    <dgm:pt modelId="{D290E8E6-2CFC-481C-94B3-683F8DF16776}">
      <dgm:prSet custT="1"/>
      <dgm:spPr/>
      <dgm:t>
        <a:bodyPr/>
        <a:lstStyle/>
        <a:p>
          <a:r>
            <a:rPr lang="en-US" sz="900" b="1">
              <a:solidFill>
                <a:sysClr val="windowText" lastClr="000000"/>
              </a:solidFill>
            </a:rPr>
            <a:t>Local Community and SMC</a:t>
          </a:r>
        </a:p>
      </dgm:t>
    </dgm:pt>
    <dgm:pt modelId="{0B3D7E47-190C-437F-BEBF-A41E56ED22FC}" type="parTrans" cxnId="{74E02CF0-1B5C-4C1A-8201-90EE051174BB}">
      <dgm:prSet/>
      <dgm:spPr/>
      <dgm:t>
        <a:bodyPr/>
        <a:lstStyle/>
        <a:p>
          <a:endParaRPr lang="en-US"/>
        </a:p>
      </dgm:t>
    </dgm:pt>
    <dgm:pt modelId="{F8A2E3B9-E6CD-4400-A3D9-CD5BA0485E2C}" type="sibTrans" cxnId="{74E02CF0-1B5C-4C1A-8201-90EE051174BB}">
      <dgm:prSet/>
      <dgm:spPr/>
      <dgm:t>
        <a:bodyPr/>
        <a:lstStyle/>
        <a:p>
          <a:endParaRPr lang="en-US"/>
        </a:p>
      </dgm:t>
    </dgm:pt>
    <dgm:pt modelId="{0EA3149C-70A0-4894-AE55-D45548DDC387}">
      <dgm:prSet custT="1"/>
      <dgm:spPr>
        <a:solidFill>
          <a:schemeClr val="accent5">
            <a:lumMod val="60000"/>
            <a:lumOff val="40000"/>
          </a:schemeClr>
        </a:solidFill>
      </dgm:spPr>
      <dgm:t>
        <a:bodyPr/>
        <a:lstStyle/>
        <a:p>
          <a:r>
            <a:rPr lang="en-US" sz="1000" b="1">
              <a:solidFill>
                <a:sysClr val="windowText" lastClr="000000"/>
              </a:solidFill>
            </a:rPr>
            <a:t>Upazila: Local Education Office</a:t>
          </a:r>
        </a:p>
      </dgm:t>
    </dgm:pt>
    <dgm:pt modelId="{5C9DF2E3-C401-441E-9C8A-1A81881E3F6B}" type="parTrans" cxnId="{1B28FE65-FFDB-4894-885F-EE483E656FDD}">
      <dgm:prSet/>
      <dgm:spPr/>
      <dgm:t>
        <a:bodyPr/>
        <a:lstStyle/>
        <a:p>
          <a:endParaRPr lang="en-US"/>
        </a:p>
      </dgm:t>
    </dgm:pt>
    <dgm:pt modelId="{3BC8BF72-F6CD-4331-9BD5-4249F5507EF8}" type="sibTrans" cxnId="{1B28FE65-FFDB-4894-885F-EE483E656FDD}">
      <dgm:prSet/>
      <dgm:spPr/>
      <dgm:t>
        <a:bodyPr/>
        <a:lstStyle/>
        <a:p>
          <a:endParaRPr lang="en-US"/>
        </a:p>
      </dgm:t>
    </dgm:pt>
    <dgm:pt modelId="{4071B269-6D76-4280-8112-DEC0C8FB2885}">
      <dgm:prSet custT="1"/>
      <dgm:spPr>
        <a:solidFill>
          <a:schemeClr val="accent6">
            <a:lumMod val="60000"/>
            <a:lumOff val="40000"/>
          </a:schemeClr>
        </a:solidFill>
      </dgm:spPr>
      <dgm:t>
        <a:bodyPr/>
        <a:lstStyle/>
        <a:p>
          <a:r>
            <a:rPr lang="en-US" sz="1000" b="1">
              <a:solidFill>
                <a:sysClr val="windowText" lastClr="000000"/>
              </a:solidFill>
            </a:rPr>
            <a:t>District: Ed. Authority </a:t>
          </a:r>
        </a:p>
      </dgm:t>
    </dgm:pt>
    <dgm:pt modelId="{7648421D-39D0-4071-A5EC-B60F9B1859DB}" type="parTrans" cxnId="{1FF855E9-D1A6-4A60-B799-767234C90691}">
      <dgm:prSet/>
      <dgm:spPr/>
      <dgm:t>
        <a:bodyPr/>
        <a:lstStyle/>
        <a:p>
          <a:endParaRPr lang="en-US"/>
        </a:p>
      </dgm:t>
    </dgm:pt>
    <dgm:pt modelId="{E25E2FF8-1472-42A4-9E6E-C668AEC774F0}" type="sibTrans" cxnId="{1FF855E9-D1A6-4A60-B799-767234C90691}">
      <dgm:prSet/>
      <dgm:spPr/>
      <dgm:t>
        <a:bodyPr/>
        <a:lstStyle/>
        <a:p>
          <a:endParaRPr lang="en-US"/>
        </a:p>
      </dgm:t>
    </dgm:pt>
    <dgm:pt modelId="{E7EDA32F-FE48-46CC-A958-71813476C89D}" type="pres">
      <dgm:prSet presAssocID="{DE652554-BCCC-487E-8511-8B5FBE170E2E}" presName="Name0" presStyleCnt="0">
        <dgm:presLayoutVars>
          <dgm:chMax val="7"/>
          <dgm:resizeHandles val="exact"/>
        </dgm:presLayoutVars>
      </dgm:prSet>
      <dgm:spPr/>
      <dgm:t>
        <a:bodyPr/>
        <a:lstStyle/>
        <a:p>
          <a:endParaRPr lang="en-US"/>
        </a:p>
      </dgm:t>
    </dgm:pt>
    <dgm:pt modelId="{94CEA148-84D2-40C4-A332-CDF5DDE5B6ED}" type="pres">
      <dgm:prSet presAssocID="{DE652554-BCCC-487E-8511-8B5FBE170E2E}" presName="comp1" presStyleCnt="0"/>
      <dgm:spPr/>
    </dgm:pt>
    <dgm:pt modelId="{073E947C-66AE-4399-BCEF-2CC62647739D}" type="pres">
      <dgm:prSet presAssocID="{DE652554-BCCC-487E-8511-8B5FBE170E2E}" presName="circle1" presStyleLbl="node1" presStyleIdx="0" presStyleCnt="7" custScaleX="95170"/>
      <dgm:spPr/>
      <dgm:t>
        <a:bodyPr/>
        <a:lstStyle/>
        <a:p>
          <a:endParaRPr lang="en-US"/>
        </a:p>
      </dgm:t>
    </dgm:pt>
    <dgm:pt modelId="{6901A40D-3029-4305-BA12-337C7373BDBD}" type="pres">
      <dgm:prSet presAssocID="{DE652554-BCCC-487E-8511-8B5FBE170E2E}" presName="c1text" presStyleLbl="node1" presStyleIdx="0" presStyleCnt="7">
        <dgm:presLayoutVars>
          <dgm:bulletEnabled val="1"/>
        </dgm:presLayoutVars>
      </dgm:prSet>
      <dgm:spPr/>
      <dgm:t>
        <a:bodyPr/>
        <a:lstStyle/>
        <a:p>
          <a:endParaRPr lang="en-US"/>
        </a:p>
      </dgm:t>
    </dgm:pt>
    <dgm:pt modelId="{EB4104CB-CDFC-44DC-8EB2-10B8F16D3BF5}" type="pres">
      <dgm:prSet presAssocID="{DE652554-BCCC-487E-8511-8B5FBE170E2E}" presName="comp2" presStyleCnt="0"/>
      <dgm:spPr/>
    </dgm:pt>
    <dgm:pt modelId="{0AE797B8-B265-4971-BFF4-838594BD5313}" type="pres">
      <dgm:prSet presAssocID="{DE652554-BCCC-487E-8511-8B5FBE170E2E}" presName="circle2" presStyleLbl="node1" presStyleIdx="1" presStyleCnt="7"/>
      <dgm:spPr/>
      <dgm:t>
        <a:bodyPr/>
        <a:lstStyle/>
        <a:p>
          <a:endParaRPr lang="en-US"/>
        </a:p>
      </dgm:t>
    </dgm:pt>
    <dgm:pt modelId="{C421B241-BB91-4E81-AA5D-A1DACB8EECD6}" type="pres">
      <dgm:prSet presAssocID="{DE652554-BCCC-487E-8511-8B5FBE170E2E}" presName="c2text" presStyleLbl="node1" presStyleIdx="1" presStyleCnt="7">
        <dgm:presLayoutVars>
          <dgm:bulletEnabled val="1"/>
        </dgm:presLayoutVars>
      </dgm:prSet>
      <dgm:spPr/>
      <dgm:t>
        <a:bodyPr/>
        <a:lstStyle/>
        <a:p>
          <a:endParaRPr lang="en-US"/>
        </a:p>
      </dgm:t>
    </dgm:pt>
    <dgm:pt modelId="{57C1292E-665D-4683-A222-B2A092159724}" type="pres">
      <dgm:prSet presAssocID="{DE652554-BCCC-487E-8511-8B5FBE170E2E}" presName="comp3" presStyleCnt="0"/>
      <dgm:spPr/>
    </dgm:pt>
    <dgm:pt modelId="{5A90FEE3-DD1C-4554-B58E-7F5E10936594}" type="pres">
      <dgm:prSet presAssocID="{DE652554-BCCC-487E-8511-8B5FBE170E2E}" presName="circle3" presStyleLbl="node1" presStyleIdx="2" presStyleCnt="7" custScaleX="98341" custScaleY="103666"/>
      <dgm:spPr/>
      <dgm:t>
        <a:bodyPr/>
        <a:lstStyle/>
        <a:p>
          <a:endParaRPr lang="en-US"/>
        </a:p>
      </dgm:t>
    </dgm:pt>
    <dgm:pt modelId="{5EDDF574-D83F-408E-8E2A-D7F251283A1E}" type="pres">
      <dgm:prSet presAssocID="{DE652554-BCCC-487E-8511-8B5FBE170E2E}" presName="c3text" presStyleLbl="node1" presStyleIdx="2" presStyleCnt="7">
        <dgm:presLayoutVars>
          <dgm:bulletEnabled val="1"/>
        </dgm:presLayoutVars>
      </dgm:prSet>
      <dgm:spPr/>
      <dgm:t>
        <a:bodyPr/>
        <a:lstStyle/>
        <a:p>
          <a:endParaRPr lang="en-US"/>
        </a:p>
      </dgm:t>
    </dgm:pt>
    <dgm:pt modelId="{6CC07FE3-3352-4426-974D-9898F34899DC}" type="pres">
      <dgm:prSet presAssocID="{DE652554-BCCC-487E-8511-8B5FBE170E2E}" presName="comp4" presStyleCnt="0"/>
      <dgm:spPr/>
    </dgm:pt>
    <dgm:pt modelId="{D6F4813B-B3E9-49C0-A61B-980E36B6B17D}" type="pres">
      <dgm:prSet presAssocID="{DE652554-BCCC-487E-8511-8B5FBE170E2E}" presName="circle4" presStyleLbl="node1" presStyleIdx="3" presStyleCnt="7"/>
      <dgm:spPr/>
      <dgm:t>
        <a:bodyPr/>
        <a:lstStyle/>
        <a:p>
          <a:endParaRPr lang="en-US"/>
        </a:p>
      </dgm:t>
    </dgm:pt>
    <dgm:pt modelId="{541BF72A-45AA-4A63-B591-5EE7139B3A0A}" type="pres">
      <dgm:prSet presAssocID="{DE652554-BCCC-487E-8511-8B5FBE170E2E}" presName="c4text" presStyleLbl="node1" presStyleIdx="3" presStyleCnt="7">
        <dgm:presLayoutVars>
          <dgm:bulletEnabled val="1"/>
        </dgm:presLayoutVars>
      </dgm:prSet>
      <dgm:spPr/>
      <dgm:t>
        <a:bodyPr/>
        <a:lstStyle/>
        <a:p>
          <a:endParaRPr lang="en-US"/>
        </a:p>
      </dgm:t>
    </dgm:pt>
    <dgm:pt modelId="{B2E9B163-5AE5-4569-AF12-8253D9050D91}" type="pres">
      <dgm:prSet presAssocID="{DE652554-BCCC-487E-8511-8B5FBE170E2E}" presName="comp5" presStyleCnt="0"/>
      <dgm:spPr/>
    </dgm:pt>
    <dgm:pt modelId="{4C0EACD8-F4E7-469A-91E2-1C5DB13E719F}" type="pres">
      <dgm:prSet presAssocID="{DE652554-BCCC-487E-8511-8B5FBE170E2E}" presName="circle5" presStyleLbl="node1" presStyleIdx="4" presStyleCnt="7"/>
      <dgm:spPr/>
      <dgm:t>
        <a:bodyPr/>
        <a:lstStyle/>
        <a:p>
          <a:endParaRPr lang="en-US"/>
        </a:p>
      </dgm:t>
    </dgm:pt>
    <dgm:pt modelId="{5F14D0E2-6677-434F-9D03-3446F0D25451}" type="pres">
      <dgm:prSet presAssocID="{DE652554-BCCC-487E-8511-8B5FBE170E2E}" presName="c5text" presStyleLbl="node1" presStyleIdx="4" presStyleCnt="7">
        <dgm:presLayoutVars>
          <dgm:bulletEnabled val="1"/>
        </dgm:presLayoutVars>
      </dgm:prSet>
      <dgm:spPr/>
      <dgm:t>
        <a:bodyPr/>
        <a:lstStyle/>
        <a:p>
          <a:endParaRPr lang="en-US"/>
        </a:p>
      </dgm:t>
    </dgm:pt>
    <dgm:pt modelId="{A470938A-271C-413E-B91C-ECED07D7A176}" type="pres">
      <dgm:prSet presAssocID="{DE652554-BCCC-487E-8511-8B5FBE170E2E}" presName="comp6" presStyleCnt="0"/>
      <dgm:spPr/>
    </dgm:pt>
    <dgm:pt modelId="{414009EE-C684-4291-8725-5303B424B492}" type="pres">
      <dgm:prSet presAssocID="{DE652554-BCCC-487E-8511-8B5FBE170E2E}" presName="circle6" presStyleLbl="node1" presStyleIdx="5" presStyleCnt="7" custScaleX="110955"/>
      <dgm:spPr/>
      <dgm:t>
        <a:bodyPr/>
        <a:lstStyle/>
        <a:p>
          <a:endParaRPr lang="en-US"/>
        </a:p>
      </dgm:t>
    </dgm:pt>
    <dgm:pt modelId="{2334B924-C88B-47B0-AC2C-BDEBEFF4DCFB}" type="pres">
      <dgm:prSet presAssocID="{DE652554-BCCC-487E-8511-8B5FBE170E2E}" presName="c6text" presStyleLbl="node1" presStyleIdx="5" presStyleCnt="7">
        <dgm:presLayoutVars>
          <dgm:bulletEnabled val="1"/>
        </dgm:presLayoutVars>
      </dgm:prSet>
      <dgm:spPr/>
      <dgm:t>
        <a:bodyPr/>
        <a:lstStyle/>
        <a:p>
          <a:endParaRPr lang="en-US"/>
        </a:p>
      </dgm:t>
    </dgm:pt>
    <dgm:pt modelId="{AA505289-E0EF-40A5-B355-3D548873FCB7}" type="pres">
      <dgm:prSet presAssocID="{DE652554-BCCC-487E-8511-8B5FBE170E2E}" presName="comp7" presStyleCnt="0"/>
      <dgm:spPr/>
    </dgm:pt>
    <dgm:pt modelId="{98B8FC41-5AEA-4465-8EC6-E6093592DF8E}" type="pres">
      <dgm:prSet presAssocID="{DE652554-BCCC-487E-8511-8B5FBE170E2E}" presName="circle7" presStyleLbl="node1" presStyleIdx="6" presStyleCnt="7" custScaleX="154215"/>
      <dgm:spPr/>
      <dgm:t>
        <a:bodyPr/>
        <a:lstStyle/>
        <a:p>
          <a:endParaRPr lang="en-US"/>
        </a:p>
      </dgm:t>
    </dgm:pt>
    <dgm:pt modelId="{1D21097A-DEBE-41C4-AFC7-AB16432B7E9C}" type="pres">
      <dgm:prSet presAssocID="{DE652554-BCCC-487E-8511-8B5FBE170E2E}" presName="c7text" presStyleLbl="node1" presStyleIdx="6" presStyleCnt="7">
        <dgm:presLayoutVars>
          <dgm:bulletEnabled val="1"/>
        </dgm:presLayoutVars>
      </dgm:prSet>
      <dgm:spPr/>
      <dgm:t>
        <a:bodyPr/>
        <a:lstStyle/>
        <a:p>
          <a:endParaRPr lang="en-US"/>
        </a:p>
      </dgm:t>
    </dgm:pt>
  </dgm:ptLst>
  <dgm:cxnLst>
    <dgm:cxn modelId="{39971E81-168D-4B7B-BAD8-CAD296AE93DC}" type="presOf" srcId="{D8BA6D33-C3B7-465D-8BDA-3FD15FCC9223}" destId="{2334B924-C88B-47B0-AC2C-BDEBEFF4DCFB}" srcOrd="1" destOrd="0" presId="urn:microsoft.com/office/officeart/2005/8/layout/venn2"/>
    <dgm:cxn modelId="{399B1193-A060-4265-8494-0909526A75A4}" type="presOf" srcId="{BE5C4BBC-43AB-424F-BC63-3564D190056F}" destId="{4C0EACD8-F4E7-469A-91E2-1C5DB13E719F}" srcOrd="0" destOrd="0" presId="urn:microsoft.com/office/officeart/2005/8/layout/venn2"/>
    <dgm:cxn modelId="{35AF062C-C4C5-47B7-BFA7-03F779176281}" type="presOf" srcId="{D8BA6D33-C3B7-465D-8BDA-3FD15FCC9223}" destId="{414009EE-C684-4291-8725-5303B424B492}" srcOrd="0" destOrd="0" presId="urn:microsoft.com/office/officeart/2005/8/layout/venn2"/>
    <dgm:cxn modelId="{F0C2BFBF-A349-48EE-A0F3-0EAE58EF4B9F}" type="presOf" srcId="{D290E8E6-2CFC-481C-94B3-683F8DF16776}" destId="{5A90FEE3-DD1C-4554-B58E-7F5E10936594}" srcOrd="0" destOrd="0" presId="urn:microsoft.com/office/officeart/2005/8/layout/venn2"/>
    <dgm:cxn modelId="{A781B930-6B4F-4090-A3DD-436AF97BF582}" srcId="{DE652554-BCCC-487E-8511-8B5FBE170E2E}" destId="{4BA7DD25-565D-4D2E-8160-F8559FE1356A}" srcOrd="3" destOrd="0" parTransId="{DF20D432-E9F4-4073-847B-09A1C5A700BE}" sibTransId="{1473FC52-70CB-4909-88C4-C7EF59E5959F}"/>
    <dgm:cxn modelId="{F62302D9-6753-490A-B5D3-20BBD3824E40}" type="presOf" srcId="{4071B269-6D76-4280-8112-DEC0C8FB2885}" destId="{073E947C-66AE-4399-BCEF-2CC62647739D}" srcOrd="0" destOrd="0" presId="urn:microsoft.com/office/officeart/2005/8/layout/venn2"/>
    <dgm:cxn modelId="{74E02CF0-1B5C-4C1A-8201-90EE051174BB}" srcId="{DE652554-BCCC-487E-8511-8B5FBE170E2E}" destId="{D290E8E6-2CFC-481C-94B3-683F8DF16776}" srcOrd="2" destOrd="0" parTransId="{0B3D7E47-190C-437F-BEBF-A41E56ED22FC}" sibTransId="{F8A2E3B9-E6CD-4400-A3D9-CD5BA0485E2C}"/>
    <dgm:cxn modelId="{9362E059-D1F3-4EF7-A4E5-78EEE15174C0}" type="presOf" srcId="{4BA7DD25-565D-4D2E-8160-F8559FE1356A}" destId="{541BF72A-45AA-4A63-B591-5EE7139B3A0A}" srcOrd="1" destOrd="0" presId="urn:microsoft.com/office/officeart/2005/8/layout/venn2"/>
    <dgm:cxn modelId="{5672EB0E-3F6B-4487-A2E5-E275F3F82A9A}" type="presOf" srcId="{4BA7DD25-565D-4D2E-8160-F8559FE1356A}" destId="{D6F4813B-B3E9-49C0-A61B-980E36B6B17D}" srcOrd="0" destOrd="0" presId="urn:microsoft.com/office/officeart/2005/8/layout/venn2"/>
    <dgm:cxn modelId="{05B4C586-1625-4D57-870D-CC3D49EC5DE8}" type="presOf" srcId="{D290E8E6-2CFC-481C-94B3-683F8DF16776}" destId="{5EDDF574-D83F-408E-8E2A-D7F251283A1E}" srcOrd="1" destOrd="0" presId="urn:microsoft.com/office/officeart/2005/8/layout/venn2"/>
    <dgm:cxn modelId="{0FF6800D-EFFD-4B76-9AB6-7EB20F07763A}" type="presOf" srcId="{4071B269-6D76-4280-8112-DEC0C8FB2885}" destId="{6901A40D-3029-4305-BA12-337C7373BDBD}" srcOrd="1" destOrd="0" presId="urn:microsoft.com/office/officeart/2005/8/layout/venn2"/>
    <dgm:cxn modelId="{521E6B57-4002-43A9-9391-C7881CC1A03D}" type="presOf" srcId="{0EA3149C-70A0-4894-AE55-D45548DDC387}" destId="{0AE797B8-B265-4971-BFF4-838594BD5313}" srcOrd="0" destOrd="0" presId="urn:microsoft.com/office/officeart/2005/8/layout/venn2"/>
    <dgm:cxn modelId="{1FF855E9-D1A6-4A60-B799-767234C90691}" srcId="{DE652554-BCCC-487E-8511-8B5FBE170E2E}" destId="{4071B269-6D76-4280-8112-DEC0C8FB2885}" srcOrd="0" destOrd="0" parTransId="{7648421D-39D0-4071-A5EC-B60F9B1859DB}" sibTransId="{E25E2FF8-1472-42A4-9E6E-C668AEC774F0}"/>
    <dgm:cxn modelId="{93FE177A-8712-4B12-83F9-77BF0EB53500}" srcId="{DE652554-BCCC-487E-8511-8B5FBE170E2E}" destId="{BE5C4BBC-43AB-424F-BC63-3564D190056F}" srcOrd="4" destOrd="0" parTransId="{310DF8F9-65EB-4036-BA05-0E3D6FB91660}" sibTransId="{CB829F1E-A7D9-4E1E-B2AF-CB7567399A37}"/>
    <dgm:cxn modelId="{1B28FE65-FFDB-4894-885F-EE483E656FDD}" srcId="{DE652554-BCCC-487E-8511-8B5FBE170E2E}" destId="{0EA3149C-70A0-4894-AE55-D45548DDC387}" srcOrd="1" destOrd="0" parTransId="{5C9DF2E3-C401-441E-9C8A-1A81881E3F6B}" sibTransId="{3BC8BF72-F6CD-4331-9BD5-4249F5507EF8}"/>
    <dgm:cxn modelId="{A426214F-07D5-4C19-9985-2B6C41080AD6}" srcId="{DE652554-BCCC-487E-8511-8B5FBE170E2E}" destId="{D8BA6D33-C3B7-465D-8BDA-3FD15FCC9223}" srcOrd="5" destOrd="0" parTransId="{5ACC664C-E3DC-4180-AE32-BD89ECB728E2}" sibTransId="{3C326DA7-0919-4EE0-9AFE-29BB4DED1EAD}"/>
    <dgm:cxn modelId="{1D500715-C6EB-44EA-9562-346FD8657435}" type="presOf" srcId="{38D2FA7E-2CBF-4FE2-8025-786D83B08025}" destId="{1D21097A-DEBE-41C4-AFC7-AB16432B7E9C}" srcOrd="1" destOrd="0" presId="urn:microsoft.com/office/officeart/2005/8/layout/venn2"/>
    <dgm:cxn modelId="{FAC2555A-EFDC-48AB-9E09-CF254114FE15}" type="presOf" srcId="{38D2FA7E-2CBF-4FE2-8025-786D83B08025}" destId="{98B8FC41-5AEA-4465-8EC6-E6093592DF8E}" srcOrd="0" destOrd="0" presId="urn:microsoft.com/office/officeart/2005/8/layout/venn2"/>
    <dgm:cxn modelId="{33E5C798-01E3-4D58-AFF4-BA07194C1A22}" srcId="{DE652554-BCCC-487E-8511-8B5FBE170E2E}" destId="{38D2FA7E-2CBF-4FE2-8025-786D83B08025}" srcOrd="6" destOrd="0" parTransId="{0996DAB3-5377-400F-BE38-6080F3324604}" sibTransId="{80485AD5-AF34-49B0-8CDE-B8E89137CABB}"/>
    <dgm:cxn modelId="{BBBD12DC-C8FF-41AB-BA43-245DBE4CBF2B}" type="presOf" srcId="{DE652554-BCCC-487E-8511-8B5FBE170E2E}" destId="{E7EDA32F-FE48-46CC-A958-71813476C89D}" srcOrd="0" destOrd="0" presId="urn:microsoft.com/office/officeart/2005/8/layout/venn2"/>
    <dgm:cxn modelId="{F1BAB6E7-292B-4E59-870B-B3FE60AB6A4A}" type="presOf" srcId="{0EA3149C-70A0-4894-AE55-D45548DDC387}" destId="{C421B241-BB91-4E81-AA5D-A1DACB8EECD6}" srcOrd="1" destOrd="0" presId="urn:microsoft.com/office/officeart/2005/8/layout/venn2"/>
    <dgm:cxn modelId="{329B10DC-52B7-4066-ABEF-41DCF20D5C72}" type="presOf" srcId="{BE5C4BBC-43AB-424F-BC63-3564D190056F}" destId="{5F14D0E2-6677-434F-9D03-3446F0D25451}" srcOrd="1" destOrd="0" presId="urn:microsoft.com/office/officeart/2005/8/layout/venn2"/>
    <dgm:cxn modelId="{C5D54DB4-2E7E-4171-954B-4F79D508736A}" type="presParOf" srcId="{E7EDA32F-FE48-46CC-A958-71813476C89D}" destId="{94CEA148-84D2-40C4-A332-CDF5DDE5B6ED}" srcOrd="0" destOrd="0" presId="urn:microsoft.com/office/officeart/2005/8/layout/venn2"/>
    <dgm:cxn modelId="{7109AF7B-9ECB-44D1-BF58-830B91EA131B}" type="presParOf" srcId="{94CEA148-84D2-40C4-A332-CDF5DDE5B6ED}" destId="{073E947C-66AE-4399-BCEF-2CC62647739D}" srcOrd="0" destOrd="0" presId="urn:microsoft.com/office/officeart/2005/8/layout/venn2"/>
    <dgm:cxn modelId="{D2F63EEA-A831-4EDE-999D-2E13A36C6B9D}" type="presParOf" srcId="{94CEA148-84D2-40C4-A332-CDF5DDE5B6ED}" destId="{6901A40D-3029-4305-BA12-337C7373BDBD}" srcOrd="1" destOrd="0" presId="urn:microsoft.com/office/officeart/2005/8/layout/venn2"/>
    <dgm:cxn modelId="{D3ADE284-A169-4D05-BFC6-784673671A0E}" type="presParOf" srcId="{E7EDA32F-FE48-46CC-A958-71813476C89D}" destId="{EB4104CB-CDFC-44DC-8EB2-10B8F16D3BF5}" srcOrd="1" destOrd="0" presId="urn:microsoft.com/office/officeart/2005/8/layout/venn2"/>
    <dgm:cxn modelId="{65AA6D7E-268E-4D17-9DC3-173AA562BC1C}" type="presParOf" srcId="{EB4104CB-CDFC-44DC-8EB2-10B8F16D3BF5}" destId="{0AE797B8-B265-4971-BFF4-838594BD5313}" srcOrd="0" destOrd="0" presId="urn:microsoft.com/office/officeart/2005/8/layout/venn2"/>
    <dgm:cxn modelId="{88E12338-C5EE-4833-ABCF-784B4DAD2C65}" type="presParOf" srcId="{EB4104CB-CDFC-44DC-8EB2-10B8F16D3BF5}" destId="{C421B241-BB91-4E81-AA5D-A1DACB8EECD6}" srcOrd="1" destOrd="0" presId="urn:microsoft.com/office/officeart/2005/8/layout/venn2"/>
    <dgm:cxn modelId="{10BDA6DA-F05E-4DAA-B856-500D8F38A9FB}" type="presParOf" srcId="{E7EDA32F-FE48-46CC-A958-71813476C89D}" destId="{57C1292E-665D-4683-A222-B2A092159724}" srcOrd="2" destOrd="0" presId="urn:microsoft.com/office/officeart/2005/8/layout/venn2"/>
    <dgm:cxn modelId="{CDFB9334-55CC-4908-9E2D-13B4BE4B0EB4}" type="presParOf" srcId="{57C1292E-665D-4683-A222-B2A092159724}" destId="{5A90FEE3-DD1C-4554-B58E-7F5E10936594}" srcOrd="0" destOrd="0" presId="urn:microsoft.com/office/officeart/2005/8/layout/venn2"/>
    <dgm:cxn modelId="{1B0D14B8-B01F-4949-94A7-78CEA7C951EE}" type="presParOf" srcId="{57C1292E-665D-4683-A222-B2A092159724}" destId="{5EDDF574-D83F-408E-8E2A-D7F251283A1E}" srcOrd="1" destOrd="0" presId="urn:microsoft.com/office/officeart/2005/8/layout/venn2"/>
    <dgm:cxn modelId="{7BD947F0-C95A-4C91-B2A3-B9276C72B5A9}" type="presParOf" srcId="{E7EDA32F-FE48-46CC-A958-71813476C89D}" destId="{6CC07FE3-3352-4426-974D-9898F34899DC}" srcOrd="3" destOrd="0" presId="urn:microsoft.com/office/officeart/2005/8/layout/venn2"/>
    <dgm:cxn modelId="{D8662A0E-BDE9-46F7-924C-DD22239F6E68}" type="presParOf" srcId="{6CC07FE3-3352-4426-974D-9898F34899DC}" destId="{D6F4813B-B3E9-49C0-A61B-980E36B6B17D}" srcOrd="0" destOrd="0" presId="urn:microsoft.com/office/officeart/2005/8/layout/venn2"/>
    <dgm:cxn modelId="{A6970701-67D8-47F5-8347-E48434B65602}" type="presParOf" srcId="{6CC07FE3-3352-4426-974D-9898F34899DC}" destId="{541BF72A-45AA-4A63-B591-5EE7139B3A0A}" srcOrd="1" destOrd="0" presId="urn:microsoft.com/office/officeart/2005/8/layout/venn2"/>
    <dgm:cxn modelId="{0612573F-A5F6-4BDE-92D4-4FF70C0E80C4}" type="presParOf" srcId="{E7EDA32F-FE48-46CC-A958-71813476C89D}" destId="{B2E9B163-5AE5-4569-AF12-8253D9050D91}" srcOrd="4" destOrd="0" presId="urn:microsoft.com/office/officeart/2005/8/layout/venn2"/>
    <dgm:cxn modelId="{840538D9-1022-4D8D-B302-7DB817F39258}" type="presParOf" srcId="{B2E9B163-5AE5-4569-AF12-8253D9050D91}" destId="{4C0EACD8-F4E7-469A-91E2-1C5DB13E719F}" srcOrd="0" destOrd="0" presId="urn:microsoft.com/office/officeart/2005/8/layout/venn2"/>
    <dgm:cxn modelId="{BA3A0B0D-38A0-4015-9D89-F7E4BFFF85CF}" type="presParOf" srcId="{B2E9B163-5AE5-4569-AF12-8253D9050D91}" destId="{5F14D0E2-6677-434F-9D03-3446F0D25451}" srcOrd="1" destOrd="0" presId="urn:microsoft.com/office/officeart/2005/8/layout/venn2"/>
    <dgm:cxn modelId="{29A9F738-2A99-4B31-8F39-195187E02612}" type="presParOf" srcId="{E7EDA32F-FE48-46CC-A958-71813476C89D}" destId="{A470938A-271C-413E-B91C-ECED07D7A176}" srcOrd="5" destOrd="0" presId="urn:microsoft.com/office/officeart/2005/8/layout/venn2"/>
    <dgm:cxn modelId="{82663A4F-8BD2-4263-8B7F-1C0B5C0F154E}" type="presParOf" srcId="{A470938A-271C-413E-B91C-ECED07D7A176}" destId="{414009EE-C684-4291-8725-5303B424B492}" srcOrd="0" destOrd="0" presId="urn:microsoft.com/office/officeart/2005/8/layout/venn2"/>
    <dgm:cxn modelId="{F77E7161-377D-4947-AB66-F439CCD983F3}" type="presParOf" srcId="{A470938A-271C-413E-B91C-ECED07D7A176}" destId="{2334B924-C88B-47B0-AC2C-BDEBEFF4DCFB}" srcOrd="1" destOrd="0" presId="urn:microsoft.com/office/officeart/2005/8/layout/venn2"/>
    <dgm:cxn modelId="{2DF4FE0D-F152-47C7-96DB-54FBD539BB90}" type="presParOf" srcId="{E7EDA32F-FE48-46CC-A958-71813476C89D}" destId="{AA505289-E0EF-40A5-B355-3D548873FCB7}" srcOrd="6" destOrd="0" presId="urn:microsoft.com/office/officeart/2005/8/layout/venn2"/>
    <dgm:cxn modelId="{FCB8107D-E343-4665-B155-1AF38515A47A}" type="presParOf" srcId="{AA505289-E0EF-40A5-B355-3D548873FCB7}" destId="{98B8FC41-5AEA-4465-8EC6-E6093592DF8E}" srcOrd="0" destOrd="0" presId="urn:microsoft.com/office/officeart/2005/8/layout/venn2"/>
    <dgm:cxn modelId="{C511C853-7ADD-4834-ABC5-889FEAC3CAB1}" type="presParOf" srcId="{AA505289-E0EF-40A5-B355-3D548873FCB7}" destId="{1D21097A-DEBE-41C4-AFC7-AB16432B7E9C}" srcOrd="1" destOrd="0" presId="urn:microsoft.com/office/officeart/2005/8/layout/ven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3E947C-66AE-4399-BCEF-2CC62647739D}">
      <dsp:nvSpPr>
        <dsp:cNvPr id="0" name=""/>
        <dsp:cNvSpPr/>
      </dsp:nvSpPr>
      <dsp:spPr>
        <a:xfrm>
          <a:off x="1316721" y="-20002"/>
          <a:ext cx="2967257" cy="3117850"/>
        </a:xfrm>
        <a:prstGeom prst="ellipse">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District: Ed. Authority </a:t>
          </a:r>
        </a:p>
      </dsp:txBody>
      <dsp:txXfrm>
        <a:off x="2243989" y="135889"/>
        <a:ext cx="1112721" cy="311785"/>
      </dsp:txXfrm>
    </dsp:sp>
    <dsp:sp modelId="{0AE797B8-B265-4971-BFF4-838594BD5313}">
      <dsp:nvSpPr>
        <dsp:cNvPr id="0" name=""/>
        <dsp:cNvSpPr/>
      </dsp:nvSpPr>
      <dsp:spPr>
        <a:xfrm>
          <a:off x="1475263" y="447674"/>
          <a:ext cx="2650172" cy="2650172"/>
        </a:xfrm>
        <a:prstGeom prst="ellipse">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Upazila: Local Education Office</a:t>
          </a:r>
        </a:p>
      </dsp:txBody>
      <dsp:txXfrm>
        <a:off x="2228906" y="600059"/>
        <a:ext cx="1142886" cy="304769"/>
      </dsp:txXfrm>
    </dsp:sp>
    <dsp:sp modelId="{5A90FEE3-DD1C-4554-B58E-7F5E10936594}">
      <dsp:nvSpPr>
        <dsp:cNvPr id="0" name=""/>
        <dsp:cNvSpPr/>
      </dsp:nvSpPr>
      <dsp:spPr>
        <a:xfrm>
          <a:off x="1727206" y="875347"/>
          <a:ext cx="2146287" cy="2262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Local Community and SMC</a:t>
          </a:r>
        </a:p>
      </dsp:txBody>
      <dsp:txXfrm>
        <a:off x="2244998" y="1031460"/>
        <a:ext cx="1110703" cy="312225"/>
      </dsp:txXfrm>
    </dsp:sp>
    <dsp:sp modelId="{D6F4813B-B3E9-49C0-A61B-980E36B6B17D}">
      <dsp:nvSpPr>
        <dsp:cNvPr id="0" name=""/>
        <dsp:cNvSpPr/>
      </dsp:nvSpPr>
      <dsp:spPr>
        <a:xfrm>
          <a:off x="1942941" y="1383029"/>
          <a:ext cx="1714817" cy="171481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Parents</a:t>
          </a:r>
        </a:p>
      </dsp:txBody>
      <dsp:txXfrm>
        <a:off x="2337349" y="1537363"/>
        <a:ext cx="926001" cy="308667"/>
      </dsp:txXfrm>
    </dsp:sp>
    <dsp:sp modelId="{4C0EACD8-F4E7-469A-91E2-1C5DB13E719F}">
      <dsp:nvSpPr>
        <dsp:cNvPr id="0" name=""/>
        <dsp:cNvSpPr/>
      </dsp:nvSpPr>
      <dsp:spPr>
        <a:xfrm>
          <a:off x="2176779" y="1850707"/>
          <a:ext cx="1247140" cy="1247140"/>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Teachers</a:t>
          </a:r>
        </a:p>
      </dsp:txBody>
      <dsp:txXfrm>
        <a:off x="2395029" y="2006599"/>
        <a:ext cx="810641" cy="311785"/>
      </dsp:txXfrm>
    </dsp:sp>
    <dsp:sp modelId="{414009EE-C684-4291-8725-5303B424B492}">
      <dsp:nvSpPr>
        <dsp:cNvPr id="0" name=""/>
        <dsp:cNvSpPr/>
      </dsp:nvSpPr>
      <dsp:spPr>
        <a:xfrm>
          <a:off x="2367923" y="2318384"/>
          <a:ext cx="864852" cy="779462"/>
        </a:xfrm>
        <a:prstGeom prst="ellipse">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rPr>
            <a:t>Students</a:t>
          </a:r>
        </a:p>
      </dsp:txBody>
      <dsp:txXfrm>
        <a:off x="2506300" y="2434914"/>
        <a:ext cx="588099" cy="187850"/>
      </dsp:txXfrm>
    </dsp:sp>
    <dsp:sp modelId="{98B8FC41-5AEA-4465-8EC6-E6093592DF8E}">
      <dsp:nvSpPr>
        <dsp:cNvPr id="0" name=""/>
        <dsp:cNvSpPr/>
      </dsp:nvSpPr>
      <dsp:spPr>
        <a:xfrm>
          <a:off x="2439735" y="2630169"/>
          <a:ext cx="721228" cy="467677"/>
        </a:xfrm>
        <a:prstGeom prst="ellipse">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rPr>
            <a:t>School</a:t>
          </a:r>
        </a:p>
      </dsp:txBody>
      <dsp:txXfrm>
        <a:off x="2545357" y="2747089"/>
        <a:ext cx="509985" cy="23383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0.06936</cdr:x>
      <cdr:y>0.2467</cdr:y>
    </cdr:from>
    <cdr:to>
      <cdr:x>0.52631</cdr:x>
      <cdr:y>0.2513</cdr:y>
    </cdr:to>
    <cdr:sp macro="" textlink="">
      <cdr:nvSpPr>
        <cdr:cNvPr id="3" name="Straight Connector 2"/>
        <cdr:cNvSpPr/>
      </cdr:nvSpPr>
      <cdr:spPr>
        <a:xfrm xmlns:a="http://schemas.openxmlformats.org/drawingml/2006/main">
          <a:off x="412276" y="731577"/>
          <a:ext cx="2715905" cy="13648"/>
        </a:xfrm>
        <a:prstGeom xmlns:a="http://schemas.openxmlformats.org/drawingml/2006/main" prst="line">
          <a:avLst/>
        </a:prstGeom>
        <a:ln xmlns:a="http://schemas.openxmlformats.org/drawingml/2006/main" w="254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0.19366</cdr:x>
      <cdr:y>0.16339</cdr:y>
    </cdr:from>
    <cdr:to>
      <cdr:x>0.35325</cdr:x>
      <cdr:y>0.24853</cdr:y>
    </cdr:to>
    <cdr:sp macro="" textlink="">
      <cdr:nvSpPr>
        <cdr:cNvPr id="4" name="TextBox 3"/>
        <cdr:cNvSpPr txBox="1"/>
      </cdr:nvSpPr>
      <cdr:spPr>
        <a:xfrm xmlns:a="http://schemas.openxmlformats.org/drawingml/2006/main">
          <a:off x="1151046" y="484516"/>
          <a:ext cx="948539" cy="25247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solidFill>
                <a:srgbClr val="C00000"/>
              </a:solidFill>
            </a:rPr>
            <a:t>Target</a:t>
          </a:r>
          <a:r>
            <a:rPr lang="en-US" sz="1100" b="1" baseline="0">
              <a:solidFill>
                <a:srgbClr val="C00000"/>
              </a:solidFill>
            </a:rPr>
            <a:t> 10</a:t>
          </a:r>
          <a:r>
            <a:rPr lang="en-US" sz="1100" b="1">
              <a:solidFill>
                <a:srgbClr val="C00000"/>
              </a:solidFill>
            </a:rPr>
            <a:t>5%</a:t>
          </a:r>
        </a:p>
      </cdr:txBody>
    </cdr:sp>
  </cdr:relSizeAnchor>
  <cdr:relSizeAnchor xmlns:cdr="http://schemas.openxmlformats.org/drawingml/2006/chartDrawing">
    <cdr:from>
      <cdr:x>0.67164</cdr:x>
      <cdr:y>0.20311</cdr:y>
    </cdr:from>
    <cdr:to>
      <cdr:x>0.83123</cdr:x>
      <cdr:y>0.28825</cdr:y>
    </cdr:to>
    <cdr:sp macro="" textlink="">
      <cdr:nvSpPr>
        <cdr:cNvPr id="6" name="TextBox 1"/>
        <cdr:cNvSpPr txBox="1"/>
      </cdr:nvSpPr>
      <cdr:spPr>
        <a:xfrm xmlns:a="http://schemas.openxmlformats.org/drawingml/2006/main">
          <a:off x="3991961" y="602310"/>
          <a:ext cx="948539" cy="2524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98</a:t>
          </a:r>
          <a:r>
            <a:rPr lang="en-US" sz="1100" b="1">
              <a:solidFill>
                <a:srgbClr val="C00000"/>
              </a:solidFill>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0.4442</cdr:x>
      <cdr:y>0.08339</cdr:y>
    </cdr:from>
    <cdr:to>
      <cdr:x>0.61115</cdr:x>
      <cdr:y>0.17991</cdr:y>
    </cdr:to>
    <cdr:sp macro="" textlink="">
      <cdr:nvSpPr>
        <cdr:cNvPr id="3" name="TextBox 1"/>
        <cdr:cNvSpPr txBox="1"/>
      </cdr:nvSpPr>
      <cdr:spPr>
        <a:xfrm xmlns:a="http://schemas.openxmlformats.org/drawingml/2006/main">
          <a:off x="2400417" y="218164"/>
          <a:ext cx="902172" cy="2525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95%</a:t>
          </a:r>
          <a:endParaRPr lang="en-US" sz="1100" b="1">
            <a:solidFill>
              <a:srgbClr val="C00000"/>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0.39976</cdr:x>
      <cdr:y>0</cdr:y>
    </cdr:from>
    <cdr:to>
      <cdr:x>0.56307</cdr:x>
      <cdr:y>0.08759</cdr:y>
    </cdr:to>
    <cdr:sp macro="" textlink="">
      <cdr:nvSpPr>
        <cdr:cNvPr id="3" name="TextBox 1"/>
        <cdr:cNvSpPr txBox="1"/>
      </cdr:nvSpPr>
      <cdr:spPr>
        <a:xfrm xmlns:a="http://schemas.openxmlformats.org/drawingml/2006/main">
          <a:off x="2208460" y="0"/>
          <a:ext cx="902206" cy="252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95%</a:t>
          </a:r>
          <a:endParaRPr lang="en-US" sz="1100" b="1">
            <a:solidFill>
              <a:srgbClr val="C00000"/>
            </a:solidFill>
          </a:endParaRPr>
        </a:p>
      </cdr:txBody>
    </cdr:sp>
  </cdr:relSizeAnchor>
  <cdr:relSizeAnchor xmlns:cdr="http://schemas.openxmlformats.org/drawingml/2006/chartDrawing">
    <cdr:from>
      <cdr:x>0.1308</cdr:x>
      <cdr:y>0.14999</cdr:y>
    </cdr:from>
    <cdr:to>
      <cdr:x>0.83655</cdr:x>
      <cdr:y>0.15219</cdr:y>
    </cdr:to>
    <cdr:sp macro="" textlink="">
      <cdr:nvSpPr>
        <cdr:cNvPr id="5" name="Straight Connector 4"/>
        <cdr:cNvSpPr/>
      </cdr:nvSpPr>
      <cdr:spPr>
        <a:xfrm xmlns:a="http://schemas.openxmlformats.org/drawingml/2006/main" flipV="1">
          <a:off x="722591" y="432401"/>
          <a:ext cx="3898916" cy="6343"/>
        </a:xfrm>
        <a:prstGeom xmlns:a="http://schemas.openxmlformats.org/drawingml/2006/main" prst="line">
          <a:avLst/>
        </a:prstGeom>
        <a:ln xmlns:a="http://schemas.openxmlformats.org/drawingml/2006/main" w="254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0.37917</cdr:x>
      <cdr:y>0.01389</cdr:y>
    </cdr:from>
    <cdr:to>
      <cdr:x>0.57917</cdr:x>
      <cdr:y>0.14236</cdr:y>
    </cdr:to>
    <cdr:sp macro="" textlink="">
      <cdr:nvSpPr>
        <cdr:cNvPr id="2" name="TextBox 1"/>
        <cdr:cNvSpPr txBox="1"/>
      </cdr:nvSpPr>
      <cdr:spPr>
        <a:xfrm xmlns:a="http://schemas.openxmlformats.org/drawingml/2006/main">
          <a:off x="1733550" y="38100"/>
          <a:ext cx="914400" cy="352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13.xml><?xml version="1.0" encoding="utf-8"?>
<c:userShapes xmlns:c="http://schemas.openxmlformats.org/drawingml/2006/chart">
  <cdr:relSizeAnchor xmlns:cdr="http://schemas.openxmlformats.org/drawingml/2006/chartDrawing">
    <cdr:from>
      <cdr:x>0.3788</cdr:x>
      <cdr:y>0.20147</cdr:y>
    </cdr:from>
    <cdr:to>
      <cdr:x>0.5408</cdr:x>
      <cdr:y>0.29246</cdr:y>
    </cdr:to>
    <cdr:sp macro="" textlink="">
      <cdr:nvSpPr>
        <cdr:cNvPr id="2" name="TextBox 1"/>
        <cdr:cNvSpPr txBox="1"/>
      </cdr:nvSpPr>
      <cdr:spPr>
        <a:xfrm xmlns:a="http://schemas.openxmlformats.org/drawingml/2006/main">
          <a:off x="2108042" y="489732"/>
          <a:ext cx="901530" cy="2212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55%</a:t>
          </a:r>
          <a:endParaRPr lang="en-US" sz="1100" b="1">
            <a:solidFill>
              <a:srgbClr val="C00000"/>
            </a:solidFill>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0.12675</cdr:x>
      <cdr:y>0.18271</cdr:y>
    </cdr:from>
    <cdr:to>
      <cdr:x>0.9736</cdr:x>
      <cdr:y>0.18333</cdr:y>
    </cdr:to>
    <cdr:sp macro="" textlink="">
      <cdr:nvSpPr>
        <cdr:cNvPr id="3" name="Straight Connector 2"/>
        <cdr:cNvSpPr/>
      </cdr:nvSpPr>
      <cdr:spPr>
        <a:xfrm xmlns:a="http://schemas.openxmlformats.org/drawingml/2006/main">
          <a:off x="717565" y="466555"/>
          <a:ext cx="4794240" cy="1583"/>
        </a:xfrm>
        <a:prstGeom xmlns:a="http://schemas.openxmlformats.org/drawingml/2006/main" prst="line">
          <a:avLst/>
        </a:prstGeom>
        <a:ln xmlns:a="http://schemas.openxmlformats.org/drawingml/2006/main" w="254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0.41429</cdr:x>
      <cdr:y>0.06029</cdr:y>
    </cdr:from>
    <cdr:to>
      <cdr:x>0.57365</cdr:x>
      <cdr:y>0.15918</cdr:y>
    </cdr:to>
    <cdr:sp macro="" textlink="">
      <cdr:nvSpPr>
        <cdr:cNvPr id="4" name="TextBox 1"/>
        <cdr:cNvSpPr txBox="1"/>
      </cdr:nvSpPr>
      <cdr:spPr>
        <a:xfrm xmlns:a="http://schemas.openxmlformats.org/drawingml/2006/main">
          <a:off x="2345426" y="153963"/>
          <a:ext cx="902179" cy="2525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85%</a:t>
          </a:r>
          <a:endParaRPr lang="en-US" sz="1100" b="1">
            <a:solidFill>
              <a:srgbClr val="C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0.10548</cdr:x>
      <cdr:y>0.44668</cdr:y>
    </cdr:from>
    <cdr:to>
      <cdr:x>0.98384</cdr:x>
      <cdr:y>0.45564</cdr:y>
    </cdr:to>
    <cdr:sp macro="" textlink="">
      <cdr:nvSpPr>
        <cdr:cNvPr id="3" name="Straight Connector 2"/>
        <cdr:cNvSpPr/>
      </cdr:nvSpPr>
      <cdr:spPr>
        <a:xfrm xmlns:a="http://schemas.openxmlformats.org/drawingml/2006/main" flipV="1">
          <a:off x="608921" y="1189401"/>
          <a:ext cx="5070759" cy="23858"/>
        </a:xfrm>
        <a:prstGeom xmlns:a="http://schemas.openxmlformats.org/drawingml/2006/main" prst="line">
          <a:avLst/>
        </a:prstGeom>
        <a:ln xmlns:a="http://schemas.openxmlformats.org/drawingml/2006/main" w="254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0.50756</cdr:x>
      <cdr:y>0.23757</cdr:y>
    </cdr:from>
    <cdr:to>
      <cdr:x>0.67186</cdr:x>
      <cdr:y>0.33239</cdr:y>
    </cdr:to>
    <cdr:sp macro="" textlink="">
      <cdr:nvSpPr>
        <cdr:cNvPr id="4" name="TextBox 1"/>
        <cdr:cNvSpPr txBox="1"/>
      </cdr:nvSpPr>
      <cdr:spPr>
        <a:xfrm xmlns:a="http://schemas.openxmlformats.org/drawingml/2006/main">
          <a:off x="2930119" y="632599"/>
          <a:ext cx="948502" cy="252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a:t>
          </a:r>
          <a:r>
            <a:rPr lang="en-US" sz="1100" b="1">
              <a:solidFill>
                <a:srgbClr val="C00000"/>
              </a:solidFill>
            </a:rPr>
            <a:t>5%</a:t>
          </a:r>
        </a:p>
      </cdr:txBody>
    </cdr:sp>
  </cdr:relSizeAnchor>
</c:userShapes>
</file>

<file path=word/drawings/drawing3.xml><?xml version="1.0" encoding="utf-8"?>
<c:userShapes xmlns:c="http://schemas.openxmlformats.org/drawingml/2006/chart">
  <cdr:relSizeAnchor xmlns:cdr="http://schemas.openxmlformats.org/drawingml/2006/chartDrawing">
    <cdr:from>
      <cdr:x>0.10589</cdr:x>
      <cdr:y>0.19628</cdr:y>
    </cdr:from>
    <cdr:to>
      <cdr:x>0.94639</cdr:x>
      <cdr:y>0.19687</cdr:y>
    </cdr:to>
    <cdr:sp macro="" textlink="">
      <cdr:nvSpPr>
        <cdr:cNvPr id="3" name="Straight Connector 2"/>
        <cdr:cNvSpPr/>
      </cdr:nvSpPr>
      <cdr:spPr>
        <a:xfrm xmlns:a="http://schemas.openxmlformats.org/drawingml/2006/main">
          <a:off x="600024" y="536029"/>
          <a:ext cx="4762824" cy="1612"/>
        </a:xfrm>
        <a:prstGeom xmlns:a="http://schemas.openxmlformats.org/drawingml/2006/main" prst="line">
          <a:avLst/>
        </a:prstGeom>
        <a:ln xmlns:a="http://schemas.openxmlformats.org/drawingml/2006/main" w="254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0.43571</cdr:x>
      <cdr:y>0.03612</cdr:y>
    </cdr:from>
    <cdr:to>
      <cdr:x>0.6031</cdr:x>
      <cdr:y>0.12857</cdr:y>
    </cdr:to>
    <cdr:sp macro="" textlink="">
      <cdr:nvSpPr>
        <cdr:cNvPr id="4" name="TextBox 1"/>
        <cdr:cNvSpPr txBox="1"/>
      </cdr:nvSpPr>
      <cdr:spPr>
        <a:xfrm xmlns:a="http://schemas.openxmlformats.org/drawingml/2006/main">
          <a:off x="2469033" y="98655"/>
          <a:ext cx="948541" cy="2524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92</a:t>
          </a:r>
          <a:r>
            <a:rPr lang="en-US" sz="1100" b="1">
              <a:solidFill>
                <a:srgbClr val="C00000"/>
              </a:solidFill>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0.34001</cdr:x>
      <cdr:y>0.31333</cdr:y>
    </cdr:from>
    <cdr:to>
      <cdr:x>0.66916</cdr:x>
      <cdr:y>0.41769</cdr:y>
    </cdr:to>
    <cdr:sp macro="" textlink="">
      <cdr:nvSpPr>
        <cdr:cNvPr id="2" name="TextBox 1"/>
        <cdr:cNvSpPr txBox="1"/>
      </cdr:nvSpPr>
      <cdr:spPr>
        <a:xfrm xmlns:a="http://schemas.openxmlformats.org/drawingml/2006/main">
          <a:off x="1548064" y="758049"/>
          <a:ext cx="1498604" cy="2524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1.03 for GER</a:t>
          </a:r>
          <a:r>
            <a:rPr lang="en-US" sz="1100" b="1">
              <a:solidFill>
                <a:srgbClr val="C00000"/>
              </a:solidFill>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0.41878</cdr:x>
      <cdr:y>0.03137</cdr:y>
    </cdr:from>
    <cdr:to>
      <cdr:x>0.57923</cdr:x>
      <cdr:y>0.1232</cdr:y>
    </cdr:to>
    <cdr:sp macro="" textlink="">
      <cdr:nvSpPr>
        <cdr:cNvPr id="2" name="TextBox 1"/>
        <cdr:cNvSpPr txBox="1"/>
      </cdr:nvSpPr>
      <cdr:spPr>
        <a:xfrm xmlns:a="http://schemas.openxmlformats.org/drawingml/2006/main">
          <a:off x="2475770" y="86252"/>
          <a:ext cx="948556" cy="2524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8</a:t>
          </a:r>
          <a:r>
            <a:rPr lang="en-US" sz="1100" b="1">
              <a:solidFill>
                <a:srgbClr val="C00000"/>
              </a:solidFill>
            </a:rPr>
            <a:t>5%</a:t>
          </a:r>
        </a:p>
      </cdr:txBody>
    </cdr:sp>
  </cdr:relSizeAnchor>
</c:userShapes>
</file>

<file path=word/drawings/drawing6.xml><?xml version="1.0" encoding="utf-8"?>
<c:userShapes xmlns:c="http://schemas.openxmlformats.org/drawingml/2006/chart">
  <cdr:relSizeAnchor xmlns:cdr="http://schemas.openxmlformats.org/drawingml/2006/chartDrawing">
    <cdr:from>
      <cdr:x>0.39533</cdr:x>
      <cdr:y>0</cdr:y>
    </cdr:from>
    <cdr:to>
      <cdr:x>0.58227</cdr:x>
      <cdr:y>0.12163</cdr:y>
    </cdr:to>
    <cdr:sp macro="" textlink="">
      <cdr:nvSpPr>
        <cdr:cNvPr id="2" name="TextBox 1"/>
        <cdr:cNvSpPr txBox="1"/>
      </cdr:nvSpPr>
      <cdr:spPr>
        <a:xfrm xmlns:a="http://schemas.openxmlformats.org/drawingml/2006/main">
          <a:off x="2005882" y="0"/>
          <a:ext cx="948521" cy="2524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8</a:t>
          </a:r>
          <a:r>
            <a:rPr lang="en-US" sz="1100" b="1">
              <a:solidFill>
                <a:srgbClr val="C00000"/>
              </a:solidFill>
            </a:rPr>
            <a:t>5%</a:t>
          </a:r>
        </a:p>
      </cdr:txBody>
    </cdr:sp>
  </cdr:relSizeAnchor>
</c:userShapes>
</file>

<file path=word/drawings/drawing7.xml><?xml version="1.0" encoding="utf-8"?>
<c:userShapes xmlns:c="http://schemas.openxmlformats.org/drawingml/2006/chart">
  <cdr:relSizeAnchor xmlns:cdr="http://schemas.openxmlformats.org/drawingml/2006/chartDrawing">
    <cdr:from>
      <cdr:x>0.36463</cdr:x>
      <cdr:y>0.48527</cdr:y>
    </cdr:from>
    <cdr:to>
      <cdr:x>0.53239</cdr:x>
      <cdr:y>0.60265</cdr:y>
    </cdr:to>
    <cdr:sp macro="" textlink="">
      <cdr:nvSpPr>
        <cdr:cNvPr id="2" name="TextBox 1"/>
        <cdr:cNvSpPr txBox="1"/>
      </cdr:nvSpPr>
      <cdr:spPr>
        <a:xfrm xmlns:a="http://schemas.openxmlformats.org/drawingml/2006/main">
          <a:off x="2061704" y="1043795"/>
          <a:ext cx="948561" cy="2524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1</a:t>
          </a:r>
          <a:r>
            <a:rPr lang="en-US" sz="1100" b="1">
              <a:solidFill>
                <a:srgbClr val="C00000"/>
              </a:solidFill>
            </a:rPr>
            <a:t>5%</a:t>
          </a:r>
        </a:p>
      </cdr:txBody>
    </cdr:sp>
  </cdr:relSizeAnchor>
</c:userShapes>
</file>

<file path=word/drawings/drawing8.xml><?xml version="1.0" encoding="utf-8"?>
<c:userShapes xmlns:c="http://schemas.openxmlformats.org/drawingml/2006/chart">
  <cdr:relSizeAnchor xmlns:cdr="http://schemas.openxmlformats.org/drawingml/2006/chartDrawing">
    <cdr:from>
      <cdr:x>0.38322</cdr:x>
      <cdr:y>0</cdr:y>
    </cdr:from>
    <cdr:to>
      <cdr:x>0.55521</cdr:x>
      <cdr:y>0.08986</cdr:y>
    </cdr:to>
    <cdr:sp macro="" textlink="">
      <cdr:nvSpPr>
        <cdr:cNvPr id="2" name="TextBox 1"/>
        <cdr:cNvSpPr txBox="1"/>
      </cdr:nvSpPr>
      <cdr:spPr>
        <a:xfrm xmlns:a="http://schemas.openxmlformats.org/drawingml/2006/main">
          <a:off x="2113471" y="0"/>
          <a:ext cx="948521" cy="2524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8</a:t>
          </a:r>
          <a:r>
            <a:rPr lang="en-US" sz="1100" b="1">
              <a:solidFill>
                <a:srgbClr val="C00000"/>
              </a:solidFill>
            </a:rPr>
            <a:t>5%</a:t>
          </a:r>
        </a:p>
      </cdr:txBody>
    </cdr:sp>
  </cdr:relSizeAnchor>
</c:userShapes>
</file>

<file path=word/drawings/drawing9.xml><?xml version="1.0" encoding="utf-8"?>
<c:userShapes xmlns:c="http://schemas.openxmlformats.org/drawingml/2006/chart">
  <cdr:relSizeAnchor xmlns:cdr="http://schemas.openxmlformats.org/drawingml/2006/chartDrawing">
    <cdr:from>
      <cdr:x>0.69046</cdr:x>
      <cdr:y>0.24808</cdr:y>
    </cdr:from>
    <cdr:to>
      <cdr:x>0.92849</cdr:x>
      <cdr:y>0.33557</cdr:y>
    </cdr:to>
    <cdr:sp macro="" textlink="">
      <cdr:nvSpPr>
        <cdr:cNvPr id="2" name="TextBox 1"/>
        <cdr:cNvSpPr txBox="1"/>
      </cdr:nvSpPr>
      <cdr:spPr>
        <a:xfrm xmlns:a="http://schemas.openxmlformats.org/drawingml/2006/main">
          <a:off x="3717967" y="715982"/>
          <a:ext cx="1281744" cy="2525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C00000"/>
              </a:solidFill>
            </a:rPr>
            <a:t>Target</a:t>
          </a:r>
          <a:r>
            <a:rPr lang="en-US" sz="1100" b="1" baseline="0">
              <a:solidFill>
                <a:srgbClr val="C00000"/>
              </a:solidFill>
            </a:rPr>
            <a:t> 6 years</a:t>
          </a:r>
          <a:endParaRPr lang="en-US" sz="1100" b="1">
            <a:solidFill>
              <a:srgbClr val="C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10D95-AFE2-410B-9070-946EDE5C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243</Pages>
  <Words>89405</Words>
  <Characters>509611</Characters>
  <Application>Microsoft Office Word</Application>
  <DocSecurity>0</DocSecurity>
  <Lines>4246</Lines>
  <Paragraphs>1195</Paragraphs>
  <ScaleCrop>false</ScaleCrop>
  <HeadingPairs>
    <vt:vector size="2" baseType="variant">
      <vt:variant>
        <vt:lpstr>Title</vt:lpstr>
      </vt:variant>
      <vt:variant>
        <vt:i4>1</vt:i4>
      </vt:variant>
    </vt:vector>
  </HeadingPairs>
  <TitlesOfParts>
    <vt:vector size="1" baseType="lpstr">
      <vt:lpstr>Normal Template</vt:lpstr>
    </vt:vector>
  </TitlesOfParts>
  <Company>NISHA</Company>
  <LinksUpToDate>false</LinksUpToDate>
  <CharactersWithSpaces>597821</CharactersWithSpaces>
  <SharedDoc>false</SharedDoc>
  <HLinks>
    <vt:vector size="606" baseType="variant">
      <vt:variant>
        <vt:i4>5767236</vt:i4>
      </vt:variant>
      <vt:variant>
        <vt:i4>663</vt:i4>
      </vt:variant>
      <vt:variant>
        <vt:i4>0</vt:i4>
      </vt:variant>
      <vt:variant>
        <vt:i4>5</vt:i4>
      </vt:variant>
      <vt:variant>
        <vt:lpwstr>http://www.oecd.org/dataoecd/23/27/35281194.pdf accessed 15 January 2012</vt:lpwstr>
      </vt:variant>
      <vt:variant>
        <vt:lpwstr/>
      </vt:variant>
      <vt:variant>
        <vt:i4>1441801</vt:i4>
      </vt:variant>
      <vt:variant>
        <vt:i4>660</vt:i4>
      </vt:variant>
      <vt:variant>
        <vt:i4>0</vt:i4>
      </vt:variant>
      <vt:variant>
        <vt:i4>5</vt:i4>
      </vt:variant>
      <vt:variant>
        <vt:lpwstr>http://unesdoc.unesco.org/images/0014/001447/144783e.pdf</vt:lpwstr>
      </vt:variant>
      <vt:variant>
        <vt:lpwstr/>
      </vt:variant>
      <vt:variant>
        <vt:i4>262229</vt:i4>
      </vt:variant>
      <vt:variant>
        <vt:i4>657</vt:i4>
      </vt:variant>
      <vt:variant>
        <vt:i4>0</vt:i4>
      </vt:variant>
      <vt:variant>
        <vt:i4>5</vt:i4>
      </vt:variant>
      <vt:variant>
        <vt:lpwstr>http://unesdoc.unesco.org/images/0017/001775/177568e.pdf accessed 15 January 2012</vt:lpwstr>
      </vt:variant>
      <vt:variant>
        <vt:lpwstr/>
      </vt:variant>
      <vt:variant>
        <vt:i4>2228263</vt:i4>
      </vt:variant>
      <vt:variant>
        <vt:i4>654</vt:i4>
      </vt:variant>
      <vt:variant>
        <vt:i4>0</vt:i4>
      </vt:variant>
      <vt:variant>
        <vt:i4>5</vt:i4>
      </vt:variant>
      <vt:variant>
        <vt:lpwstr>http://www.share-education.org/</vt:lpwstr>
      </vt:variant>
      <vt:variant>
        <vt:lpwstr/>
      </vt:variant>
      <vt:variant>
        <vt:i4>1966143</vt:i4>
      </vt:variant>
      <vt:variant>
        <vt:i4>584</vt:i4>
      </vt:variant>
      <vt:variant>
        <vt:i4>0</vt:i4>
      </vt:variant>
      <vt:variant>
        <vt:i4>5</vt:i4>
      </vt:variant>
      <vt:variant>
        <vt:lpwstr/>
      </vt:variant>
      <vt:variant>
        <vt:lpwstr>_Toc384112929</vt:lpwstr>
      </vt:variant>
      <vt:variant>
        <vt:i4>1966143</vt:i4>
      </vt:variant>
      <vt:variant>
        <vt:i4>578</vt:i4>
      </vt:variant>
      <vt:variant>
        <vt:i4>0</vt:i4>
      </vt:variant>
      <vt:variant>
        <vt:i4>5</vt:i4>
      </vt:variant>
      <vt:variant>
        <vt:lpwstr/>
      </vt:variant>
      <vt:variant>
        <vt:lpwstr>_Toc384112928</vt:lpwstr>
      </vt:variant>
      <vt:variant>
        <vt:i4>1310768</vt:i4>
      </vt:variant>
      <vt:variant>
        <vt:i4>569</vt:i4>
      </vt:variant>
      <vt:variant>
        <vt:i4>0</vt:i4>
      </vt:variant>
      <vt:variant>
        <vt:i4>5</vt:i4>
      </vt:variant>
      <vt:variant>
        <vt:lpwstr/>
      </vt:variant>
      <vt:variant>
        <vt:lpwstr>_Toc384112685</vt:lpwstr>
      </vt:variant>
      <vt:variant>
        <vt:i4>2031671</vt:i4>
      </vt:variant>
      <vt:variant>
        <vt:i4>560</vt:i4>
      </vt:variant>
      <vt:variant>
        <vt:i4>0</vt:i4>
      </vt:variant>
      <vt:variant>
        <vt:i4>5</vt:i4>
      </vt:variant>
      <vt:variant>
        <vt:lpwstr/>
      </vt:variant>
      <vt:variant>
        <vt:lpwstr>_Toc384112131</vt:lpwstr>
      </vt:variant>
      <vt:variant>
        <vt:i4>2031671</vt:i4>
      </vt:variant>
      <vt:variant>
        <vt:i4>554</vt:i4>
      </vt:variant>
      <vt:variant>
        <vt:i4>0</vt:i4>
      </vt:variant>
      <vt:variant>
        <vt:i4>5</vt:i4>
      </vt:variant>
      <vt:variant>
        <vt:lpwstr/>
      </vt:variant>
      <vt:variant>
        <vt:lpwstr>_Toc384112130</vt:lpwstr>
      </vt:variant>
      <vt:variant>
        <vt:i4>1966135</vt:i4>
      </vt:variant>
      <vt:variant>
        <vt:i4>548</vt:i4>
      </vt:variant>
      <vt:variant>
        <vt:i4>0</vt:i4>
      </vt:variant>
      <vt:variant>
        <vt:i4>5</vt:i4>
      </vt:variant>
      <vt:variant>
        <vt:lpwstr/>
      </vt:variant>
      <vt:variant>
        <vt:lpwstr>_Toc384112129</vt:lpwstr>
      </vt:variant>
      <vt:variant>
        <vt:i4>1966135</vt:i4>
      </vt:variant>
      <vt:variant>
        <vt:i4>542</vt:i4>
      </vt:variant>
      <vt:variant>
        <vt:i4>0</vt:i4>
      </vt:variant>
      <vt:variant>
        <vt:i4>5</vt:i4>
      </vt:variant>
      <vt:variant>
        <vt:lpwstr/>
      </vt:variant>
      <vt:variant>
        <vt:lpwstr>_Toc384112128</vt:lpwstr>
      </vt:variant>
      <vt:variant>
        <vt:i4>1966135</vt:i4>
      </vt:variant>
      <vt:variant>
        <vt:i4>536</vt:i4>
      </vt:variant>
      <vt:variant>
        <vt:i4>0</vt:i4>
      </vt:variant>
      <vt:variant>
        <vt:i4>5</vt:i4>
      </vt:variant>
      <vt:variant>
        <vt:lpwstr/>
      </vt:variant>
      <vt:variant>
        <vt:lpwstr>_Toc384112127</vt:lpwstr>
      </vt:variant>
      <vt:variant>
        <vt:i4>1966135</vt:i4>
      </vt:variant>
      <vt:variant>
        <vt:i4>530</vt:i4>
      </vt:variant>
      <vt:variant>
        <vt:i4>0</vt:i4>
      </vt:variant>
      <vt:variant>
        <vt:i4>5</vt:i4>
      </vt:variant>
      <vt:variant>
        <vt:lpwstr/>
      </vt:variant>
      <vt:variant>
        <vt:lpwstr>_Toc384112126</vt:lpwstr>
      </vt:variant>
      <vt:variant>
        <vt:i4>1966135</vt:i4>
      </vt:variant>
      <vt:variant>
        <vt:i4>524</vt:i4>
      </vt:variant>
      <vt:variant>
        <vt:i4>0</vt:i4>
      </vt:variant>
      <vt:variant>
        <vt:i4>5</vt:i4>
      </vt:variant>
      <vt:variant>
        <vt:lpwstr/>
      </vt:variant>
      <vt:variant>
        <vt:lpwstr>_Toc384112125</vt:lpwstr>
      </vt:variant>
      <vt:variant>
        <vt:i4>1966135</vt:i4>
      </vt:variant>
      <vt:variant>
        <vt:i4>518</vt:i4>
      </vt:variant>
      <vt:variant>
        <vt:i4>0</vt:i4>
      </vt:variant>
      <vt:variant>
        <vt:i4>5</vt:i4>
      </vt:variant>
      <vt:variant>
        <vt:lpwstr/>
      </vt:variant>
      <vt:variant>
        <vt:lpwstr>_Toc384112124</vt:lpwstr>
      </vt:variant>
      <vt:variant>
        <vt:i4>1966135</vt:i4>
      </vt:variant>
      <vt:variant>
        <vt:i4>512</vt:i4>
      </vt:variant>
      <vt:variant>
        <vt:i4>0</vt:i4>
      </vt:variant>
      <vt:variant>
        <vt:i4>5</vt:i4>
      </vt:variant>
      <vt:variant>
        <vt:lpwstr/>
      </vt:variant>
      <vt:variant>
        <vt:lpwstr>_Toc384112123</vt:lpwstr>
      </vt:variant>
      <vt:variant>
        <vt:i4>1966135</vt:i4>
      </vt:variant>
      <vt:variant>
        <vt:i4>506</vt:i4>
      </vt:variant>
      <vt:variant>
        <vt:i4>0</vt:i4>
      </vt:variant>
      <vt:variant>
        <vt:i4>5</vt:i4>
      </vt:variant>
      <vt:variant>
        <vt:lpwstr/>
      </vt:variant>
      <vt:variant>
        <vt:lpwstr>_Toc384112122</vt:lpwstr>
      </vt:variant>
      <vt:variant>
        <vt:i4>1966135</vt:i4>
      </vt:variant>
      <vt:variant>
        <vt:i4>500</vt:i4>
      </vt:variant>
      <vt:variant>
        <vt:i4>0</vt:i4>
      </vt:variant>
      <vt:variant>
        <vt:i4>5</vt:i4>
      </vt:variant>
      <vt:variant>
        <vt:lpwstr/>
      </vt:variant>
      <vt:variant>
        <vt:lpwstr>_Toc384112121</vt:lpwstr>
      </vt:variant>
      <vt:variant>
        <vt:i4>1966135</vt:i4>
      </vt:variant>
      <vt:variant>
        <vt:i4>494</vt:i4>
      </vt:variant>
      <vt:variant>
        <vt:i4>0</vt:i4>
      </vt:variant>
      <vt:variant>
        <vt:i4>5</vt:i4>
      </vt:variant>
      <vt:variant>
        <vt:lpwstr/>
      </vt:variant>
      <vt:variant>
        <vt:lpwstr>_Toc384112120</vt:lpwstr>
      </vt:variant>
      <vt:variant>
        <vt:i4>1900599</vt:i4>
      </vt:variant>
      <vt:variant>
        <vt:i4>488</vt:i4>
      </vt:variant>
      <vt:variant>
        <vt:i4>0</vt:i4>
      </vt:variant>
      <vt:variant>
        <vt:i4>5</vt:i4>
      </vt:variant>
      <vt:variant>
        <vt:lpwstr/>
      </vt:variant>
      <vt:variant>
        <vt:lpwstr>_Toc384112119</vt:lpwstr>
      </vt:variant>
      <vt:variant>
        <vt:i4>1900599</vt:i4>
      </vt:variant>
      <vt:variant>
        <vt:i4>482</vt:i4>
      </vt:variant>
      <vt:variant>
        <vt:i4>0</vt:i4>
      </vt:variant>
      <vt:variant>
        <vt:i4>5</vt:i4>
      </vt:variant>
      <vt:variant>
        <vt:lpwstr/>
      </vt:variant>
      <vt:variant>
        <vt:lpwstr>_Toc384112118</vt:lpwstr>
      </vt:variant>
      <vt:variant>
        <vt:i4>1900599</vt:i4>
      </vt:variant>
      <vt:variant>
        <vt:i4>476</vt:i4>
      </vt:variant>
      <vt:variant>
        <vt:i4>0</vt:i4>
      </vt:variant>
      <vt:variant>
        <vt:i4>5</vt:i4>
      </vt:variant>
      <vt:variant>
        <vt:lpwstr/>
      </vt:variant>
      <vt:variant>
        <vt:lpwstr>_Toc384112117</vt:lpwstr>
      </vt:variant>
      <vt:variant>
        <vt:i4>1900599</vt:i4>
      </vt:variant>
      <vt:variant>
        <vt:i4>470</vt:i4>
      </vt:variant>
      <vt:variant>
        <vt:i4>0</vt:i4>
      </vt:variant>
      <vt:variant>
        <vt:i4>5</vt:i4>
      </vt:variant>
      <vt:variant>
        <vt:lpwstr/>
      </vt:variant>
      <vt:variant>
        <vt:lpwstr>_Toc384112116</vt:lpwstr>
      </vt:variant>
      <vt:variant>
        <vt:i4>1900599</vt:i4>
      </vt:variant>
      <vt:variant>
        <vt:i4>464</vt:i4>
      </vt:variant>
      <vt:variant>
        <vt:i4>0</vt:i4>
      </vt:variant>
      <vt:variant>
        <vt:i4>5</vt:i4>
      </vt:variant>
      <vt:variant>
        <vt:lpwstr/>
      </vt:variant>
      <vt:variant>
        <vt:lpwstr>_Toc384112115</vt:lpwstr>
      </vt:variant>
      <vt:variant>
        <vt:i4>1900599</vt:i4>
      </vt:variant>
      <vt:variant>
        <vt:i4>458</vt:i4>
      </vt:variant>
      <vt:variant>
        <vt:i4>0</vt:i4>
      </vt:variant>
      <vt:variant>
        <vt:i4>5</vt:i4>
      </vt:variant>
      <vt:variant>
        <vt:lpwstr/>
      </vt:variant>
      <vt:variant>
        <vt:lpwstr>_Toc384112114</vt:lpwstr>
      </vt:variant>
      <vt:variant>
        <vt:i4>1900599</vt:i4>
      </vt:variant>
      <vt:variant>
        <vt:i4>452</vt:i4>
      </vt:variant>
      <vt:variant>
        <vt:i4>0</vt:i4>
      </vt:variant>
      <vt:variant>
        <vt:i4>5</vt:i4>
      </vt:variant>
      <vt:variant>
        <vt:lpwstr/>
      </vt:variant>
      <vt:variant>
        <vt:lpwstr>_Toc384112113</vt:lpwstr>
      </vt:variant>
      <vt:variant>
        <vt:i4>1900599</vt:i4>
      </vt:variant>
      <vt:variant>
        <vt:i4>446</vt:i4>
      </vt:variant>
      <vt:variant>
        <vt:i4>0</vt:i4>
      </vt:variant>
      <vt:variant>
        <vt:i4>5</vt:i4>
      </vt:variant>
      <vt:variant>
        <vt:lpwstr/>
      </vt:variant>
      <vt:variant>
        <vt:lpwstr>_Toc384112112</vt:lpwstr>
      </vt:variant>
      <vt:variant>
        <vt:i4>1900599</vt:i4>
      </vt:variant>
      <vt:variant>
        <vt:i4>440</vt:i4>
      </vt:variant>
      <vt:variant>
        <vt:i4>0</vt:i4>
      </vt:variant>
      <vt:variant>
        <vt:i4>5</vt:i4>
      </vt:variant>
      <vt:variant>
        <vt:lpwstr/>
      </vt:variant>
      <vt:variant>
        <vt:lpwstr>_Toc384112111</vt:lpwstr>
      </vt:variant>
      <vt:variant>
        <vt:i4>1900599</vt:i4>
      </vt:variant>
      <vt:variant>
        <vt:i4>434</vt:i4>
      </vt:variant>
      <vt:variant>
        <vt:i4>0</vt:i4>
      </vt:variant>
      <vt:variant>
        <vt:i4>5</vt:i4>
      </vt:variant>
      <vt:variant>
        <vt:lpwstr/>
      </vt:variant>
      <vt:variant>
        <vt:lpwstr>_Toc384112110</vt:lpwstr>
      </vt:variant>
      <vt:variant>
        <vt:i4>1835063</vt:i4>
      </vt:variant>
      <vt:variant>
        <vt:i4>428</vt:i4>
      </vt:variant>
      <vt:variant>
        <vt:i4>0</vt:i4>
      </vt:variant>
      <vt:variant>
        <vt:i4>5</vt:i4>
      </vt:variant>
      <vt:variant>
        <vt:lpwstr/>
      </vt:variant>
      <vt:variant>
        <vt:lpwstr>_Toc384112109</vt:lpwstr>
      </vt:variant>
      <vt:variant>
        <vt:i4>1835063</vt:i4>
      </vt:variant>
      <vt:variant>
        <vt:i4>422</vt:i4>
      </vt:variant>
      <vt:variant>
        <vt:i4>0</vt:i4>
      </vt:variant>
      <vt:variant>
        <vt:i4>5</vt:i4>
      </vt:variant>
      <vt:variant>
        <vt:lpwstr/>
      </vt:variant>
      <vt:variant>
        <vt:lpwstr>_Toc384112108</vt:lpwstr>
      </vt:variant>
      <vt:variant>
        <vt:i4>1835063</vt:i4>
      </vt:variant>
      <vt:variant>
        <vt:i4>416</vt:i4>
      </vt:variant>
      <vt:variant>
        <vt:i4>0</vt:i4>
      </vt:variant>
      <vt:variant>
        <vt:i4>5</vt:i4>
      </vt:variant>
      <vt:variant>
        <vt:lpwstr/>
      </vt:variant>
      <vt:variant>
        <vt:lpwstr>_Toc384112107</vt:lpwstr>
      </vt:variant>
      <vt:variant>
        <vt:i4>1835063</vt:i4>
      </vt:variant>
      <vt:variant>
        <vt:i4>410</vt:i4>
      </vt:variant>
      <vt:variant>
        <vt:i4>0</vt:i4>
      </vt:variant>
      <vt:variant>
        <vt:i4>5</vt:i4>
      </vt:variant>
      <vt:variant>
        <vt:lpwstr/>
      </vt:variant>
      <vt:variant>
        <vt:lpwstr>_Toc384112106</vt:lpwstr>
      </vt:variant>
      <vt:variant>
        <vt:i4>1835063</vt:i4>
      </vt:variant>
      <vt:variant>
        <vt:i4>404</vt:i4>
      </vt:variant>
      <vt:variant>
        <vt:i4>0</vt:i4>
      </vt:variant>
      <vt:variant>
        <vt:i4>5</vt:i4>
      </vt:variant>
      <vt:variant>
        <vt:lpwstr/>
      </vt:variant>
      <vt:variant>
        <vt:lpwstr>_Toc384112105</vt:lpwstr>
      </vt:variant>
      <vt:variant>
        <vt:i4>1835063</vt:i4>
      </vt:variant>
      <vt:variant>
        <vt:i4>398</vt:i4>
      </vt:variant>
      <vt:variant>
        <vt:i4>0</vt:i4>
      </vt:variant>
      <vt:variant>
        <vt:i4>5</vt:i4>
      </vt:variant>
      <vt:variant>
        <vt:lpwstr/>
      </vt:variant>
      <vt:variant>
        <vt:lpwstr>_Toc384112104</vt:lpwstr>
      </vt:variant>
      <vt:variant>
        <vt:i4>1835063</vt:i4>
      </vt:variant>
      <vt:variant>
        <vt:i4>392</vt:i4>
      </vt:variant>
      <vt:variant>
        <vt:i4>0</vt:i4>
      </vt:variant>
      <vt:variant>
        <vt:i4>5</vt:i4>
      </vt:variant>
      <vt:variant>
        <vt:lpwstr/>
      </vt:variant>
      <vt:variant>
        <vt:lpwstr>_Toc384112103</vt:lpwstr>
      </vt:variant>
      <vt:variant>
        <vt:i4>1835063</vt:i4>
      </vt:variant>
      <vt:variant>
        <vt:i4>386</vt:i4>
      </vt:variant>
      <vt:variant>
        <vt:i4>0</vt:i4>
      </vt:variant>
      <vt:variant>
        <vt:i4>5</vt:i4>
      </vt:variant>
      <vt:variant>
        <vt:lpwstr/>
      </vt:variant>
      <vt:variant>
        <vt:lpwstr>_Toc384112102</vt:lpwstr>
      </vt:variant>
      <vt:variant>
        <vt:i4>1835063</vt:i4>
      </vt:variant>
      <vt:variant>
        <vt:i4>380</vt:i4>
      </vt:variant>
      <vt:variant>
        <vt:i4>0</vt:i4>
      </vt:variant>
      <vt:variant>
        <vt:i4>5</vt:i4>
      </vt:variant>
      <vt:variant>
        <vt:lpwstr/>
      </vt:variant>
      <vt:variant>
        <vt:lpwstr>_Toc384112101</vt:lpwstr>
      </vt:variant>
      <vt:variant>
        <vt:i4>1835063</vt:i4>
      </vt:variant>
      <vt:variant>
        <vt:i4>374</vt:i4>
      </vt:variant>
      <vt:variant>
        <vt:i4>0</vt:i4>
      </vt:variant>
      <vt:variant>
        <vt:i4>5</vt:i4>
      </vt:variant>
      <vt:variant>
        <vt:lpwstr/>
      </vt:variant>
      <vt:variant>
        <vt:lpwstr>_Toc384112100</vt:lpwstr>
      </vt:variant>
      <vt:variant>
        <vt:i4>1376310</vt:i4>
      </vt:variant>
      <vt:variant>
        <vt:i4>368</vt:i4>
      </vt:variant>
      <vt:variant>
        <vt:i4>0</vt:i4>
      </vt:variant>
      <vt:variant>
        <vt:i4>5</vt:i4>
      </vt:variant>
      <vt:variant>
        <vt:lpwstr/>
      </vt:variant>
      <vt:variant>
        <vt:lpwstr>_Toc384112099</vt:lpwstr>
      </vt:variant>
      <vt:variant>
        <vt:i4>1376310</vt:i4>
      </vt:variant>
      <vt:variant>
        <vt:i4>362</vt:i4>
      </vt:variant>
      <vt:variant>
        <vt:i4>0</vt:i4>
      </vt:variant>
      <vt:variant>
        <vt:i4>5</vt:i4>
      </vt:variant>
      <vt:variant>
        <vt:lpwstr/>
      </vt:variant>
      <vt:variant>
        <vt:lpwstr>_Toc384112098</vt:lpwstr>
      </vt:variant>
      <vt:variant>
        <vt:i4>1376310</vt:i4>
      </vt:variant>
      <vt:variant>
        <vt:i4>356</vt:i4>
      </vt:variant>
      <vt:variant>
        <vt:i4>0</vt:i4>
      </vt:variant>
      <vt:variant>
        <vt:i4>5</vt:i4>
      </vt:variant>
      <vt:variant>
        <vt:lpwstr/>
      </vt:variant>
      <vt:variant>
        <vt:lpwstr>_Toc384112097</vt:lpwstr>
      </vt:variant>
      <vt:variant>
        <vt:i4>1376310</vt:i4>
      </vt:variant>
      <vt:variant>
        <vt:i4>350</vt:i4>
      </vt:variant>
      <vt:variant>
        <vt:i4>0</vt:i4>
      </vt:variant>
      <vt:variant>
        <vt:i4>5</vt:i4>
      </vt:variant>
      <vt:variant>
        <vt:lpwstr/>
      </vt:variant>
      <vt:variant>
        <vt:lpwstr>_Toc384112096</vt:lpwstr>
      </vt:variant>
      <vt:variant>
        <vt:i4>1376310</vt:i4>
      </vt:variant>
      <vt:variant>
        <vt:i4>344</vt:i4>
      </vt:variant>
      <vt:variant>
        <vt:i4>0</vt:i4>
      </vt:variant>
      <vt:variant>
        <vt:i4>5</vt:i4>
      </vt:variant>
      <vt:variant>
        <vt:lpwstr/>
      </vt:variant>
      <vt:variant>
        <vt:lpwstr>_Toc384112095</vt:lpwstr>
      </vt:variant>
      <vt:variant>
        <vt:i4>1376310</vt:i4>
      </vt:variant>
      <vt:variant>
        <vt:i4>338</vt:i4>
      </vt:variant>
      <vt:variant>
        <vt:i4>0</vt:i4>
      </vt:variant>
      <vt:variant>
        <vt:i4>5</vt:i4>
      </vt:variant>
      <vt:variant>
        <vt:lpwstr/>
      </vt:variant>
      <vt:variant>
        <vt:lpwstr>_Toc384112094</vt:lpwstr>
      </vt:variant>
      <vt:variant>
        <vt:i4>1376310</vt:i4>
      </vt:variant>
      <vt:variant>
        <vt:i4>332</vt:i4>
      </vt:variant>
      <vt:variant>
        <vt:i4>0</vt:i4>
      </vt:variant>
      <vt:variant>
        <vt:i4>5</vt:i4>
      </vt:variant>
      <vt:variant>
        <vt:lpwstr/>
      </vt:variant>
      <vt:variant>
        <vt:lpwstr>_Toc384112093</vt:lpwstr>
      </vt:variant>
      <vt:variant>
        <vt:i4>1376310</vt:i4>
      </vt:variant>
      <vt:variant>
        <vt:i4>326</vt:i4>
      </vt:variant>
      <vt:variant>
        <vt:i4>0</vt:i4>
      </vt:variant>
      <vt:variant>
        <vt:i4>5</vt:i4>
      </vt:variant>
      <vt:variant>
        <vt:lpwstr/>
      </vt:variant>
      <vt:variant>
        <vt:lpwstr>_Toc384112092</vt:lpwstr>
      </vt:variant>
      <vt:variant>
        <vt:i4>1376310</vt:i4>
      </vt:variant>
      <vt:variant>
        <vt:i4>320</vt:i4>
      </vt:variant>
      <vt:variant>
        <vt:i4>0</vt:i4>
      </vt:variant>
      <vt:variant>
        <vt:i4>5</vt:i4>
      </vt:variant>
      <vt:variant>
        <vt:lpwstr/>
      </vt:variant>
      <vt:variant>
        <vt:lpwstr>_Toc384112091</vt:lpwstr>
      </vt:variant>
      <vt:variant>
        <vt:i4>1376310</vt:i4>
      </vt:variant>
      <vt:variant>
        <vt:i4>314</vt:i4>
      </vt:variant>
      <vt:variant>
        <vt:i4>0</vt:i4>
      </vt:variant>
      <vt:variant>
        <vt:i4>5</vt:i4>
      </vt:variant>
      <vt:variant>
        <vt:lpwstr/>
      </vt:variant>
      <vt:variant>
        <vt:lpwstr>_Toc384112090</vt:lpwstr>
      </vt:variant>
      <vt:variant>
        <vt:i4>1310774</vt:i4>
      </vt:variant>
      <vt:variant>
        <vt:i4>308</vt:i4>
      </vt:variant>
      <vt:variant>
        <vt:i4>0</vt:i4>
      </vt:variant>
      <vt:variant>
        <vt:i4>5</vt:i4>
      </vt:variant>
      <vt:variant>
        <vt:lpwstr/>
      </vt:variant>
      <vt:variant>
        <vt:lpwstr>_Toc384112089</vt:lpwstr>
      </vt:variant>
      <vt:variant>
        <vt:i4>1310774</vt:i4>
      </vt:variant>
      <vt:variant>
        <vt:i4>302</vt:i4>
      </vt:variant>
      <vt:variant>
        <vt:i4>0</vt:i4>
      </vt:variant>
      <vt:variant>
        <vt:i4>5</vt:i4>
      </vt:variant>
      <vt:variant>
        <vt:lpwstr/>
      </vt:variant>
      <vt:variant>
        <vt:lpwstr>_Toc384112088</vt:lpwstr>
      </vt:variant>
      <vt:variant>
        <vt:i4>1310774</vt:i4>
      </vt:variant>
      <vt:variant>
        <vt:i4>296</vt:i4>
      </vt:variant>
      <vt:variant>
        <vt:i4>0</vt:i4>
      </vt:variant>
      <vt:variant>
        <vt:i4>5</vt:i4>
      </vt:variant>
      <vt:variant>
        <vt:lpwstr/>
      </vt:variant>
      <vt:variant>
        <vt:lpwstr>_Toc384112087</vt:lpwstr>
      </vt:variant>
      <vt:variant>
        <vt:i4>1310774</vt:i4>
      </vt:variant>
      <vt:variant>
        <vt:i4>290</vt:i4>
      </vt:variant>
      <vt:variant>
        <vt:i4>0</vt:i4>
      </vt:variant>
      <vt:variant>
        <vt:i4>5</vt:i4>
      </vt:variant>
      <vt:variant>
        <vt:lpwstr/>
      </vt:variant>
      <vt:variant>
        <vt:lpwstr>_Toc384112086</vt:lpwstr>
      </vt:variant>
      <vt:variant>
        <vt:i4>1310774</vt:i4>
      </vt:variant>
      <vt:variant>
        <vt:i4>284</vt:i4>
      </vt:variant>
      <vt:variant>
        <vt:i4>0</vt:i4>
      </vt:variant>
      <vt:variant>
        <vt:i4>5</vt:i4>
      </vt:variant>
      <vt:variant>
        <vt:lpwstr/>
      </vt:variant>
      <vt:variant>
        <vt:lpwstr>_Toc384112085</vt:lpwstr>
      </vt:variant>
      <vt:variant>
        <vt:i4>1310774</vt:i4>
      </vt:variant>
      <vt:variant>
        <vt:i4>278</vt:i4>
      </vt:variant>
      <vt:variant>
        <vt:i4>0</vt:i4>
      </vt:variant>
      <vt:variant>
        <vt:i4>5</vt:i4>
      </vt:variant>
      <vt:variant>
        <vt:lpwstr/>
      </vt:variant>
      <vt:variant>
        <vt:lpwstr>_Toc384112084</vt:lpwstr>
      </vt:variant>
      <vt:variant>
        <vt:i4>1310774</vt:i4>
      </vt:variant>
      <vt:variant>
        <vt:i4>272</vt:i4>
      </vt:variant>
      <vt:variant>
        <vt:i4>0</vt:i4>
      </vt:variant>
      <vt:variant>
        <vt:i4>5</vt:i4>
      </vt:variant>
      <vt:variant>
        <vt:lpwstr/>
      </vt:variant>
      <vt:variant>
        <vt:lpwstr>_Toc384112083</vt:lpwstr>
      </vt:variant>
      <vt:variant>
        <vt:i4>1310774</vt:i4>
      </vt:variant>
      <vt:variant>
        <vt:i4>266</vt:i4>
      </vt:variant>
      <vt:variant>
        <vt:i4>0</vt:i4>
      </vt:variant>
      <vt:variant>
        <vt:i4>5</vt:i4>
      </vt:variant>
      <vt:variant>
        <vt:lpwstr/>
      </vt:variant>
      <vt:variant>
        <vt:lpwstr>_Toc384112082</vt:lpwstr>
      </vt:variant>
      <vt:variant>
        <vt:i4>1310774</vt:i4>
      </vt:variant>
      <vt:variant>
        <vt:i4>260</vt:i4>
      </vt:variant>
      <vt:variant>
        <vt:i4>0</vt:i4>
      </vt:variant>
      <vt:variant>
        <vt:i4>5</vt:i4>
      </vt:variant>
      <vt:variant>
        <vt:lpwstr/>
      </vt:variant>
      <vt:variant>
        <vt:lpwstr>_Toc384112081</vt:lpwstr>
      </vt:variant>
      <vt:variant>
        <vt:i4>1310774</vt:i4>
      </vt:variant>
      <vt:variant>
        <vt:i4>254</vt:i4>
      </vt:variant>
      <vt:variant>
        <vt:i4>0</vt:i4>
      </vt:variant>
      <vt:variant>
        <vt:i4>5</vt:i4>
      </vt:variant>
      <vt:variant>
        <vt:lpwstr/>
      </vt:variant>
      <vt:variant>
        <vt:lpwstr>_Toc384112080</vt:lpwstr>
      </vt:variant>
      <vt:variant>
        <vt:i4>1769526</vt:i4>
      </vt:variant>
      <vt:variant>
        <vt:i4>248</vt:i4>
      </vt:variant>
      <vt:variant>
        <vt:i4>0</vt:i4>
      </vt:variant>
      <vt:variant>
        <vt:i4>5</vt:i4>
      </vt:variant>
      <vt:variant>
        <vt:lpwstr/>
      </vt:variant>
      <vt:variant>
        <vt:lpwstr>_Toc384112079</vt:lpwstr>
      </vt:variant>
      <vt:variant>
        <vt:i4>1769526</vt:i4>
      </vt:variant>
      <vt:variant>
        <vt:i4>242</vt:i4>
      </vt:variant>
      <vt:variant>
        <vt:i4>0</vt:i4>
      </vt:variant>
      <vt:variant>
        <vt:i4>5</vt:i4>
      </vt:variant>
      <vt:variant>
        <vt:lpwstr/>
      </vt:variant>
      <vt:variant>
        <vt:lpwstr>_Toc384112078</vt:lpwstr>
      </vt:variant>
      <vt:variant>
        <vt:i4>1769526</vt:i4>
      </vt:variant>
      <vt:variant>
        <vt:i4>236</vt:i4>
      </vt:variant>
      <vt:variant>
        <vt:i4>0</vt:i4>
      </vt:variant>
      <vt:variant>
        <vt:i4>5</vt:i4>
      </vt:variant>
      <vt:variant>
        <vt:lpwstr/>
      </vt:variant>
      <vt:variant>
        <vt:lpwstr>_Toc384112077</vt:lpwstr>
      </vt:variant>
      <vt:variant>
        <vt:i4>1769526</vt:i4>
      </vt:variant>
      <vt:variant>
        <vt:i4>230</vt:i4>
      </vt:variant>
      <vt:variant>
        <vt:i4>0</vt:i4>
      </vt:variant>
      <vt:variant>
        <vt:i4>5</vt:i4>
      </vt:variant>
      <vt:variant>
        <vt:lpwstr/>
      </vt:variant>
      <vt:variant>
        <vt:lpwstr>_Toc384112076</vt:lpwstr>
      </vt:variant>
      <vt:variant>
        <vt:i4>1769526</vt:i4>
      </vt:variant>
      <vt:variant>
        <vt:i4>224</vt:i4>
      </vt:variant>
      <vt:variant>
        <vt:i4>0</vt:i4>
      </vt:variant>
      <vt:variant>
        <vt:i4>5</vt:i4>
      </vt:variant>
      <vt:variant>
        <vt:lpwstr/>
      </vt:variant>
      <vt:variant>
        <vt:lpwstr>_Toc384112075</vt:lpwstr>
      </vt:variant>
      <vt:variant>
        <vt:i4>1769526</vt:i4>
      </vt:variant>
      <vt:variant>
        <vt:i4>218</vt:i4>
      </vt:variant>
      <vt:variant>
        <vt:i4>0</vt:i4>
      </vt:variant>
      <vt:variant>
        <vt:i4>5</vt:i4>
      </vt:variant>
      <vt:variant>
        <vt:lpwstr/>
      </vt:variant>
      <vt:variant>
        <vt:lpwstr>_Toc384112074</vt:lpwstr>
      </vt:variant>
      <vt:variant>
        <vt:i4>1769526</vt:i4>
      </vt:variant>
      <vt:variant>
        <vt:i4>212</vt:i4>
      </vt:variant>
      <vt:variant>
        <vt:i4>0</vt:i4>
      </vt:variant>
      <vt:variant>
        <vt:i4>5</vt:i4>
      </vt:variant>
      <vt:variant>
        <vt:lpwstr/>
      </vt:variant>
      <vt:variant>
        <vt:lpwstr>_Toc384112073</vt:lpwstr>
      </vt:variant>
      <vt:variant>
        <vt:i4>1769526</vt:i4>
      </vt:variant>
      <vt:variant>
        <vt:i4>206</vt:i4>
      </vt:variant>
      <vt:variant>
        <vt:i4>0</vt:i4>
      </vt:variant>
      <vt:variant>
        <vt:i4>5</vt:i4>
      </vt:variant>
      <vt:variant>
        <vt:lpwstr/>
      </vt:variant>
      <vt:variant>
        <vt:lpwstr>_Toc384112072</vt:lpwstr>
      </vt:variant>
      <vt:variant>
        <vt:i4>1769526</vt:i4>
      </vt:variant>
      <vt:variant>
        <vt:i4>200</vt:i4>
      </vt:variant>
      <vt:variant>
        <vt:i4>0</vt:i4>
      </vt:variant>
      <vt:variant>
        <vt:i4>5</vt:i4>
      </vt:variant>
      <vt:variant>
        <vt:lpwstr/>
      </vt:variant>
      <vt:variant>
        <vt:lpwstr>_Toc384112071</vt:lpwstr>
      </vt:variant>
      <vt:variant>
        <vt:i4>1769526</vt:i4>
      </vt:variant>
      <vt:variant>
        <vt:i4>194</vt:i4>
      </vt:variant>
      <vt:variant>
        <vt:i4>0</vt:i4>
      </vt:variant>
      <vt:variant>
        <vt:i4>5</vt:i4>
      </vt:variant>
      <vt:variant>
        <vt:lpwstr/>
      </vt:variant>
      <vt:variant>
        <vt:lpwstr>_Toc384112070</vt:lpwstr>
      </vt:variant>
      <vt:variant>
        <vt:i4>1703990</vt:i4>
      </vt:variant>
      <vt:variant>
        <vt:i4>188</vt:i4>
      </vt:variant>
      <vt:variant>
        <vt:i4>0</vt:i4>
      </vt:variant>
      <vt:variant>
        <vt:i4>5</vt:i4>
      </vt:variant>
      <vt:variant>
        <vt:lpwstr/>
      </vt:variant>
      <vt:variant>
        <vt:lpwstr>_Toc384112069</vt:lpwstr>
      </vt:variant>
      <vt:variant>
        <vt:i4>1703990</vt:i4>
      </vt:variant>
      <vt:variant>
        <vt:i4>182</vt:i4>
      </vt:variant>
      <vt:variant>
        <vt:i4>0</vt:i4>
      </vt:variant>
      <vt:variant>
        <vt:i4>5</vt:i4>
      </vt:variant>
      <vt:variant>
        <vt:lpwstr/>
      </vt:variant>
      <vt:variant>
        <vt:lpwstr>_Toc384112068</vt:lpwstr>
      </vt:variant>
      <vt:variant>
        <vt:i4>1703990</vt:i4>
      </vt:variant>
      <vt:variant>
        <vt:i4>176</vt:i4>
      </vt:variant>
      <vt:variant>
        <vt:i4>0</vt:i4>
      </vt:variant>
      <vt:variant>
        <vt:i4>5</vt:i4>
      </vt:variant>
      <vt:variant>
        <vt:lpwstr/>
      </vt:variant>
      <vt:variant>
        <vt:lpwstr>_Toc384112067</vt:lpwstr>
      </vt:variant>
      <vt:variant>
        <vt:i4>1703990</vt:i4>
      </vt:variant>
      <vt:variant>
        <vt:i4>170</vt:i4>
      </vt:variant>
      <vt:variant>
        <vt:i4>0</vt:i4>
      </vt:variant>
      <vt:variant>
        <vt:i4>5</vt:i4>
      </vt:variant>
      <vt:variant>
        <vt:lpwstr/>
      </vt:variant>
      <vt:variant>
        <vt:lpwstr>_Toc384112066</vt:lpwstr>
      </vt:variant>
      <vt:variant>
        <vt:i4>1703990</vt:i4>
      </vt:variant>
      <vt:variant>
        <vt:i4>164</vt:i4>
      </vt:variant>
      <vt:variant>
        <vt:i4>0</vt:i4>
      </vt:variant>
      <vt:variant>
        <vt:i4>5</vt:i4>
      </vt:variant>
      <vt:variant>
        <vt:lpwstr/>
      </vt:variant>
      <vt:variant>
        <vt:lpwstr>_Toc384112065</vt:lpwstr>
      </vt:variant>
      <vt:variant>
        <vt:i4>1703990</vt:i4>
      </vt:variant>
      <vt:variant>
        <vt:i4>158</vt:i4>
      </vt:variant>
      <vt:variant>
        <vt:i4>0</vt:i4>
      </vt:variant>
      <vt:variant>
        <vt:i4>5</vt:i4>
      </vt:variant>
      <vt:variant>
        <vt:lpwstr/>
      </vt:variant>
      <vt:variant>
        <vt:lpwstr>_Toc384112064</vt:lpwstr>
      </vt:variant>
      <vt:variant>
        <vt:i4>1703990</vt:i4>
      </vt:variant>
      <vt:variant>
        <vt:i4>152</vt:i4>
      </vt:variant>
      <vt:variant>
        <vt:i4>0</vt:i4>
      </vt:variant>
      <vt:variant>
        <vt:i4>5</vt:i4>
      </vt:variant>
      <vt:variant>
        <vt:lpwstr/>
      </vt:variant>
      <vt:variant>
        <vt:lpwstr>_Toc384112063</vt:lpwstr>
      </vt:variant>
      <vt:variant>
        <vt:i4>1703990</vt:i4>
      </vt:variant>
      <vt:variant>
        <vt:i4>146</vt:i4>
      </vt:variant>
      <vt:variant>
        <vt:i4>0</vt:i4>
      </vt:variant>
      <vt:variant>
        <vt:i4>5</vt:i4>
      </vt:variant>
      <vt:variant>
        <vt:lpwstr/>
      </vt:variant>
      <vt:variant>
        <vt:lpwstr>_Toc384112062</vt:lpwstr>
      </vt:variant>
      <vt:variant>
        <vt:i4>1703990</vt:i4>
      </vt:variant>
      <vt:variant>
        <vt:i4>140</vt:i4>
      </vt:variant>
      <vt:variant>
        <vt:i4>0</vt:i4>
      </vt:variant>
      <vt:variant>
        <vt:i4>5</vt:i4>
      </vt:variant>
      <vt:variant>
        <vt:lpwstr/>
      </vt:variant>
      <vt:variant>
        <vt:lpwstr>_Toc384112061</vt:lpwstr>
      </vt:variant>
      <vt:variant>
        <vt:i4>1703990</vt:i4>
      </vt:variant>
      <vt:variant>
        <vt:i4>134</vt:i4>
      </vt:variant>
      <vt:variant>
        <vt:i4>0</vt:i4>
      </vt:variant>
      <vt:variant>
        <vt:i4>5</vt:i4>
      </vt:variant>
      <vt:variant>
        <vt:lpwstr/>
      </vt:variant>
      <vt:variant>
        <vt:lpwstr>_Toc384112060</vt:lpwstr>
      </vt:variant>
      <vt:variant>
        <vt:i4>1638454</vt:i4>
      </vt:variant>
      <vt:variant>
        <vt:i4>128</vt:i4>
      </vt:variant>
      <vt:variant>
        <vt:i4>0</vt:i4>
      </vt:variant>
      <vt:variant>
        <vt:i4>5</vt:i4>
      </vt:variant>
      <vt:variant>
        <vt:lpwstr/>
      </vt:variant>
      <vt:variant>
        <vt:lpwstr>_Toc384112059</vt:lpwstr>
      </vt:variant>
      <vt:variant>
        <vt:i4>1638454</vt:i4>
      </vt:variant>
      <vt:variant>
        <vt:i4>122</vt:i4>
      </vt:variant>
      <vt:variant>
        <vt:i4>0</vt:i4>
      </vt:variant>
      <vt:variant>
        <vt:i4>5</vt:i4>
      </vt:variant>
      <vt:variant>
        <vt:lpwstr/>
      </vt:variant>
      <vt:variant>
        <vt:lpwstr>_Toc384112058</vt:lpwstr>
      </vt:variant>
      <vt:variant>
        <vt:i4>1638454</vt:i4>
      </vt:variant>
      <vt:variant>
        <vt:i4>116</vt:i4>
      </vt:variant>
      <vt:variant>
        <vt:i4>0</vt:i4>
      </vt:variant>
      <vt:variant>
        <vt:i4>5</vt:i4>
      </vt:variant>
      <vt:variant>
        <vt:lpwstr/>
      </vt:variant>
      <vt:variant>
        <vt:lpwstr>_Toc384112057</vt:lpwstr>
      </vt:variant>
      <vt:variant>
        <vt:i4>1638454</vt:i4>
      </vt:variant>
      <vt:variant>
        <vt:i4>110</vt:i4>
      </vt:variant>
      <vt:variant>
        <vt:i4>0</vt:i4>
      </vt:variant>
      <vt:variant>
        <vt:i4>5</vt:i4>
      </vt:variant>
      <vt:variant>
        <vt:lpwstr/>
      </vt:variant>
      <vt:variant>
        <vt:lpwstr>_Toc384112056</vt:lpwstr>
      </vt:variant>
      <vt:variant>
        <vt:i4>1638454</vt:i4>
      </vt:variant>
      <vt:variant>
        <vt:i4>104</vt:i4>
      </vt:variant>
      <vt:variant>
        <vt:i4>0</vt:i4>
      </vt:variant>
      <vt:variant>
        <vt:i4>5</vt:i4>
      </vt:variant>
      <vt:variant>
        <vt:lpwstr/>
      </vt:variant>
      <vt:variant>
        <vt:lpwstr>_Toc384112055</vt:lpwstr>
      </vt:variant>
      <vt:variant>
        <vt:i4>1638454</vt:i4>
      </vt:variant>
      <vt:variant>
        <vt:i4>98</vt:i4>
      </vt:variant>
      <vt:variant>
        <vt:i4>0</vt:i4>
      </vt:variant>
      <vt:variant>
        <vt:i4>5</vt:i4>
      </vt:variant>
      <vt:variant>
        <vt:lpwstr/>
      </vt:variant>
      <vt:variant>
        <vt:lpwstr>_Toc384112054</vt:lpwstr>
      </vt:variant>
      <vt:variant>
        <vt:i4>1638454</vt:i4>
      </vt:variant>
      <vt:variant>
        <vt:i4>92</vt:i4>
      </vt:variant>
      <vt:variant>
        <vt:i4>0</vt:i4>
      </vt:variant>
      <vt:variant>
        <vt:i4>5</vt:i4>
      </vt:variant>
      <vt:variant>
        <vt:lpwstr/>
      </vt:variant>
      <vt:variant>
        <vt:lpwstr>_Toc384112053</vt:lpwstr>
      </vt:variant>
      <vt:variant>
        <vt:i4>1638454</vt:i4>
      </vt:variant>
      <vt:variant>
        <vt:i4>86</vt:i4>
      </vt:variant>
      <vt:variant>
        <vt:i4>0</vt:i4>
      </vt:variant>
      <vt:variant>
        <vt:i4>5</vt:i4>
      </vt:variant>
      <vt:variant>
        <vt:lpwstr/>
      </vt:variant>
      <vt:variant>
        <vt:lpwstr>_Toc384112052</vt:lpwstr>
      </vt:variant>
      <vt:variant>
        <vt:i4>1638454</vt:i4>
      </vt:variant>
      <vt:variant>
        <vt:i4>80</vt:i4>
      </vt:variant>
      <vt:variant>
        <vt:i4>0</vt:i4>
      </vt:variant>
      <vt:variant>
        <vt:i4>5</vt:i4>
      </vt:variant>
      <vt:variant>
        <vt:lpwstr/>
      </vt:variant>
      <vt:variant>
        <vt:lpwstr>_Toc384112051</vt:lpwstr>
      </vt:variant>
      <vt:variant>
        <vt:i4>1638454</vt:i4>
      </vt:variant>
      <vt:variant>
        <vt:i4>74</vt:i4>
      </vt:variant>
      <vt:variant>
        <vt:i4>0</vt:i4>
      </vt:variant>
      <vt:variant>
        <vt:i4>5</vt:i4>
      </vt:variant>
      <vt:variant>
        <vt:lpwstr/>
      </vt:variant>
      <vt:variant>
        <vt:lpwstr>_Toc384112050</vt:lpwstr>
      </vt:variant>
      <vt:variant>
        <vt:i4>1572918</vt:i4>
      </vt:variant>
      <vt:variant>
        <vt:i4>68</vt:i4>
      </vt:variant>
      <vt:variant>
        <vt:i4>0</vt:i4>
      </vt:variant>
      <vt:variant>
        <vt:i4>5</vt:i4>
      </vt:variant>
      <vt:variant>
        <vt:lpwstr/>
      </vt:variant>
      <vt:variant>
        <vt:lpwstr>_Toc384112049</vt:lpwstr>
      </vt:variant>
      <vt:variant>
        <vt:i4>1572918</vt:i4>
      </vt:variant>
      <vt:variant>
        <vt:i4>62</vt:i4>
      </vt:variant>
      <vt:variant>
        <vt:i4>0</vt:i4>
      </vt:variant>
      <vt:variant>
        <vt:i4>5</vt:i4>
      </vt:variant>
      <vt:variant>
        <vt:lpwstr/>
      </vt:variant>
      <vt:variant>
        <vt:lpwstr>_Toc384112048</vt:lpwstr>
      </vt:variant>
      <vt:variant>
        <vt:i4>1572918</vt:i4>
      </vt:variant>
      <vt:variant>
        <vt:i4>56</vt:i4>
      </vt:variant>
      <vt:variant>
        <vt:i4>0</vt:i4>
      </vt:variant>
      <vt:variant>
        <vt:i4>5</vt:i4>
      </vt:variant>
      <vt:variant>
        <vt:lpwstr/>
      </vt:variant>
      <vt:variant>
        <vt:lpwstr>_Toc384112047</vt:lpwstr>
      </vt:variant>
      <vt:variant>
        <vt:i4>1572918</vt:i4>
      </vt:variant>
      <vt:variant>
        <vt:i4>50</vt:i4>
      </vt:variant>
      <vt:variant>
        <vt:i4>0</vt:i4>
      </vt:variant>
      <vt:variant>
        <vt:i4>5</vt:i4>
      </vt:variant>
      <vt:variant>
        <vt:lpwstr/>
      </vt:variant>
      <vt:variant>
        <vt:lpwstr>_Toc384112046</vt:lpwstr>
      </vt:variant>
      <vt:variant>
        <vt:i4>1572918</vt:i4>
      </vt:variant>
      <vt:variant>
        <vt:i4>44</vt:i4>
      </vt:variant>
      <vt:variant>
        <vt:i4>0</vt:i4>
      </vt:variant>
      <vt:variant>
        <vt:i4>5</vt:i4>
      </vt:variant>
      <vt:variant>
        <vt:lpwstr/>
      </vt:variant>
      <vt:variant>
        <vt:lpwstr>_Toc384112045</vt:lpwstr>
      </vt:variant>
      <vt:variant>
        <vt:i4>1572918</vt:i4>
      </vt:variant>
      <vt:variant>
        <vt:i4>38</vt:i4>
      </vt:variant>
      <vt:variant>
        <vt:i4>0</vt:i4>
      </vt:variant>
      <vt:variant>
        <vt:i4>5</vt:i4>
      </vt:variant>
      <vt:variant>
        <vt:lpwstr/>
      </vt:variant>
      <vt:variant>
        <vt:lpwstr>_Toc384112044</vt:lpwstr>
      </vt:variant>
      <vt:variant>
        <vt:i4>1572918</vt:i4>
      </vt:variant>
      <vt:variant>
        <vt:i4>32</vt:i4>
      </vt:variant>
      <vt:variant>
        <vt:i4>0</vt:i4>
      </vt:variant>
      <vt:variant>
        <vt:i4>5</vt:i4>
      </vt:variant>
      <vt:variant>
        <vt:lpwstr/>
      </vt:variant>
      <vt:variant>
        <vt:lpwstr>_Toc384112043</vt:lpwstr>
      </vt:variant>
      <vt:variant>
        <vt:i4>1572918</vt:i4>
      </vt:variant>
      <vt:variant>
        <vt:i4>26</vt:i4>
      </vt:variant>
      <vt:variant>
        <vt:i4>0</vt:i4>
      </vt:variant>
      <vt:variant>
        <vt:i4>5</vt:i4>
      </vt:variant>
      <vt:variant>
        <vt:lpwstr/>
      </vt:variant>
      <vt:variant>
        <vt:lpwstr>_Toc384112042</vt:lpwstr>
      </vt:variant>
      <vt:variant>
        <vt:i4>1572918</vt:i4>
      </vt:variant>
      <vt:variant>
        <vt:i4>20</vt:i4>
      </vt:variant>
      <vt:variant>
        <vt:i4>0</vt:i4>
      </vt:variant>
      <vt:variant>
        <vt:i4>5</vt:i4>
      </vt:variant>
      <vt:variant>
        <vt:lpwstr/>
      </vt:variant>
      <vt:variant>
        <vt:lpwstr>_Toc384112041</vt:lpwstr>
      </vt:variant>
      <vt:variant>
        <vt:i4>1572918</vt:i4>
      </vt:variant>
      <vt:variant>
        <vt:i4>14</vt:i4>
      </vt:variant>
      <vt:variant>
        <vt:i4>0</vt:i4>
      </vt:variant>
      <vt:variant>
        <vt:i4>5</vt:i4>
      </vt:variant>
      <vt:variant>
        <vt:lpwstr/>
      </vt:variant>
      <vt:variant>
        <vt:lpwstr>_Toc384112040</vt:lpwstr>
      </vt:variant>
      <vt:variant>
        <vt:i4>2031670</vt:i4>
      </vt:variant>
      <vt:variant>
        <vt:i4>8</vt:i4>
      </vt:variant>
      <vt:variant>
        <vt:i4>0</vt:i4>
      </vt:variant>
      <vt:variant>
        <vt:i4>5</vt:i4>
      </vt:variant>
      <vt:variant>
        <vt:lpwstr/>
      </vt:variant>
      <vt:variant>
        <vt:lpwstr>_Toc384112039</vt:lpwstr>
      </vt:variant>
      <vt:variant>
        <vt:i4>2031670</vt:i4>
      </vt:variant>
      <vt:variant>
        <vt:i4>2</vt:i4>
      </vt:variant>
      <vt:variant>
        <vt:i4>0</vt:i4>
      </vt:variant>
      <vt:variant>
        <vt:i4>5</vt:i4>
      </vt:variant>
      <vt:variant>
        <vt:lpwstr/>
      </vt:variant>
      <vt:variant>
        <vt:lpwstr>_Toc384112038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subject>Correction for the Cambodia (Khmer) Fonts.</dc:subject>
  <dc:creator>NISHA</dc:creator>
  <cp:lastModifiedBy>Ohidul</cp:lastModifiedBy>
  <cp:revision>20</cp:revision>
  <cp:lastPrinted>2016-06-20T09:44:00Z</cp:lastPrinted>
  <dcterms:created xsi:type="dcterms:W3CDTF">2016-09-28T05:45:00Z</dcterms:created>
  <dcterms:modified xsi:type="dcterms:W3CDTF">2016-09-28T09:05:00Z</dcterms:modified>
</cp:coreProperties>
</file>